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57EC1" w14:textId="77777777" w:rsidR="007A04F8" w:rsidRPr="00DB2A06" w:rsidRDefault="007A04F8" w:rsidP="007A04F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0C07998" w14:textId="77777777" w:rsidR="007A04F8" w:rsidRDefault="007A04F8" w:rsidP="004678AD">
      <w:pPr>
        <w:tabs>
          <w:tab w:val="left" w:pos="2342"/>
          <w:tab w:val="center" w:pos="4513"/>
        </w:tabs>
        <w:spacing w:after="0"/>
        <w:ind w:left="0"/>
        <w:jc w:val="center"/>
        <w:outlineLvl w:val="0"/>
        <w:rPr>
          <w:rFonts w:eastAsia="Times New Roman" w:cs="Arial"/>
          <w:b/>
          <w:noProof/>
          <w:color w:val="000000" w:themeColor="text1"/>
          <w:szCs w:val="24"/>
          <w:lang w:val="en-ZA" w:eastAsia="en-ZA"/>
        </w:rPr>
      </w:pPr>
    </w:p>
    <w:p w14:paraId="7143491C" w14:textId="77777777" w:rsidR="007B7F59" w:rsidRPr="004678AD" w:rsidRDefault="007B7F59" w:rsidP="004678AD">
      <w:pPr>
        <w:tabs>
          <w:tab w:val="left" w:pos="2342"/>
          <w:tab w:val="center" w:pos="4513"/>
        </w:tabs>
        <w:spacing w:after="0"/>
        <w:ind w:left="0"/>
        <w:jc w:val="center"/>
        <w:outlineLvl w:val="0"/>
        <w:rPr>
          <w:rFonts w:eastAsia="Times New Roman" w:cs="Arial"/>
          <w:b/>
          <w:noProof/>
          <w:color w:val="000000" w:themeColor="text1"/>
          <w:szCs w:val="24"/>
          <w:lang w:val="en-ZA" w:eastAsia="en-ZA"/>
        </w:rPr>
      </w:pPr>
      <w:r w:rsidRPr="004678AD">
        <w:rPr>
          <w:rFonts w:eastAsia="Times New Roman" w:cs="Arial"/>
          <w:b/>
          <w:noProof/>
          <w:color w:val="000000" w:themeColor="text1"/>
          <w:szCs w:val="24"/>
          <w:lang w:val="en-ZA" w:eastAsia="en-ZA"/>
        </w:rPr>
        <w:t>REPUBLIC OF SOUTH AFRICA</w:t>
      </w:r>
    </w:p>
    <w:p w14:paraId="3D58A012" w14:textId="77777777" w:rsidR="007B7F59" w:rsidRPr="004678AD" w:rsidRDefault="007B7F59" w:rsidP="004678AD">
      <w:pPr>
        <w:tabs>
          <w:tab w:val="left" w:pos="2342"/>
          <w:tab w:val="center" w:pos="4513"/>
        </w:tabs>
        <w:spacing w:after="0"/>
        <w:ind w:left="0"/>
        <w:jc w:val="center"/>
        <w:outlineLvl w:val="0"/>
        <w:rPr>
          <w:rFonts w:eastAsia="Times New Roman" w:cs="Arial"/>
          <w:b/>
          <w:noProof/>
          <w:color w:val="000000" w:themeColor="text1"/>
          <w:szCs w:val="24"/>
          <w:lang w:val="en-ZA" w:eastAsia="en-ZA"/>
        </w:rPr>
      </w:pPr>
    </w:p>
    <w:p w14:paraId="0C01B7C5" w14:textId="77777777" w:rsidR="007B7F59" w:rsidRPr="004678AD" w:rsidRDefault="007B7F59" w:rsidP="004678AD">
      <w:pPr>
        <w:tabs>
          <w:tab w:val="left" w:pos="2342"/>
          <w:tab w:val="center" w:pos="4513"/>
        </w:tabs>
        <w:spacing w:after="0"/>
        <w:ind w:left="0"/>
        <w:jc w:val="center"/>
        <w:outlineLvl w:val="0"/>
        <w:rPr>
          <w:rFonts w:eastAsia="Times New Roman" w:cs="Arial"/>
          <w:color w:val="000000" w:themeColor="text1"/>
          <w:szCs w:val="24"/>
          <w:lang w:val="en-ZA"/>
        </w:rPr>
      </w:pPr>
      <w:r w:rsidRPr="004678AD">
        <w:rPr>
          <w:rFonts w:eastAsia="Times New Roman" w:cs="Arial"/>
          <w:noProof/>
          <w:color w:val="000000" w:themeColor="text1"/>
          <w:szCs w:val="24"/>
          <w:lang w:val="en-US"/>
        </w:rPr>
        <w:drawing>
          <wp:inline distT="0" distB="0" distL="0" distR="0" wp14:anchorId="199B1F49" wp14:editId="6F0BF77A">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8F3C341" w14:textId="77777777" w:rsidR="007B7F59" w:rsidRPr="004678AD" w:rsidRDefault="007B7F59" w:rsidP="004678AD">
      <w:pPr>
        <w:spacing w:after="0"/>
        <w:ind w:left="0"/>
        <w:jc w:val="center"/>
        <w:outlineLvl w:val="0"/>
        <w:rPr>
          <w:rFonts w:eastAsia="Times New Roman" w:cs="Arial"/>
          <w:b/>
          <w:color w:val="000000" w:themeColor="text1"/>
          <w:szCs w:val="24"/>
          <w:lang w:val="en-ZA"/>
        </w:rPr>
      </w:pPr>
    </w:p>
    <w:p w14:paraId="7A966169" w14:textId="77777777" w:rsidR="007B7F59" w:rsidRPr="004678AD" w:rsidRDefault="007B7F59" w:rsidP="004678AD">
      <w:pPr>
        <w:spacing w:after="0"/>
        <w:ind w:left="0"/>
        <w:jc w:val="center"/>
        <w:outlineLvl w:val="0"/>
        <w:rPr>
          <w:rFonts w:eastAsia="Times New Roman" w:cs="Arial"/>
          <w:b/>
          <w:color w:val="000000" w:themeColor="text1"/>
          <w:szCs w:val="24"/>
          <w:lang w:val="en-ZA"/>
        </w:rPr>
      </w:pPr>
      <w:r w:rsidRPr="004678AD">
        <w:rPr>
          <w:rFonts w:eastAsia="Times New Roman" w:cs="Arial"/>
          <w:b/>
          <w:color w:val="000000" w:themeColor="text1"/>
          <w:szCs w:val="24"/>
          <w:lang w:val="en-ZA"/>
        </w:rPr>
        <w:t>IN THE HIGH COURT OF SOUTH AFRICA</w:t>
      </w:r>
    </w:p>
    <w:p w14:paraId="5E2CF0FA" w14:textId="5895DCC4" w:rsidR="007B7F59" w:rsidRPr="004678AD" w:rsidRDefault="007B7F59" w:rsidP="004678AD">
      <w:pPr>
        <w:spacing w:after="0"/>
        <w:ind w:left="0"/>
        <w:jc w:val="center"/>
        <w:outlineLvl w:val="0"/>
        <w:rPr>
          <w:rFonts w:eastAsia="Times New Roman" w:cs="Arial"/>
          <w:b/>
          <w:color w:val="000000" w:themeColor="text1"/>
          <w:szCs w:val="24"/>
          <w:lang w:val="en-ZA"/>
        </w:rPr>
      </w:pPr>
      <w:r w:rsidRPr="004678AD">
        <w:rPr>
          <w:rFonts w:eastAsia="Times New Roman" w:cs="Arial"/>
          <w:b/>
          <w:color w:val="000000" w:themeColor="text1"/>
          <w:szCs w:val="24"/>
          <w:lang w:val="en-ZA"/>
        </w:rPr>
        <w:t>GAUTENG DIVISION, JOHANNESBURG</w:t>
      </w:r>
    </w:p>
    <w:p w14:paraId="7D2580A8" w14:textId="77777777" w:rsidR="007B7F59" w:rsidRPr="004678AD" w:rsidRDefault="007B7F59" w:rsidP="004678AD">
      <w:pPr>
        <w:spacing w:after="0"/>
        <w:ind w:left="0"/>
        <w:rPr>
          <w:rFonts w:eastAsia="Times New Roman" w:cs="Arial"/>
          <w:color w:val="000000" w:themeColor="text1"/>
          <w:szCs w:val="24"/>
          <w:lang w:val="en-ZA"/>
        </w:rPr>
      </w:pPr>
    </w:p>
    <w:p w14:paraId="22C5A512" w14:textId="77777777" w:rsidR="007B7F59" w:rsidRPr="004678AD" w:rsidRDefault="007B7F59" w:rsidP="004678AD">
      <w:pPr>
        <w:tabs>
          <w:tab w:val="right" w:pos="9029"/>
        </w:tabs>
        <w:spacing w:after="0"/>
        <w:ind w:left="0"/>
        <w:rPr>
          <w:rFonts w:eastAsia="Times New Roman" w:cs="Arial"/>
          <w:bCs/>
          <w:color w:val="000000" w:themeColor="text1"/>
          <w:szCs w:val="24"/>
          <w:lang w:val="en-ZA"/>
        </w:rPr>
      </w:pPr>
      <w:r w:rsidRPr="004678AD">
        <w:rPr>
          <w:rFonts w:eastAsia="Times New Roman" w:cs="Arial"/>
          <w:color w:val="000000" w:themeColor="text1"/>
          <w:szCs w:val="24"/>
          <w:lang w:val="en-ZA"/>
        </w:rPr>
        <w:tab/>
      </w:r>
      <w:r w:rsidRPr="004678AD">
        <w:rPr>
          <w:rFonts w:eastAsia="Times New Roman" w:cs="Arial"/>
          <w:bCs/>
          <w:color w:val="000000" w:themeColor="text1"/>
          <w:szCs w:val="24"/>
          <w:lang w:val="en-ZA"/>
        </w:rPr>
        <w:t xml:space="preserve">Case Number: </w:t>
      </w:r>
      <w:r w:rsidR="00DF21A4" w:rsidRPr="004678AD">
        <w:rPr>
          <w:rFonts w:eastAsia="Times New Roman" w:cs="Arial"/>
          <w:bCs/>
          <w:color w:val="000000" w:themeColor="text1"/>
          <w:szCs w:val="24"/>
          <w:lang w:val="en-ZA"/>
        </w:rPr>
        <w:t>2019/26724</w:t>
      </w:r>
    </w:p>
    <w:p w14:paraId="135A56B8" w14:textId="77777777" w:rsidR="007B7F59" w:rsidRPr="004678AD" w:rsidRDefault="007B7F59" w:rsidP="004678AD">
      <w:pPr>
        <w:tabs>
          <w:tab w:val="right" w:pos="9029"/>
        </w:tabs>
        <w:spacing w:after="0"/>
        <w:ind w:left="0"/>
        <w:rPr>
          <w:rFonts w:eastAsia="Times New Roman" w:cs="Arial"/>
          <w:color w:val="000000" w:themeColor="text1"/>
          <w:szCs w:val="24"/>
          <w:lang w:val="en-ZA"/>
        </w:rPr>
      </w:pPr>
      <w:r w:rsidRPr="004678AD">
        <w:rPr>
          <w:rFonts w:cs="Arial"/>
          <w:noProof/>
          <w:color w:val="000000" w:themeColor="text1"/>
          <w:szCs w:val="24"/>
          <w:lang w:val="en-US"/>
        </w:rPr>
        <mc:AlternateContent>
          <mc:Choice Requires="wps">
            <w:drawing>
              <wp:anchor distT="0" distB="0" distL="114300" distR="114300" simplePos="0" relativeHeight="251659264" behindDoc="0" locked="0" layoutInCell="1" allowOverlap="1" wp14:anchorId="3921F9DC" wp14:editId="677B2E2F">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2D62E65" w14:textId="78BFBA8F" w:rsidR="00C878F1" w:rsidRPr="003B746C" w:rsidRDefault="00EC2D71" w:rsidP="00EC2D71">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C878F1" w:rsidRPr="003B746C">
                              <w:rPr>
                                <w:rFonts w:cs="Arial"/>
                                <w:sz w:val="18"/>
                                <w:szCs w:val="20"/>
                              </w:rPr>
                              <w:t xml:space="preserve">REPORTABLE: </w:t>
                            </w:r>
                            <w:r w:rsidR="00C878F1" w:rsidRPr="00C95918">
                              <w:rPr>
                                <w:rFonts w:cs="Arial"/>
                                <w:sz w:val="18"/>
                                <w:szCs w:val="20"/>
                              </w:rPr>
                              <w:t>YES / NO</w:t>
                            </w:r>
                          </w:p>
                          <w:p w14:paraId="6DBE8964" w14:textId="25102DF4" w:rsidR="00C878F1" w:rsidRPr="003B746C" w:rsidRDefault="00EC2D71" w:rsidP="00EC2D71">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C878F1" w:rsidRPr="003B746C">
                              <w:rPr>
                                <w:rFonts w:cs="Arial"/>
                                <w:sz w:val="18"/>
                                <w:szCs w:val="20"/>
                              </w:rPr>
                              <w:t xml:space="preserve">OF INTEREST TO OTHER JUDGES: </w:t>
                            </w:r>
                            <w:r w:rsidR="00C878F1" w:rsidRPr="00C95918">
                              <w:rPr>
                                <w:rFonts w:cs="Arial"/>
                                <w:sz w:val="18"/>
                                <w:szCs w:val="20"/>
                              </w:rPr>
                              <w:t>YES/NO</w:t>
                            </w:r>
                          </w:p>
                          <w:p w14:paraId="41A9C415" w14:textId="3E5A30D5" w:rsidR="00C878F1" w:rsidRDefault="00EC2D71" w:rsidP="00EC2D71">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C878F1" w:rsidRPr="003B746C">
                              <w:rPr>
                                <w:rFonts w:cs="Arial"/>
                                <w:sz w:val="18"/>
                                <w:szCs w:val="20"/>
                              </w:rPr>
                              <w:t xml:space="preserve">REVISED: </w:t>
                            </w:r>
                            <w:r w:rsidR="00C878F1" w:rsidRPr="00C95918">
                              <w:rPr>
                                <w:rFonts w:cs="Arial"/>
                                <w:sz w:val="18"/>
                                <w:szCs w:val="20"/>
                              </w:rPr>
                              <w:t>YES/NO</w:t>
                            </w:r>
                          </w:p>
                          <w:p w14:paraId="28D422B0" w14:textId="77777777" w:rsidR="00C878F1" w:rsidRPr="003B746C" w:rsidRDefault="00C878F1"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D43713B" w14:textId="77777777" w:rsidR="00C878F1" w:rsidRPr="003B746C" w:rsidRDefault="00C878F1"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1F9DC"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02D62E65" w14:textId="78BFBA8F" w:rsidR="00C878F1" w:rsidRPr="003B746C" w:rsidRDefault="00EC2D71" w:rsidP="00EC2D71">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C878F1" w:rsidRPr="003B746C">
                        <w:rPr>
                          <w:rFonts w:cs="Arial"/>
                          <w:sz w:val="18"/>
                          <w:szCs w:val="20"/>
                        </w:rPr>
                        <w:t xml:space="preserve">REPORTABLE: </w:t>
                      </w:r>
                      <w:r w:rsidR="00C878F1" w:rsidRPr="00C95918">
                        <w:rPr>
                          <w:rFonts w:cs="Arial"/>
                          <w:sz w:val="18"/>
                          <w:szCs w:val="20"/>
                        </w:rPr>
                        <w:t>YES / NO</w:t>
                      </w:r>
                    </w:p>
                    <w:p w14:paraId="6DBE8964" w14:textId="25102DF4" w:rsidR="00C878F1" w:rsidRPr="003B746C" w:rsidRDefault="00EC2D71" w:rsidP="00EC2D71">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C878F1" w:rsidRPr="003B746C">
                        <w:rPr>
                          <w:rFonts w:cs="Arial"/>
                          <w:sz w:val="18"/>
                          <w:szCs w:val="20"/>
                        </w:rPr>
                        <w:t xml:space="preserve">OF INTEREST TO OTHER JUDGES: </w:t>
                      </w:r>
                      <w:r w:rsidR="00C878F1" w:rsidRPr="00C95918">
                        <w:rPr>
                          <w:rFonts w:cs="Arial"/>
                          <w:sz w:val="18"/>
                          <w:szCs w:val="20"/>
                        </w:rPr>
                        <w:t>YES/NO</w:t>
                      </w:r>
                    </w:p>
                    <w:p w14:paraId="41A9C415" w14:textId="3E5A30D5" w:rsidR="00C878F1" w:rsidRDefault="00EC2D71" w:rsidP="00EC2D71">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C878F1" w:rsidRPr="003B746C">
                        <w:rPr>
                          <w:rFonts w:cs="Arial"/>
                          <w:sz w:val="18"/>
                          <w:szCs w:val="20"/>
                        </w:rPr>
                        <w:t xml:space="preserve">REVISED: </w:t>
                      </w:r>
                      <w:r w:rsidR="00C878F1" w:rsidRPr="00C95918">
                        <w:rPr>
                          <w:rFonts w:cs="Arial"/>
                          <w:sz w:val="18"/>
                          <w:szCs w:val="20"/>
                        </w:rPr>
                        <w:t>YES/NO</w:t>
                      </w:r>
                    </w:p>
                    <w:p w14:paraId="28D422B0" w14:textId="77777777" w:rsidR="00C878F1" w:rsidRPr="003B746C" w:rsidRDefault="00C878F1"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D43713B" w14:textId="77777777" w:rsidR="00C878F1" w:rsidRPr="003B746C" w:rsidRDefault="00C878F1"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0BBD86A5" w14:textId="77777777" w:rsidR="007B7F59" w:rsidRPr="004678AD" w:rsidRDefault="007B7F59" w:rsidP="004678AD">
      <w:pPr>
        <w:tabs>
          <w:tab w:val="left" w:pos="8998"/>
        </w:tabs>
        <w:spacing w:after="0"/>
        <w:ind w:left="0"/>
        <w:rPr>
          <w:rFonts w:eastAsia="Times New Roman" w:cs="Arial"/>
          <w:color w:val="000000" w:themeColor="text1"/>
          <w:szCs w:val="24"/>
          <w:lang w:val="en-ZA"/>
        </w:rPr>
      </w:pPr>
    </w:p>
    <w:p w14:paraId="00E32B75" w14:textId="77777777" w:rsidR="007B7F59" w:rsidRPr="004678AD" w:rsidRDefault="007B7F59" w:rsidP="004678AD">
      <w:pPr>
        <w:tabs>
          <w:tab w:val="left" w:pos="8998"/>
        </w:tabs>
        <w:spacing w:after="0"/>
        <w:ind w:left="0"/>
        <w:rPr>
          <w:rFonts w:eastAsia="Times New Roman" w:cs="Arial"/>
          <w:color w:val="000000" w:themeColor="text1"/>
          <w:szCs w:val="24"/>
          <w:lang w:val="en-ZA"/>
        </w:rPr>
      </w:pPr>
    </w:p>
    <w:p w14:paraId="2606CDDE" w14:textId="77777777" w:rsidR="007B7F59" w:rsidRPr="004678AD" w:rsidRDefault="007B7F59" w:rsidP="004678AD">
      <w:pPr>
        <w:tabs>
          <w:tab w:val="left" w:pos="8998"/>
        </w:tabs>
        <w:spacing w:after="0"/>
        <w:ind w:left="0"/>
        <w:rPr>
          <w:rFonts w:eastAsia="Times New Roman" w:cs="Arial"/>
          <w:color w:val="000000" w:themeColor="text1"/>
          <w:szCs w:val="24"/>
          <w:lang w:val="en-ZA"/>
        </w:rPr>
      </w:pPr>
      <w:r w:rsidRPr="004678AD">
        <w:rPr>
          <w:rFonts w:eastAsia="Times New Roman" w:cs="Arial"/>
          <w:color w:val="000000" w:themeColor="text1"/>
          <w:szCs w:val="24"/>
          <w:lang w:val="en-ZA"/>
        </w:rPr>
        <w:t>In the matter between:</w:t>
      </w:r>
    </w:p>
    <w:p w14:paraId="6A2EC731" w14:textId="77777777" w:rsidR="007B7F59" w:rsidRPr="004678AD" w:rsidRDefault="007B7F59" w:rsidP="004678AD">
      <w:pPr>
        <w:tabs>
          <w:tab w:val="right" w:pos="9029"/>
        </w:tabs>
        <w:spacing w:after="0"/>
        <w:ind w:left="0"/>
        <w:contextualSpacing/>
        <w:rPr>
          <w:rFonts w:eastAsia="Times New Roman" w:cs="Arial"/>
          <w:b/>
          <w:color w:val="000000" w:themeColor="text1"/>
          <w:szCs w:val="24"/>
          <w:lang w:val="en-ZA"/>
        </w:rPr>
      </w:pPr>
    </w:p>
    <w:p w14:paraId="1F9C92D2" w14:textId="77777777" w:rsidR="007B7F59" w:rsidRPr="004678AD" w:rsidRDefault="007B7F59" w:rsidP="004678AD">
      <w:pPr>
        <w:tabs>
          <w:tab w:val="right" w:pos="9029"/>
        </w:tabs>
        <w:spacing w:after="0"/>
        <w:ind w:left="0"/>
        <w:contextualSpacing/>
        <w:rPr>
          <w:rFonts w:eastAsia="Times New Roman" w:cs="Arial"/>
          <w:color w:val="000000" w:themeColor="text1"/>
          <w:szCs w:val="24"/>
          <w:lang w:val="en-ZA"/>
        </w:rPr>
      </w:pPr>
      <w:r w:rsidRPr="004678AD">
        <w:rPr>
          <w:rFonts w:eastAsia="Times New Roman" w:cs="Arial"/>
          <w:color w:val="000000" w:themeColor="text1"/>
          <w:szCs w:val="24"/>
          <w:lang w:val="en-ZA"/>
        </w:rPr>
        <w:t>In the matter between:</w:t>
      </w:r>
    </w:p>
    <w:p w14:paraId="54B94AF8" w14:textId="77777777" w:rsidR="007B7F59" w:rsidRPr="004678AD" w:rsidRDefault="007B7F59" w:rsidP="004678AD">
      <w:pPr>
        <w:tabs>
          <w:tab w:val="right" w:pos="9029"/>
        </w:tabs>
        <w:spacing w:after="0"/>
        <w:ind w:left="0"/>
        <w:contextualSpacing/>
        <w:rPr>
          <w:rFonts w:eastAsia="Times New Roman" w:cs="Arial"/>
          <w:b/>
          <w:color w:val="000000" w:themeColor="text1"/>
          <w:szCs w:val="24"/>
          <w:lang w:val="en-ZA"/>
        </w:rPr>
      </w:pPr>
    </w:p>
    <w:p w14:paraId="637DED46" w14:textId="77777777" w:rsidR="007B7F59" w:rsidRPr="004678AD" w:rsidRDefault="007B7F59" w:rsidP="004678AD">
      <w:pPr>
        <w:tabs>
          <w:tab w:val="right" w:pos="9029"/>
        </w:tabs>
        <w:spacing w:after="0"/>
        <w:ind w:left="0"/>
        <w:contextualSpacing/>
        <w:rPr>
          <w:rFonts w:eastAsia="Times New Roman" w:cs="Arial"/>
          <w:b/>
          <w:color w:val="000000" w:themeColor="text1"/>
          <w:szCs w:val="24"/>
          <w:lang w:val="en-ZA"/>
        </w:rPr>
      </w:pPr>
    </w:p>
    <w:p w14:paraId="710486D2" w14:textId="77777777" w:rsidR="00DF21A4" w:rsidRPr="004678AD" w:rsidRDefault="00A365C6" w:rsidP="004678AD">
      <w:pPr>
        <w:tabs>
          <w:tab w:val="right" w:pos="9029"/>
        </w:tabs>
        <w:spacing w:after="0"/>
        <w:ind w:left="0"/>
        <w:contextualSpacing/>
        <w:rPr>
          <w:rFonts w:eastAsia="Times New Roman" w:cs="Arial"/>
          <w:b/>
          <w:color w:val="000000" w:themeColor="text1"/>
          <w:kern w:val="28"/>
          <w:szCs w:val="24"/>
          <w:lang w:eastAsia="en-GB"/>
        </w:rPr>
      </w:pPr>
      <w:r w:rsidRPr="004678AD">
        <w:rPr>
          <w:rFonts w:eastAsia="Times New Roman" w:cs="Arial"/>
          <w:b/>
          <w:color w:val="000000" w:themeColor="text1"/>
          <w:kern w:val="28"/>
          <w:szCs w:val="24"/>
          <w:lang w:eastAsia="en-GB"/>
        </w:rPr>
        <w:t>KEKANA, TSHEGOFATSO obo</w:t>
      </w:r>
    </w:p>
    <w:p w14:paraId="55B511CF" w14:textId="2DC24EEB" w:rsidR="007B7F59" w:rsidRPr="004678AD" w:rsidRDefault="007A04F8" w:rsidP="004678AD">
      <w:pPr>
        <w:tabs>
          <w:tab w:val="right" w:pos="9029"/>
        </w:tabs>
        <w:spacing w:after="0"/>
        <w:ind w:left="0"/>
        <w:contextualSpacing/>
        <w:rPr>
          <w:rFonts w:eastAsia="Times New Roman" w:cs="Arial"/>
          <w:color w:val="000000" w:themeColor="text1"/>
          <w:szCs w:val="24"/>
          <w:lang w:val="en-ZA"/>
        </w:rPr>
      </w:pPr>
      <w:r>
        <w:rPr>
          <w:rFonts w:eastAsia="Times New Roman" w:cs="Arial"/>
          <w:b/>
          <w:color w:val="000000" w:themeColor="text1"/>
          <w:szCs w:val="24"/>
        </w:rPr>
        <w:t>M, M L</w:t>
      </w:r>
      <w:r w:rsidR="007B7F59" w:rsidRPr="004678AD">
        <w:rPr>
          <w:rFonts w:eastAsia="Times New Roman" w:cs="Arial"/>
          <w:b/>
          <w:color w:val="000000" w:themeColor="text1"/>
          <w:szCs w:val="24"/>
          <w:lang w:val="en-ZA"/>
        </w:rPr>
        <w:tab/>
      </w:r>
      <w:r w:rsidR="00DF21A4" w:rsidRPr="004678AD">
        <w:rPr>
          <w:rFonts w:eastAsia="Times New Roman" w:cs="Arial"/>
          <w:color w:val="000000" w:themeColor="text1"/>
          <w:szCs w:val="24"/>
          <w:lang w:val="en-ZA"/>
        </w:rPr>
        <w:t>Plaintiff</w:t>
      </w:r>
    </w:p>
    <w:p w14:paraId="1E792537" w14:textId="77777777" w:rsidR="007B7F59" w:rsidRPr="004678AD" w:rsidRDefault="007B7F59" w:rsidP="004678AD">
      <w:pPr>
        <w:tabs>
          <w:tab w:val="right" w:pos="9029"/>
        </w:tabs>
        <w:spacing w:after="0"/>
        <w:ind w:left="0"/>
        <w:contextualSpacing/>
        <w:rPr>
          <w:rFonts w:eastAsia="Times New Roman" w:cs="Arial"/>
          <w:color w:val="000000" w:themeColor="text1"/>
          <w:szCs w:val="24"/>
          <w:lang w:val="en-ZA"/>
        </w:rPr>
      </w:pPr>
    </w:p>
    <w:p w14:paraId="289581DA" w14:textId="77777777" w:rsidR="007B7F59" w:rsidRPr="004678AD" w:rsidRDefault="007B7F59" w:rsidP="004678AD">
      <w:pPr>
        <w:tabs>
          <w:tab w:val="right" w:pos="9029"/>
        </w:tabs>
        <w:spacing w:after="0"/>
        <w:ind w:left="0"/>
        <w:contextualSpacing/>
        <w:rPr>
          <w:rFonts w:eastAsia="Times New Roman" w:cs="Arial"/>
          <w:color w:val="000000" w:themeColor="text1"/>
          <w:szCs w:val="24"/>
          <w:lang w:val="en-ZA"/>
        </w:rPr>
      </w:pPr>
    </w:p>
    <w:p w14:paraId="0AA35DFE" w14:textId="77777777" w:rsidR="007B7F59" w:rsidRPr="004678AD" w:rsidRDefault="007B7F59" w:rsidP="004678AD">
      <w:pPr>
        <w:tabs>
          <w:tab w:val="right" w:pos="9029"/>
        </w:tabs>
        <w:spacing w:after="0"/>
        <w:ind w:left="0"/>
        <w:contextualSpacing/>
        <w:rPr>
          <w:rFonts w:eastAsia="Times New Roman" w:cs="Arial"/>
          <w:color w:val="000000" w:themeColor="text1"/>
          <w:szCs w:val="24"/>
          <w:lang w:val="en-ZA"/>
        </w:rPr>
      </w:pPr>
      <w:r w:rsidRPr="004678AD">
        <w:rPr>
          <w:rFonts w:eastAsia="Times New Roman" w:cs="Arial"/>
          <w:color w:val="000000" w:themeColor="text1"/>
          <w:szCs w:val="24"/>
          <w:lang w:val="en-ZA"/>
        </w:rPr>
        <w:t>and</w:t>
      </w:r>
    </w:p>
    <w:p w14:paraId="38598BED" w14:textId="77777777" w:rsidR="007B7F59" w:rsidRPr="004678AD" w:rsidRDefault="007B7F59" w:rsidP="004678AD">
      <w:pPr>
        <w:tabs>
          <w:tab w:val="right" w:pos="9029"/>
        </w:tabs>
        <w:spacing w:after="0"/>
        <w:ind w:left="0"/>
        <w:contextualSpacing/>
        <w:rPr>
          <w:rFonts w:eastAsia="Times New Roman" w:cs="Arial"/>
          <w:color w:val="000000" w:themeColor="text1"/>
          <w:szCs w:val="24"/>
          <w:lang w:val="en-ZA"/>
        </w:rPr>
      </w:pPr>
    </w:p>
    <w:p w14:paraId="5E59D4D8" w14:textId="08433F92" w:rsidR="00962CCE" w:rsidRDefault="00DF21A4" w:rsidP="004678AD">
      <w:pPr>
        <w:tabs>
          <w:tab w:val="right" w:pos="9029"/>
        </w:tabs>
        <w:spacing w:after="0"/>
        <w:ind w:left="0"/>
        <w:contextualSpacing/>
        <w:rPr>
          <w:rFonts w:eastAsia="Times New Roman" w:cs="Arial"/>
          <w:color w:val="000000" w:themeColor="text1"/>
          <w:szCs w:val="24"/>
          <w:lang w:val="en-ZA"/>
        </w:rPr>
      </w:pPr>
      <w:r w:rsidRPr="004678AD">
        <w:rPr>
          <w:rFonts w:cs="Arial"/>
          <w:b/>
          <w:color w:val="000000" w:themeColor="text1"/>
          <w:szCs w:val="24"/>
        </w:rPr>
        <w:t>ROAD ACCIDENT FUND</w:t>
      </w:r>
      <w:r w:rsidR="007B7F59" w:rsidRPr="004678AD">
        <w:rPr>
          <w:rFonts w:cs="Arial"/>
          <w:b/>
          <w:color w:val="000000" w:themeColor="text1"/>
          <w:szCs w:val="24"/>
          <w:lang w:val="en-ZA"/>
        </w:rPr>
        <w:tab/>
      </w:r>
      <w:r w:rsidRPr="004678AD">
        <w:rPr>
          <w:rFonts w:eastAsia="Times New Roman" w:cs="Arial"/>
          <w:color w:val="000000" w:themeColor="text1"/>
          <w:szCs w:val="24"/>
          <w:lang w:val="en-ZA"/>
        </w:rPr>
        <w:t>Defendant</w:t>
      </w:r>
    </w:p>
    <w:p w14:paraId="16EA7AE4" w14:textId="77777777" w:rsidR="004678AD" w:rsidRPr="004678AD" w:rsidRDefault="004678AD" w:rsidP="004678AD">
      <w:pPr>
        <w:tabs>
          <w:tab w:val="right" w:pos="9029"/>
        </w:tabs>
        <w:spacing w:after="0"/>
        <w:ind w:left="0"/>
        <w:contextualSpacing/>
        <w:rPr>
          <w:rFonts w:eastAsia="Times New Roman" w:cs="Arial"/>
          <w:color w:val="000000" w:themeColor="text1"/>
          <w:szCs w:val="24"/>
          <w:lang w:val="en-ZA"/>
        </w:rPr>
      </w:pPr>
    </w:p>
    <w:p w14:paraId="374742D4" w14:textId="5B40AE7C" w:rsidR="007B7F59" w:rsidRPr="004678AD" w:rsidRDefault="004678AD" w:rsidP="004678AD">
      <w:pPr>
        <w:pBdr>
          <w:bottom w:val="single" w:sz="12" w:space="1" w:color="auto"/>
        </w:pBdr>
        <w:spacing w:after="0"/>
        <w:ind w:left="0"/>
        <w:jc w:val="left"/>
        <w:rPr>
          <w:rFonts w:cs="Arial"/>
          <w:color w:val="000000" w:themeColor="text1"/>
          <w:szCs w:val="24"/>
          <w:lang w:val="en-ZA"/>
        </w:rPr>
      </w:pPr>
      <w:r w:rsidRPr="004678AD">
        <w:rPr>
          <w:rFonts w:cs="Arial"/>
          <w:b/>
          <w:color w:val="000000" w:themeColor="text1"/>
          <w:szCs w:val="24"/>
          <w:lang w:val="en-ZA"/>
        </w:rPr>
        <w:t>Neutral Citation:</w:t>
      </w:r>
      <w:r>
        <w:rPr>
          <w:rFonts w:cs="Arial"/>
          <w:color w:val="000000" w:themeColor="text1"/>
          <w:szCs w:val="24"/>
          <w:lang w:val="en-ZA"/>
        </w:rPr>
        <w:t xml:space="preserve"> </w:t>
      </w:r>
      <w:r w:rsidRPr="004678AD">
        <w:rPr>
          <w:rFonts w:cs="Arial"/>
          <w:i/>
          <w:color w:val="000000" w:themeColor="text1"/>
          <w:szCs w:val="24"/>
          <w:lang w:val="en-ZA"/>
        </w:rPr>
        <w:t>K</w:t>
      </w:r>
      <w:r w:rsidR="00AC110C">
        <w:rPr>
          <w:rFonts w:cs="Arial"/>
          <w:i/>
          <w:color w:val="000000" w:themeColor="text1"/>
          <w:szCs w:val="24"/>
          <w:lang w:val="en-ZA"/>
        </w:rPr>
        <w:t>ekana Tshegofatso obo M M L</w:t>
      </w:r>
      <w:r w:rsidRPr="004678AD">
        <w:rPr>
          <w:rFonts w:cs="Arial"/>
          <w:i/>
          <w:color w:val="000000" w:themeColor="text1"/>
          <w:szCs w:val="24"/>
          <w:lang w:val="en-ZA"/>
        </w:rPr>
        <w:t xml:space="preserve"> Vs. Road Accident Fund</w:t>
      </w:r>
      <w:r>
        <w:rPr>
          <w:rFonts w:cs="Arial"/>
          <w:i/>
          <w:color w:val="000000" w:themeColor="text1"/>
          <w:szCs w:val="24"/>
          <w:lang w:val="en-ZA"/>
        </w:rPr>
        <w:t xml:space="preserve"> </w:t>
      </w:r>
      <w:r w:rsidRPr="004678AD">
        <w:rPr>
          <w:rFonts w:cs="Arial"/>
          <w:i/>
          <w:color w:val="000000" w:themeColor="text1"/>
          <w:szCs w:val="24"/>
          <w:lang w:val="en-ZA"/>
        </w:rPr>
        <w:t>(</w:t>
      </w:r>
      <w:r w:rsidRPr="004678AD">
        <w:rPr>
          <w:rFonts w:cs="Arial"/>
          <w:color w:val="000000" w:themeColor="text1"/>
          <w:szCs w:val="24"/>
          <w:lang w:val="en-ZA"/>
        </w:rPr>
        <w:t>Case No: 2019/26724) [2023] ZAGPJHC</w:t>
      </w:r>
      <w:r w:rsidR="00231896">
        <w:rPr>
          <w:rFonts w:cs="Arial"/>
          <w:color w:val="000000" w:themeColor="text1"/>
          <w:szCs w:val="24"/>
          <w:lang w:val="en-ZA"/>
        </w:rPr>
        <w:t xml:space="preserve"> 495</w:t>
      </w:r>
      <w:r w:rsidRPr="004678AD">
        <w:rPr>
          <w:rFonts w:cs="Arial"/>
          <w:color w:val="000000" w:themeColor="text1"/>
          <w:szCs w:val="24"/>
          <w:lang w:val="en-ZA"/>
        </w:rPr>
        <w:t xml:space="preserve"> (</w:t>
      </w:r>
      <w:r>
        <w:rPr>
          <w:rFonts w:cs="Arial"/>
          <w:color w:val="000000" w:themeColor="text1"/>
          <w:szCs w:val="24"/>
          <w:lang w:val="en-ZA"/>
        </w:rPr>
        <w:t>16</w:t>
      </w:r>
      <w:r w:rsidRPr="004678AD">
        <w:rPr>
          <w:rFonts w:cs="Arial"/>
          <w:color w:val="000000" w:themeColor="text1"/>
          <w:szCs w:val="24"/>
          <w:lang w:val="en-ZA"/>
        </w:rPr>
        <w:t xml:space="preserve"> May 2023)</w:t>
      </w:r>
    </w:p>
    <w:p w14:paraId="43DB891F" w14:textId="77777777" w:rsidR="007B7F59" w:rsidRPr="004678AD" w:rsidRDefault="007B7F59" w:rsidP="004678AD">
      <w:pPr>
        <w:spacing w:after="0"/>
        <w:ind w:left="1440" w:hanging="1440"/>
        <w:jc w:val="left"/>
        <w:rPr>
          <w:rFonts w:cs="Arial"/>
          <w:b/>
          <w:color w:val="000000" w:themeColor="text1"/>
          <w:szCs w:val="24"/>
        </w:rPr>
      </w:pPr>
    </w:p>
    <w:p w14:paraId="58283663" w14:textId="77777777" w:rsidR="007B7F59" w:rsidRPr="004678AD" w:rsidRDefault="007B7F59" w:rsidP="004678AD">
      <w:pPr>
        <w:pBdr>
          <w:bottom w:val="single" w:sz="12" w:space="1" w:color="auto"/>
        </w:pBdr>
        <w:ind w:left="0"/>
        <w:jc w:val="center"/>
        <w:rPr>
          <w:rFonts w:cs="Arial"/>
          <w:b/>
          <w:color w:val="000000" w:themeColor="text1"/>
          <w:szCs w:val="24"/>
          <w:lang w:val="en-ZA"/>
        </w:rPr>
      </w:pPr>
      <w:r w:rsidRPr="004678AD">
        <w:rPr>
          <w:rFonts w:cs="Arial"/>
          <w:b/>
          <w:color w:val="000000" w:themeColor="text1"/>
          <w:szCs w:val="24"/>
          <w:lang w:val="en-ZA"/>
        </w:rPr>
        <w:t>JUDGMENT</w:t>
      </w:r>
    </w:p>
    <w:p w14:paraId="19BB62C9" w14:textId="77777777" w:rsidR="00AC4940" w:rsidRPr="004678AD" w:rsidRDefault="00DF21A4" w:rsidP="004678AD">
      <w:pPr>
        <w:spacing w:after="0"/>
        <w:ind w:left="0"/>
        <w:jc w:val="left"/>
        <w:rPr>
          <w:rFonts w:cs="Arial"/>
          <w:b/>
          <w:color w:val="000000" w:themeColor="text1"/>
          <w:szCs w:val="24"/>
        </w:rPr>
      </w:pPr>
      <w:r w:rsidRPr="004678AD">
        <w:rPr>
          <w:rFonts w:cs="Arial"/>
          <w:b/>
          <w:color w:val="000000" w:themeColor="text1"/>
          <w:szCs w:val="24"/>
        </w:rPr>
        <w:t>MAYET</w:t>
      </w:r>
      <w:r w:rsidR="00EE5E65" w:rsidRPr="004678AD">
        <w:rPr>
          <w:rFonts w:cs="Arial"/>
          <w:b/>
          <w:color w:val="000000" w:themeColor="text1"/>
          <w:szCs w:val="24"/>
        </w:rPr>
        <w:t xml:space="preserve">, </w:t>
      </w:r>
      <w:r w:rsidR="00FB36F8" w:rsidRPr="004678AD">
        <w:rPr>
          <w:rFonts w:cs="Arial"/>
          <w:b/>
          <w:color w:val="000000" w:themeColor="text1"/>
          <w:szCs w:val="24"/>
        </w:rPr>
        <w:t>A</w:t>
      </w:r>
      <w:r w:rsidR="00AC4940" w:rsidRPr="004678AD">
        <w:rPr>
          <w:rFonts w:cs="Arial"/>
          <w:b/>
          <w:color w:val="000000" w:themeColor="text1"/>
          <w:szCs w:val="24"/>
        </w:rPr>
        <w:t>J:</w:t>
      </w:r>
    </w:p>
    <w:p w14:paraId="44C9854C" w14:textId="77777777" w:rsidR="007B7F59" w:rsidRPr="004678AD" w:rsidRDefault="007B7F59" w:rsidP="004678AD">
      <w:pPr>
        <w:spacing w:after="0"/>
        <w:ind w:left="0"/>
        <w:jc w:val="left"/>
        <w:rPr>
          <w:rFonts w:cs="Arial"/>
          <w:color w:val="000000" w:themeColor="text1"/>
          <w:szCs w:val="24"/>
        </w:rPr>
      </w:pPr>
    </w:p>
    <w:p w14:paraId="020B8B01" w14:textId="77777777" w:rsidR="00794DCB" w:rsidRPr="004678AD" w:rsidRDefault="008C6630" w:rsidP="004678AD">
      <w:pPr>
        <w:pStyle w:val="JudgmentHeading"/>
        <w:rPr>
          <w:color w:val="000000" w:themeColor="text1"/>
          <w:szCs w:val="24"/>
        </w:rPr>
      </w:pPr>
      <w:r w:rsidRPr="004678AD">
        <w:rPr>
          <w:color w:val="000000" w:themeColor="text1"/>
          <w:szCs w:val="24"/>
        </w:rPr>
        <w:t>Introduction</w:t>
      </w:r>
    </w:p>
    <w:p w14:paraId="0FE06967" w14:textId="0252D24B"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w:t>
      </w:r>
      <w:r w:rsidRPr="004678AD">
        <w:rPr>
          <w:color w:val="000000" w:themeColor="text1"/>
          <w:szCs w:val="24"/>
        </w:rPr>
        <w:tab/>
      </w:r>
      <w:r w:rsidR="000A687E" w:rsidRPr="004678AD">
        <w:rPr>
          <w:color w:val="000000" w:themeColor="text1"/>
          <w:szCs w:val="24"/>
        </w:rPr>
        <w:t xml:space="preserve">This is an action for loss of support arising </w:t>
      </w:r>
      <w:r w:rsidR="0068671C" w:rsidRPr="004678AD">
        <w:rPr>
          <w:color w:val="000000" w:themeColor="text1"/>
          <w:szCs w:val="24"/>
        </w:rPr>
        <w:t>from</w:t>
      </w:r>
      <w:r w:rsidR="000A687E" w:rsidRPr="004678AD">
        <w:rPr>
          <w:color w:val="000000" w:themeColor="text1"/>
          <w:szCs w:val="24"/>
        </w:rPr>
        <w:t xml:space="preserve"> a motor vehicle collision </w:t>
      </w:r>
      <w:r w:rsidR="009A0115" w:rsidRPr="004678AD">
        <w:rPr>
          <w:color w:val="000000" w:themeColor="text1"/>
          <w:szCs w:val="24"/>
        </w:rPr>
        <w:t xml:space="preserve">which occurred on 29 June 2017 </w:t>
      </w:r>
      <w:r w:rsidR="00CD634E" w:rsidRPr="004678AD">
        <w:rPr>
          <w:color w:val="000000" w:themeColor="text1"/>
          <w:szCs w:val="24"/>
        </w:rPr>
        <w:t>at</w:t>
      </w:r>
      <w:r w:rsidR="000A687E" w:rsidRPr="004678AD">
        <w:rPr>
          <w:color w:val="000000" w:themeColor="text1"/>
          <w:szCs w:val="24"/>
        </w:rPr>
        <w:t xml:space="preserve"> Bophuthatswana </w:t>
      </w:r>
      <w:r w:rsidR="00F409D7" w:rsidRPr="004678AD">
        <w:rPr>
          <w:color w:val="000000" w:themeColor="text1"/>
          <w:szCs w:val="24"/>
        </w:rPr>
        <w:t>R</w:t>
      </w:r>
      <w:r w:rsidR="000A687E" w:rsidRPr="004678AD">
        <w:rPr>
          <w:color w:val="000000" w:themeColor="text1"/>
          <w:szCs w:val="24"/>
        </w:rPr>
        <w:t>oad, Meriting near Rustenburg between a</w:t>
      </w:r>
      <w:r w:rsidR="00DC6BF5" w:rsidRPr="004678AD">
        <w:rPr>
          <w:color w:val="000000" w:themeColor="text1"/>
          <w:szCs w:val="24"/>
        </w:rPr>
        <w:t>n</w:t>
      </w:r>
      <w:r w:rsidR="000A687E" w:rsidRPr="004678AD">
        <w:rPr>
          <w:color w:val="000000" w:themeColor="text1"/>
          <w:szCs w:val="24"/>
        </w:rPr>
        <w:t xml:space="preserve"> articulated truck w</w:t>
      </w:r>
      <w:r w:rsidR="00AC110C">
        <w:rPr>
          <w:color w:val="000000" w:themeColor="text1"/>
          <w:szCs w:val="24"/>
        </w:rPr>
        <w:t>ith registration number[…]</w:t>
      </w:r>
      <w:r w:rsidR="000A687E" w:rsidRPr="004678AD">
        <w:rPr>
          <w:color w:val="000000" w:themeColor="text1"/>
          <w:szCs w:val="24"/>
        </w:rPr>
        <w:t xml:space="preserve"> (“the insured driver”) and a Nissan 1400 </w:t>
      </w:r>
      <w:r w:rsidR="00F347B7" w:rsidRPr="004678AD">
        <w:rPr>
          <w:color w:val="000000" w:themeColor="text1"/>
          <w:szCs w:val="24"/>
        </w:rPr>
        <w:t>light duty vehicle</w:t>
      </w:r>
      <w:r w:rsidR="00DA663E" w:rsidRPr="004678AD">
        <w:rPr>
          <w:color w:val="000000" w:themeColor="text1"/>
          <w:szCs w:val="24"/>
        </w:rPr>
        <w:t xml:space="preserve"> wi</w:t>
      </w:r>
      <w:r w:rsidR="00AC110C">
        <w:rPr>
          <w:color w:val="000000" w:themeColor="text1"/>
          <w:szCs w:val="24"/>
        </w:rPr>
        <w:t>th registration number […]</w:t>
      </w:r>
      <w:r w:rsidR="000A687E" w:rsidRPr="004678AD">
        <w:rPr>
          <w:color w:val="000000" w:themeColor="text1"/>
          <w:szCs w:val="24"/>
        </w:rPr>
        <w:t xml:space="preserve"> driven by Mr Kenny Thomas Motshwaede (“the deceased</w:t>
      </w:r>
      <w:r w:rsidR="001C51AB" w:rsidRPr="004678AD">
        <w:rPr>
          <w:color w:val="000000" w:themeColor="text1"/>
          <w:szCs w:val="24"/>
        </w:rPr>
        <w:t>”</w:t>
      </w:r>
      <w:r w:rsidR="00FC5897" w:rsidRPr="004678AD">
        <w:rPr>
          <w:color w:val="000000" w:themeColor="text1"/>
          <w:szCs w:val="24"/>
        </w:rPr>
        <w:t>)</w:t>
      </w:r>
      <w:r w:rsidR="000A687E" w:rsidRPr="004678AD">
        <w:rPr>
          <w:color w:val="000000" w:themeColor="text1"/>
          <w:szCs w:val="24"/>
        </w:rPr>
        <w:t>.</w:t>
      </w:r>
      <w:r w:rsidR="00CE458B" w:rsidRPr="004678AD">
        <w:rPr>
          <w:rStyle w:val="FootnoteReference"/>
          <w:color w:val="000000" w:themeColor="text1"/>
          <w:szCs w:val="24"/>
        </w:rPr>
        <w:footnoteReference w:id="1"/>
      </w:r>
    </w:p>
    <w:p w14:paraId="0458A31C" w14:textId="3AC06797" w:rsidR="005B651F"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[2]</w:t>
      </w:r>
      <w:r w:rsidRPr="004678AD">
        <w:rPr>
          <w:color w:val="000000" w:themeColor="text1"/>
          <w:szCs w:val="24"/>
        </w:rPr>
        <w:tab/>
      </w:r>
      <w:r w:rsidR="000A687E" w:rsidRPr="004678AD">
        <w:rPr>
          <w:color w:val="000000" w:themeColor="text1"/>
          <w:szCs w:val="24"/>
        </w:rPr>
        <w:t xml:space="preserve">The </w:t>
      </w:r>
      <w:r w:rsidR="00FD4BD5" w:rsidRPr="004678AD">
        <w:rPr>
          <w:color w:val="000000" w:themeColor="text1"/>
          <w:szCs w:val="24"/>
        </w:rPr>
        <w:t>p</w:t>
      </w:r>
      <w:r w:rsidR="000A687E" w:rsidRPr="004678AD">
        <w:rPr>
          <w:color w:val="000000" w:themeColor="text1"/>
          <w:szCs w:val="24"/>
        </w:rPr>
        <w:t xml:space="preserve">laintiff </w:t>
      </w:r>
      <w:r w:rsidR="00CA3FEB" w:rsidRPr="004678AD">
        <w:rPr>
          <w:color w:val="000000" w:themeColor="text1"/>
          <w:szCs w:val="24"/>
        </w:rPr>
        <w:t>lodged a claim</w:t>
      </w:r>
      <w:r w:rsidR="000A687E" w:rsidRPr="004678AD">
        <w:rPr>
          <w:color w:val="000000" w:themeColor="text1"/>
          <w:szCs w:val="24"/>
        </w:rPr>
        <w:t xml:space="preserve"> in terms of the Road Accident Fund Act 6 of 1996 (“the RAF Act”)</w:t>
      </w:r>
      <w:r w:rsidR="00F66F83" w:rsidRPr="004678AD">
        <w:rPr>
          <w:color w:val="000000" w:themeColor="text1"/>
          <w:szCs w:val="24"/>
        </w:rPr>
        <w:t xml:space="preserve"> i</w:t>
      </w:r>
      <w:r w:rsidR="000A687E" w:rsidRPr="004678AD">
        <w:rPr>
          <w:color w:val="000000" w:themeColor="text1"/>
          <w:szCs w:val="24"/>
        </w:rPr>
        <w:t>n h</w:t>
      </w:r>
      <w:bookmarkStart w:id="0" w:name="_GoBack"/>
      <w:bookmarkEnd w:id="0"/>
      <w:r w:rsidR="000A687E" w:rsidRPr="004678AD">
        <w:rPr>
          <w:color w:val="000000" w:themeColor="text1"/>
          <w:szCs w:val="24"/>
        </w:rPr>
        <w:t xml:space="preserve">er personal capacity as the deceased’s </w:t>
      </w:r>
      <w:r w:rsidR="00751A52" w:rsidRPr="004678AD">
        <w:rPr>
          <w:color w:val="000000" w:themeColor="text1"/>
          <w:szCs w:val="24"/>
        </w:rPr>
        <w:t xml:space="preserve">unmarried cohabiting </w:t>
      </w:r>
      <w:r w:rsidR="000A687E" w:rsidRPr="004678AD">
        <w:rPr>
          <w:color w:val="000000" w:themeColor="text1"/>
          <w:szCs w:val="24"/>
        </w:rPr>
        <w:t>partne</w:t>
      </w:r>
      <w:r w:rsidR="00751A52" w:rsidRPr="004678AD">
        <w:rPr>
          <w:color w:val="000000" w:themeColor="text1"/>
          <w:szCs w:val="24"/>
        </w:rPr>
        <w:t>r a</w:t>
      </w:r>
      <w:r w:rsidR="000A687E" w:rsidRPr="004678AD">
        <w:rPr>
          <w:color w:val="000000" w:themeColor="text1"/>
          <w:szCs w:val="24"/>
        </w:rPr>
        <w:t xml:space="preserve">s well as in her representative capacity, as </w:t>
      </w:r>
      <w:r w:rsidR="00430379" w:rsidRPr="004678AD">
        <w:rPr>
          <w:color w:val="000000" w:themeColor="text1"/>
          <w:szCs w:val="24"/>
        </w:rPr>
        <w:t xml:space="preserve">the </w:t>
      </w:r>
      <w:r w:rsidR="000A687E" w:rsidRPr="004678AD">
        <w:rPr>
          <w:color w:val="000000" w:themeColor="text1"/>
          <w:szCs w:val="24"/>
        </w:rPr>
        <w:t>biological mother and natural guardian of their minor child</w:t>
      </w:r>
      <w:r w:rsidR="004B7CFD" w:rsidRPr="004678AD">
        <w:rPr>
          <w:color w:val="000000" w:themeColor="text1"/>
          <w:szCs w:val="24"/>
        </w:rPr>
        <w:t xml:space="preserve"> </w:t>
      </w:r>
      <w:r w:rsidR="000A687E" w:rsidRPr="004678AD">
        <w:rPr>
          <w:color w:val="000000" w:themeColor="text1"/>
          <w:szCs w:val="24"/>
        </w:rPr>
        <w:t>(“the minor child”).</w:t>
      </w:r>
      <w:r w:rsidR="000A687E" w:rsidRPr="004678AD">
        <w:rPr>
          <w:color w:val="000000" w:themeColor="text1"/>
          <w:szCs w:val="24"/>
          <w:vertAlign w:val="superscript"/>
        </w:rPr>
        <w:footnoteReference w:id="2"/>
      </w:r>
      <w:r w:rsidR="000A687E" w:rsidRPr="004678AD">
        <w:rPr>
          <w:color w:val="000000" w:themeColor="text1"/>
          <w:szCs w:val="24"/>
        </w:rPr>
        <w:t xml:space="preserve">  </w:t>
      </w:r>
    </w:p>
    <w:p w14:paraId="2F384533" w14:textId="13623CBA"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w:t>
      </w:r>
      <w:r w:rsidRPr="004678AD">
        <w:rPr>
          <w:color w:val="000000" w:themeColor="text1"/>
          <w:szCs w:val="24"/>
        </w:rPr>
        <w:tab/>
      </w:r>
      <w:r w:rsidR="005B651F" w:rsidRPr="004678AD">
        <w:rPr>
          <w:color w:val="000000" w:themeColor="text1"/>
          <w:szCs w:val="24"/>
        </w:rPr>
        <w:t xml:space="preserve">The defendant </w:t>
      </w:r>
      <w:r w:rsidR="005503ED" w:rsidRPr="004678AD">
        <w:rPr>
          <w:color w:val="000000" w:themeColor="text1"/>
          <w:szCs w:val="24"/>
        </w:rPr>
        <w:t>is the statutory body established in terms of</w:t>
      </w:r>
      <w:r w:rsidR="005B651F" w:rsidRPr="004678AD">
        <w:rPr>
          <w:color w:val="000000" w:themeColor="text1"/>
          <w:szCs w:val="24"/>
        </w:rPr>
        <w:t xml:space="preserve"> section 2 of the RAF Act</w:t>
      </w:r>
      <w:r w:rsidR="004A537E" w:rsidRPr="004678AD">
        <w:rPr>
          <w:color w:val="000000" w:themeColor="text1"/>
          <w:szCs w:val="24"/>
        </w:rPr>
        <w:t xml:space="preserve"> to administer the compensation fund</w:t>
      </w:r>
      <w:r w:rsidR="005B651F" w:rsidRPr="004678AD">
        <w:rPr>
          <w:color w:val="000000" w:themeColor="text1"/>
          <w:szCs w:val="24"/>
        </w:rPr>
        <w:t xml:space="preserve">.  </w:t>
      </w:r>
      <w:r w:rsidR="000A687E" w:rsidRPr="004678AD">
        <w:rPr>
          <w:color w:val="000000" w:themeColor="text1"/>
          <w:szCs w:val="24"/>
        </w:rPr>
        <w:t xml:space="preserve">The </w:t>
      </w:r>
      <w:r w:rsidR="00FD4BD5" w:rsidRPr="004678AD">
        <w:rPr>
          <w:color w:val="000000" w:themeColor="text1"/>
          <w:szCs w:val="24"/>
        </w:rPr>
        <w:t>d</w:t>
      </w:r>
      <w:r w:rsidR="000A687E" w:rsidRPr="004678AD">
        <w:rPr>
          <w:color w:val="000000" w:themeColor="text1"/>
          <w:szCs w:val="24"/>
        </w:rPr>
        <w:t>efendan</w:t>
      </w:r>
      <w:r w:rsidR="0059348A" w:rsidRPr="004678AD">
        <w:rPr>
          <w:color w:val="000000" w:themeColor="text1"/>
          <w:szCs w:val="24"/>
        </w:rPr>
        <w:t>t</w:t>
      </w:r>
      <w:r w:rsidR="004A537E" w:rsidRPr="004678AD">
        <w:rPr>
          <w:color w:val="000000" w:themeColor="text1"/>
          <w:szCs w:val="24"/>
        </w:rPr>
        <w:t xml:space="preserve"> </w:t>
      </w:r>
      <w:r w:rsidR="0059348A" w:rsidRPr="004678AD">
        <w:rPr>
          <w:color w:val="000000" w:themeColor="text1"/>
          <w:szCs w:val="24"/>
        </w:rPr>
        <w:t>e</w:t>
      </w:r>
      <w:r w:rsidR="000A687E" w:rsidRPr="004678AD">
        <w:rPr>
          <w:color w:val="000000" w:themeColor="text1"/>
          <w:szCs w:val="24"/>
        </w:rPr>
        <w:t>ntered an appearance to defend</w:t>
      </w:r>
      <w:r w:rsidR="0073204A" w:rsidRPr="004678AD">
        <w:rPr>
          <w:color w:val="000000" w:themeColor="text1"/>
          <w:szCs w:val="24"/>
        </w:rPr>
        <w:t xml:space="preserve"> and disputed</w:t>
      </w:r>
      <w:r w:rsidR="00D120BE" w:rsidRPr="004678AD">
        <w:rPr>
          <w:color w:val="000000" w:themeColor="text1"/>
          <w:szCs w:val="24"/>
        </w:rPr>
        <w:t xml:space="preserve"> </w:t>
      </w:r>
      <w:r w:rsidR="0073204A" w:rsidRPr="004678AD">
        <w:rPr>
          <w:color w:val="000000" w:themeColor="text1"/>
          <w:szCs w:val="24"/>
        </w:rPr>
        <w:t>b</w:t>
      </w:r>
      <w:r w:rsidR="000A687E" w:rsidRPr="004678AD">
        <w:rPr>
          <w:color w:val="000000" w:themeColor="text1"/>
          <w:szCs w:val="24"/>
        </w:rPr>
        <w:t>oth liability and the quantum</w:t>
      </w:r>
      <w:r w:rsidR="009A0063" w:rsidRPr="004678AD">
        <w:rPr>
          <w:color w:val="000000" w:themeColor="text1"/>
          <w:szCs w:val="24"/>
        </w:rPr>
        <w:t xml:space="preserve"> of the claim</w:t>
      </w:r>
      <w:r w:rsidR="000A687E" w:rsidRPr="004678AD">
        <w:rPr>
          <w:color w:val="000000" w:themeColor="text1"/>
          <w:szCs w:val="24"/>
        </w:rPr>
        <w:t>.</w:t>
      </w:r>
    </w:p>
    <w:p w14:paraId="2B81CF07" w14:textId="303F9C77" w:rsidR="00A66997"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w:t>
      </w:r>
      <w:r w:rsidRPr="004678AD">
        <w:rPr>
          <w:color w:val="000000" w:themeColor="text1"/>
          <w:szCs w:val="24"/>
        </w:rPr>
        <w:tab/>
      </w:r>
      <w:r w:rsidR="00A66997" w:rsidRPr="004678AD">
        <w:rPr>
          <w:color w:val="000000" w:themeColor="text1"/>
          <w:szCs w:val="24"/>
        </w:rPr>
        <w:t xml:space="preserve">At the commencement of the trial, liability was to be determined based on the evidence of a single eyewitness called by the plaintiff, whilst the parties engaged in negotiations regarding possible settlement of the quantum.  During the proceedings, the parties informed the court that settlement negotiations had reached an </w:t>
      </w:r>
      <w:r w:rsidR="00A66997" w:rsidRPr="004678AD">
        <w:rPr>
          <w:i/>
          <w:iCs/>
          <w:color w:val="000000" w:themeColor="text1"/>
          <w:szCs w:val="24"/>
        </w:rPr>
        <w:t xml:space="preserve">impasse.  </w:t>
      </w:r>
      <w:r w:rsidR="00A66997" w:rsidRPr="004678AD">
        <w:rPr>
          <w:color w:val="000000" w:themeColor="text1"/>
          <w:szCs w:val="24"/>
        </w:rPr>
        <w:t>As a result, this court was tasked with determining both liability and the quantum.</w:t>
      </w:r>
    </w:p>
    <w:p w14:paraId="675C4502" w14:textId="5DA8CFFA" w:rsidR="00BC5FAF"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[5]</w:t>
      </w:r>
      <w:r w:rsidRPr="004678AD">
        <w:rPr>
          <w:color w:val="000000" w:themeColor="text1"/>
          <w:szCs w:val="24"/>
        </w:rPr>
        <w:tab/>
      </w:r>
      <w:r w:rsidR="00BC5FAF" w:rsidRPr="004678AD">
        <w:rPr>
          <w:color w:val="000000" w:themeColor="text1"/>
          <w:szCs w:val="24"/>
        </w:rPr>
        <w:t>The plaintiff bears the onus to prove both liability and the quantum of the claim.  To establish liability, the evidence must demonstrate:</w:t>
      </w:r>
    </w:p>
    <w:p w14:paraId="59D05862" w14:textId="0097E13F" w:rsidR="00BC5FAF"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lastRenderedPageBreak/>
        <w:t>a.</w:t>
      </w:r>
      <w:r w:rsidRPr="004678AD">
        <w:rPr>
          <w:color w:val="000000" w:themeColor="text1"/>
          <w:szCs w:val="24"/>
        </w:rPr>
        <w:tab/>
      </w:r>
      <w:r w:rsidR="00BC5FAF" w:rsidRPr="004678AD">
        <w:rPr>
          <w:color w:val="000000" w:themeColor="text1"/>
          <w:szCs w:val="24"/>
        </w:rPr>
        <w:t>The plaintiff and the minor child had a legally enforceable right to claim financial support from the deceased;</w:t>
      </w:r>
      <w:r w:rsidR="00BC5FAF" w:rsidRPr="004678AD">
        <w:rPr>
          <w:color w:val="000000" w:themeColor="text1"/>
          <w:szCs w:val="24"/>
          <w:vertAlign w:val="superscript"/>
        </w:rPr>
        <w:footnoteReference w:id="3"/>
      </w:r>
      <w:r w:rsidR="00BC5FAF" w:rsidRPr="004678AD">
        <w:rPr>
          <w:color w:val="000000" w:themeColor="text1"/>
          <w:szCs w:val="24"/>
        </w:rPr>
        <w:t xml:space="preserve"> and</w:t>
      </w:r>
    </w:p>
    <w:p w14:paraId="28DB8EB4" w14:textId="6E7E5BE2" w:rsidR="00BC5FAF"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b.</w:t>
      </w:r>
      <w:r w:rsidRPr="004678AD">
        <w:rPr>
          <w:color w:val="000000" w:themeColor="text1"/>
          <w:szCs w:val="24"/>
        </w:rPr>
        <w:tab/>
      </w:r>
      <w:r w:rsidR="00BC5FAF" w:rsidRPr="004678AD">
        <w:rPr>
          <w:color w:val="000000" w:themeColor="text1"/>
          <w:szCs w:val="24"/>
        </w:rPr>
        <w:t>Negligence or a wrongful act on the part of the insured driver that caused or contributed to the collision which resulted in the death of the deceased.</w:t>
      </w:r>
    </w:p>
    <w:p w14:paraId="5BEE7DC8" w14:textId="64ECE0F1" w:rsidR="00BC5FAF"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w:t>
      </w:r>
      <w:r w:rsidRPr="004678AD">
        <w:rPr>
          <w:color w:val="000000" w:themeColor="text1"/>
          <w:szCs w:val="24"/>
        </w:rPr>
        <w:tab/>
      </w:r>
      <w:r w:rsidR="00BC5FAF" w:rsidRPr="004678AD">
        <w:rPr>
          <w:color w:val="000000" w:themeColor="text1"/>
          <w:szCs w:val="24"/>
        </w:rPr>
        <w:t xml:space="preserve">To establish quantum, </w:t>
      </w:r>
      <w:r w:rsidR="0051394A" w:rsidRPr="004678AD">
        <w:rPr>
          <w:color w:val="000000" w:themeColor="text1"/>
          <w:szCs w:val="24"/>
        </w:rPr>
        <w:t xml:space="preserve">the evidence must </w:t>
      </w:r>
      <w:r w:rsidR="00BC5FAF" w:rsidRPr="004678AD">
        <w:rPr>
          <w:color w:val="000000" w:themeColor="text1"/>
          <w:szCs w:val="24"/>
        </w:rPr>
        <w:t xml:space="preserve">demonstrate </w:t>
      </w:r>
      <w:r w:rsidR="006A4CC2" w:rsidRPr="004678AD">
        <w:rPr>
          <w:color w:val="000000" w:themeColor="text1"/>
          <w:szCs w:val="24"/>
        </w:rPr>
        <w:t xml:space="preserve">that plaintiff and the minor child suffered </w:t>
      </w:r>
      <w:r w:rsidR="00BC5FAF" w:rsidRPr="004678AD">
        <w:rPr>
          <w:color w:val="000000" w:themeColor="text1"/>
          <w:szCs w:val="24"/>
        </w:rPr>
        <w:t>actual financial loss</w:t>
      </w:r>
      <w:r w:rsidR="00197A25" w:rsidRPr="004678AD">
        <w:rPr>
          <w:color w:val="000000" w:themeColor="text1"/>
          <w:szCs w:val="24"/>
        </w:rPr>
        <w:t xml:space="preserve"> </w:t>
      </w:r>
      <w:r w:rsidR="00FD6124" w:rsidRPr="004678AD">
        <w:rPr>
          <w:color w:val="000000" w:themeColor="text1"/>
          <w:szCs w:val="24"/>
        </w:rPr>
        <w:t>in consequence of the death of the deceased</w:t>
      </w:r>
      <w:r w:rsidR="00BC5FAF" w:rsidRPr="004678AD">
        <w:rPr>
          <w:color w:val="000000" w:themeColor="text1"/>
          <w:szCs w:val="24"/>
        </w:rPr>
        <w:t>.</w:t>
      </w:r>
      <w:r w:rsidR="00BC5FAF" w:rsidRPr="004678AD">
        <w:rPr>
          <w:color w:val="000000" w:themeColor="text1"/>
          <w:szCs w:val="24"/>
          <w:vertAlign w:val="superscript"/>
        </w:rPr>
        <w:footnoteReference w:id="4"/>
      </w:r>
      <w:r w:rsidR="00BC5FAF" w:rsidRPr="004678AD">
        <w:rPr>
          <w:color w:val="000000" w:themeColor="text1"/>
          <w:szCs w:val="24"/>
        </w:rPr>
        <w:t xml:space="preserve">  </w:t>
      </w:r>
    </w:p>
    <w:p w14:paraId="15A1EEDC" w14:textId="22D939CC" w:rsidR="007B11FE" w:rsidRPr="004678AD" w:rsidRDefault="001B3050" w:rsidP="004678AD">
      <w:pPr>
        <w:pStyle w:val="JudgmentNumbered"/>
        <w:numPr>
          <w:ilvl w:val="0"/>
          <w:numId w:val="0"/>
        </w:numPr>
        <w:rPr>
          <w:bCs/>
          <w:i/>
          <w:color w:val="000000" w:themeColor="text1"/>
          <w:szCs w:val="24"/>
        </w:rPr>
      </w:pPr>
      <w:r w:rsidRPr="004678AD">
        <w:rPr>
          <w:bCs/>
          <w:i/>
          <w:color w:val="000000" w:themeColor="text1"/>
          <w:szCs w:val="24"/>
        </w:rPr>
        <w:t>Liability</w:t>
      </w:r>
      <w:r w:rsidR="007B11FE" w:rsidRPr="004678AD">
        <w:rPr>
          <w:bCs/>
          <w:i/>
          <w:color w:val="000000" w:themeColor="text1"/>
          <w:szCs w:val="24"/>
        </w:rPr>
        <w:t xml:space="preserve"> </w:t>
      </w:r>
      <w:r w:rsidR="00C8495B" w:rsidRPr="004678AD">
        <w:rPr>
          <w:bCs/>
          <w:i/>
          <w:color w:val="000000" w:themeColor="text1"/>
          <w:szCs w:val="24"/>
        </w:rPr>
        <w:t>(colloquially referred as “the Merits”)</w:t>
      </w:r>
    </w:p>
    <w:p w14:paraId="52A043CC" w14:textId="7C124BA5" w:rsidR="007B11F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w:t>
      </w:r>
      <w:r w:rsidRPr="004678AD">
        <w:rPr>
          <w:color w:val="000000" w:themeColor="text1"/>
          <w:szCs w:val="24"/>
        </w:rPr>
        <w:tab/>
      </w:r>
      <w:r w:rsidR="00711D65" w:rsidRPr="004678AD">
        <w:rPr>
          <w:color w:val="000000" w:themeColor="text1"/>
          <w:szCs w:val="24"/>
        </w:rPr>
        <w:t xml:space="preserve">The RAF Act is, to an extent, a codification of our common law influenced by Roman-Dutch legal principles, modified and interpreted by judicial precedent.  </w:t>
      </w:r>
      <w:r w:rsidR="007B11FE" w:rsidRPr="004678AD">
        <w:rPr>
          <w:color w:val="000000" w:themeColor="text1"/>
          <w:szCs w:val="24"/>
        </w:rPr>
        <w:t>Section 17(1) of the RAF Act</w:t>
      </w:r>
      <w:r w:rsidR="007B11FE" w:rsidRPr="004678AD">
        <w:rPr>
          <w:color w:val="000000" w:themeColor="text1"/>
          <w:szCs w:val="24"/>
          <w:vertAlign w:val="superscript"/>
        </w:rPr>
        <w:footnoteReference w:id="5"/>
      </w:r>
      <w:r w:rsidR="007B11FE" w:rsidRPr="004678AD">
        <w:rPr>
          <w:color w:val="000000" w:themeColor="text1"/>
          <w:szCs w:val="24"/>
        </w:rPr>
        <w:t xml:space="preserve"> provides compensation to dependants who have a legally enforceable right of support and who suffer harm caused by or arising </w:t>
      </w:r>
      <w:r w:rsidR="001C5015" w:rsidRPr="004678AD">
        <w:rPr>
          <w:color w:val="000000" w:themeColor="text1"/>
          <w:szCs w:val="24"/>
        </w:rPr>
        <w:t xml:space="preserve">from </w:t>
      </w:r>
      <w:r w:rsidR="007B11FE" w:rsidRPr="004678AD">
        <w:rPr>
          <w:color w:val="000000" w:themeColor="text1"/>
          <w:szCs w:val="24"/>
        </w:rPr>
        <w:t xml:space="preserve">the </w:t>
      </w:r>
      <w:r w:rsidR="004C3A8F" w:rsidRPr="004678AD">
        <w:rPr>
          <w:color w:val="000000" w:themeColor="text1"/>
          <w:szCs w:val="24"/>
        </w:rPr>
        <w:t xml:space="preserve">insured driver’s </w:t>
      </w:r>
      <w:r w:rsidR="007B11FE" w:rsidRPr="004678AD">
        <w:rPr>
          <w:color w:val="000000" w:themeColor="text1"/>
          <w:szCs w:val="24"/>
        </w:rPr>
        <w:t xml:space="preserve">negligence or wrongful </w:t>
      </w:r>
      <w:r w:rsidR="001C5015" w:rsidRPr="004678AD">
        <w:rPr>
          <w:color w:val="000000" w:themeColor="text1"/>
          <w:szCs w:val="24"/>
        </w:rPr>
        <w:t>driving of a motor vehicle</w:t>
      </w:r>
      <w:r w:rsidR="007B11FE" w:rsidRPr="004678AD">
        <w:rPr>
          <w:color w:val="000000" w:themeColor="text1"/>
          <w:szCs w:val="24"/>
        </w:rPr>
        <w:t>.</w:t>
      </w:r>
      <w:r w:rsidR="007B11FE" w:rsidRPr="004678AD">
        <w:rPr>
          <w:color w:val="000000" w:themeColor="text1"/>
          <w:szCs w:val="24"/>
          <w:vertAlign w:val="superscript"/>
        </w:rPr>
        <w:footnoteReference w:id="6"/>
      </w:r>
      <w:r w:rsidR="007B11FE" w:rsidRPr="004678AD">
        <w:rPr>
          <w:color w:val="000000" w:themeColor="text1"/>
          <w:szCs w:val="24"/>
        </w:rPr>
        <w:t xml:space="preserve">  The origins of </w:t>
      </w:r>
      <w:r w:rsidR="00C820D9" w:rsidRPr="004678AD">
        <w:rPr>
          <w:color w:val="000000" w:themeColor="text1"/>
          <w:szCs w:val="24"/>
        </w:rPr>
        <w:t xml:space="preserve">the right in </w:t>
      </w:r>
      <w:r w:rsidR="007B11FE" w:rsidRPr="004678AD">
        <w:rPr>
          <w:color w:val="000000" w:themeColor="text1"/>
          <w:szCs w:val="24"/>
        </w:rPr>
        <w:t>section</w:t>
      </w:r>
      <w:r w:rsidR="0098346D" w:rsidRPr="004678AD">
        <w:rPr>
          <w:color w:val="000000" w:themeColor="text1"/>
          <w:szCs w:val="24"/>
        </w:rPr>
        <w:t> </w:t>
      </w:r>
      <w:r w:rsidR="007B11FE" w:rsidRPr="004678AD">
        <w:rPr>
          <w:color w:val="000000" w:themeColor="text1"/>
          <w:szCs w:val="24"/>
        </w:rPr>
        <w:t>17(1) can be traced to the custom requiring payment of “</w:t>
      </w:r>
      <w:r w:rsidR="007B11FE" w:rsidRPr="004678AD">
        <w:rPr>
          <w:i/>
          <w:iCs/>
          <w:color w:val="000000" w:themeColor="text1"/>
          <w:szCs w:val="24"/>
        </w:rPr>
        <w:t>maaggeld</w:t>
      </w:r>
      <w:r w:rsidR="007B11FE" w:rsidRPr="004678AD">
        <w:rPr>
          <w:iCs/>
          <w:color w:val="000000" w:themeColor="text1"/>
          <w:szCs w:val="24"/>
        </w:rPr>
        <w:t>”</w:t>
      </w:r>
      <w:r w:rsidR="007B11FE" w:rsidRPr="004678AD">
        <w:rPr>
          <w:color w:val="000000" w:themeColor="text1"/>
          <w:szCs w:val="24"/>
        </w:rPr>
        <w:t xml:space="preserve"> </w:t>
      </w:r>
      <w:r w:rsidR="001F001E" w:rsidRPr="004678AD">
        <w:rPr>
          <w:color w:val="000000" w:themeColor="text1"/>
          <w:szCs w:val="24"/>
        </w:rPr>
        <w:t xml:space="preserve">or </w:t>
      </w:r>
      <w:r w:rsidR="00EE5D24" w:rsidRPr="004678AD">
        <w:rPr>
          <w:color w:val="000000" w:themeColor="text1"/>
          <w:szCs w:val="24"/>
        </w:rPr>
        <w:t>“</w:t>
      </w:r>
      <w:r w:rsidR="001F001E" w:rsidRPr="004678AD">
        <w:rPr>
          <w:i/>
          <w:iCs/>
          <w:color w:val="000000" w:themeColor="text1"/>
          <w:szCs w:val="24"/>
        </w:rPr>
        <w:t>soengeld</w:t>
      </w:r>
      <w:r w:rsidR="00EE5D24" w:rsidRPr="004678AD">
        <w:rPr>
          <w:color w:val="000000" w:themeColor="text1"/>
          <w:szCs w:val="24"/>
        </w:rPr>
        <w:t>”</w:t>
      </w:r>
      <w:r w:rsidR="001F001E" w:rsidRPr="004678AD">
        <w:rPr>
          <w:color w:val="000000" w:themeColor="text1"/>
          <w:szCs w:val="24"/>
        </w:rPr>
        <w:t xml:space="preserve"> </w:t>
      </w:r>
      <w:r w:rsidR="007B11FE" w:rsidRPr="004678AD">
        <w:rPr>
          <w:color w:val="000000" w:themeColor="text1"/>
          <w:szCs w:val="24"/>
        </w:rPr>
        <w:t xml:space="preserve">as financial reparation to obviate revenge by </w:t>
      </w:r>
      <w:r w:rsidR="007B11FE" w:rsidRPr="004678AD">
        <w:rPr>
          <w:color w:val="000000" w:themeColor="text1"/>
          <w:szCs w:val="24"/>
        </w:rPr>
        <w:lastRenderedPageBreak/>
        <w:t>kinsmen of the deceased</w:t>
      </w:r>
      <w:r w:rsidR="0098346D" w:rsidRPr="004678AD">
        <w:rPr>
          <w:color w:val="000000" w:themeColor="text1"/>
          <w:szCs w:val="24"/>
        </w:rPr>
        <w:t>.</w:t>
      </w:r>
      <w:r w:rsidR="007B11FE" w:rsidRPr="004678AD">
        <w:rPr>
          <w:color w:val="000000" w:themeColor="text1"/>
          <w:szCs w:val="24"/>
          <w:vertAlign w:val="superscript"/>
        </w:rPr>
        <w:footnoteReference w:id="7"/>
      </w:r>
      <w:r w:rsidR="007B11FE" w:rsidRPr="004678AD">
        <w:rPr>
          <w:color w:val="000000" w:themeColor="text1"/>
          <w:szCs w:val="24"/>
        </w:rPr>
        <w:t xml:space="preserve">  African customary law</w:t>
      </w:r>
      <w:r w:rsidR="00E73F48" w:rsidRPr="004678AD">
        <w:rPr>
          <w:color w:val="000000" w:themeColor="text1"/>
          <w:szCs w:val="24"/>
        </w:rPr>
        <w:t>s</w:t>
      </w:r>
      <w:r w:rsidR="00664564" w:rsidRPr="004678AD">
        <w:rPr>
          <w:color w:val="000000" w:themeColor="text1"/>
          <w:szCs w:val="24"/>
        </w:rPr>
        <w:t xml:space="preserve"> </w:t>
      </w:r>
      <w:r w:rsidR="001B371B" w:rsidRPr="004678AD">
        <w:rPr>
          <w:color w:val="000000" w:themeColor="text1"/>
          <w:szCs w:val="24"/>
        </w:rPr>
        <w:t>contain</w:t>
      </w:r>
      <w:r w:rsidR="007B11FE" w:rsidRPr="004678AD">
        <w:rPr>
          <w:color w:val="000000" w:themeColor="text1"/>
          <w:szCs w:val="24"/>
        </w:rPr>
        <w:t xml:space="preserve"> </w:t>
      </w:r>
      <w:r w:rsidR="0006269A" w:rsidRPr="004678AD">
        <w:rPr>
          <w:color w:val="000000" w:themeColor="text1"/>
          <w:szCs w:val="24"/>
        </w:rPr>
        <w:t xml:space="preserve">analogous </w:t>
      </w:r>
      <w:r w:rsidR="007B11FE" w:rsidRPr="004678AD">
        <w:rPr>
          <w:color w:val="000000" w:themeColor="text1"/>
          <w:szCs w:val="24"/>
        </w:rPr>
        <w:t>reparatory practices.</w:t>
      </w:r>
      <w:r w:rsidR="007B11FE" w:rsidRPr="004678AD">
        <w:rPr>
          <w:rStyle w:val="FootnoteReference"/>
          <w:color w:val="000000" w:themeColor="text1"/>
          <w:szCs w:val="24"/>
        </w:rPr>
        <w:footnoteReference w:id="8"/>
      </w:r>
      <w:r w:rsidR="007B11FE" w:rsidRPr="004678AD">
        <w:rPr>
          <w:color w:val="000000" w:themeColor="text1"/>
          <w:szCs w:val="24"/>
        </w:rPr>
        <w:t xml:space="preserve">  </w:t>
      </w:r>
    </w:p>
    <w:p w14:paraId="5C344022" w14:textId="4C553655" w:rsidR="007B11F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[8]</w:t>
      </w:r>
      <w:r w:rsidRPr="004678AD">
        <w:rPr>
          <w:color w:val="000000" w:themeColor="text1"/>
          <w:szCs w:val="24"/>
        </w:rPr>
        <w:tab/>
      </w:r>
      <w:r w:rsidR="007B11FE" w:rsidRPr="004678AD">
        <w:rPr>
          <w:color w:val="000000" w:themeColor="text1"/>
          <w:szCs w:val="24"/>
        </w:rPr>
        <w:t>I mention th</w:t>
      </w:r>
      <w:r w:rsidR="00434504" w:rsidRPr="004678AD">
        <w:rPr>
          <w:color w:val="000000" w:themeColor="text1"/>
          <w:szCs w:val="24"/>
        </w:rPr>
        <w:t>is</w:t>
      </w:r>
      <w:r w:rsidR="007B11FE" w:rsidRPr="004678AD">
        <w:rPr>
          <w:color w:val="000000" w:themeColor="text1"/>
          <w:szCs w:val="24"/>
        </w:rPr>
        <w:t xml:space="preserve"> historical background to highlight the </w:t>
      </w:r>
      <w:r w:rsidR="00FA1274" w:rsidRPr="004678AD">
        <w:rPr>
          <w:color w:val="000000" w:themeColor="text1"/>
          <w:szCs w:val="24"/>
        </w:rPr>
        <w:t xml:space="preserve">nature </w:t>
      </w:r>
      <w:r w:rsidR="007B11FE" w:rsidRPr="004678AD">
        <w:rPr>
          <w:color w:val="000000" w:themeColor="text1"/>
          <w:szCs w:val="24"/>
        </w:rPr>
        <w:t xml:space="preserve">of the RAF Act </w:t>
      </w:r>
      <w:r w:rsidR="00FA1274" w:rsidRPr="004678AD">
        <w:rPr>
          <w:color w:val="000000" w:themeColor="text1"/>
          <w:szCs w:val="24"/>
        </w:rPr>
        <w:t xml:space="preserve">which is designed </w:t>
      </w:r>
      <w:r w:rsidR="00F9246D" w:rsidRPr="004678AD">
        <w:rPr>
          <w:color w:val="000000" w:themeColor="text1"/>
          <w:szCs w:val="24"/>
        </w:rPr>
        <w:t>to</w:t>
      </w:r>
      <w:r w:rsidR="007B11FE" w:rsidRPr="004678AD">
        <w:rPr>
          <w:color w:val="000000" w:themeColor="text1"/>
          <w:szCs w:val="24"/>
        </w:rPr>
        <w:t xml:space="preserve"> assist dependants by placing them in a similar position but for the death of the breadwinner.</w:t>
      </w:r>
      <w:r w:rsidR="007B11FE" w:rsidRPr="004678AD">
        <w:rPr>
          <w:color w:val="000000" w:themeColor="text1"/>
          <w:szCs w:val="24"/>
          <w:vertAlign w:val="superscript"/>
        </w:rPr>
        <w:footnoteReference w:id="9"/>
      </w:r>
      <w:r w:rsidR="007B11FE" w:rsidRPr="004678AD">
        <w:rPr>
          <w:color w:val="000000" w:themeColor="text1"/>
          <w:szCs w:val="24"/>
        </w:rPr>
        <w:t xml:space="preserve"> </w:t>
      </w:r>
      <w:r w:rsidR="000D4DDF" w:rsidRPr="004678AD">
        <w:rPr>
          <w:color w:val="000000" w:themeColor="text1"/>
          <w:szCs w:val="24"/>
        </w:rPr>
        <w:t xml:space="preserve"> Public funds are utilised to achieve the purpose assigned </w:t>
      </w:r>
      <w:r w:rsidR="00E76D0F" w:rsidRPr="004678AD">
        <w:rPr>
          <w:color w:val="000000" w:themeColor="text1"/>
          <w:szCs w:val="24"/>
        </w:rPr>
        <w:t>in</w:t>
      </w:r>
      <w:r w:rsidR="000D4DDF" w:rsidRPr="004678AD">
        <w:rPr>
          <w:color w:val="000000" w:themeColor="text1"/>
          <w:szCs w:val="24"/>
        </w:rPr>
        <w:t xml:space="preserve"> the RAF Act.</w:t>
      </w:r>
      <w:r w:rsidR="000D4DDF" w:rsidRPr="004678AD">
        <w:rPr>
          <w:rStyle w:val="FootnoteReference"/>
          <w:color w:val="000000" w:themeColor="text1"/>
          <w:szCs w:val="24"/>
        </w:rPr>
        <w:footnoteReference w:id="10"/>
      </w:r>
      <w:r w:rsidR="000D4DDF" w:rsidRPr="004678AD">
        <w:rPr>
          <w:color w:val="000000" w:themeColor="text1"/>
          <w:szCs w:val="24"/>
        </w:rPr>
        <w:t xml:space="preserve"> </w:t>
      </w:r>
      <w:r w:rsidR="007B11FE" w:rsidRPr="004678AD">
        <w:rPr>
          <w:color w:val="000000" w:themeColor="text1"/>
          <w:szCs w:val="24"/>
        </w:rPr>
        <w:t xml:space="preserve"> </w:t>
      </w:r>
      <w:r w:rsidR="00743DAD" w:rsidRPr="004678AD">
        <w:rPr>
          <w:color w:val="000000" w:themeColor="text1"/>
          <w:szCs w:val="24"/>
        </w:rPr>
        <w:t>In</w:t>
      </w:r>
      <w:r w:rsidR="007B11FE" w:rsidRPr="004678AD">
        <w:rPr>
          <w:color w:val="000000" w:themeColor="text1"/>
          <w:szCs w:val="24"/>
        </w:rPr>
        <w:t xml:space="preserve"> this context, the social legislative </w:t>
      </w:r>
      <w:r w:rsidR="00C375AB" w:rsidRPr="004678AD">
        <w:rPr>
          <w:color w:val="000000" w:themeColor="text1"/>
          <w:szCs w:val="24"/>
        </w:rPr>
        <w:t>character</w:t>
      </w:r>
      <w:r w:rsidR="007B11FE" w:rsidRPr="004678AD">
        <w:rPr>
          <w:color w:val="000000" w:themeColor="text1"/>
          <w:szCs w:val="24"/>
        </w:rPr>
        <w:t xml:space="preserve"> of the RAF Act is obvious.</w:t>
      </w:r>
      <w:r w:rsidR="007B11FE" w:rsidRPr="004678AD">
        <w:rPr>
          <w:color w:val="000000" w:themeColor="text1"/>
          <w:szCs w:val="24"/>
          <w:vertAlign w:val="superscript"/>
        </w:rPr>
        <w:footnoteReference w:id="11"/>
      </w:r>
      <w:r w:rsidR="007B11FE" w:rsidRPr="004678AD">
        <w:rPr>
          <w:color w:val="000000" w:themeColor="text1"/>
          <w:szCs w:val="24"/>
        </w:rPr>
        <w:t xml:space="preserve">  </w:t>
      </w:r>
    </w:p>
    <w:p w14:paraId="60A0E90C" w14:textId="538AF9E7" w:rsidR="000A687E" w:rsidRPr="004678AD" w:rsidRDefault="007A0A52" w:rsidP="004678AD">
      <w:pPr>
        <w:pStyle w:val="JudgmentNumbered"/>
        <w:numPr>
          <w:ilvl w:val="0"/>
          <w:numId w:val="0"/>
        </w:numPr>
        <w:rPr>
          <w:bCs/>
          <w:i/>
          <w:color w:val="000000" w:themeColor="text1"/>
          <w:szCs w:val="24"/>
        </w:rPr>
      </w:pPr>
      <w:r w:rsidRPr="004678AD">
        <w:rPr>
          <w:bCs/>
          <w:i/>
          <w:color w:val="000000" w:themeColor="text1"/>
          <w:szCs w:val="24"/>
        </w:rPr>
        <w:t>Legally enforceable duty of support</w:t>
      </w:r>
    </w:p>
    <w:p w14:paraId="18195E62" w14:textId="47D4DDFE"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[9]</w:t>
      </w:r>
      <w:r w:rsidRPr="004678AD">
        <w:rPr>
          <w:color w:val="000000" w:themeColor="text1"/>
          <w:szCs w:val="24"/>
        </w:rPr>
        <w:tab/>
      </w:r>
      <w:r w:rsidR="00552781" w:rsidRPr="004678AD">
        <w:rPr>
          <w:color w:val="000000" w:themeColor="text1"/>
          <w:szCs w:val="24"/>
        </w:rPr>
        <w:t>S</w:t>
      </w:r>
      <w:r w:rsidR="000A687E" w:rsidRPr="004678AD">
        <w:rPr>
          <w:color w:val="000000" w:themeColor="text1"/>
          <w:szCs w:val="24"/>
        </w:rPr>
        <w:t>ection 17(1) of the RAF Act does not include all dependants who might suffer harm</w:t>
      </w:r>
      <w:r w:rsidR="007F48B0" w:rsidRPr="004678AD">
        <w:rPr>
          <w:color w:val="000000" w:themeColor="text1"/>
          <w:szCs w:val="24"/>
        </w:rPr>
        <w:t>,</w:t>
      </w:r>
      <w:r w:rsidR="000A687E" w:rsidRPr="004678AD">
        <w:rPr>
          <w:color w:val="000000" w:themeColor="text1"/>
          <w:szCs w:val="24"/>
        </w:rPr>
        <w:t xml:space="preserve"> only those who have a legally enforceable right to claim financial support.</w:t>
      </w:r>
      <w:r w:rsidR="000A687E" w:rsidRPr="004678AD">
        <w:rPr>
          <w:color w:val="000000" w:themeColor="text1"/>
          <w:szCs w:val="24"/>
          <w:vertAlign w:val="superscript"/>
        </w:rPr>
        <w:footnoteReference w:id="12"/>
      </w:r>
      <w:r w:rsidR="000A687E" w:rsidRPr="004678AD">
        <w:rPr>
          <w:color w:val="000000" w:themeColor="text1"/>
          <w:szCs w:val="24"/>
        </w:rPr>
        <w:t xml:space="preserve">  </w:t>
      </w:r>
      <w:r w:rsidR="00B778F1" w:rsidRPr="004678AD">
        <w:rPr>
          <w:color w:val="000000" w:themeColor="text1"/>
          <w:szCs w:val="24"/>
        </w:rPr>
        <w:t>A legal duty of support exists when the relationship between the dependant and the breadwinner is recognised by law</w:t>
      </w:r>
      <w:r w:rsidR="00D9235A" w:rsidRPr="004678AD">
        <w:rPr>
          <w:color w:val="000000" w:themeColor="text1"/>
          <w:szCs w:val="24"/>
        </w:rPr>
        <w:t xml:space="preserve"> as</w:t>
      </w:r>
      <w:r w:rsidR="00B778F1" w:rsidRPr="004678AD">
        <w:rPr>
          <w:color w:val="000000" w:themeColor="text1"/>
          <w:szCs w:val="24"/>
        </w:rPr>
        <w:t xml:space="preserve"> giving rise to a right on the part of the dependant to be supported.</w:t>
      </w:r>
      <w:r w:rsidR="00B778F1" w:rsidRPr="004678AD">
        <w:rPr>
          <w:color w:val="000000" w:themeColor="text1"/>
          <w:szCs w:val="24"/>
          <w:vertAlign w:val="superscript"/>
        </w:rPr>
        <w:footnoteReference w:id="13"/>
      </w:r>
      <w:r w:rsidR="00B778F1" w:rsidRPr="004678AD">
        <w:rPr>
          <w:color w:val="000000" w:themeColor="text1"/>
          <w:szCs w:val="24"/>
        </w:rPr>
        <w:t xml:space="preserve">  </w:t>
      </w:r>
    </w:p>
    <w:p w14:paraId="20469418" w14:textId="332FB238"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[10]</w:t>
      </w:r>
      <w:r w:rsidRPr="004678AD">
        <w:rPr>
          <w:color w:val="000000" w:themeColor="text1"/>
          <w:szCs w:val="24"/>
        </w:rPr>
        <w:tab/>
      </w:r>
      <w:r w:rsidR="000A687E" w:rsidRPr="004678AD">
        <w:rPr>
          <w:color w:val="000000" w:themeColor="text1"/>
          <w:szCs w:val="24"/>
        </w:rPr>
        <w:t xml:space="preserve">It was not in dispute that the deceased was the </w:t>
      </w:r>
      <w:r w:rsidR="00EE7146" w:rsidRPr="004678AD">
        <w:rPr>
          <w:color w:val="000000" w:themeColor="text1"/>
          <w:szCs w:val="24"/>
        </w:rPr>
        <w:t xml:space="preserve">unmarried cohabiting </w:t>
      </w:r>
      <w:r w:rsidR="000A687E" w:rsidRPr="004678AD">
        <w:rPr>
          <w:color w:val="000000" w:themeColor="text1"/>
          <w:szCs w:val="24"/>
        </w:rPr>
        <w:t xml:space="preserve">partner of the </w:t>
      </w:r>
      <w:r w:rsidR="00FD4BD5" w:rsidRPr="004678AD">
        <w:rPr>
          <w:color w:val="000000" w:themeColor="text1"/>
          <w:szCs w:val="24"/>
        </w:rPr>
        <w:t>p</w:t>
      </w:r>
      <w:r w:rsidR="000A687E" w:rsidRPr="004678AD">
        <w:rPr>
          <w:color w:val="000000" w:themeColor="text1"/>
          <w:szCs w:val="24"/>
        </w:rPr>
        <w:t>laintiff and the biological father of their minor child.</w:t>
      </w:r>
      <w:bookmarkStart w:id="1" w:name="LPHit108"/>
      <w:bookmarkEnd w:id="1"/>
      <w:r w:rsidR="000A687E" w:rsidRPr="004678AD">
        <w:rPr>
          <w:color w:val="000000" w:themeColor="text1"/>
          <w:szCs w:val="24"/>
        </w:rPr>
        <w:t xml:space="preserve">  It was also not in dispute that the </w:t>
      </w:r>
      <w:r w:rsidR="00FD4BD5" w:rsidRPr="004678AD">
        <w:rPr>
          <w:color w:val="000000" w:themeColor="text1"/>
          <w:szCs w:val="24"/>
        </w:rPr>
        <w:t>p</w:t>
      </w:r>
      <w:r w:rsidR="000A687E" w:rsidRPr="004678AD">
        <w:rPr>
          <w:color w:val="000000" w:themeColor="text1"/>
          <w:szCs w:val="24"/>
        </w:rPr>
        <w:t xml:space="preserve">laintiff and the minor child resided with the deceased and the deceased provided financial support for both during his lifetime.  </w:t>
      </w:r>
    </w:p>
    <w:p w14:paraId="180EE400" w14:textId="75CF77B1" w:rsidR="00D04F4F"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[11]</w:t>
      </w:r>
      <w:r w:rsidRPr="004678AD">
        <w:rPr>
          <w:color w:val="000000" w:themeColor="text1"/>
          <w:szCs w:val="24"/>
        </w:rPr>
        <w:tab/>
      </w:r>
      <w:r w:rsidR="00671FCB" w:rsidRPr="004678AD">
        <w:rPr>
          <w:color w:val="000000" w:themeColor="text1"/>
          <w:szCs w:val="24"/>
        </w:rPr>
        <w:t xml:space="preserve">The duty </w:t>
      </w:r>
      <w:r w:rsidR="00DD2A36" w:rsidRPr="004678AD">
        <w:rPr>
          <w:color w:val="000000" w:themeColor="text1"/>
          <w:szCs w:val="24"/>
        </w:rPr>
        <w:t>to</w:t>
      </w:r>
      <w:r w:rsidR="00671FCB" w:rsidRPr="004678AD">
        <w:rPr>
          <w:color w:val="000000" w:themeColor="text1"/>
          <w:szCs w:val="24"/>
        </w:rPr>
        <w:t xml:space="preserve"> support a minor child arises out of section 28 of the </w:t>
      </w:r>
      <w:r w:rsidR="00DD2A36" w:rsidRPr="004678AD">
        <w:rPr>
          <w:color w:val="000000" w:themeColor="text1"/>
          <w:szCs w:val="24"/>
        </w:rPr>
        <w:t>C</w:t>
      </w:r>
      <w:r w:rsidR="00671FCB" w:rsidRPr="004678AD">
        <w:rPr>
          <w:color w:val="000000" w:themeColor="text1"/>
          <w:szCs w:val="24"/>
        </w:rPr>
        <w:t>onstitution,</w:t>
      </w:r>
      <w:r w:rsidR="00DD2A36" w:rsidRPr="004678AD">
        <w:rPr>
          <w:color w:val="000000" w:themeColor="text1"/>
          <w:szCs w:val="24"/>
        </w:rPr>
        <w:t> </w:t>
      </w:r>
      <w:r w:rsidR="00671FCB" w:rsidRPr="004678AD">
        <w:rPr>
          <w:color w:val="000000" w:themeColor="text1"/>
          <w:szCs w:val="24"/>
        </w:rPr>
        <w:t>1996 and the Children’s Act 38 of 2005 (“the Children’s Act”).</w:t>
      </w:r>
      <w:r w:rsidR="00671FCB" w:rsidRPr="004678AD">
        <w:rPr>
          <w:rStyle w:val="FootnoteReference"/>
          <w:color w:val="000000" w:themeColor="text1"/>
          <w:szCs w:val="24"/>
        </w:rPr>
        <w:footnoteReference w:id="14"/>
      </w:r>
      <w:r w:rsidR="00671FCB" w:rsidRPr="004678AD">
        <w:rPr>
          <w:color w:val="000000" w:themeColor="text1"/>
          <w:szCs w:val="24"/>
        </w:rPr>
        <w:t xml:space="preserve">  </w:t>
      </w:r>
      <w:r w:rsidR="00894986" w:rsidRPr="004678AD">
        <w:rPr>
          <w:color w:val="000000" w:themeColor="text1"/>
          <w:szCs w:val="24"/>
        </w:rPr>
        <w:t xml:space="preserve">The minor child has a </w:t>
      </w:r>
      <w:r w:rsidR="00894986" w:rsidRPr="004678AD">
        <w:rPr>
          <w:color w:val="000000" w:themeColor="text1"/>
          <w:szCs w:val="24"/>
        </w:rPr>
        <w:lastRenderedPageBreak/>
        <w:t>right to claim support from both parents</w:t>
      </w:r>
      <w:r w:rsidR="00D04F4F" w:rsidRPr="004678AD">
        <w:rPr>
          <w:color w:val="000000" w:themeColor="text1"/>
          <w:szCs w:val="24"/>
        </w:rPr>
        <w:t>.</w:t>
      </w:r>
      <w:r w:rsidR="0011704B" w:rsidRPr="004678AD">
        <w:rPr>
          <w:color w:val="000000" w:themeColor="text1"/>
          <w:szCs w:val="24"/>
        </w:rPr>
        <w:t xml:space="preserve"> </w:t>
      </w:r>
      <w:r w:rsidR="00D04F4F" w:rsidRPr="004678AD">
        <w:rPr>
          <w:color w:val="000000" w:themeColor="text1"/>
          <w:szCs w:val="24"/>
        </w:rPr>
        <w:t xml:space="preserve"> </w:t>
      </w:r>
      <w:r w:rsidR="00D04F4F" w:rsidRPr="004678AD">
        <w:rPr>
          <w:color w:val="000000" w:themeColor="text1"/>
          <w:szCs w:val="24"/>
          <w:shd w:val="clear" w:color="auto" w:fill="FFFFFF"/>
          <w:lang w:val="en-ZA" w:eastAsia="en-GB"/>
        </w:rPr>
        <w:t>In this regard</w:t>
      </w:r>
      <w:r w:rsidR="002C09BC" w:rsidRPr="004678AD">
        <w:rPr>
          <w:color w:val="000000" w:themeColor="text1"/>
          <w:szCs w:val="24"/>
          <w:shd w:val="clear" w:color="auto" w:fill="FFFFFF"/>
          <w:lang w:val="en-ZA" w:eastAsia="en-GB"/>
        </w:rPr>
        <w:t xml:space="preserve">, </w:t>
      </w:r>
      <w:r w:rsidR="005C14A2" w:rsidRPr="004678AD">
        <w:rPr>
          <w:color w:val="000000" w:themeColor="text1"/>
          <w:szCs w:val="24"/>
          <w:shd w:val="clear" w:color="auto" w:fill="FFFFFF"/>
          <w:lang w:val="en-ZA" w:eastAsia="en-GB"/>
        </w:rPr>
        <w:t xml:space="preserve">the deceased </w:t>
      </w:r>
      <w:r w:rsidR="00D04F4F" w:rsidRPr="004678AD">
        <w:rPr>
          <w:color w:val="000000" w:themeColor="text1"/>
          <w:szCs w:val="24"/>
          <w:shd w:val="clear" w:color="auto" w:fill="FFFFFF"/>
          <w:lang w:val="en-ZA" w:eastAsia="en-GB"/>
        </w:rPr>
        <w:t xml:space="preserve">was under an obligation to </w:t>
      </w:r>
      <w:r w:rsidR="00CD0856" w:rsidRPr="004678AD">
        <w:rPr>
          <w:color w:val="000000" w:themeColor="text1"/>
          <w:szCs w:val="24"/>
          <w:shd w:val="clear" w:color="auto" w:fill="FFFFFF"/>
          <w:lang w:val="en-ZA" w:eastAsia="en-GB"/>
        </w:rPr>
        <w:t>support</w:t>
      </w:r>
      <w:r w:rsidR="00422AA4" w:rsidRPr="004678AD">
        <w:rPr>
          <w:color w:val="000000" w:themeColor="text1"/>
          <w:szCs w:val="24"/>
          <w:shd w:val="clear" w:color="auto" w:fill="FFFFFF"/>
          <w:lang w:val="en-ZA" w:eastAsia="en-GB"/>
        </w:rPr>
        <w:t xml:space="preserve"> </w:t>
      </w:r>
      <w:r w:rsidR="007633F7" w:rsidRPr="004678AD">
        <w:rPr>
          <w:color w:val="000000" w:themeColor="text1"/>
          <w:szCs w:val="24"/>
          <w:shd w:val="clear" w:color="auto" w:fill="FFFFFF"/>
          <w:lang w:val="en-ZA" w:eastAsia="en-GB"/>
        </w:rPr>
        <w:t>the minor child</w:t>
      </w:r>
      <w:r w:rsidR="00E22099" w:rsidRPr="004678AD">
        <w:rPr>
          <w:color w:val="000000" w:themeColor="text1"/>
          <w:szCs w:val="24"/>
          <w:shd w:val="clear" w:color="auto" w:fill="FFFFFF"/>
          <w:lang w:val="en-ZA" w:eastAsia="en-GB"/>
        </w:rPr>
        <w:t>.</w:t>
      </w:r>
      <w:r w:rsidR="007078AF" w:rsidRPr="004678AD">
        <w:rPr>
          <w:rStyle w:val="FootnoteReference"/>
          <w:color w:val="000000" w:themeColor="text1"/>
          <w:szCs w:val="24"/>
          <w:shd w:val="clear" w:color="auto" w:fill="FFFFFF"/>
          <w:lang w:val="en-ZA" w:eastAsia="en-GB"/>
        </w:rPr>
        <w:footnoteReference w:id="15"/>
      </w:r>
      <w:r w:rsidR="00D04F4F" w:rsidRPr="004678AD">
        <w:rPr>
          <w:color w:val="000000" w:themeColor="text1"/>
          <w:szCs w:val="24"/>
          <w:shd w:val="clear" w:color="auto" w:fill="FFFFFF"/>
          <w:lang w:val="en-ZA" w:eastAsia="en-GB"/>
        </w:rPr>
        <w:t xml:space="preserve"> </w:t>
      </w:r>
      <w:r w:rsidR="00C52114" w:rsidRPr="004678AD">
        <w:rPr>
          <w:color w:val="000000" w:themeColor="text1"/>
          <w:szCs w:val="24"/>
          <w:shd w:val="clear" w:color="auto" w:fill="FFFFFF"/>
          <w:lang w:val="en-ZA" w:eastAsia="en-GB"/>
        </w:rPr>
        <w:t xml:space="preserve"> O</w:t>
      </w:r>
      <w:r w:rsidR="00684F3F" w:rsidRPr="004678AD">
        <w:rPr>
          <w:color w:val="000000" w:themeColor="text1"/>
          <w:szCs w:val="24"/>
          <w:shd w:val="clear" w:color="auto" w:fill="FFFFFF"/>
          <w:lang w:val="en-ZA" w:eastAsia="en-GB"/>
        </w:rPr>
        <w:t>n</w:t>
      </w:r>
      <w:r w:rsidR="00855719" w:rsidRPr="004678AD">
        <w:rPr>
          <w:color w:val="000000" w:themeColor="text1"/>
          <w:szCs w:val="24"/>
          <w:shd w:val="clear" w:color="auto" w:fill="FFFFFF"/>
          <w:lang w:val="en-ZA" w:eastAsia="en-GB"/>
        </w:rPr>
        <w:t xml:space="preserve"> the un</w:t>
      </w:r>
      <w:r w:rsidR="00E22099" w:rsidRPr="004678AD">
        <w:rPr>
          <w:color w:val="000000" w:themeColor="text1"/>
          <w:szCs w:val="24"/>
          <w:shd w:val="clear" w:color="auto" w:fill="FFFFFF"/>
          <w:lang w:val="en-ZA" w:eastAsia="en-GB"/>
        </w:rPr>
        <w:t>dispute</w:t>
      </w:r>
      <w:r w:rsidR="00855719" w:rsidRPr="004678AD">
        <w:rPr>
          <w:color w:val="000000" w:themeColor="text1"/>
          <w:szCs w:val="24"/>
          <w:shd w:val="clear" w:color="auto" w:fill="FFFFFF"/>
          <w:lang w:val="en-ZA" w:eastAsia="en-GB"/>
        </w:rPr>
        <w:t>d evidence</w:t>
      </w:r>
      <w:r w:rsidR="00433ABE" w:rsidRPr="004678AD">
        <w:rPr>
          <w:color w:val="000000" w:themeColor="text1"/>
          <w:szCs w:val="24"/>
          <w:shd w:val="clear" w:color="auto" w:fill="FFFFFF"/>
          <w:lang w:val="en-ZA" w:eastAsia="en-GB"/>
        </w:rPr>
        <w:t>,</w:t>
      </w:r>
      <w:r w:rsidR="00E22099" w:rsidRPr="004678AD">
        <w:rPr>
          <w:color w:val="000000" w:themeColor="text1"/>
          <w:szCs w:val="24"/>
          <w:shd w:val="clear" w:color="auto" w:fill="FFFFFF"/>
          <w:lang w:val="en-ZA" w:eastAsia="en-GB"/>
        </w:rPr>
        <w:t xml:space="preserve"> the deceased </w:t>
      </w:r>
      <w:r w:rsidR="00E0529A" w:rsidRPr="004678AD">
        <w:rPr>
          <w:color w:val="000000" w:themeColor="text1"/>
          <w:szCs w:val="24"/>
          <w:shd w:val="clear" w:color="auto" w:fill="FFFFFF"/>
          <w:lang w:val="en-ZA" w:eastAsia="en-GB"/>
        </w:rPr>
        <w:t>provide</w:t>
      </w:r>
      <w:r w:rsidR="00C52114" w:rsidRPr="004678AD">
        <w:rPr>
          <w:color w:val="000000" w:themeColor="text1"/>
          <w:szCs w:val="24"/>
          <w:shd w:val="clear" w:color="auto" w:fill="FFFFFF"/>
          <w:lang w:val="en-ZA" w:eastAsia="en-GB"/>
        </w:rPr>
        <w:t>d</w:t>
      </w:r>
      <w:r w:rsidR="00E0529A" w:rsidRPr="004678AD">
        <w:rPr>
          <w:color w:val="000000" w:themeColor="text1"/>
          <w:szCs w:val="24"/>
          <w:shd w:val="clear" w:color="auto" w:fill="FFFFFF"/>
          <w:lang w:val="en-ZA" w:eastAsia="en-GB"/>
        </w:rPr>
        <w:t xml:space="preserve"> financial</w:t>
      </w:r>
      <w:r w:rsidR="00E22099" w:rsidRPr="004678AD">
        <w:rPr>
          <w:color w:val="000000" w:themeColor="text1"/>
          <w:szCs w:val="24"/>
          <w:shd w:val="clear" w:color="auto" w:fill="FFFFFF"/>
          <w:lang w:val="en-ZA" w:eastAsia="en-GB"/>
        </w:rPr>
        <w:t xml:space="preserve"> support</w:t>
      </w:r>
      <w:r w:rsidR="006347AD" w:rsidRPr="004678AD">
        <w:rPr>
          <w:color w:val="000000" w:themeColor="text1"/>
          <w:szCs w:val="24"/>
          <w:shd w:val="clear" w:color="auto" w:fill="FFFFFF"/>
          <w:lang w:val="en-ZA" w:eastAsia="en-GB"/>
        </w:rPr>
        <w:t xml:space="preserve"> </w:t>
      </w:r>
      <w:r w:rsidR="00EB1392" w:rsidRPr="004678AD">
        <w:rPr>
          <w:color w:val="000000" w:themeColor="text1"/>
          <w:szCs w:val="24"/>
          <w:shd w:val="clear" w:color="auto" w:fill="FFFFFF"/>
          <w:lang w:val="en-ZA" w:eastAsia="en-GB"/>
        </w:rPr>
        <w:t xml:space="preserve">and </w:t>
      </w:r>
      <w:r w:rsidR="009877FD" w:rsidRPr="004678AD">
        <w:rPr>
          <w:color w:val="000000" w:themeColor="text1"/>
          <w:szCs w:val="24"/>
          <w:shd w:val="clear" w:color="auto" w:fill="FFFFFF"/>
          <w:lang w:val="en-ZA" w:eastAsia="en-GB"/>
        </w:rPr>
        <w:t xml:space="preserve">a </w:t>
      </w:r>
      <w:r w:rsidR="00D04F4F" w:rsidRPr="004678AD">
        <w:rPr>
          <w:color w:val="000000" w:themeColor="text1"/>
          <w:szCs w:val="24"/>
        </w:rPr>
        <w:t xml:space="preserve">legally enforceable </w:t>
      </w:r>
      <w:r w:rsidR="0079307E" w:rsidRPr="004678AD">
        <w:rPr>
          <w:color w:val="000000" w:themeColor="text1"/>
          <w:szCs w:val="24"/>
        </w:rPr>
        <w:t>right</w:t>
      </w:r>
      <w:r w:rsidR="00D04F4F" w:rsidRPr="004678AD">
        <w:rPr>
          <w:color w:val="000000" w:themeColor="text1"/>
          <w:szCs w:val="24"/>
        </w:rPr>
        <w:t xml:space="preserve"> </w:t>
      </w:r>
      <w:r w:rsidR="005B2DCF" w:rsidRPr="004678AD">
        <w:rPr>
          <w:color w:val="000000" w:themeColor="text1"/>
          <w:szCs w:val="24"/>
        </w:rPr>
        <w:t>of support</w:t>
      </w:r>
      <w:r w:rsidR="009877FD" w:rsidRPr="004678AD">
        <w:rPr>
          <w:color w:val="000000" w:themeColor="text1"/>
          <w:szCs w:val="24"/>
        </w:rPr>
        <w:t xml:space="preserve"> </w:t>
      </w:r>
      <w:r w:rsidR="00222EC3" w:rsidRPr="004678AD">
        <w:rPr>
          <w:color w:val="000000" w:themeColor="text1"/>
          <w:szCs w:val="24"/>
        </w:rPr>
        <w:t>has been established</w:t>
      </w:r>
      <w:r w:rsidR="00B05A4D" w:rsidRPr="004678AD">
        <w:rPr>
          <w:color w:val="000000" w:themeColor="text1"/>
          <w:szCs w:val="24"/>
        </w:rPr>
        <w:t xml:space="preserve"> </w:t>
      </w:r>
      <w:r w:rsidR="00B05A4D" w:rsidRPr="004678AD">
        <w:rPr>
          <w:color w:val="000000" w:themeColor="text1"/>
          <w:szCs w:val="24"/>
          <w:shd w:val="clear" w:color="auto" w:fill="FFFFFF"/>
          <w:lang w:val="en-ZA" w:eastAsia="en-GB"/>
        </w:rPr>
        <w:t>for the minor child</w:t>
      </w:r>
      <w:r w:rsidR="00D04F4F" w:rsidRPr="004678AD">
        <w:rPr>
          <w:color w:val="000000" w:themeColor="text1"/>
          <w:szCs w:val="24"/>
        </w:rPr>
        <w:t>.</w:t>
      </w:r>
      <w:r w:rsidR="00D04F4F" w:rsidRPr="004678AD">
        <w:rPr>
          <w:rStyle w:val="FootnoteReference"/>
          <w:color w:val="000000" w:themeColor="text1"/>
          <w:szCs w:val="24"/>
        </w:rPr>
        <w:footnoteReference w:id="16"/>
      </w:r>
    </w:p>
    <w:p w14:paraId="53A2792A" w14:textId="1071B8E9" w:rsidR="00E150F5"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[12]</w:t>
      </w:r>
      <w:r w:rsidRPr="004678AD">
        <w:rPr>
          <w:color w:val="000000" w:themeColor="text1"/>
          <w:szCs w:val="24"/>
        </w:rPr>
        <w:tab/>
      </w:r>
      <w:r w:rsidR="00430379" w:rsidRPr="004678AD">
        <w:rPr>
          <w:color w:val="000000" w:themeColor="text1"/>
          <w:szCs w:val="24"/>
        </w:rPr>
        <w:t>Concerning</w:t>
      </w:r>
      <w:r w:rsidR="000A687E" w:rsidRPr="004678AD">
        <w:rPr>
          <w:color w:val="000000" w:themeColor="text1"/>
          <w:szCs w:val="24"/>
        </w:rPr>
        <w:t xml:space="preserve"> the </w:t>
      </w:r>
      <w:r w:rsidR="00FD4BD5" w:rsidRPr="004678AD">
        <w:rPr>
          <w:color w:val="000000" w:themeColor="text1"/>
          <w:szCs w:val="24"/>
        </w:rPr>
        <w:t>p</w:t>
      </w:r>
      <w:r w:rsidR="000A687E" w:rsidRPr="004678AD">
        <w:rPr>
          <w:color w:val="000000" w:themeColor="text1"/>
          <w:szCs w:val="24"/>
        </w:rPr>
        <w:t>laintiff, our courts acknowledge that a culturally determined</w:t>
      </w:r>
      <w:r w:rsidR="000A687E" w:rsidRPr="004678AD">
        <w:rPr>
          <w:color w:val="000000" w:themeColor="text1"/>
          <w:szCs w:val="24"/>
          <w:vertAlign w:val="superscript"/>
        </w:rPr>
        <w:footnoteReference w:id="17"/>
      </w:r>
      <w:r w:rsidR="000A687E" w:rsidRPr="004678AD">
        <w:rPr>
          <w:color w:val="000000" w:themeColor="text1"/>
          <w:szCs w:val="24"/>
        </w:rPr>
        <w:t xml:space="preserve"> and broader concept of </w:t>
      </w:r>
      <w:r w:rsidR="00430379" w:rsidRPr="004678AD">
        <w:rPr>
          <w:color w:val="000000" w:themeColor="text1"/>
          <w:szCs w:val="24"/>
        </w:rPr>
        <w:t>“family”</w:t>
      </w:r>
      <w:r w:rsidR="000A687E" w:rsidRPr="004678AD">
        <w:rPr>
          <w:color w:val="000000" w:themeColor="text1"/>
          <w:szCs w:val="24"/>
          <w:vertAlign w:val="superscript"/>
        </w:rPr>
        <w:footnoteReference w:id="18"/>
      </w:r>
      <w:r w:rsidR="000A687E" w:rsidRPr="004678AD">
        <w:rPr>
          <w:color w:val="000000" w:themeColor="text1"/>
          <w:szCs w:val="24"/>
        </w:rPr>
        <w:t xml:space="preserve"> requires the recognition of a duty of</w:t>
      </w:r>
      <w:bookmarkStart w:id="2" w:name="LPHit109"/>
      <w:bookmarkEnd w:id="2"/>
      <w:r w:rsidR="000A687E" w:rsidRPr="004678AD">
        <w:rPr>
          <w:color w:val="000000" w:themeColor="text1"/>
          <w:szCs w:val="24"/>
        </w:rPr>
        <w:t xml:space="preserve"> support by persons who are in family-like relationships.</w:t>
      </w:r>
      <w:r w:rsidR="000A687E" w:rsidRPr="004678AD">
        <w:rPr>
          <w:color w:val="000000" w:themeColor="text1"/>
          <w:szCs w:val="24"/>
          <w:vertAlign w:val="superscript"/>
        </w:rPr>
        <w:footnoteReference w:id="19"/>
      </w:r>
      <w:r w:rsidR="000A687E" w:rsidRPr="004678AD">
        <w:rPr>
          <w:color w:val="000000" w:themeColor="text1"/>
          <w:szCs w:val="24"/>
        </w:rPr>
        <w:t xml:space="preserve">  In </w:t>
      </w:r>
      <w:r w:rsidR="00CF1A4E" w:rsidRPr="004678AD">
        <w:rPr>
          <w:i/>
          <w:color w:val="000000" w:themeColor="text1"/>
          <w:szCs w:val="24"/>
        </w:rPr>
        <w:t>Paixão</w:t>
      </w:r>
      <w:r w:rsidR="000A687E" w:rsidRPr="004678AD">
        <w:rPr>
          <w:i/>
          <w:color w:val="000000" w:themeColor="text1"/>
          <w:szCs w:val="24"/>
        </w:rPr>
        <w:t xml:space="preserve"> v RAF</w:t>
      </w:r>
      <w:r w:rsidR="00430379" w:rsidRPr="004678AD">
        <w:rPr>
          <w:color w:val="000000" w:themeColor="text1"/>
          <w:szCs w:val="24"/>
        </w:rPr>
        <w:t>,</w:t>
      </w:r>
      <w:r w:rsidR="000A687E" w:rsidRPr="004678AD">
        <w:rPr>
          <w:color w:val="000000" w:themeColor="text1"/>
          <w:szCs w:val="24"/>
        </w:rPr>
        <w:t xml:space="preserve"> the court stated</w:t>
      </w:r>
      <w:r w:rsidR="00E150F5" w:rsidRPr="004678AD">
        <w:rPr>
          <w:color w:val="000000" w:themeColor="text1"/>
          <w:szCs w:val="24"/>
        </w:rPr>
        <w:t>:</w:t>
      </w:r>
    </w:p>
    <w:p w14:paraId="3CC4BF81" w14:textId="1B0F32E7" w:rsidR="000A687E" w:rsidRPr="004678AD" w:rsidRDefault="000A687E" w:rsidP="004678AD">
      <w:pPr>
        <w:pStyle w:val="JudgmentNumbered"/>
        <w:numPr>
          <w:ilvl w:val="0"/>
          <w:numId w:val="0"/>
        </w:numPr>
        <w:ind w:left="567"/>
        <w:rPr>
          <w:color w:val="000000" w:themeColor="text1"/>
          <w:szCs w:val="24"/>
        </w:rPr>
      </w:pPr>
      <w:r w:rsidRPr="004678AD">
        <w:rPr>
          <w:iCs/>
          <w:color w:val="000000" w:themeColor="text1"/>
          <w:szCs w:val="24"/>
        </w:rPr>
        <w:t>“[t]he proper question to ask is whether the facts establish a legally enforceable duty of support arising out of a relationship akin to marriage.</w:t>
      </w:r>
      <w:r w:rsidR="0009739F" w:rsidRPr="004678AD">
        <w:rPr>
          <w:iCs/>
          <w:color w:val="000000" w:themeColor="text1"/>
          <w:szCs w:val="24"/>
        </w:rPr>
        <w:t>”</w:t>
      </w:r>
      <w:r w:rsidR="008C1878" w:rsidRPr="004678AD">
        <w:rPr>
          <w:rStyle w:val="FootnoteReference"/>
          <w:color w:val="000000" w:themeColor="text1"/>
          <w:szCs w:val="24"/>
        </w:rPr>
        <w:footnoteReference w:id="20"/>
      </w:r>
      <w:r w:rsidR="008C1878" w:rsidRPr="004678AD">
        <w:rPr>
          <w:color w:val="000000" w:themeColor="text1"/>
          <w:szCs w:val="24"/>
        </w:rPr>
        <w:t xml:space="preserve"> </w:t>
      </w:r>
      <w:r w:rsidRPr="004678AD">
        <w:rPr>
          <w:color w:val="000000" w:themeColor="text1"/>
          <w:szCs w:val="24"/>
        </w:rPr>
        <w:t xml:space="preserve">  </w:t>
      </w:r>
    </w:p>
    <w:p w14:paraId="1D036F05" w14:textId="5A5881A0" w:rsidR="001B1932"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[13]</w:t>
      </w:r>
      <w:r w:rsidRPr="004678AD">
        <w:rPr>
          <w:color w:val="000000" w:themeColor="text1"/>
          <w:szCs w:val="24"/>
        </w:rPr>
        <w:tab/>
      </w:r>
      <w:r w:rsidR="001B1932" w:rsidRPr="004678AD">
        <w:rPr>
          <w:color w:val="000000" w:themeColor="text1"/>
          <w:szCs w:val="24"/>
        </w:rPr>
        <w:t>A duty of support is therefore established from the fact-specific circumstances of relationships from which it is shown that a binding duty of support has been assumed.</w:t>
      </w:r>
      <w:r w:rsidR="001B1932" w:rsidRPr="004678AD">
        <w:rPr>
          <w:color w:val="000000" w:themeColor="text1"/>
          <w:szCs w:val="24"/>
          <w:vertAlign w:val="superscript"/>
        </w:rPr>
        <w:footnoteReference w:id="21"/>
      </w:r>
      <w:r w:rsidR="001B1932" w:rsidRPr="004678AD">
        <w:rPr>
          <w:color w:val="000000" w:themeColor="text1"/>
          <w:szCs w:val="24"/>
        </w:rPr>
        <w:t xml:space="preserve">  </w:t>
      </w:r>
    </w:p>
    <w:p w14:paraId="4D32A2AC" w14:textId="0E227112" w:rsidR="00421A85"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[14]</w:t>
      </w:r>
      <w:r w:rsidRPr="004678AD">
        <w:rPr>
          <w:color w:val="000000" w:themeColor="text1"/>
          <w:szCs w:val="24"/>
        </w:rPr>
        <w:tab/>
      </w:r>
      <w:r w:rsidR="008970DD" w:rsidRPr="004678AD">
        <w:rPr>
          <w:color w:val="000000" w:themeColor="text1"/>
          <w:szCs w:val="24"/>
        </w:rPr>
        <w:t>On the un</w:t>
      </w:r>
      <w:r w:rsidR="000A687E" w:rsidRPr="004678AD">
        <w:rPr>
          <w:color w:val="000000" w:themeColor="text1"/>
          <w:szCs w:val="24"/>
        </w:rPr>
        <w:t>dispute</w:t>
      </w:r>
      <w:r w:rsidR="008970DD" w:rsidRPr="004678AD">
        <w:rPr>
          <w:color w:val="000000" w:themeColor="text1"/>
          <w:szCs w:val="24"/>
        </w:rPr>
        <w:t>d evidence,</w:t>
      </w:r>
      <w:r w:rsidR="000A687E" w:rsidRPr="004678AD">
        <w:rPr>
          <w:color w:val="000000" w:themeColor="text1"/>
          <w:szCs w:val="24"/>
        </w:rPr>
        <w:t xml:space="preserve"> </w:t>
      </w:r>
      <w:r w:rsidR="0010493A" w:rsidRPr="004678AD">
        <w:rPr>
          <w:color w:val="000000" w:themeColor="text1"/>
          <w:szCs w:val="24"/>
        </w:rPr>
        <w:t>t</w:t>
      </w:r>
      <w:r w:rsidR="0010493A" w:rsidRPr="004678AD">
        <w:rPr>
          <w:rFonts w:eastAsia="Times New Roman"/>
          <w:color w:val="000000" w:themeColor="text1"/>
          <w:szCs w:val="24"/>
          <w:shd w:val="clear" w:color="auto" w:fill="FFFFFF"/>
          <w:lang w:val="en-ZA" w:eastAsia="en-GB"/>
        </w:rPr>
        <w:t xml:space="preserve">he plaintiff </w:t>
      </w:r>
      <w:r w:rsidR="00100D08" w:rsidRPr="004678AD">
        <w:rPr>
          <w:rFonts w:eastAsia="Times New Roman"/>
          <w:color w:val="000000" w:themeColor="text1"/>
          <w:szCs w:val="24"/>
          <w:shd w:val="clear" w:color="auto" w:fill="FFFFFF"/>
          <w:lang w:val="en-ZA" w:eastAsia="en-GB"/>
        </w:rPr>
        <w:t xml:space="preserve">resided with the deceased, </w:t>
      </w:r>
      <w:r w:rsidR="00E67FB9" w:rsidRPr="004678AD">
        <w:rPr>
          <w:rFonts w:eastAsia="Times New Roman"/>
          <w:color w:val="000000" w:themeColor="text1"/>
          <w:szCs w:val="24"/>
          <w:shd w:val="clear" w:color="auto" w:fill="FFFFFF"/>
          <w:lang w:val="en-ZA" w:eastAsia="en-GB"/>
        </w:rPr>
        <w:t xml:space="preserve">was the biological mother of their minor child </w:t>
      </w:r>
      <w:r w:rsidR="002F5B75" w:rsidRPr="004678AD">
        <w:rPr>
          <w:rFonts w:eastAsia="Times New Roman"/>
          <w:color w:val="000000" w:themeColor="text1"/>
          <w:szCs w:val="24"/>
          <w:shd w:val="clear" w:color="auto" w:fill="FFFFFF"/>
          <w:lang w:val="en-ZA" w:eastAsia="en-GB"/>
        </w:rPr>
        <w:t xml:space="preserve">and </w:t>
      </w:r>
      <w:r w:rsidR="007C2187" w:rsidRPr="004678AD">
        <w:rPr>
          <w:rFonts w:eastAsia="Times New Roman"/>
          <w:color w:val="000000" w:themeColor="text1"/>
          <w:szCs w:val="24"/>
          <w:shd w:val="clear" w:color="auto" w:fill="FFFFFF"/>
          <w:lang w:val="en-ZA" w:eastAsia="en-GB"/>
        </w:rPr>
        <w:t>the deceased</w:t>
      </w:r>
      <w:r w:rsidR="002F5B75" w:rsidRPr="004678AD">
        <w:rPr>
          <w:rFonts w:eastAsia="Times New Roman"/>
          <w:color w:val="000000" w:themeColor="text1"/>
          <w:szCs w:val="24"/>
          <w:shd w:val="clear" w:color="auto" w:fill="FFFFFF"/>
          <w:lang w:val="en-ZA" w:eastAsia="en-GB"/>
        </w:rPr>
        <w:t xml:space="preserve"> </w:t>
      </w:r>
      <w:r w:rsidR="006C3DDB" w:rsidRPr="004678AD">
        <w:rPr>
          <w:rFonts w:eastAsia="Times New Roman"/>
          <w:color w:val="000000" w:themeColor="text1"/>
          <w:szCs w:val="24"/>
          <w:shd w:val="clear" w:color="auto" w:fill="FFFFFF"/>
          <w:lang w:val="en-ZA" w:eastAsia="en-GB"/>
        </w:rPr>
        <w:t xml:space="preserve">provided </w:t>
      </w:r>
      <w:r w:rsidR="007D15A2" w:rsidRPr="004678AD">
        <w:rPr>
          <w:rFonts w:eastAsia="Times New Roman"/>
          <w:color w:val="000000" w:themeColor="text1"/>
          <w:szCs w:val="24"/>
          <w:shd w:val="clear" w:color="auto" w:fill="FFFFFF"/>
          <w:lang w:val="en-ZA" w:eastAsia="en-GB"/>
        </w:rPr>
        <w:t xml:space="preserve">her with </w:t>
      </w:r>
      <w:r w:rsidR="006C3DDB" w:rsidRPr="004678AD">
        <w:rPr>
          <w:rFonts w:eastAsia="Times New Roman"/>
          <w:color w:val="000000" w:themeColor="text1"/>
          <w:szCs w:val="24"/>
          <w:shd w:val="clear" w:color="auto" w:fill="FFFFFF"/>
          <w:lang w:val="en-ZA" w:eastAsia="en-GB"/>
        </w:rPr>
        <w:t>financial</w:t>
      </w:r>
      <w:r w:rsidR="00220AF7" w:rsidRPr="004678AD">
        <w:rPr>
          <w:rFonts w:eastAsia="Times New Roman"/>
          <w:color w:val="000000" w:themeColor="text1"/>
          <w:szCs w:val="24"/>
          <w:shd w:val="clear" w:color="auto" w:fill="FFFFFF"/>
          <w:lang w:val="en-ZA" w:eastAsia="en-GB"/>
        </w:rPr>
        <w:t xml:space="preserve"> </w:t>
      </w:r>
      <w:r w:rsidR="0010493A" w:rsidRPr="004678AD">
        <w:rPr>
          <w:rFonts w:eastAsia="Times New Roman"/>
          <w:color w:val="000000" w:themeColor="text1"/>
          <w:szCs w:val="24"/>
          <w:shd w:val="clear" w:color="auto" w:fill="FFFFFF"/>
          <w:lang w:val="en-ZA" w:eastAsia="en-GB"/>
        </w:rPr>
        <w:t>support</w:t>
      </w:r>
      <w:r w:rsidR="00C11CBF" w:rsidRPr="004678AD">
        <w:rPr>
          <w:rFonts w:eastAsia="Times New Roman"/>
          <w:color w:val="000000" w:themeColor="text1"/>
          <w:szCs w:val="24"/>
          <w:shd w:val="clear" w:color="auto" w:fill="FFFFFF"/>
          <w:lang w:val="en-ZA" w:eastAsia="en-GB"/>
        </w:rPr>
        <w:t xml:space="preserve">. </w:t>
      </w:r>
      <w:r w:rsidR="00220AF7" w:rsidRPr="004678AD">
        <w:rPr>
          <w:rFonts w:eastAsia="Times New Roman"/>
          <w:color w:val="000000" w:themeColor="text1"/>
          <w:szCs w:val="24"/>
          <w:shd w:val="clear" w:color="auto" w:fill="FFFFFF"/>
          <w:lang w:val="en-ZA" w:eastAsia="en-GB"/>
        </w:rPr>
        <w:t xml:space="preserve"> </w:t>
      </w:r>
      <w:r w:rsidR="005428A1" w:rsidRPr="004678AD">
        <w:rPr>
          <w:rFonts w:eastAsia="Times New Roman"/>
          <w:color w:val="000000" w:themeColor="text1"/>
          <w:szCs w:val="24"/>
          <w:shd w:val="clear" w:color="auto" w:fill="FFFFFF"/>
          <w:lang w:val="en-ZA" w:eastAsia="en-GB"/>
        </w:rPr>
        <w:t>The inference to be drawn from these facts</w:t>
      </w:r>
      <w:r w:rsidR="00972B4A" w:rsidRPr="004678AD">
        <w:rPr>
          <w:rFonts w:eastAsia="Times New Roman"/>
          <w:color w:val="000000" w:themeColor="text1"/>
          <w:szCs w:val="24"/>
          <w:shd w:val="clear" w:color="auto" w:fill="FFFFFF"/>
          <w:lang w:val="en-ZA" w:eastAsia="en-GB"/>
        </w:rPr>
        <w:t>,</w:t>
      </w:r>
      <w:r w:rsidR="005428A1" w:rsidRPr="004678AD">
        <w:rPr>
          <w:rFonts w:eastAsia="Times New Roman"/>
          <w:color w:val="000000" w:themeColor="text1"/>
          <w:szCs w:val="24"/>
          <w:shd w:val="clear" w:color="auto" w:fill="FFFFFF"/>
          <w:lang w:val="en-ZA" w:eastAsia="en-GB"/>
        </w:rPr>
        <w:t xml:space="preserve"> </w:t>
      </w:r>
      <w:r w:rsidR="002B67B2" w:rsidRPr="004678AD">
        <w:rPr>
          <w:rFonts w:eastAsia="Times New Roman"/>
          <w:color w:val="000000" w:themeColor="text1"/>
          <w:szCs w:val="24"/>
          <w:shd w:val="clear" w:color="auto" w:fill="FFFFFF"/>
          <w:lang w:val="en-ZA" w:eastAsia="en-GB"/>
        </w:rPr>
        <w:t xml:space="preserve">notwithstanding </w:t>
      </w:r>
      <w:r w:rsidR="00202360" w:rsidRPr="004678AD">
        <w:rPr>
          <w:rFonts w:eastAsia="Times New Roman"/>
          <w:color w:val="000000" w:themeColor="text1"/>
          <w:szCs w:val="24"/>
          <w:shd w:val="clear" w:color="auto" w:fill="FFFFFF"/>
          <w:lang w:val="en-ZA" w:eastAsia="en-GB"/>
        </w:rPr>
        <w:t>the absence of an express agreement,</w:t>
      </w:r>
      <w:r w:rsidR="00972B4A" w:rsidRPr="004678AD">
        <w:rPr>
          <w:rFonts w:eastAsia="Times New Roman"/>
          <w:color w:val="000000" w:themeColor="text1"/>
          <w:szCs w:val="24"/>
          <w:shd w:val="clear" w:color="auto" w:fill="FFFFFF"/>
          <w:lang w:val="en-ZA" w:eastAsia="en-GB"/>
        </w:rPr>
        <w:t xml:space="preserve"> is that</w:t>
      </w:r>
      <w:r w:rsidR="00202360" w:rsidRPr="004678AD">
        <w:rPr>
          <w:rFonts w:eastAsia="Times New Roman"/>
          <w:color w:val="000000" w:themeColor="text1"/>
          <w:szCs w:val="24"/>
          <w:shd w:val="clear" w:color="auto" w:fill="FFFFFF"/>
          <w:lang w:val="en-ZA" w:eastAsia="en-GB"/>
        </w:rPr>
        <w:t xml:space="preserve"> </w:t>
      </w:r>
      <w:r w:rsidR="00E9766A" w:rsidRPr="004678AD">
        <w:rPr>
          <w:rFonts w:eastAsia="Times New Roman"/>
          <w:color w:val="000000" w:themeColor="text1"/>
          <w:szCs w:val="24"/>
          <w:shd w:val="clear" w:color="auto" w:fill="FFFFFF"/>
          <w:lang w:val="en-ZA" w:eastAsia="en-GB"/>
        </w:rPr>
        <w:t>the</w:t>
      </w:r>
      <w:r w:rsidR="007C770E" w:rsidRPr="004678AD">
        <w:rPr>
          <w:rFonts w:eastAsia="Times New Roman"/>
          <w:color w:val="000000" w:themeColor="text1"/>
          <w:szCs w:val="24"/>
          <w:shd w:val="clear" w:color="auto" w:fill="FFFFFF"/>
          <w:lang w:val="en-ZA" w:eastAsia="en-GB"/>
        </w:rPr>
        <w:t>re existed an</w:t>
      </w:r>
      <w:r w:rsidR="00155868" w:rsidRPr="004678AD">
        <w:rPr>
          <w:rFonts w:eastAsia="Times New Roman"/>
          <w:color w:val="000000" w:themeColor="text1"/>
          <w:szCs w:val="24"/>
          <w:shd w:val="clear" w:color="auto" w:fill="FFFFFF"/>
          <w:lang w:val="en-ZA" w:eastAsia="en-GB"/>
        </w:rPr>
        <w:t xml:space="preserve"> implied or</w:t>
      </w:r>
      <w:r w:rsidR="005428A1" w:rsidRPr="004678AD">
        <w:rPr>
          <w:rFonts w:eastAsia="Times New Roman"/>
          <w:color w:val="000000" w:themeColor="text1"/>
          <w:szCs w:val="24"/>
          <w:shd w:val="clear" w:color="auto" w:fill="FFFFFF"/>
          <w:lang w:val="en-ZA" w:eastAsia="en-GB"/>
        </w:rPr>
        <w:t xml:space="preserve"> taci</w:t>
      </w:r>
      <w:r w:rsidR="00155868" w:rsidRPr="004678AD">
        <w:rPr>
          <w:rFonts w:eastAsia="Times New Roman"/>
          <w:color w:val="000000" w:themeColor="text1"/>
          <w:szCs w:val="24"/>
          <w:shd w:val="clear" w:color="auto" w:fill="FFFFFF"/>
          <w:lang w:val="en-ZA" w:eastAsia="en-GB"/>
        </w:rPr>
        <w:t>t</w:t>
      </w:r>
      <w:r w:rsidR="001B1224" w:rsidRPr="004678AD">
        <w:rPr>
          <w:rFonts w:eastAsia="Times New Roman"/>
          <w:color w:val="000000" w:themeColor="text1"/>
          <w:szCs w:val="24"/>
          <w:shd w:val="clear" w:color="auto" w:fill="FFFFFF"/>
          <w:lang w:val="en-ZA" w:eastAsia="en-GB"/>
        </w:rPr>
        <w:t>ly</w:t>
      </w:r>
      <w:r w:rsidR="005428A1" w:rsidRPr="004678AD">
        <w:rPr>
          <w:rFonts w:eastAsia="Times New Roman"/>
          <w:color w:val="000000" w:themeColor="text1"/>
          <w:szCs w:val="24"/>
          <w:shd w:val="clear" w:color="auto" w:fill="FFFFFF"/>
          <w:lang w:val="en-ZA" w:eastAsia="en-GB"/>
        </w:rPr>
        <w:t xml:space="preserve"> assum</w:t>
      </w:r>
      <w:r w:rsidR="001B1224" w:rsidRPr="004678AD">
        <w:rPr>
          <w:rFonts w:eastAsia="Times New Roman"/>
          <w:color w:val="000000" w:themeColor="text1"/>
          <w:szCs w:val="24"/>
          <w:shd w:val="clear" w:color="auto" w:fill="FFFFFF"/>
          <w:lang w:val="en-ZA" w:eastAsia="en-GB"/>
        </w:rPr>
        <w:t>ed</w:t>
      </w:r>
      <w:r w:rsidR="00B67E91" w:rsidRPr="004678AD">
        <w:rPr>
          <w:rFonts w:eastAsia="Times New Roman"/>
          <w:color w:val="000000" w:themeColor="text1"/>
          <w:szCs w:val="24"/>
          <w:shd w:val="clear" w:color="auto" w:fill="FFFFFF"/>
          <w:lang w:val="en-ZA" w:eastAsia="en-GB"/>
        </w:rPr>
        <w:t xml:space="preserve"> reciprocal duty of support.</w:t>
      </w:r>
      <w:r w:rsidR="003A72D9" w:rsidRPr="004678AD">
        <w:rPr>
          <w:color w:val="000000" w:themeColor="text1"/>
          <w:szCs w:val="24"/>
        </w:rPr>
        <w:t xml:space="preserve">  </w:t>
      </w:r>
      <w:r w:rsidR="00C11CBF" w:rsidRPr="004678AD">
        <w:rPr>
          <w:rFonts w:eastAsia="Times New Roman"/>
          <w:color w:val="000000" w:themeColor="text1"/>
          <w:szCs w:val="24"/>
          <w:shd w:val="clear" w:color="auto" w:fill="FFFFFF"/>
          <w:lang w:val="en-ZA" w:eastAsia="en-GB"/>
        </w:rPr>
        <w:t>T</w:t>
      </w:r>
      <w:r w:rsidR="000A687E" w:rsidRPr="004678AD">
        <w:rPr>
          <w:color w:val="000000" w:themeColor="text1"/>
          <w:szCs w:val="24"/>
        </w:rPr>
        <w:t xml:space="preserve">he nature of the </w:t>
      </w:r>
      <w:r w:rsidR="00FD4BD5" w:rsidRPr="004678AD">
        <w:rPr>
          <w:color w:val="000000" w:themeColor="text1"/>
          <w:szCs w:val="24"/>
        </w:rPr>
        <w:t>p</w:t>
      </w:r>
      <w:r w:rsidR="000A687E" w:rsidRPr="004678AD">
        <w:rPr>
          <w:color w:val="000000" w:themeColor="text1"/>
          <w:szCs w:val="24"/>
        </w:rPr>
        <w:t xml:space="preserve">laintiff’s relationship with the deceased </w:t>
      </w:r>
      <w:r w:rsidR="00EC001B" w:rsidRPr="004678AD">
        <w:rPr>
          <w:color w:val="000000" w:themeColor="text1"/>
          <w:szCs w:val="24"/>
        </w:rPr>
        <w:t xml:space="preserve">is akin to marriage and </w:t>
      </w:r>
      <w:r w:rsidR="00D20CEA" w:rsidRPr="004678AD">
        <w:rPr>
          <w:color w:val="000000" w:themeColor="text1"/>
          <w:szCs w:val="24"/>
        </w:rPr>
        <w:t xml:space="preserve">on this basis, </w:t>
      </w:r>
      <w:r w:rsidR="005770D5" w:rsidRPr="004678AD">
        <w:rPr>
          <w:color w:val="000000" w:themeColor="text1"/>
          <w:szCs w:val="24"/>
        </w:rPr>
        <w:t xml:space="preserve">the evidence </w:t>
      </w:r>
      <w:r w:rsidR="00523CB5" w:rsidRPr="004678AD">
        <w:rPr>
          <w:color w:val="000000" w:themeColor="text1"/>
          <w:szCs w:val="24"/>
        </w:rPr>
        <w:t xml:space="preserve">demonstrates </w:t>
      </w:r>
      <w:r w:rsidR="00560CEB" w:rsidRPr="004678AD">
        <w:rPr>
          <w:color w:val="000000" w:themeColor="text1"/>
          <w:szCs w:val="24"/>
        </w:rPr>
        <w:t>a</w:t>
      </w:r>
      <w:r w:rsidR="000A687E" w:rsidRPr="004678AD">
        <w:rPr>
          <w:color w:val="000000" w:themeColor="text1"/>
          <w:szCs w:val="24"/>
        </w:rPr>
        <w:t xml:space="preserve"> legally enforceable </w:t>
      </w:r>
      <w:r w:rsidR="00A83DA2" w:rsidRPr="004678AD">
        <w:rPr>
          <w:color w:val="000000" w:themeColor="text1"/>
          <w:szCs w:val="24"/>
        </w:rPr>
        <w:t>right</w:t>
      </w:r>
      <w:r w:rsidR="000A687E" w:rsidRPr="004678AD">
        <w:rPr>
          <w:color w:val="000000" w:themeColor="text1"/>
          <w:szCs w:val="24"/>
        </w:rPr>
        <w:t xml:space="preserve"> of support</w:t>
      </w:r>
      <w:r w:rsidR="003B2E4B" w:rsidRPr="004678AD">
        <w:rPr>
          <w:color w:val="000000" w:themeColor="text1"/>
          <w:szCs w:val="24"/>
        </w:rPr>
        <w:t xml:space="preserve"> for the plaintiff.</w:t>
      </w:r>
      <w:r w:rsidR="000A687E" w:rsidRPr="004678AD">
        <w:rPr>
          <w:color w:val="000000" w:themeColor="text1"/>
          <w:szCs w:val="24"/>
        </w:rPr>
        <w:t xml:space="preserve"> </w:t>
      </w:r>
    </w:p>
    <w:p w14:paraId="08862FE3" w14:textId="40FEE84C" w:rsidR="001A75FF"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[15]</w:t>
      </w:r>
      <w:r w:rsidRPr="004678AD">
        <w:rPr>
          <w:color w:val="000000" w:themeColor="text1"/>
          <w:szCs w:val="24"/>
        </w:rPr>
        <w:tab/>
      </w:r>
      <w:r w:rsidR="00874E03" w:rsidRPr="004678AD">
        <w:rPr>
          <w:color w:val="000000" w:themeColor="text1"/>
          <w:szCs w:val="24"/>
        </w:rPr>
        <w:t xml:space="preserve">Accordingly, I am of the view that </w:t>
      </w:r>
      <w:r w:rsidR="0065668F" w:rsidRPr="004678AD">
        <w:rPr>
          <w:color w:val="000000" w:themeColor="text1"/>
          <w:szCs w:val="24"/>
        </w:rPr>
        <w:t>a legally enforceable right to claim loss of support has been established for</w:t>
      </w:r>
      <w:r w:rsidR="0004726D" w:rsidRPr="004678AD">
        <w:rPr>
          <w:color w:val="000000" w:themeColor="text1"/>
          <w:szCs w:val="24"/>
        </w:rPr>
        <w:t xml:space="preserve"> both</w:t>
      </w:r>
      <w:r w:rsidR="0065668F" w:rsidRPr="004678AD">
        <w:rPr>
          <w:color w:val="000000" w:themeColor="text1"/>
          <w:szCs w:val="24"/>
        </w:rPr>
        <w:t xml:space="preserve"> the plaintiff and the minor child.  </w:t>
      </w:r>
    </w:p>
    <w:p w14:paraId="35ECEF45" w14:textId="3BFE1FC7" w:rsidR="000A687E" w:rsidRPr="004678AD" w:rsidRDefault="001B3050" w:rsidP="004678AD">
      <w:pPr>
        <w:pStyle w:val="JudgmentNumbered"/>
        <w:numPr>
          <w:ilvl w:val="0"/>
          <w:numId w:val="0"/>
        </w:numPr>
        <w:rPr>
          <w:bCs/>
          <w:i/>
          <w:color w:val="000000" w:themeColor="text1"/>
          <w:szCs w:val="24"/>
        </w:rPr>
      </w:pPr>
      <w:r w:rsidRPr="004678AD">
        <w:rPr>
          <w:bCs/>
          <w:i/>
          <w:color w:val="000000" w:themeColor="text1"/>
          <w:szCs w:val="24"/>
        </w:rPr>
        <w:t xml:space="preserve">Liability: </w:t>
      </w:r>
      <w:r w:rsidR="00CF1A4E" w:rsidRPr="004678AD">
        <w:rPr>
          <w:bCs/>
          <w:i/>
          <w:color w:val="000000" w:themeColor="text1"/>
          <w:szCs w:val="24"/>
        </w:rPr>
        <w:t>Negligent or wrongful act</w:t>
      </w:r>
    </w:p>
    <w:p w14:paraId="5DA3F7C4" w14:textId="07436ED0"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lastRenderedPageBreak/>
        <w:t>[16]</w:t>
      </w:r>
      <w:r w:rsidRPr="004678AD">
        <w:rPr>
          <w:color w:val="000000" w:themeColor="text1"/>
          <w:szCs w:val="24"/>
        </w:rPr>
        <w:tab/>
      </w:r>
      <w:r w:rsidR="00F74DA0" w:rsidRPr="004678AD">
        <w:rPr>
          <w:color w:val="000000" w:themeColor="text1"/>
          <w:szCs w:val="24"/>
        </w:rPr>
        <w:t>S</w:t>
      </w:r>
      <w:r w:rsidR="000A687E" w:rsidRPr="004678AD">
        <w:rPr>
          <w:color w:val="000000" w:themeColor="text1"/>
          <w:szCs w:val="24"/>
        </w:rPr>
        <w:t>tatutory liability in terms of section 17(1) of the RAF Act only arises where the</w:t>
      </w:r>
      <w:r w:rsidR="000A687E" w:rsidRPr="004678AD">
        <w:rPr>
          <w:iCs/>
          <w:color w:val="000000" w:themeColor="text1"/>
          <w:szCs w:val="24"/>
        </w:rPr>
        <w:t xml:space="preserve"> </w:t>
      </w:r>
      <w:r w:rsidR="000A687E" w:rsidRPr="004678AD">
        <w:rPr>
          <w:color w:val="000000" w:themeColor="text1"/>
          <w:szCs w:val="24"/>
        </w:rPr>
        <w:t>deceased was not the sole cause of the collision.</w:t>
      </w:r>
      <w:r w:rsidR="0084030D" w:rsidRPr="004678AD">
        <w:rPr>
          <w:color w:val="000000" w:themeColor="text1"/>
          <w:szCs w:val="24"/>
          <w:vertAlign w:val="superscript"/>
        </w:rPr>
        <w:footnoteReference w:id="22"/>
      </w:r>
      <w:r w:rsidR="0084030D" w:rsidRPr="004678AD">
        <w:rPr>
          <w:color w:val="000000" w:themeColor="text1"/>
          <w:szCs w:val="24"/>
        </w:rPr>
        <w:t xml:space="preserve">  </w:t>
      </w:r>
      <w:r w:rsidR="00D075E5" w:rsidRPr="004678AD">
        <w:rPr>
          <w:color w:val="000000" w:themeColor="text1"/>
          <w:szCs w:val="24"/>
        </w:rPr>
        <w:t>To discharge th</w:t>
      </w:r>
      <w:r w:rsidR="00FC0A5C" w:rsidRPr="004678AD">
        <w:rPr>
          <w:color w:val="000000" w:themeColor="text1"/>
          <w:szCs w:val="24"/>
        </w:rPr>
        <w:t>is</w:t>
      </w:r>
      <w:r w:rsidR="00D075E5" w:rsidRPr="004678AD">
        <w:rPr>
          <w:color w:val="000000" w:themeColor="text1"/>
          <w:szCs w:val="24"/>
        </w:rPr>
        <w:t xml:space="preserve"> onus, </w:t>
      </w:r>
      <w:r w:rsidR="00CC3E16" w:rsidRPr="004678AD">
        <w:rPr>
          <w:color w:val="000000" w:themeColor="text1"/>
          <w:szCs w:val="24"/>
        </w:rPr>
        <w:t>the</w:t>
      </w:r>
      <w:r w:rsidR="00266BE5" w:rsidRPr="004678AD">
        <w:rPr>
          <w:color w:val="000000" w:themeColor="text1"/>
          <w:szCs w:val="24"/>
        </w:rPr>
        <w:t xml:space="preserve"> plaintiff </w:t>
      </w:r>
      <w:r w:rsidR="00824F61" w:rsidRPr="004678AD">
        <w:rPr>
          <w:color w:val="000000" w:themeColor="text1"/>
          <w:szCs w:val="24"/>
        </w:rPr>
        <w:t xml:space="preserve">must show that the insured driver’s negligent or wrongful driving caused or contributed to the collision.  The evidence </w:t>
      </w:r>
      <w:r w:rsidR="00CC3E16" w:rsidRPr="004678AD">
        <w:rPr>
          <w:color w:val="000000" w:themeColor="text1"/>
          <w:szCs w:val="24"/>
        </w:rPr>
        <w:t xml:space="preserve">must </w:t>
      </w:r>
      <w:r w:rsidR="0012721A" w:rsidRPr="004678AD">
        <w:rPr>
          <w:color w:val="000000" w:themeColor="text1"/>
          <w:szCs w:val="24"/>
        </w:rPr>
        <w:t>demonstrate</w:t>
      </w:r>
      <w:r w:rsidR="00266BE5" w:rsidRPr="004678AD">
        <w:rPr>
          <w:iCs/>
          <w:color w:val="000000" w:themeColor="text1"/>
          <w:szCs w:val="24"/>
        </w:rPr>
        <w:t xml:space="preserve"> </w:t>
      </w:r>
      <w:r w:rsidR="000A687E" w:rsidRPr="004678AD">
        <w:rPr>
          <w:iCs/>
          <w:color w:val="000000" w:themeColor="text1"/>
          <w:szCs w:val="24"/>
        </w:rPr>
        <w:t xml:space="preserve">that </w:t>
      </w:r>
      <w:r w:rsidR="000A687E" w:rsidRPr="004678AD">
        <w:rPr>
          <w:color w:val="000000" w:themeColor="text1"/>
          <w:szCs w:val="24"/>
        </w:rPr>
        <w:t>the insured driver was at least “</w:t>
      </w:r>
      <w:r w:rsidR="000A687E" w:rsidRPr="004678AD">
        <w:rPr>
          <w:i/>
          <w:iCs/>
          <w:color w:val="000000" w:themeColor="text1"/>
          <w:szCs w:val="24"/>
        </w:rPr>
        <w:t>1% negligent</w:t>
      </w:r>
      <w:r w:rsidR="005C7E4A" w:rsidRPr="004678AD">
        <w:rPr>
          <w:i/>
          <w:iCs/>
          <w:color w:val="000000" w:themeColor="text1"/>
          <w:szCs w:val="24"/>
        </w:rPr>
        <w:t>.</w:t>
      </w:r>
      <w:r w:rsidR="000A687E" w:rsidRPr="004678AD">
        <w:rPr>
          <w:color w:val="000000" w:themeColor="text1"/>
          <w:szCs w:val="24"/>
        </w:rPr>
        <w:t>”</w:t>
      </w:r>
      <w:r w:rsidR="000A687E" w:rsidRPr="004678AD">
        <w:rPr>
          <w:color w:val="000000" w:themeColor="text1"/>
          <w:szCs w:val="24"/>
          <w:vertAlign w:val="superscript"/>
        </w:rPr>
        <w:footnoteReference w:id="23"/>
      </w:r>
      <w:r w:rsidR="000A687E" w:rsidRPr="004678AD">
        <w:rPr>
          <w:color w:val="000000" w:themeColor="text1"/>
          <w:szCs w:val="24"/>
        </w:rPr>
        <w:t xml:space="preserve"> </w:t>
      </w:r>
      <w:r w:rsidR="00F74DA0" w:rsidRPr="004678AD">
        <w:rPr>
          <w:color w:val="000000" w:themeColor="text1"/>
          <w:szCs w:val="24"/>
        </w:rPr>
        <w:t xml:space="preserve"> </w:t>
      </w:r>
    </w:p>
    <w:p w14:paraId="50410B42" w14:textId="4AC51F02" w:rsidR="00AC02B0"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[17]</w:t>
      </w:r>
      <w:r w:rsidRPr="004678AD">
        <w:rPr>
          <w:color w:val="000000" w:themeColor="text1"/>
          <w:szCs w:val="24"/>
        </w:rPr>
        <w:tab/>
      </w:r>
      <w:r w:rsidR="000A687E" w:rsidRPr="004678AD">
        <w:rPr>
          <w:color w:val="000000" w:themeColor="text1"/>
          <w:szCs w:val="24"/>
        </w:rPr>
        <w:t xml:space="preserve">The </w:t>
      </w:r>
      <w:r w:rsidR="00FD4BD5" w:rsidRPr="004678AD">
        <w:rPr>
          <w:color w:val="000000" w:themeColor="text1"/>
          <w:szCs w:val="24"/>
        </w:rPr>
        <w:t>p</w:t>
      </w:r>
      <w:r w:rsidR="000A687E" w:rsidRPr="004678AD">
        <w:rPr>
          <w:color w:val="000000" w:themeColor="text1"/>
          <w:szCs w:val="24"/>
        </w:rPr>
        <w:t>laintiff called one witness, Mr Thamsanqa Mavumba (Mr Mavumba)</w:t>
      </w:r>
      <w:r w:rsidR="00D1649B" w:rsidRPr="004678AD">
        <w:rPr>
          <w:color w:val="000000" w:themeColor="text1"/>
          <w:szCs w:val="24"/>
        </w:rPr>
        <w:t>,</w:t>
      </w:r>
      <w:r w:rsidR="000A687E" w:rsidRPr="004678AD">
        <w:rPr>
          <w:color w:val="000000" w:themeColor="text1"/>
          <w:szCs w:val="24"/>
        </w:rPr>
        <w:t xml:space="preserve"> an independent eyewitness</w:t>
      </w:r>
      <w:r w:rsidR="00310DCB" w:rsidRPr="004678AD">
        <w:rPr>
          <w:color w:val="000000" w:themeColor="text1"/>
          <w:szCs w:val="24"/>
        </w:rPr>
        <w:t xml:space="preserve">.  </w:t>
      </w:r>
      <w:r w:rsidR="000A687E" w:rsidRPr="004678AD">
        <w:rPr>
          <w:color w:val="000000" w:themeColor="text1"/>
          <w:szCs w:val="24"/>
        </w:rPr>
        <w:t xml:space="preserve">Mr Mavumba described Bophuthatswana Road as a single carriageway consisting of two lanes </w:t>
      </w:r>
      <w:r w:rsidR="009223FA" w:rsidRPr="004678AD">
        <w:rPr>
          <w:color w:val="000000" w:themeColor="text1"/>
          <w:szCs w:val="24"/>
        </w:rPr>
        <w:t>carrying</w:t>
      </w:r>
      <w:r w:rsidR="000A687E" w:rsidRPr="004678AD">
        <w:rPr>
          <w:color w:val="000000" w:themeColor="text1"/>
          <w:szCs w:val="24"/>
        </w:rPr>
        <w:t xml:space="preserve"> traffic travelling in opposite directions.  </w:t>
      </w:r>
      <w:r w:rsidR="005711F4" w:rsidRPr="004678AD">
        <w:rPr>
          <w:color w:val="000000" w:themeColor="text1"/>
          <w:szCs w:val="24"/>
        </w:rPr>
        <w:t xml:space="preserve">According to </w:t>
      </w:r>
      <w:r w:rsidR="000A687E" w:rsidRPr="004678AD">
        <w:rPr>
          <w:color w:val="000000" w:themeColor="text1"/>
          <w:szCs w:val="24"/>
        </w:rPr>
        <w:t>Mr Mavumba</w:t>
      </w:r>
      <w:r w:rsidR="005711F4" w:rsidRPr="004678AD">
        <w:rPr>
          <w:color w:val="000000" w:themeColor="text1"/>
          <w:szCs w:val="24"/>
        </w:rPr>
        <w:t xml:space="preserve">, </w:t>
      </w:r>
      <w:r w:rsidR="000A687E" w:rsidRPr="004678AD">
        <w:rPr>
          <w:color w:val="000000" w:themeColor="text1"/>
          <w:szCs w:val="24"/>
        </w:rPr>
        <w:t>Bophuthatswana Road has a wide shoulder, does not have streetlights</w:t>
      </w:r>
      <w:r w:rsidR="00430379" w:rsidRPr="004678AD">
        <w:rPr>
          <w:color w:val="000000" w:themeColor="text1"/>
          <w:szCs w:val="24"/>
        </w:rPr>
        <w:t>,</w:t>
      </w:r>
      <w:r w:rsidR="000A687E" w:rsidRPr="004678AD">
        <w:rPr>
          <w:color w:val="000000" w:themeColor="text1"/>
          <w:szCs w:val="24"/>
        </w:rPr>
        <w:t xml:space="preserve"> and is surrounded by bushes and some houses.  </w:t>
      </w:r>
    </w:p>
    <w:p w14:paraId="1C06E3BF" w14:textId="112EC841"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[18]</w:t>
      </w:r>
      <w:r w:rsidRPr="004678AD">
        <w:rPr>
          <w:color w:val="000000" w:themeColor="text1"/>
          <w:szCs w:val="24"/>
        </w:rPr>
        <w:tab/>
      </w:r>
      <w:r w:rsidR="000A687E" w:rsidRPr="004678AD">
        <w:rPr>
          <w:color w:val="000000" w:themeColor="text1"/>
          <w:szCs w:val="24"/>
        </w:rPr>
        <w:t xml:space="preserve">Mr Mavumba recalled that on the evening of 29 June 2017, at approximately 20h20, he was walking on the shoulder of Bophuthatswana Road with his back facing oncoming traffic proceeding towards his home in Meriting.  </w:t>
      </w:r>
      <w:r w:rsidR="00AD2CDE" w:rsidRPr="004678AD">
        <w:rPr>
          <w:color w:val="000000" w:themeColor="text1"/>
          <w:szCs w:val="24"/>
        </w:rPr>
        <w:t>W</w:t>
      </w:r>
      <w:r w:rsidR="000A687E" w:rsidRPr="004678AD">
        <w:rPr>
          <w:color w:val="000000" w:themeColor="text1"/>
          <w:szCs w:val="24"/>
        </w:rPr>
        <w:t>hilst walking</w:t>
      </w:r>
      <w:r w:rsidR="00FB0744" w:rsidRPr="004678AD">
        <w:rPr>
          <w:color w:val="000000" w:themeColor="text1"/>
          <w:szCs w:val="24"/>
        </w:rPr>
        <w:t>,</w:t>
      </w:r>
      <w:r w:rsidR="000A687E" w:rsidRPr="004678AD">
        <w:rPr>
          <w:color w:val="000000" w:themeColor="text1"/>
          <w:szCs w:val="24"/>
        </w:rPr>
        <w:t xml:space="preserve"> </w:t>
      </w:r>
      <w:r w:rsidR="00AD2CDE" w:rsidRPr="004678AD">
        <w:rPr>
          <w:color w:val="000000" w:themeColor="text1"/>
          <w:szCs w:val="24"/>
        </w:rPr>
        <w:t xml:space="preserve">Mr Mavumba </w:t>
      </w:r>
      <w:r w:rsidR="000A687E" w:rsidRPr="004678AD">
        <w:rPr>
          <w:color w:val="000000" w:themeColor="text1"/>
          <w:szCs w:val="24"/>
        </w:rPr>
        <w:t xml:space="preserve">heard a noise which caused him to glance </w:t>
      </w:r>
      <w:r w:rsidR="000542A8" w:rsidRPr="004678AD">
        <w:rPr>
          <w:color w:val="000000" w:themeColor="text1"/>
          <w:szCs w:val="24"/>
        </w:rPr>
        <w:t xml:space="preserve">back </w:t>
      </w:r>
      <w:r w:rsidR="00D5335B" w:rsidRPr="004678AD">
        <w:rPr>
          <w:color w:val="000000" w:themeColor="text1"/>
          <w:szCs w:val="24"/>
        </w:rPr>
        <w:t xml:space="preserve">towards </w:t>
      </w:r>
      <w:r w:rsidR="006B27CB" w:rsidRPr="004678AD">
        <w:rPr>
          <w:color w:val="000000" w:themeColor="text1"/>
          <w:szCs w:val="24"/>
        </w:rPr>
        <w:t>the road behind him</w:t>
      </w:r>
      <w:r w:rsidR="005070D4" w:rsidRPr="004678AD">
        <w:rPr>
          <w:color w:val="000000" w:themeColor="text1"/>
          <w:szCs w:val="24"/>
        </w:rPr>
        <w:t>.</w:t>
      </w:r>
      <w:r w:rsidR="000A687E" w:rsidRPr="004678AD">
        <w:rPr>
          <w:color w:val="000000" w:themeColor="text1"/>
          <w:szCs w:val="24"/>
        </w:rPr>
        <w:t xml:space="preserve">  He saw the headlights of the insured driver’s articulated truck and noticed that it was moving in a manner </w:t>
      </w:r>
      <w:r w:rsidR="00430379" w:rsidRPr="004678AD">
        <w:rPr>
          <w:color w:val="000000" w:themeColor="text1"/>
          <w:szCs w:val="24"/>
        </w:rPr>
        <w:t xml:space="preserve">that </w:t>
      </w:r>
      <w:r w:rsidR="000A687E" w:rsidRPr="004678AD">
        <w:rPr>
          <w:color w:val="000000" w:themeColor="text1"/>
          <w:szCs w:val="24"/>
        </w:rPr>
        <w:t>he described as “</w:t>
      </w:r>
      <w:r w:rsidR="000A687E" w:rsidRPr="004678AD">
        <w:rPr>
          <w:i/>
          <w:iCs/>
          <w:color w:val="000000" w:themeColor="text1"/>
          <w:szCs w:val="24"/>
        </w:rPr>
        <w:t>running away from potholes on the road</w:t>
      </w:r>
      <w:r w:rsidR="000A687E" w:rsidRPr="004678AD">
        <w:rPr>
          <w:color w:val="000000" w:themeColor="text1"/>
          <w:szCs w:val="24"/>
        </w:rPr>
        <w:t xml:space="preserve">”.  He </w:t>
      </w:r>
      <w:r w:rsidR="00A330F4" w:rsidRPr="004678AD">
        <w:rPr>
          <w:color w:val="000000" w:themeColor="text1"/>
          <w:szCs w:val="24"/>
        </w:rPr>
        <w:t xml:space="preserve">testified that he </w:t>
      </w:r>
      <w:r w:rsidR="000A687E" w:rsidRPr="004678AD">
        <w:rPr>
          <w:color w:val="000000" w:themeColor="text1"/>
          <w:szCs w:val="24"/>
        </w:rPr>
        <w:t xml:space="preserve">saw the insured driver’s articulated truck move into the middle of </w:t>
      </w:r>
      <w:r w:rsidR="00CB18E0" w:rsidRPr="004678AD">
        <w:rPr>
          <w:color w:val="000000" w:themeColor="text1"/>
          <w:szCs w:val="24"/>
        </w:rPr>
        <w:t>Bophuthatswana Road but</w:t>
      </w:r>
      <w:r w:rsidR="00D1649B" w:rsidRPr="004678AD">
        <w:rPr>
          <w:color w:val="000000" w:themeColor="text1"/>
          <w:szCs w:val="24"/>
        </w:rPr>
        <w:t xml:space="preserve"> noticed that </w:t>
      </w:r>
      <w:r w:rsidR="000A687E" w:rsidRPr="004678AD">
        <w:rPr>
          <w:color w:val="000000" w:themeColor="text1"/>
          <w:szCs w:val="24"/>
        </w:rPr>
        <w:t>it was “</w:t>
      </w:r>
      <w:r w:rsidR="000A687E" w:rsidRPr="004678AD">
        <w:rPr>
          <w:i/>
          <w:iCs/>
          <w:color w:val="000000" w:themeColor="text1"/>
          <w:szCs w:val="24"/>
        </w:rPr>
        <w:t>not going straight</w:t>
      </w:r>
      <w:r w:rsidR="000A687E" w:rsidRPr="004678AD">
        <w:rPr>
          <w:color w:val="000000" w:themeColor="text1"/>
          <w:szCs w:val="24"/>
        </w:rPr>
        <w:t>”.  At this point</w:t>
      </w:r>
      <w:r w:rsidR="00430379" w:rsidRPr="004678AD">
        <w:rPr>
          <w:color w:val="000000" w:themeColor="text1"/>
          <w:szCs w:val="24"/>
        </w:rPr>
        <w:t>,</w:t>
      </w:r>
      <w:r w:rsidR="000A687E" w:rsidRPr="004678AD">
        <w:rPr>
          <w:color w:val="000000" w:themeColor="text1"/>
          <w:szCs w:val="24"/>
        </w:rPr>
        <w:t xml:space="preserve"> he became aware of the headlights of the deceased’s vehicle approaching in the lane for traffic travelling in the opposite direction.  According to Mr Mavumba</w:t>
      </w:r>
      <w:r w:rsidR="00430379" w:rsidRPr="004678AD">
        <w:rPr>
          <w:color w:val="000000" w:themeColor="text1"/>
          <w:szCs w:val="24"/>
        </w:rPr>
        <w:t>,</w:t>
      </w:r>
      <w:r w:rsidR="000A687E" w:rsidRPr="004678AD">
        <w:rPr>
          <w:color w:val="000000" w:themeColor="text1"/>
          <w:szCs w:val="24"/>
        </w:rPr>
        <w:t xml:space="preserve"> the insured driver’s articulated truck was travelling at a speed much faster than the deceased’s motor vehicle.  He watched as the two vehicles “</w:t>
      </w:r>
      <w:r w:rsidR="000A687E" w:rsidRPr="004678AD">
        <w:rPr>
          <w:i/>
          <w:iCs/>
          <w:color w:val="000000" w:themeColor="text1"/>
          <w:szCs w:val="24"/>
        </w:rPr>
        <w:t>bumped together</w:t>
      </w:r>
      <w:r w:rsidR="000A687E" w:rsidRPr="004678AD">
        <w:rPr>
          <w:color w:val="000000" w:themeColor="text1"/>
          <w:szCs w:val="24"/>
        </w:rPr>
        <w:t>” and after the collision</w:t>
      </w:r>
      <w:r w:rsidR="00430379" w:rsidRPr="004678AD">
        <w:rPr>
          <w:color w:val="000000" w:themeColor="text1"/>
          <w:szCs w:val="24"/>
        </w:rPr>
        <w:t>,</w:t>
      </w:r>
      <w:r w:rsidR="000A687E" w:rsidRPr="004678AD">
        <w:rPr>
          <w:color w:val="000000" w:themeColor="text1"/>
          <w:szCs w:val="24"/>
        </w:rPr>
        <w:t xml:space="preserve"> the “</w:t>
      </w:r>
      <w:r w:rsidR="000A687E" w:rsidRPr="004678AD">
        <w:rPr>
          <w:i/>
          <w:iCs/>
          <w:color w:val="000000" w:themeColor="text1"/>
          <w:szCs w:val="24"/>
        </w:rPr>
        <w:t xml:space="preserve">small car </w:t>
      </w:r>
      <w:r w:rsidR="000A687E" w:rsidRPr="004678AD">
        <w:rPr>
          <w:i/>
          <w:iCs/>
          <w:color w:val="000000" w:themeColor="text1"/>
          <w:szCs w:val="24"/>
        </w:rPr>
        <w:lastRenderedPageBreak/>
        <w:t>separated and went to the right</w:t>
      </w:r>
      <w:r w:rsidR="000A687E" w:rsidRPr="004678AD">
        <w:rPr>
          <w:color w:val="000000" w:themeColor="text1"/>
          <w:szCs w:val="24"/>
        </w:rPr>
        <w:t>” and he saw the deceased “</w:t>
      </w:r>
      <w:r w:rsidR="000A687E" w:rsidRPr="004678AD">
        <w:rPr>
          <w:i/>
          <w:iCs/>
          <w:color w:val="000000" w:themeColor="text1"/>
          <w:szCs w:val="24"/>
        </w:rPr>
        <w:t>pressed inside his vehicle.</w:t>
      </w:r>
      <w:r w:rsidR="000A687E" w:rsidRPr="004678AD">
        <w:rPr>
          <w:color w:val="000000" w:themeColor="text1"/>
          <w:szCs w:val="24"/>
        </w:rPr>
        <w:t xml:space="preserve">”  </w:t>
      </w:r>
    </w:p>
    <w:p w14:paraId="10086D33" w14:textId="415FBEFD"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[19]</w:t>
      </w:r>
      <w:r w:rsidRPr="004678AD">
        <w:rPr>
          <w:color w:val="000000" w:themeColor="text1"/>
          <w:szCs w:val="24"/>
        </w:rPr>
        <w:tab/>
      </w:r>
      <w:r w:rsidR="00A8013C" w:rsidRPr="004678AD">
        <w:rPr>
          <w:color w:val="000000" w:themeColor="text1"/>
          <w:szCs w:val="24"/>
        </w:rPr>
        <w:t xml:space="preserve">At the commencement of </w:t>
      </w:r>
      <w:r w:rsidR="00CD1E40" w:rsidRPr="004678AD">
        <w:rPr>
          <w:color w:val="000000" w:themeColor="text1"/>
          <w:szCs w:val="24"/>
        </w:rPr>
        <w:t>cross</w:t>
      </w:r>
      <w:r w:rsidR="00A8013C" w:rsidRPr="004678AD">
        <w:rPr>
          <w:color w:val="000000" w:themeColor="text1"/>
          <w:szCs w:val="24"/>
        </w:rPr>
        <w:t>-examination</w:t>
      </w:r>
      <w:r w:rsidR="00E514B4" w:rsidRPr="004678AD">
        <w:rPr>
          <w:color w:val="000000" w:themeColor="text1"/>
          <w:szCs w:val="24"/>
        </w:rPr>
        <w:t xml:space="preserve"> and</w:t>
      </w:r>
      <w:r w:rsidR="00C824FB" w:rsidRPr="004678AD">
        <w:rPr>
          <w:color w:val="000000" w:themeColor="text1"/>
          <w:szCs w:val="24"/>
        </w:rPr>
        <w:t xml:space="preserve"> </w:t>
      </w:r>
      <w:r w:rsidR="00A8013C" w:rsidRPr="004678AD">
        <w:rPr>
          <w:color w:val="000000" w:themeColor="text1"/>
          <w:szCs w:val="24"/>
        </w:rPr>
        <w:t>b</w:t>
      </w:r>
      <w:r w:rsidR="000A687E" w:rsidRPr="004678AD">
        <w:rPr>
          <w:color w:val="000000" w:themeColor="text1"/>
          <w:szCs w:val="24"/>
        </w:rPr>
        <w:t>y agreement</w:t>
      </w:r>
      <w:r w:rsidR="00E514B4" w:rsidRPr="004678AD">
        <w:rPr>
          <w:color w:val="000000" w:themeColor="text1"/>
          <w:szCs w:val="24"/>
        </w:rPr>
        <w:t xml:space="preserve"> between the parties</w:t>
      </w:r>
      <w:r w:rsidR="000A687E" w:rsidRPr="004678AD">
        <w:rPr>
          <w:color w:val="000000" w:themeColor="text1"/>
          <w:szCs w:val="24"/>
        </w:rPr>
        <w:t xml:space="preserve">, the police accident report </w:t>
      </w:r>
      <w:r w:rsidR="000D771E" w:rsidRPr="004678AD">
        <w:rPr>
          <w:color w:val="000000" w:themeColor="text1"/>
          <w:szCs w:val="24"/>
        </w:rPr>
        <w:t>was</w:t>
      </w:r>
      <w:r w:rsidR="001D004A" w:rsidRPr="004678AD">
        <w:rPr>
          <w:color w:val="000000" w:themeColor="text1"/>
          <w:szCs w:val="24"/>
        </w:rPr>
        <w:t xml:space="preserve"> </w:t>
      </w:r>
      <w:r w:rsidR="000D771E" w:rsidRPr="004678AD">
        <w:rPr>
          <w:color w:val="000000" w:themeColor="text1"/>
          <w:szCs w:val="24"/>
        </w:rPr>
        <w:t xml:space="preserve">admitted into evidence </w:t>
      </w:r>
      <w:r w:rsidR="00EC6826" w:rsidRPr="004678AD">
        <w:rPr>
          <w:color w:val="000000" w:themeColor="text1"/>
          <w:szCs w:val="24"/>
        </w:rPr>
        <w:t xml:space="preserve">and </w:t>
      </w:r>
      <w:r w:rsidR="00281467" w:rsidRPr="004678AD">
        <w:rPr>
          <w:color w:val="000000" w:themeColor="text1"/>
          <w:szCs w:val="24"/>
        </w:rPr>
        <w:t>marked</w:t>
      </w:r>
      <w:r w:rsidR="000A687E" w:rsidRPr="004678AD">
        <w:rPr>
          <w:color w:val="000000" w:themeColor="text1"/>
          <w:szCs w:val="24"/>
        </w:rPr>
        <w:t xml:space="preserve"> exhibit “A” </w:t>
      </w:r>
      <w:r w:rsidR="00430379" w:rsidRPr="004678AD">
        <w:rPr>
          <w:color w:val="000000" w:themeColor="text1"/>
          <w:szCs w:val="24"/>
        </w:rPr>
        <w:t>(“</w:t>
      </w:r>
      <w:r w:rsidR="000A687E" w:rsidRPr="004678AD">
        <w:rPr>
          <w:color w:val="000000" w:themeColor="text1"/>
          <w:szCs w:val="24"/>
        </w:rPr>
        <w:t>the police accident report”).  The police accident report contained</w:t>
      </w:r>
      <w:r w:rsidR="00D847EA" w:rsidRPr="004678AD">
        <w:rPr>
          <w:color w:val="000000" w:themeColor="text1"/>
          <w:szCs w:val="24"/>
        </w:rPr>
        <w:t xml:space="preserve"> </w:t>
      </w:r>
      <w:r w:rsidR="00281467" w:rsidRPr="004678AD">
        <w:rPr>
          <w:i/>
          <w:iCs/>
          <w:color w:val="000000" w:themeColor="text1"/>
          <w:szCs w:val="24"/>
        </w:rPr>
        <w:t>inter alia,</w:t>
      </w:r>
      <w:r w:rsidR="00281467" w:rsidRPr="004678AD">
        <w:rPr>
          <w:color w:val="000000" w:themeColor="text1"/>
          <w:szCs w:val="24"/>
        </w:rPr>
        <w:t xml:space="preserve"> </w:t>
      </w:r>
      <w:r w:rsidR="00D847EA" w:rsidRPr="004678AD">
        <w:rPr>
          <w:color w:val="000000" w:themeColor="text1"/>
          <w:szCs w:val="24"/>
        </w:rPr>
        <w:t>the</w:t>
      </w:r>
      <w:r w:rsidR="00DF5776" w:rsidRPr="004678AD">
        <w:rPr>
          <w:color w:val="000000" w:themeColor="text1"/>
          <w:szCs w:val="24"/>
        </w:rPr>
        <w:t xml:space="preserve"> following information</w:t>
      </w:r>
      <w:r w:rsidR="000A687E" w:rsidRPr="004678AD">
        <w:rPr>
          <w:color w:val="000000" w:themeColor="text1"/>
          <w:szCs w:val="24"/>
        </w:rPr>
        <w:t>:</w:t>
      </w:r>
    </w:p>
    <w:p w14:paraId="2E5205D6" w14:textId="2F21DE73" w:rsidR="000A687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a.</w:t>
      </w:r>
      <w:r w:rsidRPr="004678AD">
        <w:rPr>
          <w:color w:val="000000" w:themeColor="text1"/>
          <w:szCs w:val="24"/>
        </w:rPr>
        <w:tab/>
      </w:r>
      <w:r w:rsidR="000A687E" w:rsidRPr="004678AD">
        <w:rPr>
          <w:color w:val="000000" w:themeColor="text1"/>
          <w:szCs w:val="24"/>
        </w:rPr>
        <w:t>A section headed “</w:t>
      </w:r>
      <w:r w:rsidR="000A687E" w:rsidRPr="004678AD">
        <w:rPr>
          <w:i/>
          <w:iCs/>
          <w:color w:val="000000" w:themeColor="text1"/>
          <w:szCs w:val="24"/>
        </w:rPr>
        <w:t>Accident type</w:t>
      </w:r>
      <w:r w:rsidR="000A687E" w:rsidRPr="004678AD">
        <w:rPr>
          <w:color w:val="000000" w:themeColor="text1"/>
          <w:szCs w:val="24"/>
        </w:rPr>
        <w:t>” marked with a handwritten cross indicating: “</w:t>
      </w:r>
      <w:r w:rsidR="000A687E" w:rsidRPr="004678AD">
        <w:rPr>
          <w:i/>
          <w:iCs/>
          <w:color w:val="000000" w:themeColor="text1"/>
          <w:szCs w:val="24"/>
        </w:rPr>
        <w:t>Sideswipe opposite directions</w:t>
      </w:r>
      <w:r w:rsidR="000A687E" w:rsidRPr="004678AD">
        <w:rPr>
          <w:color w:val="000000" w:themeColor="text1"/>
          <w:szCs w:val="24"/>
        </w:rPr>
        <w:t>”;</w:t>
      </w:r>
    </w:p>
    <w:p w14:paraId="05A7623B" w14:textId="256F050F" w:rsidR="001A6223"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b.</w:t>
      </w:r>
      <w:r w:rsidRPr="004678AD">
        <w:rPr>
          <w:color w:val="000000" w:themeColor="text1"/>
          <w:szCs w:val="24"/>
        </w:rPr>
        <w:tab/>
      </w:r>
      <w:r w:rsidR="000A687E" w:rsidRPr="004678AD">
        <w:rPr>
          <w:color w:val="000000" w:themeColor="text1"/>
          <w:szCs w:val="24"/>
        </w:rPr>
        <w:t>An “</w:t>
      </w:r>
      <w:r w:rsidR="000A687E" w:rsidRPr="004678AD">
        <w:rPr>
          <w:i/>
          <w:iCs/>
          <w:color w:val="000000" w:themeColor="text1"/>
          <w:szCs w:val="24"/>
        </w:rPr>
        <w:t>Accident Sketch</w:t>
      </w:r>
      <w:r w:rsidR="000A687E" w:rsidRPr="004678AD">
        <w:rPr>
          <w:color w:val="000000" w:themeColor="text1"/>
          <w:szCs w:val="24"/>
        </w:rPr>
        <w:t xml:space="preserve">” hand-drawn diagram of the collision (“the </w:t>
      </w:r>
      <w:r w:rsidR="000A687E" w:rsidRPr="004678AD">
        <w:rPr>
          <w:i/>
          <w:iCs/>
          <w:color w:val="000000" w:themeColor="text1"/>
          <w:szCs w:val="24"/>
        </w:rPr>
        <w:t>Accident Sketch</w:t>
      </w:r>
      <w:r w:rsidR="000A687E" w:rsidRPr="004678AD">
        <w:rPr>
          <w:color w:val="000000" w:themeColor="text1"/>
          <w:szCs w:val="24"/>
        </w:rPr>
        <w:t xml:space="preserve"> diagram”)</w:t>
      </w:r>
      <w:r w:rsidR="00A133DA" w:rsidRPr="004678AD">
        <w:rPr>
          <w:color w:val="000000" w:themeColor="text1"/>
          <w:szCs w:val="24"/>
        </w:rPr>
        <w:t xml:space="preserve"> </w:t>
      </w:r>
      <w:r w:rsidR="005516D0" w:rsidRPr="004678AD">
        <w:rPr>
          <w:color w:val="000000" w:themeColor="text1"/>
          <w:szCs w:val="24"/>
        </w:rPr>
        <w:t>depict</w:t>
      </w:r>
      <w:r w:rsidR="006A5D61" w:rsidRPr="004678AD">
        <w:rPr>
          <w:color w:val="000000" w:themeColor="text1"/>
          <w:szCs w:val="24"/>
        </w:rPr>
        <w:t>ing</w:t>
      </w:r>
      <w:r w:rsidR="000A687E" w:rsidRPr="004678AD">
        <w:rPr>
          <w:color w:val="000000" w:themeColor="text1"/>
          <w:szCs w:val="24"/>
        </w:rPr>
        <w:t xml:space="preserve"> a straight road, with two lanes separated by a broken median line</w:t>
      </w:r>
      <w:r w:rsidR="0060767D" w:rsidRPr="004678AD">
        <w:rPr>
          <w:color w:val="000000" w:themeColor="text1"/>
          <w:szCs w:val="24"/>
        </w:rPr>
        <w:t xml:space="preserve"> </w:t>
      </w:r>
      <w:r w:rsidR="0067521B" w:rsidRPr="004678AD">
        <w:rPr>
          <w:color w:val="000000" w:themeColor="text1"/>
          <w:szCs w:val="24"/>
        </w:rPr>
        <w:t>and</w:t>
      </w:r>
      <w:r w:rsidR="0060767D" w:rsidRPr="004678AD">
        <w:rPr>
          <w:color w:val="000000" w:themeColor="text1"/>
          <w:szCs w:val="24"/>
        </w:rPr>
        <w:t xml:space="preserve"> an arrow in each lane demarcat</w:t>
      </w:r>
      <w:r w:rsidR="0067521B" w:rsidRPr="004678AD">
        <w:rPr>
          <w:color w:val="000000" w:themeColor="text1"/>
          <w:szCs w:val="24"/>
        </w:rPr>
        <w:t>ing</w:t>
      </w:r>
      <w:r w:rsidR="0060767D" w:rsidRPr="004678AD">
        <w:rPr>
          <w:color w:val="000000" w:themeColor="text1"/>
          <w:szCs w:val="24"/>
        </w:rPr>
        <w:t xml:space="preserve"> the path of travel of traffic in opposite directions</w:t>
      </w:r>
      <w:r w:rsidR="00135F88" w:rsidRPr="004678AD">
        <w:rPr>
          <w:color w:val="000000" w:themeColor="text1"/>
          <w:szCs w:val="24"/>
        </w:rPr>
        <w:t>;</w:t>
      </w:r>
    </w:p>
    <w:p w14:paraId="484E8143" w14:textId="7549A5EA" w:rsidR="00FC311D"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c.</w:t>
      </w:r>
      <w:r w:rsidRPr="004678AD">
        <w:rPr>
          <w:color w:val="000000" w:themeColor="text1"/>
          <w:szCs w:val="24"/>
        </w:rPr>
        <w:tab/>
      </w:r>
      <w:r w:rsidR="000A687E" w:rsidRPr="004678AD">
        <w:rPr>
          <w:color w:val="000000" w:themeColor="text1"/>
          <w:szCs w:val="24"/>
        </w:rPr>
        <w:t>The position of “Motor vehicle A</w:t>
      </w:r>
      <w:r w:rsidR="00430379" w:rsidRPr="004678AD">
        <w:rPr>
          <w:color w:val="000000" w:themeColor="text1"/>
          <w:szCs w:val="24"/>
        </w:rPr>
        <w:t xml:space="preserve">” </w:t>
      </w:r>
      <w:r w:rsidR="000A687E" w:rsidRPr="004678AD">
        <w:rPr>
          <w:color w:val="000000" w:themeColor="text1"/>
          <w:szCs w:val="24"/>
        </w:rPr>
        <w:t xml:space="preserve">(the insured driver’s articulated truck) </w:t>
      </w:r>
      <w:r w:rsidR="005E4CF6" w:rsidRPr="004678AD">
        <w:rPr>
          <w:color w:val="000000" w:themeColor="text1"/>
          <w:szCs w:val="24"/>
        </w:rPr>
        <w:t xml:space="preserve">is </w:t>
      </w:r>
      <w:r w:rsidR="000A687E" w:rsidRPr="004678AD">
        <w:rPr>
          <w:color w:val="000000" w:themeColor="text1"/>
          <w:szCs w:val="24"/>
        </w:rPr>
        <w:t>drawn in its correct lane</w:t>
      </w:r>
      <w:r w:rsidR="005A709C" w:rsidRPr="004678AD">
        <w:rPr>
          <w:color w:val="000000" w:themeColor="text1"/>
          <w:szCs w:val="24"/>
        </w:rPr>
        <w:t>,</w:t>
      </w:r>
      <w:r w:rsidR="000A687E" w:rsidRPr="004678AD">
        <w:rPr>
          <w:color w:val="000000" w:themeColor="text1"/>
          <w:szCs w:val="24"/>
        </w:rPr>
        <w:t xml:space="preserve"> facing the correct direction of travel for vehicles travelling in that lane.  Three additional vertical lines are drawn on the mid-rear right side of “Motor vehicle A”;</w:t>
      </w:r>
    </w:p>
    <w:p w14:paraId="1F8D307A" w14:textId="6305EC5D" w:rsidR="0010217F"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d.</w:t>
      </w:r>
      <w:r w:rsidRPr="004678AD">
        <w:rPr>
          <w:color w:val="000000" w:themeColor="text1"/>
          <w:szCs w:val="24"/>
        </w:rPr>
        <w:tab/>
      </w:r>
      <w:r w:rsidR="000A687E" w:rsidRPr="004678AD">
        <w:rPr>
          <w:color w:val="000000" w:themeColor="text1"/>
          <w:szCs w:val="24"/>
        </w:rPr>
        <w:t xml:space="preserve">The position of “Motor vehicle B” (the deceased vehicle) </w:t>
      </w:r>
      <w:r w:rsidR="005E4CF6" w:rsidRPr="004678AD">
        <w:rPr>
          <w:color w:val="000000" w:themeColor="text1"/>
          <w:szCs w:val="24"/>
        </w:rPr>
        <w:t xml:space="preserve">is </w:t>
      </w:r>
      <w:r w:rsidR="000C283D" w:rsidRPr="004678AD">
        <w:rPr>
          <w:color w:val="000000" w:themeColor="text1"/>
          <w:szCs w:val="24"/>
        </w:rPr>
        <w:t xml:space="preserve">drawn </w:t>
      </w:r>
      <w:r w:rsidR="000A687E" w:rsidRPr="004678AD">
        <w:rPr>
          <w:color w:val="000000" w:themeColor="text1"/>
          <w:szCs w:val="24"/>
        </w:rPr>
        <w:t>in its correct lane of travel but facing the opposite direction for vehicles travelling in that lane</w:t>
      </w:r>
      <w:r w:rsidR="003D4544" w:rsidRPr="004678AD">
        <w:rPr>
          <w:color w:val="000000" w:themeColor="text1"/>
          <w:szCs w:val="24"/>
        </w:rPr>
        <w:t xml:space="preserve"> and slightly below “Motor Vehicle A” (the insured driver’s articulated truck)</w:t>
      </w:r>
      <w:r w:rsidR="00C9611A" w:rsidRPr="004678AD">
        <w:rPr>
          <w:color w:val="000000" w:themeColor="text1"/>
          <w:szCs w:val="24"/>
        </w:rPr>
        <w:t>;</w:t>
      </w:r>
      <w:r w:rsidR="00643886" w:rsidRPr="004678AD">
        <w:rPr>
          <w:color w:val="000000" w:themeColor="text1"/>
          <w:szCs w:val="24"/>
        </w:rPr>
        <w:t xml:space="preserve"> </w:t>
      </w:r>
    </w:p>
    <w:p w14:paraId="6FB20C48" w14:textId="4C9AA056" w:rsidR="000A687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e.</w:t>
      </w:r>
      <w:r w:rsidRPr="004678AD">
        <w:rPr>
          <w:color w:val="000000" w:themeColor="text1"/>
          <w:szCs w:val="24"/>
        </w:rPr>
        <w:tab/>
      </w:r>
      <w:r w:rsidR="00297766" w:rsidRPr="004678AD">
        <w:rPr>
          <w:color w:val="000000" w:themeColor="text1"/>
          <w:szCs w:val="24"/>
        </w:rPr>
        <w:t>The</w:t>
      </w:r>
      <w:r w:rsidR="000A687E" w:rsidRPr="004678AD">
        <w:rPr>
          <w:color w:val="000000" w:themeColor="text1"/>
          <w:szCs w:val="24"/>
        </w:rPr>
        <w:t xml:space="preserve"> description of the collision</w:t>
      </w:r>
      <w:r w:rsidR="008D497F" w:rsidRPr="004678AD">
        <w:rPr>
          <w:color w:val="000000" w:themeColor="text1"/>
          <w:szCs w:val="24"/>
        </w:rPr>
        <w:t xml:space="preserve"> reads</w:t>
      </w:r>
      <w:r w:rsidR="000A687E" w:rsidRPr="004678AD">
        <w:rPr>
          <w:color w:val="000000" w:themeColor="text1"/>
          <w:szCs w:val="24"/>
        </w:rPr>
        <w:t>:</w:t>
      </w:r>
    </w:p>
    <w:p w14:paraId="21D5B9DB" w14:textId="19D575E4" w:rsidR="00D71071" w:rsidRPr="004678AD" w:rsidRDefault="000A687E" w:rsidP="004678AD">
      <w:pPr>
        <w:pStyle w:val="JudgmentNumbered"/>
        <w:numPr>
          <w:ilvl w:val="0"/>
          <w:numId w:val="0"/>
        </w:numPr>
        <w:ind w:left="1276"/>
        <w:rPr>
          <w:color w:val="000000" w:themeColor="text1"/>
          <w:szCs w:val="24"/>
        </w:rPr>
      </w:pPr>
      <w:r w:rsidRPr="004678AD">
        <w:rPr>
          <w:color w:val="000000" w:themeColor="text1"/>
          <w:szCs w:val="24"/>
        </w:rPr>
        <w:t>“</w:t>
      </w:r>
      <w:r w:rsidRPr="004678AD">
        <w:rPr>
          <w:iCs/>
          <w:color w:val="000000" w:themeColor="text1"/>
          <w:szCs w:val="24"/>
        </w:rPr>
        <w:t xml:space="preserve">Driver </w:t>
      </w:r>
      <w:r w:rsidR="00B750BC" w:rsidRPr="004678AD">
        <w:rPr>
          <w:iCs/>
          <w:color w:val="000000" w:themeColor="text1"/>
          <w:szCs w:val="24"/>
        </w:rPr>
        <w:t>‘</w:t>
      </w:r>
      <w:r w:rsidRPr="004678AD">
        <w:rPr>
          <w:iCs/>
          <w:color w:val="000000" w:themeColor="text1"/>
          <w:szCs w:val="24"/>
        </w:rPr>
        <w:t>A</w:t>
      </w:r>
      <w:r w:rsidR="00B750BC" w:rsidRPr="004678AD">
        <w:rPr>
          <w:iCs/>
          <w:color w:val="000000" w:themeColor="text1"/>
          <w:szCs w:val="24"/>
        </w:rPr>
        <w:t>’</w:t>
      </w:r>
      <w:r w:rsidRPr="004678AD">
        <w:rPr>
          <w:iCs/>
          <w:color w:val="000000" w:themeColor="text1"/>
          <w:szCs w:val="24"/>
        </w:rPr>
        <w:t xml:space="preserve"> he was on his way driving towards Meriting.  Suddenly he saw other m/vehicle on coming hit his motor vehicle on the tyres.  Driver </w:t>
      </w:r>
      <w:r w:rsidR="00B750BC" w:rsidRPr="004678AD">
        <w:rPr>
          <w:iCs/>
          <w:color w:val="000000" w:themeColor="text1"/>
          <w:szCs w:val="24"/>
        </w:rPr>
        <w:t>‘</w:t>
      </w:r>
      <w:r w:rsidRPr="004678AD">
        <w:rPr>
          <w:iCs/>
          <w:color w:val="000000" w:themeColor="text1"/>
          <w:szCs w:val="24"/>
        </w:rPr>
        <w:t>B</w:t>
      </w:r>
      <w:r w:rsidR="004C0E24" w:rsidRPr="004678AD">
        <w:rPr>
          <w:iCs/>
          <w:color w:val="000000" w:themeColor="text1"/>
          <w:szCs w:val="24"/>
        </w:rPr>
        <w:t>’</w:t>
      </w:r>
      <w:r w:rsidRPr="004678AD">
        <w:rPr>
          <w:iCs/>
          <w:color w:val="000000" w:themeColor="text1"/>
          <w:szCs w:val="24"/>
        </w:rPr>
        <w:t xml:space="preserve"> he was [unclear word] certified dead on the scene.</w:t>
      </w:r>
      <w:r w:rsidRPr="004678AD">
        <w:rPr>
          <w:color w:val="000000" w:themeColor="text1"/>
          <w:szCs w:val="24"/>
        </w:rPr>
        <w:t>”</w:t>
      </w:r>
    </w:p>
    <w:p w14:paraId="1026BA01" w14:textId="71F12EBB"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[20]</w:t>
      </w:r>
      <w:r w:rsidRPr="004678AD">
        <w:rPr>
          <w:color w:val="000000" w:themeColor="text1"/>
          <w:szCs w:val="24"/>
        </w:rPr>
        <w:tab/>
      </w:r>
      <w:r w:rsidR="00A41F64" w:rsidRPr="004678AD">
        <w:rPr>
          <w:color w:val="000000" w:themeColor="text1"/>
          <w:szCs w:val="24"/>
        </w:rPr>
        <w:t>I note with concern that there was no key to the “</w:t>
      </w:r>
      <w:r w:rsidR="00A41F64" w:rsidRPr="004678AD">
        <w:rPr>
          <w:i/>
          <w:iCs/>
          <w:color w:val="000000" w:themeColor="text1"/>
          <w:szCs w:val="24"/>
        </w:rPr>
        <w:t>Accident Sketch</w:t>
      </w:r>
      <w:r w:rsidR="00A41F64" w:rsidRPr="004678AD">
        <w:rPr>
          <w:color w:val="000000" w:themeColor="text1"/>
          <w:szCs w:val="24"/>
        </w:rPr>
        <w:t>” diagram and no indication of the point of impact of the two motor vehicles on the road.</w:t>
      </w:r>
      <w:r w:rsidR="00F71C10" w:rsidRPr="004678AD">
        <w:rPr>
          <w:color w:val="000000" w:themeColor="text1"/>
          <w:szCs w:val="24"/>
        </w:rPr>
        <w:t xml:space="preserve">  </w:t>
      </w:r>
      <w:r w:rsidR="000A687E" w:rsidRPr="004678AD">
        <w:rPr>
          <w:color w:val="000000" w:themeColor="text1"/>
          <w:szCs w:val="24"/>
        </w:rPr>
        <w:t>Mr Mavumba was presented with the police accident report</w:t>
      </w:r>
      <w:r w:rsidR="00261821" w:rsidRPr="004678AD">
        <w:rPr>
          <w:color w:val="000000" w:themeColor="text1"/>
          <w:szCs w:val="24"/>
        </w:rPr>
        <w:t xml:space="preserve"> </w:t>
      </w:r>
      <w:r w:rsidR="000A687E" w:rsidRPr="004678AD">
        <w:rPr>
          <w:color w:val="000000" w:themeColor="text1"/>
          <w:szCs w:val="24"/>
        </w:rPr>
        <w:t>and confirmed that the “</w:t>
      </w:r>
      <w:r w:rsidR="000A687E" w:rsidRPr="004678AD">
        <w:rPr>
          <w:i/>
          <w:iCs/>
          <w:color w:val="000000" w:themeColor="text1"/>
          <w:szCs w:val="24"/>
        </w:rPr>
        <w:t>Accident Sketch</w:t>
      </w:r>
      <w:r w:rsidR="000A687E" w:rsidRPr="004678AD">
        <w:rPr>
          <w:color w:val="000000" w:themeColor="text1"/>
          <w:szCs w:val="24"/>
        </w:rPr>
        <w:t xml:space="preserve">” diagram correctly depicted Bophuthatswana Road and the position of the vehicles after the collision.  </w:t>
      </w:r>
    </w:p>
    <w:p w14:paraId="0DFE8B50" w14:textId="25275B95" w:rsidR="00A8013C"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lastRenderedPageBreak/>
        <w:t>[21]</w:t>
      </w:r>
      <w:r w:rsidRPr="004678AD">
        <w:rPr>
          <w:color w:val="000000" w:themeColor="text1"/>
          <w:szCs w:val="24"/>
        </w:rPr>
        <w:tab/>
      </w:r>
      <w:r w:rsidR="0053148A" w:rsidRPr="004678AD">
        <w:rPr>
          <w:color w:val="000000" w:themeColor="text1"/>
          <w:szCs w:val="24"/>
        </w:rPr>
        <w:t>During</w:t>
      </w:r>
      <w:r w:rsidR="00901CB2" w:rsidRPr="004678AD">
        <w:rPr>
          <w:color w:val="000000" w:themeColor="text1"/>
          <w:szCs w:val="24"/>
        </w:rPr>
        <w:t xml:space="preserve"> cross-examination, </w:t>
      </w:r>
      <w:r w:rsidR="00A8013C" w:rsidRPr="004678AD">
        <w:rPr>
          <w:color w:val="000000" w:themeColor="text1"/>
          <w:szCs w:val="24"/>
        </w:rPr>
        <w:t xml:space="preserve">Mr Mavumba refuted the contention advanced by defendant’s counsel that the deceased motor vehicle was travelling in the lane of the insured driver’s articulated truck and </w:t>
      </w:r>
      <w:r w:rsidR="0053148A" w:rsidRPr="004678AD">
        <w:rPr>
          <w:color w:val="000000" w:themeColor="text1"/>
          <w:szCs w:val="24"/>
        </w:rPr>
        <w:t xml:space="preserve">that </w:t>
      </w:r>
      <w:r w:rsidR="00ED1FC4" w:rsidRPr="004678AD">
        <w:rPr>
          <w:color w:val="000000" w:themeColor="text1"/>
          <w:szCs w:val="24"/>
        </w:rPr>
        <w:t xml:space="preserve">the deceased </w:t>
      </w:r>
      <w:r w:rsidR="00A8013C" w:rsidRPr="004678AD">
        <w:rPr>
          <w:color w:val="000000" w:themeColor="text1"/>
          <w:szCs w:val="24"/>
        </w:rPr>
        <w:t xml:space="preserve">caused a head-on collision. </w:t>
      </w:r>
      <w:r w:rsidR="00230963" w:rsidRPr="004678AD">
        <w:rPr>
          <w:color w:val="000000" w:themeColor="text1"/>
          <w:szCs w:val="24"/>
        </w:rPr>
        <w:t xml:space="preserve"> </w:t>
      </w:r>
      <w:r w:rsidR="00A8013C" w:rsidRPr="004678AD">
        <w:rPr>
          <w:color w:val="000000" w:themeColor="text1"/>
          <w:szCs w:val="24"/>
        </w:rPr>
        <w:t>Mr Mavumba was adamant that the deceased motor vehicle was travelling in its correct lane</w:t>
      </w:r>
      <w:r w:rsidR="000B2FA5" w:rsidRPr="004678AD">
        <w:rPr>
          <w:color w:val="000000" w:themeColor="text1"/>
          <w:szCs w:val="24"/>
        </w:rPr>
        <w:t xml:space="preserve"> and </w:t>
      </w:r>
      <w:r w:rsidR="00A8013C" w:rsidRPr="004678AD">
        <w:rPr>
          <w:color w:val="000000" w:themeColor="text1"/>
          <w:szCs w:val="24"/>
        </w:rPr>
        <w:t>remained steadfast that the side of the insured driver’s articulated truck collided with the front of the deceased motor vehicle.</w:t>
      </w:r>
    </w:p>
    <w:p w14:paraId="38BA6612" w14:textId="0F17F53A"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[22]</w:t>
      </w:r>
      <w:r w:rsidRPr="004678AD">
        <w:rPr>
          <w:color w:val="000000" w:themeColor="text1"/>
          <w:szCs w:val="24"/>
        </w:rPr>
        <w:tab/>
      </w:r>
      <w:r w:rsidR="000A687E" w:rsidRPr="004678AD">
        <w:rPr>
          <w:color w:val="000000" w:themeColor="text1"/>
          <w:szCs w:val="24"/>
        </w:rPr>
        <w:t xml:space="preserve">Mr Mavumba explained that although he had remained on the scene, he did not give a statement to the police as he feared being implicated in the collision.  In response to how he came to testify for the </w:t>
      </w:r>
      <w:r w:rsidR="00FD4BD5" w:rsidRPr="004678AD">
        <w:rPr>
          <w:color w:val="000000" w:themeColor="text1"/>
          <w:szCs w:val="24"/>
        </w:rPr>
        <w:t>p</w:t>
      </w:r>
      <w:r w:rsidR="000A687E" w:rsidRPr="004678AD">
        <w:rPr>
          <w:color w:val="000000" w:themeColor="text1"/>
          <w:szCs w:val="24"/>
        </w:rPr>
        <w:t xml:space="preserve">laintiff, Mr Mavumba stated that he had discussed the collision with numerous people as he </w:t>
      </w:r>
      <w:r w:rsidR="009E43B7" w:rsidRPr="004678AD">
        <w:rPr>
          <w:color w:val="000000" w:themeColor="text1"/>
          <w:szCs w:val="24"/>
        </w:rPr>
        <w:t>was</w:t>
      </w:r>
      <w:r w:rsidR="000A687E" w:rsidRPr="004678AD">
        <w:rPr>
          <w:color w:val="000000" w:themeColor="text1"/>
          <w:szCs w:val="24"/>
        </w:rPr>
        <w:t xml:space="preserve"> </w:t>
      </w:r>
      <w:r w:rsidR="00430379" w:rsidRPr="004678AD">
        <w:rPr>
          <w:color w:val="000000" w:themeColor="text1"/>
          <w:szCs w:val="24"/>
        </w:rPr>
        <w:t>traumatised</w:t>
      </w:r>
      <w:r w:rsidR="007D741A" w:rsidRPr="004678AD">
        <w:rPr>
          <w:color w:val="000000" w:themeColor="text1"/>
          <w:szCs w:val="24"/>
        </w:rPr>
        <w:t xml:space="preserve"> </w:t>
      </w:r>
      <w:r w:rsidR="00B23A4C" w:rsidRPr="004678AD">
        <w:rPr>
          <w:color w:val="000000" w:themeColor="text1"/>
          <w:szCs w:val="24"/>
        </w:rPr>
        <w:t xml:space="preserve">seeing </w:t>
      </w:r>
      <w:r w:rsidR="00ED4BE1" w:rsidRPr="004678AD">
        <w:rPr>
          <w:color w:val="000000" w:themeColor="text1"/>
          <w:szCs w:val="24"/>
        </w:rPr>
        <w:t>the deceased trapped inside</w:t>
      </w:r>
      <w:r w:rsidR="000A6EDD" w:rsidRPr="004678AD">
        <w:rPr>
          <w:color w:val="000000" w:themeColor="text1"/>
          <w:szCs w:val="24"/>
        </w:rPr>
        <w:t xml:space="preserve"> </w:t>
      </w:r>
      <w:r w:rsidR="00B23A4C" w:rsidRPr="004678AD">
        <w:rPr>
          <w:color w:val="000000" w:themeColor="text1"/>
          <w:szCs w:val="24"/>
        </w:rPr>
        <w:t>the</w:t>
      </w:r>
      <w:r w:rsidR="000A6EDD" w:rsidRPr="004678AD">
        <w:rPr>
          <w:color w:val="000000" w:themeColor="text1"/>
          <w:szCs w:val="24"/>
        </w:rPr>
        <w:t xml:space="preserve"> crushed vehicle and </w:t>
      </w:r>
      <w:r w:rsidR="00CA5EB8" w:rsidRPr="004678AD">
        <w:rPr>
          <w:color w:val="000000" w:themeColor="text1"/>
          <w:szCs w:val="24"/>
        </w:rPr>
        <w:t>i</w:t>
      </w:r>
      <w:r w:rsidR="000A687E" w:rsidRPr="004678AD">
        <w:rPr>
          <w:color w:val="000000" w:themeColor="text1"/>
          <w:szCs w:val="24"/>
        </w:rPr>
        <w:t xml:space="preserve">t was relatively easy for the </w:t>
      </w:r>
      <w:r w:rsidR="00FD4BD5" w:rsidRPr="004678AD">
        <w:rPr>
          <w:color w:val="000000" w:themeColor="text1"/>
          <w:szCs w:val="24"/>
        </w:rPr>
        <w:t>p</w:t>
      </w:r>
      <w:r w:rsidR="000A687E" w:rsidRPr="004678AD">
        <w:rPr>
          <w:color w:val="000000" w:themeColor="text1"/>
          <w:szCs w:val="24"/>
        </w:rPr>
        <w:t xml:space="preserve">laintiff’s attorneys to trace him when they conducted investigations regarding the collision.  </w:t>
      </w:r>
      <w:r w:rsidR="006A151B" w:rsidRPr="004678AD">
        <w:rPr>
          <w:color w:val="000000" w:themeColor="text1"/>
          <w:szCs w:val="24"/>
        </w:rPr>
        <w:t xml:space="preserve">Mr Mavumba confirmed that both the insured driver and the deceased were unknown to him.  </w:t>
      </w:r>
    </w:p>
    <w:p w14:paraId="61EA92BC" w14:textId="2F449F0E" w:rsidR="000A687E" w:rsidRPr="004678AD" w:rsidRDefault="00CF1A4E" w:rsidP="004678AD">
      <w:pPr>
        <w:pStyle w:val="JudgmentNumbered"/>
        <w:keepNext/>
        <w:widowControl w:val="0"/>
        <w:numPr>
          <w:ilvl w:val="0"/>
          <w:numId w:val="0"/>
        </w:numPr>
        <w:rPr>
          <w:bCs/>
          <w:i/>
          <w:color w:val="000000" w:themeColor="text1"/>
          <w:szCs w:val="24"/>
        </w:rPr>
      </w:pPr>
      <w:r w:rsidRPr="004678AD">
        <w:rPr>
          <w:bCs/>
          <w:i/>
          <w:color w:val="000000" w:themeColor="text1"/>
          <w:szCs w:val="24"/>
        </w:rPr>
        <w:t xml:space="preserve">Liability </w:t>
      </w:r>
      <w:r w:rsidR="00D13AE7" w:rsidRPr="004678AD">
        <w:rPr>
          <w:bCs/>
          <w:i/>
          <w:color w:val="000000" w:themeColor="text1"/>
          <w:szCs w:val="24"/>
        </w:rPr>
        <w:t>Assessment</w:t>
      </w:r>
    </w:p>
    <w:p w14:paraId="0E522F31" w14:textId="30783863" w:rsidR="000A687E" w:rsidRPr="004678AD" w:rsidRDefault="00EC2D71" w:rsidP="00EC2D71">
      <w:pPr>
        <w:pStyle w:val="JudgmentNumbered"/>
        <w:keepNext/>
        <w:widowControl w:val="0"/>
        <w:numPr>
          <w:ilvl w:val="0"/>
          <w:numId w:val="0"/>
        </w:numPr>
        <w:ind w:left="567" w:hanging="567"/>
        <w:rPr>
          <w:color w:val="000000" w:themeColor="text1"/>
          <w:szCs w:val="24"/>
        </w:rPr>
      </w:pPr>
      <w:r w:rsidRPr="004678AD">
        <w:rPr>
          <w:color w:val="000000" w:themeColor="text1"/>
          <w:szCs w:val="24"/>
        </w:rPr>
        <w:t>[23]</w:t>
      </w:r>
      <w:r w:rsidRPr="004678AD">
        <w:rPr>
          <w:color w:val="000000" w:themeColor="text1"/>
          <w:szCs w:val="24"/>
        </w:rPr>
        <w:tab/>
      </w:r>
      <w:r w:rsidR="004148E6" w:rsidRPr="004678AD">
        <w:rPr>
          <w:color w:val="000000" w:themeColor="text1"/>
          <w:szCs w:val="24"/>
        </w:rPr>
        <w:t>S</w:t>
      </w:r>
      <w:r w:rsidR="000A687E" w:rsidRPr="004678AD">
        <w:rPr>
          <w:color w:val="000000" w:themeColor="text1"/>
          <w:szCs w:val="24"/>
        </w:rPr>
        <w:t>ection 16 of the Civil Proceedings Evidence Act 25 of 1965 provides that judgment may be given on the evidence of a single, competent, and credible witness.</w:t>
      </w:r>
      <w:r w:rsidR="00644C2E" w:rsidRPr="004678AD">
        <w:rPr>
          <w:color w:val="000000" w:themeColor="text1"/>
          <w:szCs w:val="24"/>
        </w:rPr>
        <w:t xml:space="preserve"> </w:t>
      </w:r>
      <w:r w:rsidR="00430379" w:rsidRPr="004678AD">
        <w:rPr>
          <w:color w:val="000000" w:themeColor="text1"/>
          <w:szCs w:val="24"/>
        </w:rPr>
        <w:t xml:space="preserve"> </w:t>
      </w:r>
      <w:r w:rsidR="002710A3" w:rsidRPr="004678AD">
        <w:rPr>
          <w:color w:val="000000" w:themeColor="text1"/>
          <w:szCs w:val="24"/>
        </w:rPr>
        <w:t>I</w:t>
      </w:r>
      <w:r w:rsidR="000A687E" w:rsidRPr="004678AD">
        <w:rPr>
          <w:color w:val="000000" w:themeColor="text1"/>
          <w:szCs w:val="24"/>
        </w:rPr>
        <w:t>t does not</w:t>
      </w:r>
      <w:r w:rsidR="002710A3" w:rsidRPr="004678AD">
        <w:rPr>
          <w:color w:val="000000" w:themeColor="text1"/>
          <w:szCs w:val="24"/>
        </w:rPr>
        <w:t>, however,</w:t>
      </w:r>
      <w:r w:rsidR="000A687E" w:rsidRPr="004678AD">
        <w:rPr>
          <w:color w:val="000000" w:themeColor="text1"/>
          <w:szCs w:val="24"/>
        </w:rPr>
        <w:t xml:space="preserve"> follow that because </w:t>
      </w:r>
      <w:r w:rsidR="00430379" w:rsidRPr="004678AD">
        <w:rPr>
          <w:color w:val="000000" w:themeColor="text1"/>
          <w:szCs w:val="24"/>
        </w:rPr>
        <w:t xml:space="preserve">the </w:t>
      </w:r>
      <w:r w:rsidR="000A687E" w:rsidRPr="004678AD">
        <w:rPr>
          <w:color w:val="000000" w:themeColor="text1"/>
          <w:szCs w:val="24"/>
        </w:rPr>
        <w:t xml:space="preserve">evidence is uncontradicted, it is unassailable.  </w:t>
      </w:r>
      <w:r w:rsidR="00B74652" w:rsidRPr="004678AD">
        <w:rPr>
          <w:color w:val="000000" w:themeColor="text1"/>
          <w:szCs w:val="24"/>
        </w:rPr>
        <w:t>The onus can be discharged by means of adducing credible evidence, which on a preponderance of probabilities, is true and accurate.</w:t>
      </w:r>
      <w:r w:rsidR="00B74652" w:rsidRPr="004678AD">
        <w:rPr>
          <w:color w:val="000000" w:themeColor="text1"/>
          <w:szCs w:val="24"/>
          <w:vertAlign w:val="superscript"/>
        </w:rPr>
        <w:footnoteReference w:id="24"/>
      </w:r>
      <w:r w:rsidR="00B74652" w:rsidRPr="004678AD">
        <w:rPr>
          <w:color w:val="000000" w:themeColor="text1"/>
          <w:szCs w:val="24"/>
        </w:rPr>
        <w:t xml:space="preserve">  </w:t>
      </w:r>
      <w:r w:rsidR="00D536E6" w:rsidRPr="004678AD">
        <w:rPr>
          <w:color w:val="000000" w:themeColor="text1"/>
          <w:szCs w:val="24"/>
        </w:rPr>
        <w:t xml:space="preserve">The test involves weighing the evidence against the general probabilities in order to assess its veracity.  </w:t>
      </w:r>
      <w:r w:rsidR="000A687E" w:rsidRPr="004678AD">
        <w:rPr>
          <w:color w:val="000000" w:themeColor="text1"/>
          <w:szCs w:val="24"/>
        </w:rPr>
        <w:t xml:space="preserve">As such, I must satisfy myself that </w:t>
      </w:r>
      <w:r w:rsidR="002C7FB7" w:rsidRPr="004678AD">
        <w:rPr>
          <w:color w:val="000000" w:themeColor="text1"/>
          <w:szCs w:val="24"/>
        </w:rPr>
        <w:t>Mr Mavumba</w:t>
      </w:r>
      <w:r w:rsidR="000A687E" w:rsidRPr="004678AD">
        <w:rPr>
          <w:color w:val="000000" w:themeColor="text1"/>
          <w:szCs w:val="24"/>
        </w:rPr>
        <w:t xml:space="preserve"> was telling the truth and </w:t>
      </w:r>
      <w:r w:rsidR="00430379" w:rsidRPr="004678AD">
        <w:rPr>
          <w:color w:val="000000" w:themeColor="text1"/>
          <w:szCs w:val="24"/>
        </w:rPr>
        <w:t xml:space="preserve">that </w:t>
      </w:r>
      <w:r w:rsidR="000A687E" w:rsidRPr="004678AD">
        <w:rPr>
          <w:color w:val="000000" w:themeColor="text1"/>
          <w:szCs w:val="24"/>
        </w:rPr>
        <w:t>his version aligns with the general probabilities</w:t>
      </w:r>
      <w:r w:rsidR="00430379" w:rsidRPr="004678AD">
        <w:rPr>
          <w:color w:val="000000" w:themeColor="text1"/>
          <w:szCs w:val="24"/>
        </w:rPr>
        <w:t>,</w:t>
      </w:r>
      <w:r w:rsidR="000A687E" w:rsidRPr="004678AD">
        <w:rPr>
          <w:color w:val="000000" w:themeColor="text1"/>
          <w:szCs w:val="24"/>
          <w:vertAlign w:val="superscript"/>
        </w:rPr>
        <w:footnoteReference w:id="25"/>
      </w:r>
      <w:r w:rsidR="000A687E" w:rsidRPr="004678AD">
        <w:rPr>
          <w:color w:val="000000" w:themeColor="text1"/>
          <w:szCs w:val="24"/>
        </w:rPr>
        <w:t xml:space="preserve">  </w:t>
      </w:r>
    </w:p>
    <w:p w14:paraId="70DAB7A0" w14:textId="15A6863B" w:rsidR="00E210DD"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[24]</w:t>
      </w:r>
      <w:r w:rsidRPr="004678AD">
        <w:rPr>
          <w:color w:val="000000" w:themeColor="text1"/>
          <w:szCs w:val="24"/>
        </w:rPr>
        <w:tab/>
      </w:r>
      <w:r w:rsidR="00E210DD" w:rsidRPr="004678AD">
        <w:rPr>
          <w:color w:val="000000" w:themeColor="text1"/>
          <w:szCs w:val="24"/>
        </w:rPr>
        <w:t>No evidence whatsoever was presented to this court to give credence to the defendant’s contention that the deceased drove in the incorrect lane and caused a head-on collision with the insured driver’s articulated truck.  The police accident report does not support the defendant’s allegations that the deceased caused a head-on collision as it clearly indicates “</w:t>
      </w:r>
      <w:r w:rsidR="00E210DD" w:rsidRPr="004678AD">
        <w:rPr>
          <w:i/>
          <w:iCs/>
          <w:color w:val="000000" w:themeColor="text1"/>
          <w:szCs w:val="24"/>
        </w:rPr>
        <w:t>Accident Type</w:t>
      </w:r>
      <w:r w:rsidR="00E210DD" w:rsidRPr="004678AD">
        <w:rPr>
          <w:color w:val="000000" w:themeColor="text1"/>
          <w:szCs w:val="24"/>
        </w:rPr>
        <w:t>” as being “</w:t>
      </w:r>
      <w:r w:rsidR="00E210DD" w:rsidRPr="004678AD">
        <w:rPr>
          <w:i/>
          <w:iCs/>
          <w:color w:val="000000" w:themeColor="text1"/>
          <w:szCs w:val="24"/>
        </w:rPr>
        <w:t xml:space="preserve">sideswipe </w:t>
      </w:r>
      <w:r w:rsidR="00E210DD" w:rsidRPr="004678AD">
        <w:rPr>
          <w:i/>
          <w:iCs/>
          <w:color w:val="000000" w:themeColor="text1"/>
          <w:szCs w:val="24"/>
        </w:rPr>
        <w:lastRenderedPageBreak/>
        <w:t>opposite directions.</w:t>
      </w:r>
      <w:r w:rsidR="00E210DD" w:rsidRPr="004678AD">
        <w:rPr>
          <w:color w:val="000000" w:themeColor="text1"/>
          <w:szCs w:val="24"/>
        </w:rPr>
        <w:t>”  A hypothesis is of no value if it is based on unproven assumptions.</w:t>
      </w:r>
      <w:r w:rsidR="00E210DD" w:rsidRPr="004678AD">
        <w:rPr>
          <w:color w:val="000000" w:themeColor="text1"/>
          <w:szCs w:val="24"/>
          <w:vertAlign w:val="superscript"/>
        </w:rPr>
        <w:footnoteReference w:id="26"/>
      </w:r>
      <w:r w:rsidR="00E210DD" w:rsidRPr="004678AD">
        <w:rPr>
          <w:color w:val="000000" w:themeColor="text1"/>
          <w:szCs w:val="24"/>
        </w:rPr>
        <w:t xml:space="preserve">  I have also not lost sight of the adverse inference which arises from the fact that the defendant failed to call the insured driver who could have told the court how the collision occurred and what steps he took to avoid the collision.</w:t>
      </w:r>
      <w:r w:rsidR="00E210DD" w:rsidRPr="004678AD">
        <w:rPr>
          <w:color w:val="000000" w:themeColor="text1"/>
          <w:szCs w:val="24"/>
          <w:vertAlign w:val="superscript"/>
        </w:rPr>
        <w:footnoteReference w:id="27"/>
      </w:r>
      <w:r w:rsidR="00E210DD" w:rsidRPr="004678AD">
        <w:rPr>
          <w:color w:val="000000" w:themeColor="text1"/>
          <w:szCs w:val="24"/>
        </w:rPr>
        <w:t xml:space="preserve">  The inescapable conclusion is that the defendant’s version is more conjecture rather than fact, and must be rejected.</w:t>
      </w:r>
    </w:p>
    <w:p w14:paraId="5297C32B" w14:textId="1D9C70F7"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[25]</w:t>
      </w:r>
      <w:r w:rsidRPr="004678AD">
        <w:rPr>
          <w:color w:val="000000" w:themeColor="text1"/>
          <w:szCs w:val="24"/>
        </w:rPr>
        <w:tab/>
      </w:r>
      <w:r w:rsidR="00373031" w:rsidRPr="004678AD">
        <w:rPr>
          <w:color w:val="000000" w:themeColor="text1"/>
          <w:szCs w:val="24"/>
        </w:rPr>
        <w:t xml:space="preserve">Assessing the </w:t>
      </w:r>
      <w:r w:rsidR="00452474" w:rsidRPr="004678AD">
        <w:rPr>
          <w:color w:val="000000" w:themeColor="text1"/>
          <w:szCs w:val="24"/>
        </w:rPr>
        <w:t>general probabilities, Mr Mavumba’s evidence is corroborated by the police accident report “</w:t>
      </w:r>
      <w:r w:rsidR="00452474" w:rsidRPr="004678AD">
        <w:rPr>
          <w:i/>
          <w:iCs/>
          <w:color w:val="000000" w:themeColor="text1"/>
          <w:szCs w:val="24"/>
        </w:rPr>
        <w:t>Accident Sketch</w:t>
      </w:r>
      <w:r w:rsidR="00452474" w:rsidRPr="004678AD">
        <w:rPr>
          <w:color w:val="000000" w:themeColor="text1"/>
          <w:szCs w:val="24"/>
        </w:rPr>
        <w:t>” diagram which depicts a single carriageway with two lanes, carrying traffic in opposite directions</w:t>
      </w:r>
      <w:r w:rsidR="00002FBF" w:rsidRPr="004678AD">
        <w:rPr>
          <w:color w:val="000000" w:themeColor="text1"/>
          <w:szCs w:val="24"/>
        </w:rPr>
        <w:t>,</w:t>
      </w:r>
      <w:r w:rsidR="00452474" w:rsidRPr="004678AD">
        <w:rPr>
          <w:color w:val="000000" w:themeColor="text1"/>
          <w:szCs w:val="24"/>
        </w:rPr>
        <w:t xml:space="preserve"> the position of the vehicles after the collision</w:t>
      </w:r>
      <w:r w:rsidR="00002FBF" w:rsidRPr="004678AD">
        <w:rPr>
          <w:color w:val="000000" w:themeColor="text1"/>
          <w:szCs w:val="24"/>
        </w:rPr>
        <w:t xml:space="preserve"> and </w:t>
      </w:r>
      <w:r w:rsidR="007B2D95" w:rsidRPr="004678AD">
        <w:rPr>
          <w:color w:val="000000" w:themeColor="text1"/>
          <w:szCs w:val="24"/>
        </w:rPr>
        <w:t>the</w:t>
      </w:r>
      <w:r w:rsidR="009872E8" w:rsidRPr="004678AD">
        <w:rPr>
          <w:color w:val="000000" w:themeColor="text1"/>
          <w:szCs w:val="24"/>
        </w:rPr>
        <w:t xml:space="preserve"> </w:t>
      </w:r>
      <w:r w:rsidR="007B2D95" w:rsidRPr="004678AD">
        <w:rPr>
          <w:color w:val="000000" w:themeColor="text1"/>
          <w:szCs w:val="24"/>
        </w:rPr>
        <w:t>“</w:t>
      </w:r>
      <w:r w:rsidR="007B2D95" w:rsidRPr="004678AD">
        <w:rPr>
          <w:i/>
          <w:iCs/>
          <w:color w:val="000000" w:themeColor="text1"/>
          <w:szCs w:val="24"/>
        </w:rPr>
        <w:t>Accident Type</w:t>
      </w:r>
      <w:r w:rsidR="007B2D95" w:rsidRPr="004678AD">
        <w:rPr>
          <w:color w:val="000000" w:themeColor="text1"/>
          <w:szCs w:val="24"/>
        </w:rPr>
        <w:t xml:space="preserve">” </w:t>
      </w:r>
      <w:r w:rsidR="00134CE2" w:rsidRPr="004678AD">
        <w:rPr>
          <w:color w:val="000000" w:themeColor="text1"/>
          <w:szCs w:val="24"/>
        </w:rPr>
        <w:t xml:space="preserve">description which </w:t>
      </w:r>
      <w:r w:rsidR="007B2D95" w:rsidRPr="004678AD">
        <w:rPr>
          <w:color w:val="000000" w:themeColor="text1"/>
          <w:szCs w:val="24"/>
        </w:rPr>
        <w:t>indicat</w:t>
      </w:r>
      <w:r w:rsidR="00134CE2" w:rsidRPr="004678AD">
        <w:rPr>
          <w:color w:val="000000" w:themeColor="text1"/>
          <w:szCs w:val="24"/>
        </w:rPr>
        <w:t>es</w:t>
      </w:r>
      <w:r w:rsidR="007B2D95" w:rsidRPr="004678AD">
        <w:rPr>
          <w:color w:val="000000" w:themeColor="text1"/>
          <w:szCs w:val="24"/>
        </w:rPr>
        <w:t xml:space="preserve"> “</w:t>
      </w:r>
      <w:r w:rsidR="007B2D95" w:rsidRPr="004678AD">
        <w:rPr>
          <w:i/>
          <w:iCs/>
          <w:color w:val="000000" w:themeColor="text1"/>
          <w:szCs w:val="24"/>
        </w:rPr>
        <w:t>sideswipe opposite directions</w:t>
      </w:r>
      <w:r w:rsidR="007643C9" w:rsidRPr="004678AD">
        <w:rPr>
          <w:i/>
          <w:iCs/>
          <w:color w:val="000000" w:themeColor="text1"/>
          <w:szCs w:val="24"/>
        </w:rPr>
        <w:t>.</w:t>
      </w:r>
      <w:r w:rsidR="007B2D95" w:rsidRPr="004678AD">
        <w:rPr>
          <w:color w:val="000000" w:themeColor="text1"/>
          <w:szCs w:val="24"/>
        </w:rPr>
        <w:t>”</w:t>
      </w:r>
      <w:r w:rsidR="007643C9" w:rsidRPr="004678AD">
        <w:rPr>
          <w:color w:val="000000" w:themeColor="text1"/>
          <w:szCs w:val="24"/>
        </w:rPr>
        <w:t xml:space="preserve"> </w:t>
      </w:r>
      <w:r w:rsidR="007B2D95" w:rsidRPr="004678AD">
        <w:rPr>
          <w:color w:val="000000" w:themeColor="text1"/>
          <w:szCs w:val="24"/>
        </w:rPr>
        <w:t xml:space="preserve"> </w:t>
      </w:r>
      <w:r w:rsidR="004E3985" w:rsidRPr="004678AD">
        <w:rPr>
          <w:color w:val="000000" w:themeColor="text1"/>
          <w:szCs w:val="24"/>
        </w:rPr>
        <w:t>To the limited extent that the three additional scratch-type vertical lines drawn on the mid-rear right side of “Motor vehicle A” (the articulated truck) in the “</w:t>
      </w:r>
      <w:r w:rsidR="004E3985" w:rsidRPr="004678AD">
        <w:rPr>
          <w:i/>
          <w:iCs/>
          <w:color w:val="000000" w:themeColor="text1"/>
          <w:szCs w:val="24"/>
        </w:rPr>
        <w:t>Accident Sketch</w:t>
      </w:r>
      <w:r w:rsidR="004E3985" w:rsidRPr="004678AD">
        <w:rPr>
          <w:color w:val="000000" w:themeColor="text1"/>
          <w:szCs w:val="24"/>
        </w:rPr>
        <w:t xml:space="preserve">” diagram can be interpreted as indicating the damage to the insured driver’s articulated truck, this provides additional corroboration regarding the nature of the collision.  </w:t>
      </w:r>
    </w:p>
    <w:p w14:paraId="0BDA5CE0" w14:textId="1ECF9BE5" w:rsidR="00795925"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[26]</w:t>
      </w:r>
      <w:r w:rsidRPr="004678AD">
        <w:rPr>
          <w:color w:val="000000" w:themeColor="text1"/>
          <w:szCs w:val="24"/>
        </w:rPr>
        <w:tab/>
      </w:r>
      <w:r w:rsidR="00357E49" w:rsidRPr="004678AD">
        <w:rPr>
          <w:color w:val="000000" w:themeColor="text1"/>
          <w:szCs w:val="24"/>
        </w:rPr>
        <w:t xml:space="preserve">Mr Mavumba was an impressive witness.  </w:t>
      </w:r>
      <w:r w:rsidR="002F2637" w:rsidRPr="004678AD">
        <w:rPr>
          <w:color w:val="000000" w:themeColor="text1"/>
          <w:szCs w:val="24"/>
        </w:rPr>
        <w:t xml:space="preserve">I have no reason to doubt the veracity of Mr Mavumba’s testimony. </w:t>
      </w:r>
      <w:r w:rsidR="00612979" w:rsidRPr="004678AD">
        <w:rPr>
          <w:color w:val="000000" w:themeColor="text1"/>
          <w:szCs w:val="24"/>
        </w:rPr>
        <w:t xml:space="preserve"> </w:t>
      </w:r>
      <w:r w:rsidR="00BD6C8E" w:rsidRPr="004678AD">
        <w:rPr>
          <w:color w:val="000000" w:themeColor="text1"/>
          <w:szCs w:val="24"/>
        </w:rPr>
        <w:t>It is</w:t>
      </w:r>
      <w:r w:rsidR="00CC2515" w:rsidRPr="004678AD">
        <w:rPr>
          <w:color w:val="000000" w:themeColor="text1"/>
          <w:szCs w:val="24"/>
        </w:rPr>
        <w:t xml:space="preserve"> </w:t>
      </w:r>
      <w:r w:rsidR="00BD6C8E" w:rsidRPr="004678AD">
        <w:rPr>
          <w:color w:val="000000" w:themeColor="text1"/>
          <w:szCs w:val="24"/>
        </w:rPr>
        <w:t>possible to deduce from Mr Mavumba’s evidence together with the depiction of the position of the articulated truck after the collision in the police accident report “</w:t>
      </w:r>
      <w:r w:rsidR="00BD6C8E" w:rsidRPr="004678AD">
        <w:rPr>
          <w:i/>
          <w:iCs/>
          <w:color w:val="000000" w:themeColor="text1"/>
          <w:szCs w:val="24"/>
        </w:rPr>
        <w:t>Accident Sketch</w:t>
      </w:r>
      <w:r w:rsidR="00BD6C8E" w:rsidRPr="004678AD">
        <w:rPr>
          <w:color w:val="000000" w:themeColor="text1"/>
          <w:szCs w:val="24"/>
        </w:rPr>
        <w:t>” diagram, that the headlights of the articulated truck moving from the middle of the road towards its correct lane would not have been clearly visible to oncoming traffic at night, on a road which does not have streetlights.</w:t>
      </w:r>
      <w:r w:rsidR="00BD6C8E" w:rsidRPr="004678AD">
        <w:rPr>
          <w:rStyle w:val="FootnoteReference"/>
          <w:color w:val="000000" w:themeColor="text1"/>
          <w:szCs w:val="24"/>
        </w:rPr>
        <w:footnoteReference w:id="28"/>
      </w:r>
      <w:r w:rsidR="00BD6C8E" w:rsidRPr="004678AD">
        <w:rPr>
          <w:color w:val="000000" w:themeColor="text1"/>
          <w:szCs w:val="24"/>
        </w:rPr>
        <w:t xml:space="preserve">  </w:t>
      </w:r>
      <w:r w:rsidR="00795925" w:rsidRPr="004678AD">
        <w:rPr>
          <w:color w:val="000000" w:themeColor="text1"/>
          <w:szCs w:val="24"/>
        </w:rPr>
        <w:t xml:space="preserve">I am satisfied that </w:t>
      </w:r>
      <w:r w:rsidR="001255E1" w:rsidRPr="004678AD">
        <w:rPr>
          <w:color w:val="000000" w:themeColor="text1"/>
          <w:szCs w:val="24"/>
        </w:rPr>
        <w:t>Mr Mavumba</w:t>
      </w:r>
      <w:r w:rsidR="00795925" w:rsidRPr="004678AD">
        <w:rPr>
          <w:color w:val="000000" w:themeColor="text1"/>
          <w:szCs w:val="24"/>
        </w:rPr>
        <w:t xml:space="preserve"> was truthful and honest in his recollection of how the collision occurred.  He was candid, credible, and appeared visibly distressed by his recollection of the collision.  I am also cognisant that both the deceased and the insured driver were unknown to Mr Mavumba.  </w:t>
      </w:r>
    </w:p>
    <w:p w14:paraId="23272FF3" w14:textId="2D408233"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lastRenderedPageBreak/>
        <w:t>[27]</w:t>
      </w:r>
      <w:r w:rsidRPr="004678AD">
        <w:rPr>
          <w:color w:val="000000" w:themeColor="text1"/>
          <w:szCs w:val="24"/>
        </w:rPr>
        <w:tab/>
      </w:r>
      <w:r w:rsidR="00FE33A2" w:rsidRPr="004678AD">
        <w:rPr>
          <w:color w:val="000000" w:themeColor="text1"/>
          <w:szCs w:val="24"/>
        </w:rPr>
        <w:t>From the evidence</w:t>
      </w:r>
      <w:r w:rsidR="002405D1" w:rsidRPr="004678AD">
        <w:rPr>
          <w:color w:val="000000" w:themeColor="text1"/>
          <w:szCs w:val="24"/>
        </w:rPr>
        <w:t xml:space="preserve"> and accepting the testimony of Mr Mavumba,</w:t>
      </w:r>
      <w:r w:rsidR="00FE33A2" w:rsidRPr="004678AD">
        <w:rPr>
          <w:color w:val="000000" w:themeColor="text1"/>
          <w:szCs w:val="24"/>
        </w:rPr>
        <w:t xml:space="preserve"> it is possible to attribute on a preponderance of probabilities, that the insured driver, driving in the middle of the road and moving the articulated truck in the manner described, created a danger to other road users</w:t>
      </w:r>
      <w:r w:rsidR="001D202F" w:rsidRPr="004678AD">
        <w:rPr>
          <w:color w:val="000000" w:themeColor="text1"/>
          <w:szCs w:val="24"/>
        </w:rPr>
        <w:t xml:space="preserve">. </w:t>
      </w:r>
      <w:r w:rsidR="000043A5" w:rsidRPr="004678AD">
        <w:rPr>
          <w:color w:val="000000" w:themeColor="text1"/>
          <w:szCs w:val="24"/>
        </w:rPr>
        <w:t xml:space="preserve"> </w:t>
      </w:r>
      <w:r w:rsidR="001D202F" w:rsidRPr="004678AD">
        <w:rPr>
          <w:color w:val="000000" w:themeColor="text1"/>
          <w:szCs w:val="24"/>
        </w:rPr>
        <w:t>T</w:t>
      </w:r>
      <w:r w:rsidR="00AC3402" w:rsidRPr="004678AD">
        <w:rPr>
          <w:color w:val="000000" w:themeColor="text1"/>
          <w:szCs w:val="24"/>
        </w:rPr>
        <w:t xml:space="preserve">he probabilities </w:t>
      </w:r>
      <w:r w:rsidR="000043A5" w:rsidRPr="004678AD">
        <w:rPr>
          <w:color w:val="000000" w:themeColor="text1"/>
          <w:szCs w:val="24"/>
        </w:rPr>
        <w:t xml:space="preserve">are </w:t>
      </w:r>
      <w:r w:rsidR="00AC3402" w:rsidRPr="004678AD">
        <w:rPr>
          <w:color w:val="000000" w:themeColor="text1"/>
          <w:szCs w:val="24"/>
        </w:rPr>
        <w:t xml:space="preserve">substantially in </w:t>
      </w:r>
      <w:r w:rsidR="000043A5" w:rsidRPr="004678AD">
        <w:rPr>
          <w:color w:val="000000" w:themeColor="text1"/>
          <w:szCs w:val="24"/>
        </w:rPr>
        <w:t xml:space="preserve">the plaintiff’s </w:t>
      </w:r>
      <w:r w:rsidR="00165AC8" w:rsidRPr="004678AD">
        <w:rPr>
          <w:color w:val="000000" w:themeColor="text1"/>
          <w:szCs w:val="24"/>
        </w:rPr>
        <w:t>favour</w:t>
      </w:r>
      <w:r w:rsidR="000F633F" w:rsidRPr="004678AD">
        <w:rPr>
          <w:color w:val="000000" w:themeColor="text1"/>
          <w:szCs w:val="24"/>
        </w:rPr>
        <w:t xml:space="preserve"> </w:t>
      </w:r>
      <w:r w:rsidR="000A687E" w:rsidRPr="004678AD">
        <w:rPr>
          <w:color w:val="000000" w:themeColor="text1"/>
          <w:szCs w:val="24"/>
        </w:rPr>
        <w:t xml:space="preserve">that the </w:t>
      </w:r>
      <w:r w:rsidR="00C40F75" w:rsidRPr="004678AD">
        <w:rPr>
          <w:color w:val="000000" w:themeColor="text1"/>
          <w:szCs w:val="24"/>
        </w:rPr>
        <w:t xml:space="preserve">motor vehicle </w:t>
      </w:r>
      <w:r w:rsidR="005D52B9" w:rsidRPr="004678AD">
        <w:rPr>
          <w:color w:val="000000" w:themeColor="text1"/>
          <w:szCs w:val="24"/>
        </w:rPr>
        <w:t xml:space="preserve">collision resulting in the death of the deceased was caused by or arose as a result of </w:t>
      </w:r>
      <w:r w:rsidR="007B0D26" w:rsidRPr="004678AD">
        <w:rPr>
          <w:color w:val="000000" w:themeColor="text1"/>
          <w:szCs w:val="24"/>
        </w:rPr>
        <w:t xml:space="preserve">the </w:t>
      </w:r>
      <w:r w:rsidR="00204052" w:rsidRPr="004678AD">
        <w:rPr>
          <w:color w:val="000000" w:themeColor="text1"/>
          <w:szCs w:val="24"/>
        </w:rPr>
        <w:t xml:space="preserve">insured driver’s </w:t>
      </w:r>
      <w:r w:rsidR="000A687E" w:rsidRPr="004678AD">
        <w:rPr>
          <w:color w:val="000000" w:themeColor="text1"/>
          <w:szCs w:val="24"/>
        </w:rPr>
        <w:t>negligen</w:t>
      </w:r>
      <w:r w:rsidR="00923BEA" w:rsidRPr="004678AD">
        <w:rPr>
          <w:color w:val="000000" w:themeColor="text1"/>
          <w:szCs w:val="24"/>
        </w:rPr>
        <w:t xml:space="preserve">ce or wrongful </w:t>
      </w:r>
      <w:r w:rsidR="00204052" w:rsidRPr="004678AD">
        <w:rPr>
          <w:color w:val="000000" w:themeColor="text1"/>
          <w:szCs w:val="24"/>
        </w:rPr>
        <w:t xml:space="preserve">driving </w:t>
      </w:r>
      <w:r w:rsidR="00793814" w:rsidRPr="004678AD">
        <w:rPr>
          <w:color w:val="000000" w:themeColor="text1"/>
          <w:szCs w:val="24"/>
        </w:rPr>
        <w:t xml:space="preserve">of </w:t>
      </w:r>
      <w:r w:rsidR="00204052" w:rsidRPr="004678AD">
        <w:rPr>
          <w:color w:val="000000" w:themeColor="text1"/>
          <w:szCs w:val="24"/>
        </w:rPr>
        <w:t>the articulated truck</w:t>
      </w:r>
      <w:r w:rsidR="000A687E" w:rsidRPr="004678AD">
        <w:rPr>
          <w:color w:val="000000" w:themeColor="text1"/>
          <w:szCs w:val="24"/>
        </w:rPr>
        <w:t>.</w:t>
      </w:r>
      <w:r w:rsidR="001D202F" w:rsidRPr="004678AD">
        <w:rPr>
          <w:color w:val="000000" w:themeColor="text1"/>
          <w:szCs w:val="24"/>
          <w:vertAlign w:val="superscript"/>
        </w:rPr>
        <w:footnoteReference w:id="29"/>
      </w:r>
      <w:r w:rsidR="001D202F" w:rsidRPr="004678AD">
        <w:rPr>
          <w:color w:val="000000" w:themeColor="text1"/>
          <w:szCs w:val="24"/>
        </w:rPr>
        <w:t xml:space="preserve">  </w:t>
      </w:r>
      <w:r w:rsidR="003069FB" w:rsidRPr="004678AD">
        <w:rPr>
          <w:color w:val="000000" w:themeColor="text1"/>
          <w:szCs w:val="24"/>
        </w:rPr>
        <w:t>T</w:t>
      </w:r>
      <w:r w:rsidR="000A687E" w:rsidRPr="004678AD">
        <w:rPr>
          <w:color w:val="000000" w:themeColor="text1"/>
          <w:szCs w:val="24"/>
        </w:rPr>
        <w:t xml:space="preserve">he </w:t>
      </w:r>
      <w:r w:rsidR="00FD4BD5" w:rsidRPr="004678AD">
        <w:rPr>
          <w:color w:val="000000" w:themeColor="text1"/>
          <w:szCs w:val="24"/>
        </w:rPr>
        <w:t>p</w:t>
      </w:r>
      <w:r w:rsidR="000A687E" w:rsidRPr="004678AD">
        <w:rPr>
          <w:color w:val="000000" w:themeColor="text1"/>
          <w:szCs w:val="24"/>
        </w:rPr>
        <w:t xml:space="preserve">laintiff has </w:t>
      </w:r>
      <w:r w:rsidR="00165AC8" w:rsidRPr="004678AD">
        <w:rPr>
          <w:color w:val="000000" w:themeColor="text1"/>
          <w:szCs w:val="24"/>
        </w:rPr>
        <w:t xml:space="preserve">thus </w:t>
      </w:r>
      <w:r w:rsidR="000A687E" w:rsidRPr="004678AD">
        <w:rPr>
          <w:color w:val="000000" w:themeColor="text1"/>
          <w:szCs w:val="24"/>
        </w:rPr>
        <w:t xml:space="preserve">succeeded in discharging the onus that the deceased was not the sole cause of the </w:t>
      </w:r>
      <w:r w:rsidR="00520F9F" w:rsidRPr="004678AD">
        <w:rPr>
          <w:color w:val="000000" w:themeColor="text1"/>
          <w:szCs w:val="24"/>
        </w:rPr>
        <w:t>collision,</w:t>
      </w:r>
      <w:r w:rsidR="000A687E" w:rsidRPr="004678AD">
        <w:rPr>
          <w:color w:val="000000" w:themeColor="text1"/>
          <w:szCs w:val="24"/>
        </w:rPr>
        <w:t xml:space="preserve"> and the insured driver was at least 1% negligent.</w:t>
      </w:r>
    </w:p>
    <w:p w14:paraId="31674343" w14:textId="74138E21"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[28]</w:t>
      </w:r>
      <w:r w:rsidRPr="004678AD">
        <w:rPr>
          <w:color w:val="000000" w:themeColor="text1"/>
          <w:szCs w:val="24"/>
        </w:rPr>
        <w:tab/>
      </w:r>
      <w:r w:rsidR="000A687E" w:rsidRPr="004678AD">
        <w:rPr>
          <w:color w:val="000000" w:themeColor="text1"/>
          <w:szCs w:val="24"/>
        </w:rPr>
        <w:t>Both elements of liability</w:t>
      </w:r>
      <w:r w:rsidR="007B4915" w:rsidRPr="004678AD">
        <w:rPr>
          <w:color w:val="000000" w:themeColor="text1"/>
          <w:szCs w:val="24"/>
        </w:rPr>
        <w:t xml:space="preserve"> namely</w:t>
      </w:r>
      <w:r w:rsidR="009C599C" w:rsidRPr="004678AD">
        <w:rPr>
          <w:color w:val="000000" w:themeColor="text1"/>
          <w:szCs w:val="24"/>
        </w:rPr>
        <w:t>:</w:t>
      </w:r>
      <w:r w:rsidR="00011D57" w:rsidRPr="004678AD">
        <w:rPr>
          <w:color w:val="000000" w:themeColor="text1"/>
          <w:szCs w:val="24"/>
        </w:rPr>
        <w:t xml:space="preserve"> a legally enforceable duty of support and evidence of negligence on the part of the insured driver</w:t>
      </w:r>
      <w:r w:rsidR="00271FCD" w:rsidRPr="004678AD">
        <w:rPr>
          <w:color w:val="000000" w:themeColor="text1"/>
          <w:szCs w:val="24"/>
        </w:rPr>
        <w:t xml:space="preserve"> have </w:t>
      </w:r>
      <w:r w:rsidR="00567963" w:rsidRPr="004678AD">
        <w:rPr>
          <w:color w:val="000000" w:themeColor="text1"/>
          <w:szCs w:val="24"/>
        </w:rPr>
        <w:t xml:space="preserve">thus </w:t>
      </w:r>
      <w:r w:rsidR="00271FCD" w:rsidRPr="004678AD">
        <w:rPr>
          <w:color w:val="000000" w:themeColor="text1"/>
          <w:szCs w:val="24"/>
        </w:rPr>
        <w:t xml:space="preserve">been satisfied.  In terms of section 17(1) of the RAF Act, </w:t>
      </w:r>
      <w:r w:rsidR="000A687E" w:rsidRPr="004678AD">
        <w:rPr>
          <w:color w:val="000000" w:themeColor="text1"/>
          <w:szCs w:val="24"/>
        </w:rPr>
        <w:t xml:space="preserve">the </w:t>
      </w:r>
      <w:r w:rsidR="00FD4BD5" w:rsidRPr="004678AD">
        <w:rPr>
          <w:color w:val="000000" w:themeColor="text1"/>
          <w:szCs w:val="24"/>
        </w:rPr>
        <w:t>d</w:t>
      </w:r>
      <w:r w:rsidR="000A687E" w:rsidRPr="004678AD">
        <w:rPr>
          <w:color w:val="000000" w:themeColor="text1"/>
          <w:szCs w:val="24"/>
        </w:rPr>
        <w:t xml:space="preserve">efendant is </w:t>
      </w:r>
      <w:r w:rsidR="000970E7" w:rsidRPr="004678AD">
        <w:rPr>
          <w:color w:val="000000" w:themeColor="text1"/>
          <w:szCs w:val="24"/>
        </w:rPr>
        <w:t xml:space="preserve">therefore </w:t>
      </w:r>
      <w:r w:rsidR="000A687E" w:rsidRPr="004678AD">
        <w:rPr>
          <w:color w:val="000000" w:themeColor="text1"/>
          <w:szCs w:val="24"/>
        </w:rPr>
        <w:t xml:space="preserve">100% liable to compensate the </w:t>
      </w:r>
      <w:r w:rsidR="00FD2991" w:rsidRPr="004678AD">
        <w:rPr>
          <w:color w:val="000000" w:themeColor="text1"/>
          <w:szCs w:val="24"/>
        </w:rPr>
        <w:t xml:space="preserve">plaintiff and the minor child, for the </w:t>
      </w:r>
      <w:r w:rsidR="000A687E" w:rsidRPr="004678AD">
        <w:rPr>
          <w:color w:val="000000" w:themeColor="text1"/>
          <w:szCs w:val="24"/>
        </w:rPr>
        <w:t>proven loss of support</w:t>
      </w:r>
      <w:r w:rsidR="00567963" w:rsidRPr="004678AD">
        <w:rPr>
          <w:color w:val="000000" w:themeColor="text1"/>
          <w:szCs w:val="24"/>
        </w:rPr>
        <w:t>,</w:t>
      </w:r>
      <w:r w:rsidR="000A687E" w:rsidRPr="004678AD">
        <w:rPr>
          <w:color w:val="000000" w:themeColor="text1"/>
          <w:szCs w:val="24"/>
          <w:vertAlign w:val="superscript"/>
        </w:rPr>
        <w:footnoteReference w:id="30"/>
      </w:r>
      <w:r w:rsidR="000A687E" w:rsidRPr="004678AD">
        <w:rPr>
          <w:color w:val="000000" w:themeColor="text1"/>
          <w:szCs w:val="24"/>
        </w:rPr>
        <w:t xml:space="preserve"> reasonably anticipated, that the deceased would have supplied had he remained alive.</w:t>
      </w:r>
      <w:r w:rsidR="000A687E" w:rsidRPr="004678AD">
        <w:rPr>
          <w:color w:val="000000" w:themeColor="text1"/>
          <w:szCs w:val="24"/>
          <w:vertAlign w:val="superscript"/>
        </w:rPr>
        <w:footnoteReference w:id="31"/>
      </w:r>
      <w:r w:rsidR="000A687E" w:rsidRPr="004678AD">
        <w:rPr>
          <w:color w:val="000000" w:themeColor="text1"/>
          <w:szCs w:val="24"/>
        </w:rPr>
        <w:t xml:space="preserve"> </w:t>
      </w:r>
    </w:p>
    <w:p w14:paraId="618C2DD7" w14:textId="77777777" w:rsidR="000A687E" w:rsidRPr="004678AD" w:rsidRDefault="00CF1A4E" w:rsidP="004678AD">
      <w:pPr>
        <w:pStyle w:val="JudgmentNumbered"/>
        <w:numPr>
          <w:ilvl w:val="0"/>
          <w:numId w:val="0"/>
        </w:numPr>
        <w:rPr>
          <w:bCs/>
          <w:i/>
          <w:color w:val="000000" w:themeColor="text1"/>
          <w:szCs w:val="24"/>
        </w:rPr>
      </w:pPr>
      <w:r w:rsidRPr="004678AD">
        <w:rPr>
          <w:bCs/>
          <w:i/>
          <w:color w:val="000000" w:themeColor="text1"/>
          <w:szCs w:val="24"/>
        </w:rPr>
        <w:t>Quantum</w:t>
      </w:r>
    </w:p>
    <w:p w14:paraId="4A42EFC3" w14:textId="7966B3FB" w:rsidR="00F666C5"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[29]</w:t>
      </w:r>
      <w:r w:rsidRPr="004678AD">
        <w:rPr>
          <w:color w:val="000000" w:themeColor="text1"/>
          <w:szCs w:val="24"/>
        </w:rPr>
        <w:tab/>
      </w:r>
      <w:r w:rsidR="00525CB6" w:rsidRPr="004678AD">
        <w:rPr>
          <w:color w:val="000000" w:themeColor="text1"/>
          <w:szCs w:val="24"/>
        </w:rPr>
        <w:t>To establish quantum, the plaintiff bears the onus to demonstrate actual financial loss.</w:t>
      </w:r>
      <w:r w:rsidR="00F4094C" w:rsidRPr="004678AD">
        <w:rPr>
          <w:rStyle w:val="FootnoteReference"/>
          <w:color w:val="000000" w:themeColor="text1"/>
          <w:szCs w:val="24"/>
        </w:rPr>
        <w:footnoteReference w:id="32"/>
      </w:r>
      <w:r w:rsidR="00525CB6" w:rsidRPr="004678AD">
        <w:rPr>
          <w:color w:val="000000" w:themeColor="text1"/>
          <w:szCs w:val="24"/>
        </w:rPr>
        <w:t xml:space="preserve">  </w:t>
      </w:r>
      <w:r w:rsidR="000A687E" w:rsidRPr="004678AD">
        <w:rPr>
          <w:color w:val="000000" w:themeColor="text1"/>
          <w:szCs w:val="24"/>
        </w:rPr>
        <w:t xml:space="preserve">The parties agreed to the correctness of the actuarial report </w:t>
      </w:r>
      <w:r w:rsidR="003317E8" w:rsidRPr="004678AD">
        <w:rPr>
          <w:color w:val="000000" w:themeColor="text1"/>
          <w:szCs w:val="24"/>
        </w:rPr>
        <w:t>compiled</w:t>
      </w:r>
      <w:r w:rsidR="000A687E" w:rsidRPr="004678AD">
        <w:rPr>
          <w:color w:val="000000" w:themeColor="text1"/>
          <w:szCs w:val="24"/>
        </w:rPr>
        <w:t xml:space="preserve"> by the </w:t>
      </w:r>
      <w:r w:rsidR="00FD4BD5" w:rsidRPr="004678AD">
        <w:rPr>
          <w:color w:val="000000" w:themeColor="text1"/>
          <w:szCs w:val="24"/>
        </w:rPr>
        <w:t>p</w:t>
      </w:r>
      <w:r w:rsidR="000A687E" w:rsidRPr="004678AD">
        <w:rPr>
          <w:color w:val="000000" w:themeColor="text1"/>
          <w:szCs w:val="24"/>
        </w:rPr>
        <w:t>laintiff’s actuary, Wim Loots Actuarial Consultancy</w:t>
      </w:r>
      <w:r w:rsidR="00430379" w:rsidRPr="004678AD">
        <w:rPr>
          <w:color w:val="000000" w:themeColor="text1"/>
          <w:szCs w:val="24"/>
        </w:rPr>
        <w:t>,</w:t>
      </w:r>
      <w:r w:rsidR="000A687E" w:rsidRPr="004678AD">
        <w:rPr>
          <w:color w:val="000000" w:themeColor="text1"/>
          <w:szCs w:val="24"/>
        </w:rPr>
        <w:t xml:space="preserve"> dated 1 December 2019 (“the WL actuarial report”) subject to the </w:t>
      </w:r>
      <w:r w:rsidR="000A687E" w:rsidRPr="004678AD">
        <w:rPr>
          <w:i/>
          <w:iCs/>
          <w:color w:val="000000" w:themeColor="text1"/>
          <w:szCs w:val="24"/>
        </w:rPr>
        <w:t>proviso</w:t>
      </w:r>
      <w:r w:rsidR="000A687E" w:rsidRPr="004678AD">
        <w:rPr>
          <w:color w:val="000000" w:themeColor="text1"/>
          <w:szCs w:val="24"/>
        </w:rPr>
        <w:t xml:space="preserve"> that contingency deductions were to be determined by </w:t>
      </w:r>
      <w:r w:rsidR="00430379" w:rsidRPr="004678AD">
        <w:rPr>
          <w:color w:val="000000" w:themeColor="text1"/>
          <w:szCs w:val="24"/>
        </w:rPr>
        <w:t>th</w:t>
      </w:r>
      <w:r w:rsidR="0057713E" w:rsidRPr="004678AD">
        <w:rPr>
          <w:color w:val="000000" w:themeColor="text1"/>
          <w:szCs w:val="24"/>
        </w:rPr>
        <w:t>is</w:t>
      </w:r>
      <w:r w:rsidR="00430379" w:rsidRPr="004678AD">
        <w:rPr>
          <w:color w:val="000000" w:themeColor="text1"/>
          <w:szCs w:val="24"/>
        </w:rPr>
        <w:t xml:space="preserve"> </w:t>
      </w:r>
      <w:r w:rsidR="000A687E" w:rsidRPr="004678AD">
        <w:rPr>
          <w:color w:val="000000" w:themeColor="text1"/>
          <w:szCs w:val="24"/>
        </w:rPr>
        <w:t xml:space="preserve">court.  </w:t>
      </w:r>
    </w:p>
    <w:p w14:paraId="70008F67" w14:textId="18BBD853"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[30]</w:t>
      </w:r>
      <w:r w:rsidRPr="004678AD">
        <w:rPr>
          <w:color w:val="000000" w:themeColor="text1"/>
          <w:szCs w:val="24"/>
        </w:rPr>
        <w:tab/>
      </w:r>
      <w:r w:rsidR="000A687E" w:rsidRPr="004678AD">
        <w:rPr>
          <w:color w:val="000000" w:themeColor="text1"/>
          <w:szCs w:val="24"/>
        </w:rPr>
        <w:t xml:space="preserve">The WL actuarial expert report </w:t>
      </w:r>
      <w:r w:rsidR="00F71528" w:rsidRPr="004678AD">
        <w:rPr>
          <w:color w:val="000000" w:themeColor="text1"/>
          <w:szCs w:val="24"/>
        </w:rPr>
        <w:t xml:space="preserve">is </w:t>
      </w:r>
      <w:r w:rsidR="000A687E" w:rsidRPr="004678AD">
        <w:rPr>
          <w:color w:val="000000" w:themeColor="text1"/>
          <w:szCs w:val="24"/>
        </w:rPr>
        <w:t>based on the following information:</w:t>
      </w:r>
    </w:p>
    <w:p w14:paraId="608A6192" w14:textId="025F2FDD" w:rsidR="00644C2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a.</w:t>
      </w:r>
      <w:r w:rsidRPr="004678AD">
        <w:rPr>
          <w:color w:val="000000" w:themeColor="text1"/>
          <w:szCs w:val="24"/>
        </w:rPr>
        <w:tab/>
      </w:r>
      <w:r w:rsidR="000A687E" w:rsidRPr="004678AD">
        <w:rPr>
          <w:color w:val="000000" w:themeColor="text1"/>
          <w:szCs w:val="24"/>
        </w:rPr>
        <w:t>The deceased was born on 2 March 1958;</w:t>
      </w:r>
    </w:p>
    <w:p w14:paraId="2A5D91C1" w14:textId="5B1CFE93" w:rsidR="009A6E4A"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b.</w:t>
      </w:r>
      <w:r w:rsidRPr="004678AD">
        <w:rPr>
          <w:color w:val="000000" w:themeColor="text1"/>
          <w:szCs w:val="24"/>
        </w:rPr>
        <w:tab/>
      </w:r>
      <w:r w:rsidR="000A687E" w:rsidRPr="004678AD">
        <w:rPr>
          <w:color w:val="000000" w:themeColor="text1"/>
          <w:szCs w:val="24"/>
        </w:rPr>
        <w:t xml:space="preserve">The deceased was </w:t>
      </w:r>
      <w:r w:rsidR="009A6E4A" w:rsidRPr="004678AD">
        <w:rPr>
          <w:color w:val="000000" w:themeColor="text1"/>
          <w:szCs w:val="24"/>
        </w:rPr>
        <w:t xml:space="preserve">gainfully </w:t>
      </w:r>
      <w:r w:rsidR="000A687E" w:rsidRPr="004678AD">
        <w:rPr>
          <w:color w:val="000000" w:themeColor="text1"/>
          <w:szCs w:val="24"/>
        </w:rPr>
        <w:t xml:space="preserve">employed and </w:t>
      </w:r>
      <w:r w:rsidR="009A6E4A" w:rsidRPr="004678AD">
        <w:rPr>
          <w:color w:val="000000" w:themeColor="text1"/>
          <w:szCs w:val="24"/>
        </w:rPr>
        <w:t>had identifiable earnings;</w:t>
      </w:r>
    </w:p>
    <w:p w14:paraId="37CE0152" w14:textId="41184507" w:rsidR="00644C2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c.</w:t>
      </w:r>
      <w:r w:rsidRPr="004678AD">
        <w:rPr>
          <w:color w:val="000000" w:themeColor="text1"/>
          <w:szCs w:val="24"/>
        </w:rPr>
        <w:tab/>
      </w:r>
      <w:r w:rsidR="009A6E4A" w:rsidRPr="004678AD">
        <w:rPr>
          <w:color w:val="000000" w:themeColor="text1"/>
          <w:szCs w:val="24"/>
        </w:rPr>
        <w:t xml:space="preserve">The deceased was </w:t>
      </w:r>
      <w:r w:rsidR="000A687E" w:rsidRPr="004678AD">
        <w:rPr>
          <w:color w:val="000000" w:themeColor="text1"/>
          <w:szCs w:val="24"/>
        </w:rPr>
        <w:t>the sole breadwinner;</w:t>
      </w:r>
    </w:p>
    <w:p w14:paraId="7515741D" w14:textId="6BE81270" w:rsidR="00644C2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lastRenderedPageBreak/>
        <w:t>d.</w:t>
      </w:r>
      <w:r w:rsidRPr="004678AD">
        <w:rPr>
          <w:color w:val="000000" w:themeColor="text1"/>
          <w:szCs w:val="24"/>
        </w:rPr>
        <w:tab/>
      </w:r>
      <w:r w:rsidR="000A687E" w:rsidRPr="004678AD">
        <w:rPr>
          <w:color w:val="000000" w:themeColor="text1"/>
          <w:szCs w:val="24"/>
        </w:rPr>
        <w:t xml:space="preserve">The </w:t>
      </w:r>
      <w:r w:rsidR="00FD4BD5" w:rsidRPr="004678AD">
        <w:rPr>
          <w:color w:val="000000" w:themeColor="text1"/>
          <w:szCs w:val="24"/>
        </w:rPr>
        <w:t>p</w:t>
      </w:r>
      <w:r w:rsidR="000A687E" w:rsidRPr="004678AD">
        <w:rPr>
          <w:color w:val="000000" w:themeColor="text1"/>
          <w:szCs w:val="24"/>
        </w:rPr>
        <w:t>laintiff would get two shares of the deceased</w:t>
      </w:r>
      <w:r w:rsidR="00430379" w:rsidRPr="004678AD">
        <w:rPr>
          <w:color w:val="000000" w:themeColor="text1"/>
          <w:szCs w:val="24"/>
        </w:rPr>
        <w:t>’</w:t>
      </w:r>
      <w:r w:rsidR="000A687E" w:rsidRPr="004678AD">
        <w:rPr>
          <w:color w:val="000000" w:themeColor="text1"/>
          <w:szCs w:val="24"/>
        </w:rPr>
        <w:t>s income and the minor child one share;</w:t>
      </w:r>
    </w:p>
    <w:p w14:paraId="531467C2" w14:textId="5E90966F" w:rsidR="00644C2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e.</w:t>
      </w:r>
      <w:r w:rsidRPr="004678AD">
        <w:rPr>
          <w:color w:val="000000" w:themeColor="text1"/>
          <w:szCs w:val="24"/>
        </w:rPr>
        <w:tab/>
      </w:r>
      <w:r w:rsidR="00DF3907" w:rsidRPr="004678AD">
        <w:rPr>
          <w:color w:val="000000" w:themeColor="text1"/>
          <w:szCs w:val="24"/>
        </w:rPr>
        <w:t>M</w:t>
      </w:r>
      <w:r w:rsidR="000A687E" w:rsidRPr="004678AD">
        <w:rPr>
          <w:color w:val="000000" w:themeColor="text1"/>
          <w:szCs w:val="24"/>
        </w:rPr>
        <w:t>inor child</w:t>
      </w:r>
      <w:r w:rsidR="00DF3907" w:rsidRPr="004678AD">
        <w:rPr>
          <w:color w:val="000000" w:themeColor="text1"/>
          <w:szCs w:val="24"/>
        </w:rPr>
        <w:t xml:space="preserve">: </w:t>
      </w:r>
      <w:r w:rsidR="000A687E" w:rsidRPr="004678AD">
        <w:rPr>
          <w:color w:val="000000" w:themeColor="text1"/>
          <w:szCs w:val="24"/>
        </w:rPr>
        <w:t>two broad scenarios</w:t>
      </w:r>
      <w:r w:rsidR="00E84180" w:rsidRPr="004678AD">
        <w:rPr>
          <w:color w:val="000000" w:themeColor="text1"/>
          <w:szCs w:val="24"/>
        </w:rPr>
        <w:t>-</w:t>
      </w:r>
      <w:r w:rsidR="000A687E" w:rsidRPr="004678AD">
        <w:rPr>
          <w:color w:val="000000" w:themeColor="text1"/>
          <w:szCs w:val="24"/>
        </w:rPr>
        <w:t xml:space="preserve"> dependent until 18 years of age or 21 years of age; </w:t>
      </w:r>
    </w:p>
    <w:p w14:paraId="50DD549E" w14:textId="5A6B39AD" w:rsidR="000A687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f.</w:t>
      </w:r>
      <w:r w:rsidRPr="004678AD">
        <w:rPr>
          <w:color w:val="000000" w:themeColor="text1"/>
          <w:szCs w:val="24"/>
        </w:rPr>
        <w:tab/>
      </w:r>
      <w:r w:rsidR="00E84180" w:rsidRPr="004678AD">
        <w:rPr>
          <w:color w:val="000000" w:themeColor="text1"/>
          <w:szCs w:val="24"/>
        </w:rPr>
        <w:t>P</w:t>
      </w:r>
      <w:r w:rsidR="000A687E" w:rsidRPr="004678AD">
        <w:rPr>
          <w:color w:val="000000" w:themeColor="text1"/>
          <w:szCs w:val="24"/>
        </w:rPr>
        <w:t>laintiff</w:t>
      </w:r>
      <w:r w:rsidR="00E84180" w:rsidRPr="004678AD">
        <w:rPr>
          <w:color w:val="000000" w:themeColor="text1"/>
          <w:szCs w:val="24"/>
        </w:rPr>
        <w:t xml:space="preserve">: </w:t>
      </w:r>
      <w:r w:rsidR="000A687E" w:rsidRPr="004678AD">
        <w:rPr>
          <w:color w:val="000000" w:themeColor="text1"/>
          <w:szCs w:val="24"/>
        </w:rPr>
        <w:t>assum</w:t>
      </w:r>
      <w:r w:rsidR="00CE4E83" w:rsidRPr="004678AD">
        <w:rPr>
          <w:color w:val="000000" w:themeColor="text1"/>
          <w:szCs w:val="24"/>
        </w:rPr>
        <w:t>ption</w:t>
      </w:r>
      <w:r w:rsidR="000A687E" w:rsidRPr="004678AD">
        <w:rPr>
          <w:color w:val="000000" w:themeColor="text1"/>
          <w:szCs w:val="24"/>
        </w:rPr>
        <w:t xml:space="preserve"> that she would remain wholly dependent on the deceased</w:t>
      </w:r>
      <w:r w:rsidR="00430379" w:rsidRPr="004678AD">
        <w:rPr>
          <w:color w:val="000000" w:themeColor="text1"/>
          <w:szCs w:val="24"/>
        </w:rPr>
        <w:t>’</w:t>
      </w:r>
      <w:r w:rsidR="000A687E" w:rsidRPr="004678AD">
        <w:rPr>
          <w:color w:val="000000" w:themeColor="text1"/>
          <w:szCs w:val="24"/>
        </w:rPr>
        <w:t>s income.</w:t>
      </w:r>
    </w:p>
    <w:p w14:paraId="55A837C3" w14:textId="12301A3C" w:rsidR="005304E0"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[31]</w:t>
      </w:r>
      <w:r w:rsidRPr="004678AD">
        <w:rPr>
          <w:color w:val="000000" w:themeColor="text1"/>
          <w:szCs w:val="24"/>
        </w:rPr>
        <w:tab/>
      </w:r>
      <w:r w:rsidR="005304E0" w:rsidRPr="004678AD">
        <w:rPr>
          <w:color w:val="000000" w:themeColor="text1"/>
          <w:szCs w:val="24"/>
        </w:rPr>
        <w:t>In determining the amount of the compensation to be awarded, the task of the court is to quantify in pecuniary terms, the support which the deceased would probably have rendered</w:t>
      </w:r>
      <w:r w:rsidR="007D768B" w:rsidRPr="004678AD">
        <w:rPr>
          <w:color w:val="000000" w:themeColor="text1"/>
          <w:szCs w:val="24"/>
        </w:rPr>
        <w:t xml:space="preserve"> </w:t>
      </w:r>
      <w:r w:rsidR="005304E0" w:rsidRPr="004678AD">
        <w:rPr>
          <w:color w:val="000000" w:themeColor="text1"/>
          <w:szCs w:val="24"/>
        </w:rPr>
        <w:t>and then to balance this lump sum amount, taking into consideration the uncertainties, hazards, and general vicissitudes of life by means of contingency deductions.</w:t>
      </w:r>
      <w:r w:rsidR="007D768B" w:rsidRPr="004678AD">
        <w:rPr>
          <w:color w:val="000000" w:themeColor="text1"/>
          <w:szCs w:val="24"/>
          <w:vertAlign w:val="superscript"/>
        </w:rPr>
        <w:footnoteReference w:id="33"/>
      </w:r>
      <w:r w:rsidR="007D768B" w:rsidRPr="004678AD">
        <w:rPr>
          <w:color w:val="000000" w:themeColor="text1"/>
          <w:szCs w:val="24"/>
        </w:rPr>
        <w:t xml:space="preserve"> </w:t>
      </w:r>
      <w:r w:rsidR="005304E0" w:rsidRPr="004678AD">
        <w:rPr>
          <w:color w:val="000000" w:themeColor="text1"/>
          <w:szCs w:val="24"/>
        </w:rPr>
        <w:t xml:space="preserve">  Since it is inherently speculative to make provision for unpredictable future events which could occur but are impossible to predict with certainty, contingency deductions are a judicial discretion.</w:t>
      </w:r>
      <w:r w:rsidR="005304E0" w:rsidRPr="004678AD">
        <w:rPr>
          <w:color w:val="000000" w:themeColor="text1"/>
          <w:szCs w:val="24"/>
          <w:vertAlign w:val="superscript"/>
        </w:rPr>
        <w:footnoteReference w:id="34"/>
      </w:r>
      <w:r w:rsidR="005304E0" w:rsidRPr="004678AD">
        <w:rPr>
          <w:color w:val="000000" w:themeColor="text1"/>
          <w:szCs w:val="24"/>
        </w:rPr>
        <w:t xml:space="preserve">  </w:t>
      </w:r>
    </w:p>
    <w:p w14:paraId="560414C1" w14:textId="020EF094"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[32]</w:t>
      </w:r>
      <w:r w:rsidRPr="004678AD">
        <w:rPr>
          <w:color w:val="000000" w:themeColor="text1"/>
          <w:szCs w:val="24"/>
        </w:rPr>
        <w:tab/>
      </w:r>
      <w:r w:rsidR="000A687E" w:rsidRPr="004678AD">
        <w:rPr>
          <w:color w:val="000000" w:themeColor="text1"/>
          <w:szCs w:val="24"/>
        </w:rPr>
        <w:t>The quantum assessment concerns two aspects:</w:t>
      </w:r>
    </w:p>
    <w:p w14:paraId="759D0468" w14:textId="466093B2" w:rsidR="00644C2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a.</w:t>
      </w:r>
      <w:r w:rsidRPr="004678AD">
        <w:rPr>
          <w:color w:val="000000" w:themeColor="text1"/>
          <w:szCs w:val="24"/>
        </w:rPr>
        <w:tab/>
      </w:r>
      <w:r w:rsidR="00430379" w:rsidRPr="004678AD">
        <w:rPr>
          <w:color w:val="000000" w:themeColor="text1"/>
          <w:szCs w:val="24"/>
        </w:rPr>
        <w:t>W</w:t>
      </w:r>
      <w:r w:rsidR="000A687E" w:rsidRPr="004678AD">
        <w:rPr>
          <w:color w:val="000000" w:themeColor="text1"/>
          <w:szCs w:val="24"/>
        </w:rPr>
        <w:t xml:space="preserve">hether the deceased had a duty to support the minor child to the age of 18 or 21 years and the appropriate contingency </w:t>
      </w:r>
      <w:r w:rsidR="009E751C" w:rsidRPr="004678AD">
        <w:rPr>
          <w:color w:val="000000" w:themeColor="text1"/>
          <w:szCs w:val="24"/>
        </w:rPr>
        <w:t>deduction</w:t>
      </w:r>
      <w:r w:rsidR="00D72443" w:rsidRPr="004678AD">
        <w:rPr>
          <w:color w:val="000000" w:themeColor="text1"/>
          <w:szCs w:val="24"/>
        </w:rPr>
        <w:t xml:space="preserve"> to be applied</w:t>
      </w:r>
      <w:r w:rsidR="000A687E" w:rsidRPr="004678AD">
        <w:rPr>
          <w:color w:val="000000" w:themeColor="text1"/>
          <w:szCs w:val="24"/>
        </w:rPr>
        <w:t>; and</w:t>
      </w:r>
    </w:p>
    <w:p w14:paraId="78E69D41" w14:textId="33A1199E" w:rsidR="00B832DE" w:rsidRPr="004678AD" w:rsidRDefault="00EC2D71" w:rsidP="00EC2D71">
      <w:pPr>
        <w:pStyle w:val="JudgmentNumbered"/>
        <w:numPr>
          <w:ilvl w:val="0"/>
          <w:numId w:val="0"/>
        </w:numPr>
        <w:ind w:left="1287" w:hanging="360"/>
        <w:rPr>
          <w:color w:val="000000" w:themeColor="text1"/>
          <w:szCs w:val="24"/>
        </w:rPr>
      </w:pPr>
      <w:r w:rsidRPr="004678AD">
        <w:rPr>
          <w:color w:val="000000" w:themeColor="text1"/>
          <w:szCs w:val="24"/>
        </w:rPr>
        <w:t>b.</w:t>
      </w:r>
      <w:r w:rsidRPr="004678AD">
        <w:rPr>
          <w:color w:val="000000" w:themeColor="text1"/>
          <w:szCs w:val="24"/>
        </w:rPr>
        <w:tab/>
      </w:r>
      <w:r w:rsidR="00430379" w:rsidRPr="004678AD">
        <w:rPr>
          <w:color w:val="000000" w:themeColor="text1"/>
          <w:szCs w:val="24"/>
        </w:rPr>
        <w:t>W</w:t>
      </w:r>
      <w:r w:rsidR="000A687E" w:rsidRPr="004678AD">
        <w:rPr>
          <w:color w:val="000000" w:themeColor="text1"/>
          <w:szCs w:val="24"/>
        </w:rPr>
        <w:t xml:space="preserve">hether </w:t>
      </w:r>
      <w:r w:rsidR="009627EA" w:rsidRPr="004678AD">
        <w:rPr>
          <w:color w:val="000000" w:themeColor="text1"/>
          <w:szCs w:val="24"/>
        </w:rPr>
        <w:t xml:space="preserve">the plaintiff’s claim, </w:t>
      </w:r>
      <w:r w:rsidR="000A687E" w:rsidRPr="004678AD">
        <w:rPr>
          <w:color w:val="000000" w:themeColor="text1"/>
          <w:szCs w:val="24"/>
        </w:rPr>
        <w:t xml:space="preserve">in addition to </w:t>
      </w:r>
      <w:r w:rsidR="00972FB9" w:rsidRPr="004678AD">
        <w:rPr>
          <w:color w:val="000000" w:themeColor="text1"/>
          <w:szCs w:val="24"/>
        </w:rPr>
        <w:t>the</w:t>
      </w:r>
      <w:r w:rsidR="000A687E" w:rsidRPr="004678AD">
        <w:rPr>
          <w:color w:val="000000" w:themeColor="text1"/>
          <w:szCs w:val="24"/>
        </w:rPr>
        <w:t xml:space="preserve"> general contingency</w:t>
      </w:r>
      <w:r w:rsidR="00094237" w:rsidRPr="004678AD">
        <w:rPr>
          <w:color w:val="000000" w:themeColor="text1"/>
          <w:szCs w:val="24"/>
        </w:rPr>
        <w:t xml:space="preserve"> deduction</w:t>
      </w:r>
      <w:r w:rsidR="000A687E" w:rsidRPr="004678AD">
        <w:rPr>
          <w:color w:val="000000" w:themeColor="text1"/>
          <w:szCs w:val="24"/>
        </w:rPr>
        <w:t>,</w:t>
      </w:r>
      <w:r w:rsidR="009627EA" w:rsidRPr="004678AD">
        <w:rPr>
          <w:color w:val="000000" w:themeColor="text1"/>
          <w:szCs w:val="24"/>
        </w:rPr>
        <w:t xml:space="preserve"> should include</w:t>
      </w:r>
      <w:r w:rsidR="000A687E" w:rsidRPr="004678AD">
        <w:rPr>
          <w:color w:val="000000" w:themeColor="text1"/>
          <w:szCs w:val="24"/>
        </w:rPr>
        <w:t xml:space="preserve"> a</w:t>
      </w:r>
      <w:r w:rsidR="005377CD" w:rsidRPr="004678AD">
        <w:rPr>
          <w:color w:val="000000" w:themeColor="text1"/>
          <w:szCs w:val="24"/>
        </w:rPr>
        <w:t>n</w:t>
      </w:r>
      <w:r w:rsidR="000A687E" w:rsidRPr="004678AD">
        <w:rPr>
          <w:color w:val="000000" w:themeColor="text1"/>
          <w:szCs w:val="24"/>
        </w:rPr>
        <w:t xml:space="preserve"> </w:t>
      </w:r>
      <w:r w:rsidR="009627EA" w:rsidRPr="004678AD">
        <w:rPr>
          <w:color w:val="000000" w:themeColor="text1"/>
          <w:szCs w:val="24"/>
        </w:rPr>
        <w:t xml:space="preserve">additional </w:t>
      </w:r>
      <w:r w:rsidR="000A687E" w:rsidRPr="004678AD">
        <w:rPr>
          <w:color w:val="000000" w:themeColor="text1"/>
          <w:szCs w:val="24"/>
        </w:rPr>
        <w:t xml:space="preserve">contingency deduction based on </w:t>
      </w:r>
      <w:r w:rsidR="000A687E" w:rsidRPr="004678AD">
        <w:rPr>
          <w:color w:val="000000" w:themeColor="text1"/>
          <w:szCs w:val="24"/>
        </w:rPr>
        <w:lastRenderedPageBreak/>
        <w:t xml:space="preserve">prospects of remarriage or re-partnering.  This </w:t>
      </w:r>
      <w:r w:rsidR="00094237" w:rsidRPr="004678AD">
        <w:rPr>
          <w:color w:val="000000" w:themeColor="text1"/>
          <w:szCs w:val="24"/>
        </w:rPr>
        <w:t xml:space="preserve">aspect </w:t>
      </w:r>
      <w:r w:rsidR="000A687E" w:rsidRPr="004678AD">
        <w:rPr>
          <w:color w:val="000000" w:themeColor="text1"/>
          <w:szCs w:val="24"/>
        </w:rPr>
        <w:t xml:space="preserve">was particularly contentious.  </w:t>
      </w:r>
    </w:p>
    <w:p w14:paraId="0211DE5D" w14:textId="64051FC8" w:rsidR="000A687E" w:rsidRPr="004678AD" w:rsidRDefault="00EC2D71" w:rsidP="00EC2D71">
      <w:pPr>
        <w:pStyle w:val="JudgmentNumbered"/>
        <w:numPr>
          <w:ilvl w:val="0"/>
          <w:numId w:val="0"/>
        </w:numPr>
        <w:ind w:left="1440" w:hanging="360"/>
        <w:rPr>
          <w:bCs/>
          <w:color w:val="000000" w:themeColor="text1"/>
          <w:szCs w:val="24"/>
          <w:u w:val="single"/>
        </w:rPr>
      </w:pPr>
      <w:r w:rsidRPr="004678AD">
        <w:rPr>
          <w:bCs/>
          <w:color w:val="000000" w:themeColor="text1"/>
          <w:szCs w:val="24"/>
        </w:rPr>
        <w:t>a.</w:t>
      </w:r>
      <w:r w:rsidRPr="004678AD">
        <w:rPr>
          <w:bCs/>
          <w:color w:val="000000" w:themeColor="text1"/>
          <w:szCs w:val="24"/>
        </w:rPr>
        <w:tab/>
      </w:r>
      <w:r w:rsidR="00CF1A4E" w:rsidRPr="004678AD">
        <w:rPr>
          <w:bCs/>
          <w:color w:val="000000" w:themeColor="text1"/>
          <w:szCs w:val="24"/>
          <w:u w:val="single"/>
        </w:rPr>
        <w:t xml:space="preserve">Duty </w:t>
      </w:r>
      <w:r w:rsidR="00033068" w:rsidRPr="004678AD">
        <w:rPr>
          <w:bCs/>
          <w:color w:val="000000" w:themeColor="text1"/>
          <w:szCs w:val="24"/>
          <w:u w:val="single"/>
        </w:rPr>
        <w:t>of</w:t>
      </w:r>
      <w:r w:rsidR="00CF1A4E" w:rsidRPr="004678AD">
        <w:rPr>
          <w:bCs/>
          <w:color w:val="000000" w:themeColor="text1"/>
          <w:szCs w:val="24"/>
          <w:u w:val="single"/>
        </w:rPr>
        <w:t xml:space="preserve"> support: 18 or 21 years</w:t>
      </w:r>
    </w:p>
    <w:p w14:paraId="5D5BC490" w14:textId="4CAB55BD"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[33]</w:t>
      </w:r>
      <w:r w:rsidRPr="004678AD">
        <w:rPr>
          <w:color w:val="000000" w:themeColor="text1"/>
          <w:szCs w:val="24"/>
        </w:rPr>
        <w:tab/>
      </w:r>
      <w:r w:rsidR="009861ED" w:rsidRPr="004678AD">
        <w:rPr>
          <w:color w:val="000000" w:themeColor="text1"/>
          <w:szCs w:val="24"/>
        </w:rPr>
        <w:t>The p</w:t>
      </w:r>
      <w:r w:rsidR="000A687E" w:rsidRPr="004678AD">
        <w:rPr>
          <w:color w:val="000000" w:themeColor="text1"/>
          <w:szCs w:val="24"/>
        </w:rPr>
        <w:t xml:space="preserve">laintiff </w:t>
      </w:r>
      <w:r w:rsidR="00A55E20" w:rsidRPr="004678AD">
        <w:rPr>
          <w:color w:val="000000" w:themeColor="text1"/>
          <w:szCs w:val="24"/>
        </w:rPr>
        <w:t xml:space="preserve">submitted </w:t>
      </w:r>
      <w:r w:rsidR="000A687E" w:rsidRPr="004678AD">
        <w:rPr>
          <w:color w:val="000000" w:themeColor="text1"/>
          <w:szCs w:val="24"/>
        </w:rPr>
        <w:t xml:space="preserve">that loss of support </w:t>
      </w:r>
      <w:r w:rsidR="00B92064" w:rsidRPr="004678AD">
        <w:rPr>
          <w:color w:val="000000" w:themeColor="text1"/>
          <w:szCs w:val="24"/>
        </w:rPr>
        <w:t xml:space="preserve">for the minor child should </w:t>
      </w:r>
      <w:r w:rsidR="000A687E" w:rsidRPr="004678AD">
        <w:rPr>
          <w:color w:val="000000" w:themeColor="text1"/>
          <w:szCs w:val="24"/>
        </w:rPr>
        <w:t>be</w:t>
      </w:r>
      <w:r w:rsidR="00413CBC" w:rsidRPr="004678AD">
        <w:rPr>
          <w:color w:val="000000" w:themeColor="text1"/>
          <w:szCs w:val="24"/>
        </w:rPr>
        <w:t xml:space="preserve"> based</w:t>
      </w:r>
      <w:r w:rsidR="00E86C32" w:rsidRPr="004678AD">
        <w:rPr>
          <w:color w:val="000000" w:themeColor="text1"/>
          <w:szCs w:val="24"/>
        </w:rPr>
        <w:t xml:space="preserve"> on the assumption of dependency</w:t>
      </w:r>
      <w:r w:rsidR="000A687E" w:rsidRPr="004678AD">
        <w:rPr>
          <w:color w:val="000000" w:themeColor="text1"/>
          <w:szCs w:val="24"/>
        </w:rPr>
        <w:t xml:space="preserve"> until the age of 21</w:t>
      </w:r>
      <w:r w:rsidR="0059312A" w:rsidRPr="004678AD">
        <w:rPr>
          <w:color w:val="000000" w:themeColor="text1"/>
          <w:szCs w:val="24"/>
        </w:rPr>
        <w:t xml:space="preserve"> years</w:t>
      </w:r>
      <w:r w:rsidR="000A687E" w:rsidRPr="004678AD">
        <w:rPr>
          <w:color w:val="000000" w:themeColor="text1"/>
          <w:szCs w:val="24"/>
        </w:rPr>
        <w:t>.  As far as contingency deductions were concerned, the</w:t>
      </w:r>
      <w:r w:rsidR="00FD4BD5" w:rsidRPr="004678AD">
        <w:rPr>
          <w:color w:val="000000" w:themeColor="text1"/>
          <w:szCs w:val="24"/>
        </w:rPr>
        <w:t xml:space="preserve"> p</w:t>
      </w:r>
      <w:r w:rsidR="000A687E" w:rsidRPr="004678AD">
        <w:rPr>
          <w:color w:val="000000" w:themeColor="text1"/>
          <w:szCs w:val="24"/>
        </w:rPr>
        <w:t xml:space="preserve">laintiff </w:t>
      </w:r>
      <w:r w:rsidR="00C147D3" w:rsidRPr="004678AD">
        <w:rPr>
          <w:color w:val="000000" w:themeColor="text1"/>
          <w:szCs w:val="24"/>
        </w:rPr>
        <w:t>deferred to th</w:t>
      </w:r>
      <w:r w:rsidR="00414896" w:rsidRPr="004678AD">
        <w:rPr>
          <w:color w:val="000000" w:themeColor="text1"/>
          <w:szCs w:val="24"/>
        </w:rPr>
        <w:t>e</w:t>
      </w:r>
      <w:r w:rsidR="00C147D3" w:rsidRPr="004678AD">
        <w:rPr>
          <w:color w:val="000000" w:themeColor="text1"/>
          <w:szCs w:val="24"/>
        </w:rPr>
        <w:t xml:space="preserve"> </w:t>
      </w:r>
      <w:r w:rsidR="00AB610E" w:rsidRPr="004678AD">
        <w:rPr>
          <w:color w:val="000000" w:themeColor="text1"/>
          <w:szCs w:val="24"/>
        </w:rPr>
        <w:t xml:space="preserve">judicial </w:t>
      </w:r>
      <w:r w:rsidR="000A687E" w:rsidRPr="004678AD">
        <w:rPr>
          <w:color w:val="000000" w:themeColor="text1"/>
          <w:szCs w:val="24"/>
        </w:rPr>
        <w:t>discretion</w:t>
      </w:r>
      <w:r w:rsidR="00544463" w:rsidRPr="004678AD">
        <w:rPr>
          <w:color w:val="000000" w:themeColor="text1"/>
          <w:szCs w:val="24"/>
        </w:rPr>
        <w:t xml:space="preserve"> of the court.</w:t>
      </w:r>
      <w:r w:rsidR="000A687E" w:rsidRPr="004678AD">
        <w:rPr>
          <w:color w:val="000000" w:themeColor="text1"/>
          <w:szCs w:val="24"/>
        </w:rPr>
        <w:t xml:space="preserve">  </w:t>
      </w:r>
    </w:p>
    <w:p w14:paraId="2490A06D" w14:textId="7B4978C7"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[34]</w:t>
      </w:r>
      <w:r w:rsidRPr="004678AD">
        <w:rPr>
          <w:color w:val="000000" w:themeColor="text1"/>
          <w:szCs w:val="24"/>
        </w:rPr>
        <w:tab/>
      </w:r>
      <w:r w:rsidR="000A687E" w:rsidRPr="004678AD">
        <w:rPr>
          <w:color w:val="000000" w:themeColor="text1"/>
          <w:szCs w:val="24"/>
        </w:rPr>
        <w:t xml:space="preserve">The </w:t>
      </w:r>
      <w:r w:rsidR="00A55A95" w:rsidRPr="004678AD">
        <w:rPr>
          <w:color w:val="000000" w:themeColor="text1"/>
          <w:szCs w:val="24"/>
        </w:rPr>
        <w:t>d</w:t>
      </w:r>
      <w:r w:rsidR="000A687E" w:rsidRPr="004678AD">
        <w:rPr>
          <w:color w:val="000000" w:themeColor="text1"/>
          <w:szCs w:val="24"/>
        </w:rPr>
        <w:t xml:space="preserve">efendant was of the view that loss of support </w:t>
      </w:r>
      <w:r w:rsidR="00C35BE9" w:rsidRPr="004678AD">
        <w:rPr>
          <w:color w:val="000000" w:themeColor="text1"/>
          <w:szCs w:val="24"/>
        </w:rPr>
        <w:t xml:space="preserve">for the minor child </w:t>
      </w:r>
      <w:r w:rsidR="00C42621" w:rsidRPr="004678AD">
        <w:rPr>
          <w:color w:val="000000" w:themeColor="text1"/>
          <w:szCs w:val="24"/>
        </w:rPr>
        <w:t xml:space="preserve">should be </w:t>
      </w:r>
      <w:r w:rsidR="00F82B3D" w:rsidRPr="004678AD">
        <w:rPr>
          <w:color w:val="000000" w:themeColor="text1"/>
          <w:szCs w:val="24"/>
        </w:rPr>
        <w:t xml:space="preserve">based </w:t>
      </w:r>
      <w:r w:rsidR="00C42621" w:rsidRPr="004678AD">
        <w:rPr>
          <w:color w:val="000000" w:themeColor="text1"/>
          <w:szCs w:val="24"/>
        </w:rPr>
        <w:t xml:space="preserve">on the assumption of dependency </w:t>
      </w:r>
      <w:r w:rsidR="000A687E" w:rsidRPr="004678AD">
        <w:rPr>
          <w:color w:val="000000" w:themeColor="text1"/>
          <w:szCs w:val="24"/>
        </w:rPr>
        <w:t xml:space="preserve">until 18 years.  The </w:t>
      </w:r>
      <w:r w:rsidR="00A55A95" w:rsidRPr="004678AD">
        <w:rPr>
          <w:color w:val="000000" w:themeColor="text1"/>
          <w:szCs w:val="24"/>
        </w:rPr>
        <w:t>d</w:t>
      </w:r>
      <w:r w:rsidR="000A687E" w:rsidRPr="004678AD">
        <w:rPr>
          <w:color w:val="000000" w:themeColor="text1"/>
          <w:szCs w:val="24"/>
        </w:rPr>
        <w:t xml:space="preserve">efendant submitted </w:t>
      </w:r>
      <w:r w:rsidR="00C35BE9" w:rsidRPr="004678AD">
        <w:rPr>
          <w:color w:val="000000" w:themeColor="text1"/>
          <w:szCs w:val="24"/>
        </w:rPr>
        <w:t xml:space="preserve">that </w:t>
      </w:r>
      <w:r w:rsidR="000A687E" w:rsidRPr="004678AD">
        <w:rPr>
          <w:color w:val="000000" w:themeColor="text1"/>
          <w:szCs w:val="24"/>
        </w:rPr>
        <w:t xml:space="preserve">a contingency deduction of 7% for past loss and 15% for future loss was appropriate.  </w:t>
      </w:r>
    </w:p>
    <w:p w14:paraId="5B6738CF" w14:textId="30850CD1"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[35]</w:t>
      </w:r>
      <w:r w:rsidRPr="004678AD">
        <w:rPr>
          <w:color w:val="000000" w:themeColor="text1"/>
          <w:szCs w:val="24"/>
        </w:rPr>
        <w:tab/>
      </w:r>
      <w:r w:rsidR="000A687E" w:rsidRPr="004678AD">
        <w:rPr>
          <w:color w:val="000000" w:themeColor="text1"/>
          <w:szCs w:val="24"/>
        </w:rPr>
        <w:t>In terms of section 17 of the Children’s Act, a child becomes a major upon reaching the age of 18 years</w:t>
      </w:r>
      <w:r w:rsidR="00CB526C" w:rsidRPr="004678AD">
        <w:rPr>
          <w:color w:val="000000" w:themeColor="text1"/>
          <w:szCs w:val="24"/>
        </w:rPr>
        <w:t xml:space="preserve"> but as</w:t>
      </w:r>
      <w:r w:rsidR="000A687E" w:rsidRPr="004678AD">
        <w:rPr>
          <w:color w:val="000000" w:themeColor="text1"/>
          <w:szCs w:val="24"/>
        </w:rPr>
        <w:t xml:space="preserve"> </w:t>
      </w:r>
      <w:r w:rsidR="00C31625" w:rsidRPr="004678AD">
        <w:rPr>
          <w:color w:val="000000" w:themeColor="text1"/>
          <w:szCs w:val="24"/>
        </w:rPr>
        <w:t xml:space="preserve">the court in </w:t>
      </w:r>
      <w:r w:rsidR="000A687E" w:rsidRPr="004678AD">
        <w:rPr>
          <w:i/>
          <w:color w:val="000000" w:themeColor="text1"/>
          <w:szCs w:val="24"/>
        </w:rPr>
        <w:t>Mfomadi and Another v Road Accident Fund</w:t>
      </w:r>
      <w:r w:rsidR="003A139E" w:rsidRPr="004678AD">
        <w:rPr>
          <w:rStyle w:val="FootnoteReference"/>
          <w:color w:val="000000" w:themeColor="text1"/>
          <w:szCs w:val="24"/>
        </w:rPr>
        <w:footnoteReference w:id="35"/>
      </w:r>
      <w:r w:rsidR="000A687E" w:rsidRPr="004678AD">
        <w:rPr>
          <w:color w:val="000000" w:themeColor="text1"/>
          <w:szCs w:val="24"/>
        </w:rPr>
        <w:t xml:space="preserve"> </w:t>
      </w:r>
      <w:r w:rsidR="00C31625" w:rsidRPr="004678AD">
        <w:rPr>
          <w:color w:val="000000" w:themeColor="text1"/>
          <w:szCs w:val="24"/>
        </w:rPr>
        <w:t>pointed out</w:t>
      </w:r>
      <w:r w:rsidR="000A687E" w:rsidRPr="004678AD">
        <w:rPr>
          <w:color w:val="000000" w:themeColor="text1"/>
          <w:szCs w:val="24"/>
        </w:rPr>
        <w:t>:</w:t>
      </w:r>
    </w:p>
    <w:p w14:paraId="21FB346B" w14:textId="4CF19B91" w:rsidR="000A687E" w:rsidRPr="004678AD" w:rsidRDefault="000A687E" w:rsidP="004678AD">
      <w:pPr>
        <w:pStyle w:val="JudgmentNumbered"/>
        <w:numPr>
          <w:ilvl w:val="0"/>
          <w:numId w:val="0"/>
        </w:numPr>
        <w:ind w:left="851"/>
        <w:rPr>
          <w:color w:val="000000" w:themeColor="text1"/>
          <w:szCs w:val="24"/>
        </w:rPr>
      </w:pPr>
      <w:r w:rsidRPr="004678AD">
        <w:rPr>
          <w:color w:val="000000" w:themeColor="text1"/>
          <w:szCs w:val="24"/>
        </w:rPr>
        <w:t>“</w:t>
      </w:r>
      <w:r w:rsidRPr="004678AD">
        <w:rPr>
          <w:iCs/>
          <w:color w:val="000000" w:themeColor="text1"/>
          <w:szCs w:val="24"/>
        </w:rPr>
        <w:t xml:space="preserve">A parent's duty to support a child does not cease when the child reaches a particular age but it usually does so when the child becomes self-supporting. </w:t>
      </w:r>
      <w:r w:rsidR="00972177" w:rsidRPr="004678AD">
        <w:rPr>
          <w:iCs/>
          <w:color w:val="000000" w:themeColor="text1"/>
          <w:szCs w:val="24"/>
        </w:rPr>
        <w:t xml:space="preserve"> </w:t>
      </w:r>
      <w:r w:rsidRPr="004678AD">
        <w:rPr>
          <w:iCs/>
          <w:color w:val="000000" w:themeColor="text1"/>
          <w:szCs w:val="24"/>
        </w:rPr>
        <w:t>Majority is not the determining factor (see Smith v Smith).</w:t>
      </w:r>
      <w:r w:rsidRPr="004678AD">
        <w:rPr>
          <w:color w:val="000000" w:themeColor="text1"/>
          <w:szCs w:val="24"/>
        </w:rPr>
        <w:t>”</w:t>
      </w:r>
      <w:r w:rsidRPr="004678AD">
        <w:rPr>
          <w:color w:val="000000" w:themeColor="text1"/>
          <w:szCs w:val="24"/>
          <w:vertAlign w:val="superscript"/>
        </w:rPr>
        <w:footnoteReference w:id="36"/>
      </w:r>
    </w:p>
    <w:p w14:paraId="7B2ADECF" w14:textId="2BDBF64F" w:rsidR="00D0236C"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[36]</w:t>
      </w:r>
      <w:r w:rsidRPr="004678AD">
        <w:rPr>
          <w:color w:val="000000" w:themeColor="text1"/>
          <w:szCs w:val="24"/>
        </w:rPr>
        <w:tab/>
      </w:r>
      <w:r w:rsidR="00D07709" w:rsidRPr="004678AD">
        <w:rPr>
          <w:color w:val="000000" w:themeColor="text1"/>
          <w:szCs w:val="24"/>
        </w:rPr>
        <w:t>Bearing this in mind, all the facts of the matter must play a role in reaching a just and equitable decision.</w:t>
      </w:r>
      <w:r w:rsidR="00D07709" w:rsidRPr="004678AD">
        <w:rPr>
          <w:color w:val="000000" w:themeColor="text1"/>
          <w:szCs w:val="24"/>
          <w:vertAlign w:val="superscript"/>
        </w:rPr>
        <w:footnoteReference w:id="37"/>
      </w:r>
      <w:r w:rsidR="00D07709" w:rsidRPr="004678AD">
        <w:rPr>
          <w:color w:val="000000" w:themeColor="text1"/>
          <w:szCs w:val="24"/>
        </w:rPr>
        <w:t xml:space="preserve">  </w:t>
      </w:r>
      <w:r w:rsidR="00D0236C" w:rsidRPr="004678AD">
        <w:rPr>
          <w:color w:val="000000" w:themeColor="text1"/>
          <w:szCs w:val="24"/>
        </w:rPr>
        <w:t>Measuring compensation for loss of support is an exercise of judicial discretion in the interest of justice, taking into account the difference between the current position and the position that the minor child would have been in, had the deceased not died.</w:t>
      </w:r>
      <w:r w:rsidR="00D0236C" w:rsidRPr="004678AD">
        <w:rPr>
          <w:rStyle w:val="FootnoteReference"/>
          <w:color w:val="000000" w:themeColor="text1"/>
          <w:szCs w:val="24"/>
        </w:rPr>
        <w:footnoteReference w:id="38"/>
      </w:r>
      <w:r w:rsidR="00D0236C" w:rsidRPr="004678AD">
        <w:rPr>
          <w:color w:val="000000" w:themeColor="text1"/>
          <w:szCs w:val="24"/>
        </w:rPr>
        <w:t xml:space="preserve">  </w:t>
      </w:r>
    </w:p>
    <w:p w14:paraId="3DDD26FA" w14:textId="1F58C721" w:rsidR="00904159"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[37]</w:t>
      </w:r>
      <w:r w:rsidRPr="004678AD">
        <w:rPr>
          <w:color w:val="000000" w:themeColor="text1"/>
          <w:szCs w:val="24"/>
        </w:rPr>
        <w:tab/>
      </w:r>
      <w:r w:rsidR="00904159" w:rsidRPr="004678AD">
        <w:rPr>
          <w:color w:val="000000" w:themeColor="text1"/>
          <w:szCs w:val="24"/>
        </w:rPr>
        <w:t xml:space="preserve">On the undisputed evidence, the deceased was 59 years old at the date of the collision and the minor child was 10 months old.  Applying the progression of time, the deceased would have been 76 years old when the minor child attains </w:t>
      </w:r>
      <w:r w:rsidR="00904159" w:rsidRPr="004678AD">
        <w:rPr>
          <w:color w:val="000000" w:themeColor="text1"/>
          <w:szCs w:val="24"/>
        </w:rPr>
        <w:lastRenderedPageBreak/>
        <w:t>the age of 18 years.  The deceased would have been 80 years old when the minor child attains the age of 21 years.</w:t>
      </w:r>
    </w:p>
    <w:p w14:paraId="2A8AAB8E" w14:textId="6D24297E"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[38]</w:t>
      </w:r>
      <w:r w:rsidRPr="004678AD">
        <w:rPr>
          <w:color w:val="000000" w:themeColor="text1"/>
          <w:szCs w:val="24"/>
        </w:rPr>
        <w:tab/>
      </w:r>
      <w:r w:rsidR="007752FD" w:rsidRPr="004678AD">
        <w:rPr>
          <w:color w:val="000000" w:themeColor="text1"/>
          <w:szCs w:val="24"/>
        </w:rPr>
        <w:t xml:space="preserve">In light of the </w:t>
      </w:r>
      <w:r w:rsidR="00C55E54" w:rsidRPr="004678AD">
        <w:rPr>
          <w:color w:val="000000" w:themeColor="text1"/>
          <w:szCs w:val="24"/>
        </w:rPr>
        <w:t xml:space="preserve">aforesaid, </w:t>
      </w:r>
      <w:r w:rsidR="00D0250B" w:rsidRPr="004678AD">
        <w:rPr>
          <w:color w:val="000000" w:themeColor="text1"/>
          <w:szCs w:val="24"/>
        </w:rPr>
        <w:t>I</w:t>
      </w:r>
      <w:r w:rsidR="00CC5FEC" w:rsidRPr="004678AD">
        <w:rPr>
          <w:color w:val="000000" w:themeColor="text1"/>
          <w:szCs w:val="24"/>
        </w:rPr>
        <w:t xml:space="preserve"> </w:t>
      </w:r>
      <w:r w:rsidR="00220BA3" w:rsidRPr="004678AD">
        <w:rPr>
          <w:color w:val="000000" w:themeColor="text1"/>
          <w:szCs w:val="24"/>
        </w:rPr>
        <w:t xml:space="preserve">agree </w:t>
      </w:r>
      <w:r w:rsidR="000A687E" w:rsidRPr="004678AD">
        <w:rPr>
          <w:color w:val="000000" w:themeColor="text1"/>
          <w:szCs w:val="24"/>
        </w:rPr>
        <w:t xml:space="preserve">with the </w:t>
      </w:r>
      <w:r w:rsidR="00A55A95" w:rsidRPr="004678AD">
        <w:rPr>
          <w:color w:val="000000" w:themeColor="text1"/>
          <w:szCs w:val="24"/>
        </w:rPr>
        <w:t>d</w:t>
      </w:r>
      <w:r w:rsidR="000A687E" w:rsidRPr="004678AD">
        <w:rPr>
          <w:color w:val="000000" w:themeColor="text1"/>
          <w:szCs w:val="24"/>
        </w:rPr>
        <w:t>efendant that loss of support for the minor child until 18 years is sufficient and a contingency deduction of 7% for past loss and 15% for future loss is appropriate.</w:t>
      </w:r>
    </w:p>
    <w:p w14:paraId="24E427B3" w14:textId="69EABB66" w:rsidR="000A687E" w:rsidRPr="004678AD" w:rsidRDefault="00EC2D71" w:rsidP="00EC2D71">
      <w:pPr>
        <w:pStyle w:val="JudgmentNumbered"/>
        <w:numPr>
          <w:ilvl w:val="0"/>
          <w:numId w:val="0"/>
        </w:numPr>
        <w:ind w:left="1440" w:hanging="360"/>
        <w:rPr>
          <w:bCs/>
          <w:color w:val="000000" w:themeColor="text1"/>
          <w:szCs w:val="24"/>
          <w:u w:val="single"/>
        </w:rPr>
      </w:pPr>
      <w:r w:rsidRPr="004678AD">
        <w:rPr>
          <w:bCs/>
          <w:color w:val="000000" w:themeColor="text1"/>
          <w:szCs w:val="24"/>
        </w:rPr>
        <w:t>b.</w:t>
      </w:r>
      <w:r w:rsidRPr="004678AD">
        <w:rPr>
          <w:bCs/>
          <w:color w:val="000000" w:themeColor="text1"/>
          <w:szCs w:val="24"/>
        </w:rPr>
        <w:tab/>
      </w:r>
      <w:r w:rsidR="00CF1A4E" w:rsidRPr="004678AD">
        <w:rPr>
          <w:bCs/>
          <w:color w:val="000000" w:themeColor="text1"/>
          <w:szCs w:val="24"/>
          <w:u w:val="single"/>
        </w:rPr>
        <w:t>Duty of support: Remarriage/Re-partnering contingency</w:t>
      </w:r>
    </w:p>
    <w:p w14:paraId="19488380" w14:textId="5F375CA9" w:rsidR="00B31826"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[39]</w:t>
      </w:r>
      <w:r w:rsidRPr="004678AD">
        <w:rPr>
          <w:color w:val="000000" w:themeColor="text1"/>
          <w:szCs w:val="24"/>
        </w:rPr>
        <w:tab/>
      </w:r>
      <w:r w:rsidR="00FF329A" w:rsidRPr="004678AD">
        <w:rPr>
          <w:color w:val="000000" w:themeColor="text1"/>
          <w:szCs w:val="24"/>
        </w:rPr>
        <w:t>T</w:t>
      </w:r>
      <w:r w:rsidR="000A687E" w:rsidRPr="004678AD">
        <w:rPr>
          <w:color w:val="000000" w:themeColor="text1"/>
          <w:szCs w:val="24"/>
        </w:rPr>
        <w:t xml:space="preserve">he </w:t>
      </w:r>
      <w:r w:rsidR="00C767B3" w:rsidRPr="004678AD">
        <w:rPr>
          <w:color w:val="000000" w:themeColor="text1"/>
          <w:szCs w:val="24"/>
        </w:rPr>
        <w:t xml:space="preserve">issue of the </w:t>
      </w:r>
      <w:r w:rsidR="00D34B2D" w:rsidRPr="004678AD">
        <w:rPr>
          <w:color w:val="000000" w:themeColor="text1"/>
          <w:szCs w:val="24"/>
        </w:rPr>
        <w:t xml:space="preserve">applicability of </w:t>
      </w:r>
      <w:r w:rsidR="00813E67" w:rsidRPr="004678AD">
        <w:rPr>
          <w:color w:val="000000" w:themeColor="text1"/>
          <w:szCs w:val="24"/>
        </w:rPr>
        <w:t xml:space="preserve">an additional </w:t>
      </w:r>
      <w:r w:rsidR="000A687E" w:rsidRPr="004678AD">
        <w:rPr>
          <w:color w:val="000000" w:themeColor="text1"/>
          <w:szCs w:val="24"/>
        </w:rPr>
        <w:t>remarriage or re-partnering contingency deduction</w:t>
      </w:r>
      <w:r w:rsidR="0014503B" w:rsidRPr="004678AD">
        <w:rPr>
          <w:color w:val="000000" w:themeColor="text1"/>
          <w:szCs w:val="24"/>
        </w:rPr>
        <w:t xml:space="preserve"> </w:t>
      </w:r>
      <w:r w:rsidR="006867D8" w:rsidRPr="004678AD">
        <w:rPr>
          <w:color w:val="000000" w:themeColor="text1"/>
          <w:szCs w:val="24"/>
        </w:rPr>
        <w:t>to the plaintiff’s claim for loss of support</w:t>
      </w:r>
      <w:r w:rsidR="00FF329A" w:rsidRPr="004678AD">
        <w:rPr>
          <w:color w:val="000000" w:themeColor="text1"/>
          <w:szCs w:val="24"/>
        </w:rPr>
        <w:t xml:space="preserve"> </w:t>
      </w:r>
      <w:r w:rsidR="00294770" w:rsidRPr="004678AD">
        <w:rPr>
          <w:color w:val="000000" w:themeColor="text1"/>
          <w:szCs w:val="24"/>
        </w:rPr>
        <w:t>was</w:t>
      </w:r>
      <w:r w:rsidR="000D0E60" w:rsidRPr="004678AD">
        <w:rPr>
          <w:color w:val="000000" w:themeColor="text1"/>
          <w:szCs w:val="24"/>
        </w:rPr>
        <w:t xml:space="preserve"> cont</w:t>
      </w:r>
      <w:r w:rsidR="00FC4175" w:rsidRPr="004678AD">
        <w:rPr>
          <w:color w:val="000000" w:themeColor="text1"/>
          <w:szCs w:val="24"/>
        </w:rPr>
        <w:t>roversial</w:t>
      </w:r>
      <w:r w:rsidR="000A687E" w:rsidRPr="004678AD">
        <w:rPr>
          <w:color w:val="000000" w:themeColor="text1"/>
          <w:szCs w:val="24"/>
        </w:rPr>
        <w:t xml:space="preserve">.  </w:t>
      </w:r>
      <w:r w:rsidR="00F867DB" w:rsidRPr="004678AD">
        <w:rPr>
          <w:color w:val="000000" w:themeColor="text1"/>
          <w:szCs w:val="24"/>
        </w:rPr>
        <w:t xml:space="preserve">The plaintiff was not called to give evidence, both parties relying on the information contained in the WL actuarial report subject to the </w:t>
      </w:r>
      <w:r w:rsidR="00F867DB" w:rsidRPr="004678AD">
        <w:rPr>
          <w:i/>
          <w:iCs/>
          <w:color w:val="000000" w:themeColor="text1"/>
          <w:szCs w:val="24"/>
        </w:rPr>
        <w:t>proviso</w:t>
      </w:r>
      <w:r w:rsidR="00F867DB" w:rsidRPr="004678AD">
        <w:rPr>
          <w:color w:val="000000" w:themeColor="text1"/>
          <w:szCs w:val="24"/>
        </w:rPr>
        <w:t xml:space="preserve"> that this court determine whether an additional contingency deduction regarding the possibility of remarriage or re-partnering should be applied.</w:t>
      </w:r>
    </w:p>
    <w:p w14:paraId="01E084AF" w14:textId="1BC13C6A" w:rsidR="00B073C3"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[40]</w:t>
      </w:r>
      <w:r w:rsidRPr="004678AD">
        <w:rPr>
          <w:color w:val="000000" w:themeColor="text1"/>
          <w:szCs w:val="24"/>
        </w:rPr>
        <w:tab/>
      </w:r>
      <w:r w:rsidR="00B073C3" w:rsidRPr="004678AD">
        <w:rPr>
          <w:color w:val="000000" w:themeColor="text1"/>
          <w:szCs w:val="24"/>
        </w:rPr>
        <w:t xml:space="preserve">It was not in dispute that the plaintiff was born on 1 May 1991 and at the date of the collision, the plaintiff was 26 years old, the deceased was 59 years old, and the minor child was 10 months old.  </w:t>
      </w:r>
    </w:p>
    <w:p w14:paraId="5FD3D1F2" w14:textId="16462334"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[41]</w:t>
      </w:r>
      <w:r w:rsidRPr="004678AD">
        <w:rPr>
          <w:color w:val="000000" w:themeColor="text1"/>
          <w:szCs w:val="24"/>
        </w:rPr>
        <w:tab/>
      </w:r>
      <w:r w:rsidR="00932C95" w:rsidRPr="004678AD">
        <w:rPr>
          <w:color w:val="000000" w:themeColor="text1"/>
          <w:szCs w:val="24"/>
        </w:rPr>
        <w:t>P</w:t>
      </w:r>
      <w:r w:rsidR="00CA004F" w:rsidRPr="004678AD">
        <w:rPr>
          <w:color w:val="000000" w:themeColor="text1"/>
          <w:szCs w:val="24"/>
        </w:rPr>
        <w:t xml:space="preserve">laintiff’s counsel submitted that the </w:t>
      </w:r>
      <w:r w:rsidR="00795E2B" w:rsidRPr="004678AD">
        <w:rPr>
          <w:color w:val="000000" w:themeColor="text1"/>
          <w:szCs w:val="24"/>
        </w:rPr>
        <w:t xml:space="preserve">additional </w:t>
      </w:r>
      <w:r w:rsidR="00CA004F" w:rsidRPr="004678AD">
        <w:rPr>
          <w:color w:val="000000" w:themeColor="text1"/>
          <w:szCs w:val="24"/>
        </w:rPr>
        <w:t xml:space="preserve">remarriage or re-partnering contingency deduction was not applicable.  </w:t>
      </w:r>
      <w:r w:rsidR="00932C95" w:rsidRPr="004678AD">
        <w:rPr>
          <w:color w:val="000000" w:themeColor="text1"/>
          <w:szCs w:val="24"/>
        </w:rPr>
        <w:t>D</w:t>
      </w:r>
      <w:r w:rsidR="00CA004F" w:rsidRPr="004678AD">
        <w:rPr>
          <w:color w:val="000000" w:themeColor="text1"/>
          <w:szCs w:val="24"/>
        </w:rPr>
        <w:t>efendant’s counsel submitted having regard to the plaintiff’s relatively young age, significant weight should be given to the possibility of remarriage or re-partnering</w:t>
      </w:r>
      <w:r w:rsidR="001A1993" w:rsidRPr="004678AD">
        <w:rPr>
          <w:color w:val="000000" w:themeColor="text1"/>
          <w:szCs w:val="24"/>
        </w:rPr>
        <w:t xml:space="preserve">.  </w:t>
      </w:r>
      <w:r w:rsidR="00DA36C5" w:rsidRPr="004678AD">
        <w:rPr>
          <w:color w:val="000000" w:themeColor="text1"/>
          <w:szCs w:val="24"/>
        </w:rPr>
        <w:t>D</w:t>
      </w:r>
      <w:r w:rsidR="001A1993" w:rsidRPr="004678AD">
        <w:rPr>
          <w:color w:val="000000" w:themeColor="text1"/>
          <w:szCs w:val="24"/>
        </w:rPr>
        <w:t>efendant’s counsel</w:t>
      </w:r>
      <w:r w:rsidR="00492322" w:rsidRPr="004678AD">
        <w:rPr>
          <w:color w:val="000000" w:themeColor="text1"/>
          <w:szCs w:val="24"/>
        </w:rPr>
        <w:t xml:space="preserve"> </w:t>
      </w:r>
      <w:r w:rsidR="00DA36C5" w:rsidRPr="004678AD">
        <w:rPr>
          <w:color w:val="000000" w:themeColor="text1"/>
          <w:szCs w:val="24"/>
        </w:rPr>
        <w:t xml:space="preserve">initially </w:t>
      </w:r>
      <w:r w:rsidR="00C65C2A" w:rsidRPr="004678AD">
        <w:rPr>
          <w:color w:val="000000" w:themeColor="text1"/>
          <w:szCs w:val="24"/>
        </w:rPr>
        <w:t xml:space="preserve">submitted </w:t>
      </w:r>
      <w:r w:rsidR="007958A7" w:rsidRPr="004678AD">
        <w:rPr>
          <w:color w:val="000000" w:themeColor="text1"/>
          <w:szCs w:val="24"/>
        </w:rPr>
        <w:t xml:space="preserve">that </w:t>
      </w:r>
      <w:r w:rsidR="00CA004F" w:rsidRPr="004678AD">
        <w:rPr>
          <w:color w:val="000000" w:themeColor="text1"/>
          <w:szCs w:val="24"/>
        </w:rPr>
        <w:t>a contingency deduction of 10% for the past loss and 21% for future loss of support</w:t>
      </w:r>
      <w:r w:rsidR="0013318B" w:rsidRPr="004678AD">
        <w:rPr>
          <w:color w:val="000000" w:themeColor="text1"/>
          <w:szCs w:val="24"/>
        </w:rPr>
        <w:t xml:space="preserve"> was </w:t>
      </w:r>
      <w:r w:rsidR="00227C24" w:rsidRPr="004678AD">
        <w:rPr>
          <w:color w:val="000000" w:themeColor="text1"/>
          <w:szCs w:val="24"/>
        </w:rPr>
        <w:t>appropriate</w:t>
      </w:r>
      <w:r w:rsidR="00CA004F" w:rsidRPr="004678AD">
        <w:rPr>
          <w:color w:val="000000" w:themeColor="text1"/>
          <w:szCs w:val="24"/>
        </w:rPr>
        <w:t xml:space="preserve">.  </w:t>
      </w:r>
      <w:r w:rsidR="0057713E" w:rsidRPr="004678AD">
        <w:rPr>
          <w:color w:val="000000" w:themeColor="text1"/>
          <w:szCs w:val="24"/>
        </w:rPr>
        <w:t xml:space="preserve"> </w:t>
      </w:r>
    </w:p>
    <w:p w14:paraId="5C2A1B89" w14:textId="6F1BBD9D"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[42]</w:t>
      </w:r>
      <w:r w:rsidRPr="004678AD">
        <w:rPr>
          <w:color w:val="000000" w:themeColor="text1"/>
          <w:szCs w:val="24"/>
        </w:rPr>
        <w:tab/>
      </w:r>
      <w:r w:rsidR="000A687E" w:rsidRPr="004678AD">
        <w:rPr>
          <w:color w:val="000000" w:themeColor="text1"/>
          <w:szCs w:val="24"/>
        </w:rPr>
        <w:t xml:space="preserve">After the hearing, the </w:t>
      </w:r>
      <w:r w:rsidR="00A55A95" w:rsidRPr="004678AD">
        <w:rPr>
          <w:color w:val="000000" w:themeColor="text1"/>
          <w:szCs w:val="24"/>
        </w:rPr>
        <w:t>d</w:t>
      </w:r>
      <w:r w:rsidR="000A687E" w:rsidRPr="004678AD">
        <w:rPr>
          <w:color w:val="000000" w:themeColor="text1"/>
          <w:szCs w:val="24"/>
        </w:rPr>
        <w:t xml:space="preserve">efendant’s counsel provided the court with the authorities to which the court was referred during </w:t>
      </w:r>
      <w:r w:rsidR="00430379" w:rsidRPr="004678AD">
        <w:rPr>
          <w:color w:val="000000" w:themeColor="text1"/>
          <w:szCs w:val="24"/>
        </w:rPr>
        <w:t xml:space="preserve">the </w:t>
      </w:r>
      <w:r w:rsidR="000A687E" w:rsidRPr="004678AD">
        <w:rPr>
          <w:color w:val="000000" w:themeColor="text1"/>
          <w:szCs w:val="24"/>
        </w:rPr>
        <w:t xml:space="preserve">argument, namely, </w:t>
      </w:r>
      <w:r w:rsidR="000A687E" w:rsidRPr="004678AD">
        <w:rPr>
          <w:i/>
          <w:color w:val="000000" w:themeColor="text1"/>
          <w:szCs w:val="24"/>
        </w:rPr>
        <w:t>Hulley v Cox</w:t>
      </w:r>
      <w:r w:rsidR="000A687E" w:rsidRPr="004678AD">
        <w:rPr>
          <w:color w:val="000000" w:themeColor="text1"/>
          <w:szCs w:val="24"/>
        </w:rPr>
        <w:t>,</w:t>
      </w:r>
      <w:r w:rsidR="000A687E" w:rsidRPr="004678AD">
        <w:rPr>
          <w:color w:val="000000" w:themeColor="text1"/>
          <w:szCs w:val="24"/>
          <w:vertAlign w:val="superscript"/>
        </w:rPr>
        <w:footnoteReference w:id="39"/>
      </w:r>
      <w:r w:rsidR="000A687E" w:rsidRPr="004678AD">
        <w:rPr>
          <w:color w:val="000000" w:themeColor="text1"/>
          <w:szCs w:val="24"/>
        </w:rPr>
        <w:t xml:space="preserve"> </w:t>
      </w:r>
      <w:r w:rsidR="00FC1068" w:rsidRPr="004678AD">
        <w:rPr>
          <w:i/>
          <w:iCs/>
          <w:color w:val="000000" w:themeColor="text1"/>
          <w:szCs w:val="24"/>
        </w:rPr>
        <w:t>Y</w:t>
      </w:r>
      <w:r w:rsidR="000A687E" w:rsidRPr="004678AD">
        <w:rPr>
          <w:i/>
          <w:iCs/>
          <w:color w:val="000000" w:themeColor="text1"/>
          <w:szCs w:val="24"/>
        </w:rPr>
        <w:t xml:space="preserve">K </w:t>
      </w:r>
      <w:r w:rsidR="000A687E" w:rsidRPr="004678AD">
        <w:rPr>
          <w:i/>
          <w:color w:val="000000" w:themeColor="text1"/>
          <w:szCs w:val="24"/>
        </w:rPr>
        <w:t>v Road Accident Fund</w:t>
      </w:r>
      <w:r w:rsidR="00430379" w:rsidRPr="004678AD">
        <w:rPr>
          <w:color w:val="000000" w:themeColor="text1"/>
          <w:szCs w:val="24"/>
        </w:rPr>
        <w:t>,</w:t>
      </w:r>
      <w:r w:rsidR="000A687E" w:rsidRPr="004678AD">
        <w:rPr>
          <w:color w:val="000000" w:themeColor="text1"/>
          <w:szCs w:val="24"/>
          <w:vertAlign w:val="superscript"/>
        </w:rPr>
        <w:footnoteReference w:id="40"/>
      </w:r>
      <w:r w:rsidR="000A687E" w:rsidRPr="004678AD">
        <w:rPr>
          <w:color w:val="000000" w:themeColor="text1"/>
          <w:szCs w:val="24"/>
        </w:rPr>
        <w:t xml:space="preserve"> and </w:t>
      </w:r>
      <w:r w:rsidR="000A687E" w:rsidRPr="004678AD">
        <w:rPr>
          <w:i/>
          <w:color w:val="000000" w:themeColor="text1"/>
          <w:szCs w:val="24"/>
        </w:rPr>
        <w:t>MV and Others v Road Accident Fund</w:t>
      </w:r>
      <w:r w:rsidR="000A687E" w:rsidRPr="004678AD">
        <w:rPr>
          <w:color w:val="000000" w:themeColor="text1"/>
          <w:szCs w:val="24"/>
        </w:rPr>
        <w:t>.</w:t>
      </w:r>
      <w:r w:rsidR="000A687E" w:rsidRPr="004678AD">
        <w:rPr>
          <w:color w:val="000000" w:themeColor="text1"/>
          <w:szCs w:val="24"/>
          <w:vertAlign w:val="superscript"/>
        </w:rPr>
        <w:footnoteReference w:id="41"/>
      </w:r>
      <w:r w:rsidR="00BA4170" w:rsidRPr="004678AD">
        <w:rPr>
          <w:color w:val="000000" w:themeColor="text1"/>
          <w:szCs w:val="24"/>
        </w:rPr>
        <w:t xml:space="preserve">  The </w:t>
      </w:r>
      <w:r w:rsidR="00BA4170" w:rsidRPr="004678AD">
        <w:rPr>
          <w:color w:val="000000" w:themeColor="text1"/>
          <w:szCs w:val="24"/>
        </w:rPr>
        <w:lastRenderedPageBreak/>
        <w:t xml:space="preserve">defendant’s counsel submitted </w:t>
      </w:r>
      <w:r w:rsidR="000A454C" w:rsidRPr="004678AD">
        <w:rPr>
          <w:color w:val="000000" w:themeColor="text1"/>
          <w:szCs w:val="24"/>
        </w:rPr>
        <w:t xml:space="preserve">further </w:t>
      </w:r>
      <w:r w:rsidR="00BA4170" w:rsidRPr="004678AD">
        <w:rPr>
          <w:color w:val="000000" w:themeColor="text1"/>
          <w:szCs w:val="24"/>
        </w:rPr>
        <w:t>that “</w:t>
      </w:r>
      <w:r w:rsidR="0062180F" w:rsidRPr="004678AD">
        <w:rPr>
          <w:i/>
          <w:iCs/>
          <w:color w:val="000000" w:themeColor="text1"/>
          <w:szCs w:val="24"/>
        </w:rPr>
        <w:t>when one considers the above-mentioned cases</w:t>
      </w:r>
      <w:r w:rsidR="008B7EA2" w:rsidRPr="004678AD">
        <w:rPr>
          <w:i/>
          <w:iCs/>
          <w:color w:val="000000" w:themeColor="text1"/>
          <w:szCs w:val="24"/>
        </w:rPr>
        <w:t>, I am of the submission that the 21% that I submitted is more fairer and I should have argued for 25%.</w:t>
      </w:r>
      <w:r w:rsidR="008B7EA2" w:rsidRPr="004678AD">
        <w:rPr>
          <w:color w:val="000000" w:themeColor="text1"/>
          <w:szCs w:val="24"/>
        </w:rPr>
        <w:t>”</w:t>
      </w:r>
    </w:p>
    <w:p w14:paraId="566F42D1" w14:textId="72F9AAD6"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[43]</w:t>
      </w:r>
      <w:r w:rsidRPr="004678AD">
        <w:rPr>
          <w:color w:val="000000" w:themeColor="text1"/>
          <w:szCs w:val="24"/>
        </w:rPr>
        <w:tab/>
      </w:r>
      <w:r w:rsidR="000A687E" w:rsidRPr="004678AD">
        <w:rPr>
          <w:color w:val="000000" w:themeColor="text1"/>
          <w:szCs w:val="24"/>
        </w:rPr>
        <w:t xml:space="preserve">Per </w:t>
      </w:r>
      <w:r w:rsidR="000A687E" w:rsidRPr="004678AD">
        <w:rPr>
          <w:i/>
          <w:iCs/>
          <w:color w:val="000000" w:themeColor="text1"/>
          <w:szCs w:val="24"/>
        </w:rPr>
        <w:t>audi alteram partem</w:t>
      </w:r>
      <w:r w:rsidR="000A687E" w:rsidRPr="004678AD">
        <w:rPr>
          <w:color w:val="000000" w:themeColor="text1"/>
          <w:szCs w:val="24"/>
        </w:rPr>
        <w:t xml:space="preserve">, </w:t>
      </w:r>
      <w:r w:rsidR="00430379" w:rsidRPr="004678AD">
        <w:rPr>
          <w:color w:val="000000" w:themeColor="text1"/>
          <w:szCs w:val="24"/>
        </w:rPr>
        <w:t xml:space="preserve">the </w:t>
      </w:r>
      <w:r w:rsidR="00FD4BD5" w:rsidRPr="004678AD">
        <w:rPr>
          <w:color w:val="000000" w:themeColor="text1"/>
          <w:szCs w:val="24"/>
        </w:rPr>
        <w:t>p</w:t>
      </w:r>
      <w:r w:rsidR="000A687E" w:rsidRPr="004678AD">
        <w:rPr>
          <w:color w:val="000000" w:themeColor="text1"/>
          <w:szCs w:val="24"/>
        </w:rPr>
        <w:t>laintiff</w:t>
      </w:r>
      <w:r w:rsidR="008D4C17" w:rsidRPr="004678AD">
        <w:rPr>
          <w:color w:val="000000" w:themeColor="text1"/>
          <w:szCs w:val="24"/>
        </w:rPr>
        <w:t>’s counsel</w:t>
      </w:r>
      <w:r w:rsidR="000A687E" w:rsidRPr="004678AD">
        <w:rPr>
          <w:color w:val="000000" w:themeColor="text1"/>
          <w:szCs w:val="24"/>
        </w:rPr>
        <w:t xml:space="preserve"> was afforded the opportunity to respond.  The </w:t>
      </w:r>
      <w:r w:rsidR="00FD4BD5" w:rsidRPr="004678AD">
        <w:rPr>
          <w:color w:val="000000" w:themeColor="text1"/>
          <w:szCs w:val="24"/>
        </w:rPr>
        <w:t>p</w:t>
      </w:r>
      <w:r w:rsidR="000A687E" w:rsidRPr="004678AD">
        <w:rPr>
          <w:color w:val="000000" w:themeColor="text1"/>
          <w:szCs w:val="24"/>
        </w:rPr>
        <w:t>laintiff</w:t>
      </w:r>
      <w:r w:rsidR="008D4C17" w:rsidRPr="004678AD">
        <w:rPr>
          <w:color w:val="000000" w:themeColor="text1"/>
          <w:szCs w:val="24"/>
        </w:rPr>
        <w:t>’s counsel</w:t>
      </w:r>
      <w:r w:rsidR="000A687E" w:rsidRPr="004678AD">
        <w:rPr>
          <w:color w:val="000000" w:themeColor="text1"/>
          <w:szCs w:val="24"/>
        </w:rPr>
        <w:t xml:space="preserve"> relied on </w:t>
      </w:r>
      <w:r w:rsidR="000A687E" w:rsidRPr="004678AD">
        <w:rPr>
          <w:i/>
          <w:iCs/>
          <w:color w:val="000000" w:themeColor="text1"/>
          <w:szCs w:val="24"/>
        </w:rPr>
        <w:t>MS v Road Accident Fund</w:t>
      </w:r>
      <w:r w:rsidR="003A139E" w:rsidRPr="004678AD">
        <w:rPr>
          <w:rStyle w:val="FootnoteReference"/>
          <w:i/>
          <w:color w:val="000000" w:themeColor="text1"/>
          <w:szCs w:val="24"/>
        </w:rPr>
        <w:footnoteReference w:id="42"/>
      </w:r>
      <w:r w:rsidR="000A687E" w:rsidRPr="004678AD">
        <w:rPr>
          <w:color w:val="000000" w:themeColor="text1"/>
          <w:szCs w:val="24"/>
        </w:rPr>
        <w:t xml:space="preserve"> and </w:t>
      </w:r>
      <w:r w:rsidR="00AD10D0" w:rsidRPr="004678AD">
        <w:rPr>
          <w:color w:val="000000" w:themeColor="text1"/>
          <w:szCs w:val="24"/>
        </w:rPr>
        <w:t>submitted</w:t>
      </w:r>
      <w:r w:rsidR="000A687E" w:rsidRPr="004678AD">
        <w:rPr>
          <w:color w:val="000000" w:themeColor="text1"/>
          <w:szCs w:val="24"/>
        </w:rPr>
        <w:t xml:space="preserve"> </w:t>
      </w:r>
      <w:r w:rsidR="009A1493" w:rsidRPr="004678AD">
        <w:rPr>
          <w:color w:val="000000" w:themeColor="text1"/>
          <w:szCs w:val="24"/>
        </w:rPr>
        <w:t xml:space="preserve">further </w:t>
      </w:r>
      <w:r w:rsidR="000A687E" w:rsidRPr="004678AD">
        <w:rPr>
          <w:color w:val="000000" w:themeColor="text1"/>
          <w:szCs w:val="24"/>
        </w:rPr>
        <w:t>that “</w:t>
      </w:r>
      <w:r w:rsidR="000A687E" w:rsidRPr="004678AD">
        <w:rPr>
          <w:i/>
          <w:iCs/>
          <w:color w:val="000000" w:themeColor="text1"/>
          <w:szCs w:val="24"/>
        </w:rPr>
        <w:t>it is not an act of law that "Every female person under a certain age group contingency reduction should apply due to the fact that she might be re-married and the husband will definitely take care of her</w:t>
      </w:r>
      <w:r w:rsidR="00430379" w:rsidRPr="004678AD">
        <w:rPr>
          <w:i/>
          <w:iCs/>
          <w:color w:val="000000" w:themeColor="text1"/>
          <w:szCs w:val="24"/>
        </w:rPr>
        <w:t>.’</w:t>
      </w:r>
      <w:r w:rsidR="000A687E" w:rsidRPr="004678AD">
        <w:rPr>
          <w:color w:val="000000" w:themeColor="text1"/>
          <w:szCs w:val="24"/>
        </w:rPr>
        <w:t>”</w:t>
      </w:r>
    </w:p>
    <w:p w14:paraId="33F3EC5D" w14:textId="511A2491" w:rsidR="00B4427D"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[44]</w:t>
      </w:r>
      <w:r w:rsidRPr="004678AD">
        <w:rPr>
          <w:color w:val="000000" w:themeColor="text1"/>
          <w:szCs w:val="24"/>
        </w:rPr>
        <w:tab/>
      </w:r>
      <w:r w:rsidR="00AC2924" w:rsidRPr="004678AD">
        <w:rPr>
          <w:color w:val="000000" w:themeColor="text1"/>
          <w:szCs w:val="24"/>
        </w:rPr>
        <w:t>When assessing the remarriage or re-partnering contingency deduction, the common law is entangled with judicial precedent.</w:t>
      </w:r>
      <w:r w:rsidR="00AC2924" w:rsidRPr="004678AD">
        <w:rPr>
          <w:rStyle w:val="FootnoteReference"/>
          <w:color w:val="000000" w:themeColor="text1"/>
          <w:szCs w:val="24"/>
        </w:rPr>
        <w:footnoteReference w:id="43"/>
      </w:r>
      <w:r w:rsidR="00E4235D" w:rsidRPr="004678AD">
        <w:rPr>
          <w:color w:val="000000" w:themeColor="text1"/>
          <w:szCs w:val="24"/>
        </w:rPr>
        <w:t xml:space="preserve">  </w:t>
      </w:r>
      <w:r w:rsidR="009C34B7" w:rsidRPr="004678AD">
        <w:rPr>
          <w:color w:val="000000" w:themeColor="text1"/>
          <w:szCs w:val="24"/>
        </w:rPr>
        <w:t xml:space="preserve">Examining </w:t>
      </w:r>
      <w:r w:rsidR="00E21A79" w:rsidRPr="004678AD">
        <w:rPr>
          <w:color w:val="000000" w:themeColor="text1"/>
          <w:szCs w:val="24"/>
        </w:rPr>
        <w:t>our</w:t>
      </w:r>
      <w:r w:rsidR="00EF7557" w:rsidRPr="004678AD">
        <w:rPr>
          <w:color w:val="000000" w:themeColor="text1"/>
          <w:szCs w:val="24"/>
        </w:rPr>
        <w:t xml:space="preserve"> jurisprudence, </w:t>
      </w:r>
      <w:r w:rsidR="009C34B7" w:rsidRPr="004678AD">
        <w:rPr>
          <w:color w:val="000000" w:themeColor="text1"/>
          <w:szCs w:val="24"/>
        </w:rPr>
        <w:t xml:space="preserve">it became apparent that it is generally accepted </w:t>
      </w:r>
      <w:r w:rsidR="009D58D3" w:rsidRPr="004678AD">
        <w:rPr>
          <w:color w:val="000000" w:themeColor="text1"/>
          <w:szCs w:val="24"/>
        </w:rPr>
        <w:t xml:space="preserve">by our courts </w:t>
      </w:r>
      <w:r w:rsidR="009C34B7" w:rsidRPr="004678AD">
        <w:rPr>
          <w:color w:val="000000" w:themeColor="text1"/>
          <w:szCs w:val="24"/>
        </w:rPr>
        <w:t>to consider an additional contingency deduction for the possibility of remarriage or re-partnering.</w:t>
      </w:r>
      <w:r w:rsidR="009C34B7" w:rsidRPr="004678AD">
        <w:rPr>
          <w:color w:val="000000" w:themeColor="text1"/>
          <w:szCs w:val="24"/>
          <w:vertAlign w:val="superscript"/>
        </w:rPr>
        <w:footnoteReference w:id="44"/>
      </w:r>
      <w:r w:rsidR="009C34B7" w:rsidRPr="004678AD">
        <w:rPr>
          <w:color w:val="000000" w:themeColor="text1"/>
          <w:szCs w:val="24"/>
        </w:rPr>
        <w:t xml:space="preserve">  </w:t>
      </w:r>
    </w:p>
    <w:p w14:paraId="0F395E9C" w14:textId="6AA4D8B2" w:rsidR="00667755"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[45]</w:t>
      </w:r>
      <w:r w:rsidRPr="004678AD">
        <w:rPr>
          <w:color w:val="000000" w:themeColor="text1"/>
          <w:szCs w:val="24"/>
        </w:rPr>
        <w:tab/>
      </w:r>
      <w:r w:rsidR="00B371B2" w:rsidRPr="004678AD">
        <w:rPr>
          <w:color w:val="000000" w:themeColor="text1"/>
          <w:szCs w:val="24"/>
        </w:rPr>
        <w:t xml:space="preserve">The earliest reference </w:t>
      </w:r>
      <w:r w:rsidR="003F7373" w:rsidRPr="004678AD">
        <w:rPr>
          <w:color w:val="000000" w:themeColor="text1"/>
          <w:szCs w:val="24"/>
        </w:rPr>
        <w:t>can be found</w:t>
      </w:r>
      <w:r w:rsidR="00B371B2" w:rsidRPr="004678AD">
        <w:rPr>
          <w:color w:val="000000" w:themeColor="text1"/>
          <w:szCs w:val="24"/>
        </w:rPr>
        <w:t xml:space="preserve"> </w:t>
      </w:r>
      <w:r w:rsidR="00667755" w:rsidRPr="004678AD">
        <w:rPr>
          <w:color w:val="000000" w:themeColor="text1"/>
          <w:szCs w:val="24"/>
        </w:rPr>
        <w:t>i</w:t>
      </w:r>
      <w:r w:rsidR="005C1A58" w:rsidRPr="004678AD">
        <w:rPr>
          <w:color w:val="000000" w:themeColor="text1"/>
          <w:szCs w:val="24"/>
        </w:rPr>
        <w:t xml:space="preserve">n </w:t>
      </w:r>
      <w:r w:rsidR="00667755" w:rsidRPr="004678AD">
        <w:rPr>
          <w:color w:val="000000" w:themeColor="text1"/>
          <w:szCs w:val="24"/>
        </w:rPr>
        <w:t xml:space="preserve">1886 in </w:t>
      </w:r>
      <w:r w:rsidR="005C1A58" w:rsidRPr="004678AD">
        <w:rPr>
          <w:i/>
          <w:iCs/>
          <w:color w:val="000000" w:themeColor="text1"/>
          <w:szCs w:val="24"/>
        </w:rPr>
        <w:t>Kennedy v. Port Elizabeth Harbour Board</w:t>
      </w:r>
      <w:r w:rsidR="005C1A58" w:rsidRPr="004678AD">
        <w:rPr>
          <w:color w:val="000000" w:themeColor="text1"/>
          <w:szCs w:val="24"/>
        </w:rPr>
        <w:t>,</w:t>
      </w:r>
      <w:r w:rsidR="00B4427D" w:rsidRPr="004678AD">
        <w:rPr>
          <w:rStyle w:val="FootnoteReference"/>
          <w:color w:val="000000" w:themeColor="text1"/>
          <w:szCs w:val="24"/>
        </w:rPr>
        <w:footnoteReference w:id="45"/>
      </w:r>
      <w:r w:rsidR="005C1A58" w:rsidRPr="004678AD">
        <w:rPr>
          <w:color w:val="000000" w:themeColor="text1"/>
          <w:szCs w:val="24"/>
        </w:rPr>
        <w:t xml:space="preserve"> </w:t>
      </w:r>
      <w:r w:rsidR="00667755" w:rsidRPr="004678AD">
        <w:rPr>
          <w:color w:val="000000" w:themeColor="text1"/>
          <w:szCs w:val="24"/>
        </w:rPr>
        <w:t>where</w:t>
      </w:r>
      <w:r w:rsidR="002939A3" w:rsidRPr="004678AD">
        <w:rPr>
          <w:color w:val="000000" w:themeColor="text1"/>
          <w:szCs w:val="24"/>
        </w:rPr>
        <w:t xml:space="preserve"> </w:t>
      </w:r>
      <w:r w:rsidR="005C1A58" w:rsidRPr="004678AD">
        <w:rPr>
          <w:color w:val="000000" w:themeColor="text1"/>
          <w:szCs w:val="24"/>
        </w:rPr>
        <w:t>Barry</w:t>
      </w:r>
      <w:r w:rsidR="00DF4399" w:rsidRPr="004678AD">
        <w:rPr>
          <w:color w:val="000000" w:themeColor="text1"/>
          <w:szCs w:val="24"/>
        </w:rPr>
        <w:t> </w:t>
      </w:r>
      <w:r w:rsidR="003A501F" w:rsidRPr="004678AD">
        <w:rPr>
          <w:color w:val="000000" w:themeColor="text1"/>
          <w:szCs w:val="24"/>
        </w:rPr>
        <w:t>JP</w:t>
      </w:r>
      <w:r w:rsidR="00931056" w:rsidRPr="004678AD">
        <w:rPr>
          <w:color w:val="000000" w:themeColor="text1"/>
          <w:szCs w:val="24"/>
        </w:rPr>
        <w:t xml:space="preserve"> </w:t>
      </w:r>
      <w:r w:rsidR="002939A3" w:rsidRPr="004678AD">
        <w:rPr>
          <w:color w:val="000000" w:themeColor="text1"/>
          <w:szCs w:val="24"/>
        </w:rPr>
        <w:t xml:space="preserve">included </w:t>
      </w:r>
      <w:r w:rsidR="00C42EF4" w:rsidRPr="004678AD">
        <w:rPr>
          <w:color w:val="000000" w:themeColor="text1"/>
          <w:szCs w:val="24"/>
        </w:rPr>
        <w:t>"</w:t>
      </w:r>
      <w:r w:rsidR="00C42EF4" w:rsidRPr="004678AD">
        <w:rPr>
          <w:i/>
          <w:iCs/>
          <w:color w:val="000000" w:themeColor="text1"/>
          <w:szCs w:val="24"/>
        </w:rPr>
        <w:t>may possibly remarry</w:t>
      </w:r>
      <w:r w:rsidR="00C42EF4" w:rsidRPr="004678AD">
        <w:rPr>
          <w:color w:val="000000" w:themeColor="text1"/>
          <w:szCs w:val="24"/>
        </w:rPr>
        <w:t>"</w:t>
      </w:r>
      <w:r w:rsidR="00A5203B" w:rsidRPr="004678AD">
        <w:rPr>
          <w:color w:val="000000" w:themeColor="text1"/>
          <w:szCs w:val="24"/>
        </w:rPr>
        <w:t xml:space="preserve"> as a consideration </w:t>
      </w:r>
      <w:r w:rsidR="00775C16" w:rsidRPr="004678AD">
        <w:rPr>
          <w:color w:val="000000" w:themeColor="text1"/>
          <w:szCs w:val="24"/>
        </w:rPr>
        <w:t xml:space="preserve">in </w:t>
      </w:r>
      <w:r w:rsidR="00097230" w:rsidRPr="004678AD">
        <w:rPr>
          <w:color w:val="000000" w:themeColor="text1"/>
          <w:szCs w:val="24"/>
        </w:rPr>
        <w:t xml:space="preserve">determining </w:t>
      </w:r>
      <w:r w:rsidR="00A5203B" w:rsidRPr="004678AD">
        <w:rPr>
          <w:color w:val="000000" w:themeColor="text1"/>
          <w:szCs w:val="24"/>
        </w:rPr>
        <w:t>the contingency</w:t>
      </w:r>
      <w:r w:rsidR="00E87F76" w:rsidRPr="004678AD">
        <w:rPr>
          <w:color w:val="000000" w:themeColor="text1"/>
          <w:szCs w:val="24"/>
        </w:rPr>
        <w:t xml:space="preserve"> deduction</w:t>
      </w:r>
      <w:r w:rsidR="00667755" w:rsidRPr="004678AD">
        <w:rPr>
          <w:color w:val="000000" w:themeColor="text1"/>
          <w:szCs w:val="24"/>
        </w:rPr>
        <w:t>:</w:t>
      </w:r>
      <w:r w:rsidR="005C1A58" w:rsidRPr="004678AD">
        <w:rPr>
          <w:color w:val="000000" w:themeColor="text1"/>
          <w:szCs w:val="24"/>
        </w:rPr>
        <w:t xml:space="preserve"> </w:t>
      </w:r>
    </w:p>
    <w:p w14:paraId="76B19363" w14:textId="32A6E1D7" w:rsidR="00B371B2" w:rsidRPr="004678AD" w:rsidRDefault="00B371B2" w:rsidP="004678AD">
      <w:pPr>
        <w:pStyle w:val="JudgmentNumbered"/>
        <w:numPr>
          <w:ilvl w:val="0"/>
          <w:numId w:val="0"/>
        </w:numPr>
        <w:ind w:left="567"/>
        <w:rPr>
          <w:color w:val="000000" w:themeColor="text1"/>
          <w:szCs w:val="24"/>
        </w:rPr>
      </w:pPr>
      <w:r w:rsidRPr="004678AD">
        <w:rPr>
          <w:color w:val="000000" w:themeColor="text1"/>
          <w:szCs w:val="24"/>
        </w:rPr>
        <w:t>“Bearing in mind, however, that the plaintiff may possibly marry, and is not incapable of earning a livelihood for herself, and that the only child dependent upon her can scarcely be a burden</w:t>
      </w:r>
      <w:r w:rsidR="000F144A" w:rsidRPr="004678AD">
        <w:rPr>
          <w:color w:val="000000" w:themeColor="text1"/>
          <w:szCs w:val="24"/>
        </w:rPr>
        <w:t>..</w:t>
      </w:r>
      <w:r w:rsidRPr="004678AD">
        <w:rPr>
          <w:color w:val="000000" w:themeColor="text1"/>
          <w:szCs w:val="24"/>
        </w:rPr>
        <w:t>.”</w:t>
      </w:r>
      <w:r w:rsidR="005C7B3E" w:rsidRPr="004678AD">
        <w:rPr>
          <w:rStyle w:val="FootnoteReference"/>
          <w:color w:val="000000" w:themeColor="text1"/>
          <w:szCs w:val="24"/>
        </w:rPr>
        <w:footnoteReference w:id="46"/>
      </w:r>
    </w:p>
    <w:p w14:paraId="23F0E830" w14:textId="7FE0B5A1" w:rsidR="00931056"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[46]</w:t>
      </w:r>
      <w:r w:rsidRPr="004678AD">
        <w:rPr>
          <w:color w:val="000000" w:themeColor="text1"/>
          <w:szCs w:val="24"/>
        </w:rPr>
        <w:tab/>
      </w:r>
      <w:r w:rsidR="002179EF" w:rsidRPr="004678AD">
        <w:rPr>
          <w:color w:val="000000" w:themeColor="text1"/>
          <w:szCs w:val="24"/>
        </w:rPr>
        <w:t>However, in</w:t>
      </w:r>
      <w:r w:rsidR="005C1A58" w:rsidRPr="004678AD">
        <w:rPr>
          <w:color w:val="000000" w:themeColor="text1"/>
          <w:szCs w:val="24"/>
        </w:rPr>
        <w:t xml:space="preserve"> </w:t>
      </w:r>
      <w:r w:rsidR="00DF4399" w:rsidRPr="004678AD">
        <w:rPr>
          <w:color w:val="000000" w:themeColor="text1"/>
          <w:szCs w:val="24"/>
        </w:rPr>
        <w:t xml:space="preserve">1904, Innes CJ </w:t>
      </w:r>
      <w:r w:rsidR="00097230" w:rsidRPr="004678AD">
        <w:rPr>
          <w:color w:val="000000" w:themeColor="text1"/>
          <w:szCs w:val="24"/>
        </w:rPr>
        <w:t>held</w:t>
      </w:r>
      <w:r w:rsidR="00DF4399" w:rsidRPr="004678AD">
        <w:rPr>
          <w:color w:val="000000" w:themeColor="text1"/>
          <w:szCs w:val="24"/>
        </w:rPr>
        <w:t xml:space="preserve"> in </w:t>
      </w:r>
      <w:r w:rsidR="005C1A58" w:rsidRPr="004678AD">
        <w:rPr>
          <w:i/>
          <w:iCs/>
          <w:color w:val="000000" w:themeColor="text1"/>
          <w:szCs w:val="24"/>
        </w:rPr>
        <w:t>Waring &amp; Gillow, Ltd. v. Sherborne</w:t>
      </w:r>
      <w:r w:rsidR="005C1A58" w:rsidRPr="004678AD">
        <w:rPr>
          <w:color w:val="000000" w:themeColor="text1"/>
          <w:szCs w:val="24"/>
        </w:rPr>
        <w:t>,</w:t>
      </w:r>
      <w:r w:rsidR="00A4121A" w:rsidRPr="004678AD">
        <w:rPr>
          <w:rStyle w:val="FootnoteReference"/>
          <w:color w:val="000000" w:themeColor="text1"/>
          <w:szCs w:val="24"/>
        </w:rPr>
        <w:footnoteReference w:id="47"/>
      </w:r>
      <w:r w:rsidR="005C1A58" w:rsidRPr="004678AD">
        <w:rPr>
          <w:color w:val="000000" w:themeColor="text1"/>
          <w:szCs w:val="24"/>
        </w:rPr>
        <w:t xml:space="preserve"> </w:t>
      </w:r>
      <w:r w:rsidR="001B3EB7" w:rsidRPr="004678AD">
        <w:rPr>
          <w:color w:val="000000" w:themeColor="text1"/>
          <w:szCs w:val="24"/>
        </w:rPr>
        <w:t xml:space="preserve">that </w:t>
      </w:r>
      <w:r w:rsidR="0009439E" w:rsidRPr="004678AD">
        <w:rPr>
          <w:color w:val="000000" w:themeColor="text1"/>
          <w:szCs w:val="24"/>
        </w:rPr>
        <w:t xml:space="preserve">it was </w:t>
      </w:r>
      <w:r w:rsidR="005C1A58" w:rsidRPr="004678AD">
        <w:rPr>
          <w:color w:val="000000" w:themeColor="text1"/>
          <w:szCs w:val="24"/>
        </w:rPr>
        <w:t>"</w:t>
      </w:r>
      <w:r w:rsidR="0095081B" w:rsidRPr="004678AD">
        <w:rPr>
          <w:i/>
          <w:iCs/>
          <w:color w:val="000000" w:themeColor="text1"/>
          <w:szCs w:val="24"/>
        </w:rPr>
        <w:t xml:space="preserve">impossible </w:t>
      </w:r>
      <w:r w:rsidR="005C1A58" w:rsidRPr="004678AD">
        <w:rPr>
          <w:i/>
          <w:iCs/>
          <w:color w:val="000000" w:themeColor="text1"/>
          <w:szCs w:val="24"/>
        </w:rPr>
        <w:t>to calculate</w:t>
      </w:r>
      <w:r w:rsidR="00414C5A" w:rsidRPr="004678AD">
        <w:rPr>
          <w:color w:val="000000" w:themeColor="text1"/>
          <w:szCs w:val="24"/>
        </w:rPr>
        <w:t>”</w:t>
      </w:r>
      <w:r w:rsidR="005C1A58" w:rsidRPr="004678AD">
        <w:rPr>
          <w:color w:val="000000" w:themeColor="text1"/>
          <w:szCs w:val="24"/>
        </w:rPr>
        <w:t xml:space="preserve"> the chances of the plaintiff's remarriage</w:t>
      </w:r>
      <w:r w:rsidR="00414C5A" w:rsidRPr="004678AD">
        <w:rPr>
          <w:color w:val="000000" w:themeColor="text1"/>
          <w:szCs w:val="24"/>
        </w:rPr>
        <w:t>:</w:t>
      </w:r>
    </w:p>
    <w:p w14:paraId="046FE288" w14:textId="71C230F9" w:rsidR="00694026" w:rsidRPr="004678AD" w:rsidRDefault="00694026" w:rsidP="004678AD">
      <w:pPr>
        <w:pStyle w:val="JudgmentNumbered"/>
        <w:numPr>
          <w:ilvl w:val="0"/>
          <w:numId w:val="0"/>
        </w:numPr>
        <w:ind w:left="567"/>
        <w:rPr>
          <w:color w:val="000000" w:themeColor="text1"/>
          <w:szCs w:val="24"/>
        </w:rPr>
      </w:pPr>
      <w:r w:rsidRPr="004678AD">
        <w:rPr>
          <w:color w:val="000000" w:themeColor="text1"/>
          <w:szCs w:val="24"/>
        </w:rPr>
        <w:lastRenderedPageBreak/>
        <w:t>“</w:t>
      </w:r>
      <w:r w:rsidR="00B642A7" w:rsidRPr="004678AD">
        <w:rPr>
          <w:color w:val="000000" w:themeColor="text1"/>
          <w:szCs w:val="24"/>
        </w:rPr>
        <w:t>…</w:t>
      </w:r>
      <w:r w:rsidRPr="004678AD">
        <w:rPr>
          <w:color w:val="000000" w:themeColor="text1"/>
          <w:szCs w:val="24"/>
        </w:rPr>
        <w:t xml:space="preserve">and lastly, it is impossible to calculate what the chances are of the plaintiff's remarriage. </w:t>
      </w:r>
      <w:r w:rsidR="0095081B" w:rsidRPr="004678AD">
        <w:rPr>
          <w:color w:val="000000" w:themeColor="text1"/>
          <w:szCs w:val="24"/>
        </w:rPr>
        <w:t xml:space="preserve"> </w:t>
      </w:r>
      <w:r w:rsidRPr="004678AD">
        <w:rPr>
          <w:color w:val="000000" w:themeColor="text1"/>
          <w:szCs w:val="24"/>
        </w:rPr>
        <w:t>In view of these considerations any allowance for contingencies must be mere guesswork.”</w:t>
      </w:r>
      <w:r w:rsidR="00605EC9" w:rsidRPr="004678AD">
        <w:rPr>
          <w:rStyle w:val="FootnoteReference"/>
          <w:color w:val="000000" w:themeColor="text1"/>
          <w:szCs w:val="24"/>
        </w:rPr>
        <w:footnoteReference w:id="48"/>
      </w:r>
    </w:p>
    <w:p w14:paraId="1692E527" w14:textId="5F1D3E02" w:rsidR="00931056" w:rsidRPr="004678AD" w:rsidRDefault="00EC2D71" w:rsidP="00EC2D71">
      <w:pPr>
        <w:pStyle w:val="JudgmentNumbered"/>
        <w:numPr>
          <w:ilvl w:val="0"/>
          <w:numId w:val="0"/>
        </w:numPr>
        <w:ind w:left="567" w:hanging="567"/>
        <w:rPr>
          <w:rFonts w:eastAsia="Times New Roman"/>
          <w:color w:val="000000" w:themeColor="text1"/>
          <w:szCs w:val="24"/>
          <w:lang w:val="en-US" w:eastAsia="x-none"/>
        </w:rPr>
      </w:pPr>
      <w:r w:rsidRPr="004678AD">
        <w:rPr>
          <w:rFonts w:eastAsia="Times New Roman"/>
          <w:color w:val="000000" w:themeColor="text1"/>
          <w:szCs w:val="24"/>
          <w:lang w:val="en-US" w:eastAsia="x-none"/>
        </w:rPr>
        <w:t>[47]</w:t>
      </w:r>
      <w:r w:rsidRPr="004678AD">
        <w:rPr>
          <w:rFonts w:eastAsia="Times New Roman"/>
          <w:color w:val="000000" w:themeColor="text1"/>
          <w:szCs w:val="24"/>
          <w:lang w:val="en-US" w:eastAsia="x-none"/>
        </w:rPr>
        <w:tab/>
      </w:r>
      <w:r w:rsidR="00FF187B" w:rsidRPr="004678AD">
        <w:rPr>
          <w:color w:val="000000" w:themeColor="text1"/>
          <w:szCs w:val="24"/>
        </w:rPr>
        <w:t xml:space="preserve">In </w:t>
      </w:r>
      <w:r w:rsidR="00261934" w:rsidRPr="004678AD">
        <w:rPr>
          <w:color w:val="000000" w:themeColor="text1"/>
          <w:szCs w:val="24"/>
        </w:rPr>
        <w:t xml:space="preserve">1908, </w:t>
      </w:r>
      <w:r w:rsidR="009A0C0A" w:rsidRPr="004678AD">
        <w:rPr>
          <w:color w:val="000000" w:themeColor="text1"/>
          <w:szCs w:val="24"/>
        </w:rPr>
        <w:t xml:space="preserve">Innes CJ held in </w:t>
      </w:r>
      <w:r w:rsidR="00FF187B" w:rsidRPr="004678AD">
        <w:rPr>
          <w:i/>
          <w:iCs/>
          <w:color w:val="000000" w:themeColor="text1"/>
          <w:szCs w:val="24"/>
        </w:rPr>
        <w:t>Jameson's Minors v Central South African Railways</w:t>
      </w:r>
      <w:r w:rsidR="00E11044" w:rsidRPr="004678AD">
        <w:rPr>
          <w:rStyle w:val="FootnoteReference"/>
          <w:color w:val="000000" w:themeColor="text1"/>
          <w:szCs w:val="24"/>
        </w:rPr>
        <w:footnoteReference w:id="49"/>
      </w:r>
      <w:r w:rsidR="00FF187B" w:rsidRPr="004678AD">
        <w:rPr>
          <w:color w:val="000000" w:themeColor="text1"/>
          <w:szCs w:val="24"/>
        </w:rPr>
        <w:t xml:space="preserve"> </w:t>
      </w:r>
      <w:r w:rsidR="001905AA" w:rsidRPr="004678AD">
        <w:rPr>
          <w:color w:val="000000" w:themeColor="text1"/>
          <w:szCs w:val="24"/>
        </w:rPr>
        <w:t>that</w:t>
      </w:r>
      <w:r w:rsidR="00FF187B" w:rsidRPr="004678AD">
        <w:rPr>
          <w:color w:val="000000" w:themeColor="text1"/>
          <w:szCs w:val="24"/>
        </w:rPr>
        <w:t xml:space="preserve"> it is the remarriage potential of the </w:t>
      </w:r>
      <w:r w:rsidR="00FF187B" w:rsidRPr="004678AD">
        <w:rPr>
          <w:i/>
          <w:iCs/>
          <w:color w:val="000000" w:themeColor="text1"/>
          <w:szCs w:val="24"/>
        </w:rPr>
        <w:t xml:space="preserve">deceased </w:t>
      </w:r>
      <w:r w:rsidR="00FF187B" w:rsidRPr="004678AD">
        <w:rPr>
          <w:color w:val="000000" w:themeColor="text1"/>
          <w:szCs w:val="24"/>
        </w:rPr>
        <w:t xml:space="preserve">which is considered </w:t>
      </w:r>
      <w:r w:rsidR="0076146E" w:rsidRPr="004678AD">
        <w:rPr>
          <w:color w:val="000000" w:themeColor="text1"/>
          <w:szCs w:val="24"/>
        </w:rPr>
        <w:t xml:space="preserve">in order </w:t>
      </w:r>
      <w:r w:rsidR="008D7BE8" w:rsidRPr="004678AD">
        <w:rPr>
          <w:color w:val="000000" w:themeColor="text1"/>
          <w:szCs w:val="24"/>
        </w:rPr>
        <w:t>to</w:t>
      </w:r>
      <w:r w:rsidR="00FF187B" w:rsidRPr="004678AD">
        <w:rPr>
          <w:color w:val="000000" w:themeColor="text1"/>
          <w:szCs w:val="24"/>
        </w:rPr>
        <w:t xml:space="preserve"> calculate the material loss:</w:t>
      </w:r>
      <w:r w:rsidR="00FF187B" w:rsidRPr="004678AD">
        <w:rPr>
          <w:rStyle w:val="FootnoteReference"/>
          <w:color w:val="000000" w:themeColor="text1"/>
          <w:szCs w:val="24"/>
        </w:rPr>
        <w:footnoteReference w:id="50"/>
      </w:r>
      <w:r w:rsidR="00FF187B" w:rsidRPr="004678AD">
        <w:rPr>
          <w:color w:val="000000" w:themeColor="text1"/>
          <w:szCs w:val="24"/>
        </w:rPr>
        <w:t xml:space="preserve">  </w:t>
      </w:r>
    </w:p>
    <w:p w14:paraId="684785FC" w14:textId="0753027B" w:rsidR="00FF187B" w:rsidRPr="004678AD" w:rsidRDefault="00FF187B" w:rsidP="004678AD">
      <w:pPr>
        <w:pStyle w:val="JudgmentNumbered"/>
        <w:numPr>
          <w:ilvl w:val="0"/>
          <w:numId w:val="0"/>
        </w:numPr>
        <w:ind w:left="567"/>
        <w:rPr>
          <w:rFonts w:eastAsia="Times New Roman"/>
          <w:color w:val="000000" w:themeColor="text1"/>
          <w:szCs w:val="24"/>
          <w:lang w:val="en-US" w:eastAsia="x-none"/>
        </w:rPr>
      </w:pPr>
      <w:r w:rsidRPr="004678AD">
        <w:rPr>
          <w:color w:val="000000" w:themeColor="text1"/>
          <w:szCs w:val="24"/>
        </w:rPr>
        <w:t>“Not only is there the deceased’s expectation of life to be considered, but the question of how much his income would have been in the future; how long he would have been able to work at his full power; how much he would have spent on his children, and the contingency of his remarriage- all these, and other matters have to be taken into consideration.”</w:t>
      </w:r>
    </w:p>
    <w:p w14:paraId="5BD6756E" w14:textId="5CA272DC" w:rsidR="00CB6795" w:rsidRPr="004678AD" w:rsidRDefault="00EC2D71" w:rsidP="00EC2D71">
      <w:pPr>
        <w:pStyle w:val="JudgmentNumbered"/>
        <w:numPr>
          <w:ilvl w:val="0"/>
          <w:numId w:val="0"/>
        </w:numPr>
        <w:ind w:left="567" w:hanging="567"/>
        <w:rPr>
          <w:rFonts w:eastAsia="Times New Roman"/>
          <w:color w:val="000000" w:themeColor="text1"/>
          <w:szCs w:val="24"/>
          <w:lang w:val="en-ZA" w:eastAsia="en-GB"/>
        </w:rPr>
      </w:pPr>
      <w:r w:rsidRPr="004678AD">
        <w:rPr>
          <w:rFonts w:eastAsia="Times New Roman"/>
          <w:color w:val="000000" w:themeColor="text1"/>
          <w:szCs w:val="24"/>
          <w:lang w:val="en-ZA" w:eastAsia="en-GB"/>
        </w:rPr>
        <w:t>[48]</w:t>
      </w:r>
      <w:r w:rsidRPr="004678AD">
        <w:rPr>
          <w:rFonts w:eastAsia="Times New Roman"/>
          <w:color w:val="000000" w:themeColor="text1"/>
          <w:szCs w:val="24"/>
          <w:lang w:val="en-ZA" w:eastAsia="en-GB"/>
        </w:rPr>
        <w:tab/>
      </w:r>
      <w:r w:rsidR="00571CDA" w:rsidRPr="004678AD">
        <w:rPr>
          <w:rFonts w:eastAsia="Times New Roman"/>
          <w:color w:val="000000" w:themeColor="text1"/>
          <w:szCs w:val="24"/>
          <w:lang w:val="en-ZA" w:eastAsia="en-GB"/>
        </w:rPr>
        <w:t>I</w:t>
      </w:r>
      <w:r w:rsidR="00CB6795" w:rsidRPr="004678AD">
        <w:rPr>
          <w:rFonts w:eastAsia="Times New Roman"/>
          <w:color w:val="000000" w:themeColor="text1"/>
          <w:szCs w:val="24"/>
          <w:lang w:val="en-ZA" w:eastAsia="en-GB"/>
        </w:rPr>
        <w:t xml:space="preserve">n </w:t>
      </w:r>
      <w:r w:rsidR="00957200" w:rsidRPr="004678AD">
        <w:rPr>
          <w:rFonts w:eastAsia="Times New Roman"/>
          <w:color w:val="000000" w:themeColor="text1"/>
          <w:szCs w:val="24"/>
          <w:lang w:val="en-ZA" w:eastAsia="en-GB"/>
        </w:rPr>
        <w:t xml:space="preserve">1911, </w:t>
      </w:r>
      <w:r w:rsidR="00957200" w:rsidRPr="004678AD">
        <w:rPr>
          <w:color w:val="000000" w:themeColor="text1"/>
          <w:szCs w:val="24"/>
          <w:lang w:val="en-US"/>
        </w:rPr>
        <w:t xml:space="preserve">De Villiers JP explained in </w:t>
      </w:r>
      <w:r w:rsidR="00CB6795" w:rsidRPr="004678AD">
        <w:rPr>
          <w:i/>
          <w:iCs/>
          <w:color w:val="000000" w:themeColor="text1"/>
          <w:szCs w:val="24"/>
          <w:lang w:val="en-US"/>
        </w:rPr>
        <w:t>Union Government v Warneke</w:t>
      </w:r>
      <w:r w:rsidR="00127BC9" w:rsidRPr="004678AD">
        <w:rPr>
          <w:color w:val="000000" w:themeColor="text1"/>
          <w:szCs w:val="24"/>
          <w:lang w:val="en-US"/>
        </w:rPr>
        <w:t>,</w:t>
      </w:r>
      <w:r w:rsidR="00127BC9" w:rsidRPr="004678AD">
        <w:rPr>
          <w:rStyle w:val="FootnoteReference"/>
          <w:color w:val="000000" w:themeColor="text1"/>
          <w:szCs w:val="24"/>
          <w:lang w:val="en-US"/>
        </w:rPr>
        <w:footnoteReference w:id="51"/>
      </w:r>
      <w:r w:rsidR="00CB6795" w:rsidRPr="004678AD">
        <w:rPr>
          <w:color w:val="000000" w:themeColor="text1"/>
          <w:szCs w:val="24"/>
          <w:lang w:val="en-US"/>
        </w:rPr>
        <w:t xml:space="preserve"> </w:t>
      </w:r>
      <w:r w:rsidR="00C65724" w:rsidRPr="004678AD">
        <w:rPr>
          <w:color w:val="000000" w:themeColor="text1"/>
          <w:szCs w:val="24"/>
          <w:lang w:val="en-US"/>
        </w:rPr>
        <w:t xml:space="preserve">that the nature of the right </w:t>
      </w:r>
      <w:r w:rsidR="00A61814" w:rsidRPr="004678AD">
        <w:rPr>
          <w:color w:val="000000" w:themeColor="text1"/>
          <w:szCs w:val="24"/>
          <w:lang w:val="en-US"/>
        </w:rPr>
        <w:t>was not confined to “</w:t>
      </w:r>
      <w:r w:rsidR="00A61814" w:rsidRPr="004678AD">
        <w:rPr>
          <w:i/>
          <w:iCs/>
          <w:color w:val="000000" w:themeColor="text1"/>
          <w:szCs w:val="24"/>
          <w:lang w:val="en-US"/>
        </w:rPr>
        <w:t>maintenance</w:t>
      </w:r>
      <w:r w:rsidR="00A61814" w:rsidRPr="004678AD">
        <w:rPr>
          <w:color w:val="000000" w:themeColor="text1"/>
          <w:szCs w:val="24"/>
          <w:lang w:val="en-US"/>
        </w:rPr>
        <w:t>”</w:t>
      </w:r>
      <w:r w:rsidR="00CB6795" w:rsidRPr="004678AD">
        <w:rPr>
          <w:color w:val="000000" w:themeColor="text1"/>
          <w:szCs w:val="24"/>
          <w:lang w:val="en-US"/>
        </w:rPr>
        <w:t>:</w:t>
      </w:r>
    </w:p>
    <w:p w14:paraId="4D63EF00" w14:textId="1963E2A4" w:rsidR="00CB6795" w:rsidRPr="004678AD" w:rsidRDefault="00CB6795" w:rsidP="004678AD">
      <w:pPr>
        <w:pStyle w:val="JudgmentNumbered"/>
        <w:numPr>
          <w:ilvl w:val="0"/>
          <w:numId w:val="0"/>
        </w:numPr>
        <w:ind w:left="567"/>
        <w:rPr>
          <w:color w:val="000000" w:themeColor="text1"/>
          <w:szCs w:val="24"/>
          <w:lang w:val="en-US"/>
        </w:rPr>
      </w:pPr>
      <w:r w:rsidRPr="004678AD">
        <w:rPr>
          <w:color w:val="000000" w:themeColor="text1"/>
          <w:szCs w:val="24"/>
          <w:lang w:val="en-US"/>
        </w:rPr>
        <w:t>“It remains to consider whether the husband has an action for damages for the death of his wife through the culpa of another and whether the action should be confined to maintenance.  It is quite true that the authorities speak of victus, alimentatio, and so forth, but I can see no reason in principle why the right should be confined to that.”</w:t>
      </w:r>
      <w:r w:rsidRPr="004678AD">
        <w:rPr>
          <w:rStyle w:val="FootnoteReference"/>
          <w:color w:val="000000" w:themeColor="text1"/>
          <w:szCs w:val="24"/>
          <w:lang w:val="en-US"/>
        </w:rPr>
        <w:footnoteReference w:id="52"/>
      </w:r>
    </w:p>
    <w:p w14:paraId="3B99949C" w14:textId="7A45A39B" w:rsidR="00A41742"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[49]</w:t>
      </w:r>
      <w:r w:rsidRPr="004678AD">
        <w:rPr>
          <w:color w:val="000000" w:themeColor="text1"/>
          <w:szCs w:val="24"/>
        </w:rPr>
        <w:tab/>
      </w:r>
      <w:r w:rsidR="00AB6F99" w:rsidRPr="004678AD">
        <w:rPr>
          <w:color w:val="000000" w:themeColor="text1"/>
          <w:szCs w:val="24"/>
        </w:rPr>
        <w:t>I</w:t>
      </w:r>
      <w:r w:rsidR="003C47C0" w:rsidRPr="004678AD">
        <w:rPr>
          <w:color w:val="000000" w:themeColor="text1"/>
          <w:szCs w:val="24"/>
        </w:rPr>
        <w:t>n</w:t>
      </w:r>
      <w:r w:rsidR="009034C5" w:rsidRPr="004678AD">
        <w:rPr>
          <w:color w:val="000000" w:themeColor="text1"/>
          <w:szCs w:val="24"/>
        </w:rPr>
        <w:t xml:space="preserve"> </w:t>
      </w:r>
      <w:r w:rsidR="00E8356E" w:rsidRPr="004678AD">
        <w:rPr>
          <w:color w:val="000000" w:themeColor="text1"/>
          <w:szCs w:val="24"/>
        </w:rPr>
        <w:t xml:space="preserve">1923, </w:t>
      </w:r>
      <w:r w:rsidR="00A41742" w:rsidRPr="004678AD">
        <w:rPr>
          <w:i/>
          <w:color w:val="000000" w:themeColor="text1"/>
          <w:szCs w:val="24"/>
        </w:rPr>
        <w:t>Hulley v Cox</w:t>
      </w:r>
      <w:r w:rsidR="00A41742" w:rsidRPr="004678AD">
        <w:rPr>
          <w:rStyle w:val="FootnoteReference"/>
          <w:i/>
          <w:color w:val="000000" w:themeColor="text1"/>
          <w:szCs w:val="24"/>
        </w:rPr>
        <w:footnoteReference w:id="53"/>
      </w:r>
      <w:r w:rsidR="00A41742" w:rsidRPr="004678AD">
        <w:rPr>
          <w:color w:val="000000" w:themeColor="text1"/>
          <w:szCs w:val="24"/>
        </w:rPr>
        <w:t xml:space="preserve"> the court </w:t>
      </w:r>
      <w:r w:rsidR="00A47C10" w:rsidRPr="004678AD">
        <w:rPr>
          <w:color w:val="000000" w:themeColor="text1"/>
          <w:szCs w:val="24"/>
        </w:rPr>
        <w:t>held</w:t>
      </w:r>
      <w:r w:rsidR="0066103B" w:rsidRPr="004678AD">
        <w:rPr>
          <w:color w:val="000000" w:themeColor="text1"/>
          <w:szCs w:val="24"/>
        </w:rPr>
        <w:t xml:space="preserve"> that </w:t>
      </w:r>
      <w:r w:rsidR="0066103B" w:rsidRPr="004678AD">
        <w:rPr>
          <w:i/>
          <w:iCs/>
          <w:color w:val="000000" w:themeColor="text1"/>
          <w:szCs w:val="24"/>
        </w:rPr>
        <w:t>“allowance must be made for such factors as the possibility of re-marriage</w:t>
      </w:r>
      <w:r w:rsidR="0066103B" w:rsidRPr="004678AD">
        <w:rPr>
          <w:iCs/>
          <w:color w:val="000000" w:themeColor="text1"/>
          <w:szCs w:val="24"/>
        </w:rPr>
        <w:t>”</w:t>
      </w:r>
      <w:r w:rsidR="00A41742" w:rsidRPr="004678AD">
        <w:rPr>
          <w:color w:val="000000" w:themeColor="text1"/>
          <w:szCs w:val="24"/>
        </w:rPr>
        <w:t>:</w:t>
      </w:r>
    </w:p>
    <w:p w14:paraId="735F8C31" w14:textId="77777777" w:rsidR="00142D1C" w:rsidRPr="004678AD" w:rsidRDefault="00A41742" w:rsidP="004678AD">
      <w:pPr>
        <w:pStyle w:val="JudgmentNumbered"/>
        <w:numPr>
          <w:ilvl w:val="0"/>
          <w:numId w:val="0"/>
        </w:numPr>
        <w:ind w:left="567"/>
        <w:rPr>
          <w:color w:val="000000" w:themeColor="text1"/>
          <w:szCs w:val="24"/>
        </w:rPr>
      </w:pPr>
      <w:r w:rsidRPr="004678AD">
        <w:rPr>
          <w:color w:val="000000" w:themeColor="text1"/>
          <w:szCs w:val="24"/>
        </w:rPr>
        <w:t>“</w:t>
      </w:r>
      <w:r w:rsidRPr="004678AD">
        <w:rPr>
          <w:iCs/>
          <w:color w:val="000000" w:themeColor="text1"/>
          <w:szCs w:val="24"/>
        </w:rPr>
        <w:t>But the object being to compensate them for material loss, not to improve their material prospects, it follows that allowance must be made for such factors as the possibility of re-marriage.  Account must also be taken of eventualities which would have operated in any case</w:t>
      </w:r>
      <w:r w:rsidRPr="004678AD">
        <w:rPr>
          <w:color w:val="000000" w:themeColor="text1"/>
          <w:szCs w:val="24"/>
        </w:rPr>
        <w:t xml:space="preserve">.  A father for instance would cease to maintain </w:t>
      </w:r>
      <w:r w:rsidRPr="004678AD">
        <w:rPr>
          <w:color w:val="000000" w:themeColor="text1"/>
          <w:szCs w:val="24"/>
        </w:rPr>
        <w:lastRenderedPageBreak/>
        <w:t>a son who became self supporting, or a daughter who married; and allowance would have to be made for those contingencies in assessing compensation.”</w:t>
      </w:r>
      <w:r w:rsidRPr="004678AD">
        <w:rPr>
          <w:color w:val="000000" w:themeColor="text1"/>
          <w:szCs w:val="24"/>
          <w:vertAlign w:val="superscript"/>
        </w:rPr>
        <w:footnoteReference w:id="54"/>
      </w:r>
    </w:p>
    <w:p w14:paraId="4FE1EB89" w14:textId="4E7BB117" w:rsidR="00CA19D6"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[50]</w:t>
      </w:r>
      <w:r w:rsidRPr="004678AD">
        <w:rPr>
          <w:color w:val="000000" w:themeColor="text1"/>
          <w:szCs w:val="24"/>
        </w:rPr>
        <w:tab/>
      </w:r>
      <w:r w:rsidR="00CA19D6" w:rsidRPr="004678AD">
        <w:rPr>
          <w:color w:val="000000" w:themeColor="text1"/>
          <w:szCs w:val="24"/>
        </w:rPr>
        <w:t xml:space="preserve">In </w:t>
      </w:r>
      <w:r w:rsidR="002E36CD" w:rsidRPr="004678AD">
        <w:rPr>
          <w:color w:val="000000" w:themeColor="text1"/>
          <w:szCs w:val="24"/>
        </w:rPr>
        <w:t xml:space="preserve">1949, in </w:t>
      </w:r>
      <w:r w:rsidR="00CA19D6" w:rsidRPr="004678AD">
        <w:rPr>
          <w:i/>
          <w:iCs/>
          <w:color w:val="000000" w:themeColor="text1"/>
          <w:szCs w:val="24"/>
        </w:rPr>
        <w:t>Millward v Glaser</w:t>
      </w:r>
      <w:r w:rsidR="00F77A33" w:rsidRPr="004678AD">
        <w:rPr>
          <w:color w:val="000000" w:themeColor="text1"/>
          <w:szCs w:val="24"/>
        </w:rPr>
        <w:t>,</w:t>
      </w:r>
      <w:r w:rsidR="00F77A33" w:rsidRPr="004678AD">
        <w:rPr>
          <w:rStyle w:val="FootnoteReference"/>
          <w:color w:val="000000" w:themeColor="text1"/>
          <w:szCs w:val="24"/>
        </w:rPr>
        <w:footnoteReference w:id="55"/>
      </w:r>
      <w:r w:rsidR="00CA19D6" w:rsidRPr="004678AD">
        <w:rPr>
          <w:color w:val="000000" w:themeColor="text1"/>
          <w:szCs w:val="24"/>
        </w:rPr>
        <w:t xml:space="preserve">  Van den Heever JA </w:t>
      </w:r>
      <w:r w:rsidR="00FC564B" w:rsidRPr="004678AD">
        <w:rPr>
          <w:color w:val="000000" w:themeColor="text1"/>
          <w:szCs w:val="24"/>
        </w:rPr>
        <w:t>clarified that</w:t>
      </w:r>
      <w:r w:rsidR="00CA19D6" w:rsidRPr="004678AD">
        <w:rPr>
          <w:color w:val="000000" w:themeColor="text1"/>
          <w:szCs w:val="24"/>
        </w:rPr>
        <w:t>:</w:t>
      </w:r>
    </w:p>
    <w:p w14:paraId="1996B1A4" w14:textId="05FF6483" w:rsidR="00CA19D6" w:rsidRPr="004678AD" w:rsidRDefault="00CA19D6" w:rsidP="004678AD">
      <w:pPr>
        <w:pStyle w:val="JudgmentNumbered"/>
        <w:numPr>
          <w:ilvl w:val="0"/>
          <w:numId w:val="0"/>
        </w:numPr>
        <w:ind w:left="567"/>
        <w:rPr>
          <w:color w:val="000000" w:themeColor="text1"/>
          <w:szCs w:val="24"/>
        </w:rPr>
      </w:pPr>
      <w:r w:rsidRPr="004678AD">
        <w:rPr>
          <w:color w:val="000000" w:themeColor="text1"/>
          <w:szCs w:val="24"/>
        </w:rPr>
        <w:t>“While the husband lived he was bound to support plaintiff.  Her claim does not sound in anything so elastic and facultative as maintenance and expectations but in damages flowing from defendants wrongful conduct.”</w:t>
      </w:r>
    </w:p>
    <w:p w14:paraId="27569BB3" w14:textId="68C7A7C2" w:rsidR="005A0B1D" w:rsidRPr="004678AD" w:rsidRDefault="00EC2D71" w:rsidP="00EC2D71">
      <w:pPr>
        <w:pStyle w:val="JudgmentNumbered"/>
        <w:numPr>
          <w:ilvl w:val="0"/>
          <w:numId w:val="0"/>
        </w:numPr>
        <w:ind w:left="567" w:hanging="567"/>
        <w:rPr>
          <w:color w:val="000000" w:themeColor="text1"/>
          <w:szCs w:val="24"/>
          <w:lang w:val="en-ZA" w:eastAsia="en-GB"/>
        </w:rPr>
      </w:pPr>
      <w:r w:rsidRPr="004678AD">
        <w:rPr>
          <w:color w:val="000000" w:themeColor="text1"/>
          <w:szCs w:val="24"/>
          <w:lang w:val="en-ZA" w:eastAsia="en-GB"/>
        </w:rPr>
        <w:t>[51]</w:t>
      </w:r>
      <w:r w:rsidRPr="004678AD">
        <w:rPr>
          <w:color w:val="000000" w:themeColor="text1"/>
          <w:szCs w:val="24"/>
          <w:lang w:val="en-ZA" w:eastAsia="en-GB"/>
        </w:rPr>
        <w:tab/>
      </w:r>
      <w:r w:rsidR="007209FF" w:rsidRPr="004678AD">
        <w:rPr>
          <w:color w:val="000000" w:themeColor="text1"/>
          <w:szCs w:val="24"/>
          <w:lang w:val="en-US"/>
        </w:rPr>
        <w:t>I</w:t>
      </w:r>
      <w:r w:rsidR="006B4441" w:rsidRPr="004678AD">
        <w:rPr>
          <w:color w:val="000000" w:themeColor="text1"/>
          <w:szCs w:val="24"/>
          <w:lang w:val="en-US"/>
        </w:rPr>
        <w:t xml:space="preserve">n </w:t>
      </w:r>
      <w:r w:rsidR="00857A81" w:rsidRPr="004678AD">
        <w:rPr>
          <w:color w:val="000000" w:themeColor="text1"/>
          <w:szCs w:val="24"/>
          <w:lang w:val="en-US"/>
        </w:rPr>
        <w:t xml:space="preserve">1963, in </w:t>
      </w:r>
      <w:r w:rsidR="005A0B1D" w:rsidRPr="004678AD">
        <w:rPr>
          <w:i/>
          <w:iCs/>
          <w:color w:val="000000" w:themeColor="text1"/>
          <w:szCs w:val="24"/>
          <w:lang w:val="en-US"/>
        </w:rPr>
        <w:t>Legal Insurance Company Ltd v Botes</w:t>
      </w:r>
      <w:r w:rsidR="006B4441" w:rsidRPr="004678AD">
        <w:rPr>
          <w:rStyle w:val="FootnoteReference"/>
          <w:color w:val="000000" w:themeColor="text1"/>
          <w:szCs w:val="24"/>
          <w:lang w:val="en-US"/>
        </w:rPr>
        <w:footnoteReference w:id="56"/>
      </w:r>
      <w:r w:rsidR="005A0B1D" w:rsidRPr="004678AD">
        <w:rPr>
          <w:color w:val="000000" w:themeColor="text1"/>
          <w:szCs w:val="24"/>
          <w:lang w:val="en-US"/>
        </w:rPr>
        <w:t xml:space="preserve"> Holmes JA </w:t>
      </w:r>
      <w:r w:rsidR="008C25FA" w:rsidRPr="004678AD">
        <w:rPr>
          <w:color w:val="000000" w:themeColor="text1"/>
          <w:szCs w:val="24"/>
          <w:lang w:val="en-US"/>
        </w:rPr>
        <w:t>explained</w:t>
      </w:r>
      <w:r w:rsidR="005A0B1D" w:rsidRPr="004678AD">
        <w:rPr>
          <w:color w:val="000000" w:themeColor="text1"/>
          <w:szCs w:val="24"/>
          <w:lang w:val="en-US"/>
        </w:rPr>
        <w:t xml:space="preserve"> that </w:t>
      </w:r>
      <w:r w:rsidR="007209FF" w:rsidRPr="004678AD">
        <w:rPr>
          <w:color w:val="000000" w:themeColor="text1"/>
          <w:szCs w:val="24"/>
          <w:lang w:val="en-US"/>
        </w:rPr>
        <w:t xml:space="preserve">since </w:t>
      </w:r>
      <w:r w:rsidR="005A0B1D" w:rsidRPr="004678AD">
        <w:rPr>
          <w:color w:val="000000" w:themeColor="text1"/>
          <w:szCs w:val="24"/>
          <w:lang w:val="en-ZA" w:eastAsia="en-GB"/>
        </w:rPr>
        <w:t>the right is based on a legally enforceable claim for the loss of “</w:t>
      </w:r>
      <w:r w:rsidR="005A0B1D" w:rsidRPr="004678AD">
        <w:rPr>
          <w:i/>
          <w:iCs/>
          <w:color w:val="000000" w:themeColor="text1"/>
          <w:szCs w:val="24"/>
          <w:lang w:val="en-ZA" w:eastAsia="en-GB"/>
        </w:rPr>
        <w:t>maintenance”</w:t>
      </w:r>
      <w:r w:rsidR="005A0B1D" w:rsidRPr="004678AD">
        <w:rPr>
          <w:rStyle w:val="FootnoteReference"/>
          <w:rFonts w:eastAsia="Times New Roman"/>
          <w:color w:val="000000" w:themeColor="text1"/>
          <w:szCs w:val="24"/>
          <w:lang w:val="en-ZA" w:eastAsia="en-GB"/>
        </w:rPr>
        <w:footnoteReference w:id="57"/>
      </w:r>
      <w:r w:rsidR="005A0B1D" w:rsidRPr="004678AD">
        <w:rPr>
          <w:color w:val="000000" w:themeColor="text1"/>
          <w:szCs w:val="24"/>
          <w:lang w:val="en-ZA" w:eastAsia="en-GB"/>
        </w:rPr>
        <w:t xml:space="preserve"> </w:t>
      </w:r>
      <w:r w:rsidR="007209FF" w:rsidRPr="004678AD">
        <w:rPr>
          <w:color w:val="000000" w:themeColor="text1"/>
          <w:szCs w:val="24"/>
          <w:lang w:val="en-ZA" w:eastAsia="en-GB"/>
        </w:rPr>
        <w:t>a</w:t>
      </w:r>
      <w:r w:rsidR="005A0B1D" w:rsidRPr="004678AD">
        <w:rPr>
          <w:color w:val="000000" w:themeColor="text1"/>
          <w:szCs w:val="24"/>
          <w:lang w:val="en-ZA" w:eastAsia="en-GB"/>
        </w:rPr>
        <w:t>s such “</w:t>
      </w:r>
      <w:r w:rsidR="005A0B1D" w:rsidRPr="004678AD">
        <w:rPr>
          <w:i/>
          <w:iCs/>
          <w:color w:val="000000" w:themeColor="text1"/>
          <w:szCs w:val="24"/>
          <w:lang w:val="en-ZA" w:eastAsia="en-GB"/>
        </w:rPr>
        <w:t>marriage prospects are relevant because marriage would reinstate her right of support</w:t>
      </w:r>
      <w:r w:rsidR="00CA3403" w:rsidRPr="004678AD">
        <w:rPr>
          <w:i/>
          <w:iCs/>
          <w:color w:val="000000" w:themeColor="text1"/>
          <w:szCs w:val="24"/>
          <w:lang w:val="en-ZA" w:eastAsia="en-GB"/>
        </w:rPr>
        <w:t>.</w:t>
      </w:r>
      <w:r w:rsidR="005A0B1D" w:rsidRPr="004678AD">
        <w:rPr>
          <w:color w:val="000000" w:themeColor="text1"/>
          <w:szCs w:val="24"/>
          <w:lang w:val="en-ZA" w:eastAsia="en-GB"/>
        </w:rPr>
        <w:t>”</w:t>
      </w:r>
      <w:r w:rsidR="005A0B1D" w:rsidRPr="004678AD">
        <w:rPr>
          <w:rStyle w:val="FootnoteReference"/>
          <w:rFonts w:eastAsia="Times New Roman"/>
          <w:color w:val="000000" w:themeColor="text1"/>
          <w:szCs w:val="24"/>
          <w:lang w:val="en-ZA" w:eastAsia="en-GB"/>
        </w:rPr>
        <w:footnoteReference w:id="58"/>
      </w:r>
      <w:r w:rsidR="005A0B1D" w:rsidRPr="004678AD">
        <w:rPr>
          <w:color w:val="000000" w:themeColor="text1"/>
          <w:szCs w:val="24"/>
          <w:lang w:val="en-ZA" w:eastAsia="en-GB"/>
        </w:rPr>
        <w:t xml:space="preserve">  </w:t>
      </w:r>
    </w:p>
    <w:p w14:paraId="27611662" w14:textId="0D4D47C9" w:rsidR="003B70EA" w:rsidRPr="004678AD" w:rsidRDefault="00EC2D71" w:rsidP="00EC2D71">
      <w:pPr>
        <w:pStyle w:val="JudgmentNumbered"/>
        <w:numPr>
          <w:ilvl w:val="0"/>
          <w:numId w:val="0"/>
        </w:numPr>
        <w:ind w:left="567" w:hanging="567"/>
        <w:rPr>
          <w:color w:val="000000" w:themeColor="text1"/>
          <w:szCs w:val="24"/>
          <w:lang w:val="en-ZA"/>
        </w:rPr>
      </w:pPr>
      <w:r w:rsidRPr="004678AD">
        <w:rPr>
          <w:color w:val="000000" w:themeColor="text1"/>
          <w:szCs w:val="24"/>
          <w:lang w:val="en-ZA"/>
        </w:rPr>
        <w:t>[52]</w:t>
      </w:r>
      <w:r w:rsidRPr="004678AD">
        <w:rPr>
          <w:color w:val="000000" w:themeColor="text1"/>
          <w:szCs w:val="24"/>
          <w:lang w:val="en-ZA"/>
        </w:rPr>
        <w:tab/>
      </w:r>
      <w:r w:rsidR="0060248A" w:rsidRPr="004678AD">
        <w:rPr>
          <w:color w:val="000000" w:themeColor="text1"/>
          <w:szCs w:val="24"/>
          <w:lang w:val="en-ZA"/>
        </w:rPr>
        <w:t>In 1965,</w:t>
      </w:r>
      <w:r w:rsidR="00C76299" w:rsidRPr="004678AD">
        <w:rPr>
          <w:color w:val="000000" w:themeColor="text1"/>
          <w:szCs w:val="24"/>
          <w:lang w:val="en-ZA"/>
        </w:rPr>
        <w:t xml:space="preserve"> </w:t>
      </w:r>
      <w:r w:rsidR="008C46F7" w:rsidRPr="004678AD">
        <w:rPr>
          <w:color w:val="000000" w:themeColor="text1"/>
          <w:szCs w:val="24"/>
          <w:lang w:val="en-ZA"/>
        </w:rPr>
        <w:t>Vieyra J conclude</w:t>
      </w:r>
      <w:r w:rsidR="0060248A" w:rsidRPr="004678AD">
        <w:rPr>
          <w:color w:val="000000" w:themeColor="text1"/>
          <w:szCs w:val="24"/>
          <w:lang w:val="en-ZA"/>
        </w:rPr>
        <w:t>d</w:t>
      </w:r>
      <w:r w:rsidR="00CA3403" w:rsidRPr="004678AD">
        <w:rPr>
          <w:color w:val="000000" w:themeColor="text1"/>
          <w:szCs w:val="24"/>
          <w:lang w:val="en-ZA"/>
        </w:rPr>
        <w:t xml:space="preserve"> in </w:t>
      </w:r>
      <w:r w:rsidR="00C76299" w:rsidRPr="004678AD">
        <w:rPr>
          <w:i/>
          <w:iCs/>
          <w:color w:val="000000" w:themeColor="text1"/>
          <w:szCs w:val="24"/>
          <w:lang w:val="en-ZA"/>
        </w:rPr>
        <w:t>Ongevallekommissaris v Santam Verseekeringsmaatskapy Bpk</w:t>
      </w:r>
      <w:r w:rsidR="007A126F" w:rsidRPr="004678AD">
        <w:rPr>
          <w:rStyle w:val="FootnoteReference"/>
          <w:color w:val="000000" w:themeColor="text1"/>
          <w:szCs w:val="24"/>
          <w:lang w:val="en-ZA"/>
        </w:rPr>
        <w:footnoteReference w:id="59"/>
      </w:r>
      <w:r w:rsidR="00C76299" w:rsidRPr="004678AD">
        <w:rPr>
          <w:color w:val="000000" w:themeColor="text1"/>
          <w:szCs w:val="24"/>
          <w:lang w:val="en-ZA"/>
        </w:rPr>
        <w:t xml:space="preserve"> that:</w:t>
      </w:r>
    </w:p>
    <w:p w14:paraId="33131F7C" w14:textId="34471E45" w:rsidR="00C76299" w:rsidRPr="004678AD" w:rsidRDefault="00C76299" w:rsidP="004678AD">
      <w:pPr>
        <w:pStyle w:val="JudgmentNumbered"/>
        <w:numPr>
          <w:ilvl w:val="0"/>
          <w:numId w:val="0"/>
        </w:numPr>
        <w:ind w:left="567"/>
        <w:rPr>
          <w:color w:val="000000" w:themeColor="text1"/>
          <w:szCs w:val="24"/>
          <w:lang w:val="en-ZA"/>
        </w:rPr>
      </w:pPr>
      <w:r w:rsidRPr="004678AD">
        <w:rPr>
          <w:color w:val="000000" w:themeColor="text1"/>
          <w:szCs w:val="24"/>
          <w:lang w:val="en-ZA"/>
        </w:rPr>
        <w:t>“What a wife loses as a result of the death of her husband is the support which the deceased would have been able to afford and would probably have afforded his wife had he not been killed (cf. Hulley v Cox, supra at pp 213-214.  It derives from the marital relationship.”</w:t>
      </w:r>
      <w:r w:rsidRPr="004678AD">
        <w:rPr>
          <w:rStyle w:val="FootnoteReference"/>
          <w:rFonts w:eastAsia="Times New Roman"/>
          <w:color w:val="000000" w:themeColor="text1"/>
          <w:szCs w:val="24"/>
          <w:lang w:val="en-ZA" w:eastAsia="en-GB"/>
        </w:rPr>
        <w:footnoteReference w:id="60"/>
      </w:r>
      <w:r w:rsidRPr="004678AD">
        <w:rPr>
          <w:color w:val="000000" w:themeColor="text1"/>
          <w:szCs w:val="24"/>
          <w:lang w:val="en-ZA"/>
        </w:rPr>
        <w:t xml:space="preserve">   </w:t>
      </w:r>
    </w:p>
    <w:p w14:paraId="512ECA35" w14:textId="04B0CA4B" w:rsidR="002C4A83" w:rsidRPr="004678AD" w:rsidRDefault="00EC2D71" w:rsidP="00EC2D71">
      <w:pPr>
        <w:pStyle w:val="JudgmentNumbered"/>
        <w:numPr>
          <w:ilvl w:val="0"/>
          <w:numId w:val="0"/>
        </w:numPr>
        <w:ind w:left="567" w:hanging="567"/>
        <w:rPr>
          <w:color w:val="000000" w:themeColor="text1"/>
          <w:szCs w:val="24"/>
          <w:lang w:val="en-ZA"/>
        </w:rPr>
      </w:pPr>
      <w:r w:rsidRPr="004678AD">
        <w:rPr>
          <w:color w:val="000000" w:themeColor="text1"/>
          <w:szCs w:val="24"/>
          <w:lang w:val="en-ZA"/>
        </w:rPr>
        <w:t>[53]</w:t>
      </w:r>
      <w:r w:rsidRPr="004678AD">
        <w:rPr>
          <w:color w:val="000000" w:themeColor="text1"/>
          <w:szCs w:val="24"/>
          <w:lang w:val="en-ZA"/>
        </w:rPr>
        <w:tab/>
      </w:r>
      <w:r w:rsidR="00694F64" w:rsidRPr="004678AD">
        <w:rPr>
          <w:color w:val="000000" w:themeColor="text1"/>
          <w:szCs w:val="24"/>
          <w:lang w:val="en-US"/>
        </w:rPr>
        <w:t>Later i</w:t>
      </w:r>
      <w:r w:rsidR="00C57205" w:rsidRPr="004678AD">
        <w:rPr>
          <w:color w:val="000000" w:themeColor="text1"/>
          <w:szCs w:val="24"/>
          <w:lang w:val="en-US"/>
        </w:rPr>
        <w:t xml:space="preserve">n </w:t>
      </w:r>
      <w:r w:rsidR="00150F1C" w:rsidRPr="004678AD">
        <w:rPr>
          <w:color w:val="000000" w:themeColor="text1"/>
          <w:szCs w:val="24"/>
          <w:lang w:val="en-US"/>
        </w:rPr>
        <w:t xml:space="preserve">1965 </w:t>
      </w:r>
      <w:r w:rsidR="00FE1600" w:rsidRPr="004678AD">
        <w:rPr>
          <w:color w:val="000000" w:themeColor="text1"/>
          <w:szCs w:val="24"/>
          <w:lang w:val="en-US"/>
        </w:rPr>
        <w:t xml:space="preserve">Holmes JA </w:t>
      </w:r>
      <w:r w:rsidR="00194190" w:rsidRPr="004678AD">
        <w:rPr>
          <w:color w:val="000000" w:themeColor="text1"/>
          <w:szCs w:val="24"/>
          <w:lang w:val="en-US"/>
        </w:rPr>
        <w:t xml:space="preserve">in </w:t>
      </w:r>
      <w:r w:rsidR="001F3563" w:rsidRPr="004678AD">
        <w:rPr>
          <w:i/>
          <w:iCs/>
          <w:color w:val="000000" w:themeColor="text1"/>
          <w:szCs w:val="24"/>
          <w:lang w:val="en-US"/>
        </w:rPr>
        <w:t>Peri-Urban Areas Health Board v Munarin</w:t>
      </w:r>
      <w:r w:rsidR="00F71E14" w:rsidRPr="004678AD">
        <w:rPr>
          <w:rStyle w:val="FootnoteReference"/>
          <w:color w:val="000000" w:themeColor="text1"/>
          <w:szCs w:val="24"/>
          <w:lang w:val="en-US"/>
        </w:rPr>
        <w:footnoteReference w:id="61"/>
      </w:r>
      <w:r w:rsidR="00DB5240" w:rsidRPr="004678AD">
        <w:rPr>
          <w:i/>
          <w:iCs/>
          <w:color w:val="000000" w:themeColor="text1"/>
          <w:szCs w:val="24"/>
          <w:lang w:val="en-US"/>
        </w:rPr>
        <w:t xml:space="preserve"> </w:t>
      </w:r>
      <w:r w:rsidR="00694F64" w:rsidRPr="004678AD">
        <w:rPr>
          <w:color w:val="000000" w:themeColor="text1"/>
          <w:szCs w:val="24"/>
          <w:lang w:val="en-US"/>
        </w:rPr>
        <w:t xml:space="preserve">agreed </w:t>
      </w:r>
      <w:r w:rsidR="001608B0" w:rsidRPr="004678AD">
        <w:rPr>
          <w:color w:val="000000" w:themeColor="text1"/>
          <w:szCs w:val="24"/>
          <w:lang w:val="en-US"/>
        </w:rPr>
        <w:t>that</w:t>
      </w:r>
      <w:r w:rsidR="001455CD" w:rsidRPr="004678AD">
        <w:rPr>
          <w:color w:val="000000" w:themeColor="text1"/>
          <w:szCs w:val="24"/>
          <w:lang w:val="en-US"/>
        </w:rPr>
        <w:t xml:space="preserve"> </w:t>
      </w:r>
      <w:r w:rsidR="001608B0" w:rsidRPr="004678AD">
        <w:rPr>
          <w:color w:val="000000" w:themeColor="text1"/>
          <w:szCs w:val="24"/>
          <w:lang w:val="en-US"/>
        </w:rPr>
        <w:t>“</w:t>
      </w:r>
      <w:r w:rsidR="001608B0" w:rsidRPr="004678AD">
        <w:rPr>
          <w:i/>
          <w:iCs/>
          <w:color w:val="000000" w:themeColor="text1"/>
          <w:szCs w:val="24"/>
        </w:rPr>
        <w:t xml:space="preserve">Marriage prospects are relevant because marriage would reinstate her right of support.”  </w:t>
      </w:r>
      <w:r w:rsidR="00473353" w:rsidRPr="004678AD">
        <w:rPr>
          <w:color w:val="000000" w:themeColor="text1"/>
          <w:szCs w:val="24"/>
        </w:rPr>
        <w:t>Holmes JA</w:t>
      </w:r>
      <w:r w:rsidR="00306556" w:rsidRPr="004678AD">
        <w:rPr>
          <w:color w:val="000000" w:themeColor="text1"/>
          <w:szCs w:val="24"/>
        </w:rPr>
        <w:t xml:space="preserve"> </w:t>
      </w:r>
      <w:r w:rsidR="00473353" w:rsidRPr="004678AD">
        <w:rPr>
          <w:color w:val="000000" w:themeColor="text1"/>
          <w:szCs w:val="24"/>
        </w:rPr>
        <w:t>held</w:t>
      </w:r>
      <w:r w:rsidR="00306556" w:rsidRPr="004678AD">
        <w:rPr>
          <w:color w:val="000000" w:themeColor="text1"/>
          <w:szCs w:val="24"/>
        </w:rPr>
        <w:t>:</w:t>
      </w:r>
    </w:p>
    <w:p w14:paraId="5D31652B" w14:textId="251572EE" w:rsidR="00320881" w:rsidRPr="004678AD" w:rsidRDefault="00824BCC" w:rsidP="004678AD">
      <w:pPr>
        <w:pStyle w:val="JudgmentNumbered"/>
        <w:numPr>
          <w:ilvl w:val="0"/>
          <w:numId w:val="0"/>
        </w:numPr>
        <w:ind w:left="567"/>
        <w:rPr>
          <w:color w:val="000000" w:themeColor="text1"/>
          <w:szCs w:val="24"/>
        </w:rPr>
      </w:pPr>
      <w:r w:rsidRPr="004678AD">
        <w:rPr>
          <w:color w:val="000000" w:themeColor="text1"/>
          <w:szCs w:val="24"/>
        </w:rPr>
        <w:t>“</w:t>
      </w:r>
      <w:r w:rsidR="00320881" w:rsidRPr="004678AD">
        <w:rPr>
          <w:color w:val="000000" w:themeColor="text1"/>
          <w:szCs w:val="24"/>
        </w:rPr>
        <w:t xml:space="preserve">The propriety of such a deduction was left open by this Court in Legal Insurance Co. Ltd. v. Botes, 1963 (1) S.A. 608 (A.D.) at pp. 618E to 619A. </w:t>
      </w:r>
      <w:r w:rsidR="004463C9" w:rsidRPr="004678AD">
        <w:rPr>
          <w:color w:val="000000" w:themeColor="text1"/>
          <w:szCs w:val="24"/>
        </w:rPr>
        <w:t xml:space="preserve"> </w:t>
      </w:r>
      <w:r w:rsidR="00320881" w:rsidRPr="004678AD">
        <w:rPr>
          <w:color w:val="000000" w:themeColor="text1"/>
          <w:szCs w:val="24"/>
        </w:rPr>
        <w:t xml:space="preserve">Thereafter the point fell to be decided in Ongevallekommissaris v. Santam Versekeringsmaatskappy Bpk., 1965 (2) S.A. 193 (T) at pp. 200 et seq. VIEYRA, J., came to the conclusion that the defendant was not entitled to seek a reduction </w:t>
      </w:r>
      <w:r w:rsidR="00320881" w:rsidRPr="004678AD">
        <w:rPr>
          <w:color w:val="000000" w:themeColor="text1"/>
          <w:szCs w:val="24"/>
        </w:rPr>
        <w:lastRenderedPageBreak/>
        <w:t xml:space="preserve">of the damages by subtracting the capitalised value of the earnings and potential earnings of the widow. </w:t>
      </w:r>
      <w:r w:rsidR="004E2464" w:rsidRPr="004678AD">
        <w:rPr>
          <w:color w:val="000000" w:themeColor="text1"/>
          <w:szCs w:val="24"/>
        </w:rPr>
        <w:t xml:space="preserve"> </w:t>
      </w:r>
      <w:r w:rsidR="00320881" w:rsidRPr="004678AD">
        <w:rPr>
          <w:color w:val="000000" w:themeColor="text1"/>
          <w:szCs w:val="24"/>
        </w:rPr>
        <w:t xml:space="preserve">I agree with the reasoning and conclusion of VIEYRA, J., on the point. </w:t>
      </w:r>
      <w:r w:rsidR="00373BB7" w:rsidRPr="004678AD">
        <w:rPr>
          <w:color w:val="000000" w:themeColor="text1"/>
          <w:szCs w:val="24"/>
        </w:rPr>
        <w:t xml:space="preserve"> </w:t>
      </w:r>
      <w:r w:rsidR="00320881" w:rsidRPr="004678AD">
        <w:rPr>
          <w:color w:val="000000" w:themeColor="text1"/>
          <w:szCs w:val="24"/>
        </w:rPr>
        <w:t>One does not find in the Roman</w:t>
      </w:r>
      <w:r w:rsidR="004463C9" w:rsidRPr="004678AD">
        <w:rPr>
          <w:color w:val="000000" w:themeColor="text1"/>
          <w:szCs w:val="24"/>
        </w:rPr>
        <w:t xml:space="preserve"> </w:t>
      </w:r>
      <w:r w:rsidR="00320881" w:rsidRPr="004678AD">
        <w:rPr>
          <w:color w:val="000000" w:themeColor="text1"/>
          <w:szCs w:val="24"/>
        </w:rPr>
        <w:t>Dutch</w:t>
      </w:r>
      <w:r w:rsidRPr="004678AD">
        <w:rPr>
          <w:color w:val="000000" w:themeColor="text1"/>
          <w:szCs w:val="24"/>
        </w:rPr>
        <w:t xml:space="preserve"> </w:t>
      </w:r>
      <w:r w:rsidR="00320881" w:rsidRPr="004678AD">
        <w:rPr>
          <w:color w:val="000000" w:themeColor="text1"/>
          <w:szCs w:val="24"/>
        </w:rPr>
        <w:t>books any reference to deductions for the widow's earnings or earning capacity; see for example, Voet, 9.2.11, Van Leeuwen, 4.34.14, Grotius (Maasdorp's translation) p. 318; van der Linden (Juta's translation) p. 151.</w:t>
      </w:r>
      <w:r w:rsidR="00373BB7" w:rsidRPr="004678AD">
        <w:rPr>
          <w:color w:val="000000" w:themeColor="text1"/>
          <w:szCs w:val="24"/>
        </w:rPr>
        <w:t xml:space="preserve"> </w:t>
      </w:r>
      <w:r w:rsidR="00320881" w:rsidRPr="004678AD">
        <w:rPr>
          <w:color w:val="000000" w:themeColor="text1"/>
          <w:szCs w:val="24"/>
        </w:rPr>
        <w:t xml:space="preserve"> No doubt, however, in those days the</w:t>
      </w:r>
      <w:r w:rsidRPr="004678AD">
        <w:rPr>
          <w:color w:val="000000" w:themeColor="text1"/>
          <w:szCs w:val="24"/>
        </w:rPr>
        <w:t xml:space="preserve"> </w:t>
      </w:r>
      <w:r w:rsidR="00320881" w:rsidRPr="004678AD">
        <w:rPr>
          <w:color w:val="000000" w:themeColor="text1"/>
          <w:szCs w:val="24"/>
        </w:rPr>
        <w:t>avenues of employment open to a woman were limited: household activities such as</w:t>
      </w:r>
      <w:r w:rsidR="001112D6" w:rsidRPr="004678AD">
        <w:rPr>
          <w:color w:val="000000" w:themeColor="text1"/>
          <w:szCs w:val="24"/>
        </w:rPr>
        <w:t xml:space="preserve"> </w:t>
      </w:r>
      <w:r w:rsidR="00320881" w:rsidRPr="004678AD">
        <w:rPr>
          <w:color w:val="000000" w:themeColor="text1"/>
          <w:szCs w:val="24"/>
        </w:rPr>
        <w:t>spinning, baking, and brewing come more readily to mind, save possibly where she was a public trader; compare</w:t>
      </w:r>
      <w:r w:rsidR="001112D6" w:rsidRPr="004678AD">
        <w:rPr>
          <w:color w:val="000000" w:themeColor="text1"/>
          <w:szCs w:val="24"/>
        </w:rPr>
        <w:t xml:space="preserve"> </w:t>
      </w:r>
      <w:r w:rsidR="00320881" w:rsidRPr="004678AD">
        <w:rPr>
          <w:color w:val="000000" w:themeColor="text1"/>
          <w:szCs w:val="24"/>
        </w:rPr>
        <w:t xml:space="preserve">Arntzenius Institutiones (van den Heever's translation) p. 186. </w:t>
      </w:r>
      <w:r w:rsidR="00D552A5" w:rsidRPr="004678AD">
        <w:rPr>
          <w:color w:val="000000" w:themeColor="text1"/>
          <w:szCs w:val="24"/>
        </w:rPr>
        <w:t xml:space="preserve"> </w:t>
      </w:r>
      <w:r w:rsidR="00320881" w:rsidRPr="004678AD">
        <w:rPr>
          <w:color w:val="000000" w:themeColor="text1"/>
          <w:szCs w:val="24"/>
        </w:rPr>
        <w:t>The emancipation of women in business is a modern</w:t>
      </w:r>
      <w:r w:rsidR="001112D6" w:rsidRPr="004678AD">
        <w:rPr>
          <w:color w:val="000000" w:themeColor="text1"/>
          <w:szCs w:val="24"/>
        </w:rPr>
        <w:t xml:space="preserve"> </w:t>
      </w:r>
      <w:r w:rsidR="00320881" w:rsidRPr="004678AD">
        <w:rPr>
          <w:color w:val="000000" w:themeColor="text1"/>
          <w:szCs w:val="24"/>
        </w:rPr>
        <w:t>development.</w:t>
      </w:r>
      <w:r w:rsidR="00D552A5" w:rsidRPr="004678AD">
        <w:rPr>
          <w:color w:val="000000" w:themeColor="text1"/>
          <w:szCs w:val="24"/>
        </w:rPr>
        <w:t xml:space="preserve"> </w:t>
      </w:r>
      <w:r w:rsidR="00320881" w:rsidRPr="004678AD">
        <w:rPr>
          <w:color w:val="000000" w:themeColor="text1"/>
          <w:szCs w:val="24"/>
        </w:rPr>
        <w:t xml:space="preserve"> The Courts can of course adapt the remedy to the conditions of modern life, but only "so far as that</w:t>
      </w:r>
      <w:r w:rsidR="001112D6" w:rsidRPr="004678AD">
        <w:rPr>
          <w:color w:val="000000" w:themeColor="text1"/>
          <w:szCs w:val="24"/>
        </w:rPr>
        <w:t xml:space="preserve"> </w:t>
      </w:r>
      <w:r w:rsidR="00320881" w:rsidRPr="004678AD">
        <w:rPr>
          <w:color w:val="000000" w:themeColor="text1"/>
          <w:szCs w:val="24"/>
        </w:rPr>
        <w:t>can be done without doing violence to its principles"</w:t>
      </w:r>
      <w:r w:rsidR="001112D6" w:rsidRPr="004678AD">
        <w:rPr>
          <w:color w:val="000000" w:themeColor="text1"/>
          <w:szCs w:val="24"/>
        </w:rPr>
        <w:t xml:space="preserve"> </w:t>
      </w:r>
      <w:r w:rsidR="00320881" w:rsidRPr="004678AD">
        <w:rPr>
          <w:color w:val="000000" w:themeColor="text1"/>
          <w:szCs w:val="24"/>
        </w:rPr>
        <w:t>per</w:t>
      </w:r>
      <w:r w:rsidR="001112D6" w:rsidRPr="004678AD">
        <w:rPr>
          <w:color w:val="000000" w:themeColor="text1"/>
          <w:szCs w:val="24"/>
        </w:rPr>
        <w:t xml:space="preserve"> </w:t>
      </w:r>
      <w:r w:rsidR="00320881" w:rsidRPr="004678AD">
        <w:rPr>
          <w:color w:val="000000" w:themeColor="text1"/>
          <w:szCs w:val="24"/>
        </w:rPr>
        <w:t xml:space="preserve">INNES, J.A., in Union </w:t>
      </w:r>
      <w:r w:rsidR="00F20088" w:rsidRPr="004678AD">
        <w:rPr>
          <w:color w:val="000000" w:themeColor="text1"/>
          <w:szCs w:val="24"/>
        </w:rPr>
        <w:t xml:space="preserve">Government v. Warneke, 1911 A.D. 657 at p. 665. </w:t>
      </w:r>
      <w:r w:rsidR="00D552A5" w:rsidRPr="004678AD">
        <w:rPr>
          <w:color w:val="000000" w:themeColor="text1"/>
          <w:szCs w:val="24"/>
        </w:rPr>
        <w:t xml:space="preserve"> </w:t>
      </w:r>
      <w:r w:rsidR="00F20088" w:rsidRPr="004678AD">
        <w:rPr>
          <w:color w:val="000000" w:themeColor="text1"/>
          <w:szCs w:val="24"/>
        </w:rPr>
        <w:t>The general principle of the remedy in question</w:t>
      </w:r>
      <w:r w:rsidRPr="004678AD">
        <w:rPr>
          <w:color w:val="000000" w:themeColor="text1"/>
          <w:szCs w:val="24"/>
        </w:rPr>
        <w:t xml:space="preserve"> </w:t>
      </w:r>
      <w:r w:rsidR="00F20088" w:rsidRPr="004678AD">
        <w:rPr>
          <w:color w:val="000000" w:themeColor="text1"/>
          <w:szCs w:val="24"/>
        </w:rPr>
        <w:t>"aims at placing them (the dependants) in as good a position, as regards maintenance, as they would have been in if the deceased had not been killed"</w:t>
      </w:r>
      <w:r w:rsidR="0049649F" w:rsidRPr="004678AD">
        <w:rPr>
          <w:color w:val="000000" w:themeColor="text1"/>
          <w:szCs w:val="24"/>
        </w:rPr>
        <w:t xml:space="preserve"> </w:t>
      </w:r>
      <w:r w:rsidR="00F20088" w:rsidRPr="004678AD">
        <w:rPr>
          <w:color w:val="000000" w:themeColor="text1"/>
          <w:szCs w:val="24"/>
        </w:rPr>
        <w:t>Botes's</w:t>
      </w:r>
      <w:r w:rsidR="0049649F" w:rsidRPr="004678AD">
        <w:rPr>
          <w:color w:val="000000" w:themeColor="text1"/>
          <w:szCs w:val="24"/>
        </w:rPr>
        <w:t xml:space="preserve"> </w:t>
      </w:r>
      <w:r w:rsidR="00F20088" w:rsidRPr="004678AD">
        <w:rPr>
          <w:color w:val="000000" w:themeColor="text1"/>
          <w:szCs w:val="24"/>
        </w:rPr>
        <w:t xml:space="preserve">case, supra at p. 614 (E). </w:t>
      </w:r>
      <w:r w:rsidR="00D552A5" w:rsidRPr="004678AD">
        <w:rPr>
          <w:color w:val="000000" w:themeColor="text1"/>
          <w:szCs w:val="24"/>
        </w:rPr>
        <w:t xml:space="preserve"> </w:t>
      </w:r>
      <w:r w:rsidR="00F20088" w:rsidRPr="004678AD">
        <w:rPr>
          <w:color w:val="000000" w:themeColor="text1"/>
          <w:szCs w:val="24"/>
        </w:rPr>
        <w:t>A widow is therefore entitled to compensation for loss of maintenance</w:t>
      </w:r>
      <w:r w:rsidR="0049649F" w:rsidRPr="004678AD">
        <w:rPr>
          <w:color w:val="000000" w:themeColor="text1"/>
          <w:szCs w:val="24"/>
        </w:rPr>
        <w:t xml:space="preserve"> </w:t>
      </w:r>
      <w:r w:rsidR="00F20088" w:rsidRPr="004678AD">
        <w:rPr>
          <w:color w:val="000000" w:themeColor="text1"/>
          <w:szCs w:val="24"/>
        </w:rPr>
        <w:t>consequent upon the death of her husband, but any pecuniary benefits, similarly consequent, must be taken into</w:t>
      </w:r>
      <w:r w:rsidR="0049649F" w:rsidRPr="004678AD">
        <w:rPr>
          <w:color w:val="000000" w:themeColor="text1"/>
          <w:szCs w:val="24"/>
        </w:rPr>
        <w:t xml:space="preserve"> </w:t>
      </w:r>
      <w:r w:rsidR="00F20088" w:rsidRPr="004678AD">
        <w:rPr>
          <w:color w:val="000000" w:themeColor="text1"/>
          <w:szCs w:val="24"/>
        </w:rPr>
        <w:t xml:space="preserve">account. </w:t>
      </w:r>
      <w:r w:rsidR="00D552A5" w:rsidRPr="004678AD">
        <w:rPr>
          <w:color w:val="000000" w:themeColor="text1"/>
          <w:szCs w:val="24"/>
        </w:rPr>
        <w:t xml:space="preserve"> </w:t>
      </w:r>
      <w:r w:rsidR="00F20088" w:rsidRPr="004678AD">
        <w:rPr>
          <w:color w:val="000000" w:themeColor="text1"/>
          <w:szCs w:val="24"/>
        </w:rPr>
        <w:t>To suggest that she is obliged to mitigate her damages by finding employment is to mistake the nature of</w:t>
      </w:r>
      <w:r w:rsidR="0049649F" w:rsidRPr="004678AD">
        <w:rPr>
          <w:color w:val="000000" w:themeColor="text1"/>
          <w:szCs w:val="24"/>
        </w:rPr>
        <w:t xml:space="preserve"> </w:t>
      </w:r>
      <w:r w:rsidR="00F20088" w:rsidRPr="004678AD">
        <w:rPr>
          <w:color w:val="000000" w:themeColor="text1"/>
          <w:szCs w:val="24"/>
        </w:rPr>
        <w:t xml:space="preserve">her loss. </w:t>
      </w:r>
      <w:r w:rsidR="00D552A5" w:rsidRPr="004678AD">
        <w:rPr>
          <w:color w:val="000000" w:themeColor="text1"/>
          <w:szCs w:val="24"/>
        </w:rPr>
        <w:t xml:space="preserve"> </w:t>
      </w:r>
      <w:r w:rsidR="00F20088" w:rsidRPr="004678AD">
        <w:rPr>
          <w:color w:val="000000" w:themeColor="text1"/>
          <w:szCs w:val="24"/>
        </w:rPr>
        <w:t>What she has lost is a right</w:t>
      </w:r>
      <w:r w:rsidR="0049649F" w:rsidRPr="004678AD">
        <w:rPr>
          <w:color w:val="000000" w:themeColor="text1"/>
          <w:szCs w:val="24"/>
        </w:rPr>
        <w:t xml:space="preserve"> </w:t>
      </w:r>
      <w:r w:rsidR="00F20088" w:rsidRPr="004678AD">
        <w:rPr>
          <w:color w:val="000000" w:themeColor="text1"/>
          <w:szCs w:val="24"/>
        </w:rPr>
        <w:t>the</w:t>
      </w:r>
      <w:r w:rsidR="0049649F" w:rsidRPr="004678AD">
        <w:rPr>
          <w:color w:val="000000" w:themeColor="text1"/>
          <w:szCs w:val="24"/>
        </w:rPr>
        <w:t xml:space="preserve"> </w:t>
      </w:r>
      <w:r w:rsidR="00F20088" w:rsidRPr="004678AD">
        <w:rPr>
          <w:color w:val="000000" w:themeColor="text1"/>
          <w:szCs w:val="24"/>
        </w:rPr>
        <w:t>right of support. She cannot be required to mitigate that loss by incurring</w:t>
      </w:r>
      <w:r w:rsidR="0049649F" w:rsidRPr="004678AD">
        <w:rPr>
          <w:color w:val="000000" w:themeColor="text1"/>
          <w:szCs w:val="24"/>
        </w:rPr>
        <w:t xml:space="preserve"> </w:t>
      </w:r>
      <w:r w:rsidR="00F20088" w:rsidRPr="004678AD">
        <w:rPr>
          <w:color w:val="000000" w:themeColor="text1"/>
          <w:szCs w:val="24"/>
        </w:rPr>
        <w:t>the duty of supporting herself.</w:t>
      </w:r>
      <w:r w:rsidR="00A93C8B" w:rsidRPr="004678AD">
        <w:rPr>
          <w:color w:val="000000" w:themeColor="text1"/>
          <w:szCs w:val="24"/>
        </w:rPr>
        <w:t xml:space="preserve"> </w:t>
      </w:r>
      <w:r w:rsidR="00F20088" w:rsidRPr="004678AD">
        <w:rPr>
          <w:color w:val="000000" w:themeColor="text1"/>
          <w:szCs w:val="24"/>
        </w:rPr>
        <w:t xml:space="preserve"> If she does obtain employment, it is more appropriate to regard her earnings as</w:t>
      </w:r>
      <w:r w:rsidR="0049649F" w:rsidRPr="004678AD">
        <w:rPr>
          <w:color w:val="000000" w:themeColor="text1"/>
          <w:szCs w:val="24"/>
        </w:rPr>
        <w:t xml:space="preserve"> </w:t>
      </w:r>
      <w:r w:rsidR="00F20088" w:rsidRPr="004678AD">
        <w:rPr>
          <w:color w:val="000000" w:themeColor="text1"/>
          <w:szCs w:val="24"/>
        </w:rPr>
        <w:t xml:space="preserve">being the product of her own work than as consequent upon her husband's death. </w:t>
      </w:r>
      <w:r w:rsidR="00A93C8B" w:rsidRPr="004678AD">
        <w:rPr>
          <w:color w:val="000000" w:themeColor="text1"/>
          <w:szCs w:val="24"/>
        </w:rPr>
        <w:t xml:space="preserve"> </w:t>
      </w:r>
      <w:r w:rsidR="00F20088" w:rsidRPr="004678AD">
        <w:rPr>
          <w:color w:val="000000" w:themeColor="text1"/>
          <w:szCs w:val="24"/>
        </w:rPr>
        <w:t>Marriage prospects are relevant</w:t>
      </w:r>
      <w:r w:rsidR="0049649F" w:rsidRPr="004678AD">
        <w:rPr>
          <w:color w:val="000000" w:themeColor="text1"/>
          <w:szCs w:val="24"/>
        </w:rPr>
        <w:t xml:space="preserve"> </w:t>
      </w:r>
      <w:r w:rsidR="00F20088" w:rsidRPr="004678AD">
        <w:rPr>
          <w:color w:val="000000" w:themeColor="text1"/>
          <w:szCs w:val="24"/>
        </w:rPr>
        <w:t xml:space="preserve">because marriage would reinstate her right of support. </w:t>
      </w:r>
      <w:r w:rsidR="00A93C8B" w:rsidRPr="004678AD">
        <w:rPr>
          <w:color w:val="000000" w:themeColor="text1"/>
          <w:szCs w:val="24"/>
        </w:rPr>
        <w:t xml:space="preserve"> </w:t>
      </w:r>
      <w:r w:rsidR="00F20088" w:rsidRPr="004678AD">
        <w:rPr>
          <w:color w:val="000000" w:themeColor="text1"/>
          <w:szCs w:val="24"/>
        </w:rPr>
        <w:t>The propriety of taking such prospects into account was</w:t>
      </w:r>
      <w:r w:rsidR="0049649F" w:rsidRPr="004678AD">
        <w:rPr>
          <w:color w:val="000000" w:themeColor="text1"/>
          <w:szCs w:val="24"/>
        </w:rPr>
        <w:t xml:space="preserve"> r</w:t>
      </w:r>
      <w:r w:rsidR="00F20088" w:rsidRPr="004678AD">
        <w:rPr>
          <w:color w:val="000000" w:themeColor="text1"/>
          <w:szCs w:val="24"/>
        </w:rPr>
        <w:t>ecognised by this Court in Hully v. Cox, 1923 A.D. 234 at p. 244 and Botes's case, supra at pp. 6178.</w:t>
      </w:r>
      <w:r w:rsidR="0049649F" w:rsidRPr="004678AD">
        <w:rPr>
          <w:color w:val="000000" w:themeColor="text1"/>
          <w:szCs w:val="24"/>
        </w:rPr>
        <w:t>”</w:t>
      </w:r>
      <w:r w:rsidR="0087171A" w:rsidRPr="004678AD">
        <w:rPr>
          <w:rStyle w:val="FootnoteReference"/>
          <w:color w:val="000000" w:themeColor="text1"/>
          <w:szCs w:val="24"/>
        </w:rPr>
        <w:t xml:space="preserve"> </w:t>
      </w:r>
      <w:r w:rsidR="0087171A" w:rsidRPr="004678AD">
        <w:rPr>
          <w:rStyle w:val="FootnoteReference"/>
          <w:color w:val="000000" w:themeColor="text1"/>
          <w:szCs w:val="24"/>
        </w:rPr>
        <w:footnoteReference w:id="62"/>
      </w:r>
    </w:p>
    <w:p w14:paraId="242B730A" w14:textId="297B9285" w:rsidR="00C76299"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[54]</w:t>
      </w:r>
      <w:r w:rsidRPr="004678AD">
        <w:rPr>
          <w:color w:val="000000" w:themeColor="text1"/>
          <w:szCs w:val="24"/>
        </w:rPr>
        <w:tab/>
      </w:r>
      <w:r w:rsidR="00BE2E63" w:rsidRPr="004678AD">
        <w:rPr>
          <w:color w:val="000000" w:themeColor="text1"/>
          <w:szCs w:val="24"/>
          <w:lang w:val="en-ZA"/>
        </w:rPr>
        <w:t xml:space="preserve">Accordingly, </w:t>
      </w:r>
      <w:r w:rsidR="00C76299" w:rsidRPr="004678AD">
        <w:rPr>
          <w:i/>
          <w:iCs/>
          <w:color w:val="000000" w:themeColor="text1"/>
          <w:szCs w:val="24"/>
          <w:lang w:val="en-ZA"/>
        </w:rPr>
        <w:t>Peri-Urban Areas Health Board v Munarin</w:t>
      </w:r>
      <w:r w:rsidR="00C76299" w:rsidRPr="004678AD">
        <w:rPr>
          <w:rStyle w:val="FootnoteReference"/>
          <w:rFonts w:eastAsia="Times New Roman"/>
          <w:color w:val="000000" w:themeColor="text1"/>
          <w:szCs w:val="24"/>
          <w:lang w:val="en-ZA" w:eastAsia="en-GB"/>
        </w:rPr>
        <w:footnoteReference w:id="63"/>
      </w:r>
      <w:r w:rsidR="00C76299" w:rsidRPr="004678AD">
        <w:rPr>
          <w:color w:val="000000" w:themeColor="text1"/>
          <w:szCs w:val="24"/>
          <w:lang w:val="en-ZA"/>
        </w:rPr>
        <w:t xml:space="preserve"> </w:t>
      </w:r>
      <w:r w:rsidR="004C307D" w:rsidRPr="004678AD">
        <w:rPr>
          <w:color w:val="000000" w:themeColor="text1"/>
          <w:szCs w:val="24"/>
          <w:lang w:val="en-ZA"/>
        </w:rPr>
        <w:t>concluded</w:t>
      </w:r>
      <w:r w:rsidR="00FC2FF8" w:rsidRPr="004678AD">
        <w:rPr>
          <w:color w:val="000000" w:themeColor="text1"/>
          <w:szCs w:val="24"/>
          <w:lang w:val="en-ZA"/>
        </w:rPr>
        <w:t xml:space="preserve"> </w:t>
      </w:r>
      <w:r w:rsidR="00AC40E3" w:rsidRPr="004678AD">
        <w:rPr>
          <w:color w:val="000000" w:themeColor="text1"/>
          <w:szCs w:val="24"/>
          <w:lang w:val="en-ZA"/>
        </w:rPr>
        <w:t>that</w:t>
      </w:r>
      <w:r w:rsidR="000B2CDC" w:rsidRPr="004678AD">
        <w:rPr>
          <w:color w:val="000000" w:themeColor="text1"/>
          <w:szCs w:val="24"/>
          <w:lang w:val="en-ZA"/>
        </w:rPr>
        <w:t xml:space="preserve"> applying</w:t>
      </w:r>
      <w:r w:rsidR="00AC40E3" w:rsidRPr="004678AD">
        <w:rPr>
          <w:color w:val="000000" w:themeColor="text1"/>
          <w:szCs w:val="24"/>
          <w:lang w:val="en-ZA"/>
        </w:rPr>
        <w:t xml:space="preserve"> </w:t>
      </w:r>
      <w:r w:rsidR="00C76299" w:rsidRPr="004678AD">
        <w:rPr>
          <w:color w:val="000000" w:themeColor="text1"/>
          <w:szCs w:val="24"/>
          <w:lang w:val="en-ZA"/>
        </w:rPr>
        <w:t xml:space="preserve">a contingency deduction for the prospects of remarriage but ignoring capacity to work, </w:t>
      </w:r>
      <w:r w:rsidR="000B2CDC" w:rsidRPr="004678AD">
        <w:rPr>
          <w:color w:val="000000" w:themeColor="text1"/>
          <w:szCs w:val="24"/>
          <w:lang w:val="en-ZA"/>
        </w:rPr>
        <w:t xml:space="preserve">is </w:t>
      </w:r>
      <w:r w:rsidR="00B971E5" w:rsidRPr="004678AD">
        <w:rPr>
          <w:color w:val="000000" w:themeColor="text1"/>
          <w:szCs w:val="24"/>
          <w:lang w:val="en-ZA"/>
        </w:rPr>
        <w:t xml:space="preserve">justified </w:t>
      </w:r>
      <w:r w:rsidR="003A5B2E" w:rsidRPr="004678AD">
        <w:rPr>
          <w:color w:val="000000" w:themeColor="text1"/>
          <w:szCs w:val="24"/>
          <w:lang w:val="en-ZA"/>
        </w:rPr>
        <w:t xml:space="preserve">on the basis that </w:t>
      </w:r>
      <w:r w:rsidR="00C76299" w:rsidRPr="004678AD">
        <w:rPr>
          <w:color w:val="000000" w:themeColor="text1"/>
          <w:szCs w:val="24"/>
          <w:lang w:val="en-ZA"/>
        </w:rPr>
        <w:t xml:space="preserve">the latter was always available whereas the </w:t>
      </w:r>
      <w:r w:rsidR="00C76299" w:rsidRPr="004678AD">
        <w:rPr>
          <w:color w:val="000000" w:themeColor="text1"/>
          <w:szCs w:val="24"/>
          <w:lang w:val="en-ZA"/>
        </w:rPr>
        <w:lastRenderedPageBreak/>
        <w:t>former could properly be classified as “</w:t>
      </w:r>
      <w:r w:rsidR="00C76299" w:rsidRPr="004678AD">
        <w:rPr>
          <w:i/>
          <w:iCs/>
          <w:color w:val="000000" w:themeColor="text1"/>
          <w:szCs w:val="24"/>
          <w:lang w:val="en-ZA"/>
        </w:rPr>
        <w:t>as a consequent upon</w:t>
      </w:r>
      <w:r w:rsidR="00C76299" w:rsidRPr="004678AD">
        <w:rPr>
          <w:color w:val="000000" w:themeColor="text1"/>
          <w:szCs w:val="24"/>
          <w:lang w:val="en-ZA"/>
        </w:rPr>
        <w:t>” the death of the deceased.</w:t>
      </w:r>
      <w:r w:rsidR="00C76299" w:rsidRPr="004678AD">
        <w:rPr>
          <w:rStyle w:val="FootnoteReference"/>
          <w:rFonts w:eastAsia="Times New Roman"/>
          <w:color w:val="000000" w:themeColor="text1"/>
          <w:szCs w:val="24"/>
          <w:lang w:val="en-ZA" w:eastAsia="en-GB"/>
        </w:rPr>
        <w:footnoteReference w:id="64"/>
      </w:r>
    </w:p>
    <w:p w14:paraId="5283A98C" w14:textId="2CFAB842" w:rsidR="004B4FC9"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[55]</w:t>
      </w:r>
      <w:r w:rsidRPr="004678AD">
        <w:rPr>
          <w:color w:val="000000" w:themeColor="text1"/>
          <w:szCs w:val="24"/>
        </w:rPr>
        <w:tab/>
      </w:r>
      <w:r w:rsidR="00E04769" w:rsidRPr="004678AD">
        <w:rPr>
          <w:color w:val="000000" w:themeColor="text1"/>
          <w:szCs w:val="24"/>
        </w:rPr>
        <w:t xml:space="preserve">In </w:t>
      </w:r>
      <w:r w:rsidR="00942208" w:rsidRPr="004678AD">
        <w:rPr>
          <w:color w:val="000000" w:themeColor="text1"/>
          <w:szCs w:val="24"/>
        </w:rPr>
        <w:t xml:space="preserve">1986 Rabie CJ in </w:t>
      </w:r>
      <w:r w:rsidR="007D7474" w:rsidRPr="004678AD">
        <w:rPr>
          <w:i/>
          <w:iCs/>
          <w:color w:val="000000" w:themeColor="text1"/>
          <w:szCs w:val="24"/>
        </w:rPr>
        <w:t>Constantia Insurance Company Ltd v Victor</w:t>
      </w:r>
      <w:r w:rsidR="007D7474" w:rsidRPr="004678AD">
        <w:rPr>
          <w:rStyle w:val="FootnoteReference"/>
          <w:color w:val="000000" w:themeColor="text1"/>
          <w:szCs w:val="24"/>
        </w:rPr>
        <w:footnoteReference w:id="65"/>
      </w:r>
      <w:r w:rsidR="007D7474" w:rsidRPr="004678AD">
        <w:rPr>
          <w:color w:val="000000" w:themeColor="text1"/>
          <w:szCs w:val="24"/>
        </w:rPr>
        <w:t xml:space="preserve"> </w:t>
      </w:r>
      <w:r w:rsidR="00381819" w:rsidRPr="004678AD">
        <w:rPr>
          <w:color w:val="000000" w:themeColor="text1"/>
          <w:szCs w:val="24"/>
        </w:rPr>
        <w:t xml:space="preserve">was of the view that </w:t>
      </w:r>
      <w:r w:rsidR="00381819" w:rsidRPr="004678AD">
        <w:rPr>
          <w:i/>
          <w:iCs/>
          <w:color w:val="000000" w:themeColor="text1"/>
          <w:szCs w:val="24"/>
        </w:rPr>
        <w:t>Hulley v Cox</w:t>
      </w:r>
      <w:r w:rsidR="00361914" w:rsidRPr="004678AD">
        <w:rPr>
          <w:color w:val="000000" w:themeColor="text1"/>
          <w:szCs w:val="24"/>
        </w:rPr>
        <w:t xml:space="preserve"> was</w:t>
      </w:r>
      <w:r w:rsidR="00381819" w:rsidRPr="004678AD">
        <w:rPr>
          <w:color w:val="000000" w:themeColor="text1"/>
          <w:szCs w:val="24"/>
        </w:rPr>
        <w:t xml:space="preserve"> simply </w:t>
      </w:r>
      <w:r w:rsidR="00361914" w:rsidRPr="004678AD">
        <w:rPr>
          <w:color w:val="000000" w:themeColor="text1"/>
          <w:szCs w:val="24"/>
        </w:rPr>
        <w:t xml:space="preserve">a </w:t>
      </w:r>
      <w:r w:rsidR="00381819" w:rsidRPr="004678AD">
        <w:rPr>
          <w:color w:val="000000" w:themeColor="text1"/>
          <w:szCs w:val="24"/>
        </w:rPr>
        <w:t>reflect</w:t>
      </w:r>
      <w:r w:rsidR="00361914" w:rsidRPr="004678AD">
        <w:rPr>
          <w:color w:val="000000" w:themeColor="text1"/>
          <w:szCs w:val="24"/>
        </w:rPr>
        <w:t>ion of</w:t>
      </w:r>
      <w:r w:rsidR="00381819" w:rsidRPr="004678AD">
        <w:rPr>
          <w:color w:val="000000" w:themeColor="text1"/>
          <w:szCs w:val="24"/>
        </w:rPr>
        <w:t xml:space="preserve"> </w:t>
      </w:r>
      <w:r w:rsidR="00B971E5" w:rsidRPr="004678AD">
        <w:rPr>
          <w:color w:val="000000" w:themeColor="text1"/>
          <w:szCs w:val="24"/>
        </w:rPr>
        <w:t>considerations</w:t>
      </w:r>
      <w:r w:rsidR="000C009A" w:rsidRPr="004678AD">
        <w:rPr>
          <w:color w:val="000000" w:themeColor="text1"/>
          <w:szCs w:val="24"/>
        </w:rPr>
        <w:t xml:space="preserve"> applicable  inn 1923</w:t>
      </w:r>
      <w:r w:rsidR="000D486B" w:rsidRPr="004678AD">
        <w:rPr>
          <w:color w:val="000000" w:themeColor="text1"/>
          <w:szCs w:val="24"/>
        </w:rPr>
        <w:t>.</w:t>
      </w:r>
      <w:r w:rsidR="00E96445" w:rsidRPr="004678AD">
        <w:rPr>
          <w:rStyle w:val="FootnoteReference"/>
          <w:color w:val="000000" w:themeColor="text1"/>
          <w:szCs w:val="24"/>
        </w:rPr>
        <w:footnoteReference w:id="66"/>
      </w:r>
      <w:r w:rsidR="000D486B" w:rsidRPr="004678AD">
        <w:rPr>
          <w:color w:val="000000" w:themeColor="text1"/>
          <w:szCs w:val="24"/>
        </w:rPr>
        <w:t xml:space="preserve">  </w:t>
      </w:r>
      <w:r w:rsidR="00E04769" w:rsidRPr="004678AD">
        <w:rPr>
          <w:color w:val="000000" w:themeColor="text1"/>
          <w:szCs w:val="24"/>
        </w:rPr>
        <w:t>Rabie</w:t>
      </w:r>
      <w:r w:rsidR="00F60728" w:rsidRPr="004678AD">
        <w:rPr>
          <w:color w:val="000000" w:themeColor="text1"/>
          <w:szCs w:val="24"/>
        </w:rPr>
        <w:t> </w:t>
      </w:r>
      <w:r w:rsidR="00E04769" w:rsidRPr="004678AD">
        <w:rPr>
          <w:color w:val="000000" w:themeColor="text1"/>
          <w:szCs w:val="24"/>
        </w:rPr>
        <w:t>CJ</w:t>
      </w:r>
      <w:r w:rsidR="00E04769" w:rsidRPr="004678AD">
        <w:rPr>
          <w:rFonts w:eastAsia="Times New Roman"/>
          <w:color w:val="000000" w:themeColor="text1"/>
          <w:szCs w:val="24"/>
          <w:lang w:val="en-ZA" w:eastAsia="en-GB"/>
        </w:rPr>
        <w:t xml:space="preserve"> </w:t>
      </w:r>
      <w:r w:rsidR="000E4B26" w:rsidRPr="004678AD">
        <w:rPr>
          <w:color w:val="000000" w:themeColor="text1"/>
          <w:szCs w:val="24"/>
        </w:rPr>
        <w:t>expressed his</w:t>
      </w:r>
      <w:r w:rsidR="000E4B26" w:rsidRPr="004678AD">
        <w:rPr>
          <w:i/>
          <w:iCs/>
          <w:color w:val="000000" w:themeColor="text1"/>
          <w:szCs w:val="24"/>
        </w:rPr>
        <w:t xml:space="preserve"> </w:t>
      </w:r>
      <w:r w:rsidR="000E4B26" w:rsidRPr="004678AD">
        <w:rPr>
          <w:color w:val="000000" w:themeColor="text1"/>
          <w:szCs w:val="24"/>
        </w:rPr>
        <w:t xml:space="preserve">doubts regarding the correctness of </w:t>
      </w:r>
      <w:r w:rsidR="00A80460" w:rsidRPr="004678AD">
        <w:rPr>
          <w:color w:val="000000" w:themeColor="text1"/>
          <w:szCs w:val="24"/>
        </w:rPr>
        <w:t xml:space="preserve">the approach in </w:t>
      </w:r>
      <w:r w:rsidR="000D486B" w:rsidRPr="004678AD">
        <w:rPr>
          <w:i/>
          <w:iCs/>
          <w:color w:val="000000" w:themeColor="text1"/>
          <w:szCs w:val="24"/>
          <w:lang w:val="en-ZA"/>
        </w:rPr>
        <w:t>Peri-Urban Areas Health Board v Munarin</w:t>
      </w:r>
      <w:r w:rsidR="007D7474" w:rsidRPr="004678AD">
        <w:rPr>
          <w:color w:val="000000" w:themeColor="text1"/>
          <w:szCs w:val="24"/>
        </w:rPr>
        <w:t xml:space="preserve"> that marriage prospects are relevant because marriage would reinstate</w:t>
      </w:r>
      <w:r w:rsidR="00344FC1" w:rsidRPr="004678AD">
        <w:rPr>
          <w:color w:val="000000" w:themeColor="text1"/>
          <w:szCs w:val="24"/>
        </w:rPr>
        <w:t xml:space="preserve"> the</w:t>
      </w:r>
      <w:r w:rsidR="007D7474" w:rsidRPr="004678AD">
        <w:rPr>
          <w:color w:val="000000" w:themeColor="text1"/>
          <w:szCs w:val="24"/>
        </w:rPr>
        <w:t xml:space="preserve"> right of support.</w:t>
      </w:r>
      <w:r w:rsidR="00D46A5A" w:rsidRPr="004678AD">
        <w:rPr>
          <w:rStyle w:val="FootnoteReference"/>
          <w:color w:val="000000" w:themeColor="text1"/>
          <w:szCs w:val="24"/>
        </w:rPr>
        <w:footnoteReference w:id="67"/>
      </w:r>
      <w:r w:rsidR="007D7474" w:rsidRPr="004678AD">
        <w:rPr>
          <w:color w:val="000000" w:themeColor="text1"/>
          <w:szCs w:val="24"/>
        </w:rPr>
        <w:t xml:space="preserve">  </w:t>
      </w:r>
      <w:r w:rsidR="00E078E8" w:rsidRPr="004678AD">
        <w:rPr>
          <w:color w:val="000000" w:themeColor="text1"/>
          <w:szCs w:val="24"/>
        </w:rPr>
        <w:t>Rabie</w:t>
      </w:r>
      <w:r w:rsidR="004D3DDC" w:rsidRPr="004678AD">
        <w:rPr>
          <w:color w:val="000000" w:themeColor="text1"/>
          <w:szCs w:val="24"/>
        </w:rPr>
        <w:t> C</w:t>
      </w:r>
      <w:r w:rsidR="00E078E8" w:rsidRPr="004678AD">
        <w:rPr>
          <w:color w:val="000000" w:themeColor="text1"/>
          <w:szCs w:val="24"/>
        </w:rPr>
        <w:t xml:space="preserve">J </w:t>
      </w:r>
      <w:r w:rsidR="00344FC1" w:rsidRPr="004678AD">
        <w:rPr>
          <w:color w:val="000000" w:themeColor="text1"/>
          <w:szCs w:val="24"/>
        </w:rPr>
        <w:t>pointed out</w:t>
      </w:r>
      <w:r w:rsidR="00E078E8" w:rsidRPr="004678AD">
        <w:rPr>
          <w:color w:val="000000" w:themeColor="text1"/>
          <w:szCs w:val="24"/>
        </w:rPr>
        <w:t xml:space="preserve"> that </w:t>
      </w:r>
      <w:r w:rsidR="007D7474" w:rsidRPr="004678AD">
        <w:rPr>
          <w:color w:val="000000" w:themeColor="text1"/>
          <w:szCs w:val="24"/>
        </w:rPr>
        <w:t xml:space="preserve">the right to support acquired by remarriage is against </w:t>
      </w:r>
      <w:r w:rsidR="004D3DDC" w:rsidRPr="004678AD">
        <w:rPr>
          <w:color w:val="000000" w:themeColor="text1"/>
          <w:szCs w:val="24"/>
        </w:rPr>
        <w:t>the</w:t>
      </w:r>
      <w:r w:rsidR="007D7474" w:rsidRPr="004678AD">
        <w:rPr>
          <w:color w:val="000000" w:themeColor="text1"/>
          <w:szCs w:val="24"/>
        </w:rPr>
        <w:t xml:space="preserve"> new husband and is a new right, against the new husband for maintenance, and not a reinstatement of any earlier right against the deceased.</w:t>
      </w:r>
      <w:r w:rsidR="004E4768" w:rsidRPr="004678AD">
        <w:rPr>
          <w:rStyle w:val="FootnoteReference"/>
          <w:color w:val="000000" w:themeColor="text1"/>
          <w:szCs w:val="24"/>
        </w:rPr>
        <w:footnoteReference w:id="68"/>
      </w:r>
      <w:r w:rsidR="007D7474" w:rsidRPr="004678AD">
        <w:rPr>
          <w:color w:val="000000" w:themeColor="text1"/>
          <w:szCs w:val="24"/>
        </w:rPr>
        <w:t xml:space="preserve">  </w:t>
      </w:r>
      <w:r w:rsidR="004B4FC9" w:rsidRPr="004678AD">
        <w:rPr>
          <w:color w:val="000000" w:themeColor="text1"/>
          <w:szCs w:val="24"/>
        </w:rPr>
        <w:t xml:space="preserve">However, </w:t>
      </w:r>
      <w:r w:rsidR="008358FD" w:rsidRPr="004678AD">
        <w:rPr>
          <w:color w:val="000000" w:themeColor="text1"/>
          <w:szCs w:val="24"/>
        </w:rPr>
        <w:t xml:space="preserve">Rabie CJ </w:t>
      </w:r>
      <w:r w:rsidR="00180D16" w:rsidRPr="004678AD">
        <w:rPr>
          <w:color w:val="000000" w:themeColor="text1"/>
          <w:szCs w:val="24"/>
        </w:rPr>
        <w:t xml:space="preserve">then </w:t>
      </w:r>
      <w:r w:rsidR="00FE0935" w:rsidRPr="004678AD">
        <w:rPr>
          <w:rFonts w:eastAsia="Times New Roman"/>
          <w:color w:val="000000" w:themeColor="text1"/>
          <w:szCs w:val="24"/>
          <w:lang w:val="en-ZA" w:eastAsia="en-GB"/>
        </w:rPr>
        <w:t>c</w:t>
      </w:r>
      <w:r w:rsidR="00C076D5" w:rsidRPr="004678AD">
        <w:rPr>
          <w:rFonts w:eastAsia="Times New Roman"/>
          <w:color w:val="000000" w:themeColor="text1"/>
          <w:szCs w:val="24"/>
          <w:lang w:val="en-ZA" w:eastAsia="en-GB"/>
        </w:rPr>
        <w:t xml:space="preserve">oncluded that </w:t>
      </w:r>
      <w:r w:rsidR="00C736DD" w:rsidRPr="004678AD">
        <w:rPr>
          <w:rFonts w:eastAsia="Times New Roman"/>
          <w:color w:val="000000" w:themeColor="text1"/>
          <w:szCs w:val="24"/>
          <w:lang w:val="en-ZA" w:eastAsia="en-GB"/>
        </w:rPr>
        <w:t xml:space="preserve">since </w:t>
      </w:r>
      <w:r w:rsidR="007F6645" w:rsidRPr="004678AD">
        <w:rPr>
          <w:rFonts w:eastAsia="Times New Roman"/>
          <w:color w:val="000000" w:themeColor="text1"/>
          <w:szCs w:val="24"/>
          <w:lang w:val="en-ZA" w:eastAsia="en-GB"/>
        </w:rPr>
        <w:t xml:space="preserve">our courts have </w:t>
      </w:r>
      <w:r w:rsidR="0023326A" w:rsidRPr="004678AD">
        <w:rPr>
          <w:rFonts w:eastAsia="Times New Roman"/>
          <w:color w:val="000000" w:themeColor="text1"/>
          <w:szCs w:val="24"/>
          <w:lang w:val="en-ZA" w:eastAsia="en-GB"/>
        </w:rPr>
        <w:t xml:space="preserve">taken into account </w:t>
      </w:r>
      <w:r w:rsidR="004B4FC9" w:rsidRPr="004678AD">
        <w:rPr>
          <w:rFonts w:eastAsia="Times New Roman"/>
          <w:color w:val="000000" w:themeColor="text1"/>
          <w:szCs w:val="24"/>
          <w:lang w:val="en-ZA" w:eastAsia="en-GB"/>
        </w:rPr>
        <w:t>a widow's remarriage or chance of remarriage</w:t>
      </w:r>
      <w:r w:rsidR="0023326A" w:rsidRPr="004678AD">
        <w:rPr>
          <w:rFonts w:eastAsia="Times New Roman"/>
          <w:color w:val="000000" w:themeColor="text1"/>
          <w:szCs w:val="24"/>
          <w:lang w:val="en-ZA" w:eastAsia="en-GB"/>
        </w:rPr>
        <w:t xml:space="preserve"> </w:t>
      </w:r>
      <w:r w:rsidR="00A658FF" w:rsidRPr="004678AD">
        <w:rPr>
          <w:rFonts w:eastAsia="Times New Roman"/>
          <w:color w:val="000000" w:themeColor="text1"/>
          <w:szCs w:val="24"/>
          <w:lang w:val="en-ZA" w:eastAsia="en-GB"/>
        </w:rPr>
        <w:t>over a long period of time,</w:t>
      </w:r>
      <w:r w:rsidR="00BE24C3" w:rsidRPr="004678AD">
        <w:rPr>
          <w:rFonts w:eastAsia="Times New Roman"/>
          <w:color w:val="000000" w:themeColor="text1"/>
          <w:szCs w:val="24"/>
          <w:lang w:val="en-ZA" w:eastAsia="en-GB"/>
        </w:rPr>
        <w:t xml:space="preserve"> </w:t>
      </w:r>
      <w:r w:rsidR="004B4FC9" w:rsidRPr="004678AD">
        <w:rPr>
          <w:rFonts w:eastAsia="Times New Roman"/>
          <w:color w:val="000000" w:themeColor="text1"/>
          <w:szCs w:val="24"/>
          <w:lang w:val="en-ZA" w:eastAsia="en-GB"/>
        </w:rPr>
        <w:t xml:space="preserve">this </w:t>
      </w:r>
      <w:r w:rsidR="00B9215B" w:rsidRPr="004678AD">
        <w:rPr>
          <w:rFonts w:eastAsia="Times New Roman"/>
          <w:color w:val="000000" w:themeColor="text1"/>
          <w:szCs w:val="24"/>
          <w:lang w:val="en-ZA" w:eastAsia="en-GB"/>
        </w:rPr>
        <w:t xml:space="preserve">is </w:t>
      </w:r>
      <w:r w:rsidR="0092010A" w:rsidRPr="004678AD">
        <w:rPr>
          <w:rFonts w:eastAsia="Times New Roman"/>
          <w:color w:val="000000" w:themeColor="text1"/>
          <w:szCs w:val="24"/>
          <w:lang w:val="en-ZA" w:eastAsia="en-GB"/>
        </w:rPr>
        <w:t xml:space="preserve">to be </w:t>
      </w:r>
      <w:r w:rsidR="004B4FC9" w:rsidRPr="004678AD">
        <w:rPr>
          <w:rFonts w:eastAsia="Times New Roman"/>
          <w:color w:val="000000" w:themeColor="text1"/>
          <w:szCs w:val="24"/>
          <w:lang w:val="en-ZA" w:eastAsia="en-GB"/>
        </w:rPr>
        <w:t>followed where the calculation of the compensation of a widow who has remarried, or who may remarry, is in question.</w:t>
      </w:r>
      <w:r w:rsidR="00FE0935" w:rsidRPr="004678AD">
        <w:rPr>
          <w:rStyle w:val="FootnoteReference"/>
          <w:color w:val="000000" w:themeColor="text1"/>
          <w:szCs w:val="24"/>
        </w:rPr>
        <w:footnoteReference w:id="69"/>
      </w:r>
    </w:p>
    <w:p w14:paraId="40D93775" w14:textId="792F7725" w:rsidR="00F30ACB"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[56]</w:t>
      </w:r>
      <w:r w:rsidRPr="004678AD">
        <w:rPr>
          <w:color w:val="000000" w:themeColor="text1"/>
          <w:szCs w:val="24"/>
        </w:rPr>
        <w:tab/>
      </w:r>
      <w:r w:rsidR="009C337D" w:rsidRPr="004678AD">
        <w:rPr>
          <w:rFonts w:eastAsia="Times New Roman"/>
          <w:color w:val="000000" w:themeColor="text1"/>
          <w:szCs w:val="24"/>
          <w:lang w:val="en-ZA" w:eastAsia="en-GB"/>
        </w:rPr>
        <w:t xml:space="preserve">In 1999, </w:t>
      </w:r>
      <w:r w:rsidR="005B3CCB" w:rsidRPr="004678AD">
        <w:rPr>
          <w:rFonts w:eastAsia="Times New Roman"/>
          <w:color w:val="000000" w:themeColor="text1"/>
          <w:szCs w:val="24"/>
          <w:lang w:val="en-ZA" w:eastAsia="en-GB"/>
        </w:rPr>
        <w:t>Hefer JA</w:t>
      </w:r>
      <w:r w:rsidR="00911A7A" w:rsidRPr="004678AD">
        <w:rPr>
          <w:rFonts w:eastAsia="Times New Roman"/>
          <w:color w:val="000000" w:themeColor="text1"/>
          <w:szCs w:val="24"/>
          <w:lang w:val="en-ZA" w:eastAsia="en-GB"/>
        </w:rPr>
        <w:t xml:space="preserve"> in </w:t>
      </w:r>
      <w:r w:rsidR="009C337D" w:rsidRPr="004678AD">
        <w:rPr>
          <w:i/>
          <w:color w:val="000000" w:themeColor="text1"/>
          <w:szCs w:val="24"/>
        </w:rPr>
        <w:t>Ongevallekommissaris v Santam Bpk</w:t>
      </w:r>
      <w:r w:rsidR="009C337D" w:rsidRPr="004678AD">
        <w:rPr>
          <w:rStyle w:val="FootnoteReference"/>
          <w:color w:val="000000" w:themeColor="text1"/>
          <w:szCs w:val="24"/>
        </w:rPr>
        <w:footnoteReference w:id="70"/>
      </w:r>
      <w:r w:rsidR="009C337D" w:rsidRPr="004678AD">
        <w:rPr>
          <w:i/>
          <w:color w:val="000000" w:themeColor="text1"/>
          <w:szCs w:val="24"/>
        </w:rPr>
        <w:t xml:space="preserve"> </w:t>
      </w:r>
      <w:r w:rsidR="00911A7A" w:rsidRPr="004678AD">
        <w:rPr>
          <w:iCs/>
          <w:color w:val="000000" w:themeColor="text1"/>
          <w:szCs w:val="24"/>
        </w:rPr>
        <w:t>held:</w:t>
      </w:r>
    </w:p>
    <w:p w14:paraId="7473E292" w14:textId="3FA6437D" w:rsidR="00911A7A" w:rsidRPr="004678AD" w:rsidRDefault="00911A7A" w:rsidP="004678AD">
      <w:pPr>
        <w:pStyle w:val="JudgmentNumbered"/>
        <w:numPr>
          <w:ilvl w:val="0"/>
          <w:numId w:val="0"/>
        </w:numPr>
        <w:ind w:left="567"/>
        <w:rPr>
          <w:color w:val="000000" w:themeColor="text1"/>
          <w:szCs w:val="24"/>
        </w:rPr>
      </w:pPr>
      <w:r w:rsidRPr="004678AD">
        <w:rPr>
          <w:iCs/>
          <w:color w:val="000000" w:themeColor="text1"/>
          <w:szCs w:val="24"/>
        </w:rPr>
        <w:t>“</w:t>
      </w:r>
      <w:r w:rsidRPr="004678AD">
        <w:rPr>
          <w:color w:val="000000" w:themeColor="text1"/>
          <w:szCs w:val="24"/>
        </w:rPr>
        <w:t xml:space="preserve">In South Africa the contingency of remarriage is usually taken into account. </w:t>
      </w:r>
      <w:r w:rsidR="00777F4F" w:rsidRPr="004678AD">
        <w:rPr>
          <w:color w:val="000000" w:themeColor="text1"/>
          <w:szCs w:val="24"/>
        </w:rPr>
        <w:t xml:space="preserve"> </w:t>
      </w:r>
      <w:r w:rsidRPr="004678AD">
        <w:rPr>
          <w:color w:val="000000" w:themeColor="text1"/>
          <w:szCs w:val="24"/>
        </w:rPr>
        <w:t xml:space="preserve">If the purpose of an award for damages for loss of support if borne in mind the possibility of the plaintiff remarrying is a very real consideration.  The possibility of a young widow remarrying shortly after the death of her husband and receiving damages for loss of support calculated over a period of 40 years is completely unrealistic.  Allowing for the contingency is obviously realistic. </w:t>
      </w:r>
      <w:r w:rsidR="00F30ACB" w:rsidRPr="004678AD">
        <w:rPr>
          <w:color w:val="000000" w:themeColor="text1"/>
          <w:szCs w:val="24"/>
        </w:rPr>
        <w:t xml:space="preserve"> [</w:t>
      </w:r>
      <w:r w:rsidRPr="004678AD">
        <w:rPr>
          <w:color w:val="000000" w:themeColor="text1"/>
          <w:szCs w:val="24"/>
        </w:rPr>
        <w:t>Hulley v</w:t>
      </w:r>
      <w:r w:rsidR="00F30ACB" w:rsidRPr="004678AD">
        <w:rPr>
          <w:color w:val="000000" w:themeColor="text1"/>
          <w:szCs w:val="24"/>
        </w:rPr>
        <w:t xml:space="preserve"> </w:t>
      </w:r>
      <w:r w:rsidRPr="004678AD">
        <w:rPr>
          <w:color w:val="000000" w:themeColor="text1"/>
          <w:szCs w:val="24"/>
        </w:rPr>
        <w:t>Cox 1923 AD 234 at 244</w:t>
      </w:r>
      <w:r w:rsidR="00F30ACB" w:rsidRPr="004678AD">
        <w:rPr>
          <w:color w:val="000000" w:themeColor="text1"/>
          <w:szCs w:val="24"/>
        </w:rPr>
        <w:t>]”</w:t>
      </w:r>
    </w:p>
    <w:p w14:paraId="5C029E65" w14:textId="71C3A21F" w:rsidR="00642ED9"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lastRenderedPageBreak/>
        <w:t>[57]</w:t>
      </w:r>
      <w:r w:rsidRPr="004678AD">
        <w:rPr>
          <w:color w:val="000000" w:themeColor="text1"/>
          <w:szCs w:val="24"/>
        </w:rPr>
        <w:tab/>
      </w:r>
      <w:r w:rsidR="00103095" w:rsidRPr="004678AD">
        <w:rPr>
          <w:color w:val="000000" w:themeColor="text1"/>
          <w:szCs w:val="24"/>
        </w:rPr>
        <w:t xml:space="preserve">In </w:t>
      </w:r>
      <w:r w:rsidR="00214EDD" w:rsidRPr="004678AD">
        <w:rPr>
          <w:color w:val="000000" w:themeColor="text1"/>
          <w:szCs w:val="24"/>
        </w:rPr>
        <w:t>2009, t</w:t>
      </w:r>
      <w:r w:rsidR="00642ED9" w:rsidRPr="004678AD">
        <w:rPr>
          <w:color w:val="000000" w:themeColor="text1"/>
          <w:szCs w:val="24"/>
        </w:rPr>
        <w:t xml:space="preserve">he full bench </w:t>
      </w:r>
      <w:r w:rsidR="00B40083" w:rsidRPr="004678AD">
        <w:rPr>
          <w:color w:val="000000" w:themeColor="text1"/>
          <w:szCs w:val="24"/>
        </w:rPr>
        <w:t xml:space="preserve">per Southwood J </w:t>
      </w:r>
      <w:r w:rsidR="00642ED9" w:rsidRPr="004678AD">
        <w:rPr>
          <w:color w:val="000000" w:themeColor="text1"/>
          <w:szCs w:val="24"/>
        </w:rPr>
        <w:t xml:space="preserve">in </w:t>
      </w:r>
      <w:r w:rsidR="00642ED9" w:rsidRPr="004678AD">
        <w:rPr>
          <w:i/>
          <w:iCs/>
          <w:color w:val="000000" w:themeColor="text1"/>
          <w:szCs w:val="24"/>
          <w:lang w:eastAsia="en-GB"/>
        </w:rPr>
        <w:t>Members of the Executive Council Responsible, for the Department of Road and Public Works, North West Province v Oosthuizen</w:t>
      </w:r>
      <w:r w:rsidR="004F7704" w:rsidRPr="004678AD">
        <w:rPr>
          <w:color w:val="000000" w:themeColor="text1"/>
          <w:szCs w:val="24"/>
          <w:lang w:eastAsia="en-GB"/>
        </w:rPr>
        <w:t xml:space="preserve"> </w:t>
      </w:r>
      <w:r w:rsidR="00642ED9" w:rsidRPr="004678AD">
        <w:rPr>
          <w:color w:val="000000" w:themeColor="text1"/>
          <w:szCs w:val="24"/>
          <w:lang w:eastAsia="en-GB"/>
        </w:rPr>
        <w:t>held:</w:t>
      </w:r>
      <w:r w:rsidR="00642ED9" w:rsidRPr="004678AD">
        <w:rPr>
          <w:rStyle w:val="FootnoteReference"/>
          <w:i/>
          <w:iCs/>
          <w:color w:val="000000" w:themeColor="text1"/>
          <w:szCs w:val="24"/>
          <w:lang w:eastAsia="en-GB"/>
        </w:rPr>
        <w:footnoteReference w:id="71"/>
      </w:r>
      <w:r w:rsidR="00642ED9" w:rsidRPr="004678AD">
        <w:rPr>
          <w:color w:val="000000" w:themeColor="text1"/>
          <w:szCs w:val="24"/>
          <w:lang w:eastAsia="en-GB"/>
        </w:rPr>
        <w:t>:</w:t>
      </w:r>
    </w:p>
    <w:p w14:paraId="449C0355" w14:textId="5FC79C81" w:rsidR="00956F85" w:rsidRPr="004678AD" w:rsidRDefault="00956F85" w:rsidP="004678AD">
      <w:pPr>
        <w:pStyle w:val="JudgmentNumbered"/>
        <w:numPr>
          <w:ilvl w:val="0"/>
          <w:numId w:val="0"/>
        </w:numPr>
        <w:ind w:left="567"/>
        <w:rPr>
          <w:color w:val="000000" w:themeColor="text1"/>
          <w:szCs w:val="24"/>
        </w:rPr>
      </w:pPr>
      <w:r w:rsidRPr="004678AD">
        <w:rPr>
          <w:color w:val="000000" w:themeColor="text1"/>
          <w:szCs w:val="24"/>
        </w:rPr>
        <w:t>“In South Africa the contingency of remarriage is usually taken into account.  If the purpose of an award for damages for loss of support is borne in mind the possibility of the plaintiff remarrying is a very real consideration.”</w:t>
      </w:r>
      <w:r w:rsidRPr="004678AD">
        <w:rPr>
          <w:rStyle w:val="FootnoteReference"/>
          <w:color w:val="000000" w:themeColor="text1"/>
          <w:szCs w:val="24"/>
        </w:rPr>
        <w:footnoteReference w:id="72"/>
      </w:r>
    </w:p>
    <w:p w14:paraId="36E42C3A" w14:textId="34A9D0FF" w:rsidR="000B56FB"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[58]</w:t>
      </w:r>
      <w:r w:rsidRPr="004678AD">
        <w:rPr>
          <w:color w:val="000000" w:themeColor="text1"/>
          <w:szCs w:val="24"/>
        </w:rPr>
        <w:tab/>
      </w:r>
      <w:r w:rsidR="00A301DC" w:rsidRPr="004678AD">
        <w:rPr>
          <w:color w:val="000000" w:themeColor="text1"/>
          <w:szCs w:val="24"/>
        </w:rPr>
        <w:t xml:space="preserve">Southwood J </w:t>
      </w:r>
      <w:r w:rsidR="003E1E8A" w:rsidRPr="004678AD">
        <w:rPr>
          <w:color w:val="000000" w:themeColor="text1"/>
          <w:szCs w:val="24"/>
        </w:rPr>
        <w:t>held that the remarriage or re-partnering contingency did not offend against the equality provisions of the Constitution:</w:t>
      </w:r>
      <w:r w:rsidR="003E1E8A" w:rsidRPr="004678AD">
        <w:rPr>
          <w:color w:val="000000" w:themeColor="text1"/>
          <w:szCs w:val="24"/>
          <w:vertAlign w:val="superscript"/>
        </w:rPr>
        <w:footnoteReference w:id="73"/>
      </w:r>
    </w:p>
    <w:p w14:paraId="026F7201" w14:textId="391D5F77" w:rsidR="003E1E8A" w:rsidRPr="004678AD" w:rsidRDefault="003E1E8A" w:rsidP="004678AD">
      <w:pPr>
        <w:pStyle w:val="JudgmentNumbered"/>
        <w:numPr>
          <w:ilvl w:val="0"/>
          <w:numId w:val="0"/>
        </w:numPr>
        <w:ind w:left="567"/>
        <w:rPr>
          <w:color w:val="000000" w:themeColor="text1"/>
          <w:szCs w:val="24"/>
        </w:rPr>
      </w:pPr>
      <w:r w:rsidRPr="004678AD">
        <w:rPr>
          <w:iCs/>
          <w:color w:val="000000" w:themeColor="text1"/>
          <w:szCs w:val="24"/>
        </w:rPr>
        <w:t>“These judgments do not suggest anything other than that the possibility of remarriage must be taken into account.  They do not, in terms, require that a trial court assess the likelihood of the plaintiff remarrying on the strength of her physical appearance.  The respondent has not referred to a judgment in South Africa where this has been stated as a requirement in determining the possibility of the plaintiff remarrying.  If it is the law that this be done I agree with the respondent that this would be offensive and should not be part of the law.  But the respondent has not been so assessed in this case and this court has not seen her.  It therefore plays no role in the case.  It is a simple actuarial contingency.</w:t>
      </w:r>
      <w:r w:rsidRPr="004678AD">
        <w:rPr>
          <w:color w:val="000000" w:themeColor="text1"/>
          <w:szCs w:val="24"/>
        </w:rPr>
        <w:t>”</w:t>
      </w:r>
      <w:r w:rsidRPr="004678AD">
        <w:rPr>
          <w:color w:val="000000" w:themeColor="text1"/>
          <w:szCs w:val="24"/>
          <w:vertAlign w:val="superscript"/>
        </w:rPr>
        <w:footnoteReference w:id="74"/>
      </w:r>
      <w:r w:rsidRPr="004678AD">
        <w:rPr>
          <w:color w:val="000000" w:themeColor="text1"/>
          <w:szCs w:val="24"/>
        </w:rPr>
        <w:t xml:space="preserve"> </w:t>
      </w:r>
    </w:p>
    <w:p w14:paraId="3211FA20" w14:textId="35345B92" w:rsidR="004017E8" w:rsidRPr="004678AD" w:rsidRDefault="00EC2D71" w:rsidP="00EC2D71">
      <w:pPr>
        <w:pStyle w:val="JudgmentNumbered"/>
        <w:numPr>
          <w:ilvl w:val="0"/>
          <w:numId w:val="0"/>
        </w:numPr>
        <w:ind w:left="567" w:hanging="567"/>
        <w:rPr>
          <w:rFonts w:eastAsia="Times New Roman"/>
          <w:color w:val="000000" w:themeColor="text1"/>
          <w:szCs w:val="24"/>
          <w:lang w:val="en-US" w:eastAsia="en-GB"/>
        </w:rPr>
      </w:pPr>
      <w:r w:rsidRPr="004678AD">
        <w:rPr>
          <w:rFonts w:eastAsia="Times New Roman"/>
          <w:color w:val="000000" w:themeColor="text1"/>
          <w:szCs w:val="24"/>
          <w:lang w:val="en-US" w:eastAsia="en-GB"/>
        </w:rPr>
        <w:t>[59]</w:t>
      </w:r>
      <w:r w:rsidRPr="004678AD">
        <w:rPr>
          <w:rFonts w:eastAsia="Times New Roman"/>
          <w:color w:val="000000" w:themeColor="text1"/>
          <w:szCs w:val="24"/>
          <w:lang w:val="en-US" w:eastAsia="en-GB"/>
        </w:rPr>
        <w:tab/>
      </w:r>
      <w:r w:rsidR="00A97524" w:rsidRPr="004678AD">
        <w:rPr>
          <w:color w:val="000000" w:themeColor="text1"/>
          <w:szCs w:val="24"/>
        </w:rPr>
        <w:t xml:space="preserve">My understanding of the import of this jurisprudence, by which I am bound, is </w:t>
      </w:r>
      <w:r w:rsidR="00BB51DD" w:rsidRPr="004678AD">
        <w:rPr>
          <w:color w:val="000000" w:themeColor="text1"/>
          <w:szCs w:val="24"/>
        </w:rPr>
        <w:t xml:space="preserve">that </w:t>
      </w:r>
      <w:r w:rsidR="00255075" w:rsidRPr="004678AD">
        <w:rPr>
          <w:color w:val="000000" w:themeColor="text1"/>
          <w:szCs w:val="24"/>
        </w:rPr>
        <w:t xml:space="preserve">our courts apply </w:t>
      </w:r>
      <w:r w:rsidR="00F56F50" w:rsidRPr="004678AD">
        <w:rPr>
          <w:color w:val="000000" w:themeColor="text1"/>
          <w:szCs w:val="24"/>
        </w:rPr>
        <w:t xml:space="preserve">two types of contingencies: </w:t>
      </w:r>
      <w:r w:rsidR="00E6206F" w:rsidRPr="004678AD">
        <w:rPr>
          <w:color w:val="000000" w:themeColor="text1"/>
          <w:szCs w:val="24"/>
        </w:rPr>
        <w:t xml:space="preserve">a </w:t>
      </w:r>
      <w:r w:rsidR="00F56F50" w:rsidRPr="004678AD">
        <w:rPr>
          <w:color w:val="000000" w:themeColor="text1"/>
          <w:szCs w:val="24"/>
        </w:rPr>
        <w:t>general contingenc</w:t>
      </w:r>
      <w:r w:rsidR="00E6206F" w:rsidRPr="004678AD">
        <w:rPr>
          <w:color w:val="000000" w:themeColor="text1"/>
          <w:szCs w:val="24"/>
        </w:rPr>
        <w:t>y</w:t>
      </w:r>
      <w:r w:rsidR="00F56F50" w:rsidRPr="004678AD">
        <w:rPr>
          <w:color w:val="000000" w:themeColor="text1"/>
          <w:szCs w:val="24"/>
        </w:rPr>
        <w:t xml:space="preserve"> for the vicissitudes of life</w:t>
      </w:r>
      <w:r w:rsidR="00F56F50" w:rsidRPr="004678AD">
        <w:rPr>
          <w:rStyle w:val="FootnoteReference"/>
          <w:color w:val="000000" w:themeColor="text1"/>
          <w:szCs w:val="24"/>
        </w:rPr>
        <w:footnoteReference w:id="75"/>
      </w:r>
      <w:r w:rsidR="00F56F50" w:rsidRPr="004678AD">
        <w:rPr>
          <w:color w:val="000000" w:themeColor="text1"/>
          <w:szCs w:val="24"/>
        </w:rPr>
        <w:t xml:space="preserve"> and </w:t>
      </w:r>
      <w:r w:rsidR="00E6206F" w:rsidRPr="004678AD">
        <w:rPr>
          <w:color w:val="000000" w:themeColor="text1"/>
          <w:szCs w:val="24"/>
        </w:rPr>
        <w:t>a</w:t>
      </w:r>
      <w:r w:rsidR="00DC7348" w:rsidRPr="004678AD">
        <w:rPr>
          <w:color w:val="000000" w:themeColor="text1"/>
          <w:szCs w:val="24"/>
        </w:rPr>
        <w:t>n additional</w:t>
      </w:r>
      <w:r w:rsidR="00E6206F" w:rsidRPr="004678AD">
        <w:rPr>
          <w:color w:val="000000" w:themeColor="text1"/>
          <w:szCs w:val="24"/>
        </w:rPr>
        <w:t xml:space="preserve"> </w:t>
      </w:r>
      <w:r w:rsidR="00F56F50" w:rsidRPr="004678AD">
        <w:rPr>
          <w:color w:val="000000" w:themeColor="text1"/>
          <w:szCs w:val="24"/>
        </w:rPr>
        <w:t>contingenc</w:t>
      </w:r>
      <w:r w:rsidR="00E6206F" w:rsidRPr="004678AD">
        <w:rPr>
          <w:color w:val="000000" w:themeColor="text1"/>
          <w:szCs w:val="24"/>
        </w:rPr>
        <w:t>y</w:t>
      </w:r>
      <w:r w:rsidR="00F56F50" w:rsidRPr="004678AD">
        <w:rPr>
          <w:color w:val="000000" w:themeColor="text1"/>
          <w:szCs w:val="24"/>
        </w:rPr>
        <w:t xml:space="preserve"> for </w:t>
      </w:r>
      <w:r w:rsidR="007A622C" w:rsidRPr="004678AD">
        <w:rPr>
          <w:color w:val="000000" w:themeColor="text1"/>
          <w:szCs w:val="24"/>
        </w:rPr>
        <w:t>the</w:t>
      </w:r>
      <w:r w:rsidR="004A78D8" w:rsidRPr="004678AD">
        <w:rPr>
          <w:color w:val="000000" w:themeColor="text1"/>
          <w:szCs w:val="24"/>
        </w:rPr>
        <w:t xml:space="preserve"> possibility</w:t>
      </w:r>
      <w:r w:rsidR="00F56F50" w:rsidRPr="004678AD">
        <w:rPr>
          <w:color w:val="000000" w:themeColor="text1"/>
          <w:szCs w:val="24"/>
        </w:rPr>
        <w:t xml:space="preserve"> </w:t>
      </w:r>
      <w:r w:rsidR="007A622C" w:rsidRPr="004678AD">
        <w:rPr>
          <w:color w:val="000000" w:themeColor="text1"/>
          <w:szCs w:val="24"/>
        </w:rPr>
        <w:t xml:space="preserve">of </w:t>
      </w:r>
      <w:r w:rsidR="00F56F50" w:rsidRPr="004678AD">
        <w:rPr>
          <w:color w:val="000000" w:themeColor="text1"/>
          <w:szCs w:val="24"/>
        </w:rPr>
        <w:t>remarriage</w:t>
      </w:r>
      <w:r w:rsidR="007A622C" w:rsidRPr="004678AD">
        <w:rPr>
          <w:color w:val="000000" w:themeColor="text1"/>
          <w:szCs w:val="24"/>
        </w:rPr>
        <w:t xml:space="preserve"> or re-</w:t>
      </w:r>
      <w:r w:rsidR="00D80F9A" w:rsidRPr="004678AD">
        <w:rPr>
          <w:color w:val="000000" w:themeColor="text1"/>
          <w:szCs w:val="24"/>
        </w:rPr>
        <w:t>partnering</w:t>
      </w:r>
      <w:r w:rsidR="00F56F50" w:rsidRPr="004678AD">
        <w:rPr>
          <w:color w:val="000000" w:themeColor="text1"/>
          <w:szCs w:val="24"/>
        </w:rPr>
        <w:t xml:space="preserve">.  </w:t>
      </w:r>
      <w:r w:rsidR="00153930" w:rsidRPr="004678AD">
        <w:rPr>
          <w:color w:val="000000" w:themeColor="text1"/>
          <w:szCs w:val="24"/>
        </w:rPr>
        <w:t xml:space="preserve">This </w:t>
      </w:r>
      <w:r w:rsidR="009369E0" w:rsidRPr="004678AD">
        <w:rPr>
          <w:color w:val="000000" w:themeColor="text1"/>
          <w:szCs w:val="24"/>
        </w:rPr>
        <w:t xml:space="preserve">leads to the question how </w:t>
      </w:r>
      <w:r w:rsidR="005140E4" w:rsidRPr="004678AD">
        <w:rPr>
          <w:color w:val="000000" w:themeColor="text1"/>
          <w:szCs w:val="24"/>
        </w:rPr>
        <w:t xml:space="preserve">the additional </w:t>
      </w:r>
      <w:r w:rsidR="00A4484B" w:rsidRPr="004678AD">
        <w:rPr>
          <w:color w:val="000000" w:themeColor="text1"/>
          <w:szCs w:val="24"/>
        </w:rPr>
        <w:t>c</w:t>
      </w:r>
      <w:r w:rsidR="00A944D2" w:rsidRPr="004678AD">
        <w:rPr>
          <w:color w:val="000000" w:themeColor="text1"/>
          <w:szCs w:val="24"/>
        </w:rPr>
        <w:t xml:space="preserve">ontingency deduction for </w:t>
      </w:r>
      <w:r w:rsidR="0037121F" w:rsidRPr="004678AD">
        <w:rPr>
          <w:color w:val="000000" w:themeColor="text1"/>
          <w:szCs w:val="24"/>
        </w:rPr>
        <w:t xml:space="preserve">the possibility of </w:t>
      </w:r>
      <w:r w:rsidR="00A944D2" w:rsidRPr="004678AD">
        <w:rPr>
          <w:color w:val="000000" w:themeColor="text1"/>
          <w:szCs w:val="24"/>
        </w:rPr>
        <w:t>remarriage or re-partnering</w:t>
      </w:r>
      <w:r w:rsidR="009369E0" w:rsidRPr="004678AD">
        <w:rPr>
          <w:color w:val="000000" w:themeColor="text1"/>
          <w:szCs w:val="24"/>
        </w:rPr>
        <w:t xml:space="preserve"> is </w:t>
      </w:r>
      <w:r w:rsidR="005A2C59" w:rsidRPr="004678AD">
        <w:rPr>
          <w:color w:val="000000" w:themeColor="text1"/>
          <w:szCs w:val="24"/>
        </w:rPr>
        <w:t xml:space="preserve">to be </w:t>
      </w:r>
      <w:r w:rsidR="009369E0" w:rsidRPr="004678AD">
        <w:rPr>
          <w:color w:val="000000" w:themeColor="text1"/>
          <w:szCs w:val="24"/>
        </w:rPr>
        <w:t>applied.</w:t>
      </w:r>
      <w:r w:rsidR="00A944D2" w:rsidRPr="004678AD">
        <w:rPr>
          <w:color w:val="000000" w:themeColor="text1"/>
          <w:szCs w:val="24"/>
        </w:rPr>
        <w:t xml:space="preserve"> </w:t>
      </w:r>
      <w:r w:rsidR="00825670" w:rsidRPr="004678AD">
        <w:rPr>
          <w:color w:val="000000" w:themeColor="text1"/>
          <w:szCs w:val="24"/>
        </w:rPr>
        <w:t xml:space="preserve"> </w:t>
      </w:r>
      <w:r w:rsidR="000127DB" w:rsidRPr="004678AD">
        <w:rPr>
          <w:color w:val="000000" w:themeColor="text1"/>
          <w:szCs w:val="24"/>
        </w:rPr>
        <w:lastRenderedPageBreak/>
        <w:t>Broadly, t</w:t>
      </w:r>
      <w:r w:rsidR="004017E8" w:rsidRPr="004678AD">
        <w:rPr>
          <w:color w:val="000000" w:themeColor="text1"/>
          <w:szCs w:val="24"/>
        </w:rPr>
        <w:t>hree divergent approaches</w:t>
      </w:r>
      <w:r w:rsidR="006F5858" w:rsidRPr="004678AD">
        <w:rPr>
          <w:color w:val="000000" w:themeColor="text1"/>
          <w:szCs w:val="24"/>
        </w:rPr>
        <w:t xml:space="preserve"> emerge</w:t>
      </w:r>
      <w:r w:rsidR="004017E8" w:rsidRPr="004678AD">
        <w:rPr>
          <w:color w:val="000000" w:themeColor="text1"/>
          <w:szCs w:val="24"/>
        </w:rPr>
        <w:t>.  It is</w:t>
      </w:r>
      <w:r w:rsidR="00C87E9B" w:rsidRPr="004678AD">
        <w:rPr>
          <w:color w:val="000000" w:themeColor="text1"/>
          <w:szCs w:val="24"/>
        </w:rPr>
        <w:t xml:space="preserve"> </w:t>
      </w:r>
      <w:r w:rsidR="004017E8" w:rsidRPr="004678AD">
        <w:rPr>
          <w:color w:val="000000" w:themeColor="text1"/>
          <w:szCs w:val="24"/>
        </w:rPr>
        <w:t>necessary to assess each approach.</w:t>
      </w:r>
    </w:p>
    <w:p w14:paraId="1C2D4247" w14:textId="4A839693" w:rsidR="005028C9"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[60]</w:t>
      </w:r>
      <w:r w:rsidRPr="004678AD">
        <w:rPr>
          <w:color w:val="000000" w:themeColor="text1"/>
          <w:szCs w:val="24"/>
        </w:rPr>
        <w:tab/>
      </w:r>
      <w:r w:rsidR="004017E8" w:rsidRPr="004678AD">
        <w:rPr>
          <w:color w:val="000000" w:themeColor="text1"/>
          <w:szCs w:val="24"/>
        </w:rPr>
        <w:t>The earliest approach which I categorise according to its underlying ethos as the “attributes approach” applies both a general contingency for the vicissitudes of life and an additional contingency having regard to the specific attributes of the individual claimant to enter into a possible financially beneficial remarriage or re-partnering relationship.</w:t>
      </w:r>
      <w:r w:rsidR="004017E8" w:rsidRPr="004678AD">
        <w:rPr>
          <w:color w:val="000000" w:themeColor="text1"/>
          <w:szCs w:val="24"/>
          <w:vertAlign w:val="superscript"/>
        </w:rPr>
        <w:footnoteReference w:id="76"/>
      </w:r>
      <w:r w:rsidR="004017E8" w:rsidRPr="004678AD">
        <w:rPr>
          <w:color w:val="000000" w:themeColor="text1"/>
          <w:szCs w:val="24"/>
        </w:rPr>
        <w:t xml:space="preserve">  </w:t>
      </w:r>
    </w:p>
    <w:p w14:paraId="6C2895D1" w14:textId="00A163F0" w:rsidR="00841E9D"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[61]</w:t>
      </w:r>
      <w:r w:rsidRPr="004678AD">
        <w:rPr>
          <w:color w:val="000000" w:themeColor="text1"/>
          <w:szCs w:val="24"/>
        </w:rPr>
        <w:tab/>
      </w:r>
      <w:r w:rsidR="004017E8" w:rsidRPr="004678AD">
        <w:rPr>
          <w:color w:val="000000" w:themeColor="text1"/>
          <w:szCs w:val="24"/>
        </w:rPr>
        <w:t xml:space="preserve">A recent application of the “attributes approach” is evident in the judgment of </w:t>
      </w:r>
      <w:r w:rsidR="004017E8" w:rsidRPr="004678AD">
        <w:rPr>
          <w:i/>
          <w:color w:val="000000" w:themeColor="text1"/>
          <w:szCs w:val="24"/>
        </w:rPr>
        <w:t>YK v Road Accident Fund</w:t>
      </w:r>
      <w:r w:rsidR="004017E8" w:rsidRPr="004678AD">
        <w:rPr>
          <w:rStyle w:val="FootnoteReference"/>
          <w:color w:val="000000" w:themeColor="text1"/>
          <w:szCs w:val="24"/>
        </w:rPr>
        <w:footnoteReference w:id="77"/>
      </w:r>
      <w:r w:rsidR="004017E8" w:rsidRPr="004678AD">
        <w:rPr>
          <w:color w:val="000000" w:themeColor="text1"/>
          <w:szCs w:val="24"/>
        </w:rPr>
        <w:t xml:space="preserve"> where the court applied general contingencies of 5% and 15% in respect of past and future loss of maintenance </w:t>
      </w:r>
      <w:r w:rsidR="004017E8" w:rsidRPr="004678AD">
        <w:rPr>
          <w:i/>
          <w:iCs/>
          <w:color w:val="000000" w:themeColor="text1"/>
          <w:szCs w:val="24"/>
        </w:rPr>
        <w:t xml:space="preserve">and </w:t>
      </w:r>
      <w:r w:rsidR="004017E8" w:rsidRPr="004678AD">
        <w:rPr>
          <w:color w:val="000000" w:themeColor="text1"/>
          <w:szCs w:val="24"/>
        </w:rPr>
        <w:t>a remarriage or re-partnering contingency of 40% on the basis that:</w:t>
      </w:r>
    </w:p>
    <w:p w14:paraId="2B5E7A46" w14:textId="4F7C3C78" w:rsidR="004017E8" w:rsidRPr="004678AD" w:rsidRDefault="004017E8" w:rsidP="004678AD">
      <w:pPr>
        <w:pStyle w:val="JudgmentNumbered"/>
        <w:numPr>
          <w:ilvl w:val="0"/>
          <w:numId w:val="0"/>
        </w:numPr>
        <w:ind w:left="567"/>
        <w:rPr>
          <w:color w:val="000000" w:themeColor="text1"/>
          <w:szCs w:val="24"/>
        </w:rPr>
      </w:pPr>
      <w:r w:rsidRPr="004678AD">
        <w:rPr>
          <w:iCs/>
          <w:color w:val="000000" w:themeColor="text1"/>
          <w:szCs w:val="24"/>
        </w:rPr>
        <w:t>“In my view there can be nothing offensive for a presiding officer to have regard to, inter alia, the attractiveness, social skills and personality of a plaintiff who claims loss of maintenance based on the death of her/his spouse or life partner when considering the probability of remarriage.  I firmly believe the probability of entering into a marital relationship or lifelong cohabitation is greater in the case of a well groomed, attractive person with a pleasant personality who has not deliberately elected to remain single and it is irrelevant whether the person is male or female, heterosexual or a member of the LGBT community, to wit lesbian, gay, bisexual or transgender.</w:t>
      </w:r>
      <w:r w:rsidRPr="004678AD">
        <w:rPr>
          <w:color w:val="000000" w:themeColor="text1"/>
          <w:szCs w:val="24"/>
        </w:rPr>
        <w:t>”</w:t>
      </w:r>
      <w:r w:rsidRPr="004678AD">
        <w:rPr>
          <w:color w:val="000000" w:themeColor="text1"/>
          <w:szCs w:val="24"/>
          <w:vertAlign w:val="superscript"/>
        </w:rPr>
        <w:footnoteReference w:id="78"/>
      </w:r>
    </w:p>
    <w:p w14:paraId="62859BEE" w14:textId="77BF4AB1" w:rsidR="004017E8"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[62]</w:t>
      </w:r>
      <w:r w:rsidRPr="004678AD">
        <w:rPr>
          <w:color w:val="000000" w:themeColor="text1"/>
          <w:szCs w:val="24"/>
        </w:rPr>
        <w:tab/>
      </w:r>
      <w:r w:rsidR="004017E8" w:rsidRPr="004678AD">
        <w:rPr>
          <w:color w:val="000000" w:themeColor="text1"/>
          <w:szCs w:val="24"/>
        </w:rPr>
        <w:t xml:space="preserve">The “attributes approach” is based on two assumptions— the continued financial dependency and the assumption that the death of a breadwinner opens the possibility that such dependant will find another, substitute breadwinner who is equally able to provide financial support equivalent to the deceased. </w:t>
      </w:r>
      <w:bookmarkStart w:id="3" w:name="para133"/>
      <w:bookmarkEnd w:id="3"/>
      <w:r w:rsidR="004017E8" w:rsidRPr="004678AD">
        <w:rPr>
          <w:color w:val="000000" w:themeColor="text1"/>
          <w:szCs w:val="24"/>
        </w:rPr>
        <w:t xml:space="preserve"> </w:t>
      </w:r>
    </w:p>
    <w:p w14:paraId="5543C483" w14:textId="0B8B3D67" w:rsidR="004017E8"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[63]</w:t>
      </w:r>
      <w:r w:rsidRPr="004678AD">
        <w:rPr>
          <w:color w:val="000000" w:themeColor="text1"/>
          <w:szCs w:val="24"/>
        </w:rPr>
        <w:tab/>
      </w:r>
      <w:r w:rsidR="004017E8" w:rsidRPr="004678AD">
        <w:rPr>
          <w:color w:val="000000" w:themeColor="text1"/>
          <w:szCs w:val="24"/>
        </w:rPr>
        <w:t xml:space="preserve">The second approach to the remarriage or re-partnering contingency deduction, vociferously disavows having regard to physical attributes but retains the </w:t>
      </w:r>
      <w:r w:rsidR="004017E8" w:rsidRPr="004678AD">
        <w:rPr>
          <w:color w:val="000000" w:themeColor="text1"/>
          <w:szCs w:val="24"/>
        </w:rPr>
        <w:lastRenderedPageBreak/>
        <w:t>contingency strictly on actuarial calculations.</w:t>
      </w:r>
      <w:r w:rsidR="004017E8" w:rsidRPr="004678AD">
        <w:rPr>
          <w:color w:val="000000" w:themeColor="text1"/>
          <w:szCs w:val="24"/>
          <w:vertAlign w:val="superscript"/>
        </w:rPr>
        <w:footnoteReference w:id="79"/>
      </w:r>
      <w:r w:rsidR="004017E8" w:rsidRPr="004678AD">
        <w:rPr>
          <w:color w:val="000000" w:themeColor="text1"/>
          <w:szCs w:val="24"/>
        </w:rPr>
        <w:t xml:space="preserve">  This “actuarial calculation approach” can be traced to </w:t>
      </w:r>
      <w:r w:rsidR="004017E8" w:rsidRPr="004678AD">
        <w:rPr>
          <w:i/>
          <w:color w:val="000000" w:themeColor="text1"/>
          <w:szCs w:val="24"/>
        </w:rPr>
        <w:t>Ongevallekommissaris v Santam Bpk</w:t>
      </w:r>
      <w:r w:rsidR="004017E8" w:rsidRPr="004678AD">
        <w:rPr>
          <w:rStyle w:val="FootnoteReference"/>
          <w:color w:val="000000" w:themeColor="text1"/>
          <w:szCs w:val="24"/>
        </w:rPr>
        <w:footnoteReference w:id="80"/>
      </w:r>
      <w:r w:rsidR="004017E8" w:rsidRPr="004678AD">
        <w:rPr>
          <w:color w:val="000000" w:themeColor="text1"/>
          <w:szCs w:val="24"/>
        </w:rPr>
        <w:t xml:space="preserve"> cited with approval by the full bench in </w:t>
      </w:r>
      <w:r w:rsidR="004017E8" w:rsidRPr="004678AD">
        <w:rPr>
          <w:i/>
          <w:color w:val="000000" w:themeColor="text1"/>
          <w:szCs w:val="24"/>
        </w:rPr>
        <w:t>Members of the Executive Council Responsible for the Department of Road and Public Works, North West Province v Oosthuizen.</w:t>
      </w:r>
      <w:r w:rsidR="004017E8" w:rsidRPr="004678AD">
        <w:rPr>
          <w:rStyle w:val="FootnoteReference"/>
          <w:color w:val="000000" w:themeColor="text1"/>
          <w:szCs w:val="24"/>
        </w:rPr>
        <w:footnoteReference w:id="81"/>
      </w:r>
      <w:r w:rsidR="004017E8" w:rsidRPr="004678AD">
        <w:rPr>
          <w:color w:val="000000" w:themeColor="text1"/>
          <w:szCs w:val="24"/>
        </w:rPr>
        <w:t xml:space="preserve">  </w:t>
      </w:r>
    </w:p>
    <w:p w14:paraId="3C37CA30" w14:textId="68D341AB" w:rsidR="00841E9D"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[64]</w:t>
      </w:r>
      <w:r w:rsidRPr="004678AD">
        <w:rPr>
          <w:color w:val="000000" w:themeColor="text1"/>
          <w:szCs w:val="24"/>
        </w:rPr>
        <w:tab/>
      </w:r>
      <w:r w:rsidR="004017E8" w:rsidRPr="004678AD">
        <w:rPr>
          <w:color w:val="000000" w:themeColor="text1"/>
          <w:szCs w:val="24"/>
        </w:rPr>
        <w:t xml:space="preserve">The application of the “actuarial calculation approach” is best captured in </w:t>
      </w:r>
      <w:r w:rsidR="004017E8" w:rsidRPr="004678AD">
        <w:rPr>
          <w:i/>
          <w:color w:val="000000" w:themeColor="text1"/>
          <w:szCs w:val="24"/>
        </w:rPr>
        <w:t>Esterhuizen and Others v Road Accident Fund</w:t>
      </w:r>
      <w:r w:rsidR="004017E8" w:rsidRPr="004678AD">
        <w:rPr>
          <w:rStyle w:val="FootnoteReference"/>
          <w:color w:val="000000" w:themeColor="text1"/>
          <w:szCs w:val="24"/>
        </w:rPr>
        <w:footnoteReference w:id="82"/>
      </w:r>
      <w:r w:rsidR="004017E8" w:rsidRPr="004678AD">
        <w:rPr>
          <w:color w:val="000000" w:themeColor="text1"/>
          <w:szCs w:val="24"/>
        </w:rPr>
        <w:t xml:space="preserve"> where Tolmay J approved reliance on the actuarial calculation in the following terms:</w:t>
      </w:r>
    </w:p>
    <w:p w14:paraId="5F30E4D1" w14:textId="77777777" w:rsidR="00841E9D" w:rsidRPr="004678AD" w:rsidRDefault="004017E8" w:rsidP="004678AD">
      <w:pPr>
        <w:pStyle w:val="JudgmentNumbered"/>
        <w:numPr>
          <w:ilvl w:val="0"/>
          <w:numId w:val="0"/>
        </w:numPr>
        <w:ind w:left="567"/>
        <w:rPr>
          <w:color w:val="000000" w:themeColor="text1"/>
          <w:szCs w:val="24"/>
        </w:rPr>
      </w:pPr>
      <w:r w:rsidRPr="004678AD">
        <w:rPr>
          <w:iCs/>
          <w:color w:val="000000" w:themeColor="text1"/>
          <w:szCs w:val="24"/>
        </w:rPr>
        <w:t>“In my view the aforementioned approach is both correct and realistic and in accordance with the values of equality and dignity enshrined in our Constitution.  It keeps in mind that an award of damages should be fair and to allow for the possibility of remarriage is appropriate, but no reliance should be placed on factors such as appearance.</w:t>
      </w:r>
    </w:p>
    <w:p w14:paraId="7633D089" w14:textId="73715E05" w:rsidR="004017E8" w:rsidRPr="004678AD" w:rsidRDefault="004017E8" w:rsidP="004678AD">
      <w:pPr>
        <w:pStyle w:val="JudgmentNumbered"/>
        <w:numPr>
          <w:ilvl w:val="0"/>
          <w:numId w:val="0"/>
        </w:numPr>
        <w:ind w:left="567"/>
        <w:rPr>
          <w:color w:val="000000" w:themeColor="text1"/>
          <w:szCs w:val="24"/>
        </w:rPr>
      </w:pPr>
      <w:r w:rsidRPr="004678AD">
        <w:rPr>
          <w:iCs/>
          <w:color w:val="000000" w:themeColor="text1"/>
          <w:szCs w:val="24"/>
        </w:rPr>
        <w:t>I am of the view that it must also be borne in mind that a second marriage may not result in financial support. There is the possibility that the second marriage may not last and that the financial support, if gained, may be lost. The second husband may also not be in a financial position to give the necessary financial support.  Consequently the possibility that the remarriage may not result in financial support must also be taken into consideration when the remarriage contingency is determined.”</w:t>
      </w:r>
      <w:r w:rsidRPr="004678AD">
        <w:rPr>
          <w:color w:val="000000" w:themeColor="text1"/>
          <w:szCs w:val="24"/>
          <w:vertAlign w:val="superscript"/>
        </w:rPr>
        <w:footnoteReference w:id="83"/>
      </w:r>
    </w:p>
    <w:p w14:paraId="3CD4047E" w14:textId="23BEC689" w:rsidR="004017E8"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[65]</w:t>
      </w:r>
      <w:r w:rsidRPr="004678AD">
        <w:rPr>
          <w:color w:val="000000" w:themeColor="text1"/>
          <w:szCs w:val="24"/>
        </w:rPr>
        <w:tab/>
      </w:r>
      <w:r w:rsidR="004017E8" w:rsidRPr="004678AD">
        <w:rPr>
          <w:color w:val="000000" w:themeColor="text1"/>
          <w:szCs w:val="24"/>
        </w:rPr>
        <w:t xml:space="preserve">The “actuarial calculation approach” is based on generalised statistical norms to determine the financial implications occasioned by the possible reacquisition of remarriage or re-partnering.  The “actuarial calculation approach” applies both a general contingency for the vicissitudes of life and an additional contingency based on actuarial statistical normative calculations.  The actuarial normative </w:t>
      </w:r>
      <w:r w:rsidR="004017E8" w:rsidRPr="004678AD">
        <w:rPr>
          <w:color w:val="000000" w:themeColor="text1"/>
          <w:szCs w:val="24"/>
        </w:rPr>
        <w:lastRenderedPageBreak/>
        <w:t>standards have been criticised because of outdated data statistics.</w:t>
      </w:r>
      <w:r w:rsidR="004017E8" w:rsidRPr="004678AD">
        <w:rPr>
          <w:rStyle w:val="FootnoteReference"/>
          <w:color w:val="000000" w:themeColor="text1"/>
          <w:szCs w:val="24"/>
        </w:rPr>
        <w:footnoteReference w:id="84"/>
      </w:r>
      <w:r w:rsidR="004017E8" w:rsidRPr="004678AD">
        <w:rPr>
          <w:color w:val="000000" w:themeColor="text1"/>
          <w:szCs w:val="24"/>
        </w:rPr>
        <w:t xml:space="preserve">  It is uncertain whether the </w:t>
      </w:r>
      <w:r w:rsidR="006B5293" w:rsidRPr="004678AD">
        <w:rPr>
          <w:color w:val="000000" w:themeColor="text1"/>
          <w:szCs w:val="24"/>
        </w:rPr>
        <w:t xml:space="preserve">actuarial </w:t>
      </w:r>
      <w:r w:rsidR="004017E8" w:rsidRPr="004678AD">
        <w:rPr>
          <w:color w:val="000000" w:themeColor="text1"/>
          <w:szCs w:val="24"/>
        </w:rPr>
        <w:t xml:space="preserve">normative standards incorporate </w:t>
      </w:r>
      <w:r w:rsidR="006B5293" w:rsidRPr="004678AD">
        <w:rPr>
          <w:color w:val="000000" w:themeColor="text1"/>
          <w:szCs w:val="24"/>
        </w:rPr>
        <w:t xml:space="preserve">the full spectrum </w:t>
      </w:r>
      <w:r w:rsidR="004017E8" w:rsidRPr="004678AD">
        <w:rPr>
          <w:color w:val="000000" w:themeColor="text1"/>
          <w:szCs w:val="24"/>
        </w:rPr>
        <w:t xml:space="preserve">of </w:t>
      </w:r>
      <w:r w:rsidR="004A72EC" w:rsidRPr="004678AD">
        <w:rPr>
          <w:color w:val="000000" w:themeColor="text1"/>
          <w:szCs w:val="24"/>
        </w:rPr>
        <w:t xml:space="preserve">dependant claims arising from marriage or relationship “akin to marriage” </w:t>
      </w:r>
      <w:r w:rsidR="007E60C3" w:rsidRPr="004678AD">
        <w:rPr>
          <w:color w:val="000000" w:themeColor="text1"/>
          <w:szCs w:val="24"/>
        </w:rPr>
        <w:t xml:space="preserve">such as </w:t>
      </w:r>
      <w:r w:rsidR="004017E8" w:rsidRPr="004678AD">
        <w:rPr>
          <w:color w:val="000000" w:themeColor="text1"/>
          <w:szCs w:val="24"/>
        </w:rPr>
        <w:t>family-like partnerships.</w:t>
      </w:r>
      <w:r w:rsidR="004017E8" w:rsidRPr="004678AD">
        <w:rPr>
          <w:rStyle w:val="FootnoteReference"/>
          <w:color w:val="000000" w:themeColor="text1"/>
          <w:szCs w:val="24"/>
        </w:rPr>
        <w:footnoteReference w:id="85"/>
      </w:r>
      <w:r w:rsidR="004017E8" w:rsidRPr="004678AD">
        <w:rPr>
          <w:color w:val="000000" w:themeColor="text1"/>
          <w:szCs w:val="24"/>
        </w:rPr>
        <w:t xml:space="preserve">  </w:t>
      </w:r>
    </w:p>
    <w:p w14:paraId="2CBD1ED4" w14:textId="1671B879" w:rsidR="004017E8"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[66]</w:t>
      </w:r>
      <w:r w:rsidRPr="004678AD">
        <w:rPr>
          <w:color w:val="000000" w:themeColor="text1"/>
          <w:szCs w:val="24"/>
        </w:rPr>
        <w:tab/>
      </w:r>
      <w:r w:rsidR="004017E8" w:rsidRPr="004678AD">
        <w:rPr>
          <w:color w:val="000000" w:themeColor="text1"/>
          <w:szCs w:val="24"/>
        </w:rPr>
        <w:t>The third approach consigns the “attributes approach” to archaic legal history, criticises the simple “actuarial calculation approach”, and provides for only one general contingency for the vicissitudes of life unless “</w:t>
      </w:r>
      <w:r w:rsidR="004017E8" w:rsidRPr="004678AD">
        <w:rPr>
          <w:i/>
          <w:iCs/>
          <w:color w:val="000000" w:themeColor="text1"/>
          <w:szCs w:val="24"/>
        </w:rPr>
        <w:t>the facts of a particular case clearly demonstrate that a higher than normal, and, special contingency for remarriage is to be deducted</w:t>
      </w:r>
      <w:r w:rsidR="004017E8" w:rsidRPr="004678AD">
        <w:rPr>
          <w:color w:val="000000" w:themeColor="text1"/>
          <w:szCs w:val="24"/>
        </w:rPr>
        <w:t>.”</w:t>
      </w:r>
      <w:r w:rsidR="004017E8" w:rsidRPr="004678AD">
        <w:rPr>
          <w:color w:val="000000" w:themeColor="text1"/>
          <w:szCs w:val="24"/>
          <w:vertAlign w:val="superscript"/>
        </w:rPr>
        <w:footnoteReference w:id="86"/>
      </w:r>
      <w:r w:rsidR="004017E8" w:rsidRPr="004678AD">
        <w:rPr>
          <w:color w:val="000000" w:themeColor="text1"/>
          <w:szCs w:val="24"/>
        </w:rPr>
        <w:t xml:space="preserve">  </w:t>
      </w:r>
    </w:p>
    <w:p w14:paraId="0240FB2D" w14:textId="06F8EB90" w:rsidR="00841E9D"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[67]</w:t>
      </w:r>
      <w:r w:rsidRPr="004678AD">
        <w:rPr>
          <w:color w:val="000000" w:themeColor="text1"/>
          <w:szCs w:val="24"/>
        </w:rPr>
        <w:tab/>
      </w:r>
      <w:r w:rsidR="004017E8" w:rsidRPr="004678AD">
        <w:rPr>
          <w:color w:val="000000" w:themeColor="text1"/>
          <w:szCs w:val="24"/>
        </w:rPr>
        <w:t>The application of the “</w:t>
      </w:r>
      <w:r w:rsidR="00191CF7" w:rsidRPr="004678AD">
        <w:rPr>
          <w:color w:val="000000" w:themeColor="text1"/>
          <w:szCs w:val="24"/>
        </w:rPr>
        <w:t xml:space="preserve">one general contingency </w:t>
      </w:r>
      <w:r w:rsidR="004017E8" w:rsidRPr="004678AD">
        <w:rPr>
          <w:color w:val="000000" w:themeColor="text1"/>
          <w:szCs w:val="24"/>
        </w:rPr>
        <w:t xml:space="preserve">approach” is evident in </w:t>
      </w:r>
      <w:r w:rsidR="004017E8" w:rsidRPr="004678AD">
        <w:rPr>
          <w:i/>
          <w:color w:val="000000" w:themeColor="text1"/>
          <w:szCs w:val="24"/>
        </w:rPr>
        <w:t>LD v Road Accident Fund</w:t>
      </w:r>
      <w:r w:rsidR="004017E8" w:rsidRPr="004678AD">
        <w:rPr>
          <w:rStyle w:val="FootnoteReference"/>
          <w:color w:val="000000" w:themeColor="text1"/>
          <w:szCs w:val="24"/>
        </w:rPr>
        <w:footnoteReference w:id="87"/>
      </w:r>
      <w:r w:rsidR="004017E8" w:rsidRPr="004678AD">
        <w:rPr>
          <w:color w:val="000000" w:themeColor="text1"/>
          <w:szCs w:val="24"/>
        </w:rPr>
        <w:t xml:space="preserve"> where the court held:</w:t>
      </w:r>
    </w:p>
    <w:p w14:paraId="008ADE81" w14:textId="77777777" w:rsidR="00841E9D" w:rsidRPr="004678AD" w:rsidRDefault="004017E8" w:rsidP="004678AD">
      <w:pPr>
        <w:pStyle w:val="JudgmentNumbered"/>
        <w:numPr>
          <w:ilvl w:val="0"/>
          <w:numId w:val="0"/>
        </w:numPr>
        <w:ind w:left="567"/>
        <w:rPr>
          <w:color w:val="000000" w:themeColor="text1"/>
          <w:szCs w:val="24"/>
        </w:rPr>
      </w:pPr>
      <w:r w:rsidRPr="004678AD">
        <w:rPr>
          <w:color w:val="000000" w:themeColor="text1"/>
          <w:szCs w:val="24"/>
        </w:rPr>
        <w:t>“</w:t>
      </w:r>
      <w:r w:rsidRPr="004678AD">
        <w:rPr>
          <w:iCs/>
          <w:color w:val="000000" w:themeColor="text1"/>
          <w:szCs w:val="24"/>
        </w:rPr>
        <w:t xml:space="preserve">While the determination of a remarriage contingency is a discretionary matter for the trial court, taking into account all the evidence before it, and the court in the exercise of its discretion may have regard to statistics, I do not agree that the matter is one of ‘a simple actuarial contingency’ referred to in </w:t>
      </w:r>
      <w:r w:rsidRPr="004678AD">
        <w:rPr>
          <w:i/>
          <w:iCs/>
          <w:color w:val="000000" w:themeColor="text1"/>
          <w:szCs w:val="24"/>
        </w:rPr>
        <w:t>Esterhuizen</w:t>
      </w:r>
      <w:r w:rsidRPr="004678AD">
        <w:rPr>
          <w:iCs/>
          <w:color w:val="000000" w:themeColor="text1"/>
          <w:szCs w:val="24"/>
        </w:rPr>
        <w:t>.  The decision to marry is seldom, if ever, in the first instance a commercial one or one arrived at mathematically.</w:t>
      </w:r>
    </w:p>
    <w:p w14:paraId="3AB2A453" w14:textId="10F77687" w:rsidR="004017E8" w:rsidRPr="004678AD" w:rsidRDefault="004017E8" w:rsidP="004678AD">
      <w:pPr>
        <w:pStyle w:val="JudgmentNumbered"/>
        <w:numPr>
          <w:ilvl w:val="0"/>
          <w:numId w:val="0"/>
        </w:numPr>
        <w:ind w:left="567"/>
        <w:rPr>
          <w:color w:val="000000" w:themeColor="text1"/>
          <w:szCs w:val="24"/>
        </w:rPr>
      </w:pPr>
      <w:r w:rsidRPr="004678AD">
        <w:rPr>
          <w:iCs/>
          <w:color w:val="000000" w:themeColor="text1"/>
          <w:szCs w:val="24"/>
        </w:rPr>
        <w:t xml:space="preserve">Having regard to the outdated statistics in Koch, it seems to me that in order to obviate an injustice to a widow or widower and in particular to the plaintiff in the present case, that the approach adopted by the Australian court is the correct approach to follow.  Unless the facts of a particular case clearly demonstrate that a higher than normal, and, special contingency for remarriage is to be deducted, such further contingency ought not to be deducted. The ‘vicissitudes of life’, take account of the prospects of remarriage – no matter the reason therefore and </w:t>
      </w:r>
      <w:r w:rsidRPr="004678AD">
        <w:rPr>
          <w:iCs/>
          <w:color w:val="000000" w:themeColor="text1"/>
          <w:szCs w:val="24"/>
        </w:rPr>
        <w:lastRenderedPageBreak/>
        <w:t>thus, absent special circumstances, incorporate a more just provision for the contingency than the arbitrary statistical deduction of a further contingency.</w:t>
      </w:r>
      <w:r w:rsidRPr="004678AD">
        <w:rPr>
          <w:color w:val="000000" w:themeColor="text1"/>
          <w:szCs w:val="24"/>
          <w:vertAlign w:val="superscript"/>
        </w:rPr>
        <w:t>”</w:t>
      </w:r>
      <w:r w:rsidRPr="004678AD">
        <w:rPr>
          <w:color w:val="000000" w:themeColor="text1"/>
          <w:szCs w:val="24"/>
          <w:vertAlign w:val="superscript"/>
        </w:rPr>
        <w:footnoteReference w:id="88"/>
      </w:r>
    </w:p>
    <w:p w14:paraId="5864AF4D" w14:textId="32767F28" w:rsidR="00841E9D"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[68]</w:t>
      </w:r>
      <w:r w:rsidRPr="004678AD">
        <w:rPr>
          <w:color w:val="000000" w:themeColor="text1"/>
          <w:szCs w:val="24"/>
        </w:rPr>
        <w:tab/>
      </w:r>
      <w:r w:rsidR="004017E8" w:rsidRPr="004678AD">
        <w:rPr>
          <w:color w:val="000000" w:themeColor="text1"/>
          <w:szCs w:val="24"/>
        </w:rPr>
        <w:t>Applying the “</w:t>
      </w:r>
      <w:r w:rsidR="00191CF7" w:rsidRPr="004678AD">
        <w:rPr>
          <w:color w:val="000000" w:themeColor="text1"/>
          <w:szCs w:val="24"/>
        </w:rPr>
        <w:t xml:space="preserve">one general contingency </w:t>
      </w:r>
      <w:r w:rsidR="004017E8" w:rsidRPr="004678AD">
        <w:rPr>
          <w:color w:val="000000" w:themeColor="text1"/>
          <w:szCs w:val="24"/>
        </w:rPr>
        <w:t xml:space="preserve">approach”, the court in </w:t>
      </w:r>
      <w:r w:rsidR="004017E8" w:rsidRPr="004678AD">
        <w:rPr>
          <w:i/>
          <w:color w:val="000000" w:themeColor="text1"/>
          <w:szCs w:val="24"/>
        </w:rPr>
        <w:t>MV and Others v Road Accident Fund</w:t>
      </w:r>
      <w:r w:rsidR="004017E8" w:rsidRPr="004678AD">
        <w:rPr>
          <w:color w:val="000000" w:themeColor="text1"/>
          <w:szCs w:val="24"/>
        </w:rPr>
        <w:t xml:space="preserve"> concluded:</w:t>
      </w:r>
    </w:p>
    <w:p w14:paraId="05FA3434" w14:textId="28C2E8AB" w:rsidR="004017E8" w:rsidRPr="004678AD" w:rsidRDefault="004017E8" w:rsidP="004678AD">
      <w:pPr>
        <w:pStyle w:val="JudgmentNumbered"/>
        <w:numPr>
          <w:ilvl w:val="0"/>
          <w:numId w:val="0"/>
        </w:numPr>
        <w:ind w:left="567"/>
        <w:rPr>
          <w:color w:val="000000" w:themeColor="text1"/>
          <w:szCs w:val="24"/>
        </w:rPr>
      </w:pPr>
      <w:r w:rsidRPr="004678AD">
        <w:rPr>
          <w:iCs/>
          <w:color w:val="000000" w:themeColor="text1"/>
          <w:szCs w:val="24"/>
        </w:rPr>
        <w:t xml:space="preserve">“In </w:t>
      </w:r>
      <w:r w:rsidRPr="004678AD">
        <w:rPr>
          <w:color w:val="000000" w:themeColor="text1"/>
          <w:szCs w:val="24"/>
        </w:rPr>
        <w:t>considering</w:t>
      </w:r>
      <w:r w:rsidRPr="004678AD">
        <w:rPr>
          <w:iCs/>
          <w:color w:val="000000" w:themeColor="text1"/>
          <w:szCs w:val="24"/>
        </w:rPr>
        <w:t xml:space="preserve"> the aspect of remarriage, I am of the view that there are no special circumstances to warrant a further deduction.  Remarriage is part of the vicissitudes of life and should not be considered separately in this case.”</w:t>
      </w:r>
      <w:r w:rsidRPr="004678AD">
        <w:rPr>
          <w:color w:val="000000" w:themeColor="text1"/>
          <w:szCs w:val="24"/>
          <w:vertAlign w:val="superscript"/>
        </w:rPr>
        <w:footnoteReference w:id="89"/>
      </w:r>
    </w:p>
    <w:p w14:paraId="137607B2" w14:textId="284D244E" w:rsidR="004017E8"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[69]</w:t>
      </w:r>
      <w:r w:rsidRPr="004678AD">
        <w:rPr>
          <w:color w:val="000000" w:themeColor="text1"/>
          <w:szCs w:val="24"/>
        </w:rPr>
        <w:tab/>
      </w:r>
      <w:r w:rsidR="004017E8" w:rsidRPr="004678AD">
        <w:rPr>
          <w:color w:val="000000" w:themeColor="text1"/>
          <w:szCs w:val="24"/>
        </w:rPr>
        <w:t>The “</w:t>
      </w:r>
      <w:r w:rsidR="00CC59DE" w:rsidRPr="004678AD">
        <w:rPr>
          <w:color w:val="000000" w:themeColor="text1"/>
          <w:szCs w:val="24"/>
        </w:rPr>
        <w:t xml:space="preserve">one general contingency </w:t>
      </w:r>
      <w:r w:rsidR="004017E8" w:rsidRPr="004678AD">
        <w:rPr>
          <w:color w:val="000000" w:themeColor="text1"/>
          <w:szCs w:val="24"/>
        </w:rPr>
        <w:t xml:space="preserve">approach” applies only one contingency for the general vicissitudes of life except where the facts clearly demonstrate a higher than normal, special contingency for remarriage or re-partnering.  The difficulty is that there is no guidance as to what factors constitute special circumstances.  </w:t>
      </w:r>
    </w:p>
    <w:p w14:paraId="605DFCE0" w14:textId="516EF22A" w:rsidR="003C5A60"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[70]</w:t>
      </w:r>
      <w:r w:rsidRPr="004678AD">
        <w:rPr>
          <w:color w:val="000000" w:themeColor="text1"/>
          <w:szCs w:val="24"/>
        </w:rPr>
        <w:tab/>
      </w:r>
      <w:r w:rsidR="00F05A34" w:rsidRPr="004678AD">
        <w:rPr>
          <w:color w:val="000000" w:themeColor="text1"/>
          <w:szCs w:val="24"/>
        </w:rPr>
        <w:t xml:space="preserve">At this juncture, </w:t>
      </w:r>
      <w:r w:rsidR="00A548A8" w:rsidRPr="004678AD">
        <w:rPr>
          <w:color w:val="000000" w:themeColor="text1"/>
          <w:szCs w:val="24"/>
        </w:rPr>
        <w:t xml:space="preserve">it is apposite to mention </w:t>
      </w:r>
      <w:r w:rsidR="00B04C27" w:rsidRPr="004678AD">
        <w:rPr>
          <w:color w:val="000000" w:themeColor="text1"/>
          <w:szCs w:val="24"/>
        </w:rPr>
        <w:t xml:space="preserve">my concerns.  The RAF Act only requires dependants to provide evidence of a legally enforceable duty of support.  </w:t>
      </w:r>
      <w:r w:rsidR="0028701A" w:rsidRPr="004678AD">
        <w:rPr>
          <w:color w:val="000000" w:themeColor="text1"/>
          <w:szCs w:val="24"/>
        </w:rPr>
        <w:t xml:space="preserve">This is aligns with </w:t>
      </w:r>
      <w:r w:rsidR="00DA5A56" w:rsidRPr="004678AD">
        <w:rPr>
          <w:color w:val="000000" w:themeColor="text1"/>
          <w:szCs w:val="24"/>
        </w:rPr>
        <w:t xml:space="preserve">the nature of the right captured in </w:t>
      </w:r>
      <w:r w:rsidR="0028701A" w:rsidRPr="004678AD">
        <w:rPr>
          <w:color w:val="000000" w:themeColor="text1"/>
          <w:szCs w:val="24"/>
        </w:rPr>
        <w:t xml:space="preserve">Jameson's Minors v Central South African Railways </w:t>
      </w:r>
      <w:r w:rsidR="003C5A60" w:rsidRPr="004678AD">
        <w:rPr>
          <w:color w:val="000000" w:themeColor="text1"/>
          <w:szCs w:val="24"/>
        </w:rPr>
        <w:t>where Innes CJ stated:</w:t>
      </w:r>
    </w:p>
    <w:p w14:paraId="0522D4B4" w14:textId="67E53CE5" w:rsidR="0028701A" w:rsidRPr="004678AD" w:rsidRDefault="0028701A" w:rsidP="004678AD">
      <w:pPr>
        <w:pStyle w:val="JudgmentNumbered"/>
        <w:numPr>
          <w:ilvl w:val="0"/>
          <w:numId w:val="0"/>
        </w:numPr>
        <w:ind w:left="567"/>
        <w:rPr>
          <w:color w:val="000000" w:themeColor="text1"/>
          <w:szCs w:val="24"/>
        </w:rPr>
      </w:pPr>
      <w:r w:rsidRPr="004678AD">
        <w:rPr>
          <w:color w:val="000000" w:themeColor="text1"/>
          <w:szCs w:val="24"/>
        </w:rPr>
        <w:t>“</w:t>
      </w:r>
      <w:r w:rsidRPr="004678AD">
        <w:rPr>
          <w:i/>
          <w:iCs/>
          <w:color w:val="000000" w:themeColor="text1"/>
          <w:szCs w:val="24"/>
        </w:rPr>
        <w:t>Our law, while recognising no right of action on behalf of the deceased's estate, gives to those dependent on him a direct claim, enforceable in their own names, against the wrongdoer.  This is a right not derived from the deceased man or his estate, but independently conferred upon members of his family.</w:t>
      </w:r>
      <w:r w:rsidRPr="004678AD">
        <w:rPr>
          <w:color w:val="000000" w:themeColor="text1"/>
          <w:szCs w:val="24"/>
        </w:rPr>
        <w:t>”</w:t>
      </w:r>
      <w:r w:rsidRPr="004678AD">
        <w:rPr>
          <w:rStyle w:val="FootnoteReference"/>
          <w:color w:val="000000" w:themeColor="text1"/>
          <w:szCs w:val="24"/>
        </w:rPr>
        <w:footnoteReference w:id="90"/>
      </w:r>
    </w:p>
    <w:p w14:paraId="24A97C7E" w14:textId="5D0CDC5E" w:rsidR="00EE284F"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[71]</w:t>
      </w:r>
      <w:r w:rsidRPr="004678AD">
        <w:rPr>
          <w:color w:val="000000" w:themeColor="text1"/>
          <w:szCs w:val="24"/>
        </w:rPr>
        <w:tab/>
      </w:r>
      <w:r w:rsidR="00EE284F" w:rsidRPr="004678AD">
        <w:rPr>
          <w:color w:val="000000" w:themeColor="text1"/>
          <w:szCs w:val="24"/>
        </w:rPr>
        <w:t xml:space="preserve">A legally enforceable right of support includes all dependant claims arising from any legally recognised source, such as legal marriages, civil unions, blood relations, adoption, court order as well as wider </w:t>
      </w:r>
      <w:r w:rsidR="00EE284F" w:rsidRPr="004678AD">
        <w:rPr>
          <w:i/>
          <w:iCs/>
          <w:color w:val="000000" w:themeColor="text1"/>
          <w:szCs w:val="24"/>
        </w:rPr>
        <w:t>de facto</w:t>
      </w:r>
      <w:r w:rsidR="00EE284F" w:rsidRPr="004678AD">
        <w:rPr>
          <w:color w:val="000000" w:themeColor="text1"/>
          <w:szCs w:val="24"/>
        </w:rPr>
        <w:t xml:space="preserve"> relationships.</w:t>
      </w:r>
      <w:r w:rsidR="00EE284F" w:rsidRPr="004678AD">
        <w:rPr>
          <w:color w:val="000000" w:themeColor="text1"/>
          <w:szCs w:val="24"/>
          <w:vertAlign w:val="superscript"/>
        </w:rPr>
        <w:footnoteReference w:id="91"/>
      </w:r>
      <w:r w:rsidR="00EE284F" w:rsidRPr="004678AD">
        <w:rPr>
          <w:color w:val="000000" w:themeColor="text1"/>
          <w:szCs w:val="24"/>
        </w:rPr>
        <w:t xml:space="preserve">  Wider </w:t>
      </w:r>
      <w:r w:rsidR="00EE284F" w:rsidRPr="004678AD">
        <w:rPr>
          <w:i/>
          <w:iCs/>
          <w:color w:val="000000" w:themeColor="text1"/>
          <w:szCs w:val="24"/>
        </w:rPr>
        <w:t>de facto</w:t>
      </w:r>
      <w:r w:rsidR="00EE284F" w:rsidRPr="004678AD">
        <w:rPr>
          <w:color w:val="000000" w:themeColor="text1"/>
          <w:szCs w:val="24"/>
        </w:rPr>
        <w:t xml:space="preserve"> relationships include a duty of support between an aunt and nephew as the supreme court of appeal recognised in </w:t>
      </w:r>
      <w:r w:rsidR="00EE284F" w:rsidRPr="004678AD">
        <w:rPr>
          <w:i/>
          <w:color w:val="000000" w:themeColor="text1"/>
          <w:szCs w:val="24"/>
        </w:rPr>
        <w:t>Road Accident Fund v Mohohlo.</w:t>
      </w:r>
      <w:r w:rsidR="00EE284F" w:rsidRPr="004678AD">
        <w:rPr>
          <w:rStyle w:val="FootnoteReference"/>
          <w:color w:val="000000" w:themeColor="text1"/>
          <w:szCs w:val="24"/>
        </w:rPr>
        <w:footnoteReference w:id="92"/>
      </w:r>
      <w:r w:rsidR="00EE284F" w:rsidRPr="004678AD">
        <w:rPr>
          <w:i/>
          <w:color w:val="000000" w:themeColor="text1"/>
          <w:szCs w:val="24"/>
        </w:rPr>
        <w:t xml:space="preserve">  </w:t>
      </w:r>
      <w:r w:rsidR="00EE284F" w:rsidRPr="004678AD">
        <w:rPr>
          <w:color w:val="000000" w:themeColor="text1"/>
          <w:szCs w:val="24"/>
        </w:rPr>
        <w:t xml:space="preserve">Wider </w:t>
      </w:r>
      <w:r w:rsidR="00EE284F" w:rsidRPr="004678AD">
        <w:rPr>
          <w:i/>
          <w:iCs/>
          <w:color w:val="000000" w:themeColor="text1"/>
          <w:szCs w:val="24"/>
        </w:rPr>
        <w:t>de facto</w:t>
      </w:r>
      <w:r w:rsidR="00EE284F" w:rsidRPr="004678AD">
        <w:rPr>
          <w:color w:val="000000" w:themeColor="text1"/>
          <w:szCs w:val="24"/>
        </w:rPr>
        <w:t xml:space="preserve"> relationships also include recognition of a right of support arising </w:t>
      </w:r>
      <w:r w:rsidR="00EE284F" w:rsidRPr="004678AD">
        <w:rPr>
          <w:color w:val="000000" w:themeColor="text1"/>
          <w:szCs w:val="24"/>
        </w:rPr>
        <w:lastRenderedPageBreak/>
        <w:t>from a court order entitling a divorced spouse to maintenance.</w:t>
      </w:r>
      <w:r w:rsidR="00EE284F" w:rsidRPr="004678AD">
        <w:rPr>
          <w:rStyle w:val="FootnoteReference"/>
          <w:color w:val="000000" w:themeColor="text1"/>
          <w:szCs w:val="24"/>
        </w:rPr>
        <w:footnoteReference w:id="93"/>
      </w:r>
      <w:r w:rsidR="00EE284F" w:rsidRPr="004678AD">
        <w:rPr>
          <w:color w:val="000000" w:themeColor="text1"/>
          <w:szCs w:val="24"/>
        </w:rPr>
        <w:t xml:space="preserve">  The right to claim loss of support vests equally amongst all dependants who have a legally enforceable right to claim financial support from the deceased.  The RAF Act does not distinguish between dependants.</w:t>
      </w:r>
    </w:p>
    <w:p w14:paraId="53D08891" w14:textId="4B322045" w:rsidR="00F76CC1"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[72]</w:t>
      </w:r>
      <w:r w:rsidRPr="004678AD">
        <w:rPr>
          <w:color w:val="000000" w:themeColor="text1"/>
          <w:szCs w:val="24"/>
        </w:rPr>
        <w:tab/>
      </w:r>
      <w:r w:rsidR="009A5D36" w:rsidRPr="004678AD">
        <w:rPr>
          <w:color w:val="000000" w:themeColor="text1"/>
          <w:szCs w:val="24"/>
        </w:rPr>
        <w:t xml:space="preserve">In </w:t>
      </w:r>
      <w:r w:rsidR="009A5D36" w:rsidRPr="004678AD">
        <w:rPr>
          <w:i/>
          <w:color w:val="000000" w:themeColor="text1"/>
          <w:szCs w:val="24"/>
        </w:rPr>
        <w:t>Ongevallekommissaris v Santam Bpk</w:t>
      </w:r>
      <w:r w:rsidR="009A5D36" w:rsidRPr="004678AD">
        <w:rPr>
          <w:color w:val="000000" w:themeColor="text1"/>
          <w:szCs w:val="24"/>
        </w:rPr>
        <w:t xml:space="preserve"> the Supreme Court of Appeal held that since the remarriage contingency applied equally to all “</w:t>
      </w:r>
      <w:r w:rsidR="009A5D36" w:rsidRPr="004678AD">
        <w:rPr>
          <w:i/>
          <w:iCs/>
          <w:color w:val="000000" w:themeColor="text1"/>
          <w:szCs w:val="24"/>
        </w:rPr>
        <w:t>weduwee</w:t>
      </w:r>
      <w:r w:rsidR="009A5D36" w:rsidRPr="004678AD">
        <w:rPr>
          <w:color w:val="000000" w:themeColor="text1"/>
          <w:szCs w:val="24"/>
        </w:rPr>
        <w:t>” (widow) claims, no inequality arose when applying the remarriage contingency to widows already remarried and those widows who have not yet remarried.</w:t>
      </w:r>
      <w:r w:rsidR="009A5D36" w:rsidRPr="004678AD">
        <w:rPr>
          <w:rStyle w:val="FootnoteReference"/>
          <w:color w:val="000000" w:themeColor="text1"/>
          <w:szCs w:val="24"/>
        </w:rPr>
        <w:footnoteReference w:id="94"/>
      </w:r>
      <w:r w:rsidR="009A5D36" w:rsidRPr="004678AD">
        <w:rPr>
          <w:color w:val="000000" w:themeColor="text1"/>
          <w:szCs w:val="24"/>
        </w:rPr>
        <w:t xml:space="preserve">  </w:t>
      </w:r>
      <w:r w:rsidR="00A519A7" w:rsidRPr="004678AD">
        <w:rPr>
          <w:color w:val="000000" w:themeColor="text1"/>
          <w:szCs w:val="24"/>
          <w:lang w:val="en-ZA"/>
        </w:rPr>
        <w:t xml:space="preserve">I accept that the remarriage or re-partnering contingency </w:t>
      </w:r>
      <w:r w:rsidR="00CD1254" w:rsidRPr="004678AD">
        <w:rPr>
          <w:color w:val="000000" w:themeColor="text1"/>
          <w:szCs w:val="24"/>
          <w:lang w:val="en-ZA"/>
        </w:rPr>
        <w:t>when</w:t>
      </w:r>
      <w:r w:rsidR="00A519A7" w:rsidRPr="004678AD">
        <w:rPr>
          <w:color w:val="000000" w:themeColor="text1"/>
          <w:szCs w:val="24"/>
          <w:lang w:val="en-ZA"/>
        </w:rPr>
        <w:t xml:space="preserve"> applied to all dependant </w:t>
      </w:r>
      <w:r w:rsidR="00A519A7" w:rsidRPr="004678AD">
        <w:rPr>
          <w:color w:val="000000" w:themeColor="text1"/>
          <w:szCs w:val="24"/>
        </w:rPr>
        <w:t xml:space="preserve">claims arising from marriage or relationship “akin to marriage” </w:t>
      </w:r>
      <w:r w:rsidR="00B71230" w:rsidRPr="004678AD">
        <w:rPr>
          <w:color w:val="000000" w:themeColor="text1"/>
          <w:szCs w:val="24"/>
        </w:rPr>
        <w:t xml:space="preserve">does not give rise to inequality. </w:t>
      </w:r>
      <w:r w:rsidR="00A519A7" w:rsidRPr="004678AD">
        <w:rPr>
          <w:color w:val="000000" w:themeColor="text1"/>
          <w:szCs w:val="24"/>
        </w:rPr>
        <w:t xml:space="preserve"> However, this e</w:t>
      </w:r>
      <w:r w:rsidR="007F0288" w:rsidRPr="004678AD">
        <w:rPr>
          <w:color w:val="000000" w:themeColor="text1"/>
          <w:szCs w:val="24"/>
        </w:rPr>
        <w:t xml:space="preserve">qual application only makes sense </w:t>
      </w:r>
      <w:r w:rsidR="00514266" w:rsidRPr="004678AD">
        <w:rPr>
          <w:color w:val="000000" w:themeColor="text1"/>
          <w:szCs w:val="24"/>
        </w:rPr>
        <w:t xml:space="preserve">when comparing </w:t>
      </w:r>
      <w:r w:rsidR="00B71230" w:rsidRPr="004678AD">
        <w:rPr>
          <w:color w:val="000000" w:themeColor="text1"/>
          <w:szCs w:val="24"/>
          <w:lang w:val="en-ZA"/>
        </w:rPr>
        <w:t xml:space="preserve">dependant </w:t>
      </w:r>
      <w:r w:rsidR="00B71230" w:rsidRPr="004678AD">
        <w:rPr>
          <w:color w:val="000000" w:themeColor="text1"/>
          <w:szCs w:val="24"/>
        </w:rPr>
        <w:t>claims arising from marriage or relationship “akin to marriage</w:t>
      </w:r>
      <w:r w:rsidR="007F0288" w:rsidRPr="004678AD">
        <w:rPr>
          <w:color w:val="000000" w:themeColor="text1"/>
          <w:szCs w:val="24"/>
        </w:rPr>
        <w:t>.</w:t>
      </w:r>
      <w:r w:rsidR="00E178E1" w:rsidRPr="004678AD">
        <w:rPr>
          <w:color w:val="000000" w:themeColor="text1"/>
          <w:szCs w:val="24"/>
        </w:rPr>
        <w:t xml:space="preserve">”  </w:t>
      </w:r>
      <w:r w:rsidR="00DF2562" w:rsidRPr="004678AD">
        <w:rPr>
          <w:color w:val="000000" w:themeColor="text1"/>
          <w:szCs w:val="24"/>
        </w:rPr>
        <w:t xml:space="preserve">When </w:t>
      </w:r>
      <w:r w:rsidR="00F00D1C" w:rsidRPr="004678AD">
        <w:rPr>
          <w:color w:val="000000" w:themeColor="text1"/>
          <w:szCs w:val="24"/>
        </w:rPr>
        <w:t xml:space="preserve">regard is had to the broad spectrum of dependant claims, it is evident </w:t>
      </w:r>
      <w:r w:rsidR="00286CD2" w:rsidRPr="004678AD">
        <w:rPr>
          <w:color w:val="000000" w:themeColor="text1"/>
          <w:szCs w:val="24"/>
        </w:rPr>
        <w:t xml:space="preserve">that </w:t>
      </w:r>
      <w:r w:rsidR="00C170E5" w:rsidRPr="004678AD">
        <w:rPr>
          <w:color w:val="000000" w:themeColor="text1"/>
          <w:szCs w:val="24"/>
        </w:rPr>
        <w:t>the application of the additional contingency</w:t>
      </w:r>
      <w:r w:rsidR="00B85A05" w:rsidRPr="004678AD">
        <w:rPr>
          <w:color w:val="000000" w:themeColor="text1"/>
          <w:szCs w:val="24"/>
        </w:rPr>
        <w:t xml:space="preserve"> for the possibility of remarriage or re-partnering</w:t>
      </w:r>
      <w:r w:rsidR="00C170E5" w:rsidRPr="004678AD">
        <w:rPr>
          <w:color w:val="000000" w:themeColor="text1"/>
          <w:szCs w:val="24"/>
        </w:rPr>
        <w:t xml:space="preserve">, is </w:t>
      </w:r>
      <w:r w:rsidR="00040591" w:rsidRPr="004678AD">
        <w:rPr>
          <w:color w:val="000000" w:themeColor="text1"/>
          <w:szCs w:val="24"/>
        </w:rPr>
        <w:t xml:space="preserve">not </w:t>
      </w:r>
      <w:r w:rsidR="00C170E5" w:rsidRPr="004678AD">
        <w:rPr>
          <w:color w:val="000000" w:themeColor="text1"/>
          <w:szCs w:val="24"/>
        </w:rPr>
        <w:t xml:space="preserve">equally applied between all dependants who have a legally enforceable right of support.  </w:t>
      </w:r>
    </w:p>
    <w:p w14:paraId="6C7F18A0" w14:textId="4F13F1DA" w:rsidR="00F76CC1"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[73]</w:t>
      </w:r>
      <w:r w:rsidRPr="004678AD">
        <w:rPr>
          <w:color w:val="000000" w:themeColor="text1"/>
          <w:szCs w:val="24"/>
        </w:rPr>
        <w:tab/>
      </w:r>
      <w:r w:rsidR="00D95FC8" w:rsidRPr="004678AD">
        <w:rPr>
          <w:color w:val="000000" w:themeColor="text1"/>
          <w:szCs w:val="24"/>
        </w:rPr>
        <w:t>Our courts have consistently relied on the “danger of overcompensation” to justify the application of the additional contingency to dependant claims arising from marriage or relationship “akin to marriage.”.</w:t>
      </w:r>
      <w:r w:rsidR="00D95FC8" w:rsidRPr="004678AD">
        <w:rPr>
          <w:rStyle w:val="FootnoteReference"/>
          <w:color w:val="000000" w:themeColor="text1"/>
          <w:szCs w:val="24"/>
        </w:rPr>
        <w:footnoteReference w:id="95"/>
      </w:r>
      <w:r w:rsidR="00D95FC8" w:rsidRPr="004678AD">
        <w:rPr>
          <w:color w:val="000000" w:themeColor="text1"/>
          <w:szCs w:val="24"/>
        </w:rPr>
        <w:t xml:space="preserve">  </w:t>
      </w:r>
      <w:r w:rsidR="0067162D" w:rsidRPr="004678AD">
        <w:rPr>
          <w:color w:val="000000" w:themeColor="text1"/>
          <w:szCs w:val="24"/>
        </w:rPr>
        <w:t xml:space="preserve">This creates an anomaly.  For example, the aunt’s claim in </w:t>
      </w:r>
      <w:r w:rsidR="0067162D" w:rsidRPr="004678AD">
        <w:rPr>
          <w:i/>
          <w:color w:val="000000" w:themeColor="text1"/>
          <w:szCs w:val="24"/>
        </w:rPr>
        <w:t>Road Accident Fund v Mohohlo</w:t>
      </w:r>
      <w:r w:rsidR="0067162D" w:rsidRPr="004678AD">
        <w:rPr>
          <w:rStyle w:val="FootnoteReference"/>
          <w:color w:val="000000" w:themeColor="text1"/>
          <w:szCs w:val="24"/>
        </w:rPr>
        <w:footnoteReference w:id="96"/>
      </w:r>
      <w:r w:rsidR="0067162D" w:rsidRPr="004678AD">
        <w:rPr>
          <w:i/>
          <w:color w:val="000000" w:themeColor="text1"/>
          <w:szCs w:val="24"/>
        </w:rPr>
        <w:t xml:space="preserve"> </w:t>
      </w:r>
      <w:r w:rsidR="0067162D" w:rsidRPr="004678AD">
        <w:rPr>
          <w:color w:val="000000" w:themeColor="text1"/>
          <w:szCs w:val="24"/>
        </w:rPr>
        <w:t xml:space="preserve">is not automatically subject to a remarriage or re-partnering contingency deduction yet if such aunt were to claim as a widow or unmarried cohabitating dependant, then the possibility of remarriage or re-partnering contingency deduction is a consideration. </w:t>
      </w:r>
      <w:r w:rsidR="00083022" w:rsidRPr="004678AD">
        <w:rPr>
          <w:color w:val="000000" w:themeColor="text1"/>
          <w:szCs w:val="24"/>
        </w:rPr>
        <w:t xml:space="preserve"> Given that t</w:t>
      </w:r>
      <w:r w:rsidR="00F76CC1" w:rsidRPr="004678AD">
        <w:rPr>
          <w:color w:val="000000" w:themeColor="text1"/>
          <w:szCs w:val="24"/>
        </w:rPr>
        <w:t xml:space="preserve">he spectrum of </w:t>
      </w:r>
      <w:r w:rsidR="00083022" w:rsidRPr="004678AD">
        <w:rPr>
          <w:color w:val="000000" w:themeColor="text1"/>
          <w:szCs w:val="24"/>
        </w:rPr>
        <w:t xml:space="preserve">all </w:t>
      </w:r>
      <w:r w:rsidR="00F76CC1" w:rsidRPr="004678AD">
        <w:rPr>
          <w:color w:val="000000" w:themeColor="text1"/>
          <w:szCs w:val="24"/>
        </w:rPr>
        <w:t xml:space="preserve">dependant claims includes minor child dependants, it is obvious that the remarriage or re-partnering contingency cannot be applied to claims by minor child dependants.  I point out that </w:t>
      </w:r>
      <w:r w:rsidR="00F76CC1" w:rsidRPr="004678AD">
        <w:rPr>
          <w:i/>
          <w:iCs/>
          <w:color w:val="000000" w:themeColor="text1"/>
          <w:szCs w:val="24"/>
        </w:rPr>
        <w:t>Hulley v Cox</w:t>
      </w:r>
      <w:r w:rsidR="00F76CC1" w:rsidRPr="004678AD">
        <w:rPr>
          <w:color w:val="000000" w:themeColor="text1"/>
          <w:szCs w:val="24"/>
        </w:rPr>
        <w:t xml:space="preserve"> </w:t>
      </w:r>
      <w:r w:rsidR="008B7656" w:rsidRPr="004678AD">
        <w:rPr>
          <w:color w:val="000000" w:themeColor="text1"/>
          <w:szCs w:val="24"/>
        </w:rPr>
        <w:t>makes reference</w:t>
      </w:r>
      <w:r w:rsidR="00F76CC1" w:rsidRPr="004678AD">
        <w:rPr>
          <w:color w:val="000000" w:themeColor="text1"/>
          <w:szCs w:val="24"/>
        </w:rPr>
        <w:t xml:space="preserve"> </w:t>
      </w:r>
      <w:r w:rsidR="008B7656" w:rsidRPr="004678AD">
        <w:rPr>
          <w:color w:val="000000" w:themeColor="text1"/>
          <w:szCs w:val="24"/>
        </w:rPr>
        <w:t xml:space="preserve">to </w:t>
      </w:r>
      <w:r w:rsidR="00F76CC1" w:rsidRPr="004678AD">
        <w:rPr>
          <w:color w:val="000000" w:themeColor="text1"/>
          <w:szCs w:val="24"/>
        </w:rPr>
        <w:t>the possibility of a dependant becoming “self-</w:t>
      </w:r>
      <w:r w:rsidR="00F76CC1" w:rsidRPr="004678AD">
        <w:rPr>
          <w:color w:val="000000" w:themeColor="text1"/>
          <w:szCs w:val="24"/>
        </w:rPr>
        <w:lastRenderedPageBreak/>
        <w:t>supporting.”</w:t>
      </w:r>
      <w:r w:rsidR="00F76CC1" w:rsidRPr="004678AD">
        <w:rPr>
          <w:rStyle w:val="FootnoteReference"/>
          <w:color w:val="000000" w:themeColor="text1"/>
          <w:szCs w:val="24"/>
        </w:rPr>
        <w:footnoteReference w:id="97"/>
      </w:r>
      <w:r w:rsidR="00F76CC1" w:rsidRPr="004678AD">
        <w:rPr>
          <w:color w:val="000000" w:themeColor="text1"/>
          <w:szCs w:val="24"/>
        </w:rPr>
        <w:t xml:space="preserve">  The possible danger of a minor child dependant becoming “self-supporting” </w:t>
      </w:r>
      <w:r w:rsidR="001B7345" w:rsidRPr="004678AD">
        <w:rPr>
          <w:color w:val="000000" w:themeColor="text1"/>
          <w:szCs w:val="24"/>
        </w:rPr>
        <w:t xml:space="preserve">also </w:t>
      </w:r>
      <w:r w:rsidR="0019536C" w:rsidRPr="004678AD">
        <w:rPr>
          <w:color w:val="000000" w:themeColor="text1"/>
          <w:szCs w:val="24"/>
        </w:rPr>
        <w:t>gives rise to</w:t>
      </w:r>
      <w:r w:rsidR="00F76CC1" w:rsidRPr="004678AD">
        <w:rPr>
          <w:color w:val="000000" w:themeColor="text1"/>
          <w:szCs w:val="24"/>
        </w:rPr>
        <w:t xml:space="preserve"> the possibility of overcompensation </w:t>
      </w:r>
      <w:r w:rsidR="001B7345" w:rsidRPr="004678AD">
        <w:rPr>
          <w:color w:val="000000" w:themeColor="text1"/>
          <w:szCs w:val="24"/>
        </w:rPr>
        <w:t>y</w:t>
      </w:r>
      <w:r w:rsidR="00791DEF" w:rsidRPr="004678AD">
        <w:rPr>
          <w:color w:val="000000" w:themeColor="text1"/>
          <w:szCs w:val="24"/>
        </w:rPr>
        <w:t>et</w:t>
      </w:r>
      <w:r w:rsidR="00F76CC1" w:rsidRPr="004678AD">
        <w:rPr>
          <w:color w:val="000000" w:themeColor="text1"/>
          <w:szCs w:val="24"/>
        </w:rPr>
        <w:t xml:space="preserve"> no additional contingency deduction is made for the possibility of “self-support.”</w:t>
      </w:r>
      <w:r w:rsidR="001B7345" w:rsidRPr="004678AD">
        <w:rPr>
          <w:rStyle w:val="FootnoteReference"/>
          <w:color w:val="000000" w:themeColor="text1"/>
          <w:szCs w:val="24"/>
        </w:rPr>
        <w:footnoteReference w:id="98"/>
      </w:r>
      <w:r w:rsidR="001B7345" w:rsidRPr="004678AD">
        <w:rPr>
          <w:color w:val="000000" w:themeColor="text1"/>
          <w:szCs w:val="24"/>
        </w:rPr>
        <w:t xml:space="preserve"> </w:t>
      </w:r>
      <w:r w:rsidR="00F76CC1" w:rsidRPr="004678AD">
        <w:rPr>
          <w:color w:val="000000" w:themeColor="text1"/>
          <w:szCs w:val="24"/>
        </w:rPr>
        <w:t xml:space="preserve"> </w:t>
      </w:r>
      <w:r w:rsidR="00121706" w:rsidRPr="004678AD">
        <w:rPr>
          <w:color w:val="000000" w:themeColor="text1"/>
          <w:szCs w:val="24"/>
        </w:rPr>
        <w:t xml:space="preserve">By parity of reasoning, all dependants have an equal possibility of being overcompensated.  </w:t>
      </w:r>
    </w:p>
    <w:p w14:paraId="75EDE762" w14:textId="1023F8FE" w:rsidR="00874126"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[74]</w:t>
      </w:r>
      <w:r w:rsidRPr="004678AD">
        <w:rPr>
          <w:color w:val="000000" w:themeColor="text1"/>
          <w:szCs w:val="24"/>
        </w:rPr>
        <w:tab/>
      </w:r>
      <w:r w:rsidR="0067550A" w:rsidRPr="004678AD">
        <w:rPr>
          <w:color w:val="000000" w:themeColor="text1"/>
          <w:szCs w:val="24"/>
        </w:rPr>
        <w:t xml:space="preserve">Since the remarriage or re-partnering contingency is not generally required as an additional contingency deduction across the wider </w:t>
      </w:r>
      <w:r w:rsidR="0067550A" w:rsidRPr="004678AD">
        <w:rPr>
          <w:i/>
          <w:iCs/>
          <w:color w:val="000000" w:themeColor="text1"/>
          <w:szCs w:val="24"/>
        </w:rPr>
        <w:t>de facto</w:t>
      </w:r>
      <w:r w:rsidR="0067550A" w:rsidRPr="004678AD">
        <w:rPr>
          <w:color w:val="000000" w:themeColor="text1"/>
          <w:szCs w:val="24"/>
        </w:rPr>
        <w:t xml:space="preserve"> relationships in the spectrum of all dependants’ claims, the danger of overcompensation in dependants’ claims arising from marriage or relationship “akin to marriage” is insufficient justification for the application of an additional contingency deduction.</w:t>
      </w:r>
      <w:r w:rsidR="00874126" w:rsidRPr="004678AD">
        <w:rPr>
          <w:color w:val="000000" w:themeColor="text1"/>
          <w:szCs w:val="24"/>
        </w:rPr>
        <w:t xml:space="preserve">  </w:t>
      </w:r>
    </w:p>
    <w:p w14:paraId="1F5B51D2" w14:textId="359AD682" w:rsidR="00C96B3F"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[75]</w:t>
      </w:r>
      <w:r w:rsidRPr="004678AD">
        <w:rPr>
          <w:color w:val="000000" w:themeColor="text1"/>
          <w:szCs w:val="24"/>
        </w:rPr>
        <w:tab/>
      </w:r>
      <w:r w:rsidR="00B055E3" w:rsidRPr="004678AD">
        <w:rPr>
          <w:color w:val="000000" w:themeColor="text1"/>
          <w:szCs w:val="24"/>
        </w:rPr>
        <w:t xml:space="preserve">Furthermore, if I am to accept that the </w:t>
      </w:r>
      <w:r w:rsidR="00874126" w:rsidRPr="004678AD">
        <w:rPr>
          <w:color w:val="000000" w:themeColor="text1"/>
          <w:szCs w:val="24"/>
        </w:rPr>
        <w:t xml:space="preserve">application of the </w:t>
      </w:r>
      <w:r w:rsidR="00B055E3" w:rsidRPr="004678AD">
        <w:rPr>
          <w:color w:val="000000" w:themeColor="text1"/>
          <w:szCs w:val="24"/>
        </w:rPr>
        <w:t>remarriage contingency is justified on the basis that the reciprocal duty of support between partners arises as a result of the marriage or partnership and terminates on remarriage then this conflicts with the continuing duty of support despite dissolution of such relationship.</w:t>
      </w:r>
      <w:r w:rsidR="00B055E3" w:rsidRPr="004678AD">
        <w:rPr>
          <w:rStyle w:val="FootnoteReference"/>
          <w:color w:val="000000" w:themeColor="text1"/>
          <w:szCs w:val="24"/>
        </w:rPr>
        <w:footnoteReference w:id="99"/>
      </w:r>
      <w:r w:rsidR="003A008F" w:rsidRPr="004678AD">
        <w:rPr>
          <w:color w:val="000000" w:themeColor="text1"/>
          <w:szCs w:val="24"/>
        </w:rPr>
        <w:t xml:space="preserve">  </w:t>
      </w:r>
    </w:p>
    <w:p w14:paraId="2D2CD49F" w14:textId="2C257F8C" w:rsidR="0067550A"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[76]</w:t>
      </w:r>
      <w:r w:rsidRPr="004678AD">
        <w:rPr>
          <w:color w:val="000000" w:themeColor="text1"/>
          <w:szCs w:val="24"/>
        </w:rPr>
        <w:tab/>
      </w:r>
      <w:r w:rsidR="00566172" w:rsidRPr="004678AD">
        <w:rPr>
          <w:color w:val="000000" w:themeColor="text1"/>
          <w:szCs w:val="24"/>
        </w:rPr>
        <w:t xml:space="preserve">The Supreme Court of Appeal in </w:t>
      </w:r>
      <w:r w:rsidR="00566172" w:rsidRPr="004678AD">
        <w:rPr>
          <w:i/>
          <w:color w:val="000000" w:themeColor="text1"/>
          <w:szCs w:val="24"/>
        </w:rPr>
        <w:t>CB and Another v HB</w:t>
      </w:r>
      <w:r w:rsidR="00566172" w:rsidRPr="004678AD">
        <w:rPr>
          <w:rStyle w:val="FootnoteReference"/>
          <w:color w:val="000000" w:themeColor="text1"/>
          <w:szCs w:val="24"/>
        </w:rPr>
        <w:footnoteReference w:id="100"/>
      </w:r>
      <w:r w:rsidR="00566172" w:rsidRPr="004678AD">
        <w:rPr>
          <w:color w:val="000000" w:themeColor="text1"/>
          <w:szCs w:val="24"/>
        </w:rPr>
        <w:t xml:space="preserve"> held that cohabitation (albeit in the context of a divorce settlement agreement), did not automatically terminate a legally enforceable right of support unless there was evidence that such </w:t>
      </w:r>
      <w:r w:rsidR="00566172" w:rsidRPr="004678AD">
        <w:rPr>
          <w:color w:val="000000" w:themeColor="text1"/>
          <w:szCs w:val="24"/>
          <w:shd w:val="clear" w:color="auto" w:fill="FFFFFF"/>
          <w:lang w:val="en-ZA" w:eastAsia="en-GB"/>
        </w:rPr>
        <w:t xml:space="preserve">cohabitation was “with a person who </w:t>
      </w:r>
      <w:r w:rsidR="00566172" w:rsidRPr="004678AD">
        <w:rPr>
          <w:i/>
          <w:iCs/>
          <w:color w:val="000000" w:themeColor="text1"/>
          <w:szCs w:val="24"/>
          <w:shd w:val="clear" w:color="auto" w:fill="FFFFFF"/>
          <w:lang w:val="en-ZA" w:eastAsia="en-GB"/>
        </w:rPr>
        <w:t>de facto</w:t>
      </w:r>
      <w:r w:rsidR="00566172" w:rsidRPr="004678AD">
        <w:rPr>
          <w:color w:val="000000" w:themeColor="text1"/>
          <w:szCs w:val="24"/>
          <w:shd w:val="clear" w:color="auto" w:fill="FFFFFF"/>
          <w:lang w:val="en-ZA" w:eastAsia="en-GB"/>
        </w:rPr>
        <w:t xml:space="preserve"> contributes to her maintenance.”</w:t>
      </w:r>
      <w:r w:rsidR="00566172" w:rsidRPr="004678AD">
        <w:rPr>
          <w:rStyle w:val="FootnoteReference"/>
          <w:color w:val="000000" w:themeColor="text1"/>
          <w:szCs w:val="24"/>
        </w:rPr>
        <w:footnoteReference w:id="101"/>
      </w:r>
      <w:r w:rsidR="00566172" w:rsidRPr="004678AD">
        <w:rPr>
          <w:color w:val="000000" w:themeColor="text1"/>
          <w:szCs w:val="24"/>
        </w:rPr>
        <w:t xml:space="preserve">  It is therefore clear that a reciprocal duty of support only terminates when another person becomes legally obliged to maintain such dependant.  As such, there must be evidence of the </w:t>
      </w:r>
      <w:r w:rsidR="00566172" w:rsidRPr="004678AD">
        <w:rPr>
          <w:i/>
          <w:iCs/>
          <w:color w:val="000000" w:themeColor="text1"/>
          <w:szCs w:val="24"/>
        </w:rPr>
        <w:t>actual</w:t>
      </w:r>
      <w:r w:rsidR="00566172" w:rsidRPr="004678AD">
        <w:rPr>
          <w:color w:val="000000" w:themeColor="text1"/>
          <w:szCs w:val="24"/>
        </w:rPr>
        <w:t xml:space="preserve"> termination of the legally enforceable duty of support between the deceased and the plaintiff, not simply a </w:t>
      </w:r>
      <w:r w:rsidR="00566172" w:rsidRPr="004678AD">
        <w:rPr>
          <w:i/>
          <w:iCs/>
          <w:color w:val="000000" w:themeColor="text1"/>
          <w:szCs w:val="24"/>
        </w:rPr>
        <w:t xml:space="preserve">possibility </w:t>
      </w:r>
      <w:r w:rsidR="00566172" w:rsidRPr="004678AD">
        <w:rPr>
          <w:color w:val="000000" w:themeColor="text1"/>
          <w:szCs w:val="24"/>
        </w:rPr>
        <w:t>of acquiring another legally enforceable duty of support.</w:t>
      </w:r>
    </w:p>
    <w:p w14:paraId="7B46B20D" w14:textId="16007F6F" w:rsidR="00E05550"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lastRenderedPageBreak/>
        <w:t>[77]</w:t>
      </w:r>
      <w:r w:rsidRPr="004678AD">
        <w:rPr>
          <w:color w:val="000000" w:themeColor="text1"/>
          <w:szCs w:val="24"/>
        </w:rPr>
        <w:tab/>
      </w:r>
      <w:r w:rsidR="002C3211" w:rsidRPr="004678AD">
        <w:rPr>
          <w:color w:val="000000" w:themeColor="text1"/>
          <w:szCs w:val="24"/>
        </w:rPr>
        <w:t xml:space="preserve">I am of the view that the application of the </w:t>
      </w:r>
      <w:r w:rsidR="00340F2B" w:rsidRPr="004678AD">
        <w:rPr>
          <w:color w:val="000000" w:themeColor="text1"/>
          <w:szCs w:val="24"/>
        </w:rPr>
        <w:t xml:space="preserve">possibility of </w:t>
      </w:r>
      <w:r w:rsidR="002C3211" w:rsidRPr="004678AD">
        <w:rPr>
          <w:color w:val="000000" w:themeColor="text1"/>
          <w:szCs w:val="24"/>
        </w:rPr>
        <w:t>remarriage or re-partnering contingency unfairly discriminates between dependants’ claims arising from marriage or relationships akin to marriage and all other dependants who have a legally enforceable right of support</w:t>
      </w:r>
      <w:r w:rsidR="00897A8A" w:rsidRPr="004678AD">
        <w:rPr>
          <w:color w:val="000000" w:themeColor="text1"/>
          <w:szCs w:val="24"/>
        </w:rPr>
        <w:t xml:space="preserve">.  </w:t>
      </w:r>
      <w:r w:rsidR="00D60440" w:rsidRPr="004678AD">
        <w:rPr>
          <w:color w:val="000000" w:themeColor="text1"/>
          <w:szCs w:val="24"/>
        </w:rPr>
        <w:t xml:space="preserve">The potential danger of overcompensation applies equally to all dependant claims for loss of support.  Herein lies the inequality.  </w:t>
      </w:r>
      <w:r w:rsidR="000A1E2B" w:rsidRPr="004678AD">
        <w:rPr>
          <w:color w:val="000000" w:themeColor="text1"/>
          <w:szCs w:val="24"/>
        </w:rPr>
        <w:t xml:space="preserve">The remarriage or re-partnering contingency must be applied equally to all dependant claims for loss of support or it should not be applied, at all.  </w:t>
      </w:r>
    </w:p>
    <w:p w14:paraId="7B4E10AB" w14:textId="55721E47" w:rsidR="00E05550"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[78]</w:t>
      </w:r>
      <w:r w:rsidRPr="004678AD">
        <w:rPr>
          <w:color w:val="000000" w:themeColor="text1"/>
          <w:szCs w:val="24"/>
        </w:rPr>
        <w:tab/>
      </w:r>
      <w:r w:rsidR="003A19BE" w:rsidRPr="004678AD">
        <w:rPr>
          <w:color w:val="000000" w:themeColor="text1"/>
          <w:szCs w:val="24"/>
          <w:lang w:val="en-ZA"/>
        </w:rPr>
        <w:t>One of the hallmarks of our Constitution, is equality.</w:t>
      </w:r>
      <w:r w:rsidR="003A19BE" w:rsidRPr="004678AD">
        <w:rPr>
          <w:rStyle w:val="FootnoteReference"/>
          <w:color w:val="000000" w:themeColor="text1"/>
          <w:szCs w:val="24"/>
        </w:rPr>
        <w:footnoteReference w:id="102"/>
      </w:r>
      <w:r w:rsidR="003A19BE" w:rsidRPr="004678AD">
        <w:rPr>
          <w:color w:val="000000" w:themeColor="text1"/>
          <w:szCs w:val="24"/>
        </w:rPr>
        <w:t xml:space="preserve">  </w:t>
      </w:r>
      <w:r w:rsidR="002C3211" w:rsidRPr="004678AD">
        <w:rPr>
          <w:color w:val="000000" w:themeColor="text1"/>
          <w:szCs w:val="24"/>
          <w:lang w:val="en-ZA" w:eastAsia="en-GB"/>
        </w:rPr>
        <w:t xml:space="preserve">The </w:t>
      </w:r>
      <w:r w:rsidR="00B828D0" w:rsidRPr="004678AD">
        <w:rPr>
          <w:color w:val="000000" w:themeColor="text1"/>
          <w:szCs w:val="24"/>
          <w:lang w:val="en-ZA" w:eastAsia="en-GB"/>
        </w:rPr>
        <w:t xml:space="preserve">additional </w:t>
      </w:r>
      <w:r w:rsidR="002C3211" w:rsidRPr="004678AD">
        <w:rPr>
          <w:color w:val="000000" w:themeColor="text1"/>
          <w:szCs w:val="24"/>
          <w:lang w:val="en-ZA" w:eastAsia="en-GB"/>
        </w:rPr>
        <w:t xml:space="preserve">remarriage </w:t>
      </w:r>
      <w:r w:rsidR="002003B3" w:rsidRPr="004678AD">
        <w:rPr>
          <w:color w:val="000000" w:themeColor="text1"/>
          <w:szCs w:val="24"/>
        </w:rPr>
        <w:t>or re-partnering</w:t>
      </w:r>
      <w:r w:rsidR="002003B3" w:rsidRPr="004678AD">
        <w:rPr>
          <w:color w:val="000000" w:themeColor="text1"/>
          <w:szCs w:val="24"/>
          <w:lang w:val="en-ZA" w:eastAsia="en-GB"/>
        </w:rPr>
        <w:t xml:space="preserve"> </w:t>
      </w:r>
      <w:r w:rsidR="002C3211" w:rsidRPr="004678AD">
        <w:rPr>
          <w:color w:val="000000" w:themeColor="text1"/>
          <w:szCs w:val="24"/>
          <w:lang w:val="en-ZA" w:eastAsia="en-GB"/>
        </w:rPr>
        <w:t>contingency deduction is in effect a mechanism for direct or indirect discrimination</w:t>
      </w:r>
      <w:r w:rsidR="00C008AC" w:rsidRPr="004678AD">
        <w:rPr>
          <w:color w:val="000000" w:themeColor="text1"/>
          <w:szCs w:val="24"/>
          <w:lang w:val="en-ZA" w:eastAsia="en-GB"/>
        </w:rPr>
        <w:t xml:space="preserve"> </w:t>
      </w:r>
      <w:r w:rsidR="002F0FE5" w:rsidRPr="004678AD">
        <w:rPr>
          <w:color w:val="000000" w:themeColor="text1"/>
          <w:szCs w:val="24"/>
        </w:rPr>
        <w:t>o</w:t>
      </w:r>
      <w:r w:rsidR="00FE13E1" w:rsidRPr="004678AD">
        <w:rPr>
          <w:color w:val="000000" w:themeColor="text1"/>
          <w:szCs w:val="24"/>
        </w:rPr>
        <w:t xml:space="preserve">f </w:t>
      </w:r>
      <w:r w:rsidR="002F0FE5" w:rsidRPr="004678AD">
        <w:rPr>
          <w:color w:val="000000" w:themeColor="text1"/>
          <w:szCs w:val="24"/>
        </w:rPr>
        <w:t>dependant claims arising from marriage or relationships akin to marriage</w:t>
      </w:r>
      <w:r w:rsidR="00FE13E1" w:rsidRPr="004678AD">
        <w:rPr>
          <w:color w:val="000000" w:themeColor="text1"/>
          <w:szCs w:val="24"/>
        </w:rPr>
        <w:t xml:space="preserve">.  </w:t>
      </w:r>
      <w:r w:rsidR="00C008AC" w:rsidRPr="004678AD">
        <w:rPr>
          <w:color w:val="000000" w:themeColor="text1"/>
          <w:szCs w:val="24"/>
        </w:rPr>
        <w:t xml:space="preserve">I am not convinced </w:t>
      </w:r>
      <w:r w:rsidR="009E6F15" w:rsidRPr="004678AD">
        <w:rPr>
          <w:color w:val="000000" w:themeColor="text1"/>
          <w:szCs w:val="24"/>
        </w:rPr>
        <w:t xml:space="preserve">that </w:t>
      </w:r>
      <w:r w:rsidR="006C1717" w:rsidRPr="004678AD">
        <w:rPr>
          <w:color w:val="000000" w:themeColor="text1"/>
          <w:szCs w:val="24"/>
        </w:rPr>
        <w:t xml:space="preserve">overcompensation </w:t>
      </w:r>
      <w:r w:rsidR="00971A22" w:rsidRPr="004678AD">
        <w:rPr>
          <w:color w:val="000000" w:themeColor="text1"/>
          <w:szCs w:val="24"/>
        </w:rPr>
        <w:t>is</w:t>
      </w:r>
      <w:r w:rsidR="00672785" w:rsidRPr="004678AD">
        <w:rPr>
          <w:color w:val="000000" w:themeColor="text1"/>
          <w:szCs w:val="24"/>
        </w:rPr>
        <w:t xml:space="preserve"> a reasonable and justifiable </w:t>
      </w:r>
      <w:r w:rsidR="00971A22" w:rsidRPr="004678AD">
        <w:rPr>
          <w:color w:val="000000" w:themeColor="text1"/>
          <w:szCs w:val="24"/>
        </w:rPr>
        <w:t>limit</w:t>
      </w:r>
      <w:r w:rsidR="00672785" w:rsidRPr="004678AD">
        <w:rPr>
          <w:color w:val="000000" w:themeColor="text1"/>
          <w:szCs w:val="24"/>
        </w:rPr>
        <w:t>ation</w:t>
      </w:r>
      <w:r w:rsidR="00971A22" w:rsidRPr="004678AD">
        <w:rPr>
          <w:color w:val="000000" w:themeColor="text1"/>
          <w:szCs w:val="24"/>
        </w:rPr>
        <w:t xml:space="preserve"> </w:t>
      </w:r>
      <w:r w:rsidR="00C008AC" w:rsidRPr="004678AD">
        <w:rPr>
          <w:color w:val="000000" w:themeColor="text1"/>
          <w:szCs w:val="24"/>
        </w:rPr>
        <w:t xml:space="preserve">in terms of section 36(1) of the Bill of Rights.  </w:t>
      </w:r>
      <w:r w:rsidR="00E05550" w:rsidRPr="004678AD">
        <w:rPr>
          <w:color w:val="000000" w:themeColor="text1"/>
          <w:szCs w:val="24"/>
        </w:rPr>
        <w:t>Section 39(2) of the Constitution enjoins courts to develop the common law to align with the normative grid of the Constitution to suit the demands of our evolving society and give effect to the Bill of Rights.</w:t>
      </w:r>
      <w:r w:rsidR="00E05550" w:rsidRPr="004678AD">
        <w:rPr>
          <w:rStyle w:val="FootnoteReference"/>
          <w:color w:val="000000" w:themeColor="text1"/>
          <w:szCs w:val="24"/>
        </w:rPr>
        <w:footnoteReference w:id="103"/>
      </w:r>
      <w:r w:rsidR="00E05550" w:rsidRPr="004678AD">
        <w:rPr>
          <w:color w:val="000000" w:themeColor="text1"/>
          <w:szCs w:val="24"/>
        </w:rPr>
        <w:t xml:space="preserve">  </w:t>
      </w:r>
      <w:r w:rsidR="00B4424A" w:rsidRPr="004678AD">
        <w:rPr>
          <w:color w:val="000000" w:themeColor="text1"/>
          <w:szCs w:val="24"/>
        </w:rPr>
        <w:t xml:space="preserve">I highlight the application of the remarriage or re-partnering contingency to dependants’ claims arising from marriage or relationship “akin to marriage” in the hope of bringing about its demise as offending the equality clause contained in section 9(3) of the Bill of Rights in our Constitution.  </w:t>
      </w:r>
    </w:p>
    <w:p w14:paraId="7E6E4E4D" w14:textId="3412EF46" w:rsidR="0030548C"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[79]</w:t>
      </w:r>
      <w:r w:rsidRPr="004678AD">
        <w:rPr>
          <w:color w:val="000000" w:themeColor="text1"/>
          <w:szCs w:val="24"/>
        </w:rPr>
        <w:tab/>
      </w:r>
      <w:r w:rsidR="00E55B5D" w:rsidRPr="004678AD">
        <w:rPr>
          <w:color w:val="000000" w:themeColor="text1"/>
          <w:szCs w:val="24"/>
        </w:rPr>
        <w:t>In a</w:t>
      </w:r>
      <w:r w:rsidR="00CC1258" w:rsidRPr="004678AD">
        <w:rPr>
          <w:color w:val="000000" w:themeColor="text1"/>
          <w:szCs w:val="24"/>
        </w:rPr>
        <w:t>lignment with both the spirit of the RAF Act and Constitution</w:t>
      </w:r>
      <w:r w:rsidR="003E239F" w:rsidRPr="004678AD">
        <w:rPr>
          <w:color w:val="000000" w:themeColor="text1"/>
          <w:szCs w:val="24"/>
        </w:rPr>
        <w:t>, I am of the view that</w:t>
      </w:r>
      <w:r w:rsidR="00CC1258" w:rsidRPr="004678AD">
        <w:rPr>
          <w:color w:val="000000" w:themeColor="text1"/>
          <w:szCs w:val="24"/>
        </w:rPr>
        <w:t xml:space="preserve"> </w:t>
      </w:r>
      <w:r w:rsidR="0005442A" w:rsidRPr="004678AD">
        <w:rPr>
          <w:color w:val="000000" w:themeColor="text1"/>
          <w:szCs w:val="24"/>
        </w:rPr>
        <w:t xml:space="preserve">only one general contingency for the </w:t>
      </w:r>
      <w:r w:rsidR="00D86CDE" w:rsidRPr="004678AD">
        <w:rPr>
          <w:color w:val="000000" w:themeColor="text1"/>
          <w:szCs w:val="24"/>
        </w:rPr>
        <w:t>vicissitudes</w:t>
      </w:r>
      <w:r w:rsidR="0005442A" w:rsidRPr="004678AD">
        <w:rPr>
          <w:color w:val="000000" w:themeColor="text1"/>
          <w:szCs w:val="24"/>
        </w:rPr>
        <w:t xml:space="preserve"> of life</w:t>
      </w:r>
      <w:r w:rsidR="00C70313" w:rsidRPr="004678AD">
        <w:rPr>
          <w:color w:val="000000" w:themeColor="text1"/>
          <w:szCs w:val="24"/>
        </w:rPr>
        <w:t xml:space="preserve"> should be applied to all dependants claims </w:t>
      </w:r>
      <w:r w:rsidR="000625C2" w:rsidRPr="004678AD">
        <w:rPr>
          <w:color w:val="000000" w:themeColor="text1"/>
          <w:szCs w:val="24"/>
        </w:rPr>
        <w:t xml:space="preserve">which </w:t>
      </w:r>
      <w:r w:rsidR="00C70313" w:rsidRPr="004678AD">
        <w:rPr>
          <w:color w:val="000000" w:themeColor="text1"/>
          <w:szCs w:val="24"/>
        </w:rPr>
        <w:t>aris</w:t>
      </w:r>
      <w:r w:rsidR="000625C2" w:rsidRPr="004678AD">
        <w:rPr>
          <w:color w:val="000000" w:themeColor="text1"/>
          <w:szCs w:val="24"/>
        </w:rPr>
        <w:t>e</w:t>
      </w:r>
      <w:r w:rsidR="00C70313" w:rsidRPr="004678AD">
        <w:rPr>
          <w:color w:val="000000" w:themeColor="text1"/>
          <w:szCs w:val="24"/>
        </w:rPr>
        <w:t xml:space="preserve"> </w:t>
      </w:r>
      <w:r w:rsidR="007505CB" w:rsidRPr="004678AD">
        <w:rPr>
          <w:color w:val="000000" w:themeColor="text1"/>
          <w:szCs w:val="24"/>
        </w:rPr>
        <w:t>from a legally enforceable right of support</w:t>
      </w:r>
      <w:r w:rsidR="0005442A" w:rsidRPr="004678AD">
        <w:rPr>
          <w:color w:val="000000" w:themeColor="text1"/>
          <w:szCs w:val="24"/>
        </w:rPr>
        <w:t>.</w:t>
      </w:r>
      <w:r w:rsidR="00027F05" w:rsidRPr="004678AD">
        <w:rPr>
          <w:rStyle w:val="FootnoteReference"/>
          <w:color w:val="000000" w:themeColor="text1"/>
          <w:szCs w:val="24"/>
        </w:rPr>
        <w:footnoteReference w:id="104"/>
      </w:r>
      <w:r w:rsidR="00027F05" w:rsidRPr="004678AD">
        <w:rPr>
          <w:color w:val="000000" w:themeColor="text1"/>
          <w:szCs w:val="24"/>
        </w:rPr>
        <w:t xml:space="preserve">  </w:t>
      </w:r>
    </w:p>
    <w:p w14:paraId="098A6969" w14:textId="058756A0"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[80]</w:t>
      </w:r>
      <w:r w:rsidRPr="004678AD">
        <w:rPr>
          <w:color w:val="000000" w:themeColor="text1"/>
          <w:szCs w:val="24"/>
        </w:rPr>
        <w:tab/>
      </w:r>
      <w:r w:rsidR="00BA6C45" w:rsidRPr="004678AD">
        <w:rPr>
          <w:color w:val="000000" w:themeColor="text1"/>
          <w:szCs w:val="24"/>
        </w:rPr>
        <w:t xml:space="preserve">Turning </w:t>
      </w:r>
      <w:r w:rsidR="004B2EA6" w:rsidRPr="004678AD">
        <w:rPr>
          <w:color w:val="000000" w:themeColor="text1"/>
          <w:szCs w:val="24"/>
        </w:rPr>
        <w:t xml:space="preserve">to </w:t>
      </w:r>
      <w:r w:rsidR="00EC030D" w:rsidRPr="004678AD">
        <w:rPr>
          <w:color w:val="000000" w:themeColor="text1"/>
          <w:szCs w:val="24"/>
        </w:rPr>
        <w:t xml:space="preserve">the </w:t>
      </w:r>
      <w:r w:rsidR="000D027C" w:rsidRPr="004678AD">
        <w:rPr>
          <w:color w:val="000000" w:themeColor="text1"/>
          <w:szCs w:val="24"/>
        </w:rPr>
        <w:t>facts</w:t>
      </w:r>
      <w:r w:rsidR="00EC030D" w:rsidRPr="004678AD">
        <w:rPr>
          <w:color w:val="000000" w:themeColor="text1"/>
          <w:szCs w:val="24"/>
        </w:rPr>
        <w:t xml:space="preserve">, </w:t>
      </w:r>
      <w:r w:rsidR="000A687E" w:rsidRPr="004678AD">
        <w:rPr>
          <w:color w:val="000000" w:themeColor="text1"/>
          <w:szCs w:val="24"/>
        </w:rPr>
        <w:t>the deceased was 59 years old</w:t>
      </w:r>
      <w:r w:rsidR="006D04CD" w:rsidRPr="004678AD">
        <w:rPr>
          <w:color w:val="000000" w:themeColor="text1"/>
          <w:szCs w:val="24"/>
        </w:rPr>
        <w:t xml:space="preserve"> and </w:t>
      </w:r>
      <w:r w:rsidR="001A105A" w:rsidRPr="004678AD">
        <w:rPr>
          <w:color w:val="000000" w:themeColor="text1"/>
          <w:szCs w:val="24"/>
        </w:rPr>
        <w:t>considering</w:t>
      </w:r>
      <w:r w:rsidR="006D04CD" w:rsidRPr="004678AD">
        <w:rPr>
          <w:color w:val="000000" w:themeColor="text1"/>
          <w:szCs w:val="24"/>
        </w:rPr>
        <w:t xml:space="preserve"> his imminent retirement</w:t>
      </w:r>
      <w:r w:rsidR="001F6CA2" w:rsidRPr="004678AD">
        <w:rPr>
          <w:color w:val="000000" w:themeColor="text1"/>
          <w:szCs w:val="24"/>
        </w:rPr>
        <w:t>,</w:t>
      </w:r>
      <w:r w:rsidR="000A687E" w:rsidRPr="004678AD">
        <w:rPr>
          <w:color w:val="000000" w:themeColor="text1"/>
          <w:szCs w:val="24"/>
        </w:rPr>
        <w:t xml:space="preserve"> the sustainability of </w:t>
      </w:r>
      <w:r w:rsidR="007C51B0" w:rsidRPr="004678AD">
        <w:rPr>
          <w:color w:val="000000" w:themeColor="text1"/>
          <w:szCs w:val="24"/>
        </w:rPr>
        <w:t>the plaintiff’s</w:t>
      </w:r>
      <w:r w:rsidR="000A687E" w:rsidRPr="004678AD">
        <w:rPr>
          <w:color w:val="000000" w:themeColor="text1"/>
          <w:szCs w:val="24"/>
        </w:rPr>
        <w:t xml:space="preserve"> financial support is circumscribed</w:t>
      </w:r>
      <w:r w:rsidR="007760BD" w:rsidRPr="004678AD">
        <w:rPr>
          <w:color w:val="000000" w:themeColor="text1"/>
          <w:szCs w:val="24"/>
        </w:rPr>
        <w:t xml:space="preserve">.  </w:t>
      </w:r>
      <w:r w:rsidR="000A687E" w:rsidRPr="004678AD">
        <w:rPr>
          <w:color w:val="000000" w:themeColor="text1"/>
          <w:szCs w:val="24"/>
        </w:rPr>
        <w:t xml:space="preserve"> </w:t>
      </w:r>
      <w:r w:rsidR="00BA6C45" w:rsidRPr="004678AD">
        <w:rPr>
          <w:color w:val="000000" w:themeColor="text1"/>
          <w:szCs w:val="24"/>
        </w:rPr>
        <w:t xml:space="preserve">Applying one general contingency </w:t>
      </w:r>
      <w:r w:rsidR="000A687E" w:rsidRPr="004678AD">
        <w:rPr>
          <w:color w:val="000000" w:themeColor="text1"/>
          <w:szCs w:val="24"/>
        </w:rPr>
        <w:t>deduction</w:t>
      </w:r>
      <w:r w:rsidR="00BA6C45" w:rsidRPr="004678AD">
        <w:rPr>
          <w:color w:val="000000" w:themeColor="text1"/>
          <w:szCs w:val="24"/>
        </w:rPr>
        <w:t>,</w:t>
      </w:r>
      <w:r w:rsidR="000A687E" w:rsidRPr="004678AD">
        <w:rPr>
          <w:color w:val="000000" w:themeColor="text1"/>
          <w:szCs w:val="24"/>
        </w:rPr>
        <w:t xml:space="preserve"> 10% for past loss and 21% for future loss </w:t>
      </w:r>
      <w:r w:rsidR="009127FE" w:rsidRPr="004678AD">
        <w:rPr>
          <w:color w:val="000000" w:themeColor="text1"/>
          <w:szCs w:val="24"/>
        </w:rPr>
        <w:t xml:space="preserve">is </w:t>
      </w:r>
      <w:r w:rsidR="007760BD" w:rsidRPr="004678AD">
        <w:rPr>
          <w:color w:val="000000" w:themeColor="text1"/>
          <w:szCs w:val="24"/>
        </w:rPr>
        <w:t xml:space="preserve">therefore </w:t>
      </w:r>
      <w:r w:rsidR="009127FE" w:rsidRPr="004678AD">
        <w:rPr>
          <w:color w:val="000000" w:themeColor="text1"/>
          <w:szCs w:val="24"/>
        </w:rPr>
        <w:t xml:space="preserve">appropriate. </w:t>
      </w:r>
    </w:p>
    <w:p w14:paraId="1DFA9D04" w14:textId="77777777" w:rsidR="000A687E" w:rsidRPr="004678AD" w:rsidRDefault="00A74EAC" w:rsidP="004678AD">
      <w:pPr>
        <w:pStyle w:val="JudgmentNumbered"/>
        <w:keepNext/>
        <w:widowControl w:val="0"/>
        <w:numPr>
          <w:ilvl w:val="0"/>
          <w:numId w:val="0"/>
        </w:numPr>
        <w:rPr>
          <w:bCs/>
          <w:i/>
          <w:color w:val="000000" w:themeColor="text1"/>
          <w:szCs w:val="24"/>
        </w:rPr>
      </w:pPr>
      <w:r w:rsidRPr="004678AD">
        <w:rPr>
          <w:bCs/>
          <w:i/>
          <w:color w:val="000000" w:themeColor="text1"/>
          <w:szCs w:val="24"/>
        </w:rPr>
        <w:lastRenderedPageBreak/>
        <w:t>Quantum Assessment</w:t>
      </w:r>
    </w:p>
    <w:p w14:paraId="1BBBF478" w14:textId="5C9CC6E6" w:rsidR="000A687E" w:rsidRPr="004678AD" w:rsidRDefault="00EC2D71" w:rsidP="00EC2D71">
      <w:pPr>
        <w:pStyle w:val="JudgmentNumbered"/>
        <w:keepNext/>
        <w:widowControl w:val="0"/>
        <w:numPr>
          <w:ilvl w:val="0"/>
          <w:numId w:val="0"/>
        </w:numPr>
        <w:ind w:left="567" w:hanging="567"/>
        <w:rPr>
          <w:color w:val="000000" w:themeColor="text1"/>
          <w:szCs w:val="24"/>
        </w:rPr>
      </w:pPr>
      <w:r w:rsidRPr="004678AD">
        <w:rPr>
          <w:color w:val="000000" w:themeColor="text1"/>
          <w:szCs w:val="24"/>
        </w:rPr>
        <w:t>[81]</w:t>
      </w:r>
      <w:r w:rsidRPr="004678AD">
        <w:rPr>
          <w:color w:val="000000" w:themeColor="text1"/>
          <w:szCs w:val="24"/>
        </w:rPr>
        <w:tab/>
      </w:r>
      <w:r w:rsidR="000A687E" w:rsidRPr="004678AD">
        <w:rPr>
          <w:color w:val="000000" w:themeColor="text1"/>
          <w:szCs w:val="24"/>
        </w:rPr>
        <w:t>The WL actuarial calculations were revisited at my request as the actuarial report was outdated having been compiled on 1 December 2019.</w:t>
      </w:r>
      <w:r w:rsidR="000C41EE" w:rsidRPr="004678AD">
        <w:rPr>
          <w:rStyle w:val="FootnoteReference"/>
          <w:color w:val="000000" w:themeColor="text1"/>
          <w:szCs w:val="24"/>
        </w:rPr>
        <w:footnoteReference w:id="105"/>
      </w:r>
      <w:r w:rsidR="000C41EE" w:rsidRPr="004678AD">
        <w:rPr>
          <w:color w:val="000000" w:themeColor="text1"/>
          <w:szCs w:val="24"/>
        </w:rPr>
        <w:t xml:space="preserve"> </w:t>
      </w:r>
      <w:r w:rsidR="000A687E" w:rsidRPr="004678AD">
        <w:rPr>
          <w:color w:val="000000" w:themeColor="text1"/>
          <w:szCs w:val="24"/>
        </w:rPr>
        <w:t xml:space="preserve"> </w:t>
      </w:r>
      <w:r w:rsidR="00DC00F1" w:rsidRPr="004678AD">
        <w:rPr>
          <w:color w:val="000000" w:themeColor="text1"/>
          <w:szCs w:val="24"/>
        </w:rPr>
        <w:t>T</w:t>
      </w:r>
      <w:r w:rsidR="00D61F7F" w:rsidRPr="004678AD">
        <w:rPr>
          <w:color w:val="000000" w:themeColor="text1"/>
          <w:szCs w:val="24"/>
        </w:rPr>
        <w:t>h</w:t>
      </w:r>
      <w:r w:rsidR="003914CC" w:rsidRPr="004678AD">
        <w:rPr>
          <w:color w:val="000000" w:themeColor="text1"/>
          <w:szCs w:val="24"/>
        </w:rPr>
        <w:t>e</w:t>
      </w:r>
      <w:r w:rsidR="00D61F7F" w:rsidRPr="004678AD">
        <w:rPr>
          <w:color w:val="000000" w:themeColor="text1"/>
          <w:szCs w:val="24"/>
        </w:rPr>
        <w:t xml:space="preserve"> </w:t>
      </w:r>
      <w:r w:rsidR="00CA7420" w:rsidRPr="004678AD">
        <w:rPr>
          <w:color w:val="000000" w:themeColor="text1"/>
          <w:szCs w:val="24"/>
        </w:rPr>
        <w:t>update</w:t>
      </w:r>
      <w:r w:rsidR="00C43805" w:rsidRPr="004678AD">
        <w:rPr>
          <w:color w:val="000000" w:themeColor="text1"/>
          <w:szCs w:val="24"/>
        </w:rPr>
        <w:t xml:space="preserve"> of the </w:t>
      </w:r>
      <w:r w:rsidR="00FB0D50" w:rsidRPr="004678AD">
        <w:rPr>
          <w:color w:val="000000" w:themeColor="text1"/>
          <w:szCs w:val="24"/>
        </w:rPr>
        <w:t>initial</w:t>
      </w:r>
      <w:r w:rsidR="00C43805" w:rsidRPr="004678AD">
        <w:rPr>
          <w:color w:val="000000" w:themeColor="text1"/>
          <w:szCs w:val="24"/>
        </w:rPr>
        <w:t xml:space="preserve"> WL actuarial</w:t>
      </w:r>
      <w:r w:rsidR="00CA7420" w:rsidRPr="004678AD">
        <w:rPr>
          <w:color w:val="000000" w:themeColor="text1"/>
          <w:szCs w:val="24"/>
        </w:rPr>
        <w:t xml:space="preserve"> report </w:t>
      </w:r>
      <w:r w:rsidR="005E178E" w:rsidRPr="004678AD">
        <w:rPr>
          <w:color w:val="000000" w:themeColor="text1"/>
          <w:szCs w:val="24"/>
        </w:rPr>
        <w:t xml:space="preserve">may, </w:t>
      </w:r>
      <w:r w:rsidR="00CA7420" w:rsidRPr="004678AD">
        <w:rPr>
          <w:color w:val="000000" w:themeColor="text1"/>
          <w:szCs w:val="24"/>
        </w:rPr>
        <w:t>in</w:t>
      </w:r>
      <w:r w:rsidR="000A687E" w:rsidRPr="004678AD">
        <w:rPr>
          <w:color w:val="000000" w:themeColor="text1"/>
          <w:szCs w:val="24"/>
        </w:rPr>
        <w:t xml:space="preserve"> the discretion of th</w:t>
      </w:r>
      <w:r w:rsidR="003914CC" w:rsidRPr="004678AD">
        <w:rPr>
          <w:color w:val="000000" w:themeColor="text1"/>
          <w:szCs w:val="24"/>
        </w:rPr>
        <w:t>is</w:t>
      </w:r>
      <w:r w:rsidR="000A687E" w:rsidRPr="004678AD">
        <w:rPr>
          <w:color w:val="000000" w:themeColor="text1"/>
          <w:szCs w:val="24"/>
        </w:rPr>
        <w:t xml:space="preserve"> court</w:t>
      </w:r>
      <w:r w:rsidR="003914CC" w:rsidRPr="004678AD">
        <w:rPr>
          <w:color w:val="000000" w:themeColor="text1"/>
          <w:szCs w:val="24"/>
        </w:rPr>
        <w:t xml:space="preserve"> and</w:t>
      </w:r>
      <w:r w:rsidR="000A687E" w:rsidRPr="004678AD">
        <w:rPr>
          <w:color w:val="000000" w:themeColor="text1"/>
          <w:szCs w:val="24"/>
        </w:rPr>
        <w:t xml:space="preserve"> in the interests of justice, be admitted</w:t>
      </w:r>
      <w:r w:rsidR="000A687E" w:rsidRPr="004678AD">
        <w:rPr>
          <w:color w:val="000000" w:themeColor="text1"/>
          <w:szCs w:val="24"/>
          <w:vertAlign w:val="superscript"/>
        </w:rPr>
        <w:footnoteReference w:id="106"/>
      </w:r>
      <w:r w:rsidR="000A687E" w:rsidRPr="004678AD">
        <w:rPr>
          <w:color w:val="000000" w:themeColor="text1"/>
          <w:szCs w:val="24"/>
        </w:rPr>
        <w:t xml:space="preserve"> at any time up to judgment.</w:t>
      </w:r>
      <w:r w:rsidR="000A687E" w:rsidRPr="004678AD">
        <w:rPr>
          <w:color w:val="000000" w:themeColor="text1"/>
          <w:szCs w:val="24"/>
          <w:vertAlign w:val="superscript"/>
        </w:rPr>
        <w:footnoteReference w:id="107"/>
      </w:r>
      <w:r w:rsidR="000A687E" w:rsidRPr="004678AD">
        <w:rPr>
          <w:color w:val="000000" w:themeColor="text1"/>
          <w:szCs w:val="24"/>
        </w:rPr>
        <w:t xml:space="preserve">  </w:t>
      </w:r>
      <w:r w:rsidR="005459EE" w:rsidRPr="004678AD">
        <w:rPr>
          <w:color w:val="000000" w:themeColor="text1"/>
          <w:szCs w:val="24"/>
        </w:rPr>
        <w:t>A</w:t>
      </w:r>
      <w:r w:rsidR="000A687E" w:rsidRPr="004678AD">
        <w:rPr>
          <w:color w:val="000000" w:themeColor="text1"/>
          <w:szCs w:val="24"/>
        </w:rPr>
        <w:t xml:space="preserve">s the matter involves the </w:t>
      </w:r>
      <w:r w:rsidR="00813237" w:rsidRPr="004678AD">
        <w:rPr>
          <w:color w:val="000000" w:themeColor="text1"/>
          <w:szCs w:val="24"/>
        </w:rPr>
        <w:t xml:space="preserve">best </w:t>
      </w:r>
      <w:r w:rsidR="000A687E" w:rsidRPr="004678AD">
        <w:rPr>
          <w:color w:val="000000" w:themeColor="text1"/>
          <w:szCs w:val="24"/>
        </w:rPr>
        <w:t>interests of a minor child,</w:t>
      </w:r>
      <w:r w:rsidR="007B5DA8" w:rsidRPr="004678AD">
        <w:rPr>
          <w:color w:val="000000" w:themeColor="text1"/>
          <w:szCs w:val="24"/>
        </w:rPr>
        <w:t xml:space="preserve"> </w:t>
      </w:r>
      <w:r w:rsidR="005459EE" w:rsidRPr="004678AD">
        <w:rPr>
          <w:color w:val="000000" w:themeColor="text1"/>
          <w:szCs w:val="24"/>
        </w:rPr>
        <w:t xml:space="preserve">I took the view </w:t>
      </w:r>
      <w:r w:rsidR="007B5DA8" w:rsidRPr="004678AD">
        <w:rPr>
          <w:color w:val="000000" w:themeColor="text1"/>
          <w:szCs w:val="24"/>
        </w:rPr>
        <w:t>that this would be a proper case</w:t>
      </w:r>
      <w:r w:rsidR="000A687E" w:rsidRPr="004678AD">
        <w:rPr>
          <w:color w:val="000000" w:themeColor="text1"/>
          <w:szCs w:val="24"/>
        </w:rPr>
        <w:t xml:space="preserve"> to invoke this discretion.</w:t>
      </w:r>
      <w:r w:rsidR="000A687E" w:rsidRPr="004678AD">
        <w:rPr>
          <w:color w:val="000000" w:themeColor="text1"/>
          <w:szCs w:val="24"/>
          <w:vertAlign w:val="superscript"/>
        </w:rPr>
        <w:footnoteReference w:id="108"/>
      </w:r>
    </w:p>
    <w:p w14:paraId="149E716B" w14:textId="4338297F" w:rsidR="00F72525" w:rsidRPr="004678AD" w:rsidRDefault="00EC2D71" w:rsidP="00EC2D71">
      <w:pPr>
        <w:pStyle w:val="JudgmentNumbered"/>
        <w:keepNext/>
        <w:widowControl w:val="0"/>
        <w:numPr>
          <w:ilvl w:val="0"/>
          <w:numId w:val="0"/>
        </w:numPr>
        <w:ind w:left="567" w:hanging="567"/>
        <w:rPr>
          <w:color w:val="000000" w:themeColor="text1"/>
          <w:szCs w:val="24"/>
        </w:rPr>
      </w:pPr>
      <w:r w:rsidRPr="004678AD">
        <w:rPr>
          <w:color w:val="000000" w:themeColor="text1"/>
          <w:szCs w:val="24"/>
        </w:rPr>
        <w:t>[82]</w:t>
      </w:r>
      <w:r w:rsidRPr="004678AD">
        <w:rPr>
          <w:color w:val="000000" w:themeColor="text1"/>
          <w:szCs w:val="24"/>
        </w:rPr>
        <w:tab/>
      </w:r>
      <w:r w:rsidR="000A687E" w:rsidRPr="004678AD">
        <w:rPr>
          <w:color w:val="000000" w:themeColor="text1"/>
          <w:szCs w:val="24"/>
        </w:rPr>
        <w:t xml:space="preserve">The WL actuarial report recalculation at 1 April 2023, after </w:t>
      </w:r>
      <w:r w:rsidR="00430379" w:rsidRPr="004678AD">
        <w:rPr>
          <w:color w:val="000000" w:themeColor="text1"/>
          <w:szCs w:val="24"/>
        </w:rPr>
        <w:t xml:space="preserve">the </w:t>
      </w:r>
      <w:r w:rsidR="000A687E" w:rsidRPr="004678AD">
        <w:rPr>
          <w:color w:val="000000" w:themeColor="text1"/>
          <w:szCs w:val="24"/>
        </w:rPr>
        <w:t xml:space="preserve">application of the contingencies set out in this judgment (minor child: loss of support until 18 years with a contingency deduction of 7% for past loss and 15% for future loss and </w:t>
      </w:r>
      <w:r w:rsidR="00FD4BD5" w:rsidRPr="004678AD">
        <w:rPr>
          <w:color w:val="000000" w:themeColor="text1"/>
          <w:szCs w:val="24"/>
        </w:rPr>
        <w:t>p</w:t>
      </w:r>
      <w:r w:rsidR="000A687E" w:rsidRPr="004678AD">
        <w:rPr>
          <w:color w:val="000000" w:themeColor="text1"/>
          <w:szCs w:val="24"/>
        </w:rPr>
        <w:t>laintiff</w:t>
      </w:r>
      <w:r w:rsidR="000A687E" w:rsidRPr="004678AD">
        <w:rPr>
          <w:color w:val="000000" w:themeColor="text1"/>
          <w:szCs w:val="24"/>
          <w:vertAlign w:val="superscript"/>
        </w:rPr>
        <w:footnoteReference w:id="109"/>
      </w:r>
      <w:r w:rsidR="000A687E" w:rsidRPr="004678AD">
        <w:rPr>
          <w:color w:val="000000" w:themeColor="text1"/>
          <w:szCs w:val="24"/>
        </w:rPr>
        <w:t xml:space="preserve"> general contingency deduction of 10% for past loss and 21% for future loss) </w:t>
      </w:r>
      <w:r w:rsidR="00E40FF5" w:rsidRPr="004678AD">
        <w:rPr>
          <w:color w:val="000000" w:themeColor="text1"/>
          <w:szCs w:val="24"/>
        </w:rPr>
        <w:t xml:space="preserve">produced </w:t>
      </w:r>
      <w:r w:rsidR="000A687E" w:rsidRPr="004678AD">
        <w:rPr>
          <w:color w:val="000000" w:themeColor="text1"/>
          <w:szCs w:val="24"/>
        </w:rPr>
        <w:t>the following result:</w:t>
      </w:r>
    </w:p>
    <w:p w14:paraId="1D71D6D6" w14:textId="77777777" w:rsidR="00F72525" w:rsidRPr="004678AD" w:rsidRDefault="00F72525" w:rsidP="004678AD">
      <w:pPr>
        <w:pStyle w:val="JudgmentNumbered"/>
        <w:numPr>
          <w:ilvl w:val="0"/>
          <w:numId w:val="0"/>
        </w:numPr>
        <w:ind w:left="567" w:hanging="567"/>
        <w:rPr>
          <w:color w:val="000000" w:themeColor="text1"/>
          <w:szCs w:val="24"/>
        </w:rPr>
      </w:pPr>
      <w:r w:rsidRPr="004678AD">
        <w:rPr>
          <w:rFonts w:eastAsia="Times New Roman"/>
          <w:noProof/>
          <w:color w:val="000000" w:themeColor="text1"/>
          <w:szCs w:val="24"/>
          <w:lang w:val="en-US"/>
        </w:rPr>
        <w:drawing>
          <wp:inline distT="0" distB="0" distL="0" distR="0" wp14:anchorId="7BA7A2ED" wp14:editId="692266D7">
            <wp:extent cx="4521358" cy="2364105"/>
            <wp:effectExtent l="203200" t="203200" r="203200" b="2012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8399" cy="2373015"/>
                    </a:xfrm>
                    <a:prstGeom prst="rect">
                      <a:avLst/>
                    </a:prstGeom>
                    <a:noFill/>
                    <a:ln>
                      <a:noFill/>
                    </a:ln>
                    <a:effectLst>
                      <a:outerShdw blurRad="213330" dir="6060000" algn="ctr" rotWithShape="0">
                        <a:sysClr val="window" lastClr="FFFFFF"/>
                      </a:outerShdw>
                    </a:effectLst>
                  </pic:spPr>
                </pic:pic>
              </a:graphicData>
            </a:graphic>
          </wp:inline>
        </w:drawing>
      </w:r>
    </w:p>
    <w:p w14:paraId="334B95BA" w14:textId="77777777" w:rsidR="00A83A79" w:rsidRPr="004678AD" w:rsidRDefault="00A83A79" w:rsidP="004678AD">
      <w:pPr>
        <w:pStyle w:val="JudgmentHeading"/>
        <w:rPr>
          <w:color w:val="000000" w:themeColor="text1"/>
          <w:szCs w:val="24"/>
        </w:rPr>
      </w:pPr>
      <w:r w:rsidRPr="004678AD">
        <w:rPr>
          <w:color w:val="000000" w:themeColor="text1"/>
          <w:szCs w:val="24"/>
        </w:rPr>
        <w:t>Order</w:t>
      </w:r>
    </w:p>
    <w:p w14:paraId="75BBCD12" w14:textId="43D1FF10" w:rsidR="000A687E" w:rsidRPr="004678AD" w:rsidRDefault="00EC2D71" w:rsidP="00EC2D71">
      <w:pPr>
        <w:pStyle w:val="JudgmentNumbered"/>
        <w:numPr>
          <w:ilvl w:val="0"/>
          <w:numId w:val="0"/>
        </w:numPr>
        <w:ind w:left="567" w:hanging="567"/>
        <w:rPr>
          <w:color w:val="000000" w:themeColor="text1"/>
          <w:szCs w:val="24"/>
        </w:rPr>
      </w:pPr>
      <w:r w:rsidRPr="004678AD">
        <w:rPr>
          <w:color w:val="000000" w:themeColor="text1"/>
          <w:szCs w:val="24"/>
        </w:rPr>
        <w:t>[83]</w:t>
      </w:r>
      <w:r w:rsidRPr="004678AD">
        <w:rPr>
          <w:color w:val="000000" w:themeColor="text1"/>
          <w:szCs w:val="24"/>
        </w:rPr>
        <w:tab/>
      </w:r>
      <w:r w:rsidR="000A687E" w:rsidRPr="004678AD">
        <w:rPr>
          <w:color w:val="000000" w:themeColor="text1"/>
          <w:szCs w:val="24"/>
        </w:rPr>
        <w:t>In the result I make the following order:</w:t>
      </w:r>
    </w:p>
    <w:p w14:paraId="40B716D6" w14:textId="65031F3B" w:rsidR="000A687E" w:rsidRPr="00EC2D71" w:rsidRDefault="00EC2D71" w:rsidP="00EC2D71">
      <w:pPr>
        <w:spacing w:before="360" w:after="360"/>
        <w:ind w:left="1134" w:hanging="567"/>
        <w:rPr>
          <w:rFonts w:cs="Arial"/>
          <w:color w:val="000000" w:themeColor="text1"/>
        </w:rPr>
      </w:pPr>
      <w:r w:rsidRPr="004678AD">
        <w:rPr>
          <w:rFonts w:eastAsia="Times New Roman" w:cs="Arial"/>
          <w:color w:val="000000" w:themeColor="text1"/>
          <w:szCs w:val="24"/>
          <w:lang w:eastAsia="en-GB"/>
        </w:rPr>
        <w:lastRenderedPageBreak/>
        <w:t>a.</w:t>
      </w:r>
      <w:r w:rsidRPr="004678AD">
        <w:rPr>
          <w:rFonts w:eastAsia="Times New Roman" w:cs="Arial"/>
          <w:color w:val="000000" w:themeColor="text1"/>
          <w:szCs w:val="24"/>
          <w:lang w:eastAsia="en-GB"/>
        </w:rPr>
        <w:tab/>
      </w:r>
      <w:r w:rsidR="000A687E" w:rsidRPr="00EC2D71">
        <w:rPr>
          <w:rFonts w:cs="Arial"/>
          <w:color w:val="000000" w:themeColor="text1"/>
        </w:rPr>
        <w:t xml:space="preserve">The </w:t>
      </w:r>
      <w:r w:rsidR="00FD4BD5" w:rsidRPr="00EC2D71">
        <w:rPr>
          <w:rFonts w:cs="Arial"/>
          <w:color w:val="000000" w:themeColor="text1"/>
        </w:rPr>
        <w:t>d</w:t>
      </w:r>
      <w:r w:rsidR="000A687E" w:rsidRPr="00EC2D71">
        <w:rPr>
          <w:rFonts w:cs="Arial"/>
          <w:color w:val="000000" w:themeColor="text1"/>
        </w:rPr>
        <w:t xml:space="preserve">efendant is ordered to pay the </w:t>
      </w:r>
      <w:r w:rsidR="00FD4BD5" w:rsidRPr="00EC2D71">
        <w:rPr>
          <w:rFonts w:cs="Arial"/>
          <w:color w:val="000000" w:themeColor="text1"/>
        </w:rPr>
        <w:t>p</w:t>
      </w:r>
      <w:r w:rsidR="000A687E" w:rsidRPr="00EC2D71">
        <w:rPr>
          <w:rFonts w:cs="Arial"/>
          <w:color w:val="000000" w:themeColor="text1"/>
        </w:rPr>
        <w:t>laintiff the total amount of R650 075.00 in full and final settlement as follows:</w:t>
      </w:r>
    </w:p>
    <w:p w14:paraId="4AF3EDC7" w14:textId="1783B58F" w:rsidR="000A687E" w:rsidRPr="00EC2D71" w:rsidRDefault="00EC2D71" w:rsidP="00EC2D71">
      <w:pPr>
        <w:tabs>
          <w:tab w:val="left" w:pos="1701"/>
        </w:tabs>
        <w:spacing w:before="360" w:after="360"/>
        <w:ind w:left="1701" w:hanging="567"/>
        <w:rPr>
          <w:rFonts w:cs="Arial"/>
          <w:color w:val="000000" w:themeColor="text1"/>
        </w:rPr>
      </w:pPr>
      <w:r w:rsidRPr="004678AD">
        <w:rPr>
          <w:rFonts w:eastAsia="Times New Roman" w:cs="Arial"/>
          <w:color w:val="000000" w:themeColor="text1"/>
          <w:szCs w:val="24"/>
          <w:lang w:eastAsia="en-GB"/>
        </w:rPr>
        <w:t>i.</w:t>
      </w:r>
      <w:r w:rsidRPr="004678AD">
        <w:rPr>
          <w:rFonts w:eastAsia="Times New Roman" w:cs="Arial"/>
          <w:color w:val="000000" w:themeColor="text1"/>
          <w:szCs w:val="24"/>
          <w:lang w:eastAsia="en-GB"/>
        </w:rPr>
        <w:tab/>
      </w:r>
      <w:r w:rsidR="000A687E" w:rsidRPr="00EC2D71">
        <w:rPr>
          <w:rFonts w:cs="Arial"/>
          <w:color w:val="000000" w:themeColor="text1"/>
        </w:rPr>
        <w:t xml:space="preserve">R450 202.00 in respect of the </w:t>
      </w:r>
      <w:r w:rsidR="00FD4BD5" w:rsidRPr="00EC2D71">
        <w:rPr>
          <w:rFonts w:cs="Arial"/>
          <w:color w:val="000000" w:themeColor="text1"/>
        </w:rPr>
        <w:t>p</w:t>
      </w:r>
      <w:r w:rsidR="000A687E" w:rsidRPr="00EC2D71">
        <w:rPr>
          <w:rFonts w:cs="Arial"/>
          <w:color w:val="000000" w:themeColor="text1"/>
        </w:rPr>
        <w:t>laintiff’s personal claim for loss of support; and</w:t>
      </w:r>
    </w:p>
    <w:p w14:paraId="0AF5C390" w14:textId="678FC7CC" w:rsidR="000A687E" w:rsidRPr="00EC2D71" w:rsidRDefault="00EC2D71" w:rsidP="00EC2D71">
      <w:pPr>
        <w:tabs>
          <w:tab w:val="left" w:pos="1701"/>
        </w:tabs>
        <w:spacing w:before="360" w:after="360"/>
        <w:ind w:left="1701" w:hanging="567"/>
        <w:rPr>
          <w:rFonts w:cs="Arial"/>
          <w:color w:val="000000" w:themeColor="text1"/>
        </w:rPr>
      </w:pPr>
      <w:r w:rsidRPr="004678AD">
        <w:rPr>
          <w:rFonts w:eastAsia="Times New Roman" w:cs="Arial"/>
          <w:color w:val="000000" w:themeColor="text1"/>
          <w:szCs w:val="24"/>
          <w:lang w:eastAsia="en-GB"/>
        </w:rPr>
        <w:t>ii.</w:t>
      </w:r>
      <w:r w:rsidRPr="004678AD">
        <w:rPr>
          <w:rFonts w:eastAsia="Times New Roman" w:cs="Arial"/>
          <w:color w:val="000000" w:themeColor="text1"/>
          <w:szCs w:val="24"/>
          <w:lang w:eastAsia="en-GB"/>
        </w:rPr>
        <w:tab/>
      </w:r>
      <w:r w:rsidR="000A687E" w:rsidRPr="00EC2D71">
        <w:rPr>
          <w:rFonts w:cs="Arial"/>
          <w:color w:val="000000" w:themeColor="text1"/>
        </w:rPr>
        <w:t xml:space="preserve">R199 873.00 in respect of the </w:t>
      </w:r>
      <w:r w:rsidR="00FD4BD5" w:rsidRPr="00EC2D71">
        <w:rPr>
          <w:rFonts w:cs="Arial"/>
          <w:color w:val="000000" w:themeColor="text1"/>
        </w:rPr>
        <w:t>p</w:t>
      </w:r>
      <w:r w:rsidR="000A687E" w:rsidRPr="00EC2D71">
        <w:rPr>
          <w:rFonts w:cs="Arial"/>
          <w:color w:val="000000" w:themeColor="text1"/>
        </w:rPr>
        <w:t xml:space="preserve">laintiff’s claim in her representative capacity as guardian of the minor child, </w:t>
      </w:r>
      <w:r w:rsidR="000A687E" w:rsidRPr="00EC2D71">
        <w:rPr>
          <w:rFonts w:cs="Arial"/>
          <w:color w:val="000000" w:themeColor="text1"/>
          <w:shd w:val="clear" w:color="auto" w:fill="FFFFFF"/>
        </w:rPr>
        <w:t>born 16 August 2016,</w:t>
      </w:r>
      <w:r w:rsidR="000A687E" w:rsidRPr="00EC2D71">
        <w:rPr>
          <w:rFonts w:cs="Arial"/>
          <w:color w:val="000000" w:themeColor="text1"/>
        </w:rPr>
        <w:t xml:space="preserve"> in respect of the minor child’s claim for loss of support.</w:t>
      </w:r>
    </w:p>
    <w:p w14:paraId="115C1DBE" w14:textId="3CB3D1C8" w:rsidR="000A687E" w:rsidRPr="00EC2D71" w:rsidRDefault="00EC2D71" w:rsidP="00EC2D71">
      <w:pPr>
        <w:spacing w:before="360" w:after="360"/>
        <w:ind w:left="1134" w:hanging="567"/>
        <w:rPr>
          <w:rFonts w:cs="Arial"/>
          <w:color w:val="000000" w:themeColor="text1"/>
        </w:rPr>
      </w:pPr>
      <w:r w:rsidRPr="004678AD">
        <w:rPr>
          <w:rFonts w:eastAsia="Times New Roman" w:cs="Arial"/>
          <w:color w:val="000000" w:themeColor="text1"/>
          <w:szCs w:val="24"/>
          <w:lang w:eastAsia="en-GB"/>
        </w:rPr>
        <w:t>b.</w:t>
      </w:r>
      <w:r w:rsidRPr="004678AD">
        <w:rPr>
          <w:rFonts w:eastAsia="Times New Roman" w:cs="Arial"/>
          <w:color w:val="000000" w:themeColor="text1"/>
          <w:szCs w:val="24"/>
          <w:lang w:eastAsia="en-GB"/>
        </w:rPr>
        <w:tab/>
      </w:r>
      <w:r w:rsidR="000A687E" w:rsidRPr="00EC2D71">
        <w:rPr>
          <w:rFonts w:cs="Arial"/>
          <w:color w:val="000000" w:themeColor="text1"/>
        </w:rPr>
        <w:t xml:space="preserve">The </w:t>
      </w:r>
      <w:r w:rsidR="00FD4BD5" w:rsidRPr="00EC2D71">
        <w:rPr>
          <w:rFonts w:cs="Arial"/>
          <w:color w:val="000000" w:themeColor="text1"/>
        </w:rPr>
        <w:t>d</w:t>
      </w:r>
      <w:r w:rsidR="000A687E" w:rsidRPr="00EC2D71">
        <w:rPr>
          <w:rFonts w:cs="Arial"/>
          <w:color w:val="000000" w:themeColor="text1"/>
        </w:rPr>
        <w:t xml:space="preserve">efendant </w:t>
      </w:r>
      <w:r w:rsidR="00430379" w:rsidRPr="00EC2D71">
        <w:rPr>
          <w:rFonts w:cs="Arial"/>
          <w:color w:val="000000" w:themeColor="text1"/>
        </w:rPr>
        <w:t xml:space="preserve">is </w:t>
      </w:r>
      <w:r w:rsidR="000A687E" w:rsidRPr="00EC2D71">
        <w:rPr>
          <w:rFonts w:cs="Arial"/>
          <w:color w:val="000000" w:themeColor="text1"/>
        </w:rPr>
        <w:t xml:space="preserve">to pay the </w:t>
      </w:r>
      <w:r w:rsidR="00FD4BD5" w:rsidRPr="00EC2D71">
        <w:rPr>
          <w:rFonts w:cs="Arial"/>
          <w:color w:val="000000" w:themeColor="text1"/>
        </w:rPr>
        <w:t>p</w:t>
      </w:r>
      <w:r w:rsidR="000A687E" w:rsidRPr="00EC2D71">
        <w:rPr>
          <w:rFonts w:cs="Arial"/>
          <w:color w:val="000000" w:themeColor="text1"/>
        </w:rPr>
        <w:t>laintiff</w:t>
      </w:r>
      <w:r w:rsidR="00430379" w:rsidRPr="00EC2D71">
        <w:rPr>
          <w:rFonts w:cs="Arial"/>
          <w:color w:val="000000" w:themeColor="text1"/>
        </w:rPr>
        <w:t>’s</w:t>
      </w:r>
      <w:r w:rsidR="000A687E" w:rsidRPr="00EC2D71">
        <w:rPr>
          <w:rFonts w:cs="Arial"/>
          <w:color w:val="000000" w:themeColor="text1"/>
        </w:rPr>
        <w:t xml:space="preserve"> attorney</w:t>
      </w:r>
      <w:r w:rsidR="00430379" w:rsidRPr="00EC2D71">
        <w:rPr>
          <w:rFonts w:cs="Arial"/>
          <w:color w:val="000000" w:themeColor="text1"/>
        </w:rPr>
        <w:t>’</w:t>
      </w:r>
      <w:r w:rsidR="000A687E" w:rsidRPr="00EC2D71">
        <w:rPr>
          <w:rFonts w:cs="Arial"/>
          <w:color w:val="000000" w:themeColor="text1"/>
        </w:rPr>
        <w:t xml:space="preserve">s taxed or agreed </w:t>
      </w:r>
      <w:r w:rsidR="00430379" w:rsidRPr="00EC2D71">
        <w:rPr>
          <w:rFonts w:cs="Arial"/>
          <w:color w:val="000000" w:themeColor="text1"/>
        </w:rPr>
        <w:t>party-and-party</w:t>
      </w:r>
      <w:r w:rsidR="00C878F1" w:rsidRPr="00EC2D71">
        <w:rPr>
          <w:rFonts w:cs="Arial"/>
          <w:color w:val="000000" w:themeColor="text1"/>
        </w:rPr>
        <w:t xml:space="preserve"> </w:t>
      </w:r>
      <w:r w:rsidR="000A687E" w:rsidRPr="00EC2D71">
        <w:rPr>
          <w:rFonts w:cs="Arial"/>
          <w:color w:val="000000" w:themeColor="text1"/>
        </w:rPr>
        <w:t xml:space="preserve">costs, on a High </w:t>
      </w:r>
      <w:r w:rsidR="00430379" w:rsidRPr="00EC2D71">
        <w:rPr>
          <w:rFonts w:cs="Arial"/>
          <w:color w:val="000000" w:themeColor="text1"/>
        </w:rPr>
        <w:t xml:space="preserve">Court </w:t>
      </w:r>
      <w:r w:rsidR="000A687E" w:rsidRPr="00EC2D71">
        <w:rPr>
          <w:rFonts w:cs="Arial"/>
          <w:color w:val="000000" w:themeColor="text1"/>
        </w:rPr>
        <w:t>scale including the trial and until the date of this order which shall include the reasonable qualifying, of the following expert witness:</w:t>
      </w:r>
    </w:p>
    <w:p w14:paraId="15EDBEDE" w14:textId="67C84D95" w:rsidR="000A687E" w:rsidRPr="00EC2D71" w:rsidRDefault="00EC2D71" w:rsidP="00EC2D71">
      <w:pPr>
        <w:tabs>
          <w:tab w:val="left" w:pos="1701"/>
        </w:tabs>
        <w:spacing w:before="360" w:after="360"/>
        <w:ind w:left="1701" w:hanging="567"/>
        <w:rPr>
          <w:rFonts w:cs="Arial"/>
          <w:color w:val="000000" w:themeColor="text1"/>
        </w:rPr>
      </w:pPr>
      <w:r w:rsidRPr="004678AD">
        <w:rPr>
          <w:rFonts w:eastAsia="Times New Roman" w:cs="Arial"/>
          <w:color w:val="000000" w:themeColor="text1"/>
          <w:szCs w:val="24"/>
          <w:lang w:eastAsia="en-GB"/>
        </w:rPr>
        <w:t>i.</w:t>
      </w:r>
      <w:r w:rsidRPr="004678AD">
        <w:rPr>
          <w:rFonts w:eastAsia="Times New Roman" w:cs="Arial"/>
          <w:color w:val="000000" w:themeColor="text1"/>
          <w:szCs w:val="24"/>
          <w:lang w:eastAsia="en-GB"/>
        </w:rPr>
        <w:tab/>
      </w:r>
      <w:r w:rsidR="000A687E" w:rsidRPr="00EC2D71">
        <w:rPr>
          <w:rFonts w:cs="Arial"/>
          <w:color w:val="000000" w:themeColor="text1"/>
        </w:rPr>
        <w:t>Wim Loots (Actuary) in respect of the compilation of the initial and updated actuarial report.</w:t>
      </w:r>
    </w:p>
    <w:p w14:paraId="5CC01101" w14:textId="71560720" w:rsidR="000A687E" w:rsidRPr="00EC2D71" w:rsidRDefault="00EC2D71" w:rsidP="00EC2D71">
      <w:pPr>
        <w:spacing w:before="360" w:after="360"/>
        <w:ind w:left="1134" w:hanging="567"/>
        <w:rPr>
          <w:rFonts w:cs="Arial"/>
          <w:color w:val="000000" w:themeColor="text1"/>
        </w:rPr>
      </w:pPr>
      <w:r w:rsidRPr="004678AD">
        <w:rPr>
          <w:rFonts w:eastAsia="Times New Roman" w:cs="Arial"/>
          <w:color w:val="000000" w:themeColor="text1"/>
          <w:szCs w:val="24"/>
          <w:lang w:eastAsia="en-GB"/>
        </w:rPr>
        <w:t>c.</w:t>
      </w:r>
      <w:r w:rsidRPr="004678AD">
        <w:rPr>
          <w:rFonts w:eastAsia="Times New Roman" w:cs="Arial"/>
          <w:color w:val="000000" w:themeColor="text1"/>
          <w:szCs w:val="24"/>
          <w:lang w:eastAsia="en-GB"/>
        </w:rPr>
        <w:tab/>
      </w:r>
      <w:r w:rsidR="000A687E" w:rsidRPr="00EC2D71">
        <w:rPr>
          <w:rFonts w:cs="Arial"/>
          <w:color w:val="000000" w:themeColor="text1"/>
        </w:rPr>
        <w:t xml:space="preserve">The </w:t>
      </w:r>
      <w:r w:rsidR="00FD4BD5" w:rsidRPr="00EC2D71">
        <w:rPr>
          <w:rFonts w:cs="Arial"/>
          <w:color w:val="000000" w:themeColor="text1"/>
        </w:rPr>
        <w:t>p</w:t>
      </w:r>
      <w:r w:rsidR="000A687E" w:rsidRPr="00EC2D71">
        <w:rPr>
          <w:rFonts w:cs="Arial"/>
          <w:color w:val="000000" w:themeColor="text1"/>
        </w:rPr>
        <w:t>laintiff shall</w:t>
      </w:r>
      <w:r w:rsidR="00430379" w:rsidRPr="00EC2D71">
        <w:rPr>
          <w:rFonts w:cs="Arial"/>
          <w:color w:val="000000" w:themeColor="text1"/>
        </w:rPr>
        <w:t>,</w:t>
      </w:r>
      <w:r w:rsidR="000A687E" w:rsidRPr="00EC2D71">
        <w:rPr>
          <w:rFonts w:cs="Arial"/>
          <w:color w:val="000000" w:themeColor="text1"/>
        </w:rPr>
        <w:t xml:space="preserve"> in the event that the costs are not agreed</w:t>
      </w:r>
      <w:r w:rsidR="00430379" w:rsidRPr="00EC2D71">
        <w:rPr>
          <w:rFonts w:cs="Arial"/>
          <w:color w:val="000000" w:themeColor="text1"/>
        </w:rPr>
        <w:t xml:space="preserve"> upon</w:t>
      </w:r>
      <w:r w:rsidR="000A687E" w:rsidRPr="00EC2D71">
        <w:rPr>
          <w:rFonts w:cs="Arial"/>
          <w:color w:val="000000" w:themeColor="text1"/>
        </w:rPr>
        <w:t xml:space="preserve">, serve the notice of taxation on the </w:t>
      </w:r>
      <w:r w:rsidR="00FD4BD5" w:rsidRPr="00EC2D71">
        <w:rPr>
          <w:rFonts w:cs="Arial"/>
          <w:color w:val="000000" w:themeColor="text1"/>
        </w:rPr>
        <w:t>d</w:t>
      </w:r>
      <w:r w:rsidR="000A687E" w:rsidRPr="00EC2D71">
        <w:rPr>
          <w:rFonts w:cs="Arial"/>
          <w:color w:val="000000" w:themeColor="text1"/>
        </w:rPr>
        <w:t>efendant.</w:t>
      </w:r>
    </w:p>
    <w:p w14:paraId="4F5942B5" w14:textId="171D65E7" w:rsidR="000A687E" w:rsidRPr="00EC2D71" w:rsidRDefault="00EC2D71" w:rsidP="00EC2D71">
      <w:pPr>
        <w:spacing w:before="360" w:after="360"/>
        <w:ind w:left="1134" w:hanging="567"/>
        <w:rPr>
          <w:rFonts w:cs="Arial"/>
          <w:color w:val="000000" w:themeColor="text1"/>
        </w:rPr>
      </w:pPr>
      <w:r w:rsidRPr="004678AD">
        <w:rPr>
          <w:rFonts w:eastAsia="Times New Roman" w:cs="Arial"/>
          <w:color w:val="000000" w:themeColor="text1"/>
          <w:szCs w:val="24"/>
          <w:lang w:eastAsia="en-GB"/>
        </w:rPr>
        <w:t>d.</w:t>
      </w:r>
      <w:r w:rsidRPr="004678AD">
        <w:rPr>
          <w:rFonts w:eastAsia="Times New Roman" w:cs="Arial"/>
          <w:color w:val="000000" w:themeColor="text1"/>
          <w:szCs w:val="24"/>
          <w:lang w:eastAsia="en-GB"/>
        </w:rPr>
        <w:tab/>
      </w:r>
      <w:r w:rsidR="000A687E" w:rsidRPr="00EC2D71">
        <w:rPr>
          <w:rFonts w:cs="Arial"/>
          <w:color w:val="000000" w:themeColor="text1"/>
        </w:rPr>
        <w:t xml:space="preserve">Any and all costs payable in terms of this order shall bear statutory interest at the prescribed statutory rate from </w:t>
      </w:r>
      <w:r w:rsidR="00430379" w:rsidRPr="00EC2D71">
        <w:rPr>
          <w:rFonts w:cs="Arial"/>
          <w:color w:val="000000" w:themeColor="text1"/>
        </w:rPr>
        <w:t xml:space="preserve">the </w:t>
      </w:r>
      <w:r w:rsidR="000A687E" w:rsidRPr="00EC2D71">
        <w:rPr>
          <w:rFonts w:cs="Arial"/>
          <w:color w:val="000000" w:themeColor="text1"/>
        </w:rPr>
        <w:t xml:space="preserve">date of affixing of the taxing master's allocator (whichever is applicable), to </w:t>
      </w:r>
      <w:r w:rsidR="00430379" w:rsidRPr="00EC2D71">
        <w:rPr>
          <w:rFonts w:cs="Arial"/>
          <w:color w:val="000000" w:themeColor="text1"/>
        </w:rPr>
        <w:t xml:space="preserve">the </w:t>
      </w:r>
      <w:r w:rsidR="000A687E" w:rsidRPr="00EC2D71">
        <w:rPr>
          <w:rFonts w:cs="Arial"/>
          <w:color w:val="000000" w:themeColor="text1"/>
        </w:rPr>
        <w:t>date of payment.</w:t>
      </w:r>
    </w:p>
    <w:p w14:paraId="2E60F073" w14:textId="7F1EC3DB" w:rsidR="00A83A79" w:rsidRPr="00EC2D71" w:rsidRDefault="00EC2D71" w:rsidP="00EC2D71">
      <w:pPr>
        <w:spacing w:before="360" w:after="360"/>
        <w:ind w:left="1134" w:hanging="567"/>
        <w:rPr>
          <w:rFonts w:cs="Arial"/>
          <w:color w:val="000000" w:themeColor="text1"/>
        </w:rPr>
      </w:pPr>
      <w:r>
        <w:rPr>
          <w:rFonts w:eastAsia="Times New Roman" w:cs="Arial"/>
          <w:color w:val="000000" w:themeColor="text1"/>
          <w:szCs w:val="24"/>
          <w:lang w:eastAsia="en-GB"/>
        </w:rPr>
        <w:t>e.</w:t>
      </w:r>
      <w:r>
        <w:rPr>
          <w:rFonts w:eastAsia="Times New Roman" w:cs="Arial"/>
          <w:color w:val="000000" w:themeColor="text1"/>
          <w:szCs w:val="24"/>
          <w:lang w:eastAsia="en-GB"/>
        </w:rPr>
        <w:tab/>
      </w:r>
      <w:r w:rsidR="000A687E" w:rsidRPr="00EC2D71">
        <w:rPr>
          <w:rFonts w:cs="Arial"/>
          <w:color w:val="000000" w:themeColor="text1"/>
        </w:rPr>
        <w:t>In the event of default on the above payment</w:t>
      </w:r>
      <w:r w:rsidR="00A04C9A" w:rsidRPr="00EC2D71">
        <w:rPr>
          <w:rFonts w:cs="Arial"/>
          <w:color w:val="000000" w:themeColor="text1"/>
        </w:rPr>
        <w:t>,</w:t>
      </w:r>
      <w:r w:rsidR="000A687E" w:rsidRPr="00EC2D71">
        <w:rPr>
          <w:rFonts w:cs="Arial"/>
          <w:color w:val="000000" w:themeColor="text1"/>
        </w:rPr>
        <w:t xml:space="preserve"> interest shall accrue on such outstanding amount on the date of this order, as per Prescribed Rate of Interest Act 55 of 1975 (as amended) per annum calculated from </w:t>
      </w:r>
      <w:r w:rsidR="00430379" w:rsidRPr="00EC2D71">
        <w:rPr>
          <w:rFonts w:cs="Arial"/>
          <w:color w:val="000000" w:themeColor="text1"/>
        </w:rPr>
        <w:t xml:space="preserve">the </w:t>
      </w:r>
      <w:r w:rsidR="000A687E" w:rsidRPr="00EC2D71">
        <w:rPr>
          <w:rFonts w:cs="Arial"/>
          <w:color w:val="000000" w:themeColor="text1"/>
        </w:rPr>
        <w:t>due date, as per the RAF Act, until the date of payment.</w:t>
      </w:r>
    </w:p>
    <w:p w14:paraId="26694A67" w14:textId="77777777" w:rsidR="004678AD" w:rsidRPr="004678AD" w:rsidRDefault="004678AD" w:rsidP="004678AD">
      <w:pPr>
        <w:pStyle w:val="ListParagraph"/>
        <w:spacing w:before="360" w:after="360" w:line="360" w:lineRule="auto"/>
        <w:ind w:left="1134"/>
        <w:contextualSpacing w:val="0"/>
        <w:jc w:val="both"/>
        <w:rPr>
          <w:rFonts w:ascii="Arial" w:hAnsi="Arial" w:cs="Arial"/>
          <w:color w:val="000000" w:themeColor="text1"/>
        </w:rPr>
      </w:pPr>
    </w:p>
    <w:p w14:paraId="57F52552" w14:textId="77777777" w:rsidR="008C6630" w:rsidRPr="004678AD" w:rsidRDefault="008C6630" w:rsidP="004678AD">
      <w:pPr>
        <w:pStyle w:val="JudgmentNumbered"/>
        <w:numPr>
          <w:ilvl w:val="0"/>
          <w:numId w:val="0"/>
        </w:numPr>
        <w:spacing w:after="0"/>
        <w:ind w:left="567" w:hanging="567"/>
        <w:jc w:val="right"/>
        <w:rPr>
          <w:color w:val="000000" w:themeColor="text1"/>
          <w:szCs w:val="24"/>
        </w:rPr>
      </w:pPr>
    </w:p>
    <w:p w14:paraId="72A5A7CF" w14:textId="77777777" w:rsidR="002B448C" w:rsidRPr="004678AD" w:rsidRDefault="002B448C" w:rsidP="004678AD">
      <w:pPr>
        <w:pStyle w:val="JudgmentNumbered"/>
        <w:numPr>
          <w:ilvl w:val="0"/>
          <w:numId w:val="0"/>
        </w:numPr>
        <w:spacing w:after="0"/>
        <w:ind w:left="567" w:hanging="567"/>
        <w:jc w:val="right"/>
        <w:rPr>
          <w:color w:val="000000" w:themeColor="text1"/>
          <w:szCs w:val="24"/>
        </w:rPr>
      </w:pPr>
      <w:r w:rsidRPr="004678AD">
        <w:rPr>
          <w:color w:val="000000" w:themeColor="text1"/>
          <w:szCs w:val="24"/>
        </w:rPr>
        <w:t>___________</w:t>
      </w:r>
      <w:r w:rsidR="00EB01DA" w:rsidRPr="004678AD">
        <w:rPr>
          <w:color w:val="000000" w:themeColor="text1"/>
          <w:szCs w:val="24"/>
        </w:rPr>
        <w:t>__</w:t>
      </w:r>
      <w:r w:rsidRPr="004678AD">
        <w:rPr>
          <w:color w:val="000000" w:themeColor="text1"/>
          <w:szCs w:val="24"/>
        </w:rPr>
        <w:t>______________</w:t>
      </w:r>
    </w:p>
    <w:p w14:paraId="5823950D" w14:textId="77777777" w:rsidR="008C6630" w:rsidRPr="004678AD" w:rsidRDefault="00713129" w:rsidP="004678AD">
      <w:pPr>
        <w:pStyle w:val="JudgmentNumbered"/>
        <w:numPr>
          <w:ilvl w:val="0"/>
          <w:numId w:val="0"/>
        </w:numPr>
        <w:spacing w:after="0"/>
        <w:ind w:left="567" w:hanging="567"/>
        <w:jc w:val="right"/>
        <w:rPr>
          <w:color w:val="000000" w:themeColor="text1"/>
          <w:szCs w:val="24"/>
        </w:rPr>
      </w:pPr>
      <w:r w:rsidRPr="004678AD">
        <w:rPr>
          <w:color w:val="000000" w:themeColor="text1"/>
          <w:szCs w:val="24"/>
        </w:rPr>
        <w:t>N MAYET</w:t>
      </w:r>
    </w:p>
    <w:p w14:paraId="681A0071" w14:textId="77777777" w:rsidR="002B448C" w:rsidRPr="004678AD" w:rsidRDefault="00713129" w:rsidP="004678AD">
      <w:pPr>
        <w:pStyle w:val="JudgmentNumbered"/>
        <w:numPr>
          <w:ilvl w:val="0"/>
          <w:numId w:val="0"/>
        </w:numPr>
        <w:spacing w:after="0"/>
        <w:ind w:left="567" w:hanging="567"/>
        <w:jc w:val="right"/>
        <w:rPr>
          <w:color w:val="000000" w:themeColor="text1"/>
          <w:szCs w:val="24"/>
        </w:rPr>
      </w:pPr>
      <w:r w:rsidRPr="004678AD">
        <w:rPr>
          <w:color w:val="000000" w:themeColor="text1"/>
          <w:szCs w:val="24"/>
        </w:rPr>
        <w:lastRenderedPageBreak/>
        <w:t xml:space="preserve">ACTING </w:t>
      </w:r>
      <w:r w:rsidR="002B448C" w:rsidRPr="004678AD">
        <w:rPr>
          <w:color w:val="000000" w:themeColor="text1"/>
          <w:szCs w:val="24"/>
        </w:rPr>
        <w:t>JUDGE OF THE HIGH COURT</w:t>
      </w:r>
    </w:p>
    <w:p w14:paraId="3D5024E3" w14:textId="77777777" w:rsidR="00EB01DA" w:rsidRDefault="002B448C" w:rsidP="004678AD">
      <w:pPr>
        <w:pStyle w:val="JudgmentNumbered"/>
        <w:numPr>
          <w:ilvl w:val="0"/>
          <w:numId w:val="0"/>
        </w:numPr>
        <w:spacing w:after="0"/>
        <w:ind w:left="567" w:hanging="567"/>
        <w:jc w:val="right"/>
        <w:rPr>
          <w:color w:val="000000" w:themeColor="text1"/>
          <w:szCs w:val="24"/>
        </w:rPr>
      </w:pPr>
      <w:r w:rsidRPr="004678AD">
        <w:rPr>
          <w:color w:val="000000" w:themeColor="text1"/>
          <w:szCs w:val="24"/>
        </w:rPr>
        <w:t>JOHANNESBURG</w:t>
      </w:r>
    </w:p>
    <w:p w14:paraId="0A9CFD02" w14:textId="77777777" w:rsidR="004678AD" w:rsidRDefault="004678AD" w:rsidP="004678AD">
      <w:pPr>
        <w:pStyle w:val="JudgmentNumbered"/>
        <w:numPr>
          <w:ilvl w:val="0"/>
          <w:numId w:val="0"/>
        </w:numPr>
        <w:spacing w:after="0"/>
        <w:ind w:left="567" w:hanging="567"/>
        <w:jc w:val="right"/>
        <w:rPr>
          <w:color w:val="000000" w:themeColor="text1"/>
          <w:szCs w:val="24"/>
        </w:rPr>
      </w:pPr>
    </w:p>
    <w:p w14:paraId="162FA5DB" w14:textId="6EF157F1" w:rsidR="004678AD" w:rsidRPr="000E7554" w:rsidRDefault="004678AD" w:rsidP="004678AD">
      <w:pPr>
        <w:pStyle w:val="ListParagraph"/>
        <w:ind w:left="709"/>
        <w:rPr>
          <w:rFonts w:ascii="Arial" w:hAnsi="Arial" w:cs="Arial"/>
          <w:bCs/>
          <w:i/>
          <w:iCs/>
          <w:color w:val="000000" w:themeColor="text1"/>
        </w:rPr>
      </w:pPr>
      <w:r w:rsidRPr="000E7554">
        <w:rPr>
          <w:rFonts w:ascii="Arial" w:hAnsi="Arial" w:cs="Arial"/>
          <w:bCs/>
          <w:i/>
          <w:iCs/>
          <w:color w:val="000000" w:themeColor="text1"/>
        </w:rPr>
        <w:t xml:space="preserve">This judgment was handed down electronically by circulation to the parties’ legal representatives by email and by being uploaded to CaseLines. The date and time for hand down is deemed to be </w:t>
      </w:r>
      <w:r>
        <w:rPr>
          <w:rFonts w:ascii="Arial" w:hAnsi="Arial" w:cs="Arial"/>
          <w:bCs/>
          <w:i/>
          <w:iCs/>
          <w:color w:val="000000" w:themeColor="text1"/>
        </w:rPr>
        <w:t>16</w:t>
      </w:r>
      <w:r w:rsidRPr="000E7554">
        <w:rPr>
          <w:rFonts w:ascii="Arial" w:hAnsi="Arial" w:cs="Arial"/>
          <w:bCs/>
          <w:i/>
          <w:iCs/>
          <w:color w:val="000000" w:themeColor="text1"/>
        </w:rPr>
        <w:t xml:space="preserve"> May 2023.</w:t>
      </w:r>
    </w:p>
    <w:p w14:paraId="488FDE65" w14:textId="229D60F3" w:rsidR="004678AD" w:rsidRPr="004678AD" w:rsidRDefault="004678AD" w:rsidP="004678AD">
      <w:pPr>
        <w:pStyle w:val="JudgmentNumbered"/>
        <w:numPr>
          <w:ilvl w:val="0"/>
          <w:numId w:val="0"/>
        </w:numPr>
        <w:spacing w:after="0"/>
        <w:ind w:left="567" w:hanging="567"/>
        <w:jc w:val="right"/>
        <w:rPr>
          <w:color w:val="000000" w:themeColor="text1"/>
          <w:szCs w:val="24"/>
        </w:rPr>
        <w:sectPr w:rsidR="004678AD" w:rsidRPr="004678AD" w:rsidSect="00E469E1">
          <w:footerReference w:type="default" r:id="rId11"/>
          <w:pgSz w:w="11906" w:h="16838"/>
          <w:pgMar w:top="1440" w:right="1440" w:bottom="1440" w:left="1440" w:header="708" w:footer="708" w:gutter="0"/>
          <w:cols w:space="708"/>
          <w:titlePg/>
          <w:docGrid w:linePitch="360"/>
        </w:sectPr>
      </w:pPr>
    </w:p>
    <w:p w14:paraId="52539F62" w14:textId="77777777" w:rsidR="00EB01DA" w:rsidRPr="004678AD" w:rsidRDefault="00EB01DA" w:rsidP="004678AD">
      <w:pPr>
        <w:pStyle w:val="JudgmentNumbered"/>
        <w:numPr>
          <w:ilvl w:val="0"/>
          <w:numId w:val="0"/>
        </w:numPr>
        <w:spacing w:after="0"/>
        <w:ind w:left="567" w:hanging="567"/>
        <w:jc w:val="right"/>
        <w:rPr>
          <w:color w:val="000000" w:themeColor="text1"/>
          <w:szCs w:val="24"/>
        </w:rPr>
        <w:sectPr w:rsidR="00EB01DA" w:rsidRPr="004678AD" w:rsidSect="00EB01DA">
          <w:type w:val="continuous"/>
          <w:pgSz w:w="11906" w:h="16838"/>
          <w:pgMar w:top="1440" w:right="1440" w:bottom="1440" w:left="1440" w:header="708" w:footer="708" w:gutter="0"/>
          <w:cols w:space="708"/>
          <w:docGrid w:linePitch="360"/>
        </w:sectPr>
      </w:pPr>
    </w:p>
    <w:p w14:paraId="6D165282" w14:textId="74AD33EE" w:rsidR="0046561B" w:rsidRPr="004678AD" w:rsidRDefault="0046561B" w:rsidP="004678AD">
      <w:pPr>
        <w:spacing w:after="0"/>
        <w:ind w:left="0"/>
        <w:rPr>
          <w:rFonts w:cs="Arial"/>
          <w:color w:val="000000" w:themeColor="text1"/>
          <w:szCs w:val="24"/>
        </w:rPr>
      </w:pPr>
      <w:r w:rsidRPr="004678AD">
        <w:rPr>
          <w:rFonts w:cs="Arial"/>
          <w:color w:val="000000" w:themeColor="text1"/>
          <w:szCs w:val="24"/>
        </w:rPr>
        <w:lastRenderedPageBreak/>
        <w:t>Date of Hearing:</w:t>
      </w:r>
      <w:r w:rsidR="004678AD">
        <w:rPr>
          <w:rFonts w:cs="Arial"/>
          <w:color w:val="000000" w:themeColor="text1"/>
          <w:szCs w:val="24"/>
        </w:rPr>
        <w:t xml:space="preserve"> 31 January 2023</w:t>
      </w:r>
    </w:p>
    <w:p w14:paraId="0C683240" w14:textId="20F59220" w:rsidR="0046561B" w:rsidRDefault="00713129" w:rsidP="004678AD">
      <w:pPr>
        <w:spacing w:after="0"/>
        <w:ind w:left="0"/>
        <w:rPr>
          <w:rFonts w:eastAsia="Times New Roman" w:cs="Arial"/>
          <w:color w:val="000000" w:themeColor="text1"/>
          <w:szCs w:val="24"/>
          <w:lang w:val="en-ZA"/>
        </w:rPr>
      </w:pPr>
      <w:r w:rsidRPr="004678AD">
        <w:rPr>
          <w:rFonts w:eastAsia="Times New Roman" w:cs="Arial"/>
          <w:color w:val="000000" w:themeColor="text1"/>
          <w:szCs w:val="24"/>
          <w:lang w:val="en-ZA"/>
        </w:rPr>
        <w:t>Date of Judgment</w:t>
      </w:r>
      <w:r w:rsidR="0046561B" w:rsidRPr="004678AD">
        <w:rPr>
          <w:rFonts w:eastAsia="Times New Roman" w:cs="Arial"/>
          <w:color w:val="000000" w:themeColor="text1"/>
          <w:szCs w:val="24"/>
          <w:lang w:val="en-ZA"/>
        </w:rPr>
        <w:t>:</w:t>
      </w:r>
      <w:r w:rsidR="004678AD">
        <w:rPr>
          <w:rFonts w:eastAsia="Times New Roman" w:cs="Arial"/>
          <w:color w:val="000000" w:themeColor="text1"/>
          <w:szCs w:val="24"/>
          <w:lang w:val="en-ZA"/>
        </w:rPr>
        <w:t xml:space="preserve"> 16 May 2023</w:t>
      </w:r>
    </w:p>
    <w:p w14:paraId="3789F974" w14:textId="77777777" w:rsidR="004678AD" w:rsidRPr="004678AD" w:rsidRDefault="004678AD" w:rsidP="004678AD">
      <w:pPr>
        <w:spacing w:after="0"/>
        <w:ind w:left="0"/>
        <w:rPr>
          <w:rFonts w:eastAsia="Times New Roman" w:cs="Arial"/>
          <w:color w:val="000000" w:themeColor="text1"/>
          <w:szCs w:val="24"/>
          <w:lang w:val="en-ZA"/>
        </w:rPr>
      </w:pPr>
    </w:p>
    <w:p w14:paraId="145C7FD1" w14:textId="77777777" w:rsidR="00EB01DA" w:rsidRPr="004678AD" w:rsidRDefault="00713129" w:rsidP="004678AD">
      <w:pPr>
        <w:spacing w:after="0"/>
        <w:ind w:left="0"/>
        <w:rPr>
          <w:rFonts w:eastAsia="Times New Roman" w:cs="Arial"/>
          <w:color w:val="000000" w:themeColor="text1"/>
          <w:szCs w:val="24"/>
          <w:lang w:val="en-ZA"/>
        </w:rPr>
      </w:pPr>
      <w:r w:rsidRPr="004678AD">
        <w:rPr>
          <w:rFonts w:eastAsia="Times New Roman" w:cs="Arial"/>
          <w:color w:val="000000" w:themeColor="text1"/>
          <w:szCs w:val="24"/>
          <w:lang w:val="en-ZA"/>
        </w:rPr>
        <w:t>For the Plaintiff</w:t>
      </w:r>
      <w:r w:rsidR="00EB01DA" w:rsidRPr="004678AD">
        <w:rPr>
          <w:rFonts w:eastAsia="Times New Roman" w:cs="Arial"/>
          <w:color w:val="000000" w:themeColor="text1"/>
          <w:szCs w:val="24"/>
          <w:lang w:val="en-ZA"/>
        </w:rPr>
        <w:t>:</w:t>
      </w:r>
    </w:p>
    <w:p w14:paraId="3BA0421A" w14:textId="77777777" w:rsidR="00EB01DA" w:rsidRPr="004678AD" w:rsidRDefault="00EB01DA" w:rsidP="004678AD">
      <w:pPr>
        <w:spacing w:after="0"/>
        <w:ind w:left="0"/>
        <w:rPr>
          <w:rFonts w:eastAsia="Times New Roman" w:cs="Arial"/>
          <w:color w:val="000000" w:themeColor="text1"/>
          <w:szCs w:val="24"/>
          <w:lang w:val="en-ZA"/>
        </w:rPr>
      </w:pPr>
    </w:p>
    <w:p w14:paraId="0E14BCBC" w14:textId="77777777" w:rsidR="00EB01DA" w:rsidRPr="004678AD" w:rsidRDefault="00713129" w:rsidP="004678AD">
      <w:pPr>
        <w:spacing w:after="0"/>
        <w:ind w:left="0"/>
        <w:rPr>
          <w:rFonts w:eastAsia="Times New Roman" w:cs="Arial"/>
          <w:color w:val="000000" w:themeColor="text1"/>
          <w:szCs w:val="24"/>
          <w:lang w:val="en-ZA"/>
        </w:rPr>
      </w:pPr>
      <w:r w:rsidRPr="004678AD">
        <w:rPr>
          <w:rFonts w:eastAsia="Times New Roman" w:cs="Arial"/>
          <w:color w:val="000000" w:themeColor="text1"/>
          <w:szCs w:val="24"/>
          <w:lang w:val="en-ZA"/>
        </w:rPr>
        <w:t>For the Defendant</w:t>
      </w:r>
      <w:r w:rsidR="00EB01DA" w:rsidRPr="004678AD">
        <w:rPr>
          <w:rFonts w:eastAsia="Times New Roman" w:cs="Arial"/>
          <w:color w:val="000000" w:themeColor="text1"/>
          <w:szCs w:val="24"/>
          <w:lang w:val="en-ZA"/>
        </w:rPr>
        <w:t>:</w:t>
      </w:r>
    </w:p>
    <w:p w14:paraId="4C99313E" w14:textId="77777777" w:rsidR="0046561B" w:rsidRPr="004678AD" w:rsidRDefault="00EB01DA" w:rsidP="004678AD">
      <w:pPr>
        <w:spacing w:after="0"/>
        <w:ind w:left="0"/>
        <w:rPr>
          <w:rFonts w:eastAsia="Times New Roman" w:cs="Arial"/>
          <w:color w:val="000000" w:themeColor="text1"/>
          <w:szCs w:val="24"/>
          <w:lang w:val="en-ZA"/>
        </w:rPr>
      </w:pPr>
      <w:r w:rsidRPr="004678AD">
        <w:rPr>
          <w:rFonts w:eastAsia="Times New Roman" w:cs="Arial"/>
          <w:color w:val="000000" w:themeColor="text1"/>
          <w:szCs w:val="24"/>
          <w:lang w:val="en-ZA"/>
        </w:rPr>
        <w:br w:type="column"/>
      </w:r>
    </w:p>
    <w:p w14:paraId="2C02F32A" w14:textId="77777777" w:rsidR="0046561B" w:rsidRPr="004678AD" w:rsidRDefault="0046561B" w:rsidP="004678AD">
      <w:pPr>
        <w:spacing w:after="0"/>
        <w:ind w:left="0"/>
        <w:rPr>
          <w:rFonts w:eastAsia="Times New Roman" w:cs="Arial"/>
          <w:color w:val="000000" w:themeColor="text1"/>
          <w:szCs w:val="24"/>
          <w:lang w:val="en-ZA"/>
        </w:rPr>
      </w:pPr>
    </w:p>
    <w:p w14:paraId="2F50536B" w14:textId="77777777" w:rsidR="004678AD" w:rsidRDefault="004678AD" w:rsidP="004678AD">
      <w:pPr>
        <w:spacing w:after="0"/>
        <w:ind w:left="0"/>
        <w:rPr>
          <w:rFonts w:eastAsia="Times New Roman" w:cs="Arial"/>
          <w:color w:val="000000" w:themeColor="text1"/>
          <w:szCs w:val="24"/>
          <w:lang w:val="en-ZA"/>
        </w:rPr>
      </w:pPr>
    </w:p>
    <w:p w14:paraId="08374B5B" w14:textId="4333A511" w:rsidR="00EB01DA" w:rsidRPr="004678AD" w:rsidRDefault="002305B4" w:rsidP="004678AD">
      <w:pPr>
        <w:spacing w:after="0"/>
        <w:ind w:left="0"/>
        <w:rPr>
          <w:rFonts w:eastAsia="Times New Roman" w:cs="Arial"/>
          <w:color w:val="000000" w:themeColor="text1"/>
          <w:szCs w:val="24"/>
          <w:lang w:val="en-ZA"/>
        </w:rPr>
      </w:pPr>
      <w:r w:rsidRPr="004678AD">
        <w:rPr>
          <w:rFonts w:eastAsia="Times New Roman" w:cs="Arial"/>
          <w:color w:val="000000" w:themeColor="text1"/>
          <w:szCs w:val="24"/>
          <w:lang w:val="en-ZA"/>
        </w:rPr>
        <w:t xml:space="preserve">Adv. </w:t>
      </w:r>
      <w:r w:rsidR="00713129" w:rsidRPr="004678AD">
        <w:rPr>
          <w:rFonts w:eastAsia="Times New Roman" w:cs="Arial"/>
          <w:color w:val="000000" w:themeColor="text1"/>
          <w:szCs w:val="24"/>
          <w:lang w:val="en-ZA"/>
        </w:rPr>
        <w:t>C Mopedi</w:t>
      </w:r>
      <w:r w:rsidRPr="004678AD">
        <w:rPr>
          <w:rFonts w:eastAsia="Times New Roman" w:cs="Arial"/>
          <w:color w:val="000000" w:themeColor="text1"/>
          <w:szCs w:val="24"/>
          <w:lang w:val="en-ZA"/>
        </w:rPr>
        <w:t xml:space="preserve"> </w:t>
      </w:r>
      <w:r w:rsidR="00EB01DA" w:rsidRPr="004678AD">
        <w:rPr>
          <w:rFonts w:eastAsia="Times New Roman" w:cs="Arial"/>
          <w:color w:val="000000" w:themeColor="text1"/>
          <w:szCs w:val="24"/>
          <w:lang w:val="en-ZA"/>
        </w:rPr>
        <w:t xml:space="preserve">instructed by </w:t>
      </w:r>
      <w:r w:rsidR="00713129" w:rsidRPr="004678AD">
        <w:rPr>
          <w:rFonts w:eastAsia="Times New Roman" w:cs="Arial"/>
          <w:color w:val="000000" w:themeColor="text1"/>
          <w:szCs w:val="24"/>
          <w:lang w:val="en-ZA"/>
        </w:rPr>
        <w:t>Mopedi CS Attorneys</w:t>
      </w:r>
    </w:p>
    <w:p w14:paraId="4C52A545" w14:textId="77777777" w:rsidR="002B448C" w:rsidRPr="004678AD" w:rsidRDefault="00713129" w:rsidP="004678AD">
      <w:pPr>
        <w:spacing w:after="0"/>
        <w:ind w:left="0"/>
        <w:rPr>
          <w:rFonts w:cs="Arial"/>
          <w:b/>
          <w:color w:val="000000" w:themeColor="text1"/>
          <w:szCs w:val="24"/>
        </w:rPr>
      </w:pPr>
      <w:r w:rsidRPr="004678AD">
        <w:rPr>
          <w:rFonts w:eastAsia="Times New Roman" w:cs="Arial"/>
          <w:color w:val="000000" w:themeColor="text1"/>
          <w:szCs w:val="24"/>
          <w:lang w:val="en-ZA"/>
        </w:rPr>
        <w:t xml:space="preserve">Adv E M </w:t>
      </w:r>
      <w:r w:rsidR="007E0E6B" w:rsidRPr="004678AD">
        <w:rPr>
          <w:rFonts w:eastAsia="Times New Roman" w:cs="Arial"/>
          <w:color w:val="000000" w:themeColor="text1"/>
          <w:szCs w:val="24"/>
          <w:lang w:val="en-ZA"/>
        </w:rPr>
        <w:t>N</w:t>
      </w:r>
      <w:r w:rsidRPr="004678AD">
        <w:rPr>
          <w:rFonts w:eastAsia="Times New Roman" w:cs="Arial"/>
          <w:color w:val="000000" w:themeColor="text1"/>
          <w:szCs w:val="24"/>
          <w:lang w:val="en-ZA"/>
        </w:rPr>
        <w:t>dlovu instructed by State Attorney</w:t>
      </w:r>
    </w:p>
    <w:sectPr w:rsidR="002B448C" w:rsidRPr="004678AD" w:rsidSect="00E469E1">
      <w:footerReference w:type="default" r:id="rId12"/>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ED8D" w14:textId="77777777" w:rsidR="00152B8F" w:rsidRDefault="00152B8F" w:rsidP="00E469E1">
      <w:pPr>
        <w:spacing w:after="0" w:line="240" w:lineRule="auto"/>
      </w:pPr>
      <w:r>
        <w:separator/>
      </w:r>
    </w:p>
  </w:endnote>
  <w:endnote w:type="continuationSeparator" w:id="0">
    <w:p w14:paraId="2179D9F0" w14:textId="77777777" w:rsidR="00152B8F" w:rsidRDefault="00152B8F"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á—¥_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7268"/>
      <w:docPartObj>
        <w:docPartGallery w:val="Page Numbers (Bottom of Page)"/>
        <w:docPartUnique/>
      </w:docPartObj>
    </w:sdtPr>
    <w:sdtEndPr>
      <w:rPr>
        <w:noProof/>
      </w:rPr>
    </w:sdtEndPr>
    <w:sdtContent>
      <w:p w14:paraId="7572BB01" w14:textId="77777777" w:rsidR="00C878F1" w:rsidRDefault="00C878F1" w:rsidP="00E469E1">
        <w:pPr>
          <w:pStyle w:val="Footer"/>
          <w:jc w:val="right"/>
        </w:pPr>
        <w:r>
          <w:fldChar w:fldCharType="begin"/>
        </w:r>
        <w:r>
          <w:instrText xml:space="preserve"> PAGE   \* MERGEFORMAT </w:instrText>
        </w:r>
        <w:r>
          <w:fldChar w:fldCharType="separate"/>
        </w:r>
        <w:r w:rsidR="00EC2D71">
          <w:rPr>
            <w:noProof/>
          </w:rPr>
          <w:t>2</w:t>
        </w:r>
        <w:r>
          <w:rPr>
            <w:noProof/>
          </w:rPr>
          <w:fldChar w:fldCharType="end"/>
        </w:r>
      </w:p>
    </w:sdtContent>
  </w:sdt>
  <w:p w14:paraId="4D7D0468" w14:textId="77777777" w:rsidR="00C878F1" w:rsidRDefault="00C87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4D2E8F80" w14:textId="77777777" w:rsidR="00C878F1" w:rsidRDefault="00C878F1" w:rsidP="00E469E1">
        <w:pPr>
          <w:pStyle w:val="Footer"/>
          <w:jc w:val="right"/>
        </w:pPr>
        <w:r>
          <w:fldChar w:fldCharType="begin"/>
        </w:r>
        <w:r>
          <w:instrText xml:space="preserve"> PAGE   \* MERGEFORMAT </w:instrText>
        </w:r>
        <w:r>
          <w:fldChar w:fldCharType="separate"/>
        </w:r>
        <w:r w:rsidR="00AC110C">
          <w:rPr>
            <w:noProof/>
          </w:rPr>
          <w:t>30</w:t>
        </w:r>
        <w:r>
          <w:rPr>
            <w:noProof/>
          </w:rPr>
          <w:fldChar w:fldCharType="end"/>
        </w:r>
      </w:p>
    </w:sdtContent>
  </w:sdt>
  <w:p w14:paraId="0E4404C9" w14:textId="77777777" w:rsidR="00C878F1" w:rsidRDefault="00C87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EC3CB" w14:textId="77777777" w:rsidR="00152B8F" w:rsidRDefault="00152B8F" w:rsidP="00E469E1">
      <w:pPr>
        <w:spacing w:after="0" w:line="240" w:lineRule="auto"/>
      </w:pPr>
      <w:r>
        <w:separator/>
      </w:r>
    </w:p>
  </w:footnote>
  <w:footnote w:type="continuationSeparator" w:id="0">
    <w:p w14:paraId="039F8072" w14:textId="77777777" w:rsidR="00152B8F" w:rsidRDefault="00152B8F" w:rsidP="00E469E1">
      <w:pPr>
        <w:spacing w:after="0" w:line="240" w:lineRule="auto"/>
      </w:pPr>
      <w:r>
        <w:continuationSeparator/>
      </w:r>
    </w:p>
  </w:footnote>
  <w:footnote w:id="1">
    <w:p w14:paraId="7A1F468E" w14:textId="4CBFF5EB" w:rsidR="00CE458B" w:rsidRPr="00CE458B" w:rsidRDefault="00CE458B" w:rsidP="00C52C13">
      <w:pPr>
        <w:pStyle w:val="FootnoteText"/>
        <w:ind w:left="993" w:hanging="426"/>
        <w:rPr>
          <w:lang w:val="en-US"/>
        </w:rPr>
      </w:pPr>
      <w:r>
        <w:rPr>
          <w:rStyle w:val="FootnoteReference"/>
        </w:rPr>
        <w:footnoteRef/>
      </w:r>
      <w:r>
        <w:t xml:space="preserve"> </w:t>
      </w:r>
      <w:r w:rsidR="00AB58D8">
        <w:rPr>
          <w:lang w:val="en-US"/>
        </w:rPr>
        <w:t>I</w:t>
      </w:r>
      <w:r w:rsidR="009138E1">
        <w:rPr>
          <w:lang w:val="en-US"/>
        </w:rPr>
        <w:t xml:space="preserve">t was </w:t>
      </w:r>
      <w:r w:rsidR="00DC3FE3">
        <w:rPr>
          <w:lang w:val="en-US"/>
        </w:rPr>
        <w:t xml:space="preserve">not </w:t>
      </w:r>
      <w:r w:rsidR="009138E1">
        <w:rPr>
          <w:lang w:val="en-US"/>
        </w:rPr>
        <w:t>in dispute that the deceased died as a result of bodily injuries sustained in the collision.</w:t>
      </w:r>
    </w:p>
  </w:footnote>
  <w:footnote w:id="2">
    <w:p w14:paraId="4916D734" w14:textId="67139069" w:rsidR="00C878F1" w:rsidRPr="003D31CE" w:rsidRDefault="00C878F1" w:rsidP="00AB58D8">
      <w:pPr>
        <w:pStyle w:val="FOOTNOTES"/>
        <w:ind w:left="993"/>
        <w:rPr>
          <w:lang w:val="en-US"/>
        </w:rPr>
      </w:pPr>
      <w:r w:rsidRPr="005333A6">
        <w:rPr>
          <w:rStyle w:val="FootnoteReference"/>
        </w:rPr>
        <w:footnoteRef/>
      </w:r>
      <w:r w:rsidR="000E4AEE">
        <w:t xml:space="preserve"> </w:t>
      </w:r>
      <w:r w:rsidRPr="005333A6">
        <w:rPr>
          <w:shd w:val="clear" w:color="auto" w:fill="FFFFFF"/>
          <w:lang w:eastAsia="en-GB"/>
        </w:rPr>
        <w:t>Born 16 August</w:t>
      </w:r>
      <w:r w:rsidRPr="005333A6">
        <w:rPr>
          <w:shd w:val="clear" w:color="auto" w:fill="FFFFFF"/>
        </w:rPr>
        <w:t xml:space="preserve"> </w:t>
      </w:r>
      <w:r w:rsidRPr="005333A6">
        <w:rPr>
          <w:shd w:val="clear" w:color="auto" w:fill="FFFFFF"/>
          <w:lang w:eastAsia="en-GB"/>
        </w:rPr>
        <w:t>2016.</w:t>
      </w:r>
    </w:p>
  </w:footnote>
  <w:footnote w:id="3">
    <w:p w14:paraId="7FBBD23E" w14:textId="77777777" w:rsidR="00BC5FAF" w:rsidRPr="00C80FB2" w:rsidRDefault="00BC5FAF" w:rsidP="00BC5FAF">
      <w:pPr>
        <w:pStyle w:val="FootnoteText"/>
        <w:rPr>
          <w:lang w:val="en-US"/>
        </w:rPr>
      </w:pPr>
      <w:r w:rsidRPr="00990E1C">
        <w:rPr>
          <w:rStyle w:val="FootnoteReference"/>
          <w:rFonts w:cs="Arial"/>
        </w:rPr>
        <w:footnoteRef/>
      </w:r>
      <w:r w:rsidRPr="00990E1C">
        <w:rPr>
          <w:rFonts w:cs="Arial"/>
        </w:rPr>
        <w:t xml:space="preserve"> </w:t>
      </w:r>
      <w:r w:rsidRPr="00990E1C">
        <w:rPr>
          <w:i/>
          <w:color w:val="000000"/>
          <w:shd w:val="clear" w:color="auto" w:fill="FFFFFF"/>
          <w:lang w:val="en-ZA"/>
        </w:rPr>
        <w:t>Macdonald and Others v Road Accident Fund</w:t>
      </w:r>
      <w:r w:rsidRPr="00990E1C">
        <w:rPr>
          <w:color w:val="000000"/>
          <w:lang w:val="en-ZA"/>
        </w:rPr>
        <w:t xml:space="preserve"> </w:t>
      </w:r>
      <w:r w:rsidRPr="00990E1C">
        <w:rPr>
          <w:color w:val="000000"/>
          <w:shd w:val="clear" w:color="auto" w:fill="FFFFFF"/>
          <w:lang w:val="en-ZA"/>
        </w:rPr>
        <w:t>[2012] JOL 29313 (SCA)</w:t>
      </w:r>
      <w:r w:rsidRPr="00990E1C">
        <w:rPr>
          <w:lang w:val="en-US"/>
        </w:rPr>
        <w:t xml:space="preserve"> at</w:t>
      </w:r>
      <w:r>
        <w:rPr>
          <w:lang w:val="en-US"/>
        </w:rPr>
        <w:t xml:space="preserve"> para 14 citing with approval </w:t>
      </w:r>
      <w:r w:rsidRPr="000D56FB">
        <w:rPr>
          <w:rFonts w:eastAsia="Times New Roman" w:cs="Arial"/>
          <w:i/>
          <w:iCs/>
          <w:color w:val="242121"/>
          <w:shd w:val="clear" w:color="auto" w:fill="FFFFFF"/>
          <w:lang w:val="en-ZA" w:eastAsia="en-GB"/>
        </w:rPr>
        <w:t>Evans v Shield Insurance Co. Ltd</w:t>
      </w:r>
      <w:r w:rsidRPr="004A2874">
        <w:rPr>
          <w:rFonts w:eastAsia="Times New Roman" w:cs="Arial"/>
          <w:color w:val="242121"/>
          <w:shd w:val="clear" w:color="auto" w:fill="FFFFFF"/>
          <w:lang w:val="en-ZA" w:eastAsia="en-GB"/>
        </w:rPr>
        <w:t xml:space="preserve"> 1</w:t>
      </w:r>
      <w:r w:rsidRPr="004A2874">
        <w:rPr>
          <w:rFonts w:eastAsia="Times New Roman" w:cs="Arial"/>
          <w:lang w:val="en-ZA" w:eastAsia="en-GB"/>
        </w:rPr>
        <w:t>980 2 SA 814</w:t>
      </w:r>
      <w:r w:rsidRPr="004A2874">
        <w:rPr>
          <w:rFonts w:eastAsia="Times New Roman" w:cs="Arial"/>
          <w:color w:val="000000"/>
          <w:shd w:val="clear" w:color="auto" w:fill="FFFFFF"/>
          <w:lang w:val="en-ZA" w:eastAsia="en-GB"/>
        </w:rPr>
        <w:t xml:space="preserve"> at</w:t>
      </w:r>
      <w:r w:rsidRPr="004A2874">
        <w:rPr>
          <w:rFonts w:eastAsia="Times New Roman" w:cs="Arial"/>
          <w:lang w:val="en-ZA" w:eastAsia="en-GB"/>
        </w:rPr>
        <w:t xml:space="preserve"> </w:t>
      </w:r>
      <w:r w:rsidRPr="004A2874">
        <w:rPr>
          <w:rFonts w:eastAsia="Times New Roman" w:cs="Arial"/>
          <w:color w:val="242121"/>
          <w:shd w:val="clear" w:color="auto" w:fill="FFFFFF"/>
          <w:lang w:val="en-ZA" w:eastAsia="en-GB"/>
        </w:rPr>
        <w:t xml:space="preserve">839 B </w:t>
      </w:r>
      <w:r w:rsidRPr="000D56FB">
        <w:rPr>
          <w:rFonts w:eastAsia="Times New Roman" w:cs="Arial"/>
          <w:color w:val="242121"/>
          <w:shd w:val="clear" w:color="auto" w:fill="FFFFFF"/>
          <w:lang w:val="en-ZA" w:eastAsia="en-GB"/>
        </w:rPr>
        <w:t>Corbett JA</w:t>
      </w:r>
      <w:r>
        <w:rPr>
          <w:rFonts w:eastAsia="Times New Roman" w:cs="Arial"/>
          <w:color w:val="242121"/>
          <w:shd w:val="clear" w:color="auto" w:fill="FFFFFF"/>
          <w:lang w:val="en-ZA" w:eastAsia="en-GB"/>
        </w:rPr>
        <w:t xml:space="preserve">: </w:t>
      </w:r>
      <w:r w:rsidRPr="000D56FB">
        <w:rPr>
          <w:rFonts w:eastAsia="Times New Roman" w:cs="Arial"/>
          <w:color w:val="242121"/>
          <w:shd w:val="clear" w:color="auto" w:fill="FFFFFF"/>
          <w:lang w:val="en-ZA" w:eastAsia="en-GB"/>
        </w:rPr>
        <w:t>“…</w:t>
      </w:r>
      <w:r w:rsidRPr="000D56FB">
        <w:rPr>
          <w:rFonts w:eastAsia="Times New Roman" w:cs="Arial"/>
          <w:i/>
          <w:iCs/>
          <w:color w:val="242121"/>
          <w:shd w:val="clear" w:color="auto" w:fill="FFFFFF"/>
          <w:lang w:val="en-ZA" w:eastAsia="en-GB"/>
        </w:rPr>
        <w:t>the basic ingredients</w:t>
      </w:r>
      <w:r>
        <w:rPr>
          <w:rFonts w:eastAsia="Times New Roman" w:cs="Arial"/>
          <w:i/>
          <w:iCs/>
          <w:color w:val="242121"/>
          <w:shd w:val="clear" w:color="auto" w:fill="FFFFFF"/>
          <w:lang w:val="en-ZA" w:eastAsia="en-GB"/>
        </w:rPr>
        <w:t xml:space="preserve"> </w:t>
      </w:r>
      <w:r w:rsidRPr="000D56FB">
        <w:rPr>
          <w:rFonts w:eastAsia="Times New Roman" w:cs="Arial"/>
          <w:i/>
          <w:iCs/>
          <w:color w:val="242121"/>
          <w:shd w:val="clear" w:color="auto" w:fill="FFFFFF"/>
          <w:lang w:val="en-ZA" w:eastAsia="en-GB"/>
        </w:rPr>
        <w:t>of the plaintiff’s cause of action would be</w:t>
      </w:r>
      <w:r>
        <w:rPr>
          <w:rFonts w:eastAsia="Times New Roman" w:cs="Arial"/>
          <w:i/>
          <w:iCs/>
          <w:color w:val="242121"/>
          <w:shd w:val="clear" w:color="auto" w:fill="FFFFFF"/>
          <w:lang w:val="en-ZA" w:eastAsia="en-GB"/>
        </w:rPr>
        <w:t xml:space="preserve"> </w:t>
      </w:r>
      <w:r w:rsidRPr="000D56FB">
        <w:rPr>
          <w:rFonts w:eastAsia="Times New Roman" w:cs="Arial"/>
          <w:i/>
          <w:iCs/>
          <w:color w:val="242121"/>
          <w:shd w:val="clear" w:color="auto" w:fill="FFFFFF"/>
          <w:lang w:val="en-ZA" w:eastAsia="en-GB"/>
        </w:rPr>
        <w:t>(a) a wrongful act by the defendant causing the death of the deceased, (b) concomitant</w:t>
      </w:r>
      <w:r>
        <w:rPr>
          <w:rFonts w:eastAsia="Times New Roman" w:cs="Arial"/>
          <w:i/>
          <w:iCs/>
          <w:color w:val="242121"/>
          <w:shd w:val="clear" w:color="auto" w:fill="FFFFFF"/>
          <w:lang w:val="en-ZA" w:eastAsia="en-GB"/>
        </w:rPr>
        <w:t xml:space="preserve"> </w:t>
      </w:r>
      <w:r w:rsidRPr="000D56FB">
        <w:rPr>
          <w:rFonts w:eastAsia="Times New Roman" w:cs="Arial"/>
          <w:i/>
          <w:iCs/>
          <w:color w:val="242121"/>
          <w:shd w:val="clear" w:color="auto" w:fill="FFFFFF"/>
          <w:lang w:val="en-ZA" w:eastAsia="en-GB"/>
        </w:rPr>
        <w:t>culpa</w:t>
      </w:r>
      <w:r>
        <w:rPr>
          <w:rFonts w:eastAsia="Times New Roman" w:cs="Arial"/>
          <w:i/>
          <w:iCs/>
          <w:color w:val="242121"/>
          <w:shd w:val="clear" w:color="auto" w:fill="FFFFFF"/>
          <w:lang w:val="en-ZA" w:eastAsia="en-GB"/>
        </w:rPr>
        <w:t xml:space="preserve"> </w:t>
      </w:r>
      <w:r w:rsidRPr="000D56FB">
        <w:rPr>
          <w:rFonts w:eastAsia="Times New Roman" w:cs="Arial"/>
          <w:i/>
          <w:iCs/>
          <w:color w:val="242121"/>
          <w:shd w:val="clear" w:color="auto" w:fill="FFFFFF"/>
          <w:lang w:val="en-ZA" w:eastAsia="en-GB"/>
        </w:rPr>
        <w:t>(or</w:t>
      </w:r>
      <w:r>
        <w:rPr>
          <w:rFonts w:eastAsia="Times New Roman" w:cs="Arial"/>
          <w:i/>
          <w:iCs/>
          <w:color w:val="242121"/>
          <w:shd w:val="clear" w:color="auto" w:fill="FFFFFF"/>
          <w:lang w:val="en-ZA" w:eastAsia="en-GB"/>
        </w:rPr>
        <w:t xml:space="preserve"> </w:t>
      </w:r>
      <w:r w:rsidRPr="000D56FB">
        <w:rPr>
          <w:rFonts w:eastAsia="Times New Roman" w:cs="Arial"/>
          <w:i/>
          <w:iCs/>
          <w:color w:val="242121"/>
          <w:shd w:val="clear" w:color="auto" w:fill="FFFFFF"/>
          <w:lang w:val="en-ZA" w:eastAsia="en-GB"/>
        </w:rPr>
        <w:t>dolus) on the part of the defendant, (c) a legal right to be supported by the deceased, vested in the plaintiff prior to the death of the deceased, and (d)</w:t>
      </w:r>
      <w:r>
        <w:rPr>
          <w:rFonts w:eastAsia="Times New Roman" w:cs="Arial"/>
          <w:i/>
          <w:iCs/>
          <w:color w:val="242121"/>
          <w:shd w:val="clear" w:color="auto" w:fill="FFFFFF"/>
          <w:lang w:val="en-ZA" w:eastAsia="en-GB"/>
        </w:rPr>
        <w:t xml:space="preserve"> </w:t>
      </w:r>
      <w:r w:rsidRPr="000D56FB">
        <w:rPr>
          <w:rFonts w:eastAsia="Times New Roman" w:cs="Arial"/>
          <w:i/>
          <w:iCs/>
          <w:color w:val="242121"/>
          <w:shd w:val="clear" w:color="auto" w:fill="FFFFFF"/>
          <w:lang w:val="en-ZA" w:eastAsia="en-GB"/>
        </w:rPr>
        <w:t>damnum, in the sense of a real deprivation of anticipated support.</w:t>
      </w:r>
      <w:r w:rsidRPr="000D56FB">
        <w:rPr>
          <w:rFonts w:eastAsia="Times New Roman" w:cs="Arial"/>
          <w:color w:val="242121"/>
          <w:shd w:val="clear" w:color="auto" w:fill="FFFFFF"/>
          <w:lang w:val="en-ZA" w:eastAsia="en-GB"/>
        </w:rPr>
        <w:t>”</w:t>
      </w:r>
    </w:p>
  </w:footnote>
  <w:footnote w:id="4">
    <w:p w14:paraId="637D7EB2" w14:textId="77777777" w:rsidR="00BC5FAF" w:rsidRPr="00990E1C" w:rsidRDefault="00BC5FAF" w:rsidP="00BC5FAF">
      <w:pPr>
        <w:pStyle w:val="FootnoteText"/>
        <w:ind w:left="709" w:hanging="142"/>
        <w:rPr>
          <w:rFonts w:cs="Arial"/>
          <w:lang w:val="en-US"/>
        </w:rPr>
      </w:pPr>
      <w:r w:rsidRPr="003D31CE">
        <w:rPr>
          <w:rStyle w:val="FootnoteReference"/>
          <w:rFonts w:cs="Arial"/>
        </w:rPr>
        <w:footnoteRef/>
      </w:r>
      <w:r>
        <w:rPr>
          <w:rFonts w:cs="Arial"/>
        </w:rPr>
        <w:t xml:space="preserve"> </w:t>
      </w:r>
      <w:r w:rsidRPr="003D31CE">
        <w:rPr>
          <w:rFonts w:cs="Arial"/>
          <w:lang w:val="en-US"/>
        </w:rPr>
        <w:t>Voet 9.2.11; Grotius 3.32.2</w:t>
      </w:r>
      <w:r>
        <w:rPr>
          <w:rFonts w:cs="Arial"/>
          <w:lang w:val="en-US"/>
        </w:rPr>
        <w:t xml:space="preserve"> </w:t>
      </w:r>
      <w:r w:rsidRPr="00BA5A57">
        <w:rPr>
          <w:i/>
          <w:color w:val="000000"/>
          <w:shd w:val="clear" w:color="auto" w:fill="FFFFFF"/>
          <w:lang w:val="en-ZA"/>
        </w:rPr>
        <w:t>Macdonald</w:t>
      </w:r>
      <w:r>
        <w:rPr>
          <w:i/>
          <w:color w:val="000000"/>
          <w:shd w:val="clear" w:color="auto" w:fill="FFFFFF"/>
          <w:lang w:val="en-ZA"/>
        </w:rPr>
        <w:t xml:space="preserve"> </w:t>
      </w:r>
      <w:r w:rsidRPr="00BA5A57">
        <w:rPr>
          <w:i/>
          <w:color w:val="000000"/>
          <w:shd w:val="clear" w:color="auto" w:fill="FFFFFF"/>
          <w:lang w:val="en-ZA"/>
        </w:rPr>
        <w:t>and Others v Road Accident Fund</w:t>
      </w:r>
      <w:r w:rsidRPr="003D31CE">
        <w:rPr>
          <w:color w:val="000000"/>
          <w:lang w:val="en-ZA"/>
        </w:rPr>
        <w:t xml:space="preserve"> </w:t>
      </w:r>
      <w:r w:rsidRPr="003D31CE">
        <w:rPr>
          <w:color w:val="000000"/>
          <w:shd w:val="clear" w:color="auto" w:fill="FFFFFF"/>
          <w:lang w:val="en-ZA"/>
        </w:rPr>
        <w:t xml:space="preserve">[2012] </w:t>
      </w:r>
      <w:r>
        <w:rPr>
          <w:color w:val="000000"/>
          <w:shd w:val="clear" w:color="auto" w:fill="FFFFFF"/>
          <w:lang w:val="en-ZA"/>
        </w:rPr>
        <w:t>ZASCA 69</w:t>
      </w:r>
      <w:r w:rsidRPr="003D31CE">
        <w:rPr>
          <w:color w:val="000000"/>
          <w:shd w:val="clear" w:color="auto" w:fill="FFFFFF"/>
          <w:lang w:val="en-ZA"/>
        </w:rPr>
        <w:t xml:space="preserve"> </w:t>
      </w:r>
      <w:r w:rsidRPr="00990E1C">
        <w:rPr>
          <w:color w:val="000000"/>
          <w:shd w:val="clear" w:color="auto" w:fill="FFFFFF"/>
          <w:lang w:val="en-ZA"/>
        </w:rPr>
        <w:t>(SCA)</w:t>
      </w:r>
      <w:r w:rsidRPr="00990E1C">
        <w:rPr>
          <w:lang w:val="en-US"/>
        </w:rPr>
        <w:t xml:space="preserve"> at para 15 citing with approval </w:t>
      </w:r>
      <w:r w:rsidRPr="002B07F8">
        <w:rPr>
          <w:i/>
          <w:iCs/>
          <w:lang w:val="en-US"/>
        </w:rPr>
        <w:t>Jameson’s Minors v CSAR</w:t>
      </w:r>
      <w:r w:rsidRPr="00990E1C">
        <w:rPr>
          <w:lang w:val="en-US"/>
        </w:rPr>
        <w:t xml:space="preserve"> 1908 TS 575 at p</w:t>
      </w:r>
      <w:r>
        <w:rPr>
          <w:lang w:val="en-US"/>
        </w:rPr>
        <w:t>.603</w:t>
      </w:r>
    </w:p>
  </w:footnote>
  <w:footnote w:id="5">
    <w:p w14:paraId="1CDF3687" w14:textId="77777777" w:rsidR="007B11FE" w:rsidRPr="005333A6" w:rsidRDefault="007B11FE" w:rsidP="007B11FE">
      <w:pPr>
        <w:pStyle w:val="FOOTNOTES"/>
      </w:pPr>
      <w:r w:rsidRPr="005333A6">
        <w:rPr>
          <w:rStyle w:val="FootnoteReference"/>
        </w:rPr>
        <w:footnoteRef/>
      </w:r>
      <w:r>
        <w:t xml:space="preserve"> </w:t>
      </w:r>
      <w:r w:rsidRPr="005333A6">
        <w:t xml:space="preserve">Section 17(1) </w:t>
      </w:r>
      <w:r>
        <w:t xml:space="preserve">of the Road Accident Fund Act 6 of 1996 </w:t>
      </w:r>
      <w:r w:rsidRPr="005333A6">
        <w:t>provides that the Fund or an agent shall:</w:t>
      </w:r>
    </w:p>
    <w:p w14:paraId="3A3B8819" w14:textId="77777777" w:rsidR="007B11FE" w:rsidRPr="00000C13" w:rsidRDefault="007B11FE" w:rsidP="007B11FE">
      <w:pPr>
        <w:pStyle w:val="FOOTNOTES"/>
      </w:pPr>
      <w:r w:rsidRPr="00000C13">
        <w:tab/>
        <w:t>“(a)</w:t>
      </w:r>
      <w:r w:rsidRPr="00000C13">
        <w:tab/>
        <w:t xml:space="preserve">subject to this Act, in the case of a claim for compensation under this section arising </w:t>
      </w:r>
      <w:r w:rsidRPr="00000C13">
        <w:tab/>
        <w:t xml:space="preserve">from the driving of a motor vehicle where the identity of the owner or the driver thereof </w:t>
      </w:r>
      <w:r w:rsidRPr="00000C13">
        <w:tab/>
        <w:t>has been established;</w:t>
      </w:r>
    </w:p>
    <w:p w14:paraId="18E1039F" w14:textId="77777777" w:rsidR="007B11FE" w:rsidRPr="00000C13" w:rsidRDefault="007B11FE" w:rsidP="007B11FE">
      <w:pPr>
        <w:pStyle w:val="FOOTNOTES"/>
      </w:pPr>
      <w:r w:rsidRPr="00000C13">
        <w:tab/>
        <w:t>(b)</w:t>
      </w:r>
      <w:r w:rsidRPr="00000C13">
        <w:tab/>
        <w:t xml:space="preserve">subject to any regulation made under section 26, in the case of a claim for </w:t>
      </w:r>
      <w:r w:rsidRPr="00000C13">
        <w:tab/>
        <w:t xml:space="preserve">compensation under this section arising from the driving of a motor vehicle where the </w:t>
      </w:r>
      <w:r w:rsidRPr="00000C13">
        <w:tab/>
        <w:t xml:space="preserve">identity of neither the owner nor the driver thereof has been established, be obliged to </w:t>
      </w:r>
      <w:r w:rsidRPr="00000C13">
        <w:tab/>
        <w:t xml:space="preserve">compensate any person (the third party) for any loss or damage which the third party </w:t>
      </w:r>
      <w:r w:rsidRPr="00000C13">
        <w:tab/>
        <w:t xml:space="preserve">has suffered as a result of any bodily injury to himself or herself or the death of or any  </w:t>
      </w:r>
      <w:r w:rsidRPr="00000C13">
        <w:tab/>
        <w:t xml:space="preserve">bodily injury to any other person, caused by or arising from the driving of a motor vehicle </w:t>
      </w:r>
      <w:r w:rsidRPr="00000C13">
        <w:tab/>
        <w:t xml:space="preserve">by any person at any place within the Republic, if the injury or death is due to the </w:t>
      </w:r>
      <w:r w:rsidRPr="00000C13">
        <w:tab/>
        <w:t xml:space="preserve">negligence or other wrongful act of the driver or of the owner of the motor vehicle or of </w:t>
      </w:r>
      <w:r w:rsidRPr="00000C13">
        <w:tab/>
        <w:t xml:space="preserve">his or her employee in the performance of the employee's duties as employee: </w:t>
      </w:r>
      <w:r w:rsidRPr="00000C13">
        <w:tab/>
        <w:t>Provided that the obligation of the Fund to compensate a third party for non</w:t>
      </w:r>
      <w:r>
        <w:t>-</w:t>
      </w:r>
      <w:r w:rsidRPr="00000C13">
        <w:t xml:space="preserve">pecuniary </w:t>
      </w:r>
      <w:r w:rsidRPr="00000C13">
        <w:tab/>
        <w:t xml:space="preserve">loss shall be limited to compensation for a serious injury as contemplated in subsection </w:t>
      </w:r>
      <w:r w:rsidRPr="00000C13">
        <w:tab/>
        <w:t>(1A) and shall be paid by way of a lump sum.”</w:t>
      </w:r>
    </w:p>
  </w:footnote>
  <w:footnote w:id="6">
    <w:p w14:paraId="0B54AAC1" w14:textId="77777777" w:rsidR="007B11FE" w:rsidRPr="003D31CE" w:rsidRDefault="007B11FE" w:rsidP="007B11FE">
      <w:pPr>
        <w:pStyle w:val="FOOTNOTES"/>
        <w:ind w:left="709" w:hanging="142"/>
        <w:rPr>
          <w:lang w:val="en-ZA"/>
        </w:rPr>
      </w:pPr>
      <w:r w:rsidRPr="003D31CE">
        <w:rPr>
          <w:rStyle w:val="FootnoteReference"/>
        </w:rPr>
        <w:footnoteRef/>
      </w:r>
      <w:r>
        <w:t xml:space="preserve"> </w:t>
      </w:r>
      <w:r w:rsidRPr="00B1305D">
        <w:rPr>
          <w:i/>
          <w:iCs/>
        </w:rPr>
        <w:t>Law Society of South Africa v Minister of Transport</w:t>
      </w:r>
      <w:r>
        <w:t xml:space="preserve"> 2011 (1) SA 400 (CC) at para 25 </w:t>
      </w:r>
      <w:r w:rsidRPr="0017082D">
        <w:rPr>
          <w:i/>
          <w:lang w:val="en-US"/>
        </w:rPr>
        <w:t>Jameson's Minors v Central SA Railways</w:t>
      </w:r>
      <w:r w:rsidRPr="003D31CE">
        <w:rPr>
          <w:lang w:val="en-US"/>
        </w:rPr>
        <w:t xml:space="preserve"> 1908 TS </w:t>
      </w:r>
      <w:r w:rsidRPr="005333A6">
        <w:rPr>
          <w:lang w:val="en-US"/>
        </w:rPr>
        <w:t>575</w:t>
      </w:r>
      <w:r>
        <w:rPr>
          <w:lang w:val="en-US"/>
        </w:rPr>
        <w:t xml:space="preserve"> </w:t>
      </w:r>
      <w:r w:rsidRPr="006F3FD5">
        <w:rPr>
          <w:lang w:val="en-US"/>
        </w:rPr>
        <w:t>at</w:t>
      </w:r>
      <w:r>
        <w:rPr>
          <w:lang w:val="en-US"/>
        </w:rPr>
        <w:t xml:space="preserve"> p.</w:t>
      </w:r>
      <w:r w:rsidRPr="003D31CE">
        <w:rPr>
          <w:lang w:val="en-US"/>
        </w:rPr>
        <w:t xml:space="preserve">584 approved by </w:t>
      </w:r>
      <w:r>
        <w:rPr>
          <w:lang w:val="en-US"/>
        </w:rPr>
        <w:t xml:space="preserve">the </w:t>
      </w:r>
      <w:r w:rsidRPr="003D31CE">
        <w:rPr>
          <w:lang w:val="en-US"/>
        </w:rPr>
        <w:t xml:space="preserve">SCA in </w:t>
      </w:r>
      <w:r w:rsidRPr="00BA5A57">
        <w:rPr>
          <w:i/>
          <w:color w:val="000000"/>
          <w:shd w:val="clear" w:color="auto" w:fill="FFFFFF"/>
          <w:lang w:val="en-ZA"/>
        </w:rPr>
        <w:t>Macdonald</w:t>
      </w:r>
      <w:r>
        <w:rPr>
          <w:i/>
          <w:color w:val="000000"/>
          <w:shd w:val="clear" w:color="auto" w:fill="FFFFFF"/>
          <w:lang w:val="en-ZA"/>
        </w:rPr>
        <w:t xml:space="preserve"> </w:t>
      </w:r>
      <w:r w:rsidRPr="00BA5A57">
        <w:rPr>
          <w:i/>
          <w:color w:val="000000"/>
          <w:shd w:val="clear" w:color="auto" w:fill="FFFFFF"/>
          <w:lang w:val="en-ZA"/>
        </w:rPr>
        <w:t>and Others v Road Accident Fund</w:t>
      </w:r>
      <w:r w:rsidRPr="003D31CE">
        <w:rPr>
          <w:color w:val="000000"/>
          <w:lang w:val="en-ZA"/>
        </w:rPr>
        <w:t xml:space="preserve"> </w:t>
      </w:r>
      <w:r w:rsidRPr="003D31CE">
        <w:rPr>
          <w:color w:val="000000"/>
          <w:shd w:val="clear" w:color="auto" w:fill="FFFFFF"/>
          <w:lang w:val="en-ZA"/>
        </w:rPr>
        <w:t>[2012] JOL 29313 (SCA)</w:t>
      </w:r>
      <w:r>
        <w:rPr>
          <w:lang w:val="en-US"/>
        </w:rPr>
        <w:t xml:space="preserve"> at para 14.</w:t>
      </w:r>
    </w:p>
  </w:footnote>
  <w:footnote w:id="7">
    <w:p w14:paraId="4A27663C" w14:textId="77777777" w:rsidR="007B11FE" w:rsidRPr="003D31CE" w:rsidRDefault="007B11FE" w:rsidP="007B11FE">
      <w:pPr>
        <w:pStyle w:val="FOOTNOTES"/>
        <w:ind w:left="709" w:hanging="142"/>
        <w:rPr>
          <w:lang w:val="en-US"/>
        </w:rPr>
      </w:pPr>
      <w:r w:rsidRPr="003D31CE">
        <w:rPr>
          <w:rStyle w:val="FootnoteReference"/>
        </w:rPr>
        <w:footnoteRef/>
      </w:r>
      <w:r>
        <w:t xml:space="preserve"> </w:t>
      </w:r>
      <w:r w:rsidRPr="003D31CE">
        <w:rPr>
          <w:i/>
        </w:rPr>
        <w:t>Union Government (Minister of Railways) v Lee</w:t>
      </w:r>
      <w:r w:rsidRPr="003D31CE">
        <w:t xml:space="preserve"> </w:t>
      </w:r>
      <w:r w:rsidRPr="000A687E">
        <w:t>1927 AD 202</w:t>
      </w:r>
      <w:r>
        <w:t xml:space="preserve"> at p.220; </w:t>
      </w:r>
      <w:r w:rsidRPr="003D31CE">
        <w:rPr>
          <w:i/>
          <w:lang w:val="en-US"/>
        </w:rPr>
        <w:t>Legal Insurance Co Ltd v Botes</w:t>
      </w:r>
      <w:r w:rsidRPr="003D31CE">
        <w:rPr>
          <w:lang w:val="en-US"/>
        </w:rPr>
        <w:t xml:space="preserve"> 1963 1 SA 608 (A) at </w:t>
      </w:r>
      <w:r>
        <w:rPr>
          <w:lang w:val="en-US"/>
        </w:rPr>
        <w:t>p.</w:t>
      </w:r>
      <w:r w:rsidRPr="003D31CE">
        <w:rPr>
          <w:lang w:val="en-US"/>
        </w:rPr>
        <w:t>614B</w:t>
      </w:r>
      <w:r>
        <w:rPr>
          <w:lang w:val="en-US"/>
        </w:rPr>
        <w:t xml:space="preserve">-E </w:t>
      </w:r>
    </w:p>
  </w:footnote>
  <w:footnote w:id="8">
    <w:p w14:paraId="6489E782" w14:textId="77777777" w:rsidR="007B11FE" w:rsidRPr="0085263B" w:rsidRDefault="007B11FE" w:rsidP="007B11FE">
      <w:pPr>
        <w:pStyle w:val="FootnoteText"/>
        <w:rPr>
          <w:lang w:val="en-US"/>
        </w:rPr>
      </w:pPr>
      <w:r>
        <w:rPr>
          <w:rStyle w:val="FootnoteReference"/>
        </w:rPr>
        <w:footnoteRef/>
      </w:r>
      <w:r>
        <w:t xml:space="preserve"> </w:t>
      </w:r>
      <w:r>
        <w:rPr>
          <w:lang w:val="en-US"/>
        </w:rPr>
        <w:t>“</w:t>
      </w:r>
      <w:r w:rsidRPr="00066323">
        <w:rPr>
          <w:i/>
          <w:iCs/>
          <w:lang w:val="en-US"/>
        </w:rPr>
        <w:t>Homicide in traditional African Societies: Customary law and the question of accountability”</w:t>
      </w:r>
      <w:r>
        <w:rPr>
          <w:lang w:val="en-US"/>
        </w:rPr>
        <w:t xml:space="preserve"> Professor Thandabantu Nhlapo, African Human Rights Law Journal vol 17 n.1 2017</w:t>
      </w:r>
    </w:p>
  </w:footnote>
  <w:footnote w:id="9">
    <w:p w14:paraId="19834CA8" w14:textId="77777777" w:rsidR="007B11FE" w:rsidRPr="003D31CE" w:rsidRDefault="007B11FE" w:rsidP="007B11FE">
      <w:pPr>
        <w:pStyle w:val="FootnoteText"/>
        <w:ind w:left="993" w:hanging="426"/>
        <w:rPr>
          <w:rFonts w:cs="Arial"/>
          <w:lang w:val="en-US"/>
        </w:rPr>
      </w:pPr>
      <w:r w:rsidRPr="003D31CE">
        <w:rPr>
          <w:rStyle w:val="FootnoteReference"/>
          <w:rFonts w:cs="Arial"/>
        </w:rPr>
        <w:footnoteRef/>
      </w:r>
      <w:r w:rsidRPr="003D31CE">
        <w:rPr>
          <w:rFonts w:cs="Arial"/>
        </w:rPr>
        <w:t xml:space="preserve"> </w:t>
      </w:r>
      <w:r w:rsidRPr="00B1305D">
        <w:rPr>
          <w:rFonts w:cs="Arial"/>
          <w:i/>
          <w:iCs/>
        </w:rPr>
        <w:t>Law Society of South Africa v Minister of Transport</w:t>
      </w:r>
      <w:r>
        <w:rPr>
          <w:rFonts w:cs="Arial"/>
        </w:rPr>
        <w:t xml:space="preserve"> 2011 (1) SA 400 at para 54.</w:t>
      </w:r>
    </w:p>
  </w:footnote>
  <w:footnote w:id="10">
    <w:p w14:paraId="533CF6D7" w14:textId="77777777" w:rsidR="000D4DDF" w:rsidRPr="002B0828" w:rsidRDefault="000D4DDF" w:rsidP="000D4DDF">
      <w:pPr>
        <w:pStyle w:val="FootnoteText"/>
        <w:rPr>
          <w:lang w:val="en-US"/>
        </w:rPr>
      </w:pPr>
      <w:r>
        <w:rPr>
          <w:rStyle w:val="FootnoteReference"/>
        </w:rPr>
        <w:footnoteRef/>
      </w:r>
      <w:r>
        <w:t xml:space="preserve"> </w:t>
      </w:r>
      <w:r>
        <w:rPr>
          <w:lang w:val="en-US"/>
        </w:rPr>
        <w:t>Section 5 RAF Act</w:t>
      </w:r>
    </w:p>
  </w:footnote>
  <w:footnote w:id="11">
    <w:p w14:paraId="4412E4DA" w14:textId="77777777" w:rsidR="007B11FE" w:rsidRPr="00DB3AD3" w:rsidRDefault="007B11FE" w:rsidP="007B11FE">
      <w:pPr>
        <w:pStyle w:val="FootnoteText"/>
        <w:ind w:left="993" w:hanging="426"/>
        <w:rPr>
          <w:rFonts w:cs="Arial"/>
          <w:color w:val="000000" w:themeColor="text1"/>
          <w:lang w:val="en-US"/>
        </w:rPr>
      </w:pPr>
      <w:r w:rsidRPr="00DB3AD3">
        <w:rPr>
          <w:rStyle w:val="FootnoteReference"/>
          <w:rFonts w:cs="Arial"/>
          <w:color w:val="000000" w:themeColor="text1"/>
        </w:rPr>
        <w:footnoteRef/>
      </w:r>
      <w:r w:rsidRPr="00DB3AD3">
        <w:rPr>
          <w:rFonts w:cs="Arial"/>
          <w:color w:val="000000" w:themeColor="text1"/>
        </w:rPr>
        <w:t xml:space="preserve"> </w:t>
      </w:r>
      <w:r w:rsidRPr="006E5CC8">
        <w:rPr>
          <w:rFonts w:cs="Arial"/>
          <w:i/>
          <w:iCs/>
          <w:color w:val="000000" w:themeColor="text1"/>
        </w:rPr>
        <w:t>Law Society of South Africa v Minister of Transport</w:t>
      </w:r>
      <w:r w:rsidRPr="00DB3AD3">
        <w:rPr>
          <w:rFonts w:cs="Arial"/>
          <w:color w:val="000000" w:themeColor="text1"/>
        </w:rPr>
        <w:t xml:space="preserve"> 2011 (1) SA 400 (CC) at para 50.</w:t>
      </w:r>
    </w:p>
  </w:footnote>
  <w:footnote w:id="12">
    <w:p w14:paraId="00377240" w14:textId="0C32B6A2" w:rsidR="00C878F1" w:rsidRPr="00DB3AD3" w:rsidRDefault="00C878F1" w:rsidP="00B30E93">
      <w:pPr>
        <w:pStyle w:val="FootnoteText"/>
        <w:rPr>
          <w:rFonts w:cs="Arial"/>
          <w:color w:val="000000" w:themeColor="text1"/>
          <w:lang w:val="en-US"/>
        </w:rPr>
      </w:pPr>
      <w:r w:rsidRPr="00DB3AD3">
        <w:rPr>
          <w:rStyle w:val="FootnoteReference"/>
          <w:rFonts w:cs="Arial"/>
          <w:color w:val="000000" w:themeColor="text1"/>
        </w:rPr>
        <w:footnoteRef/>
      </w:r>
      <w:r w:rsidR="006E5CC8">
        <w:rPr>
          <w:rFonts w:cs="Arial"/>
          <w:color w:val="000000" w:themeColor="text1"/>
        </w:rPr>
        <w:t xml:space="preserve"> </w:t>
      </w:r>
      <w:r w:rsidR="00CB50F7" w:rsidRPr="006E5CC8">
        <w:rPr>
          <w:rFonts w:cs="Arial"/>
          <w:i/>
          <w:iCs/>
          <w:color w:val="000000" w:themeColor="text1"/>
          <w:lang w:val="en-US"/>
        </w:rPr>
        <w:t>Road Accident Fund v Mohohlo</w:t>
      </w:r>
      <w:r w:rsidR="00CB50F7" w:rsidRPr="00DB3AD3">
        <w:rPr>
          <w:rFonts w:cs="Arial"/>
          <w:color w:val="000000" w:themeColor="text1"/>
          <w:lang w:val="en-US"/>
        </w:rPr>
        <w:t xml:space="preserve"> </w:t>
      </w:r>
      <w:r w:rsidR="00990AD4" w:rsidRPr="00DB3AD3">
        <w:rPr>
          <w:rFonts w:cs="Arial"/>
          <w:color w:val="000000" w:themeColor="text1"/>
        </w:rPr>
        <w:t xml:space="preserve">2018 (2) SA 65 (SCA) </w:t>
      </w:r>
      <w:r w:rsidR="00CB50F7" w:rsidRPr="00DB3AD3">
        <w:rPr>
          <w:rFonts w:cs="Arial"/>
          <w:color w:val="000000" w:themeColor="text1"/>
          <w:lang w:val="en-US"/>
        </w:rPr>
        <w:t xml:space="preserve">at para </w:t>
      </w:r>
      <w:r w:rsidR="00576083" w:rsidRPr="00DB3AD3">
        <w:rPr>
          <w:rFonts w:cs="Arial"/>
          <w:color w:val="000000" w:themeColor="text1"/>
          <w:lang w:val="en-US"/>
        </w:rPr>
        <w:t>13</w:t>
      </w:r>
      <w:r w:rsidR="00614884" w:rsidRPr="00DB3AD3">
        <w:rPr>
          <w:rFonts w:cs="Arial"/>
          <w:color w:val="000000" w:themeColor="text1"/>
          <w:lang w:val="en-US"/>
        </w:rPr>
        <w:t>.</w:t>
      </w:r>
    </w:p>
  </w:footnote>
  <w:footnote w:id="13">
    <w:p w14:paraId="540C01EC" w14:textId="5DA280E5" w:rsidR="00B778F1" w:rsidRPr="00DB3AD3" w:rsidRDefault="00B778F1" w:rsidP="00B778F1">
      <w:pPr>
        <w:pStyle w:val="FootnoteText"/>
        <w:rPr>
          <w:rFonts w:cs="Arial"/>
          <w:color w:val="000000" w:themeColor="text1"/>
          <w:lang w:val="en-US"/>
        </w:rPr>
      </w:pPr>
      <w:r w:rsidRPr="00DB3AD3">
        <w:rPr>
          <w:rStyle w:val="FootnoteReference"/>
          <w:rFonts w:cs="Arial"/>
          <w:color w:val="000000" w:themeColor="text1"/>
        </w:rPr>
        <w:footnoteRef/>
      </w:r>
      <w:r w:rsidR="006E5CC8">
        <w:rPr>
          <w:rFonts w:cs="Arial"/>
          <w:color w:val="000000" w:themeColor="text1"/>
        </w:rPr>
        <w:t xml:space="preserve"> </w:t>
      </w:r>
      <w:r w:rsidRPr="006E5CC8">
        <w:rPr>
          <w:rFonts w:cs="Arial"/>
          <w:i/>
          <w:iCs/>
          <w:color w:val="000000" w:themeColor="text1"/>
          <w:lang w:val="en-US"/>
        </w:rPr>
        <w:t>Road Accident Fund v Krawa</w:t>
      </w:r>
      <w:r w:rsidRPr="00DB3AD3">
        <w:rPr>
          <w:rFonts w:cs="Arial"/>
          <w:color w:val="000000" w:themeColor="text1"/>
          <w:lang w:val="en-US"/>
        </w:rPr>
        <w:t xml:space="preserve"> 2012 (2) SSA 346 (ECG) at paras 45-46 [full bench] citing with approval </w:t>
      </w:r>
      <w:r w:rsidRPr="006E5CC8">
        <w:rPr>
          <w:rFonts w:cs="Arial"/>
          <w:i/>
          <w:iCs/>
          <w:color w:val="000000" w:themeColor="text1"/>
          <w:lang w:val="en-US"/>
        </w:rPr>
        <w:t>Union Government v Warneke</w:t>
      </w:r>
      <w:r w:rsidRPr="00DB3AD3">
        <w:rPr>
          <w:rFonts w:cs="Arial"/>
          <w:color w:val="000000" w:themeColor="text1"/>
          <w:lang w:val="en-US"/>
        </w:rPr>
        <w:t xml:space="preserve"> 1911 AD 657 at p.666: “</w:t>
      </w:r>
      <w:r w:rsidRPr="00DB3AD3">
        <w:rPr>
          <w:rFonts w:cs="Arial"/>
          <w:color w:val="000000" w:themeColor="text1"/>
        </w:rPr>
        <w:t xml:space="preserve">With the deceased’s duty of support comes the defendant’s concomitant right to receive and demand such support. It is that right which forms part of the plaintiff’s patrimony. As stated in the </w:t>
      </w:r>
      <w:r w:rsidRPr="00DB3AD3">
        <w:rPr>
          <w:rFonts w:cs="Arial"/>
          <w:i/>
          <w:iCs/>
          <w:color w:val="000000" w:themeColor="text1"/>
        </w:rPr>
        <w:t>Warneke</w:t>
      </w:r>
      <w:r w:rsidRPr="00DB3AD3">
        <w:rPr>
          <w:rFonts w:cs="Arial"/>
          <w:color w:val="000000" w:themeColor="text1"/>
        </w:rPr>
        <w:t>, case</w:t>
      </w:r>
      <w:r w:rsidR="00905A8A" w:rsidRPr="00DB3AD3">
        <w:rPr>
          <w:rFonts w:cs="Arial"/>
          <w:color w:val="000000" w:themeColor="text1"/>
        </w:rPr>
        <w:t xml:space="preserve"> </w:t>
      </w:r>
      <w:r w:rsidRPr="00DB3AD3">
        <w:rPr>
          <w:rFonts w:cs="Arial"/>
          <w:color w:val="000000" w:themeColor="text1"/>
        </w:rPr>
        <w:t>“…the right of the claimant to demand assistance was a right of property, the deprivation of which by the culpa of the defendant would quite naturally found a claim for patrimonial damages.”</w:t>
      </w:r>
      <w:r w:rsidRPr="00DB3AD3">
        <w:rPr>
          <w:rFonts w:cs="Arial"/>
          <w:color w:val="000000" w:themeColor="text1"/>
          <w:vertAlign w:val="superscript"/>
        </w:rPr>
        <w:t xml:space="preserve"> </w:t>
      </w:r>
      <w:r w:rsidRPr="00DB3AD3">
        <w:rPr>
          <w:rFonts w:cs="Arial"/>
          <w:color w:val="000000" w:themeColor="text1"/>
        </w:rPr>
        <w:t xml:space="preserve"> In </w:t>
      </w:r>
      <w:r w:rsidRPr="00DB3AD3">
        <w:rPr>
          <w:rFonts w:cs="Arial"/>
          <w:i/>
          <w:iCs/>
          <w:color w:val="000000" w:themeColor="text1"/>
        </w:rPr>
        <w:t>Waterson v Maybery</w:t>
      </w:r>
      <w:r w:rsidRPr="00DB3AD3">
        <w:rPr>
          <w:rFonts w:cs="Arial"/>
          <w:color w:val="000000" w:themeColor="text1"/>
          <w:vertAlign w:val="superscript"/>
        </w:rPr>
        <w:t xml:space="preserve"> </w:t>
      </w:r>
      <w:r w:rsidRPr="00DB3AD3">
        <w:rPr>
          <w:rFonts w:cs="Arial"/>
          <w:color w:val="000000" w:themeColor="text1"/>
        </w:rPr>
        <w:t xml:space="preserve">Greenberg J, with reference to the decision in </w:t>
      </w:r>
      <w:r w:rsidRPr="00DB3AD3">
        <w:rPr>
          <w:rFonts w:cs="Arial"/>
          <w:i/>
          <w:iCs/>
          <w:color w:val="000000" w:themeColor="text1"/>
        </w:rPr>
        <w:t xml:space="preserve">Warneke </w:t>
      </w:r>
      <w:r w:rsidRPr="00DB3AD3">
        <w:rPr>
          <w:rFonts w:cs="Arial"/>
          <w:color w:val="000000" w:themeColor="text1"/>
        </w:rPr>
        <w:t xml:space="preserve">explained it as follows: “If I read these passages aright, they establish that the existence of a legal duty by the deceased to the claimant is an essential to a claim of this kind. […] The ‘rights’ which go towards making up the </w:t>
      </w:r>
      <w:r w:rsidRPr="00DB3AD3">
        <w:rPr>
          <w:rFonts w:cs="Arial"/>
          <w:i/>
          <w:iCs/>
          <w:color w:val="000000" w:themeColor="text1"/>
        </w:rPr>
        <w:t>universitas</w:t>
      </w:r>
      <w:r w:rsidRPr="00DB3AD3">
        <w:rPr>
          <w:rFonts w:cs="Arial"/>
          <w:color w:val="000000" w:themeColor="text1"/>
        </w:rPr>
        <w:t xml:space="preserve"> must be legal rights, based on a reciprocal legal duty on some other person.”</w:t>
      </w:r>
    </w:p>
  </w:footnote>
  <w:footnote w:id="14">
    <w:p w14:paraId="1C2028FA" w14:textId="77777777" w:rsidR="00671FCB" w:rsidRPr="003E4D84" w:rsidRDefault="00671FCB" w:rsidP="00671FCB">
      <w:pPr>
        <w:pStyle w:val="FootnoteText"/>
        <w:rPr>
          <w:lang w:val="en-US"/>
        </w:rPr>
      </w:pPr>
      <w:r>
        <w:rPr>
          <w:rStyle w:val="FootnoteReference"/>
        </w:rPr>
        <w:footnoteRef/>
      </w:r>
      <w:r>
        <w:t xml:space="preserve"> </w:t>
      </w:r>
      <w:r w:rsidRPr="006E5CC8">
        <w:rPr>
          <w:i/>
          <w:iCs/>
          <w:lang w:val="en-US"/>
        </w:rPr>
        <w:t>M v Minister of Police</w:t>
      </w:r>
      <w:r>
        <w:rPr>
          <w:lang w:val="en-US"/>
        </w:rPr>
        <w:t xml:space="preserve"> 2013 (5) SA 622 (GNP) at p.635</w:t>
      </w:r>
    </w:p>
  </w:footnote>
  <w:footnote w:id="15">
    <w:p w14:paraId="7F0C74FA" w14:textId="77124179" w:rsidR="007078AF" w:rsidRPr="00DB3AD3" w:rsidRDefault="007078AF">
      <w:pPr>
        <w:pStyle w:val="FootnoteText"/>
        <w:rPr>
          <w:color w:val="000000" w:themeColor="text1"/>
          <w:lang w:val="en-US"/>
        </w:rPr>
      </w:pPr>
      <w:r w:rsidRPr="00DB3AD3">
        <w:rPr>
          <w:rStyle w:val="FootnoteReference"/>
          <w:color w:val="000000" w:themeColor="text1"/>
        </w:rPr>
        <w:footnoteRef/>
      </w:r>
      <w:r w:rsidRPr="00DB3AD3">
        <w:rPr>
          <w:color w:val="000000" w:themeColor="text1"/>
        </w:rPr>
        <w:t xml:space="preserve"> </w:t>
      </w:r>
      <w:r w:rsidRPr="006E5CC8">
        <w:rPr>
          <w:i/>
          <w:iCs/>
          <w:color w:val="000000" w:themeColor="text1"/>
          <w:shd w:val="clear" w:color="auto" w:fill="FFFFFF"/>
          <w:lang w:val="en-ZA" w:eastAsia="en-GB"/>
        </w:rPr>
        <w:t>Groenewald v Snyders</w:t>
      </w:r>
      <w:r w:rsidR="00B1305D">
        <w:rPr>
          <w:color w:val="000000" w:themeColor="text1"/>
          <w:shd w:val="clear" w:color="auto" w:fill="FFFFFF"/>
          <w:lang w:val="en-ZA" w:eastAsia="en-GB"/>
        </w:rPr>
        <w:t xml:space="preserve"> </w:t>
      </w:r>
      <w:r w:rsidRPr="00DB3AD3">
        <w:rPr>
          <w:rFonts w:cs="Arial"/>
          <w:color w:val="000000" w:themeColor="text1"/>
          <w:lang w:val="en-US"/>
        </w:rPr>
        <w:t>1966 3 SA 237 (A) at p.</w:t>
      </w:r>
      <w:r w:rsidRPr="00DB3AD3">
        <w:rPr>
          <w:color w:val="000000" w:themeColor="text1"/>
          <w:shd w:val="clear" w:color="auto" w:fill="FFFFFF"/>
          <w:lang w:val="en-ZA" w:eastAsia="en-GB"/>
        </w:rPr>
        <w:t>247A-</w:t>
      </w:r>
      <w:r w:rsidR="005C14A2" w:rsidRPr="00DB3AD3">
        <w:rPr>
          <w:color w:val="000000" w:themeColor="text1"/>
          <w:shd w:val="clear" w:color="auto" w:fill="FFFFFF"/>
          <w:lang w:val="en-ZA" w:eastAsia="en-GB"/>
        </w:rPr>
        <w:t>B</w:t>
      </w:r>
    </w:p>
  </w:footnote>
  <w:footnote w:id="16">
    <w:p w14:paraId="1E895D3A" w14:textId="77777777" w:rsidR="00D04F4F" w:rsidRPr="00B67B57" w:rsidRDefault="00D04F4F" w:rsidP="00D04F4F">
      <w:pPr>
        <w:pStyle w:val="FootnoteText"/>
        <w:rPr>
          <w:lang w:val="en-US"/>
        </w:rPr>
      </w:pPr>
      <w:r w:rsidRPr="00DB3AD3">
        <w:rPr>
          <w:rStyle w:val="FootnoteReference"/>
          <w:color w:val="000000" w:themeColor="text1"/>
        </w:rPr>
        <w:footnoteRef/>
      </w:r>
      <w:r w:rsidRPr="00DB3AD3">
        <w:rPr>
          <w:color w:val="000000" w:themeColor="text1"/>
        </w:rPr>
        <w:t xml:space="preserve"> </w:t>
      </w:r>
      <w:r w:rsidRPr="00B1305D">
        <w:rPr>
          <w:rFonts w:cs="Arial"/>
          <w:i/>
          <w:iCs/>
          <w:color w:val="000000" w:themeColor="text1"/>
          <w:lang w:val="en-US"/>
        </w:rPr>
        <w:t>Young v Hutton</w:t>
      </w:r>
      <w:r w:rsidRPr="00DB3AD3">
        <w:rPr>
          <w:rFonts w:cs="Arial"/>
          <w:color w:val="000000" w:themeColor="text1"/>
          <w:lang w:val="en-US"/>
        </w:rPr>
        <w:t xml:space="preserve"> 1918 WLD 90; </w:t>
      </w:r>
      <w:r w:rsidRPr="00B1305D">
        <w:rPr>
          <w:rFonts w:cs="Arial"/>
          <w:i/>
          <w:iCs/>
          <w:color w:val="000000" w:themeColor="text1"/>
          <w:lang w:val="en-US"/>
        </w:rPr>
        <w:t xml:space="preserve">Union Government (Minister of </w:t>
      </w:r>
      <w:r w:rsidRPr="00B1305D">
        <w:rPr>
          <w:rFonts w:cs="Arial"/>
          <w:i/>
          <w:iCs/>
          <w:lang w:val="en-US"/>
        </w:rPr>
        <w:t>Railways &amp; Harbours) v Warneke</w:t>
      </w:r>
      <w:r w:rsidRPr="008C0959">
        <w:rPr>
          <w:rFonts w:cs="Arial"/>
          <w:lang w:val="en-US"/>
        </w:rPr>
        <w:t xml:space="preserve"> 1911 AD 657 </w:t>
      </w:r>
      <w:r>
        <w:rPr>
          <w:rFonts w:cs="Arial"/>
          <w:lang w:val="en-US"/>
        </w:rPr>
        <w:t>at p.</w:t>
      </w:r>
      <w:r w:rsidRPr="008C0959">
        <w:rPr>
          <w:rFonts w:cs="Arial"/>
          <w:lang w:val="en-US"/>
        </w:rPr>
        <w:t xml:space="preserve">668; </w:t>
      </w:r>
      <w:r w:rsidRPr="00B1305D">
        <w:rPr>
          <w:rFonts w:cs="Arial"/>
          <w:i/>
          <w:iCs/>
          <w:lang w:val="en-US"/>
        </w:rPr>
        <w:t>Groenewald v Snyders</w:t>
      </w:r>
      <w:r w:rsidRPr="008C0959">
        <w:rPr>
          <w:rFonts w:cs="Arial"/>
          <w:lang w:val="en-US"/>
        </w:rPr>
        <w:t xml:space="preserve"> 1966 3 SA 237 (A) </w:t>
      </w:r>
      <w:r>
        <w:rPr>
          <w:rFonts w:cs="Arial"/>
          <w:lang w:val="en-US"/>
        </w:rPr>
        <w:t>at p.</w:t>
      </w:r>
      <w:r w:rsidRPr="008C0959">
        <w:rPr>
          <w:rFonts w:cs="Arial"/>
          <w:lang w:val="en-US"/>
        </w:rPr>
        <w:t>247B-C</w:t>
      </w:r>
      <w:r>
        <w:rPr>
          <w:rFonts w:cs="Arial"/>
          <w:lang w:val="en-US"/>
        </w:rPr>
        <w:t>.</w:t>
      </w:r>
    </w:p>
  </w:footnote>
  <w:footnote w:id="17">
    <w:p w14:paraId="1F4EE5FB" w14:textId="6C4125A8" w:rsidR="00C878F1" w:rsidRPr="008C0959" w:rsidRDefault="00C878F1" w:rsidP="003A6356">
      <w:pPr>
        <w:spacing w:after="0" w:line="240" w:lineRule="auto"/>
        <w:ind w:left="993" w:hanging="426"/>
        <w:rPr>
          <w:rFonts w:cs="Arial"/>
          <w:sz w:val="20"/>
          <w:szCs w:val="20"/>
        </w:rPr>
      </w:pPr>
      <w:r w:rsidRPr="008C0959">
        <w:rPr>
          <w:rStyle w:val="FootnoteReference"/>
          <w:rFonts w:cs="Arial"/>
          <w:sz w:val="20"/>
          <w:szCs w:val="20"/>
        </w:rPr>
        <w:footnoteRef/>
      </w:r>
      <w:r w:rsidRPr="008C0959">
        <w:rPr>
          <w:rFonts w:cs="Arial"/>
          <w:sz w:val="20"/>
          <w:szCs w:val="20"/>
        </w:rPr>
        <w:t xml:space="preserve"> </w:t>
      </w:r>
      <w:r w:rsidRPr="008C0959">
        <w:rPr>
          <w:rFonts w:cs="Arial"/>
          <w:i/>
          <w:sz w:val="20"/>
          <w:szCs w:val="20"/>
        </w:rPr>
        <w:t>Fosi v Road Accident Fund &amp; Anothe</w:t>
      </w:r>
      <w:r w:rsidRPr="008C0959">
        <w:rPr>
          <w:rFonts w:cs="Arial"/>
          <w:sz w:val="20"/>
          <w:szCs w:val="20"/>
        </w:rPr>
        <w:t>r [2007] ZAWCHC 8; 2008 (3) SA 560 (C) at para 16.</w:t>
      </w:r>
    </w:p>
  </w:footnote>
  <w:footnote w:id="18">
    <w:p w14:paraId="30D988EE" w14:textId="498FC87E" w:rsidR="00C878F1" w:rsidRPr="008C0959" w:rsidRDefault="00C878F1" w:rsidP="00F333CA">
      <w:pPr>
        <w:pStyle w:val="FootnoteText"/>
        <w:rPr>
          <w:rFonts w:cs="Arial"/>
        </w:rPr>
      </w:pPr>
      <w:r w:rsidRPr="008C0959">
        <w:rPr>
          <w:rStyle w:val="FootnoteReference"/>
          <w:rFonts w:cs="Arial"/>
        </w:rPr>
        <w:footnoteRef/>
      </w:r>
      <w:r w:rsidRPr="008C0959">
        <w:rPr>
          <w:rFonts w:cs="Arial"/>
        </w:rPr>
        <w:t xml:space="preserve"> </w:t>
      </w:r>
      <w:r w:rsidRPr="008C0959">
        <w:rPr>
          <w:rFonts w:cs="Arial"/>
          <w:i/>
        </w:rPr>
        <w:t>Amod v Multilateral Vehicle Accidents Fund</w:t>
      </w:r>
      <w:r w:rsidRPr="008C0959">
        <w:rPr>
          <w:rFonts w:cs="Arial"/>
        </w:rPr>
        <w:t xml:space="preserve"> </w:t>
      </w:r>
      <w:r w:rsidR="00F54473">
        <w:rPr>
          <w:rFonts w:cs="Arial"/>
        </w:rPr>
        <w:t>[1999] ZASCA 76 at</w:t>
      </w:r>
      <w:r w:rsidR="00E91207">
        <w:rPr>
          <w:rFonts w:cs="Arial"/>
        </w:rPr>
        <w:t xml:space="preserve"> para</w:t>
      </w:r>
      <w:r w:rsidR="000D54A2">
        <w:rPr>
          <w:rFonts w:cs="Arial"/>
        </w:rPr>
        <w:t>s</w:t>
      </w:r>
      <w:r w:rsidR="00E91207">
        <w:rPr>
          <w:rFonts w:cs="Arial"/>
        </w:rPr>
        <w:t xml:space="preserve"> 7</w:t>
      </w:r>
      <w:r w:rsidR="00943301">
        <w:rPr>
          <w:rFonts w:cs="Arial"/>
        </w:rPr>
        <w:t>-1</w:t>
      </w:r>
      <w:r w:rsidR="000D54A2">
        <w:rPr>
          <w:rFonts w:cs="Arial"/>
        </w:rPr>
        <w:t>1.</w:t>
      </w:r>
      <w:r w:rsidRPr="008C0959">
        <w:rPr>
          <w:rFonts w:cs="Arial"/>
        </w:rPr>
        <w:t xml:space="preserve"> </w:t>
      </w:r>
    </w:p>
  </w:footnote>
  <w:footnote w:id="19">
    <w:p w14:paraId="2466D586" w14:textId="702C6389" w:rsidR="00C878F1" w:rsidRPr="008C0959" w:rsidRDefault="00C878F1" w:rsidP="00F333CA">
      <w:pPr>
        <w:pStyle w:val="FootnoteText"/>
        <w:rPr>
          <w:rFonts w:cs="Arial"/>
        </w:rPr>
      </w:pPr>
      <w:r w:rsidRPr="008C0959">
        <w:rPr>
          <w:rStyle w:val="FootnoteReference"/>
          <w:rFonts w:cs="Arial"/>
        </w:rPr>
        <w:footnoteRef/>
      </w:r>
      <w:r w:rsidRPr="008C0959">
        <w:rPr>
          <w:rFonts w:cs="Arial"/>
        </w:rPr>
        <w:t xml:space="preserve"> </w:t>
      </w:r>
      <w:r w:rsidRPr="008C0959">
        <w:rPr>
          <w:rFonts w:cs="Arial"/>
          <w:i/>
        </w:rPr>
        <w:t>Road Accident Fund v Mohohlo</w:t>
      </w:r>
      <w:r w:rsidRPr="008C0959">
        <w:rPr>
          <w:rFonts w:cs="Arial"/>
        </w:rPr>
        <w:t xml:space="preserve"> 2018 (2) SA 65 (SCA)</w:t>
      </w:r>
      <w:r w:rsidR="00AC3745">
        <w:rPr>
          <w:rFonts w:cs="Arial"/>
        </w:rPr>
        <w:t xml:space="preserve"> at para</w:t>
      </w:r>
      <w:r w:rsidR="004340EF">
        <w:rPr>
          <w:rFonts w:cs="Arial"/>
        </w:rPr>
        <w:t>s 5-12</w:t>
      </w:r>
    </w:p>
  </w:footnote>
  <w:footnote w:id="20">
    <w:p w14:paraId="43D2E9F1" w14:textId="57A932B1" w:rsidR="008C1878" w:rsidRPr="008C0959" w:rsidRDefault="008C1878" w:rsidP="008C1878">
      <w:pPr>
        <w:pStyle w:val="FootnoteText"/>
        <w:rPr>
          <w:rFonts w:cs="Arial"/>
        </w:rPr>
      </w:pPr>
      <w:r w:rsidRPr="008C0959">
        <w:rPr>
          <w:rStyle w:val="FootnoteReference"/>
          <w:rFonts w:cs="Arial"/>
        </w:rPr>
        <w:footnoteRef/>
      </w:r>
      <w:r w:rsidRPr="008C0959">
        <w:rPr>
          <w:rFonts w:cs="Arial"/>
        </w:rPr>
        <w:t xml:space="preserve"> </w:t>
      </w:r>
      <w:r w:rsidRPr="008C0959">
        <w:rPr>
          <w:rFonts w:cs="Arial"/>
          <w:i/>
        </w:rPr>
        <w:t>Paixão v RAF</w:t>
      </w:r>
      <w:r w:rsidRPr="008C0959">
        <w:rPr>
          <w:rFonts w:cs="Arial"/>
        </w:rPr>
        <w:t xml:space="preserve"> 2012 (6) SA 377 (SCA)</w:t>
      </w:r>
      <w:r w:rsidR="0000793F">
        <w:rPr>
          <w:rFonts w:cs="Arial"/>
        </w:rPr>
        <w:t xml:space="preserve"> at para</w:t>
      </w:r>
      <w:r w:rsidR="003547F2">
        <w:rPr>
          <w:rFonts w:cs="Arial"/>
        </w:rPr>
        <w:t xml:space="preserve"> </w:t>
      </w:r>
      <w:r w:rsidR="00B15955">
        <w:rPr>
          <w:rFonts w:cs="Arial"/>
        </w:rPr>
        <w:t>39</w:t>
      </w:r>
    </w:p>
  </w:footnote>
  <w:footnote w:id="21">
    <w:p w14:paraId="10197844" w14:textId="77777777" w:rsidR="001B1932" w:rsidRPr="008C0959" w:rsidRDefault="001B1932" w:rsidP="001B1932">
      <w:pPr>
        <w:pStyle w:val="FootnoteText"/>
        <w:ind w:left="993" w:hanging="426"/>
        <w:rPr>
          <w:rFonts w:cs="Arial"/>
        </w:rPr>
      </w:pPr>
      <w:r w:rsidRPr="008C0959">
        <w:rPr>
          <w:rStyle w:val="FootnoteReference"/>
          <w:rFonts w:cs="Arial"/>
        </w:rPr>
        <w:footnoteRef/>
      </w:r>
      <w:r w:rsidRPr="008C0959">
        <w:rPr>
          <w:rFonts w:cs="Arial"/>
        </w:rPr>
        <w:t xml:space="preserve"> </w:t>
      </w:r>
      <w:r w:rsidRPr="008C0959">
        <w:rPr>
          <w:rFonts w:cs="Arial"/>
          <w:i/>
          <w:color w:val="000000"/>
        </w:rPr>
        <w:t>JT v RAF</w:t>
      </w:r>
      <w:r w:rsidRPr="008C0959">
        <w:rPr>
          <w:rFonts w:cs="Arial"/>
          <w:color w:val="000000"/>
        </w:rPr>
        <w:t xml:space="preserve"> 2015 (1) SA 609 (GJ) at </w:t>
      </w:r>
      <w:r>
        <w:rPr>
          <w:rFonts w:cs="Arial"/>
          <w:color w:val="000000"/>
        </w:rPr>
        <w:t>p.</w:t>
      </w:r>
      <w:r w:rsidRPr="008C0959">
        <w:rPr>
          <w:rFonts w:cs="Arial"/>
          <w:color w:val="000000"/>
        </w:rPr>
        <w:t>613</w:t>
      </w:r>
    </w:p>
  </w:footnote>
  <w:footnote w:id="22">
    <w:p w14:paraId="43CC0328" w14:textId="0ACCE190" w:rsidR="0084030D" w:rsidRPr="008C0959" w:rsidRDefault="0084030D" w:rsidP="0084030D">
      <w:pPr>
        <w:pStyle w:val="Default"/>
        <w:ind w:left="567"/>
        <w:jc w:val="both"/>
        <w:rPr>
          <w:sz w:val="20"/>
          <w:szCs w:val="20"/>
        </w:rPr>
      </w:pPr>
      <w:r w:rsidRPr="008C0959">
        <w:rPr>
          <w:rStyle w:val="FootnoteReference"/>
          <w:sz w:val="20"/>
          <w:szCs w:val="20"/>
        </w:rPr>
        <w:footnoteRef/>
      </w:r>
      <w:r w:rsidRPr="008C0959">
        <w:rPr>
          <w:sz w:val="20"/>
          <w:szCs w:val="20"/>
        </w:rPr>
        <w:t xml:space="preserve"> </w:t>
      </w:r>
      <w:r w:rsidRPr="006E5CC8">
        <w:rPr>
          <w:i/>
          <w:iCs/>
          <w:sz w:val="20"/>
          <w:szCs w:val="20"/>
          <w:lang w:val="en-US"/>
        </w:rPr>
        <w:t>Law Society of South Africa and Others v Minister for Transport</w:t>
      </w:r>
      <w:r w:rsidRPr="008C0959">
        <w:rPr>
          <w:sz w:val="20"/>
          <w:szCs w:val="20"/>
          <w:lang w:val="en-US"/>
        </w:rPr>
        <w:t xml:space="preserve"> 2011 (1) SA 400 (CC)</w:t>
      </w:r>
      <w:r w:rsidR="00FB04A7">
        <w:rPr>
          <w:sz w:val="20"/>
          <w:szCs w:val="20"/>
          <w:lang w:val="en-US"/>
        </w:rPr>
        <w:t xml:space="preserve"> at para</w:t>
      </w:r>
      <w:r w:rsidR="002E288C">
        <w:rPr>
          <w:sz w:val="20"/>
          <w:szCs w:val="20"/>
          <w:lang w:val="en-US"/>
        </w:rPr>
        <w:t xml:space="preserve"> 25</w:t>
      </w:r>
      <w:r w:rsidRPr="008C0959">
        <w:rPr>
          <w:sz w:val="20"/>
          <w:szCs w:val="20"/>
          <w:lang w:val="en-US"/>
        </w:rPr>
        <w:t xml:space="preserve"> “</w:t>
      </w:r>
      <w:r w:rsidRPr="008C0959">
        <w:rPr>
          <w:iCs/>
          <w:sz w:val="20"/>
          <w:szCs w:val="20"/>
          <w:lang w:val="en-US"/>
        </w:rPr>
        <w:t>Firstly, the scheme insures road users against the risk of personal injury and their dependents against the risk of their death caused by the fault of another driver or motorist. It has retained the underlying common law fault-based liability. This means that any collision victim or a third party who seeks to recover compensation must establish the normal delictual elements. The claimant must show that he or she has suffered loss or damage as a result of personal bodily injury or the injury or death of a breadwinner arising from the driving of a motor vehicle in a manner which was wrongful and coupled with negligence or intent.</w:t>
      </w:r>
      <w:r w:rsidRPr="008C0959">
        <w:rPr>
          <w:sz w:val="20"/>
          <w:szCs w:val="20"/>
          <w:lang w:val="en-US"/>
        </w:rPr>
        <w:t xml:space="preserve">” </w:t>
      </w:r>
      <w:r w:rsidRPr="008C0959">
        <w:rPr>
          <w:i/>
          <w:sz w:val="20"/>
          <w:szCs w:val="20"/>
        </w:rPr>
        <w:t>Road Accident Fund v Abrahams</w:t>
      </w:r>
      <w:r w:rsidRPr="008C0959">
        <w:rPr>
          <w:sz w:val="20"/>
          <w:szCs w:val="20"/>
        </w:rPr>
        <w:t xml:space="preserve"> [2018] ZASCA 49 </w:t>
      </w:r>
      <w:r w:rsidR="00E50B35">
        <w:rPr>
          <w:sz w:val="20"/>
          <w:szCs w:val="20"/>
        </w:rPr>
        <w:t xml:space="preserve">at </w:t>
      </w:r>
      <w:r w:rsidRPr="008C0959">
        <w:rPr>
          <w:sz w:val="20"/>
          <w:szCs w:val="20"/>
        </w:rPr>
        <w:t>para 13.</w:t>
      </w:r>
    </w:p>
  </w:footnote>
  <w:footnote w:id="23">
    <w:p w14:paraId="359A7650" w14:textId="24151B1D" w:rsidR="00C878F1" w:rsidRPr="008C0959" w:rsidRDefault="00C878F1" w:rsidP="00777469">
      <w:pPr>
        <w:pStyle w:val="FootnoteText"/>
        <w:rPr>
          <w:rFonts w:cs="Arial"/>
          <w:lang w:val="en-US"/>
        </w:rPr>
      </w:pPr>
      <w:r w:rsidRPr="008C0959">
        <w:rPr>
          <w:rStyle w:val="FootnoteReference"/>
          <w:rFonts w:cs="Arial"/>
        </w:rPr>
        <w:footnoteRef/>
      </w:r>
      <w:r w:rsidRPr="008C0959">
        <w:rPr>
          <w:rFonts w:cs="Arial"/>
        </w:rPr>
        <w:t xml:space="preserve"> </w:t>
      </w:r>
      <w:r w:rsidRPr="00127E46">
        <w:rPr>
          <w:rFonts w:cs="Arial"/>
          <w:i/>
          <w:iCs/>
          <w:lang w:val="en-US"/>
        </w:rPr>
        <w:t xml:space="preserve">Groenewald v Road Accident Fund </w:t>
      </w:r>
      <w:r w:rsidRPr="008C0959">
        <w:rPr>
          <w:rFonts w:cs="Arial"/>
          <w:lang w:val="en-US"/>
        </w:rPr>
        <w:t>(74920/2014) [2017] ZAGPPHC 879: “…claimant, need to prove only 1% negligence on the part of the insured driver in order to succeed with her claim against the defendant.”</w:t>
      </w:r>
      <w:r w:rsidR="007F3A87">
        <w:rPr>
          <w:rFonts w:cs="Arial"/>
          <w:lang w:val="en-US"/>
        </w:rPr>
        <w:t xml:space="preserve"> </w:t>
      </w:r>
      <w:r w:rsidR="007F3A87" w:rsidRPr="008C0959">
        <w:rPr>
          <w:rFonts w:cs="Arial"/>
          <w:i/>
          <w:lang w:val="en-US"/>
        </w:rPr>
        <w:t>MS v RAF</w:t>
      </w:r>
      <w:r w:rsidR="007F3A87" w:rsidRPr="008C0959">
        <w:rPr>
          <w:rFonts w:cs="Arial"/>
          <w:lang w:val="en-US"/>
        </w:rPr>
        <w:t xml:space="preserve"> [2019] 3 All SA 626 (GJ) (25 March 2019) at para 8</w:t>
      </w:r>
    </w:p>
  </w:footnote>
  <w:footnote w:id="24">
    <w:p w14:paraId="38F86F2A" w14:textId="77777777" w:rsidR="00B74652" w:rsidRPr="008C0959" w:rsidRDefault="00B74652" w:rsidP="00B74652">
      <w:pPr>
        <w:pStyle w:val="FootnoteText"/>
        <w:ind w:left="993" w:hanging="426"/>
        <w:rPr>
          <w:rFonts w:cs="Arial"/>
          <w:lang w:val="en-US"/>
        </w:rPr>
      </w:pPr>
      <w:r w:rsidRPr="008C0959">
        <w:rPr>
          <w:rStyle w:val="FootnoteReference"/>
          <w:rFonts w:cs="Arial"/>
        </w:rPr>
        <w:footnoteRef/>
      </w:r>
      <w:r w:rsidRPr="008C0959">
        <w:rPr>
          <w:rFonts w:cs="Arial"/>
        </w:rPr>
        <w:t xml:space="preserve"> </w:t>
      </w:r>
      <w:r w:rsidRPr="00127E46">
        <w:rPr>
          <w:rFonts w:cs="Arial"/>
          <w:i/>
          <w:iCs/>
          <w:lang w:val="en-US"/>
        </w:rPr>
        <w:t>National Employers General Insurance Co Ltd v Jagers</w:t>
      </w:r>
      <w:r w:rsidRPr="008C0959">
        <w:rPr>
          <w:rFonts w:cs="Arial"/>
          <w:lang w:val="en-US"/>
        </w:rPr>
        <w:t xml:space="preserve"> [1984] 4 All SA  622 (E) at p</w:t>
      </w:r>
      <w:r>
        <w:rPr>
          <w:rFonts w:cs="Arial"/>
          <w:lang w:val="en-US"/>
        </w:rPr>
        <w:t>.</w:t>
      </w:r>
      <w:r w:rsidRPr="008C0959">
        <w:rPr>
          <w:rFonts w:cs="Arial"/>
          <w:lang w:val="en-US"/>
        </w:rPr>
        <w:t>624</w:t>
      </w:r>
    </w:p>
  </w:footnote>
  <w:footnote w:id="25">
    <w:p w14:paraId="6AB6D4A9" w14:textId="779B4ECF" w:rsidR="00C878F1" w:rsidRPr="008C0959" w:rsidRDefault="00C878F1" w:rsidP="003317E8">
      <w:pPr>
        <w:pStyle w:val="FootnoteText"/>
        <w:ind w:left="993" w:hanging="426"/>
        <w:rPr>
          <w:rFonts w:cs="Arial"/>
          <w:lang w:val="en-US"/>
        </w:rPr>
      </w:pPr>
      <w:r w:rsidRPr="008C0959">
        <w:rPr>
          <w:rStyle w:val="FootnoteReference"/>
          <w:rFonts w:cs="Arial"/>
        </w:rPr>
        <w:footnoteRef/>
      </w:r>
      <w:r w:rsidRPr="008C0959">
        <w:rPr>
          <w:rFonts w:cs="Arial"/>
        </w:rPr>
        <w:t xml:space="preserve"> </w:t>
      </w:r>
      <w:r w:rsidRPr="008C0959">
        <w:rPr>
          <w:rFonts w:cs="Arial"/>
          <w:i/>
          <w:lang w:val="en-US"/>
        </w:rPr>
        <w:t>Van Ryn v RAF</w:t>
      </w:r>
      <w:r w:rsidRPr="008C0959">
        <w:rPr>
          <w:rFonts w:cs="Arial"/>
          <w:lang w:val="en-US"/>
        </w:rPr>
        <w:t xml:space="preserve"> [2018] JOL 40091 (FB) at p</w:t>
      </w:r>
      <w:r w:rsidR="00892B45">
        <w:rPr>
          <w:rFonts w:cs="Arial"/>
          <w:lang w:val="en-US"/>
        </w:rPr>
        <w:t>.</w:t>
      </w:r>
      <w:r w:rsidRPr="008C0959">
        <w:rPr>
          <w:rFonts w:cs="Arial"/>
          <w:lang w:val="en-US"/>
        </w:rPr>
        <w:t>6</w:t>
      </w:r>
    </w:p>
  </w:footnote>
  <w:footnote w:id="26">
    <w:p w14:paraId="12E34468" w14:textId="77777777" w:rsidR="00E210DD" w:rsidRPr="008C0959" w:rsidRDefault="00E210DD" w:rsidP="00E210DD">
      <w:pPr>
        <w:pStyle w:val="FootnoteText"/>
        <w:rPr>
          <w:rFonts w:cs="Arial"/>
          <w:lang w:val="en-US"/>
        </w:rPr>
      </w:pPr>
      <w:r w:rsidRPr="008C0959">
        <w:rPr>
          <w:rStyle w:val="FootnoteReference"/>
          <w:rFonts w:cs="Arial"/>
        </w:rPr>
        <w:footnoteRef/>
      </w:r>
      <w:r w:rsidRPr="008C0959">
        <w:rPr>
          <w:rFonts w:cs="Arial"/>
        </w:rPr>
        <w:t xml:space="preserve"> </w:t>
      </w:r>
      <w:r w:rsidRPr="00127E46">
        <w:rPr>
          <w:rFonts w:cs="Arial"/>
          <w:i/>
          <w:iCs/>
          <w:lang w:val="en-US"/>
        </w:rPr>
        <w:t>De Wet &amp; another v President Versekeringsmaatskapy Beperk</w:t>
      </w:r>
      <w:r w:rsidRPr="008C0959">
        <w:rPr>
          <w:rFonts w:cs="Arial"/>
          <w:lang w:val="en-US"/>
        </w:rPr>
        <w:t xml:space="preserve"> 1978 (3 SA 495 (C)</w:t>
      </w:r>
      <w:r>
        <w:rPr>
          <w:rFonts w:cs="Arial"/>
          <w:lang w:val="en-US"/>
        </w:rPr>
        <w:t xml:space="preserve"> at p.500E-G citing </w:t>
      </w:r>
      <w:r w:rsidRPr="00127E46">
        <w:rPr>
          <w:rFonts w:cs="Arial"/>
          <w:i/>
          <w:iCs/>
          <w:lang w:val="en-US"/>
        </w:rPr>
        <w:t>Caswell v Powell Duffryn Associated Colleries Ltd</w:t>
      </w:r>
      <w:r>
        <w:rPr>
          <w:rFonts w:cs="Arial"/>
          <w:lang w:val="en-US"/>
        </w:rPr>
        <w:t xml:space="preserve"> (1939) 3 All ER 722 at p.733.</w:t>
      </w:r>
    </w:p>
  </w:footnote>
  <w:footnote w:id="27">
    <w:p w14:paraId="33C3FDC8" w14:textId="77777777" w:rsidR="00E210DD" w:rsidRPr="008C0959" w:rsidRDefault="00E210DD" w:rsidP="00E210DD">
      <w:pPr>
        <w:pStyle w:val="FootnoteText"/>
        <w:rPr>
          <w:rFonts w:cs="Arial"/>
          <w:lang w:val="en-US"/>
        </w:rPr>
      </w:pPr>
      <w:r w:rsidRPr="008C0959">
        <w:rPr>
          <w:rStyle w:val="FootnoteReference"/>
          <w:rFonts w:cs="Arial"/>
        </w:rPr>
        <w:footnoteRef/>
      </w:r>
      <w:r w:rsidRPr="008C0959">
        <w:rPr>
          <w:rFonts w:cs="Arial"/>
        </w:rPr>
        <w:t xml:space="preserve"> </w:t>
      </w:r>
      <w:r w:rsidRPr="00182855">
        <w:rPr>
          <w:rFonts w:cs="Arial"/>
          <w:i/>
          <w:iCs/>
          <w:lang w:val="en-US"/>
        </w:rPr>
        <w:t>Mokone v RAF</w:t>
      </w:r>
      <w:r w:rsidRPr="008C0959">
        <w:rPr>
          <w:rFonts w:cs="Arial"/>
          <w:lang w:val="en-US"/>
        </w:rPr>
        <w:t xml:space="preserve"> [2022] JOL 56505 (MM) </w:t>
      </w:r>
      <w:r>
        <w:rPr>
          <w:rFonts w:cs="Arial"/>
          <w:lang w:val="en-US"/>
        </w:rPr>
        <w:t xml:space="preserve">at para 15 </w:t>
      </w:r>
      <w:r w:rsidRPr="008C0959">
        <w:rPr>
          <w:rFonts w:cs="Arial"/>
          <w:lang w:val="en-US"/>
        </w:rPr>
        <w:t xml:space="preserve">citing </w:t>
      </w:r>
      <w:r w:rsidRPr="00182855">
        <w:rPr>
          <w:rFonts w:cs="Arial"/>
          <w:i/>
          <w:iCs/>
          <w:lang w:val="en-US"/>
        </w:rPr>
        <w:t>Sampson v Pim</w:t>
      </w:r>
      <w:r w:rsidRPr="008C0959">
        <w:rPr>
          <w:rFonts w:cs="Arial"/>
          <w:lang w:val="en-US"/>
        </w:rPr>
        <w:t xml:space="preserve"> 1918 AD 657 at </w:t>
      </w:r>
      <w:r>
        <w:rPr>
          <w:rFonts w:cs="Arial"/>
          <w:lang w:val="en-US"/>
        </w:rPr>
        <w:t>p.</w:t>
      </w:r>
      <w:r w:rsidRPr="008C0959">
        <w:rPr>
          <w:rFonts w:cs="Arial"/>
          <w:lang w:val="en-US"/>
        </w:rPr>
        <w:t>662</w:t>
      </w:r>
      <w:r>
        <w:rPr>
          <w:rFonts w:cs="Arial"/>
          <w:lang w:val="en-US"/>
        </w:rPr>
        <w:t xml:space="preserve"> and </w:t>
      </w:r>
      <w:r w:rsidRPr="00182855">
        <w:rPr>
          <w:rFonts w:cs="Arial"/>
          <w:i/>
          <w:iCs/>
          <w:lang w:val="en-US"/>
        </w:rPr>
        <w:t>Galante v Dickinson</w:t>
      </w:r>
      <w:r w:rsidRPr="008C0959">
        <w:rPr>
          <w:rFonts w:cs="Arial"/>
          <w:lang w:val="en-US"/>
        </w:rPr>
        <w:t xml:space="preserve"> 1950 (2) SAA 460(A)</w:t>
      </w:r>
    </w:p>
  </w:footnote>
  <w:footnote w:id="28">
    <w:p w14:paraId="502C5E5A" w14:textId="77777777" w:rsidR="00BD6C8E" w:rsidRPr="00814EBF" w:rsidRDefault="00BD6C8E" w:rsidP="00BD6C8E">
      <w:pPr>
        <w:pStyle w:val="FootnoteText"/>
        <w:rPr>
          <w:lang w:val="en-US"/>
        </w:rPr>
      </w:pPr>
      <w:r>
        <w:rPr>
          <w:rStyle w:val="FootnoteReference"/>
        </w:rPr>
        <w:footnoteRef/>
      </w:r>
      <w:r>
        <w:t xml:space="preserve"> An articulated truck consists of two sections connected by a pivot joint which allows the front portion to mobilise independently from the back portion.</w:t>
      </w:r>
    </w:p>
  </w:footnote>
  <w:footnote w:id="29">
    <w:p w14:paraId="513A4039" w14:textId="77777777" w:rsidR="001D202F" w:rsidRPr="008C0959" w:rsidRDefault="001D202F" w:rsidP="001D202F">
      <w:pPr>
        <w:pStyle w:val="FootnoteText"/>
        <w:rPr>
          <w:rFonts w:cs="Arial"/>
          <w:lang w:val="en-US"/>
        </w:rPr>
      </w:pPr>
      <w:r w:rsidRPr="008C0959">
        <w:rPr>
          <w:rStyle w:val="FootnoteReference"/>
          <w:rFonts w:cs="Arial"/>
        </w:rPr>
        <w:footnoteRef/>
      </w:r>
      <w:r w:rsidRPr="008C0959">
        <w:rPr>
          <w:rFonts w:cs="Arial"/>
        </w:rPr>
        <w:t xml:space="preserve"> </w:t>
      </w:r>
      <w:r w:rsidRPr="008C0959">
        <w:rPr>
          <w:rFonts w:cs="Arial"/>
          <w:i/>
          <w:lang w:val="en-US"/>
        </w:rPr>
        <w:t>Blyth v Van den Heever</w:t>
      </w:r>
      <w:r w:rsidRPr="008C0959">
        <w:rPr>
          <w:rFonts w:cs="Arial"/>
          <w:lang w:val="en-US"/>
        </w:rPr>
        <w:t xml:space="preserve"> 1980 (1) SA 191 (A) at </w:t>
      </w:r>
      <w:r>
        <w:rPr>
          <w:rFonts w:cs="Arial"/>
          <w:lang w:val="en-US"/>
        </w:rPr>
        <w:t>p.</w:t>
      </w:r>
      <w:r w:rsidRPr="008C0959">
        <w:rPr>
          <w:rFonts w:cs="Arial"/>
          <w:lang w:val="en-US"/>
        </w:rPr>
        <w:t>220A</w:t>
      </w:r>
    </w:p>
  </w:footnote>
  <w:footnote w:id="30">
    <w:p w14:paraId="2981617C" w14:textId="6F2CC882" w:rsidR="00C878F1" w:rsidRPr="008C0959" w:rsidRDefault="00C878F1" w:rsidP="00BF134B">
      <w:pPr>
        <w:pStyle w:val="FootnoteText"/>
        <w:rPr>
          <w:rFonts w:cs="Arial"/>
          <w:lang w:val="en-US"/>
        </w:rPr>
      </w:pPr>
      <w:r w:rsidRPr="008C0959">
        <w:rPr>
          <w:rStyle w:val="FootnoteReference"/>
          <w:rFonts w:cs="Arial"/>
        </w:rPr>
        <w:footnoteRef/>
      </w:r>
      <w:r w:rsidR="00127E46">
        <w:rPr>
          <w:rFonts w:cs="Arial"/>
        </w:rPr>
        <w:t xml:space="preserve"> </w:t>
      </w:r>
      <w:r w:rsidRPr="008C0959">
        <w:rPr>
          <w:rFonts w:cs="Arial"/>
          <w:i/>
          <w:lang w:val="en-US"/>
        </w:rPr>
        <w:t>Ongevallekommissaris v Santam Bpk</w:t>
      </w:r>
      <w:r w:rsidRPr="008C0959">
        <w:rPr>
          <w:rFonts w:cs="Arial"/>
          <w:lang w:val="en-US"/>
        </w:rPr>
        <w:t xml:space="preserve"> 1999 (1) S 251 (SCA)</w:t>
      </w:r>
      <w:r w:rsidR="003254B0">
        <w:rPr>
          <w:rFonts w:cs="Arial"/>
          <w:lang w:val="en-US"/>
        </w:rPr>
        <w:t xml:space="preserve"> at </w:t>
      </w:r>
      <w:r w:rsidR="00B56A0A">
        <w:rPr>
          <w:rFonts w:cs="Arial"/>
          <w:lang w:val="en-US"/>
        </w:rPr>
        <w:t>p</w:t>
      </w:r>
      <w:r w:rsidR="001754E8">
        <w:rPr>
          <w:rFonts w:cs="Arial"/>
          <w:lang w:val="en-US"/>
        </w:rPr>
        <w:t>.</w:t>
      </w:r>
      <w:r w:rsidR="00B56A0A">
        <w:rPr>
          <w:rFonts w:cs="Arial"/>
          <w:lang w:val="en-US"/>
        </w:rPr>
        <w:t>511</w:t>
      </w:r>
      <w:r w:rsidR="005A47BE">
        <w:rPr>
          <w:rFonts w:cs="Arial"/>
          <w:lang w:val="en-US"/>
        </w:rPr>
        <w:t xml:space="preserve"> </w:t>
      </w:r>
      <w:r w:rsidR="00310DEB">
        <w:rPr>
          <w:rFonts w:cs="Arial"/>
          <w:lang w:val="en-US"/>
        </w:rPr>
        <w:t xml:space="preserve">citing with </w:t>
      </w:r>
      <w:r w:rsidR="005A47BE">
        <w:rPr>
          <w:rFonts w:cs="Arial"/>
          <w:lang w:val="en-US"/>
        </w:rPr>
        <w:t>approv</w:t>
      </w:r>
      <w:r w:rsidR="00310DEB">
        <w:rPr>
          <w:rFonts w:cs="Arial"/>
          <w:lang w:val="en-US"/>
        </w:rPr>
        <w:t>al</w:t>
      </w:r>
      <w:r w:rsidR="005A47BE">
        <w:rPr>
          <w:rFonts w:cs="Arial"/>
          <w:lang w:val="en-US"/>
        </w:rPr>
        <w:t xml:space="preserve"> </w:t>
      </w:r>
      <w:r w:rsidR="005A47BE" w:rsidRPr="008C0959">
        <w:rPr>
          <w:rFonts w:cs="Arial"/>
          <w:i/>
          <w:lang w:val="en-US"/>
        </w:rPr>
        <w:t>Union Government v Warneke</w:t>
      </w:r>
      <w:r w:rsidR="005A47BE" w:rsidRPr="008C0959">
        <w:rPr>
          <w:rFonts w:cs="Arial"/>
          <w:lang w:val="en-US"/>
        </w:rPr>
        <w:t xml:space="preserve"> 1911 AD 657 at </w:t>
      </w:r>
      <w:r w:rsidR="00A1196F">
        <w:rPr>
          <w:rFonts w:cs="Arial"/>
          <w:lang w:val="en-US"/>
        </w:rPr>
        <w:t>p.</w:t>
      </w:r>
      <w:r w:rsidR="005A47BE" w:rsidRPr="008C0959">
        <w:rPr>
          <w:rFonts w:cs="Arial"/>
          <w:lang w:val="en-US"/>
        </w:rPr>
        <w:t>672</w:t>
      </w:r>
      <w:r w:rsidR="002211C0">
        <w:rPr>
          <w:rFonts w:cs="Arial"/>
          <w:lang w:val="en-US"/>
        </w:rPr>
        <w:t>.</w:t>
      </w:r>
    </w:p>
  </w:footnote>
  <w:footnote w:id="31">
    <w:p w14:paraId="63859E52" w14:textId="177E95FE" w:rsidR="00C878F1" w:rsidRPr="008C0959" w:rsidRDefault="00C878F1" w:rsidP="00BF134B">
      <w:pPr>
        <w:pStyle w:val="FootnoteText"/>
        <w:rPr>
          <w:rFonts w:cs="Arial"/>
          <w:lang w:val="en-US"/>
        </w:rPr>
      </w:pPr>
      <w:r w:rsidRPr="008C0959">
        <w:rPr>
          <w:rStyle w:val="FootnoteReference"/>
          <w:rFonts w:cs="Arial"/>
        </w:rPr>
        <w:footnoteRef/>
      </w:r>
      <w:r w:rsidRPr="008C0959">
        <w:rPr>
          <w:rFonts w:cs="Arial"/>
        </w:rPr>
        <w:t> </w:t>
      </w:r>
      <w:r w:rsidRPr="008C0959">
        <w:rPr>
          <w:rFonts w:cs="Arial"/>
          <w:lang w:val="en-US"/>
        </w:rPr>
        <w:t xml:space="preserve">Voet 9.2.11; </w:t>
      </w:r>
      <w:r w:rsidRPr="008C0959">
        <w:rPr>
          <w:rFonts w:cs="Arial"/>
          <w:i/>
          <w:lang w:val="en-US"/>
        </w:rPr>
        <w:t xml:space="preserve">Ongevallekommissaris v Santam Bpk </w:t>
      </w:r>
      <w:r w:rsidRPr="008C0959">
        <w:rPr>
          <w:rFonts w:cs="Arial"/>
          <w:lang w:val="en-US"/>
        </w:rPr>
        <w:t xml:space="preserve">1999 (1) S 251 (SCA) </w:t>
      </w:r>
      <w:r w:rsidR="002436C7">
        <w:rPr>
          <w:rFonts w:cs="Arial"/>
          <w:lang w:val="en-US"/>
        </w:rPr>
        <w:t>at p</w:t>
      </w:r>
      <w:r w:rsidR="001754E8">
        <w:rPr>
          <w:rFonts w:cs="Arial"/>
          <w:lang w:val="en-US"/>
        </w:rPr>
        <w:t>.</w:t>
      </w:r>
      <w:r w:rsidR="002211C0">
        <w:rPr>
          <w:rFonts w:cs="Arial"/>
          <w:lang w:val="en-US"/>
        </w:rPr>
        <w:t xml:space="preserve">512 </w:t>
      </w:r>
      <w:r w:rsidR="002B07F8">
        <w:rPr>
          <w:rFonts w:cs="Arial"/>
          <w:lang w:val="en-US"/>
        </w:rPr>
        <w:t xml:space="preserve">citing with </w:t>
      </w:r>
      <w:r w:rsidR="002211C0">
        <w:rPr>
          <w:rFonts w:cs="Arial"/>
          <w:lang w:val="en-US"/>
        </w:rPr>
        <w:t>appr</w:t>
      </w:r>
      <w:r w:rsidR="008E55FE">
        <w:rPr>
          <w:rFonts w:cs="Arial"/>
          <w:lang w:val="en-US"/>
        </w:rPr>
        <w:t>o</w:t>
      </w:r>
      <w:r w:rsidR="002211C0">
        <w:rPr>
          <w:rFonts w:cs="Arial"/>
          <w:lang w:val="en-US"/>
        </w:rPr>
        <w:t>v</w:t>
      </w:r>
      <w:r w:rsidR="002B07F8">
        <w:rPr>
          <w:rFonts w:cs="Arial"/>
          <w:lang w:val="en-US"/>
        </w:rPr>
        <w:t>al</w:t>
      </w:r>
      <w:r w:rsidR="002211C0">
        <w:rPr>
          <w:rFonts w:cs="Arial"/>
          <w:lang w:val="en-US"/>
        </w:rPr>
        <w:t xml:space="preserve"> </w:t>
      </w:r>
      <w:r w:rsidR="002211C0" w:rsidRPr="008C0959">
        <w:rPr>
          <w:rFonts w:cs="Arial"/>
          <w:i/>
          <w:lang w:val="en-US"/>
        </w:rPr>
        <w:t>Jameson’s Minors v CSAR</w:t>
      </w:r>
      <w:r w:rsidR="002211C0" w:rsidRPr="008C0959">
        <w:rPr>
          <w:rFonts w:cs="Arial"/>
          <w:lang w:val="en-US"/>
        </w:rPr>
        <w:t xml:space="preserve"> 1908 TS 575 at </w:t>
      </w:r>
      <w:r w:rsidR="001754E8">
        <w:rPr>
          <w:rFonts w:cs="Arial"/>
          <w:lang w:val="en-US"/>
        </w:rPr>
        <w:t>p.</w:t>
      </w:r>
      <w:r w:rsidR="002211C0" w:rsidRPr="008C0959">
        <w:rPr>
          <w:rFonts w:cs="Arial"/>
          <w:lang w:val="en-US"/>
        </w:rPr>
        <w:t>602</w:t>
      </w:r>
      <w:r w:rsidR="002211C0">
        <w:rPr>
          <w:rFonts w:cs="Arial"/>
          <w:lang w:val="en-US"/>
        </w:rPr>
        <w:t>.</w:t>
      </w:r>
    </w:p>
  </w:footnote>
  <w:footnote w:id="32">
    <w:p w14:paraId="3AB2E61D" w14:textId="3F9F229C" w:rsidR="00F4094C" w:rsidRPr="00F4094C" w:rsidRDefault="00F4094C">
      <w:pPr>
        <w:pStyle w:val="FootnoteText"/>
        <w:rPr>
          <w:lang w:val="en-US"/>
        </w:rPr>
      </w:pPr>
      <w:r>
        <w:rPr>
          <w:rStyle w:val="FootnoteReference"/>
        </w:rPr>
        <w:footnoteRef/>
      </w:r>
      <w:r>
        <w:t xml:space="preserve"> </w:t>
      </w:r>
      <w:r w:rsidRPr="00BA5A57">
        <w:rPr>
          <w:i/>
          <w:color w:val="000000"/>
          <w:shd w:val="clear" w:color="auto" w:fill="FFFFFF"/>
          <w:lang w:val="en-ZA"/>
        </w:rPr>
        <w:t>Macdonald</w:t>
      </w:r>
      <w:r>
        <w:rPr>
          <w:i/>
          <w:color w:val="000000"/>
          <w:shd w:val="clear" w:color="auto" w:fill="FFFFFF"/>
          <w:lang w:val="en-ZA"/>
        </w:rPr>
        <w:t xml:space="preserve"> </w:t>
      </w:r>
      <w:r w:rsidRPr="00BA5A57">
        <w:rPr>
          <w:i/>
          <w:color w:val="000000"/>
          <w:shd w:val="clear" w:color="auto" w:fill="FFFFFF"/>
          <w:lang w:val="en-ZA"/>
        </w:rPr>
        <w:t>and Others v Road Accident Fund</w:t>
      </w:r>
      <w:r w:rsidRPr="003D31CE">
        <w:rPr>
          <w:color w:val="000000"/>
          <w:lang w:val="en-ZA"/>
        </w:rPr>
        <w:t xml:space="preserve"> </w:t>
      </w:r>
      <w:r w:rsidRPr="003D31CE">
        <w:rPr>
          <w:color w:val="000000"/>
          <w:shd w:val="clear" w:color="auto" w:fill="FFFFFF"/>
          <w:lang w:val="en-ZA"/>
        </w:rPr>
        <w:t xml:space="preserve">[2012] </w:t>
      </w:r>
      <w:r>
        <w:rPr>
          <w:color w:val="000000"/>
          <w:shd w:val="clear" w:color="auto" w:fill="FFFFFF"/>
          <w:lang w:val="en-ZA"/>
        </w:rPr>
        <w:t>ZASCA 69</w:t>
      </w:r>
      <w:r w:rsidRPr="003D31CE">
        <w:rPr>
          <w:color w:val="000000"/>
          <w:shd w:val="clear" w:color="auto" w:fill="FFFFFF"/>
          <w:lang w:val="en-ZA"/>
        </w:rPr>
        <w:t xml:space="preserve"> </w:t>
      </w:r>
      <w:r w:rsidRPr="00990E1C">
        <w:rPr>
          <w:color w:val="000000"/>
          <w:shd w:val="clear" w:color="auto" w:fill="FFFFFF"/>
          <w:lang w:val="en-ZA"/>
        </w:rPr>
        <w:t>(SCA)</w:t>
      </w:r>
      <w:r w:rsidRPr="00990E1C">
        <w:rPr>
          <w:lang w:val="en-US"/>
        </w:rPr>
        <w:t xml:space="preserve"> at para 15</w:t>
      </w:r>
    </w:p>
  </w:footnote>
  <w:footnote w:id="33">
    <w:p w14:paraId="41EB76B2" w14:textId="6A7DDA11" w:rsidR="007D768B" w:rsidRPr="007D768B" w:rsidRDefault="007D768B" w:rsidP="007D768B">
      <w:pPr>
        <w:pStyle w:val="FootnoteText"/>
        <w:rPr>
          <w:rFonts w:cs="Arial"/>
        </w:rPr>
      </w:pPr>
      <w:r w:rsidRPr="008C0959">
        <w:rPr>
          <w:rStyle w:val="FootnoteReference"/>
          <w:rFonts w:cs="Arial"/>
        </w:rPr>
        <w:footnoteRef/>
      </w:r>
      <w:r w:rsidRPr="008C0959">
        <w:rPr>
          <w:rFonts w:cs="Arial"/>
        </w:rPr>
        <w:t xml:space="preserve"> </w:t>
      </w:r>
      <w:r w:rsidRPr="002B07F8">
        <w:rPr>
          <w:rFonts w:cs="Arial"/>
          <w:i/>
          <w:iCs/>
          <w:lang w:val="en-US" w:eastAsia="en-GB"/>
        </w:rPr>
        <w:t xml:space="preserve">Lambrakis v Santam </w:t>
      </w:r>
      <w:r w:rsidRPr="008C0959">
        <w:rPr>
          <w:rFonts w:cs="Arial"/>
          <w:lang w:val="en-US" w:eastAsia="en-GB"/>
        </w:rPr>
        <w:t xml:space="preserve">2002 (3) SA 710 paras 12 and 13:“The measures of damages for loss of support is, usually, the difference between the position of the defendant as a result of the loss of support and the position he or she could reasonably have expected to be had the deceased not died: Joubert (ed) The Law of South Africa (1st re-issue) Vol 7 para 89, citing Jameson's Minors v Central South African Railways 1908 TS 575 at 603; Hulley v Cox 1923 AD 234; and Legal Insurance Co Ltd v Botes 1963 (1) SA 608 (A). The particular equities of the case must also be taken into account and an adjustment made if appropriate: Botes above at 614 F-H, where Holmes JA said that the trial Judge 'has a discretion to award what under the circumstances he thinks right'.  Thus, any addition to a dependant's income, arising from the death of the deceased, must be deducted from the total amount of the loss.  In assessing the value of the benefit-and indeed the loss-the court may be guided but is certainly not tied down by inexorable actuarial calculations' (Holmes JA in Botes </w:t>
      </w:r>
      <w:r>
        <w:rPr>
          <w:rFonts w:cs="Arial"/>
          <w:lang w:val="en-US" w:eastAsia="en-GB"/>
        </w:rPr>
        <w:t>(</w:t>
      </w:r>
      <w:r w:rsidRPr="008C0959">
        <w:rPr>
          <w:rFonts w:cs="Arial"/>
          <w:lang w:val="en-US" w:eastAsia="en-GB"/>
        </w:rPr>
        <w:t>supra at 614F-G)</w:t>
      </w:r>
    </w:p>
  </w:footnote>
  <w:footnote w:id="34">
    <w:p w14:paraId="07A2437D" w14:textId="276FC81E" w:rsidR="005304E0" w:rsidRPr="008C0959" w:rsidRDefault="005304E0" w:rsidP="00127E46">
      <w:pPr>
        <w:pStyle w:val="FootnoteText"/>
        <w:rPr>
          <w:rFonts w:cs="Arial"/>
          <w:lang w:val="en-US"/>
        </w:rPr>
      </w:pPr>
      <w:r w:rsidRPr="008C0959">
        <w:rPr>
          <w:rStyle w:val="FootnoteReference"/>
          <w:rFonts w:cs="Arial"/>
        </w:rPr>
        <w:footnoteRef/>
      </w:r>
      <w:r w:rsidR="007D768B" w:rsidRPr="002B07F8">
        <w:rPr>
          <w:rFonts w:cs="Arial"/>
          <w:i/>
          <w:iCs/>
        </w:rPr>
        <w:t>Southern Insurance Association Ltd v Bailey N.O</w:t>
      </w:r>
      <w:r w:rsidR="007D768B" w:rsidRPr="008C0959">
        <w:rPr>
          <w:rFonts w:cs="Arial"/>
        </w:rPr>
        <w:t xml:space="preserve"> 1984(1) SA 98 (A) at 113F the enquiry is speculative in nature “because it involves a prediction as to the future, without the benefit of crystal balls, soothsayers, augurs or oracles…All that the court can do is make an estimate, which is often a very rough estimate, of the present value of the loss.”</w:t>
      </w:r>
    </w:p>
  </w:footnote>
  <w:footnote w:id="35">
    <w:p w14:paraId="671BF2A1" w14:textId="3694E759" w:rsidR="00C878F1" w:rsidRPr="008C0959" w:rsidRDefault="00C878F1" w:rsidP="004934E7">
      <w:pPr>
        <w:pStyle w:val="FootnoteText"/>
        <w:rPr>
          <w:rFonts w:cs="Arial"/>
          <w:lang w:val="en-ZA"/>
        </w:rPr>
      </w:pPr>
      <w:r w:rsidRPr="008C0959">
        <w:rPr>
          <w:rStyle w:val="FootnoteReference"/>
          <w:rFonts w:cs="Arial"/>
        </w:rPr>
        <w:footnoteRef/>
      </w:r>
      <w:r w:rsidRPr="008C0959">
        <w:rPr>
          <w:rFonts w:cs="Arial"/>
        </w:rPr>
        <w:t xml:space="preserve"> </w:t>
      </w:r>
      <w:r w:rsidR="00B2093B" w:rsidRPr="003D31CE">
        <w:rPr>
          <w:i/>
        </w:rPr>
        <w:t>Mfomadi and Another v Road Accident Fund</w:t>
      </w:r>
      <w:r w:rsidR="00B2093B" w:rsidRPr="000A687E">
        <w:t xml:space="preserve"> (34221/06) [2012] ZAGPPHC 152</w:t>
      </w:r>
      <w:r w:rsidR="00325862">
        <w:t xml:space="preserve"> </w:t>
      </w:r>
      <w:r w:rsidR="00CB0592" w:rsidRPr="008C0959">
        <w:rPr>
          <w:rFonts w:cs="Arial"/>
        </w:rPr>
        <w:t xml:space="preserve">(3 August 2012) </w:t>
      </w:r>
      <w:r w:rsidR="00325862">
        <w:t xml:space="preserve">at </w:t>
      </w:r>
      <w:r w:rsidR="00BC648D">
        <w:t>para</w:t>
      </w:r>
      <w:r w:rsidR="004F165F">
        <w:t xml:space="preserve"> </w:t>
      </w:r>
      <w:r w:rsidR="007F614E">
        <w:t>30</w:t>
      </w:r>
    </w:p>
  </w:footnote>
  <w:footnote w:id="36">
    <w:p w14:paraId="2EC5B23C" w14:textId="72A38632" w:rsidR="00C878F1" w:rsidRPr="008C0959" w:rsidRDefault="00C878F1" w:rsidP="004934E7">
      <w:pPr>
        <w:pStyle w:val="FootnoteText"/>
        <w:rPr>
          <w:rFonts w:cs="Arial"/>
          <w:lang w:val="en-US"/>
        </w:rPr>
      </w:pPr>
      <w:r w:rsidRPr="008C0959">
        <w:rPr>
          <w:rStyle w:val="FootnoteReference"/>
          <w:rFonts w:cs="Arial"/>
        </w:rPr>
        <w:footnoteRef/>
      </w:r>
      <w:r w:rsidRPr="008C0959">
        <w:rPr>
          <w:rFonts w:cs="Arial"/>
        </w:rPr>
        <w:t xml:space="preserve"> </w:t>
      </w:r>
      <w:r w:rsidRPr="008C0959">
        <w:rPr>
          <w:rFonts w:cs="Arial"/>
          <w:i/>
        </w:rPr>
        <w:t>Mfomadi and Another v Road Accident Fund</w:t>
      </w:r>
      <w:r w:rsidRPr="008C0959">
        <w:rPr>
          <w:rFonts w:cs="Arial"/>
        </w:rPr>
        <w:t xml:space="preserve"> (34221/06) [2012] ZAGPPHC 152 (3 August 2012) at para 30.</w:t>
      </w:r>
    </w:p>
  </w:footnote>
  <w:footnote w:id="37">
    <w:p w14:paraId="356BE2F5" w14:textId="77777777" w:rsidR="00D07709" w:rsidRPr="008C0959" w:rsidRDefault="00D07709" w:rsidP="00D07709">
      <w:pPr>
        <w:pStyle w:val="FootnoteText"/>
        <w:rPr>
          <w:rFonts w:cs="Arial"/>
        </w:rPr>
      </w:pPr>
      <w:r w:rsidRPr="008C0959">
        <w:rPr>
          <w:rStyle w:val="FootnoteReference"/>
          <w:rFonts w:cs="Arial"/>
        </w:rPr>
        <w:footnoteRef/>
      </w:r>
      <w:r w:rsidRPr="008C0959">
        <w:rPr>
          <w:rFonts w:cs="Arial"/>
        </w:rPr>
        <w:t xml:space="preserve"> </w:t>
      </w:r>
      <w:r w:rsidRPr="00785DDB">
        <w:rPr>
          <w:rFonts w:cs="Arial"/>
          <w:i/>
          <w:iCs/>
        </w:rPr>
        <w:t xml:space="preserve">Protea Assurance Co Ltd v Lamb </w:t>
      </w:r>
      <w:r>
        <w:rPr>
          <w:rFonts w:cs="Arial"/>
        </w:rPr>
        <w:t>1971 (1) SA 530 (A) at p.535.</w:t>
      </w:r>
    </w:p>
  </w:footnote>
  <w:footnote w:id="38">
    <w:p w14:paraId="1427D987" w14:textId="77777777" w:rsidR="00D0236C" w:rsidRPr="00181070" w:rsidRDefault="00D0236C" w:rsidP="00D0236C">
      <w:pPr>
        <w:pStyle w:val="FootnoteText"/>
        <w:rPr>
          <w:lang w:val="en-US"/>
        </w:rPr>
      </w:pPr>
      <w:r>
        <w:rPr>
          <w:rStyle w:val="FootnoteReference"/>
        </w:rPr>
        <w:footnoteRef/>
      </w:r>
      <w:r>
        <w:t xml:space="preserve"> </w:t>
      </w:r>
      <w:r>
        <w:rPr>
          <w:i/>
          <w:lang w:val="en-US"/>
        </w:rPr>
        <w:t xml:space="preserve">RAF v Monani </w:t>
      </w:r>
      <w:r w:rsidRPr="0088635F">
        <w:rPr>
          <w:iCs/>
          <w:lang w:val="en-US"/>
        </w:rPr>
        <w:t>2009 (4) SA 327 (SCA) at paras</w:t>
      </w:r>
      <w:r w:rsidRPr="0056139D">
        <w:rPr>
          <w:iCs/>
          <w:lang w:val="en-US"/>
        </w:rPr>
        <w:t xml:space="preserve"> 2-6</w:t>
      </w:r>
    </w:p>
  </w:footnote>
  <w:footnote w:id="39">
    <w:p w14:paraId="2ACC6575" w14:textId="73CCF4BB" w:rsidR="00C878F1" w:rsidRPr="008C0959" w:rsidRDefault="00C878F1" w:rsidP="004934E7">
      <w:pPr>
        <w:pStyle w:val="FootnoteText"/>
        <w:rPr>
          <w:rFonts w:cs="Arial"/>
          <w:lang w:val="en-US"/>
        </w:rPr>
      </w:pPr>
      <w:r w:rsidRPr="008C0959">
        <w:rPr>
          <w:rStyle w:val="FootnoteReference"/>
          <w:rFonts w:cs="Arial"/>
        </w:rPr>
        <w:footnoteRef/>
      </w:r>
      <w:r w:rsidRPr="008C0959">
        <w:rPr>
          <w:rFonts w:cs="Arial"/>
        </w:rPr>
        <w:t xml:space="preserve"> </w:t>
      </w:r>
      <w:r w:rsidR="00F70476" w:rsidRPr="003D31CE">
        <w:rPr>
          <w:i/>
        </w:rPr>
        <w:t>Hulley v Cox</w:t>
      </w:r>
      <w:r w:rsidR="00F70476" w:rsidRPr="008C0959">
        <w:rPr>
          <w:rFonts w:cs="Arial"/>
          <w:lang w:eastAsia="en-GB"/>
        </w:rPr>
        <w:t xml:space="preserve"> </w:t>
      </w:r>
      <w:r w:rsidRPr="008C0959">
        <w:rPr>
          <w:rFonts w:cs="Arial"/>
          <w:lang w:eastAsia="en-GB"/>
        </w:rPr>
        <w:t>1923 AD 234 at 244 “the Dependents are entitled to be compensated for pecuniary loss involved in a reduced income and a restricted provision for the supply of what allowance must be made for such as the possibility of remarriage</w:t>
      </w:r>
      <w:r w:rsidR="00AC3595">
        <w:rPr>
          <w:rFonts w:cs="Arial"/>
          <w:lang w:eastAsia="en-GB"/>
        </w:rPr>
        <w:t>.”</w:t>
      </w:r>
    </w:p>
  </w:footnote>
  <w:footnote w:id="40">
    <w:p w14:paraId="7E5D10F1" w14:textId="2A00ADDE" w:rsidR="00C878F1" w:rsidRPr="008C0959" w:rsidRDefault="00C878F1" w:rsidP="004934E7">
      <w:pPr>
        <w:pStyle w:val="FootnoteText"/>
        <w:rPr>
          <w:rFonts w:cs="Arial"/>
          <w:lang w:val="en-US"/>
        </w:rPr>
      </w:pPr>
      <w:r w:rsidRPr="008C0959">
        <w:rPr>
          <w:rStyle w:val="FootnoteReference"/>
          <w:rFonts w:cs="Arial"/>
        </w:rPr>
        <w:footnoteRef/>
      </w:r>
      <w:r w:rsidRPr="008C0959">
        <w:rPr>
          <w:rFonts w:cs="Arial"/>
        </w:rPr>
        <w:t xml:space="preserve"> </w:t>
      </w:r>
      <w:r w:rsidR="00493649">
        <w:rPr>
          <w:rFonts w:cs="Arial"/>
        </w:rPr>
        <w:t xml:space="preserve">YK v Road Accident Fund [2020] JOL 46847 (FB) alternative citation </w:t>
      </w:r>
      <w:r w:rsidR="00AC3595" w:rsidRPr="003D31CE">
        <w:rPr>
          <w:i/>
        </w:rPr>
        <w:t>Kriek v Road Accident Fund</w:t>
      </w:r>
      <w:r w:rsidR="00AC3595" w:rsidRPr="008C0959">
        <w:rPr>
          <w:rFonts w:cs="Arial"/>
        </w:rPr>
        <w:t xml:space="preserve"> </w:t>
      </w:r>
      <w:r w:rsidRPr="008C0959">
        <w:rPr>
          <w:rFonts w:cs="Arial"/>
        </w:rPr>
        <w:t xml:space="preserve">(529/2019) [2020] ZAFSHC 42 (5 March 2020) </w:t>
      </w:r>
      <w:r w:rsidR="00265DEB">
        <w:rPr>
          <w:rFonts w:cs="Arial"/>
        </w:rPr>
        <w:t>“</w:t>
      </w:r>
      <w:r w:rsidRPr="008C0959">
        <w:rPr>
          <w:rFonts w:cs="Arial"/>
          <w:lang w:eastAsia="en-GB"/>
        </w:rPr>
        <w:t>The Bloemfontein High Court held that 5% for past and 15 for future should be applied and a further 40% contingency deduction for remarriage should be applied.</w:t>
      </w:r>
      <w:r w:rsidR="00265DEB">
        <w:rPr>
          <w:rFonts w:cs="Arial"/>
          <w:lang w:eastAsia="en-GB"/>
        </w:rPr>
        <w:t>”</w:t>
      </w:r>
    </w:p>
  </w:footnote>
  <w:footnote w:id="41">
    <w:p w14:paraId="535FECC7" w14:textId="5870DB52" w:rsidR="00C878F1" w:rsidRPr="008C0959" w:rsidRDefault="00C878F1" w:rsidP="004934E7">
      <w:pPr>
        <w:pStyle w:val="FootnoteText"/>
        <w:rPr>
          <w:rFonts w:cs="Arial"/>
          <w:lang w:val="en-US"/>
        </w:rPr>
      </w:pPr>
      <w:r w:rsidRPr="008C0959">
        <w:rPr>
          <w:rStyle w:val="FootnoteReference"/>
          <w:rFonts w:cs="Arial"/>
        </w:rPr>
        <w:footnoteRef/>
      </w:r>
      <w:r w:rsidRPr="008C0959">
        <w:rPr>
          <w:rFonts w:cs="Arial"/>
        </w:rPr>
        <w:t xml:space="preserve"> </w:t>
      </w:r>
      <w:r w:rsidRPr="008C0959">
        <w:rPr>
          <w:rFonts w:cs="Arial"/>
          <w:i/>
          <w:lang w:eastAsia="en-GB"/>
        </w:rPr>
        <w:t>MV &amp; MZN.O obo LH v Road Accident Fund</w:t>
      </w:r>
      <w:r w:rsidRPr="008C0959">
        <w:rPr>
          <w:rFonts w:cs="Arial"/>
          <w:lang w:eastAsia="en-GB"/>
        </w:rPr>
        <w:t xml:space="preserve"> </w:t>
      </w:r>
      <w:r w:rsidR="000113E3" w:rsidRPr="000A687E">
        <w:t>(1705/2017) [2019] ZAFSHC 131 (25 July 2019)</w:t>
      </w:r>
      <w:r w:rsidRPr="008C0959">
        <w:rPr>
          <w:rFonts w:cs="Arial"/>
          <w:lang w:eastAsia="en-GB"/>
        </w:rPr>
        <w:t xml:space="preserve">. </w:t>
      </w:r>
      <w:r w:rsidR="00265DEB">
        <w:rPr>
          <w:rFonts w:cs="Arial"/>
          <w:lang w:eastAsia="en-GB"/>
        </w:rPr>
        <w:t>“</w:t>
      </w:r>
      <w:r w:rsidRPr="008C0959">
        <w:rPr>
          <w:rFonts w:cs="Arial"/>
          <w:lang w:eastAsia="en-GB"/>
        </w:rPr>
        <w:t>Bloemfontein High Court at paragraph 14 said that in considering the aspect of remarriage, I am of the view that there are no special circumstances to warrant a further deduction. Remarriage is part of the vicissitudes of life and should not be considered separately in this case.</w:t>
      </w:r>
      <w:r w:rsidR="00265DEB">
        <w:rPr>
          <w:rFonts w:cs="Arial"/>
          <w:lang w:eastAsia="en-GB"/>
        </w:rPr>
        <w:t>”</w:t>
      </w:r>
    </w:p>
  </w:footnote>
  <w:footnote w:id="42">
    <w:p w14:paraId="29D02EFC" w14:textId="69118E0C" w:rsidR="00C878F1" w:rsidRPr="00127E46" w:rsidRDefault="00C878F1" w:rsidP="004934E7">
      <w:pPr>
        <w:pStyle w:val="FootnoteText"/>
        <w:rPr>
          <w:rFonts w:cs="Arial"/>
          <w:lang w:val="en-ZA"/>
        </w:rPr>
      </w:pPr>
      <w:r w:rsidRPr="00127E46">
        <w:rPr>
          <w:rStyle w:val="FootnoteReference"/>
          <w:rFonts w:cs="Arial"/>
        </w:rPr>
        <w:footnoteRef/>
      </w:r>
      <w:r w:rsidRPr="00127E46">
        <w:rPr>
          <w:rFonts w:cs="Arial"/>
        </w:rPr>
        <w:t xml:space="preserve"> </w:t>
      </w:r>
      <w:r w:rsidR="00A21A2B" w:rsidRPr="00127E46">
        <w:rPr>
          <w:rFonts w:cs="Arial"/>
          <w:i/>
          <w:iCs/>
        </w:rPr>
        <w:t>MS v Road Accident Fund</w:t>
      </w:r>
      <w:r w:rsidR="00A21A2B" w:rsidRPr="00127E46">
        <w:rPr>
          <w:rFonts w:cs="Arial"/>
        </w:rPr>
        <w:t xml:space="preserve"> 10133/2018) 2019 ZAGPJHC 84</w:t>
      </w:r>
    </w:p>
  </w:footnote>
  <w:footnote w:id="43">
    <w:p w14:paraId="62FE1EEA" w14:textId="77777777" w:rsidR="00AC2924" w:rsidRPr="00127E46" w:rsidRDefault="00AC2924" w:rsidP="00AC2924">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lang w:val="en-US"/>
        </w:rPr>
        <w:t>Mighty Solutions CC t/a Orlando Service Station v Engen Petroleum Ltd [2015] ZACC 34 at para 38</w:t>
      </w:r>
    </w:p>
  </w:footnote>
  <w:footnote w:id="44">
    <w:p w14:paraId="0647041A" w14:textId="77777777" w:rsidR="009C34B7" w:rsidRPr="00127E46" w:rsidRDefault="009C34B7" w:rsidP="009C34B7">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lang w:eastAsia="en-GB"/>
        </w:rPr>
        <w:t>Members of the Executive Council Responsible, for the Department of Road and Public Works, North West Province v Oosthuizen</w:t>
      </w:r>
      <w:r w:rsidRPr="00127E46">
        <w:rPr>
          <w:rFonts w:cs="Arial"/>
        </w:rPr>
        <w:t xml:space="preserve"> A671/07) (2009) ZAGPPHC 16 (2 April 2009) at para 45.</w:t>
      </w:r>
    </w:p>
  </w:footnote>
  <w:footnote w:id="45">
    <w:p w14:paraId="7CBADC42" w14:textId="190828CA" w:rsidR="00B4427D" w:rsidRPr="00127E46" w:rsidRDefault="00B4427D">
      <w:pPr>
        <w:pStyle w:val="FootnoteText"/>
        <w:rPr>
          <w:rFonts w:cs="Arial"/>
          <w:lang w:val="en-US"/>
        </w:rPr>
      </w:pPr>
      <w:r w:rsidRPr="00127E46">
        <w:rPr>
          <w:rStyle w:val="FootnoteReference"/>
          <w:rFonts w:cs="Arial"/>
        </w:rPr>
        <w:footnoteRef/>
      </w:r>
      <w:r w:rsidRPr="00127E46">
        <w:rPr>
          <w:rFonts w:cs="Arial"/>
        </w:rPr>
        <w:t xml:space="preserve"> </w:t>
      </w:r>
      <w:r w:rsidR="005C7B3E" w:rsidRPr="00127E46">
        <w:rPr>
          <w:rFonts w:cs="Arial"/>
          <w:i/>
          <w:iCs/>
          <w:color w:val="000000" w:themeColor="text1"/>
        </w:rPr>
        <w:t>Kennedy v. Port Elizabeth Harbour Board</w:t>
      </w:r>
      <w:r w:rsidR="005C7B3E" w:rsidRPr="00127E46">
        <w:rPr>
          <w:rFonts w:cs="Arial"/>
          <w:color w:val="000000" w:themeColor="text1"/>
        </w:rPr>
        <w:t>, 5 EDC (1886) 311</w:t>
      </w:r>
      <w:r w:rsidR="00E11044" w:rsidRPr="00127E46">
        <w:rPr>
          <w:rFonts w:cs="Arial"/>
          <w:color w:val="000000" w:themeColor="text1"/>
        </w:rPr>
        <w:t xml:space="preserve"> at p.318</w:t>
      </w:r>
    </w:p>
  </w:footnote>
  <w:footnote w:id="46">
    <w:p w14:paraId="4732C402" w14:textId="2B532A6F" w:rsidR="005C7B3E" w:rsidRPr="00127E46" w:rsidRDefault="005C7B3E">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color w:val="000000" w:themeColor="text1"/>
        </w:rPr>
        <w:t>Kennedy v. Port Elizabeth Harbour Board</w:t>
      </w:r>
      <w:r w:rsidRPr="00127E46">
        <w:rPr>
          <w:rFonts w:cs="Arial"/>
          <w:color w:val="000000" w:themeColor="text1"/>
        </w:rPr>
        <w:t xml:space="preserve"> 5 EDC (1886) 311 at p.</w:t>
      </w:r>
      <w:r w:rsidR="00A4121A" w:rsidRPr="00127E46">
        <w:rPr>
          <w:rFonts w:cs="Arial"/>
          <w:color w:val="000000" w:themeColor="text1"/>
        </w:rPr>
        <w:t>318</w:t>
      </w:r>
    </w:p>
  </w:footnote>
  <w:footnote w:id="47">
    <w:p w14:paraId="199865B5" w14:textId="308F9B8C" w:rsidR="00A4121A" w:rsidRPr="00127E46" w:rsidRDefault="00A4121A">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color w:val="000000" w:themeColor="text1"/>
        </w:rPr>
        <w:t>Waring &amp; Gillow, Ltd. v. Sherborne</w:t>
      </w:r>
      <w:r w:rsidRPr="00127E46">
        <w:rPr>
          <w:rFonts w:cs="Arial"/>
          <w:color w:val="000000" w:themeColor="text1"/>
        </w:rPr>
        <w:t xml:space="preserve"> 1904 T.S. 340</w:t>
      </w:r>
      <w:r w:rsidR="00605EC9" w:rsidRPr="00127E46">
        <w:rPr>
          <w:rFonts w:cs="Arial"/>
          <w:color w:val="000000" w:themeColor="text1"/>
        </w:rPr>
        <w:t xml:space="preserve"> at p.</w:t>
      </w:r>
      <w:r w:rsidRPr="00127E46">
        <w:rPr>
          <w:rFonts w:cs="Arial"/>
          <w:color w:val="000000" w:themeColor="text1"/>
        </w:rPr>
        <w:t>350</w:t>
      </w:r>
    </w:p>
  </w:footnote>
  <w:footnote w:id="48">
    <w:p w14:paraId="5CB4AEAF" w14:textId="104F1EAE" w:rsidR="00605EC9" w:rsidRPr="00127E46" w:rsidRDefault="00605EC9">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color w:val="000000" w:themeColor="text1"/>
        </w:rPr>
        <w:t>Waring &amp; Gillow, Ltd. v. Sherborne</w:t>
      </w:r>
      <w:r w:rsidRPr="00127E46">
        <w:rPr>
          <w:rFonts w:cs="Arial"/>
          <w:color w:val="000000" w:themeColor="text1"/>
        </w:rPr>
        <w:t xml:space="preserve"> 1904 T.S. 340 at</w:t>
      </w:r>
      <w:r w:rsidR="00E11044" w:rsidRPr="00127E46">
        <w:rPr>
          <w:rFonts w:cs="Arial"/>
          <w:color w:val="000000" w:themeColor="text1"/>
        </w:rPr>
        <w:t xml:space="preserve"> p.</w:t>
      </w:r>
      <w:r w:rsidRPr="00127E46">
        <w:rPr>
          <w:rFonts w:cs="Arial"/>
          <w:color w:val="000000" w:themeColor="text1"/>
        </w:rPr>
        <w:t>350</w:t>
      </w:r>
    </w:p>
  </w:footnote>
  <w:footnote w:id="49">
    <w:p w14:paraId="1F0F4581" w14:textId="13B06AC5" w:rsidR="00E11044" w:rsidRPr="00127E46" w:rsidRDefault="00E11044">
      <w:pPr>
        <w:pStyle w:val="FootnoteText"/>
        <w:rPr>
          <w:rFonts w:cs="Arial"/>
          <w:lang w:val="en-US"/>
        </w:rPr>
      </w:pPr>
      <w:r w:rsidRPr="00127E46">
        <w:rPr>
          <w:rStyle w:val="FootnoteReference"/>
          <w:rFonts w:cs="Arial"/>
        </w:rPr>
        <w:footnoteRef/>
      </w:r>
      <w:r w:rsidRPr="00127E46">
        <w:rPr>
          <w:rFonts w:cs="Arial"/>
        </w:rPr>
        <w:t xml:space="preserve"> </w:t>
      </w:r>
      <w:r w:rsidR="00127BC9" w:rsidRPr="00127E46">
        <w:rPr>
          <w:rFonts w:cs="Arial"/>
          <w:i/>
          <w:iCs/>
        </w:rPr>
        <w:t>Jameson's Minors v Central South African Railways</w:t>
      </w:r>
      <w:r w:rsidR="00127BC9" w:rsidRPr="00127E46">
        <w:rPr>
          <w:rFonts w:cs="Arial"/>
        </w:rPr>
        <w:t xml:space="preserve"> 1908 TS 575</w:t>
      </w:r>
    </w:p>
  </w:footnote>
  <w:footnote w:id="50">
    <w:p w14:paraId="4AD40F82" w14:textId="5E44658B" w:rsidR="00FF187B" w:rsidRPr="00127E46" w:rsidRDefault="00FF187B" w:rsidP="00FF187B">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rPr>
        <w:t>Jameson's Minors v Central South African Railways</w:t>
      </w:r>
      <w:r w:rsidRPr="00127E46">
        <w:rPr>
          <w:rFonts w:cs="Arial"/>
        </w:rPr>
        <w:t xml:space="preserve"> 1908 TS 575 at </w:t>
      </w:r>
      <w:r w:rsidR="00F81BCD" w:rsidRPr="00127E46">
        <w:rPr>
          <w:rFonts w:cs="Arial"/>
        </w:rPr>
        <w:t>p.</w:t>
      </w:r>
      <w:r w:rsidRPr="00127E46">
        <w:rPr>
          <w:rFonts w:cs="Arial"/>
        </w:rPr>
        <w:t>603</w:t>
      </w:r>
    </w:p>
  </w:footnote>
  <w:footnote w:id="51">
    <w:p w14:paraId="6DF20F81" w14:textId="04931A33" w:rsidR="00127BC9" w:rsidRPr="00127E46" w:rsidRDefault="00127BC9">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lang w:val="en-US"/>
        </w:rPr>
        <w:t>Union Government v Warneke</w:t>
      </w:r>
      <w:r w:rsidRPr="00127E46">
        <w:rPr>
          <w:rFonts w:cs="Arial"/>
          <w:lang w:val="en-US"/>
        </w:rPr>
        <w:t xml:space="preserve"> 1911 AD 657</w:t>
      </w:r>
    </w:p>
  </w:footnote>
  <w:footnote w:id="52">
    <w:p w14:paraId="0DD4BE60" w14:textId="554B6272" w:rsidR="00CB6795" w:rsidRPr="00127E46" w:rsidRDefault="00CB6795" w:rsidP="00CB6795">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lang w:val="en-US"/>
        </w:rPr>
        <w:t>Union Government v Warneke</w:t>
      </w:r>
      <w:r w:rsidRPr="00127E46">
        <w:rPr>
          <w:rFonts w:cs="Arial"/>
          <w:lang w:val="en-US"/>
        </w:rPr>
        <w:t xml:space="preserve"> 1911 AD 657 at </w:t>
      </w:r>
      <w:r w:rsidR="00F81BCD" w:rsidRPr="00127E46">
        <w:rPr>
          <w:rFonts w:cs="Arial"/>
          <w:lang w:val="en-US"/>
        </w:rPr>
        <w:t>p.</w:t>
      </w:r>
      <w:r w:rsidRPr="00127E46">
        <w:rPr>
          <w:rFonts w:cs="Arial"/>
          <w:lang w:val="en-US"/>
        </w:rPr>
        <w:t>672-673</w:t>
      </w:r>
    </w:p>
  </w:footnote>
  <w:footnote w:id="53">
    <w:p w14:paraId="70998673" w14:textId="77777777" w:rsidR="00A41742" w:rsidRPr="00127E46" w:rsidRDefault="00A41742" w:rsidP="00A41742">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lang w:eastAsia="en-GB"/>
        </w:rPr>
        <w:t>Hulley v Cox</w:t>
      </w:r>
      <w:r w:rsidRPr="00127E46">
        <w:rPr>
          <w:rFonts w:cs="Arial"/>
          <w:lang w:eastAsia="en-GB"/>
        </w:rPr>
        <w:t xml:space="preserve"> 1923 AD 234 at p.243</w:t>
      </w:r>
    </w:p>
  </w:footnote>
  <w:footnote w:id="54">
    <w:p w14:paraId="4CC7E7E2" w14:textId="77777777" w:rsidR="00A41742" w:rsidRPr="00127E46" w:rsidRDefault="00A41742" w:rsidP="00A41742">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lang w:eastAsia="en-GB"/>
        </w:rPr>
        <w:t>Hulley v Cox</w:t>
      </w:r>
      <w:r w:rsidRPr="00127E46">
        <w:rPr>
          <w:rFonts w:cs="Arial"/>
          <w:lang w:eastAsia="en-GB"/>
        </w:rPr>
        <w:t xml:space="preserve"> 1923 AD 234 at p.244 </w:t>
      </w:r>
    </w:p>
  </w:footnote>
  <w:footnote w:id="55">
    <w:p w14:paraId="3A488E5F" w14:textId="7A95AD6E" w:rsidR="00F77A33" w:rsidRPr="00127E46" w:rsidRDefault="00F77A33">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rPr>
        <w:t>Millward</w:t>
      </w:r>
      <w:r w:rsidRPr="00127E46">
        <w:rPr>
          <w:rFonts w:cs="Arial"/>
          <w:i/>
          <w:iCs/>
          <w:color w:val="000000" w:themeColor="text1"/>
        </w:rPr>
        <w:t xml:space="preserve"> v Glaser</w:t>
      </w:r>
      <w:r w:rsidRPr="00127E46">
        <w:rPr>
          <w:rFonts w:cs="Arial"/>
          <w:color w:val="000000" w:themeColor="text1"/>
        </w:rPr>
        <w:t xml:space="preserve"> 1949 (4) SA 931 (A)</w:t>
      </w:r>
    </w:p>
  </w:footnote>
  <w:footnote w:id="56">
    <w:p w14:paraId="604DE747" w14:textId="786BB78D" w:rsidR="006B4441" w:rsidRPr="00127E46" w:rsidRDefault="006B4441">
      <w:pPr>
        <w:pStyle w:val="FootnoteText"/>
        <w:rPr>
          <w:rFonts w:cs="Arial"/>
          <w:lang w:val="en-US"/>
        </w:rPr>
      </w:pPr>
      <w:r w:rsidRPr="00127E46">
        <w:rPr>
          <w:rStyle w:val="FootnoteReference"/>
          <w:rFonts w:cs="Arial"/>
        </w:rPr>
        <w:footnoteRef/>
      </w:r>
      <w:r w:rsidRPr="00127E46">
        <w:rPr>
          <w:rFonts w:cs="Arial"/>
        </w:rPr>
        <w:t xml:space="preserve"> </w:t>
      </w:r>
      <w:r w:rsidR="00A47C10" w:rsidRPr="00127E46">
        <w:rPr>
          <w:rFonts w:cs="Arial"/>
          <w:i/>
          <w:iCs/>
          <w:lang w:val="en-US"/>
        </w:rPr>
        <w:t>Legal Insurance Company Ltd v Botes</w:t>
      </w:r>
      <w:r w:rsidR="00A47C10" w:rsidRPr="00127E46">
        <w:rPr>
          <w:rFonts w:cs="Arial"/>
          <w:lang w:val="en-US"/>
        </w:rPr>
        <w:t xml:space="preserve"> 1963 (1) SA 608 (AD) at p.614</w:t>
      </w:r>
    </w:p>
  </w:footnote>
  <w:footnote w:id="57">
    <w:p w14:paraId="409FE1CB" w14:textId="1D1CFE3D" w:rsidR="005A0B1D" w:rsidRPr="00127E46" w:rsidRDefault="005A0B1D" w:rsidP="004C63A5">
      <w:pPr>
        <w:pStyle w:val="FootnoteText"/>
        <w:ind w:left="993" w:hanging="426"/>
        <w:rPr>
          <w:rFonts w:cs="Arial"/>
          <w:lang w:val="en-US"/>
        </w:rPr>
      </w:pPr>
      <w:r w:rsidRPr="00127E46">
        <w:rPr>
          <w:rStyle w:val="FootnoteReference"/>
          <w:rFonts w:cs="Arial"/>
        </w:rPr>
        <w:footnoteRef/>
      </w:r>
      <w:r w:rsidRPr="00127E46">
        <w:rPr>
          <w:rFonts w:cs="Arial"/>
        </w:rPr>
        <w:t xml:space="preserve"> </w:t>
      </w:r>
      <w:r w:rsidRPr="00127E46">
        <w:rPr>
          <w:rFonts w:cs="Arial"/>
          <w:i/>
          <w:iCs/>
          <w:lang w:val="en-US"/>
        </w:rPr>
        <w:t>Legal Insurance Company Ltd v Botes</w:t>
      </w:r>
      <w:r w:rsidRPr="00127E46">
        <w:rPr>
          <w:rFonts w:cs="Arial"/>
          <w:lang w:val="en-US"/>
        </w:rPr>
        <w:t xml:space="preserve"> 1963 (1) SA 608 (A) at 618-619</w:t>
      </w:r>
    </w:p>
  </w:footnote>
  <w:footnote w:id="58">
    <w:p w14:paraId="50A5F253" w14:textId="67E37C1B" w:rsidR="005A0B1D" w:rsidRPr="00127E46" w:rsidRDefault="005A0B1D" w:rsidP="004C63A5">
      <w:pPr>
        <w:pStyle w:val="FootnoteText"/>
        <w:ind w:left="993" w:hanging="426"/>
        <w:rPr>
          <w:rFonts w:cs="Arial"/>
          <w:lang w:val="en-US"/>
        </w:rPr>
      </w:pPr>
      <w:r w:rsidRPr="00127E46">
        <w:rPr>
          <w:rStyle w:val="FootnoteReference"/>
          <w:rFonts w:cs="Arial"/>
        </w:rPr>
        <w:footnoteRef/>
      </w:r>
      <w:r w:rsidRPr="00127E46">
        <w:rPr>
          <w:rFonts w:cs="Arial"/>
        </w:rPr>
        <w:t xml:space="preserve"> </w:t>
      </w:r>
      <w:r w:rsidRPr="00127E46">
        <w:rPr>
          <w:rFonts w:cs="Arial"/>
          <w:i/>
          <w:iCs/>
          <w:lang w:val="en-US"/>
        </w:rPr>
        <w:t>Peri Urban Areas Health Board v Munarin</w:t>
      </w:r>
      <w:r w:rsidRPr="00127E46">
        <w:rPr>
          <w:rFonts w:cs="Arial"/>
          <w:lang w:val="en-US"/>
        </w:rPr>
        <w:t xml:space="preserve"> 1965 (3) SA 367(A) at 376D</w:t>
      </w:r>
    </w:p>
  </w:footnote>
  <w:footnote w:id="59">
    <w:p w14:paraId="7FF225FA" w14:textId="0D02955F" w:rsidR="007A126F" w:rsidRPr="00127E46" w:rsidRDefault="007A126F">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lang w:val="en-ZA"/>
        </w:rPr>
        <w:t>Ongevallekommissaris v Santam Verseekeringsmaatskapy Bpk</w:t>
      </w:r>
      <w:r w:rsidRPr="00127E46">
        <w:rPr>
          <w:rFonts w:cs="Arial"/>
          <w:lang w:val="en-ZA"/>
        </w:rPr>
        <w:t xml:space="preserve"> 1965 (2) SA 193 (T)</w:t>
      </w:r>
    </w:p>
  </w:footnote>
  <w:footnote w:id="60">
    <w:p w14:paraId="31E9111D" w14:textId="3C2A8DE6" w:rsidR="00C76299" w:rsidRPr="00127E46" w:rsidRDefault="00C76299" w:rsidP="004C63A5">
      <w:pPr>
        <w:pStyle w:val="FootnoteText"/>
        <w:ind w:left="993" w:hanging="426"/>
        <w:rPr>
          <w:rFonts w:cs="Arial"/>
          <w:lang w:val="en-US"/>
        </w:rPr>
      </w:pPr>
      <w:r w:rsidRPr="00127E46">
        <w:rPr>
          <w:rStyle w:val="FootnoteReference"/>
          <w:rFonts w:cs="Arial"/>
        </w:rPr>
        <w:footnoteRef/>
      </w:r>
      <w:r w:rsidRPr="00127E46">
        <w:rPr>
          <w:rFonts w:cs="Arial"/>
        </w:rPr>
        <w:t xml:space="preserve"> </w:t>
      </w:r>
      <w:r w:rsidRPr="00127E46">
        <w:rPr>
          <w:rFonts w:cs="Arial"/>
          <w:i/>
          <w:iCs/>
          <w:lang w:eastAsia="en-GB"/>
        </w:rPr>
        <w:t>Ongevallekommissaris v Santam Verseekeringsmaatskapy Bpk</w:t>
      </w:r>
      <w:r w:rsidRPr="00127E46">
        <w:rPr>
          <w:rFonts w:cs="Arial"/>
          <w:lang w:eastAsia="en-GB"/>
        </w:rPr>
        <w:t xml:space="preserve"> 1965 (2) SA 193 (T) at </w:t>
      </w:r>
      <w:r w:rsidR="006B409B" w:rsidRPr="00127E46">
        <w:rPr>
          <w:rFonts w:cs="Arial"/>
          <w:lang w:eastAsia="en-GB"/>
        </w:rPr>
        <w:t>p.</w:t>
      </w:r>
      <w:r w:rsidRPr="00127E46">
        <w:rPr>
          <w:rFonts w:cs="Arial"/>
          <w:lang w:eastAsia="en-GB"/>
        </w:rPr>
        <w:t>205H</w:t>
      </w:r>
    </w:p>
  </w:footnote>
  <w:footnote w:id="61">
    <w:p w14:paraId="11066878" w14:textId="77777777" w:rsidR="00F71E14" w:rsidRPr="00127E46" w:rsidRDefault="00F71E14" w:rsidP="00F71E14">
      <w:pPr>
        <w:pStyle w:val="FootnoteText"/>
        <w:rPr>
          <w:rFonts w:cs="Arial"/>
          <w:lang w:val="en-US"/>
        </w:rPr>
      </w:pPr>
      <w:r w:rsidRPr="00127E46">
        <w:rPr>
          <w:rStyle w:val="FootnoteReference"/>
          <w:rFonts w:cs="Arial"/>
        </w:rPr>
        <w:footnoteRef/>
      </w:r>
      <w:r w:rsidRPr="00127E46">
        <w:rPr>
          <w:rFonts w:cs="Arial"/>
        </w:rPr>
        <w:t xml:space="preserve"> </w:t>
      </w:r>
      <w:r w:rsidRPr="00127E46">
        <w:rPr>
          <w:rFonts w:cs="Arial"/>
          <w:i/>
          <w:iCs/>
          <w:lang w:val="en-US"/>
        </w:rPr>
        <w:t>Peri-Urban Areas Health Board v Munarin</w:t>
      </w:r>
      <w:r w:rsidRPr="00127E46">
        <w:rPr>
          <w:rFonts w:cs="Arial"/>
          <w:lang w:val="en-US"/>
        </w:rPr>
        <w:t xml:space="preserve"> 1965 (3) SA 367 (A) at p.376B-D</w:t>
      </w:r>
    </w:p>
  </w:footnote>
  <w:footnote w:id="62">
    <w:p w14:paraId="18B04501" w14:textId="51401739" w:rsidR="0087171A" w:rsidRPr="00AF4B6A" w:rsidRDefault="0087171A" w:rsidP="0087171A">
      <w:pPr>
        <w:pStyle w:val="FootnoteText"/>
        <w:rPr>
          <w:rFonts w:cs="Arial"/>
          <w:lang w:val="en-US"/>
        </w:rPr>
      </w:pPr>
      <w:r w:rsidRPr="00AF4B6A">
        <w:rPr>
          <w:rStyle w:val="FootnoteReference"/>
          <w:rFonts w:cs="Arial"/>
        </w:rPr>
        <w:footnoteRef/>
      </w:r>
      <w:r w:rsidRPr="00AF4B6A">
        <w:rPr>
          <w:rFonts w:cs="Arial"/>
        </w:rPr>
        <w:t xml:space="preserve"> </w:t>
      </w:r>
      <w:r w:rsidRPr="00AF4B6A">
        <w:rPr>
          <w:rFonts w:cs="Arial"/>
          <w:i/>
          <w:iCs/>
          <w:lang w:eastAsia="en-GB"/>
        </w:rPr>
        <w:t>Peri-Urban Areas Health Board v Munarin</w:t>
      </w:r>
      <w:r w:rsidRPr="00AF4B6A">
        <w:rPr>
          <w:rFonts w:cs="Arial"/>
          <w:lang w:eastAsia="en-GB"/>
        </w:rPr>
        <w:t xml:space="preserve"> 1965 (3) 367 (A) at </w:t>
      </w:r>
      <w:r w:rsidR="00A9597B" w:rsidRPr="00AF4B6A">
        <w:rPr>
          <w:rFonts w:cs="Arial"/>
          <w:lang w:eastAsia="en-GB"/>
        </w:rPr>
        <w:t>p.</w:t>
      </w:r>
      <w:r w:rsidRPr="00AF4B6A">
        <w:rPr>
          <w:rFonts w:cs="Arial"/>
          <w:lang w:eastAsia="en-GB"/>
        </w:rPr>
        <w:t>375G-376D</w:t>
      </w:r>
    </w:p>
  </w:footnote>
  <w:footnote w:id="63">
    <w:p w14:paraId="3CB82C66" w14:textId="3212CFDD" w:rsidR="00C76299" w:rsidRPr="00AF4B6A" w:rsidRDefault="00C76299" w:rsidP="00D46A5A">
      <w:pPr>
        <w:pStyle w:val="FootnoteText"/>
        <w:ind w:left="993" w:hanging="426"/>
        <w:rPr>
          <w:rFonts w:cs="Arial"/>
          <w:lang w:val="en-US"/>
        </w:rPr>
      </w:pPr>
      <w:r w:rsidRPr="00AF4B6A">
        <w:rPr>
          <w:rStyle w:val="FootnoteReference"/>
          <w:rFonts w:cs="Arial"/>
        </w:rPr>
        <w:footnoteRef/>
      </w:r>
      <w:r w:rsidRPr="00AF4B6A">
        <w:rPr>
          <w:rFonts w:cs="Arial"/>
        </w:rPr>
        <w:t xml:space="preserve"> </w:t>
      </w:r>
      <w:r w:rsidRPr="00AF4B6A">
        <w:rPr>
          <w:rFonts w:cs="Arial"/>
          <w:i/>
          <w:iCs/>
          <w:lang w:eastAsia="en-GB"/>
        </w:rPr>
        <w:t>Peri-Urban Areas Health Board v Munarin</w:t>
      </w:r>
      <w:r w:rsidRPr="00AF4B6A">
        <w:rPr>
          <w:rFonts w:cs="Arial"/>
          <w:lang w:eastAsia="en-GB"/>
        </w:rPr>
        <w:t xml:space="preserve">1965 (3) 367 (A) at </w:t>
      </w:r>
      <w:r w:rsidR="00A9597B" w:rsidRPr="00AF4B6A">
        <w:rPr>
          <w:rFonts w:cs="Arial"/>
          <w:lang w:eastAsia="en-GB"/>
        </w:rPr>
        <w:t>p.</w:t>
      </w:r>
      <w:r w:rsidRPr="00AF4B6A">
        <w:rPr>
          <w:rFonts w:cs="Arial"/>
          <w:lang w:eastAsia="en-GB"/>
        </w:rPr>
        <w:t>376C</w:t>
      </w:r>
    </w:p>
  </w:footnote>
  <w:footnote w:id="64">
    <w:p w14:paraId="17652D14" w14:textId="6FBC785C" w:rsidR="00C76299" w:rsidRPr="00AF4B6A" w:rsidRDefault="00C76299" w:rsidP="00D46A5A">
      <w:pPr>
        <w:pStyle w:val="FootnoteText"/>
        <w:ind w:left="993" w:hanging="426"/>
        <w:rPr>
          <w:rFonts w:cs="Arial"/>
          <w:lang w:val="en-US"/>
        </w:rPr>
      </w:pPr>
      <w:r w:rsidRPr="00AF4B6A">
        <w:rPr>
          <w:rStyle w:val="FootnoteReference"/>
          <w:rFonts w:cs="Arial"/>
        </w:rPr>
        <w:footnoteRef/>
      </w:r>
      <w:r w:rsidRPr="00AF4B6A">
        <w:rPr>
          <w:rFonts w:cs="Arial"/>
        </w:rPr>
        <w:t xml:space="preserve"> </w:t>
      </w:r>
      <w:r w:rsidRPr="00AF4B6A">
        <w:rPr>
          <w:rFonts w:cs="Arial"/>
          <w:i/>
          <w:iCs/>
          <w:lang w:val="en-US"/>
        </w:rPr>
        <w:t>Peri-Urban Areas Health Board v Munarin</w:t>
      </w:r>
      <w:r w:rsidRPr="00AF4B6A">
        <w:rPr>
          <w:rFonts w:cs="Arial"/>
          <w:lang w:val="en-US"/>
        </w:rPr>
        <w:t xml:space="preserve"> 1965 (3) SA 367 (A) at </w:t>
      </w:r>
      <w:r w:rsidR="00A9597B" w:rsidRPr="00AF4B6A">
        <w:rPr>
          <w:rFonts w:cs="Arial"/>
          <w:lang w:val="en-US"/>
        </w:rPr>
        <w:t>p.</w:t>
      </w:r>
      <w:r w:rsidRPr="00AF4B6A">
        <w:rPr>
          <w:rFonts w:cs="Arial"/>
          <w:lang w:val="en-US"/>
        </w:rPr>
        <w:t>376</w:t>
      </w:r>
    </w:p>
  </w:footnote>
  <w:footnote w:id="65">
    <w:p w14:paraId="1500F92D" w14:textId="3C32F311" w:rsidR="007D7474" w:rsidRPr="00AF4B6A" w:rsidRDefault="007D7474" w:rsidP="007D7474">
      <w:pPr>
        <w:pStyle w:val="FootnoteText"/>
        <w:rPr>
          <w:rFonts w:cs="Arial"/>
          <w:lang w:val="en-US"/>
        </w:rPr>
      </w:pPr>
      <w:r w:rsidRPr="00AF4B6A">
        <w:rPr>
          <w:rStyle w:val="FootnoteReference"/>
          <w:rFonts w:cs="Arial"/>
        </w:rPr>
        <w:footnoteRef/>
      </w:r>
      <w:r w:rsidRPr="00AF4B6A">
        <w:rPr>
          <w:rFonts w:cs="Arial"/>
        </w:rPr>
        <w:t xml:space="preserve"> </w:t>
      </w:r>
      <w:r w:rsidRPr="00AF4B6A">
        <w:rPr>
          <w:rFonts w:cs="Arial"/>
          <w:i/>
          <w:iCs/>
        </w:rPr>
        <w:t>Constantia Insurance Company Ltd v Victor</w:t>
      </w:r>
      <w:r w:rsidRPr="00AF4B6A">
        <w:rPr>
          <w:rFonts w:cs="Arial"/>
        </w:rPr>
        <w:t xml:space="preserve"> 1986 1 SA 601 (A)</w:t>
      </w:r>
      <w:r w:rsidR="00D46A5A" w:rsidRPr="00AF4B6A">
        <w:rPr>
          <w:rFonts w:cs="Arial"/>
        </w:rPr>
        <w:t xml:space="preserve"> at p.</w:t>
      </w:r>
      <w:r w:rsidRPr="00AF4B6A">
        <w:rPr>
          <w:rFonts w:cs="Arial"/>
        </w:rPr>
        <w:t xml:space="preserve"> 614C-D</w:t>
      </w:r>
      <w:r w:rsidR="00335AC7" w:rsidRPr="00AF4B6A">
        <w:rPr>
          <w:rFonts w:cs="Arial"/>
        </w:rPr>
        <w:t xml:space="preserve"> </w:t>
      </w:r>
      <w:r w:rsidR="00335AC7" w:rsidRPr="00AF4B6A">
        <w:rPr>
          <w:rFonts w:cs="Arial"/>
          <w:color w:val="000000" w:themeColor="text1"/>
        </w:rPr>
        <w:t>“</w:t>
      </w:r>
      <w:r w:rsidR="00335AC7" w:rsidRPr="00AF4B6A">
        <w:rPr>
          <w:rFonts w:cs="Arial"/>
          <w:i/>
          <w:iCs/>
          <w:color w:val="000000" w:themeColor="text1"/>
        </w:rPr>
        <w:t xml:space="preserve">Ek het, met groot eerbied gesê, twyfel oor die juistheid van die siening dat ’n weduwee se moontlike hertroue relevant is omdat dit haar reg op onderhoud weer sou instel (“reinstate”). </w:t>
      </w:r>
      <w:r w:rsidR="008358FD" w:rsidRPr="00AF4B6A">
        <w:rPr>
          <w:rFonts w:cs="Arial"/>
          <w:i/>
          <w:iCs/>
          <w:color w:val="000000" w:themeColor="text1"/>
        </w:rPr>
        <w:t xml:space="preserve"> </w:t>
      </w:r>
      <w:r w:rsidR="00335AC7" w:rsidRPr="00AF4B6A">
        <w:rPr>
          <w:rFonts w:cs="Arial"/>
          <w:i/>
          <w:iCs/>
          <w:color w:val="000000" w:themeColor="text1"/>
        </w:rPr>
        <w:t>Die reg op onderhoud wat sy teenoor haar nuwe man verkry, is ’n nuwe reg, teen ’n nuwe onderhoudspligtige, en nie ’n herinstelling van haar vroeëre reg nie”</w:t>
      </w:r>
    </w:p>
  </w:footnote>
  <w:footnote w:id="66">
    <w:p w14:paraId="3E24746C" w14:textId="45ABFD0D" w:rsidR="00E96445" w:rsidRPr="00AF4B6A" w:rsidRDefault="00E96445" w:rsidP="00E96445">
      <w:pPr>
        <w:pStyle w:val="FootnoteText"/>
        <w:rPr>
          <w:rFonts w:cs="Arial"/>
          <w:lang w:val="en-US"/>
        </w:rPr>
      </w:pPr>
      <w:r w:rsidRPr="00AF4B6A">
        <w:rPr>
          <w:rStyle w:val="FootnoteReference"/>
          <w:rFonts w:cs="Arial"/>
        </w:rPr>
        <w:footnoteRef/>
      </w:r>
      <w:r w:rsidRPr="00AF4B6A">
        <w:rPr>
          <w:rFonts w:cs="Arial"/>
        </w:rPr>
        <w:t xml:space="preserve"> </w:t>
      </w:r>
      <w:r w:rsidRPr="00AF4B6A">
        <w:rPr>
          <w:rFonts w:cs="Arial"/>
          <w:i/>
          <w:iCs/>
        </w:rPr>
        <w:t>Constantia Insurance Company Ltd v Victor</w:t>
      </w:r>
      <w:r w:rsidRPr="00AF4B6A">
        <w:rPr>
          <w:rFonts w:cs="Arial"/>
        </w:rPr>
        <w:t xml:space="preserve"> 1986 1 SA 601 (A) at p.614C-D </w:t>
      </w:r>
      <w:r w:rsidRPr="00AF4B6A">
        <w:rPr>
          <w:rFonts w:cs="Arial"/>
          <w:color w:val="000000"/>
        </w:rPr>
        <w:t>“Dit is al wat die geleerde hoofregter oor die saak gesê het. Dit wek die indruk dat dit in daardie tyd (1923) 'n gevestigde benadering was om die moontlikheid van 'n weduwee se hertroue of kans op hertroue in ag te neem</w:t>
      </w:r>
    </w:p>
  </w:footnote>
  <w:footnote w:id="67">
    <w:p w14:paraId="436D548D" w14:textId="7D82F879" w:rsidR="00D46A5A" w:rsidRPr="00AF4B6A" w:rsidRDefault="00D46A5A">
      <w:pPr>
        <w:pStyle w:val="FootnoteText"/>
        <w:rPr>
          <w:rFonts w:cs="Arial"/>
          <w:lang w:val="en-US"/>
        </w:rPr>
      </w:pPr>
      <w:r w:rsidRPr="00AF4B6A">
        <w:rPr>
          <w:rStyle w:val="FootnoteReference"/>
          <w:rFonts w:cs="Arial"/>
        </w:rPr>
        <w:footnoteRef/>
      </w:r>
      <w:r w:rsidRPr="00AF4B6A">
        <w:rPr>
          <w:rFonts w:cs="Arial"/>
        </w:rPr>
        <w:t xml:space="preserve"> </w:t>
      </w:r>
      <w:r w:rsidRPr="00AF4B6A">
        <w:rPr>
          <w:rFonts w:cs="Arial"/>
          <w:i/>
          <w:iCs/>
        </w:rPr>
        <w:t>Constantia Insurance Company Ltd v Victor</w:t>
      </w:r>
      <w:r w:rsidRPr="00AF4B6A">
        <w:rPr>
          <w:rFonts w:cs="Arial"/>
        </w:rPr>
        <w:t xml:space="preserve"> 1986 1 SA 601 (A) at p.614C-D</w:t>
      </w:r>
    </w:p>
  </w:footnote>
  <w:footnote w:id="68">
    <w:p w14:paraId="42A58923" w14:textId="7217A5D3" w:rsidR="004E4768" w:rsidRPr="00AF4B6A" w:rsidRDefault="004E4768">
      <w:pPr>
        <w:pStyle w:val="FootnoteText"/>
        <w:rPr>
          <w:rFonts w:cs="Arial"/>
          <w:lang w:val="en-US"/>
        </w:rPr>
      </w:pPr>
      <w:r w:rsidRPr="00AF4B6A">
        <w:rPr>
          <w:rStyle w:val="FootnoteReference"/>
          <w:rFonts w:cs="Arial"/>
        </w:rPr>
        <w:footnoteRef/>
      </w:r>
      <w:r w:rsidRPr="00AF4B6A">
        <w:rPr>
          <w:rFonts w:cs="Arial"/>
        </w:rPr>
        <w:t xml:space="preserve"> </w:t>
      </w:r>
      <w:r w:rsidRPr="00AF4B6A">
        <w:rPr>
          <w:rFonts w:cs="Arial"/>
          <w:i/>
          <w:iCs/>
        </w:rPr>
        <w:t>Constantia Insurance Company Ltd v Victor</w:t>
      </w:r>
      <w:r w:rsidRPr="00AF4B6A">
        <w:rPr>
          <w:rFonts w:cs="Arial"/>
        </w:rPr>
        <w:t xml:space="preserve"> 1986 1 SA 601 (A) </w:t>
      </w:r>
      <w:r w:rsidR="00A9597B" w:rsidRPr="00AF4B6A">
        <w:rPr>
          <w:rFonts w:cs="Arial"/>
        </w:rPr>
        <w:t>at p.</w:t>
      </w:r>
      <w:r w:rsidRPr="00AF4B6A">
        <w:rPr>
          <w:rFonts w:cs="Arial"/>
        </w:rPr>
        <w:t>614C-D</w:t>
      </w:r>
    </w:p>
  </w:footnote>
  <w:footnote w:id="69">
    <w:p w14:paraId="0EBA1BE3" w14:textId="50990F87" w:rsidR="00FE0935" w:rsidRPr="00AF4B6A" w:rsidRDefault="00FE0935" w:rsidP="00FE0935">
      <w:pPr>
        <w:spacing w:after="0" w:line="240" w:lineRule="auto"/>
        <w:ind w:left="993" w:hanging="426"/>
        <w:rPr>
          <w:rFonts w:eastAsia="Times New Roman" w:cs="Arial"/>
          <w:sz w:val="20"/>
          <w:szCs w:val="20"/>
          <w:lang w:val="en-US" w:eastAsia="x-none"/>
        </w:rPr>
      </w:pPr>
      <w:r w:rsidRPr="00AF4B6A">
        <w:rPr>
          <w:rStyle w:val="FootnoteReference"/>
          <w:rFonts w:cs="Arial"/>
          <w:sz w:val="20"/>
          <w:szCs w:val="20"/>
        </w:rPr>
        <w:footnoteRef/>
      </w:r>
      <w:r w:rsidRPr="00AF4B6A">
        <w:rPr>
          <w:rFonts w:cs="Arial"/>
          <w:sz w:val="20"/>
          <w:szCs w:val="20"/>
        </w:rPr>
        <w:t xml:space="preserve"> </w:t>
      </w:r>
      <w:r w:rsidRPr="00AF4B6A">
        <w:rPr>
          <w:rFonts w:eastAsia="Times New Roman" w:cs="Arial"/>
          <w:i/>
          <w:iCs/>
          <w:sz w:val="20"/>
          <w:szCs w:val="20"/>
          <w:lang w:val="en-US" w:eastAsia="x-none"/>
        </w:rPr>
        <w:t>Constantia Versekeringsmaatskappy Bpk v Victor</w:t>
      </w:r>
      <w:r w:rsidR="009F64B2">
        <w:rPr>
          <w:rFonts w:eastAsia="Times New Roman" w:cs="Arial"/>
          <w:i/>
          <w:iCs/>
          <w:sz w:val="20"/>
          <w:szCs w:val="20"/>
          <w:lang w:val="en-US" w:eastAsia="x-none"/>
        </w:rPr>
        <w:t xml:space="preserve"> </w:t>
      </w:r>
      <w:r w:rsidR="003C1180" w:rsidRPr="00AF4B6A">
        <w:rPr>
          <w:rFonts w:cs="Arial"/>
          <w:sz w:val="20"/>
          <w:szCs w:val="20"/>
        </w:rPr>
        <w:t>1986 1 SA 601 (A)</w:t>
      </w:r>
      <w:r w:rsidR="00A9597B" w:rsidRPr="00AF4B6A">
        <w:rPr>
          <w:rFonts w:cs="Arial"/>
          <w:sz w:val="20"/>
          <w:szCs w:val="20"/>
        </w:rPr>
        <w:t xml:space="preserve"> at p.</w:t>
      </w:r>
      <w:r w:rsidR="003C1180" w:rsidRPr="00AF4B6A">
        <w:rPr>
          <w:rFonts w:cs="Arial"/>
          <w:sz w:val="20"/>
          <w:szCs w:val="20"/>
        </w:rPr>
        <w:t>615</w:t>
      </w:r>
      <w:r w:rsidRPr="00AF4B6A">
        <w:rPr>
          <w:rFonts w:eastAsia="Times New Roman" w:cs="Arial"/>
          <w:sz w:val="20"/>
          <w:szCs w:val="20"/>
          <w:lang w:val="en-US" w:eastAsia="x-none"/>
        </w:rPr>
        <w:t>.</w:t>
      </w:r>
    </w:p>
  </w:footnote>
  <w:footnote w:id="70">
    <w:p w14:paraId="6B5A0973" w14:textId="77777777" w:rsidR="009C337D" w:rsidRPr="008C0959" w:rsidRDefault="009C337D" w:rsidP="009C337D">
      <w:pPr>
        <w:pStyle w:val="FootnoteText"/>
        <w:rPr>
          <w:rFonts w:cs="Arial"/>
        </w:rPr>
      </w:pPr>
      <w:r w:rsidRPr="008C0959">
        <w:rPr>
          <w:rStyle w:val="FootnoteReference"/>
          <w:rFonts w:cs="Arial"/>
        </w:rPr>
        <w:footnoteRef/>
      </w:r>
      <w:r w:rsidRPr="008C0959">
        <w:rPr>
          <w:rFonts w:cs="Arial"/>
        </w:rPr>
        <w:t xml:space="preserve"> </w:t>
      </w:r>
      <w:r w:rsidRPr="003D31CE">
        <w:rPr>
          <w:i/>
        </w:rPr>
        <w:t>Ongevallekommissaris v Santam Bpk</w:t>
      </w:r>
      <w:r w:rsidRPr="008C0959">
        <w:rPr>
          <w:rFonts w:cs="Arial"/>
        </w:rPr>
        <w:t xml:space="preserve"> 1999 (1) SA 251 (SCA).</w:t>
      </w:r>
    </w:p>
  </w:footnote>
  <w:footnote w:id="71">
    <w:p w14:paraId="78F82F26" w14:textId="7B767CCB" w:rsidR="00642ED9" w:rsidRPr="003B3A40" w:rsidRDefault="00642ED9" w:rsidP="00642ED9">
      <w:pPr>
        <w:pStyle w:val="FootnoteText"/>
        <w:rPr>
          <w:lang w:val="en-US"/>
        </w:rPr>
      </w:pPr>
      <w:r>
        <w:rPr>
          <w:rStyle w:val="FootnoteReference"/>
        </w:rPr>
        <w:footnoteRef/>
      </w:r>
      <w:r>
        <w:t xml:space="preserve"> </w:t>
      </w:r>
      <w:r w:rsidRPr="009D53C6">
        <w:rPr>
          <w:rFonts w:cs="Arial"/>
          <w:i/>
          <w:iCs/>
          <w:lang w:eastAsia="en-GB"/>
        </w:rPr>
        <w:t>Members of the Executive Council Responsible, for the Department of Road and Public Works, North West Province v Oosthuizen</w:t>
      </w:r>
      <w:r w:rsidRPr="008C0959">
        <w:rPr>
          <w:rFonts w:cs="Arial"/>
        </w:rPr>
        <w:t xml:space="preserve"> A671/07) (2009) ZAGPPHC 16 (2 April 2009) at para</w:t>
      </w:r>
      <w:r>
        <w:rPr>
          <w:rFonts w:cs="Arial"/>
        </w:rPr>
        <w:t xml:space="preserve"> 45</w:t>
      </w:r>
      <w:r w:rsidR="00AE2375">
        <w:rPr>
          <w:rFonts w:cs="Arial"/>
        </w:rPr>
        <w:t xml:space="preserve"> citing with approval </w:t>
      </w:r>
      <w:r w:rsidR="00AE2375" w:rsidRPr="003D31CE">
        <w:rPr>
          <w:i/>
        </w:rPr>
        <w:t>Ongevallekommissaris v Santam Bpk</w:t>
      </w:r>
      <w:r w:rsidR="00AE2375" w:rsidRPr="008C0959">
        <w:rPr>
          <w:rFonts w:cs="Arial"/>
        </w:rPr>
        <w:t xml:space="preserve"> 1999 (1) SA 251 (SCA).</w:t>
      </w:r>
    </w:p>
  </w:footnote>
  <w:footnote w:id="72">
    <w:p w14:paraId="0B98048F" w14:textId="77777777" w:rsidR="00956F85" w:rsidRPr="001F7C6B" w:rsidRDefault="00956F85" w:rsidP="00956F85">
      <w:pPr>
        <w:pStyle w:val="FootnoteText"/>
        <w:rPr>
          <w:lang w:val="en-US"/>
        </w:rPr>
      </w:pPr>
      <w:r>
        <w:rPr>
          <w:rStyle w:val="FootnoteReference"/>
        </w:rPr>
        <w:footnoteRef/>
      </w:r>
      <w:r>
        <w:t xml:space="preserve"> </w:t>
      </w:r>
      <w:r w:rsidRPr="009D53C6">
        <w:rPr>
          <w:rFonts w:cs="Arial"/>
          <w:i/>
          <w:iCs/>
          <w:lang w:eastAsia="en-GB"/>
        </w:rPr>
        <w:t>Members of the Executive Council Responsible, for the Department of Road and Public Works, North West Province v Oosthuizen</w:t>
      </w:r>
      <w:r w:rsidRPr="008C0959">
        <w:rPr>
          <w:rFonts w:cs="Arial"/>
        </w:rPr>
        <w:t xml:space="preserve"> A671/07) (2009) ZAGPPHC 16 (2 April 2009) at para</w:t>
      </w:r>
      <w:r>
        <w:rPr>
          <w:rFonts w:cs="Arial"/>
        </w:rPr>
        <w:t xml:space="preserve"> 45.5.</w:t>
      </w:r>
    </w:p>
  </w:footnote>
  <w:footnote w:id="73">
    <w:p w14:paraId="3276034F" w14:textId="77777777" w:rsidR="003E1E8A" w:rsidRPr="008C0959" w:rsidRDefault="003E1E8A" w:rsidP="003E1E8A">
      <w:pPr>
        <w:pStyle w:val="FootnoteText"/>
        <w:rPr>
          <w:rFonts w:cs="Arial"/>
          <w:lang w:val="en-US"/>
        </w:rPr>
      </w:pPr>
      <w:r w:rsidRPr="008C0959">
        <w:rPr>
          <w:rStyle w:val="FootnoteReference"/>
          <w:rFonts w:cs="Arial"/>
        </w:rPr>
        <w:footnoteRef/>
      </w:r>
      <w:r w:rsidRPr="008C0959">
        <w:rPr>
          <w:rFonts w:cs="Arial"/>
        </w:rPr>
        <w:t xml:space="preserve"> </w:t>
      </w:r>
      <w:r w:rsidRPr="008C0959">
        <w:rPr>
          <w:rFonts w:cs="Arial"/>
          <w:lang w:eastAsia="en-GB"/>
        </w:rPr>
        <w:t>Members of the Executive Council</w:t>
      </w:r>
      <w:r>
        <w:rPr>
          <w:rFonts w:cs="Arial"/>
          <w:lang w:eastAsia="en-GB"/>
        </w:rPr>
        <w:t xml:space="preserve"> </w:t>
      </w:r>
      <w:r w:rsidRPr="008C0959">
        <w:rPr>
          <w:rFonts w:cs="Arial"/>
          <w:lang w:eastAsia="en-GB"/>
        </w:rPr>
        <w:t>Department of Road and Public Works, North West Province v Oosthuizen</w:t>
      </w:r>
      <w:r w:rsidRPr="008C0959">
        <w:rPr>
          <w:rFonts w:cs="Arial"/>
        </w:rPr>
        <w:t xml:space="preserve"> at para 45(1)</w:t>
      </w:r>
    </w:p>
  </w:footnote>
  <w:footnote w:id="74">
    <w:p w14:paraId="7469C925" w14:textId="34D8E595" w:rsidR="003E1E8A" w:rsidRPr="008C0959" w:rsidRDefault="003E1E8A" w:rsidP="003E1E8A">
      <w:pPr>
        <w:pStyle w:val="FootnoteText"/>
        <w:rPr>
          <w:rFonts w:cs="Arial"/>
          <w:lang w:val="en-US"/>
        </w:rPr>
      </w:pPr>
      <w:r w:rsidRPr="008C0959">
        <w:rPr>
          <w:rStyle w:val="FootnoteReference"/>
          <w:rFonts w:cs="Arial"/>
        </w:rPr>
        <w:footnoteRef/>
      </w:r>
      <w:r w:rsidRPr="008C0959">
        <w:rPr>
          <w:rFonts w:cs="Arial"/>
        </w:rPr>
        <w:t xml:space="preserve"> </w:t>
      </w:r>
      <w:r w:rsidRPr="007B1D0A">
        <w:rPr>
          <w:rFonts w:cs="Arial"/>
          <w:i/>
          <w:iCs/>
          <w:lang w:eastAsia="en-GB"/>
        </w:rPr>
        <w:t>Members of the Executive Council Department of Road and Public Works, North West Province v Oosthuizen</w:t>
      </w:r>
      <w:r w:rsidRPr="008C0959">
        <w:rPr>
          <w:rFonts w:cs="Arial"/>
        </w:rPr>
        <w:t xml:space="preserve"> </w:t>
      </w:r>
      <w:r w:rsidRPr="008C0959">
        <w:rPr>
          <w:rFonts w:cs="Arial"/>
          <w:lang w:val="en-US"/>
        </w:rPr>
        <w:t>at para 45(6)</w:t>
      </w:r>
      <w:r w:rsidR="00FA4246">
        <w:rPr>
          <w:rFonts w:cs="Arial"/>
          <w:lang w:val="en-US"/>
        </w:rPr>
        <w:t xml:space="preserve"> </w:t>
      </w:r>
      <w:r w:rsidR="00FA4246">
        <w:rPr>
          <w:rFonts w:cs="Arial"/>
        </w:rPr>
        <w:t xml:space="preserve">45 citing with approval </w:t>
      </w:r>
      <w:r w:rsidR="00FA4246" w:rsidRPr="008C0959">
        <w:rPr>
          <w:rFonts w:cs="Arial"/>
          <w:lang w:val="en-US"/>
        </w:rPr>
        <w:t>Peri-Urban Areas Health Board v Munarin 1965 (3) SA 367 (A) at</w:t>
      </w:r>
      <w:r w:rsidR="00FA4246">
        <w:rPr>
          <w:rFonts w:cs="Arial"/>
          <w:lang w:val="en-US"/>
        </w:rPr>
        <w:t xml:space="preserve"> p.376B-D</w:t>
      </w:r>
    </w:p>
  </w:footnote>
  <w:footnote w:id="75">
    <w:p w14:paraId="19042A42" w14:textId="77777777" w:rsidR="00F56F50" w:rsidRPr="00315146" w:rsidRDefault="00F56F50" w:rsidP="00F56F50">
      <w:pPr>
        <w:pStyle w:val="FootnoteText"/>
        <w:rPr>
          <w:lang w:val="en-US"/>
        </w:rPr>
      </w:pPr>
      <w:r>
        <w:rPr>
          <w:rStyle w:val="FootnoteReference"/>
        </w:rPr>
        <w:footnoteRef/>
      </w:r>
      <w:r>
        <w:t xml:space="preserve"> </w:t>
      </w:r>
      <w:r>
        <w:rPr>
          <w:lang w:val="en-US"/>
        </w:rPr>
        <w:tab/>
      </w:r>
    </w:p>
  </w:footnote>
  <w:footnote w:id="76">
    <w:p w14:paraId="3392F0C0" w14:textId="2C2EE6F7" w:rsidR="004017E8" w:rsidRPr="00357927" w:rsidRDefault="004017E8" w:rsidP="004017E8">
      <w:pPr>
        <w:autoSpaceDE w:val="0"/>
        <w:autoSpaceDN w:val="0"/>
        <w:adjustRightInd w:val="0"/>
        <w:spacing w:after="0" w:line="240" w:lineRule="auto"/>
        <w:rPr>
          <w:rFonts w:cs="Arial"/>
          <w:color w:val="000000"/>
          <w:sz w:val="20"/>
          <w:szCs w:val="20"/>
        </w:rPr>
      </w:pPr>
      <w:r w:rsidRPr="00357927">
        <w:rPr>
          <w:rStyle w:val="FootnoteReference"/>
          <w:rFonts w:cs="Arial"/>
          <w:sz w:val="20"/>
          <w:szCs w:val="20"/>
        </w:rPr>
        <w:footnoteRef/>
      </w:r>
      <w:r w:rsidR="008E6788" w:rsidRPr="00357927">
        <w:rPr>
          <w:rFonts w:cs="Arial"/>
          <w:sz w:val="20"/>
          <w:szCs w:val="20"/>
          <w:lang w:val="en-US"/>
        </w:rPr>
        <w:t xml:space="preserve"> </w:t>
      </w:r>
      <w:r w:rsidRPr="00357927">
        <w:rPr>
          <w:rFonts w:cs="Arial"/>
          <w:i/>
          <w:iCs/>
          <w:sz w:val="20"/>
          <w:szCs w:val="20"/>
          <w:lang w:val="en-US"/>
        </w:rPr>
        <w:t>Peri-Urban Areas Health Board v Munarin</w:t>
      </w:r>
      <w:r w:rsidRPr="00357927">
        <w:rPr>
          <w:rFonts w:cs="Arial"/>
          <w:sz w:val="20"/>
          <w:szCs w:val="20"/>
          <w:lang w:val="en-US"/>
        </w:rPr>
        <w:t xml:space="preserve"> 1965 (3) SA 367 (A) at p.376; </w:t>
      </w:r>
      <w:r w:rsidRPr="00357927">
        <w:rPr>
          <w:rFonts w:cs="Arial"/>
          <w:i/>
          <w:iCs/>
          <w:color w:val="000000"/>
          <w:sz w:val="20"/>
          <w:szCs w:val="20"/>
        </w:rPr>
        <w:t>Constantia Versekeringsmaatskappy Bpk v Victor NO</w:t>
      </w:r>
      <w:r w:rsidRPr="00357927">
        <w:rPr>
          <w:rFonts w:cs="Arial"/>
          <w:color w:val="000000"/>
          <w:sz w:val="20"/>
          <w:szCs w:val="20"/>
        </w:rPr>
        <w:t xml:space="preserve"> 1986 (1) SA 601(A) at 615A </w:t>
      </w:r>
      <w:r w:rsidRPr="00357927">
        <w:rPr>
          <w:rFonts w:cs="Arial"/>
          <w:sz w:val="20"/>
          <w:szCs w:val="20"/>
          <w:lang w:val="en-US"/>
        </w:rPr>
        <w:t xml:space="preserve">and </w:t>
      </w:r>
      <w:r w:rsidRPr="00357927">
        <w:rPr>
          <w:rFonts w:cs="Arial"/>
          <w:i/>
          <w:iCs/>
          <w:sz w:val="20"/>
          <w:szCs w:val="20"/>
        </w:rPr>
        <w:t>YK v Road Accident Fund</w:t>
      </w:r>
      <w:r w:rsidRPr="00357927">
        <w:rPr>
          <w:rFonts w:cs="Arial"/>
          <w:sz w:val="20"/>
          <w:szCs w:val="20"/>
        </w:rPr>
        <w:t xml:space="preserve"> [2020] JOL 46847 (FB) at para 44.</w:t>
      </w:r>
    </w:p>
  </w:footnote>
  <w:footnote w:id="77">
    <w:p w14:paraId="272AC83F" w14:textId="050EF1A3" w:rsidR="004017E8" w:rsidRPr="00357927" w:rsidRDefault="004017E8" w:rsidP="004017E8">
      <w:pPr>
        <w:pStyle w:val="FootnoteText"/>
        <w:rPr>
          <w:rFonts w:cs="Arial"/>
        </w:rPr>
      </w:pPr>
      <w:r w:rsidRPr="00357927">
        <w:rPr>
          <w:rStyle w:val="FootnoteReference"/>
          <w:rFonts w:cs="Arial"/>
        </w:rPr>
        <w:footnoteRef/>
      </w:r>
      <w:r w:rsidR="00357927" w:rsidRPr="00357927">
        <w:rPr>
          <w:rFonts w:cs="Arial"/>
        </w:rPr>
        <w:t xml:space="preserve"> </w:t>
      </w:r>
      <w:r w:rsidRPr="00357927">
        <w:rPr>
          <w:rFonts w:cs="Arial"/>
          <w:i/>
          <w:iCs/>
        </w:rPr>
        <w:t>YK v Road Accident Fund</w:t>
      </w:r>
      <w:r w:rsidRPr="00357927">
        <w:rPr>
          <w:rFonts w:cs="Arial"/>
        </w:rPr>
        <w:t xml:space="preserve"> [2020] JOL 46847 (FB) alternative citation </w:t>
      </w:r>
      <w:r w:rsidRPr="00357927">
        <w:rPr>
          <w:i/>
        </w:rPr>
        <w:t>Kriek v Road Accident Fund</w:t>
      </w:r>
      <w:r w:rsidRPr="00357927">
        <w:rPr>
          <w:rFonts w:cs="Arial"/>
        </w:rPr>
        <w:t xml:space="preserve"> (529/2019) [2020] ZAFSHC 42 (5 March 2020).</w:t>
      </w:r>
    </w:p>
  </w:footnote>
  <w:footnote w:id="78">
    <w:p w14:paraId="2F50F234" w14:textId="77777777" w:rsidR="004017E8" w:rsidRPr="00357927" w:rsidRDefault="004017E8" w:rsidP="004017E8">
      <w:pPr>
        <w:autoSpaceDE w:val="0"/>
        <w:autoSpaceDN w:val="0"/>
        <w:adjustRightInd w:val="0"/>
        <w:spacing w:after="0" w:line="240" w:lineRule="auto"/>
        <w:ind w:left="992" w:hanging="425"/>
        <w:rPr>
          <w:rFonts w:cs="Arial"/>
          <w:sz w:val="20"/>
          <w:szCs w:val="20"/>
        </w:rPr>
      </w:pPr>
      <w:r w:rsidRPr="00357927">
        <w:rPr>
          <w:rStyle w:val="FootnoteReference"/>
          <w:rFonts w:cs="Arial"/>
          <w:sz w:val="20"/>
          <w:szCs w:val="20"/>
        </w:rPr>
        <w:footnoteRef/>
      </w:r>
      <w:r w:rsidRPr="00357927">
        <w:rPr>
          <w:rFonts w:cs="Arial"/>
          <w:sz w:val="20"/>
          <w:szCs w:val="20"/>
        </w:rPr>
        <w:t xml:space="preserve"> </w:t>
      </w:r>
      <w:r w:rsidRPr="00357927">
        <w:rPr>
          <w:rFonts w:cs="Arial"/>
          <w:i/>
          <w:iCs/>
          <w:sz w:val="20"/>
          <w:szCs w:val="20"/>
        </w:rPr>
        <w:t>YK v Road Accident Fund</w:t>
      </w:r>
      <w:r w:rsidRPr="00357927">
        <w:rPr>
          <w:rFonts w:cs="Arial"/>
          <w:sz w:val="20"/>
          <w:szCs w:val="20"/>
        </w:rPr>
        <w:t xml:space="preserve"> [2020] JOL 46847 (FB) at para 33.</w:t>
      </w:r>
    </w:p>
  </w:footnote>
  <w:footnote w:id="79">
    <w:p w14:paraId="4F687C26" w14:textId="45A81637" w:rsidR="004017E8" w:rsidRPr="008C0959" w:rsidRDefault="004017E8" w:rsidP="004017E8">
      <w:pPr>
        <w:pStyle w:val="FootnoteText"/>
        <w:ind w:left="709" w:hanging="142"/>
        <w:rPr>
          <w:rFonts w:cs="Arial"/>
          <w:lang w:val="en-US"/>
        </w:rPr>
      </w:pPr>
      <w:r w:rsidRPr="00357927">
        <w:rPr>
          <w:rStyle w:val="FootnoteReference"/>
          <w:rFonts w:cs="Arial"/>
        </w:rPr>
        <w:footnoteRef/>
      </w:r>
      <w:r w:rsidRPr="00357927">
        <w:rPr>
          <w:rFonts w:cs="Arial"/>
        </w:rPr>
        <w:t xml:space="preserve"> </w:t>
      </w:r>
      <w:r w:rsidRPr="00357927">
        <w:rPr>
          <w:rFonts w:cs="Arial"/>
          <w:i/>
          <w:iCs/>
          <w:lang w:eastAsia="en-GB"/>
        </w:rPr>
        <w:t>Members of the Executive Council Department of Road and Public Works, North West Province v Oosthuizen</w:t>
      </w:r>
      <w:r w:rsidRPr="00357927">
        <w:rPr>
          <w:rFonts w:cs="Arial"/>
        </w:rPr>
        <w:t xml:space="preserve"> (A671/07) [2009] ZAGPPHC 16 (2 April 2009) at para 45(1-6) </w:t>
      </w:r>
      <w:r w:rsidRPr="00357927">
        <w:rPr>
          <w:rFonts w:cs="Arial"/>
          <w:i/>
          <w:iCs/>
          <w:lang w:val="en-US"/>
        </w:rPr>
        <w:t>Esterhuizen and</w:t>
      </w:r>
      <w:r w:rsidRPr="008C0959">
        <w:rPr>
          <w:rFonts w:cs="Arial"/>
          <w:lang w:val="en-US"/>
        </w:rPr>
        <w:t xml:space="preserve"> </w:t>
      </w:r>
      <w:r w:rsidRPr="007B1D0A">
        <w:rPr>
          <w:rFonts w:cs="Arial"/>
          <w:i/>
          <w:iCs/>
          <w:lang w:val="en-US"/>
        </w:rPr>
        <w:t>Others v Road Accident Fund</w:t>
      </w:r>
      <w:r w:rsidRPr="008C0959">
        <w:rPr>
          <w:rFonts w:cs="Arial"/>
          <w:lang w:val="en-US"/>
        </w:rPr>
        <w:t xml:space="preserve"> (26180/2014) [2016] ZAGPPHC 1221; 2017 (4) SA 461 (GP) (6 December 2016) at paras 11-13 and </w:t>
      </w:r>
      <w:r w:rsidRPr="007B1D0A">
        <w:rPr>
          <w:rFonts w:cs="Arial"/>
          <w:i/>
          <w:iCs/>
          <w:lang w:val="en-US"/>
        </w:rPr>
        <w:t>Basson v R</w:t>
      </w:r>
      <w:r w:rsidR="007B1D0A" w:rsidRPr="007B1D0A">
        <w:rPr>
          <w:rFonts w:cs="Arial"/>
          <w:i/>
          <w:iCs/>
          <w:lang w:val="en-US"/>
        </w:rPr>
        <w:t>o</w:t>
      </w:r>
      <w:r w:rsidRPr="007B1D0A">
        <w:rPr>
          <w:rFonts w:cs="Arial"/>
          <w:i/>
          <w:iCs/>
          <w:lang w:val="en-US"/>
        </w:rPr>
        <w:t>ad Accident Fund</w:t>
      </w:r>
      <w:r w:rsidRPr="008C0959">
        <w:rPr>
          <w:rFonts w:cs="Arial"/>
          <w:lang w:val="en-US"/>
        </w:rPr>
        <w:t xml:space="preserve"> [2022] JOL 53293 (FB) at paras 20-22.</w:t>
      </w:r>
    </w:p>
  </w:footnote>
  <w:footnote w:id="80">
    <w:p w14:paraId="766F8DAD" w14:textId="77777777" w:rsidR="004017E8" w:rsidRPr="008C0959" w:rsidRDefault="004017E8" w:rsidP="004017E8">
      <w:pPr>
        <w:pStyle w:val="FootnoteText"/>
        <w:rPr>
          <w:rFonts w:cs="Arial"/>
        </w:rPr>
      </w:pPr>
      <w:r w:rsidRPr="008C0959">
        <w:rPr>
          <w:rStyle w:val="FootnoteReference"/>
          <w:rFonts w:cs="Arial"/>
        </w:rPr>
        <w:footnoteRef/>
      </w:r>
      <w:r w:rsidRPr="008C0959">
        <w:rPr>
          <w:rFonts w:cs="Arial"/>
        </w:rPr>
        <w:t xml:space="preserve"> </w:t>
      </w:r>
      <w:r w:rsidRPr="003D31CE">
        <w:rPr>
          <w:i/>
        </w:rPr>
        <w:t>Ongevallekommissaris v Santam Bpk</w:t>
      </w:r>
      <w:r w:rsidRPr="008C0959">
        <w:rPr>
          <w:rFonts w:cs="Arial"/>
        </w:rPr>
        <w:t xml:space="preserve"> 1999 (1) SA 251 (SCA).</w:t>
      </w:r>
    </w:p>
  </w:footnote>
  <w:footnote w:id="81">
    <w:p w14:paraId="309B17D1" w14:textId="77777777" w:rsidR="004017E8" w:rsidRPr="008C0959" w:rsidRDefault="004017E8" w:rsidP="004017E8">
      <w:pPr>
        <w:pStyle w:val="FootnoteText"/>
        <w:rPr>
          <w:rFonts w:cs="Arial"/>
        </w:rPr>
      </w:pPr>
      <w:r w:rsidRPr="008C0959">
        <w:rPr>
          <w:rStyle w:val="FootnoteReference"/>
          <w:rFonts w:cs="Arial"/>
        </w:rPr>
        <w:footnoteRef/>
      </w:r>
      <w:r w:rsidRPr="008C0959">
        <w:rPr>
          <w:rFonts w:cs="Arial"/>
        </w:rPr>
        <w:t xml:space="preserve"> </w:t>
      </w:r>
      <w:r w:rsidRPr="003D31CE">
        <w:rPr>
          <w:i/>
        </w:rPr>
        <w:t>Members of the Executive Council Responsible for the Department of Road and Public Works, North West Province v Oosthuizen</w:t>
      </w:r>
      <w:r w:rsidRPr="008C0959">
        <w:rPr>
          <w:rFonts w:cs="Arial"/>
        </w:rPr>
        <w:t xml:space="preserve"> (A671/07) (2009) ZAGPPHC 16 (2 April 2009).</w:t>
      </w:r>
    </w:p>
  </w:footnote>
  <w:footnote w:id="82">
    <w:p w14:paraId="73490537" w14:textId="2E8CD500" w:rsidR="004017E8" w:rsidRPr="008C0959" w:rsidRDefault="004017E8" w:rsidP="004017E8">
      <w:pPr>
        <w:pStyle w:val="FootnoteText"/>
        <w:rPr>
          <w:rFonts w:cs="Arial"/>
        </w:rPr>
      </w:pPr>
      <w:r w:rsidRPr="008C0959">
        <w:rPr>
          <w:rStyle w:val="FootnoteReference"/>
          <w:rFonts w:cs="Arial"/>
        </w:rPr>
        <w:footnoteRef/>
      </w:r>
      <w:r w:rsidRPr="008C0959">
        <w:rPr>
          <w:rFonts w:cs="Arial"/>
        </w:rPr>
        <w:t xml:space="preserve"> </w:t>
      </w:r>
      <w:r w:rsidR="00014DDF" w:rsidRPr="003D31CE">
        <w:rPr>
          <w:i/>
        </w:rPr>
        <w:t>Esterhuizen and Others v Road Accident Fu</w:t>
      </w:r>
      <w:r w:rsidR="00014DDF" w:rsidRPr="003A139E">
        <w:rPr>
          <w:i/>
        </w:rPr>
        <w:t>nd</w:t>
      </w:r>
      <w:r w:rsidR="00014DDF" w:rsidRPr="008C0959">
        <w:rPr>
          <w:rFonts w:cs="Arial"/>
        </w:rPr>
        <w:t xml:space="preserve"> </w:t>
      </w:r>
      <w:r w:rsidRPr="008C0959">
        <w:rPr>
          <w:rFonts w:cs="Arial"/>
        </w:rPr>
        <w:t>2017 (4) SA 461 (GP) (6 December 2016).</w:t>
      </w:r>
    </w:p>
  </w:footnote>
  <w:footnote w:id="83">
    <w:p w14:paraId="535A1267" w14:textId="77777777" w:rsidR="004017E8" w:rsidRPr="008C0959" w:rsidRDefault="004017E8" w:rsidP="004017E8">
      <w:pPr>
        <w:pStyle w:val="FootnoteText"/>
        <w:rPr>
          <w:rFonts w:cs="Arial"/>
          <w:lang w:val="en-US"/>
        </w:rPr>
      </w:pPr>
      <w:r w:rsidRPr="008C0959">
        <w:rPr>
          <w:rStyle w:val="FootnoteReference"/>
          <w:rFonts w:cs="Arial"/>
        </w:rPr>
        <w:footnoteRef/>
      </w:r>
      <w:r w:rsidRPr="008C0959">
        <w:rPr>
          <w:rFonts w:cs="Arial"/>
        </w:rPr>
        <w:t xml:space="preserve"> </w:t>
      </w:r>
      <w:r w:rsidRPr="00193B3A">
        <w:rPr>
          <w:rFonts w:cs="Arial"/>
          <w:i/>
          <w:iCs/>
          <w:lang w:val="en-US"/>
        </w:rPr>
        <w:t>Esterhuizen and Others v Road Accident Fund</w:t>
      </w:r>
      <w:r w:rsidRPr="008C0959">
        <w:rPr>
          <w:rFonts w:cs="Arial"/>
          <w:lang w:val="en-US"/>
        </w:rPr>
        <w:t xml:space="preserve"> at para 12 and 13</w:t>
      </w:r>
    </w:p>
  </w:footnote>
  <w:footnote w:id="84">
    <w:p w14:paraId="4180EA56" w14:textId="77777777" w:rsidR="004017E8" w:rsidRPr="008C0959" w:rsidRDefault="004017E8" w:rsidP="004017E8">
      <w:pPr>
        <w:pStyle w:val="FootnoteText"/>
        <w:rPr>
          <w:rFonts w:cs="Arial"/>
          <w:lang w:val="en-US"/>
        </w:rPr>
      </w:pPr>
      <w:r w:rsidRPr="008C0959">
        <w:rPr>
          <w:rStyle w:val="FootnoteReference"/>
          <w:rFonts w:cs="Arial"/>
        </w:rPr>
        <w:footnoteRef/>
      </w:r>
      <w:r w:rsidRPr="008C0959">
        <w:rPr>
          <w:rFonts w:cs="Arial"/>
        </w:rPr>
        <w:t xml:space="preserve"> </w:t>
      </w:r>
      <w:r w:rsidRPr="008C0959">
        <w:rPr>
          <w:rFonts w:cs="Arial"/>
          <w:i/>
          <w:lang w:val="en-US"/>
        </w:rPr>
        <w:t>LD v Road Accident Fund</w:t>
      </w:r>
      <w:r w:rsidRPr="008C0959">
        <w:rPr>
          <w:rFonts w:cs="Arial"/>
          <w:lang w:val="en-US"/>
        </w:rPr>
        <w:t xml:space="preserve"> (14606/2016) [2018] ZAGPPHC 181 (5 February 2018) at para</w:t>
      </w:r>
      <w:r>
        <w:rPr>
          <w:rFonts w:cs="Arial"/>
          <w:lang w:val="en-US"/>
        </w:rPr>
        <w:t>s 33-34.</w:t>
      </w:r>
    </w:p>
  </w:footnote>
  <w:footnote w:id="85">
    <w:p w14:paraId="09AAB4D2" w14:textId="77777777" w:rsidR="004017E8" w:rsidRPr="00FD6FEB" w:rsidRDefault="004017E8" w:rsidP="004017E8">
      <w:pPr>
        <w:pStyle w:val="FootnoteText"/>
        <w:rPr>
          <w:lang w:val="en-US"/>
        </w:rPr>
      </w:pPr>
      <w:r>
        <w:rPr>
          <w:rStyle w:val="FootnoteReference"/>
        </w:rPr>
        <w:footnoteRef/>
      </w:r>
      <w:r>
        <w:t xml:space="preserve"> </w:t>
      </w:r>
      <w:r w:rsidRPr="007B1D0A">
        <w:rPr>
          <w:rFonts w:cs="Arial"/>
          <w:i/>
          <w:iCs/>
        </w:rPr>
        <w:t>YK v Road Accident Fund</w:t>
      </w:r>
      <w:r>
        <w:rPr>
          <w:rFonts w:cs="Arial"/>
        </w:rPr>
        <w:t xml:space="preserve"> [2020] JOL 46847 (FB) at para 46</w:t>
      </w:r>
    </w:p>
  </w:footnote>
  <w:footnote w:id="86">
    <w:p w14:paraId="74E78C04" w14:textId="77777777" w:rsidR="004017E8" w:rsidRPr="008C0959" w:rsidRDefault="004017E8" w:rsidP="004017E8">
      <w:pPr>
        <w:pStyle w:val="FootnoteText"/>
        <w:ind w:left="709" w:hanging="142"/>
        <w:rPr>
          <w:rFonts w:cs="Arial"/>
          <w:lang w:eastAsia="en-GB"/>
        </w:rPr>
      </w:pPr>
      <w:r w:rsidRPr="008C0959">
        <w:rPr>
          <w:rStyle w:val="FootnoteReference"/>
          <w:rFonts w:cs="Arial"/>
        </w:rPr>
        <w:footnoteRef/>
      </w:r>
      <w:r w:rsidRPr="008C0959">
        <w:rPr>
          <w:rFonts w:cs="Arial"/>
        </w:rPr>
        <w:t xml:space="preserve"> </w:t>
      </w:r>
      <w:r w:rsidRPr="008C0959">
        <w:rPr>
          <w:rFonts w:cs="Arial"/>
          <w:i/>
          <w:lang w:val="en-US"/>
        </w:rPr>
        <w:t>LD v Road Accident Fund</w:t>
      </w:r>
      <w:r w:rsidRPr="008C0959">
        <w:rPr>
          <w:rFonts w:cs="Arial"/>
          <w:lang w:val="en-US"/>
        </w:rPr>
        <w:t xml:space="preserve"> (14606/2016) [2018] ZAGPPHC 181 (5 February 2018) at para 37; </w:t>
      </w:r>
      <w:r w:rsidRPr="008C0959">
        <w:rPr>
          <w:rFonts w:cs="Arial"/>
          <w:i/>
          <w:lang w:val="en-US"/>
        </w:rPr>
        <w:t>MV and Others v Road Accident Fund</w:t>
      </w:r>
      <w:r w:rsidRPr="008C0959">
        <w:rPr>
          <w:rFonts w:cs="Arial"/>
          <w:lang w:val="en-US"/>
        </w:rPr>
        <w:t xml:space="preserve"> (1705/2017) [2019] ZAFSHC 131 (25 July 2019) at para 14</w:t>
      </w:r>
    </w:p>
  </w:footnote>
  <w:footnote w:id="87">
    <w:p w14:paraId="71F36A57" w14:textId="2A697E9C" w:rsidR="004017E8" w:rsidRPr="008C0959" w:rsidRDefault="004017E8" w:rsidP="004017E8">
      <w:pPr>
        <w:pStyle w:val="FootnoteText"/>
        <w:rPr>
          <w:rFonts w:cs="Arial"/>
          <w:lang w:val="en-ZA"/>
        </w:rPr>
      </w:pPr>
      <w:r w:rsidRPr="008C0959">
        <w:rPr>
          <w:rStyle w:val="FootnoteReference"/>
          <w:rFonts w:cs="Arial"/>
        </w:rPr>
        <w:footnoteRef/>
      </w:r>
      <w:r w:rsidRPr="008C0959">
        <w:rPr>
          <w:rFonts w:cs="Arial"/>
        </w:rPr>
        <w:t xml:space="preserve"> </w:t>
      </w:r>
      <w:r w:rsidRPr="008C0959">
        <w:rPr>
          <w:rFonts w:cs="Arial"/>
          <w:i/>
          <w:lang w:val="en-US"/>
        </w:rPr>
        <w:t>LD v Road Accident Fund</w:t>
      </w:r>
      <w:r w:rsidRPr="008C0959">
        <w:rPr>
          <w:rFonts w:cs="Arial"/>
          <w:lang w:val="en-US"/>
        </w:rPr>
        <w:t xml:space="preserve"> (14606/2016) [2018] ZAGPPHC 181 (5 February 2018)</w:t>
      </w:r>
    </w:p>
  </w:footnote>
  <w:footnote w:id="88">
    <w:p w14:paraId="2243733C" w14:textId="260EB397" w:rsidR="004017E8" w:rsidRPr="008C0959" w:rsidRDefault="004017E8" w:rsidP="00357927">
      <w:pPr>
        <w:pStyle w:val="FootnoteText"/>
        <w:rPr>
          <w:rFonts w:cs="Arial"/>
          <w:lang w:val="en-US"/>
        </w:rPr>
      </w:pPr>
      <w:r w:rsidRPr="008C0959">
        <w:rPr>
          <w:rStyle w:val="FootnoteReference"/>
          <w:rFonts w:cs="Arial"/>
        </w:rPr>
        <w:footnoteRef/>
      </w:r>
      <w:r w:rsidRPr="008C0959">
        <w:rPr>
          <w:rFonts w:cs="Arial"/>
        </w:rPr>
        <w:t xml:space="preserve"> </w:t>
      </w:r>
      <w:r w:rsidRPr="00D12F9D">
        <w:rPr>
          <w:rFonts w:cs="Arial"/>
          <w:i/>
          <w:iCs/>
          <w:lang w:val="en-US"/>
        </w:rPr>
        <w:t>LD v Road Accident Fund</w:t>
      </w:r>
      <w:r w:rsidRPr="008C0959">
        <w:rPr>
          <w:rFonts w:cs="Arial"/>
          <w:lang w:val="en-US"/>
        </w:rPr>
        <w:t xml:space="preserve"> </w:t>
      </w:r>
      <w:r w:rsidR="005629EE" w:rsidRPr="008C0959">
        <w:rPr>
          <w:rFonts w:cs="Arial"/>
          <w:lang w:val="en-US"/>
        </w:rPr>
        <w:t xml:space="preserve">(14606/2016) [2018] ZAGPPHC 181 (5 February 2018) </w:t>
      </w:r>
      <w:r w:rsidRPr="008C0959">
        <w:rPr>
          <w:rFonts w:cs="Arial"/>
          <w:lang w:val="en-US"/>
        </w:rPr>
        <w:t>at para 29 and 37</w:t>
      </w:r>
    </w:p>
  </w:footnote>
  <w:footnote w:id="89">
    <w:p w14:paraId="10A8805E" w14:textId="2D555BFB" w:rsidR="004017E8" w:rsidRPr="008C0959" w:rsidRDefault="004017E8" w:rsidP="004017E8">
      <w:pPr>
        <w:pStyle w:val="FootnoteText"/>
        <w:rPr>
          <w:rFonts w:cs="Arial"/>
          <w:lang w:val="en-US"/>
        </w:rPr>
      </w:pPr>
      <w:r w:rsidRPr="008C0959">
        <w:rPr>
          <w:rStyle w:val="FootnoteReference"/>
          <w:rFonts w:cs="Arial"/>
        </w:rPr>
        <w:footnoteRef/>
      </w:r>
      <w:r w:rsidRPr="008C0959">
        <w:rPr>
          <w:rFonts w:cs="Arial"/>
        </w:rPr>
        <w:t xml:space="preserve"> </w:t>
      </w:r>
      <w:r w:rsidRPr="00D12F9D">
        <w:rPr>
          <w:rFonts w:cs="Arial"/>
          <w:i/>
          <w:iCs/>
          <w:lang w:val="en-US"/>
        </w:rPr>
        <w:t>MV and Others v Road Accident Fund</w:t>
      </w:r>
      <w:r w:rsidRPr="008C0959">
        <w:rPr>
          <w:rFonts w:cs="Arial"/>
          <w:lang w:val="en-US"/>
        </w:rPr>
        <w:t xml:space="preserve"> </w:t>
      </w:r>
      <w:r w:rsidR="005629EE" w:rsidRPr="008C0959">
        <w:rPr>
          <w:rFonts w:cs="Arial"/>
          <w:lang w:val="en-US"/>
        </w:rPr>
        <w:t>(1705/2017) [2019] ZAFSHC 131 (25 July 2019)</w:t>
      </w:r>
      <w:r w:rsidRPr="008C0959">
        <w:rPr>
          <w:rFonts w:cs="Arial"/>
          <w:lang w:val="en-US"/>
        </w:rPr>
        <w:t xml:space="preserve"> at para 14.</w:t>
      </w:r>
    </w:p>
  </w:footnote>
  <w:footnote w:id="90">
    <w:p w14:paraId="2446B9C9" w14:textId="77777777" w:rsidR="0028701A" w:rsidRPr="00526791" w:rsidRDefault="0028701A" w:rsidP="0028701A">
      <w:pPr>
        <w:pStyle w:val="FootnoteText"/>
        <w:ind w:left="851" w:hanging="851"/>
        <w:rPr>
          <w:rFonts w:ascii="Times New Roman" w:hAnsi="Times New Roman"/>
          <w:sz w:val="16"/>
          <w:szCs w:val="16"/>
          <w:lang w:val="en-US"/>
        </w:rPr>
      </w:pPr>
      <w:r w:rsidRPr="00526791">
        <w:rPr>
          <w:rStyle w:val="FootnoteReference"/>
          <w:rFonts w:ascii="Times New Roman" w:hAnsi="Times New Roman"/>
          <w:sz w:val="16"/>
          <w:szCs w:val="16"/>
        </w:rPr>
        <w:footnoteRef/>
      </w:r>
      <w:r w:rsidRPr="00526791">
        <w:rPr>
          <w:rFonts w:ascii="Times New Roman" w:hAnsi="Times New Roman"/>
          <w:sz w:val="16"/>
          <w:szCs w:val="16"/>
        </w:rPr>
        <w:t xml:space="preserve"> </w:t>
      </w:r>
      <w:r w:rsidRPr="00526791">
        <w:rPr>
          <w:rFonts w:ascii="Times New Roman" w:hAnsi="Times New Roman"/>
          <w:sz w:val="16"/>
          <w:szCs w:val="16"/>
        </w:rPr>
        <w:tab/>
        <w:t>Jameson's Minors v Central South African Railways 1908 TS 575 at 583-4</w:t>
      </w:r>
    </w:p>
  </w:footnote>
  <w:footnote w:id="91">
    <w:p w14:paraId="1519C42B" w14:textId="77777777" w:rsidR="00EE284F" w:rsidRPr="008C0959" w:rsidRDefault="00EE284F" w:rsidP="00EE284F">
      <w:pPr>
        <w:pStyle w:val="FootnoteText"/>
        <w:ind w:left="993" w:hanging="426"/>
        <w:rPr>
          <w:rFonts w:cs="Arial"/>
          <w:lang w:val="en-US"/>
        </w:rPr>
      </w:pPr>
      <w:r w:rsidRPr="008C0959">
        <w:rPr>
          <w:rStyle w:val="FootnoteReference"/>
          <w:rFonts w:cs="Arial"/>
        </w:rPr>
        <w:footnoteRef/>
      </w:r>
      <w:r w:rsidRPr="008C0959">
        <w:rPr>
          <w:rFonts w:cs="Arial"/>
        </w:rPr>
        <w:t xml:space="preserve"> </w:t>
      </w:r>
      <w:r w:rsidRPr="008C0959">
        <w:rPr>
          <w:rFonts w:cs="Arial"/>
          <w:i/>
          <w:lang w:val="en-US"/>
        </w:rPr>
        <w:t>Santam Bpk v Henery</w:t>
      </w:r>
      <w:r w:rsidRPr="008C0959">
        <w:rPr>
          <w:rFonts w:cs="Arial"/>
          <w:lang w:val="en-US"/>
        </w:rPr>
        <w:t xml:space="preserve"> 1999 (3) SA 421 (SCA) at 320i-321d</w:t>
      </w:r>
    </w:p>
  </w:footnote>
  <w:footnote w:id="92">
    <w:p w14:paraId="188769A9" w14:textId="77777777" w:rsidR="00EE284F" w:rsidRPr="008C0959" w:rsidRDefault="00EE284F" w:rsidP="00EE284F">
      <w:pPr>
        <w:pStyle w:val="FootnoteText"/>
        <w:rPr>
          <w:rFonts w:cs="Arial"/>
        </w:rPr>
      </w:pPr>
      <w:r w:rsidRPr="008C0959">
        <w:rPr>
          <w:rStyle w:val="FootnoteReference"/>
          <w:rFonts w:cs="Arial"/>
        </w:rPr>
        <w:footnoteRef/>
      </w:r>
      <w:r w:rsidRPr="008C0959">
        <w:rPr>
          <w:rFonts w:cs="Arial"/>
        </w:rPr>
        <w:t xml:space="preserve"> </w:t>
      </w:r>
      <w:r w:rsidRPr="003D31CE">
        <w:rPr>
          <w:i/>
        </w:rPr>
        <w:t>Road Accident Fund v Mohohl</w:t>
      </w:r>
      <w:r>
        <w:rPr>
          <w:i/>
        </w:rPr>
        <w:t>o</w:t>
      </w:r>
      <w:r w:rsidRPr="008C0959">
        <w:rPr>
          <w:rFonts w:cs="Arial"/>
        </w:rPr>
        <w:t xml:space="preserve"> 2018 (2) SA 65 (SCA)</w:t>
      </w:r>
    </w:p>
  </w:footnote>
  <w:footnote w:id="93">
    <w:p w14:paraId="1DED292D" w14:textId="77777777" w:rsidR="00EE284F" w:rsidRPr="00CC60EA" w:rsidRDefault="00EE284F" w:rsidP="00EE284F">
      <w:pPr>
        <w:pStyle w:val="FootnoteText"/>
        <w:rPr>
          <w:lang w:val="en-US"/>
        </w:rPr>
      </w:pPr>
      <w:r>
        <w:rPr>
          <w:rStyle w:val="FootnoteReference"/>
        </w:rPr>
        <w:footnoteRef/>
      </w:r>
      <w:r>
        <w:t xml:space="preserve"> </w:t>
      </w:r>
      <w:r w:rsidRPr="008C0959">
        <w:rPr>
          <w:rFonts w:cs="Arial"/>
          <w:i/>
          <w:lang w:val="en-US"/>
        </w:rPr>
        <w:t>Santam Bpk v Henery</w:t>
      </w:r>
      <w:r w:rsidRPr="008C0959">
        <w:rPr>
          <w:rFonts w:cs="Arial"/>
          <w:lang w:val="en-US"/>
        </w:rPr>
        <w:t xml:space="preserve"> 1999 (3) SA 421 (SCA) at</w:t>
      </w:r>
      <w:r>
        <w:rPr>
          <w:rFonts w:cs="Arial"/>
          <w:lang w:val="en-US"/>
        </w:rPr>
        <w:t xml:space="preserve"> 430G-431A</w:t>
      </w:r>
    </w:p>
  </w:footnote>
  <w:footnote w:id="94">
    <w:p w14:paraId="343FCADE" w14:textId="77777777" w:rsidR="009A5D36" w:rsidRPr="008C0959" w:rsidRDefault="009A5D36" w:rsidP="009A5D36">
      <w:pPr>
        <w:pStyle w:val="FootnoteText"/>
        <w:rPr>
          <w:rFonts w:cs="Arial"/>
          <w:lang w:val="en-US"/>
        </w:rPr>
      </w:pPr>
      <w:r w:rsidRPr="00983502">
        <w:rPr>
          <w:rStyle w:val="FootnoteReference"/>
          <w:rFonts w:cs="Arial"/>
          <w:iCs/>
        </w:rPr>
        <w:footnoteRef/>
      </w:r>
      <w:r w:rsidRPr="00983502">
        <w:rPr>
          <w:rFonts w:cs="Arial"/>
          <w:iCs/>
        </w:rPr>
        <w:t xml:space="preserve"> </w:t>
      </w:r>
      <w:r w:rsidRPr="00160F82">
        <w:rPr>
          <w:i/>
        </w:rPr>
        <w:t>Ongevallekommissaris v Santam Bpk</w:t>
      </w:r>
      <w:r w:rsidRPr="008C0959">
        <w:rPr>
          <w:rFonts w:cs="Arial"/>
        </w:rPr>
        <w:t xml:space="preserve"> 1999 (1) SA 251 (SCA) at </w:t>
      </w:r>
      <w:r w:rsidRPr="008C0959">
        <w:rPr>
          <w:rFonts w:cs="Arial"/>
          <w:lang w:val="en-US"/>
        </w:rPr>
        <w:t>262F-J to 263A-B</w:t>
      </w:r>
      <w:r>
        <w:rPr>
          <w:rFonts w:cs="Arial"/>
          <w:lang w:val="en-US"/>
        </w:rPr>
        <w:t xml:space="preserve"> citing</w:t>
      </w:r>
      <w:r w:rsidRPr="000A687E">
        <w:t xml:space="preserve"> </w:t>
      </w:r>
      <w:r w:rsidRPr="00160F82">
        <w:rPr>
          <w:i/>
        </w:rPr>
        <w:t>Hulley v Cox</w:t>
      </w:r>
      <w:r>
        <w:rPr>
          <w:i/>
        </w:rPr>
        <w:t xml:space="preserve"> </w:t>
      </w:r>
      <w:r w:rsidRPr="00983502">
        <w:rPr>
          <w:iCs/>
        </w:rPr>
        <w:t>with approval.</w:t>
      </w:r>
    </w:p>
  </w:footnote>
  <w:footnote w:id="95">
    <w:p w14:paraId="5193C119" w14:textId="77777777" w:rsidR="00D95FC8" w:rsidRPr="00566902" w:rsidRDefault="00D95FC8" w:rsidP="00D95FC8">
      <w:pPr>
        <w:pStyle w:val="FootnoteText"/>
        <w:rPr>
          <w:lang w:val="en-US"/>
        </w:rPr>
      </w:pPr>
      <w:r>
        <w:rPr>
          <w:rStyle w:val="FootnoteReference"/>
        </w:rPr>
        <w:footnoteRef/>
      </w:r>
      <w:r>
        <w:t xml:space="preserve"> </w:t>
      </w:r>
      <w:r w:rsidRPr="000311EF">
        <w:rPr>
          <w:rFonts w:cs="Arial"/>
          <w:i/>
          <w:iCs/>
        </w:rPr>
        <w:t xml:space="preserve">YK v Road Accident Fund </w:t>
      </w:r>
      <w:r>
        <w:rPr>
          <w:rFonts w:cs="Arial"/>
        </w:rPr>
        <w:t xml:space="preserve">[2020] JOL 46847 (FB) at para 51 citing </w:t>
      </w:r>
      <w:r w:rsidRPr="000311EF">
        <w:rPr>
          <w:rFonts w:cs="Arial"/>
          <w:i/>
          <w:iCs/>
        </w:rPr>
        <w:t>Hulley v Cox</w:t>
      </w:r>
      <w:r>
        <w:rPr>
          <w:rFonts w:cs="Arial"/>
        </w:rPr>
        <w:t xml:space="preserve"> at p.244 </w:t>
      </w:r>
      <w:r>
        <w:t>“object of the award to be made is to compensate the plaintiff for her material loss and not to improve her material prospects.”</w:t>
      </w:r>
    </w:p>
  </w:footnote>
  <w:footnote w:id="96">
    <w:p w14:paraId="59F85DBC" w14:textId="77777777" w:rsidR="0067162D" w:rsidRPr="008C0959" w:rsidRDefault="0067162D" w:rsidP="0067162D">
      <w:pPr>
        <w:pStyle w:val="FootnoteText"/>
        <w:rPr>
          <w:rFonts w:cs="Arial"/>
        </w:rPr>
      </w:pPr>
      <w:r w:rsidRPr="008C0959">
        <w:rPr>
          <w:rStyle w:val="FootnoteReference"/>
          <w:rFonts w:cs="Arial"/>
        </w:rPr>
        <w:footnoteRef/>
      </w:r>
      <w:r w:rsidRPr="008C0959">
        <w:rPr>
          <w:rFonts w:cs="Arial"/>
        </w:rPr>
        <w:t xml:space="preserve"> </w:t>
      </w:r>
      <w:r w:rsidRPr="009B05CE">
        <w:rPr>
          <w:i/>
        </w:rPr>
        <w:t>Road Accident Fund v Mohohlo</w:t>
      </w:r>
      <w:r w:rsidRPr="008C0959">
        <w:rPr>
          <w:rFonts w:cs="Arial"/>
        </w:rPr>
        <w:t xml:space="preserve"> 2018 (2) SA 65 (SCA)</w:t>
      </w:r>
    </w:p>
  </w:footnote>
  <w:footnote w:id="97">
    <w:p w14:paraId="62E09FBE" w14:textId="77777777" w:rsidR="00F76CC1" w:rsidRPr="005E1911" w:rsidRDefault="00F76CC1" w:rsidP="00F76CC1">
      <w:pPr>
        <w:autoSpaceDE w:val="0"/>
        <w:autoSpaceDN w:val="0"/>
        <w:adjustRightInd w:val="0"/>
        <w:spacing w:after="0" w:line="240" w:lineRule="auto"/>
        <w:jc w:val="left"/>
        <w:rPr>
          <w:rFonts w:ascii="á—¥_ò" w:hAnsi="á—¥_ò" w:cs="á—¥_ò"/>
          <w:sz w:val="17"/>
          <w:szCs w:val="17"/>
        </w:rPr>
      </w:pPr>
      <w:r>
        <w:rPr>
          <w:rStyle w:val="FootnoteReference"/>
        </w:rPr>
        <w:footnoteRef/>
      </w:r>
      <w:r>
        <w:t xml:space="preserve"> </w:t>
      </w:r>
      <w:r w:rsidRPr="009D53C6">
        <w:rPr>
          <w:rFonts w:cs="Arial"/>
          <w:i/>
          <w:iCs/>
          <w:sz w:val="20"/>
          <w:szCs w:val="20"/>
          <w:lang w:eastAsia="en-GB"/>
        </w:rPr>
        <w:t>Hulley v Cox</w:t>
      </w:r>
      <w:r w:rsidRPr="008C0959">
        <w:rPr>
          <w:rFonts w:cs="Arial"/>
          <w:sz w:val="20"/>
          <w:szCs w:val="20"/>
          <w:lang w:eastAsia="en-GB"/>
        </w:rPr>
        <w:t xml:space="preserve"> 1923 AD 234 at </w:t>
      </w:r>
      <w:r>
        <w:rPr>
          <w:rFonts w:cs="Arial"/>
          <w:lang w:eastAsia="en-GB"/>
        </w:rPr>
        <w:t>p.</w:t>
      </w:r>
      <w:r w:rsidRPr="008C0959">
        <w:rPr>
          <w:rFonts w:cs="Arial"/>
          <w:sz w:val="20"/>
          <w:szCs w:val="20"/>
          <w:lang w:eastAsia="en-GB"/>
        </w:rPr>
        <w:t xml:space="preserve">244 </w:t>
      </w:r>
      <w:r>
        <w:rPr>
          <w:rFonts w:cs="Arial"/>
          <w:sz w:val="20"/>
          <w:szCs w:val="20"/>
          <w:lang w:eastAsia="en-GB"/>
        </w:rPr>
        <w:t>“</w:t>
      </w:r>
      <w:r>
        <w:rPr>
          <w:rFonts w:ascii="á—¥_ò" w:hAnsi="á—¥_ò" w:cs="á—¥_ò"/>
          <w:sz w:val="17"/>
          <w:szCs w:val="17"/>
        </w:rPr>
        <w:t>A father for instance would cease to maintain a son who became self supporting,or a daughter who married; and allowance would have to be made for those contingencies in assessing compensation.”</w:t>
      </w:r>
    </w:p>
  </w:footnote>
  <w:footnote w:id="98">
    <w:p w14:paraId="0E005D8D" w14:textId="77777777" w:rsidR="001B7345" w:rsidRPr="00D57F23" w:rsidRDefault="001B7345" w:rsidP="001B7345">
      <w:pPr>
        <w:pStyle w:val="FootnoteText"/>
        <w:rPr>
          <w:lang w:val="en-US"/>
        </w:rPr>
      </w:pPr>
      <w:r>
        <w:rPr>
          <w:rStyle w:val="FootnoteReference"/>
        </w:rPr>
        <w:footnoteRef/>
      </w:r>
      <w:r>
        <w:t xml:space="preserve"> </w:t>
      </w:r>
      <w:r w:rsidRPr="009D53C6">
        <w:rPr>
          <w:rFonts w:cs="Arial"/>
          <w:i/>
          <w:iCs/>
          <w:lang w:eastAsia="en-GB"/>
        </w:rPr>
        <w:t>Hulley v Cox</w:t>
      </w:r>
      <w:r w:rsidRPr="008C0959">
        <w:rPr>
          <w:rFonts w:cs="Arial"/>
          <w:lang w:eastAsia="en-GB"/>
        </w:rPr>
        <w:t xml:space="preserve"> 1923 AD 234 at </w:t>
      </w:r>
      <w:r>
        <w:rPr>
          <w:rFonts w:cs="Arial"/>
          <w:lang w:eastAsia="en-GB"/>
        </w:rPr>
        <w:t>p.</w:t>
      </w:r>
      <w:r w:rsidRPr="008C0959">
        <w:rPr>
          <w:rFonts w:cs="Arial"/>
          <w:lang w:eastAsia="en-GB"/>
        </w:rPr>
        <w:t xml:space="preserve">244 </w:t>
      </w:r>
      <w:r w:rsidRPr="00C4544E">
        <w:t>“A father for instance would cease to maintain a son who became self supporting, or a daughter who married; and allowance would have to be made for those contingencies in assessing compensation.”</w:t>
      </w:r>
    </w:p>
  </w:footnote>
  <w:footnote w:id="99">
    <w:p w14:paraId="5101779A" w14:textId="39EEF0B7" w:rsidR="00B055E3" w:rsidRPr="00533001" w:rsidRDefault="00B055E3" w:rsidP="00B055E3">
      <w:pPr>
        <w:pStyle w:val="FootnoteText"/>
        <w:rPr>
          <w:lang w:val="en-US"/>
        </w:rPr>
      </w:pPr>
      <w:r>
        <w:rPr>
          <w:rStyle w:val="FootnoteReference"/>
        </w:rPr>
        <w:footnoteRef/>
      </w:r>
      <w:r>
        <w:t xml:space="preserve"> </w:t>
      </w:r>
      <w:r w:rsidRPr="000311EF">
        <w:rPr>
          <w:i/>
          <w:iCs/>
          <w:lang w:val="en-US"/>
        </w:rPr>
        <w:t>Santam Versekeringsmaatskapy Bpk v Henery</w:t>
      </w:r>
      <w:r>
        <w:rPr>
          <w:lang w:val="en-US"/>
        </w:rPr>
        <w:t xml:space="preserve"> [1999] 3 SA 421 (SCA)</w:t>
      </w:r>
    </w:p>
  </w:footnote>
  <w:footnote w:id="100">
    <w:p w14:paraId="7C9AC00A" w14:textId="77777777" w:rsidR="00566172" w:rsidRPr="008C0959" w:rsidRDefault="00566172" w:rsidP="00566172">
      <w:pPr>
        <w:pStyle w:val="FootnoteText"/>
        <w:rPr>
          <w:rFonts w:cs="Arial"/>
        </w:rPr>
      </w:pPr>
      <w:r w:rsidRPr="008C0959">
        <w:rPr>
          <w:rStyle w:val="FootnoteReference"/>
          <w:rFonts w:cs="Arial"/>
        </w:rPr>
        <w:footnoteRef/>
      </w:r>
      <w:r w:rsidRPr="008C0959">
        <w:rPr>
          <w:rFonts w:cs="Arial"/>
        </w:rPr>
        <w:t xml:space="preserve"> </w:t>
      </w:r>
      <w:r w:rsidRPr="008B0259">
        <w:rPr>
          <w:i/>
        </w:rPr>
        <w:t>CB and Another v HB</w:t>
      </w:r>
      <w:r w:rsidRPr="008C0959">
        <w:rPr>
          <w:rFonts w:cs="Arial"/>
        </w:rPr>
        <w:t xml:space="preserve"> [2020] ZASCA 178 (SCA)</w:t>
      </w:r>
      <w:r>
        <w:rPr>
          <w:rFonts w:cs="Arial"/>
        </w:rPr>
        <w:t xml:space="preserve"> at para 14</w:t>
      </w:r>
    </w:p>
  </w:footnote>
  <w:footnote w:id="101">
    <w:p w14:paraId="57C634AB" w14:textId="77777777" w:rsidR="00566172" w:rsidRPr="008C0959" w:rsidRDefault="00566172" w:rsidP="00566172">
      <w:pPr>
        <w:pStyle w:val="FootnoteText"/>
        <w:rPr>
          <w:rFonts w:cs="Arial"/>
          <w:lang w:val="en-ZA"/>
        </w:rPr>
      </w:pPr>
      <w:r w:rsidRPr="008C0959">
        <w:rPr>
          <w:rStyle w:val="FootnoteReference"/>
          <w:rFonts w:cs="Arial"/>
        </w:rPr>
        <w:footnoteRef/>
      </w:r>
      <w:r w:rsidRPr="008C0959">
        <w:rPr>
          <w:rFonts w:cs="Arial"/>
        </w:rPr>
        <w:t xml:space="preserve"> </w:t>
      </w:r>
      <w:r w:rsidRPr="008B0259">
        <w:rPr>
          <w:i/>
        </w:rPr>
        <w:t>CB and Another v HB</w:t>
      </w:r>
      <w:r>
        <w:rPr>
          <w:i/>
        </w:rPr>
        <w:t xml:space="preserve"> </w:t>
      </w:r>
      <w:r w:rsidRPr="008C0959">
        <w:rPr>
          <w:rFonts w:cs="Arial"/>
        </w:rPr>
        <w:t>[2020] ZASCA 178 (SCA</w:t>
      </w:r>
      <w:r>
        <w:rPr>
          <w:rFonts w:cs="Arial"/>
        </w:rPr>
        <w:t>) at para 15</w:t>
      </w:r>
    </w:p>
  </w:footnote>
  <w:footnote w:id="102">
    <w:p w14:paraId="25825BDC" w14:textId="77777777" w:rsidR="003A19BE" w:rsidRPr="00BA0532" w:rsidRDefault="003A19BE" w:rsidP="003A19BE">
      <w:pPr>
        <w:pStyle w:val="FootnoteText"/>
        <w:rPr>
          <w:lang w:val="en-US"/>
        </w:rPr>
      </w:pPr>
      <w:r>
        <w:rPr>
          <w:rStyle w:val="FootnoteReference"/>
        </w:rPr>
        <w:footnoteRef/>
      </w:r>
      <w:r>
        <w:t xml:space="preserve"> </w:t>
      </w:r>
      <w:r>
        <w:rPr>
          <w:lang w:val="en-US"/>
        </w:rPr>
        <w:t>Mighty Solutions CC t/a Orlando Service Station v Engen Petroleum Ltd [2015] ZACC 34 at para 38</w:t>
      </w:r>
    </w:p>
  </w:footnote>
  <w:footnote w:id="103">
    <w:p w14:paraId="16778C6A" w14:textId="77777777" w:rsidR="00E05550" w:rsidRPr="008C0959" w:rsidRDefault="00E05550" w:rsidP="00E05550">
      <w:pPr>
        <w:pStyle w:val="FootnoteText"/>
        <w:rPr>
          <w:rFonts w:cs="Arial"/>
          <w:lang w:val="en-US"/>
        </w:rPr>
      </w:pPr>
      <w:r w:rsidRPr="008C0959">
        <w:rPr>
          <w:rStyle w:val="FootnoteReference"/>
          <w:rFonts w:cs="Arial"/>
        </w:rPr>
        <w:footnoteRef/>
      </w:r>
      <w:r w:rsidRPr="008C0959">
        <w:rPr>
          <w:rFonts w:cs="Arial"/>
        </w:rPr>
        <w:t xml:space="preserve"> </w:t>
      </w:r>
      <w:r w:rsidRPr="000311EF">
        <w:rPr>
          <w:rFonts w:cs="Arial"/>
          <w:i/>
          <w:iCs/>
        </w:rPr>
        <w:t>Law Society of South Africa v Minister of Transport</w:t>
      </w:r>
      <w:r>
        <w:rPr>
          <w:rFonts w:cs="Arial"/>
        </w:rPr>
        <w:t xml:space="preserve"> 2011 (1) SA 400 at para 70.</w:t>
      </w:r>
    </w:p>
  </w:footnote>
  <w:footnote w:id="104">
    <w:p w14:paraId="5C3D9938" w14:textId="77777777" w:rsidR="00027F05" w:rsidRPr="00BA0532" w:rsidRDefault="00027F05" w:rsidP="00027F05">
      <w:pPr>
        <w:pStyle w:val="FootnoteText"/>
        <w:rPr>
          <w:lang w:val="en-US"/>
        </w:rPr>
      </w:pPr>
      <w:r>
        <w:rPr>
          <w:rStyle w:val="FootnoteReference"/>
        </w:rPr>
        <w:footnoteRef/>
      </w:r>
      <w:r>
        <w:t xml:space="preserve"> </w:t>
      </w:r>
      <w:r w:rsidRPr="00AB2CE7">
        <w:rPr>
          <w:i/>
          <w:iCs/>
          <w:lang w:val="en-US"/>
        </w:rPr>
        <w:t>Mighty Solutions CC t/a Orlando Service Station v Engen Petroleum Ltd</w:t>
      </w:r>
      <w:r>
        <w:rPr>
          <w:lang w:val="en-US"/>
        </w:rPr>
        <w:t xml:space="preserve"> [2015] ZACC 34 at para 38</w:t>
      </w:r>
    </w:p>
  </w:footnote>
  <w:footnote w:id="105">
    <w:p w14:paraId="2AEAAB94" w14:textId="77777777" w:rsidR="000C41EE" w:rsidRPr="008C0959" w:rsidRDefault="000C41EE" w:rsidP="000C41EE">
      <w:pPr>
        <w:pStyle w:val="FootnoteText"/>
        <w:rPr>
          <w:rFonts w:cs="Arial"/>
          <w:lang w:val="en-US"/>
        </w:rPr>
      </w:pPr>
      <w:r w:rsidRPr="008C0959">
        <w:rPr>
          <w:rStyle w:val="FootnoteReference"/>
          <w:rFonts w:cs="Arial"/>
        </w:rPr>
        <w:footnoteRef/>
      </w:r>
      <w:r w:rsidRPr="008C0959">
        <w:rPr>
          <w:rFonts w:cs="Arial"/>
        </w:rPr>
        <w:t xml:space="preserve"> </w:t>
      </w:r>
      <w:r w:rsidRPr="00D12F9D">
        <w:rPr>
          <w:rFonts w:ascii="Times New Roman" w:hAnsi="Times New Roman"/>
          <w:i/>
          <w:iCs/>
          <w:lang w:eastAsia="en-GB"/>
        </w:rPr>
        <w:t>BB v Road Accident Fund</w:t>
      </w:r>
      <w:r w:rsidRPr="00EB0E32">
        <w:rPr>
          <w:rFonts w:ascii="Times New Roman" w:hAnsi="Times New Roman"/>
          <w:lang w:eastAsia="en-GB"/>
        </w:rPr>
        <w:t xml:space="preserve"> (11676/2017) [2020] ZAWCHC 15 (28 February 2020)</w:t>
      </w:r>
      <w:r>
        <w:rPr>
          <w:rFonts w:ascii="Times New Roman" w:hAnsi="Times New Roman"/>
          <w:lang w:eastAsia="en-GB"/>
        </w:rPr>
        <w:t xml:space="preserve"> at para 23.</w:t>
      </w:r>
    </w:p>
  </w:footnote>
  <w:footnote w:id="106">
    <w:p w14:paraId="021DF10B" w14:textId="78C3173F" w:rsidR="00C878F1" w:rsidRPr="008C0959" w:rsidRDefault="00C878F1" w:rsidP="0094136D">
      <w:pPr>
        <w:pStyle w:val="FootnoteText"/>
        <w:rPr>
          <w:rFonts w:cs="Arial"/>
          <w:lang w:val="en-US"/>
        </w:rPr>
      </w:pPr>
      <w:r w:rsidRPr="008C0959">
        <w:rPr>
          <w:rStyle w:val="FootnoteReference"/>
          <w:rFonts w:cs="Arial"/>
          <w:i/>
        </w:rPr>
        <w:footnoteRef/>
      </w:r>
      <w:r w:rsidRPr="008C0959">
        <w:rPr>
          <w:rFonts w:cs="Arial"/>
        </w:rPr>
        <w:t xml:space="preserve"> </w:t>
      </w:r>
      <w:r w:rsidRPr="00AB2CE7">
        <w:rPr>
          <w:rFonts w:cs="Arial"/>
          <w:i/>
          <w:iCs/>
          <w:lang w:val="en-US"/>
        </w:rPr>
        <w:t>Du Plessis v Ackermann</w:t>
      </w:r>
      <w:r w:rsidRPr="008C0959">
        <w:rPr>
          <w:rFonts w:cs="Arial"/>
          <w:lang w:val="en-US"/>
        </w:rPr>
        <w:t xml:space="preserve"> 1932 EDL 139 at 143144; </w:t>
      </w:r>
      <w:r w:rsidRPr="00AB2CE7">
        <w:rPr>
          <w:rFonts w:cs="Arial"/>
          <w:i/>
          <w:iCs/>
          <w:lang w:val="en-US"/>
        </w:rPr>
        <w:t>Hladhla v President Insurance Co Ltd</w:t>
      </w:r>
      <w:r w:rsidRPr="008C0959">
        <w:rPr>
          <w:rFonts w:cs="Arial"/>
          <w:lang w:val="en-US"/>
        </w:rPr>
        <w:t xml:space="preserve"> 1965 (1) SA 614 (A) at </w:t>
      </w:r>
      <w:r w:rsidR="00AB2CE7">
        <w:rPr>
          <w:rFonts w:cs="Arial"/>
          <w:lang w:val="en-US"/>
        </w:rPr>
        <w:t>p.</w:t>
      </w:r>
      <w:r w:rsidRPr="008C0959">
        <w:rPr>
          <w:rFonts w:cs="Arial"/>
          <w:lang w:val="en-US"/>
        </w:rPr>
        <w:t>621B622A.</w:t>
      </w:r>
    </w:p>
  </w:footnote>
  <w:footnote w:id="107">
    <w:p w14:paraId="51B4D8C2" w14:textId="2FEA52F8" w:rsidR="00C878F1" w:rsidRPr="008C0959" w:rsidRDefault="00C878F1" w:rsidP="0094136D">
      <w:pPr>
        <w:pStyle w:val="FootnoteText"/>
        <w:rPr>
          <w:rFonts w:cs="Arial"/>
          <w:lang w:val="en-US"/>
        </w:rPr>
      </w:pPr>
      <w:r w:rsidRPr="008C0959">
        <w:rPr>
          <w:rStyle w:val="FootnoteReference"/>
          <w:rFonts w:cs="Arial"/>
        </w:rPr>
        <w:footnoteRef/>
      </w:r>
      <w:r w:rsidRPr="008C0959">
        <w:rPr>
          <w:rFonts w:cs="Arial"/>
        </w:rPr>
        <w:t xml:space="preserve"> </w:t>
      </w:r>
      <w:r w:rsidRPr="00D12F9D">
        <w:rPr>
          <w:rFonts w:cs="Arial"/>
          <w:i/>
          <w:iCs/>
          <w:lang w:val="en-US"/>
        </w:rPr>
        <w:t>Mlombo v Fourie</w:t>
      </w:r>
      <w:r w:rsidRPr="008C0959">
        <w:rPr>
          <w:rFonts w:cs="Arial"/>
          <w:lang w:val="en-US"/>
        </w:rPr>
        <w:t xml:space="preserve"> 1964 (3) SA 350 (T) at 357C</w:t>
      </w:r>
    </w:p>
  </w:footnote>
  <w:footnote w:id="108">
    <w:p w14:paraId="21EC794D" w14:textId="5AC5C206" w:rsidR="00C878F1" w:rsidRPr="008C0959" w:rsidRDefault="00C878F1" w:rsidP="0094136D">
      <w:pPr>
        <w:pStyle w:val="FootnoteText"/>
        <w:rPr>
          <w:rFonts w:cs="Arial"/>
          <w:lang w:val="en-US"/>
        </w:rPr>
      </w:pPr>
      <w:r w:rsidRPr="008C0959">
        <w:rPr>
          <w:rStyle w:val="FootnoteReference"/>
          <w:rFonts w:cs="Arial"/>
        </w:rPr>
        <w:footnoteRef/>
      </w:r>
      <w:r w:rsidRPr="008C0959">
        <w:rPr>
          <w:rFonts w:cs="Arial"/>
        </w:rPr>
        <w:t xml:space="preserve"> </w:t>
      </w:r>
      <w:r w:rsidRPr="00D12F9D">
        <w:rPr>
          <w:rFonts w:cs="Arial"/>
          <w:i/>
          <w:iCs/>
          <w:color w:val="242121"/>
          <w:lang w:eastAsia="en-GB"/>
        </w:rPr>
        <w:t>Mqolomba v RAF</w:t>
      </w:r>
      <w:r w:rsidRPr="008C0959">
        <w:rPr>
          <w:rFonts w:cs="Arial"/>
          <w:color w:val="242121"/>
          <w:lang w:eastAsia="en-GB"/>
        </w:rPr>
        <w:t xml:space="preserve"> [2002] 4 All SA 214 (Tk) at para 41</w:t>
      </w:r>
    </w:p>
  </w:footnote>
  <w:footnote w:id="109">
    <w:p w14:paraId="07F63BE5" w14:textId="0BF2F62C" w:rsidR="00C878F1" w:rsidRPr="003D31CE" w:rsidRDefault="00C878F1" w:rsidP="0094136D">
      <w:pPr>
        <w:pStyle w:val="FootnoteText"/>
        <w:rPr>
          <w:lang w:val="en-US"/>
        </w:rPr>
      </w:pPr>
      <w:r w:rsidRPr="008C0959">
        <w:rPr>
          <w:rStyle w:val="FootnoteReference"/>
          <w:rFonts w:cs="Arial"/>
        </w:rPr>
        <w:footnoteRef/>
      </w:r>
      <w:r w:rsidRPr="008C0959">
        <w:rPr>
          <w:rFonts w:cs="Arial"/>
        </w:rPr>
        <w:t xml:space="preserve"> </w:t>
      </w:r>
      <w:r w:rsidRPr="008C0959">
        <w:rPr>
          <w:rFonts w:cs="Arial"/>
          <w:lang w:val="en-US"/>
        </w:rPr>
        <w:t>Note: “Ms T Kekana” referred to in actuarial “Table 1” calculation</w:t>
      </w:r>
      <w:r w:rsidRPr="003D31CE">
        <w:rPr>
          <w:lang w:val="en-US"/>
        </w:rPr>
        <w:t xml:space="preserve"> is the Plaintiff.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E03"/>
    <w:multiLevelType w:val="hybridMultilevel"/>
    <w:tmpl w:val="C952F53A"/>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2325A0E"/>
    <w:multiLevelType w:val="hybridMultilevel"/>
    <w:tmpl w:val="218C65B6"/>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BA31216"/>
    <w:multiLevelType w:val="hybridMultilevel"/>
    <w:tmpl w:val="90A8EC3C"/>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816DCF"/>
    <w:multiLevelType w:val="hybridMultilevel"/>
    <w:tmpl w:val="EC58ADC2"/>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nsid w:val="118013BF"/>
    <w:multiLevelType w:val="hybridMultilevel"/>
    <w:tmpl w:val="661E0E42"/>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nsid w:val="1F2F039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45473B"/>
    <w:multiLevelType w:val="multilevel"/>
    <w:tmpl w:val="B8423E1C"/>
    <w:lvl w:ilvl="0">
      <w:start w:val="1"/>
      <w:numFmt w:val="decimal"/>
      <w:pStyle w:val="JudgmentNumbered"/>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nsid w:val="29196BE9"/>
    <w:multiLevelType w:val="multilevel"/>
    <w:tmpl w:val="2CE4ADE2"/>
    <w:lvl w:ilvl="0">
      <w:start w:val="1"/>
      <w:numFmt w:val="decimal"/>
      <w:lvlText w:val="%1."/>
      <w:lvlJc w:val="left"/>
      <w:pPr>
        <w:ind w:left="360" w:hanging="360"/>
      </w:pPr>
      <w:rPr>
        <w:rFonts w:ascii="Times New Roman" w:hAnsi="Times New Roman" w:cs="Times New Roman" w:hint="default"/>
        <w:b w:val="0"/>
        <w:bCs w:val="0"/>
        <w:i w:val="0"/>
        <w:i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5B5586"/>
    <w:multiLevelType w:val="hybridMultilevel"/>
    <w:tmpl w:val="D3B698AE"/>
    <w:lvl w:ilvl="0" w:tplc="1C090019">
      <w:start w:val="1"/>
      <w:numFmt w:val="lowerLetter"/>
      <w:lvlText w:val="%1."/>
      <w:lvlJc w:val="left"/>
      <w:pPr>
        <w:ind w:left="1290" w:hanging="360"/>
      </w:pPr>
    </w:lvl>
    <w:lvl w:ilvl="1" w:tplc="1C090019" w:tentative="1">
      <w:start w:val="1"/>
      <w:numFmt w:val="lowerLetter"/>
      <w:lvlText w:val="%2."/>
      <w:lvlJc w:val="left"/>
      <w:pPr>
        <w:ind w:left="2010" w:hanging="360"/>
      </w:pPr>
    </w:lvl>
    <w:lvl w:ilvl="2" w:tplc="1C09001B" w:tentative="1">
      <w:start w:val="1"/>
      <w:numFmt w:val="lowerRoman"/>
      <w:lvlText w:val="%3."/>
      <w:lvlJc w:val="right"/>
      <w:pPr>
        <w:ind w:left="2730" w:hanging="180"/>
      </w:pPr>
    </w:lvl>
    <w:lvl w:ilvl="3" w:tplc="1C09000F" w:tentative="1">
      <w:start w:val="1"/>
      <w:numFmt w:val="decimal"/>
      <w:lvlText w:val="%4."/>
      <w:lvlJc w:val="left"/>
      <w:pPr>
        <w:ind w:left="3450" w:hanging="360"/>
      </w:pPr>
    </w:lvl>
    <w:lvl w:ilvl="4" w:tplc="1C090019" w:tentative="1">
      <w:start w:val="1"/>
      <w:numFmt w:val="lowerLetter"/>
      <w:lvlText w:val="%5."/>
      <w:lvlJc w:val="left"/>
      <w:pPr>
        <w:ind w:left="4170" w:hanging="360"/>
      </w:pPr>
    </w:lvl>
    <w:lvl w:ilvl="5" w:tplc="1C09001B" w:tentative="1">
      <w:start w:val="1"/>
      <w:numFmt w:val="lowerRoman"/>
      <w:lvlText w:val="%6."/>
      <w:lvlJc w:val="right"/>
      <w:pPr>
        <w:ind w:left="4890" w:hanging="180"/>
      </w:pPr>
    </w:lvl>
    <w:lvl w:ilvl="6" w:tplc="1C09000F" w:tentative="1">
      <w:start w:val="1"/>
      <w:numFmt w:val="decimal"/>
      <w:lvlText w:val="%7."/>
      <w:lvlJc w:val="left"/>
      <w:pPr>
        <w:ind w:left="5610" w:hanging="360"/>
      </w:pPr>
    </w:lvl>
    <w:lvl w:ilvl="7" w:tplc="1C090019" w:tentative="1">
      <w:start w:val="1"/>
      <w:numFmt w:val="lowerLetter"/>
      <w:lvlText w:val="%8."/>
      <w:lvlJc w:val="left"/>
      <w:pPr>
        <w:ind w:left="6330" w:hanging="360"/>
      </w:pPr>
    </w:lvl>
    <w:lvl w:ilvl="8" w:tplc="1C09001B" w:tentative="1">
      <w:start w:val="1"/>
      <w:numFmt w:val="lowerRoman"/>
      <w:lvlText w:val="%9."/>
      <w:lvlJc w:val="right"/>
      <w:pPr>
        <w:ind w:left="7050" w:hanging="180"/>
      </w:pPr>
    </w:lvl>
  </w:abstractNum>
  <w:abstractNum w:abstractNumId="1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37847472"/>
    <w:multiLevelType w:val="hybridMultilevel"/>
    <w:tmpl w:val="EBFE143A"/>
    <w:lvl w:ilvl="0" w:tplc="FFFFFFFF">
      <w:start w:val="1"/>
      <w:numFmt w:val="decimal"/>
      <w:lvlText w:val="%1."/>
      <w:lvlJc w:val="left"/>
      <w:pPr>
        <w:ind w:left="786"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3A213DDB"/>
    <w:multiLevelType w:val="hybridMultilevel"/>
    <w:tmpl w:val="EBFE143A"/>
    <w:lvl w:ilvl="0" w:tplc="FFFFFFFF">
      <w:start w:val="1"/>
      <w:numFmt w:val="decimal"/>
      <w:lvlText w:val="%1."/>
      <w:lvlJc w:val="left"/>
      <w:pPr>
        <w:ind w:left="786"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53687A80"/>
    <w:multiLevelType w:val="multilevel"/>
    <w:tmpl w:val="A314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264459"/>
    <w:multiLevelType w:val="multilevel"/>
    <w:tmpl w:val="9E2A2886"/>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16">
    <w:nsid w:val="656C21D1"/>
    <w:multiLevelType w:val="hybridMultilevel"/>
    <w:tmpl w:val="657E2EAE"/>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69774358"/>
    <w:multiLevelType w:val="hybridMultilevel"/>
    <w:tmpl w:val="EBFE143A"/>
    <w:lvl w:ilvl="0" w:tplc="FFFFFFFF">
      <w:start w:val="1"/>
      <w:numFmt w:val="decimal"/>
      <w:lvlText w:val="%1."/>
      <w:lvlJc w:val="left"/>
      <w:pPr>
        <w:ind w:left="786" w:hanging="360"/>
      </w:pPr>
      <w:rPr>
        <w:rFonts w:ascii="Times New Roman" w:hAnsi="Times New Roman" w:cs="Times New Roman" w:hint="default"/>
        <w:b w:val="0"/>
        <w:bCs w:val="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6AFC0276"/>
    <w:multiLevelType w:val="hybridMultilevel"/>
    <w:tmpl w:val="5A0CE094"/>
    <w:lvl w:ilvl="0" w:tplc="3B0ED9E2">
      <w:start w:val="1"/>
      <w:numFmt w:val="upperLetter"/>
      <w:lvlText w:val="%1."/>
      <w:lvlJc w:val="left"/>
      <w:pPr>
        <w:ind w:left="720" w:hanging="360"/>
      </w:pPr>
      <w:rPr>
        <w:rFonts w:asciiTheme="minorHAnsi" w:hAnsiTheme="minorHAnsi" w:cstheme="minorHAns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3F1FC9"/>
    <w:multiLevelType w:val="hybridMultilevel"/>
    <w:tmpl w:val="44D8A73C"/>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nsid w:val="728E0F9D"/>
    <w:multiLevelType w:val="hybridMultilevel"/>
    <w:tmpl w:val="72189ECE"/>
    <w:lvl w:ilvl="0" w:tplc="65A28E7E">
      <w:start w:val="3"/>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7"/>
  </w:num>
  <w:num w:numId="5">
    <w:abstractNumId w:val="5"/>
  </w:num>
  <w:num w:numId="6">
    <w:abstractNumId w:val="0"/>
  </w:num>
  <w:num w:numId="7">
    <w:abstractNumId w:val="18"/>
  </w:num>
  <w:num w:numId="8">
    <w:abstractNumId w:val="14"/>
  </w:num>
  <w:num w:numId="9">
    <w:abstractNumId w:val="12"/>
  </w:num>
  <w:num w:numId="10">
    <w:abstractNumId w:val="17"/>
  </w:num>
  <w:num w:numId="11">
    <w:abstractNumId w:val="6"/>
  </w:num>
  <w:num w:numId="12">
    <w:abstractNumId w:val="11"/>
  </w:num>
  <w:num w:numId="13">
    <w:abstractNumId w:val="13"/>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9"/>
  </w:num>
  <w:num w:numId="19">
    <w:abstractNumId w:val="16"/>
  </w:num>
  <w:num w:numId="20">
    <w:abstractNumId w:val="1"/>
  </w:num>
  <w:num w:numId="21">
    <w:abstractNumId w:val="4"/>
  </w:num>
  <w:num w:numId="22">
    <w:abstractNumId w:val="3"/>
  </w:num>
  <w:num w:numId="23">
    <w:abstractNumId w:val="20"/>
  </w:num>
  <w:num w:numId="24">
    <w:abstractNumId w:val="7"/>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cwMjW2MDcyNTC2NDBQ0lEKTi0uzszPAykwrgUAVtSJOiwAAAA="/>
  </w:docVars>
  <w:rsids>
    <w:rsidRoot w:val="00EE5E65"/>
    <w:rsid w:val="00000C13"/>
    <w:rsid w:val="00001998"/>
    <w:rsid w:val="00001E01"/>
    <w:rsid w:val="000026CC"/>
    <w:rsid w:val="00002B88"/>
    <w:rsid w:val="00002FBF"/>
    <w:rsid w:val="00003688"/>
    <w:rsid w:val="00003941"/>
    <w:rsid w:val="00003DFB"/>
    <w:rsid w:val="00003F83"/>
    <w:rsid w:val="000043A5"/>
    <w:rsid w:val="0000532E"/>
    <w:rsid w:val="0000793F"/>
    <w:rsid w:val="000113E3"/>
    <w:rsid w:val="00011D57"/>
    <w:rsid w:val="000127DB"/>
    <w:rsid w:val="00014DDF"/>
    <w:rsid w:val="00014F7C"/>
    <w:rsid w:val="00017E96"/>
    <w:rsid w:val="00017FBC"/>
    <w:rsid w:val="00020D7B"/>
    <w:rsid w:val="000215CB"/>
    <w:rsid w:val="00022855"/>
    <w:rsid w:val="00022F3A"/>
    <w:rsid w:val="00023177"/>
    <w:rsid w:val="00023187"/>
    <w:rsid w:val="00023E05"/>
    <w:rsid w:val="00024086"/>
    <w:rsid w:val="000244D8"/>
    <w:rsid w:val="000246F8"/>
    <w:rsid w:val="00025381"/>
    <w:rsid w:val="00026421"/>
    <w:rsid w:val="00026927"/>
    <w:rsid w:val="00026B5F"/>
    <w:rsid w:val="00027113"/>
    <w:rsid w:val="000272A7"/>
    <w:rsid w:val="00027B6C"/>
    <w:rsid w:val="00027F05"/>
    <w:rsid w:val="000311EF"/>
    <w:rsid w:val="0003171D"/>
    <w:rsid w:val="00031DB2"/>
    <w:rsid w:val="00031E2A"/>
    <w:rsid w:val="000321FC"/>
    <w:rsid w:val="00033068"/>
    <w:rsid w:val="0003342E"/>
    <w:rsid w:val="000336AB"/>
    <w:rsid w:val="00035BFF"/>
    <w:rsid w:val="00036F43"/>
    <w:rsid w:val="0003763A"/>
    <w:rsid w:val="000379EA"/>
    <w:rsid w:val="0004022F"/>
    <w:rsid w:val="00040591"/>
    <w:rsid w:val="0004108B"/>
    <w:rsid w:val="000432FC"/>
    <w:rsid w:val="00043A69"/>
    <w:rsid w:val="00044BF6"/>
    <w:rsid w:val="00044C3B"/>
    <w:rsid w:val="00045C57"/>
    <w:rsid w:val="000463CB"/>
    <w:rsid w:val="00046491"/>
    <w:rsid w:val="000466A8"/>
    <w:rsid w:val="00046C60"/>
    <w:rsid w:val="0004726D"/>
    <w:rsid w:val="00047AB5"/>
    <w:rsid w:val="000520E3"/>
    <w:rsid w:val="0005300C"/>
    <w:rsid w:val="0005307D"/>
    <w:rsid w:val="000542A8"/>
    <w:rsid w:val="0005442A"/>
    <w:rsid w:val="00054A9B"/>
    <w:rsid w:val="00055961"/>
    <w:rsid w:val="00056F94"/>
    <w:rsid w:val="00057B99"/>
    <w:rsid w:val="00061FA0"/>
    <w:rsid w:val="000625C2"/>
    <w:rsid w:val="0006269A"/>
    <w:rsid w:val="00062854"/>
    <w:rsid w:val="00062EB3"/>
    <w:rsid w:val="00063FD5"/>
    <w:rsid w:val="00065877"/>
    <w:rsid w:val="00066323"/>
    <w:rsid w:val="000709DB"/>
    <w:rsid w:val="00070A60"/>
    <w:rsid w:val="000711B2"/>
    <w:rsid w:val="00071BE7"/>
    <w:rsid w:val="00071CC3"/>
    <w:rsid w:val="00071CFE"/>
    <w:rsid w:val="00072946"/>
    <w:rsid w:val="00072A1B"/>
    <w:rsid w:val="00072A5D"/>
    <w:rsid w:val="000738D5"/>
    <w:rsid w:val="000749EF"/>
    <w:rsid w:val="00074A3F"/>
    <w:rsid w:val="00074FF7"/>
    <w:rsid w:val="00075C9A"/>
    <w:rsid w:val="00075D88"/>
    <w:rsid w:val="000760BA"/>
    <w:rsid w:val="00076621"/>
    <w:rsid w:val="00076CCB"/>
    <w:rsid w:val="00076EA2"/>
    <w:rsid w:val="000800A0"/>
    <w:rsid w:val="0008022D"/>
    <w:rsid w:val="000820E5"/>
    <w:rsid w:val="00082AFE"/>
    <w:rsid w:val="00082B0C"/>
    <w:rsid w:val="00083022"/>
    <w:rsid w:val="000831E5"/>
    <w:rsid w:val="00083F2E"/>
    <w:rsid w:val="00084258"/>
    <w:rsid w:val="000845F4"/>
    <w:rsid w:val="000848DA"/>
    <w:rsid w:val="00084CF5"/>
    <w:rsid w:val="00085B0E"/>
    <w:rsid w:val="00085CFD"/>
    <w:rsid w:val="000860CB"/>
    <w:rsid w:val="0008615D"/>
    <w:rsid w:val="0009060C"/>
    <w:rsid w:val="00091E5D"/>
    <w:rsid w:val="0009219F"/>
    <w:rsid w:val="00092506"/>
    <w:rsid w:val="000935FE"/>
    <w:rsid w:val="00093BC1"/>
    <w:rsid w:val="00093D8E"/>
    <w:rsid w:val="00094237"/>
    <w:rsid w:val="0009439E"/>
    <w:rsid w:val="00094F07"/>
    <w:rsid w:val="0009517D"/>
    <w:rsid w:val="0009540E"/>
    <w:rsid w:val="00095996"/>
    <w:rsid w:val="00095C71"/>
    <w:rsid w:val="00096FAC"/>
    <w:rsid w:val="000970E7"/>
    <w:rsid w:val="00097230"/>
    <w:rsid w:val="0009739F"/>
    <w:rsid w:val="000974A0"/>
    <w:rsid w:val="00097950"/>
    <w:rsid w:val="000A1A25"/>
    <w:rsid w:val="000A1ADB"/>
    <w:rsid w:val="000A1E2B"/>
    <w:rsid w:val="000A2A76"/>
    <w:rsid w:val="000A305E"/>
    <w:rsid w:val="000A318B"/>
    <w:rsid w:val="000A3297"/>
    <w:rsid w:val="000A454C"/>
    <w:rsid w:val="000A4881"/>
    <w:rsid w:val="000A516D"/>
    <w:rsid w:val="000A571B"/>
    <w:rsid w:val="000A687E"/>
    <w:rsid w:val="000A6D41"/>
    <w:rsid w:val="000A6EDD"/>
    <w:rsid w:val="000A77D0"/>
    <w:rsid w:val="000A7B51"/>
    <w:rsid w:val="000B0014"/>
    <w:rsid w:val="000B0694"/>
    <w:rsid w:val="000B089E"/>
    <w:rsid w:val="000B0EE4"/>
    <w:rsid w:val="000B1F5C"/>
    <w:rsid w:val="000B2C4A"/>
    <w:rsid w:val="000B2CDC"/>
    <w:rsid w:val="000B2D2D"/>
    <w:rsid w:val="000B2FA5"/>
    <w:rsid w:val="000B31ED"/>
    <w:rsid w:val="000B3611"/>
    <w:rsid w:val="000B41DB"/>
    <w:rsid w:val="000B4A6B"/>
    <w:rsid w:val="000B562C"/>
    <w:rsid w:val="000B56FB"/>
    <w:rsid w:val="000B75F9"/>
    <w:rsid w:val="000B7877"/>
    <w:rsid w:val="000C009A"/>
    <w:rsid w:val="000C0E71"/>
    <w:rsid w:val="000C0F47"/>
    <w:rsid w:val="000C283D"/>
    <w:rsid w:val="000C3A97"/>
    <w:rsid w:val="000C3CE0"/>
    <w:rsid w:val="000C41EE"/>
    <w:rsid w:val="000C4278"/>
    <w:rsid w:val="000C45CD"/>
    <w:rsid w:val="000C72BA"/>
    <w:rsid w:val="000D027C"/>
    <w:rsid w:val="000D0E22"/>
    <w:rsid w:val="000D0E60"/>
    <w:rsid w:val="000D163F"/>
    <w:rsid w:val="000D1C2E"/>
    <w:rsid w:val="000D32BF"/>
    <w:rsid w:val="000D37AA"/>
    <w:rsid w:val="000D486B"/>
    <w:rsid w:val="000D4DDF"/>
    <w:rsid w:val="000D4FD4"/>
    <w:rsid w:val="000D5185"/>
    <w:rsid w:val="000D54A2"/>
    <w:rsid w:val="000D57E3"/>
    <w:rsid w:val="000D61EC"/>
    <w:rsid w:val="000D771E"/>
    <w:rsid w:val="000D7CE0"/>
    <w:rsid w:val="000E04FD"/>
    <w:rsid w:val="000E1D5C"/>
    <w:rsid w:val="000E4AEE"/>
    <w:rsid w:val="000E4B26"/>
    <w:rsid w:val="000E6959"/>
    <w:rsid w:val="000E6CD5"/>
    <w:rsid w:val="000F05FB"/>
    <w:rsid w:val="000F10BA"/>
    <w:rsid w:val="000F144A"/>
    <w:rsid w:val="000F1B51"/>
    <w:rsid w:val="000F235D"/>
    <w:rsid w:val="000F2C91"/>
    <w:rsid w:val="000F2E21"/>
    <w:rsid w:val="000F633F"/>
    <w:rsid w:val="000F7A3C"/>
    <w:rsid w:val="000F7E84"/>
    <w:rsid w:val="00100D08"/>
    <w:rsid w:val="00101A69"/>
    <w:rsid w:val="0010217F"/>
    <w:rsid w:val="00102FAB"/>
    <w:rsid w:val="0010304F"/>
    <w:rsid w:val="00103095"/>
    <w:rsid w:val="00103310"/>
    <w:rsid w:val="00103440"/>
    <w:rsid w:val="00103678"/>
    <w:rsid w:val="0010493A"/>
    <w:rsid w:val="00105E0E"/>
    <w:rsid w:val="00106F0F"/>
    <w:rsid w:val="00110EAA"/>
    <w:rsid w:val="001112D6"/>
    <w:rsid w:val="00111A66"/>
    <w:rsid w:val="00113CFC"/>
    <w:rsid w:val="001146C9"/>
    <w:rsid w:val="00114FE7"/>
    <w:rsid w:val="0011704B"/>
    <w:rsid w:val="0011709A"/>
    <w:rsid w:val="00117E3A"/>
    <w:rsid w:val="0012093D"/>
    <w:rsid w:val="00121706"/>
    <w:rsid w:val="00121F43"/>
    <w:rsid w:val="0012222E"/>
    <w:rsid w:val="00122BA8"/>
    <w:rsid w:val="001234A3"/>
    <w:rsid w:val="00124D4C"/>
    <w:rsid w:val="001255E1"/>
    <w:rsid w:val="00125721"/>
    <w:rsid w:val="00126353"/>
    <w:rsid w:val="00126970"/>
    <w:rsid w:val="0012721A"/>
    <w:rsid w:val="00127B93"/>
    <w:rsid w:val="00127BC9"/>
    <w:rsid w:val="00127E46"/>
    <w:rsid w:val="00130515"/>
    <w:rsid w:val="001308F2"/>
    <w:rsid w:val="001311B0"/>
    <w:rsid w:val="00132564"/>
    <w:rsid w:val="0013281C"/>
    <w:rsid w:val="00132DB6"/>
    <w:rsid w:val="001330DB"/>
    <w:rsid w:val="0013318B"/>
    <w:rsid w:val="00133386"/>
    <w:rsid w:val="001340C0"/>
    <w:rsid w:val="00134C95"/>
    <w:rsid w:val="00134CE1"/>
    <w:rsid w:val="00134CE2"/>
    <w:rsid w:val="00135992"/>
    <w:rsid w:val="00135AAB"/>
    <w:rsid w:val="00135B8C"/>
    <w:rsid w:val="00135F88"/>
    <w:rsid w:val="001374AC"/>
    <w:rsid w:val="0013753A"/>
    <w:rsid w:val="00137A1E"/>
    <w:rsid w:val="0014178F"/>
    <w:rsid w:val="001423AD"/>
    <w:rsid w:val="00142CCF"/>
    <w:rsid w:val="00142D1C"/>
    <w:rsid w:val="001430F5"/>
    <w:rsid w:val="0014319F"/>
    <w:rsid w:val="00143260"/>
    <w:rsid w:val="001432A5"/>
    <w:rsid w:val="001432A9"/>
    <w:rsid w:val="0014344E"/>
    <w:rsid w:val="00143CA2"/>
    <w:rsid w:val="00143FE2"/>
    <w:rsid w:val="0014503B"/>
    <w:rsid w:val="001452EA"/>
    <w:rsid w:val="001455CD"/>
    <w:rsid w:val="001468B4"/>
    <w:rsid w:val="00146956"/>
    <w:rsid w:val="00147172"/>
    <w:rsid w:val="001474F2"/>
    <w:rsid w:val="0015036F"/>
    <w:rsid w:val="00150E82"/>
    <w:rsid w:val="00150F1C"/>
    <w:rsid w:val="001511AB"/>
    <w:rsid w:val="00152B8F"/>
    <w:rsid w:val="00152C74"/>
    <w:rsid w:val="0015380C"/>
    <w:rsid w:val="00153930"/>
    <w:rsid w:val="00154362"/>
    <w:rsid w:val="00155868"/>
    <w:rsid w:val="00155C94"/>
    <w:rsid w:val="00155E19"/>
    <w:rsid w:val="00156777"/>
    <w:rsid w:val="00156F9C"/>
    <w:rsid w:val="0015779C"/>
    <w:rsid w:val="00157A0C"/>
    <w:rsid w:val="00160347"/>
    <w:rsid w:val="001603C5"/>
    <w:rsid w:val="001608B0"/>
    <w:rsid w:val="00160F82"/>
    <w:rsid w:val="001611B2"/>
    <w:rsid w:val="001629BC"/>
    <w:rsid w:val="0016349C"/>
    <w:rsid w:val="001638E6"/>
    <w:rsid w:val="00164504"/>
    <w:rsid w:val="0016550C"/>
    <w:rsid w:val="00165AC8"/>
    <w:rsid w:val="001666C7"/>
    <w:rsid w:val="0017082D"/>
    <w:rsid w:val="001713C5"/>
    <w:rsid w:val="00171FBF"/>
    <w:rsid w:val="00172089"/>
    <w:rsid w:val="00172CD1"/>
    <w:rsid w:val="00173C56"/>
    <w:rsid w:val="00174A55"/>
    <w:rsid w:val="001754E8"/>
    <w:rsid w:val="00175AC8"/>
    <w:rsid w:val="00175F2F"/>
    <w:rsid w:val="00176455"/>
    <w:rsid w:val="00180D16"/>
    <w:rsid w:val="0018103E"/>
    <w:rsid w:val="00181070"/>
    <w:rsid w:val="001813CB"/>
    <w:rsid w:val="001814C5"/>
    <w:rsid w:val="001818F9"/>
    <w:rsid w:val="0018192D"/>
    <w:rsid w:val="00182855"/>
    <w:rsid w:val="00182AEC"/>
    <w:rsid w:val="00182E94"/>
    <w:rsid w:val="00183264"/>
    <w:rsid w:val="001854F6"/>
    <w:rsid w:val="00190294"/>
    <w:rsid w:val="001905AA"/>
    <w:rsid w:val="00190A9E"/>
    <w:rsid w:val="00191B50"/>
    <w:rsid w:val="00191CF7"/>
    <w:rsid w:val="001931D1"/>
    <w:rsid w:val="0019337C"/>
    <w:rsid w:val="00193B3A"/>
    <w:rsid w:val="00194190"/>
    <w:rsid w:val="00194DAE"/>
    <w:rsid w:val="0019536C"/>
    <w:rsid w:val="00197654"/>
    <w:rsid w:val="00197A25"/>
    <w:rsid w:val="00197A9C"/>
    <w:rsid w:val="001A105A"/>
    <w:rsid w:val="001A110C"/>
    <w:rsid w:val="001A1675"/>
    <w:rsid w:val="001A1993"/>
    <w:rsid w:val="001A2304"/>
    <w:rsid w:val="001A2DC7"/>
    <w:rsid w:val="001A43B4"/>
    <w:rsid w:val="001A56C6"/>
    <w:rsid w:val="001A5FFE"/>
    <w:rsid w:val="001A6223"/>
    <w:rsid w:val="001A6809"/>
    <w:rsid w:val="001A75FF"/>
    <w:rsid w:val="001B1224"/>
    <w:rsid w:val="001B12FD"/>
    <w:rsid w:val="001B1932"/>
    <w:rsid w:val="001B2CB2"/>
    <w:rsid w:val="001B3031"/>
    <w:rsid w:val="001B3050"/>
    <w:rsid w:val="001B371B"/>
    <w:rsid w:val="001B39CB"/>
    <w:rsid w:val="001B3EB7"/>
    <w:rsid w:val="001B4E8B"/>
    <w:rsid w:val="001B4F97"/>
    <w:rsid w:val="001B57E7"/>
    <w:rsid w:val="001B5FF4"/>
    <w:rsid w:val="001B7345"/>
    <w:rsid w:val="001B7878"/>
    <w:rsid w:val="001C0AE1"/>
    <w:rsid w:val="001C121C"/>
    <w:rsid w:val="001C13CB"/>
    <w:rsid w:val="001C1971"/>
    <w:rsid w:val="001C1C33"/>
    <w:rsid w:val="001C228A"/>
    <w:rsid w:val="001C25FC"/>
    <w:rsid w:val="001C2F25"/>
    <w:rsid w:val="001C3576"/>
    <w:rsid w:val="001C4550"/>
    <w:rsid w:val="001C4B00"/>
    <w:rsid w:val="001C5015"/>
    <w:rsid w:val="001C5042"/>
    <w:rsid w:val="001C51AB"/>
    <w:rsid w:val="001C5FDB"/>
    <w:rsid w:val="001C6172"/>
    <w:rsid w:val="001C77D1"/>
    <w:rsid w:val="001D004A"/>
    <w:rsid w:val="001D03CA"/>
    <w:rsid w:val="001D0A07"/>
    <w:rsid w:val="001D0C8B"/>
    <w:rsid w:val="001D0F27"/>
    <w:rsid w:val="001D14A6"/>
    <w:rsid w:val="001D202F"/>
    <w:rsid w:val="001D2316"/>
    <w:rsid w:val="001D3366"/>
    <w:rsid w:val="001D3B7A"/>
    <w:rsid w:val="001D5C6F"/>
    <w:rsid w:val="001D63A7"/>
    <w:rsid w:val="001D778D"/>
    <w:rsid w:val="001D7A82"/>
    <w:rsid w:val="001E07F2"/>
    <w:rsid w:val="001E17DF"/>
    <w:rsid w:val="001E1BC0"/>
    <w:rsid w:val="001E28B8"/>
    <w:rsid w:val="001E361D"/>
    <w:rsid w:val="001E4225"/>
    <w:rsid w:val="001E43EB"/>
    <w:rsid w:val="001E66BD"/>
    <w:rsid w:val="001E7107"/>
    <w:rsid w:val="001F001E"/>
    <w:rsid w:val="001F08E5"/>
    <w:rsid w:val="001F1029"/>
    <w:rsid w:val="001F10B6"/>
    <w:rsid w:val="001F19A5"/>
    <w:rsid w:val="001F1CFE"/>
    <w:rsid w:val="001F319E"/>
    <w:rsid w:val="001F336C"/>
    <w:rsid w:val="001F3563"/>
    <w:rsid w:val="001F547C"/>
    <w:rsid w:val="001F5E75"/>
    <w:rsid w:val="001F6023"/>
    <w:rsid w:val="001F6CA2"/>
    <w:rsid w:val="001F6F2C"/>
    <w:rsid w:val="001F7975"/>
    <w:rsid w:val="001F7C6B"/>
    <w:rsid w:val="002003B3"/>
    <w:rsid w:val="002022F2"/>
    <w:rsid w:val="00202360"/>
    <w:rsid w:val="00202EC5"/>
    <w:rsid w:val="00203894"/>
    <w:rsid w:val="00204052"/>
    <w:rsid w:val="00204B12"/>
    <w:rsid w:val="002068FB"/>
    <w:rsid w:val="00207677"/>
    <w:rsid w:val="002113B8"/>
    <w:rsid w:val="002120F0"/>
    <w:rsid w:val="0021260C"/>
    <w:rsid w:val="00213F13"/>
    <w:rsid w:val="00214D31"/>
    <w:rsid w:val="00214EDD"/>
    <w:rsid w:val="00216DD5"/>
    <w:rsid w:val="00217180"/>
    <w:rsid w:val="00217706"/>
    <w:rsid w:val="002179A0"/>
    <w:rsid w:val="002179EF"/>
    <w:rsid w:val="00220AF7"/>
    <w:rsid w:val="00220BA3"/>
    <w:rsid w:val="002211C0"/>
    <w:rsid w:val="0022240A"/>
    <w:rsid w:val="00222EC3"/>
    <w:rsid w:val="0022430B"/>
    <w:rsid w:val="00225918"/>
    <w:rsid w:val="00227C24"/>
    <w:rsid w:val="002305B4"/>
    <w:rsid w:val="00230963"/>
    <w:rsid w:val="00230DF0"/>
    <w:rsid w:val="002314D3"/>
    <w:rsid w:val="00231896"/>
    <w:rsid w:val="00232303"/>
    <w:rsid w:val="002324A6"/>
    <w:rsid w:val="0023326A"/>
    <w:rsid w:val="00233B0E"/>
    <w:rsid w:val="00234564"/>
    <w:rsid w:val="00234607"/>
    <w:rsid w:val="0023518A"/>
    <w:rsid w:val="00235D12"/>
    <w:rsid w:val="00235FE7"/>
    <w:rsid w:val="00236098"/>
    <w:rsid w:val="002405D1"/>
    <w:rsid w:val="002436C7"/>
    <w:rsid w:val="00243FD5"/>
    <w:rsid w:val="00244477"/>
    <w:rsid w:val="00244662"/>
    <w:rsid w:val="00244688"/>
    <w:rsid w:val="0024675D"/>
    <w:rsid w:val="00246AD9"/>
    <w:rsid w:val="00246F6F"/>
    <w:rsid w:val="00247409"/>
    <w:rsid w:val="00247B5C"/>
    <w:rsid w:val="00250C61"/>
    <w:rsid w:val="00250EF0"/>
    <w:rsid w:val="00251441"/>
    <w:rsid w:val="002549BB"/>
    <w:rsid w:val="00255075"/>
    <w:rsid w:val="002553AF"/>
    <w:rsid w:val="002556EE"/>
    <w:rsid w:val="00257CB3"/>
    <w:rsid w:val="002601B9"/>
    <w:rsid w:val="00261633"/>
    <w:rsid w:val="00261821"/>
    <w:rsid w:val="00261934"/>
    <w:rsid w:val="00261A2A"/>
    <w:rsid w:val="00262960"/>
    <w:rsid w:val="00263765"/>
    <w:rsid w:val="002651EB"/>
    <w:rsid w:val="00265DEB"/>
    <w:rsid w:val="00266BE5"/>
    <w:rsid w:val="00266DC2"/>
    <w:rsid w:val="00267B99"/>
    <w:rsid w:val="00270CB7"/>
    <w:rsid w:val="002710A3"/>
    <w:rsid w:val="00271D3C"/>
    <w:rsid w:val="00271F66"/>
    <w:rsid w:val="00271FCD"/>
    <w:rsid w:val="00272BC5"/>
    <w:rsid w:val="00273638"/>
    <w:rsid w:val="0027372C"/>
    <w:rsid w:val="002749BF"/>
    <w:rsid w:val="0027613B"/>
    <w:rsid w:val="00276B1E"/>
    <w:rsid w:val="00276F36"/>
    <w:rsid w:val="00280239"/>
    <w:rsid w:val="00280622"/>
    <w:rsid w:val="00281467"/>
    <w:rsid w:val="0028185E"/>
    <w:rsid w:val="00281896"/>
    <w:rsid w:val="00282133"/>
    <w:rsid w:val="00282B71"/>
    <w:rsid w:val="00282E6B"/>
    <w:rsid w:val="0028473D"/>
    <w:rsid w:val="00285245"/>
    <w:rsid w:val="002858CD"/>
    <w:rsid w:val="00285F9A"/>
    <w:rsid w:val="00286CD2"/>
    <w:rsid w:val="0028701A"/>
    <w:rsid w:val="002876FF"/>
    <w:rsid w:val="00287B36"/>
    <w:rsid w:val="00290828"/>
    <w:rsid w:val="0029121A"/>
    <w:rsid w:val="002918F5"/>
    <w:rsid w:val="00292DA1"/>
    <w:rsid w:val="002933F6"/>
    <w:rsid w:val="0029360D"/>
    <w:rsid w:val="002939A3"/>
    <w:rsid w:val="00293AF3"/>
    <w:rsid w:val="00294770"/>
    <w:rsid w:val="00294BC2"/>
    <w:rsid w:val="002950AD"/>
    <w:rsid w:val="00296586"/>
    <w:rsid w:val="00296961"/>
    <w:rsid w:val="00296EE9"/>
    <w:rsid w:val="00297766"/>
    <w:rsid w:val="00297C74"/>
    <w:rsid w:val="00297EC1"/>
    <w:rsid w:val="002A056A"/>
    <w:rsid w:val="002A1F2D"/>
    <w:rsid w:val="002A225B"/>
    <w:rsid w:val="002A2DEA"/>
    <w:rsid w:val="002A4241"/>
    <w:rsid w:val="002A4312"/>
    <w:rsid w:val="002A453C"/>
    <w:rsid w:val="002A6A4E"/>
    <w:rsid w:val="002A717F"/>
    <w:rsid w:val="002A7408"/>
    <w:rsid w:val="002B07F8"/>
    <w:rsid w:val="002B09A5"/>
    <w:rsid w:val="002B11D3"/>
    <w:rsid w:val="002B20CF"/>
    <w:rsid w:val="002B22A9"/>
    <w:rsid w:val="002B3929"/>
    <w:rsid w:val="002B4029"/>
    <w:rsid w:val="002B418C"/>
    <w:rsid w:val="002B448C"/>
    <w:rsid w:val="002B4D16"/>
    <w:rsid w:val="002B67B2"/>
    <w:rsid w:val="002B6CEE"/>
    <w:rsid w:val="002B7A7C"/>
    <w:rsid w:val="002C000D"/>
    <w:rsid w:val="002C09BC"/>
    <w:rsid w:val="002C17F9"/>
    <w:rsid w:val="002C18EE"/>
    <w:rsid w:val="002C2095"/>
    <w:rsid w:val="002C3211"/>
    <w:rsid w:val="002C3C9D"/>
    <w:rsid w:val="002C4A83"/>
    <w:rsid w:val="002C4C8F"/>
    <w:rsid w:val="002C4EFE"/>
    <w:rsid w:val="002C5C29"/>
    <w:rsid w:val="002C6A45"/>
    <w:rsid w:val="002C7FB7"/>
    <w:rsid w:val="002D0955"/>
    <w:rsid w:val="002D1439"/>
    <w:rsid w:val="002D1686"/>
    <w:rsid w:val="002D2D34"/>
    <w:rsid w:val="002D2EF4"/>
    <w:rsid w:val="002D5D4F"/>
    <w:rsid w:val="002D6FDA"/>
    <w:rsid w:val="002D740A"/>
    <w:rsid w:val="002D7ABB"/>
    <w:rsid w:val="002E0204"/>
    <w:rsid w:val="002E03E4"/>
    <w:rsid w:val="002E09EC"/>
    <w:rsid w:val="002E0B21"/>
    <w:rsid w:val="002E0EC4"/>
    <w:rsid w:val="002E197C"/>
    <w:rsid w:val="002E1A4C"/>
    <w:rsid w:val="002E2412"/>
    <w:rsid w:val="002E24BF"/>
    <w:rsid w:val="002E288C"/>
    <w:rsid w:val="002E2D6C"/>
    <w:rsid w:val="002E36CD"/>
    <w:rsid w:val="002E419C"/>
    <w:rsid w:val="002E4C28"/>
    <w:rsid w:val="002E4DB6"/>
    <w:rsid w:val="002E50D8"/>
    <w:rsid w:val="002E59B0"/>
    <w:rsid w:val="002E70CF"/>
    <w:rsid w:val="002E7CBE"/>
    <w:rsid w:val="002F0FE5"/>
    <w:rsid w:val="002F230B"/>
    <w:rsid w:val="002F2454"/>
    <w:rsid w:val="002F2637"/>
    <w:rsid w:val="002F306E"/>
    <w:rsid w:val="002F4234"/>
    <w:rsid w:val="002F483D"/>
    <w:rsid w:val="002F51BE"/>
    <w:rsid w:val="002F5B75"/>
    <w:rsid w:val="002F5C9B"/>
    <w:rsid w:val="002F5F1C"/>
    <w:rsid w:val="002F5FC7"/>
    <w:rsid w:val="002F6477"/>
    <w:rsid w:val="002F6561"/>
    <w:rsid w:val="002F7D13"/>
    <w:rsid w:val="00300B22"/>
    <w:rsid w:val="00300C3E"/>
    <w:rsid w:val="00301972"/>
    <w:rsid w:val="00302673"/>
    <w:rsid w:val="00303083"/>
    <w:rsid w:val="0030320D"/>
    <w:rsid w:val="0030548C"/>
    <w:rsid w:val="00306556"/>
    <w:rsid w:val="003069FB"/>
    <w:rsid w:val="003075EF"/>
    <w:rsid w:val="00307DB7"/>
    <w:rsid w:val="003102FA"/>
    <w:rsid w:val="00310DCB"/>
    <w:rsid w:val="00310DEB"/>
    <w:rsid w:val="0031129B"/>
    <w:rsid w:val="00312C93"/>
    <w:rsid w:val="00312EA7"/>
    <w:rsid w:val="0031314D"/>
    <w:rsid w:val="003134C3"/>
    <w:rsid w:val="00313641"/>
    <w:rsid w:val="00313679"/>
    <w:rsid w:val="00313686"/>
    <w:rsid w:val="00314480"/>
    <w:rsid w:val="00314BA5"/>
    <w:rsid w:val="00314F6C"/>
    <w:rsid w:val="00315617"/>
    <w:rsid w:val="00316204"/>
    <w:rsid w:val="00317933"/>
    <w:rsid w:val="00320660"/>
    <w:rsid w:val="00320881"/>
    <w:rsid w:val="00320D31"/>
    <w:rsid w:val="00321351"/>
    <w:rsid w:val="00323377"/>
    <w:rsid w:val="0032492A"/>
    <w:rsid w:val="003254B0"/>
    <w:rsid w:val="00325862"/>
    <w:rsid w:val="00325F54"/>
    <w:rsid w:val="0032644E"/>
    <w:rsid w:val="0032762F"/>
    <w:rsid w:val="00327B50"/>
    <w:rsid w:val="00327FA3"/>
    <w:rsid w:val="00330140"/>
    <w:rsid w:val="003303B4"/>
    <w:rsid w:val="00330D05"/>
    <w:rsid w:val="003317E8"/>
    <w:rsid w:val="00332987"/>
    <w:rsid w:val="003332BF"/>
    <w:rsid w:val="0033485F"/>
    <w:rsid w:val="00335AC7"/>
    <w:rsid w:val="0033768D"/>
    <w:rsid w:val="003403C0"/>
    <w:rsid w:val="00340F2B"/>
    <w:rsid w:val="00343BCB"/>
    <w:rsid w:val="00344FC1"/>
    <w:rsid w:val="0034507F"/>
    <w:rsid w:val="00345C74"/>
    <w:rsid w:val="00346648"/>
    <w:rsid w:val="0034673A"/>
    <w:rsid w:val="0034741F"/>
    <w:rsid w:val="00350C69"/>
    <w:rsid w:val="00351892"/>
    <w:rsid w:val="00353CBC"/>
    <w:rsid w:val="0035479D"/>
    <w:rsid w:val="003547F2"/>
    <w:rsid w:val="00354899"/>
    <w:rsid w:val="00354DAA"/>
    <w:rsid w:val="003572BF"/>
    <w:rsid w:val="00357463"/>
    <w:rsid w:val="00357927"/>
    <w:rsid w:val="00357E49"/>
    <w:rsid w:val="00357FDA"/>
    <w:rsid w:val="00361914"/>
    <w:rsid w:val="003619C0"/>
    <w:rsid w:val="00362227"/>
    <w:rsid w:val="0036268D"/>
    <w:rsid w:val="0036390F"/>
    <w:rsid w:val="003646E2"/>
    <w:rsid w:val="0036579D"/>
    <w:rsid w:val="0036593B"/>
    <w:rsid w:val="003666F2"/>
    <w:rsid w:val="00367313"/>
    <w:rsid w:val="003673B7"/>
    <w:rsid w:val="00367D39"/>
    <w:rsid w:val="00367DC8"/>
    <w:rsid w:val="00367F71"/>
    <w:rsid w:val="00370524"/>
    <w:rsid w:val="00370F5E"/>
    <w:rsid w:val="0037121F"/>
    <w:rsid w:val="00371704"/>
    <w:rsid w:val="00372953"/>
    <w:rsid w:val="00372E06"/>
    <w:rsid w:val="00373031"/>
    <w:rsid w:val="00373772"/>
    <w:rsid w:val="00373BB7"/>
    <w:rsid w:val="00373D89"/>
    <w:rsid w:val="003754C9"/>
    <w:rsid w:val="003755D9"/>
    <w:rsid w:val="003779C9"/>
    <w:rsid w:val="00377D4C"/>
    <w:rsid w:val="0038065E"/>
    <w:rsid w:val="00380832"/>
    <w:rsid w:val="00380ACB"/>
    <w:rsid w:val="003817E2"/>
    <w:rsid w:val="00381819"/>
    <w:rsid w:val="0038224D"/>
    <w:rsid w:val="00383472"/>
    <w:rsid w:val="003838F4"/>
    <w:rsid w:val="00384E90"/>
    <w:rsid w:val="00386558"/>
    <w:rsid w:val="00387402"/>
    <w:rsid w:val="003901C5"/>
    <w:rsid w:val="003914CC"/>
    <w:rsid w:val="00391CF1"/>
    <w:rsid w:val="003927E3"/>
    <w:rsid w:val="00392820"/>
    <w:rsid w:val="00392AE0"/>
    <w:rsid w:val="003933BF"/>
    <w:rsid w:val="003940E3"/>
    <w:rsid w:val="003941D2"/>
    <w:rsid w:val="00394F49"/>
    <w:rsid w:val="003958BC"/>
    <w:rsid w:val="00396547"/>
    <w:rsid w:val="00396841"/>
    <w:rsid w:val="00396A42"/>
    <w:rsid w:val="00396CCB"/>
    <w:rsid w:val="00397F58"/>
    <w:rsid w:val="003A008F"/>
    <w:rsid w:val="003A0D5C"/>
    <w:rsid w:val="003A139E"/>
    <w:rsid w:val="003A19BE"/>
    <w:rsid w:val="003A1F03"/>
    <w:rsid w:val="003A2A02"/>
    <w:rsid w:val="003A35A0"/>
    <w:rsid w:val="003A4A5A"/>
    <w:rsid w:val="003A4E06"/>
    <w:rsid w:val="003A501F"/>
    <w:rsid w:val="003A5A3E"/>
    <w:rsid w:val="003A5B2E"/>
    <w:rsid w:val="003A5C30"/>
    <w:rsid w:val="003A6356"/>
    <w:rsid w:val="003A72D9"/>
    <w:rsid w:val="003B0BEA"/>
    <w:rsid w:val="003B1152"/>
    <w:rsid w:val="003B241A"/>
    <w:rsid w:val="003B2E4B"/>
    <w:rsid w:val="003B3A40"/>
    <w:rsid w:val="003B3F1C"/>
    <w:rsid w:val="003B43C7"/>
    <w:rsid w:val="003B4896"/>
    <w:rsid w:val="003B4F21"/>
    <w:rsid w:val="003B61FD"/>
    <w:rsid w:val="003B663C"/>
    <w:rsid w:val="003B6724"/>
    <w:rsid w:val="003B6E90"/>
    <w:rsid w:val="003B70EA"/>
    <w:rsid w:val="003C1180"/>
    <w:rsid w:val="003C1BDA"/>
    <w:rsid w:val="003C231A"/>
    <w:rsid w:val="003C2399"/>
    <w:rsid w:val="003C29F6"/>
    <w:rsid w:val="003C3811"/>
    <w:rsid w:val="003C429D"/>
    <w:rsid w:val="003C46F1"/>
    <w:rsid w:val="003C47C0"/>
    <w:rsid w:val="003C4ECA"/>
    <w:rsid w:val="003C5A36"/>
    <w:rsid w:val="003C5A60"/>
    <w:rsid w:val="003C5B24"/>
    <w:rsid w:val="003C6110"/>
    <w:rsid w:val="003C6A81"/>
    <w:rsid w:val="003C6AA8"/>
    <w:rsid w:val="003C6DA7"/>
    <w:rsid w:val="003D13A7"/>
    <w:rsid w:val="003D3050"/>
    <w:rsid w:val="003D31CE"/>
    <w:rsid w:val="003D3663"/>
    <w:rsid w:val="003D4544"/>
    <w:rsid w:val="003D6325"/>
    <w:rsid w:val="003D7F86"/>
    <w:rsid w:val="003E0B61"/>
    <w:rsid w:val="003E0DC7"/>
    <w:rsid w:val="003E1E8A"/>
    <w:rsid w:val="003E239F"/>
    <w:rsid w:val="003E274E"/>
    <w:rsid w:val="003E3FF7"/>
    <w:rsid w:val="003E4D84"/>
    <w:rsid w:val="003E5CDD"/>
    <w:rsid w:val="003E6039"/>
    <w:rsid w:val="003E6485"/>
    <w:rsid w:val="003E6FBF"/>
    <w:rsid w:val="003E7EF4"/>
    <w:rsid w:val="003F0AAE"/>
    <w:rsid w:val="003F0F60"/>
    <w:rsid w:val="003F2301"/>
    <w:rsid w:val="003F250B"/>
    <w:rsid w:val="003F2955"/>
    <w:rsid w:val="003F3302"/>
    <w:rsid w:val="003F505B"/>
    <w:rsid w:val="003F5A0D"/>
    <w:rsid w:val="003F5BD3"/>
    <w:rsid w:val="003F5F65"/>
    <w:rsid w:val="003F65F5"/>
    <w:rsid w:val="003F7373"/>
    <w:rsid w:val="004017E8"/>
    <w:rsid w:val="00401E50"/>
    <w:rsid w:val="00402EEC"/>
    <w:rsid w:val="00404820"/>
    <w:rsid w:val="00405DBB"/>
    <w:rsid w:val="0040693B"/>
    <w:rsid w:val="00406A4E"/>
    <w:rsid w:val="00406BAD"/>
    <w:rsid w:val="00406E3F"/>
    <w:rsid w:val="00407195"/>
    <w:rsid w:val="004073F4"/>
    <w:rsid w:val="00412359"/>
    <w:rsid w:val="00412B52"/>
    <w:rsid w:val="00412EF4"/>
    <w:rsid w:val="00413CBC"/>
    <w:rsid w:val="0041428E"/>
    <w:rsid w:val="00414880"/>
    <w:rsid w:val="00414896"/>
    <w:rsid w:val="004148E6"/>
    <w:rsid w:val="00414C5A"/>
    <w:rsid w:val="00415CEE"/>
    <w:rsid w:val="0041705D"/>
    <w:rsid w:val="004219FA"/>
    <w:rsid w:val="00421A85"/>
    <w:rsid w:val="00421F8F"/>
    <w:rsid w:val="00422328"/>
    <w:rsid w:val="00422AA4"/>
    <w:rsid w:val="00423DCE"/>
    <w:rsid w:val="0042593E"/>
    <w:rsid w:val="00426EAA"/>
    <w:rsid w:val="00426F3D"/>
    <w:rsid w:val="0042797F"/>
    <w:rsid w:val="00430379"/>
    <w:rsid w:val="00430A96"/>
    <w:rsid w:val="00430C40"/>
    <w:rsid w:val="00431E29"/>
    <w:rsid w:val="0043286A"/>
    <w:rsid w:val="00432B93"/>
    <w:rsid w:val="00432F33"/>
    <w:rsid w:val="00433552"/>
    <w:rsid w:val="00433ABE"/>
    <w:rsid w:val="004340EF"/>
    <w:rsid w:val="00434194"/>
    <w:rsid w:val="00434504"/>
    <w:rsid w:val="0043463D"/>
    <w:rsid w:val="004346B4"/>
    <w:rsid w:val="00434F77"/>
    <w:rsid w:val="00436792"/>
    <w:rsid w:val="00437169"/>
    <w:rsid w:val="00440160"/>
    <w:rsid w:val="00440524"/>
    <w:rsid w:val="00443304"/>
    <w:rsid w:val="00444C79"/>
    <w:rsid w:val="004456CB"/>
    <w:rsid w:val="00445E6C"/>
    <w:rsid w:val="004463C9"/>
    <w:rsid w:val="00446C47"/>
    <w:rsid w:val="00446F46"/>
    <w:rsid w:val="004473D0"/>
    <w:rsid w:val="0044744E"/>
    <w:rsid w:val="004474D3"/>
    <w:rsid w:val="00447CCF"/>
    <w:rsid w:val="004501F9"/>
    <w:rsid w:val="0045029D"/>
    <w:rsid w:val="0045168D"/>
    <w:rsid w:val="004518EF"/>
    <w:rsid w:val="004519B1"/>
    <w:rsid w:val="00452474"/>
    <w:rsid w:val="00452C59"/>
    <w:rsid w:val="004536B7"/>
    <w:rsid w:val="004546AE"/>
    <w:rsid w:val="004547F2"/>
    <w:rsid w:val="00455ABB"/>
    <w:rsid w:val="00456A93"/>
    <w:rsid w:val="0045710F"/>
    <w:rsid w:val="004613ED"/>
    <w:rsid w:val="00463075"/>
    <w:rsid w:val="0046452B"/>
    <w:rsid w:val="00464AD1"/>
    <w:rsid w:val="0046561B"/>
    <w:rsid w:val="0046661C"/>
    <w:rsid w:val="004666F5"/>
    <w:rsid w:val="004678AD"/>
    <w:rsid w:val="00467E15"/>
    <w:rsid w:val="00470074"/>
    <w:rsid w:val="00471E76"/>
    <w:rsid w:val="0047278E"/>
    <w:rsid w:val="00472B13"/>
    <w:rsid w:val="00473353"/>
    <w:rsid w:val="0047355B"/>
    <w:rsid w:val="00475B89"/>
    <w:rsid w:val="00476A40"/>
    <w:rsid w:val="00476AF1"/>
    <w:rsid w:val="00480349"/>
    <w:rsid w:val="00481393"/>
    <w:rsid w:val="00483F6A"/>
    <w:rsid w:val="00484947"/>
    <w:rsid w:val="0048534F"/>
    <w:rsid w:val="00485733"/>
    <w:rsid w:val="0048586C"/>
    <w:rsid w:val="00485A3D"/>
    <w:rsid w:val="00485A7A"/>
    <w:rsid w:val="00486173"/>
    <w:rsid w:val="00486FBC"/>
    <w:rsid w:val="004873FB"/>
    <w:rsid w:val="004910CF"/>
    <w:rsid w:val="004913B2"/>
    <w:rsid w:val="00492322"/>
    <w:rsid w:val="0049320A"/>
    <w:rsid w:val="004932C9"/>
    <w:rsid w:val="004934E7"/>
    <w:rsid w:val="00493649"/>
    <w:rsid w:val="00494D53"/>
    <w:rsid w:val="00495EA8"/>
    <w:rsid w:val="0049649F"/>
    <w:rsid w:val="004A06A1"/>
    <w:rsid w:val="004A171A"/>
    <w:rsid w:val="004A2109"/>
    <w:rsid w:val="004A26ED"/>
    <w:rsid w:val="004A39C3"/>
    <w:rsid w:val="004A3AD6"/>
    <w:rsid w:val="004A4780"/>
    <w:rsid w:val="004A50EB"/>
    <w:rsid w:val="004A537E"/>
    <w:rsid w:val="004A72EC"/>
    <w:rsid w:val="004A73FF"/>
    <w:rsid w:val="004A78D8"/>
    <w:rsid w:val="004B03F0"/>
    <w:rsid w:val="004B086E"/>
    <w:rsid w:val="004B13B1"/>
    <w:rsid w:val="004B1620"/>
    <w:rsid w:val="004B2492"/>
    <w:rsid w:val="004B2924"/>
    <w:rsid w:val="004B2EA6"/>
    <w:rsid w:val="004B3934"/>
    <w:rsid w:val="004B41E3"/>
    <w:rsid w:val="004B4FC9"/>
    <w:rsid w:val="004B5F40"/>
    <w:rsid w:val="004B5FF0"/>
    <w:rsid w:val="004B63AA"/>
    <w:rsid w:val="004B751F"/>
    <w:rsid w:val="004B780C"/>
    <w:rsid w:val="004B7CFD"/>
    <w:rsid w:val="004C0E24"/>
    <w:rsid w:val="004C1CAD"/>
    <w:rsid w:val="004C2C02"/>
    <w:rsid w:val="004C2DF6"/>
    <w:rsid w:val="004C307D"/>
    <w:rsid w:val="004C3A8F"/>
    <w:rsid w:val="004C3B4F"/>
    <w:rsid w:val="004C3F78"/>
    <w:rsid w:val="004C54EA"/>
    <w:rsid w:val="004C5D86"/>
    <w:rsid w:val="004C5FBA"/>
    <w:rsid w:val="004C63A5"/>
    <w:rsid w:val="004C7B22"/>
    <w:rsid w:val="004C7B8A"/>
    <w:rsid w:val="004D060D"/>
    <w:rsid w:val="004D184D"/>
    <w:rsid w:val="004D337C"/>
    <w:rsid w:val="004D33D2"/>
    <w:rsid w:val="004D3DDC"/>
    <w:rsid w:val="004D4078"/>
    <w:rsid w:val="004D435E"/>
    <w:rsid w:val="004D4768"/>
    <w:rsid w:val="004D480B"/>
    <w:rsid w:val="004D54C2"/>
    <w:rsid w:val="004D632B"/>
    <w:rsid w:val="004D6B13"/>
    <w:rsid w:val="004D6BE4"/>
    <w:rsid w:val="004D7321"/>
    <w:rsid w:val="004E097E"/>
    <w:rsid w:val="004E2464"/>
    <w:rsid w:val="004E3985"/>
    <w:rsid w:val="004E3E08"/>
    <w:rsid w:val="004E4768"/>
    <w:rsid w:val="004E5A23"/>
    <w:rsid w:val="004E5D09"/>
    <w:rsid w:val="004F0844"/>
    <w:rsid w:val="004F0E20"/>
    <w:rsid w:val="004F141A"/>
    <w:rsid w:val="004F165F"/>
    <w:rsid w:val="004F2399"/>
    <w:rsid w:val="004F3F2D"/>
    <w:rsid w:val="004F4513"/>
    <w:rsid w:val="004F5888"/>
    <w:rsid w:val="004F6362"/>
    <w:rsid w:val="004F6660"/>
    <w:rsid w:val="004F71EC"/>
    <w:rsid w:val="004F732D"/>
    <w:rsid w:val="004F7704"/>
    <w:rsid w:val="005028C9"/>
    <w:rsid w:val="00502951"/>
    <w:rsid w:val="00503818"/>
    <w:rsid w:val="00503ED7"/>
    <w:rsid w:val="0050447D"/>
    <w:rsid w:val="005044E3"/>
    <w:rsid w:val="00504DC6"/>
    <w:rsid w:val="0050643C"/>
    <w:rsid w:val="005064A2"/>
    <w:rsid w:val="005070D4"/>
    <w:rsid w:val="0051020D"/>
    <w:rsid w:val="00510415"/>
    <w:rsid w:val="00510B1D"/>
    <w:rsid w:val="00510F25"/>
    <w:rsid w:val="00511B4F"/>
    <w:rsid w:val="00513022"/>
    <w:rsid w:val="00513180"/>
    <w:rsid w:val="0051394A"/>
    <w:rsid w:val="005140E4"/>
    <w:rsid w:val="00514266"/>
    <w:rsid w:val="005148DB"/>
    <w:rsid w:val="00514F7C"/>
    <w:rsid w:val="005156BE"/>
    <w:rsid w:val="00515765"/>
    <w:rsid w:val="005164AC"/>
    <w:rsid w:val="00516D75"/>
    <w:rsid w:val="005175AB"/>
    <w:rsid w:val="00520B9A"/>
    <w:rsid w:val="00520E87"/>
    <w:rsid w:val="00520F9F"/>
    <w:rsid w:val="005214EC"/>
    <w:rsid w:val="00521D47"/>
    <w:rsid w:val="0052262D"/>
    <w:rsid w:val="0052278A"/>
    <w:rsid w:val="005231EB"/>
    <w:rsid w:val="00523CB5"/>
    <w:rsid w:val="00523CDF"/>
    <w:rsid w:val="0052427A"/>
    <w:rsid w:val="0052499A"/>
    <w:rsid w:val="00524D2D"/>
    <w:rsid w:val="00525121"/>
    <w:rsid w:val="005253BD"/>
    <w:rsid w:val="00525CB6"/>
    <w:rsid w:val="00525E1B"/>
    <w:rsid w:val="00525E60"/>
    <w:rsid w:val="00526D21"/>
    <w:rsid w:val="005304E0"/>
    <w:rsid w:val="0053130D"/>
    <w:rsid w:val="0053148A"/>
    <w:rsid w:val="0053254D"/>
    <w:rsid w:val="005333A6"/>
    <w:rsid w:val="00535C9B"/>
    <w:rsid w:val="00535F4A"/>
    <w:rsid w:val="00536198"/>
    <w:rsid w:val="0053651A"/>
    <w:rsid w:val="00536934"/>
    <w:rsid w:val="005372EC"/>
    <w:rsid w:val="005377CD"/>
    <w:rsid w:val="0054000F"/>
    <w:rsid w:val="005401E0"/>
    <w:rsid w:val="0054067D"/>
    <w:rsid w:val="00540D74"/>
    <w:rsid w:val="005416A6"/>
    <w:rsid w:val="005427DF"/>
    <w:rsid w:val="005428A1"/>
    <w:rsid w:val="00542B3F"/>
    <w:rsid w:val="00542B46"/>
    <w:rsid w:val="00543179"/>
    <w:rsid w:val="0054360B"/>
    <w:rsid w:val="00544412"/>
    <w:rsid w:val="00544463"/>
    <w:rsid w:val="005457E0"/>
    <w:rsid w:val="005459EE"/>
    <w:rsid w:val="005462C4"/>
    <w:rsid w:val="00547DAC"/>
    <w:rsid w:val="00547FD9"/>
    <w:rsid w:val="0055002A"/>
    <w:rsid w:val="005500AB"/>
    <w:rsid w:val="005503ED"/>
    <w:rsid w:val="005508C2"/>
    <w:rsid w:val="00550EDA"/>
    <w:rsid w:val="00550F9F"/>
    <w:rsid w:val="0055127D"/>
    <w:rsid w:val="005515E4"/>
    <w:rsid w:val="005516D0"/>
    <w:rsid w:val="00551B96"/>
    <w:rsid w:val="005525AF"/>
    <w:rsid w:val="00552781"/>
    <w:rsid w:val="00554058"/>
    <w:rsid w:val="0055484A"/>
    <w:rsid w:val="00555B21"/>
    <w:rsid w:val="00556D6B"/>
    <w:rsid w:val="005570A2"/>
    <w:rsid w:val="00560CEB"/>
    <w:rsid w:val="0056139D"/>
    <w:rsid w:val="005629EE"/>
    <w:rsid w:val="005632D2"/>
    <w:rsid w:val="00564751"/>
    <w:rsid w:val="00564973"/>
    <w:rsid w:val="00564AEF"/>
    <w:rsid w:val="0056501F"/>
    <w:rsid w:val="00565604"/>
    <w:rsid w:val="00565F54"/>
    <w:rsid w:val="00566172"/>
    <w:rsid w:val="00566902"/>
    <w:rsid w:val="00567383"/>
    <w:rsid w:val="00567588"/>
    <w:rsid w:val="00567963"/>
    <w:rsid w:val="005711F4"/>
    <w:rsid w:val="00571CDA"/>
    <w:rsid w:val="00572E71"/>
    <w:rsid w:val="005736C8"/>
    <w:rsid w:val="005737CD"/>
    <w:rsid w:val="00573A86"/>
    <w:rsid w:val="005753AE"/>
    <w:rsid w:val="00576083"/>
    <w:rsid w:val="005760D4"/>
    <w:rsid w:val="005768BE"/>
    <w:rsid w:val="00576CC5"/>
    <w:rsid w:val="005770C9"/>
    <w:rsid w:val="005770D5"/>
    <w:rsid w:val="0057713E"/>
    <w:rsid w:val="005776A2"/>
    <w:rsid w:val="00577D1D"/>
    <w:rsid w:val="00580452"/>
    <w:rsid w:val="00580B22"/>
    <w:rsid w:val="00580ED1"/>
    <w:rsid w:val="00580F03"/>
    <w:rsid w:val="005810F1"/>
    <w:rsid w:val="00581830"/>
    <w:rsid w:val="00582E16"/>
    <w:rsid w:val="005833D2"/>
    <w:rsid w:val="00583781"/>
    <w:rsid w:val="00583E9F"/>
    <w:rsid w:val="005854EA"/>
    <w:rsid w:val="005855E6"/>
    <w:rsid w:val="00585711"/>
    <w:rsid w:val="00586390"/>
    <w:rsid w:val="00586599"/>
    <w:rsid w:val="005870B1"/>
    <w:rsid w:val="00587E92"/>
    <w:rsid w:val="00590583"/>
    <w:rsid w:val="005911E1"/>
    <w:rsid w:val="00591693"/>
    <w:rsid w:val="00591BDF"/>
    <w:rsid w:val="0059203A"/>
    <w:rsid w:val="00592DE9"/>
    <w:rsid w:val="0059312A"/>
    <w:rsid w:val="00593130"/>
    <w:rsid w:val="0059348A"/>
    <w:rsid w:val="00593CFD"/>
    <w:rsid w:val="0059569C"/>
    <w:rsid w:val="005976CB"/>
    <w:rsid w:val="005978CD"/>
    <w:rsid w:val="00597E31"/>
    <w:rsid w:val="00597E68"/>
    <w:rsid w:val="00597ED0"/>
    <w:rsid w:val="005A06CB"/>
    <w:rsid w:val="005A0B1D"/>
    <w:rsid w:val="005A1F1A"/>
    <w:rsid w:val="005A28BA"/>
    <w:rsid w:val="005A2C59"/>
    <w:rsid w:val="005A2CA3"/>
    <w:rsid w:val="005A3136"/>
    <w:rsid w:val="005A3B49"/>
    <w:rsid w:val="005A4066"/>
    <w:rsid w:val="005A40DF"/>
    <w:rsid w:val="005A47BE"/>
    <w:rsid w:val="005A5145"/>
    <w:rsid w:val="005A5942"/>
    <w:rsid w:val="005A6905"/>
    <w:rsid w:val="005A6E6F"/>
    <w:rsid w:val="005A709C"/>
    <w:rsid w:val="005B0651"/>
    <w:rsid w:val="005B188B"/>
    <w:rsid w:val="005B1EC7"/>
    <w:rsid w:val="005B2DCF"/>
    <w:rsid w:val="005B3CCB"/>
    <w:rsid w:val="005B651F"/>
    <w:rsid w:val="005B68F7"/>
    <w:rsid w:val="005C03E0"/>
    <w:rsid w:val="005C14A2"/>
    <w:rsid w:val="005C1911"/>
    <w:rsid w:val="005C1A58"/>
    <w:rsid w:val="005C1AF6"/>
    <w:rsid w:val="005C2295"/>
    <w:rsid w:val="005C2314"/>
    <w:rsid w:val="005C25A2"/>
    <w:rsid w:val="005C44EC"/>
    <w:rsid w:val="005C47C6"/>
    <w:rsid w:val="005C4C8D"/>
    <w:rsid w:val="005C4D89"/>
    <w:rsid w:val="005C5E76"/>
    <w:rsid w:val="005C6E1D"/>
    <w:rsid w:val="005C6FB7"/>
    <w:rsid w:val="005C70A2"/>
    <w:rsid w:val="005C75E4"/>
    <w:rsid w:val="005C7B3E"/>
    <w:rsid w:val="005C7E4A"/>
    <w:rsid w:val="005D12A3"/>
    <w:rsid w:val="005D169F"/>
    <w:rsid w:val="005D2393"/>
    <w:rsid w:val="005D2564"/>
    <w:rsid w:val="005D2B20"/>
    <w:rsid w:val="005D38F4"/>
    <w:rsid w:val="005D52B9"/>
    <w:rsid w:val="005D53DA"/>
    <w:rsid w:val="005D632D"/>
    <w:rsid w:val="005D6809"/>
    <w:rsid w:val="005D6B35"/>
    <w:rsid w:val="005D7470"/>
    <w:rsid w:val="005D7B74"/>
    <w:rsid w:val="005D7F5B"/>
    <w:rsid w:val="005E0218"/>
    <w:rsid w:val="005E178E"/>
    <w:rsid w:val="005E1911"/>
    <w:rsid w:val="005E1D6D"/>
    <w:rsid w:val="005E27B5"/>
    <w:rsid w:val="005E2EB2"/>
    <w:rsid w:val="005E4C6E"/>
    <w:rsid w:val="005E4CF6"/>
    <w:rsid w:val="005E5489"/>
    <w:rsid w:val="005E5551"/>
    <w:rsid w:val="005E6370"/>
    <w:rsid w:val="005E67AB"/>
    <w:rsid w:val="005F041D"/>
    <w:rsid w:val="005F06D6"/>
    <w:rsid w:val="005F1287"/>
    <w:rsid w:val="005F1E9A"/>
    <w:rsid w:val="005F28A5"/>
    <w:rsid w:val="005F2CC6"/>
    <w:rsid w:val="005F33FD"/>
    <w:rsid w:val="005F486F"/>
    <w:rsid w:val="005F4B1F"/>
    <w:rsid w:val="005F561A"/>
    <w:rsid w:val="005F6011"/>
    <w:rsid w:val="005F6173"/>
    <w:rsid w:val="005F79A8"/>
    <w:rsid w:val="005F7EA4"/>
    <w:rsid w:val="0060216D"/>
    <w:rsid w:val="0060248A"/>
    <w:rsid w:val="00602EC1"/>
    <w:rsid w:val="00602F8F"/>
    <w:rsid w:val="006058D0"/>
    <w:rsid w:val="00605EC9"/>
    <w:rsid w:val="0060684B"/>
    <w:rsid w:val="0060767D"/>
    <w:rsid w:val="006101DD"/>
    <w:rsid w:val="00610563"/>
    <w:rsid w:val="00610572"/>
    <w:rsid w:val="00611E09"/>
    <w:rsid w:val="00611E22"/>
    <w:rsid w:val="00612979"/>
    <w:rsid w:val="006132C9"/>
    <w:rsid w:val="00614287"/>
    <w:rsid w:val="00614884"/>
    <w:rsid w:val="00614A31"/>
    <w:rsid w:val="00614AE0"/>
    <w:rsid w:val="00615BD7"/>
    <w:rsid w:val="00620EDD"/>
    <w:rsid w:val="0062180F"/>
    <w:rsid w:val="00622C25"/>
    <w:rsid w:val="00623DED"/>
    <w:rsid w:val="00624C69"/>
    <w:rsid w:val="00630208"/>
    <w:rsid w:val="00630A50"/>
    <w:rsid w:val="006347AD"/>
    <w:rsid w:val="006358DC"/>
    <w:rsid w:val="00635B10"/>
    <w:rsid w:val="00636350"/>
    <w:rsid w:val="00636460"/>
    <w:rsid w:val="00636471"/>
    <w:rsid w:val="00637793"/>
    <w:rsid w:val="00637EB2"/>
    <w:rsid w:val="006403C2"/>
    <w:rsid w:val="00642ED9"/>
    <w:rsid w:val="00643886"/>
    <w:rsid w:val="00644C2E"/>
    <w:rsid w:val="006452C6"/>
    <w:rsid w:val="00650EFC"/>
    <w:rsid w:val="006515FF"/>
    <w:rsid w:val="00651A17"/>
    <w:rsid w:val="00654F50"/>
    <w:rsid w:val="00655FF3"/>
    <w:rsid w:val="006565CD"/>
    <w:rsid w:val="0065668F"/>
    <w:rsid w:val="006567A9"/>
    <w:rsid w:val="00656D85"/>
    <w:rsid w:val="00660604"/>
    <w:rsid w:val="0066103B"/>
    <w:rsid w:val="00662058"/>
    <w:rsid w:val="00662B84"/>
    <w:rsid w:val="00663BD6"/>
    <w:rsid w:val="00663F95"/>
    <w:rsid w:val="00664564"/>
    <w:rsid w:val="00664DB5"/>
    <w:rsid w:val="0066504B"/>
    <w:rsid w:val="006654A1"/>
    <w:rsid w:val="00665B43"/>
    <w:rsid w:val="00665E9A"/>
    <w:rsid w:val="00666649"/>
    <w:rsid w:val="00666CC3"/>
    <w:rsid w:val="00667755"/>
    <w:rsid w:val="006702A6"/>
    <w:rsid w:val="00670A9D"/>
    <w:rsid w:val="00671021"/>
    <w:rsid w:val="0067142B"/>
    <w:rsid w:val="0067153E"/>
    <w:rsid w:val="0067162D"/>
    <w:rsid w:val="00671FCB"/>
    <w:rsid w:val="00672785"/>
    <w:rsid w:val="006727E3"/>
    <w:rsid w:val="00673453"/>
    <w:rsid w:val="00674FC9"/>
    <w:rsid w:val="0067521B"/>
    <w:rsid w:val="0067550A"/>
    <w:rsid w:val="006763FD"/>
    <w:rsid w:val="00676F0E"/>
    <w:rsid w:val="006775F7"/>
    <w:rsid w:val="0068004A"/>
    <w:rsid w:val="00680C7E"/>
    <w:rsid w:val="00681DF6"/>
    <w:rsid w:val="0068250C"/>
    <w:rsid w:val="006828CD"/>
    <w:rsid w:val="0068310E"/>
    <w:rsid w:val="006841BD"/>
    <w:rsid w:val="0068440A"/>
    <w:rsid w:val="00684CE4"/>
    <w:rsid w:val="00684F3F"/>
    <w:rsid w:val="0068502A"/>
    <w:rsid w:val="00685081"/>
    <w:rsid w:val="0068671C"/>
    <w:rsid w:val="006867D8"/>
    <w:rsid w:val="00687B9A"/>
    <w:rsid w:val="006903F2"/>
    <w:rsid w:val="0069091E"/>
    <w:rsid w:val="0069121A"/>
    <w:rsid w:val="0069145D"/>
    <w:rsid w:val="0069187B"/>
    <w:rsid w:val="006923B3"/>
    <w:rsid w:val="00692D71"/>
    <w:rsid w:val="0069301A"/>
    <w:rsid w:val="00694026"/>
    <w:rsid w:val="00694F64"/>
    <w:rsid w:val="006959A1"/>
    <w:rsid w:val="00696165"/>
    <w:rsid w:val="006971CE"/>
    <w:rsid w:val="00697639"/>
    <w:rsid w:val="006A008D"/>
    <w:rsid w:val="006A01A9"/>
    <w:rsid w:val="006A0B5F"/>
    <w:rsid w:val="006A151B"/>
    <w:rsid w:val="006A2121"/>
    <w:rsid w:val="006A2EC5"/>
    <w:rsid w:val="006A3236"/>
    <w:rsid w:val="006A3242"/>
    <w:rsid w:val="006A3424"/>
    <w:rsid w:val="006A3CB0"/>
    <w:rsid w:val="006A4CC2"/>
    <w:rsid w:val="006A5D61"/>
    <w:rsid w:val="006B059F"/>
    <w:rsid w:val="006B19CF"/>
    <w:rsid w:val="006B1A90"/>
    <w:rsid w:val="006B27CB"/>
    <w:rsid w:val="006B2D07"/>
    <w:rsid w:val="006B358B"/>
    <w:rsid w:val="006B3CC8"/>
    <w:rsid w:val="006B409B"/>
    <w:rsid w:val="006B4441"/>
    <w:rsid w:val="006B4A66"/>
    <w:rsid w:val="006B517E"/>
    <w:rsid w:val="006B5293"/>
    <w:rsid w:val="006B58E1"/>
    <w:rsid w:val="006B644A"/>
    <w:rsid w:val="006B7DAC"/>
    <w:rsid w:val="006C047E"/>
    <w:rsid w:val="006C12F5"/>
    <w:rsid w:val="006C139E"/>
    <w:rsid w:val="006C1717"/>
    <w:rsid w:val="006C1E14"/>
    <w:rsid w:val="006C2642"/>
    <w:rsid w:val="006C3223"/>
    <w:rsid w:val="006C33E8"/>
    <w:rsid w:val="006C3B53"/>
    <w:rsid w:val="006C3B69"/>
    <w:rsid w:val="006C3DDB"/>
    <w:rsid w:val="006C41FC"/>
    <w:rsid w:val="006C62A1"/>
    <w:rsid w:val="006D04CD"/>
    <w:rsid w:val="006D1561"/>
    <w:rsid w:val="006D17CD"/>
    <w:rsid w:val="006D1C17"/>
    <w:rsid w:val="006D2464"/>
    <w:rsid w:val="006D321A"/>
    <w:rsid w:val="006D3398"/>
    <w:rsid w:val="006D33EE"/>
    <w:rsid w:val="006D59E8"/>
    <w:rsid w:val="006D5ECB"/>
    <w:rsid w:val="006D69EE"/>
    <w:rsid w:val="006D6CBC"/>
    <w:rsid w:val="006D71ED"/>
    <w:rsid w:val="006D7548"/>
    <w:rsid w:val="006E030A"/>
    <w:rsid w:val="006E2914"/>
    <w:rsid w:val="006E2DF7"/>
    <w:rsid w:val="006E2F4D"/>
    <w:rsid w:val="006E5CC8"/>
    <w:rsid w:val="006E5FC5"/>
    <w:rsid w:val="006E6A6E"/>
    <w:rsid w:val="006E6DA7"/>
    <w:rsid w:val="006E75D1"/>
    <w:rsid w:val="006E7C27"/>
    <w:rsid w:val="006F00A2"/>
    <w:rsid w:val="006F213C"/>
    <w:rsid w:val="006F3589"/>
    <w:rsid w:val="006F379B"/>
    <w:rsid w:val="006F39C1"/>
    <w:rsid w:val="006F3AEA"/>
    <w:rsid w:val="006F3FD5"/>
    <w:rsid w:val="006F434F"/>
    <w:rsid w:val="006F4DCE"/>
    <w:rsid w:val="006F5858"/>
    <w:rsid w:val="006F6A72"/>
    <w:rsid w:val="006F6D5E"/>
    <w:rsid w:val="006F78C6"/>
    <w:rsid w:val="006F78F4"/>
    <w:rsid w:val="006F7B1F"/>
    <w:rsid w:val="007001CC"/>
    <w:rsid w:val="00703B1C"/>
    <w:rsid w:val="007044A0"/>
    <w:rsid w:val="0070553B"/>
    <w:rsid w:val="00706383"/>
    <w:rsid w:val="007068CA"/>
    <w:rsid w:val="00706ACD"/>
    <w:rsid w:val="007078AF"/>
    <w:rsid w:val="0071019A"/>
    <w:rsid w:val="00710ADA"/>
    <w:rsid w:val="00710F7A"/>
    <w:rsid w:val="00711D65"/>
    <w:rsid w:val="00711D99"/>
    <w:rsid w:val="00713129"/>
    <w:rsid w:val="00713463"/>
    <w:rsid w:val="00714065"/>
    <w:rsid w:val="007150CE"/>
    <w:rsid w:val="00715A4C"/>
    <w:rsid w:val="00715A9F"/>
    <w:rsid w:val="007164C8"/>
    <w:rsid w:val="00716BDD"/>
    <w:rsid w:val="00717819"/>
    <w:rsid w:val="0072055C"/>
    <w:rsid w:val="007209FF"/>
    <w:rsid w:val="007215B6"/>
    <w:rsid w:val="0072262A"/>
    <w:rsid w:val="00722DA5"/>
    <w:rsid w:val="00723009"/>
    <w:rsid w:val="0072325F"/>
    <w:rsid w:val="007233F7"/>
    <w:rsid w:val="0072434E"/>
    <w:rsid w:val="007247A0"/>
    <w:rsid w:val="00724B03"/>
    <w:rsid w:val="0072520B"/>
    <w:rsid w:val="00725B56"/>
    <w:rsid w:val="00725FC3"/>
    <w:rsid w:val="00726846"/>
    <w:rsid w:val="00726EFE"/>
    <w:rsid w:val="00727006"/>
    <w:rsid w:val="007277DA"/>
    <w:rsid w:val="00727F0E"/>
    <w:rsid w:val="007305D3"/>
    <w:rsid w:val="00730DBC"/>
    <w:rsid w:val="00730FEB"/>
    <w:rsid w:val="00731CAB"/>
    <w:rsid w:val="0073204A"/>
    <w:rsid w:val="0073256B"/>
    <w:rsid w:val="00732855"/>
    <w:rsid w:val="00732981"/>
    <w:rsid w:val="0073559A"/>
    <w:rsid w:val="00735702"/>
    <w:rsid w:val="00737236"/>
    <w:rsid w:val="00740946"/>
    <w:rsid w:val="00741029"/>
    <w:rsid w:val="00741132"/>
    <w:rsid w:val="00743C53"/>
    <w:rsid w:val="00743DAD"/>
    <w:rsid w:val="00743E71"/>
    <w:rsid w:val="00743E9A"/>
    <w:rsid w:val="00745834"/>
    <w:rsid w:val="00745AEC"/>
    <w:rsid w:val="00745EA0"/>
    <w:rsid w:val="00746DFA"/>
    <w:rsid w:val="00747FAC"/>
    <w:rsid w:val="0075042F"/>
    <w:rsid w:val="00750575"/>
    <w:rsid w:val="00750582"/>
    <w:rsid w:val="007505CB"/>
    <w:rsid w:val="00751A52"/>
    <w:rsid w:val="00751E15"/>
    <w:rsid w:val="0075200C"/>
    <w:rsid w:val="007530EC"/>
    <w:rsid w:val="0075408A"/>
    <w:rsid w:val="00754149"/>
    <w:rsid w:val="00754205"/>
    <w:rsid w:val="007547F0"/>
    <w:rsid w:val="00755057"/>
    <w:rsid w:val="0075543E"/>
    <w:rsid w:val="00755C95"/>
    <w:rsid w:val="00756103"/>
    <w:rsid w:val="00756C9A"/>
    <w:rsid w:val="0076091A"/>
    <w:rsid w:val="0076146E"/>
    <w:rsid w:val="00761D2F"/>
    <w:rsid w:val="00762872"/>
    <w:rsid w:val="007633F7"/>
    <w:rsid w:val="00763CA2"/>
    <w:rsid w:val="007643C9"/>
    <w:rsid w:val="00764727"/>
    <w:rsid w:val="00764800"/>
    <w:rsid w:val="007649C1"/>
    <w:rsid w:val="00764BB1"/>
    <w:rsid w:val="00764FD1"/>
    <w:rsid w:val="0076511F"/>
    <w:rsid w:val="007668E1"/>
    <w:rsid w:val="00766D29"/>
    <w:rsid w:val="00770431"/>
    <w:rsid w:val="00770652"/>
    <w:rsid w:val="0077099F"/>
    <w:rsid w:val="0077147A"/>
    <w:rsid w:val="00771578"/>
    <w:rsid w:val="007718B9"/>
    <w:rsid w:val="00771BF9"/>
    <w:rsid w:val="00772D0E"/>
    <w:rsid w:val="0077376C"/>
    <w:rsid w:val="00774329"/>
    <w:rsid w:val="007747D5"/>
    <w:rsid w:val="0077486C"/>
    <w:rsid w:val="00774CBA"/>
    <w:rsid w:val="00774D84"/>
    <w:rsid w:val="007750BF"/>
    <w:rsid w:val="007752FD"/>
    <w:rsid w:val="00775991"/>
    <w:rsid w:val="00775C16"/>
    <w:rsid w:val="007760BD"/>
    <w:rsid w:val="00777469"/>
    <w:rsid w:val="00777F4F"/>
    <w:rsid w:val="00781158"/>
    <w:rsid w:val="00781A61"/>
    <w:rsid w:val="00782D3B"/>
    <w:rsid w:val="00782ED1"/>
    <w:rsid w:val="00782FD2"/>
    <w:rsid w:val="00784050"/>
    <w:rsid w:val="007855DE"/>
    <w:rsid w:val="00785DDB"/>
    <w:rsid w:val="00787544"/>
    <w:rsid w:val="00787BEB"/>
    <w:rsid w:val="00787F28"/>
    <w:rsid w:val="00790766"/>
    <w:rsid w:val="007915E8"/>
    <w:rsid w:val="00791806"/>
    <w:rsid w:val="007919E1"/>
    <w:rsid w:val="00791A15"/>
    <w:rsid w:val="00791DEF"/>
    <w:rsid w:val="0079263A"/>
    <w:rsid w:val="00792E7A"/>
    <w:rsid w:val="0079307E"/>
    <w:rsid w:val="00793291"/>
    <w:rsid w:val="007937EA"/>
    <w:rsid w:val="007937F5"/>
    <w:rsid w:val="00793814"/>
    <w:rsid w:val="007938ED"/>
    <w:rsid w:val="00793F5F"/>
    <w:rsid w:val="00794484"/>
    <w:rsid w:val="00794A3E"/>
    <w:rsid w:val="00794C73"/>
    <w:rsid w:val="00794DCB"/>
    <w:rsid w:val="007958A7"/>
    <w:rsid w:val="00795925"/>
    <w:rsid w:val="00795B68"/>
    <w:rsid w:val="00795E2B"/>
    <w:rsid w:val="00795F39"/>
    <w:rsid w:val="0079658E"/>
    <w:rsid w:val="00796872"/>
    <w:rsid w:val="00797A73"/>
    <w:rsid w:val="007A04F8"/>
    <w:rsid w:val="007A0A52"/>
    <w:rsid w:val="007A0B8B"/>
    <w:rsid w:val="007A0CDE"/>
    <w:rsid w:val="007A0F57"/>
    <w:rsid w:val="007A126F"/>
    <w:rsid w:val="007A226E"/>
    <w:rsid w:val="007A26FC"/>
    <w:rsid w:val="007A2A44"/>
    <w:rsid w:val="007A3CE9"/>
    <w:rsid w:val="007A5FA0"/>
    <w:rsid w:val="007A622C"/>
    <w:rsid w:val="007A7160"/>
    <w:rsid w:val="007A7BB6"/>
    <w:rsid w:val="007B08F3"/>
    <w:rsid w:val="007B0D26"/>
    <w:rsid w:val="007B11FE"/>
    <w:rsid w:val="007B161B"/>
    <w:rsid w:val="007B1D0A"/>
    <w:rsid w:val="007B20BB"/>
    <w:rsid w:val="007B2105"/>
    <w:rsid w:val="007B2D95"/>
    <w:rsid w:val="007B4915"/>
    <w:rsid w:val="007B51FB"/>
    <w:rsid w:val="007B520E"/>
    <w:rsid w:val="007B5DA8"/>
    <w:rsid w:val="007B7775"/>
    <w:rsid w:val="007B7CC3"/>
    <w:rsid w:val="007B7F59"/>
    <w:rsid w:val="007C04A6"/>
    <w:rsid w:val="007C08AF"/>
    <w:rsid w:val="007C0DE3"/>
    <w:rsid w:val="007C18FE"/>
    <w:rsid w:val="007C2187"/>
    <w:rsid w:val="007C2999"/>
    <w:rsid w:val="007C2D72"/>
    <w:rsid w:val="007C51B0"/>
    <w:rsid w:val="007C7179"/>
    <w:rsid w:val="007C75E7"/>
    <w:rsid w:val="007C770E"/>
    <w:rsid w:val="007C7D2E"/>
    <w:rsid w:val="007D0731"/>
    <w:rsid w:val="007D07C3"/>
    <w:rsid w:val="007D123E"/>
    <w:rsid w:val="007D15A2"/>
    <w:rsid w:val="007D17DB"/>
    <w:rsid w:val="007D3126"/>
    <w:rsid w:val="007D326A"/>
    <w:rsid w:val="007D4019"/>
    <w:rsid w:val="007D4A0F"/>
    <w:rsid w:val="007D57A2"/>
    <w:rsid w:val="007D6C6C"/>
    <w:rsid w:val="007D6C71"/>
    <w:rsid w:val="007D741A"/>
    <w:rsid w:val="007D7474"/>
    <w:rsid w:val="007D768B"/>
    <w:rsid w:val="007E0224"/>
    <w:rsid w:val="007E05D9"/>
    <w:rsid w:val="007E0E6B"/>
    <w:rsid w:val="007E117F"/>
    <w:rsid w:val="007E1768"/>
    <w:rsid w:val="007E1B56"/>
    <w:rsid w:val="007E293D"/>
    <w:rsid w:val="007E2D8A"/>
    <w:rsid w:val="007E3B76"/>
    <w:rsid w:val="007E5EAA"/>
    <w:rsid w:val="007E60C3"/>
    <w:rsid w:val="007F0288"/>
    <w:rsid w:val="007F051B"/>
    <w:rsid w:val="007F0525"/>
    <w:rsid w:val="007F37F7"/>
    <w:rsid w:val="007F3A87"/>
    <w:rsid w:val="007F3CB2"/>
    <w:rsid w:val="007F41AB"/>
    <w:rsid w:val="007F45A8"/>
    <w:rsid w:val="007F48B0"/>
    <w:rsid w:val="007F590D"/>
    <w:rsid w:val="007F5961"/>
    <w:rsid w:val="007F596F"/>
    <w:rsid w:val="007F5B3F"/>
    <w:rsid w:val="007F5D6A"/>
    <w:rsid w:val="007F614E"/>
    <w:rsid w:val="007F6278"/>
    <w:rsid w:val="007F6645"/>
    <w:rsid w:val="007F76CC"/>
    <w:rsid w:val="0080095D"/>
    <w:rsid w:val="00800AB3"/>
    <w:rsid w:val="008014A5"/>
    <w:rsid w:val="0080262F"/>
    <w:rsid w:val="0080314E"/>
    <w:rsid w:val="00803DD1"/>
    <w:rsid w:val="008040AA"/>
    <w:rsid w:val="00804369"/>
    <w:rsid w:val="008053A6"/>
    <w:rsid w:val="008053C4"/>
    <w:rsid w:val="0080547C"/>
    <w:rsid w:val="00806593"/>
    <w:rsid w:val="008069B2"/>
    <w:rsid w:val="00806BFE"/>
    <w:rsid w:val="00806EF7"/>
    <w:rsid w:val="008078DE"/>
    <w:rsid w:val="008103D7"/>
    <w:rsid w:val="00811163"/>
    <w:rsid w:val="00811B68"/>
    <w:rsid w:val="008127D8"/>
    <w:rsid w:val="00812C12"/>
    <w:rsid w:val="00813237"/>
    <w:rsid w:val="00813B9C"/>
    <w:rsid w:val="00813E67"/>
    <w:rsid w:val="008146AE"/>
    <w:rsid w:val="00814EBF"/>
    <w:rsid w:val="008151B0"/>
    <w:rsid w:val="0081606C"/>
    <w:rsid w:val="00816967"/>
    <w:rsid w:val="008175DD"/>
    <w:rsid w:val="008202F7"/>
    <w:rsid w:val="0082207F"/>
    <w:rsid w:val="008230C1"/>
    <w:rsid w:val="00824BCC"/>
    <w:rsid w:val="00824F61"/>
    <w:rsid w:val="00825182"/>
    <w:rsid w:val="00825670"/>
    <w:rsid w:val="008257AF"/>
    <w:rsid w:val="00825E10"/>
    <w:rsid w:val="0083098F"/>
    <w:rsid w:val="00830B28"/>
    <w:rsid w:val="00831E69"/>
    <w:rsid w:val="008325E7"/>
    <w:rsid w:val="00833404"/>
    <w:rsid w:val="008340D8"/>
    <w:rsid w:val="00835815"/>
    <w:rsid w:val="008358FD"/>
    <w:rsid w:val="00835970"/>
    <w:rsid w:val="00837AD7"/>
    <w:rsid w:val="00837C71"/>
    <w:rsid w:val="0084030D"/>
    <w:rsid w:val="0084122A"/>
    <w:rsid w:val="00841E9D"/>
    <w:rsid w:val="00841EBF"/>
    <w:rsid w:val="00842035"/>
    <w:rsid w:val="0084326D"/>
    <w:rsid w:val="0084424B"/>
    <w:rsid w:val="00844C14"/>
    <w:rsid w:val="00844C79"/>
    <w:rsid w:val="00844EE0"/>
    <w:rsid w:val="00845317"/>
    <w:rsid w:val="00845F87"/>
    <w:rsid w:val="00846BE5"/>
    <w:rsid w:val="00847342"/>
    <w:rsid w:val="00847C60"/>
    <w:rsid w:val="008501C5"/>
    <w:rsid w:val="008516AD"/>
    <w:rsid w:val="008522B4"/>
    <w:rsid w:val="0085263B"/>
    <w:rsid w:val="00853479"/>
    <w:rsid w:val="00853643"/>
    <w:rsid w:val="0085478A"/>
    <w:rsid w:val="00854E12"/>
    <w:rsid w:val="0085560C"/>
    <w:rsid w:val="00855719"/>
    <w:rsid w:val="00856469"/>
    <w:rsid w:val="008565BB"/>
    <w:rsid w:val="008573EB"/>
    <w:rsid w:val="00857760"/>
    <w:rsid w:val="00857A81"/>
    <w:rsid w:val="00857F4F"/>
    <w:rsid w:val="00860274"/>
    <w:rsid w:val="00860335"/>
    <w:rsid w:val="00860F1A"/>
    <w:rsid w:val="00862061"/>
    <w:rsid w:val="008623E9"/>
    <w:rsid w:val="008635ED"/>
    <w:rsid w:val="00864DCB"/>
    <w:rsid w:val="008653E9"/>
    <w:rsid w:val="00865C12"/>
    <w:rsid w:val="00867A41"/>
    <w:rsid w:val="008715B1"/>
    <w:rsid w:val="0087171A"/>
    <w:rsid w:val="00872515"/>
    <w:rsid w:val="00873533"/>
    <w:rsid w:val="008735EA"/>
    <w:rsid w:val="00873E2F"/>
    <w:rsid w:val="00874126"/>
    <w:rsid w:val="00874E03"/>
    <w:rsid w:val="0087507E"/>
    <w:rsid w:val="00875FC4"/>
    <w:rsid w:val="008773BB"/>
    <w:rsid w:val="00881247"/>
    <w:rsid w:val="008823B2"/>
    <w:rsid w:val="008823CC"/>
    <w:rsid w:val="00882D50"/>
    <w:rsid w:val="00884190"/>
    <w:rsid w:val="008858F9"/>
    <w:rsid w:val="00885C4B"/>
    <w:rsid w:val="0088635F"/>
    <w:rsid w:val="00887349"/>
    <w:rsid w:val="00887AE3"/>
    <w:rsid w:val="0089097F"/>
    <w:rsid w:val="00891B90"/>
    <w:rsid w:val="00892B45"/>
    <w:rsid w:val="00892C42"/>
    <w:rsid w:val="00893243"/>
    <w:rsid w:val="008936F8"/>
    <w:rsid w:val="00893811"/>
    <w:rsid w:val="00893BCD"/>
    <w:rsid w:val="00894986"/>
    <w:rsid w:val="0089549B"/>
    <w:rsid w:val="008970DD"/>
    <w:rsid w:val="00897A8A"/>
    <w:rsid w:val="008A0E43"/>
    <w:rsid w:val="008A0F9F"/>
    <w:rsid w:val="008A280D"/>
    <w:rsid w:val="008A282D"/>
    <w:rsid w:val="008A39B7"/>
    <w:rsid w:val="008A4ADA"/>
    <w:rsid w:val="008A5243"/>
    <w:rsid w:val="008A6816"/>
    <w:rsid w:val="008A7F4B"/>
    <w:rsid w:val="008B0259"/>
    <w:rsid w:val="008B0660"/>
    <w:rsid w:val="008B0671"/>
    <w:rsid w:val="008B122A"/>
    <w:rsid w:val="008B1572"/>
    <w:rsid w:val="008B2D43"/>
    <w:rsid w:val="008B4E41"/>
    <w:rsid w:val="008B58D4"/>
    <w:rsid w:val="008B5DD7"/>
    <w:rsid w:val="008B629A"/>
    <w:rsid w:val="008B7656"/>
    <w:rsid w:val="008B7EA2"/>
    <w:rsid w:val="008C065C"/>
    <w:rsid w:val="008C0959"/>
    <w:rsid w:val="008C121B"/>
    <w:rsid w:val="008C1878"/>
    <w:rsid w:val="008C25FA"/>
    <w:rsid w:val="008C2B3B"/>
    <w:rsid w:val="008C2D25"/>
    <w:rsid w:val="008C2DDB"/>
    <w:rsid w:val="008C31A2"/>
    <w:rsid w:val="008C46F7"/>
    <w:rsid w:val="008C499D"/>
    <w:rsid w:val="008C5033"/>
    <w:rsid w:val="008C660A"/>
    <w:rsid w:val="008C6630"/>
    <w:rsid w:val="008C668E"/>
    <w:rsid w:val="008C6B07"/>
    <w:rsid w:val="008C6F2F"/>
    <w:rsid w:val="008C7682"/>
    <w:rsid w:val="008D2CD0"/>
    <w:rsid w:val="008D4384"/>
    <w:rsid w:val="008D453C"/>
    <w:rsid w:val="008D497F"/>
    <w:rsid w:val="008D4C17"/>
    <w:rsid w:val="008D4CAA"/>
    <w:rsid w:val="008D60D9"/>
    <w:rsid w:val="008D6D0E"/>
    <w:rsid w:val="008D7BE8"/>
    <w:rsid w:val="008E02E3"/>
    <w:rsid w:val="008E0768"/>
    <w:rsid w:val="008E1571"/>
    <w:rsid w:val="008E1CDD"/>
    <w:rsid w:val="008E2003"/>
    <w:rsid w:val="008E2963"/>
    <w:rsid w:val="008E3441"/>
    <w:rsid w:val="008E41A3"/>
    <w:rsid w:val="008E55FE"/>
    <w:rsid w:val="008E5924"/>
    <w:rsid w:val="008E66D1"/>
    <w:rsid w:val="008E6788"/>
    <w:rsid w:val="008E7247"/>
    <w:rsid w:val="008E7E81"/>
    <w:rsid w:val="008F0C26"/>
    <w:rsid w:val="008F1392"/>
    <w:rsid w:val="008F1B58"/>
    <w:rsid w:val="008F24E1"/>
    <w:rsid w:val="008F2E13"/>
    <w:rsid w:val="008F3B66"/>
    <w:rsid w:val="008F3C51"/>
    <w:rsid w:val="008F3FFD"/>
    <w:rsid w:val="008F7ACB"/>
    <w:rsid w:val="0090014A"/>
    <w:rsid w:val="0090093D"/>
    <w:rsid w:val="00900BF8"/>
    <w:rsid w:val="00900E2D"/>
    <w:rsid w:val="00901145"/>
    <w:rsid w:val="00901A42"/>
    <w:rsid w:val="00901CB2"/>
    <w:rsid w:val="009034C5"/>
    <w:rsid w:val="00904159"/>
    <w:rsid w:val="0090526E"/>
    <w:rsid w:val="00905A8A"/>
    <w:rsid w:val="00905AAB"/>
    <w:rsid w:val="00905EF7"/>
    <w:rsid w:val="00905FF2"/>
    <w:rsid w:val="00906559"/>
    <w:rsid w:val="00906D3C"/>
    <w:rsid w:val="009102F9"/>
    <w:rsid w:val="00910868"/>
    <w:rsid w:val="00910FD0"/>
    <w:rsid w:val="00911A7A"/>
    <w:rsid w:val="00911AB9"/>
    <w:rsid w:val="009127FE"/>
    <w:rsid w:val="00912D1F"/>
    <w:rsid w:val="009138E1"/>
    <w:rsid w:val="009143A2"/>
    <w:rsid w:val="009145F2"/>
    <w:rsid w:val="00915175"/>
    <w:rsid w:val="009169E3"/>
    <w:rsid w:val="00916FF1"/>
    <w:rsid w:val="0092010A"/>
    <w:rsid w:val="009223FA"/>
    <w:rsid w:val="00922908"/>
    <w:rsid w:val="00923BEA"/>
    <w:rsid w:val="00923E60"/>
    <w:rsid w:val="00925AA7"/>
    <w:rsid w:val="009271A9"/>
    <w:rsid w:val="009271FC"/>
    <w:rsid w:val="00931056"/>
    <w:rsid w:val="00931B32"/>
    <w:rsid w:val="00931FE8"/>
    <w:rsid w:val="00932090"/>
    <w:rsid w:val="00932A03"/>
    <w:rsid w:val="00932C95"/>
    <w:rsid w:val="00933A89"/>
    <w:rsid w:val="00933CB2"/>
    <w:rsid w:val="0093437F"/>
    <w:rsid w:val="00935599"/>
    <w:rsid w:val="009369E0"/>
    <w:rsid w:val="00936E8D"/>
    <w:rsid w:val="0094073D"/>
    <w:rsid w:val="0094136D"/>
    <w:rsid w:val="00942208"/>
    <w:rsid w:val="00942A3C"/>
    <w:rsid w:val="00942DAC"/>
    <w:rsid w:val="00942FD9"/>
    <w:rsid w:val="00943301"/>
    <w:rsid w:val="00945CA4"/>
    <w:rsid w:val="00945D85"/>
    <w:rsid w:val="00945E14"/>
    <w:rsid w:val="00946383"/>
    <w:rsid w:val="00946DEA"/>
    <w:rsid w:val="009475EE"/>
    <w:rsid w:val="00947D00"/>
    <w:rsid w:val="00950021"/>
    <w:rsid w:val="0095081B"/>
    <w:rsid w:val="009508EE"/>
    <w:rsid w:val="0095105B"/>
    <w:rsid w:val="00951F92"/>
    <w:rsid w:val="00954D60"/>
    <w:rsid w:val="00955225"/>
    <w:rsid w:val="00955BCF"/>
    <w:rsid w:val="009561F6"/>
    <w:rsid w:val="00956F85"/>
    <w:rsid w:val="00957200"/>
    <w:rsid w:val="00957211"/>
    <w:rsid w:val="00957299"/>
    <w:rsid w:val="0095737E"/>
    <w:rsid w:val="00960C24"/>
    <w:rsid w:val="00960D6C"/>
    <w:rsid w:val="009627EA"/>
    <w:rsid w:val="00962CCE"/>
    <w:rsid w:val="0096310A"/>
    <w:rsid w:val="00963AEA"/>
    <w:rsid w:val="00963DA8"/>
    <w:rsid w:val="0096426E"/>
    <w:rsid w:val="009642DE"/>
    <w:rsid w:val="009644A8"/>
    <w:rsid w:val="00964F1F"/>
    <w:rsid w:val="009656F9"/>
    <w:rsid w:val="00966B0B"/>
    <w:rsid w:val="00967820"/>
    <w:rsid w:val="0097020D"/>
    <w:rsid w:val="00971A22"/>
    <w:rsid w:val="00972177"/>
    <w:rsid w:val="00972A59"/>
    <w:rsid w:val="00972B4A"/>
    <w:rsid w:val="00972FB9"/>
    <w:rsid w:val="00973D39"/>
    <w:rsid w:val="0097553D"/>
    <w:rsid w:val="009758FE"/>
    <w:rsid w:val="009761A4"/>
    <w:rsid w:val="0097641D"/>
    <w:rsid w:val="00976AED"/>
    <w:rsid w:val="009816F3"/>
    <w:rsid w:val="009822A2"/>
    <w:rsid w:val="009825AC"/>
    <w:rsid w:val="00982EAD"/>
    <w:rsid w:val="0098346D"/>
    <w:rsid w:val="00983502"/>
    <w:rsid w:val="00984FB3"/>
    <w:rsid w:val="009861ED"/>
    <w:rsid w:val="009872E8"/>
    <w:rsid w:val="009877FD"/>
    <w:rsid w:val="00987E43"/>
    <w:rsid w:val="00990AD4"/>
    <w:rsid w:val="00990E1C"/>
    <w:rsid w:val="00991F02"/>
    <w:rsid w:val="0099339D"/>
    <w:rsid w:val="00994093"/>
    <w:rsid w:val="009945CC"/>
    <w:rsid w:val="00995B10"/>
    <w:rsid w:val="00997598"/>
    <w:rsid w:val="009A0038"/>
    <w:rsid w:val="009A0063"/>
    <w:rsid w:val="009A0115"/>
    <w:rsid w:val="009A0C0A"/>
    <w:rsid w:val="009A1493"/>
    <w:rsid w:val="009A1A62"/>
    <w:rsid w:val="009A2008"/>
    <w:rsid w:val="009A31EC"/>
    <w:rsid w:val="009A4954"/>
    <w:rsid w:val="009A5D36"/>
    <w:rsid w:val="009A636F"/>
    <w:rsid w:val="009A6E4A"/>
    <w:rsid w:val="009A7234"/>
    <w:rsid w:val="009B05CE"/>
    <w:rsid w:val="009B05EF"/>
    <w:rsid w:val="009B0B55"/>
    <w:rsid w:val="009B1A46"/>
    <w:rsid w:val="009B1CC0"/>
    <w:rsid w:val="009B1EA8"/>
    <w:rsid w:val="009B2879"/>
    <w:rsid w:val="009B35A5"/>
    <w:rsid w:val="009B4AA8"/>
    <w:rsid w:val="009B4B66"/>
    <w:rsid w:val="009B51C9"/>
    <w:rsid w:val="009B5207"/>
    <w:rsid w:val="009B75A2"/>
    <w:rsid w:val="009C08C0"/>
    <w:rsid w:val="009C22BC"/>
    <w:rsid w:val="009C337D"/>
    <w:rsid w:val="009C34B7"/>
    <w:rsid w:val="009C4FAE"/>
    <w:rsid w:val="009C599C"/>
    <w:rsid w:val="009C71D7"/>
    <w:rsid w:val="009D13FC"/>
    <w:rsid w:val="009D190A"/>
    <w:rsid w:val="009D1F51"/>
    <w:rsid w:val="009D24F1"/>
    <w:rsid w:val="009D53C6"/>
    <w:rsid w:val="009D58D3"/>
    <w:rsid w:val="009D71F9"/>
    <w:rsid w:val="009E02F8"/>
    <w:rsid w:val="009E0539"/>
    <w:rsid w:val="009E29EC"/>
    <w:rsid w:val="009E43B7"/>
    <w:rsid w:val="009E5565"/>
    <w:rsid w:val="009E5ED6"/>
    <w:rsid w:val="009E66F2"/>
    <w:rsid w:val="009E6B74"/>
    <w:rsid w:val="009E6F15"/>
    <w:rsid w:val="009E7137"/>
    <w:rsid w:val="009E73A8"/>
    <w:rsid w:val="009E751C"/>
    <w:rsid w:val="009E7623"/>
    <w:rsid w:val="009E7910"/>
    <w:rsid w:val="009F0262"/>
    <w:rsid w:val="009F06F6"/>
    <w:rsid w:val="009F12EA"/>
    <w:rsid w:val="009F23C4"/>
    <w:rsid w:val="009F2466"/>
    <w:rsid w:val="009F30A6"/>
    <w:rsid w:val="009F4DAB"/>
    <w:rsid w:val="009F54FA"/>
    <w:rsid w:val="009F64B2"/>
    <w:rsid w:val="009F6AEB"/>
    <w:rsid w:val="009F71B3"/>
    <w:rsid w:val="009F7E0D"/>
    <w:rsid w:val="00A0080B"/>
    <w:rsid w:val="00A024FB"/>
    <w:rsid w:val="00A0306E"/>
    <w:rsid w:val="00A04C9A"/>
    <w:rsid w:val="00A053D4"/>
    <w:rsid w:val="00A06B7F"/>
    <w:rsid w:val="00A0728F"/>
    <w:rsid w:val="00A07550"/>
    <w:rsid w:val="00A07C67"/>
    <w:rsid w:val="00A11325"/>
    <w:rsid w:val="00A114B2"/>
    <w:rsid w:val="00A1196F"/>
    <w:rsid w:val="00A11C24"/>
    <w:rsid w:val="00A12915"/>
    <w:rsid w:val="00A12B7F"/>
    <w:rsid w:val="00A12E0B"/>
    <w:rsid w:val="00A133DA"/>
    <w:rsid w:val="00A15159"/>
    <w:rsid w:val="00A17CED"/>
    <w:rsid w:val="00A2020E"/>
    <w:rsid w:val="00A20876"/>
    <w:rsid w:val="00A21A2B"/>
    <w:rsid w:val="00A21B6D"/>
    <w:rsid w:val="00A21E7C"/>
    <w:rsid w:val="00A22A23"/>
    <w:rsid w:val="00A22D0A"/>
    <w:rsid w:val="00A234E8"/>
    <w:rsid w:val="00A23842"/>
    <w:rsid w:val="00A23AF1"/>
    <w:rsid w:val="00A23DA0"/>
    <w:rsid w:val="00A25DB0"/>
    <w:rsid w:val="00A264BF"/>
    <w:rsid w:val="00A26CB2"/>
    <w:rsid w:val="00A27CDE"/>
    <w:rsid w:val="00A301DC"/>
    <w:rsid w:val="00A30741"/>
    <w:rsid w:val="00A30D4E"/>
    <w:rsid w:val="00A3157D"/>
    <w:rsid w:val="00A31D74"/>
    <w:rsid w:val="00A328BF"/>
    <w:rsid w:val="00A32BF2"/>
    <w:rsid w:val="00A32DC3"/>
    <w:rsid w:val="00A330F4"/>
    <w:rsid w:val="00A334AA"/>
    <w:rsid w:val="00A336E7"/>
    <w:rsid w:val="00A3388B"/>
    <w:rsid w:val="00A35180"/>
    <w:rsid w:val="00A35A00"/>
    <w:rsid w:val="00A365C6"/>
    <w:rsid w:val="00A36B2C"/>
    <w:rsid w:val="00A37764"/>
    <w:rsid w:val="00A403B8"/>
    <w:rsid w:val="00A4096C"/>
    <w:rsid w:val="00A4121A"/>
    <w:rsid w:val="00A41742"/>
    <w:rsid w:val="00A41F64"/>
    <w:rsid w:val="00A43344"/>
    <w:rsid w:val="00A4366E"/>
    <w:rsid w:val="00A4389D"/>
    <w:rsid w:val="00A4484B"/>
    <w:rsid w:val="00A45D2D"/>
    <w:rsid w:val="00A45ED4"/>
    <w:rsid w:val="00A46EB8"/>
    <w:rsid w:val="00A47AF8"/>
    <w:rsid w:val="00A47C10"/>
    <w:rsid w:val="00A519A7"/>
    <w:rsid w:val="00A5203B"/>
    <w:rsid w:val="00A52A67"/>
    <w:rsid w:val="00A53DA8"/>
    <w:rsid w:val="00A543D1"/>
    <w:rsid w:val="00A547C4"/>
    <w:rsid w:val="00A548A8"/>
    <w:rsid w:val="00A55A79"/>
    <w:rsid w:val="00A55A95"/>
    <w:rsid w:val="00A55CF9"/>
    <w:rsid w:val="00A55E20"/>
    <w:rsid w:val="00A56A59"/>
    <w:rsid w:val="00A56E5E"/>
    <w:rsid w:val="00A57932"/>
    <w:rsid w:val="00A61814"/>
    <w:rsid w:val="00A62723"/>
    <w:rsid w:val="00A62841"/>
    <w:rsid w:val="00A658FF"/>
    <w:rsid w:val="00A65BFC"/>
    <w:rsid w:val="00A65F07"/>
    <w:rsid w:val="00A65F75"/>
    <w:rsid w:val="00A66997"/>
    <w:rsid w:val="00A66AB1"/>
    <w:rsid w:val="00A67423"/>
    <w:rsid w:val="00A70B53"/>
    <w:rsid w:val="00A71067"/>
    <w:rsid w:val="00A72FE7"/>
    <w:rsid w:val="00A73035"/>
    <w:rsid w:val="00A74A4D"/>
    <w:rsid w:val="00A74EAC"/>
    <w:rsid w:val="00A75480"/>
    <w:rsid w:val="00A763DD"/>
    <w:rsid w:val="00A8013C"/>
    <w:rsid w:val="00A80460"/>
    <w:rsid w:val="00A806F0"/>
    <w:rsid w:val="00A80B12"/>
    <w:rsid w:val="00A80C00"/>
    <w:rsid w:val="00A81E97"/>
    <w:rsid w:val="00A827B7"/>
    <w:rsid w:val="00A83A79"/>
    <w:rsid w:val="00A83BF7"/>
    <w:rsid w:val="00A83DA2"/>
    <w:rsid w:val="00A84324"/>
    <w:rsid w:val="00A851D4"/>
    <w:rsid w:val="00A85C13"/>
    <w:rsid w:val="00A9147B"/>
    <w:rsid w:val="00A917E6"/>
    <w:rsid w:val="00A92B6F"/>
    <w:rsid w:val="00A92D08"/>
    <w:rsid w:val="00A93588"/>
    <w:rsid w:val="00A93C8B"/>
    <w:rsid w:val="00A944D2"/>
    <w:rsid w:val="00A956ED"/>
    <w:rsid w:val="00A957F9"/>
    <w:rsid w:val="00A9597B"/>
    <w:rsid w:val="00A95AE2"/>
    <w:rsid w:val="00A95BA5"/>
    <w:rsid w:val="00A965DE"/>
    <w:rsid w:val="00A96D81"/>
    <w:rsid w:val="00A97524"/>
    <w:rsid w:val="00AA19E9"/>
    <w:rsid w:val="00AA1A64"/>
    <w:rsid w:val="00AA3254"/>
    <w:rsid w:val="00AA3427"/>
    <w:rsid w:val="00AA3D9D"/>
    <w:rsid w:val="00AA3F1E"/>
    <w:rsid w:val="00AA3F71"/>
    <w:rsid w:val="00AA487A"/>
    <w:rsid w:val="00AA4F7E"/>
    <w:rsid w:val="00AA53FB"/>
    <w:rsid w:val="00AA68BC"/>
    <w:rsid w:val="00AA766B"/>
    <w:rsid w:val="00AB0163"/>
    <w:rsid w:val="00AB04AF"/>
    <w:rsid w:val="00AB0735"/>
    <w:rsid w:val="00AB0954"/>
    <w:rsid w:val="00AB28CB"/>
    <w:rsid w:val="00AB2CE7"/>
    <w:rsid w:val="00AB3568"/>
    <w:rsid w:val="00AB3C8C"/>
    <w:rsid w:val="00AB41D4"/>
    <w:rsid w:val="00AB462E"/>
    <w:rsid w:val="00AB55A4"/>
    <w:rsid w:val="00AB58D8"/>
    <w:rsid w:val="00AB5BA0"/>
    <w:rsid w:val="00AB5DCD"/>
    <w:rsid w:val="00AB610E"/>
    <w:rsid w:val="00AB6F99"/>
    <w:rsid w:val="00AB7B07"/>
    <w:rsid w:val="00AC02B0"/>
    <w:rsid w:val="00AC110C"/>
    <w:rsid w:val="00AC133F"/>
    <w:rsid w:val="00AC1349"/>
    <w:rsid w:val="00AC14A6"/>
    <w:rsid w:val="00AC1F00"/>
    <w:rsid w:val="00AC1FBD"/>
    <w:rsid w:val="00AC2924"/>
    <w:rsid w:val="00AC2C45"/>
    <w:rsid w:val="00AC3402"/>
    <w:rsid w:val="00AC3595"/>
    <w:rsid w:val="00AC3745"/>
    <w:rsid w:val="00AC40E3"/>
    <w:rsid w:val="00AC4940"/>
    <w:rsid w:val="00AC4E18"/>
    <w:rsid w:val="00AC5B77"/>
    <w:rsid w:val="00AC5E99"/>
    <w:rsid w:val="00AC6CEE"/>
    <w:rsid w:val="00AD03A7"/>
    <w:rsid w:val="00AD10D0"/>
    <w:rsid w:val="00AD20E9"/>
    <w:rsid w:val="00AD2B23"/>
    <w:rsid w:val="00AD2CDE"/>
    <w:rsid w:val="00AD3852"/>
    <w:rsid w:val="00AD75D6"/>
    <w:rsid w:val="00AE090D"/>
    <w:rsid w:val="00AE2085"/>
    <w:rsid w:val="00AE2375"/>
    <w:rsid w:val="00AE2E38"/>
    <w:rsid w:val="00AE2F9D"/>
    <w:rsid w:val="00AE5930"/>
    <w:rsid w:val="00AE5B1D"/>
    <w:rsid w:val="00AE734B"/>
    <w:rsid w:val="00AF013A"/>
    <w:rsid w:val="00AF08AA"/>
    <w:rsid w:val="00AF1476"/>
    <w:rsid w:val="00AF1E28"/>
    <w:rsid w:val="00AF26AA"/>
    <w:rsid w:val="00AF2A6E"/>
    <w:rsid w:val="00AF2AC5"/>
    <w:rsid w:val="00AF3B5E"/>
    <w:rsid w:val="00AF4B59"/>
    <w:rsid w:val="00AF4B6A"/>
    <w:rsid w:val="00AF4ED5"/>
    <w:rsid w:val="00AF5AF8"/>
    <w:rsid w:val="00AF67A6"/>
    <w:rsid w:val="00AF67DA"/>
    <w:rsid w:val="00AF7576"/>
    <w:rsid w:val="00AF7A55"/>
    <w:rsid w:val="00AF7FA6"/>
    <w:rsid w:val="00B00749"/>
    <w:rsid w:val="00B01BD2"/>
    <w:rsid w:val="00B027CD"/>
    <w:rsid w:val="00B029F6"/>
    <w:rsid w:val="00B038A2"/>
    <w:rsid w:val="00B038FA"/>
    <w:rsid w:val="00B04061"/>
    <w:rsid w:val="00B044D1"/>
    <w:rsid w:val="00B04C27"/>
    <w:rsid w:val="00B05005"/>
    <w:rsid w:val="00B055E3"/>
    <w:rsid w:val="00B05A4D"/>
    <w:rsid w:val="00B06A7D"/>
    <w:rsid w:val="00B06AE8"/>
    <w:rsid w:val="00B073C3"/>
    <w:rsid w:val="00B07644"/>
    <w:rsid w:val="00B10956"/>
    <w:rsid w:val="00B10FD8"/>
    <w:rsid w:val="00B11064"/>
    <w:rsid w:val="00B11AC7"/>
    <w:rsid w:val="00B11EB2"/>
    <w:rsid w:val="00B12D96"/>
    <w:rsid w:val="00B1305D"/>
    <w:rsid w:val="00B1314F"/>
    <w:rsid w:val="00B132BB"/>
    <w:rsid w:val="00B157EE"/>
    <w:rsid w:val="00B15955"/>
    <w:rsid w:val="00B16D7D"/>
    <w:rsid w:val="00B17261"/>
    <w:rsid w:val="00B17D61"/>
    <w:rsid w:val="00B2093B"/>
    <w:rsid w:val="00B21BEC"/>
    <w:rsid w:val="00B23A4C"/>
    <w:rsid w:val="00B24DA8"/>
    <w:rsid w:val="00B254CF"/>
    <w:rsid w:val="00B2624E"/>
    <w:rsid w:val="00B26258"/>
    <w:rsid w:val="00B26477"/>
    <w:rsid w:val="00B27194"/>
    <w:rsid w:val="00B30224"/>
    <w:rsid w:val="00B30536"/>
    <w:rsid w:val="00B30559"/>
    <w:rsid w:val="00B30E93"/>
    <w:rsid w:val="00B314E7"/>
    <w:rsid w:val="00B31826"/>
    <w:rsid w:val="00B31FDC"/>
    <w:rsid w:val="00B321C4"/>
    <w:rsid w:val="00B33031"/>
    <w:rsid w:val="00B331F4"/>
    <w:rsid w:val="00B35D05"/>
    <w:rsid w:val="00B3657B"/>
    <w:rsid w:val="00B37028"/>
    <w:rsid w:val="00B371B2"/>
    <w:rsid w:val="00B40083"/>
    <w:rsid w:val="00B400D5"/>
    <w:rsid w:val="00B409F0"/>
    <w:rsid w:val="00B40C04"/>
    <w:rsid w:val="00B416F5"/>
    <w:rsid w:val="00B41A48"/>
    <w:rsid w:val="00B41EC2"/>
    <w:rsid w:val="00B42737"/>
    <w:rsid w:val="00B435FE"/>
    <w:rsid w:val="00B43A59"/>
    <w:rsid w:val="00B43AAC"/>
    <w:rsid w:val="00B43FD5"/>
    <w:rsid w:val="00B44177"/>
    <w:rsid w:val="00B4424A"/>
    <w:rsid w:val="00B4427D"/>
    <w:rsid w:val="00B451DB"/>
    <w:rsid w:val="00B45346"/>
    <w:rsid w:val="00B46EF9"/>
    <w:rsid w:val="00B475C6"/>
    <w:rsid w:val="00B47C50"/>
    <w:rsid w:val="00B5040C"/>
    <w:rsid w:val="00B50E92"/>
    <w:rsid w:val="00B51B65"/>
    <w:rsid w:val="00B55D0E"/>
    <w:rsid w:val="00B56A0A"/>
    <w:rsid w:val="00B575F7"/>
    <w:rsid w:val="00B5773F"/>
    <w:rsid w:val="00B601D0"/>
    <w:rsid w:val="00B60E79"/>
    <w:rsid w:val="00B61493"/>
    <w:rsid w:val="00B63496"/>
    <w:rsid w:val="00B6356E"/>
    <w:rsid w:val="00B642A7"/>
    <w:rsid w:val="00B64C06"/>
    <w:rsid w:val="00B651E7"/>
    <w:rsid w:val="00B65C48"/>
    <w:rsid w:val="00B67A08"/>
    <w:rsid w:val="00B67B57"/>
    <w:rsid w:val="00B67B81"/>
    <w:rsid w:val="00B67D02"/>
    <w:rsid w:val="00B67E91"/>
    <w:rsid w:val="00B71230"/>
    <w:rsid w:val="00B71A6D"/>
    <w:rsid w:val="00B71BDC"/>
    <w:rsid w:val="00B727C0"/>
    <w:rsid w:val="00B72EA3"/>
    <w:rsid w:val="00B73E2F"/>
    <w:rsid w:val="00B74652"/>
    <w:rsid w:val="00B74D7A"/>
    <w:rsid w:val="00B750BC"/>
    <w:rsid w:val="00B7788E"/>
    <w:rsid w:val="00B778F1"/>
    <w:rsid w:val="00B81432"/>
    <w:rsid w:val="00B819C2"/>
    <w:rsid w:val="00B81EC9"/>
    <w:rsid w:val="00B822DA"/>
    <w:rsid w:val="00B828D0"/>
    <w:rsid w:val="00B82C2C"/>
    <w:rsid w:val="00B832DE"/>
    <w:rsid w:val="00B83764"/>
    <w:rsid w:val="00B85A05"/>
    <w:rsid w:val="00B85E3D"/>
    <w:rsid w:val="00B86613"/>
    <w:rsid w:val="00B86DBF"/>
    <w:rsid w:val="00B87058"/>
    <w:rsid w:val="00B8755D"/>
    <w:rsid w:val="00B90684"/>
    <w:rsid w:val="00B91D03"/>
    <w:rsid w:val="00B92064"/>
    <w:rsid w:val="00B9215B"/>
    <w:rsid w:val="00B92917"/>
    <w:rsid w:val="00B9348C"/>
    <w:rsid w:val="00B935BB"/>
    <w:rsid w:val="00B9364A"/>
    <w:rsid w:val="00B9366E"/>
    <w:rsid w:val="00B9384B"/>
    <w:rsid w:val="00B94862"/>
    <w:rsid w:val="00B94F94"/>
    <w:rsid w:val="00B954C0"/>
    <w:rsid w:val="00B967D8"/>
    <w:rsid w:val="00B971E5"/>
    <w:rsid w:val="00B9784D"/>
    <w:rsid w:val="00BA0532"/>
    <w:rsid w:val="00BA05ED"/>
    <w:rsid w:val="00BA0D4F"/>
    <w:rsid w:val="00BA1141"/>
    <w:rsid w:val="00BA2215"/>
    <w:rsid w:val="00BA2354"/>
    <w:rsid w:val="00BA4170"/>
    <w:rsid w:val="00BA4FC7"/>
    <w:rsid w:val="00BA5010"/>
    <w:rsid w:val="00BA56AB"/>
    <w:rsid w:val="00BA5A57"/>
    <w:rsid w:val="00BA6C45"/>
    <w:rsid w:val="00BB00B4"/>
    <w:rsid w:val="00BB0320"/>
    <w:rsid w:val="00BB0E2F"/>
    <w:rsid w:val="00BB1173"/>
    <w:rsid w:val="00BB1355"/>
    <w:rsid w:val="00BB3A49"/>
    <w:rsid w:val="00BB42B6"/>
    <w:rsid w:val="00BB452E"/>
    <w:rsid w:val="00BB4EC9"/>
    <w:rsid w:val="00BB51DD"/>
    <w:rsid w:val="00BB5532"/>
    <w:rsid w:val="00BB6B45"/>
    <w:rsid w:val="00BC159F"/>
    <w:rsid w:val="00BC1ECE"/>
    <w:rsid w:val="00BC2CCB"/>
    <w:rsid w:val="00BC3E87"/>
    <w:rsid w:val="00BC4CF7"/>
    <w:rsid w:val="00BC5253"/>
    <w:rsid w:val="00BC5B6D"/>
    <w:rsid w:val="00BC5C9D"/>
    <w:rsid w:val="00BC5CBC"/>
    <w:rsid w:val="00BC5FAF"/>
    <w:rsid w:val="00BC61C2"/>
    <w:rsid w:val="00BC648D"/>
    <w:rsid w:val="00BC6742"/>
    <w:rsid w:val="00BC7EA6"/>
    <w:rsid w:val="00BC7EA9"/>
    <w:rsid w:val="00BD031A"/>
    <w:rsid w:val="00BD2B52"/>
    <w:rsid w:val="00BD374E"/>
    <w:rsid w:val="00BD3A31"/>
    <w:rsid w:val="00BD655E"/>
    <w:rsid w:val="00BD6C8E"/>
    <w:rsid w:val="00BD741D"/>
    <w:rsid w:val="00BD7A81"/>
    <w:rsid w:val="00BD7D25"/>
    <w:rsid w:val="00BE05C2"/>
    <w:rsid w:val="00BE1747"/>
    <w:rsid w:val="00BE20D3"/>
    <w:rsid w:val="00BE24C3"/>
    <w:rsid w:val="00BE2E63"/>
    <w:rsid w:val="00BE3205"/>
    <w:rsid w:val="00BE326A"/>
    <w:rsid w:val="00BE3987"/>
    <w:rsid w:val="00BE3A97"/>
    <w:rsid w:val="00BE3DF9"/>
    <w:rsid w:val="00BE3E33"/>
    <w:rsid w:val="00BE5988"/>
    <w:rsid w:val="00BE5CAE"/>
    <w:rsid w:val="00BE6BD4"/>
    <w:rsid w:val="00BE6DC1"/>
    <w:rsid w:val="00BE7E59"/>
    <w:rsid w:val="00BF134B"/>
    <w:rsid w:val="00BF13CE"/>
    <w:rsid w:val="00BF1D5F"/>
    <w:rsid w:val="00BF2552"/>
    <w:rsid w:val="00BF27A6"/>
    <w:rsid w:val="00BF4482"/>
    <w:rsid w:val="00BF66FB"/>
    <w:rsid w:val="00BF760F"/>
    <w:rsid w:val="00BF7617"/>
    <w:rsid w:val="00BF7F35"/>
    <w:rsid w:val="00C008AC"/>
    <w:rsid w:val="00C00F72"/>
    <w:rsid w:val="00C00F8F"/>
    <w:rsid w:val="00C01406"/>
    <w:rsid w:val="00C016DF"/>
    <w:rsid w:val="00C0320D"/>
    <w:rsid w:val="00C0378C"/>
    <w:rsid w:val="00C038AC"/>
    <w:rsid w:val="00C03925"/>
    <w:rsid w:val="00C04EAA"/>
    <w:rsid w:val="00C05FFC"/>
    <w:rsid w:val="00C076D5"/>
    <w:rsid w:val="00C0781A"/>
    <w:rsid w:val="00C10253"/>
    <w:rsid w:val="00C11CBF"/>
    <w:rsid w:val="00C11CF6"/>
    <w:rsid w:val="00C11E49"/>
    <w:rsid w:val="00C13621"/>
    <w:rsid w:val="00C14758"/>
    <w:rsid w:val="00C147D3"/>
    <w:rsid w:val="00C16AC3"/>
    <w:rsid w:val="00C170E5"/>
    <w:rsid w:val="00C1729F"/>
    <w:rsid w:val="00C20525"/>
    <w:rsid w:val="00C20AA2"/>
    <w:rsid w:val="00C20E5C"/>
    <w:rsid w:val="00C2109A"/>
    <w:rsid w:val="00C210AF"/>
    <w:rsid w:val="00C21288"/>
    <w:rsid w:val="00C22A6F"/>
    <w:rsid w:val="00C233E8"/>
    <w:rsid w:val="00C24BD0"/>
    <w:rsid w:val="00C254F3"/>
    <w:rsid w:val="00C26E4A"/>
    <w:rsid w:val="00C27D11"/>
    <w:rsid w:val="00C3060F"/>
    <w:rsid w:val="00C30A81"/>
    <w:rsid w:val="00C31504"/>
    <w:rsid w:val="00C31625"/>
    <w:rsid w:val="00C316FB"/>
    <w:rsid w:val="00C31B43"/>
    <w:rsid w:val="00C320CF"/>
    <w:rsid w:val="00C32478"/>
    <w:rsid w:val="00C32BB6"/>
    <w:rsid w:val="00C33129"/>
    <w:rsid w:val="00C3469D"/>
    <w:rsid w:val="00C35B34"/>
    <w:rsid w:val="00C35BE9"/>
    <w:rsid w:val="00C3638F"/>
    <w:rsid w:val="00C3676C"/>
    <w:rsid w:val="00C36A39"/>
    <w:rsid w:val="00C375AB"/>
    <w:rsid w:val="00C4094C"/>
    <w:rsid w:val="00C40D90"/>
    <w:rsid w:val="00C40E42"/>
    <w:rsid w:val="00C40F75"/>
    <w:rsid w:val="00C42621"/>
    <w:rsid w:val="00C42706"/>
    <w:rsid w:val="00C42E38"/>
    <w:rsid w:val="00C42EF4"/>
    <w:rsid w:val="00C43805"/>
    <w:rsid w:val="00C44EC4"/>
    <w:rsid w:val="00C44F65"/>
    <w:rsid w:val="00C45271"/>
    <w:rsid w:val="00C45293"/>
    <w:rsid w:val="00C4544E"/>
    <w:rsid w:val="00C454E0"/>
    <w:rsid w:val="00C467D8"/>
    <w:rsid w:val="00C46B02"/>
    <w:rsid w:val="00C4786A"/>
    <w:rsid w:val="00C51366"/>
    <w:rsid w:val="00C51D7E"/>
    <w:rsid w:val="00C52114"/>
    <w:rsid w:val="00C52B4C"/>
    <w:rsid w:val="00C52C13"/>
    <w:rsid w:val="00C53D3E"/>
    <w:rsid w:val="00C545B2"/>
    <w:rsid w:val="00C558FB"/>
    <w:rsid w:val="00C55E1A"/>
    <w:rsid w:val="00C55E54"/>
    <w:rsid w:val="00C563C6"/>
    <w:rsid w:val="00C5664F"/>
    <w:rsid w:val="00C56AB0"/>
    <w:rsid w:val="00C57205"/>
    <w:rsid w:val="00C62004"/>
    <w:rsid w:val="00C63FC1"/>
    <w:rsid w:val="00C6419A"/>
    <w:rsid w:val="00C64527"/>
    <w:rsid w:val="00C64633"/>
    <w:rsid w:val="00C648FA"/>
    <w:rsid w:val="00C65724"/>
    <w:rsid w:val="00C65C2A"/>
    <w:rsid w:val="00C65D32"/>
    <w:rsid w:val="00C65D61"/>
    <w:rsid w:val="00C66E7B"/>
    <w:rsid w:val="00C672E8"/>
    <w:rsid w:val="00C70313"/>
    <w:rsid w:val="00C703E6"/>
    <w:rsid w:val="00C706DB"/>
    <w:rsid w:val="00C70C6E"/>
    <w:rsid w:val="00C71465"/>
    <w:rsid w:val="00C72EAB"/>
    <w:rsid w:val="00C736DD"/>
    <w:rsid w:val="00C74D66"/>
    <w:rsid w:val="00C760D3"/>
    <w:rsid w:val="00C76194"/>
    <w:rsid w:val="00C76299"/>
    <w:rsid w:val="00C7642E"/>
    <w:rsid w:val="00C7643E"/>
    <w:rsid w:val="00C767B3"/>
    <w:rsid w:val="00C7701B"/>
    <w:rsid w:val="00C770D2"/>
    <w:rsid w:val="00C772B9"/>
    <w:rsid w:val="00C77BDF"/>
    <w:rsid w:val="00C80AB6"/>
    <w:rsid w:val="00C80FB2"/>
    <w:rsid w:val="00C820D9"/>
    <w:rsid w:val="00C824FB"/>
    <w:rsid w:val="00C83581"/>
    <w:rsid w:val="00C83F67"/>
    <w:rsid w:val="00C84770"/>
    <w:rsid w:val="00C8495B"/>
    <w:rsid w:val="00C86463"/>
    <w:rsid w:val="00C86FA6"/>
    <w:rsid w:val="00C87860"/>
    <w:rsid w:val="00C878F1"/>
    <w:rsid w:val="00C87E9B"/>
    <w:rsid w:val="00C90EA9"/>
    <w:rsid w:val="00C91051"/>
    <w:rsid w:val="00C91298"/>
    <w:rsid w:val="00C91759"/>
    <w:rsid w:val="00C91914"/>
    <w:rsid w:val="00C91AEE"/>
    <w:rsid w:val="00C921BD"/>
    <w:rsid w:val="00C9276F"/>
    <w:rsid w:val="00C92FE3"/>
    <w:rsid w:val="00C9435E"/>
    <w:rsid w:val="00C9453D"/>
    <w:rsid w:val="00C94B8C"/>
    <w:rsid w:val="00C95918"/>
    <w:rsid w:val="00C9611A"/>
    <w:rsid w:val="00C96B3F"/>
    <w:rsid w:val="00C96CDD"/>
    <w:rsid w:val="00C97836"/>
    <w:rsid w:val="00C97DBD"/>
    <w:rsid w:val="00C97FD6"/>
    <w:rsid w:val="00CA004F"/>
    <w:rsid w:val="00CA108F"/>
    <w:rsid w:val="00CA13FC"/>
    <w:rsid w:val="00CA19D6"/>
    <w:rsid w:val="00CA1DB0"/>
    <w:rsid w:val="00CA214B"/>
    <w:rsid w:val="00CA27F7"/>
    <w:rsid w:val="00CA3403"/>
    <w:rsid w:val="00CA3743"/>
    <w:rsid w:val="00CA3B1F"/>
    <w:rsid w:val="00CA3FEB"/>
    <w:rsid w:val="00CA4BB8"/>
    <w:rsid w:val="00CA4DFD"/>
    <w:rsid w:val="00CA5333"/>
    <w:rsid w:val="00CA5497"/>
    <w:rsid w:val="00CA5D6F"/>
    <w:rsid w:val="00CA5EB8"/>
    <w:rsid w:val="00CA5EDE"/>
    <w:rsid w:val="00CA6913"/>
    <w:rsid w:val="00CA6B3D"/>
    <w:rsid w:val="00CA6F83"/>
    <w:rsid w:val="00CA7420"/>
    <w:rsid w:val="00CB0592"/>
    <w:rsid w:val="00CB0C76"/>
    <w:rsid w:val="00CB17B7"/>
    <w:rsid w:val="00CB18E0"/>
    <w:rsid w:val="00CB2AC9"/>
    <w:rsid w:val="00CB2DE1"/>
    <w:rsid w:val="00CB4B98"/>
    <w:rsid w:val="00CB4CC0"/>
    <w:rsid w:val="00CB50F7"/>
    <w:rsid w:val="00CB526C"/>
    <w:rsid w:val="00CB63F7"/>
    <w:rsid w:val="00CB6795"/>
    <w:rsid w:val="00CB679D"/>
    <w:rsid w:val="00CB6F1F"/>
    <w:rsid w:val="00CC013B"/>
    <w:rsid w:val="00CC1258"/>
    <w:rsid w:val="00CC1526"/>
    <w:rsid w:val="00CC1D26"/>
    <w:rsid w:val="00CC1EE9"/>
    <w:rsid w:val="00CC2515"/>
    <w:rsid w:val="00CC322B"/>
    <w:rsid w:val="00CC3A93"/>
    <w:rsid w:val="00CC3E16"/>
    <w:rsid w:val="00CC4FC2"/>
    <w:rsid w:val="00CC59DE"/>
    <w:rsid w:val="00CC5FEC"/>
    <w:rsid w:val="00CC60EA"/>
    <w:rsid w:val="00CC62BD"/>
    <w:rsid w:val="00CC642A"/>
    <w:rsid w:val="00CC7206"/>
    <w:rsid w:val="00CC76B1"/>
    <w:rsid w:val="00CC7813"/>
    <w:rsid w:val="00CD03BD"/>
    <w:rsid w:val="00CD0856"/>
    <w:rsid w:val="00CD1254"/>
    <w:rsid w:val="00CD1399"/>
    <w:rsid w:val="00CD13C7"/>
    <w:rsid w:val="00CD1E40"/>
    <w:rsid w:val="00CD22B0"/>
    <w:rsid w:val="00CD2B37"/>
    <w:rsid w:val="00CD4674"/>
    <w:rsid w:val="00CD5359"/>
    <w:rsid w:val="00CD5613"/>
    <w:rsid w:val="00CD5CB9"/>
    <w:rsid w:val="00CD634E"/>
    <w:rsid w:val="00CD78DE"/>
    <w:rsid w:val="00CD7DB6"/>
    <w:rsid w:val="00CE18DB"/>
    <w:rsid w:val="00CE1BEC"/>
    <w:rsid w:val="00CE24E9"/>
    <w:rsid w:val="00CE2642"/>
    <w:rsid w:val="00CE2668"/>
    <w:rsid w:val="00CE362A"/>
    <w:rsid w:val="00CE4442"/>
    <w:rsid w:val="00CE458B"/>
    <w:rsid w:val="00CE4795"/>
    <w:rsid w:val="00CE4E83"/>
    <w:rsid w:val="00CE7939"/>
    <w:rsid w:val="00CE7DFE"/>
    <w:rsid w:val="00CF1A4E"/>
    <w:rsid w:val="00CF1C6C"/>
    <w:rsid w:val="00CF2EA5"/>
    <w:rsid w:val="00CF3145"/>
    <w:rsid w:val="00CF3F2C"/>
    <w:rsid w:val="00CF47D3"/>
    <w:rsid w:val="00CF4A5A"/>
    <w:rsid w:val="00CF5AC7"/>
    <w:rsid w:val="00CF5C57"/>
    <w:rsid w:val="00CF65A6"/>
    <w:rsid w:val="00CF6E87"/>
    <w:rsid w:val="00CF7002"/>
    <w:rsid w:val="00CF7039"/>
    <w:rsid w:val="00D00470"/>
    <w:rsid w:val="00D018B1"/>
    <w:rsid w:val="00D01E4E"/>
    <w:rsid w:val="00D0236C"/>
    <w:rsid w:val="00D0250B"/>
    <w:rsid w:val="00D02D37"/>
    <w:rsid w:val="00D02E91"/>
    <w:rsid w:val="00D048E5"/>
    <w:rsid w:val="00D04F4F"/>
    <w:rsid w:val="00D05A8A"/>
    <w:rsid w:val="00D06121"/>
    <w:rsid w:val="00D06CC1"/>
    <w:rsid w:val="00D075E5"/>
    <w:rsid w:val="00D07709"/>
    <w:rsid w:val="00D10889"/>
    <w:rsid w:val="00D10DB0"/>
    <w:rsid w:val="00D11682"/>
    <w:rsid w:val="00D11EF5"/>
    <w:rsid w:val="00D11F86"/>
    <w:rsid w:val="00D12050"/>
    <w:rsid w:val="00D120BE"/>
    <w:rsid w:val="00D12540"/>
    <w:rsid w:val="00D1284B"/>
    <w:rsid w:val="00D12F9D"/>
    <w:rsid w:val="00D132E8"/>
    <w:rsid w:val="00D13AE7"/>
    <w:rsid w:val="00D148D2"/>
    <w:rsid w:val="00D15FD5"/>
    <w:rsid w:val="00D1649B"/>
    <w:rsid w:val="00D176C3"/>
    <w:rsid w:val="00D20B5E"/>
    <w:rsid w:val="00D20CEA"/>
    <w:rsid w:val="00D21C95"/>
    <w:rsid w:val="00D225DF"/>
    <w:rsid w:val="00D2285F"/>
    <w:rsid w:val="00D22A84"/>
    <w:rsid w:val="00D23A37"/>
    <w:rsid w:val="00D24F58"/>
    <w:rsid w:val="00D2509F"/>
    <w:rsid w:val="00D26811"/>
    <w:rsid w:val="00D26FD8"/>
    <w:rsid w:val="00D27924"/>
    <w:rsid w:val="00D27D3F"/>
    <w:rsid w:val="00D30ABE"/>
    <w:rsid w:val="00D31593"/>
    <w:rsid w:val="00D31F86"/>
    <w:rsid w:val="00D32188"/>
    <w:rsid w:val="00D324ED"/>
    <w:rsid w:val="00D33D4C"/>
    <w:rsid w:val="00D34B2D"/>
    <w:rsid w:val="00D3515F"/>
    <w:rsid w:val="00D36036"/>
    <w:rsid w:val="00D360BC"/>
    <w:rsid w:val="00D3728C"/>
    <w:rsid w:val="00D37F2E"/>
    <w:rsid w:val="00D40DC5"/>
    <w:rsid w:val="00D418B5"/>
    <w:rsid w:val="00D42281"/>
    <w:rsid w:val="00D43848"/>
    <w:rsid w:val="00D44469"/>
    <w:rsid w:val="00D45240"/>
    <w:rsid w:val="00D457A3"/>
    <w:rsid w:val="00D45E6A"/>
    <w:rsid w:val="00D46344"/>
    <w:rsid w:val="00D46A5A"/>
    <w:rsid w:val="00D46CF5"/>
    <w:rsid w:val="00D50679"/>
    <w:rsid w:val="00D50A08"/>
    <w:rsid w:val="00D51990"/>
    <w:rsid w:val="00D519EB"/>
    <w:rsid w:val="00D52F0F"/>
    <w:rsid w:val="00D52F5B"/>
    <w:rsid w:val="00D5327E"/>
    <w:rsid w:val="00D5335B"/>
    <w:rsid w:val="00D5356C"/>
    <w:rsid w:val="00D536E6"/>
    <w:rsid w:val="00D53D38"/>
    <w:rsid w:val="00D540CA"/>
    <w:rsid w:val="00D55274"/>
    <w:rsid w:val="00D552A5"/>
    <w:rsid w:val="00D5539C"/>
    <w:rsid w:val="00D56EAF"/>
    <w:rsid w:val="00D57F23"/>
    <w:rsid w:val="00D60440"/>
    <w:rsid w:val="00D60B61"/>
    <w:rsid w:val="00D60E92"/>
    <w:rsid w:val="00D61F7F"/>
    <w:rsid w:val="00D6400F"/>
    <w:rsid w:val="00D653EB"/>
    <w:rsid w:val="00D65659"/>
    <w:rsid w:val="00D661F6"/>
    <w:rsid w:val="00D662CC"/>
    <w:rsid w:val="00D66331"/>
    <w:rsid w:val="00D66514"/>
    <w:rsid w:val="00D6689A"/>
    <w:rsid w:val="00D71071"/>
    <w:rsid w:val="00D72443"/>
    <w:rsid w:val="00D72F7A"/>
    <w:rsid w:val="00D737AB"/>
    <w:rsid w:val="00D7437D"/>
    <w:rsid w:val="00D74897"/>
    <w:rsid w:val="00D74C62"/>
    <w:rsid w:val="00D74CE7"/>
    <w:rsid w:val="00D756E2"/>
    <w:rsid w:val="00D75D4F"/>
    <w:rsid w:val="00D763CF"/>
    <w:rsid w:val="00D7643E"/>
    <w:rsid w:val="00D76445"/>
    <w:rsid w:val="00D7694F"/>
    <w:rsid w:val="00D76DB6"/>
    <w:rsid w:val="00D77124"/>
    <w:rsid w:val="00D806D1"/>
    <w:rsid w:val="00D80756"/>
    <w:rsid w:val="00D808F8"/>
    <w:rsid w:val="00D80F9A"/>
    <w:rsid w:val="00D82C6B"/>
    <w:rsid w:val="00D830CA"/>
    <w:rsid w:val="00D83A3E"/>
    <w:rsid w:val="00D847EA"/>
    <w:rsid w:val="00D858F6"/>
    <w:rsid w:val="00D86CDE"/>
    <w:rsid w:val="00D916B7"/>
    <w:rsid w:val="00D92275"/>
    <w:rsid w:val="00D9235A"/>
    <w:rsid w:val="00D9286E"/>
    <w:rsid w:val="00D92983"/>
    <w:rsid w:val="00D92E53"/>
    <w:rsid w:val="00D930CD"/>
    <w:rsid w:val="00D93392"/>
    <w:rsid w:val="00D9426F"/>
    <w:rsid w:val="00D94AF0"/>
    <w:rsid w:val="00D94F51"/>
    <w:rsid w:val="00D95FC8"/>
    <w:rsid w:val="00D96391"/>
    <w:rsid w:val="00D97B38"/>
    <w:rsid w:val="00DA28F4"/>
    <w:rsid w:val="00DA2D35"/>
    <w:rsid w:val="00DA36C5"/>
    <w:rsid w:val="00DA41D6"/>
    <w:rsid w:val="00DA430F"/>
    <w:rsid w:val="00DA47D6"/>
    <w:rsid w:val="00DA5065"/>
    <w:rsid w:val="00DA5A56"/>
    <w:rsid w:val="00DA5C82"/>
    <w:rsid w:val="00DA6618"/>
    <w:rsid w:val="00DA663E"/>
    <w:rsid w:val="00DA70B9"/>
    <w:rsid w:val="00DB3AD3"/>
    <w:rsid w:val="00DB40C4"/>
    <w:rsid w:val="00DB4253"/>
    <w:rsid w:val="00DB458A"/>
    <w:rsid w:val="00DB4C9B"/>
    <w:rsid w:val="00DB4CDD"/>
    <w:rsid w:val="00DB5240"/>
    <w:rsid w:val="00DB5DCD"/>
    <w:rsid w:val="00DC00F1"/>
    <w:rsid w:val="00DC01AB"/>
    <w:rsid w:val="00DC138C"/>
    <w:rsid w:val="00DC13ED"/>
    <w:rsid w:val="00DC1DA7"/>
    <w:rsid w:val="00DC1DC8"/>
    <w:rsid w:val="00DC30A1"/>
    <w:rsid w:val="00DC3FE3"/>
    <w:rsid w:val="00DC6BF5"/>
    <w:rsid w:val="00DC7348"/>
    <w:rsid w:val="00DC772C"/>
    <w:rsid w:val="00DD15F9"/>
    <w:rsid w:val="00DD1D0D"/>
    <w:rsid w:val="00DD2A36"/>
    <w:rsid w:val="00DD4921"/>
    <w:rsid w:val="00DD4CDB"/>
    <w:rsid w:val="00DD5B4D"/>
    <w:rsid w:val="00DD7CC1"/>
    <w:rsid w:val="00DE0135"/>
    <w:rsid w:val="00DE0268"/>
    <w:rsid w:val="00DE0B7E"/>
    <w:rsid w:val="00DE11B0"/>
    <w:rsid w:val="00DE1A01"/>
    <w:rsid w:val="00DE2243"/>
    <w:rsid w:val="00DE3A74"/>
    <w:rsid w:val="00DE4999"/>
    <w:rsid w:val="00DE631C"/>
    <w:rsid w:val="00DE68C6"/>
    <w:rsid w:val="00DF1BAE"/>
    <w:rsid w:val="00DF21A4"/>
    <w:rsid w:val="00DF2562"/>
    <w:rsid w:val="00DF3907"/>
    <w:rsid w:val="00DF3CB0"/>
    <w:rsid w:val="00DF4399"/>
    <w:rsid w:val="00DF493F"/>
    <w:rsid w:val="00DF4E30"/>
    <w:rsid w:val="00DF50FE"/>
    <w:rsid w:val="00DF5389"/>
    <w:rsid w:val="00DF5776"/>
    <w:rsid w:val="00DF76CE"/>
    <w:rsid w:val="00DF785C"/>
    <w:rsid w:val="00E03CCF"/>
    <w:rsid w:val="00E043E5"/>
    <w:rsid w:val="00E04769"/>
    <w:rsid w:val="00E0478C"/>
    <w:rsid w:val="00E0529A"/>
    <w:rsid w:val="00E05550"/>
    <w:rsid w:val="00E078E8"/>
    <w:rsid w:val="00E10BB7"/>
    <w:rsid w:val="00E11044"/>
    <w:rsid w:val="00E1117D"/>
    <w:rsid w:val="00E111FF"/>
    <w:rsid w:val="00E120D9"/>
    <w:rsid w:val="00E12298"/>
    <w:rsid w:val="00E127EE"/>
    <w:rsid w:val="00E13223"/>
    <w:rsid w:val="00E13704"/>
    <w:rsid w:val="00E13D85"/>
    <w:rsid w:val="00E150F5"/>
    <w:rsid w:val="00E178E1"/>
    <w:rsid w:val="00E20666"/>
    <w:rsid w:val="00E20ABB"/>
    <w:rsid w:val="00E210DD"/>
    <w:rsid w:val="00E21A79"/>
    <w:rsid w:val="00E21CEB"/>
    <w:rsid w:val="00E22099"/>
    <w:rsid w:val="00E2339E"/>
    <w:rsid w:val="00E23A5F"/>
    <w:rsid w:val="00E245B5"/>
    <w:rsid w:val="00E26515"/>
    <w:rsid w:val="00E302D0"/>
    <w:rsid w:val="00E30B6C"/>
    <w:rsid w:val="00E30F02"/>
    <w:rsid w:val="00E310F6"/>
    <w:rsid w:val="00E311FC"/>
    <w:rsid w:val="00E31AF7"/>
    <w:rsid w:val="00E31C6C"/>
    <w:rsid w:val="00E31E38"/>
    <w:rsid w:val="00E3348C"/>
    <w:rsid w:val="00E342CB"/>
    <w:rsid w:val="00E34932"/>
    <w:rsid w:val="00E356E6"/>
    <w:rsid w:val="00E36076"/>
    <w:rsid w:val="00E3631A"/>
    <w:rsid w:val="00E36434"/>
    <w:rsid w:val="00E36FC1"/>
    <w:rsid w:val="00E375CD"/>
    <w:rsid w:val="00E40C25"/>
    <w:rsid w:val="00E40FF5"/>
    <w:rsid w:val="00E420C4"/>
    <w:rsid w:val="00E421C4"/>
    <w:rsid w:val="00E4235D"/>
    <w:rsid w:val="00E42E06"/>
    <w:rsid w:val="00E4327B"/>
    <w:rsid w:val="00E43F58"/>
    <w:rsid w:val="00E4444A"/>
    <w:rsid w:val="00E44619"/>
    <w:rsid w:val="00E4530B"/>
    <w:rsid w:val="00E456D9"/>
    <w:rsid w:val="00E46042"/>
    <w:rsid w:val="00E469E1"/>
    <w:rsid w:val="00E46C55"/>
    <w:rsid w:val="00E50B35"/>
    <w:rsid w:val="00E51380"/>
    <w:rsid w:val="00E514B4"/>
    <w:rsid w:val="00E51D1E"/>
    <w:rsid w:val="00E51DCF"/>
    <w:rsid w:val="00E52900"/>
    <w:rsid w:val="00E53301"/>
    <w:rsid w:val="00E5347F"/>
    <w:rsid w:val="00E5360C"/>
    <w:rsid w:val="00E558AA"/>
    <w:rsid w:val="00E559B9"/>
    <w:rsid w:val="00E55B5D"/>
    <w:rsid w:val="00E56F7E"/>
    <w:rsid w:val="00E60013"/>
    <w:rsid w:val="00E6040A"/>
    <w:rsid w:val="00E60640"/>
    <w:rsid w:val="00E60747"/>
    <w:rsid w:val="00E6124C"/>
    <w:rsid w:val="00E6206F"/>
    <w:rsid w:val="00E62186"/>
    <w:rsid w:val="00E63AA5"/>
    <w:rsid w:val="00E65860"/>
    <w:rsid w:val="00E65B22"/>
    <w:rsid w:val="00E67FB9"/>
    <w:rsid w:val="00E700C9"/>
    <w:rsid w:val="00E70642"/>
    <w:rsid w:val="00E70D02"/>
    <w:rsid w:val="00E71059"/>
    <w:rsid w:val="00E7207B"/>
    <w:rsid w:val="00E7255C"/>
    <w:rsid w:val="00E73F48"/>
    <w:rsid w:val="00E75187"/>
    <w:rsid w:val="00E7540F"/>
    <w:rsid w:val="00E76D0F"/>
    <w:rsid w:val="00E80B27"/>
    <w:rsid w:val="00E80EEA"/>
    <w:rsid w:val="00E8106F"/>
    <w:rsid w:val="00E816B6"/>
    <w:rsid w:val="00E8356E"/>
    <w:rsid w:val="00E84180"/>
    <w:rsid w:val="00E84E53"/>
    <w:rsid w:val="00E8692E"/>
    <w:rsid w:val="00E86C32"/>
    <w:rsid w:val="00E86F28"/>
    <w:rsid w:val="00E87559"/>
    <w:rsid w:val="00E87872"/>
    <w:rsid w:val="00E87DFD"/>
    <w:rsid w:val="00E87F76"/>
    <w:rsid w:val="00E91207"/>
    <w:rsid w:val="00E913BF"/>
    <w:rsid w:val="00E92666"/>
    <w:rsid w:val="00E9325A"/>
    <w:rsid w:val="00E93268"/>
    <w:rsid w:val="00E93831"/>
    <w:rsid w:val="00E939BF"/>
    <w:rsid w:val="00E9408E"/>
    <w:rsid w:val="00E94805"/>
    <w:rsid w:val="00E94D80"/>
    <w:rsid w:val="00E96119"/>
    <w:rsid w:val="00E96445"/>
    <w:rsid w:val="00E97017"/>
    <w:rsid w:val="00E9766A"/>
    <w:rsid w:val="00E97D51"/>
    <w:rsid w:val="00E97F3E"/>
    <w:rsid w:val="00EA0C20"/>
    <w:rsid w:val="00EA18C5"/>
    <w:rsid w:val="00EA2A77"/>
    <w:rsid w:val="00EA3FCD"/>
    <w:rsid w:val="00EA40E0"/>
    <w:rsid w:val="00EA67EB"/>
    <w:rsid w:val="00EA6935"/>
    <w:rsid w:val="00EA6DA2"/>
    <w:rsid w:val="00EA6E2F"/>
    <w:rsid w:val="00EA75EF"/>
    <w:rsid w:val="00EB01DA"/>
    <w:rsid w:val="00EB0BDA"/>
    <w:rsid w:val="00EB1392"/>
    <w:rsid w:val="00EB16D5"/>
    <w:rsid w:val="00EB1D40"/>
    <w:rsid w:val="00EB1D4E"/>
    <w:rsid w:val="00EB201B"/>
    <w:rsid w:val="00EB23D6"/>
    <w:rsid w:val="00EB54D7"/>
    <w:rsid w:val="00EB5A9E"/>
    <w:rsid w:val="00EB6A90"/>
    <w:rsid w:val="00EB78AA"/>
    <w:rsid w:val="00EB795E"/>
    <w:rsid w:val="00EB7FBC"/>
    <w:rsid w:val="00EC001B"/>
    <w:rsid w:val="00EC030D"/>
    <w:rsid w:val="00EC1D2C"/>
    <w:rsid w:val="00EC2D71"/>
    <w:rsid w:val="00EC316D"/>
    <w:rsid w:val="00EC47F1"/>
    <w:rsid w:val="00EC5379"/>
    <w:rsid w:val="00EC5633"/>
    <w:rsid w:val="00EC600C"/>
    <w:rsid w:val="00EC6826"/>
    <w:rsid w:val="00EC74E3"/>
    <w:rsid w:val="00ED0984"/>
    <w:rsid w:val="00ED1FC4"/>
    <w:rsid w:val="00ED3D23"/>
    <w:rsid w:val="00ED41C5"/>
    <w:rsid w:val="00ED4BE1"/>
    <w:rsid w:val="00ED5784"/>
    <w:rsid w:val="00ED6557"/>
    <w:rsid w:val="00ED66B2"/>
    <w:rsid w:val="00ED67AC"/>
    <w:rsid w:val="00ED6B97"/>
    <w:rsid w:val="00ED76F0"/>
    <w:rsid w:val="00ED7A2A"/>
    <w:rsid w:val="00EE04C6"/>
    <w:rsid w:val="00EE0F37"/>
    <w:rsid w:val="00EE12B6"/>
    <w:rsid w:val="00EE27EA"/>
    <w:rsid w:val="00EE284F"/>
    <w:rsid w:val="00EE2E0B"/>
    <w:rsid w:val="00EE3148"/>
    <w:rsid w:val="00EE31D3"/>
    <w:rsid w:val="00EE3329"/>
    <w:rsid w:val="00EE42DA"/>
    <w:rsid w:val="00EE470C"/>
    <w:rsid w:val="00EE4FF6"/>
    <w:rsid w:val="00EE5034"/>
    <w:rsid w:val="00EE55D3"/>
    <w:rsid w:val="00EE56DA"/>
    <w:rsid w:val="00EE5D24"/>
    <w:rsid w:val="00EE5E65"/>
    <w:rsid w:val="00EE7146"/>
    <w:rsid w:val="00EE78F6"/>
    <w:rsid w:val="00EF04F2"/>
    <w:rsid w:val="00EF051F"/>
    <w:rsid w:val="00EF074B"/>
    <w:rsid w:val="00EF0C58"/>
    <w:rsid w:val="00EF1733"/>
    <w:rsid w:val="00EF27A8"/>
    <w:rsid w:val="00EF2F4A"/>
    <w:rsid w:val="00EF3738"/>
    <w:rsid w:val="00EF3ADB"/>
    <w:rsid w:val="00EF4E7C"/>
    <w:rsid w:val="00EF50F4"/>
    <w:rsid w:val="00EF7557"/>
    <w:rsid w:val="00F0014F"/>
    <w:rsid w:val="00F00509"/>
    <w:rsid w:val="00F00605"/>
    <w:rsid w:val="00F00D1C"/>
    <w:rsid w:val="00F00EA6"/>
    <w:rsid w:val="00F01234"/>
    <w:rsid w:val="00F017C4"/>
    <w:rsid w:val="00F0251C"/>
    <w:rsid w:val="00F02805"/>
    <w:rsid w:val="00F033E6"/>
    <w:rsid w:val="00F0354C"/>
    <w:rsid w:val="00F05A34"/>
    <w:rsid w:val="00F07037"/>
    <w:rsid w:val="00F071EF"/>
    <w:rsid w:val="00F07BBB"/>
    <w:rsid w:val="00F10756"/>
    <w:rsid w:val="00F10A3F"/>
    <w:rsid w:val="00F11167"/>
    <w:rsid w:val="00F1232F"/>
    <w:rsid w:val="00F126A6"/>
    <w:rsid w:val="00F12B18"/>
    <w:rsid w:val="00F12D22"/>
    <w:rsid w:val="00F13A1D"/>
    <w:rsid w:val="00F16DF0"/>
    <w:rsid w:val="00F20088"/>
    <w:rsid w:val="00F207D2"/>
    <w:rsid w:val="00F20E84"/>
    <w:rsid w:val="00F21B0F"/>
    <w:rsid w:val="00F21CA4"/>
    <w:rsid w:val="00F2242C"/>
    <w:rsid w:val="00F23FAA"/>
    <w:rsid w:val="00F2517F"/>
    <w:rsid w:val="00F25907"/>
    <w:rsid w:val="00F25C08"/>
    <w:rsid w:val="00F25FCD"/>
    <w:rsid w:val="00F26477"/>
    <w:rsid w:val="00F26F25"/>
    <w:rsid w:val="00F26FD5"/>
    <w:rsid w:val="00F30ACB"/>
    <w:rsid w:val="00F31280"/>
    <w:rsid w:val="00F32600"/>
    <w:rsid w:val="00F333CA"/>
    <w:rsid w:val="00F33E11"/>
    <w:rsid w:val="00F34588"/>
    <w:rsid w:val="00F347B7"/>
    <w:rsid w:val="00F35891"/>
    <w:rsid w:val="00F35A63"/>
    <w:rsid w:val="00F35CAA"/>
    <w:rsid w:val="00F361B5"/>
    <w:rsid w:val="00F37353"/>
    <w:rsid w:val="00F40216"/>
    <w:rsid w:val="00F4094C"/>
    <w:rsid w:val="00F409D7"/>
    <w:rsid w:val="00F41C93"/>
    <w:rsid w:val="00F43199"/>
    <w:rsid w:val="00F432DC"/>
    <w:rsid w:val="00F4422A"/>
    <w:rsid w:val="00F4431C"/>
    <w:rsid w:val="00F44334"/>
    <w:rsid w:val="00F44B2D"/>
    <w:rsid w:val="00F44F71"/>
    <w:rsid w:val="00F454E4"/>
    <w:rsid w:val="00F45B7A"/>
    <w:rsid w:val="00F45DC9"/>
    <w:rsid w:val="00F46652"/>
    <w:rsid w:val="00F46874"/>
    <w:rsid w:val="00F474D8"/>
    <w:rsid w:val="00F47943"/>
    <w:rsid w:val="00F47C14"/>
    <w:rsid w:val="00F502B1"/>
    <w:rsid w:val="00F505ED"/>
    <w:rsid w:val="00F51296"/>
    <w:rsid w:val="00F520F6"/>
    <w:rsid w:val="00F53028"/>
    <w:rsid w:val="00F533FF"/>
    <w:rsid w:val="00F53721"/>
    <w:rsid w:val="00F53D25"/>
    <w:rsid w:val="00F54473"/>
    <w:rsid w:val="00F545EB"/>
    <w:rsid w:val="00F56949"/>
    <w:rsid w:val="00F56A6F"/>
    <w:rsid w:val="00F56F50"/>
    <w:rsid w:val="00F570C3"/>
    <w:rsid w:val="00F60728"/>
    <w:rsid w:val="00F60C49"/>
    <w:rsid w:val="00F60E52"/>
    <w:rsid w:val="00F617D8"/>
    <w:rsid w:val="00F61B83"/>
    <w:rsid w:val="00F6233A"/>
    <w:rsid w:val="00F6448C"/>
    <w:rsid w:val="00F647CC"/>
    <w:rsid w:val="00F64C83"/>
    <w:rsid w:val="00F650BE"/>
    <w:rsid w:val="00F666C5"/>
    <w:rsid w:val="00F66D30"/>
    <w:rsid w:val="00F66F83"/>
    <w:rsid w:val="00F703C2"/>
    <w:rsid w:val="00F70476"/>
    <w:rsid w:val="00F707E6"/>
    <w:rsid w:val="00F71528"/>
    <w:rsid w:val="00F719BE"/>
    <w:rsid w:val="00F71C10"/>
    <w:rsid w:val="00F71E14"/>
    <w:rsid w:val="00F71EE0"/>
    <w:rsid w:val="00F720F0"/>
    <w:rsid w:val="00F721A9"/>
    <w:rsid w:val="00F72525"/>
    <w:rsid w:val="00F7398A"/>
    <w:rsid w:val="00F73CC8"/>
    <w:rsid w:val="00F74DA0"/>
    <w:rsid w:val="00F74DDF"/>
    <w:rsid w:val="00F75998"/>
    <w:rsid w:val="00F76121"/>
    <w:rsid w:val="00F76BC1"/>
    <w:rsid w:val="00F76CC1"/>
    <w:rsid w:val="00F76EC7"/>
    <w:rsid w:val="00F77A33"/>
    <w:rsid w:val="00F77BED"/>
    <w:rsid w:val="00F81BCD"/>
    <w:rsid w:val="00F82A3E"/>
    <w:rsid w:val="00F82B3D"/>
    <w:rsid w:val="00F832AC"/>
    <w:rsid w:val="00F840BC"/>
    <w:rsid w:val="00F84700"/>
    <w:rsid w:val="00F8517B"/>
    <w:rsid w:val="00F862C7"/>
    <w:rsid w:val="00F867DB"/>
    <w:rsid w:val="00F86A3C"/>
    <w:rsid w:val="00F86A67"/>
    <w:rsid w:val="00F86C54"/>
    <w:rsid w:val="00F87727"/>
    <w:rsid w:val="00F9246D"/>
    <w:rsid w:val="00F9353C"/>
    <w:rsid w:val="00F938C4"/>
    <w:rsid w:val="00F93A8D"/>
    <w:rsid w:val="00F94A58"/>
    <w:rsid w:val="00F94F39"/>
    <w:rsid w:val="00F956CC"/>
    <w:rsid w:val="00F95E97"/>
    <w:rsid w:val="00F965AA"/>
    <w:rsid w:val="00F97CBB"/>
    <w:rsid w:val="00FA07AC"/>
    <w:rsid w:val="00FA0E6C"/>
    <w:rsid w:val="00FA111C"/>
    <w:rsid w:val="00FA1274"/>
    <w:rsid w:val="00FA14F3"/>
    <w:rsid w:val="00FA20E5"/>
    <w:rsid w:val="00FA2A38"/>
    <w:rsid w:val="00FA4246"/>
    <w:rsid w:val="00FA4367"/>
    <w:rsid w:val="00FA5395"/>
    <w:rsid w:val="00FA56CD"/>
    <w:rsid w:val="00FA5930"/>
    <w:rsid w:val="00FA5BA1"/>
    <w:rsid w:val="00FA5CAF"/>
    <w:rsid w:val="00FA65A2"/>
    <w:rsid w:val="00FA68D7"/>
    <w:rsid w:val="00FA7AC7"/>
    <w:rsid w:val="00FB04A7"/>
    <w:rsid w:val="00FB0744"/>
    <w:rsid w:val="00FB08B9"/>
    <w:rsid w:val="00FB0D50"/>
    <w:rsid w:val="00FB156E"/>
    <w:rsid w:val="00FB1E7C"/>
    <w:rsid w:val="00FB36F8"/>
    <w:rsid w:val="00FB3C3A"/>
    <w:rsid w:val="00FB3F92"/>
    <w:rsid w:val="00FB48F1"/>
    <w:rsid w:val="00FB4A64"/>
    <w:rsid w:val="00FB4B42"/>
    <w:rsid w:val="00FB5479"/>
    <w:rsid w:val="00FB73A0"/>
    <w:rsid w:val="00FC01CF"/>
    <w:rsid w:val="00FC0A5C"/>
    <w:rsid w:val="00FC0A8F"/>
    <w:rsid w:val="00FC1068"/>
    <w:rsid w:val="00FC1BF7"/>
    <w:rsid w:val="00FC22A7"/>
    <w:rsid w:val="00FC282D"/>
    <w:rsid w:val="00FC2FF8"/>
    <w:rsid w:val="00FC311D"/>
    <w:rsid w:val="00FC394A"/>
    <w:rsid w:val="00FC3C8A"/>
    <w:rsid w:val="00FC4175"/>
    <w:rsid w:val="00FC564B"/>
    <w:rsid w:val="00FC5897"/>
    <w:rsid w:val="00FC5CBA"/>
    <w:rsid w:val="00FC60F7"/>
    <w:rsid w:val="00FC79B0"/>
    <w:rsid w:val="00FD0737"/>
    <w:rsid w:val="00FD0DB5"/>
    <w:rsid w:val="00FD13DC"/>
    <w:rsid w:val="00FD2018"/>
    <w:rsid w:val="00FD2991"/>
    <w:rsid w:val="00FD2C05"/>
    <w:rsid w:val="00FD4018"/>
    <w:rsid w:val="00FD414B"/>
    <w:rsid w:val="00FD4425"/>
    <w:rsid w:val="00FD4644"/>
    <w:rsid w:val="00FD4BD5"/>
    <w:rsid w:val="00FD5999"/>
    <w:rsid w:val="00FD5A6E"/>
    <w:rsid w:val="00FD6124"/>
    <w:rsid w:val="00FD6FEB"/>
    <w:rsid w:val="00FE02A0"/>
    <w:rsid w:val="00FE0935"/>
    <w:rsid w:val="00FE13E1"/>
    <w:rsid w:val="00FE1600"/>
    <w:rsid w:val="00FE162A"/>
    <w:rsid w:val="00FE171A"/>
    <w:rsid w:val="00FE1AC0"/>
    <w:rsid w:val="00FE23DF"/>
    <w:rsid w:val="00FE2816"/>
    <w:rsid w:val="00FE33A2"/>
    <w:rsid w:val="00FE461A"/>
    <w:rsid w:val="00FE5590"/>
    <w:rsid w:val="00FE56D5"/>
    <w:rsid w:val="00FE5CEC"/>
    <w:rsid w:val="00FE5D84"/>
    <w:rsid w:val="00FE6E42"/>
    <w:rsid w:val="00FE71B9"/>
    <w:rsid w:val="00FE73D2"/>
    <w:rsid w:val="00FE7512"/>
    <w:rsid w:val="00FE7658"/>
    <w:rsid w:val="00FF187B"/>
    <w:rsid w:val="00FF1E8B"/>
    <w:rsid w:val="00FF2884"/>
    <w:rsid w:val="00FF2E48"/>
    <w:rsid w:val="00FF329A"/>
    <w:rsid w:val="00FF3BC6"/>
    <w:rsid w:val="00FF3F84"/>
    <w:rsid w:val="00FF5691"/>
    <w:rsid w:val="00FF74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99F3"/>
  <w15:chartTrackingRefBased/>
  <w15:docId w15:val="{94D54AA4-B5BD-4CB4-8EED-F6D04532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qFormat/>
    <w:rsid w:val="00B371B2"/>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BalloonText">
    <w:name w:val="Balloon Text"/>
    <w:basedOn w:val="Normal"/>
    <w:link w:val="BalloonTextChar"/>
    <w:uiPriority w:val="99"/>
    <w:semiHidden/>
    <w:unhideWhenUsed/>
    <w:rsid w:val="0012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3D"/>
    <w:rPr>
      <w:rFonts w:ascii="Segoe UI" w:hAnsi="Segoe UI" w:cs="Segoe UI"/>
      <w:sz w:val="18"/>
      <w:szCs w:val="18"/>
      <w:lang w:val="en-GB"/>
    </w:rPr>
  </w:style>
  <w:style w:type="paragraph" w:styleId="FootnoteText">
    <w:name w:val="footnote text"/>
    <w:basedOn w:val="Normal"/>
    <w:link w:val="FootnoteTextChar"/>
    <w:uiPriority w:val="99"/>
    <w:unhideWhenUsed/>
    <w:rsid w:val="008A4ADA"/>
    <w:pPr>
      <w:spacing w:after="0" w:line="240" w:lineRule="auto"/>
    </w:pPr>
    <w:rPr>
      <w:sz w:val="20"/>
      <w:szCs w:val="20"/>
    </w:rPr>
  </w:style>
  <w:style w:type="character" w:customStyle="1" w:styleId="FootnoteTextChar">
    <w:name w:val="Footnote Text Char"/>
    <w:basedOn w:val="DefaultParagraphFont"/>
    <w:link w:val="FootnoteText"/>
    <w:uiPriority w:val="99"/>
    <w:rsid w:val="008A4ADA"/>
    <w:rPr>
      <w:rFonts w:ascii="Arial" w:hAnsi="Arial"/>
      <w:sz w:val="20"/>
      <w:szCs w:val="20"/>
      <w:lang w:val="en-GB"/>
    </w:rPr>
  </w:style>
  <w:style w:type="character" w:styleId="FootnoteReference">
    <w:name w:val="footnote reference"/>
    <w:basedOn w:val="DefaultParagraphFont"/>
    <w:uiPriority w:val="99"/>
    <w:semiHidden/>
    <w:unhideWhenUsed/>
    <w:rsid w:val="008A4ADA"/>
    <w:rPr>
      <w:vertAlign w:val="superscript"/>
    </w:rPr>
  </w:style>
  <w:style w:type="character" w:styleId="Hyperlink">
    <w:name w:val="Hyperlink"/>
    <w:basedOn w:val="DefaultParagraphFont"/>
    <w:uiPriority w:val="99"/>
    <w:unhideWhenUsed/>
    <w:rsid w:val="0072262A"/>
    <w:rPr>
      <w:color w:val="0563C1" w:themeColor="hyperlink"/>
      <w:u w:val="single"/>
    </w:rPr>
  </w:style>
  <w:style w:type="paragraph" w:styleId="NormalWeb">
    <w:name w:val="Normal (Web)"/>
    <w:basedOn w:val="Normal"/>
    <w:uiPriority w:val="99"/>
    <w:unhideWhenUsed/>
    <w:rsid w:val="000A687E"/>
    <w:pPr>
      <w:spacing w:before="100" w:beforeAutospacing="1" w:after="100" w:afterAutospacing="1" w:line="240" w:lineRule="auto"/>
      <w:ind w:left="0"/>
      <w:jc w:val="left"/>
    </w:pPr>
    <w:rPr>
      <w:rFonts w:ascii="Times New Roman" w:eastAsia="Times New Roman" w:hAnsi="Times New Roman" w:cs="Times New Roman"/>
      <w:szCs w:val="24"/>
      <w:lang w:val="en-ZA" w:eastAsia="en-GB"/>
    </w:rPr>
  </w:style>
  <w:style w:type="paragraph" w:styleId="ListParagraph">
    <w:name w:val="List Paragraph"/>
    <w:basedOn w:val="Normal"/>
    <w:uiPriority w:val="1"/>
    <w:qFormat/>
    <w:rsid w:val="000A687E"/>
    <w:pPr>
      <w:spacing w:after="0" w:line="240" w:lineRule="auto"/>
      <w:ind w:left="720"/>
      <w:contextualSpacing/>
      <w:jc w:val="left"/>
    </w:pPr>
    <w:rPr>
      <w:rFonts w:ascii="Times New Roman" w:eastAsia="Times New Roman" w:hAnsi="Times New Roman" w:cs="Times New Roman"/>
      <w:szCs w:val="24"/>
      <w:lang w:eastAsia="en-GB"/>
    </w:rPr>
  </w:style>
  <w:style w:type="paragraph" w:customStyle="1" w:styleId="western">
    <w:name w:val="western"/>
    <w:basedOn w:val="Normal"/>
    <w:rsid w:val="000A687E"/>
    <w:pPr>
      <w:spacing w:before="100" w:beforeAutospacing="1" w:after="100" w:afterAutospacing="1" w:line="240" w:lineRule="auto"/>
      <w:ind w:left="0"/>
      <w:jc w:val="left"/>
    </w:pPr>
    <w:rPr>
      <w:rFonts w:ascii="Times New Roman" w:eastAsia="Times New Roman" w:hAnsi="Times New Roman" w:cs="Times New Roman"/>
      <w:szCs w:val="24"/>
      <w:lang w:val="en-ZA" w:eastAsia="en-GB"/>
    </w:rPr>
  </w:style>
  <w:style w:type="paragraph" w:customStyle="1" w:styleId="Default">
    <w:name w:val="Default"/>
    <w:rsid w:val="000A687E"/>
    <w:pPr>
      <w:autoSpaceDE w:val="0"/>
      <w:autoSpaceDN w:val="0"/>
      <w:adjustRightInd w:val="0"/>
      <w:spacing w:after="0" w:line="240" w:lineRule="auto"/>
    </w:pPr>
    <w:rPr>
      <w:rFonts w:ascii="Arial" w:hAnsi="Arial" w:cs="Arial"/>
      <w:color w:val="000000"/>
      <w:sz w:val="24"/>
      <w:szCs w:val="24"/>
      <w:lang w:val="en-GB"/>
    </w:rPr>
  </w:style>
  <w:style w:type="paragraph" w:customStyle="1" w:styleId="bodytext">
    <w:name w:val="bodytext"/>
    <w:basedOn w:val="Normal"/>
    <w:rsid w:val="000A687E"/>
    <w:pPr>
      <w:spacing w:before="100" w:beforeAutospacing="1" w:after="100" w:afterAutospacing="1" w:line="240" w:lineRule="auto"/>
      <w:ind w:left="0"/>
      <w:jc w:val="left"/>
    </w:pPr>
    <w:rPr>
      <w:rFonts w:ascii="Times New Roman" w:eastAsia="Times New Roman" w:hAnsi="Times New Roman" w:cs="Times New Roman"/>
      <w:szCs w:val="24"/>
      <w:lang w:val="en-ZA" w:eastAsia="en-GB"/>
    </w:rPr>
  </w:style>
  <w:style w:type="paragraph" w:customStyle="1" w:styleId="qt-1">
    <w:name w:val="qt-1"/>
    <w:basedOn w:val="Normal"/>
    <w:rsid w:val="000A687E"/>
    <w:pPr>
      <w:spacing w:before="100" w:beforeAutospacing="1" w:after="100" w:afterAutospacing="1" w:line="240" w:lineRule="auto"/>
      <w:ind w:left="0"/>
      <w:jc w:val="left"/>
    </w:pPr>
    <w:rPr>
      <w:rFonts w:ascii="Times New Roman" w:eastAsia="Times New Roman" w:hAnsi="Times New Roman" w:cs="Times New Roman"/>
      <w:szCs w:val="24"/>
      <w:lang w:val="en-ZA" w:eastAsia="en-GB"/>
    </w:rPr>
  </w:style>
  <w:style w:type="paragraph" w:customStyle="1" w:styleId="JudgmentStyle">
    <w:name w:val="Judgment Style"/>
    <w:basedOn w:val="ListParagraph"/>
    <w:rsid w:val="000A687E"/>
    <w:pPr>
      <w:numPr>
        <w:numId w:val="16"/>
      </w:numPr>
      <w:tabs>
        <w:tab w:val="num" w:pos="360"/>
      </w:tabs>
      <w:spacing w:before="240" w:after="120"/>
      <w:ind w:left="720" w:right="567" w:firstLine="0"/>
      <w:contextualSpacing w:val="0"/>
      <w:jc w:val="both"/>
    </w:pPr>
    <w:rPr>
      <w:rFonts w:ascii="Arial" w:hAnsi="Arial"/>
      <w:lang w:val="en-ZA" w:eastAsia="en-US"/>
    </w:rPr>
  </w:style>
  <w:style w:type="character" w:styleId="CommentReference">
    <w:name w:val="annotation reference"/>
    <w:basedOn w:val="DefaultParagraphFont"/>
    <w:uiPriority w:val="99"/>
    <w:semiHidden/>
    <w:unhideWhenUsed/>
    <w:rsid w:val="00430379"/>
    <w:rPr>
      <w:sz w:val="16"/>
      <w:szCs w:val="16"/>
    </w:rPr>
  </w:style>
  <w:style w:type="paragraph" w:styleId="CommentText">
    <w:name w:val="annotation text"/>
    <w:basedOn w:val="Normal"/>
    <w:link w:val="CommentTextChar"/>
    <w:uiPriority w:val="99"/>
    <w:semiHidden/>
    <w:unhideWhenUsed/>
    <w:rsid w:val="00430379"/>
    <w:pPr>
      <w:spacing w:line="240" w:lineRule="auto"/>
    </w:pPr>
    <w:rPr>
      <w:sz w:val="20"/>
      <w:szCs w:val="20"/>
    </w:rPr>
  </w:style>
  <w:style w:type="character" w:customStyle="1" w:styleId="CommentTextChar">
    <w:name w:val="Comment Text Char"/>
    <w:basedOn w:val="DefaultParagraphFont"/>
    <w:link w:val="CommentText"/>
    <w:uiPriority w:val="99"/>
    <w:semiHidden/>
    <w:rsid w:val="0043037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30379"/>
    <w:rPr>
      <w:b/>
      <w:bCs/>
    </w:rPr>
  </w:style>
  <w:style w:type="character" w:customStyle="1" w:styleId="CommentSubjectChar">
    <w:name w:val="Comment Subject Char"/>
    <w:basedOn w:val="CommentTextChar"/>
    <w:link w:val="CommentSubject"/>
    <w:uiPriority w:val="99"/>
    <w:semiHidden/>
    <w:rsid w:val="00430379"/>
    <w:rPr>
      <w:rFonts w:ascii="Arial" w:hAnsi="Arial"/>
      <w:b/>
      <w:bCs/>
      <w:sz w:val="20"/>
      <w:szCs w:val="20"/>
      <w:lang w:val="en-GB"/>
    </w:rPr>
  </w:style>
  <w:style w:type="paragraph" w:customStyle="1" w:styleId="FOOTNOTES">
    <w:name w:val="FOOTNOTES"/>
    <w:basedOn w:val="FootnoteText"/>
    <w:link w:val="FOOTNOTESChar"/>
    <w:qFormat/>
    <w:rsid w:val="00430379"/>
    <w:pPr>
      <w:ind w:left="992" w:hanging="425"/>
    </w:pPr>
    <w:rPr>
      <w:rFonts w:cs="Arial"/>
    </w:rPr>
  </w:style>
  <w:style w:type="character" w:customStyle="1" w:styleId="FOOTNOTESChar">
    <w:name w:val="FOOTNOTES Char"/>
    <w:basedOn w:val="FootnoteTextChar"/>
    <w:link w:val="FOOTNOTES"/>
    <w:rsid w:val="00430379"/>
    <w:rPr>
      <w:rFonts w:ascii="Arial" w:hAnsi="Arial" w:cs="Arial"/>
      <w:sz w:val="20"/>
      <w:szCs w:val="20"/>
      <w:lang w:val="en-GB"/>
    </w:rPr>
  </w:style>
  <w:style w:type="character" w:styleId="Strong">
    <w:name w:val="Strong"/>
    <w:basedOn w:val="DefaultParagraphFont"/>
    <w:uiPriority w:val="22"/>
    <w:qFormat/>
    <w:rsid w:val="005333A6"/>
    <w:rPr>
      <w:b/>
      <w:bCs/>
    </w:rPr>
  </w:style>
  <w:style w:type="paragraph" w:styleId="Revision">
    <w:name w:val="Revision"/>
    <w:hidden/>
    <w:uiPriority w:val="99"/>
    <w:semiHidden/>
    <w:rsid w:val="00000C13"/>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7288">
      <w:bodyDiv w:val="1"/>
      <w:marLeft w:val="0"/>
      <w:marRight w:val="0"/>
      <w:marTop w:val="0"/>
      <w:marBottom w:val="0"/>
      <w:divBdr>
        <w:top w:val="none" w:sz="0" w:space="0" w:color="auto"/>
        <w:left w:val="none" w:sz="0" w:space="0" w:color="auto"/>
        <w:bottom w:val="none" w:sz="0" w:space="0" w:color="auto"/>
        <w:right w:val="none" w:sz="0" w:space="0" w:color="auto"/>
      </w:divBdr>
    </w:div>
    <w:div w:id="1266234462">
      <w:bodyDiv w:val="1"/>
      <w:marLeft w:val="0"/>
      <w:marRight w:val="0"/>
      <w:marTop w:val="0"/>
      <w:marBottom w:val="0"/>
      <w:divBdr>
        <w:top w:val="none" w:sz="0" w:space="0" w:color="auto"/>
        <w:left w:val="none" w:sz="0" w:space="0" w:color="auto"/>
        <w:bottom w:val="none" w:sz="0" w:space="0" w:color="auto"/>
        <w:right w:val="none" w:sz="0" w:space="0" w:color="auto"/>
      </w:divBdr>
    </w:div>
    <w:div w:id="1598438599">
      <w:bodyDiv w:val="1"/>
      <w:marLeft w:val="0"/>
      <w:marRight w:val="0"/>
      <w:marTop w:val="0"/>
      <w:marBottom w:val="0"/>
      <w:divBdr>
        <w:top w:val="none" w:sz="0" w:space="0" w:color="auto"/>
        <w:left w:val="none" w:sz="0" w:space="0" w:color="auto"/>
        <w:bottom w:val="none" w:sz="0" w:space="0" w:color="auto"/>
        <w:right w:val="none" w:sz="0" w:space="0" w:color="auto"/>
      </w:divBdr>
    </w:div>
    <w:div w:id="17941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odiba\Desktop\Judgment%20on%20VJ%20Mazibuko%20and%20five%20others%20final%20draft%20%208th%20version_Trac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888BE-B165-42F1-8FEB-82074DCE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on VJ Mazibuko and five others final draft  8th version_Tracked</Template>
  <TotalTime>3</TotalTime>
  <Pages>30</Pages>
  <Words>6914</Words>
  <Characters>39411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Manager/>
  <Company>HP Inc.</Company>
  <LinksUpToDate>false</LinksUpToDate>
  <CharactersWithSpaces>46233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Mayet</dc:creator>
  <cp:keywords/>
  <dc:description/>
  <cp:lastModifiedBy>Mokone</cp:lastModifiedBy>
  <cp:revision>4</cp:revision>
  <cp:lastPrinted>2023-05-14T20:17:00Z</cp:lastPrinted>
  <dcterms:created xsi:type="dcterms:W3CDTF">2023-05-18T09:49:00Z</dcterms:created>
  <dcterms:modified xsi:type="dcterms:W3CDTF">2023-05-18T09:52:00Z</dcterms:modified>
  <cp:category/>
</cp:coreProperties>
</file>