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97F48" w14:textId="77777777" w:rsidR="00D202C2" w:rsidRPr="00671349" w:rsidRDefault="007D51E5" w:rsidP="00B928FE">
      <w:pPr>
        <w:spacing w:before="240" w:after="120" w:line="360" w:lineRule="auto"/>
        <w:jc w:val="center"/>
        <w:rPr>
          <w:rFonts w:ascii="Arial" w:hAnsi="Arial" w:cs="Arial"/>
          <w:sz w:val="24"/>
          <w:szCs w:val="24"/>
        </w:rPr>
      </w:pPr>
      <w:r w:rsidRPr="00671349">
        <w:rPr>
          <w:rFonts w:ascii="Arial" w:hAnsi="Arial" w:cs="Arial"/>
          <w:noProof/>
          <w:sz w:val="24"/>
          <w:szCs w:val="24"/>
          <w:lang w:val="en-US"/>
        </w:rPr>
        <w:drawing>
          <wp:inline distT="0" distB="0" distL="0" distR="0" wp14:anchorId="55DDC685" wp14:editId="3815BF13">
            <wp:extent cx="1297940" cy="1148080"/>
            <wp:effectExtent l="0" t="0" r="0" b="0"/>
            <wp:docPr id="2"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315700" cy="1163789"/>
                    </a:xfrm>
                    <a:prstGeom prst="rect">
                      <a:avLst/>
                    </a:prstGeom>
                    <a:solidFill>
                      <a:sysClr val="windowText" lastClr="000000"/>
                    </a:solidFill>
                    <a:ln w="9525">
                      <a:noFill/>
                      <a:miter lim="800000"/>
                      <a:headEnd/>
                      <a:tailEnd/>
                    </a:ln>
                  </pic:spPr>
                </pic:pic>
              </a:graphicData>
            </a:graphic>
          </wp:inline>
        </w:drawing>
      </w:r>
    </w:p>
    <w:p w14:paraId="3954D95A" w14:textId="77777777" w:rsidR="000D0102" w:rsidRPr="00671349" w:rsidRDefault="00D202C2" w:rsidP="00D22617">
      <w:pPr>
        <w:autoSpaceDE w:val="0"/>
        <w:autoSpaceDN w:val="0"/>
        <w:adjustRightInd w:val="0"/>
        <w:spacing w:line="360" w:lineRule="auto"/>
        <w:jc w:val="center"/>
        <w:rPr>
          <w:rFonts w:ascii="Arial" w:hAnsi="Arial" w:cs="Arial"/>
          <w:b/>
          <w:bCs/>
          <w:sz w:val="24"/>
          <w:szCs w:val="24"/>
        </w:rPr>
      </w:pPr>
      <w:r w:rsidRPr="00671349">
        <w:rPr>
          <w:rFonts w:ascii="Arial" w:hAnsi="Arial" w:cs="Arial"/>
          <w:b/>
          <w:bCs/>
          <w:sz w:val="24"/>
          <w:szCs w:val="24"/>
        </w:rPr>
        <w:t xml:space="preserve">IN THE </w:t>
      </w:r>
      <w:r w:rsidR="000D0102" w:rsidRPr="00671349">
        <w:rPr>
          <w:rFonts w:ascii="Arial" w:hAnsi="Arial" w:cs="Arial"/>
          <w:b/>
          <w:bCs/>
          <w:sz w:val="24"/>
          <w:szCs w:val="24"/>
        </w:rPr>
        <w:t xml:space="preserve">HIGH </w:t>
      </w:r>
      <w:r w:rsidRPr="00671349">
        <w:rPr>
          <w:rFonts w:ascii="Arial" w:hAnsi="Arial" w:cs="Arial"/>
          <w:b/>
          <w:bCs/>
          <w:sz w:val="24"/>
          <w:szCs w:val="24"/>
        </w:rPr>
        <w:t>COURT OF SOUTH AFRICA</w:t>
      </w:r>
    </w:p>
    <w:p w14:paraId="072336A1" w14:textId="605FDDC8" w:rsidR="00D202C2" w:rsidRPr="00671349" w:rsidRDefault="000D0102" w:rsidP="00D22617">
      <w:pPr>
        <w:autoSpaceDE w:val="0"/>
        <w:autoSpaceDN w:val="0"/>
        <w:adjustRightInd w:val="0"/>
        <w:spacing w:after="120" w:line="360" w:lineRule="auto"/>
        <w:jc w:val="center"/>
        <w:rPr>
          <w:rFonts w:ascii="Arial" w:hAnsi="Arial" w:cs="Arial"/>
          <w:b/>
          <w:bCs/>
          <w:sz w:val="24"/>
          <w:szCs w:val="24"/>
        </w:rPr>
      </w:pPr>
      <w:r w:rsidRPr="00671349">
        <w:rPr>
          <w:rFonts w:ascii="Arial" w:hAnsi="Arial" w:cs="Arial"/>
          <w:b/>
          <w:bCs/>
          <w:sz w:val="24"/>
          <w:szCs w:val="24"/>
        </w:rPr>
        <w:t>(GAUTENG DIVISION</w:t>
      </w:r>
      <w:r w:rsidR="00D202C2" w:rsidRPr="00671349">
        <w:rPr>
          <w:rFonts w:ascii="Arial" w:hAnsi="Arial" w:cs="Arial"/>
          <w:b/>
          <w:bCs/>
          <w:sz w:val="24"/>
          <w:szCs w:val="24"/>
        </w:rPr>
        <w:t xml:space="preserve">, </w:t>
      </w:r>
      <w:r w:rsidR="004071E9">
        <w:rPr>
          <w:rFonts w:ascii="Arial" w:hAnsi="Arial" w:cs="Arial"/>
          <w:b/>
          <w:bCs/>
          <w:sz w:val="24"/>
          <w:szCs w:val="24"/>
        </w:rPr>
        <w:t>JOHANNESBURG</w:t>
      </w:r>
      <w:r w:rsidRPr="00671349">
        <w:rPr>
          <w:rFonts w:ascii="Arial" w:hAnsi="Arial" w:cs="Arial"/>
          <w:b/>
          <w:bCs/>
          <w:sz w:val="24"/>
          <w:szCs w:val="24"/>
        </w:rPr>
        <w:t>)</w:t>
      </w:r>
    </w:p>
    <w:p w14:paraId="6CF3654C" w14:textId="441C5EAD" w:rsidR="00D202C2" w:rsidRDefault="00D202C2" w:rsidP="00B928FE">
      <w:pPr>
        <w:autoSpaceDE w:val="0"/>
        <w:autoSpaceDN w:val="0"/>
        <w:adjustRightInd w:val="0"/>
        <w:spacing w:before="240" w:after="120" w:line="360" w:lineRule="auto"/>
        <w:ind w:left="720"/>
        <w:jc w:val="right"/>
        <w:rPr>
          <w:rFonts w:ascii="Arial" w:hAnsi="Arial" w:cs="Arial"/>
          <w:sz w:val="24"/>
          <w:szCs w:val="24"/>
        </w:rPr>
      </w:pPr>
      <w:r w:rsidRPr="00671349">
        <w:rPr>
          <w:rFonts w:ascii="Arial" w:hAnsi="Arial" w:cs="Arial"/>
          <w:sz w:val="24"/>
          <w:szCs w:val="24"/>
        </w:rPr>
        <w:t xml:space="preserve">Case no: </w:t>
      </w:r>
      <w:r w:rsidR="00727051">
        <w:rPr>
          <w:rFonts w:ascii="Arial" w:hAnsi="Arial" w:cs="Arial"/>
          <w:sz w:val="24"/>
          <w:szCs w:val="24"/>
        </w:rPr>
        <w:t>3</w:t>
      </w:r>
      <w:r w:rsidR="00FA6895">
        <w:rPr>
          <w:rFonts w:ascii="Arial" w:hAnsi="Arial" w:cs="Arial"/>
          <w:sz w:val="24"/>
          <w:szCs w:val="24"/>
        </w:rPr>
        <w:t>7</w:t>
      </w:r>
      <w:r w:rsidR="00727051">
        <w:rPr>
          <w:rFonts w:ascii="Arial" w:hAnsi="Arial" w:cs="Arial"/>
          <w:sz w:val="24"/>
          <w:szCs w:val="24"/>
        </w:rPr>
        <w:t>524</w:t>
      </w:r>
      <w:r w:rsidR="00155545">
        <w:rPr>
          <w:rFonts w:ascii="Arial" w:hAnsi="Arial" w:cs="Arial"/>
          <w:sz w:val="24"/>
          <w:szCs w:val="24"/>
        </w:rPr>
        <w:t>/</w:t>
      </w:r>
      <w:r w:rsidR="002A5F1F">
        <w:rPr>
          <w:rFonts w:ascii="Arial" w:hAnsi="Arial" w:cs="Arial"/>
          <w:sz w:val="24"/>
          <w:szCs w:val="24"/>
        </w:rPr>
        <w:t>202</w:t>
      </w:r>
      <w:r w:rsidR="00727051">
        <w:rPr>
          <w:rFonts w:ascii="Arial" w:hAnsi="Arial" w:cs="Arial"/>
          <w:sz w:val="24"/>
          <w:szCs w:val="24"/>
        </w:rPr>
        <w:t>0</w:t>
      </w:r>
    </w:p>
    <w:p w14:paraId="50821842" w14:textId="14B1A99E" w:rsidR="007D51E5" w:rsidRPr="00671349" w:rsidRDefault="006C35C1" w:rsidP="00B928FE">
      <w:pPr>
        <w:autoSpaceDE w:val="0"/>
        <w:autoSpaceDN w:val="0"/>
        <w:adjustRightInd w:val="0"/>
        <w:spacing w:before="240" w:after="120" w:line="360" w:lineRule="auto"/>
        <w:rPr>
          <w:rFonts w:ascii="Arial" w:hAnsi="Arial" w:cs="Arial"/>
          <w:sz w:val="24"/>
          <w:szCs w:val="24"/>
        </w:rPr>
      </w:pPr>
      <w:r>
        <w:rPr>
          <w:noProof/>
          <w:lang w:val="en-US"/>
        </w:rPr>
        <mc:AlternateContent>
          <mc:Choice Requires="wps">
            <w:drawing>
              <wp:inline distT="0" distB="0" distL="0" distR="0" wp14:anchorId="56C63934" wp14:editId="5D800E4E">
                <wp:extent cx="3314700" cy="1371600"/>
                <wp:effectExtent l="10160" t="5715" r="889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3CDA1608" w:rsidR="00FC0780" w:rsidRDefault="00D73F18" w:rsidP="00D73F18">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6599157C" w:rsidR="00FC0780" w:rsidRDefault="00D73F18" w:rsidP="00D73F18">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4071E9">
                              <w:rPr>
                                <w:rFonts w:ascii="Century Gothic" w:hAnsi="Century Gothic"/>
                                <w:sz w:val="20"/>
                                <w:szCs w:val="20"/>
                              </w:rPr>
                              <w:t>NO</w:t>
                            </w:r>
                          </w:p>
                          <w:p w14:paraId="29110CF7" w14:textId="0F024837" w:rsidR="00FC0780" w:rsidRDefault="00D73F18" w:rsidP="00D73F18">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2B550753" w14:textId="4A65C26A" w:rsidR="00FC0780" w:rsidRDefault="00FC0780" w:rsidP="007D51E5">
                            <w:pPr>
                              <w:rPr>
                                <w:rFonts w:ascii="Century Gothic" w:hAnsi="Century Gothic"/>
                                <w:b/>
                                <w:sz w:val="18"/>
                                <w:szCs w:val="18"/>
                              </w:rPr>
                            </w:pPr>
                            <w:r>
                              <w:rPr>
                                <w:rFonts w:ascii="Century Gothic" w:hAnsi="Century Gothic"/>
                                <w:b/>
                                <w:sz w:val="18"/>
                                <w:szCs w:val="18"/>
                              </w:rPr>
                              <w:t xml:space="preserve"> </w:t>
                            </w:r>
                            <w:r w:rsidR="00BD1B12">
                              <w:rPr>
                                <w:rFonts w:ascii="Century Gothic" w:hAnsi="Century Gothic"/>
                                <w:b/>
                                <w:sz w:val="18"/>
                                <w:szCs w:val="18"/>
                              </w:rPr>
                              <w:t xml:space="preserve"> </w:t>
                            </w:r>
                            <w:r w:rsidR="00BD1B12" w:rsidRPr="00FE508D">
                              <w:rPr>
                                <w:rFonts w:ascii="Century Gothic" w:hAnsi="Century Gothic"/>
                                <w:b/>
                                <w:sz w:val="18"/>
                                <w:szCs w:val="18"/>
                              </w:rPr>
                              <w:t>Signed: …………………</w:t>
                            </w:r>
                            <w:r w:rsidR="00BD1B12">
                              <w:rPr>
                                <w:rFonts w:ascii="Century Gothic" w:hAnsi="Century Gothic"/>
                                <w:b/>
                                <w:sz w:val="18"/>
                                <w:szCs w:val="18"/>
                              </w:rPr>
                              <w:t xml:space="preserve">…..     </w:t>
                            </w:r>
                            <w:r w:rsidR="00BD1B12" w:rsidRPr="00FE508D">
                              <w:rPr>
                                <w:rFonts w:ascii="Century Gothic" w:hAnsi="Century Gothic"/>
                                <w:b/>
                                <w:sz w:val="18"/>
                                <w:szCs w:val="18"/>
                              </w:rPr>
                              <w:t xml:space="preserve">Date: </w:t>
                            </w:r>
                            <w:r w:rsidR="00727051">
                              <w:rPr>
                                <w:rFonts w:ascii="Century Gothic" w:hAnsi="Century Gothic"/>
                                <w:b/>
                                <w:sz w:val="18"/>
                                <w:szCs w:val="18"/>
                              </w:rPr>
                              <w:t>1</w:t>
                            </w:r>
                            <w:r w:rsidR="00F645EF">
                              <w:rPr>
                                <w:rFonts w:ascii="Century Gothic" w:hAnsi="Century Gothic"/>
                                <w:b/>
                                <w:sz w:val="18"/>
                                <w:szCs w:val="18"/>
                              </w:rPr>
                              <w:t>8</w:t>
                            </w:r>
                            <w:r w:rsidR="00F774FF">
                              <w:rPr>
                                <w:rFonts w:ascii="Century Gothic" w:hAnsi="Century Gothic"/>
                                <w:b/>
                                <w:sz w:val="18"/>
                                <w:szCs w:val="18"/>
                              </w:rPr>
                              <w:t xml:space="preserve"> May </w:t>
                            </w:r>
                            <w:r w:rsidR="00BD1B12" w:rsidRPr="00FE508D">
                              <w:rPr>
                                <w:rFonts w:ascii="Century Gothic" w:hAnsi="Century Gothic"/>
                                <w:b/>
                                <w:sz w:val="18"/>
                                <w:szCs w:val="18"/>
                              </w:rPr>
                              <w:t>202</w:t>
                            </w:r>
                            <w:r w:rsidR="00AE38D8">
                              <w:rPr>
                                <w:rFonts w:ascii="Century Gothic" w:hAnsi="Century Gothic"/>
                                <w:b/>
                                <w:sz w:val="18"/>
                                <w:szCs w:val="18"/>
                              </w:rPr>
                              <w:t>3</w:t>
                            </w:r>
                          </w:p>
                          <w:p w14:paraId="7806C82D" w14:textId="77777777" w:rsidR="00FC0780" w:rsidRDefault="00FC0780" w:rsidP="007D51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inline>
            </w:drawing>
          </mc:Choice>
          <mc:Fallback>
            <w:pict>
              <v:shapetype w14:anchorId="56C63934"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">
                <v:textbox>
                  <w:txbxContent>
                    <w:p w14:paraId="56016463" w14:textId="77777777" w:rsidR="00FC0780" w:rsidRDefault="00FC0780" w:rsidP="007D51E5">
                      <w:pPr>
                        <w:jc w:val="center"/>
                        <w:rPr>
                          <w:rFonts w:ascii="Century Gothic" w:hAnsi="Century Gothic"/>
                          <w:b/>
                          <w:sz w:val="20"/>
                          <w:szCs w:val="20"/>
                        </w:rPr>
                      </w:pPr>
                    </w:p>
                    <w:p w14:paraId="0E750DD9" w14:textId="3CDA1608" w:rsidR="00FC0780" w:rsidRDefault="00D73F18" w:rsidP="00D73F18">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6599157C" w:rsidR="00FC0780" w:rsidRDefault="00D73F18" w:rsidP="00D73F18">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4071E9">
                        <w:rPr>
                          <w:rFonts w:ascii="Century Gothic" w:hAnsi="Century Gothic"/>
                          <w:sz w:val="20"/>
                          <w:szCs w:val="20"/>
                        </w:rPr>
                        <w:t>NO</w:t>
                      </w:r>
                    </w:p>
                    <w:p w14:paraId="29110CF7" w14:textId="0F024837" w:rsidR="00FC0780" w:rsidRDefault="00D73F18" w:rsidP="00D73F18">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2B550753" w14:textId="4A65C26A" w:rsidR="00FC0780" w:rsidRDefault="00FC0780" w:rsidP="007D51E5">
                      <w:pPr>
                        <w:rPr>
                          <w:rFonts w:ascii="Century Gothic" w:hAnsi="Century Gothic"/>
                          <w:b/>
                          <w:sz w:val="18"/>
                          <w:szCs w:val="18"/>
                        </w:rPr>
                      </w:pPr>
                      <w:r>
                        <w:rPr>
                          <w:rFonts w:ascii="Century Gothic" w:hAnsi="Century Gothic"/>
                          <w:b/>
                          <w:sz w:val="18"/>
                          <w:szCs w:val="18"/>
                        </w:rPr>
                        <w:t xml:space="preserve"> </w:t>
                      </w:r>
                      <w:r w:rsidR="00BD1B12">
                        <w:rPr>
                          <w:rFonts w:ascii="Century Gothic" w:hAnsi="Century Gothic"/>
                          <w:b/>
                          <w:sz w:val="18"/>
                          <w:szCs w:val="18"/>
                        </w:rPr>
                        <w:t xml:space="preserve"> </w:t>
                      </w:r>
                      <w:r w:rsidR="00BD1B12" w:rsidRPr="00FE508D">
                        <w:rPr>
                          <w:rFonts w:ascii="Century Gothic" w:hAnsi="Century Gothic"/>
                          <w:b/>
                          <w:sz w:val="18"/>
                          <w:szCs w:val="18"/>
                        </w:rPr>
                        <w:t>Signed: …………………</w:t>
                      </w:r>
                      <w:r w:rsidR="00BD1B12">
                        <w:rPr>
                          <w:rFonts w:ascii="Century Gothic" w:hAnsi="Century Gothic"/>
                          <w:b/>
                          <w:sz w:val="18"/>
                          <w:szCs w:val="18"/>
                        </w:rPr>
                        <w:t xml:space="preserve">…..     </w:t>
                      </w:r>
                      <w:r w:rsidR="00BD1B12" w:rsidRPr="00FE508D">
                        <w:rPr>
                          <w:rFonts w:ascii="Century Gothic" w:hAnsi="Century Gothic"/>
                          <w:b/>
                          <w:sz w:val="18"/>
                          <w:szCs w:val="18"/>
                        </w:rPr>
                        <w:t xml:space="preserve">Date: </w:t>
                      </w:r>
                      <w:r w:rsidR="00727051">
                        <w:rPr>
                          <w:rFonts w:ascii="Century Gothic" w:hAnsi="Century Gothic"/>
                          <w:b/>
                          <w:sz w:val="18"/>
                          <w:szCs w:val="18"/>
                        </w:rPr>
                        <w:t>1</w:t>
                      </w:r>
                      <w:r w:rsidR="00F645EF">
                        <w:rPr>
                          <w:rFonts w:ascii="Century Gothic" w:hAnsi="Century Gothic"/>
                          <w:b/>
                          <w:sz w:val="18"/>
                          <w:szCs w:val="18"/>
                        </w:rPr>
                        <w:t>8</w:t>
                      </w:r>
                      <w:r w:rsidR="00F774FF">
                        <w:rPr>
                          <w:rFonts w:ascii="Century Gothic" w:hAnsi="Century Gothic"/>
                          <w:b/>
                          <w:sz w:val="18"/>
                          <w:szCs w:val="18"/>
                        </w:rPr>
                        <w:t xml:space="preserve"> May </w:t>
                      </w:r>
                      <w:r w:rsidR="00BD1B12" w:rsidRPr="00FE508D">
                        <w:rPr>
                          <w:rFonts w:ascii="Century Gothic" w:hAnsi="Century Gothic"/>
                          <w:b/>
                          <w:sz w:val="18"/>
                          <w:szCs w:val="18"/>
                        </w:rPr>
                        <w:t>202</w:t>
                      </w:r>
                      <w:r w:rsidR="00AE38D8">
                        <w:rPr>
                          <w:rFonts w:ascii="Century Gothic" w:hAnsi="Century Gothic"/>
                          <w:b/>
                          <w:sz w:val="18"/>
                          <w:szCs w:val="18"/>
                        </w:rPr>
                        <w:t>3</w:t>
                      </w:r>
                    </w:p>
                    <w:p w14:paraId="7806C82D" w14:textId="77777777" w:rsidR="00FC0780" w:rsidRDefault="00FC0780" w:rsidP="007D51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anchorlock/>
              </v:shape>
            </w:pict>
          </mc:Fallback>
        </mc:AlternateContent>
      </w:r>
    </w:p>
    <w:p w14:paraId="29E97B5D" w14:textId="77777777" w:rsidR="00D202C2" w:rsidRPr="00671349" w:rsidRDefault="00D202C2" w:rsidP="00D22617">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r w:rsidR="00B928FE" w:rsidRPr="00671349">
        <w:rPr>
          <w:rFonts w:ascii="Arial" w:hAnsi="Arial" w:cs="Arial"/>
          <w:sz w:val="24"/>
          <w:szCs w:val="24"/>
        </w:rPr>
        <w:t>:</w:t>
      </w:r>
    </w:p>
    <w:p w14:paraId="7D2E5B06" w14:textId="1409725E" w:rsidR="00D202C2" w:rsidRPr="00671349" w:rsidRDefault="00727051" w:rsidP="00D22617">
      <w:pPr>
        <w:pStyle w:val="NoSpacing"/>
        <w:tabs>
          <w:tab w:val="left" w:pos="720"/>
          <w:tab w:val="left" w:pos="1440"/>
          <w:tab w:val="left" w:pos="2160"/>
          <w:tab w:val="right" w:pos="9050"/>
        </w:tabs>
        <w:spacing w:after="240" w:line="360" w:lineRule="auto"/>
        <w:rPr>
          <w:rFonts w:ascii="Arial" w:hAnsi="Arial"/>
          <w:b/>
          <w:bCs/>
          <w:sz w:val="24"/>
          <w:szCs w:val="24"/>
        </w:rPr>
      </w:pPr>
      <w:r>
        <w:rPr>
          <w:rFonts w:ascii="Arial" w:hAnsi="Arial"/>
          <w:b/>
          <w:sz w:val="24"/>
          <w:szCs w:val="24"/>
        </w:rPr>
        <w:t xml:space="preserve">CHANGING TIDES 17 PROPRIETARY </w:t>
      </w:r>
      <w:r w:rsidR="002A5F1F">
        <w:rPr>
          <w:rFonts w:ascii="Arial" w:hAnsi="Arial"/>
          <w:b/>
          <w:sz w:val="24"/>
          <w:szCs w:val="24"/>
        </w:rPr>
        <w:t>LIMITED</w:t>
      </w:r>
      <w:r>
        <w:rPr>
          <w:rFonts w:ascii="Arial" w:hAnsi="Arial"/>
          <w:b/>
          <w:sz w:val="24"/>
          <w:szCs w:val="24"/>
        </w:rPr>
        <w:t xml:space="preserve"> N.O.</w:t>
      </w:r>
      <w:r w:rsidR="00E970E4">
        <w:rPr>
          <w:rFonts w:ascii="Arial" w:hAnsi="Arial"/>
          <w:b/>
          <w:sz w:val="24"/>
          <w:szCs w:val="24"/>
        </w:rPr>
        <w:tab/>
      </w:r>
      <w:r w:rsidR="00B54AB3">
        <w:rPr>
          <w:rFonts w:ascii="Arial" w:hAnsi="Arial"/>
          <w:bCs/>
          <w:sz w:val="24"/>
          <w:szCs w:val="24"/>
        </w:rPr>
        <w:t>Plaintiff</w:t>
      </w:r>
    </w:p>
    <w:p w14:paraId="7666F6E1" w14:textId="67350B6C" w:rsidR="00D202C2" w:rsidRPr="00671349" w:rsidRDefault="00D202C2" w:rsidP="00D22617">
      <w:pPr>
        <w:tabs>
          <w:tab w:val="left" w:pos="0"/>
          <w:tab w:val="right" w:pos="9050"/>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6719FFC2" w14:textId="3B4635CF" w:rsidR="00D202C2" w:rsidRDefault="00727051" w:rsidP="00D22617">
      <w:pPr>
        <w:tabs>
          <w:tab w:val="left" w:pos="0"/>
          <w:tab w:val="right" w:pos="9050"/>
        </w:tabs>
        <w:autoSpaceDE w:val="0"/>
        <w:autoSpaceDN w:val="0"/>
        <w:adjustRightInd w:val="0"/>
        <w:spacing w:before="240" w:after="120" w:line="360" w:lineRule="auto"/>
        <w:rPr>
          <w:rFonts w:ascii="Arial" w:hAnsi="Arial" w:cs="Arial"/>
          <w:b/>
          <w:bCs/>
          <w:sz w:val="24"/>
          <w:szCs w:val="24"/>
        </w:rPr>
      </w:pPr>
      <w:r w:rsidRPr="00B76389">
        <w:rPr>
          <w:rFonts w:ascii="Arial" w:hAnsi="Arial" w:cs="Arial"/>
          <w:b/>
          <w:sz w:val="24"/>
          <w:szCs w:val="24"/>
          <w:u w:val="single"/>
        </w:rPr>
        <w:t>RAMABE</w:t>
      </w:r>
      <w:r w:rsidR="002A5F1F">
        <w:rPr>
          <w:rFonts w:ascii="Arial" w:hAnsi="Arial" w:cs="Arial"/>
          <w:b/>
          <w:sz w:val="24"/>
          <w:szCs w:val="24"/>
        </w:rPr>
        <w:t xml:space="preserve">, </w:t>
      </w:r>
      <w:r>
        <w:rPr>
          <w:rFonts w:ascii="Arial" w:hAnsi="Arial" w:cs="Arial"/>
          <w:b/>
          <w:sz w:val="24"/>
          <w:szCs w:val="24"/>
        </w:rPr>
        <w:t>MASHAKENG FRANS</w:t>
      </w:r>
      <w:r w:rsidR="00D202C2" w:rsidRPr="00671349">
        <w:rPr>
          <w:rFonts w:ascii="Arial" w:hAnsi="Arial" w:cs="Arial"/>
          <w:b/>
          <w:bCs/>
          <w:sz w:val="24"/>
          <w:szCs w:val="24"/>
        </w:rPr>
        <w:tab/>
      </w:r>
      <w:r w:rsidR="00B54AB3">
        <w:rPr>
          <w:rFonts w:ascii="Arial" w:hAnsi="Arial" w:cs="Arial"/>
          <w:sz w:val="24"/>
          <w:szCs w:val="24"/>
        </w:rPr>
        <w:t>Defendant</w:t>
      </w:r>
    </w:p>
    <w:p w14:paraId="0B8E08EE" w14:textId="77777777" w:rsidR="00F774FF" w:rsidRDefault="00F774FF" w:rsidP="00F774FF">
      <w:pPr>
        <w:tabs>
          <w:tab w:val="left" w:pos="0"/>
          <w:tab w:val="right" w:pos="8505"/>
        </w:tabs>
        <w:autoSpaceDE w:val="0"/>
        <w:autoSpaceDN w:val="0"/>
        <w:adjustRightInd w:val="0"/>
        <w:spacing w:line="240" w:lineRule="auto"/>
        <w:rPr>
          <w:rFonts w:ascii="Arial" w:hAnsi="Arial"/>
          <w:b/>
          <w:bCs/>
          <w:sz w:val="24"/>
          <w:szCs w:val="24"/>
          <w:lang w:val="en-GB"/>
        </w:rPr>
      </w:pPr>
    </w:p>
    <w:p w14:paraId="0A2328C6" w14:textId="18ED86A0" w:rsidR="00F774FF" w:rsidRPr="00342EB4" w:rsidRDefault="00F774FF" w:rsidP="00F774FF">
      <w:pPr>
        <w:tabs>
          <w:tab w:val="left" w:pos="0"/>
          <w:tab w:val="right" w:pos="8505"/>
        </w:tabs>
        <w:autoSpaceDE w:val="0"/>
        <w:autoSpaceDN w:val="0"/>
        <w:adjustRightInd w:val="0"/>
        <w:spacing w:line="240" w:lineRule="auto"/>
        <w:rPr>
          <w:rFonts w:ascii="Arial" w:hAnsi="Arial"/>
          <w:bCs/>
          <w:sz w:val="24"/>
          <w:szCs w:val="24"/>
          <w:lang w:val="en-GB"/>
        </w:rPr>
      </w:pPr>
      <w:r w:rsidRPr="00E25AFD">
        <w:rPr>
          <w:rFonts w:ascii="Arial" w:hAnsi="Arial"/>
          <w:b/>
          <w:bCs/>
          <w:sz w:val="24"/>
          <w:szCs w:val="24"/>
          <w:lang w:val="en-GB"/>
        </w:rPr>
        <w:t xml:space="preserve">NEUTRAL CITATION: </w:t>
      </w:r>
      <w:r w:rsidR="00727051">
        <w:rPr>
          <w:rFonts w:ascii="Arial" w:hAnsi="Arial"/>
          <w:bCs/>
          <w:i/>
          <w:sz w:val="24"/>
          <w:szCs w:val="24"/>
          <w:lang w:val="en-GB"/>
        </w:rPr>
        <w:t xml:space="preserve">Changing Tides (Pty) </w:t>
      </w:r>
      <w:r>
        <w:rPr>
          <w:rFonts w:ascii="Arial" w:hAnsi="Arial"/>
          <w:bCs/>
          <w:i/>
          <w:sz w:val="24"/>
          <w:szCs w:val="24"/>
          <w:lang w:val="en-GB"/>
        </w:rPr>
        <w:t xml:space="preserve">Ltd </w:t>
      </w:r>
      <w:r w:rsidR="00727051">
        <w:rPr>
          <w:rFonts w:ascii="Arial" w:hAnsi="Arial"/>
          <w:bCs/>
          <w:i/>
          <w:sz w:val="24"/>
          <w:szCs w:val="24"/>
          <w:lang w:val="en-GB"/>
        </w:rPr>
        <w:t xml:space="preserve">N.O. </w:t>
      </w:r>
      <w:r w:rsidRPr="00E25AFD">
        <w:rPr>
          <w:rFonts w:ascii="Arial" w:hAnsi="Arial"/>
          <w:bCs/>
          <w:i/>
          <w:sz w:val="24"/>
          <w:szCs w:val="24"/>
          <w:lang w:val="en-GB"/>
        </w:rPr>
        <w:t xml:space="preserve">v </w:t>
      </w:r>
      <w:r w:rsidR="00727051">
        <w:rPr>
          <w:rFonts w:ascii="Arial" w:hAnsi="Arial"/>
          <w:bCs/>
          <w:i/>
          <w:sz w:val="24"/>
          <w:szCs w:val="24"/>
          <w:lang w:val="en-GB"/>
        </w:rPr>
        <w:t xml:space="preserve">Ramabe </w:t>
      </w:r>
      <w:r w:rsidRPr="00E25AFD">
        <w:rPr>
          <w:rFonts w:ascii="Arial" w:hAnsi="Arial"/>
          <w:bCs/>
          <w:sz w:val="24"/>
          <w:szCs w:val="24"/>
          <w:lang w:val="en-GB"/>
        </w:rPr>
        <w:t xml:space="preserve">(Case No: </w:t>
      </w:r>
      <w:r w:rsidR="00727051">
        <w:rPr>
          <w:rFonts w:ascii="Arial" w:hAnsi="Arial"/>
          <w:bCs/>
          <w:sz w:val="24"/>
          <w:szCs w:val="24"/>
          <w:lang w:val="en-GB"/>
        </w:rPr>
        <w:t>37524</w:t>
      </w:r>
      <w:r>
        <w:rPr>
          <w:rFonts w:ascii="Arial" w:hAnsi="Arial"/>
          <w:bCs/>
          <w:sz w:val="24"/>
          <w:szCs w:val="24"/>
          <w:lang w:val="en-GB"/>
        </w:rPr>
        <w:t>/202</w:t>
      </w:r>
      <w:r w:rsidR="00727051">
        <w:rPr>
          <w:rFonts w:ascii="Arial" w:hAnsi="Arial"/>
          <w:bCs/>
          <w:sz w:val="24"/>
          <w:szCs w:val="24"/>
          <w:lang w:val="en-GB"/>
        </w:rPr>
        <w:t>0</w:t>
      </w:r>
      <w:r>
        <w:rPr>
          <w:rFonts w:ascii="Arial" w:hAnsi="Arial"/>
          <w:bCs/>
          <w:sz w:val="24"/>
          <w:szCs w:val="24"/>
          <w:lang w:val="en-GB"/>
        </w:rPr>
        <w:t>) [2023] ZAGP JHC</w:t>
      </w:r>
      <w:r w:rsidR="00F645EF">
        <w:rPr>
          <w:rFonts w:ascii="Arial" w:hAnsi="Arial"/>
          <w:bCs/>
          <w:sz w:val="24"/>
          <w:szCs w:val="24"/>
          <w:lang w:val="en-GB"/>
        </w:rPr>
        <w:t xml:space="preserve"> </w:t>
      </w:r>
      <w:r w:rsidR="00F645EF" w:rsidRPr="00F645EF">
        <w:rPr>
          <w:rFonts w:ascii="Arial" w:hAnsi="Arial"/>
          <w:bCs/>
          <w:sz w:val="24"/>
          <w:szCs w:val="24"/>
        </w:rPr>
        <w:t>504</w:t>
      </w:r>
      <w:r>
        <w:rPr>
          <w:rFonts w:ascii="Arial" w:hAnsi="Arial"/>
          <w:bCs/>
          <w:sz w:val="24"/>
          <w:szCs w:val="24"/>
          <w:lang w:val="en-GB"/>
        </w:rPr>
        <w:t xml:space="preserve"> (</w:t>
      </w:r>
      <w:r w:rsidR="00727051">
        <w:rPr>
          <w:rFonts w:ascii="Arial" w:hAnsi="Arial"/>
          <w:bCs/>
          <w:sz w:val="24"/>
          <w:szCs w:val="24"/>
          <w:lang w:val="en-GB"/>
        </w:rPr>
        <w:t>1</w:t>
      </w:r>
      <w:r w:rsidR="00F645EF">
        <w:rPr>
          <w:rFonts w:ascii="Arial" w:hAnsi="Arial"/>
          <w:bCs/>
          <w:sz w:val="24"/>
          <w:szCs w:val="24"/>
          <w:lang w:val="en-GB"/>
        </w:rPr>
        <w:t>8</w:t>
      </w:r>
      <w:r w:rsidRPr="00E25AFD">
        <w:rPr>
          <w:rFonts w:ascii="Arial" w:hAnsi="Arial"/>
          <w:bCs/>
          <w:sz w:val="24"/>
          <w:szCs w:val="24"/>
          <w:lang w:val="en-GB"/>
        </w:rPr>
        <w:t xml:space="preserve"> </w:t>
      </w:r>
      <w:r>
        <w:rPr>
          <w:rFonts w:ascii="Arial" w:hAnsi="Arial"/>
          <w:bCs/>
          <w:sz w:val="24"/>
          <w:szCs w:val="24"/>
          <w:lang w:val="en-GB"/>
        </w:rPr>
        <w:t xml:space="preserve">May </w:t>
      </w:r>
      <w:r w:rsidRPr="00E25AFD">
        <w:rPr>
          <w:rFonts w:ascii="Arial" w:hAnsi="Arial"/>
          <w:bCs/>
          <w:sz w:val="24"/>
          <w:szCs w:val="24"/>
          <w:lang w:val="en-GB"/>
        </w:rPr>
        <w:t>2023)</w:t>
      </w:r>
    </w:p>
    <w:p w14:paraId="6B75B693" w14:textId="77777777" w:rsidR="00B928FE" w:rsidRPr="00671349" w:rsidRDefault="00B928FE" w:rsidP="00B928FE">
      <w:pPr>
        <w:autoSpaceDE w:val="0"/>
        <w:autoSpaceDN w:val="0"/>
        <w:adjustRightInd w:val="0"/>
        <w:spacing w:before="240"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___________________________________________________________________</w:t>
      </w:r>
    </w:p>
    <w:p w14:paraId="1DEA2455" w14:textId="6691A0B6" w:rsidR="00D202C2" w:rsidRPr="00671349" w:rsidRDefault="00D202C2" w:rsidP="00B928FE">
      <w:pPr>
        <w:autoSpaceDE w:val="0"/>
        <w:autoSpaceDN w:val="0"/>
        <w:adjustRightInd w:val="0"/>
        <w:spacing w:before="240" w:after="120" w:line="360" w:lineRule="auto"/>
        <w:jc w:val="center"/>
        <w:rPr>
          <w:rFonts w:ascii="Arial" w:hAnsi="Arial" w:cs="Arial"/>
          <w:b/>
          <w:bCs/>
          <w:sz w:val="24"/>
          <w:szCs w:val="24"/>
        </w:rPr>
      </w:pPr>
      <w:r w:rsidRPr="00671349">
        <w:rPr>
          <w:rFonts w:ascii="Arial" w:hAnsi="Arial" w:cs="Arial"/>
          <w:b/>
          <w:bCs/>
          <w:sz w:val="24"/>
          <w:szCs w:val="24"/>
        </w:rPr>
        <w:t>JUDGMENT</w:t>
      </w:r>
      <w:r w:rsidR="00727051">
        <w:rPr>
          <w:rFonts w:ascii="Arial" w:hAnsi="Arial" w:cs="Arial"/>
          <w:b/>
          <w:bCs/>
          <w:sz w:val="24"/>
          <w:szCs w:val="24"/>
        </w:rPr>
        <w:t xml:space="preserve"> (SUMMARY JUDGMENT)</w:t>
      </w:r>
    </w:p>
    <w:p w14:paraId="3A809F54" w14:textId="77777777" w:rsidR="00B928FE" w:rsidRPr="00671349" w:rsidRDefault="00B928FE" w:rsidP="00001F4A">
      <w:pPr>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___________________________________________________________________</w:t>
      </w:r>
    </w:p>
    <w:p w14:paraId="6976711F" w14:textId="16EAAA53" w:rsidR="00F774FF" w:rsidRPr="00E25AFD" w:rsidRDefault="00F774FF" w:rsidP="00F774FF">
      <w:pPr>
        <w:tabs>
          <w:tab w:val="left" w:pos="0"/>
          <w:tab w:val="right" w:pos="9070"/>
        </w:tabs>
        <w:autoSpaceDE w:val="0"/>
        <w:autoSpaceDN w:val="0"/>
        <w:adjustRightInd w:val="0"/>
        <w:spacing w:before="240" w:after="120" w:line="360" w:lineRule="auto"/>
        <w:rPr>
          <w:rFonts w:ascii="Arial" w:hAnsi="Arial" w:cs="Arial"/>
          <w:b/>
          <w:bCs/>
          <w:i/>
          <w:sz w:val="24"/>
          <w:szCs w:val="24"/>
          <w:lang w:val="en-GB"/>
        </w:rPr>
      </w:pPr>
      <w:r w:rsidRPr="00E25AFD">
        <w:rPr>
          <w:rFonts w:ascii="Arial" w:hAnsi="Arial" w:cs="Arial"/>
          <w:b/>
          <w:bCs/>
          <w:i/>
          <w:sz w:val="24"/>
          <w:szCs w:val="24"/>
          <w:u w:val="single"/>
          <w:lang w:val="en-GB"/>
        </w:rPr>
        <w:t>DELIVERED</w:t>
      </w:r>
      <w:r w:rsidRPr="00E25AFD">
        <w:rPr>
          <w:rFonts w:ascii="Arial" w:hAnsi="Arial" w:cs="Arial"/>
          <w:b/>
          <w:bCs/>
          <w:i/>
          <w:sz w:val="24"/>
          <w:szCs w:val="24"/>
          <w:lang w:val="en-GB"/>
        </w:rPr>
        <w:t xml:space="preserve">:  </w:t>
      </w:r>
      <w:r w:rsidRPr="002C68B1">
        <w:rPr>
          <w:rFonts w:ascii="Arial" w:hAnsi="Arial" w:cs="Arial"/>
          <w:i/>
          <w:sz w:val="24"/>
          <w:szCs w:val="24"/>
          <w:lang w:val="en-GB"/>
        </w:rPr>
        <w:t>This judgment was handed down electronically by circulation to the parties’ legal representatives by e</w:t>
      </w:r>
      <w:r w:rsidRPr="002C68B1">
        <w:rPr>
          <w:rFonts w:ascii="Arial" w:hAnsi="Arial" w:cs="Arial"/>
          <w:i/>
          <w:sz w:val="24"/>
          <w:szCs w:val="24"/>
          <w:lang w:val="en-GB"/>
        </w:rPr>
        <w:noBreakHyphen/>
        <w:t>mail and publication on CaseLines.  The date and time for hand-down is deemed to be</w:t>
      </w:r>
      <w:r w:rsidRPr="00F645EF">
        <w:rPr>
          <w:rFonts w:ascii="Arial" w:hAnsi="Arial" w:cs="Arial"/>
          <w:i/>
          <w:sz w:val="24"/>
          <w:szCs w:val="24"/>
          <w:lang w:val="en-GB"/>
        </w:rPr>
        <w:t xml:space="preserve"> </w:t>
      </w:r>
      <w:r w:rsidR="00F645EF">
        <w:rPr>
          <w:rFonts w:ascii="Arial" w:hAnsi="Arial" w:cs="Arial"/>
          <w:i/>
          <w:sz w:val="24"/>
          <w:szCs w:val="24"/>
          <w:lang w:val="en-GB"/>
        </w:rPr>
        <w:t>14h</w:t>
      </w:r>
      <w:r w:rsidR="002943C7">
        <w:rPr>
          <w:rFonts w:ascii="Arial" w:hAnsi="Arial" w:cs="Arial"/>
          <w:i/>
          <w:sz w:val="24"/>
          <w:szCs w:val="24"/>
          <w:lang w:val="en-GB"/>
        </w:rPr>
        <w:t>00</w:t>
      </w:r>
      <w:r w:rsidRPr="00F645EF">
        <w:rPr>
          <w:rFonts w:ascii="Arial" w:hAnsi="Arial" w:cs="Arial"/>
          <w:i/>
          <w:sz w:val="24"/>
          <w:szCs w:val="24"/>
          <w:lang w:val="en-GB"/>
        </w:rPr>
        <w:t xml:space="preserve"> </w:t>
      </w:r>
      <w:r w:rsidRPr="002C68B1">
        <w:rPr>
          <w:rFonts w:ascii="Arial" w:hAnsi="Arial" w:cs="Arial"/>
          <w:i/>
          <w:sz w:val="24"/>
          <w:szCs w:val="24"/>
          <w:lang w:val="en-GB"/>
        </w:rPr>
        <w:t xml:space="preserve">on </w:t>
      </w:r>
      <w:r w:rsidR="00727051">
        <w:rPr>
          <w:rFonts w:ascii="Arial" w:hAnsi="Arial" w:cs="Arial"/>
          <w:i/>
          <w:sz w:val="24"/>
          <w:szCs w:val="24"/>
          <w:lang w:val="en-GB"/>
        </w:rPr>
        <w:t>1</w:t>
      </w:r>
      <w:r w:rsidR="00F645EF">
        <w:rPr>
          <w:rFonts w:ascii="Arial" w:hAnsi="Arial" w:cs="Arial"/>
          <w:i/>
          <w:sz w:val="24"/>
          <w:szCs w:val="24"/>
          <w:lang w:val="en-GB"/>
        </w:rPr>
        <w:t>8</w:t>
      </w:r>
      <w:r w:rsidR="00727051">
        <w:rPr>
          <w:rFonts w:ascii="Arial" w:hAnsi="Arial" w:cs="Arial"/>
          <w:i/>
          <w:sz w:val="24"/>
          <w:szCs w:val="24"/>
          <w:lang w:val="en-GB"/>
        </w:rPr>
        <w:t xml:space="preserve"> </w:t>
      </w:r>
      <w:r>
        <w:rPr>
          <w:rFonts w:ascii="Arial" w:hAnsi="Arial" w:cs="Arial"/>
          <w:i/>
          <w:sz w:val="24"/>
          <w:szCs w:val="24"/>
          <w:lang w:val="en-GB"/>
        </w:rPr>
        <w:t xml:space="preserve">May </w:t>
      </w:r>
      <w:r w:rsidRPr="002C68B1">
        <w:rPr>
          <w:rFonts w:ascii="Arial" w:hAnsi="Arial" w:cs="Arial"/>
          <w:i/>
          <w:sz w:val="24"/>
          <w:szCs w:val="24"/>
          <w:lang w:val="en-GB"/>
        </w:rPr>
        <w:t>2023</w:t>
      </w:r>
      <w:r w:rsidRPr="00E25AFD">
        <w:rPr>
          <w:rFonts w:ascii="Arial" w:hAnsi="Arial" w:cs="Arial"/>
          <w:b/>
          <w:i/>
          <w:sz w:val="24"/>
          <w:szCs w:val="24"/>
          <w:lang w:val="en-GB"/>
        </w:rPr>
        <w:t>.</w:t>
      </w:r>
    </w:p>
    <w:p w14:paraId="736D3A2C" w14:textId="1E21DD24" w:rsidR="00D202C2" w:rsidRPr="00671349" w:rsidRDefault="003C4F1C" w:rsidP="00F774FF">
      <w:pPr>
        <w:keepNext/>
        <w:tabs>
          <w:tab w:val="left" w:pos="0"/>
          <w:tab w:val="right" w:pos="9070"/>
        </w:tabs>
        <w:autoSpaceDE w:val="0"/>
        <w:autoSpaceDN w:val="0"/>
        <w:adjustRightInd w:val="0"/>
        <w:spacing w:before="240" w:after="120" w:line="360" w:lineRule="auto"/>
        <w:rPr>
          <w:rFonts w:ascii="Arial" w:hAnsi="Arial" w:cs="Arial"/>
          <w:b/>
          <w:sz w:val="24"/>
          <w:szCs w:val="24"/>
        </w:rPr>
      </w:pPr>
      <w:r w:rsidRPr="00671349">
        <w:rPr>
          <w:rFonts w:ascii="Arial" w:hAnsi="Arial" w:cs="Arial"/>
          <w:b/>
          <w:sz w:val="24"/>
          <w:szCs w:val="24"/>
        </w:rPr>
        <w:lastRenderedPageBreak/>
        <w:t>MOULTRIE</w:t>
      </w:r>
      <w:r w:rsidR="00D202C2" w:rsidRPr="00671349">
        <w:rPr>
          <w:rFonts w:ascii="Arial" w:hAnsi="Arial" w:cs="Arial"/>
          <w:b/>
          <w:sz w:val="24"/>
          <w:szCs w:val="24"/>
        </w:rPr>
        <w:t xml:space="preserve"> AJ</w:t>
      </w:r>
    </w:p>
    <w:p w14:paraId="102D2AB2" w14:textId="59D65831" w:rsidR="00070A7B" w:rsidRDefault="00D73F18" w:rsidP="00D73F18">
      <w:pPr>
        <w:pStyle w:val="LC1"/>
        <w:numPr>
          <w:ilvl w:val="0"/>
          <w:numId w:val="0"/>
        </w:numPr>
        <w:ind w:left="720" w:hanging="720"/>
        <w:rPr>
          <w:rFonts w:cs="Arial"/>
          <w:szCs w:val="24"/>
        </w:rPr>
      </w:pPr>
      <w:r>
        <w:rPr>
          <w:rFonts w:cs="Arial"/>
          <w:szCs w:val="24"/>
        </w:rPr>
        <w:t>[1]</w:t>
      </w:r>
      <w:r>
        <w:rPr>
          <w:rFonts w:cs="Arial"/>
          <w:szCs w:val="24"/>
        </w:rPr>
        <w:tab/>
      </w:r>
      <w:r w:rsidR="00C31238">
        <w:rPr>
          <w:rFonts w:cs="Arial"/>
          <w:szCs w:val="24"/>
        </w:rPr>
        <w:t xml:space="preserve">The plaintiff seeks </w:t>
      </w:r>
      <w:r w:rsidR="00727051">
        <w:rPr>
          <w:rFonts w:cs="Arial"/>
          <w:szCs w:val="24"/>
        </w:rPr>
        <w:t xml:space="preserve">summary </w:t>
      </w:r>
      <w:r w:rsidR="00070A7B" w:rsidRPr="00070A7B">
        <w:rPr>
          <w:rFonts w:cs="Arial"/>
          <w:szCs w:val="24"/>
        </w:rPr>
        <w:t xml:space="preserve">judgment in respect of </w:t>
      </w:r>
      <w:r w:rsidR="004134ED">
        <w:rPr>
          <w:rFonts w:cs="Arial"/>
          <w:szCs w:val="24"/>
        </w:rPr>
        <w:t xml:space="preserve">a liquidated amount in money </w:t>
      </w:r>
      <w:r w:rsidR="00070A7B" w:rsidRPr="00070A7B">
        <w:rPr>
          <w:rFonts w:cs="Arial"/>
          <w:szCs w:val="24"/>
        </w:rPr>
        <w:t xml:space="preserve">due and owing pursuant to </w:t>
      </w:r>
      <w:r w:rsidR="00C31238">
        <w:rPr>
          <w:rFonts w:cs="Arial"/>
          <w:szCs w:val="24"/>
        </w:rPr>
        <w:t xml:space="preserve">the defendant’s </w:t>
      </w:r>
      <w:r w:rsidR="00070A7B" w:rsidRPr="00070A7B">
        <w:rPr>
          <w:rFonts w:cs="Arial"/>
          <w:szCs w:val="24"/>
        </w:rPr>
        <w:t xml:space="preserve">breach of a loan agreement </w:t>
      </w:r>
      <w:r w:rsidR="00070A7B">
        <w:rPr>
          <w:rFonts w:cs="Arial"/>
          <w:szCs w:val="24"/>
        </w:rPr>
        <w:t>concluded by the parties</w:t>
      </w:r>
      <w:r w:rsidR="00070A7B" w:rsidRPr="00070A7B">
        <w:rPr>
          <w:rFonts w:cs="Arial"/>
          <w:szCs w:val="24"/>
        </w:rPr>
        <w:t xml:space="preserve">, </w:t>
      </w:r>
      <w:r w:rsidR="00070A7B">
        <w:rPr>
          <w:rFonts w:cs="Arial"/>
          <w:szCs w:val="24"/>
        </w:rPr>
        <w:t xml:space="preserve">and an order declaring the immovable property </w:t>
      </w:r>
      <w:r w:rsidR="00DE32F5">
        <w:rPr>
          <w:rFonts w:cs="Arial"/>
          <w:szCs w:val="24"/>
        </w:rPr>
        <w:t xml:space="preserve">it holds </w:t>
      </w:r>
      <w:r w:rsidR="00070A7B">
        <w:rPr>
          <w:rFonts w:cs="Arial"/>
          <w:szCs w:val="24"/>
        </w:rPr>
        <w:t xml:space="preserve">as security for the </w:t>
      </w:r>
      <w:r w:rsidR="00B54AB3">
        <w:rPr>
          <w:rFonts w:cs="Arial"/>
          <w:szCs w:val="24"/>
        </w:rPr>
        <w:t>defendant</w:t>
      </w:r>
      <w:r w:rsidR="00070A7B">
        <w:rPr>
          <w:rFonts w:cs="Arial"/>
          <w:szCs w:val="24"/>
        </w:rPr>
        <w:t>’s indebtedness to be specially executable.</w:t>
      </w:r>
      <w:r w:rsidR="00723B13">
        <w:rPr>
          <w:rFonts w:cs="Arial"/>
          <w:szCs w:val="24"/>
        </w:rPr>
        <w:t xml:space="preserve"> </w:t>
      </w:r>
      <w:r w:rsidR="005906DB">
        <w:rPr>
          <w:rFonts w:cs="Arial"/>
          <w:szCs w:val="24"/>
        </w:rPr>
        <w:t xml:space="preserve">The plaintiff delivered an affidavit </w:t>
      </w:r>
      <w:r w:rsidR="002943C7">
        <w:rPr>
          <w:rFonts w:cs="Arial"/>
          <w:szCs w:val="24"/>
        </w:rPr>
        <w:t xml:space="preserve">as contemplated in paragraph </w:t>
      </w:r>
      <w:r w:rsidR="005906DB">
        <w:rPr>
          <w:rFonts w:cs="Arial"/>
          <w:szCs w:val="24"/>
        </w:rPr>
        <w:t xml:space="preserve">10.17 of the practice manual </w:t>
      </w:r>
      <w:r w:rsidR="00723B13">
        <w:rPr>
          <w:rFonts w:cs="Arial"/>
          <w:szCs w:val="24"/>
        </w:rPr>
        <w:t>set</w:t>
      </w:r>
      <w:r w:rsidR="005906DB">
        <w:rPr>
          <w:rFonts w:cs="Arial"/>
          <w:szCs w:val="24"/>
        </w:rPr>
        <w:t xml:space="preserve">ting </w:t>
      </w:r>
      <w:r w:rsidR="00723B13">
        <w:rPr>
          <w:rFonts w:cs="Arial"/>
          <w:szCs w:val="24"/>
        </w:rPr>
        <w:t xml:space="preserve">out information </w:t>
      </w:r>
      <w:r w:rsidR="005906DB">
        <w:rPr>
          <w:rFonts w:cs="Arial"/>
          <w:szCs w:val="24"/>
        </w:rPr>
        <w:t xml:space="preserve">in support of the latter relief. </w:t>
      </w:r>
    </w:p>
    <w:p w14:paraId="6207A066" w14:textId="47B730C2" w:rsidR="004134ED" w:rsidRDefault="00D73F18" w:rsidP="00D73F18">
      <w:pPr>
        <w:pStyle w:val="LC1"/>
        <w:numPr>
          <w:ilvl w:val="0"/>
          <w:numId w:val="0"/>
        </w:numPr>
        <w:ind w:left="720" w:hanging="720"/>
        <w:rPr>
          <w:rFonts w:cs="Arial"/>
          <w:szCs w:val="24"/>
        </w:rPr>
      </w:pPr>
      <w:r>
        <w:rPr>
          <w:rFonts w:cs="Arial"/>
          <w:szCs w:val="24"/>
        </w:rPr>
        <w:t>[2]</w:t>
      </w:r>
      <w:r>
        <w:rPr>
          <w:rFonts w:cs="Arial"/>
          <w:szCs w:val="24"/>
        </w:rPr>
        <w:tab/>
      </w:r>
      <w:r w:rsidR="00896AB7" w:rsidRPr="00896AB7">
        <w:rPr>
          <w:rFonts w:cs="Arial"/>
          <w:szCs w:val="24"/>
        </w:rPr>
        <w:t>In his plea</w:t>
      </w:r>
      <w:r w:rsidR="004134ED">
        <w:rPr>
          <w:rFonts w:cs="Arial"/>
          <w:szCs w:val="24"/>
        </w:rPr>
        <w:t xml:space="preserve"> and in his affidavit opposing summary judgment</w:t>
      </w:r>
      <w:r w:rsidR="00896AB7" w:rsidRPr="00896AB7">
        <w:rPr>
          <w:rFonts w:cs="Arial"/>
          <w:szCs w:val="24"/>
        </w:rPr>
        <w:t xml:space="preserve">, the </w:t>
      </w:r>
      <w:r w:rsidR="00727051" w:rsidRPr="00896AB7">
        <w:rPr>
          <w:rFonts w:cs="Arial"/>
          <w:szCs w:val="24"/>
        </w:rPr>
        <w:t>defendant</w:t>
      </w:r>
      <w:r w:rsidR="00896AB7" w:rsidRPr="00896AB7">
        <w:rPr>
          <w:rFonts w:cs="Arial"/>
          <w:szCs w:val="24"/>
        </w:rPr>
        <w:t xml:space="preserve"> does not dispute the alleged breach, </w:t>
      </w:r>
      <w:r w:rsidR="004134ED">
        <w:rPr>
          <w:rFonts w:cs="Arial"/>
          <w:szCs w:val="24"/>
        </w:rPr>
        <w:t xml:space="preserve">the amount of the </w:t>
      </w:r>
      <w:r w:rsidR="00896AB7" w:rsidRPr="00896AB7">
        <w:rPr>
          <w:rFonts w:cs="Arial"/>
          <w:szCs w:val="24"/>
        </w:rPr>
        <w:t>indebtedness or the security</w:t>
      </w:r>
      <w:r w:rsidR="004134ED">
        <w:rPr>
          <w:rFonts w:cs="Arial"/>
          <w:szCs w:val="24"/>
        </w:rPr>
        <w:t xml:space="preserve">, but alleges that: </w:t>
      </w:r>
    </w:p>
    <w:p w14:paraId="263553CE" w14:textId="4C71E050" w:rsidR="004134ED" w:rsidRPr="004134ED" w:rsidRDefault="00D73F18" w:rsidP="00D73F18">
      <w:pPr>
        <w:pStyle w:val="LC2"/>
        <w:numPr>
          <w:ilvl w:val="0"/>
          <w:numId w:val="0"/>
        </w:numPr>
        <w:ind w:left="1701" w:hanging="993"/>
      </w:pPr>
      <w:r w:rsidRPr="004134ED">
        <w:t>(a</w:t>
      </w:r>
      <w:bookmarkStart w:id="0" w:name="_GoBack"/>
      <w:bookmarkEnd w:id="0"/>
      <w:r w:rsidRPr="004134ED">
        <w:t>)</w:t>
      </w:r>
      <w:r w:rsidRPr="004134ED">
        <w:tab/>
      </w:r>
      <w:r w:rsidR="00896AB7" w:rsidRPr="004134ED">
        <w:t>the government measures put in place to combat the COVID-19 pandemic “</w:t>
      </w:r>
      <w:r w:rsidR="00896AB7" w:rsidRPr="004134ED">
        <w:rPr>
          <w:i/>
          <w:iCs/>
        </w:rPr>
        <w:t>had a retrogressive impact on the normal servicing of the loan</w:t>
      </w:r>
      <w:r w:rsidR="00896AB7" w:rsidRPr="004134ED">
        <w:t>”</w:t>
      </w:r>
      <w:r w:rsidR="004134ED" w:rsidRPr="004134ED">
        <w:t xml:space="preserve">; </w:t>
      </w:r>
    </w:p>
    <w:p w14:paraId="6737BA12" w14:textId="1D0B1002" w:rsidR="004134ED" w:rsidRPr="004134ED" w:rsidRDefault="00D73F18" w:rsidP="00D73F18">
      <w:pPr>
        <w:pStyle w:val="LC2"/>
        <w:numPr>
          <w:ilvl w:val="0"/>
          <w:numId w:val="0"/>
        </w:numPr>
        <w:ind w:left="1701" w:hanging="993"/>
      </w:pPr>
      <w:r w:rsidRPr="004134ED">
        <w:t>(b)</w:t>
      </w:r>
      <w:r w:rsidRPr="004134ED">
        <w:tab/>
      </w:r>
      <w:r w:rsidR="004134ED" w:rsidRPr="004134ED">
        <w:t>the plaintiff failed to comply with the requirements of section 129 of the National Credit Act, 34 of 2005</w:t>
      </w:r>
      <w:r w:rsidR="004134ED">
        <w:t xml:space="preserve"> </w:t>
      </w:r>
      <w:r w:rsidR="002943C7">
        <w:t xml:space="preserve">in that </w:t>
      </w:r>
      <w:r w:rsidR="004134ED">
        <w:t xml:space="preserve">the </w:t>
      </w:r>
      <w:r w:rsidR="00B96118">
        <w:t xml:space="preserve">defendant has no knowledge of various additional addresses </w:t>
      </w:r>
      <w:r w:rsidR="00DE32F5">
        <w:t>(</w:t>
      </w:r>
      <w:r w:rsidR="00B96118">
        <w:t xml:space="preserve">other than the agreed </w:t>
      </w:r>
      <w:r w:rsidR="00B96118" w:rsidRPr="004134ED">
        <w:rPr>
          <w:i/>
          <w:iCs/>
        </w:rPr>
        <w:t>domicilium</w:t>
      </w:r>
      <w:r w:rsidR="00B96118">
        <w:t xml:space="preserve"> address</w:t>
      </w:r>
      <w:r w:rsidR="00DE32F5">
        <w:t xml:space="preserve">) to </w:t>
      </w:r>
      <w:r w:rsidR="00B96118">
        <w:t xml:space="preserve">which the plaintiff </w:t>
      </w:r>
      <w:r w:rsidR="00DF3662">
        <w:t xml:space="preserve">claims to have </w:t>
      </w:r>
      <w:r w:rsidR="00DE32F5">
        <w:t xml:space="preserve">delivered </w:t>
      </w:r>
      <w:r w:rsidR="00DF3662">
        <w:t xml:space="preserve">the </w:t>
      </w:r>
      <w:r w:rsidR="004134ED">
        <w:t>relevant notice</w:t>
      </w:r>
      <w:r w:rsidR="004134ED" w:rsidRPr="004134ED">
        <w:t>; and</w:t>
      </w:r>
    </w:p>
    <w:p w14:paraId="3876A279" w14:textId="170B06A8" w:rsidR="00896AB7" w:rsidRPr="004134ED" w:rsidRDefault="00D73F18" w:rsidP="00D73F18">
      <w:pPr>
        <w:pStyle w:val="LC2"/>
        <w:numPr>
          <w:ilvl w:val="0"/>
          <w:numId w:val="0"/>
        </w:numPr>
        <w:ind w:left="1701" w:hanging="993"/>
      </w:pPr>
      <w:r w:rsidRPr="004134ED">
        <w:t>(c)</w:t>
      </w:r>
      <w:r w:rsidRPr="004134ED">
        <w:tab/>
      </w:r>
      <w:r w:rsidR="00896AB7" w:rsidRPr="004134ED">
        <w:t>the mortgaged property is his primary residence</w:t>
      </w:r>
      <w:r w:rsidR="004134ED">
        <w:t xml:space="preserve"> at which he resides with his family including three minor children</w:t>
      </w:r>
      <w:r w:rsidR="004134ED" w:rsidRPr="004134ED">
        <w:t>,</w:t>
      </w:r>
      <w:r w:rsidR="00896AB7" w:rsidRPr="004134ED">
        <w:t xml:space="preserve"> and that the plaintiff should be required to </w:t>
      </w:r>
      <w:r w:rsidR="00DE32F5">
        <w:t xml:space="preserve">first </w:t>
      </w:r>
      <w:r w:rsidR="00896AB7" w:rsidRPr="004134ED">
        <w:t xml:space="preserve">execute against his movable property in satisfaction of the debt. </w:t>
      </w:r>
    </w:p>
    <w:p w14:paraId="07756397" w14:textId="7EB8EA8C" w:rsidR="00266E7E" w:rsidRDefault="00D73F18" w:rsidP="00D73F18">
      <w:pPr>
        <w:pStyle w:val="LC1"/>
        <w:numPr>
          <w:ilvl w:val="0"/>
          <w:numId w:val="0"/>
        </w:numPr>
        <w:ind w:left="720" w:hanging="720"/>
        <w:rPr>
          <w:rFonts w:cs="Arial"/>
          <w:szCs w:val="24"/>
        </w:rPr>
      </w:pPr>
      <w:r>
        <w:rPr>
          <w:rFonts w:cs="Arial"/>
          <w:szCs w:val="24"/>
        </w:rPr>
        <w:t>[3]</w:t>
      </w:r>
      <w:r>
        <w:rPr>
          <w:rFonts w:cs="Arial"/>
          <w:szCs w:val="24"/>
        </w:rPr>
        <w:tab/>
      </w:r>
      <w:r w:rsidR="00266E7E">
        <w:rPr>
          <w:rFonts w:cs="Arial"/>
          <w:szCs w:val="24"/>
        </w:rPr>
        <w:t xml:space="preserve">The defendant’s allegation of his inability to service the loan as a result of the COVID-19 measures does not constitute a valid substantive defence to the plaintiff’s claim. </w:t>
      </w:r>
    </w:p>
    <w:p w14:paraId="10436A32" w14:textId="2DE3296C" w:rsidR="00B327ED" w:rsidRPr="00DE32F5" w:rsidRDefault="00D73F18" w:rsidP="00D73F18">
      <w:pPr>
        <w:pStyle w:val="LC1"/>
        <w:numPr>
          <w:ilvl w:val="0"/>
          <w:numId w:val="0"/>
        </w:numPr>
        <w:ind w:left="720" w:hanging="720"/>
        <w:rPr>
          <w:rFonts w:cs="Arial"/>
          <w:szCs w:val="24"/>
        </w:rPr>
      </w:pPr>
      <w:r w:rsidRPr="00DE32F5">
        <w:rPr>
          <w:rFonts w:cs="Arial"/>
          <w:szCs w:val="24"/>
        </w:rPr>
        <w:t>[4]</w:t>
      </w:r>
      <w:r w:rsidRPr="00DE32F5">
        <w:rPr>
          <w:rFonts w:cs="Arial"/>
          <w:szCs w:val="24"/>
        </w:rPr>
        <w:tab/>
      </w:r>
      <w:r w:rsidR="00B327ED" w:rsidRPr="00DE32F5">
        <w:rPr>
          <w:rFonts w:cs="Arial"/>
          <w:szCs w:val="24"/>
        </w:rPr>
        <w:t xml:space="preserve">I am </w:t>
      </w:r>
      <w:r w:rsidR="00537A9C" w:rsidRPr="00DE32F5">
        <w:rPr>
          <w:rFonts w:cs="Arial"/>
          <w:szCs w:val="24"/>
        </w:rPr>
        <w:t>further</w:t>
      </w:r>
      <w:r w:rsidR="00B327ED" w:rsidRPr="00DE32F5">
        <w:rPr>
          <w:rFonts w:cs="Arial"/>
          <w:szCs w:val="24"/>
        </w:rPr>
        <w:t xml:space="preserve">more satisfied that </w:t>
      </w:r>
      <w:r w:rsidR="00266E7E" w:rsidRPr="00DE32F5">
        <w:rPr>
          <w:rFonts w:cs="Arial"/>
          <w:szCs w:val="24"/>
        </w:rPr>
        <w:t xml:space="preserve">the plaintiff </w:t>
      </w:r>
      <w:r w:rsidR="00537A9C" w:rsidRPr="00DE32F5">
        <w:rPr>
          <w:rFonts w:cs="Arial"/>
          <w:szCs w:val="24"/>
        </w:rPr>
        <w:t xml:space="preserve">did indeed </w:t>
      </w:r>
      <w:r w:rsidR="00DF3662" w:rsidRPr="00DE32F5">
        <w:rPr>
          <w:rFonts w:cs="Arial"/>
          <w:szCs w:val="24"/>
        </w:rPr>
        <w:t xml:space="preserve">duly </w:t>
      </w:r>
      <w:r w:rsidR="00537A9C" w:rsidRPr="00DE32F5">
        <w:rPr>
          <w:rFonts w:cs="Arial"/>
          <w:szCs w:val="24"/>
        </w:rPr>
        <w:t xml:space="preserve">serve the </w:t>
      </w:r>
      <w:r w:rsidR="00266E7E" w:rsidRPr="00DE32F5">
        <w:rPr>
          <w:rFonts w:cs="Arial"/>
          <w:szCs w:val="24"/>
        </w:rPr>
        <w:t xml:space="preserve">section 129 </w:t>
      </w:r>
      <w:r w:rsidR="00537A9C" w:rsidRPr="00DE32F5">
        <w:rPr>
          <w:rFonts w:cs="Arial"/>
          <w:szCs w:val="24"/>
        </w:rPr>
        <w:t>letter on the defendant</w:t>
      </w:r>
      <w:r w:rsidR="00266E7E" w:rsidRPr="00DE32F5">
        <w:rPr>
          <w:rFonts w:cs="Arial"/>
          <w:szCs w:val="24"/>
        </w:rPr>
        <w:t xml:space="preserve">. The loan agreement relied upon by the plaintiff identifies the defendant’s chosen </w:t>
      </w:r>
      <w:r w:rsidR="00266E7E" w:rsidRPr="00DE32F5">
        <w:rPr>
          <w:rFonts w:cs="Arial"/>
          <w:i/>
          <w:iCs/>
          <w:szCs w:val="24"/>
        </w:rPr>
        <w:t>domicilium citandi et executandi</w:t>
      </w:r>
      <w:r w:rsidR="00266E7E" w:rsidRPr="00DE32F5">
        <w:rPr>
          <w:rFonts w:cs="Arial"/>
          <w:szCs w:val="24"/>
        </w:rPr>
        <w:t xml:space="preserve"> as being 17 Marble Street, </w:t>
      </w:r>
      <w:r w:rsidR="00266E7E" w:rsidRPr="00DE32F5">
        <w:rPr>
          <w:rFonts w:cs="Arial"/>
          <w:szCs w:val="24"/>
        </w:rPr>
        <w:lastRenderedPageBreak/>
        <w:t>Lenasia Ext 13, Gauteng, 1827.</w:t>
      </w:r>
      <w:r w:rsidR="00B327ED">
        <w:rPr>
          <w:rStyle w:val="FootnoteReference"/>
          <w:rFonts w:cs="Arial"/>
          <w:szCs w:val="24"/>
        </w:rPr>
        <w:footnoteReference w:id="1"/>
      </w:r>
      <w:r w:rsidR="00266E7E" w:rsidRPr="00DE32F5">
        <w:rPr>
          <w:rFonts w:cs="Arial"/>
          <w:szCs w:val="24"/>
        </w:rPr>
        <w:t xml:space="preserve"> </w:t>
      </w:r>
      <w:r w:rsidR="00811056" w:rsidRPr="00DE32F5">
        <w:rPr>
          <w:rFonts w:cs="Arial"/>
          <w:szCs w:val="24"/>
        </w:rPr>
        <w:t xml:space="preserve">While it </w:t>
      </w:r>
      <w:r w:rsidR="00B96118" w:rsidRPr="00DE32F5">
        <w:rPr>
          <w:rFonts w:cs="Arial"/>
          <w:szCs w:val="24"/>
        </w:rPr>
        <w:t xml:space="preserve">appears </w:t>
      </w:r>
      <w:r w:rsidR="00811056" w:rsidRPr="00DE32F5">
        <w:rPr>
          <w:rFonts w:cs="Arial"/>
          <w:szCs w:val="24"/>
        </w:rPr>
        <w:t xml:space="preserve">that </w:t>
      </w:r>
      <w:r w:rsidR="00537A9C" w:rsidRPr="00DE32F5">
        <w:rPr>
          <w:rFonts w:cs="Arial"/>
          <w:szCs w:val="24"/>
        </w:rPr>
        <w:t xml:space="preserve">the </w:t>
      </w:r>
      <w:r w:rsidR="00B96118" w:rsidRPr="00DE32F5">
        <w:rPr>
          <w:rFonts w:cs="Arial"/>
          <w:szCs w:val="24"/>
        </w:rPr>
        <w:t xml:space="preserve">plaintiff </w:t>
      </w:r>
      <w:r w:rsidR="00B76389">
        <w:rPr>
          <w:rFonts w:cs="Arial"/>
          <w:szCs w:val="24"/>
        </w:rPr>
        <w:t xml:space="preserve">also </w:t>
      </w:r>
      <w:r w:rsidR="00B96118" w:rsidRPr="00DE32F5">
        <w:rPr>
          <w:rFonts w:cs="Arial"/>
          <w:szCs w:val="24"/>
        </w:rPr>
        <w:t xml:space="preserve">purported to serve the </w:t>
      </w:r>
      <w:r w:rsidR="00811056" w:rsidRPr="00DE32F5">
        <w:rPr>
          <w:rFonts w:cs="Arial"/>
          <w:szCs w:val="24"/>
        </w:rPr>
        <w:t xml:space="preserve">section 129 </w:t>
      </w:r>
      <w:r w:rsidR="00537A9C" w:rsidRPr="00DE32F5">
        <w:rPr>
          <w:rFonts w:cs="Arial"/>
          <w:szCs w:val="24"/>
        </w:rPr>
        <w:t xml:space="preserve">letter at various other addresses, the </w:t>
      </w:r>
      <w:r w:rsidR="00DE32F5">
        <w:rPr>
          <w:rFonts w:cs="Arial"/>
          <w:szCs w:val="24"/>
        </w:rPr>
        <w:t xml:space="preserve">sheriff’s </w:t>
      </w:r>
      <w:r w:rsidR="00266E7E" w:rsidRPr="00DE32F5">
        <w:rPr>
          <w:rFonts w:cs="Arial"/>
          <w:szCs w:val="24"/>
        </w:rPr>
        <w:t xml:space="preserve">return submitted by the plaintiff indicates that the section 129 letter </w:t>
      </w:r>
      <w:r w:rsidR="00537A9C" w:rsidRPr="00DE32F5">
        <w:rPr>
          <w:rFonts w:cs="Arial"/>
          <w:szCs w:val="24"/>
        </w:rPr>
        <w:t xml:space="preserve">dated 23 September 2020 and addressed to the defendant at the </w:t>
      </w:r>
      <w:r w:rsidR="00537A9C" w:rsidRPr="00DE32F5">
        <w:rPr>
          <w:rFonts w:cs="Arial"/>
          <w:i/>
          <w:iCs/>
          <w:szCs w:val="24"/>
        </w:rPr>
        <w:t>domicilium</w:t>
      </w:r>
      <w:r w:rsidR="00537A9C" w:rsidRPr="00DE32F5">
        <w:rPr>
          <w:rFonts w:cs="Arial"/>
          <w:szCs w:val="24"/>
        </w:rPr>
        <w:t xml:space="preserve"> address</w:t>
      </w:r>
      <w:r w:rsidR="00B327ED">
        <w:rPr>
          <w:rStyle w:val="FootnoteReference"/>
          <w:rFonts w:cs="Arial"/>
          <w:szCs w:val="24"/>
        </w:rPr>
        <w:footnoteReference w:id="2"/>
      </w:r>
      <w:r w:rsidR="00537A9C" w:rsidRPr="00DE32F5">
        <w:rPr>
          <w:rFonts w:cs="Arial"/>
          <w:szCs w:val="24"/>
        </w:rPr>
        <w:t xml:space="preserve"> </w:t>
      </w:r>
      <w:r w:rsidR="00266E7E" w:rsidRPr="00DE32F5">
        <w:rPr>
          <w:rFonts w:cs="Arial"/>
          <w:szCs w:val="24"/>
        </w:rPr>
        <w:t xml:space="preserve">was personally served on the defendant </w:t>
      </w:r>
      <w:r w:rsidR="00537A9C" w:rsidRPr="00DE32F5">
        <w:rPr>
          <w:rFonts w:cs="Arial"/>
          <w:szCs w:val="24"/>
        </w:rPr>
        <w:t xml:space="preserve">by the Deputy Sheriff at </w:t>
      </w:r>
      <w:r w:rsidR="00DE32F5">
        <w:rPr>
          <w:rFonts w:cs="Arial"/>
          <w:szCs w:val="24"/>
        </w:rPr>
        <w:t xml:space="preserve">the domicilium address at </w:t>
      </w:r>
      <w:r w:rsidR="00537A9C" w:rsidRPr="00DE32F5">
        <w:rPr>
          <w:rFonts w:cs="Arial"/>
          <w:szCs w:val="24"/>
        </w:rPr>
        <w:t>15h02 on 28 September 2020.</w:t>
      </w:r>
      <w:r w:rsidR="00B327ED">
        <w:rPr>
          <w:rStyle w:val="FootnoteReference"/>
          <w:rFonts w:cs="Arial"/>
          <w:szCs w:val="24"/>
        </w:rPr>
        <w:footnoteReference w:id="3"/>
      </w:r>
      <w:r w:rsidR="00537A9C" w:rsidRPr="00DE32F5">
        <w:rPr>
          <w:rFonts w:cs="Arial"/>
          <w:szCs w:val="24"/>
        </w:rPr>
        <w:t xml:space="preserve"> </w:t>
      </w:r>
    </w:p>
    <w:p w14:paraId="379A3747" w14:textId="4EEB247A" w:rsidR="00B327ED" w:rsidRDefault="00D73F18" w:rsidP="00D73F18">
      <w:pPr>
        <w:pStyle w:val="LC1"/>
        <w:numPr>
          <w:ilvl w:val="0"/>
          <w:numId w:val="0"/>
        </w:numPr>
        <w:ind w:left="720" w:hanging="720"/>
        <w:rPr>
          <w:rFonts w:cs="Arial"/>
          <w:szCs w:val="24"/>
        </w:rPr>
      </w:pPr>
      <w:r>
        <w:rPr>
          <w:rFonts w:cs="Arial"/>
          <w:szCs w:val="24"/>
        </w:rPr>
        <w:t>[5]</w:t>
      </w:r>
      <w:r>
        <w:rPr>
          <w:rFonts w:cs="Arial"/>
          <w:szCs w:val="24"/>
        </w:rPr>
        <w:tab/>
      </w:r>
      <w:r w:rsidR="002943C7">
        <w:rPr>
          <w:rFonts w:cs="Arial"/>
          <w:szCs w:val="24"/>
        </w:rPr>
        <w:t xml:space="preserve">While </w:t>
      </w:r>
      <w:r w:rsidR="00DE32F5">
        <w:rPr>
          <w:rFonts w:cs="Arial"/>
          <w:szCs w:val="24"/>
        </w:rPr>
        <w:t xml:space="preserve">a </w:t>
      </w:r>
      <w:r w:rsidR="00B76389">
        <w:rPr>
          <w:rFonts w:cs="Arial"/>
          <w:szCs w:val="24"/>
        </w:rPr>
        <w:t>s</w:t>
      </w:r>
      <w:r w:rsidR="00B327ED">
        <w:rPr>
          <w:rFonts w:cs="Arial"/>
          <w:szCs w:val="24"/>
        </w:rPr>
        <w:t xml:space="preserve">heriff’s return only stands as </w:t>
      </w:r>
      <w:r w:rsidR="00537A9C" w:rsidRPr="00537A9C">
        <w:rPr>
          <w:rFonts w:cs="Arial"/>
          <w:i/>
          <w:iCs/>
          <w:szCs w:val="24"/>
        </w:rPr>
        <w:t>prima facie</w:t>
      </w:r>
      <w:r w:rsidR="00537A9C" w:rsidRPr="00537A9C">
        <w:rPr>
          <w:rFonts w:cs="Arial"/>
          <w:szCs w:val="24"/>
        </w:rPr>
        <w:t xml:space="preserve"> evidence </w:t>
      </w:r>
      <w:r w:rsidR="00B327ED">
        <w:rPr>
          <w:rFonts w:cs="Arial"/>
          <w:szCs w:val="24"/>
        </w:rPr>
        <w:t>of its contents,</w:t>
      </w:r>
      <w:r w:rsidR="00B327ED">
        <w:rPr>
          <w:rStyle w:val="FootnoteReference"/>
          <w:rFonts w:cs="Arial"/>
          <w:szCs w:val="24"/>
        </w:rPr>
        <w:footnoteReference w:id="4"/>
      </w:r>
      <w:r w:rsidR="00B327ED">
        <w:rPr>
          <w:rFonts w:cs="Arial"/>
          <w:szCs w:val="24"/>
        </w:rPr>
        <w:t xml:space="preserve"> it calls for an answer</w:t>
      </w:r>
      <w:r w:rsidR="002943C7">
        <w:rPr>
          <w:rFonts w:cs="Arial"/>
          <w:szCs w:val="24"/>
        </w:rPr>
        <w:t>,</w:t>
      </w:r>
      <w:r w:rsidR="00B327ED">
        <w:rPr>
          <w:rFonts w:cs="Arial"/>
          <w:szCs w:val="24"/>
        </w:rPr>
        <w:t xml:space="preserve"> and places an evidential burden on the </w:t>
      </w:r>
      <w:r w:rsidR="00DF3662">
        <w:rPr>
          <w:rFonts w:cs="Arial"/>
          <w:szCs w:val="24"/>
        </w:rPr>
        <w:t xml:space="preserve">party seeking </w:t>
      </w:r>
      <w:r w:rsidR="00811056">
        <w:rPr>
          <w:rFonts w:cs="Arial"/>
          <w:szCs w:val="24"/>
        </w:rPr>
        <w:t xml:space="preserve">to </w:t>
      </w:r>
      <w:r w:rsidR="00DF3662">
        <w:rPr>
          <w:rFonts w:cs="Arial"/>
          <w:szCs w:val="24"/>
        </w:rPr>
        <w:t xml:space="preserve">impeach </w:t>
      </w:r>
      <w:r w:rsidR="00DE32F5">
        <w:rPr>
          <w:rFonts w:cs="Arial"/>
          <w:szCs w:val="24"/>
        </w:rPr>
        <w:t xml:space="preserve">it. That party must </w:t>
      </w:r>
      <w:r w:rsidR="00811056">
        <w:rPr>
          <w:rFonts w:cs="Arial"/>
          <w:szCs w:val="24"/>
        </w:rPr>
        <w:t>do so</w:t>
      </w:r>
      <w:r w:rsidR="00DF3662">
        <w:rPr>
          <w:rFonts w:cs="Arial"/>
          <w:szCs w:val="24"/>
        </w:rPr>
        <w:t xml:space="preserve"> </w:t>
      </w:r>
      <w:r w:rsidR="00DF3662" w:rsidRPr="00DF3662">
        <w:rPr>
          <w:rFonts w:cs="Arial"/>
          <w:szCs w:val="24"/>
        </w:rPr>
        <w:t xml:space="preserve">on </w:t>
      </w:r>
      <w:r w:rsidR="00DF3662">
        <w:rPr>
          <w:rFonts w:cs="Arial"/>
          <w:szCs w:val="24"/>
        </w:rPr>
        <w:t>the basis of “</w:t>
      </w:r>
      <w:r w:rsidR="00DF3662" w:rsidRPr="00DF3662">
        <w:rPr>
          <w:rFonts w:cs="Arial"/>
          <w:i/>
          <w:iCs/>
          <w:szCs w:val="24"/>
        </w:rPr>
        <w:t>the clearest and most satisfactory evidence</w:t>
      </w:r>
      <w:r w:rsidR="00DF3662">
        <w:rPr>
          <w:rFonts w:cs="Arial"/>
          <w:szCs w:val="24"/>
        </w:rPr>
        <w:t>”</w:t>
      </w:r>
      <w:r w:rsidR="00DF3662" w:rsidRPr="00DF3662">
        <w:rPr>
          <w:rFonts w:cs="Arial"/>
          <w:szCs w:val="24"/>
        </w:rPr>
        <w:t>.</w:t>
      </w:r>
      <w:r w:rsidR="00DF3662">
        <w:rPr>
          <w:rStyle w:val="FootnoteReference"/>
          <w:rFonts w:cs="Arial"/>
          <w:szCs w:val="24"/>
        </w:rPr>
        <w:footnoteReference w:id="5"/>
      </w:r>
      <w:r w:rsidR="00DF3662">
        <w:rPr>
          <w:rFonts w:cs="Arial"/>
          <w:szCs w:val="24"/>
        </w:rPr>
        <w:t xml:space="preserve"> </w:t>
      </w:r>
      <w:r w:rsidR="00DE32F5">
        <w:rPr>
          <w:rFonts w:cs="Arial"/>
          <w:szCs w:val="24"/>
        </w:rPr>
        <w:t>T</w:t>
      </w:r>
      <w:r w:rsidR="00811056">
        <w:rPr>
          <w:rFonts w:cs="Arial"/>
          <w:szCs w:val="24"/>
        </w:rPr>
        <w:t xml:space="preserve">he </w:t>
      </w:r>
      <w:r w:rsidR="00B96118">
        <w:rPr>
          <w:rFonts w:cs="Arial"/>
          <w:szCs w:val="24"/>
        </w:rPr>
        <w:t xml:space="preserve">burden of the </w:t>
      </w:r>
      <w:r w:rsidR="00811056">
        <w:rPr>
          <w:rFonts w:cs="Arial"/>
          <w:szCs w:val="24"/>
        </w:rPr>
        <w:t xml:space="preserve">defendant’s </w:t>
      </w:r>
      <w:r w:rsidR="00B96118">
        <w:rPr>
          <w:rFonts w:cs="Arial"/>
          <w:szCs w:val="24"/>
        </w:rPr>
        <w:t xml:space="preserve">contentions in this regard is that </w:t>
      </w:r>
      <w:r w:rsidR="00811056">
        <w:rPr>
          <w:rFonts w:cs="Arial"/>
          <w:szCs w:val="24"/>
        </w:rPr>
        <w:t xml:space="preserve">he has </w:t>
      </w:r>
      <w:r w:rsidR="00DE32F5">
        <w:rPr>
          <w:rFonts w:cs="Arial"/>
          <w:szCs w:val="24"/>
        </w:rPr>
        <w:t>n</w:t>
      </w:r>
      <w:r w:rsidR="00811056">
        <w:rPr>
          <w:rFonts w:cs="Arial"/>
          <w:szCs w:val="24"/>
        </w:rPr>
        <w:t>ever stayed at the additional addresses</w:t>
      </w:r>
      <w:r w:rsidR="00DE32F5">
        <w:rPr>
          <w:rFonts w:cs="Arial"/>
          <w:szCs w:val="24"/>
        </w:rPr>
        <w:t>,</w:t>
      </w:r>
      <w:r w:rsidR="00811056">
        <w:rPr>
          <w:rFonts w:cs="Arial"/>
          <w:szCs w:val="24"/>
        </w:rPr>
        <w:t xml:space="preserve"> and </w:t>
      </w:r>
      <w:r w:rsidR="00B96118">
        <w:rPr>
          <w:rFonts w:cs="Arial"/>
          <w:szCs w:val="24"/>
        </w:rPr>
        <w:t xml:space="preserve">his </w:t>
      </w:r>
      <w:r w:rsidR="00DF3662">
        <w:rPr>
          <w:rFonts w:cs="Arial"/>
          <w:szCs w:val="24"/>
        </w:rPr>
        <w:t xml:space="preserve">bald denial </w:t>
      </w:r>
      <w:r w:rsidR="00811056">
        <w:rPr>
          <w:rFonts w:cs="Arial"/>
          <w:szCs w:val="24"/>
        </w:rPr>
        <w:t xml:space="preserve">of personal service </w:t>
      </w:r>
      <w:r w:rsidR="00DF3662">
        <w:rPr>
          <w:rFonts w:cs="Arial"/>
          <w:szCs w:val="24"/>
        </w:rPr>
        <w:t xml:space="preserve">does not </w:t>
      </w:r>
      <w:r w:rsidR="00B96118">
        <w:rPr>
          <w:rFonts w:cs="Arial"/>
          <w:szCs w:val="24"/>
        </w:rPr>
        <w:t xml:space="preserve">in my view </w:t>
      </w:r>
      <w:r w:rsidR="00DF3662">
        <w:rPr>
          <w:rFonts w:cs="Arial"/>
          <w:szCs w:val="24"/>
        </w:rPr>
        <w:t xml:space="preserve">meet </w:t>
      </w:r>
      <w:r w:rsidR="00811056">
        <w:rPr>
          <w:rFonts w:cs="Arial"/>
          <w:szCs w:val="24"/>
        </w:rPr>
        <w:t xml:space="preserve">the </w:t>
      </w:r>
      <w:r w:rsidR="00DF3662">
        <w:rPr>
          <w:rFonts w:cs="Arial"/>
          <w:szCs w:val="24"/>
        </w:rPr>
        <w:t xml:space="preserve">standard </w:t>
      </w:r>
      <w:r w:rsidR="002943C7">
        <w:rPr>
          <w:rFonts w:cs="Arial"/>
          <w:szCs w:val="24"/>
        </w:rPr>
        <w:t xml:space="preserve">required </w:t>
      </w:r>
      <w:r w:rsidR="00B96118">
        <w:rPr>
          <w:rFonts w:cs="Arial"/>
          <w:szCs w:val="24"/>
        </w:rPr>
        <w:t xml:space="preserve">to </w:t>
      </w:r>
      <w:r w:rsidR="002943C7">
        <w:rPr>
          <w:rFonts w:cs="Arial"/>
          <w:szCs w:val="24"/>
        </w:rPr>
        <w:t xml:space="preserve">successfully </w:t>
      </w:r>
      <w:r w:rsidR="00B96118">
        <w:rPr>
          <w:rFonts w:cs="Arial"/>
          <w:szCs w:val="24"/>
        </w:rPr>
        <w:t xml:space="preserve">impugn the </w:t>
      </w:r>
      <w:r w:rsidR="00DE32F5">
        <w:rPr>
          <w:rFonts w:cs="Arial"/>
          <w:szCs w:val="24"/>
        </w:rPr>
        <w:t xml:space="preserve">sheriff’s </w:t>
      </w:r>
      <w:r w:rsidR="00B96118">
        <w:rPr>
          <w:rFonts w:cs="Arial"/>
          <w:szCs w:val="24"/>
        </w:rPr>
        <w:t>return of service.</w:t>
      </w:r>
    </w:p>
    <w:p w14:paraId="333A422B" w14:textId="7846CB1E" w:rsidR="00896AB7" w:rsidRDefault="00D73F18" w:rsidP="00D73F18">
      <w:pPr>
        <w:pStyle w:val="LC1"/>
        <w:numPr>
          <w:ilvl w:val="0"/>
          <w:numId w:val="0"/>
        </w:numPr>
        <w:ind w:left="720" w:hanging="720"/>
        <w:rPr>
          <w:rFonts w:cs="Arial"/>
          <w:szCs w:val="24"/>
        </w:rPr>
      </w:pPr>
      <w:r>
        <w:rPr>
          <w:rFonts w:cs="Arial"/>
          <w:szCs w:val="24"/>
        </w:rPr>
        <w:t>[6]</w:t>
      </w:r>
      <w:r>
        <w:rPr>
          <w:rFonts w:cs="Arial"/>
          <w:szCs w:val="24"/>
        </w:rPr>
        <w:tab/>
      </w:r>
      <w:r w:rsidR="00266E7E">
        <w:rPr>
          <w:rFonts w:cs="Arial"/>
          <w:szCs w:val="24"/>
        </w:rPr>
        <w:t xml:space="preserve">In the circumstances, </w:t>
      </w:r>
      <w:r w:rsidR="004134ED">
        <w:rPr>
          <w:rFonts w:cs="Arial"/>
          <w:szCs w:val="24"/>
        </w:rPr>
        <w:t xml:space="preserve">I am satisfied that the plea does not raise any substantive defence to the </w:t>
      </w:r>
      <w:r w:rsidR="00266E7E">
        <w:rPr>
          <w:rFonts w:cs="Arial"/>
          <w:szCs w:val="24"/>
        </w:rPr>
        <w:t xml:space="preserve">plaintiff’s </w:t>
      </w:r>
      <w:r w:rsidR="004134ED">
        <w:rPr>
          <w:rFonts w:cs="Arial"/>
          <w:szCs w:val="24"/>
        </w:rPr>
        <w:t>claim</w:t>
      </w:r>
      <w:r w:rsidR="00266E7E">
        <w:rPr>
          <w:rFonts w:cs="Arial"/>
          <w:szCs w:val="24"/>
        </w:rPr>
        <w:t xml:space="preserve"> and that the </w:t>
      </w:r>
      <w:r w:rsidR="00811056">
        <w:rPr>
          <w:rFonts w:cs="Arial"/>
          <w:szCs w:val="24"/>
        </w:rPr>
        <w:t>plaintiff is entitled to the monetary judgment that it seeks</w:t>
      </w:r>
      <w:r w:rsidR="00120EB1">
        <w:rPr>
          <w:rFonts w:cs="Arial"/>
          <w:szCs w:val="24"/>
        </w:rPr>
        <w:t xml:space="preserve">. </w:t>
      </w:r>
    </w:p>
    <w:p w14:paraId="407859A9" w14:textId="24DAC867" w:rsidR="00120EB1" w:rsidRDefault="00D73F18" w:rsidP="00D73F18">
      <w:pPr>
        <w:pStyle w:val="LC1"/>
        <w:numPr>
          <w:ilvl w:val="0"/>
          <w:numId w:val="0"/>
        </w:numPr>
        <w:ind w:left="720" w:hanging="720"/>
        <w:rPr>
          <w:rFonts w:cs="Arial"/>
          <w:szCs w:val="24"/>
        </w:rPr>
      </w:pPr>
      <w:r>
        <w:rPr>
          <w:rFonts w:cs="Arial"/>
          <w:szCs w:val="24"/>
        </w:rPr>
        <w:t>[7]</w:t>
      </w:r>
      <w:r>
        <w:rPr>
          <w:rFonts w:cs="Arial"/>
          <w:szCs w:val="24"/>
        </w:rPr>
        <w:tab/>
      </w:r>
      <w:r w:rsidR="00120EB1">
        <w:rPr>
          <w:rFonts w:cs="Arial"/>
          <w:szCs w:val="24"/>
        </w:rPr>
        <w:t xml:space="preserve">However, since the loan agreement stipulates that the loan bears interest at a variable rate, it </w:t>
      </w:r>
      <w:r w:rsidR="002943C7">
        <w:rPr>
          <w:rFonts w:cs="Arial"/>
          <w:szCs w:val="24"/>
        </w:rPr>
        <w:t xml:space="preserve">is </w:t>
      </w:r>
      <w:r w:rsidR="00120EB1">
        <w:rPr>
          <w:rFonts w:cs="Arial"/>
          <w:szCs w:val="24"/>
        </w:rPr>
        <w:t>inappropriate to fix the interest rate as at the date of the certificate relied upon by the plaintiff, as sought in its draft order.</w:t>
      </w:r>
      <w:r w:rsidR="00120EB1">
        <w:rPr>
          <w:rStyle w:val="FootnoteReference"/>
          <w:rFonts w:cs="Arial"/>
          <w:szCs w:val="24"/>
        </w:rPr>
        <w:footnoteReference w:id="6"/>
      </w:r>
      <w:r w:rsidR="00120EB1">
        <w:rPr>
          <w:rFonts w:cs="Arial"/>
          <w:szCs w:val="24"/>
        </w:rPr>
        <w:t xml:space="preserve"> The order for interest should instead reflect the wording of the loan agreement, with the result that the rate will continue to vary pursuant to changes in the relevant rate until such time as the debt is finally discharged.</w:t>
      </w:r>
    </w:p>
    <w:p w14:paraId="68E4C0EE" w14:textId="140F2A69" w:rsidR="00120EB1" w:rsidRDefault="00D73F18" w:rsidP="00D73F18">
      <w:pPr>
        <w:pStyle w:val="LC1"/>
        <w:numPr>
          <w:ilvl w:val="0"/>
          <w:numId w:val="0"/>
        </w:numPr>
        <w:spacing w:after="120"/>
        <w:ind w:left="720" w:hanging="720"/>
        <w:rPr>
          <w:rFonts w:cs="Arial"/>
          <w:szCs w:val="24"/>
        </w:rPr>
      </w:pPr>
      <w:r>
        <w:rPr>
          <w:rFonts w:cs="Arial"/>
          <w:szCs w:val="24"/>
        </w:rPr>
        <w:t>[8]</w:t>
      </w:r>
      <w:r>
        <w:rPr>
          <w:rFonts w:cs="Arial"/>
          <w:szCs w:val="24"/>
        </w:rPr>
        <w:tab/>
      </w:r>
      <w:r w:rsidR="00120EB1">
        <w:rPr>
          <w:rFonts w:cs="Arial"/>
          <w:szCs w:val="24"/>
        </w:rPr>
        <w:t xml:space="preserve">The </w:t>
      </w:r>
      <w:r w:rsidR="006E7462" w:rsidRPr="006E7462">
        <w:rPr>
          <w:rFonts w:cs="Arial"/>
          <w:szCs w:val="24"/>
        </w:rPr>
        <w:t xml:space="preserve">interest rate </w:t>
      </w:r>
      <w:r w:rsidR="00120EB1">
        <w:rPr>
          <w:rFonts w:cs="Arial"/>
          <w:szCs w:val="24"/>
        </w:rPr>
        <w:t xml:space="preserve">provided for in the </w:t>
      </w:r>
      <w:r w:rsidR="00120EB1" w:rsidRPr="006E7462">
        <w:rPr>
          <w:rFonts w:cs="Arial"/>
          <w:szCs w:val="24"/>
        </w:rPr>
        <w:t xml:space="preserve">loan agreement </w:t>
      </w:r>
      <w:r w:rsidR="00120EB1">
        <w:rPr>
          <w:rFonts w:cs="Arial"/>
          <w:szCs w:val="24"/>
        </w:rPr>
        <w:t xml:space="preserve">as </w:t>
      </w:r>
      <w:r w:rsidR="000B1630">
        <w:rPr>
          <w:rFonts w:cs="Arial"/>
          <w:szCs w:val="24"/>
        </w:rPr>
        <w:t xml:space="preserve">pleaded </w:t>
      </w:r>
      <w:r w:rsidR="00120EB1">
        <w:rPr>
          <w:rFonts w:cs="Arial"/>
          <w:szCs w:val="24"/>
        </w:rPr>
        <w:t xml:space="preserve">in the (undisputed) </w:t>
      </w:r>
      <w:r w:rsidR="00120EB1">
        <w:rPr>
          <w:rFonts w:cs="Arial"/>
          <w:szCs w:val="24"/>
        </w:rPr>
        <w:lastRenderedPageBreak/>
        <w:t>particulars of claim is as follows:</w:t>
      </w:r>
    </w:p>
    <w:p w14:paraId="017FB6D2" w14:textId="47178DFA" w:rsidR="00120EB1" w:rsidRDefault="00120EB1" w:rsidP="00120EB1">
      <w:pPr>
        <w:pStyle w:val="HeadsQuote"/>
      </w:pPr>
      <w:r>
        <w:t>“…. the mid-market rate for deposits in South African Rand for a period of</w:t>
      </w:r>
    </w:p>
    <w:p w14:paraId="30C72050" w14:textId="00EB9D4F" w:rsidR="00120EB1" w:rsidRDefault="00120EB1" w:rsidP="00120EB1">
      <w:pPr>
        <w:pStyle w:val="HeadsQuote"/>
      </w:pPr>
      <w:r>
        <w:t xml:space="preserve">three months, which appears on the Reuters Screen, SAFEY page under the caption </w:t>
      </w:r>
      <w:r>
        <w:rPr>
          <w:color w:val="414141"/>
        </w:rPr>
        <w:t xml:space="preserve">"yield" </w:t>
      </w:r>
      <w:r>
        <w:t>as of approximately 11</w:t>
      </w:r>
      <w:r>
        <w:rPr>
          <w:color w:val="414141"/>
        </w:rPr>
        <w:t xml:space="preserve">:00 </w:t>
      </w:r>
      <w:r>
        <w:t>AM, Johannesburg time on the date of registration of the … bond … and would be reset thereafter on the same basis on the 21 February, 21 May, 21 August and 21 November (or, if that day is not a business day, the immediately succeeding business day) ("the JIBAR rate") converted to and expressed as a nominal annual rate, compounded monthly, rounded up to the nearest first decimal point ("the BASE rate"), plus 3.80% …”</w:t>
      </w:r>
    </w:p>
    <w:p w14:paraId="64AEEA8C" w14:textId="5BDEF94F" w:rsidR="000B1630" w:rsidRDefault="00D73F18" w:rsidP="00D73F18">
      <w:pPr>
        <w:pStyle w:val="LC1"/>
        <w:numPr>
          <w:ilvl w:val="0"/>
          <w:numId w:val="0"/>
        </w:numPr>
        <w:ind w:left="720" w:hanging="720"/>
      </w:pPr>
      <w:r>
        <w:rPr>
          <w:rFonts w:cs="Arial"/>
          <w:szCs w:val="24"/>
        </w:rPr>
        <w:t>[9]</w:t>
      </w:r>
      <w:r>
        <w:rPr>
          <w:rFonts w:cs="Arial"/>
          <w:szCs w:val="24"/>
        </w:rPr>
        <w:tab/>
      </w:r>
      <w:r w:rsidR="000B1630">
        <w:t>The order that I make reflects the contractually agreed formulation</w:t>
      </w:r>
      <w:r w:rsidR="00DE32F5">
        <w:t xml:space="preserve"> with reference to the definition of the “base rate” in the loan agreement</w:t>
      </w:r>
      <w:r w:rsidR="000B1630">
        <w:t>.</w:t>
      </w:r>
    </w:p>
    <w:p w14:paraId="5347D0B4" w14:textId="653C7846" w:rsidR="00E235E6" w:rsidRPr="000E2745" w:rsidRDefault="00D73F18" w:rsidP="00D73F18">
      <w:pPr>
        <w:pStyle w:val="LC1"/>
        <w:numPr>
          <w:ilvl w:val="0"/>
          <w:numId w:val="0"/>
        </w:numPr>
        <w:spacing w:after="120"/>
        <w:ind w:left="720" w:hanging="720"/>
        <w:rPr>
          <w:rFonts w:cs="Arial"/>
          <w:szCs w:val="24"/>
        </w:rPr>
      </w:pPr>
      <w:r w:rsidRPr="000E2745">
        <w:rPr>
          <w:rFonts w:cs="Arial"/>
          <w:szCs w:val="24"/>
        </w:rPr>
        <w:t>[10]</w:t>
      </w:r>
      <w:r w:rsidRPr="000E2745">
        <w:rPr>
          <w:rFonts w:cs="Arial"/>
          <w:szCs w:val="24"/>
        </w:rPr>
        <w:tab/>
      </w:r>
      <w:r w:rsidR="00E235E6" w:rsidRPr="000E2745">
        <w:rPr>
          <w:rFonts w:cs="Arial"/>
          <w:szCs w:val="24"/>
        </w:rPr>
        <w:t xml:space="preserve">With regard to the order for special executability, I </w:t>
      </w:r>
      <w:r w:rsidR="000E2745" w:rsidRPr="000E2745">
        <w:rPr>
          <w:rFonts w:cs="Arial"/>
          <w:szCs w:val="24"/>
        </w:rPr>
        <w:t xml:space="preserve">have taken </w:t>
      </w:r>
      <w:r w:rsidR="00E235E6" w:rsidRPr="000E2745">
        <w:rPr>
          <w:rFonts w:cs="Arial"/>
          <w:szCs w:val="24"/>
        </w:rPr>
        <w:t xml:space="preserve">into account the following </w:t>
      </w:r>
      <w:r w:rsidR="000E2745" w:rsidRPr="000E2745">
        <w:rPr>
          <w:rFonts w:cs="Arial"/>
          <w:szCs w:val="24"/>
        </w:rPr>
        <w:t xml:space="preserve">information gleaned from </w:t>
      </w:r>
      <w:r w:rsidR="000E2745" w:rsidRPr="000E2745">
        <w:t xml:space="preserve">the </w:t>
      </w:r>
      <w:r w:rsidR="00D170CF">
        <w:t xml:space="preserve">papers and from the </w:t>
      </w:r>
      <w:r w:rsidR="000E2745" w:rsidRPr="000E2745">
        <w:t>plaintiff’s paragraph 10.17 affidavit (which was not disputed by the defendant at the hearing)</w:t>
      </w:r>
      <w:r w:rsidR="00E235E6" w:rsidRPr="000E2745">
        <w:rPr>
          <w:rFonts w:cs="Arial"/>
          <w:szCs w:val="24"/>
        </w:rPr>
        <w:t>:</w:t>
      </w:r>
    </w:p>
    <w:p w14:paraId="2D3C5D4A" w14:textId="38B72613" w:rsidR="000B1630" w:rsidRDefault="00D73F18" w:rsidP="00D73F18">
      <w:pPr>
        <w:pStyle w:val="LC2"/>
        <w:numPr>
          <w:ilvl w:val="0"/>
          <w:numId w:val="0"/>
        </w:numPr>
        <w:ind w:left="1701" w:hanging="993"/>
      </w:pPr>
      <w:r>
        <w:t>(a)</w:t>
      </w:r>
      <w:r>
        <w:tab/>
      </w:r>
      <w:r w:rsidR="000F2377">
        <w:t>T</w:t>
      </w:r>
      <w:r w:rsidR="000B1630">
        <w:t xml:space="preserve">he defendant’s </w:t>
      </w:r>
      <w:r w:rsidR="000F2377">
        <w:t xml:space="preserve">total </w:t>
      </w:r>
      <w:r w:rsidR="000B1630">
        <w:t>indebtedness as of 21 October 2020 was approximately R650,000</w:t>
      </w:r>
      <w:r w:rsidR="00D170CF">
        <w:t>.</w:t>
      </w:r>
    </w:p>
    <w:p w14:paraId="038B739D" w14:textId="4FDEFDB0" w:rsidR="00723B13" w:rsidRDefault="00D73F18" w:rsidP="00D73F18">
      <w:pPr>
        <w:pStyle w:val="LC2"/>
        <w:numPr>
          <w:ilvl w:val="0"/>
          <w:numId w:val="0"/>
        </w:numPr>
        <w:ind w:left="1701" w:hanging="993"/>
      </w:pPr>
      <w:r>
        <w:t>(b)</w:t>
      </w:r>
      <w:r>
        <w:tab/>
      </w:r>
      <w:r w:rsidR="000E2745">
        <w:t>I</w:t>
      </w:r>
      <w:r w:rsidR="00723B13">
        <w:t xml:space="preserve">t appears </w:t>
      </w:r>
      <w:r w:rsidR="000F2377">
        <w:t xml:space="preserve">from </w:t>
      </w:r>
      <w:r w:rsidR="000E2745">
        <w:t xml:space="preserve">the </w:t>
      </w:r>
      <w:r w:rsidR="000F2377">
        <w:t xml:space="preserve">instalment and account statements attached </w:t>
      </w:r>
      <w:r w:rsidR="000E2745">
        <w:t xml:space="preserve">to the </w:t>
      </w:r>
      <w:r w:rsidR="00DE32F5">
        <w:t>plaintiff</w:t>
      </w:r>
      <w:r w:rsidR="00B76389">
        <w:t>’</w:t>
      </w:r>
      <w:r w:rsidR="00DE32F5">
        <w:t xml:space="preserve">s </w:t>
      </w:r>
      <w:r w:rsidR="000E2745">
        <w:t xml:space="preserve">affidavit </w:t>
      </w:r>
      <w:r w:rsidR="000F2377">
        <w:t xml:space="preserve">as “MJ5 and “MJ6” </w:t>
      </w:r>
      <w:r w:rsidR="005906DB">
        <w:t>that while the defendant has been making payments on a fairly regular basis, these have gradually reduced over time to R2,500 per month</w:t>
      </w:r>
      <w:r w:rsidR="00B76389">
        <w:t xml:space="preserve"> and the total indebtedness stood at approximately R695,000 as at December 2022</w:t>
      </w:r>
      <w:r w:rsidR="000F2377">
        <w:t xml:space="preserve">. This is in </w:t>
      </w:r>
      <w:r w:rsidR="005906DB">
        <w:t xml:space="preserve">circumstances where </w:t>
      </w:r>
      <w:r w:rsidR="000F2377">
        <w:t xml:space="preserve">the monthly instalment is R6,913.95 and </w:t>
      </w:r>
      <w:r w:rsidR="005906DB">
        <w:t xml:space="preserve">interest is accruing on the </w:t>
      </w:r>
      <w:r w:rsidR="000F2377">
        <w:t xml:space="preserve">arrear balance </w:t>
      </w:r>
      <w:r w:rsidR="005906DB">
        <w:t>in the amount of approximately R5,7</w:t>
      </w:r>
      <w:r w:rsidR="000F2377">
        <w:t>7</w:t>
      </w:r>
      <w:r w:rsidR="005906DB">
        <w:t>0 per month</w:t>
      </w:r>
      <w:r w:rsidR="000F2377">
        <w:t xml:space="preserve">. </w:t>
      </w:r>
    </w:p>
    <w:p w14:paraId="76D0F3AA" w14:textId="56D8A280" w:rsidR="000B1630" w:rsidRDefault="00D73F18" w:rsidP="00D73F18">
      <w:pPr>
        <w:pStyle w:val="LC2"/>
        <w:numPr>
          <w:ilvl w:val="0"/>
          <w:numId w:val="0"/>
        </w:numPr>
        <w:ind w:left="1701" w:hanging="993"/>
      </w:pPr>
      <w:r>
        <w:t>(c)</w:t>
      </w:r>
      <w:r>
        <w:tab/>
      </w:r>
      <w:r w:rsidR="000F2377">
        <w:t>The m</w:t>
      </w:r>
      <w:r w:rsidR="000B1630">
        <w:t xml:space="preserve">unicipal </w:t>
      </w:r>
      <w:r w:rsidR="000F2377">
        <w:t>v</w:t>
      </w:r>
      <w:r w:rsidR="000B1630">
        <w:t xml:space="preserve">aluation </w:t>
      </w:r>
      <w:r w:rsidR="000F2377">
        <w:t xml:space="preserve">of the property </w:t>
      </w:r>
      <w:r w:rsidR="000B1630">
        <w:t>is R728</w:t>
      </w:r>
      <w:r w:rsidR="000F2377">
        <w:t>,000</w:t>
      </w:r>
      <w:r w:rsidR="00D170CF">
        <w:t>.</w:t>
      </w:r>
    </w:p>
    <w:p w14:paraId="4920AAEE" w14:textId="69720938" w:rsidR="000B1630" w:rsidRDefault="00D73F18" w:rsidP="00D73F18">
      <w:pPr>
        <w:pStyle w:val="LC2"/>
        <w:numPr>
          <w:ilvl w:val="0"/>
          <w:numId w:val="0"/>
        </w:numPr>
        <w:ind w:left="1701" w:hanging="993"/>
      </w:pPr>
      <w:r>
        <w:t>(d)</w:t>
      </w:r>
      <w:r>
        <w:tab/>
      </w:r>
      <w:r w:rsidR="000F2377">
        <w:t>A</w:t>
      </w:r>
      <w:r w:rsidR="0041228E">
        <w:t>n automated</w:t>
      </w:r>
      <w:r w:rsidR="000F2377">
        <w:t xml:space="preserve"> </w:t>
      </w:r>
      <w:r w:rsidR="002943C7">
        <w:t>‘</w:t>
      </w:r>
      <w:r w:rsidR="000B1630">
        <w:t>Lightstone</w:t>
      </w:r>
      <w:r w:rsidR="002943C7">
        <w:t>’</w:t>
      </w:r>
      <w:r w:rsidR="000B1630">
        <w:t xml:space="preserve"> </w:t>
      </w:r>
      <w:r w:rsidR="000F2377">
        <w:t>v</w:t>
      </w:r>
      <w:r w:rsidR="000B1630">
        <w:t xml:space="preserve">aluation </w:t>
      </w:r>
      <w:r w:rsidR="000F2377">
        <w:t>dated 2 December 2022 identifies the “</w:t>
      </w:r>
      <w:r w:rsidR="000F2377" w:rsidRPr="002943C7">
        <w:rPr>
          <w:i/>
          <w:iCs/>
        </w:rPr>
        <w:t>expected value</w:t>
      </w:r>
      <w:r w:rsidR="000F2377">
        <w:t xml:space="preserve">” of the property as being </w:t>
      </w:r>
      <w:r w:rsidR="000B1630">
        <w:t>R940</w:t>
      </w:r>
      <w:r w:rsidR="000F2377">
        <w:t>,000.00</w:t>
      </w:r>
      <w:r w:rsidR="00D170CF">
        <w:t>.</w:t>
      </w:r>
    </w:p>
    <w:p w14:paraId="054A5524" w14:textId="5B5510CA" w:rsidR="000B1630" w:rsidRDefault="00D73F18" w:rsidP="00D73F18">
      <w:pPr>
        <w:pStyle w:val="LC2"/>
        <w:numPr>
          <w:ilvl w:val="0"/>
          <w:numId w:val="0"/>
        </w:numPr>
        <w:ind w:left="1701" w:hanging="993"/>
      </w:pPr>
      <w:r>
        <w:t>(e)</w:t>
      </w:r>
      <w:r>
        <w:tab/>
      </w:r>
      <w:r w:rsidR="000F2377">
        <w:t>The plaintiff’s valuation dated 12 January 2023</w:t>
      </w:r>
      <w:r w:rsidR="000E2745">
        <w:t xml:space="preserve"> indicates the </w:t>
      </w:r>
      <w:r w:rsidR="002943C7">
        <w:t>“</w:t>
      </w:r>
      <w:r w:rsidR="000E2745" w:rsidRPr="002943C7">
        <w:rPr>
          <w:i/>
          <w:iCs/>
        </w:rPr>
        <w:t>market value</w:t>
      </w:r>
      <w:r w:rsidR="002943C7">
        <w:t>”</w:t>
      </w:r>
      <w:r w:rsidR="000E2745">
        <w:t xml:space="preserve"> to be R770,000 and the </w:t>
      </w:r>
      <w:r w:rsidR="002943C7">
        <w:t>“</w:t>
      </w:r>
      <w:r w:rsidR="000E2745" w:rsidRPr="002943C7">
        <w:rPr>
          <w:i/>
          <w:iCs/>
        </w:rPr>
        <w:t>forced sale</w:t>
      </w:r>
      <w:r w:rsidR="002943C7">
        <w:t>”</w:t>
      </w:r>
      <w:r w:rsidR="000E2745">
        <w:t xml:space="preserve"> value to be R600,000.</w:t>
      </w:r>
    </w:p>
    <w:p w14:paraId="296A57EF" w14:textId="13D4873E" w:rsidR="000E2745" w:rsidRDefault="00D73F18" w:rsidP="00D73F18">
      <w:pPr>
        <w:pStyle w:val="LC2"/>
        <w:numPr>
          <w:ilvl w:val="0"/>
          <w:numId w:val="0"/>
        </w:numPr>
        <w:ind w:left="1701" w:hanging="993"/>
      </w:pPr>
      <w:r>
        <w:lastRenderedPageBreak/>
        <w:t>(f)</w:t>
      </w:r>
      <w:r>
        <w:tab/>
      </w:r>
      <w:r w:rsidR="000E2745">
        <w:t xml:space="preserve">The outstanding municipal charges </w:t>
      </w:r>
      <w:r w:rsidR="00DE32F5">
        <w:t xml:space="preserve">on the property </w:t>
      </w:r>
      <w:r w:rsidR="000E2745">
        <w:t>as at November 2022 were R101,332.91.</w:t>
      </w:r>
    </w:p>
    <w:p w14:paraId="4255E12F" w14:textId="32557775" w:rsidR="00E235E6" w:rsidRDefault="00D73F18" w:rsidP="00D73F18">
      <w:pPr>
        <w:pStyle w:val="LC2"/>
        <w:numPr>
          <w:ilvl w:val="0"/>
          <w:numId w:val="0"/>
        </w:numPr>
        <w:ind w:left="1701" w:hanging="993"/>
      </w:pPr>
      <w:r>
        <w:t>(g)</w:t>
      </w:r>
      <w:r>
        <w:tab/>
      </w:r>
      <w:r w:rsidR="000E2745">
        <w:t xml:space="preserve">The </w:t>
      </w:r>
      <w:r w:rsidR="000E2745" w:rsidRPr="000E2745">
        <w:t xml:space="preserve">application of the </w:t>
      </w:r>
      <w:r w:rsidR="00B76389">
        <w:t>‘</w:t>
      </w:r>
      <w:r w:rsidR="000E2745" w:rsidRPr="000E2745">
        <w:t>usual formula</w:t>
      </w:r>
      <w:r w:rsidR="00B76389">
        <w:t>’</w:t>
      </w:r>
      <w:r w:rsidR="000E2745" w:rsidRPr="000E2745">
        <w:t xml:space="preserve"> (i.e. the average of the market valuation and the municipal valuation, less outstanding municipal charges, less 30%)</w:t>
      </w:r>
      <w:r w:rsidR="000E2745">
        <w:rPr>
          <w:rStyle w:val="FootnoteReference"/>
        </w:rPr>
        <w:footnoteReference w:id="7"/>
      </w:r>
      <w:r w:rsidR="000E2745">
        <w:t xml:space="preserve"> </w:t>
      </w:r>
      <w:r w:rsidR="000E2745" w:rsidRPr="000E2745">
        <w:t>would produce a result of approximately R4</w:t>
      </w:r>
      <w:r w:rsidR="00D170CF">
        <w:t>53</w:t>
      </w:r>
      <w:r w:rsidR="000E2745" w:rsidRPr="000E2745">
        <w:t>,</w:t>
      </w:r>
      <w:r w:rsidR="00D170CF">
        <w:t>366.96</w:t>
      </w:r>
      <w:r w:rsidR="000E2745" w:rsidRPr="000E2745">
        <w:t xml:space="preserve">. </w:t>
      </w:r>
    </w:p>
    <w:p w14:paraId="2C819BD3" w14:textId="7A8ACBC4" w:rsidR="00B76389" w:rsidRDefault="00D73F18" w:rsidP="00D73F18">
      <w:pPr>
        <w:pStyle w:val="LC1"/>
        <w:numPr>
          <w:ilvl w:val="0"/>
          <w:numId w:val="0"/>
        </w:numPr>
        <w:ind w:left="720" w:hanging="720"/>
      </w:pPr>
      <w:r>
        <w:rPr>
          <w:rFonts w:cs="Arial"/>
          <w:szCs w:val="24"/>
        </w:rPr>
        <w:t>[11]</w:t>
      </w:r>
      <w:r>
        <w:rPr>
          <w:rFonts w:cs="Arial"/>
          <w:szCs w:val="24"/>
        </w:rPr>
        <w:tab/>
      </w:r>
      <w:r w:rsidR="00DE32F5">
        <w:t xml:space="preserve">It appears from the above that the amount of the defendant’s arrears has been steadily increasing and </w:t>
      </w:r>
      <w:r w:rsidR="002943C7">
        <w:t xml:space="preserve">that there is </w:t>
      </w:r>
      <w:r w:rsidR="00DE32F5">
        <w:t xml:space="preserve">little prospect that his total </w:t>
      </w:r>
      <w:r w:rsidR="00B76389">
        <w:t xml:space="preserve">or arrears </w:t>
      </w:r>
      <w:r w:rsidR="00DE32F5">
        <w:t xml:space="preserve">indebtedness will be reduced, let alone extinguished, in the foreseeable future. There also appears to be little equity remaining in the property over and above the amount </w:t>
      </w:r>
      <w:r w:rsidR="00B76389">
        <w:t>owed to the plaintiff</w:t>
      </w:r>
      <w:r w:rsidR="00DE32F5">
        <w:t xml:space="preserve">. </w:t>
      </w:r>
      <w:r w:rsidR="00B76389">
        <w:t>Furthermore, there is no evidence before me of the value of the defendant’s movable property</w:t>
      </w:r>
      <w:r w:rsidR="002943C7">
        <w:t xml:space="preserve"> – </w:t>
      </w:r>
      <w:r w:rsidR="00B76389">
        <w:t>let</w:t>
      </w:r>
      <w:r w:rsidR="002943C7">
        <w:t xml:space="preserve"> </w:t>
      </w:r>
      <w:r w:rsidR="00B76389">
        <w:t>alone whether it would be sufficient to discharge his indebtedness to the plaintiff. Against that is the fact that the defendant specifically agreed to mortgage the property as security for the debt.</w:t>
      </w:r>
    </w:p>
    <w:p w14:paraId="7B370E67" w14:textId="6835FF2A" w:rsidR="00DE32F5" w:rsidRDefault="00D73F18" w:rsidP="00D73F18">
      <w:pPr>
        <w:pStyle w:val="LC1"/>
        <w:numPr>
          <w:ilvl w:val="0"/>
          <w:numId w:val="0"/>
        </w:numPr>
        <w:spacing w:after="120"/>
        <w:ind w:left="720" w:hanging="720"/>
        <w:rPr>
          <w:rFonts w:cs="Arial"/>
          <w:szCs w:val="24"/>
        </w:rPr>
      </w:pPr>
      <w:r>
        <w:rPr>
          <w:rFonts w:cs="Arial"/>
          <w:szCs w:val="24"/>
        </w:rPr>
        <w:t>[12]</w:t>
      </w:r>
      <w:r>
        <w:rPr>
          <w:rFonts w:cs="Arial"/>
          <w:szCs w:val="24"/>
        </w:rPr>
        <w:tab/>
      </w:r>
      <w:r w:rsidR="00DE32F5">
        <w:t xml:space="preserve">In those circumstances, </w:t>
      </w:r>
      <w:r w:rsidR="00B76389">
        <w:t xml:space="preserve">I am satisfied that </w:t>
      </w:r>
      <w:r w:rsidR="00DE32F5">
        <w:t>it is appropriate that the property should be sold in execution.</w:t>
      </w:r>
    </w:p>
    <w:p w14:paraId="64FDE006" w14:textId="486F12EE" w:rsidR="00B54AB3" w:rsidRPr="00DE32F5" w:rsidRDefault="00D73F18" w:rsidP="00D73F18">
      <w:pPr>
        <w:pStyle w:val="LC1"/>
        <w:numPr>
          <w:ilvl w:val="0"/>
          <w:numId w:val="0"/>
        </w:numPr>
        <w:spacing w:after="120"/>
        <w:ind w:left="720" w:hanging="720"/>
        <w:rPr>
          <w:rFonts w:cs="Arial"/>
          <w:szCs w:val="24"/>
        </w:rPr>
      </w:pPr>
      <w:r w:rsidRPr="00DE32F5">
        <w:rPr>
          <w:rFonts w:cs="Arial"/>
          <w:szCs w:val="24"/>
        </w:rPr>
        <w:t>[13]</w:t>
      </w:r>
      <w:r w:rsidRPr="00DE32F5">
        <w:rPr>
          <w:rFonts w:cs="Arial"/>
          <w:szCs w:val="24"/>
        </w:rPr>
        <w:tab/>
      </w:r>
      <w:r w:rsidR="0052082C">
        <w:rPr>
          <w:rFonts w:cs="Arial"/>
          <w:szCs w:val="24"/>
        </w:rPr>
        <w:t xml:space="preserve">Having considered the various valuations and the outstanding municipal charges, I am of the view that a reserve price of </w:t>
      </w:r>
      <w:r w:rsidR="0052082C" w:rsidRPr="0035628C">
        <w:t>R</w:t>
      </w:r>
      <w:r w:rsidR="000E2745">
        <w:t>500</w:t>
      </w:r>
      <w:r w:rsidR="0052082C" w:rsidRPr="0035628C">
        <w:t>,000.00</w:t>
      </w:r>
      <w:r w:rsidR="0052082C">
        <w:t xml:space="preserve"> would be appropriate</w:t>
      </w:r>
      <w:r w:rsidR="00DE32F5">
        <w:t>.</w:t>
      </w:r>
      <w:r w:rsidR="000E2745">
        <w:t xml:space="preserve"> I have calculated </w:t>
      </w:r>
      <w:r w:rsidR="00DE32F5">
        <w:t xml:space="preserve">this </w:t>
      </w:r>
      <w:r w:rsidR="000E2745">
        <w:t xml:space="preserve">on the basis of </w:t>
      </w:r>
      <w:r w:rsidR="000E2745" w:rsidRPr="000E2745">
        <w:t xml:space="preserve">the average of the </w:t>
      </w:r>
      <w:r w:rsidR="000E2745">
        <w:t>Lightstone valuation</w:t>
      </w:r>
      <w:r w:rsidR="00D170CF">
        <w:t>,</w:t>
      </w:r>
      <w:r w:rsidR="000E2745">
        <w:t xml:space="preserve"> the </w:t>
      </w:r>
      <w:r w:rsidR="000E2745" w:rsidRPr="000E2745">
        <w:t>market valuation</w:t>
      </w:r>
      <w:r w:rsidR="00D170CF">
        <w:t xml:space="preserve"> </w:t>
      </w:r>
      <w:r w:rsidR="000E2745" w:rsidRPr="000E2745">
        <w:t>and the municipal valuation</w:t>
      </w:r>
      <w:r w:rsidR="000E2745">
        <w:t xml:space="preserve"> (</w:t>
      </w:r>
      <w:r w:rsidR="00DE32F5">
        <w:t xml:space="preserve">which gives a result of </w:t>
      </w:r>
      <w:r w:rsidR="000E2745">
        <w:t>R8</w:t>
      </w:r>
      <w:r w:rsidR="00DE32F5">
        <w:t>12</w:t>
      </w:r>
      <w:r w:rsidR="000E2745" w:rsidRPr="000E2745">
        <w:t>,</w:t>
      </w:r>
      <w:r w:rsidR="00DE32F5">
        <w:t>666.66</w:t>
      </w:r>
      <w:r w:rsidR="000E2745">
        <w:t>)</w:t>
      </w:r>
      <w:r w:rsidR="00B76389">
        <w:t>,</w:t>
      </w:r>
      <w:r w:rsidR="000E2745" w:rsidRPr="000E2745">
        <w:t xml:space="preserve"> less </w:t>
      </w:r>
      <w:r w:rsidR="00B76389">
        <w:t xml:space="preserve">the </w:t>
      </w:r>
      <w:r w:rsidR="000E2745" w:rsidRPr="000E2745">
        <w:t>outstanding municipal charges</w:t>
      </w:r>
      <w:r w:rsidR="000E2745">
        <w:t xml:space="preserve"> (R101,332.91)</w:t>
      </w:r>
      <w:r w:rsidR="000E2745" w:rsidRPr="000E2745">
        <w:t>, less 30%</w:t>
      </w:r>
      <w:r w:rsidR="00B76389">
        <w:t>,</w:t>
      </w:r>
      <w:r w:rsidR="00D170CF">
        <w:t xml:space="preserve"> and </w:t>
      </w:r>
      <w:r w:rsidR="000E2745">
        <w:t>round</w:t>
      </w:r>
      <w:r w:rsidR="00D170CF">
        <w:t>ing</w:t>
      </w:r>
      <w:r w:rsidR="000E2745">
        <w:t xml:space="preserve"> to the nearest R10,000.</w:t>
      </w:r>
    </w:p>
    <w:p w14:paraId="4CE8E071" w14:textId="731A0642" w:rsidR="00DE32F5" w:rsidRDefault="00D73F18" w:rsidP="00D73F18">
      <w:pPr>
        <w:pStyle w:val="LC1"/>
        <w:numPr>
          <w:ilvl w:val="0"/>
          <w:numId w:val="0"/>
        </w:numPr>
        <w:spacing w:after="120"/>
        <w:ind w:left="720" w:hanging="720"/>
        <w:rPr>
          <w:rFonts w:cs="Arial"/>
          <w:szCs w:val="24"/>
        </w:rPr>
      </w:pPr>
      <w:r>
        <w:rPr>
          <w:rFonts w:cs="Arial"/>
          <w:szCs w:val="24"/>
        </w:rPr>
        <w:t>[14]</w:t>
      </w:r>
      <w:r>
        <w:rPr>
          <w:rFonts w:cs="Arial"/>
          <w:szCs w:val="24"/>
        </w:rPr>
        <w:tab/>
      </w:r>
      <w:r w:rsidR="00DE32F5" w:rsidRPr="006E7462">
        <w:rPr>
          <w:rFonts w:cs="Arial"/>
          <w:szCs w:val="24"/>
        </w:rPr>
        <w:t xml:space="preserve">I </w:t>
      </w:r>
      <w:r w:rsidR="00DE32F5">
        <w:rPr>
          <w:rFonts w:cs="Arial"/>
          <w:szCs w:val="24"/>
        </w:rPr>
        <w:t xml:space="preserve">should </w:t>
      </w:r>
      <w:r w:rsidR="00DE32F5" w:rsidRPr="006E7462">
        <w:rPr>
          <w:rFonts w:cs="Arial"/>
          <w:szCs w:val="24"/>
        </w:rPr>
        <w:t xml:space="preserve">add that </w:t>
      </w:r>
      <w:r w:rsidR="00DE32F5">
        <w:rPr>
          <w:rFonts w:cs="Arial"/>
          <w:szCs w:val="24"/>
        </w:rPr>
        <w:t xml:space="preserve">it is common cause that </w:t>
      </w:r>
      <w:r w:rsidR="00DE32F5" w:rsidRPr="006E7462">
        <w:rPr>
          <w:rFonts w:cs="Arial"/>
          <w:szCs w:val="24"/>
        </w:rPr>
        <w:t xml:space="preserve">the loan agreement provides for the payment of enforcement costs by the </w:t>
      </w:r>
      <w:r w:rsidR="00DE32F5">
        <w:rPr>
          <w:rFonts w:cs="Arial"/>
          <w:szCs w:val="24"/>
        </w:rPr>
        <w:t>defendant</w:t>
      </w:r>
      <w:r w:rsidR="00DE32F5" w:rsidRPr="006E7462">
        <w:rPr>
          <w:rFonts w:cs="Arial"/>
          <w:szCs w:val="24"/>
        </w:rPr>
        <w:t xml:space="preserve"> on the attorney and own client scale</w:t>
      </w:r>
      <w:r w:rsidR="00DE32F5">
        <w:rPr>
          <w:rFonts w:cs="Arial"/>
          <w:szCs w:val="24"/>
        </w:rPr>
        <w:t>.</w:t>
      </w:r>
      <w:r w:rsidR="00DE32F5" w:rsidRPr="006E7462">
        <w:rPr>
          <w:rFonts w:cs="Arial"/>
          <w:szCs w:val="24"/>
        </w:rPr>
        <w:t xml:space="preserve"> </w:t>
      </w:r>
    </w:p>
    <w:p w14:paraId="6901CD37" w14:textId="0B5FBE73" w:rsidR="00E20ADE" w:rsidRDefault="00D73F18" w:rsidP="00D73F18">
      <w:pPr>
        <w:pStyle w:val="LC1"/>
        <w:numPr>
          <w:ilvl w:val="0"/>
          <w:numId w:val="0"/>
        </w:numPr>
        <w:spacing w:after="120"/>
        <w:ind w:left="720" w:hanging="720"/>
        <w:rPr>
          <w:rFonts w:cs="Arial"/>
          <w:szCs w:val="24"/>
        </w:rPr>
      </w:pPr>
      <w:r>
        <w:rPr>
          <w:rFonts w:cs="Arial"/>
          <w:szCs w:val="24"/>
        </w:rPr>
        <w:t>[15]</w:t>
      </w:r>
      <w:r>
        <w:rPr>
          <w:rFonts w:cs="Arial"/>
          <w:szCs w:val="24"/>
        </w:rPr>
        <w:tab/>
      </w:r>
      <w:r w:rsidR="0035628C" w:rsidRPr="00521C59">
        <w:rPr>
          <w:rFonts w:cs="Arial"/>
        </w:rPr>
        <w:t xml:space="preserve">Judgment is granted in favour of the </w:t>
      </w:r>
      <w:r w:rsidR="00C31238">
        <w:rPr>
          <w:rFonts w:cs="Arial"/>
        </w:rPr>
        <w:t>p</w:t>
      </w:r>
      <w:r w:rsidR="00B54AB3">
        <w:rPr>
          <w:rFonts w:cs="Arial"/>
        </w:rPr>
        <w:t>laintiff</w:t>
      </w:r>
      <w:r w:rsidR="0035628C" w:rsidRPr="00521C59">
        <w:rPr>
          <w:rFonts w:cs="Arial"/>
        </w:rPr>
        <w:t xml:space="preserve"> against the </w:t>
      </w:r>
      <w:r w:rsidR="00C31238">
        <w:rPr>
          <w:rFonts w:cs="Arial"/>
        </w:rPr>
        <w:t>d</w:t>
      </w:r>
      <w:r w:rsidR="00B54AB3">
        <w:rPr>
          <w:rFonts w:cs="Arial"/>
        </w:rPr>
        <w:t>efendant</w:t>
      </w:r>
      <w:r w:rsidR="0035628C" w:rsidRPr="00521C59">
        <w:rPr>
          <w:rFonts w:cs="Arial"/>
        </w:rPr>
        <w:t xml:space="preserve"> for</w:t>
      </w:r>
      <w:r w:rsidR="0035628C">
        <w:rPr>
          <w:rFonts w:cs="Arial"/>
          <w:szCs w:val="24"/>
        </w:rPr>
        <w:t>:</w:t>
      </w:r>
    </w:p>
    <w:p w14:paraId="16AAB729" w14:textId="62F5D0FF" w:rsidR="0035628C" w:rsidRPr="0035628C" w:rsidRDefault="00D73F18" w:rsidP="00D73F18">
      <w:pPr>
        <w:pStyle w:val="LCOrder"/>
        <w:numPr>
          <w:ilvl w:val="0"/>
          <w:numId w:val="0"/>
        </w:numPr>
        <w:ind w:left="1418" w:hanging="709"/>
      </w:pPr>
      <w:r w:rsidRPr="0035628C">
        <w:t>1.</w:t>
      </w:r>
      <w:r w:rsidRPr="0035628C">
        <w:tab/>
      </w:r>
      <w:r w:rsidR="0035628C" w:rsidRPr="0035628C">
        <w:t>Payment of the sum of R</w:t>
      </w:r>
      <w:r w:rsidR="00120EB1">
        <w:t>650</w:t>
      </w:r>
      <w:r w:rsidR="0035628C" w:rsidRPr="0035628C">
        <w:t>,</w:t>
      </w:r>
      <w:r w:rsidR="00120EB1">
        <w:t>223</w:t>
      </w:r>
      <w:r w:rsidR="0035628C" w:rsidRPr="0035628C">
        <w:t>.</w:t>
      </w:r>
      <w:r w:rsidR="00120EB1">
        <w:t>77</w:t>
      </w:r>
      <w:r w:rsidR="0035628C" w:rsidRPr="0035628C">
        <w:t>.</w:t>
      </w:r>
    </w:p>
    <w:p w14:paraId="1B113639" w14:textId="0BDE1C71" w:rsidR="0035628C" w:rsidRPr="0035628C" w:rsidRDefault="00D73F18" w:rsidP="00D73F18">
      <w:pPr>
        <w:pStyle w:val="LCOrder"/>
        <w:numPr>
          <w:ilvl w:val="0"/>
          <w:numId w:val="0"/>
        </w:numPr>
        <w:ind w:left="1418" w:hanging="709"/>
      </w:pPr>
      <w:r w:rsidRPr="0035628C">
        <w:lastRenderedPageBreak/>
        <w:t>2.</w:t>
      </w:r>
      <w:r w:rsidRPr="0035628C">
        <w:tab/>
      </w:r>
      <w:r w:rsidR="0035628C" w:rsidRPr="0035628C">
        <w:t xml:space="preserve">Interest on the above amount at the </w:t>
      </w:r>
      <w:r w:rsidR="00120EB1">
        <w:t xml:space="preserve">“base rate” as defined in clause 1.1.5 of Annexure B to the plaintiff’s particulars of claim </w:t>
      </w:r>
      <w:r w:rsidR="0035628C" w:rsidRPr="0035628C">
        <w:t xml:space="preserve">from time to time plus </w:t>
      </w:r>
      <w:r w:rsidR="00120EB1">
        <w:t>3</w:t>
      </w:r>
      <w:r w:rsidR="0035628C" w:rsidRPr="0035628C">
        <w:t>.</w:t>
      </w:r>
      <w:r w:rsidR="00120EB1">
        <w:t>8</w:t>
      </w:r>
      <w:r w:rsidR="0035628C" w:rsidRPr="0035628C">
        <w:t xml:space="preserve">0% per annum </w:t>
      </w:r>
      <w:r w:rsidR="00120EB1">
        <w:t xml:space="preserve">compounded monthly in arrears from 21 October 2020 </w:t>
      </w:r>
      <w:r w:rsidR="0035628C" w:rsidRPr="0035628C">
        <w:t>to date of payment.</w:t>
      </w:r>
    </w:p>
    <w:p w14:paraId="578092D5" w14:textId="437F75FC" w:rsidR="0035628C" w:rsidRPr="0035628C" w:rsidRDefault="00D73F18" w:rsidP="00D73F18">
      <w:pPr>
        <w:pStyle w:val="LCOrder"/>
        <w:numPr>
          <w:ilvl w:val="0"/>
          <w:numId w:val="0"/>
        </w:numPr>
        <w:ind w:left="1418" w:hanging="709"/>
      </w:pPr>
      <w:r w:rsidRPr="0035628C">
        <w:t>3.</w:t>
      </w:r>
      <w:r w:rsidRPr="0035628C">
        <w:tab/>
      </w:r>
      <w:r w:rsidR="0035628C" w:rsidRPr="0035628C">
        <w:t>The following property is declared executable:</w:t>
      </w:r>
    </w:p>
    <w:p w14:paraId="622D47AE" w14:textId="358CF1E5" w:rsidR="0035628C" w:rsidRPr="0035628C" w:rsidRDefault="00120EB1" w:rsidP="00140004">
      <w:pPr>
        <w:pStyle w:val="LCOrder"/>
        <w:numPr>
          <w:ilvl w:val="0"/>
          <w:numId w:val="0"/>
        </w:numPr>
        <w:ind w:left="2160"/>
      </w:pPr>
      <w:r>
        <w:t>ERF 11049 LENASIA EXTENSION 13 TOWNSHIP, REGISTRATION DIVISION I.Q., PROVINCE OF GAUTENG measuring 350 (three hundred and fifty) square metres h</w:t>
      </w:r>
      <w:r w:rsidR="0035628C" w:rsidRPr="0035628C">
        <w:t xml:space="preserve">eld by Deed of Transfer No. </w:t>
      </w:r>
      <w:r>
        <w:t xml:space="preserve">T47550/2007 </w:t>
      </w:r>
      <w:r w:rsidR="0035628C" w:rsidRPr="0035628C">
        <w:t xml:space="preserve">subject to the conditions </w:t>
      </w:r>
      <w:r>
        <w:t>there</w:t>
      </w:r>
      <w:r w:rsidR="0035628C" w:rsidRPr="0035628C">
        <w:t xml:space="preserve">in </w:t>
      </w:r>
      <w:r>
        <w:t xml:space="preserve">contained </w:t>
      </w:r>
      <w:r w:rsidR="0035628C">
        <w:t>(“</w:t>
      </w:r>
      <w:r w:rsidR="0035628C" w:rsidRPr="0035628C">
        <w:rPr>
          <w:b/>
          <w:bCs/>
        </w:rPr>
        <w:t>the property</w:t>
      </w:r>
      <w:r w:rsidR="0035628C">
        <w:t>”)</w:t>
      </w:r>
      <w:r w:rsidR="00140004">
        <w:t>.</w:t>
      </w:r>
    </w:p>
    <w:p w14:paraId="3E5AF9BC" w14:textId="48997DE4" w:rsidR="0035628C" w:rsidRDefault="00D73F18" w:rsidP="00D73F18">
      <w:pPr>
        <w:pStyle w:val="LCOrder"/>
        <w:numPr>
          <w:ilvl w:val="0"/>
          <w:numId w:val="0"/>
        </w:numPr>
        <w:ind w:left="1418" w:hanging="709"/>
      </w:pPr>
      <w:r>
        <w:t>4.</w:t>
      </w:r>
      <w:r>
        <w:tab/>
      </w:r>
      <w:r w:rsidR="0035628C">
        <w:t xml:space="preserve">The </w:t>
      </w:r>
      <w:r w:rsidR="0035628C" w:rsidRPr="0035628C">
        <w:t xml:space="preserve">Registrar </w:t>
      </w:r>
      <w:r w:rsidR="0035628C">
        <w:t xml:space="preserve">is authorised </w:t>
      </w:r>
      <w:r w:rsidR="0035628C" w:rsidRPr="0035628C">
        <w:t xml:space="preserve">to issue a </w:t>
      </w:r>
      <w:r w:rsidR="00140004">
        <w:t xml:space="preserve">Writ </w:t>
      </w:r>
      <w:r w:rsidR="0035628C" w:rsidRPr="0035628C">
        <w:t>of Execution for the attachment of the property.</w:t>
      </w:r>
    </w:p>
    <w:p w14:paraId="798FEEDC" w14:textId="1FB046D1" w:rsidR="00140004" w:rsidRPr="0035628C" w:rsidRDefault="00D73F18" w:rsidP="00D73F18">
      <w:pPr>
        <w:pStyle w:val="LCOrder"/>
        <w:numPr>
          <w:ilvl w:val="0"/>
          <w:numId w:val="0"/>
        </w:numPr>
        <w:ind w:left="1418" w:hanging="709"/>
      </w:pPr>
      <w:r w:rsidRPr="0035628C">
        <w:t>5.</w:t>
      </w:r>
      <w:r w:rsidRPr="0035628C">
        <w:tab/>
      </w:r>
      <w:r w:rsidR="00140004" w:rsidRPr="0035628C">
        <w:t xml:space="preserve">A reserve price in the amount of </w:t>
      </w:r>
      <w:r w:rsidR="000E2745">
        <w:t>R500,000.00</w:t>
      </w:r>
      <w:r w:rsidR="00140004">
        <w:t xml:space="preserve"> </w:t>
      </w:r>
      <w:r w:rsidR="00140004" w:rsidRPr="0035628C">
        <w:t>is set</w:t>
      </w:r>
      <w:r w:rsidR="00140004">
        <w:t xml:space="preserve"> for the sale of the property in execution</w:t>
      </w:r>
      <w:r w:rsidR="0025751F">
        <w:t xml:space="preserve"> (“</w:t>
      </w:r>
      <w:r w:rsidR="0025751F" w:rsidRPr="0025751F">
        <w:rPr>
          <w:b/>
          <w:bCs/>
        </w:rPr>
        <w:t>the reserve price</w:t>
      </w:r>
      <w:r w:rsidR="0025751F">
        <w:t>”)</w:t>
      </w:r>
      <w:r w:rsidR="00140004">
        <w:t>.</w:t>
      </w:r>
      <w:r w:rsidR="00140004" w:rsidRPr="0035628C">
        <w:t xml:space="preserve"> </w:t>
      </w:r>
    </w:p>
    <w:p w14:paraId="60E049D0" w14:textId="3B1E97BF" w:rsidR="00140004" w:rsidRDefault="00D73F18" w:rsidP="00D73F18">
      <w:pPr>
        <w:pStyle w:val="LCOrder"/>
        <w:numPr>
          <w:ilvl w:val="0"/>
          <w:numId w:val="0"/>
        </w:numPr>
        <w:ind w:left="1418" w:hanging="709"/>
      </w:pPr>
      <w:r>
        <w:t>6.</w:t>
      </w:r>
      <w:r>
        <w:tab/>
      </w:r>
      <w:r w:rsidR="00140004">
        <w:t xml:space="preserve">In the event that the </w:t>
      </w:r>
      <w:r w:rsidR="0025751F">
        <w:t>r</w:t>
      </w:r>
      <w:r w:rsidR="00140004">
        <w:t xml:space="preserve">eserve </w:t>
      </w:r>
      <w:r w:rsidR="0025751F">
        <w:t>p</w:t>
      </w:r>
      <w:r w:rsidR="00140004">
        <w:t>rice</w:t>
      </w:r>
      <w:r w:rsidR="0025751F">
        <w:t xml:space="preserve"> </w:t>
      </w:r>
      <w:r w:rsidR="00140004">
        <w:t xml:space="preserve">is not achieved at the first sale in execution, the </w:t>
      </w:r>
      <w:r w:rsidR="0025751F">
        <w:t>p</w:t>
      </w:r>
      <w:r w:rsidR="00140004">
        <w:t>laintiff may:</w:t>
      </w:r>
    </w:p>
    <w:p w14:paraId="7E65C937" w14:textId="055C25B1" w:rsidR="00140004" w:rsidRDefault="00D73F18" w:rsidP="00D73F18">
      <w:pPr>
        <w:pStyle w:val="LCOrder"/>
        <w:numPr>
          <w:ilvl w:val="0"/>
          <w:numId w:val="0"/>
        </w:numPr>
        <w:ind w:left="1843" w:hanging="360"/>
      </w:pPr>
      <w:r>
        <w:t>a.</w:t>
      </w:r>
      <w:r>
        <w:tab/>
      </w:r>
      <w:r w:rsidR="0025751F">
        <w:t>p</w:t>
      </w:r>
      <w:r w:rsidR="00140004">
        <w:t xml:space="preserve">roceed to a second sale in execution with the same </w:t>
      </w:r>
      <w:r w:rsidR="0044794A">
        <w:t>r</w:t>
      </w:r>
      <w:r w:rsidR="00140004">
        <w:t xml:space="preserve">eserve </w:t>
      </w:r>
      <w:r w:rsidR="0044794A">
        <w:t>p</w:t>
      </w:r>
      <w:r w:rsidR="00140004">
        <w:t xml:space="preserve">rice; </w:t>
      </w:r>
      <w:r w:rsidR="0044794A">
        <w:t>and/or</w:t>
      </w:r>
    </w:p>
    <w:p w14:paraId="1D02C7A7" w14:textId="4C557451" w:rsidR="00140004" w:rsidRDefault="00D73F18" w:rsidP="00D73F18">
      <w:pPr>
        <w:pStyle w:val="LCOrder"/>
        <w:numPr>
          <w:ilvl w:val="0"/>
          <w:numId w:val="0"/>
        </w:numPr>
        <w:ind w:left="1843" w:hanging="360"/>
      </w:pPr>
      <w:r>
        <w:t>b.</w:t>
      </w:r>
      <w:r>
        <w:tab/>
      </w:r>
      <w:r w:rsidR="0025751F">
        <w:t>a</w:t>
      </w:r>
      <w:r w:rsidR="00140004">
        <w:t xml:space="preserve">pproach </w:t>
      </w:r>
      <w:r w:rsidR="0044794A">
        <w:t xml:space="preserve">this </w:t>
      </w:r>
      <w:r w:rsidR="00140004">
        <w:t xml:space="preserve">court </w:t>
      </w:r>
      <w:r w:rsidR="0044794A">
        <w:t xml:space="preserve">on the same papers, duly supplemented (including the sheriff’s report in terms of Rule 46A9(c)) </w:t>
      </w:r>
      <w:r w:rsidR="00140004">
        <w:t xml:space="preserve">for the reconsideration of the </w:t>
      </w:r>
      <w:r w:rsidR="0044794A">
        <w:t>r</w:t>
      </w:r>
      <w:r w:rsidR="00140004">
        <w:t xml:space="preserve">eserve </w:t>
      </w:r>
      <w:r w:rsidR="0044794A">
        <w:t>p</w:t>
      </w:r>
      <w:r w:rsidR="00140004">
        <w:t xml:space="preserve">rice; </w:t>
      </w:r>
      <w:r w:rsidR="0025751F">
        <w:t>or</w:t>
      </w:r>
    </w:p>
    <w:p w14:paraId="7B9BABB9" w14:textId="3A8646C3" w:rsidR="00140004" w:rsidRPr="0035628C" w:rsidRDefault="00D73F18" w:rsidP="00D73F18">
      <w:pPr>
        <w:pStyle w:val="LCOrder"/>
        <w:numPr>
          <w:ilvl w:val="0"/>
          <w:numId w:val="0"/>
        </w:numPr>
        <w:ind w:left="1843" w:hanging="360"/>
      </w:pPr>
      <w:r w:rsidRPr="0035628C">
        <w:t>c.</w:t>
      </w:r>
      <w:r w:rsidRPr="0035628C">
        <w:tab/>
      </w:r>
      <w:r w:rsidR="0025751F">
        <w:t>a</w:t>
      </w:r>
      <w:r w:rsidR="00140004">
        <w:t xml:space="preserve">pproach </w:t>
      </w:r>
      <w:r w:rsidR="0044794A">
        <w:t xml:space="preserve">this court on the same papers, duly supplemented (including the sheriff’s report in terms of Rule 46A9(c)) </w:t>
      </w:r>
      <w:r w:rsidR="00140004">
        <w:t xml:space="preserve">for the ratification and confirmation of </w:t>
      </w:r>
      <w:r w:rsidR="0025751F">
        <w:t xml:space="preserve">a </w:t>
      </w:r>
      <w:r w:rsidR="00140004">
        <w:t xml:space="preserve">sale to </w:t>
      </w:r>
      <w:r w:rsidR="0025751F">
        <w:t xml:space="preserve">the </w:t>
      </w:r>
      <w:r w:rsidR="00140004">
        <w:t>highest bidder at the first or second sale in execution.</w:t>
      </w:r>
    </w:p>
    <w:p w14:paraId="17139073" w14:textId="007C4596" w:rsidR="0035628C" w:rsidRPr="0035628C" w:rsidRDefault="00D73F18" w:rsidP="00D73F18">
      <w:pPr>
        <w:pStyle w:val="LCOrder"/>
        <w:numPr>
          <w:ilvl w:val="0"/>
          <w:numId w:val="0"/>
        </w:numPr>
        <w:ind w:left="1418" w:hanging="709"/>
      </w:pPr>
      <w:r w:rsidRPr="0035628C">
        <w:t>7.</w:t>
      </w:r>
      <w:r w:rsidRPr="0035628C">
        <w:tab/>
      </w:r>
      <w:r w:rsidR="0035628C" w:rsidRPr="0035628C">
        <w:t xml:space="preserve">The </w:t>
      </w:r>
      <w:r w:rsidR="00C31238">
        <w:t>d</w:t>
      </w:r>
      <w:r w:rsidR="00B54AB3">
        <w:t>efendant</w:t>
      </w:r>
      <w:r w:rsidR="0035628C" w:rsidRPr="0035628C">
        <w:t xml:space="preserve"> may in terms of the provisions of section 129(3)(a) of the National Credit Act 34 of 2004 at any time before the </w:t>
      </w:r>
      <w:r w:rsidR="00C31238">
        <w:t>p</w:t>
      </w:r>
      <w:r w:rsidR="00B54AB3">
        <w:t>laintiff</w:t>
      </w:r>
      <w:r w:rsidR="0035628C" w:rsidRPr="0035628C">
        <w:t xml:space="preserve"> has cancelled the agreement re-instate the agreement by paying the amounts referred to in paragraph </w:t>
      </w:r>
      <w:r w:rsidR="00B76389">
        <w:t xml:space="preserve">8 </w:t>
      </w:r>
      <w:r w:rsidR="0035628C" w:rsidRPr="0035628C">
        <w:t xml:space="preserve">below </w:t>
      </w:r>
      <w:r w:rsidR="00B76389">
        <w:t xml:space="preserve">but </w:t>
      </w:r>
      <w:r w:rsidR="0035628C" w:rsidRPr="0035628C">
        <w:t xml:space="preserve">the </w:t>
      </w:r>
      <w:r w:rsidR="00140004">
        <w:t>d</w:t>
      </w:r>
      <w:r w:rsidR="00B54AB3">
        <w:t>efendant</w:t>
      </w:r>
      <w:r w:rsidR="0035628C" w:rsidRPr="0035628C">
        <w:t xml:space="preserve"> may not re-instate the agreement </w:t>
      </w:r>
      <w:r w:rsidR="0035628C" w:rsidRPr="0035628C">
        <w:lastRenderedPageBreak/>
        <w:t>in terms of section 129(4) after the sale of the property.</w:t>
      </w:r>
    </w:p>
    <w:p w14:paraId="67A64091" w14:textId="518899AC" w:rsidR="0035628C" w:rsidRPr="0035628C" w:rsidRDefault="00D73F18" w:rsidP="00D73F18">
      <w:pPr>
        <w:pStyle w:val="LCOrder"/>
        <w:numPr>
          <w:ilvl w:val="0"/>
          <w:numId w:val="0"/>
        </w:numPr>
        <w:ind w:left="1418" w:hanging="709"/>
      </w:pPr>
      <w:r w:rsidRPr="0035628C">
        <w:t>8.</w:t>
      </w:r>
      <w:r w:rsidRPr="0035628C">
        <w:tab/>
      </w:r>
      <w:r w:rsidR="0035628C" w:rsidRPr="0035628C">
        <w:t xml:space="preserve">The </w:t>
      </w:r>
      <w:r w:rsidR="00C31238">
        <w:t>d</w:t>
      </w:r>
      <w:r w:rsidR="00B54AB3">
        <w:t>efendant</w:t>
      </w:r>
      <w:r w:rsidR="0035628C" w:rsidRPr="0035628C">
        <w:t xml:space="preserve"> may prevent the sale of the property if he pays to the </w:t>
      </w:r>
      <w:r w:rsidR="00C31238">
        <w:t>p</w:t>
      </w:r>
      <w:r w:rsidR="00B54AB3">
        <w:t>laintiff</w:t>
      </w:r>
      <w:r w:rsidR="0035628C" w:rsidRPr="0035628C">
        <w:t xml:space="preserve"> all of the arrear amounts owing to the </w:t>
      </w:r>
      <w:r w:rsidR="00C31238">
        <w:t>p</w:t>
      </w:r>
      <w:r w:rsidR="00B54AB3">
        <w:t>laintiff</w:t>
      </w:r>
      <w:r w:rsidR="0035628C" w:rsidRPr="0035628C">
        <w:t xml:space="preserve">, together with the </w:t>
      </w:r>
      <w:r w:rsidR="00C31238">
        <w:t>p</w:t>
      </w:r>
      <w:r w:rsidR="00B54AB3">
        <w:t>laintiff</w:t>
      </w:r>
      <w:r w:rsidR="0035628C" w:rsidRPr="0035628C">
        <w:t>’s permitted default charges and reasonable costs of enforcing the agreement up to the time of re-instatement, prior to the property being sold in execution.</w:t>
      </w:r>
    </w:p>
    <w:p w14:paraId="79002BA5" w14:textId="69A7482B" w:rsidR="0035628C" w:rsidRPr="0035628C" w:rsidRDefault="00D73F18" w:rsidP="00D73F18">
      <w:pPr>
        <w:pStyle w:val="LCOrder"/>
        <w:numPr>
          <w:ilvl w:val="0"/>
          <w:numId w:val="0"/>
        </w:numPr>
        <w:ind w:left="1418" w:hanging="709"/>
      </w:pPr>
      <w:r w:rsidRPr="0035628C">
        <w:t>9.</w:t>
      </w:r>
      <w:r w:rsidRPr="0035628C">
        <w:tab/>
      </w:r>
      <w:r w:rsidR="0035628C" w:rsidRPr="0035628C">
        <w:t xml:space="preserve">The arrear amounts, enforcement costs and default charges referred to in paragraph </w:t>
      </w:r>
      <w:r w:rsidR="00B76389">
        <w:t xml:space="preserve">8 </w:t>
      </w:r>
      <w:r w:rsidR="0035628C" w:rsidRPr="0035628C">
        <w:t xml:space="preserve">above may be obtained from the </w:t>
      </w:r>
      <w:r w:rsidR="00C31238">
        <w:t>p</w:t>
      </w:r>
      <w:r w:rsidR="00B54AB3">
        <w:t>laintiff</w:t>
      </w:r>
      <w:r w:rsidR="0035628C" w:rsidRPr="0035628C">
        <w:t>.</w:t>
      </w:r>
    </w:p>
    <w:p w14:paraId="4799EE4F" w14:textId="4547AC3C" w:rsidR="0035628C" w:rsidRPr="0035628C" w:rsidRDefault="00D73F18" w:rsidP="00D73F18">
      <w:pPr>
        <w:pStyle w:val="LCOrder"/>
        <w:numPr>
          <w:ilvl w:val="0"/>
          <w:numId w:val="0"/>
        </w:numPr>
        <w:ind w:left="1418" w:hanging="709"/>
      </w:pPr>
      <w:r w:rsidRPr="0035628C">
        <w:t>10.</w:t>
      </w:r>
      <w:r w:rsidRPr="0035628C">
        <w:tab/>
      </w:r>
      <w:r w:rsidR="0035628C" w:rsidRPr="0035628C">
        <w:t xml:space="preserve">The </w:t>
      </w:r>
      <w:r w:rsidR="00C31238">
        <w:t>d</w:t>
      </w:r>
      <w:r w:rsidR="00B54AB3">
        <w:t>efendant</w:t>
      </w:r>
      <w:r w:rsidR="0035628C" w:rsidRPr="0035628C">
        <w:t xml:space="preserve"> is advised that the arrear amount is not the full amount of the Judgment debt, but the amount owing by the </w:t>
      </w:r>
      <w:r w:rsidR="00C31238">
        <w:t>d</w:t>
      </w:r>
      <w:r w:rsidR="00B54AB3">
        <w:t>efendant</w:t>
      </w:r>
      <w:r w:rsidR="0035628C" w:rsidRPr="0035628C">
        <w:t xml:space="preserve"> to the </w:t>
      </w:r>
      <w:r w:rsidR="00C31238">
        <w:t>p</w:t>
      </w:r>
      <w:r w:rsidR="00B54AB3">
        <w:t>laintiff</w:t>
      </w:r>
      <w:r w:rsidR="0035628C" w:rsidRPr="0035628C">
        <w:t xml:space="preserve"> without reference to the accelerated amount.</w:t>
      </w:r>
    </w:p>
    <w:p w14:paraId="0B7DB14D" w14:textId="507C2296" w:rsidR="0035628C" w:rsidRPr="0035628C" w:rsidRDefault="00D73F18" w:rsidP="00D73F18">
      <w:pPr>
        <w:pStyle w:val="LCOrder"/>
        <w:numPr>
          <w:ilvl w:val="0"/>
          <w:numId w:val="0"/>
        </w:numPr>
        <w:ind w:left="1418" w:hanging="709"/>
      </w:pPr>
      <w:r w:rsidRPr="0035628C">
        <w:t>11.</w:t>
      </w:r>
      <w:r w:rsidRPr="0035628C">
        <w:tab/>
      </w:r>
      <w:r w:rsidR="0035628C" w:rsidRPr="0035628C">
        <w:t xml:space="preserve">A copy of this order is to be served personally on the </w:t>
      </w:r>
      <w:r w:rsidR="00C31238">
        <w:t>d</w:t>
      </w:r>
      <w:r w:rsidR="00B54AB3">
        <w:t>efendant</w:t>
      </w:r>
      <w:r w:rsidR="0035628C" w:rsidRPr="0035628C">
        <w:t xml:space="preserve"> as soon as is practical after the order is granted, but prior to any sale in execution.</w:t>
      </w:r>
    </w:p>
    <w:p w14:paraId="3299FC4F" w14:textId="3271BD69" w:rsidR="0035628C" w:rsidRPr="0035628C" w:rsidRDefault="00D73F18" w:rsidP="00D73F18">
      <w:pPr>
        <w:pStyle w:val="LCOrder"/>
        <w:numPr>
          <w:ilvl w:val="0"/>
          <w:numId w:val="0"/>
        </w:numPr>
        <w:ind w:left="1418" w:hanging="709"/>
      </w:pPr>
      <w:r w:rsidRPr="0035628C">
        <w:t>12.</w:t>
      </w:r>
      <w:r w:rsidRPr="0035628C">
        <w:tab/>
      </w:r>
      <w:r w:rsidR="0035628C" w:rsidRPr="0035628C">
        <w:t xml:space="preserve">Costs </w:t>
      </w:r>
      <w:r w:rsidR="0025751F">
        <w:t xml:space="preserve">of suit </w:t>
      </w:r>
      <w:r w:rsidR="0035628C" w:rsidRPr="0035628C">
        <w:t>on the attorney and client</w:t>
      </w:r>
      <w:r w:rsidR="0025751F">
        <w:t xml:space="preserve"> scale</w:t>
      </w:r>
      <w:r w:rsidR="0035628C" w:rsidRPr="0035628C">
        <w:t>.</w:t>
      </w:r>
    </w:p>
    <w:p w14:paraId="6D163AE2" w14:textId="5EEAAE43" w:rsidR="00B30AB7" w:rsidRDefault="00B30AB7" w:rsidP="00BD1B12">
      <w:pPr>
        <w:keepNext/>
        <w:spacing w:after="120" w:line="360" w:lineRule="auto"/>
        <w:jc w:val="left"/>
        <w:rPr>
          <w:rFonts w:ascii="Arial" w:hAnsi="Arial" w:cs="Arial"/>
          <w:sz w:val="24"/>
          <w:szCs w:val="24"/>
          <w:u w:val="single"/>
        </w:rPr>
      </w:pPr>
    </w:p>
    <w:p w14:paraId="6C2C1694" w14:textId="77777777" w:rsidR="009F45E3" w:rsidRDefault="009F45E3" w:rsidP="00BD1B12">
      <w:pPr>
        <w:keepNext/>
        <w:spacing w:after="120" w:line="360" w:lineRule="auto"/>
        <w:jc w:val="left"/>
        <w:rPr>
          <w:rFonts w:ascii="Arial" w:hAnsi="Arial" w:cs="Arial"/>
          <w:sz w:val="24"/>
          <w:szCs w:val="24"/>
          <w:u w:val="single"/>
        </w:rPr>
      </w:pPr>
    </w:p>
    <w:p w14:paraId="6B30BE77" w14:textId="77777777" w:rsidR="00936070" w:rsidRDefault="00936070" w:rsidP="00BD1B12">
      <w:pPr>
        <w:keepNext/>
        <w:spacing w:after="120" w:line="360" w:lineRule="auto"/>
        <w:jc w:val="left"/>
        <w:rPr>
          <w:rFonts w:ascii="Arial" w:hAnsi="Arial" w:cs="Arial"/>
          <w:sz w:val="24"/>
          <w:szCs w:val="24"/>
          <w:u w:val="single"/>
        </w:rPr>
      </w:pPr>
    </w:p>
    <w:p w14:paraId="52ACCD6E" w14:textId="3429E84D" w:rsidR="00D202C2" w:rsidRPr="00671349" w:rsidRDefault="00B928FE" w:rsidP="00F645EF">
      <w:pPr>
        <w:keepNext/>
        <w:spacing w:after="120" w:line="360" w:lineRule="auto"/>
        <w:jc w:val="right"/>
        <w:rPr>
          <w:rFonts w:ascii="Arial" w:hAnsi="Arial" w:cs="Arial"/>
          <w:sz w:val="24"/>
          <w:szCs w:val="24"/>
          <w:u w:val="single"/>
        </w:rPr>
      </w:pPr>
      <w:r w:rsidRPr="00671349">
        <w:rPr>
          <w:rFonts w:ascii="Arial" w:hAnsi="Arial" w:cs="Arial"/>
          <w:sz w:val="24"/>
          <w:szCs w:val="24"/>
          <w:u w:val="single"/>
        </w:rPr>
        <w:t>______</w:t>
      </w:r>
      <w:r w:rsidR="00044A38" w:rsidRPr="00671349">
        <w:rPr>
          <w:rFonts w:ascii="Arial" w:hAnsi="Arial" w:cs="Arial"/>
          <w:sz w:val="24"/>
          <w:szCs w:val="24"/>
          <w:u w:val="single"/>
        </w:rPr>
        <w:t>_________</w:t>
      </w:r>
      <w:r w:rsidRPr="00671349">
        <w:rPr>
          <w:rFonts w:ascii="Arial" w:hAnsi="Arial" w:cs="Arial"/>
          <w:sz w:val="24"/>
          <w:szCs w:val="24"/>
          <w:u w:val="single"/>
        </w:rPr>
        <w:t>________</w:t>
      </w:r>
    </w:p>
    <w:p w14:paraId="7692AB60" w14:textId="77777777" w:rsidR="00F645EF" w:rsidRDefault="001A42D3" w:rsidP="00F645EF">
      <w:pPr>
        <w:keepNext/>
        <w:autoSpaceDE w:val="0"/>
        <w:autoSpaceDN w:val="0"/>
        <w:adjustRightInd w:val="0"/>
        <w:spacing w:after="120" w:line="360" w:lineRule="auto"/>
        <w:jc w:val="right"/>
        <w:rPr>
          <w:rFonts w:ascii="Arial" w:hAnsi="Arial" w:cs="Arial"/>
          <w:b/>
          <w:iCs/>
          <w:sz w:val="24"/>
          <w:szCs w:val="20"/>
        </w:rPr>
      </w:pPr>
      <w:r w:rsidRPr="00671349">
        <w:rPr>
          <w:rFonts w:ascii="Arial" w:hAnsi="Arial" w:cs="Arial"/>
          <w:sz w:val="24"/>
          <w:szCs w:val="24"/>
        </w:rPr>
        <w:t xml:space="preserve">RJ </w:t>
      </w:r>
      <w:r w:rsidR="003C4F1C" w:rsidRPr="00671349">
        <w:rPr>
          <w:rFonts w:ascii="Arial" w:hAnsi="Arial" w:cs="Arial"/>
          <w:sz w:val="24"/>
          <w:szCs w:val="24"/>
        </w:rPr>
        <w:t>Moultrie</w:t>
      </w:r>
      <w:r w:rsidR="00D202C2" w:rsidRPr="00671349">
        <w:rPr>
          <w:rFonts w:ascii="Arial" w:hAnsi="Arial" w:cs="Arial"/>
          <w:sz w:val="24"/>
          <w:szCs w:val="24"/>
        </w:rPr>
        <w:t xml:space="preserve"> AJ</w:t>
      </w:r>
      <w:r w:rsidR="00F645EF" w:rsidRPr="00F645EF">
        <w:rPr>
          <w:rFonts w:ascii="Arial" w:hAnsi="Arial" w:cs="Arial"/>
          <w:b/>
          <w:iCs/>
          <w:sz w:val="24"/>
          <w:szCs w:val="20"/>
        </w:rPr>
        <w:t xml:space="preserve"> </w:t>
      </w:r>
    </w:p>
    <w:p w14:paraId="561DF439" w14:textId="29F351B7" w:rsidR="00F645EF" w:rsidRPr="00F645EF" w:rsidRDefault="00F645EF" w:rsidP="00F645EF">
      <w:pPr>
        <w:keepNext/>
        <w:autoSpaceDE w:val="0"/>
        <w:autoSpaceDN w:val="0"/>
        <w:adjustRightInd w:val="0"/>
        <w:spacing w:after="120" w:line="360" w:lineRule="auto"/>
        <w:jc w:val="right"/>
        <w:rPr>
          <w:rFonts w:ascii="Arial" w:hAnsi="Arial" w:cs="Arial"/>
          <w:b/>
          <w:iCs/>
          <w:sz w:val="24"/>
          <w:szCs w:val="24"/>
        </w:rPr>
      </w:pPr>
      <w:r w:rsidRPr="00F645EF">
        <w:rPr>
          <w:rFonts w:ascii="Arial" w:hAnsi="Arial" w:cs="Arial"/>
          <w:b/>
          <w:iCs/>
          <w:sz w:val="24"/>
          <w:szCs w:val="24"/>
        </w:rPr>
        <w:t xml:space="preserve">ACTING JUDGE OF THE HIGH COURT </w:t>
      </w:r>
    </w:p>
    <w:p w14:paraId="562F1E93" w14:textId="77777777" w:rsidR="00F645EF" w:rsidRPr="00F645EF" w:rsidRDefault="00F645EF" w:rsidP="00F645EF">
      <w:pPr>
        <w:keepNext/>
        <w:autoSpaceDE w:val="0"/>
        <w:autoSpaceDN w:val="0"/>
        <w:adjustRightInd w:val="0"/>
        <w:spacing w:after="120" w:line="360" w:lineRule="auto"/>
        <w:jc w:val="right"/>
        <w:rPr>
          <w:rFonts w:ascii="Arial" w:hAnsi="Arial" w:cs="Arial"/>
          <w:b/>
          <w:sz w:val="24"/>
          <w:szCs w:val="24"/>
        </w:rPr>
      </w:pPr>
      <w:r w:rsidRPr="00F645EF">
        <w:rPr>
          <w:rFonts w:ascii="Arial" w:hAnsi="Arial" w:cs="Arial"/>
          <w:b/>
          <w:sz w:val="24"/>
          <w:szCs w:val="24"/>
        </w:rPr>
        <w:t>GAUTENG LOCAL DIVISION, JOHANNESBURG</w:t>
      </w:r>
    </w:p>
    <w:p w14:paraId="4A51D625" w14:textId="68B4CE82" w:rsidR="00D202C2" w:rsidRPr="00671349" w:rsidRDefault="00D202C2" w:rsidP="00F645EF">
      <w:pPr>
        <w:keepNext/>
        <w:autoSpaceDE w:val="0"/>
        <w:autoSpaceDN w:val="0"/>
        <w:adjustRightInd w:val="0"/>
        <w:spacing w:after="120" w:line="360" w:lineRule="auto"/>
        <w:jc w:val="right"/>
        <w:rPr>
          <w:rFonts w:ascii="Arial" w:hAnsi="Arial" w:cs="Arial"/>
          <w:sz w:val="24"/>
          <w:szCs w:val="24"/>
        </w:rPr>
      </w:pPr>
    </w:p>
    <w:p w14:paraId="0584217B" w14:textId="24556635" w:rsidR="00AB3AF8" w:rsidRDefault="00AB3AF8" w:rsidP="00665B87">
      <w:pPr>
        <w:spacing w:before="240" w:after="120" w:line="360" w:lineRule="auto"/>
        <w:jc w:val="left"/>
        <w:rPr>
          <w:rFonts w:ascii="Arial" w:hAnsi="Arial" w:cs="Arial"/>
          <w:sz w:val="24"/>
          <w:szCs w:val="24"/>
          <w:u w:val="single"/>
        </w:rPr>
      </w:pPr>
    </w:p>
    <w:p w14:paraId="786D09D8" w14:textId="77777777" w:rsidR="00F645EF" w:rsidRDefault="00F645EF" w:rsidP="00665B87">
      <w:pPr>
        <w:spacing w:before="240" w:after="120" w:line="360" w:lineRule="auto"/>
        <w:jc w:val="left"/>
        <w:rPr>
          <w:rFonts w:ascii="Arial" w:hAnsi="Arial" w:cs="Arial"/>
          <w:sz w:val="24"/>
          <w:szCs w:val="24"/>
          <w:u w:val="single"/>
        </w:rPr>
      </w:pPr>
    </w:p>
    <w:p w14:paraId="78E86579" w14:textId="77777777" w:rsidR="00F645EF" w:rsidRDefault="00F645EF" w:rsidP="00665B87">
      <w:pPr>
        <w:spacing w:before="240" w:after="120" w:line="360" w:lineRule="auto"/>
        <w:jc w:val="left"/>
        <w:rPr>
          <w:rFonts w:ascii="Arial" w:hAnsi="Arial" w:cs="Arial"/>
          <w:sz w:val="24"/>
          <w:szCs w:val="24"/>
          <w:u w:val="single"/>
        </w:rPr>
      </w:pPr>
    </w:p>
    <w:p w14:paraId="6E6E551F" w14:textId="77777777" w:rsidR="00F645EF" w:rsidRDefault="00F645EF" w:rsidP="00665B87">
      <w:pPr>
        <w:spacing w:before="240" w:after="120" w:line="360" w:lineRule="auto"/>
        <w:jc w:val="left"/>
        <w:rPr>
          <w:rFonts w:ascii="Arial" w:hAnsi="Arial" w:cs="Arial"/>
          <w:sz w:val="24"/>
          <w:szCs w:val="24"/>
          <w:u w:val="single"/>
        </w:rPr>
      </w:pPr>
    </w:p>
    <w:p w14:paraId="223982A2" w14:textId="77777777" w:rsidR="00F645EF" w:rsidRDefault="00F645EF" w:rsidP="00665B87">
      <w:pPr>
        <w:spacing w:before="240" w:after="120" w:line="360" w:lineRule="auto"/>
        <w:jc w:val="left"/>
        <w:rPr>
          <w:rFonts w:ascii="Arial" w:hAnsi="Arial" w:cs="Arial"/>
          <w:sz w:val="24"/>
          <w:szCs w:val="24"/>
          <w:u w:val="single"/>
        </w:rPr>
      </w:pPr>
    </w:p>
    <w:p w14:paraId="38FCBFB2" w14:textId="5FAC8009" w:rsidR="00001F4A" w:rsidRPr="00001F4A" w:rsidRDefault="00001F4A" w:rsidP="00BD1B12">
      <w:pPr>
        <w:keepNext/>
        <w:spacing w:before="240" w:line="360" w:lineRule="auto"/>
        <w:jc w:val="left"/>
        <w:rPr>
          <w:rFonts w:ascii="Arial" w:hAnsi="Arial" w:cs="Arial"/>
          <w:sz w:val="24"/>
          <w:szCs w:val="24"/>
        </w:rPr>
      </w:pPr>
      <w:r w:rsidRPr="00001F4A">
        <w:rPr>
          <w:rFonts w:ascii="Arial" w:hAnsi="Arial" w:cs="Arial"/>
          <w:sz w:val="24"/>
          <w:szCs w:val="24"/>
        </w:rPr>
        <w:lastRenderedPageBreak/>
        <w:t>DATE HEARD:</w:t>
      </w:r>
      <w:r w:rsidRPr="00001F4A">
        <w:rPr>
          <w:rFonts w:ascii="Arial" w:hAnsi="Arial" w:cs="Arial"/>
          <w:sz w:val="24"/>
          <w:szCs w:val="24"/>
        </w:rPr>
        <w:tab/>
      </w:r>
      <w:r w:rsidRPr="00001F4A">
        <w:rPr>
          <w:rFonts w:ascii="Arial" w:hAnsi="Arial" w:cs="Arial"/>
          <w:sz w:val="24"/>
          <w:szCs w:val="24"/>
        </w:rPr>
        <w:tab/>
      </w:r>
      <w:r w:rsidR="00AE38D8">
        <w:rPr>
          <w:rFonts w:ascii="Arial" w:hAnsi="Arial" w:cs="Arial"/>
          <w:sz w:val="24"/>
          <w:szCs w:val="24"/>
        </w:rPr>
        <w:t>1</w:t>
      </w:r>
      <w:r w:rsidR="00144C74">
        <w:rPr>
          <w:rFonts w:ascii="Arial" w:hAnsi="Arial" w:cs="Arial"/>
          <w:sz w:val="24"/>
          <w:szCs w:val="24"/>
        </w:rPr>
        <w:t>6</w:t>
      </w:r>
      <w:r w:rsidRPr="00001F4A">
        <w:rPr>
          <w:rFonts w:ascii="Arial" w:hAnsi="Arial" w:cs="Arial"/>
          <w:sz w:val="24"/>
          <w:szCs w:val="24"/>
        </w:rPr>
        <w:t xml:space="preserve"> </w:t>
      </w:r>
      <w:r w:rsidR="00AE38D8">
        <w:rPr>
          <w:rFonts w:ascii="Arial" w:hAnsi="Arial" w:cs="Arial"/>
          <w:sz w:val="24"/>
          <w:szCs w:val="24"/>
        </w:rPr>
        <w:t xml:space="preserve">January </w:t>
      </w:r>
      <w:r w:rsidR="004D60BE">
        <w:rPr>
          <w:rFonts w:ascii="Arial" w:hAnsi="Arial" w:cs="Arial"/>
          <w:sz w:val="24"/>
          <w:szCs w:val="24"/>
        </w:rPr>
        <w:t>2</w:t>
      </w:r>
      <w:r>
        <w:rPr>
          <w:rFonts w:ascii="Arial" w:hAnsi="Arial" w:cs="Arial"/>
          <w:sz w:val="24"/>
          <w:szCs w:val="24"/>
        </w:rPr>
        <w:t>02</w:t>
      </w:r>
      <w:r w:rsidR="00AE38D8">
        <w:rPr>
          <w:rFonts w:ascii="Arial" w:hAnsi="Arial" w:cs="Arial"/>
          <w:sz w:val="24"/>
          <w:szCs w:val="24"/>
        </w:rPr>
        <w:t>3</w:t>
      </w:r>
    </w:p>
    <w:p w14:paraId="5352ECA6" w14:textId="67FFC493" w:rsidR="00001F4A" w:rsidRPr="00001F4A" w:rsidRDefault="00001F4A" w:rsidP="00001F4A">
      <w:pPr>
        <w:spacing w:after="120" w:line="360" w:lineRule="auto"/>
        <w:jc w:val="left"/>
        <w:rPr>
          <w:rFonts w:ascii="Arial" w:hAnsi="Arial" w:cs="Arial"/>
          <w:sz w:val="24"/>
          <w:szCs w:val="24"/>
        </w:rPr>
      </w:pPr>
      <w:r w:rsidRPr="00001F4A">
        <w:rPr>
          <w:rFonts w:ascii="Arial" w:hAnsi="Arial" w:cs="Arial"/>
          <w:sz w:val="24"/>
          <w:szCs w:val="24"/>
        </w:rPr>
        <w:t>JUDGMENT:</w:t>
      </w:r>
      <w:r w:rsidRPr="00001F4A">
        <w:rPr>
          <w:rFonts w:ascii="Arial" w:hAnsi="Arial" w:cs="Arial"/>
          <w:sz w:val="24"/>
          <w:szCs w:val="24"/>
        </w:rPr>
        <w:tab/>
      </w:r>
      <w:r w:rsidR="00AE38D8">
        <w:rPr>
          <w:rFonts w:ascii="Arial" w:hAnsi="Arial" w:cs="Arial"/>
          <w:sz w:val="24"/>
          <w:szCs w:val="24"/>
        </w:rPr>
        <w:tab/>
      </w:r>
      <w:r w:rsidR="00AE38D8">
        <w:rPr>
          <w:rFonts w:ascii="Arial" w:hAnsi="Arial" w:cs="Arial"/>
          <w:sz w:val="24"/>
          <w:szCs w:val="24"/>
        </w:rPr>
        <w:tab/>
      </w:r>
      <w:r w:rsidR="00727051">
        <w:rPr>
          <w:rFonts w:ascii="Arial" w:hAnsi="Arial" w:cs="Arial"/>
          <w:sz w:val="24"/>
          <w:szCs w:val="24"/>
        </w:rPr>
        <w:t>1</w:t>
      </w:r>
      <w:r w:rsidR="00F645EF">
        <w:rPr>
          <w:rFonts w:ascii="Arial" w:hAnsi="Arial" w:cs="Arial"/>
          <w:sz w:val="24"/>
          <w:szCs w:val="24"/>
        </w:rPr>
        <w:t>8</w:t>
      </w:r>
      <w:r w:rsidR="00727051">
        <w:rPr>
          <w:rFonts w:ascii="Arial" w:hAnsi="Arial" w:cs="Arial"/>
          <w:sz w:val="24"/>
          <w:szCs w:val="24"/>
        </w:rPr>
        <w:t xml:space="preserve"> </w:t>
      </w:r>
      <w:r w:rsidR="00F774FF">
        <w:rPr>
          <w:rFonts w:ascii="Arial" w:hAnsi="Arial" w:cs="Arial"/>
          <w:sz w:val="24"/>
          <w:szCs w:val="24"/>
        </w:rPr>
        <w:t xml:space="preserve">May </w:t>
      </w:r>
      <w:r w:rsidRPr="00001F4A">
        <w:rPr>
          <w:rFonts w:ascii="Arial" w:hAnsi="Arial" w:cs="Arial"/>
          <w:sz w:val="24"/>
          <w:szCs w:val="24"/>
        </w:rPr>
        <w:t>20</w:t>
      </w:r>
      <w:r>
        <w:rPr>
          <w:rFonts w:ascii="Arial" w:hAnsi="Arial" w:cs="Arial"/>
          <w:sz w:val="24"/>
          <w:szCs w:val="24"/>
        </w:rPr>
        <w:t>2</w:t>
      </w:r>
      <w:r w:rsidR="00AE38D8">
        <w:rPr>
          <w:rFonts w:ascii="Arial" w:hAnsi="Arial" w:cs="Arial"/>
          <w:sz w:val="24"/>
          <w:szCs w:val="24"/>
        </w:rPr>
        <w:t>3</w:t>
      </w:r>
    </w:p>
    <w:p w14:paraId="39051139" w14:textId="5358031A" w:rsidR="00C06B16" w:rsidRDefault="00C06B16">
      <w:pPr>
        <w:spacing w:after="160" w:line="259" w:lineRule="auto"/>
        <w:jc w:val="left"/>
        <w:rPr>
          <w:rFonts w:ascii="Arial" w:hAnsi="Arial" w:cs="Arial"/>
          <w:sz w:val="24"/>
          <w:szCs w:val="24"/>
          <w:u w:val="single"/>
        </w:rPr>
      </w:pPr>
    </w:p>
    <w:p w14:paraId="127291A0" w14:textId="77777777" w:rsidR="00D202C2" w:rsidRPr="00F645EF" w:rsidRDefault="00D202C2" w:rsidP="00BD1B12">
      <w:pPr>
        <w:keepNext/>
        <w:autoSpaceDE w:val="0"/>
        <w:autoSpaceDN w:val="0"/>
        <w:adjustRightInd w:val="0"/>
        <w:spacing w:before="240" w:after="120" w:line="360" w:lineRule="auto"/>
        <w:rPr>
          <w:rFonts w:ascii="Arial" w:hAnsi="Arial" w:cs="Arial"/>
          <w:b/>
          <w:bCs/>
          <w:sz w:val="24"/>
          <w:szCs w:val="24"/>
          <w:u w:val="single"/>
        </w:rPr>
      </w:pPr>
      <w:r w:rsidRPr="00F645EF">
        <w:rPr>
          <w:rFonts w:ascii="Arial" w:hAnsi="Arial" w:cs="Arial"/>
          <w:b/>
          <w:bCs/>
          <w:sz w:val="24"/>
          <w:szCs w:val="24"/>
          <w:u w:val="single"/>
        </w:rPr>
        <w:t>APPEARANCES</w:t>
      </w:r>
    </w:p>
    <w:p w14:paraId="50495967" w14:textId="08274D2A" w:rsidR="00D202C2" w:rsidRPr="00671349" w:rsidRDefault="00D202C2" w:rsidP="00936070">
      <w:pPr>
        <w:keepNext/>
        <w:autoSpaceDE w:val="0"/>
        <w:autoSpaceDN w:val="0"/>
        <w:adjustRightInd w:val="0"/>
        <w:spacing w:before="240" w:line="240" w:lineRule="auto"/>
        <w:rPr>
          <w:rFonts w:ascii="Arial" w:hAnsi="Arial" w:cs="Arial"/>
          <w:sz w:val="24"/>
          <w:szCs w:val="24"/>
        </w:rPr>
      </w:pPr>
      <w:r w:rsidRPr="00671349">
        <w:rPr>
          <w:rFonts w:ascii="Arial" w:hAnsi="Arial" w:cs="Arial"/>
          <w:sz w:val="24"/>
          <w:szCs w:val="24"/>
        </w:rPr>
        <w:t xml:space="preserve">For the </w:t>
      </w:r>
      <w:r w:rsidR="00B54AB3">
        <w:rPr>
          <w:rFonts w:ascii="Arial" w:hAnsi="Arial" w:cs="Arial"/>
          <w:sz w:val="24"/>
          <w:szCs w:val="24"/>
        </w:rPr>
        <w:t>Plaintiff</w:t>
      </w:r>
      <w:r w:rsidRPr="00671349">
        <w:rPr>
          <w:rFonts w:ascii="Arial" w:hAnsi="Arial" w:cs="Arial"/>
          <w:sz w:val="24"/>
          <w:szCs w:val="24"/>
        </w:rPr>
        <w:t>:</w:t>
      </w:r>
      <w:r w:rsidR="00C31238">
        <w:rPr>
          <w:rFonts w:ascii="Arial" w:hAnsi="Arial" w:cs="Arial"/>
          <w:sz w:val="24"/>
          <w:szCs w:val="24"/>
        </w:rPr>
        <w:tab/>
      </w:r>
      <w:r w:rsidR="00C31238">
        <w:rPr>
          <w:rFonts w:ascii="Arial" w:hAnsi="Arial" w:cs="Arial"/>
          <w:sz w:val="24"/>
          <w:szCs w:val="24"/>
        </w:rPr>
        <w:tab/>
      </w:r>
      <w:r w:rsidR="00727051">
        <w:rPr>
          <w:rFonts w:ascii="Arial" w:hAnsi="Arial" w:cs="Arial"/>
          <w:sz w:val="24"/>
          <w:szCs w:val="24"/>
        </w:rPr>
        <w:t>M Amojee</w:t>
      </w:r>
      <w:r w:rsidR="00476A10">
        <w:rPr>
          <w:rFonts w:ascii="Arial" w:hAnsi="Arial" w:cs="Arial"/>
          <w:sz w:val="24"/>
          <w:szCs w:val="24"/>
        </w:rPr>
        <w:t xml:space="preserve">, instructed by </w:t>
      </w:r>
      <w:r w:rsidR="00727051">
        <w:rPr>
          <w:rFonts w:ascii="Arial" w:hAnsi="Arial" w:cs="Arial"/>
          <w:sz w:val="24"/>
          <w:szCs w:val="24"/>
        </w:rPr>
        <w:t xml:space="preserve">Strauss Daly Inc. </w:t>
      </w:r>
    </w:p>
    <w:p w14:paraId="3DCFC38A" w14:textId="62B26DAB" w:rsidR="00D202C2" w:rsidRPr="00671349" w:rsidRDefault="00D202C2" w:rsidP="00936070">
      <w:pPr>
        <w:autoSpaceDE w:val="0"/>
        <w:autoSpaceDN w:val="0"/>
        <w:adjustRightInd w:val="0"/>
        <w:spacing w:before="240" w:line="240" w:lineRule="auto"/>
        <w:rPr>
          <w:rFonts w:ascii="Arial" w:hAnsi="Arial" w:cs="Arial"/>
          <w:sz w:val="24"/>
          <w:szCs w:val="24"/>
        </w:rPr>
      </w:pPr>
      <w:r w:rsidRPr="00671349">
        <w:rPr>
          <w:rFonts w:ascii="Arial" w:hAnsi="Arial" w:cs="Arial"/>
          <w:sz w:val="24"/>
          <w:szCs w:val="24"/>
        </w:rPr>
        <w:t xml:space="preserve">For the </w:t>
      </w:r>
      <w:r w:rsidR="00B54AB3">
        <w:rPr>
          <w:rFonts w:ascii="Arial" w:hAnsi="Arial" w:cs="Arial"/>
          <w:sz w:val="24"/>
          <w:szCs w:val="24"/>
        </w:rPr>
        <w:t>Defendant</w:t>
      </w:r>
      <w:r w:rsidRPr="00671349">
        <w:rPr>
          <w:rFonts w:ascii="Arial" w:hAnsi="Arial" w:cs="Arial"/>
          <w:sz w:val="24"/>
          <w:szCs w:val="24"/>
        </w:rPr>
        <w:t>:</w:t>
      </w:r>
      <w:r w:rsidR="007D51E5" w:rsidRPr="00671349">
        <w:rPr>
          <w:rFonts w:ascii="Arial" w:hAnsi="Arial" w:cs="Arial"/>
          <w:sz w:val="24"/>
          <w:szCs w:val="24"/>
        </w:rPr>
        <w:tab/>
      </w:r>
      <w:r w:rsidR="007D51E5" w:rsidRPr="00671349">
        <w:rPr>
          <w:rFonts w:ascii="Arial" w:hAnsi="Arial" w:cs="Arial"/>
          <w:sz w:val="24"/>
          <w:szCs w:val="24"/>
        </w:rPr>
        <w:tab/>
      </w:r>
      <w:r w:rsidR="00476A10">
        <w:rPr>
          <w:rFonts w:ascii="Arial" w:hAnsi="Arial" w:cs="Arial"/>
          <w:sz w:val="24"/>
          <w:szCs w:val="24"/>
        </w:rPr>
        <w:t>In Person</w:t>
      </w:r>
    </w:p>
    <w:sectPr w:rsidR="00D202C2" w:rsidRPr="00671349" w:rsidSect="009F45E3">
      <w:headerReference w:type="default" r:id="rId10"/>
      <w:pgSz w:w="11906" w:h="16838"/>
      <w:pgMar w:top="1276" w:right="1274" w:bottom="1440" w:left="1276"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rgValue="AgBMAEMAMQA="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B0ADD" w14:textId="77777777" w:rsidR="00F15B9A" w:rsidRDefault="00F15B9A" w:rsidP="00D202C2">
      <w:pPr>
        <w:spacing w:line="240" w:lineRule="auto"/>
      </w:pPr>
      <w:r>
        <w:separator/>
      </w:r>
    </w:p>
  </w:endnote>
  <w:endnote w:type="continuationSeparator" w:id="0">
    <w:p w14:paraId="2EA199DA" w14:textId="77777777" w:rsidR="00F15B9A" w:rsidRDefault="00F15B9A"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FEBCB" w14:textId="77777777" w:rsidR="00F15B9A" w:rsidRDefault="00F15B9A" w:rsidP="00D202C2">
      <w:pPr>
        <w:spacing w:line="240" w:lineRule="auto"/>
      </w:pPr>
      <w:r>
        <w:separator/>
      </w:r>
    </w:p>
  </w:footnote>
  <w:footnote w:type="continuationSeparator" w:id="0">
    <w:p w14:paraId="6CB5C78A" w14:textId="77777777" w:rsidR="00F15B9A" w:rsidRDefault="00F15B9A" w:rsidP="00D202C2">
      <w:pPr>
        <w:spacing w:line="240" w:lineRule="auto"/>
      </w:pPr>
      <w:r>
        <w:continuationSeparator/>
      </w:r>
    </w:p>
  </w:footnote>
  <w:footnote w:id="1">
    <w:p w14:paraId="51046145" w14:textId="67426BB6" w:rsidR="00B327ED" w:rsidRDefault="00B327ED">
      <w:pPr>
        <w:pStyle w:val="FootnoteText"/>
      </w:pPr>
      <w:r>
        <w:rPr>
          <w:rStyle w:val="FootnoteReference"/>
        </w:rPr>
        <w:footnoteRef/>
      </w:r>
      <w:r>
        <w:t xml:space="preserve"> </w:t>
      </w:r>
      <w:r>
        <w:rPr>
          <w:rFonts w:cs="Arial"/>
        </w:rPr>
        <w:t>Caselines 013-34, 38, 40, 43 and 33.</w:t>
      </w:r>
    </w:p>
  </w:footnote>
  <w:footnote w:id="2">
    <w:p w14:paraId="38C9A283" w14:textId="071209C2" w:rsidR="00B327ED" w:rsidRDefault="00B327ED">
      <w:pPr>
        <w:pStyle w:val="FootnoteText"/>
      </w:pPr>
      <w:r>
        <w:rPr>
          <w:rStyle w:val="FootnoteReference"/>
        </w:rPr>
        <w:footnoteRef/>
      </w:r>
      <w:r>
        <w:t xml:space="preserve"> </w:t>
      </w:r>
      <w:r>
        <w:rPr>
          <w:rFonts w:cs="Arial"/>
        </w:rPr>
        <w:t>Caselines 013-81.</w:t>
      </w:r>
    </w:p>
  </w:footnote>
  <w:footnote w:id="3">
    <w:p w14:paraId="40DE29D3" w14:textId="30B88CDE" w:rsidR="00B327ED" w:rsidRDefault="00B327ED">
      <w:pPr>
        <w:pStyle w:val="FootnoteText"/>
      </w:pPr>
      <w:r>
        <w:rPr>
          <w:rStyle w:val="FootnoteReference"/>
        </w:rPr>
        <w:footnoteRef/>
      </w:r>
      <w:r>
        <w:t xml:space="preserve"> </w:t>
      </w:r>
      <w:r>
        <w:rPr>
          <w:rFonts w:cs="Arial"/>
        </w:rPr>
        <w:t>Caselines 013-89.</w:t>
      </w:r>
    </w:p>
  </w:footnote>
  <w:footnote w:id="4">
    <w:p w14:paraId="7D1290CF" w14:textId="31AFE952" w:rsidR="00B327ED" w:rsidRDefault="00B327ED">
      <w:pPr>
        <w:pStyle w:val="FootnoteText"/>
      </w:pPr>
      <w:r>
        <w:rPr>
          <w:rStyle w:val="FootnoteReference"/>
        </w:rPr>
        <w:footnoteRef/>
      </w:r>
      <w:r>
        <w:t xml:space="preserve"> S</w:t>
      </w:r>
      <w:r>
        <w:rPr>
          <w:rFonts w:cs="Arial"/>
        </w:rPr>
        <w:t xml:space="preserve">ection </w:t>
      </w:r>
      <w:r w:rsidRPr="00537A9C">
        <w:rPr>
          <w:rFonts w:cs="Arial"/>
        </w:rPr>
        <w:t>43(2) of the Superior Courts Act 10 of 2013</w:t>
      </w:r>
      <w:r>
        <w:rPr>
          <w:rFonts w:cs="Arial"/>
        </w:rPr>
        <w:t>.</w:t>
      </w:r>
      <w:r w:rsidRPr="00537A9C">
        <w:rPr>
          <w:rFonts w:cs="Arial"/>
        </w:rPr>
        <w:t xml:space="preserve"> </w:t>
      </w:r>
    </w:p>
  </w:footnote>
  <w:footnote w:id="5">
    <w:p w14:paraId="35EBBB6B" w14:textId="24F28FAC" w:rsidR="00DF3662" w:rsidRDefault="00DF3662">
      <w:pPr>
        <w:pStyle w:val="FootnoteText"/>
      </w:pPr>
      <w:r>
        <w:rPr>
          <w:rStyle w:val="FootnoteReference"/>
        </w:rPr>
        <w:footnoteRef/>
      </w:r>
      <w:r>
        <w:t xml:space="preserve"> </w:t>
      </w:r>
      <w:r w:rsidRPr="00DF3662">
        <w:rPr>
          <w:i/>
          <w:iCs/>
        </w:rPr>
        <w:t>Deputy-Sheriff, Witwatersrand District v Goldberg</w:t>
      </w:r>
      <w:r>
        <w:t xml:space="preserve"> </w:t>
      </w:r>
      <w:r w:rsidRPr="00DF3662">
        <w:t>1905 TS 680 at 684</w:t>
      </w:r>
      <w:r>
        <w:t>;</w:t>
      </w:r>
      <w:r w:rsidRPr="00DF3662">
        <w:t xml:space="preserve"> </w:t>
      </w:r>
      <w:r w:rsidR="00811056" w:rsidRPr="00811056">
        <w:rPr>
          <w:i/>
          <w:iCs/>
        </w:rPr>
        <w:t xml:space="preserve">Sasfin Bank Limited v Vareltzis </w:t>
      </w:r>
      <w:r w:rsidR="00811056" w:rsidRPr="00811056">
        <w:t>2018 JDR 1347 (GP)</w:t>
      </w:r>
      <w:r w:rsidR="00811056">
        <w:t xml:space="preserve"> para</w:t>
      </w:r>
      <w:r w:rsidR="00B96118">
        <w:t>s 206 - 217</w:t>
      </w:r>
      <w:r w:rsidR="00811056">
        <w:t xml:space="preserve"> </w:t>
      </w:r>
    </w:p>
  </w:footnote>
  <w:footnote w:id="6">
    <w:p w14:paraId="033C594F" w14:textId="77777777" w:rsidR="00120EB1" w:rsidRDefault="00120EB1" w:rsidP="00120EB1">
      <w:pPr>
        <w:pStyle w:val="FootnoteText"/>
      </w:pPr>
      <w:r>
        <w:rPr>
          <w:rStyle w:val="FootnoteReference"/>
        </w:rPr>
        <w:footnoteRef/>
      </w:r>
      <w:r>
        <w:t xml:space="preserve"> I note that section 1(1) of the </w:t>
      </w:r>
      <w:r w:rsidRPr="00E235E6">
        <w:t>Prescribed Rate of Interest Act</w:t>
      </w:r>
      <w:r>
        <w:t>,</w:t>
      </w:r>
      <w:r w:rsidRPr="00E235E6">
        <w:t xml:space="preserve"> 55 of 1975</w:t>
      </w:r>
      <w:r>
        <w:t xml:space="preserve"> (in terms of which the rate of interest is fixed “</w:t>
      </w:r>
      <w:r w:rsidRPr="00E235E6">
        <w:rPr>
          <w:i/>
          <w:iCs/>
        </w:rPr>
        <w:t>as at the time when … interest begins to run</w:t>
      </w:r>
      <w:r>
        <w:t xml:space="preserve">” – see </w:t>
      </w:r>
      <w:r w:rsidRPr="00E235E6">
        <w:rPr>
          <w:i/>
          <w:iCs/>
        </w:rPr>
        <w:t>Davehill (Pty) Ltd and Others v Community Development Board</w:t>
      </w:r>
      <w:r w:rsidRPr="00E235E6">
        <w:t xml:space="preserve"> 1988 (1) SA 290 (A) at 300I – 301C</w:t>
      </w:r>
      <w:r>
        <w:t>), does not apply.</w:t>
      </w:r>
    </w:p>
  </w:footnote>
  <w:footnote w:id="7">
    <w:p w14:paraId="5527D2BC" w14:textId="581BEE98" w:rsidR="000E2745" w:rsidRDefault="000E2745">
      <w:pPr>
        <w:pStyle w:val="FootnoteText"/>
      </w:pPr>
      <w:r>
        <w:rPr>
          <w:rStyle w:val="FootnoteReference"/>
        </w:rPr>
        <w:footnoteRef/>
      </w:r>
      <w:r>
        <w:t xml:space="preserve"> Cf. </w:t>
      </w:r>
      <w:r w:rsidRPr="000E2745">
        <w:rPr>
          <w:i/>
          <w:iCs/>
        </w:rPr>
        <w:t>National Urban Reconstruction &amp; Housing Agency NPC v Morula Resources CC</w:t>
      </w:r>
      <w:r w:rsidRPr="000E2745">
        <w:t xml:space="preserve"> 2020 JDR 2473 (GJ) footnote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B6B26" w14:textId="61C7A76D" w:rsidR="00FC0780" w:rsidRPr="007405CA" w:rsidRDefault="00FC0780">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D73F18">
      <w:rPr>
        <w:rFonts w:ascii="Arial" w:hAnsi="Arial" w:cs="Arial"/>
        <w:noProof/>
        <w:sz w:val="24"/>
        <w:szCs w:val="24"/>
      </w:rPr>
      <w:t>2</w:t>
    </w:r>
    <w:r w:rsidRPr="007405CA">
      <w:rPr>
        <w:rFonts w:ascii="Arial" w:hAnsi="Arial" w:cs="Arial"/>
        <w:sz w:val="24"/>
        <w:szCs w:val="24"/>
      </w:rPr>
      <w:fldChar w:fldCharType="end"/>
    </w:r>
  </w:p>
  <w:p w14:paraId="07BA724A" w14:textId="77777777" w:rsidR="00FC0780" w:rsidRDefault="00FC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C73"/>
    <w:multiLevelType w:val="multilevel"/>
    <w:tmpl w:val="1504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D158FE"/>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19B09B3"/>
    <w:multiLevelType w:val="hybridMultilevel"/>
    <w:tmpl w:val="93B282AA"/>
    <w:lvl w:ilvl="0" w:tplc="7C58C6CA">
      <w:start w:val="1"/>
      <w:numFmt w:val="decimal"/>
      <w:pStyle w:val="LC1"/>
      <w:lvlText w:val="[%1]"/>
      <w:lvlJc w:val="left"/>
      <w:pPr>
        <w:ind w:left="720" w:hanging="360"/>
      </w:pPr>
      <w:rPr>
        <w:rFonts w:ascii="Arial" w:hAnsi="Arial" w:cs="Arial" w:hint="default"/>
        <w:b w:val="0"/>
        <w:sz w:val="24"/>
        <w:szCs w:val="24"/>
      </w:rPr>
    </w:lvl>
    <w:lvl w:ilvl="1" w:tplc="372E5512">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0A1E654C">
      <w:start w:val="1"/>
      <w:numFmt w:val="decimal"/>
      <w:pStyle w:val="LCOrder"/>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143C46"/>
    <w:multiLevelType w:val="multilevel"/>
    <w:tmpl w:val="9E68A160"/>
    <w:lvl w:ilvl="0">
      <w:start w:val="1"/>
      <w:numFmt w:val="decimal"/>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5">
    <w:nsid w:val="2CF15D73"/>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60A44CF3"/>
    <w:multiLevelType w:val="multilevel"/>
    <w:tmpl w:val="34109A2E"/>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7">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CB1021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6F7704B2"/>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0"/>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6"/>
  </w:num>
  <w:num w:numId="11">
    <w:abstractNumId w:val="7"/>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 w:numId="39">
    <w:abstractNumId w:val="5"/>
  </w:num>
  <w:num w:numId="40">
    <w:abstractNumId w:val="9"/>
  </w:num>
  <w:num w:numId="41">
    <w:abstractNumId w:val="8"/>
  </w:num>
  <w:num w:numId="4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1C"/>
    <w:rsid w:val="000012A6"/>
    <w:rsid w:val="00001F4A"/>
    <w:rsid w:val="00003782"/>
    <w:rsid w:val="00003803"/>
    <w:rsid w:val="00004549"/>
    <w:rsid w:val="00004D23"/>
    <w:rsid w:val="0000706E"/>
    <w:rsid w:val="000073C9"/>
    <w:rsid w:val="0001167B"/>
    <w:rsid w:val="0001502E"/>
    <w:rsid w:val="0002226B"/>
    <w:rsid w:val="00022F6D"/>
    <w:rsid w:val="0002662D"/>
    <w:rsid w:val="00031365"/>
    <w:rsid w:val="00031BDD"/>
    <w:rsid w:val="000332BD"/>
    <w:rsid w:val="00034E66"/>
    <w:rsid w:val="000351B2"/>
    <w:rsid w:val="00036D1E"/>
    <w:rsid w:val="00044A38"/>
    <w:rsid w:val="00045FEF"/>
    <w:rsid w:val="000510E6"/>
    <w:rsid w:val="000520DA"/>
    <w:rsid w:val="0006394C"/>
    <w:rsid w:val="00064401"/>
    <w:rsid w:val="00065E5C"/>
    <w:rsid w:val="00070100"/>
    <w:rsid w:val="00070375"/>
    <w:rsid w:val="00070A7B"/>
    <w:rsid w:val="000716A9"/>
    <w:rsid w:val="00072AB8"/>
    <w:rsid w:val="00077868"/>
    <w:rsid w:val="00081BA6"/>
    <w:rsid w:val="000824F1"/>
    <w:rsid w:val="00082F4A"/>
    <w:rsid w:val="000831B3"/>
    <w:rsid w:val="000833AD"/>
    <w:rsid w:val="000851D1"/>
    <w:rsid w:val="00085E78"/>
    <w:rsid w:val="00094012"/>
    <w:rsid w:val="00094DFD"/>
    <w:rsid w:val="000A2519"/>
    <w:rsid w:val="000A6817"/>
    <w:rsid w:val="000B1421"/>
    <w:rsid w:val="000B1630"/>
    <w:rsid w:val="000B3E04"/>
    <w:rsid w:val="000B670C"/>
    <w:rsid w:val="000C0393"/>
    <w:rsid w:val="000C5455"/>
    <w:rsid w:val="000C6122"/>
    <w:rsid w:val="000C785F"/>
    <w:rsid w:val="000C7D79"/>
    <w:rsid w:val="000D0102"/>
    <w:rsid w:val="000D011D"/>
    <w:rsid w:val="000D3349"/>
    <w:rsid w:val="000D67C6"/>
    <w:rsid w:val="000D6B38"/>
    <w:rsid w:val="000D7FC7"/>
    <w:rsid w:val="000E2737"/>
    <w:rsid w:val="000E2745"/>
    <w:rsid w:val="000E3458"/>
    <w:rsid w:val="000E37F3"/>
    <w:rsid w:val="000E3FA9"/>
    <w:rsid w:val="000E6595"/>
    <w:rsid w:val="000E6B70"/>
    <w:rsid w:val="000E6CBA"/>
    <w:rsid w:val="000E77CD"/>
    <w:rsid w:val="000F20C7"/>
    <w:rsid w:val="000F2126"/>
    <w:rsid w:val="000F2377"/>
    <w:rsid w:val="00100D7D"/>
    <w:rsid w:val="00110166"/>
    <w:rsid w:val="00111F99"/>
    <w:rsid w:val="001129AE"/>
    <w:rsid w:val="00113C31"/>
    <w:rsid w:val="0011497C"/>
    <w:rsid w:val="00117061"/>
    <w:rsid w:val="00120EB1"/>
    <w:rsid w:val="00122E7C"/>
    <w:rsid w:val="001317DB"/>
    <w:rsid w:val="00133185"/>
    <w:rsid w:val="0013376C"/>
    <w:rsid w:val="0013396B"/>
    <w:rsid w:val="00134416"/>
    <w:rsid w:val="0013446D"/>
    <w:rsid w:val="00140004"/>
    <w:rsid w:val="00143153"/>
    <w:rsid w:val="00144C74"/>
    <w:rsid w:val="00144D8F"/>
    <w:rsid w:val="001525A0"/>
    <w:rsid w:val="00153263"/>
    <w:rsid w:val="00155545"/>
    <w:rsid w:val="00161742"/>
    <w:rsid w:val="00161768"/>
    <w:rsid w:val="0017488E"/>
    <w:rsid w:val="001748B8"/>
    <w:rsid w:val="00175605"/>
    <w:rsid w:val="001772D1"/>
    <w:rsid w:val="00177A2D"/>
    <w:rsid w:val="00185305"/>
    <w:rsid w:val="00185D04"/>
    <w:rsid w:val="001869B1"/>
    <w:rsid w:val="0018761E"/>
    <w:rsid w:val="00190F5B"/>
    <w:rsid w:val="001913F8"/>
    <w:rsid w:val="0019412F"/>
    <w:rsid w:val="001941AE"/>
    <w:rsid w:val="00194624"/>
    <w:rsid w:val="00195948"/>
    <w:rsid w:val="001A03F9"/>
    <w:rsid w:val="001A066C"/>
    <w:rsid w:val="001A2909"/>
    <w:rsid w:val="001A42D3"/>
    <w:rsid w:val="001A55DB"/>
    <w:rsid w:val="001A66FF"/>
    <w:rsid w:val="001B05F3"/>
    <w:rsid w:val="001B5CB4"/>
    <w:rsid w:val="001B66D5"/>
    <w:rsid w:val="001B7FDB"/>
    <w:rsid w:val="001C0EBD"/>
    <w:rsid w:val="001C338F"/>
    <w:rsid w:val="001D2FCD"/>
    <w:rsid w:val="001D32B6"/>
    <w:rsid w:val="001D3CAA"/>
    <w:rsid w:val="001D3DE1"/>
    <w:rsid w:val="001D73D1"/>
    <w:rsid w:val="001E1934"/>
    <w:rsid w:val="001E2746"/>
    <w:rsid w:val="001E3C4A"/>
    <w:rsid w:val="001E6505"/>
    <w:rsid w:val="001F3346"/>
    <w:rsid w:val="001F40A2"/>
    <w:rsid w:val="001F41FC"/>
    <w:rsid w:val="001F6AAC"/>
    <w:rsid w:val="0020038A"/>
    <w:rsid w:val="002011CA"/>
    <w:rsid w:val="00201D94"/>
    <w:rsid w:val="0020470F"/>
    <w:rsid w:val="002079F3"/>
    <w:rsid w:val="002131B0"/>
    <w:rsid w:val="00214702"/>
    <w:rsid w:val="002153EB"/>
    <w:rsid w:val="0021615D"/>
    <w:rsid w:val="002204D4"/>
    <w:rsid w:val="0022201A"/>
    <w:rsid w:val="00223659"/>
    <w:rsid w:val="00225C87"/>
    <w:rsid w:val="0022691E"/>
    <w:rsid w:val="002307DC"/>
    <w:rsid w:val="00231758"/>
    <w:rsid w:val="00232AAA"/>
    <w:rsid w:val="002354C7"/>
    <w:rsid w:val="0023710F"/>
    <w:rsid w:val="00243FFB"/>
    <w:rsid w:val="002458DA"/>
    <w:rsid w:val="00247065"/>
    <w:rsid w:val="002507E7"/>
    <w:rsid w:val="00250CA2"/>
    <w:rsid w:val="00252EA0"/>
    <w:rsid w:val="00254A2A"/>
    <w:rsid w:val="002568A5"/>
    <w:rsid w:val="0025751F"/>
    <w:rsid w:val="00257F71"/>
    <w:rsid w:val="00261518"/>
    <w:rsid w:val="00262145"/>
    <w:rsid w:val="00264164"/>
    <w:rsid w:val="00264DBD"/>
    <w:rsid w:val="00266E7E"/>
    <w:rsid w:val="00272CC9"/>
    <w:rsid w:val="002738F6"/>
    <w:rsid w:val="0027476A"/>
    <w:rsid w:val="00275348"/>
    <w:rsid w:val="00281AA5"/>
    <w:rsid w:val="00283AE9"/>
    <w:rsid w:val="00284935"/>
    <w:rsid w:val="0028506A"/>
    <w:rsid w:val="00287983"/>
    <w:rsid w:val="002904E8"/>
    <w:rsid w:val="002943C7"/>
    <w:rsid w:val="002943CC"/>
    <w:rsid w:val="00294703"/>
    <w:rsid w:val="002951E4"/>
    <w:rsid w:val="002A0C34"/>
    <w:rsid w:val="002A263A"/>
    <w:rsid w:val="002A2834"/>
    <w:rsid w:val="002A5354"/>
    <w:rsid w:val="002A5F1F"/>
    <w:rsid w:val="002A6A82"/>
    <w:rsid w:val="002B074C"/>
    <w:rsid w:val="002B29E2"/>
    <w:rsid w:val="002B4682"/>
    <w:rsid w:val="002C4033"/>
    <w:rsid w:val="002C4D66"/>
    <w:rsid w:val="002D16ED"/>
    <w:rsid w:val="002D425A"/>
    <w:rsid w:val="002D5D07"/>
    <w:rsid w:val="002E3F6F"/>
    <w:rsid w:val="002E534E"/>
    <w:rsid w:val="002F1953"/>
    <w:rsid w:val="002F7EA9"/>
    <w:rsid w:val="00300C56"/>
    <w:rsid w:val="00302B56"/>
    <w:rsid w:val="003031DE"/>
    <w:rsid w:val="00303C39"/>
    <w:rsid w:val="0030632A"/>
    <w:rsid w:val="00306A29"/>
    <w:rsid w:val="0030779C"/>
    <w:rsid w:val="00311B83"/>
    <w:rsid w:val="00313B0E"/>
    <w:rsid w:val="00316134"/>
    <w:rsid w:val="00316A03"/>
    <w:rsid w:val="00316BB4"/>
    <w:rsid w:val="00316EB2"/>
    <w:rsid w:val="00323262"/>
    <w:rsid w:val="00323CEC"/>
    <w:rsid w:val="00325BFD"/>
    <w:rsid w:val="00333F6D"/>
    <w:rsid w:val="00334249"/>
    <w:rsid w:val="003370D2"/>
    <w:rsid w:val="0034240A"/>
    <w:rsid w:val="00342CE8"/>
    <w:rsid w:val="00343523"/>
    <w:rsid w:val="003438A1"/>
    <w:rsid w:val="00344610"/>
    <w:rsid w:val="0035628C"/>
    <w:rsid w:val="0035787D"/>
    <w:rsid w:val="00366EC7"/>
    <w:rsid w:val="00367FE4"/>
    <w:rsid w:val="00371EAC"/>
    <w:rsid w:val="00374424"/>
    <w:rsid w:val="00375189"/>
    <w:rsid w:val="00383DE0"/>
    <w:rsid w:val="003843A1"/>
    <w:rsid w:val="003844CD"/>
    <w:rsid w:val="00387D95"/>
    <w:rsid w:val="00387E2B"/>
    <w:rsid w:val="00393CFC"/>
    <w:rsid w:val="00394257"/>
    <w:rsid w:val="00394A38"/>
    <w:rsid w:val="0039695C"/>
    <w:rsid w:val="003A1345"/>
    <w:rsid w:val="003A18A9"/>
    <w:rsid w:val="003A1E5C"/>
    <w:rsid w:val="003A25F7"/>
    <w:rsid w:val="003A2784"/>
    <w:rsid w:val="003A40B7"/>
    <w:rsid w:val="003B03B4"/>
    <w:rsid w:val="003B1C0D"/>
    <w:rsid w:val="003B39F8"/>
    <w:rsid w:val="003B5ACF"/>
    <w:rsid w:val="003B7448"/>
    <w:rsid w:val="003C0FEE"/>
    <w:rsid w:val="003C133F"/>
    <w:rsid w:val="003C327B"/>
    <w:rsid w:val="003C39BB"/>
    <w:rsid w:val="003C4F1C"/>
    <w:rsid w:val="003D2AD1"/>
    <w:rsid w:val="003D6B4C"/>
    <w:rsid w:val="003D736C"/>
    <w:rsid w:val="003E4340"/>
    <w:rsid w:val="003E5CCD"/>
    <w:rsid w:val="003E6F2D"/>
    <w:rsid w:val="003F0485"/>
    <w:rsid w:val="003F0A4D"/>
    <w:rsid w:val="003F1021"/>
    <w:rsid w:val="003F1406"/>
    <w:rsid w:val="003F7818"/>
    <w:rsid w:val="003F7CBD"/>
    <w:rsid w:val="004005B6"/>
    <w:rsid w:val="00400C5A"/>
    <w:rsid w:val="00401C97"/>
    <w:rsid w:val="00406476"/>
    <w:rsid w:val="004071E9"/>
    <w:rsid w:val="0041228E"/>
    <w:rsid w:val="004134ED"/>
    <w:rsid w:val="004209D8"/>
    <w:rsid w:val="004229C3"/>
    <w:rsid w:val="00424B50"/>
    <w:rsid w:val="004268B9"/>
    <w:rsid w:val="00427C68"/>
    <w:rsid w:val="004341D0"/>
    <w:rsid w:val="0043517E"/>
    <w:rsid w:val="0044008C"/>
    <w:rsid w:val="0044726A"/>
    <w:rsid w:val="0044794A"/>
    <w:rsid w:val="00450395"/>
    <w:rsid w:val="004574CF"/>
    <w:rsid w:val="00457C05"/>
    <w:rsid w:val="00461C58"/>
    <w:rsid w:val="004631CF"/>
    <w:rsid w:val="00467FAE"/>
    <w:rsid w:val="00470CB2"/>
    <w:rsid w:val="00476A10"/>
    <w:rsid w:val="004836EE"/>
    <w:rsid w:val="00485082"/>
    <w:rsid w:val="00485183"/>
    <w:rsid w:val="00485A06"/>
    <w:rsid w:val="00485BE2"/>
    <w:rsid w:val="00485D51"/>
    <w:rsid w:val="00486E26"/>
    <w:rsid w:val="004871E9"/>
    <w:rsid w:val="0049213A"/>
    <w:rsid w:val="00493927"/>
    <w:rsid w:val="0049403D"/>
    <w:rsid w:val="004A482E"/>
    <w:rsid w:val="004A61E8"/>
    <w:rsid w:val="004A72C3"/>
    <w:rsid w:val="004B1046"/>
    <w:rsid w:val="004B3172"/>
    <w:rsid w:val="004B70F3"/>
    <w:rsid w:val="004B7CF9"/>
    <w:rsid w:val="004C01A3"/>
    <w:rsid w:val="004C1163"/>
    <w:rsid w:val="004C209D"/>
    <w:rsid w:val="004D059C"/>
    <w:rsid w:val="004D2CC7"/>
    <w:rsid w:val="004D4A30"/>
    <w:rsid w:val="004D60BE"/>
    <w:rsid w:val="004D7420"/>
    <w:rsid w:val="004E2571"/>
    <w:rsid w:val="004E2B12"/>
    <w:rsid w:val="004E3832"/>
    <w:rsid w:val="004E3B4E"/>
    <w:rsid w:val="004E4A55"/>
    <w:rsid w:val="004E6DBC"/>
    <w:rsid w:val="004F239B"/>
    <w:rsid w:val="004F4CC1"/>
    <w:rsid w:val="004F4D7E"/>
    <w:rsid w:val="00502C6E"/>
    <w:rsid w:val="00504B76"/>
    <w:rsid w:val="00505F2B"/>
    <w:rsid w:val="00506722"/>
    <w:rsid w:val="0050762B"/>
    <w:rsid w:val="0051292F"/>
    <w:rsid w:val="00516A81"/>
    <w:rsid w:val="0052082C"/>
    <w:rsid w:val="00531A72"/>
    <w:rsid w:val="00535053"/>
    <w:rsid w:val="005357A4"/>
    <w:rsid w:val="00536906"/>
    <w:rsid w:val="005374AC"/>
    <w:rsid w:val="00537A9C"/>
    <w:rsid w:val="0055113E"/>
    <w:rsid w:val="00554368"/>
    <w:rsid w:val="00555228"/>
    <w:rsid w:val="0055724B"/>
    <w:rsid w:val="00560305"/>
    <w:rsid w:val="00560AE9"/>
    <w:rsid w:val="00560C0B"/>
    <w:rsid w:val="00560CB2"/>
    <w:rsid w:val="00564164"/>
    <w:rsid w:val="00564B8A"/>
    <w:rsid w:val="0056687A"/>
    <w:rsid w:val="00566A8C"/>
    <w:rsid w:val="00567801"/>
    <w:rsid w:val="005708F6"/>
    <w:rsid w:val="00573912"/>
    <w:rsid w:val="0057634C"/>
    <w:rsid w:val="005768A7"/>
    <w:rsid w:val="00576DC0"/>
    <w:rsid w:val="0058318E"/>
    <w:rsid w:val="00583873"/>
    <w:rsid w:val="00584B23"/>
    <w:rsid w:val="00586825"/>
    <w:rsid w:val="00590502"/>
    <w:rsid w:val="005906DB"/>
    <w:rsid w:val="005938AC"/>
    <w:rsid w:val="0059397B"/>
    <w:rsid w:val="005953FD"/>
    <w:rsid w:val="00596448"/>
    <w:rsid w:val="005A3E6A"/>
    <w:rsid w:val="005A502D"/>
    <w:rsid w:val="005B1663"/>
    <w:rsid w:val="005B32F4"/>
    <w:rsid w:val="005B3C6E"/>
    <w:rsid w:val="005B42E1"/>
    <w:rsid w:val="005B68C9"/>
    <w:rsid w:val="005C740A"/>
    <w:rsid w:val="005D13CE"/>
    <w:rsid w:val="005D1628"/>
    <w:rsid w:val="005D6850"/>
    <w:rsid w:val="005E4F44"/>
    <w:rsid w:val="005E52B8"/>
    <w:rsid w:val="005F1181"/>
    <w:rsid w:val="005F514C"/>
    <w:rsid w:val="005F7C9A"/>
    <w:rsid w:val="00602402"/>
    <w:rsid w:val="00610740"/>
    <w:rsid w:val="00612618"/>
    <w:rsid w:val="00615C8B"/>
    <w:rsid w:val="00620527"/>
    <w:rsid w:val="0062053B"/>
    <w:rsid w:val="00620927"/>
    <w:rsid w:val="00620A35"/>
    <w:rsid w:val="00620C55"/>
    <w:rsid w:val="00620C69"/>
    <w:rsid w:val="0062116D"/>
    <w:rsid w:val="00623306"/>
    <w:rsid w:val="00626354"/>
    <w:rsid w:val="00631A43"/>
    <w:rsid w:val="00635E5A"/>
    <w:rsid w:val="0064691B"/>
    <w:rsid w:val="00650039"/>
    <w:rsid w:val="00650965"/>
    <w:rsid w:val="00650C12"/>
    <w:rsid w:val="00652EF0"/>
    <w:rsid w:val="00656630"/>
    <w:rsid w:val="00660038"/>
    <w:rsid w:val="00660D19"/>
    <w:rsid w:val="00661972"/>
    <w:rsid w:val="00662878"/>
    <w:rsid w:val="00663206"/>
    <w:rsid w:val="00664551"/>
    <w:rsid w:val="00665B87"/>
    <w:rsid w:val="00671349"/>
    <w:rsid w:val="00671E88"/>
    <w:rsid w:val="00672E25"/>
    <w:rsid w:val="00673672"/>
    <w:rsid w:val="00675086"/>
    <w:rsid w:val="00675D4C"/>
    <w:rsid w:val="00675FDD"/>
    <w:rsid w:val="00677B48"/>
    <w:rsid w:val="0068156F"/>
    <w:rsid w:val="00681DB6"/>
    <w:rsid w:val="00685BFC"/>
    <w:rsid w:val="00685F17"/>
    <w:rsid w:val="006910D5"/>
    <w:rsid w:val="00691BB1"/>
    <w:rsid w:val="00693017"/>
    <w:rsid w:val="00694EDB"/>
    <w:rsid w:val="006A19A2"/>
    <w:rsid w:val="006A5165"/>
    <w:rsid w:val="006A62B2"/>
    <w:rsid w:val="006B005F"/>
    <w:rsid w:val="006B00FC"/>
    <w:rsid w:val="006B1C26"/>
    <w:rsid w:val="006B3770"/>
    <w:rsid w:val="006B612E"/>
    <w:rsid w:val="006C35C1"/>
    <w:rsid w:val="006C49A0"/>
    <w:rsid w:val="006C50B9"/>
    <w:rsid w:val="006C7710"/>
    <w:rsid w:val="006C790B"/>
    <w:rsid w:val="006C7A09"/>
    <w:rsid w:val="006D0194"/>
    <w:rsid w:val="006D05EB"/>
    <w:rsid w:val="006D1DEE"/>
    <w:rsid w:val="006D562E"/>
    <w:rsid w:val="006E19FB"/>
    <w:rsid w:val="006E50DF"/>
    <w:rsid w:val="006E637D"/>
    <w:rsid w:val="006E7462"/>
    <w:rsid w:val="006F25F4"/>
    <w:rsid w:val="006F3C07"/>
    <w:rsid w:val="006F471F"/>
    <w:rsid w:val="007046ED"/>
    <w:rsid w:val="00706851"/>
    <w:rsid w:val="00706DEF"/>
    <w:rsid w:val="00717608"/>
    <w:rsid w:val="00723B13"/>
    <w:rsid w:val="0072490A"/>
    <w:rsid w:val="00727051"/>
    <w:rsid w:val="00730BAC"/>
    <w:rsid w:val="00731CD4"/>
    <w:rsid w:val="0073729E"/>
    <w:rsid w:val="00745C12"/>
    <w:rsid w:val="0074639A"/>
    <w:rsid w:val="0075147D"/>
    <w:rsid w:val="007532D7"/>
    <w:rsid w:val="007539E6"/>
    <w:rsid w:val="00753D4C"/>
    <w:rsid w:val="00760412"/>
    <w:rsid w:val="00760602"/>
    <w:rsid w:val="007613D7"/>
    <w:rsid w:val="00763359"/>
    <w:rsid w:val="007742F0"/>
    <w:rsid w:val="00776390"/>
    <w:rsid w:val="007779D1"/>
    <w:rsid w:val="00781AF9"/>
    <w:rsid w:val="00785DCD"/>
    <w:rsid w:val="0079152D"/>
    <w:rsid w:val="007917EC"/>
    <w:rsid w:val="00792BFA"/>
    <w:rsid w:val="00792E9F"/>
    <w:rsid w:val="00796A89"/>
    <w:rsid w:val="007A5A73"/>
    <w:rsid w:val="007A5DD7"/>
    <w:rsid w:val="007A5E17"/>
    <w:rsid w:val="007A6630"/>
    <w:rsid w:val="007B07F7"/>
    <w:rsid w:val="007B42C5"/>
    <w:rsid w:val="007B6259"/>
    <w:rsid w:val="007B70A2"/>
    <w:rsid w:val="007B798F"/>
    <w:rsid w:val="007C03FB"/>
    <w:rsid w:val="007C207B"/>
    <w:rsid w:val="007C280E"/>
    <w:rsid w:val="007C2DD4"/>
    <w:rsid w:val="007C3650"/>
    <w:rsid w:val="007C4413"/>
    <w:rsid w:val="007C54A7"/>
    <w:rsid w:val="007D0658"/>
    <w:rsid w:val="007D3888"/>
    <w:rsid w:val="007D42D7"/>
    <w:rsid w:val="007D51E5"/>
    <w:rsid w:val="007D71FD"/>
    <w:rsid w:val="007D736B"/>
    <w:rsid w:val="007E0C74"/>
    <w:rsid w:val="007E2A9E"/>
    <w:rsid w:val="007E3918"/>
    <w:rsid w:val="007E686C"/>
    <w:rsid w:val="007E6AAD"/>
    <w:rsid w:val="0080031B"/>
    <w:rsid w:val="00801B76"/>
    <w:rsid w:val="00802253"/>
    <w:rsid w:val="0080454C"/>
    <w:rsid w:val="00807B64"/>
    <w:rsid w:val="0081091C"/>
    <w:rsid w:val="00811056"/>
    <w:rsid w:val="008140DD"/>
    <w:rsid w:val="00817F18"/>
    <w:rsid w:val="008219AD"/>
    <w:rsid w:val="008254FE"/>
    <w:rsid w:val="0082557F"/>
    <w:rsid w:val="00826605"/>
    <w:rsid w:val="00830C9E"/>
    <w:rsid w:val="00831041"/>
    <w:rsid w:val="00833CEF"/>
    <w:rsid w:val="00833FC0"/>
    <w:rsid w:val="0083515A"/>
    <w:rsid w:val="00835906"/>
    <w:rsid w:val="008435C3"/>
    <w:rsid w:val="008436FD"/>
    <w:rsid w:val="0084389A"/>
    <w:rsid w:val="0084518E"/>
    <w:rsid w:val="00851F01"/>
    <w:rsid w:val="00857B95"/>
    <w:rsid w:val="00857BA7"/>
    <w:rsid w:val="00860E3A"/>
    <w:rsid w:val="00870882"/>
    <w:rsid w:val="00872FB8"/>
    <w:rsid w:val="00874D3C"/>
    <w:rsid w:val="0087624D"/>
    <w:rsid w:val="008775CD"/>
    <w:rsid w:val="00880050"/>
    <w:rsid w:val="008837AE"/>
    <w:rsid w:val="008921E9"/>
    <w:rsid w:val="00892C1F"/>
    <w:rsid w:val="008945BF"/>
    <w:rsid w:val="00896AB7"/>
    <w:rsid w:val="00897805"/>
    <w:rsid w:val="00897BC9"/>
    <w:rsid w:val="008A0969"/>
    <w:rsid w:val="008A0D0F"/>
    <w:rsid w:val="008A4C2C"/>
    <w:rsid w:val="008A686A"/>
    <w:rsid w:val="008A6D65"/>
    <w:rsid w:val="008B0530"/>
    <w:rsid w:val="008B1866"/>
    <w:rsid w:val="008B20F6"/>
    <w:rsid w:val="008B4FC4"/>
    <w:rsid w:val="008C4D76"/>
    <w:rsid w:val="008C5790"/>
    <w:rsid w:val="008C6FA5"/>
    <w:rsid w:val="008C7EC0"/>
    <w:rsid w:val="008D231D"/>
    <w:rsid w:val="008D4038"/>
    <w:rsid w:val="008D7429"/>
    <w:rsid w:val="008E1C4F"/>
    <w:rsid w:val="008E3B6A"/>
    <w:rsid w:val="008E5F6E"/>
    <w:rsid w:val="008E7216"/>
    <w:rsid w:val="008F0CFF"/>
    <w:rsid w:val="00900684"/>
    <w:rsid w:val="00901B1F"/>
    <w:rsid w:val="00906D03"/>
    <w:rsid w:val="00910B04"/>
    <w:rsid w:val="00911A44"/>
    <w:rsid w:val="0091431D"/>
    <w:rsid w:val="00914D9D"/>
    <w:rsid w:val="00923D42"/>
    <w:rsid w:val="009243BB"/>
    <w:rsid w:val="00924EAF"/>
    <w:rsid w:val="00931C18"/>
    <w:rsid w:val="00931C25"/>
    <w:rsid w:val="00936070"/>
    <w:rsid w:val="009441CD"/>
    <w:rsid w:val="009460C8"/>
    <w:rsid w:val="009523E2"/>
    <w:rsid w:val="00955D3E"/>
    <w:rsid w:val="0095634A"/>
    <w:rsid w:val="00956E98"/>
    <w:rsid w:val="00960664"/>
    <w:rsid w:val="00963D63"/>
    <w:rsid w:val="00964EF7"/>
    <w:rsid w:val="00964FA1"/>
    <w:rsid w:val="00966980"/>
    <w:rsid w:val="009727AC"/>
    <w:rsid w:val="009757B1"/>
    <w:rsid w:val="009801D2"/>
    <w:rsid w:val="00985105"/>
    <w:rsid w:val="00985E6C"/>
    <w:rsid w:val="00987BBD"/>
    <w:rsid w:val="009907D3"/>
    <w:rsid w:val="00991799"/>
    <w:rsid w:val="00991FF4"/>
    <w:rsid w:val="00997901"/>
    <w:rsid w:val="009A09F7"/>
    <w:rsid w:val="009A1C92"/>
    <w:rsid w:val="009A52F7"/>
    <w:rsid w:val="009B2079"/>
    <w:rsid w:val="009B5C15"/>
    <w:rsid w:val="009C124F"/>
    <w:rsid w:val="009C2EC7"/>
    <w:rsid w:val="009C45C5"/>
    <w:rsid w:val="009C47A0"/>
    <w:rsid w:val="009C7076"/>
    <w:rsid w:val="009C7F7B"/>
    <w:rsid w:val="009D70E7"/>
    <w:rsid w:val="009D788E"/>
    <w:rsid w:val="009D7BD8"/>
    <w:rsid w:val="009D7CF6"/>
    <w:rsid w:val="009E13F7"/>
    <w:rsid w:val="009F10AD"/>
    <w:rsid w:val="009F1D04"/>
    <w:rsid w:val="009F1D47"/>
    <w:rsid w:val="009F45E3"/>
    <w:rsid w:val="009F620C"/>
    <w:rsid w:val="009F7AA8"/>
    <w:rsid w:val="00A0725F"/>
    <w:rsid w:val="00A078DF"/>
    <w:rsid w:val="00A10787"/>
    <w:rsid w:val="00A11B68"/>
    <w:rsid w:val="00A11D0C"/>
    <w:rsid w:val="00A11E84"/>
    <w:rsid w:val="00A139A3"/>
    <w:rsid w:val="00A15981"/>
    <w:rsid w:val="00A20C8C"/>
    <w:rsid w:val="00A21420"/>
    <w:rsid w:val="00A21B35"/>
    <w:rsid w:val="00A310FB"/>
    <w:rsid w:val="00A3124C"/>
    <w:rsid w:val="00A31F5E"/>
    <w:rsid w:val="00A35B20"/>
    <w:rsid w:val="00A36F91"/>
    <w:rsid w:val="00A4041D"/>
    <w:rsid w:val="00A42CF6"/>
    <w:rsid w:val="00A45E00"/>
    <w:rsid w:val="00A47848"/>
    <w:rsid w:val="00A47A4D"/>
    <w:rsid w:val="00A52642"/>
    <w:rsid w:val="00A52923"/>
    <w:rsid w:val="00A53A13"/>
    <w:rsid w:val="00A55D38"/>
    <w:rsid w:val="00A55E36"/>
    <w:rsid w:val="00A71443"/>
    <w:rsid w:val="00A714EC"/>
    <w:rsid w:val="00A746F8"/>
    <w:rsid w:val="00A7609F"/>
    <w:rsid w:val="00A80BD7"/>
    <w:rsid w:val="00A82384"/>
    <w:rsid w:val="00A8464D"/>
    <w:rsid w:val="00A922DB"/>
    <w:rsid w:val="00A935E0"/>
    <w:rsid w:val="00A938D8"/>
    <w:rsid w:val="00A96288"/>
    <w:rsid w:val="00AA2504"/>
    <w:rsid w:val="00AA2AC3"/>
    <w:rsid w:val="00AA3C40"/>
    <w:rsid w:val="00AA49EA"/>
    <w:rsid w:val="00AA6804"/>
    <w:rsid w:val="00AB3AF8"/>
    <w:rsid w:val="00AB4A29"/>
    <w:rsid w:val="00AB5583"/>
    <w:rsid w:val="00AB71D3"/>
    <w:rsid w:val="00AB785C"/>
    <w:rsid w:val="00AC2651"/>
    <w:rsid w:val="00AC67C4"/>
    <w:rsid w:val="00AD0267"/>
    <w:rsid w:val="00AD3077"/>
    <w:rsid w:val="00AD3C04"/>
    <w:rsid w:val="00AD41E5"/>
    <w:rsid w:val="00AD4978"/>
    <w:rsid w:val="00AD4D36"/>
    <w:rsid w:val="00AE2AC9"/>
    <w:rsid w:val="00AE3126"/>
    <w:rsid w:val="00AE37A7"/>
    <w:rsid w:val="00AE38D8"/>
    <w:rsid w:val="00AE7C92"/>
    <w:rsid w:val="00AF77F5"/>
    <w:rsid w:val="00B01B99"/>
    <w:rsid w:val="00B10BEF"/>
    <w:rsid w:val="00B14F5E"/>
    <w:rsid w:val="00B156C3"/>
    <w:rsid w:val="00B20D91"/>
    <w:rsid w:val="00B217BF"/>
    <w:rsid w:val="00B278AE"/>
    <w:rsid w:val="00B27B3A"/>
    <w:rsid w:val="00B30AB7"/>
    <w:rsid w:val="00B3256D"/>
    <w:rsid w:val="00B326BB"/>
    <w:rsid w:val="00B327ED"/>
    <w:rsid w:val="00B37992"/>
    <w:rsid w:val="00B37BFF"/>
    <w:rsid w:val="00B415BA"/>
    <w:rsid w:val="00B51EEC"/>
    <w:rsid w:val="00B52A6C"/>
    <w:rsid w:val="00B53C1E"/>
    <w:rsid w:val="00B54AB3"/>
    <w:rsid w:val="00B56288"/>
    <w:rsid w:val="00B5665E"/>
    <w:rsid w:val="00B56C02"/>
    <w:rsid w:val="00B57413"/>
    <w:rsid w:val="00B57EFA"/>
    <w:rsid w:val="00B71D61"/>
    <w:rsid w:val="00B74B5C"/>
    <w:rsid w:val="00B76389"/>
    <w:rsid w:val="00B778A0"/>
    <w:rsid w:val="00B81055"/>
    <w:rsid w:val="00B83190"/>
    <w:rsid w:val="00B8589B"/>
    <w:rsid w:val="00B928FE"/>
    <w:rsid w:val="00B96118"/>
    <w:rsid w:val="00B964B2"/>
    <w:rsid w:val="00BA3743"/>
    <w:rsid w:val="00BA5033"/>
    <w:rsid w:val="00BA607E"/>
    <w:rsid w:val="00BA74AA"/>
    <w:rsid w:val="00BB094D"/>
    <w:rsid w:val="00BB0C4C"/>
    <w:rsid w:val="00BB2EE7"/>
    <w:rsid w:val="00BB4BC9"/>
    <w:rsid w:val="00BB4E90"/>
    <w:rsid w:val="00BB5382"/>
    <w:rsid w:val="00BB6EC9"/>
    <w:rsid w:val="00BC06C9"/>
    <w:rsid w:val="00BC1D27"/>
    <w:rsid w:val="00BC1DA7"/>
    <w:rsid w:val="00BC7272"/>
    <w:rsid w:val="00BD1B12"/>
    <w:rsid w:val="00BD2C41"/>
    <w:rsid w:val="00BD31D0"/>
    <w:rsid w:val="00BD4082"/>
    <w:rsid w:val="00BD7CF0"/>
    <w:rsid w:val="00BE0F7F"/>
    <w:rsid w:val="00BE25CA"/>
    <w:rsid w:val="00BE7533"/>
    <w:rsid w:val="00BF1076"/>
    <w:rsid w:val="00BF2F61"/>
    <w:rsid w:val="00C01589"/>
    <w:rsid w:val="00C041C8"/>
    <w:rsid w:val="00C06B16"/>
    <w:rsid w:val="00C1151B"/>
    <w:rsid w:val="00C16299"/>
    <w:rsid w:val="00C2381F"/>
    <w:rsid w:val="00C258FF"/>
    <w:rsid w:val="00C271ED"/>
    <w:rsid w:val="00C31238"/>
    <w:rsid w:val="00C32C6F"/>
    <w:rsid w:val="00C32ED5"/>
    <w:rsid w:val="00C353BB"/>
    <w:rsid w:val="00C35D89"/>
    <w:rsid w:val="00C36071"/>
    <w:rsid w:val="00C368AB"/>
    <w:rsid w:val="00C371A1"/>
    <w:rsid w:val="00C404DA"/>
    <w:rsid w:val="00C43547"/>
    <w:rsid w:val="00C54027"/>
    <w:rsid w:val="00C64174"/>
    <w:rsid w:val="00C64C13"/>
    <w:rsid w:val="00C65E33"/>
    <w:rsid w:val="00C70E56"/>
    <w:rsid w:val="00C73765"/>
    <w:rsid w:val="00C739AA"/>
    <w:rsid w:val="00C800DC"/>
    <w:rsid w:val="00C8127A"/>
    <w:rsid w:val="00C82011"/>
    <w:rsid w:val="00C862AE"/>
    <w:rsid w:val="00C941B5"/>
    <w:rsid w:val="00C966DF"/>
    <w:rsid w:val="00CA0462"/>
    <w:rsid w:val="00CA095C"/>
    <w:rsid w:val="00CA0F01"/>
    <w:rsid w:val="00CA35DA"/>
    <w:rsid w:val="00CA37AB"/>
    <w:rsid w:val="00CA39A3"/>
    <w:rsid w:val="00CA430B"/>
    <w:rsid w:val="00CA4C56"/>
    <w:rsid w:val="00CB0291"/>
    <w:rsid w:val="00CB17E6"/>
    <w:rsid w:val="00CB5E16"/>
    <w:rsid w:val="00CB69C5"/>
    <w:rsid w:val="00CC24A7"/>
    <w:rsid w:val="00CC2AFD"/>
    <w:rsid w:val="00CC45B5"/>
    <w:rsid w:val="00CC7C3D"/>
    <w:rsid w:val="00CD1EF6"/>
    <w:rsid w:val="00CD291C"/>
    <w:rsid w:val="00CD5EF8"/>
    <w:rsid w:val="00CE0DD0"/>
    <w:rsid w:val="00CF0561"/>
    <w:rsid w:val="00CF0F7A"/>
    <w:rsid w:val="00CF3ECB"/>
    <w:rsid w:val="00CF460B"/>
    <w:rsid w:val="00CF4DB6"/>
    <w:rsid w:val="00CF6791"/>
    <w:rsid w:val="00D01E65"/>
    <w:rsid w:val="00D0437E"/>
    <w:rsid w:val="00D057EE"/>
    <w:rsid w:val="00D068B3"/>
    <w:rsid w:val="00D06B97"/>
    <w:rsid w:val="00D126A6"/>
    <w:rsid w:val="00D1418F"/>
    <w:rsid w:val="00D170CF"/>
    <w:rsid w:val="00D202C2"/>
    <w:rsid w:val="00D2110F"/>
    <w:rsid w:val="00D22617"/>
    <w:rsid w:val="00D273F4"/>
    <w:rsid w:val="00D27A8F"/>
    <w:rsid w:val="00D30E33"/>
    <w:rsid w:val="00D35415"/>
    <w:rsid w:val="00D41294"/>
    <w:rsid w:val="00D4408A"/>
    <w:rsid w:val="00D445CC"/>
    <w:rsid w:val="00D475B0"/>
    <w:rsid w:val="00D55AD5"/>
    <w:rsid w:val="00D563AD"/>
    <w:rsid w:val="00D60529"/>
    <w:rsid w:val="00D6411C"/>
    <w:rsid w:val="00D65E92"/>
    <w:rsid w:val="00D705C4"/>
    <w:rsid w:val="00D710B6"/>
    <w:rsid w:val="00D73F18"/>
    <w:rsid w:val="00D74F4C"/>
    <w:rsid w:val="00D809B6"/>
    <w:rsid w:val="00D852CC"/>
    <w:rsid w:val="00D91DC4"/>
    <w:rsid w:val="00D93CC5"/>
    <w:rsid w:val="00D958BA"/>
    <w:rsid w:val="00D95C12"/>
    <w:rsid w:val="00DA72C1"/>
    <w:rsid w:val="00DA7691"/>
    <w:rsid w:val="00DB09C1"/>
    <w:rsid w:val="00DB14B7"/>
    <w:rsid w:val="00DB2D11"/>
    <w:rsid w:val="00DB3C17"/>
    <w:rsid w:val="00DB6535"/>
    <w:rsid w:val="00DB6BEF"/>
    <w:rsid w:val="00DC14F1"/>
    <w:rsid w:val="00DD4565"/>
    <w:rsid w:val="00DD6D2F"/>
    <w:rsid w:val="00DD7668"/>
    <w:rsid w:val="00DE1A6C"/>
    <w:rsid w:val="00DE32F5"/>
    <w:rsid w:val="00DE3314"/>
    <w:rsid w:val="00DE416A"/>
    <w:rsid w:val="00DE7197"/>
    <w:rsid w:val="00DF3662"/>
    <w:rsid w:val="00DF4404"/>
    <w:rsid w:val="00DF569F"/>
    <w:rsid w:val="00E0119F"/>
    <w:rsid w:val="00E0601A"/>
    <w:rsid w:val="00E07A85"/>
    <w:rsid w:val="00E1109A"/>
    <w:rsid w:val="00E12C78"/>
    <w:rsid w:val="00E154A6"/>
    <w:rsid w:val="00E15990"/>
    <w:rsid w:val="00E15D50"/>
    <w:rsid w:val="00E1726B"/>
    <w:rsid w:val="00E20ADE"/>
    <w:rsid w:val="00E211DA"/>
    <w:rsid w:val="00E235E6"/>
    <w:rsid w:val="00E255EC"/>
    <w:rsid w:val="00E26783"/>
    <w:rsid w:val="00E3256D"/>
    <w:rsid w:val="00E37B8A"/>
    <w:rsid w:val="00E42A07"/>
    <w:rsid w:val="00E42E15"/>
    <w:rsid w:val="00E4580E"/>
    <w:rsid w:val="00E4630C"/>
    <w:rsid w:val="00E478CE"/>
    <w:rsid w:val="00E479CF"/>
    <w:rsid w:val="00E47D84"/>
    <w:rsid w:val="00E52A36"/>
    <w:rsid w:val="00E52B41"/>
    <w:rsid w:val="00E549D8"/>
    <w:rsid w:val="00E568E8"/>
    <w:rsid w:val="00E57975"/>
    <w:rsid w:val="00E6258E"/>
    <w:rsid w:val="00E62CA0"/>
    <w:rsid w:val="00E64210"/>
    <w:rsid w:val="00E704B2"/>
    <w:rsid w:val="00E70BC0"/>
    <w:rsid w:val="00E7225B"/>
    <w:rsid w:val="00E75462"/>
    <w:rsid w:val="00E766DA"/>
    <w:rsid w:val="00E802AD"/>
    <w:rsid w:val="00E81838"/>
    <w:rsid w:val="00E8791E"/>
    <w:rsid w:val="00E91BF6"/>
    <w:rsid w:val="00E95C7B"/>
    <w:rsid w:val="00E966FC"/>
    <w:rsid w:val="00E970E4"/>
    <w:rsid w:val="00EA03A9"/>
    <w:rsid w:val="00EA13B0"/>
    <w:rsid w:val="00EA311A"/>
    <w:rsid w:val="00EA3F95"/>
    <w:rsid w:val="00EA68B5"/>
    <w:rsid w:val="00EB63A0"/>
    <w:rsid w:val="00EC0D3D"/>
    <w:rsid w:val="00EC5978"/>
    <w:rsid w:val="00EC64BC"/>
    <w:rsid w:val="00EC7D31"/>
    <w:rsid w:val="00ED21EB"/>
    <w:rsid w:val="00ED7D08"/>
    <w:rsid w:val="00EE0A65"/>
    <w:rsid w:val="00EE3990"/>
    <w:rsid w:val="00EE5601"/>
    <w:rsid w:val="00EF1D60"/>
    <w:rsid w:val="00EF3C04"/>
    <w:rsid w:val="00EF5E15"/>
    <w:rsid w:val="00EF6106"/>
    <w:rsid w:val="00F02879"/>
    <w:rsid w:val="00F03456"/>
    <w:rsid w:val="00F03ACA"/>
    <w:rsid w:val="00F04643"/>
    <w:rsid w:val="00F0535E"/>
    <w:rsid w:val="00F053C9"/>
    <w:rsid w:val="00F06C40"/>
    <w:rsid w:val="00F06E42"/>
    <w:rsid w:val="00F15B9A"/>
    <w:rsid w:val="00F206D6"/>
    <w:rsid w:val="00F222AD"/>
    <w:rsid w:val="00F23E10"/>
    <w:rsid w:val="00F25788"/>
    <w:rsid w:val="00F27254"/>
    <w:rsid w:val="00F31B2C"/>
    <w:rsid w:val="00F31B91"/>
    <w:rsid w:val="00F3780F"/>
    <w:rsid w:val="00F43177"/>
    <w:rsid w:val="00F45305"/>
    <w:rsid w:val="00F4730B"/>
    <w:rsid w:val="00F50F05"/>
    <w:rsid w:val="00F548D3"/>
    <w:rsid w:val="00F54CDB"/>
    <w:rsid w:val="00F645EF"/>
    <w:rsid w:val="00F67D00"/>
    <w:rsid w:val="00F70037"/>
    <w:rsid w:val="00F728E8"/>
    <w:rsid w:val="00F774FF"/>
    <w:rsid w:val="00F80F95"/>
    <w:rsid w:val="00F837C4"/>
    <w:rsid w:val="00F90FDB"/>
    <w:rsid w:val="00F91645"/>
    <w:rsid w:val="00F91787"/>
    <w:rsid w:val="00F918C6"/>
    <w:rsid w:val="00FA191C"/>
    <w:rsid w:val="00FA2C32"/>
    <w:rsid w:val="00FA31D3"/>
    <w:rsid w:val="00FA40AC"/>
    <w:rsid w:val="00FA4FAB"/>
    <w:rsid w:val="00FA6895"/>
    <w:rsid w:val="00FA6D38"/>
    <w:rsid w:val="00FB5DE7"/>
    <w:rsid w:val="00FB7410"/>
    <w:rsid w:val="00FB7F6D"/>
    <w:rsid w:val="00FC008E"/>
    <w:rsid w:val="00FC0780"/>
    <w:rsid w:val="00FC211D"/>
    <w:rsid w:val="00FC519F"/>
    <w:rsid w:val="00FC5EBE"/>
    <w:rsid w:val="00FD0316"/>
    <w:rsid w:val="00FE0474"/>
    <w:rsid w:val="00FE3282"/>
    <w:rsid w:val="00FE5033"/>
    <w:rsid w:val="00FE578F"/>
    <w:rsid w:val="00FF437F"/>
    <w:rsid w:val="00FF5076"/>
    <w:rsid w:val="00FF5957"/>
    <w:rsid w:val="00FF5A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2C2"/>
    <w:pPr>
      <w:spacing w:after="0" w:line="480" w:lineRule="auto"/>
      <w:jc w:val="both"/>
    </w:pPr>
    <w:rPr>
      <w:rFonts w:eastAsia="Times New Roman" w:cs="Times New Roman"/>
    </w:rPr>
  </w:style>
  <w:style w:type="paragraph" w:styleId="Heading1">
    <w:name w:val="heading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32AAA"/>
    <w:pPr>
      <w:widowControl w:val="0"/>
      <w:numPr>
        <w:ilvl w:val="2"/>
        <w:numId w:val="1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0C7D79"/>
    <w:pPr>
      <w:numPr>
        <w:ilvl w:val="2"/>
        <w:numId w:val="34"/>
      </w:numPr>
      <w:tabs>
        <w:tab w:val="clear" w:pos="2160"/>
        <w:tab w:val="num" w:pos="360"/>
      </w:tabs>
      <w:spacing w:before="240"/>
      <w:ind w:left="0" w:firstLine="0"/>
      <w:outlineLvl w:val="2"/>
    </w:pPr>
    <w:rPr>
      <w:rFonts w:ascii="Arial" w:hAnsi="Arial"/>
      <w:sz w:val="24"/>
      <w:szCs w:val="20"/>
      <w:lang w:val="en-GB"/>
    </w:rPr>
  </w:style>
  <w:style w:type="character" w:customStyle="1" w:styleId="Style3Char">
    <w:name w:val="Style3 Char"/>
    <w:link w:val="Style3"/>
    <w:rsid w:val="000C7D79"/>
    <w:rPr>
      <w:rFonts w:ascii="Arial" w:eastAsia="Times New Roman" w:hAnsi="Arial" w:cs="Times New Roman"/>
      <w:sz w:val="24"/>
      <w:szCs w:val="20"/>
      <w:lang w:val="en-GB"/>
    </w:rPr>
  </w:style>
  <w:style w:type="paragraph" w:customStyle="1" w:styleId="Style2">
    <w:name w:val="Style2"/>
    <w:basedOn w:val="Normal"/>
    <w:next w:val="Normal"/>
    <w:qFormat/>
    <w:rsid w:val="000C7D79"/>
    <w:pPr>
      <w:widowControl w:val="0"/>
      <w:numPr>
        <w:ilvl w:val="1"/>
        <w:numId w:val="34"/>
      </w:numPr>
      <w:spacing w:before="240"/>
      <w:outlineLvl w:val="1"/>
    </w:pPr>
    <w:rPr>
      <w:rFonts w:ascii="Arial" w:hAnsi="Arial"/>
      <w:sz w:val="24"/>
      <w:szCs w:val="20"/>
      <w:lang w:val="en-GB"/>
    </w:rPr>
  </w:style>
  <w:style w:type="paragraph" w:customStyle="1" w:styleId="Style1">
    <w:name w:val="Style1"/>
    <w:basedOn w:val="Normal"/>
    <w:next w:val="Normal"/>
    <w:qFormat/>
    <w:rsid w:val="000C7D79"/>
    <w:pPr>
      <w:widowControl w:val="0"/>
      <w:spacing w:before="240"/>
      <w:outlineLvl w:val="0"/>
    </w:pPr>
    <w:rPr>
      <w:rFonts w:ascii="Arial" w:hAnsi="Arial"/>
      <w:sz w:val="24"/>
      <w:szCs w:val="20"/>
      <w:lang w:val="en-GB"/>
    </w:rPr>
  </w:style>
  <w:style w:type="paragraph" w:customStyle="1" w:styleId="Style4">
    <w:name w:val="Style4"/>
    <w:basedOn w:val="Normal"/>
    <w:next w:val="Normal"/>
    <w:qFormat/>
    <w:rsid w:val="000C7D79"/>
    <w:pPr>
      <w:widowControl w:val="0"/>
      <w:numPr>
        <w:ilvl w:val="3"/>
        <w:numId w:val="34"/>
      </w:numPr>
      <w:spacing w:before="240"/>
      <w:outlineLvl w:val="3"/>
    </w:pPr>
    <w:rPr>
      <w:rFonts w:ascii="Arial" w:eastAsia="Cambria" w:hAnsi="Arial"/>
      <w:sz w:val="24"/>
      <w:szCs w:val="24"/>
    </w:rPr>
  </w:style>
  <w:style w:type="paragraph" w:customStyle="1" w:styleId="HeadsQuote">
    <w:name w:val="Heads Quote"/>
    <w:basedOn w:val="Normal"/>
    <w:link w:val="HeadsQuoteChar"/>
    <w:qFormat/>
    <w:rsid w:val="001E6505"/>
    <w:pPr>
      <w:keepNext/>
      <w:widowControl w:val="0"/>
      <w:spacing w:before="120" w:line="360" w:lineRule="auto"/>
      <w:ind w:left="1440"/>
      <w:contextualSpacing/>
      <w:outlineLvl w:val="2"/>
    </w:pPr>
    <w:rPr>
      <w:rFonts w:ascii="Arial" w:eastAsia="Cambria" w:hAnsi="Arial"/>
      <w:i/>
      <w:iCs/>
      <w:sz w:val="24"/>
      <w:szCs w:val="24"/>
    </w:rPr>
  </w:style>
  <w:style w:type="character" w:customStyle="1" w:styleId="HeadsQuoteChar">
    <w:name w:val="Heads Quote Char"/>
    <w:link w:val="HeadsQuote"/>
    <w:rsid w:val="001E6505"/>
    <w:rPr>
      <w:rFonts w:ascii="Arial" w:hAnsi="Arial" w:cs="Times New Roman"/>
      <w:i/>
      <w:iCs/>
      <w:sz w:val="24"/>
      <w:szCs w:val="24"/>
    </w:rPr>
  </w:style>
  <w:style w:type="character" w:customStyle="1" w:styleId="Heading3Char">
    <w:name w:val="Heading 3 Char"/>
    <w:basedOn w:val="DefaultParagraphFont"/>
    <w:link w:val="Heading3"/>
    <w:uiPriority w:val="9"/>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basedOn w:val="Normal"/>
    <w:link w:val="FootnoteTextChar"/>
    <w:uiPriority w:val="99"/>
    <w:unhideWhenUsed/>
    <w:rsid w:val="00E4580E"/>
    <w:pPr>
      <w:widowControl w:val="0"/>
      <w:spacing w:before="120" w:line="240" w:lineRule="auto"/>
    </w:pPr>
    <w:rPr>
      <w:rFonts w:ascii="Arial" w:eastAsia="Cambria" w:hAnsi="Arial"/>
      <w:sz w:val="20"/>
      <w:szCs w:val="24"/>
    </w:rPr>
  </w:style>
  <w:style w:type="character" w:customStyle="1" w:styleId="FootnoteTextChar">
    <w:name w:val="Footnote Text Char"/>
    <w:basedOn w:val="DefaultParagraphFont"/>
    <w:link w:val="FootnoteText"/>
    <w:uiPriority w:val="99"/>
    <w:rsid w:val="00E4580E"/>
    <w:rPr>
      <w:rFonts w:ascii="Arial" w:hAnsi="Arial" w:cs="Times New Roman"/>
      <w:sz w:val="20"/>
      <w:szCs w:val="24"/>
    </w:rPr>
  </w:style>
  <w:style w:type="character" w:styleId="FootnoteReference">
    <w:name w:val="footnote reference"/>
    <w:uiPriority w:val="99"/>
    <w:semiHidden/>
    <w:rsid w:val="00D126A6"/>
    <w:rPr>
      <w:rFonts w:ascii="Arial" w:hAnsi="Arial"/>
      <w:dstrike w:val="0"/>
      <w:sz w:val="24"/>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671349"/>
    <w:pPr>
      <w:numPr>
        <w:numId w:val="35"/>
      </w:numPr>
      <w:spacing w:line="360" w:lineRule="auto"/>
      <w:ind w:hanging="720"/>
    </w:pPr>
    <w:rPr>
      <w:lang w:val="en-ZA"/>
    </w:rPr>
  </w:style>
  <w:style w:type="character" w:customStyle="1" w:styleId="LC1Char">
    <w:name w:val="LC1 Char"/>
    <w:basedOn w:val="DefaultParagraphFont"/>
    <w:link w:val="LC1"/>
    <w:rsid w:val="00671349"/>
    <w:rPr>
      <w:rFonts w:ascii="Arial" w:eastAsia="Times New Roman"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4134ED"/>
    <w:pPr>
      <w:numPr>
        <w:ilvl w:val="1"/>
      </w:numPr>
      <w:ind w:left="1701" w:hanging="993"/>
    </w:pPr>
  </w:style>
  <w:style w:type="paragraph" w:customStyle="1" w:styleId="LCORder0">
    <w:name w:val="LC ORder"/>
    <w:basedOn w:val="LC1"/>
    <w:link w:val="LCORderChar"/>
    <w:qFormat/>
    <w:rsid w:val="00400C5A"/>
    <w:pPr>
      <w:numPr>
        <w:numId w:val="0"/>
      </w:numPr>
      <w:spacing w:after="120"/>
    </w:pPr>
    <w:rPr>
      <w:rFonts w:cs="Arial"/>
      <w:szCs w:val="24"/>
    </w:rPr>
  </w:style>
  <w:style w:type="character" w:customStyle="1" w:styleId="LC2Char">
    <w:name w:val="LC2 Char"/>
    <w:basedOn w:val="LC1Char"/>
    <w:link w:val="LC2"/>
    <w:rsid w:val="004134ED"/>
    <w:rPr>
      <w:rFonts w:ascii="Arial" w:eastAsia="Times New Roman" w:hAnsi="Arial" w:cs="Times New Roman"/>
      <w:sz w:val="24"/>
      <w:szCs w:val="20"/>
    </w:rPr>
  </w:style>
  <w:style w:type="character" w:customStyle="1" w:styleId="LCORderChar">
    <w:name w:val="LC ORder Char"/>
    <w:basedOn w:val="LC1Char"/>
    <w:link w:val="LCORder0"/>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paragraph" w:styleId="Revision">
    <w:name w:val="Revision"/>
    <w:hidden/>
    <w:uiPriority w:val="99"/>
    <w:semiHidden/>
    <w:rsid w:val="00650965"/>
    <w:pPr>
      <w:spacing w:after="0" w:line="240" w:lineRule="auto"/>
    </w:pPr>
    <w:rPr>
      <w:rFonts w:eastAsia="Times New Roman" w:cs="Times New Roman"/>
    </w:rPr>
  </w:style>
  <w:style w:type="paragraph" w:customStyle="1" w:styleId="LCOrder">
    <w:name w:val="LC Order"/>
    <w:basedOn w:val="LC1"/>
    <w:link w:val="LCOrderChar0"/>
    <w:qFormat/>
    <w:rsid w:val="0035628C"/>
    <w:pPr>
      <w:numPr>
        <w:ilvl w:val="3"/>
      </w:numPr>
      <w:ind w:left="1418" w:hanging="709"/>
    </w:pPr>
    <w:rPr>
      <w:lang w:val="en-GB"/>
    </w:rPr>
  </w:style>
  <w:style w:type="character" w:customStyle="1" w:styleId="LCOrderChar0">
    <w:name w:val="LC Order Char"/>
    <w:basedOn w:val="LC1Char"/>
    <w:link w:val="LCOrder"/>
    <w:rsid w:val="0035628C"/>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2023-05-19T14:32:00Z</dcterms:created>
  <dcterms:modified xsi:type="dcterms:W3CDTF">2023-05-19T14:32:00Z</dcterms:modified>
</cp:coreProperties>
</file>