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CDCBB" w14:textId="77777777" w:rsidR="006A2EC3" w:rsidRPr="006A2EC3" w:rsidRDefault="006A2EC3" w:rsidP="006A2EC3">
      <w:pPr>
        <w:spacing w:line="480" w:lineRule="auto"/>
        <w:jc w:val="center"/>
        <w:rPr>
          <w:rFonts w:ascii="Arial" w:hAnsi="Arial" w:cs="Arial"/>
          <w:b/>
        </w:rPr>
      </w:pPr>
      <w:r w:rsidRPr="006A2EC3">
        <w:rPr>
          <w:rFonts w:ascii="Arial" w:hAnsi="Arial" w:cs="Arial"/>
          <w:b/>
        </w:rPr>
        <w:t>REPUBLIC OF SOUTH AFRICA</w:t>
      </w:r>
    </w:p>
    <w:p w14:paraId="455CB751" w14:textId="77777777" w:rsidR="006A2EC3" w:rsidRPr="006A2EC3" w:rsidRDefault="006A2EC3" w:rsidP="006A2EC3">
      <w:pPr>
        <w:spacing w:line="480" w:lineRule="auto"/>
        <w:jc w:val="center"/>
        <w:rPr>
          <w:rFonts w:ascii="Arial" w:hAnsi="Arial" w:cs="Arial"/>
          <w:b/>
        </w:rPr>
      </w:pPr>
      <w:r w:rsidRPr="006A2EC3">
        <w:rPr>
          <w:rFonts w:ascii="Arial" w:hAnsi="Arial" w:cs="Arial"/>
          <w:noProof/>
          <w:lang w:val="en-US"/>
        </w:rPr>
        <w:drawing>
          <wp:inline distT="0" distB="0" distL="0" distR="0" wp14:anchorId="1754A6C6" wp14:editId="258EBDBE">
            <wp:extent cx="908050" cy="908050"/>
            <wp:effectExtent l="0" t="0" r="6350"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p w14:paraId="10F17FE9" w14:textId="77777777" w:rsidR="006A2EC3" w:rsidRPr="006A2EC3" w:rsidRDefault="006A2EC3" w:rsidP="006A2EC3">
      <w:pPr>
        <w:spacing w:line="480" w:lineRule="auto"/>
        <w:jc w:val="center"/>
        <w:rPr>
          <w:rFonts w:ascii="Arial" w:hAnsi="Arial" w:cs="Arial"/>
          <w:b/>
        </w:rPr>
      </w:pPr>
      <w:r w:rsidRPr="006A2EC3">
        <w:rPr>
          <w:rFonts w:ascii="Arial" w:hAnsi="Arial" w:cs="Arial"/>
          <w:b/>
        </w:rPr>
        <w:t>IN THE HIGH COURT OF SOUTH AFRICA</w:t>
      </w:r>
    </w:p>
    <w:p w14:paraId="1BC4CD30" w14:textId="77777777" w:rsidR="006A2EC3" w:rsidRPr="006A2EC3" w:rsidRDefault="006A2EC3" w:rsidP="006A2EC3">
      <w:pPr>
        <w:spacing w:line="480" w:lineRule="auto"/>
        <w:jc w:val="center"/>
        <w:rPr>
          <w:rFonts w:ascii="Arial" w:hAnsi="Arial" w:cs="Arial"/>
          <w:b/>
        </w:rPr>
      </w:pPr>
      <w:r w:rsidRPr="006A2EC3">
        <w:rPr>
          <w:rFonts w:ascii="Arial" w:hAnsi="Arial" w:cs="Arial"/>
          <w:b/>
        </w:rPr>
        <w:t>GAUTENG LOCAL DIVISION, JOHANNESBURG</w:t>
      </w:r>
    </w:p>
    <w:p w14:paraId="68005F1C" w14:textId="77777777" w:rsidR="006A2EC3" w:rsidRPr="006A2EC3" w:rsidRDefault="006A2EC3" w:rsidP="006A2EC3">
      <w:pPr>
        <w:spacing w:line="480" w:lineRule="auto"/>
        <w:jc w:val="both"/>
        <w:rPr>
          <w:rFonts w:ascii="Arial" w:hAnsi="Arial" w:cs="Arial"/>
          <w:lang w:val="en-GB"/>
        </w:rPr>
      </w:pPr>
      <w:r w:rsidRPr="006A2EC3">
        <w:rPr>
          <w:rFonts w:ascii="Arial" w:hAnsi="Arial" w:cs="Arial"/>
          <w:noProof/>
          <w:lang w:val="en-US"/>
        </w:rPr>
        <mc:AlternateContent>
          <mc:Choice Requires="wps">
            <w:drawing>
              <wp:anchor distT="0" distB="0" distL="114300" distR="114300" simplePos="0" relativeHeight="251659264" behindDoc="0" locked="0" layoutInCell="1" allowOverlap="1" wp14:anchorId="7011E442" wp14:editId="796EA7B1">
                <wp:simplePos x="0" y="0"/>
                <wp:positionH relativeFrom="margin">
                  <wp:align>left</wp:align>
                </wp:positionH>
                <wp:positionV relativeFrom="paragraph">
                  <wp:posOffset>265430</wp:posOffset>
                </wp:positionV>
                <wp:extent cx="3314700" cy="1266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223592FC" w14:textId="77777777" w:rsidR="006A2EC3" w:rsidRPr="004120A8" w:rsidRDefault="006A2EC3" w:rsidP="006A2EC3">
                            <w:pPr>
                              <w:jc w:val="center"/>
                              <w:rPr>
                                <w:rFonts w:ascii="Century Gothic" w:hAnsi="Century Gothic"/>
                                <w:b/>
                                <w:sz w:val="2"/>
                                <w:szCs w:val="18"/>
                              </w:rPr>
                            </w:pPr>
                          </w:p>
                          <w:p w14:paraId="7C548A3C" w14:textId="4E41528C" w:rsidR="006A2EC3" w:rsidRPr="004120A8" w:rsidRDefault="00170FA4" w:rsidP="00170FA4">
                            <w:pPr>
                              <w:tabs>
                                <w:tab w:val="left" w:pos="900"/>
                              </w:tabs>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6A2EC3">
                              <w:rPr>
                                <w:rFonts w:ascii="Century Gothic" w:hAnsi="Century Gothic"/>
                                <w:sz w:val="18"/>
                                <w:szCs w:val="18"/>
                              </w:rPr>
                              <w:t xml:space="preserve">REPORTABLE: </w:t>
                            </w:r>
                            <w:r w:rsidR="006A2EC3" w:rsidRPr="004120A8">
                              <w:rPr>
                                <w:rFonts w:ascii="Century Gothic" w:hAnsi="Century Gothic"/>
                                <w:sz w:val="18"/>
                                <w:szCs w:val="18"/>
                              </w:rPr>
                              <w:t>NO</w:t>
                            </w:r>
                            <w:r w:rsidR="006A2EC3">
                              <w:rPr>
                                <w:rFonts w:ascii="Century Gothic" w:hAnsi="Century Gothic"/>
                                <w:sz w:val="18"/>
                                <w:szCs w:val="18"/>
                              </w:rPr>
                              <w:t xml:space="preserve"> / YES</w:t>
                            </w:r>
                          </w:p>
                          <w:p w14:paraId="524824F2" w14:textId="60CA5C3C" w:rsidR="006A2EC3" w:rsidRPr="004120A8" w:rsidRDefault="00170FA4" w:rsidP="00170FA4">
                            <w:pPr>
                              <w:tabs>
                                <w:tab w:val="left" w:pos="900"/>
                              </w:tabs>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6A2EC3" w:rsidRPr="004120A8">
                              <w:rPr>
                                <w:rFonts w:ascii="Century Gothic" w:hAnsi="Century Gothic"/>
                                <w:sz w:val="18"/>
                                <w:szCs w:val="18"/>
                              </w:rPr>
                              <w:t>O</w:t>
                            </w:r>
                            <w:r w:rsidR="006A2EC3">
                              <w:rPr>
                                <w:rFonts w:ascii="Century Gothic" w:hAnsi="Century Gothic"/>
                                <w:sz w:val="18"/>
                                <w:szCs w:val="18"/>
                              </w:rPr>
                              <w:t xml:space="preserve">F INTEREST TO OTHER JUDGES: </w:t>
                            </w:r>
                            <w:r w:rsidR="006A2EC3" w:rsidRPr="004120A8">
                              <w:rPr>
                                <w:rFonts w:ascii="Century Gothic" w:hAnsi="Century Gothic"/>
                                <w:sz w:val="18"/>
                                <w:szCs w:val="18"/>
                              </w:rPr>
                              <w:t>NO</w:t>
                            </w:r>
                            <w:r w:rsidR="006A2EC3">
                              <w:rPr>
                                <w:rFonts w:ascii="Century Gothic" w:hAnsi="Century Gothic"/>
                                <w:sz w:val="18"/>
                                <w:szCs w:val="18"/>
                              </w:rPr>
                              <w:t xml:space="preserve"> / YES</w:t>
                            </w:r>
                          </w:p>
                          <w:p w14:paraId="34BE2936" w14:textId="0029DB2F" w:rsidR="006A2EC3" w:rsidRPr="004120A8" w:rsidRDefault="00170FA4" w:rsidP="00170FA4">
                            <w:pPr>
                              <w:tabs>
                                <w:tab w:val="left" w:pos="900"/>
                              </w:tabs>
                              <w:ind w:left="900" w:hanging="720"/>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6A2EC3" w:rsidRPr="004120A8">
                              <w:rPr>
                                <w:rFonts w:ascii="Century Gothic" w:hAnsi="Century Gothic"/>
                                <w:sz w:val="18"/>
                                <w:szCs w:val="18"/>
                              </w:rPr>
                              <w:t xml:space="preserve">REVISED. </w:t>
                            </w:r>
                          </w:p>
                          <w:p w14:paraId="7E3FD986" w14:textId="77777777" w:rsidR="006A2EC3" w:rsidRPr="004120A8" w:rsidRDefault="006A2EC3" w:rsidP="006A2EC3">
                            <w:pPr>
                              <w:rPr>
                                <w:rFonts w:ascii="Century Gothic" w:hAnsi="Century Gothic"/>
                                <w:b/>
                                <w:sz w:val="18"/>
                                <w:szCs w:val="18"/>
                              </w:rPr>
                            </w:pPr>
                          </w:p>
                          <w:p w14:paraId="7288F2DF" w14:textId="77777777" w:rsidR="006A2EC3" w:rsidRPr="004120A8" w:rsidRDefault="006A2EC3" w:rsidP="006A2EC3">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0ADA4555" w14:textId="77777777" w:rsidR="006A2EC3" w:rsidRPr="004120A8" w:rsidRDefault="006A2EC3" w:rsidP="006A2EC3">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72A28C24" w14:textId="77777777" w:rsidR="006A2EC3" w:rsidRPr="004120A8" w:rsidRDefault="006A2EC3" w:rsidP="006A2EC3">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1E442" id="_x0000_t202" coordsize="21600,21600" o:spt="202" path="m,l,21600r21600,l21600,xe">
                <v:stroke joinstyle="miter"/>
                <v:path gradientshapeok="t" o:connecttype="rect"/>
              </v:shapetype>
              <v:shape id="Text Box 9" o:spid="_x0000_s1026" type="#_x0000_t202" style="position:absolute;left:0;text-align:left;margin-left:0;margin-top:20.9pt;width:261pt;height:9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">
                <v:textbox>
                  <w:txbxContent>
                    <w:p w14:paraId="223592FC" w14:textId="77777777" w:rsidR="006A2EC3" w:rsidRPr="004120A8" w:rsidRDefault="006A2EC3" w:rsidP="006A2EC3">
                      <w:pPr>
                        <w:jc w:val="center"/>
                        <w:rPr>
                          <w:rFonts w:ascii="Century Gothic" w:hAnsi="Century Gothic"/>
                          <w:b/>
                          <w:sz w:val="2"/>
                          <w:szCs w:val="18"/>
                        </w:rPr>
                      </w:pPr>
                    </w:p>
                    <w:p w14:paraId="7C548A3C" w14:textId="4E41528C" w:rsidR="006A2EC3" w:rsidRPr="004120A8" w:rsidRDefault="00170FA4" w:rsidP="00170FA4">
                      <w:pPr>
                        <w:tabs>
                          <w:tab w:val="left" w:pos="900"/>
                        </w:tabs>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6A2EC3">
                        <w:rPr>
                          <w:rFonts w:ascii="Century Gothic" w:hAnsi="Century Gothic"/>
                          <w:sz w:val="18"/>
                          <w:szCs w:val="18"/>
                        </w:rPr>
                        <w:t xml:space="preserve">REPORTABLE: </w:t>
                      </w:r>
                      <w:r w:rsidR="006A2EC3" w:rsidRPr="004120A8">
                        <w:rPr>
                          <w:rFonts w:ascii="Century Gothic" w:hAnsi="Century Gothic"/>
                          <w:sz w:val="18"/>
                          <w:szCs w:val="18"/>
                        </w:rPr>
                        <w:t>NO</w:t>
                      </w:r>
                      <w:r w:rsidR="006A2EC3">
                        <w:rPr>
                          <w:rFonts w:ascii="Century Gothic" w:hAnsi="Century Gothic"/>
                          <w:sz w:val="18"/>
                          <w:szCs w:val="18"/>
                        </w:rPr>
                        <w:t xml:space="preserve"> / YES</w:t>
                      </w:r>
                    </w:p>
                    <w:p w14:paraId="524824F2" w14:textId="60CA5C3C" w:rsidR="006A2EC3" w:rsidRPr="004120A8" w:rsidRDefault="00170FA4" w:rsidP="00170FA4">
                      <w:pPr>
                        <w:tabs>
                          <w:tab w:val="left" w:pos="900"/>
                        </w:tabs>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6A2EC3" w:rsidRPr="004120A8">
                        <w:rPr>
                          <w:rFonts w:ascii="Century Gothic" w:hAnsi="Century Gothic"/>
                          <w:sz w:val="18"/>
                          <w:szCs w:val="18"/>
                        </w:rPr>
                        <w:t>O</w:t>
                      </w:r>
                      <w:r w:rsidR="006A2EC3">
                        <w:rPr>
                          <w:rFonts w:ascii="Century Gothic" w:hAnsi="Century Gothic"/>
                          <w:sz w:val="18"/>
                          <w:szCs w:val="18"/>
                        </w:rPr>
                        <w:t xml:space="preserve">F INTEREST TO OTHER JUDGES: </w:t>
                      </w:r>
                      <w:r w:rsidR="006A2EC3" w:rsidRPr="004120A8">
                        <w:rPr>
                          <w:rFonts w:ascii="Century Gothic" w:hAnsi="Century Gothic"/>
                          <w:sz w:val="18"/>
                          <w:szCs w:val="18"/>
                        </w:rPr>
                        <w:t>NO</w:t>
                      </w:r>
                      <w:r w:rsidR="006A2EC3">
                        <w:rPr>
                          <w:rFonts w:ascii="Century Gothic" w:hAnsi="Century Gothic"/>
                          <w:sz w:val="18"/>
                          <w:szCs w:val="18"/>
                        </w:rPr>
                        <w:t xml:space="preserve"> / YES</w:t>
                      </w:r>
                    </w:p>
                    <w:p w14:paraId="34BE2936" w14:textId="0029DB2F" w:rsidR="006A2EC3" w:rsidRPr="004120A8" w:rsidRDefault="00170FA4" w:rsidP="00170FA4">
                      <w:pPr>
                        <w:tabs>
                          <w:tab w:val="left" w:pos="900"/>
                        </w:tabs>
                        <w:ind w:left="900" w:hanging="720"/>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6A2EC3" w:rsidRPr="004120A8">
                        <w:rPr>
                          <w:rFonts w:ascii="Century Gothic" w:hAnsi="Century Gothic"/>
                          <w:sz w:val="18"/>
                          <w:szCs w:val="18"/>
                        </w:rPr>
                        <w:t xml:space="preserve">REVISED. </w:t>
                      </w:r>
                    </w:p>
                    <w:p w14:paraId="7E3FD986" w14:textId="77777777" w:rsidR="006A2EC3" w:rsidRPr="004120A8" w:rsidRDefault="006A2EC3" w:rsidP="006A2EC3">
                      <w:pPr>
                        <w:rPr>
                          <w:rFonts w:ascii="Century Gothic" w:hAnsi="Century Gothic"/>
                          <w:b/>
                          <w:sz w:val="18"/>
                          <w:szCs w:val="18"/>
                        </w:rPr>
                      </w:pPr>
                    </w:p>
                    <w:p w14:paraId="7288F2DF" w14:textId="77777777" w:rsidR="006A2EC3" w:rsidRPr="004120A8" w:rsidRDefault="006A2EC3" w:rsidP="006A2EC3">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0ADA4555" w14:textId="77777777" w:rsidR="006A2EC3" w:rsidRPr="004120A8" w:rsidRDefault="006A2EC3" w:rsidP="006A2EC3">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72A28C24" w14:textId="77777777" w:rsidR="006A2EC3" w:rsidRPr="004120A8" w:rsidRDefault="006A2EC3" w:rsidP="006A2EC3">
                      <w:pPr>
                        <w:rPr>
                          <w:rFonts w:ascii="Century Gothic" w:hAnsi="Century Gothic"/>
                          <w:b/>
                          <w:sz w:val="2"/>
                          <w:szCs w:val="18"/>
                        </w:rPr>
                      </w:pPr>
                    </w:p>
                  </w:txbxContent>
                </v:textbox>
                <w10:wrap anchorx="margin"/>
              </v:shape>
            </w:pict>
          </mc:Fallback>
        </mc:AlternateContent>
      </w:r>
    </w:p>
    <w:p w14:paraId="714DA99C" w14:textId="77777777" w:rsidR="006A2EC3" w:rsidRPr="006A2EC3" w:rsidRDefault="006A2EC3" w:rsidP="006A2EC3">
      <w:pPr>
        <w:spacing w:line="480" w:lineRule="auto"/>
        <w:jc w:val="both"/>
        <w:rPr>
          <w:rFonts w:ascii="Arial" w:hAnsi="Arial" w:cs="Arial"/>
          <w:lang w:val="en-GB"/>
        </w:rPr>
      </w:pPr>
    </w:p>
    <w:p w14:paraId="4B70A9DA" w14:textId="77777777" w:rsidR="006A2EC3" w:rsidRPr="006A2EC3" w:rsidRDefault="006A2EC3" w:rsidP="006A2EC3">
      <w:pPr>
        <w:spacing w:line="480" w:lineRule="auto"/>
        <w:jc w:val="both"/>
        <w:rPr>
          <w:rFonts w:ascii="Arial" w:hAnsi="Arial" w:cs="Arial"/>
          <w:u w:val="single"/>
          <w:lang w:val="en-GB"/>
        </w:rPr>
      </w:pPr>
    </w:p>
    <w:p w14:paraId="3C30E47D" w14:textId="77777777" w:rsidR="006A2EC3" w:rsidRPr="006A2EC3" w:rsidRDefault="006A2EC3" w:rsidP="006A2EC3">
      <w:pPr>
        <w:spacing w:line="480" w:lineRule="auto"/>
        <w:jc w:val="both"/>
        <w:rPr>
          <w:rFonts w:ascii="Arial" w:hAnsi="Arial" w:cs="Arial"/>
          <w:lang w:val="en-GB"/>
        </w:rPr>
      </w:pPr>
    </w:p>
    <w:p w14:paraId="3ABA7683" w14:textId="77777777" w:rsidR="006A2EC3" w:rsidRPr="006A2EC3" w:rsidRDefault="006A2EC3" w:rsidP="006A2EC3">
      <w:pPr>
        <w:spacing w:line="480" w:lineRule="auto"/>
        <w:jc w:val="both"/>
        <w:rPr>
          <w:rFonts w:ascii="Arial" w:hAnsi="Arial" w:cs="Arial"/>
          <w:lang w:val="en-GB"/>
        </w:rPr>
      </w:pPr>
      <w:r w:rsidRPr="006A2EC3">
        <w:rPr>
          <w:rFonts w:ascii="Arial" w:hAnsi="Arial" w:cs="Arial"/>
          <w:lang w:val="en-GB"/>
        </w:rPr>
        <w:tab/>
      </w:r>
      <w:r w:rsidRPr="006A2EC3">
        <w:rPr>
          <w:rFonts w:ascii="Arial" w:hAnsi="Arial" w:cs="Arial"/>
          <w:lang w:val="en-GB"/>
        </w:rPr>
        <w:tab/>
      </w:r>
      <w:r w:rsidRPr="006A2EC3">
        <w:rPr>
          <w:rFonts w:ascii="Arial" w:hAnsi="Arial" w:cs="Arial"/>
          <w:lang w:val="en-GB"/>
        </w:rPr>
        <w:tab/>
      </w:r>
      <w:r w:rsidRPr="006A2EC3">
        <w:rPr>
          <w:rFonts w:ascii="Arial" w:hAnsi="Arial" w:cs="Arial"/>
          <w:lang w:val="en-GB"/>
        </w:rPr>
        <w:tab/>
      </w:r>
      <w:r w:rsidRPr="006A2EC3">
        <w:rPr>
          <w:rFonts w:ascii="Arial" w:hAnsi="Arial" w:cs="Arial"/>
          <w:lang w:val="en-GB"/>
        </w:rPr>
        <w:tab/>
      </w:r>
      <w:r w:rsidRPr="006A2EC3">
        <w:rPr>
          <w:rFonts w:ascii="Arial" w:hAnsi="Arial" w:cs="Arial"/>
          <w:lang w:val="en-GB"/>
        </w:rPr>
        <w:tab/>
      </w:r>
      <w:r w:rsidRPr="006A2EC3">
        <w:rPr>
          <w:rFonts w:ascii="Arial" w:hAnsi="Arial" w:cs="Arial"/>
          <w:lang w:val="en-GB"/>
        </w:rPr>
        <w:tab/>
      </w:r>
      <w:r w:rsidRPr="006A2EC3">
        <w:rPr>
          <w:rFonts w:ascii="Arial" w:hAnsi="Arial" w:cs="Arial"/>
          <w:lang w:val="en-GB"/>
        </w:rPr>
        <w:tab/>
      </w:r>
      <w:r w:rsidRPr="006A2EC3">
        <w:rPr>
          <w:rFonts w:ascii="Arial" w:hAnsi="Arial" w:cs="Arial"/>
          <w:lang w:val="en-GB"/>
        </w:rPr>
        <w:tab/>
      </w:r>
    </w:p>
    <w:p w14:paraId="6720DE76" w14:textId="77777777" w:rsidR="006A2EC3" w:rsidRPr="006A2EC3" w:rsidRDefault="006A2EC3" w:rsidP="006A2EC3">
      <w:pPr>
        <w:spacing w:line="480" w:lineRule="auto"/>
        <w:ind w:left="3600" w:firstLine="720"/>
        <w:jc w:val="right"/>
        <w:rPr>
          <w:rFonts w:ascii="Arial" w:hAnsi="Arial" w:cs="Arial"/>
          <w:lang w:val="en-GB"/>
        </w:rPr>
      </w:pPr>
      <w:r w:rsidRPr="006A2EC3">
        <w:rPr>
          <w:rFonts w:ascii="Arial" w:hAnsi="Arial" w:cs="Arial"/>
          <w:lang w:val="en-GB"/>
        </w:rPr>
        <w:t>CASE NO: 2022-005679</w:t>
      </w:r>
    </w:p>
    <w:p w14:paraId="73035152" w14:textId="77777777" w:rsidR="006A2EC3" w:rsidRPr="006A2EC3" w:rsidRDefault="006A2EC3" w:rsidP="006A2EC3">
      <w:pPr>
        <w:spacing w:line="480" w:lineRule="auto"/>
        <w:jc w:val="both"/>
        <w:rPr>
          <w:rFonts w:ascii="Arial" w:hAnsi="Arial" w:cs="Arial"/>
          <w:lang w:val="en-GB"/>
        </w:rPr>
      </w:pPr>
      <w:r w:rsidRPr="006A2EC3">
        <w:rPr>
          <w:rFonts w:ascii="Arial" w:hAnsi="Arial" w:cs="Arial"/>
          <w:lang w:val="en-GB"/>
        </w:rPr>
        <w:t>In the matter between:</w:t>
      </w:r>
    </w:p>
    <w:p w14:paraId="6153ABAD" w14:textId="205D033D" w:rsidR="006A2EC3" w:rsidRPr="00474DB9" w:rsidRDefault="006A2EC3" w:rsidP="006A2EC3">
      <w:pPr>
        <w:spacing w:line="480" w:lineRule="auto"/>
        <w:jc w:val="both"/>
        <w:rPr>
          <w:rFonts w:ascii="Arial" w:hAnsi="Arial" w:cs="Arial"/>
          <w:b/>
          <w:lang w:val="en-GB"/>
        </w:rPr>
      </w:pPr>
      <w:r w:rsidRPr="00474DB9">
        <w:rPr>
          <w:rFonts w:ascii="Arial" w:hAnsi="Arial" w:cs="Arial"/>
          <w:b/>
          <w:lang w:val="en-GB"/>
        </w:rPr>
        <w:t xml:space="preserve">JACKPOT DIAMONDS PTY LTD </w:t>
      </w:r>
      <w:r w:rsidRPr="00474DB9">
        <w:rPr>
          <w:rFonts w:ascii="Arial" w:hAnsi="Arial" w:cs="Arial"/>
          <w:b/>
          <w:lang w:val="en-GB"/>
        </w:rPr>
        <w:tab/>
      </w:r>
      <w:r w:rsidRPr="00474DB9">
        <w:rPr>
          <w:rFonts w:ascii="Arial" w:hAnsi="Arial" w:cs="Arial"/>
          <w:b/>
          <w:lang w:val="en-GB"/>
        </w:rPr>
        <w:tab/>
      </w:r>
      <w:r w:rsidRPr="00474DB9">
        <w:rPr>
          <w:rFonts w:ascii="Arial" w:hAnsi="Arial" w:cs="Arial"/>
          <w:b/>
          <w:lang w:val="en-GB"/>
        </w:rPr>
        <w:tab/>
      </w:r>
      <w:r w:rsidRPr="00474DB9">
        <w:rPr>
          <w:rFonts w:ascii="Arial" w:hAnsi="Arial" w:cs="Arial"/>
          <w:b/>
          <w:lang w:val="en-GB"/>
        </w:rPr>
        <w:tab/>
      </w:r>
      <w:r w:rsidRPr="00474DB9">
        <w:rPr>
          <w:rFonts w:ascii="Arial" w:hAnsi="Arial" w:cs="Arial"/>
          <w:b/>
          <w:lang w:val="en-GB"/>
        </w:rPr>
        <w:tab/>
      </w:r>
      <w:r w:rsidRPr="00474DB9">
        <w:rPr>
          <w:rFonts w:ascii="Arial" w:hAnsi="Arial" w:cs="Arial"/>
          <w:b/>
          <w:lang w:val="en-GB"/>
        </w:rPr>
        <w:tab/>
        <w:t xml:space="preserve">Applicant </w:t>
      </w:r>
    </w:p>
    <w:p w14:paraId="61EDF379" w14:textId="77777777" w:rsidR="006A2EC3" w:rsidRPr="00474DB9" w:rsidRDefault="006A2EC3" w:rsidP="006A2EC3">
      <w:pPr>
        <w:spacing w:line="480" w:lineRule="auto"/>
        <w:jc w:val="both"/>
        <w:rPr>
          <w:rFonts w:ascii="Arial" w:hAnsi="Arial" w:cs="Arial"/>
          <w:b/>
          <w:lang w:val="en-GB"/>
        </w:rPr>
      </w:pPr>
      <w:r w:rsidRPr="00474DB9">
        <w:rPr>
          <w:rFonts w:ascii="Arial" w:hAnsi="Arial" w:cs="Arial"/>
          <w:b/>
          <w:lang w:val="en-GB"/>
        </w:rPr>
        <w:t>and</w:t>
      </w:r>
    </w:p>
    <w:p w14:paraId="00A24AD1" w14:textId="77777777" w:rsidR="006A2EC3" w:rsidRPr="00474DB9" w:rsidRDefault="006A2EC3" w:rsidP="006A2EC3">
      <w:pPr>
        <w:spacing w:line="480" w:lineRule="auto"/>
        <w:jc w:val="both"/>
        <w:rPr>
          <w:rFonts w:ascii="Arial" w:hAnsi="Arial" w:cs="Arial"/>
          <w:b/>
          <w:lang w:val="en-GB"/>
        </w:rPr>
      </w:pPr>
      <w:r w:rsidRPr="00474DB9">
        <w:rPr>
          <w:rFonts w:ascii="Arial" w:hAnsi="Arial" w:cs="Arial"/>
          <w:b/>
          <w:lang w:val="en-GB"/>
        </w:rPr>
        <w:t xml:space="preserve">REABETSOE MOTSEPE DIAMONDS </w:t>
      </w:r>
    </w:p>
    <w:p w14:paraId="7AFB8E49" w14:textId="23EFD493" w:rsidR="00474DB9" w:rsidRPr="00474DB9" w:rsidRDefault="006A2EC3" w:rsidP="006A2EC3">
      <w:pPr>
        <w:spacing w:line="480" w:lineRule="auto"/>
        <w:jc w:val="both"/>
        <w:rPr>
          <w:rFonts w:ascii="Arial" w:hAnsi="Arial" w:cs="Arial"/>
          <w:b/>
          <w:lang w:val="en-GB"/>
        </w:rPr>
      </w:pPr>
      <w:r w:rsidRPr="00474DB9">
        <w:rPr>
          <w:rFonts w:ascii="Arial" w:hAnsi="Arial" w:cs="Arial"/>
          <w:b/>
          <w:lang w:val="en-GB"/>
        </w:rPr>
        <w:t>AND MINERALS PTY LTD</w:t>
      </w:r>
      <w:r w:rsidR="00474DB9">
        <w:rPr>
          <w:rFonts w:ascii="Arial" w:hAnsi="Arial" w:cs="Arial"/>
          <w:b/>
          <w:lang w:val="en-GB"/>
        </w:rPr>
        <w:t xml:space="preserve">  </w:t>
      </w:r>
      <w:r w:rsidRPr="00474DB9">
        <w:rPr>
          <w:rFonts w:ascii="Arial" w:hAnsi="Arial" w:cs="Arial"/>
          <w:b/>
          <w:lang w:val="en-GB"/>
        </w:rPr>
        <w:tab/>
      </w:r>
      <w:r w:rsidRPr="00474DB9">
        <w:rPr>
          <w:rFonts w:ascii="Arial" w:hAnsi="Arial" w:cs="Arial"/>
          <w:b/>
          <w:lang w:val="en-GB"/>
        </w:rPr>
        <w:tab/>
      </w:r>
      <w:r w:rsidRPr="00474DB9">
        <w:rPr>
          <w:rFonts w:ascii="Arial" w:hAnsi="Arial" w:cs="Arial"/>
          <w:b/>
          <w:lang w:val="en-GB"/>
        </w:rPr>
        <w:tab/>
      </w:r>
      <w:r w:rsidRPr="00474DB9">
        <w:rPr>
          <w:rFonts w:ascii="Arial" w:hAnsi="Arial" w:cs="Arial"/>
          <w:b/>
          <w:lang w:val="en-GB"/>
        </w:rPr>
        <w:tab/>
        <w:t xml:space="preserve"> </w:t>
      </w:r>
      <w:r w:rsidRPr="00474DB9">
        <w:rPr>
          <w:rFonts w:ascii="Arial" w:hAnsi="Arial" w:cs="Arial"/>
          <w:b/>
          <w:lang w:val="en-GB"/>
        </w:rPr>
        <w:tab/>
        <w:t xml:space="preserve">  </w:t>
      </w:r>
      <w:r w:rsidRPr="00474DB9">
        <w:rPr>
          <w:rFonts w:ascii="Arial" w:hAnsi="Arial" w:cs="Arial"/>
          <w:b/>
          <w:lang w:val="en-GB"/>
        </w:rPr>
        <w:tab/>
        <w:t xml:space="preserve"> </w:t>
      </w:r>
      <w:r w:rsidR="00474DB9">
        <w:rPr>
          <w:rFonts w:ascii="Arial" w:hAnsi="Arial" w:cs="Arial"/>
          <w:b/>
          <w:lang w:val="en-GB"/>
        </w:rPr>
        <w:t xml:space="preserve">     </w:t>
      </w:r>
      <w:r w:rsidRPr="00474DB9">
        <w:rPr>
          <w:rFonts w:ascii="Arial" w:hAnsi="Arial" w:cs="Arial"/>
          <w:b/>
          <w:lang w:val="en-GB"/>
        </w:rPr>
        <w:t>Respondent</w:t>
      </w:r>
    </w:p>
    <w:p w14:paraId="397FDCC8" w14:textId="77777777" w:rsidR="00474DB9" w:rsidRDefault="00474DB9" w:rsidP="006A2EC3">
      <w:pPr>
        <w:spacing w:line="480" w:lineRule="auto"/>
        <w:jc w:val="both"/>
        <w:rPr>
          <w:rFonts w:ascii="Arial" w:hAnsi="Arial" w:cs="Arial"/>
          <w:lang w:val="en-GB"/>
        </w:rPr>
      </w:pPr>
    </w:p>
    <w:p w14:paraId="43E5A433" w14:textId="1108C656" w:rsidR="006A2EC3" w:rsidRPr="006A2EC3" w:rsidRDefault="00474DB9" w:rsidP="006A2EC3">
      <w:pPr>
        <w:spacing w:line="480" w:lineRule="auto"/>
        <w:jc w:val="both"/>
        <w:rPr>
          <w:rFonts w:ascii="Arial" w:hAnsi="Arial" w:cs="Arial"/>
          <w:lang w:val="en-GB"/>
        </w:rPr>
      </w:pPr>
      <w:r>
        <w:rPr>
          <w:rFonts w:ascii="Arial" w:hAnsi="Arial" w:cs="Arial"/>
          <w:bCs/>
          <w:i/>
        </w:rPr>
        <w:t>Jackpot Diamonds</w:t>
      </w:r>
      <w:r w:rsidRPr="00474DB9">
        <w:rPr>
          <w:rFonts w:ascii="Arial" w:hAnsi="Arial" w:cs="Arial"/>
          <w:bCs/>
          <w:i/>
        </w:rPr>
        <w:t xml:space="preserve"> </w:t>
      </w:r>
      <w:r>
        <w:rPr>
          <w:rFonts w:ascii="Arial" w:hAnsi="Arial" w:cs="Arial"/>
          <w:bCs/>
          <w:i/>
        </w:rPr>
        <w:t>(</w:t>
      </w:r>
      <w:r w:rsidRPr="00474DB9">
        <w:rPr>
          <w:rFonts w:ascii="Arial" w:hAnsi="Arial" w:cs="Arial"/>
          <w:bCs/>
          <w:i/>
        </w:rPr>
        <w:t>PTY</w:t>
      </w:r>
      <w:r>
        <w:rPr>
          <w:rFonts w:ascii="Arial" w:hAnsi="Arial" w:cs="Arial"/>
          <w:bCs/>
          <w:i/>
        </w:rPr>
        <w:t>)</w:t>
      </w:r>
      <w:r w:rsidRPr="00474DB9">
        <w:rPr>
          <w:rFonts w:ascii="Arial" w:hAnsi="Arial" w:cs="Arial"/>
          <w:bCs/>
          <w:i/>
        </w:rPr>
        <w:t xml:space="preserve"> LTD v. R</w:t>
      </w:r>
      <w:r>
        <w:rPr>
          <w:rFonts w:ascii="Arial" w:hAnsi="Arial" w:cs="Arial"/>
          <w:bCs/>
          <w:i/>
        </w:rPr>
        <w:t>eabetsoe</w:t>
      </w:r>
      <w:r w:rsidRPr="00474DB9">
        <w:rPr>
          <w:rFonts w:ascii="Arial" w:hAnsi="Arial" w:cs="Arial"/>
          <w:bCs/>
          <w:i/>
        </w:rPr>
        <w:t xml:space="preserve"> M</w:t>
      </w:r>
      <w:r>
        <w:rPr>
          <w:rFonts w:ascii="Arial" w:hAnsi="Arial" w:cs="Arial"/>
          <w:bCs/>
          <w:i/>
        </w:rPr>
        <w:t xml:space="preserve">otsepe Diamonds and Minerals (PTY) LTD </w:t>
      </w:r>
      <w:r w:rsidRPr="00DF5090">
        <w:rPr>
          <w:rFonts w:ascii="Arial" w:hAnsi="Arial" w:cs="Arial"/>
          <w:bCs/>
        </w:rPr>
        <w:t>(</w:t>
      </w:r>
      <w:r w:rsidR="00DF5090" w:rsidRPr="00DF5090">
        <w:rPr>
          <w:rFonts w:ascii="Arial" w:hAnsi="Arial" w:cs="Arial"/>
          <w:bCs/>
        </w:rPr>
        <w:t xml:space="preserve">Case </w:t>
      </w:r>
      <w:r w:rsidR="00DF5090">
        <w:rPr>
          <w:rFonts w:ascii="Arial" w:hAnsi="Arial" w:cs="Arial"/>
          <w:bCs/>
        </w:rPr>
        <w:t>N</w:t>
      </w:r>
      <w:r w:rsidR="00DF5090" w:rsidRPr="00DF5090">
        <w:rPr>
          <w:rFonts w:ascii="Arial" w:hAnsi="Arial" w:cs="Arial"/>
          <w:bCs/>
        </w:rPr>
        <w:t xml:space="preserve">o: </w:t>
      </w:r>
      <w:r w:rsidRPr="00DF5090">
        <w:rPr>
          <w:rFonts w:ascii="Arial" w:hAnsi="Arial" w:cs="Arial"/>
          <w:bCs/>
        </w:rPr>
        <w:t>2022-005679</w:t>
      </w:r>
      <w:r w:rsidRPr="00DF5090">
        <w:rPr>
          <w:rFonts w:ascii="Arial" w:hAnsi="Arial" w:cs="Arial"/>
          <w:lang w:val="en-GB"/>
        </w:rPr>
        <w:t>)</w:t>
      </w:r>
      <w:r>
        <w:rPr>
          <w:rFonts w:ascii="Arial" w:hAnsi="Arial" w:cs="Arial"/>
          <w:lang w:val="en-GB"/>
        </w:rPr>
        <w:t xml:space="preserve"> </w:t>
      </w:r>
      <w:r w:rsidRPr="00474DB9">
        <w:rPr>
          <w:rFonts w:ascii="Arial" w:hAnsi="Arial" w:cs="Arial"/>
          <w:lang w:val="en-GB"/>
        </w:rPr>
        <w:t xml:space="preserve">[2023] ZAGPJHC </w:t>
      </w:r>
      <w:r>
        <w:rPr>
          <w:rFonts w:ascii="Arial" w:hAnsi="Arial" w:cs="Arial"/>
          <w:lang w:val="en-GB"/>
        </w:rPr>
        <w:t>506 (18</w:t>
      </w:r>
      <w:r w:rsidRPr="00474DB9">
        <w:rPr>
          <w:rFonts w:ascii="Arial" w:hAnsi="Arial" w:cs="Arial"/>
          <w:lang w:val="en-GB"/>
        </w:rPr>
        <w:t xml:space="preserve"> March 2023).</w:t>
      </w:r>
      <w:r w:rsidRPr="00474DB9">
        <w:rPr>
          <w:rFonts w:ascii="Arial" w:hAnsi="Arial" w:cs="Arial"/>
          <w:lang w:val="en-GB"/>
        </w:rPr>
        <w:cr/>
      </w:r>
      <w:r w:rsidR="005C58A9">
        <w:rPr>
          <w:rFonts w:ascii="Arial" w:hAnsi="Arial" w:cs="Arial"/>
          <w:b/>
          <w:lang w:val="en-GB"/>
        </w:rPr>
        <w:pict w14:anchorId="74A69901">
          <v:rect id="_x0000_i1025" style="width:0;height:1.5pt" o:hralign="center" o:hrstd="t" o:hr="t" fillcolor="#a0a0a0" stroked="f"/>
        </w:pict>
      </w:r>
    </w:p>
    <w:p w14:paraId="5BD910F1" w14:textId="77777777" w:rsidR="006A2EC3" w:rsidRPr="006A2EC3" w:rsidRDefault="006A2EC3" w:rsidP="006A2EC3">
      <w:pPr>
        <w:spacing w:line="480" w:lineRule="auto"/>
        <w:jc w:val="center"/>
        <w:rPr>
          <w:rFonts w:ascii="Arial" w:hAnsi="Arial" w:cs="Arial"/>
          <w:b/>
          <w:lang w:val="en-GB"/>
        </w:rPr>
      </w:pPr>
      <w:r w:rsidRPr="006A2EC3">
        <w:rPr>
          <w:rFonts w:ascii="Arial" w:hAnsi="Arial" w:cs="Arial"/>
          <w:b/>
          <w:lang w:val="en-GB"/>
        </w:rPr>
        <w:t>JUDGMENT</w:t>
      </w:r>
    </w:p>
    <w:p w14:paraId="316BD447" w14:textId="77777777" w:rsidR="006A2EC3" w:rsidRPr="006A2EC3" w:rsidRDefault="005C58A9" w:rsidP="006A2EC3">
      <w:pPr>
        <w:spacing w:line="480" w:lineRule="auto"/>
        <w:jc w:val="both"/>
        <w:rPr>
          <w:rFonts w:ascii="Arial" w:hAnsi="Arial" w:cs="Arial"/>
          <w:b/>
          <w:lang w:val="en-GB"/>
        </w:rPr>
      </w:pPr>
      <w:r>
        <w:rPr>
          <w:rFonts w:ascii="Arial" w:hAnsi="Arial" w:cs="Arial"/>
          <w:b/>
          <w:lang w:val="en-GB"/>
        </w:rPr>
        <w:pict w14:anchorId="3648A4B7">
          <v:rect id="_x0000_i1026" style="width:0;height:1.5pt" o:hralign="center" o:hrstd="t" o:hr="t" fillcolor="#a0a0a0" stroked="f"/>
        </w:pict>
      </w:r>
    </w:p>
    <w:p w14:paraId="788F02C7" w14:textId="39CFECEB" w:rsidR="006A2EC3" w:rsidRDefault="006A2EC3" w:rsidP="006A2EC3">
      <w:pPr>
        <w:spacing w:line="480" w:lineRule="auto"/>
        <w:jc w:val="both"/>
        <w:rPr>
          <w:rFonts w:ascii="Arial" w:hAnsi="Arial" w:cs="Arial"/>
          <w:b/>
          <w:lang w:val="en-GB"/>
        </w:rPr>
      </w:pPr>
      <w:r w:rsidRPr="006A2EC3">
        <w:rPr>
          <w:rFonts w:ascii="Arial" w:hAnsi="Arial" w:cs="Arial"/>
          <w:b/>
          <w:lang w:val="en-GB"/>
        </w:rPr>
        <w:t>THOMPSON AJ</w:t>
      </w:r>
    </w:p>
    <w:p w14:paraId="143A8BE6" w14:textId="77777777" w:rsidR="00474DB9" w:rsidRDefault="00474DB9" w:rsidP="00EC0B8F">
      <w:pPr>
        <w:spacing w:line="480" w:lineRule="auto"/>
        <w:jc w:val="both"/>
        <w:rPr>
          <w:rFonts w:ascii="Arial" w:hAnsi="Arial" w:cs="Arial"/>
          <w:b/>
          <w:lang w:val="en-GB"/>
        </w:rPr>
      </w:pPr>
    </w:p>
    <w:p w14:paraId="5B118E3E" w14:textId="0CB198AB" w:rsidR="006A2EC3" w:rsidRPr="006A2EC3" w:rsidRDefault="006A2EC3" w:rsidP="00EC0B8F">
      <w:pPr>
        <w:spacing w:line="480" w:lineRule="auto"/>
        <w:jc w:val="both"/>
        <w:rPr>
          <w:rFonts w:ascii="Arial" w:hAnsi="Arial" w:cs="Arial"/>
          <w:u w:val="single"/>
          <w:lang w:val="en-US"/>
        </w:rPr>
      </w:pPr>
      <w:r w:rsidRPr="006A2EC3">
        <w:rPr>
          <w:rFonts w:ascii="Arial" w:hAnsi="Arial" w:cs="Arial"/>
          <w:b/>
          <w:u w:val="single"/>
          <w:lang w:val="en-GB"/>
        </w:rPr>
        <w:lastRenderedPageBreak/>
        <w:t>Introduction</w:t>
      </w:r>
    </w:p>
    <w:p w14:paraId="561BD298" w14:textId="732F7F0C" w:rsidR="00B05ACB" w:rsidRPr="00170FA4" w:rsidRDefault="00170FA4" w:rsidP="00170FA4">
      <w:pPr>
        <w:spacing w:line="480" w:lineRule="auto"/>
        <w:ind w:left="851" w:hanging="851"/>
        <w:jc w:val="both"/>
        <w:rPr>
          <w:rFonts w:ascii="Arial" w:hAnsi="Arial" w:cs="Arial"/>
          <w:lang w:val="en-US"/>
        </w:rPr>
      </w:pPr>
      <w:r w:rsidRPr="006A2EC3">
        <w:rPr>
          <w:rFonts w:ascii="Arial" w:hAnsi="Arial" w:cs="Arial"/>
          <w:lang w:val="en-US"/>
        </w:rPr>
        <w:t>[1]</w:t>
      </w:r>
      <w:r w:rsidRPr="006A2EC3">
        <w:rPr>
          <w:rFonts w:ascii="Arial" w:hAnsi="Arial" w:cs="Arial"/>
          <w:lang w:val="en-US"/>
        </w:rPr>
        <w:tab/>
      </w:r>
      <w:r w:rsidR="00152D62" w:rsidRPr="00170FA4">
        <w:rPr>
          <w:rFonts w:ascii="Arial" w:hAnsi="Arial" w:cs="Arial"/>
          <w:lang w:val="en-US"/>
        </w:rPr>
        <w:t>The controversy in this matter is whether a valid agreement exists between the applicant and respondent.  The following are the salient facts relevant to this judgment:</w:t>
      </w:r>
    </w:p>
    <w:p w14:paraId="10E51B29" w14:textId="5F2EC46B" w:rsidR="00152D62" w:rsidRPr="006A2EC3" w:rsidRDefault="00152D62" w:rsidP="00EC0B8F">
      <w:pPr>
        <w:pStyle w:val="ListParagraph"/>
        <w:spacing w:line="480" w:lineRule="auto"/>
        <w:ind w:left="851"/>
        <w:jc w:val="both"/>
        <w:rPr>
          <w:rFonts w:ascii="Arial" w:hAnsi="Arial" w:cs="Arial"/>
          <w:lang w:val="en-US"/>
        </w:rPr>
      </w:pPr>
    </w:p>
    <w:p w14:paraId="20322F5D" w14:textId="6BC921D3" w:rsidR="00152D62" w:rsidRPr="00170FA4" w:rsidRDefault="00170FA4" w:rsidP="00170FA4">
      <w:pPr>
        <w:spacing w:line="480" w:lineRule="auto"/>
        <w:ind w:left="1431" w:hanging="580"/>
        <w:jc w:val="both"/>
        <w:rPr>
          <w:rFonts w:ascii="Arial" w:hAnsi="Arial" w:cs="Arial"/>
          <w:lang w:val="en-US"/>
        </w:rPr>
      </w:pPr>
      <w:r w:rsidRPr="006A2EC3">
        <w:rPr>
          <w:rFonts w:ascii="Arial" w:hAnsi="Arial" w:cs="Arial"/>
          <w:lang w:val="en-US"/>
        </w:rPr>
        <w:t>1.1</w:t>
      </w:r>
      <w:r w:rsidRPr="006A2EC3">
        <w:rPr>
          <w:rFonts w:ascii="Arial" w:hAnsi="Arial" w:cs="Arial"/>
          <w:lang w:val="en-US"/>
        </w:rPr>
        <w:tab/>
      </w:r>
      <w:r w:rsidR="00152D62" w:rsidRPr="00170FA4">
        <w:rPr>
          <w:rFonts w:ascii="Arial" w:hAnsi="Arial" w:cs="Arial"/>
          <w:lang w:val="en-US"/>
        </w:rPr>
        <w:t xml:space="preserve">On 16 June 2020, the </w:t>
      </w:r>
      <w:r w:rsidRPr="00170FA4">
        <w:rPr>
          <w:rFonts w:ascii="Arial" w:hAnsi="Arial" w:cs="Arial"/>
          <w:lang w:val="en-US"/>
        </w:rPr>
        <w:t xml:space="preserve"> </w:t>
      </w:r>
      <w:r w:rsidR="00152D62" w:rsidRPr="00170FA4">
        <w:rPr>
          <w:rFonts w:ascii="Arial" w:hAnsi="Arial" w:cs="Arial"/>
          <w:lang w:val="en-US"/>
        </w:rPr>
        <w:t>fer</w:t>
      </w:r>
      <w:bookmarkStart w:id="0" w:name="_GoBack"/>
      <w:bookmarkEnd w:id="0"/>
      <w:r w:rsidR="00152D62" w:rsidRPr="00170FA4">
        <w:rPr>
          <w:rFonts w:ascii="Arial" w:hAnsi="Arial" w:cs="Arial"/>
          <w:lang w:val="en-US"/>
        </w:rPr>
        <w:t>ence I will refer to this herein after merely as “</w:t>
      </w:r>
      <w:r w:rsidR="00152D62" w:rsidRPr="00170FA4">
        <w:rPr>
          <w:rFonts w:ascii="Arial" w:hAnsi="Arial" w:cs="Arial"/>
          <w:i/>
          <w:iCs/>
          <w:lang w:val="en-US"/>
        </w:rPr>
        <w:t>the agreement</w:t>
      </w:r>
      <w:r w:rsidR="00152D62" w:rsidRPr="00170FA4">
        <w:rPr>
          <w:rFonts w:ascii="Arial" w:hAnsi="Arial" w:cs="Arial"/>
          <w:lang w:val="en-US"/>
        </w:rPr>
        <w:t xml:space="preserve">”.  In terms of the agreement, the applicant would fund certain litigation on behalf of the respondent presently pending </w:t>
      </w:r>
      <w:r w:rsidR="005A4757" w:rsidRPr="00170FA4">
        <w:rPr>
          <w:rFonts w:ascii="Arial" w:hAnsi="Arial" w:cs="Arial"/>
          <w:lang w:val="en-US"/>
        </w:rPr>
        <w:t xml:space="preserve">in </w:t>
      </w:r>
      <w:r w:rsidR="00152D62" w:rsidRPr="00170FA4">
        <w:rPr>
          <w:rFonts w:ascii="Arial" w:hAnsi="Arial" w:cs="Arial"/>
          <w:lang w:val="en-US"/>
        </w:rPr>
        <w:t>the Gauteng Division, Pretoria</w:t>
      </w:r>
      <w:r w:rsidR="005A4757" w:rsidRPr="00170FA4">
        <w:rPr>
          <w:rFonts w:ascii="Arial" w:hAnsi="Arial" w:cs="Arial"/>
          <w:lang w:val="en-US"/>
        </w:rPr>
        <w:t xml:space="preserve"> under case number 36103/2020.</w:t>
      </w:r>
      <w:r w:rsidR="00152D62" w:rsidRPr="00170FA4">
        <w:rPr>
          <w:rFonts w:ascii="Arial" w:hAnsi="Arial" w:cs="Arial"/>
          <w:lang w:val="en-US"/>
        </w:rPr>
        <w:t xml:space="preserve">  This litigation is between the respondent and</w:t>
      </w:r>
      <w:r w:rsidR="008A0840" w:rsidRPr="00170FA4">
        <w:rPr>
          <w:rFonts w:ascii="Arial" w:hAnsi="Arial" w:cs="Arial"/>
          <w:lang w:val="en-US"/>
        </w:rPr>
        <w:t xml:space="preserve">, </w:t>
      </w:r>
      <w:r w:rsidR="008A0840" w:rsidRPr="00170FA4">
        <w:rPr>
          <w:rFonts w:ascii="Arial" w:hAnsi="Arial" w:cs="Arial"/>
          <w:i/>
          <w:iCs/>
          <w:lang w:val="en-US"/>
        </w:rPr>
        <w:t>inter alia</w:t>
      </w:r>
      <w:r w:rsidR="008A0840" w:rsidRPr="00170FA4">
        <w:rPr>
          <w:rFonts w:ascii="Arial" w:hAnsi="Arial" w:cs="Arial"/>
          <w:lang w:val="en-US"/>
        </w:rPr>
        <w:t>,</w:t>
      </w:r>
      <w:r w:rsidR="00152D62" w:rsidRPr="00170FA4">
        <w:rPr>
          <w:rFonts w:ascii="Arial" w:hAnsi="Arial" w:cs="Arial"/>
          <w:lang w:val="en-US"/>
        </w:rPr>
        <w:t xml:space="preserve"> the Minister of </w:t>
      </w:r>
      <w:r w:rsidR="008A0840" w:rsidRPr="00170FA4">
        <w:rPr>
          <w:rFonts w:ascii="Arial" w:hAnsi="Arial" w:cs="Arial"/>
          <w:lang w:val="en-US"/>
        </w:rPr>
        <w:t>Mineral Resources and Energy (“</w:t>
      </w:r>
      <w:r w:rsidR="008A0840" w:rsidRPr="00170FA4">
        <w:rPr>
          <w:rFonts w:ascii="Arial" w:hAnsi="Arial" w:cs="Arial"/>
          <w:i/>
          <w:iCs/>
          <w:lang w:val="en-US"/>
        </w:rPr>
        <w:t>the Minister</w:t>
      </w:r>
      <w:r w:rsidR="008A0840" w:rsidRPr="00170FA4">
        <w:rPr>
          <w:rFonts w:ascii="Arial" w:hAnsi="Arial" w:cs="Arial"/>
          <w:lang w:val="en-US"/>
        </w:rPr>
        <w:t>”).  The gist of this litigation pertains to certain mining rights which the respondent is laying claim to.</w:t>
      </w:r>
    </w:p>
    <w:p w14:paraId="34B212AD" w14:textId="0E0B8DD9" w:rsidR="008A0840" w:rsidRPr="006A2EC3" w:rsidRDefault="008A0840" w:rsidP="00EC0B8F">
      <w:pPr>
        <w:pStyle w:val="ListParagraph"/>
        <w:spacing w:line="480" w:lineRule="auto"/>
        <w:ind w:left="1431"/>
        <w:jc w:val="both"/>
        <w:rPr>
          <w:rFonts w:ascii="Arial" w:hAnsi="Arial" w:cs="Arial"/>
          <w:lang w:val="en-US"/>
        </w:rPr>
      </w:pPr>
    </w:p>
    <w:p w14:paraId="1267DC91" w14:textId="17D19959" w:rsidR="008A0840" w:rsidRPr="00170FA4" w:rsidRDefault="00170FA4" w:rsidP="00170FA4">
      <w:pPr>
        <w:spacing w:line="480" w:lineRule="auto"/>
        <w:ind w:left="1431" w:hanging="580"/>
        <w:jc w:val="both"/>
        <w:rPr>
          <w:rFonts w:ascii="Arial" w:hAnsi="Arial" w:cs="Arial"/>
          <w:lang w:val="en-US"/>
        </w:rPr>
      </w:pPr>
      <w:r w:rsidRPr="006A2EC3">
        <w:rPr>
          <w:rFonts w:ascii="Arial" w:hAnsi="Arial" w:cs="Arial"/>
          <w:lang w:val="en-US"/>
        </w:rPr>
        <w:t>1.2</w:t>
      </w:r>
      <w:r w:rsidRPr="006A2EC3">
        <w:rPr>
          <w:rFonts w:ascii="Arial" w:hAnsi="Arial" w:cs="Arial"/>
          <w:lang w:val="en-US"/>
        </w:rPr>
        <w:tab/>
      </w:r>
      <w:r w:rsidR="008A0840" w:rsidRPr="00170FA4">
        <w:rPr>
          <w:rFonts w:ascii="Arial" w:hAnsi="Arial" w:cs="Arial"/>
          <w:lang w:val="en-US"/>
        </w:rPr>
        <w:t>The agreement provides that if the litigation is successful in favour of the respondent, the parties will cause a new company to be incorporated.  For ease of reference I will refer to this new company as “</w:t>
      </w:r>
      <w:r w:rsidR="008A0840" w:rsidRPr="00170FA4">
        <w:rPr>
          <w:rFonts w:ascii="Arial" w:hAnsi="Arial" w:cs="Arial"/>
          <w:i/>
          <w:iCs/>
          <w:lang w:val="en-US"/>
        </w:rPr>
        <w:t>the newco</w:t>
      </w:r>
      <w:r w:rsidR="008A0840" w:rsidRPr="00170FA4">
        <w:rPr>
          <w:rFonts w:ascii="Arial" w:hAnsi="Arial" w:cs="Arial"/>
          <w:lang w:val="en-US"/>
        </w:rPr>
        <w:t>”.  The prospecting permit (in other words the mining rights) will be transferred into the name of the newco for the purpose of exploration, mining and processing of diamonds.  (I pause to mention that this aspect of the agreement is contained in clause 3.1).</w:t>
      </w:r>
    </w:p>
    <w:p w14:paraId="7E315C9B" w14:textId="77777777" w:rsidR="008A0840" w:rsidRPr="006A2EC3" w:rsidRDefault="008A0840" w:rsidP="00EC0B8F">
      <w:pPr>
        <w:pStyle w:val="ListParagraph"/>
        <w:spacing w:line="480" w:lineRule="auto"/>
        <w:jc w:val="both"/>
        <w:rPr>
          <w:rFonts w:ascii="Arial" w:hAnsi="Arial" w:cs="Arial"/>
          <w:lang w:val="en-US"/>
        </w:rPr>
      </w:pPr>
    </w:p>
    <w:p w14:paraId="2F4827F3" w14:textId="6B600A1B" w:rsidR="008A0840" w:rsidRPr="00170FA4" w:rsidRDefault="00170FA4" w:rsidP="00170FA4">
      <w:pPr>
        <w:spacing w:line="480" w:lineRule="auto"/>
        <w:ind w:left="1431" w:hanging="580"/>
        <w:jc w:val="both"/>
        <w:rPr>
          <w:rFonts w:ascii="Arial" w:hAnsi="Arial" w:cs="Arial"/>
          <w:lang w:val="en-US"/>
        </w:rPr>
      </w:pPr>
      <w:r w:rsidRPr="006A2EC3">
        <w:rPr>
          <w:rFonts w:ascii="Arial" w:hAnsi="Arial" w:cs="Arial"/>
          <w:lang w:val="en-US"/>
        </w:rPr>
        <w:t>1.3</w:t>
      </w:r>
      <w:r w:rsidRPr="006A2EC3">
        <w:rPr>
          <w:rFonts w:ascii="Arial" w:hAnsi="Arial" w:cs="Arial"/>
          <w:lang w:val="en-US"/>
        </w:rPr>
        <w:tab/>
      </w:r>
      <w:r w:rsidR="008A0840" w:rsidRPr="00170FA4">
        <w:rPr>
          <w:rFonts w:ascii="Arial" w:hAnsi="Arial" w:cs="Arial"/>
          <w:lang w:val="en-US"/>
        </w:rPr>
        <w:t>The percentage shareholding in the newco is agreed to and set out as 70% in favour of the applicant and 30% in favour of the respondent.</w:t>
      </w:r>
    </w:p>
    <w:p w14:paraId="34BABCBA" w14:textId="77777777" w:rsidR="008A0840" w:rsidRPr="006A2EC3" w:rsidRDefault="008A0840" w:rsidP="00EC0B8F">
      <w:pPr>
        <w:pStyle w:val="ListParagraph"/>
        <w:spacing w:line="480" w:lineRule="auto"/>
        <w:jc w:val="both"/>
        <w:rPr>
          <w:rFonts w:ascii="Arial" w:hAnsi="Arial" w:cs="Arial"/>
          <w:lang w:val="en-US"/>
        </w:rPr>
      </w:pPr>
    </w:p>
    <w:p w14:paraId="491E9158" w14:textId="0EE447AE" w:rsidR="008A0840" w:rsidRPr="00170FA4" w:rsidRDefault="00170FA4" w:rsidP="00170FA4">
      <w:pPr>
        <w:spacing w:line="480" w:lineRule="auto"/>
        <w:ind w:left="1431" w:hanging="580"/>
        <w:jc w:val="both"/>
        <w:rPr>
          <w:rFonts w:ascii="Arial" w:hAnsi="Arial" w:cs="Arial"/>
          <w:lang w:val="en-US"/>
        </w:rPr>
      </w:pPr>
      <w:r w:rsidRPr="006A2EC3">
        <w:rPr>
          <w:rFonts w:ascii="Arial" w:hAnsi="Arial" w:cs="Arial"/>
          <w:lang w:val="en-US"/>
        </w:rPr>
        <w:lastRenderedPageBreak/>
        <w:t>1.4</w:t>
      </w:r>
      <w:r w:rsidRPr="006A2EC3">
        <w:rPr>
          <w:rFonts w:ascii="Arial" w:hAnsi="Arial" w:cs="Arial"/>
          <w:lang w:val="en-US"/>
        </w:rPr>
        <w:tab/>
      </w:r>
      <w:r w:rsidR="008A0840" w:rsidRPr="00170FA4">
        <w:rPr>
          <w:rFonts w:ascii="Arial" w:hAnsi="Arial" w:cs="Arial"/>
          <w:lang w:val="en-US"/>
        </w:rPr>
        <w:t>The applicant will be the sole contractor in respect of the exploration, mining and processing of diamonds.  (This aspect is contained in clause 3.4 of the agreement).</w:t>
      </w:r>
    </w:p>
    <w:p w14:paraId="1FC815CB" w14:textId="77777777" w:rsidR="004D04E5" w:rsidRPr="006A2EC3" w:rsidRDefault="004D04E5" w:rsidP="00EC0B8F">
      <w:pPr>
        <w:pStyle w:val="ListParagraph"/>
        <w:spacing w:line="480" w:lineRule="auto"/>
        <w:jc w:val="both"/>
        <w:rPr>
          <w:rFonts w:ascii="Arial" w:hAnsi="Arial" w:cs="Arial"/>
          <w:lang w:val="en-US"/>
        </w:rPr>
      </w:pPr>
    </w:p>
    <w:p w14:paraId="76225FF4" w14:textId="35755C5C" w:rsidR="004D04E5" w:rsidRPr="00170FA4" w:rsidRDefault="00170FA4" w:rsidP="00170FA4">
      <w:pPr>
        <w:spacing w:line="480" w:lineRule="auto"/>
        <w:ind w:left="1431" w:hanging="580"/>
        <w:jc w:val="both"/>
        <w:rPr>
          <w:rFonts w:ascii="Arial" w:hAnsi="Arial" w:cs="Arial"/>
          <w:lang w:val="en-US"/>
        </w:rPr>
      </w:pPr>
      <w:r w:rsidRPr="006A2EC3">
        <w:rPr>
          <w:rFonts w:ascii="Arial" w:hAnsi="Arial" w:cs="Arial"/>
          <w:lang w:val="en-US"/>
        </w:rPr>
        <w:t>1.5</w:t>
      </w:r>
      <w:r w:rsidRPr="006A2EC3">
        <w:rPr>
          <w:rFonts w:ascii="Arial" w:hAnsi="Arial" w:cs="Arial"/>
          <w:lang w:val="en-US"/>
        </w:rPr>
        <w:tab/>
      </w:r>
      <w:r w:rsidR="00C4247E" w:rsidRPr="00170FA4">
        <w:rPr>
          <w:rFonts w:ascii="Arial" w:hAnsi="Arial" w:cs="Arial"/>
          <w:lang w:val="en-US"/>
        </w:rPr>
        <w:t>The diamonds recovered in terms of the agreement will be put out on a tender basis to the highest bidder and the net income thereof will be paid on a 15% basis to the respondent and 85% basis to the applicant.</w:t>
      </w:r>
    </w:p>
    <w:p w14:paraId="1D5485C1" w14:textId="77777777" w:rsidR="00C4247E" w:rsidRPr="006A2EC3" w:rsidRDefault="00C4247E" w:rsidP="00EC0B8F">
      <w:pPr>
        <w:pStyle w:val="ListParagraph"/>
        <w:spacing w:line="480" w:lineRule="auto"/>
        <w:jc w:val="both"/>
        <w:rPr>
          <w:rFonts w:ascii="Arial" w:hAnsi="Arial" w:cs="Arial"/>
          <w:lang w:val="en-US"/>
        </w:rPr>
      </w:pPr>
    </w:p>
    <w:p w14:paraId="0366E464" w14:textId="13101188" w:rsidR="00C4247E" w:rsidRPr="006A2EC3" w:rsidRDefault="00C4247E" w:rsidP="00EC0B8F">
      <w:pPr>
        <w:spacing w:line="480" w:lineRule="auto"/>
        <w:ind w:left="720"/>
        <w:jc w:val="both"/>
        <w:rPr>
          <w:rFonts w:ascii="Arial" w:hAnsi="Arial" w:cs="Arial"/>
          <w:lang w:val="en-US"/>
        </w:rPr>
      </w:pPr>
      <w:r w:rsidRPr="006A2EC3">
        <w:rPr>
          <w:rFonts w:ascii="Arial" w:hAnsi="Arial" w:cs="Arial"/>
          <w:lang w:val="en-US"/>
        </w:rPr>
        <w:t>There is also an addendum to the agreement.  Nothing material to this matter turns on the addendum.</w:t>
      </w:r>
      <w:r w:rsidR="00B3302F" w:rsidRPr="006A2EC3">
        <w:rPr>
          <w:rFonts w:ascii="Arial" w:hAnsi="Arial" w:cs="Arial"/>
          <w:lang w:val="en-US"/>
        </w:rPr>
        <w:t xml:space="preserve">  For clarity purposes, where I refer to the agreement herein after, it includes the addendum.</w:t>
      </w:r>
    </w:p>
    <w:p w14:paraId="03CB80B5" w14:textId="77777777" w:rsidR="00C4247E" w:rsidRPr="006A2EC3" w:rsidRDefault="00C4247E" w:rsidP="00EC0B8F">
      <w:pPr>
        <w:spacing w:line="480" w:lineRule="auto"/>
        <w:ind w:left="720"/>
        <w:jc w:val="both"/>
        <w:rPr>
          <w:rFonts w:ascii="Arial" w:hAnsi="Arial" w:cs="Arial"/>
          <w:lang w:val="en-US"/>
        </w:rPr>
      </w:pPr>
    </w:p>
    <w:p w14:paraId="1A3C14BB" w14:textId="3B6C9E97" w:rsidR="00152D62" w:rsidRPr="00170FA4" w:rsidRDefault="00170FA4" w:rsidP="00170FA4">
      <w:pPr>
        <w:spacing w:line="480" w:lineRule="auto"/>
        <w:ind w:left="851" w:hanging="851"/>
        <w:jc w:val="both"/>
        <w:rPr>
          <w:rFonts w:ascii="Arial" w:hAnsi="Arial" w:cs="Arial"/>
          <w:lang w:val="en-US"/>
        </w:rPr>
      </w:pPr>
      <w:r w:rsidRPr="006A2EC3">
        <w:rPr>
          <w:rFonts w:ascii="Arial" w:hAnsi="Arial" w:cs="Arial"/>
          <w:lang w:val="en-US"/>
        </w:rPr>
        <w:t>[2]</w:t>
      </w:r>
      <w:r w:rsidRPr="006A2EC3">
        <w:rPr>
          <w:rFonts w:ascii="Arial" w:hAnsi="Arial" w:cs="Arial"/>
          <w:lang w:val="en-US"/>
        </w:rPr>
        <w:tab/>
      </w:r>
      <w:r w:rsidR="00C4247E" w:rsidRPr="00170FA4">
        <w:rPr>
          <w:rFonts w:ascii="Arial" w:hAnsi="Arial" w:cs="Arial"/>
          <w:lang w:val="en-US"/>
        </w:rPr>
        <w:t>It is common cause that the agreement was entered into on the terms as set out in the agreement.</w:t>
      </w:r>
    </w:p>
    <w:p w14:paraId="5A422B0D" w14:textId="4139E1B6" w:rsidR="00C4247E" w:rsidRPr="006A2EC3" w:rsidRDefault="00C4247E" w:rsidP="00EC0B8F">
      <w:pPr>
        <w:pStyle w:val="ListParagraph"/>
        <w:spacing w:line="480" w:lineRule="auto"/>
        <w:ind w:left="851"/>
        <w:jc w:val="both"/>
        <w:rPr>
          <w:rFonts w:ascii="Arial" w:hAnsi="Arial" w:cs="Arial"/>
          <w:lang w:val="en-US"/>
        </w:rPr>
      </w:pPr>
    </w:p>
    <w:p w14:paraId="3B32EF30" w14:textId="4FCDE68D" w:rsidR="00C4247E" w:rsidRPr="00170FA4" w:rsidRDefault="00170FA4" w:rsidP="00170FA4">
      <w:pPr>
        <w:spacing w:line="480" w:lineRule="auto"/>
        <w:ind w:left="851" w:hanging="851"/>
        <w:jc w:val="both"/>
        <w:rPr>
          <w:rFonts w:ascii="Arial" w:hAnsi="Arial" w:cs="Arial"/>
          <w:lang w:val="en-US"/>
        </w:rPr>
      </w:pPr>
      <w:r w:rsidRPr="006A2EC3">
        <w:rPr>
          <w:rFonts w:ascii="Arial" w:hAnsi="Arial" w:cs="Arial"/>
          <w:lang w:val="en-US"/>
        </w:rPr>
        <w:t>[3]</w:t>
      </w:r>
      <w:r w:rsidRPr="006A2EC3">
        <w:rPr>
          <w:rFonts w:ascii="Arial" w:hAnsi="Arial" w:cs="Arial"/>
          <w:lang w:val="en-US"/>
        </w:rPr>
        <w:tab/>
      </w:r>
      <w:r w:rsidR="00C4247E" w:rsidRPr="00170FA4">
        <w:rPr>
          <w:rFonts w:ascii="Arial" w:hAnsi="Arial" w:cs="Arial"/>
          <w:lang w:val="en-US"/>
        </w:rPr>
        <w:t>On 17 November 2021, the respondent by way of a letter by its attorneys, sought to resile from the agreement on the basis that the agreement is void alternatively voidable.  At this juncture the respondent relied thereon that the agreement does not have a provision allowing for its amendment or cancellation.  Certain other complaints relating to the agreement was also raised in this letter, none of which are relevant to this application.  The respondent’s attorneys indicated that it was their instructions to launch a High Court application to have the agreement set aside.  No such application was ever brought by the respondent.</w:t>
      </w:r>
    </w:p>
    <w:p w14:paraId="3F0FF6F3" w14:textId="77777777" w:rsidR="00C4247E" w:rsidRPr="006A2EC3" w:rsidRDefault="00C4247E" w:rsidP="00EC0B8F">
      <w:pPr>
        <w:pStyle w:val="ListParagraph"/>
        <w:spacing w:line="480" w:lineRule="auto"/>
        <w:jc w:val="both"/>
        <w:rPr>
          <w:rFonts w:ascii="Arial" w:hAnsi="Arial" w:cs="Arial"/>
          <w:lang w:val="en-US"/>
        </w:rPr>
      </w:pPr>
    </w:p>
    <w:p w14:paraId="5A927143" w14:textId="5DD50A3F" w:rsidR="00C4247E" w:rsidRPr="00170FA4" w:rsidRDefault="00170FA4" w:rsidP="00170FA4">
      <w:pPr>
        <w:spacing w:line="480" w:lineRule="auto"/>
        <w:ind w:left="851" w:hanging="851"/>
        <w:jc w:val="both"/>
        <w:rPr>
          <w:rFonts w:ascii="Arial" w:hAnsi="Arial" w:cs="Arial"/>
          <w:lang w:val="en-US"/>
        </w:rPr>
      </w:pPr>
      <w:r w:rsidRPr="006A2EC3">
        <w:rPr>
          <w:rFonts w:ascii="Arial" w:hAnsi="Arial" w:cs="Arial"/>
          <w:lang w:val="en-US"/>
        </w:rPr>
        <w:lastRenderedPageBreak/>
        <w:t>[4]</w:t>
      </w:r>
      <w:r w:rsidRPr="006A2EC3">
        <w:rPr>
          <w:rFonts w:ascii="Arial" w:hAnsi="Arial" w:cs="Arial"/>
          <w:lang w:val="en-US"/>
        </w:rPr>
        <w:tab/>
      </w:r>
      <w:r w:rsidR="00C4247E" w:rsidRPr="00170FA4">
        <w:rPr>
          <w:rFonts w:ascii="Arial" w:hAnsi="Arial" w:cs="Arial"/>
          <w:lang w:val="en-US"/>
        </w:rPr>
        <w:t>Attempts were made to resolve the dispute raised at the instance of the respondent extra-curially and by 7 March 2022 the dispute had not been resolved.  At this juncture in time, the applicant’s attorneys suggested that the parties agree to have the dispute resolved by way of arbitration.</w:t>
      </w:r>
      <w:r w:rsidR="00B3302F" w:rsidRPr="00170FA4">
        <w:rPr>
          <w:rFonts w:ascii="Arial" w:hAnsi="Arial" w:cs="Arial"/>
          <w:lang w:val="en-US"/>
        </w:rPr>
        <w:t xml:space="preserve">  In principle there was an agreement that the dispute be resolved by way of arbitration, which came to nought as the parties could not agree on the identity of an arbitrator or the method for holding the arbitration.  As a result, the applicant launched these present proceedings, seeking no more than an order declaring the agreement valid.</w:t>
      </w:r>
    </w:p>
    <w:p w14:paraId="6D9C6F45" w14:textId="77777777" w:rsidR="00B3302F" w:rsidRPr="006A2EC3" w:rsidRDefault="00B3302F" w:rsidP="00EC0B8F">
      <w:pPr>
        <w:pStyle w:val="ListParagraph"/>
        <w:spacing w:line="480" w:lineRule="auto"/>
        <w:jc w:val="both"/>
        <w:rPr>
          <w:rFonts w:ascii="Arial" w:hAnsi="Arial" w:cs="Arial"/>
          <w:lang w:val="en-US"/>
        </w:rPr>
      </w:pPr>
    </w:p>
    <w:p w14:paraId="62BFA7FD" w14:textId="753EFB2D" w:rsidR="00B3302F" w:rsidRPr="00170FA4" w:rsidRDefault="00170FA4" w:rsidP="00170FA4">
      <w:pPr>
        <w:spacing w:line="480" w:lineRule="auto"/>
        <w:ind w:left="851" w:hanging="851"/>
        <w:jc w:val="both"/>
        <w:rPr>
          <w:rFonts w:ascii="Arial" w:hAnsi="Arial" w:cs="Arial"/>
          <w:lang w:val="en-US"/>
        </w:rPr>
      </w:pPr>
      <w:r w:rsidRPr="006A2EC3">
        <w:rPr>
          <w:rFonts w:ascii="Arial" w:hAnsi="Arial" w:cs="Arial"/>
          <w:lang w:val="en-US"/>
        </w:rPr>
        <w:t>[5]</w:t>
      </w:r>
      <w:r w:rsidRPr="006A2EC3">
        <w:rPr>
          <w:rFonts w:ascii="Arial" w:hAnsi="Arial" w:cs="Arial"/>
          <w:lang w:val="en-US"/>
        </w:rPr>
        <w:tab/>
      </w:r>
      <w:r w:rsidR="00B3302F" w:rsidRPr="00170FA4">
        <w:rPr>
          <w:rFonts w:ascii="Arial" w:hAnsi="Arial" w:cs="Arial"/>
          <w:lang w:val="en-US"/>
        </w:rPr>
        <w:t>The respondent’s answering affidavit delivered in response to the application is replete with irrelevant and argumentative material.  Mixed in between the irrelevant and argumentative material is an averment that clause 3.1 of the agreement is void, alternatively voidable.  In this regard, the respondent in a bald and vague assertion states that “</w:t>
      </w:r>
      <w:r w:rsidR="00B3302F" w:rsidRPr="00170FA4">
        <w:rPr>
          <w:rFonts w:ascii="Arial" w:hAnsi="Arial" w:cs="Arial"/>
          <w:i/>
          <w:iCs/>
          <w:lang w:val="en-US"/>
        </w:rPr>
        <w:t>the Environmental Authorization in terms of the National Enviromental Management Act, Act 107 of 1998 (as amended) was issued to the Respondent.  In terms thereof the Respondent is granted rights and imposed with described obligations and responsibilities.  No provision is made in the agreement. . .dealing with such rights, obligations and responsibilities.</w:t>
      </w:r>
      <w:r w:rsidR="00B3302F" w:rsidRPr="00170FA4">
        <w:rPr>
          <w:rFonts w:ascii="Arial" w:hAnsi="Arial" w:cs="Arial"/>
          <w:lang w:val="en-US"/>
        </w:rPr>
        <w:t>”</w:t>
      </w:r>
      <w:r w:rsidR="00894759" w:rsidRPr="00170FA4">
        <w:rPr>
          <w:rFonts w:ascii="Arial" w:hAnsi="Arial" w:cs="Arial"/>
          <w:lang w:val="en-US"/>
        </w:rPr>
        <w:t xml:space="preserve">  It is difficult to discern any real meaning from this averment and it would seem to me that the respondent seeks to contend that the agreement only seeks to transfer rights and not obligations, which is impossible.</w:t>
      </w:r>
    </w:p>
    <w:p w14:paraId="159EAF37" w14:textId="77777777" w:rsidR="00894759" w:rsidRPr="006A2EC3" w:rsidRDefault="00894759" w:rsidP="00EC0B8F">
      <w:pPr>
        <w:pStyle w:val="ListParagraph"/>
        <w:spacing w:line="480" w:lineRule="auto"/>
        <w:jc w:val="both"/>
        <w:rPr>
          <w:rFonts w:ascii="Arial" w:hAnsi="Arial" w:cs="Arial"/>
          <w:lang w:val="en-US"/>
        </w:rPr>
      </w:pPr>
    </w:p>
    <w:p w14:paraId="11C0342F" w14:textId="1F76900F" w:rsidR="00894759" w:rsidRPr="00170FA4" w:rsidRDefault="00170FA4" w:rsidP="00170FA4">
      <w:pPr>
        <w:spacing w:line="480" w:lineRule="auto"/>
        <w:ind w:left="851" w:hanging="851"/>
        <w:jc w:val="both"/>
        <w:rPr>
          <w:rFonts w:ascii="Arial" w:hAnsi="Arial" w:cs="Arial"/>
          <w:lang w:val="en-US"/>
        </w:rPr>
      </w:pPr>
      <w:r w:rsidRPr="006A2EC3">
        <w:rPr>
          <w:rFonts w:ascii="Arial" w:hAnsi="Arial" w:cs="Arial"/>
          <w:lang w:val="en-US"/>
        </w:rPr>
        <w:lastRenderedPageBreak/>
        <w:t>[6]</w:t>
      </w:r>
      <w:r w:rsidRPr="006A2EC3">
        <w:rPr>
          <w:rFonts w:ascii="Arial" w:hAnsi="Arial" w:cs="Arial"/>
          <w:lang w:val="en-US"/>
        </w:rPr>
        <w:tab/>
      </w:r>
      <w:r w:rsidR="00894759" w:rsidRPr="00170FA4">
        <w:rPr>
          <w:rFonts w:ascii="Arial" w:hAnsi="Arial" w:cs="Arial"/>
          <w:lang w:val="en-US"/>
        </w:rPr>
        <w:t>This contention is simply untenable on even the most cursory reading of clause 3.1 of the agreement.  Clause 3.1 envisages the transfer of the permit, which permit no doubt has rights and obligations attached thereto.</w:t>
      </w:r>
    </w:p>
    <w:p w14:paraId="141FC36F" w14:textId="77777777" w:rsidR="00894759" w:rsidRPr="006A2EC3" w:rsidRDefault="00894759" w:rsidP="00EC0B8F">
      <w:pPr>
        <w:pStyle w:val="ListParagraph"/>
        <w:spacing w:line="480" w:lineRule="auto"/>
        <w:jc w:val="both"/>
        <w:rPr>
          <w:rFonts w:ascii="Arial" w:hAnsi="Arial" w:cs="Arial"/>
          <w:lang w:val="en-US"/>
        </w:rPr>
      </w:pPr>
    </w:p>
    <w:p w14:paraId="643303A5" w14:textId="7859EB54" w:rsidR="00894759" w:rsidRPr="00170FA4" w:rsidRDefault="00170FA4" w:rsidP="00170FA4">
      <w:pPr>
        <w:spacing w:line="480" w:lineRule="auto"/>
        <w:ind w:left="851" w:hanging="851"/>
        <w:jc w:val="both"/>
        <w:rPr>
          <w:rFonts w:ascii="Arial" w:hAnsi="Arial" w:cs="Arial"/>
          <w:lang w:val="en-US"/>
        </w:rPr>
      </w:pPr>
      <w:r w:rsidRPr="006A2EC3">
        <w:rPr>
          <w:rFonts w:ascii="Arial" w:hAnsi="Arial" w:cs="Arial"/>
          <w:lang w:val="en-US"/>
        </w:rPr>
        <w:t>[7]</w:t>
      </w:r>
      <w:r w:rsidRPr="006A2EC3">
        <w:rPr>
          <w:rFonts w:ascii="Arial" w:hAnsi="Arial" w:cs="Arial"/>
          <w:lang w:val="en-US"/>
        </w:rPr>
        <w:tab/>
      </w:r>
      <w:r w:rsidR="00894759" w:rsidRPr="00170FA4">
        <w:rPr>
          <w:rFonts w:ascii="Arial" w:hAnsi="Arial" w:cs="Arial"/>
          <w:lang w:val="en-US"/>
        </w:rPr>
        <w:t>A second contention is raised to the effect that the party who is issued a prospecting and/or mining license (the permit contemplated in terms of the agreement), is under an obligation to comply with Section 38(1)(d) and (e) of the Mineral and Petroleum Resources Development Act 28 of 2002 (“MPRDA”).  This contention can swiftly be disposed of.  Section 38 of the MPRDA was repealed by Section 31 of the Mineral and Petroleum Resources Development Amendment Act 49 of 2008, with effect from 7 June 2013.  Therefore, by the time the agreement was entered into, Section 38 of MPRDA was no longer on the statute books.</w:t>
      </w:r>
    </w:p>
    <w:p w14:paraId="5D143608" w14:textId="77777777" w:rsidR="00894759" w:rsidRPr="006A2EC3" w:rsidRDefault="00894759" w:rsidP="00EC0B8F">
      <w:pPr>
        <w:pStyle w:val="ListParagraph"/>
        <w:spacing w:line="480" w:lineRule="auto"/>
        <w:jc w:val="both"/>
        <w:rPr>
          <w:rFonts w:ascii="Arial" w:hAnsi="Arial" w:cs="Arial"/>
          <w:lang w:val="en-US"/>
        </w:rPr>
      </w:pPr>
    </w:p>
    <w:p w14:paraId="61CEFEDC" w14:textId="06A0D1A8" w:rsidR="00894759" w:rsidRPr="00170FA4" w:rsidRDefault="00170FA4" w:rsidP="00170FA4">
      <w:pPr>
        <w:spacing w:line="480" w:lineRule="auto"/>
        <w:ind w:left="851" w:hanging="851"/>
        <w:jc w:val="both"/>
        <w:rPr>
          <w:rFonts w:ascii="Arial" w:hAnsi="Arial" w:cs="Arial"/>
          <w:lang w:val="en-US"/>
        </w:rPr>
      </w:pPr>
      <w:r w:rsidRPr="006A2EC3">
        <w:rPr>
          <w:rFonts w:ascii="Arial" w:hAnsi="Arial" w:cs="Arial"/>
          <w:lang w:val="en-US"/>
        </w:rPr>
        <w:t>[8]</w:t>
      </w:r>
      <w:r w:rsidRPr="006A2EC3">
        <w:rPr>
          <w:rFonts w:ascii="Arial" w:hAnsi="Arial" w:cs="Arial"/>
          <w:lang w:val="en-US"/>
        </w:rPr>
        <w:tab/>
      </w:r>
      <w:r w:rsidR="008D4438" w:rsidRPr="00170FA4">
        <w:rPr>
          <w:rFonts w:ascii="Arial" w:hAnsi="Arial" w:cs="Arial"/>
          <w:lang w:val="en-US"/>
        </w:rPr>
        <w:t>Within this jumble of allegations, a terse allegation was mad that there is no provision which allows for a permit holder to transfer statutory obligations.  This terse allegation is simply untenable as Section 11 of MPRDA allows for a transfer of prospecting and/or mining rights in the discretion of the Minister.</w:t>
      </w:r>
    </w:p>
    <w:p w14:paraId="28EA25B4" w14:textId="77777777" w:rsidR="008D4438" w:rsidRPr="006A2EC3" w:rsidRDefault="008D4438" w:rsidP="00EC0B8F">
      <w:pPr>
        <w:pStyle w:val="ListParagraph"/>
        <w:spacing w:line="480" w:lineRule="auto"/>
        <w:jc w:val="both"/>
        <w:rPr>
          <w:rFonts w:ascii="Arial" w:hAnsi="Arial" w:cs="Arial"/>
          <w:lang w:val="en-US"/>
        </w:rPr>
      </w:pPr>
    </w:p>
    <w:p w14:paraId="73CA09E2" w14:textId="567784DD" w:rsidR="008D4438" w:rsidRPr="00170FA4" w:rsidRDefault="00170FA4" w:rsidP="00170FA4">
      <w:pPr>
        <w:spacing w:line="480" w:lineRule="auto"/>
        <w:ind w:left="851" w:hanging="851"/>
        <w:jc w:val="both"/>
        <w:rPr>
          <w:rFonts w:ascii="Arial" w:hAnsi="Arial" w:cs="Arial"/>
          <w:lang w:val="en-US"/>
        </w:rPr>
      </w:pPr>
      <w:r w:rsidRPr="006A2EC3">
        <w:rPr>
          <w:rFonts w:ascii="Arial" w:hAnsi="Arial" w:cs="Arial"/>
          <w:lang w:val="en-US"/>
        </w:rPr>
        <w:t>[9]</w:t>
      </w:r>
      <w:r w:rsidRPr="006A2EC3">
        <w:rPr>
          <w:rFonts w:ascii="Arial" w:hAnsi="Arial" w:cs="Arial"/>
          <w:lang w:val="en-US"/>
        </w:rPr>
        <w:tab/>
      </w:r>
      <w:r w:rsidR="008D4438" w:rsidRPr="00170FA4">
        <w:rPr>
          <w:rFonts w:ascii="Arial" w:hAnsi="Arial" w:cs="Arial"/>
          <w:lang w:val="en-US"/>
        </w:rPr>
        <w:t>The next ground upon which the respondent relies is that the agreement does not set out the shareholding, the rights of shareholders and any possible limitation of those rights.  The averment goes further to state that “</w:t>
      </w:r>
      <w:r w:rsidR="008D4438" w:rsidRPr="00170FA4">
        <w:rPr>
          <w:rFonts w:ascii="Arial" w:hAnsi="Arial" w:cs="Arial"/>
          <w:i/>
          <w:iCs/>
          <w:lang w:val="en-US"/>
        </w:rPr>
        <w:t>it is noteable that the party to which the permit would be issued before its proposed transfer will have no voting rights, no right to attend any meetings, no participation in company affairs</w:t>
      </w:r>
      <w:r w:rsidR="008D4438" w:rsidRPr="00170FA4">
        <w:rPr>
          <w:rFonts w:ascii="Arial" w:hAnsi="Arial" w:cs="Arial"/>
          <w:lang w:val="en-US"/>
        </w:rPr>
        <w:t xml:space="preserve">.”  These allegations are as bald and uncreditworthy as an </w:t>
      </w:r>
      <w:r w:rsidR="008D4438" w:rsidRPr="00170FA4">
        <w:rPr>
          <w:rFonts w:ascii="Arial" w:hAnsi="Arial" w:cs="Arial"/>
          <w:lang w:val="en-US"/>
        </w:rPr>
        <w:lastRenderedPageBreak/>
        <w:t>allegation can get.  The shareholding percentages are agreed to and set out in the agreement.  It is trite that a shareholders’ agreement is not a necessary requirement for parties to hold shares in a company as the rights, duties and obligations of shareholders are set out in relevant legislation.</w:t>
      </w:r>
    </w:p>
    <w:p w14:paraId="4F371F96" w14:textId="77777777" w:rsidR="008D4438" w:rsidRPr="006A2EC3" w:rsidRDefault="008D4438" w:rsidP="00EC0B8F">
      <w:pPr>
        <w:pStyle w:val="ListParagraph"/>
        <w:spacing w:line="480" w:lineRule="auto"/>
        <w:jc w:val="both"/>
        <w:rPr>
          <w:rFonts w:ascii="Arial" w:hAnsi="Arial" w:cs="Arial"/>
          <w:lang w:val="en-US"/>
        </w:rPr>
      </w:pPr>
    </w:p>
    <w:p w14:paraId="25CD475A" w14:textId="6B43EC08" w:rsidR="008D4438" w:rsidRPr="00170FA4" w:rsidRDefault="00170FA4" w:rsidP="00170FA4">
      <w:pPr>
        <w:spacing w:line="480" w:lineRule="auto"/>
        <w:ind w:left="851" w:hanging="851"/>
        <w:jc w:val="both"/>
        <w:rPr>
          <w:rFonts w:ascii="Arial" w:hAnsi="Arial" w:cs="Arial"/>
          <w:lang w:val="en-US"/>
        </w:rPr>
      </w:pPr>
      <w:r w:rsidRPr="006A2EC3">
        <w:rPr>
          <w:rFonts w:ascii="Arial" w:hAnsi="Arial" w:cs="Arial"/>
          <w:lang w:val="en-US"/>
        </w:rPr>
        <w:t>[10]</w:t>
      </w:r>
      <w:r w:rsidRPr="006A2EC3">
        <w:rPr>
          <w:rFonts w:ascii="Arial" w:hAnsi="Arial" w:cs="Arial"/>
          <w:lang w:val="en-US"/>
        </w:rPr>
        <w:tab/>
      </w:r>
      <w:r w:rsidR="008D4438" w:rsidRPr="00170FA4">
        <w:rPr>
          <w:rFonts w:ascii="Arial" w:hAnsi="Arial" w:cs="Arial"/>
          <w:lang w:val="en-US"/>
        </w:rPr>
        <w:t>Lastly, the respondent contends that there is a fatal conflict between clause 3.1 and 3.4 of the agreement.  The argument by the respondent in this regard is that it is impossible for both the newco and the applicant to simultaneously have sole rights.  This argument is contrived.  The newco will be the holder of the prospecting and/or mining rights and the applicant will be the contractor who will do the prospecting and mining on behalf of the newco.</w:t>
      </w:r>
    </w:p>
    <w:p w14:paraId="484B4A0A" w14:textId="77777777" w:rsidR="00962643" w:rsidRPr="006A2EC3" w:rsidRDefault="00962643" w:rsidP="00EC0B8F">
      <w:pPr>
        <w:pStyle w:val="ListParagraph"/>
        <w:spacing w:line="480" w:lineRule="auto"/>
        <w:jc w:val="both"/>
        <w:rPr>
          <w:rFonts w:ascii="Arial" w:hAnsi="Arial" w:cs="Arial"/>
          <w:lang w:val="en-US"/>
        </w:rPr>
      </w:pPr>
    </w:p>
    <w:p w14:paraId="348E0B11" w14:textId="22617FE8" w:rsidR="00962643" w:rsidRPr="00170FA4" w:rsidRDefault="00170FA4" w:rsidP="00170FA4">
      <w:pPr>
        <w:spacing w:line="480" w:lineRule="auto"/>
        <w:ind w:left="851" w:hanging="851"/>
        <w:jc w:val="both"/>
        <w:rPr>
          <w:rFonts w:ascii="Arial" w:hAnsi="Arial" w:cs="Arial"/>
          <w:lang w:val="en-US"/>
        </w:rPr>
      </w:pPr>
      <w:r w:rsidRPr="006A2EC3">
        <w:rPr>
          <w:rFonts w:ascii="Arial" w:hAnsi="Arial" w:cs="Arial"/>
          <w:lang w:val="en-US"/>
        </w:rPr>
        <w:t>[11]</w:t>
      </w:r>
      <w:r w:rsidRPr="006A2EC3">
        <w:rPr>
          <w:rFonts w:ascii="Arial" w:hAnsi="Arial" w:cs="Arial"/>
          <w:lang w:val="en-US"/>
        </w:rPr>
        <w:tab/>
      </w:r>
      <w:r w:rsidR="00962643" w:rsidRPr="00170FA4">
        <w:rPr>
          <w:rFonts w:ascii="Arial" w:hAnsi="Arial" w:cs="Arial"/>
          <w:lang w:val="en-US"/>
        </w:rPr>
        <w:t>A subsequent supplementary answering affidavit, for which no permission was sought from this court for its admission, was also delivered by the respondent.</w:t>
      </w:r>
      <w:r w:rsidR="004D7301" w:rsidRPr="00170FA4">
        <w:rPr>
          <w:rFonts w:ascii="Arial" w:hAnsi="Arial" w:cs="Arial"/>
          <w:lang w:val="en-US"/>
        </w:rPr>
        <w:t xml:space="preserve">  Nothing turns on this supplementary affidavit as it pertains to a point </w:t>
      </w:r>
      <w:r w:rsidR="004D7301" w:rsidRPr="00170FA4">
        <w:rPr>
          <w:rFonts w:ascii="Arial" w:hAnsi="Arial" w:cs="Arial"/>
          <w:i/>
          <w:iCs/>
          <w:lang w:val="en-US"/>
        </w:rPr>
        <w:t xml:space="preserve">in limine </w:t>
      </w:r>
      <w:r w:rsidR="004D7301" w:rsidRPr="00170FA4">
        <w:rPr>
          <w:rFonts w:ascii="Arial" w:hAnsi="Arial" w:cs="Arial"/>
          <w:lang w:val="en-US"/>
        </w:rPr>
        <w:t xml:space="preserve">raised in the applicant’s replying affidavit, which point </w:t>
      </w:r>
      <w:r w:rsidR="004D7301" w:rsidRPr="00170FA4">
        <w:rPr>
          <w:rFonts w:ascii="Arial" w:hAnsi="Arial" w:cs="Arial"/>
          <w:i/>
          <w:iCs/>
          <w:lang w:val="en-US"/>
        </w:rPr>
        <w:t xml:space="preserve">in limine </w:t>
      </w:r>
      <w:r w:rsidR="004D7301" w:rsidRPr="00170FA4">
        <w:rPr>
          <w:rFonts w:ascii="Arial" w:hAnsi="Arial" w:cs="Arial"/>
          <w:lang w:val="en-US"/>
        </w:rPr>
        <w:t>is not persisted with.</w:t>
      </w:r>
    </w:p>
    <w:p w14:paraId="349F4402" w14:textId="77777777" w:rsidR="004D7301" w:rsidRPr="006A2EC3" w:rsidRDefault="004D7301" w:rsidP="00EC0B8F">
      <w:pPr>
        <w:pStyle w:val="ListParagraph"/>
        <w:spacing w:line="480" w:lineRule="auto"/>
        <w:jc w:val="both"/>
        <w:rPr>
          <w:rFonts w:ascii="Arial" w:hAnsi="Arial" w:cs="Arial"/>
          <w:lang w:val="en-US"/>
        </w:rPr>
      </w:pPr>
    </w:p>
    <w:p w14:paraId="49E01555" w14:textId="3765DC8A" w:rsidR="004D7301" w:rsidRPr="00170FA4" w:rsidRDefault="00170FA4" w:rsidP="00170FA4">
      <w:pPr>
        <w:spacing w:line="480" w:lineRule="auto"/>
        <w:ind w:left="851" w:hanging="851"/>
        <w:jc w:val="both"/>
        <w:rPr>
          <w:rFonts w:ascii="Arial" w:hAnsi="Arial" w:cs="Arial"/>
          <w:lang w:val="en-US"/>
        </w:rPr>
      </w:pPr>
      <w:r w:rsidRPr="006A2EC3">
        <w:rPr>
          <w:rFonts w:ascii="Arial" w:hAnsi="Arial" w:cs="Arial"/>
          <w:lang w:val="en-US"/>
        </w:rPr>
        <w:t>[12]</w:t>
      </w:r>
      <w:r w:rsidRPr="006A2EC3">
        <w:rPr>
          <w:rFonts w:ascii="Arial" w:hAnsi="Arial" w:cs="Arial"/>
          <w:lang w:val="en-US"/>
        </w:rPr>
        <w:tab/>
      </w:r>
      <w:r w:rsidR="004D7301" w:rsidRPr="00170FA4">
        <w:rPr>
          <w:rFonts w:ascii="Arial" w:hAnsi="Arial" w:cs="Arial"/>
          <w:lang w:val="en-US"/>
        </w:rPr>
        <w:t xml:space="preserve">Applying the </w:t>
      </w:r>
      <w:r w:rsidR="004D7301" w:rsidRPr="00170FA4">
        <w:rPr>
          <w:rFonts w:ascii="Arial" w:hAnsi="Arial" w:cs="Arial"/>
          <w:b/>
          <w:bCs/>
          <w:i/>
          <w:iCs/>
          <w:lang w:val="en-US"/>
        </w:rPr>
        <w:t>Plason-Evans</w:t>
      </w:r>
      <w:r w:rsidR="004D7301" w:rsidRPr="00170FA4">
        <w:rPr>
          <w:rFonts w:ascii="Arial" w:hAnsi="Arial" w:cs="Arial"/>
          <w:lang w:val="en-US"/>
        </w:rPr>
        <w:t>-rule</w:t>
      </w:r>
      <w:r w:rsidR="004D7301" w:rsidRPr="006A2EC3">
        <w:rPr>
          <w:rStyle w:val="FootnoteReference"/>
          <w:rFonts w:ascii="Arial" w:hAnsi="Arial" w:cs="Arial"/>
          <w:lang w:val="en-US"/>
        </w:rPr>
        <w:footnoteReference w:id="1"/>
      </w:r>
      <w:r w:rsidR="004D7301" w:rsidRPr="00170FA4">
        <w:rPr>
          <w:rFonts w:ascii="Arial" w:hAnsi="Arial" w:cs="Arial"/>
          <w:lang w:val="en-US"/>
        </w:rPr>
        <w:t xml:space="preserve"> in conjunction with that which was said in the </w:t>
      </w:r>
      <w:r w:rsidR="004D7301" w:rsidRPr="00170FA4">
        <w:rPr>
          <w:rFonts w:ascii="Arial" w:hAnsi="Arial" w:cs="Arial"/>
          <w:b/>
          <w:bCs/>
          <w:i/>
          <w:iCs/>
          <w:lang w:val="en-US"/>
        </w:rPr>
        <w:t>Zuma</w:t>
      </w:r>
      <w:r w:rsidR="004D7301" w:rsidRPr="00170FA4">
        <w:rPr>
          <w:rFonts w:ascii="Arial" w:hAnsi="Arial" w:cs="Arial"/>
          <w:lang w:val="en-US"/>
        </w:rPr>
        <w:t>-judgment,</w:t>
      </w:r>
      <w:r w:rsidR="004D7301" w:rsidRPr="006A2EC3">
        <w:rPr>
          <w:rStyle w:val="FootnoteReference"/>
          <w:rFonts w:ascii="Arial" w:hAnsi="Arial" w:cs="Arial"/>
          <w:lang w:val="en-US"/>
        </w:rPr>
        <w:footnoteReference w:id="2"/>
      </w:r>
      <w:r w:rsidR="004D7301" w:rsidRPr="00170FA4">
        <w:rPr>
          <w:rFonts w:ascii="Arial" w:hAnsi="Arial" w:cs="Arial"/>
          <w:lang w:val="en-US"/>
        </w:rPr>
        <w:t xml:space="preserve"> this should be the end of the matter.  However, the respondent belatedly raised issues in the heads of argument filed on its behalf.  Although </w:t>
      </w:r>
      <w:r w:rsidR="004D7301" w:rsidRPr="00170FA4">
        <w:rPr>
          <w:rFonts w:ascii="Arial" w:hAnsi="Arial" w:cs="Arial"/>
          <w:i/>
          <w:iCs/>
          <w:lang w:val="en-US"/>
        </w:rPr>
        <w:t>Mr Hollander,</w:t>
      </w:r>
      <w:r w:rsidR="004D7301" w:rsidRPr="00170FA4">
        <w:rPr>
          <w:rFonts w:ascii="Arial" w:hAnsi="Arial" w:cs="Arial"/>
          <w:lang w:val="en-US"/>
        </w:rPr>
        <w:t xml:space="preserve"> appearing for the applicant, correctly in my view indicated that he should not be dealing with those issues raised as they do not </w:t>
      </w:r>
      <w:r w:rsidR="004D7301" w:rsidRPr="00170FA4">
        <w:rPr>
          <w:rFonts w:ascii="Arial" w:hAnsi="Arial" w:cs="Arial"/>
          <w:lang w:val="en-US"/>
        </w:rPr>
        <w:lastRenderedPageBreak/>
        <w:t xml:space="preserve">appear from the answering affidavit, he did elect to deal with them in argument.  </w:t>
      </w:r>
      <w:r w:rsidR="00E6715F" w:rsidRPr="00170FA4">
        <w:rPr>
          <w:rFonts w:ascii="Arial" w:hAnsi="Arial" w:cs="Arial"/>
          <w:lang w:val="en-US"/>
        </w:rPr>
        <w:t xml:space="preserve">As there is no prejudice to the applicant in this regard, I will briefly deal with these additional issues raised on behalf of the respondent in so far it was advanced and persisted with during argument by </w:t>
      </w:r>
      <w:r w:rsidR="00E6715F" w:rsidRPr="00170FA4">
        <w:rPr>
          <w:rFonts w:ascii="Arial" w:hAnsi="Arial" w:cs="Arial"/>
          <w:i/>
          <w:iCs/>
          <w:lang w:val="en-US"/>
        </w:rPr>
        <w:t>Mr Msiza</w:t>
      </w:r>
      <w:r w:rsidR="00E6715F" w:rsidRPr="00170FA4">
        <w:rPr>
          <w:rFonts w:ascii="Arial" w:hAnsi="Arial" w:cs="Arial"/>
          <w:lang w:val="en-US"/>
        </w:rPr>
        <w:t xml:space="preserve"> appearing on behalf of the respondent.</w:t>
      </w:r>
    </w:p>
    <w:p w14:paraId="16ECE04F" w14:textId="77777777" w:rsidR="00E6715F" w:rsidRPr="006A2EC3" w:rsidRDefault="00E6715F" w:rsidP="00EC0B8F">
      <w:pPr>
        <w:pStyle w:val="ListParagraph"/>
        <w:spacing w:line="480" w:lineRule="auto"/>
        <w:jc w:val="both"/>
        <w:rPr>
          <w:rFonts w:ascii="Arial" w:hAnsi="Arial" w:cs="Arial"/>
          <w:lang w:val="en-US"/>
        </w:rPr>
      </w:pPr>
    </w:p>
    <w:p w14:paraId="5EE1C91A" w14:textId="0C43528E" w:rsidR="00E6715F" w:rsidRPr="00170FA4" w:rsidRDefault="00170FA4" w:rsidP="00170FA4">
      <w:pPr>
        <w:spacing w:line="480" w:lineRule="auto"/>
        <w:ind w:left="851" w:hanging="851"/>
        <w:jc w:val="both"/>
        <w:rPr>
          <w:rFonts w:ascii="Arial" w:hAnsi="Arial" w:cs="Arial"/>
          <w:lang w:val="en-US"/>
        </w:rPr>
      </w:pPr>
      <w:r w:rsidRPr="006A2EC3">
        <w:rPr>
          <w:rFonts w:ascii="Arial" w:hAnsi="Arial" w:cs="Arial"/>
          <w:lang w:val="en-US"/>
        </w:rPr>
        <w:t>[13]</w:t>
      </w:r>
      <w:r w:rsidRPr="006A2EC3">
        <w:rPr>
          <w:rFonts w:ascii="Arial" w:hAnsi="Arial" w:cs="Arial"/>
          <w:lang w:val="en-US"/>
        </w:rPr>
        <w:tab/>
      </w:r>
      <w:r w:rsidR="00E6715F" w:rsidRPr="00170FA4">
        <w:rPr>
          <w:rFonts w:ascii="Arial" w:hAnsi="Arial" w:cs="Arial"/>
          <w:lang w:val="en-US"/>
        </w:rPr>
        <w:t xml:space="preserve">The lesser of the two arguments persisted with is the bald and unsubstantiated allegation that the agreement is void as it violates the mining sector’s legislative framework in respect of Broadbased Economic Empowerment Policies.  In this regard I enquired from </w:t>
      </w:r>
      <w:r w:rsidR="00E6715F" w:rsidRPr="00170FA4">
        <w:rPr>
          <w:rFonts w:ascii="Arial" w:hAnsi="Arial" w:cs="Arial"/>
          <w:i/>
          <w:iCs/>
          <w:lang w:val="en-US"/>
        </w:rPr>
        <w:t>Mr Msiza</w:t>
      </w:r>
      <w:r w:rsidR="00E6715F" w:rsidRPr="00170FA4">
        <w:rPr>
          <w:rFonts w:ascii="Arial" w:hAnsi="Arial" w:cs="Arial"/>
          <w:lang w:val="en-US"/>
        </w:rPr>
        <w:t xml:space="preserve"> exactly which pieces of legislation, with reference to specific sections and which regulations, rules or policies, with specific reference to the applicable provisions, reliance is being placed.  This query was necessitated by me as the submission proferred in the respondent’s heads of argument went no further than “</w:t>
      </w:r>
      <w:r w:rsidR="00E6715F" w:rsidRPr="00170FA4">
        <w:rPr>
          <w:rFonts w:ascii="Arial" w:hAnsi="Arial" w:cs="Arial"/>
          <w:i/>
          <w:iCs/>
          <w:lang w:val="en-US"/>
        </w:rPr>
        <w:t xml:space="preserve">the status qou </w:t>
      </w:r>
      <w:r w:rsidR="00E6715F" w:rsidRPr="00170FA4">
        <w:rPr>
          <w:rFonts w:ascii="Arial" w:hAnsi="Arial" w:cs="Arial"/>
          <w:lang w:val="en-US"/>
        </w:rPr>
        <w:t xml:space="preserve">[sic] </w:t>
      </w:r>
      <w:r w:rsidR="00E6715F" w:rsidRPr="00170FA4">
        <w:rPr>
          <w:rFonts w:ascii="Arial" w:hAnsi="Arial" w:cs="Arial"/>
          <w:i/>
          <w:iCs/>
          <w:lang w:val="en-US"/>
        </w:rPr>
        <w:t>of the Agreement as</w:t>
      </w:r>
      <w:r w:rsidR="00E6715F" w:rsidRPr="00170FA4">
        <w:rPr>
          <w:rFonts w:ascii="Arial" w:hAnsi="Arial" w:cs="Arial"/>
          <w:lang w:val="en-US"/>
        </w:rPr>
        <w:t xml:space="preserve"> [sic]</w:t>
      </w:r>
      <w:r w:rsidR="00E6715F" w:rsidRPr="00170FA4">
        <w:rPr>
          <w:rFonts w:ascii="Arial" w:hAnsi="Arial" w:cs="Arial"/>
          <w:i/>
          <w:iCs/>
          <w:lang w:val="en-US"/>
        </w:rPr>
        <w:t xml:space="preserve"> addendum unquestionably violates the legal framework i.e. (Sections 11(1). . .section 17. . .section 23(1). . .and section 48</w:t>
      </w:r>
      <w:r w:rsidR="00E6715F" w:rsidRPr="00170FA4">
        <w:rPr>
          <w:rFonts w:ascii="Arial" w:hAnsi="Arial" w:cs="Arial"/>
          <w:lang w:val="en-US"/>
        </w:rPr>
        <w:t xml:space="preserve"> [of the MPRDA]”.  No argument is elucidated in the heads of argument how the agreement violates any of those aforesaid sections.</w:t>
      </w:r>
    </w:p>
    <w:p w14:paraId="2C495AC4" w14:textId="77777777" w:rsidR="00E6715F" w:rsidRPr="006A2EC3" w:rsidRDefault="00E6715F" w:rsidP="00EC0B8F">
      <w:pPr>
        <w:pStyle w:val="ListParagraph"/>
        <w:spacing w:line="480" w:lineRule="auto"/>
        <w:jc w:val="both"/>
        <w:rPr>
          <w:rFonts w:ascii="Arial" w:hAnsi="Arial" w:cs="Arial"/>
          <w:lang w:val="en-US"/>
        </w:rPr>
      </w:pPr>
    </w:p>
    <w:p w14:paraId="0E9CB145" w14:textId="31A99F02" w:rsidR="00E6715F" w:rsidRPr="00170FA4" w:rsidRDefault="00170FA4" w:rsidP="00170FA4">
      <w:pPr>
        <w:spacing w:line="480" w:lineRule="auto"/>
        <w:ind w:left="851" w:hanging="851"/>
        <w:jc w:val="both"/>
        <w:rPr>
          <w:rFonts w:ascii="Arial" w:hAnsi="Arial" w:cs="Arial"/>
          <w:lang w:val="en-US"/>
        </w:rPr>
      </w:pPr>
      <w:r w:rsidRPr="006A2EC3">
        <w:rPr>
          <w:rFonts w:ascii="Arial" w:hAnsi="Arial" w:cs="Arial"/>
          <w:lang w:val="en-US"/>
        </w:rPr>
        <w:t>[14]</w:t>
      </w:r>
      <w:r w:rsidRPr="006A2EC3">
        <w:rPr>
          <w:rFonts w:ascii="Arial" w:hAnsi="Arial" w:cs="Arial"/>
          <w:lang w:val="en-US"/>
        </w:rPr>
        <w:tab/>
      </w:r>
      <w:r w:rsidR="00E6715F" w:rsidRPr="00170FA4">
        <w:rPr>
          <w:rFonts w:ascii="Arial" w:hAnsi="Arial" w:cs="Arial"/>
          <w:lang w:val="en-US"/>
        </w:rPr>
        <w:t xml:space="preserve">During argument, </w:t>
      </w:r>
      <w:r w:rsidR="00E6715F" w:rsidRPr="00170FA4">
        <w:rPr>
          <w:rFonts w:ascii="Arial" w:hAnsi="Arial" w:cs="Arial"/>
          <w:i/>
          <w:iCs/>
          <w:lang w:val="en-US"/>
        </w:rPr>
        <w:t>Mr Msiza</w:t>
      </w:r>
      <w:r w:rsidR="00E6715F" w:rsidRPr="00170FA4">
        <w:rPr>
          <w:rFonts w:ascii="Arial" w:hAnsi="Arial" w:cs="Arial"/>
          <w:lang w:val="en-US"/>
        </w:rPr>
        <w:t xml:space="preserve"> elected to, firstly and foremost focus thereon that the respondent’s representative is a black female and, accordingly, the agreement violates Section 1</w:t>
      </w:r>
      <w:r w:rsidR="000D5120" w:rsidRPr="00170FA4">
        <w:rPr>
          <w:rFonts w:ascii="Arial" w:hAnsi="Arial" w:cs="Arial"/>
          <w:lang w:val="en-US"/>
        </w:rPr>
        <w:t>2</w:t>
      </w:r>
      <w:r w:rsidR="00E6715F" w:rsidRPr="00170FA4">
        <w:rPr>
          <w:rFonts w:ascii="Arial" w:hAnsi="Arial" w:cs="Arial"/>
          <w:lang w:val="en-US"/>
        </w:rPr>
        <w:t xml:space="preserve"> of MPRDA.</w:t>
      </w:r>
      <w:r w:rsidR="000D5120" w:rsidRPr="00170FA4">
        <w:rPr>
          <w:rFonts w:ascii="Arial" w:hAnsi="Arial" w:cs="Arial"/>
          <w:lang w:val="en-US"/>
        </w:rPr>
        <w:t xml:space="preserve">  This violates is found therein that the respondent is only afforded a 30% shareholding in the newco whilst section 12</w:t>
      </w:r>
      <w:r w:rsidR="000D5120" w:rsidRPr="006A2EC3">
        <w:rPr>
          <w:rStyle w:val="FootnoteReference"/>
          <w:rFonts w:ascii="Arial" w:hAnsi="Arial" w:cs="Arial"/>
          <w:lang w:val="en-US"/>
        </w:rPr>
        <w:footnoteReference w:id="3"/>
      </w:r>
      <w:r w:rsidR="000D5120" w:rsidRPr="00170FA4">
        <w:rPr>
          <w:rFonts w:ascii="Arial" w:hAnsi="Arial" w:cs="Arial"/>
          <w:lang w:val="en-US"/>
        </w:rPr>
        <w:t xml:space="preserve"> of MPRDA envisages assistance to historically disadvantaged </w:t>
      </w:r>
      <w:r w:rsidR="000D5120" w:rsidRPr="00170FA4">
        <w:rPr>
          <w:rFonts w:ascii="Arial" w:hAnsi="Arial" w:cs="Arial"/>
          <w:lang w:val="en-US"/>
        </w:rPr>
        <w:lastRenderedPageBreak/>
        <w:t xml:space="preserve">persons, with the respondent’s representative clearly falling into that category.  The fallacy of this argument lies therein that the parties were both able to enter into negotiations with each other in concluding the agreement.  There is no allegation that the applicant held a disparate degree of power over the respondent and that negotiations could not take place on equal footing.  Even if there were a disparity in negotiation power, the degree of such disparity is not disclosed that any recognized ground upon which a contract may be void or voidable cannot be found to exist.  </w:t>
      </w:r>
    </w:p>
    <w:p w14:paraId="5EBE0D96" w14:textId="77777777" w:rsidR="000D5120" w:rsidRPr="006A2EC3" w:rsidRDefault="000D5120" w:rsidP="00EC0B8F">
      <w:pPr>
        <w:pStyle w:val="ListParagraph"/>
        <w:spacing w:line="480" w:lineRule="auto"/>
        <w:jc w:val="both"/>
        <w:rPr>
          <w:rFonts w:ascii="Arial" w:hAnsi="Arial" w:cs="Arial"/>
          <w:lang w:val="en-US"/>
        </w:rPr>
      </w:pPr>
    </w:p>
    <w:p w14:paraId="22C4364C" w14:textId="589E7328" w:rsidR="00E6715F" w:rsidRPr="00170FA4" w:rsidRDefault="00170FA4" w:rsidP="00170FA4">
      <w:pPr>
        <w:spacing w:line="480" w:lineRule="auto"/>
        <w:ind w:left="851" w:hanging="851"/>
        <w:jc w:val="both"/>
        <w:rPr>
          <w:rFonts w:ascii="Arial" w:hAnsi="Arial" w:cs="Arial"/>
          <w:lang w:val="en-US"/>
        </w:rPr>
      </w:pPr>
      <w:r w:rsidRPr="006A2EC3">
        <w:rPr>
          <w:rFonts w:ascii="Arial" w:hAnsi="Arial" w:cs="Arial"/>
          <w:lang w:val="en-US"/>
        </w:rPr>
        <w:t>[15]</w:t>
      </w:r>
      <w:r w:rsidRPr="006A2EC3">
        <w:rPr>
          <w:rFonts w:ascii="Arial" w:hAnsi="Arial" w:cs="Arial"/>
          <w:lang w:val="en-US"/>
        </w:rPr>
        <w:tab/>
      </w:r>
      <w:r w:rsidR="000D5120" w:rsidRPr="00170FA4">
        <w:rPr>
          <w:rFonts w:ascii="Arial" w:hAnsi="Arial" w:cs="Arial"/>
          <w:lang w:val="en-US"/>
        </w:rPr>
        <w:t>There is a further problem that arises for the respondent in this regard.  Section 12 of the MPRDA does not affect the agreement itself.  It may, in the future if the respondent is successful in its litigation against the Minister, affect the transferability of the prospecting and/or mining rights to the newco in terms of Section 11(1)</w:t>
      </w:r>
      <w:r w:rsidR="000D5120" w:rsidRPr="006A2EC3">
        <w:rPr>
          <w:rStyle w:val="FootnoteReference"/>
          <w:rFonts w:ascii="Arial" w:hAnsi="Arial" w:cs="Arial"/>
          <w:lang w:val="en-US"/>
        </w:rPr>
        <w:footnoteReference w:id="4"/>
      </w:r>
      <w:r w:rsidR="000D5120" w:rsidRPr="00170FA4">
        <w:rPr>
          <w:rFonts w:ascii="Arial" w:hAnsi="Arial" w:cs="Arial"/>
          <w:lang w:val="en-US"/>
        </w:rPr>
        <w:t xml:space="preserve"> of the MPRDA if the Minister has regard to Section 12 thereof.</w:t>
      </w:r>
      <w:r w:rsidR="00F26DAD" w:rsidRPr="00170FA4">
        <w:rPr>
          <w:rFonts w:ascii="Arial" w:hAnsi="Arial" w:cs="Arial"/>
          <w:lang w:val="en-US"/>
        </w:rPr>
        <w:t xml:space="preserve">  This is a possible future event that may affect the exercise of the Minister’s </w:t>
      </w:r>
      <w:r w:rsidR="00F26DAD" w:rsidRPr="00170FA4">
        <w:rPr>
          <w:rFonts w:ascii="Arial" w:hAnsi="Arial" w:cs="Arial"/>
          <w:lang w:val="en-US"/>
        </w:rPr>
        <w:lastRenderedPageBreak/>
        <w:t>discretion, however in itself it does not violate the terms of an agreement voluntarily entered into.</w:t>
      </w:r>
      <w:r w:rsidR="00F26DAD" w:rsidRPr="006A2EC3">
        <w:rPr>
          <w:rStyle w:val="FootnoteReference"/>
          <w:rFonts w:ascii="Arial" w:hAnsi="Arial" w:cs="Arial"/>
          <w:lang w:val="en-US"/>
        </w:rPr>
        <w:footnoteReference w:id="5"/>
      </w:r>
      <w:r w:rsidR="00F26DAD" w:rsidRPr="00170FA4">
        <w:rPr>
          <w:rFonts w:ascii="Arial" w:hAnsi="Arial" w:cs="Arial"/>
          <w:lang w:val="en-US"/>
        </w:rPr>
        <w:t xml:space="preserve">  When I directed </w:t>
      </w:r>
      <w:r w:rsidR="00F26DAD" w:rsidRPr="00170FA4">
        <w:rPr>
          <w:rFonts w:ascii="Arial" w:hAnsi="Arial" w:cs="Arial"/>
          <w:i/>
          <w:iCs/>
          <w:lang w:val="en-US"/>
        </w:rPr>
        <w:t>Mr Msiza’s</w:t>
      </w:r>
      <w:r w:rsidR="00F26DAD" w:rsidRPr="00170FA4">
        <w:rPr>
          <w:rFonts w:ascii="Arial" w:hAnsi="Arial" w:cs="Arial"/>
          <w:lang w:val="en-US"/>
        </w:rPr>
        <w:t xml:space="preserve"> attention to the aforesaid, he did no more than stating he cannot take the argument any further.</w:t>
      </w:r>
    </w:p>
    <w:p w14:paraId="04154BCB" w14:textId="77777777" w:rsidR="00F26DAD" w:rsidRPr="006A2EC3" w:rsidRDefault="00F26DAD" w:rsidP="00EC0B8F">
      <w:pPr>
        <w:pStyle w:val="ListParagraph"/>
        <w:spacing w:line="480" w:lineRule="auto"/>
        <w:jc w:val="both"/>
        <w:rPr>
          <w:rFonts w:ascii="Arial" w:hAnsi="Arial" w:cs="Arial"/>
          <w:lang w:val="en-US"/>
        </w:rPr>
      </w:pPr>
    </w:p>
    <w:p w14:paraId="7B804CF5" w14:textId="302447C3" w:rsidR="00F26DAD" w:rsidRPr="00170FA4" w:rsidRDefault="00170FA4" w:rsidP="00170FA4">
      <w:pPr>
        <w:spacing w:line="480" w:lineRule="auto"/>
        <w:ind w:left="851" w:hanging="851"/>
        <w:jc w:val="both"/>
        <w:rPr>
          <w:rFonts w:ascii="Arial" w:hAnsi="Arial" w:cs="Arial"/>
          <w:lang w:val="en-US"/>
        </w:rPr>
      </w:pPr>
      <w:r w:rsidRPr="006A2EC3">
        <w:rPr>
          <w:rFonts w:ascii="Arial" w:hAnsi="Arial" w:cs="Arial"/>
          <w:lang w:val="en-US"/>
        </w:rPr>
        <w:t>[16]</w:t>
      </w:r>
      <w:r w:rsidRPr="006A2EC3">
        <w:rPr>
          <w:rFonts w:ascii="Arial" w:hAnsi="Arial" w:cs="Arial"/>
          <w:lang w:val="en-US"/>
        </w:rPr>
        <w:tab/>
      </w:r>
      <w:r w:rsidR="00F26DAD" w:rsidRPr="00170FA4">
        <w:rPr>
          <w:rFonts w:ascii="Arial" w:hAnsi="Arial" w:cs="Arial"/>
          <w:lang w:val="en-US"/>
        </w:rPr>
        <w:t xml:space="preserve">The second point that was dealt with by </w:t>
      </w:r>
      <w:r w:rsidR="00F26DAD" w:rsidRPr="00170FA4">
        <w:rPr>
          <w:rFonts w:ascii="Arial" w:hAnsi="Arial" w:cs="Arial"/>
          <w:i/>
          <w:iCs/>
          <w:lang w:val="en-US"/>
        </w:rPr>
        <w:t>Mr Msiza</w:t>
      </w:r>
      <w:r w:rsidR="00F26DAD" w:rsidRPr="00170FA4">
        <w:rPr>
          <w:rFonts w:ascii="Arial" w:hAnsi="Arial" w:cs="Arial"/>
          <w:lang w:val="en-US"/>
        </w:rPr>
        <w:t xml:space="preserve"> is the fact that the application is premature.  His argument at this juncture became rather confusing.  He submitted that the application is premature as there is no dispute between the parties relating to the newco at this stage and that it will only arise in the future if the respondent’s litigation is successful.  He also submitted, in this regard that there is no repudiation or attempt to resile from the agreement by the respondent.  This submission conflicts the earlier argument that the agreement is void due to Section 12 of the MPRDA.</w:t>
      </w:r>
      <w:r w:rsidR="00EC0B8F" w:rsidRPr="00170FA4">
        <w:rPr>
          <w:rFonts w:ascii="Arial" w:hAnsi="Arial" w:cs="Arial"/>
          <w:lang w:val="en-US"/>
        </w:rPr>
        <w:t xml:space="preserve">  The allegation that the agreement is void is a clear attempt to resile from the agreement and, in so far the agreement is found to be valid, constitutes a repudiation of the agreement.</w:t>
      </w:r>
      <w:r w:rsidR="004847D8" w:rsidRPr="00170FA4">
        <w:rPr>
          <w:rFonts w:ascii="Arial" w:hAnsi="Arial" w:cs="Arial"/>
          <w:lang w:val="en-US"/>
        </w:rPr>
        <w:t xml:space="preserve">  </w:t>
      </w:r>
      <w:r w:rsidR="00EC0B8F" w:rsidRPr="00170FA4">
        <w:rPr>
          <w:rFonts w:ascii="Arial" w:hAnsi="Arial" w:cs="Arial"/>
          <w:lang w:val="en-US"/>
        </w:rPr>
        <w:t xml:space="preserve">The premature argument </w:t>
      </w:r>
      <w:r w:rsidR="004847D8" w:rsidRPr="00170FA4">
        <w:rPr>
          <w:rFonts w:ascii="Arial" w:hAnsi="Arial" w:cs="Arial"/>
          <w:lang w:val="en-US"/>
        </w:rPr>
        <w:t>also conflicts the earlier stance by the respondent set out in its attorney’s correspondence prior to the litigation ensuing</w:t>
      </w:r>
      <w:r w:rsidR="00EC0B8F" w:rsidRPr="00170FA4">
        <w:rPr>
          <w:rFonts w:ascii="Arial" w:hAnsi="Arial" w:cs="Arial"/>
          <w:lang w:val="en-US"/>
        </w:rPr>
        <w:t>, namely that a court must be approached to set the agreement aside</w:t>
      </w:r>
      <w:r w:rsidR="004847D8" w:rsidRPr="00170FA4">
        <w:rPr>
          <w:rFonts w:ascii="Arial" w:hAnsi="Arial" w:cs="Arial"/>
          <w:lang w:val="en-US"/>
        </w:rPr>
        <w:t>.</w:t>
      </w:r>
    </w:p>
    <w:p w14:paraId="1548D78B" w14:textId="77777777" w:rsidR="004847D8" w:rsidRPr="006A2EC3" w:rsidRDefault="004847D8" w:rsidP="00EC0B8F">
      <w:pPr>
        <w:pStyle w:val="ListParagraph"/>
        <w:spacing w:line="480" w:lineRule="auto"/>
        <w:jc w:val="both"/>
        <w:rPr>
          <w:rFonts w:ascii="Arial" w:hAnsi="Arial" w:cs="Arial"/>
          <w:lang w:val="en-US"/>
        </w:rPr>
      </w:pPr>
    </w:p>
    <w:p w14:paraId="40298E67" w14:textId="63282A33" w:rsidR="004847D8" w:rsidRPr="00170FA4" w:rsidRDefault="00170FA4" w:rsidP="00170FA4">
      <w:pPr>
        <w:spacing w:line="480" w:lineRule="auto"/>
        <w:ind w:left="851" w:hanging="851"/>
        <w:jc w:val="both"/>
        <w:rPr>
          <w:rFonts w:ascii="Arial" w:hAnsi="Arial" w:cs="Arial"/>
          <w:lang w:val="en-US"/>
        </w:rPr>
      </w:pPr>
      <w:r w:rsidRPr="006A2EC3">
        <w:rPr>
          <w:rFonts w:ascii="Arial" w:hAnsi="Arial" w:cs="Arial"/>
          <w:lang w:val="en-US"/>
        </w:rPr>
        <w:t>[17]</w:t>
      </w:r>
      <w:r w:rsidRPr="006A2EC3">
        <w:rPr>
          <w:rFonts w:ascii="Arial" w:hAnsi="Arial" w:cs="Arial"/>
          <w:lang w:val="en-US"/>
        </w:rPr>
        <w:tab/>
      </w:r>
      <w:r w:rsidR="004847D8" w:rsidRPr="00170FA4">
        <w:rPr>
          <w:rFonts w:ascii="Arial" w:hAnsi="Arial" w:cs="Arial"/>
          <w:lang w:val="en-US"/>
        </w:rPr>
        <w:t>On a factual level</w:t>
      </w:r>
      <w:r w:rsidR="00EC0B8F" w:rsidRPr="00170FA4">
        <w:rPr>
          <w:rFonts w:ascii="Arial" w:hAnsi="Arial" w:cs="Arial"/>
          <w:lang w:val="en-US"/>
        </w:rPr>
        <w:t>,</w:t>
      </w:r>
      <w:r w:rsidR="004847D8" w:rsidRPr="00170FA4">
        <w:rPr>
          <w:rFonts w:ascii="Arial" w:hAnsi="Arial" w:cs="Arial"/>
          <w:lang w:val="en-US"/>
        </w:rPr>
        <w:t xml:space="preserve"> the argument that the application is premature is simply not understood.  The respondent itself was, as early as 2021, intent on launching an application to have the agreement set aside on the basis that it is void or voidable.  In addition, the respondent participated in a process to have the dispute whether the agreement is void or voidable determined by arbitration.  </w:t>
      </w:r>
      <w:r w:rsidR="004847D8" w:rsidRPr="00170FA4">
        <w:rPr>
          <w:rFonts w:ascii="Arial" w:hAnsi="Arial" w:cs="Arial"/>
          <w:lang w:val="en-US"/>
        </w:rPr>
        <w:lastRenderedPageBreak/>
        <w:t>The respondent’s conduct evidenced a clear and unequivocal intention not to be bound by the agreement and, accordingly, the applicant cannot be faulted for launching this application.  In light of the respondent’s aforesaid conduct, this belated reliance on the application being premature is nothing more than an opportunistic, uncreditworthy afterthought to overcome the deficiencies in its own case.</w:t>
      </w:r>
    </w:p>
    <w:p w14:paraId="52D3206B" w14:textId="77777777" w:rsidR="004847D8" w:rsidRPr="006A2EC3" w:rsidRDefault="004847D8" w:rsidP="00EC0B8F">
      <w:pPr>
        <w:pStyle w:val="ListParagraph"/>
        <w:spacing w:line="480" w:lineRule="auto"/>
        <w:jc w:val="both"/>
        <w:rPr>
          <w:rFonts w:ascii="Arial" w:hAnsi="Arial" w:cs="Arial"/>
          <w:lang w:val="en-US"/>
        </w:rPr>
      </w:pPr>
    </w:p>
    <w:p w14:paraId="5FEE0991" w14:textId="48728134" w:rsidR="009B670F" w:rsidRPr="00170FA4" w:rsidRDefault="00170FA4" w:rsidP="00170FA4">
      <w:pPr>
        <w:spacing w:line="480" w:lineRule="auto"/>
        <w:ind w:left="851" w:hanging="851"/>
        <w:jc w:val="both"/>
        <w:rPr>
          <w:rFonts w:ascii="Arial" w:hAnsi="Arial" w:cs="Arial"/>
          <w:lang w:val="en-US"/>
        </w:rPr>
      </w:pPr>
      <w:r w:rsidRPr="006A2EC3">
        <w:rPr>
          <w:rFonts w:ascii="Arial" w:hAnsi="Arial" w:cs="Arial"/>
          <w:lang w:val="en-US"/>
        </w:rPr>
        <w:t>[18]</w:t>
      </w:r>
      <w:r w:rsidRPr="006A2EC3">
        <w:rPr>
          <w:rFonts w:ascii="Arial" w:hAnsi="Arial" w:cs="Arial"/>
          <w:lang w:val="en-US"/>
        </w:rPr>
        <w:tab/>
      </w:r>
      <w:r w:rsidR="004847D8" w:rsidRPr="00170FA4">
        <w:rPr>
          <w:rFonts w:ascii="Arial" w:hAnsi="Arial" w:cs="Arial"/>
          <w:lang w:val="en-US"/>
        </w:rPr>
        <w:t>On a legal principle level, the premature argument is also untenable.  The applicant relies on Section 21(1)(c) of the Superior Courts Act</w:t>
      </w:r>
      <w:r w:rsidR="004847D8" w:rsidRPr="006A2EC3">
        <w:rPr>
          <w:rStyle w:val="FootnoteReference"/>
          <w:rFonts w:ascii="Arial" w:hAnsi="Arial" w:cs="Arial"/>
          <w:lang w:val="en-US"/>
        </w:rPr>
        <w:footnoteReference w:id="6"/>
      </w:r>
      <w:r w:rsidR="004847D8" w:rsidRPr="00170FA4">
        <w:rPr>
          <w:rFonts w:ascii="Arial" w:hAnsi="Arial" w:cs="Arial"/>
          <w:lang w:val="en-US"/>
        </w:rPr>
        <w:t xml:space="preserve"> that it has the right to approach this court to determine </w:t>
      </w:r>
      <w:r w:rsidR="009B670F" w:rsidRPr="00170FA4">
        <w:rPr>
          <w:rFonts w:ascii="Arial" w:hAnsi="Arial" w:cs="Arial"/>
          <w:lang w:val="en-US"/>
        </w:rPr>
        <w:t>whether the agreement is valid and binding, despite the fact that it cannot claim any relief, at this juncture consequential upon such determination.  The applicant’s right to such determination, or issuing of a declaratory order, is subject to the court’s discretion.  A court should decline to issue a declaratory order, as it may amount to an advisory opinion on abstract propositions of law if there is no existing or live controversy.</w:t>
      </w:r>
      <w:r w:rsidR="009B670F" w:rsidRPr="006A2EC3">
        <w:rPr>
          <w:rStyle w:val="FootnoteReference"/>
          <w:rFonts w:ascii="Arial" w:hAnsi="Arial" w:cs="Arial"/>
          <w:lang w:val="en-US"/>
        </w:rPr>
        <w:footnoteReference w:id="7"/>
      </w:r>
      <w:r w:rsidR="009B670F" w:rsidRPr="00170FA4">
        <w:rPr>
          <w:rFonts w:ascii="Arial" w:hAnsi="Arial" w:cs="Arial"/>
          <w:lang w:val="en-US"/>
        </w:rPr>
        <w:t xml:space="preserve">  Otherwise stated, a court should refuse to issue a declaratory order if it will not have some kind of practical effect.</w:t>
      </w:r>
      <w:r w:rsidR="009B670F" w:rsidRPr="006A2EC3">
        <w:rPr>
          <w:rStyle w:val="FootnoteReference"/>
          <w:rFonts w:ascii="Arial" w:hAnsi="Arial" w:cs="Arial"/>
          <w:lang w:val="en-US"/>
        </w:rPr>
        <w:footnoteReference w:id="8"/>
      </w:r>
      <w:r w:rsidR="004847D8" w:rsidRPr="00170FA4">
        <w:rPr>
          <w:rFonts w:ascii="Arial" w:hAnsi="Arial" w:cs="Arial"/>
          <w:lang w:val="en-US"/>
        </w:rPr>
        <w:tab/>
      </w:r>
    </w:p>
    <w:p w14:paraId="5BA1A822" w14:textId="6E426E52" w:rsidR="008974E8" w:rsidRPr="00170FA4" w:rsidRDefault="00170FA4" w:rsidP="00170FA4">
      <w:pPr>
        <w:spacing w:line="480" w:lineRule="auto"/>
        <w:ind w:left="851" w:hanging="851"/>
        <w:jc w:val="both"/>
        <w:rPr>
          <w:rFonts w:ascii="Arial" w:hAnsi="Arial" w:cs="Arial"/>
          <w:lang w:val="en-US"/>
        </w:rPr>
      </w:pPr>
      <w:r w:rsidRPr="006A2EC3">
        <w:rPr>
          <w:rFonts w:ascii="Arial" w:hAnsi="Arial" w:cs="Arial"/>
          <w:lang w:val="en-US"/>
        </w:rPr>
        <w:t>[19]</w:t>
      </w:r>
      <w:r w:rsidRPr="006A2EC3">
        <w:rPr>
          <w:rFonts w:ascii="Arial" w:hAnsi="Arial" w:cs="Arial"/>
          <w:lang w:val="en-US"/>
        </w:rPr>
        <w:tab/>
      </w:r>
      <w:r w:rsidR="009B670F" w:rsidRPr="00170FA4">
        <w:rPr>
          <w:rFonts w:ascii="Arial" w:hAnsi="Arial" w:cs="Arial"/>
          <w:lang w:val="en-US"/>
        </w:rPr>
        <w:t xml:space="preserve">The </w:t>
      </w:r>
      <w:r w:rsidR="008974E8" w:rsidRPr="00170FA4">
        <w:rPr>
          <w:rFonts w:ascii="Arial" w:hAnsi="Arial" w:cs="Arial"/>
          <w:lang w:val="en-US"/>
        </w:rPr>
        <w:t xml:space="preserve">applicant clearly has an immediate interest in having the validity of the agreement determined.  The applicant has agreed to fund the respondent’s litigation against the Minister with the ultimate pay-off to the applicant being that it will enter into a newco with the respondent on an agreed shareholding and profit share basis, in the event of the litigation against the Minister being </w:t>
      </w:r>
      <w:r w:rsidR="008974E8" w:rsidRPr="00170FA4">
        <w:rPr>
          <w:rFonts w:ascii="Arial" w:hAnsi="Arial" w:cs="Arial"/>
          <w:lang w:val="en-US"/>
        </w:rPr>
        <w:lastRenderedPageBreak/>
        <w:t xml:space="preserve">resolved in favour of the respondent.  The applicant clearly entered into the agreement with such benefit in mind.  Had there been no suggestion of a benefit in the long term to the applicant, I highly doubt whether the applicant would have entered into the agreement.  This doubt is fortified by the lack of any averment and evidence by the respondent that the applicant is a benevolent funder of litigation without expecting any benefit in return.  </w:t>
      </w:r>
    </w:p>
    <w:p w14:paraId="77E3BF37" w14:textId="77777777" w:rsidR="008974E8" w:rsidRPr="006A2EC3" w:rsidRDefault="008974E8" w:rsidP="00EC0B8F">
      <w:pPr>
        <w:spacing w:line="480" w:lineRule="auto"/>
        <w:jc w:val="both"/>
        <w:rPr>
          <w:rFonts w:ascii="Arial" w:hAnsi="Arial" w:cs="Arial"/>
          <w:lang w:val="en-US"/>
        </w:rPr>
      </w:pPr>
    </w:p>
    <w:p w14:paraId="429A89D1" w14:textId="3D61FEDD" w:rsidR="008974E8" w:rsidRPr="00170FA4" w:rsidRDefault="00170FA4" w:rsidP="00170FA4">
      <w:pPr>
        <w:spacing w:line="480" w:lineRule="auto"/>
        <w:ind w:left="851" w:hanging="851"/>
        <w:jc w:val="both"/>
        <w:rPr>
          <w:rFonts w:ascii="Arial" w:hAnsi="Arial" w:cs="Arial"/>
          <w:lang w:val="en-US"/>
        </w:rPr>
      </w:pPr>
      <w:r w:rsidRPr="006A2EC3">
        <w:rPr>
          <w:rFonts w:ascii="Arial" w:hAnsi="Arial" w:cs="Arial"/>
          <w:lang w:val="en-US"/>
        </w:rPr>
        <w:t>[20]</w:t>
      </w:r>
      <w:r w:rsidRPr="006A2EC3">
        <w:rPr>
          <w:rFonts w:ascii="Arial" w:hAnsi="Arial" w:cs="Arial"/>
          <w:lang w:val="en-US"/>
        </w:rPr>
        <w:tab/>
      </w:r>
      <w:r w:rsidR="008974E8" w:rsidRPr="00170FA4">
        <w:rPr>
          <w:rFonts w:ascii="Arial" w:hAnsi="Arial" w:cs="Arial"/>
          <w:lang w:val="en-US"/>
        </w:rPr>
        <w:t>It seems to me that the respondent has grown discontent with the agreement it had voluntarily entered into and has embarked on a course of action to find any way to resile from the agreement, even inconceivable ways.</w:t>
      </w:r>
      <w:r w:rsidR="00F965A3" w:rsidRPr="00170FA4">
        <w:rPr>
          <w:rFonts w:ascii="Arial" w:hAnsi="Arial" w:cs="Arial"/>
          <w:lang w:val="en-US"/>
        </w:rPr>
        <w:t xml:space="preserve">  In my view the respondent is </w:t>
      </w:r>
      <w:r w:rsidR="00F965A3" w:rsidRPr="00170FA4">
        <w:rPr>
          <w:rFonts w:ascii="Arial" w:hAnsi="Arial" w:cs="Arial"/>
          <w:i/>
          <w:iCs/>
          <w:lang w:val="en-US"/>
        </w:rPr>
        <w:t>mala fide</w:t>
      </w:r>
      <w:r w:rsidR="00F965A3" w:rsidRPr="00170FA4">
        <w:rPr>
          <w:rFonts w:ascii="Arial" w:hAnsi="Arial" w:cs="Arial"/>
          <w:lang w:val="en-US"/>
        </w:rPr>
        <w:t xml:space="preserve"> in its actions in seeking to resile from the agreement on such inconceivable grounds. </w:t>
      </w:r>
    </w:p>
    <w:p w14:paraId="6487F506" w14:textId="77777777" w:rsidR="00EC0B8F" w:rsidRPr="006A2EC3" w:rsidRDefault="00EC0B8F" w:rsidP="00EC0B8F">
      <w:pPr>
        <w:pStyle w:val="ListParagraph"/>
        <w:spacing w:line="480" w:lineRule="auto"/>
        <w:jc w:val="both"/>
        <w:rPr>
          <w:rFonts w:ascii="Arial" w:hAnsi="Arial" w:cs="Arial"/>
          <w:lang w:val="en-US"/>
        </w:rPr>
      </w:pPr>
    </w:p>
    <w:p w14:paraId="36408701" w14:textId="6AF70F7A" w:rsidR="00EC0B8F" w:rsidRPr="00170FA4" w:rsidRDefault="00170FA4" w:rsidP="00170FA4">
      <w:pPr>
        <w:spacing w:line="480" w:lineRule="auto"/>
        <w:ind w:left="851" w:hanging="851"/>
        <w:jc w:val="both"/>
        <w:rPr>
          <w:rFonts w:ascii="Arial" w:hAnsi="Arial" w:cs="Arial"/>
          <w:lang w:val="en-US"/>
        </w:rPr>
      </w:pPr>
      <w:r w:rsidRPr="006A2EC3">
        <w:rPr>
          <w:rFonts w:ascii="Arial" w:hAnsi="Arial" w:cs="Arial"/>
          <w:lang w:val="en-US"/>
        </w:rPr>
        <w:t>[21]</w:t>
      </w:r>
      <w:r w:rsidRPr="006A2EC3">
        <w:rPr>
          <w:rFonts w:ascii="Arial" w:hAnsi="Arial" w:cs="Arial"/>
          <w:lang w:val="en-US"/>
        </w:rPr>
        <w:tab/>
      </w:r>
      <w:r w:rsidR="00EC0B8F" w:rsidRPr="00170FA4">
        <w:rPr>
          <w:rFonts w:ascii="Arial" w:hAnsi="Arial" w:cs="Arial"/>
          <w:lang w:val="en-US"/>
        </w:rPr>
        <w:t xml:space="preserve">In light of the aforesaid, the applicant is entitled to know whether it has cause to continue funding the litigation on behalf of the respondent or not.  An immediate live controversy exists, which determination will have the practical effect for the applicant to decide whether the litigation against the Minister should continue to be funded by it or not.  </w:t>
      </w:r>
    </w:p>
    <w:p w14:paraId="3DA5DE55" w14:textId="77777777" w:rsidR="008974E8" w:rsidRPr="006A2EC3" w:rsidRDefault="008974E8" w:rsidP="00EC0B8F">
      <w:pPr>
        <w:pStyle w:val="ListParagraph"/>
        <w:spacing w:line="480" w:lineRule="auto"/>
        <w:jc w:val="both"/>
        <w:rPr>
          <w:rFonts w:ascii="Arial" w:hAnsi="Arial" w:cs="Arial"/>
          <w:lang w:val="en-US"/>
        </w:rPr>
      </w:pPr>
    </w:p>
    <w:p w14:paraId="215F4BDC" w14:textId="0118DAD8" w:rsidR="009B670F" w:rsidRPr="00170FA4" w:rsidRDefault="00170FA4" w:rsidP="00170FA4">
      <w:pPr>
        <w:spacing w:line="480" w:lineRule="auto"/>
        <w:ind w:left="851" w:hanging="851"/>
        <w:jc w:val="both"/>
        <w:rPr>
          <w:rFonts w:ascii="Arial" w:hAnsi="Arial" w:cs="Arial"/>
          <w:lang w:val="en-US"/>
        </w:rPr>
      </w:pPr>
      <w:r w:rsidRPr="006A2EC3">
        <w:rPr>
          <w:rFonts w:ascii="Arial" w:hAnsi="Arial" w:cs="Arial"/>
          <w:lang w:val="en-US"/>
        </w:rPr>
        <w:t>[22]</w:t>
      </w:r>
      <w:r w:rsidRPr="006A2EC3">
        <w:rPr>
          <w:rFonts w:ascii="Arial" w:hAnsi="Arial" w:cs="Arial"/>
          <w:lang w:val="en-US"/>
        </w:rPr>
        <w:tab/>
      </w:r>
      <w:r w:rsidR="00F965A3" w:rsidRPr="00170FA4">
        <w:rPr>
          <w:rFonts w:ascii="Arial" w:hAnsi="Arial" w:cs="Arial"/>
          <w:lang w:val="en-US"/>
        </w:rPr>
        <w:t>Accordingly, i</w:t>
      </w:r>
      <w:r w:rsidR="008974E8" w:rsidRPr="00170FA4">
        <w:rPr>
          <w:rFonts w:ascii="Arial" w:hAnsi="Arial" w:cs="Arial"/>
          <w:lang w:val="en-US"/>
        </w:rPr>
        <w:t>n my view, a declaratory order is appropriate in this matter.</w:t>
      </w:r>
    </w:p>
    <w:p w14:paraId="47920483" w14:textId="77777777" w:rsidR="00F965A3" w:rsidRPr="006A2EC3" w:rsidRDefault="00F965A3" w:rsidP="00EC0B8F">
      <w:pPr>
        <w:pStyle w:val="ListParagraph"/>
        <w:spacing w:line="480" w:lineRule="auto"/>
        <w:jc w:val="both"/>
        <w:rPr>
          <w:rFonts w:ascii="Arial" w:hAnsi="Arial" w:cs="Arial"/>
          <w:lang w:val="en-US"/>
        </w:rPr>
      </w:pPr>
    </w:p>
    <w:p w14:paraId="3A115FB9" w14:textId="47F50107" w:rsidR="00F965A3" w:rsidRPr="00170FA4" w:rsidRDefault="00170FA4" w:rsidP="00170FA4">
      <w:pPr>
        <w:spacing w:line="480" w:lineRule="auto"/>
        <w:ind w:left="851" w:hanging="851"/>
        <w:jc w:val="both"/>
        <w:rPr>
          <w:rFonts w:ascii="Arial" w:hAnsi="Arial" w:cs="Arial"/>
          <w:lang w:val="en-US"/>
        </w:rPr>
      </w:pPr>
      <w:r w:rsidRPr="006A2EC3">
        <w:rPr>
          <w:rFonts w:ascii="Arial" w:hAnsi="Arial" w:cs="Arial"/>
          <w:lang w:val="en-US"/>
        </w:rPr>
        <w:t>[23]</w:t>
      </w:r>
      <w:r w:rsidRPr="006A2EC3">
        <w:rPr>
          <w:rFonts w:ascii="Arial" w:hAnsi="Arial" w:cs="Arial"/>
          <w:lang w:val="en-US"/>
        </w:rPr>
        <w:tab/>
      </w:r>
      <w:r w:rsidR="00F965A3" w:rsidRPr="00170FA4">
        <w:rPr>
          <w:rFonts w:ascii="Arial" w:hAnsi="Arial" w:cs="Arial"/>
          <w:lang w:val="en-US"/>
        </w:rPr>
        <w:t xml:space="preserve">The applicant sought no more than an ordinary costs order against the respondent.  In my view, the conduct of the respondent is so opportunistic, </w:t>
      </w:r>
      <w:r w:rsidR="00F965A3" w:rsidRPr="00170FA4">
        <w:rPr>
          <w:rFonts w:ascii="Arial" w:hAnsi="Arial" w:cs="Arial"/>
          <w:i/>
          <w:iCs/>
          <w:lang w:val="en-US"/>
        </w:rPr>
        <w:t>mala fide</w:t>
      </w:r>
      <w:r w:rsidR="00F965A3" w:rsidRPr="00170FA4">
        <w:rPr>
          <w:rFonts w:ascii="Arial" w:hAnsi="Arial" w:cs="Arial"/>
          <w:lang w:val="en-US"/>
        </w:rPr>
        <w:t xml:space="preserve"> and ill-founded that had the applicant sought a punitive costs order against the respondent I would have been inclined to grant such an order.  </w:t>
      </w:r>
      <w:r w:rsidR="00F965A3" w:rsidRPr="00170FA4">
        <w:rPr>
          <w:rFonts w:ascii="Arial" w:hAnsi="Arial" w:cs="Arial"/>
          <w:lang w:val="en-US"/>
        </w:rPr>
        <w:lastRenderedPageBreak/>
        <w:t>However, as the applicant did not seek a punitive costs order and the respondent’s legal representative did not have an opportunity to address me on this aspect, I do not deem it fair to grant a punitive costs order, even where the facts clearly warrant such an order.</w:t>
      </w:r>
    </w:p>
    <w:p w14:paraId="16FD9DA2" w14:textId="77777777" w:rsidR="00F965A3" w:rsidRPr="006A2EC3" w:rsidRDefault="00F965A3" w:rsidP="00EC0B8F">
      <w:pPr>
        <w:pStyle w:val="ListParagraph"/>
        <w:spacing w:line="480" w:lineRule="auto"/>
        <w:jc w:val="both"/>
        <w:rPr>
          <w:rFonts w:ascii="Arial" w:hAnsi="Arial" w:cs="Arial"/>
          <w:lang w:val="en-US"/>
        </w:rPr>
      </w:pPr>
    </w:p>
    <w:p w14:paraId="4AC8DE1B" w14:textId="5C9FDD5C" w:rsidR="00F965A3" w:rsidRPr="00170FA4" w:rsidRDefault="00170FA4" w:rsidP="00170FA4">
      <w:pPr>
        <w:spacing w:line="480" w:lineRule="auto"/>
        <w:ind w:left="851" w:hanging="851"/>
        <w:jc w:val="both"/>
        <w:rPr>
          <w:rFonts w:ascii="Arial" w:hAnsi="Arial" w:cs="Arial"/>
          <w:lang w:val="en-US"/>
        </w:rPr>
      </w:pPr>
      <w:r w:rsidRPr="006A2EC3">
        <w:rPr>
          <w:rFonts w:ascii="Arial" w:hAnsi="Arial" w:cs="Arial"/>
          <w:lang w:val="en-US"/>
        </w:rPr>
        <w:t>[24]</w:t>
      </w:r>
      <w:r w:rsidRPr="006A2EC3">
        <w:rPr>
          <w:rFonts w:ascii="Arial" w:hAnsi="Arial" w:cs="Arial"/>
          <w:lang w:val="en-US"/>
        </w:rPr>
        <w:tab/>
      </w:r>
      <w:r w:rsidR="00F965A3" w:rsidRPr="00170FA4">
        <w:rPr>
          <w:rFonts w:ascii="Arial" w:hAnsi="Arial" w:cs="Arial"/>
          <w:lang w:val="en-US"/>
        </w:rPr>
        <w:t>In the premises I make the following order:</w:t>
      </w:r>
    </w:p>
    <w:p w14:paraId="1A4475A1" w14:textId="77777777" w:rsidR="00F965A3" w:rsidRPr="006A2EC3" w:rsidRDefault="00F965A3" w:rsidP="00EC0B8F">
      <w:pPr>
        <w:pStyle w:val="ListParagraph"/>
        <w:spacing w:line="480" w:lineRule="auto"/>
        <w:jc w:val="both"/>
        <w:rPr>
          <w:rFonts w:ascii="Arial" w:hAnsi="Arial" w:cs="Arial"/>
          <w:lang w:val="en-US"/>
        </w:rPr>
      </w:pPr>
    </w:p>
    <w:p w14:paraId="7F82B714" w14:textId="3F3966C4" w:rsidR="00F965A3" w:rsidRPr="00170FA4" w:rsidRDefault="00170FA4" w:rsidP="00170FA4">
      <w:pPr>
        <w:spacing w:line="480" w:lineRule="auto"/>
        <w:ind w:left="1211" w:hanging="360"/>
        <w:jc w:val="both"/>
        <w:rPr>
          <w:rFonts w:ascii="Arial" w:hAnsi="Arial" w:cs="Arial"/>
          <w:lang w:val="en-US"/>
        </w:rPr>
      </w:pPr>
      <w:r w:rsidRPr="006A2EC3">
        <w:rPr>
          <w:rFonts w:ascii="Arial" w:hAnsi="Arial" w:cs="Arial"/>
          <w:lang w:val="en-US"/>
        </w:rPr>
        <w:t>1.</w:t>
      </w:r>
      <w:r w:rsidRPr="006A2EC3">
        <w:rPr>
          <w:rFonts w:ascii="Arial" w:hAnsi="Arial" w:cs="Arial"/>
          <w:lang w:val="en-US"/>
        </w:rPr>
        <w:tab/>
      </w:r>
      <w:r w:rsidR="00F965A3" w:rsidRPr="00170FA4">
        <w:rPr>
          <w:rFonts w:ascii="Arial" w:hAnsi="Arial" w:cs="Arial"/>
          <w:lang w:val="en-US"/>
        </w:rPr>
        <w:t>It be and hereby is declared that the written agreement entered into between the applicant and the respondent on or about 16 June 2020, inclusive of the addendum thereto entered into on or about 11 September 2020, is declared valid, binding and enforceable.</w:t>
      </w:r>
    </w:p>
    <w:p w14:paraId="407A91C9" w14:textId="54E28666" w:rsidR="00F965A3" w:rsidRPr="006A2EC3" w:rsidRDefault="00F965A3" w:rsidP="00EC0B8F">
      <w:pPr>
        <w:pStyle w:val="ListParagraph"/>
        <w:spacing w:line="480" w:lineRule="auto"/>
        <w:ind w:left="1211"/>
        <w:jc w:val="both"/>
        <w:rPr>
          <w:rFonts w:ascii="Arial" w:hAnsi="Arial" w:cs="Arial"/>
          <w:lang w:val="en-US"/>
        </w:rPr>
      </w:pPr>
    </w:p>
    <w:p w14:paraId="5D3C1FDB" w14:textId="43AA8F74" w:rsidR="004D7301" w:rsidRPr="00170FA4" w:rsidRDefault="00170FA4" w:rsidP="00170FA4">
      <w:pPr>
        <w:spacing w:line="480" w:lineRule="auto"/>
        <w:ind w:left="1211" w:hanging="360"/>
        <w:jc w:val="both"/>
        <w:rPr>
          <w:rFonts w:ascii="Arial" w:hAnsi="Arial" w:cs="Arial"/>
          <w:lang w:val="en-US"/>
        </w:rPr>
      </w:pPr>
      <w:r>
        <w:rPr>
          <w:rFonts w:ascii="Arial" w:hAnsi="Arial" w:cs="Arial"/>
          <w:lang w:val="en-US"/>
        </w:rPr>
        <w:t>2.</w:t>
      </w:r>
      <w:r>
        <w:rPr>
          <w:rFonts w:ascii="Arial" w:hAnsi="Arial" w:cs="Arial"/>
          <w:lang w:val="en-US"/>
        </w:rPr>
        <w:tab/>
      </w:r>
      <w:r w:rsidR="00F965A3" w:rsidRPr="00170FA4">
        <w:rPr>
          <w:rFonts w:ascii="Arial" w:hAnsi="Arial" w:cs="Arial"/>
          <w:lang w:val="en-US"/>
        </w:rPr>
        <w:t>The respondent is to pay the costs of the application.</w:t>
      </w:r>
    </w:p>
    <w:p w14:paraId="1CDA1CC1" w14:textId="77777777" w:rsidR="006A2EC3" w:rsidRPr="006A2EC3" w:rsidRDefault="006A2EC3" w:rsidP="006A2EC3">
      <w:pPr>
        <w:pStyle w:val="ListParagraph"/>
        <w:rPr>
          <w:rFonts w:ascii="Arial" w:hAnsi="Arial" w:cs="Arial"/>
          <w:lang w:val="en-US"/>
        </w:rPr>
      </w:pPr>
    </w:p>
    <w:p w14:paraId="2DF99400" w14:textId="77777777" w:rsidR="006A2EC3" w:rsidRPr="006A2EC3" w:rsidRDefault="006A2EC3" w:rsidP="006A2EC3">
      <w:pPr>
        <w:pStyle w:val="ListParagraph"/>
        <w:rPr>
          <w:rFonts w:ascii="Arial" w:hAnsi="Arial" w:cs="Arial"/>
          <w:lang w:val="en-US"/>
        </w:rPr>
      </w:pPr>
    </w:p>
    <w:p w14:paraId="5245365D" w14:textId="77777777" w:rsidR="006A2EC3" w:rsidRPr="006A2EC3" w:rsidRDefault="006A2EC3" w:rsidP="006A2EC3">
      <w:pPr>
        <w:spacing w:line="480" w:lineRule="auto"/>
        <w:jc w:val="right"/>
        <w:rPr>
          <w:rFonts w:ascii="Arial" w:hAnsi="Arial" w:cs="Arial"/>
          <w:lang w:val="en-US"/>
        </w:rPr>
      </w:pPr>
      <w:r w:rsidRPr="006A2EC3">
        <w:rPr>
          <w:rFonts w:ascii="Arial" w:hAnsi="Arial" w:cs="Arial"/>
          <w:lang w:val="en-US"/>
        </w:rPr>
        <w:t xml:space="preserve">________________ </w:t>
      </w:r>
    </w:p>
    <w:p w14:paraId="44437257" w14:textId="77777777" w:rsidR="006A2EC3" w:rsidRPr="006A2EC3" w:rsidRDefault="006A2EC3" w:rsidP="006A2EC3">
      <w:pPr>
        <w:spacing w:line="480" w:lineRule="auto"/>
        <w:jc w:val="right"/>
        <w:rPr>
          <w:rFonts w:ascii="Arial" w:hAnsi="Arial" w:cs="Arial"/>
          <w:lang w:val="en-US"/>
        </w:rPr>
      </w:pPr>
      <w:r w:rsidRPr="006A2EC3">
        <w:rPr>
          <w:rFonts w:ascii="Arial" w:hAnsi="Arial" w:cs="Arial"/>
          <w:lang w:val="en-US"/>
        </w:rPr>
        <w:t>C THOMPSON</w:t>
      </w:r>
    </w:p>
    <w:p w14:paraId="6A86444D" w14:textId="77777777" w:rsidR="006A2EC3" w:rsidRPr="006A2EC3" w:rsidRDefault="006A2EC3" w:rsidP="006A2EC3">
      <w:pPr>
        <w:spacing w:line="480" w:lineRule="auto"/>
        <w:jc w:val="right"/>
        <w:rPr>
          <w:rFonts w:ascii="Arial" w:hAnsi="Arial" w:cs="Arial"/>
          <w:lang w:val="en-US"/>
        </w:rPr>
      </w:pPr>
      <w:r w:rsidRPr="006A2EC3">
        <w:rPr>
          <w:rFonts w:ascii="Arial" w:hAnsi="Arial" w:cs="Arial"/>
          <w:lang w:val="en-US"/>
        </w:rPr>
        <w:t>ACTING JUDGE OF THE HIGH COURT</w:t>
      </w:r>
    </w:p>
    <w:p w14:paraId="3BF72FDD" w14:textId="77777777" w:rsidR="006A2EC3" w:rsidRPr="006A2EC3" w:rsidRDefault="006A2EC3" w:rsidP="006A2EC3">
      <w:pPr>
        <w:spacing w:line="480" w:lineRule="auto"/>
        <w:jc w:val="right"/>
        <w:rPr>
          <w:rFonts w:ascii="Arial" w:hAnsi="Arial" w:cs="Arial"/>
          <w:lang w:val="en-US"/>
        </w:rPr>
      </w:pPr>
      <w:r w:rsidRPr="006A2EC3">
        <w:rPr>
          <w:rFonts w:ascii="Arial" w:hAnsi="Arial" w:cs="Arial"/>
          <w:lang w:val="en-US"/>
        </w:rPr>
        <w:t>GAUTENG LOCAL DIVISION, JOHANNESBURG</w:t>
      </w:r>
    </w:p>
    <w:p w14:paraId="57AE6701" w14:textId="77777777" w:rsidR="006A2EC3" w:rsidRDefault="006A2EC3" w:rsidP="006A2EC3">
      <w:pPr>
        <w:spacing w:line="480" w:lineRule="auto"/>
        <w:jc w:val="both"/>
        <w:rPr>
          <w:rFonts w:ascii="Arial" w:hAnsi="Arial" w:cs="Arial"/>
          <w:lang w:val="en-US"/>
        </w:rPr>
      </w:pPr>
    </w:p>
    <w:p w14:paraId="14F40EB9" w14:textId="6ED93D2B" w:rsidR="006A2EC3" w:rsidRPr="006A2EC3" w:rsidRDefault="006A2EC3" w:rsidP="006A2EC3">
      <w:pPr>
        <w:spacing w:line="480" w:lineRule="auto"/>
        <w:jc w:val="both"/>
        <w:rPr>
          <w:rFonts w:ascii="Arial" w:hAnsi="Arial" w:cs="Arial"/>
          <w:lang w:val="en-US"/>
        </w:rPr>
      </w:pPr>
      <w:r w:rsidRPr="006A2EC3">
        <w:rPr>
          <w:rFonts w:ascii="Arial" w:hAnsi="Arial" w:cs="Arial"/>
          <w:lang w:val="en-US"/>
        </w:rPr>
        <w:t>COUNSEL FOR THE APPLICANT:</w:t>
      </w:r>
      <w:r w:rsidR="00474DB9">
        <w:rPr>
          <w:rFonts w:ascii="Arial" w:hAnsi="Arial" w:cs="Arial"/>
          <w:lang w:val="en-US"/>
        </w:rPr>
        <w:t xml:space="preserve"> </w:t>
      </w:r>
      <w:r w:rsidR="00474DB9">
        <w:rPr>
          <w:rFonts w:ascii="Arial" w:hAnsi="Arial" w:cs="Arial"/>
          <w:lang w:val="en-US"/>
        </w:rPr>
        <w:tab/>
        <w:t xml:space="preserve"> ADV L. HOLLANDER</w:t>
      </w:r>
      <w:r w:rsidRPr="006A2EC3">
        <w:rPr>
          <w:rFonts w:ascii="Arial" w:hAnsi="Arial" w:cs="Arial"/>
          <w:lang w:val="en-US"/>
        </w:rPr>
        <w:tab/>
      </w:r>
      <w:r w:rsidRPr="006A2EC3">
        <w:rPr>
          <w:rFonts w:ascii="Arial" w:hAnsi="Arial" w:cs="Arial"/>
          <w:lang w:val="en-US"/>
        </w:rPr>
        <w:tab/>
      </w:r>
    </w:p>
    <w:p w14:paraId="71E59616" w14:textId="279EA58E" w:rsidR="006A2EC3" w:rsidRPr="006A2EC3" w:rsidRDefault="006A2EC3" w:rsidP="006A2EC3">
      <w:pPr>
        <w:spacing w:line="480" w:lineRule="auto"/>
        <w:jc w:val="both"/>
        <w:rPr>
          <w:rFonts w:ascii="Arial" w:hAnsi="Arial" w:cs="Arial"/>
          <w:lang w:val="en-US"/>
        </w:rPr>
      </w:pPr>
      <w:r w:rsidRPr="006A2EC3">
        <w:rPr>
          <w:rFonts w:ascii="Arial" w:hAnsi="Arial" w:cs="Arial"/>
          <w:lang w:val="en-US"/>
        </w:rPr>
        <w:t>APPLICANT’S ATTORNEYS:</w:t>
      </w:r>
      <w:r w:rsidRPr="006A2EC3">
        <w:rPr>
          <w:rFonts w:ascii="Arial" w:hAnsi="Arial" w:cs="Arial"/>
          <w:lang w:val="en-US"/>
        </w:rPr>
        <w:tab/>
      </w:r>
      <w:r w:rsidRPr="006A2EC3">
        <w:rPr>
          <w:rFonts w:ascii="Arial" w:hAnsi="Arial" w:cs="Arial"/>
          <w:lang w:val="en-US"/>
        </w:rPr>
        <w:tab/>
        <w:t xml:space="preserve"> </w:t>
      </w:r>
      <w:r w:rsidR="00474DB9">
        <w:rPr>
          <w:rFonts w:ascii="Arial" w:hAnsi="Arial" w:cs="Arial"/>
          <w:lang w:val="en-US"/>
        </w:rPr>
        <w:t>THERON, JORDAAN &amp; SMITH INC</w:t>
      </w:r>
    </w:p>
    <w:p w14:paraId="0FBBC3C1" w14:textId="68D8BE31" w:rsidR="006A2EC3" w:rsidRPr="006A2EC3" w:rsidRDefault="006A2EC3" w:rsidP="006A2EC3">
      <w:pPr>
        <w:spacing w:line="480" w:lineRule="auto"/>
        <w:jc w:val="both"/>
        <w:rPr>
          <w:rFonts w:ascii="Arial" w:hAnsi="Arial" w:cs="Arial"/>
          <w:lang w:val="en-US"/>
        </w:rPr>
      </w:pPr>
      <w:r w:rsidRPr="006A2EC3">
        <w:rPr>
          <w:rFonts w:ascii="Arial" w:hAnsi="Arial" w:cs="Arial"/>
          <w:lang w:val="en-US"/>
        </w:rPr>
        <w:t xml:space="preserve">COUNSEL FOR THE RESPONDENTS: </w:t>
      </w:r>
      <w:r w:rsidRPr="006A2EC3">
        <w:rPr>
          <w:rFonts w:ascii="Arial" w:hAnsi="Arial" w:cs="Arial"/>
          <w:lang w:val="en-US"/>
        </w:rPr>
        <w:tab/>
      </w:r>
      <w:r w:rsidR="00474DB9">
        <w:rPr>
          <w:rFonts w:ascii="Arial" w:hAnsi="Arial" w:cs="Arial"/>
          <w:lang w:val="en-US"/>
        </w:rPr>
        <w:t xml:space="preserve"> S.J MSIZA</w:t>
      </w:r>
    </w:p>
    <w:p w14:paraId="31517D09" w14:textId="59D9A712" w:rsidR="006A2EC3" w:rsidRPr="006A2EC3" w:rsidRDefault="006A2EC3" w:rsidP="006A2EC3">
      <w:pPr>
        <w:spacing w:line="480" w:lineRule="auto"/>
        <w:jc w:val="both"/>
        <w:rPr>
          <w:rFonts w:ascii="Arial" w:hAnsi="Arial" w:cs="Arial"/>
          <w:lang w:val="en-US"/>
        </w:rPr>
      </w:pPr>
      <w:r w:rsidRPr="006A2EC3">
        <w:rPr>
          <w:rFonts w:ascii="Arial" w:hAnsi="Arial" w:cs="Arial"/>
          <w:lang w:val="en-US"/>
        </w:rPr>
        <w:t>RESPONDENTS ATTORNEYS:</w:t>
      </w:r>
      <w:r w:rsidRPr="006A2EC3">
        <w:rPr>
          <w:rFonts w:ascii="Arial" w:hAnsi="Arial" w:cs="Arial"/>
          <w:lang w:val="en-US"/>
        </w:rPr>
        <w:tab/>
      </w:r>
      <w:r w:rsidRPr="006A2EC3">
        <w:rPr>
          <w:rFonts w:ascii="Arial" w:hAnsi="Arial" w:cs="Arial"/>
          <w:lang w:val="en-US"/>
        </w:rPr>
        <w:tab/>
      </w:r>
      <w:r w:rsidR="00474DB9">
        <w:rPr>
          <w:rFonts w:ascii="Arial" w:hAnsi="Arial" w:cs="Arial"/>
          <w:lang w:val="en-US"/>
        </w:rPr>
        <w:t xml:space="preserve"> MSIZA &amp; ASSOCIATES ATTORNEYS</w:t>
      </w:r>
    </w:p>
    <w:p w14:paraId="1E368568" w14:textId="119B234F" w:rsidR="006A2EC3" w:rsidRPr="006A2EC3" w:rsidRDefault="006A2EC3" w:rsidP="006A2EC3">
      <w:pPr>
        <w:spacing w:line="480" w:lineRule="auto"/>
        <w:jc w:val="both"/>
        <w:rPr>
          <w:rFonts w:ascii="Arial" w:hAnsi="Arial" w:cs="Arial"/>
          <w:lang w:val="en-US"/>
        </w:rPr>
      </w:pPr>
      <w:r w:rsidRPr="006A2EC3">
        <w:rPr>
          <w:rFonts w:ascii="Arial" w:hAnsi="Arial" w:cs="Arial"/>
          <w:lang w:val="en-US"/>
        </w:rPr>
        <w:t>DATE OF HEARING:</w:t>
      </w:r>
      <w:r w:rsidRPr="006A2EC3">
        <w:rPr>
          <w:rFonts w:ascii="Arial" w:hAnsi="Arial" w:cs="Arial"/>
          <w:lang w:val="en-US"/>
        </w:rPr>
        <w:tab/>
      </w:r>
      <w:r w:rsidRPr="006A2EC3">
        <w:rPr>
          <w:rFonts w:ascii="Arial" w:hAnsi="Arial" w:cs="Arial"/>
          <w:lang w:val="en-US"/>
        </w:rPr>
        <w:tab/>
      </w:r>
      <w:r w:rsidR="002E1713">
        <w:rPr>
          <w:rFonts w:ascii="Arial" w:hAnsi="Arial" w:cs="Arial"/>
          <w:lang w:val="en-US"/>
        </w:rPr>
        <w:tab/>
        <w:t xml:space="preserve"> 15 MAY 2023</w:t>
      </w:r>
    </w:p>
    <w:p w14:paraId="2CA8B708" w14:textId="142E2983" w:rsidR="006A2EC3" w:rsidRPr="006A2EC3" w:rsidRDefault="006A2EC3" w:rsidP="006A2EC3">
      <w:pPr>
        <w:spacing w:line="480" w:lineRule="auto"/>
        <w:rPr>
          <w:rFonts w:ascii="Arial" w:hAnsi="Arial" w:cs="Arial"/>
          <w:lang w:val="en-US"/>
        </w:rPr>
      </w:pPr>
      <w:r w:rsidRPr="006A2EC3">
        <w:rPr>
          <w:rFonts w:ascii="Arial" w:hAnsi="Arial" w:cs="Arial"/>
          <w:lang w:val="en-US"/>
        </w:rPr>
        <w:t>DATE OF JUDGMENT:</w:t>
      </w:r>
      <w:r w:rsidR="002E1713">
        <w:rPr>
          <w:rFonts w:ascii="Arial" w:hAnsi="Arial" w:cs="Arial"/>
          <w:lang w:val="en-US"/>
        </w:rPr>
        <w:tab/>
      </w:r>
      <w:r w:rsidR="002E1713">
        <w:rPr>
          <w:rFonts w:ascii="Arial" w:hAnsi="Arial" w:cs="Arial"/>
          <w:lang w:val="en-US"/>
        </w:rPr>
        <w:tab/>
      </w:r>
      <w:r w:rsidR="002E1713">
        <w:rPr>
          <w:rFonts w:ascii="Arial" w:hAnsi="Arial" w:cs="Arial"/>
          <w:lang w:val="en-US"/>
        </w:rPr>
        <w:tab/>
        <w:t xml:space="preserve"> 18 MAY 2023</w:t>
      </w:r>
    </w:p>
    <w:sectPr w:rsidR="006A2EC3" w:rsidRPr="006A2E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0CEAB" w14:textId="77777777" w:rsidR="005C58A9" w:rsidRDefault="005C58A9" w:rsidP="004D7301">
      <w:r>
        <w:separator/>
      </w:r>
    </w:p>
  </w:endnote>
  <w:endnote w:type="continuationSeparator" w:id="0">
    <w:p w14:paraId="437102D1" w14:textId="77777777" w:rsidR="005C58A9" w:rsidRDefault="005C58A9" w:rsidP="004D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C086E" w14:textId="77777777" w:rsidR="005C58A9" w:rsidRDefault="005C58A9" w:rsidP="004D7301">
      <w:r>
        <w:separator/>
      </w:r>
    </w:p>
  </w:footnote>
  <w:footnote w:type="continuationSeparator" w:id="0">
    <w:p w14:paraId="2B729D4F" w14:textId="77777777" w:rsidR="005C58A9" w:rsidRDefault="005C58A9" w:rsidP="004D7301">
      <w:r>
        <w:continuationSeparator/>
      </w:r>
    </w:p>
  </w:footnote>
  <w:footnote w:id="1">
    <w:p w14:paraId="6166C5C6" w14:textId="5A8C438E" w:rsidR="004D7301" w:rsidRPr="004D7301" w:rsidRDefault="004D7301">
      <w:pPr>
        <w:pStyle w:val="FootnoteText"/>
        <w:rPr>
          <w:rFonts w:cstheme="minorHAnsi"/>
          <w:color w:val="000000" w:themeColor="text1"/>
          <w:lang w:val="en-US"/>
        </w:rPr>
      </w:pPr>
      <w:r w:rsidRPr="004D7301">
        <w:rPr>
          <w:rStyle w:val="FootnoteReference"/>
          <w:rFonts w:cstheme="minorHAnsi"/>
          <w:color w:val="000000" w:themeColor="text1"/>
        </w:rPr>
        <w:footnoteRef/>
      </w:r>
      <w:r w:rsidRPr="004D7301">
        <w:rPr>
          <w:rFonts w:cstheme="minorHAnsi"/>
          <w:color w:val="000000" w:themeColor="text1"/>
        </w:rPr>
        <w:t xml:space="preserve"> </w:t>
      </w:r>
      <w:r w:rsidRPr="004D7301">
        <w:rPr>
          <w:rStyle w:val="Emphasis"/>
          <w:rFonts w:cstheme="minorHAnsi"/>
          <w:b/>
          <w:bCs/>
          <w:i w:val="0"/>
          <w:iCs w:val="0"/>
          <w:color w:val="000000" w:themeColor="text1"/>
        </w:rPr>
        <w:t>Plascon-Evans Paints Ltd v Van</w:t>
      </w:r>
      <w:r w:rsidRPr="004D7301">
        <w:rPr>
          <w:rStyle w:val="apple-converted-space"/>
          <w:rFonts w:cstheme="minorHAnsi"/>
          <w:b/>
          <w:bCs/>
          <w:i/>
          <w:iCs/>
          <w:color w:val="000000" w:themeColor="text1"/>
          <w:shd w:val="clear" w:color="auto" w:fill="FFFFFF"/>
        </w:rPr>
        <w:t> </w:t>
      </w:r>
      <w:r w:rsidRPr="004D7301">
        <w:rPr>
          <w:rFonts w:cstheme="minorHAnsi"/>
          <w:b/>
          <w:bCs/>
          <w:i/>
          <w:iCs/>
          <w:color w:val="000000" w:themeColor="text1"/>
          <w:shd w:val="clear" w:color="auto" w:fill="FFFFFF"/>
        </w:rPr>
        <w:t>Riebeeck Paints (Pty) Ltd</w:t>
      </w:r>
      <w:r w:rsidRPr="004D7301">
        <w:rPr>
          <w:rFonts w:cstheme="minorHAnsi"/>
          <w:color w:val="000000" w:themeColor="text1"/>
          <w:shd w:val="clear" w:color="auto" w:fill="FFFFFF"/>
        </w:rPr>
        <w:t xml:space="preserve"> 1984 (3) SA 623 (A) at 634E</w:t>
      </w:r>
      <w:r>
        <w:rPr>
          <w:rFonts w:cstheme="minorHAnsi"/>
          <w:color w:val="000000" w:themeColor="text1"/>
          <w:shd w:val="clear" w:color="auto" w:fill="FFFFFF"/>
        </w:rPr>
        <w:t xml:space="preserve"> </w:t>
      </w:r>
      <w:r w:rsidRPr="004D7301">
        <w:rPr>
          <w:rFonts w:cstheme="minorHAnsi"/>
          <w:color w:val="000000" w:themeColor="text1"/>
          <w:shd w:val="clear" w:color="auto" w:fill="FFFFFF"/>
        </w:rPr>
        <w:t>–</w:t>
      </w:r>
      <w:r>
        <w:rPr>
          <w:rFonts w:cstheme="minorHAnsi"/>
          <w:color w:val="000000" w:themeColor="text1"/>
          <w:shd w:val="clear" w:color="auto" w:fill="FFFFFF"/>
        </w:rPr>
        <w:t xml:space="preserve"> </w:t>
      </w:r>
      <w:r w:rsidRPr="004D7301">
        <w:rPr>
          <w:rFonts w:cstheme="minorHAnsi"/>
          <w:color w:val="000000" w:themeColor="text1"/>
          <w:shd w:val="clear" w:color="auto" w:fill="FFFFFF"/>
        </w:rPr>
        <w:t>635C</w:t>
      </w:r>
      <w:r>
        <w:rPr>
          <w:rFonts w:cstheme="minorHAnsi"/>
          <w:color w:val="000000" w:themeColor="text1"/>
          <w:shd w:val="clear" w:color="auto" w:fill="FFFFFF"/>
        </w:rPr>
        <w:t xml:space="preserve"> </w:t>
      </w:r>
    </w:p>
  </w:footnote>
  <w:footnote w:id="2">
    <w:p w14:paraId="5DC9A968" w14:textId="5407CB7F" w:rsidR="004D7301" w:rsidRPr="004D7301" w:rsidRDefault="004D7301">
      <w:pPr>
        <w:pStyle w:val="FootnoteText"/>
        <w:rPr>
          <w:lang w:val="en-US"/>
        </w:rPr>
      </w:pPr>
      <w:r w:rsidRPr="004D7301">
        <w:rPr>
          <w:rStyle w:val="FootnoteReference"/>
          <w:rFonts w:cstheme="minorHAnsi"/>
        </w:rPr>
        <w:footnoteRef/>
      </w:r>
      <w:r w:rsidRPr="004D7301">
        <w:rPr>
          <w:rFonts w:cstheme="minorHAnsi"/>
        </w:rPr>
        <w:t xml:space="preserve"> </w:t>
      </w:r>
      <w:r w:rsidRPr="004D7301">
        <w:rPr>
          <w:rFonts w:cstheme="minorHAnsi"/>
          <w:b/>
          <w:bCs/>
          <w:i/>
          <w:iCs/>
        </w:rPr>
        <w:t>NDPP v</w:t>
      </w:r>
      <w:r>
        <w:rPr>
          <w:b/>
          <w:bCs/>
          <w:i/>
          <w:iCs/>
        </w:rPr>
        <w:t xml:space="preserve"> Zuma</w:t>
      </w:r>
      <w:r>
        <w:t xml:space="preserve"> 2009 (2) SA 277 (SCA) at para [26]</w:t>
      </w:r>
    </w:p>
  </w:footnote>
  <w:footnote w:id="3">
    <w:p w14:paraId="24DDB88A" w14:textId="645023E4" w:rsidR="000D5120" w:rsidRPr="000D5120" w:rsidRDefault="000D5120" w:rsidP="000D5120">
      <w:pPr>
        <w:rPr>
          <w:rFonts w:eastAsia="Times New Roman" w:cstheme="minorHAnsi"/>
          <w:b/>
          <w:bCs/>
          <w:i/>
          <w:iCs/>
          <w:color w:val="2C3E50"/>
          <w:sz w:val="20"/>
          <w:szCs w:val="20"/>
          <w:lang w:eastAsia="en-GB"/>
        </w:rPr>
      </w:pPr>
      <w:r w:rsidRPr="000D5120">
        <w:rPr>
          <w:rStyle w:val="FootnoteReference"/>
          <w:rFonts w:cstheme="minorHAnsi"/>
          <w:i/>
          <w:iCs/>
          <w:sz w:val="20"/>
          <w:szCs w:val="20"/>
        </w:rPr>
        <w:footnoteRef/>
      </w:r>
      <w:r w:rsidRPr="000D5120">
        <w:rPr>
          <w:rFonts w:cstheme="minorHAnsi"/>
          <w:i/>
          <w:iCs/>
          <w:sz w:val="20"/>
          <w:szCs w:val="20"/>
        </w:rPr>
        <w:t xml:space="preserve"> </w:t>
      </w:r>
      <w:r>
        <w:rPr>
          <w:rFonts w:cstheme="minorHAnsi"/>
          <w:i/>
          <w:iCs/>
          <w:sz w:val="20"/>
          <w:szCs w:val="20"/>
        </w:rPr>
        <w:t>“</w:t>
      </w:r>
      <w:r w:rsidRPr="000D5120">
        <w:rPr>
          <w:rFonts w:eastAsia="Times New Roman" w:cstheme="minorHAnsi"/>
          <w:b/>
          <w:bCs/>
          <w:i/>
          <w:iCs/>
          <w:color w:val="2C3E50"/>
          <w:sz w:val="20"/>
          <w:szCs w:val="20"/>
          <w:lang w:eastAsia="en-GB"/>
        </w:rPr>
        <w:t xml:space="preserve">12  </w:t>
      </w:r>
      <w:r>
        <w:rPr>
          <w:rFonts w:eastAsia="Times New Roman" w:cstheme="minorHAnsi"/>
          <w:b/>
          <w:bCs/>
          <w:i/>
          <w:iCs/>
          <w:color w:val="2C3E50"/>
          <w:sz w:val="20"/>
          <w:szCs w:val="20"/>
          <w:lang w:eastAsia="en-GB"/>
        </w:rPr>
        <w:tab/>
      </w:r>
      <w:r w:rsidRPr="000D5120">
        <w:rPr>
          <w:rFonts w:eastAsia="Times New Roman" w:cstheme="minorHAnsi"/>
          <w:b/>
          <w:bCs/>
          <w:i/>
          <w:iCs/>
          <w:color w:val="2C3E50"/>
          <w:sz w:val="20"/>
          <w:szCs w:val="20"/>
          <w:lang w:eastAsia="en-GB"/>
        </w:rPr>
        <w:t>Assistance to historically disadvantaged persons</w:t>
      </w:r>
    </w:p>
    <w:p w14:paraId="68FD5F38" w14:textId="717DC076" w:rsidR="000D5120" w:rsidRPr="000D5120" w:rsidRDefault="000D5120" w:rsidP="000D5120">
      <w:pPr>
        <w:ind w:left="1440" w:hanging="720"/>
        <w:rPr>
          <w:rFonts w:eastAsia="Times New Roman" w:cstheme="minorHAnsi"/>
          <w:i/>
          <w:iCs/>
          <w:color w:val="2C3E50"/>
          <w:sz w:val="20"/>
          <w:szCs w:val="20"/>
          <w:lang w:eastAsia="en-GB"/>
        </w:rPr>
      </w:pPr>
      <w:r w:rsidRPr="000D5120">
        <w:rPr>
          <w:rFonts w:eastAsia="Times New Roman" w:cstheme="minorHAnsi"/>
          <w:i/>
          <w:iCs/>
          <w:color w:val="2C3E50"/>
          <w:sz w:val="20"/>
          <w:szCs w:val="20"/>
          <w:lang w:eastAsia="en-GB"/>
        </w:rPr>
        <w:t xml:space="preserve">(1) </w:t>
      </w:r>
      <w:r>
        <w:rPr>
          <w:rFonts w:eastAsia="Times New Roman" w:cstheme="minorHAnsi"/>
          <w:i/>
          <w:iCs/>
          <w:color w:val="2C3E50"/>
          <w:sz w:val="20"/>
          <w:szCs w:val="20"/>
          <w:lang w:eastAsia="en-GB"/>
        </w:rPr>
        <w:tab/>
      </w:r>
      <w:r w:rsidRPr="000D5120">
        <w:rPr>
          <w:rFonts w:eastAsia="Times New Roman" w:cstheme="minorHAnsi"/>
          <w:i/>
          <w:iCs/>
          <w:color w:val="2C3E50"/>
          <w:sz w:val="20"/>
          <w:szCs w:val="20"/>
          <w:lang w:eastAsia="en-GB"/>
        </w:rPr>
        <w:t>The Minister may facilitate assistance to any historically disadvantaged person to conduct prospecting or mining operations.</w:t>
      </w:r>
    </w:p>
    <w:p w14:paraId="5B3AE66C" w14:textId="004D5885" w:rsidR="000D5120" w:rsidRPr="000D5120" w:rsidRDefault="000D5120" w:rsidP="000D5120">
      <w:pPr>
        <w:ind w:left="1440" w:hanging="720"/>
        <w:rPr>
          <w:rFonts w:eastAsia="Times New Roman" w:cstheme="minorHAnsi"/>
          <w:i/>
          <w:iCs/>
          <w:color w:val="2C3E50"/>
          <w:sz w:val="20"/>
          <w:szCs w:val="20"/>
          <w:lang w:eastAsia="en-GB"/>
        </w:rPr>
      </w:pPr>
      <w:r w:rsidRPr="000D5120">
        <w:rPr>
          <w:rFonts w:eastAsia="Times New Roman" w:cstheme="minorHAnsi"/>
          <w:i/>
          <w:iCs/>
          <w:color w:val="2C3E50"/>
          <w:sz w:val="20"/>
          <w:szCs w:val="20"/>
          <w:lang w:eastAsia="en-GB"/>
        </w:rPr>
        <w:t xml:space="preserve">(2) </w:t>
      </w:r>
      <w:r>
        <w:rPr>
          <w:rFonts w:eastAsia="Times New Roman" w:cstheme="minorHAnsi"/>
          <w:i/>
          <w:iCs/>
          <w:color w:val="2C3E50"/>
          <w:sz w:val="20"/>
          <w:szCs w:val="20"/>
          <w:lang w:eastAsia="en-GB"/>
        </w:rPr>
        <w:tab/>
      </w:r>
      <w:r w:rsidRPr="000D5120">
        <w:rPr>
          <w:rFonts w:eastAsia="Times New Roman" w:cstheme="minorHAnsi"/>
          <w:i/>
          <w:iCs/>
          <w:color w:val="2C3E50"/>
          <w:sz w:val="20"/>
          <w:szCs w:val="20"/>
          <w:lang w:eastAsia="en-GB"/>
        </w:rPr>
        <w:t>The assistance referred to in subsection (1) may be provided subject to such terms and conditions as the Minister may determine.</w:t>
      </w:r>
    </w:p>
    <w:p w14:paraId="7DA69978" w14:textId="32499E4A" w:rsidR="000D5120" w:rsidRPr="000D5120" w:rsidRDefault="000D5120" w:rsidP="000D5120">
      <w:pPr>
        <w:ind w:left="1440" w:hanging="720"/>
        <w:rPr>
          <w:rFonts w:eastAsia="Times New Roman" w:cstheme="minorHAnsi"/>
          <w:i/>
          <w:iCs/>
          <w:color w:val="2C3E50"/>
          <w:sz w:val="20"/>
          <w:szCs w:val="20"/>
          <w:lang w:eastAsia="en-GB"/>
        </w:rPr>
      </w:pPr>
      <w:r w:rsidRPr="000D5120">
        <w:rPr>
          <w:rFonts w:eastAsia="Times New Roman" w:cstheme="minorHAnsi"/>
          <w:i/>
          <w:iCs/>
          <w:color w:val="2C3E50"/>
          <w:sz w:val="20"/>
          <w:szCs w:val="20"/>
          <w:lang w:eastAsia="en-GB"/>
        </w:rPr>
        <w:t xml:space="preserve">(3) </w:t>
      </w:r>
      <w:r>
        <w:rPr>
          <w:rFonts w:eastAsia="Times New Roman" w:cstheme="minorHAnsi"/>
          <w:i/>
          <w:iCs/>
          <w:color w:val="2C3E50"/>
          <w:sz w:val="20"/>
          <w:szCs w:val="20"/>
          <w:lang w:eastAsia="en-GB"/>
        </w:rPr>
        <w:tab/>
      </w:r>
      <w:r w:rsidRPr="000D5120">
        <w:rPr>
          <w:rFonts w:eastAsia="Times New Roman" w:cstheme="minorHAnsi"/>
          <w:i/>
          <w:iCs/>
          <w:color w:val="2C3E50"/>
          <w:sz w:val="20"/>
          <w:szCs w:val="20"/>
          <w:lang w:eastAsia="en-GB"/>
        </w:rPr>
        <w:t>Before facilitating the assistance contemplated in subsection (1), the Minister must take into account all relevant factors, including-</w:t>
      </w:r>
    </w:p>
    <w:p w14:paraId="7B5A816F" w14:textId="37E3FC73" w:rsidR="000D5120" w:rsidRPr="000D5120" w:rsidRDefault="000D5120" w:rsidP="000D5120">
      <w:pPr>
        <w:ind w:hanging="737"/>
        <w:rPr>
          <w:rFonts w:eastAsia="Times New Roman" w:cstheme="minorHAnsi"/>
          <w:i/>
          <w:iCs/>
          <w:color w:val="2C3E50"/>
          <w:sz w:val="20"/>
          <w:szCs w:val="20"/>
          <w:lang w:eastAsia="en-GB"/>
        </w:rPr>
      </w:pPr>
      <w:r w:rsidRPr="000D5120">
        <w:rPr>
          <w:rFonts w:eastAsia="Times New Roman" w:cstheme="minorHAnsi"/>
          <w:i/>
          <w:iCs/>
          <w:color w:val="2C3E50"/>
          <w:sz w:val="20"/>
          <w:szCs w:val="20"/>
          <w:lang w:eastAsia="en-GB"/>
        </w:rPr>
        <w:t>   </w:t>
      </w:r>
      <w:r>
        <w:rPr>
          <w:rFonts w:eastAsia="Times New Roman" w:cstheme="minorHAnsi"/>
          <w:i/>
          <w:iCs/>
          <w:color w:val="2C3E50"/>
          <w:sz w:val="20"/>
          <w:szCs w:val="20"/>
          <w:lang w:eastAsia="en-GB"/>
        </w:rPr>
        <w:tab/>
      </w:r>
      <w:r>
        <w:rPr>
          <w:rFonts w:eastAsia="Times New Roman" w:cstheme="minorHAnsi"/>
          <w:i/>
          <w:iCs/>
          <w:color w:val="2C3E50"/>
          <w:sz w:val="20"/>
          <w:szCs w:val="20"/>
          <w:lang w:eastAsia="en-GB"/>
        </w:rPr>
        <w:tab/>
      </w:r>
      <w:r>
        <w:rPr>
          <w:rFonts w:eastAsia="Times New Roman" w:cstheme="minorHAnsi"/>
          <w:i/>
          <w:iCs/>
          <w:color w:val="2C3E50"/>
          <w:sz w:val="20"/>
          <w:szCs w:val="20"/>
          <w:lang w:eastAsia="en-GB"/>
        </w:rPr>
        <w:tab/>
      </w:r>
      <w:r w:rsidRPr="000D5120">
        <w:rPr>
          <w:rFonts w:eastAsia="Times New Roman" w:cstheme="minorHAnsi"/>
          <w:i/>
          <w:iCs/>
          <w:color w:val="2C3E50"/>
          <w:sz w:val="20"/>
          <w:szCs w:val="20"/>
          <w:lang w:eastAsia="en-GB"/>
        </w:rPr>
        <w:t>(a)  </w:t>
      </w:r>
      <w:r>
        <w:rPr>
          <w:rFonts w:eastAsia="Times New Roman" w:cstheme="minorHAnsi"/>
          <w:i/>
          <w:iCs/>
          <w:color w:val="2C3E50"/>
          <w:sz w:val="20"/>
          <w:szCs w:val="20"/>
          <w:lang w:eastAsia="en-GB"/>
        </w:rPr>
        <w:tab/>
      </w:r>
      <w:r w:rsidRPr="000D5120">
        <w:rPr>
          <w:rFonts w:eastAsia="Times New Roman" w:cstheme="minorHAnsi"/>
          <w:i/>
          <w:iCs/>
          <w:color w:val="2C3E50"/>
          <w:sz w:val="20"/>
          <w:szCs w:val="20"/>
          <w:lang w:eastAsia="en-GB"/>
        </w:rPr>
        <w:t> the need to promote equitable access to the nation's mineral resources;</w:t>
      </w:r>
    </w:p>
    <w:p w14:paraId="5A246E71" w14:textId="6D98A3D9" w:rsidR="000D5120" w:rsidRPr="000D5120" w:rsidRDefault="000D5120" w:rsidP="000D5120">
      <w:pPr>
        <w:ind w:hanging="737"/>
        <w:rPr>
          <w:rFonts w:eastAsia="Times New Roman" w:cstheme="minorHAnsi"/>
          <w:i/>
          <w:iCs/>
          <w:color w:val="2C3E50"/>
          <w:sz w:val="20"/>
          <w:szCs w:val="20"/>
          <w:lang w:eastAsia="en-GB"/>
        </w:rPr>
      </w:pPr>
      <w:r w:rsidRPr="000D5120">
        <w:rPr>
          <w:rFonts w:eastAsia="Times New Roman" w:cstheme="minorHAnsi"/>
          <w:i/>
          <w:iCs/>
          <w:color w:val="2C3E50"/>
          <w:sz w:val="20"/>
          <w:szCs w:val="20"/>
          <w:lang w:eastAsia="en-GB"/>
        </w:rPr>
        <w:t>   </w:t>
      </w:r>
      <w:r>
        <w:rPr>
          <w:rFonts w:eastAsia="Times New Roman" w:cstheme="minorHAnsi"/>
          <w:i/>
          <w:iCs/>
          <w:color w:val="2C3E50"/>
          <w:sz w:val="20"/>
          <w:szCs w:val="20"/>
          <w:lang w:eastAsia="en-GB"/>
        </w:rPr>
        <w:tab/>
      </w:r>
      <w:r>
        <w:rPr>
          <w:rFonts w:eastAsia="Times New Roman" w:cstheme="minorHAnsi"/>
          <w:i/>
          <w:iCs/>
          <w:color w:val="2C3E50"/>
          <w:sz w:val="20"/>
          <w:szCs w:val="20"/>
          <w:lang w:eastAsia="en-GB"/>
        </w:rPr>
        <w:tab/>
      </w:r>
      <w:r>
        <w:rPr>
          <w:rFonts w:eastAsia="Times New Roman" w:cstheme="minorHAnsi"/>
          <w:i/>
          <w:iCs/>
          <w:color w:val="2C3E50"/>
          <w:sz w:val="20"/>
          <w:szCs w:val="20"/>
          <w:lang w:eastAsia="en-GB"/>
        </w:rPr>
        <w:tab/>
      </w:r>
      <w:r w:rsidRPr="000D5120">
        <w:rPr>
          <w:rFonts w:eastAsia="Times New Roman" w:cstheme="minorHAnsi"/>
          <w:i/>
          <w:iCs/>
          <w:color w:val="2C3E50"/>
          <w:sz w:val="20"/>
          <w:szCs w:val="20"/>
          <w:lang w:eastAsia="en-GB"/>
        </w:rPr>
        <w:t>(b)   </w:t>
      </w:r>
      <w:r>
        <w:rPr>
          <w:rFonts w:eastAsia="Times New Roman" w:cstheme="minorHAnsi"/>
          <w:i/>
          <w:iCs/>
          <w:color w:val="2C3E50"/>
          <w:sz w:val="20"/>
          <w:szCs w:val="20"/>
          <w:lang w:eastAsia="en-GB"/>
        </w:rPr>
        <w:tab/>
      </w:r>
      <w:r w:rsidRPr="000D5120">
        <w:rPr>
          <w:rFonts w:eastAsia="Times New Roman" w:cstheme="minorHAnsi"/>
          <w:i/>
          <w:iCs/>
          <w:color w:val="2C3E50"/>
          <w:sz w:val="20"/>
          <w:szCs w:val="20"/>
          <w:lang w:eastAsia="en-GB"/>
        </w:rPr>
        <w:t>the financial position of the applicant;</w:t>
      </w:r>
    </w:p>
    <w:p w14:paraId="61472534" w14:textId="77777777" w:rsidR="000D5120" w:rsidRDefault="000D5120" w:rsidP="000D5120">
      <w:pPr>
        <w:ind w:hanging="737"/>
        <w:rPr>
          <w:rFonts w:eastAsia="Times New Roman" w:cstheme="minorHAnsi"/>
          <w:i/>
          <w:iCs/>
          <w:color w:val="2C3E50"/>
          <w:sz w:val="20"/>
          <w:szCs w:val="20"/>
          <w:lang w:eastAsia="en-GB"/>
        </w:rPr>
      </w:pPr>
      <w:r w:rsidRPr="000D5120">
        <w:rPr>
          <w:rFonts w:eastAsia="Times New Roman" w:cstheme="minorHAnsi"/>
          <w:i/>
          <w:iCs/>
          <w:color w:val="2C3E50"/>
          <w:sz w:val="20"/>
          <w:szCs w:val="20"/>
          <w:lang w:eastAsia="en-GB"/>
        </w:rPr>
        <w:t>   </w:t>
      </w:r>
      <w:r>
        <w:rPr>
          <w:rFonts w:eastAsia="Times New Roman" w:cstheme="minorHAnsi"/>
          <w:i/>
          <w:iCs/>
          <w:color w:val="2C3E50"/>
          <w:sz w:val="20"/>
          <w:szCs w:val="20"/>
          <w:lang w:eastAsia="en-GB"/>
        </w:rPr>
        <w:tab/>
      </w:r>
      <w:r>
        <w:rPr>
          <w:rFonts w:eastAsia="Times New Roman" w:cstheme="minorHAnsi"/>
          <w:i/>
          <w:iCs/>
          <w:color w:val="2C3E50"/>
          <w:sz w:val="20"/>
          <w:szCs w:val="20"/>
          <w:lang w:eastAsia="en-GB"/>
        </w:rPr>
        <w:tab/>
      </w:r>
      <w:r>
        <w:rPr>
          <w:rFonts w:eastAsia="Times New Roman" w:cstheme="minorHAnsi"/>
          <w:i/>
          <w:iCs/>
          <w:color w:val="2C3E50"/>
          <w:sz w:val="20"/>
          <w:szCs w:val="20"/>
          <w:lang w:eastAsia="en-GB"/>
        </w:rPr>
        <w:tab/>
      </w:r>
      <w:r w:rsidRPr="000D5120">
        <w:rPr>
          <w:rFonts w:eastAsia="Times New Roman" w:cstheme="minorHAnsi"/>
          <w:i/>
          <w:iCs/>
          <w:color w:val="2C3E50"/>
          <w:sz w:val="20"/>
          <w:szCs w:val="20"/>
          <w:lang w:eastAsia="en-GB"/>
        </w:rPr>
        <w:t>(c)   </w:t>
      </w:r>
      <w:r>
        <w:rPr>
          <w:rFonts w:eastAsia="Times New Roman" w:cstheme="minorHAnsi"/>
          <w:i/>
          <w:iCs/>
          <w:color w:val="2C3E50"/>
          <w:sz w:val="20"/>
          <w:szCs w:val="20"/>
          <w:lang w:eastAsia="en-GB"/>
        </w:rPr>
        <w:tab/>
      </w:r>
      <w:r w:rsidRPr="000D5120">
        <w:rPr>
          <w:rFonts w:eastAsia="Times New Roman" w:cstheme="minorHAnsi"/>
          <w:i/>
          <w:iCs/>
          <w:color w:val="2C3E50"/>
          <w:sz w:val="20"/>
          <w:szCs w:val="20"/>
          <w:lang w:eastAsia="en-GB"/>
        </w:rPr>
        <w:t xml:space="preserve">the need to transform the ownership structure of the minerals and mining industry; </w:t>
      </w:r>
    </w:p>
    <w:p w14:paraId="42ADCD47" w14:textId="52E97555" w:rsidR="000D5120" w:rsidRPr="000D5120" w:rsidRDefault="000D5120" w:rsidP="000D5120">
      <w:pPr>
        <w:ind w:left="1440" w:firstLine="720"/>
        <w:rPr>
          <w:rFonts w:eastAsia="Times New Roman" w:cstheme="minorHAnsi"/>
          <w:i/>
          <w:iCs/>
          <w:color w:val="2C3E50"/>
          <w:sz w:val="20"/>
          <w:szCs w:val="20"/>
          <w:lang w:eastAsia="en-GB"/>
        </w:rPr>
      </w:pPr>
      <w:r w:rsidRPr="000D5120">
        <w:rPr>
          <w:rFonts w:eastAsia="Times New Roman" w:cstheme="minorHAnsi"/>
          <w:i/>
          <w:iCs/>
          <w:color w:val="2C3E50"/>
          <w:sz w:val="20"/>
          <w:szCs w:val="20"/>
          <w:lang w:eastAsia="en-GB"/>
        </w:rPr>
        <w:t>and</w:t>
      </w:r>
    </w:p>
    <w:p w14:paraId="20A8E9AC" w14:textId="624851B1" w:rsidR="000D5120" w:rsidRPr="000D5120" w:rsidRDefault="000D5120" w:rsidP="000D5120">
      <w:pPr>
        <w:ind w:left="2160" w:hanging="677"/>
        <w:rPr>
          <w:rFonts w:eastAsia="Times New Roman" w:cstheme="minorHAnsi"/>
          <w:i/>
          <w:iCs/>
          <w:color w:val="2C3E50"/>
          <w:sz w:val="20"/>
          <w:szCs w:val="20"/>
          <w:lang w:eastAsia="en-GB"/>
        </w:rPr>
      </w:pPr>
      <w:r w:rsidRPr="000D5120">
        <w:rPr>
          <w:rFonts w:eastAsia="Times New Roman" w:cstheme="minorHAnsi"/>
          <w:i/>
          <w:iCs/>
          <w:color w:val="2C3E50"/>
          <w:sz w:val="20"/>
          <w:szCs w:val="20"/>
          <w:lang w:eastAsia="en-GB"/>
        </w:rPr>
        <w:t>(d)   </w:t>
      </w:r>
      <w:r>
        <w:rPr>
          <w:rFonts w:eastAsia="Times New Roman" w:cstheme="minorHAnsi"/>
          <w:i/>
          <w:iCs/>
          <w:color w:val="2C3E50"/>
          <w:sz w:val="20"/>
          <w:szCs w:val="20"/>
          <w:lang w:eastAsia="en-GB"/>
        </w:rPr>
        <w:tab/>
      </w:r>
      <w:r w:rsidRPr="000D5120">
        <w:rPr>
          <w:rFonts w:eastAsia="Times New Roman" w:cstheme="minorHAnsi"/>
          <w:i/>
          <w:iCs/>
          <w:color w:val="2C3E50"/>
          <w:sz w:val="20"/>
          <w:szCs w:val="20"/>
          <w:lang w:eastAsia="en-GB"/>
        </w:rPr>
        <w:t>the extent to which the proposed prospecting or mining project meets the objects referred to in section 2 (c), (d), (e), (f)and (i).</w:t>
      </w:r>
    </w:p>
    <w:p w14:paraId="58766B80" w14:textId="6B8C937A" w:rsidR="000D5120" w:rsidRPr="00F26DAD" w:rsidRDefault="000D5120" w:rsidP="00F26DAD">
      <w:pPr>
        <w:ind w:left="1440" w:hanging="720"/>
        <w:rPr>
          <w:rFonts w:eastAsia="Times New Roman" w:cstheme="minorHAnsi"/>
          <w:color w:val="2C3E50"/>
          <w:sz w:val="20"/>
          <w:szCs w:val="20"/>
          <w:lang w:eastAsia="en-GB"/>
        </w:rPr>
      </w:pPr>
      <w:r w:rsidRPr="000D5120">
        <w:rPr>
          <w:rFonts w:eastAsia="Times New Roman" w:cstheme="minorHAnsi"/>
          <w:i/>
          <w:iCs/>
          <w:color w:val="2C3E50"/>
          <w:sz w:val="20"/>
          <w:szCs w:val="20"/>
          <w:lang w:eastAsia="en-GB"/>
        </w:rPr>
        <w:t>(4)</w:t>
      </w:r>
      <w:r>
        <w:rPr>
          <w:rFonts w:eastAsia="Times New Roman" w:cstheme="minorHAnsi"/>
          <w:i/>
          <w:iCs/>
          <w:color w:val="2C3E50"/>
          <w:sz w:val="20"/>
          <w:szCs w:val="20"/>
          <w:lang w:eastAsia="en-GB"/>
        </w:rPr>
        <w:tab/>
      </w:r>
      <w:r w:rsidRPr="000D5120">
        <w:rPr>
          <w:rFonts w:eastAsia="Times New Roman" w:cstheme="minorHAnsi"/>
          <w:i/>
          <w:iCs/>
          <w:color w:val="2C3E50"/>
          <w:sz w:val="20"/>
          <w:szCs w:val="20"/>
          <w:lang w:eastAsia="en-GB"/>
        </w:rPr>
        <w:t xml:space="preserve"> When considering the assistance referred to in subsection (1), the Minister may request any relevant organ of State to assist the applicant concerned in the development of his or her prospecting or mining project.</w:t>
      </w:r>
      <w:r w:rsidR="00F26DAD">
        <w:rPr>
          <w:rFonts w:eastAsia="Times New Roman" w:cstheme="minorHAnsi"/>
          <w:color w:val="2C3E50"/>
          <w:sz w:val="20"/>
          <w:szCs w:val="20"/>
          <w:lang w:eastAsia="en-GB"/>
        </w:rPr>
        <w:t>”</w:t>
      </w:r>
    </w:p>
  </w:footnote>
  <w:footnote w:id="4">
    <w:p w14:paraId="535D727A" w14:textId="0B0293CD" w:rsidR="00F26DAD" w:rsidRPr="00F26DAD" w:rsidRDefault="000D5120" w:rsidP="00F26DAD">
      <w:pPr>
        <w:rPr>
          <w:rFonts w:eastAsia="Times New Roman" w:cstheme="minorHAnsi"/>
          <w:b/>
          <w:bCs/>
          <w:i/>
          <w:iCs/>
          <w:color w:val="000000" w:themeColor="text1"/>
          <w:sz w:val="20"/>
          <w:szCs w:val="20"/>
          <w:lang w:eastAsia="en-GB"/>
        </w:rPr>
      </w:pPr>
      <w:r>
        <w:rPr>
          <w:rStyle w:val="FootnoteReference"/>
        </w:rPr>
        <w:footnoteRef/>
      </w:r>
      <w:r>
        <w:t xml:space="preserve"> </w:t>
      </w:r>
      <w:r w:rsidR="00F26DAD">
        <w:t>“</w:t>
      </w:r>
      <w:r w:rsidR="00F26DAD" w:rsidRPr="00F26DAD">
        <w:rPr>
          <w:rFonts w:eastAsia="Times New Roman" w:cstheme="minorHAnsi"/>
          <w:b/>
          <w:bCs/>
          <w:i/>
          <w:iCs/>
          <w:color w:val="000000" w:themeColor="text1"/>
          <w:sz w:val="20"/>
          <w:szCs w:val="20"/>
          <w:lang w:eastAsia="en-GB"/>
        </w:rPr>
        <w:t xml:space="preserve">11  </w:t>
      </w:r>
      <w:r w:rsidR="00F26DAD">
        <w:rPr>
          <w:rFonts w:eastAsia="Times New Roman" w:cstheme="minorHAnsi"/>
          <w:b/>
          <w:bCs/>
          <w:i/>
          <w:iCs/>
          <w:color w:val="000000" w:themeColor="text1"/>
          <w:sz w:val="20"/>
          <w:szCs w:val="20"/>
          <w:lang w:eastAsia="en-GB"/>
        </w:rPr>
        <w:tab/>
      </w:r>
      <w:r w:rsidR="00F26DAD" w:rsidRPr="00F26DAD">
        <w:rPr>
          <w:rFonts w:eastAsia="Times New Roman" w:cstheme="minorHAnsi"/>
          <w:b/>
          <w:bCs/>
          <w:i/>
          <w:iCs/>
          <w:color w:val="000000" w:themeColor="text1"/>
          <w:sz w:val="20"/>
          <w:szCs w:val="20"/>
          <w:lang w:eastAsia="en-GB"/>
        </w:rPr>
        <w:t>Transferability and encumbrance of prospecting rights and mining rights</w:t>
      </w:r>
    </w:p>
    <w:p w14:paraId="42FD9527" w14:textId="64B98EC5" w:rsidR="00F26DAD" w:rsidRPr="00F26DAD" w:rsidRDefault="00F26DAD" w:rsidP="00F26DAD">
      <w:pPr>
        <w:ind w:left="1440" w:hanging="720"/>
        <w:rPr>
          <w:rFonts w:eastAsia="Times New Roman" w:cstheme="minorHAnsi"/>
          <w:i/>
          <w:iCs/>
          <w:color w:val="000000" w:themeColor="text1"/>
          <w:sz w:val="20"/>
          <w:szCs w:val="20"/>
          <w:lang w:eastAsia="en-GB"/>
        </w:rPr>
      </w:pPr>
      <w:r w:rsidRPr="00F26DAD">
        <w:rPr>
          <w:rFonts w:eastAsia="Times New Roman" w:cstheme="minorHAnsi"/>
          <w:i/>
          <w:iCs/>
          <w:color w:val="000000" w:themeColor="text1"/>
          <w:sz w:val="20"/>
          <w:szCs w:val="20"/>
          <w:lang w:eastAsia="en-GB"/>
        </w:rPr>
        <w:t xml:space="preserve">(1) </w:t>
      </w:r>
      <w:r>
        <w:rPr>
          <w:rFonts w:eastAsia="Times New Roman" w:cstheme="minorHAnsi"/>
          <w:i/>
          <w:iCs/>
          <w:color w:val="000000" w:themeColor="text1"/>
          <w:sz w:val="20"/>
          <w:szCs w:val="20"/>
          <w:lang w:eastAsia="en-GB"/>
        </w:rPr>
        <w:tab/>
      </w:r>
      <w:r w:rsidRPr="00F26DAD">
        <w:rPr>
          <w:rFonts w:eastAsia="Times New Roman" w:cstheme="minorHAnsi"/>
          <w:i/>
          <w:iCs/>
          <w:color w:val="000000" w:themeColor="text1"/>
          <w:sz w:val="20"/>
          <w:szCs w:val="20"/>
          <w:lang w:eastAsia="en-GB"/>
        </w:rPr>
        <w:t>A prospecting right or mining right or an interest in any such right, or a controlling interest in a company or close corporation, may not be ceded, transferred, let, sublet, assigned, alienated or otherwise disposed of without the written consent of the Minister, except in the case of change of controlling interest in listed companies.</w:t>
      </w:r>
      <w:r>
        <w:rPr>
          <w:rFonts w:eastAsia="Times New Roman" w:cstheme="minorHAnsi"/>
          <w:i/>
          <w:iCs/>
          <w:color w:val="000000" w:themeColor="text1"/>
          <w:sz w:val="20"/>
          <w:szCs w:val="20"/>
          <w:lang w:eastAsia="en-GB"/>
        </w:rPr>
        <w:t>”</w:t>
      </w:r>
    </w:p>
    <w:p w14:paraId="7B24CDFE" w14:textId="154FC30D" w:rsidR="000D5120" w:rsidRPr="000D5120" w:rsidRDefault="000D5120">
      <w:pPr>
        <w:pStyle w:val="FootnoteText"/>
        <w:rPr>
          <w:lang w:val="en-US"/>
        </w:rPr>
      </w:pPr>
    </w:p>
  </w:footnote>
  <w:footnote w:id="5">
    <w:p w14:paraId="068C9D75" w14:textId="3832F9DF" w:rsidR="00F26DAD" w:rsidRPr="00F26DAD" w:rsidRDefault="00F26DAD">
      <w:pPr>
        <w:pStyle w:val="FootnoteText"/>
        <w:rPr>
          <w:rFonts w:cstheme="minorHAnsi"/>
          <w:color w:val="000000" w:themeColor="text1"/>
          <w:lang w:val="en-US"/>
        </w:rPr>
      </w:pPr>
      <w:r>
        <w:rPr>
          <w:rStyle w:val="FootnoteReference"/>
        </w:rPr>
        <w:footnoteRef/>
      </w:r>
      <w:r>
        <w:t xml:space="preserve"> </w:t>
      </w:r>
      <w:r w:rsidRPr="00F26DAD">
        <w:rPr>
          <w:rFonts w:cstheme="minorHAnsi"/>
          <w:b/>
          <w:bCs/>
          <w:i/>
          <w:iCs/>
          <w:color w:val="000000" w:themeColor="text1"/>
        </w:rPr>
        <w:t>Mohamed’s Leisure Holdings (Pty) Ltd v Southern Sun Hotel Interests (Pty) Ltd</w:t>
      </w:r>
      <w:r w:rsidRPr="00F26DAD">
        <w:rPr>
          <w:rFonts w:cstheme="minorHAnsi"/>
          <w:i/>
          <w:iCs/>
          <w:color w:val="000000" w:themeColor="text1"/>
        </w:rPr>
        <w:t xml:space="preserve"> </w:t>
      </w:r>
      <w:r w:rsidRPr="00F26DAD">
        <w:rPr>
          <w:rFonts w:cstheme="minorHAnsi"/>
          <w:color w:val="000000" w:themeColor="text1"/>
        </w:rPr>
        <w:t>(183/17)</w:t>
      </w:r>
      <w:r w:rsidRPr="00F26DAD">
        <w:rPr>
          <w:rStyle w:val="apple-converted-space"/>
          <w:rFonts w:cstheme="minorHAnsi"/>
          <w:color w:val="000000" w:themeColor="text1"/>
        </w:rPr>
        <w:t>  </w:t>
      </w:r>
      <w:hyperlink r:id="rId1" w:tooltip="View LawCiteRecord" w:history="1">
        <w:r w:rsidRPr="00F26DAD">
          <w:rPr>
            <w:rStyle w:val="Hyperlink"/>
            <w:rFonts w:cstheme="minorHAnsi"/>
            <w:color w:val="000000" w:themeColor="text1"/>
            <w:u w:val="none"/>
          </w:rPr>
          <w:t>[2017] ZASCA 176</w:t>
        </w:r>
      </w:hyperlink>
      <w:r w:rsidRPr="00F26DAD">
        <w:rPr>
          <w:rStyle w:val="apple-converted-space"/>
          <w:rFonts w:cstheme="minorHAnsi"/>
          <w:color w:val="000000" w:themeColor="text1"/>
        </w:rPr>
        <w:t> </w:t>
      </w:r>
      <w:r w:rsidRPr="00F26DAD">
        <w:rPr>
          <w:rFonts w:cstheme="minorHAnsi"/>
          <w:color w:val="000000" w:themeColor="text1"/>
        </w:rPr>
        <w:t>(1 December 2017);  2018 (2) SA 314 (SCA) at para [23]</w:t>
      </w:r>
    </w:p>
  </w:footnote>
  <w:footnote w:id="6">
    <w:p w14:paraId="7AF8A741" w14:textId="4599338B" w:rsidR="004847D8" w:rsidRPr="004847D8" w:rsidRDefault="004847D8">
      <w:pPr>
        <w:pStyle w:val="FootnoteText"/>
        <w:rPr>
          <w:lang w:val="en-US"/>
        </w:rPr>
      </w:pPr>
      <w:r>
        <w:rPr>
          <w:rStyle w:val="FootnoteReference"/>
        </w:rPr>
        <w:footnoteRef/>
      </w:r>
      <w:r>
        <w:t xml:space="preserve"> </w:t>
      </w:r>
      <w:r>
        <w:rPr>
          <w:lang w:val="en-US"/>
        </w:rPr>
        <w:t>10 of 2013</w:t>
      </w:r>
    </w:p>
  </w:footnote>
  <w:footnote w:id="7">
    <w:p w14:paraId="49B9AB59" w14:textId="1868224A" w:rsidR="009B670F" w:rsidRPr="009B670F" w:rsidRDefault="009B670F">
      <w:pPr>
        <w:pStyle w:val="FootnoteText"/>
        <w:rPr>
          <w:lang w:val="en-US"/>
        </w:rPr>
      </w:pPr>
      <w:r>
        <w:rPr>
          <w:rStyle w:val="FootnoteReference"/>
        </w:rPr>
        <w:footnoteRef/>
      </w:r>
      <w:r>
        <w:t xml:space="preserve"> </w:t>
      </w:r>
      <w:r>
        <w:rPr>
          <w:b/>
          <w:bCs/>
          <w:i/>
          <w:iCs/>
          <w:lang w:val="en-US"/>
        </w:rPr>
        <w:t>Mbotwane Security Services CC v Pikitup SOC (Pty) Ltd &amp; Others</w:t>
      </w:r>
      <w:r>
        <w:rPr>
          <w:lang w:val="en-US"/>
        </w:rPr>
        <w:t xml:space="preserve"> [2019] ZASCA 164 (29 November 2019) at para [15]</w:t>
      </w:r>
    </w:p>
  </w:footnote>
  <w:footnote w:id="8">
    <w:p w14:paraId="54F22966" w14:textId="052E2F5D" w:rsidR="009B670F" w:rsidRPr="009B670F" w:rsidRDefault="009B670F">
      <w:pPr>
        <w:pStyle w:val="FootnoteText"/>
        <w:rPr>
          <w:lang w:val="en-US"/>
        </w:rPr>
      </w:pPr>
      <w:r>
        <w:rPr>
          <w:rStyle w:val="FootnoteReference"/>
        </w:rPr>
        <w:footnoteRef/>
      </w:r>
      <w:r>
        <w:t xml:space="preserve"> </w:t>
      </w:r>
      <w:r>
        <w:rPr>
          <w:b/>
          <w:bCs/>
          <w:i/>
          <w:iCs/>
          <w:lang w:val="en-US"/>
        </w:rPr>
        <w:t>Minister of Justice &amp; Others v Estate Stransham-Ford</w:t>
      </w:r>
      <w:r>
        <w:rPr>
          <w:lang w:val="en-US"/>
        </w:rPr>
        <w:t xml:space="preserve"> 2017 (3) SA 152 (SCA) at para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CC20F4F"/>
    <w:multiLevelType w:val="hybridMultilevel"/>
    <w:tmpl w:val="10FE4C14"/>
    <w:lvl w:ilvl="0" w:tplc="A852E6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315C06"/>
    <w:multiLevelType w:val="multilevel"/>
    <w:tmpl w:val="5B0EAF6E"/>
    <w:lvl w:ilvl="0">
      <w:start w:val="1"/>
      <w:numFmt w:val="decimal"/>
      <w:lvlText w:val="%1"/>
      <w:lvlJc w:val="left"/>
      <w:pPr>
        <w:ind w:left="580" w:hanging="580"/>
      </w:pPr>
      <w:rPr>
        <w:rFonts w:hint="default"/>
      </w:rPr>
    </w:lvl>
    <w:lvl w:ilvl="1">
      <w:start w:val="1"/>
      <w:numFmt w:val="decimal"/>
      <w:lvlText w:val="%1.%2"/>
      <w:lvlJc w:val="left"/>
      <w:pPr>
        <w:ind w:left="1431" w:hanging="5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53F34BA3"/>
    <w:multiLevelType w:val="hybridMultilevel"/>
    <w:tmpl w:val="F8AC6CC0"/>
    <w:lvl w:ilvl="0" w:tplc="35460EA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5F66113E"/>
    <w:multiLevelType w:val="multilevel"/>
    <w:tmpl w:val="A7946B2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62"/>
    <w:rsid w:val="00034E10"/>
    <w:rsid w:val="000D5120"/>
    <w:rsid w:val="00152D62"/>
    <w:rsid w:val="00170FA4"/>
    <w:rsid w:val="002E1713"/>
    <w:rsid w:val="00474DB9"/>
    <w:rsid w:val="004847D8"/>
    <w:rsid w:val="004D04E5"/>
    <w:rsid w:val="004D7301"/>
    <w:rsid w:val="00516D67"/>
    <w:rsid w:val="00587E8C"/>
    <w:rsid w:val="005A4757"/>
    <w:rsid w:val="005C58A9"/>
    <w:rsid w:val="0064585F"/>
    <w:rsid w:val="006A2EC3"/>
    <w:rsid w:val="00894759"/>
    <w:rsid w:val="008974E8"/>
    <w:rsid w:val="008A0840"/>
    <w:rsid w:val="008D4438"/>
    <w:rsid w:val="00962643"/>
    <w:rsid w:val="0098613D"/>
    <w:rsid w:val="009B670F"/>
    <w:rsid w:val="00B05ACB"/>
    <w:rsid w:val="00B3302F"/>
    <w:rsid w:val="00C4247E"/>
    <w:rsid w:val="00C90BE8"/>
    <w:rsid w:val="00DF5090"/>
    <w:rsid w:val="00E24465"/>
    <w:rsid w:val="00E6715F"/>
    <w:rsid w:val="00EC0B8F"/>
    <w:rsid w:val="00F26DAD"/>
    <w:rsid w:val="00F965A3"/>
    <w:rsid w:val="00FE59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B179"/>
  <w15:chartTrackingRefBased/>
  <w15:docId w15:val="{EAA339B5-1D97-0A40-95DB-F00B4936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D730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D62"/>
    <w:pPr>
      <w:ind w:left="720"/>
      <w:contextualSpacing/>
    </w:pPr>
  </w:style>
  <w:style w:type="numbering" w:customStyle="1" w:styleId="CurrentList1">
    <w:name w:val="Current List1"/>
    <w:uiPriority w:val="99"/>
    <w:rsid w:val="00152D62"/>
    <w:pPr>
      <w:numPr>
        <w:numId w:val="2"/>
      </w:numPr>
    </w:pPr>
  </w:style>
  <w:style w:type="paragraph" w:styleId="FootnoteText">
    <w:name w:val="footnote text"/>
    <w:basedOn w:val="Normal"/>
    <w:link w:val="FootnoteTextChar"/>
    <w:uiPriority w:val="99"/>
    <w:semiHidden/>
    <w:unhideWhenUsed/>
    <w:rsid w:val="004D7301"/>
    <w:rPr>
      <w:sz w:val="20"/>
      <w:szCs w:val="20"/>
    </w:rPr>
  </w:style>
  <w:style w:type="character" w:customStyle="1" w:styleId="FootnoteTextChar">
    <w:name w:val="Footnote Text Char"/>
    <w:basedOn w:val="DefaultParagraphFont"/>
    <w:link w:val="FootnoteText"/>
    <w:uiPriority w:val="99"/>
    <w:semiHidden/>
    <w:rsid w:val="004D7301"/>
    <w:rPr>
      <w:sz w:val="20"/>
      <w:szCs w:val="20"/>
    </w:rPr>
  </w:style>
  <w:style w:type="character" w:styleId="FootnoteReference">
    <w:name w:val="footnote reference"/>
    <w:basedOn w:val="DefaultParagraphFont"/>
    <w:uiPriority w:val="99"/>
    <w:semiHidden/>
    <w:unhideWhenUsed/>
    <w:rsid w:val="004D7301"/>
    <w:rPr>
      <w:vertAlign w:val="superscript"/>
    </w:rPr>
  </w:style>
  <w:style w:type="character" w:customStyle="1" w:styleId="Heading2Char">
    <w:name w:val="Heading 2 Char"/>
    <w:basedOn w:val="DefaultParagraphFont"/>
    <w:link w:val="Heading2"/>
    <w:uiPriority w:val="9"/>
    <w:rsid w:val="004D7301"/>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4D7301"/>
    <w:rPr>
      <w:i/>
      <w:iCs/>
    </w:rPr>
  </w:style>
  <w:style w:type="character" w:customStyle="1" w:styleId="apple-converted-space">
    <w:name w:val="apple-converted-space"/>
    <w:basedOn w:val="DefaultParagraphFont"/>
    <w:rsid w:val="004D7301"/>
  </w:style>
  <w:style w:type="character" w:styleId="Hyperlink">
    <w:name w:val="Hyperlink"/>
    <w:basedOn w:val="DefaultParagraphFont"/>
    <w:uiPriority w:val="99"/>
    <w:semiHidden/>
    <w:unhideWhenUsed/>
    <w:rsid w:val="00F26D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12468">
      <w:bodyDiv w:val="1"/>
      <w:marLeft w:val="0"/>
      <w:marRight w:val="0"/>
      <w:marTop w:val="0"/>
      <w:marBottom w:val="0"/>
      <w:divBdr>
        <w:top w:val="none" w:sz="0" w:space="0" w:color="auto"/>
        <w:left w:val="none" w:sz="0" w:space="0" w:color="auto"/>
        <w:bottom w:val="none" w:sz="0" w:space="0" w:color="auto"/>
        <w:right w:val="none" w:sz="0" w:space="0" w:color="auto"/>
      </w:divBdr>
      <w:divsChild>
        <w:div w:id="1420323094">
          <w:marLeft w:val="0"/>
          <w:marRight w:val="0"/>
          <w:marTop w:val="240"/>
          <w:marBottom w:val="0"/>
          <w:divBdr>
            <w:top w:val="none" w:sz="0" w:space="0" w:color="auto"/>
            <w:left w:val="none" w:sz="0" w:space="0" w:color="auto"/>
            <w:bottom w:val="none" w:sz="0" w:space="0" w:color="auto"/>
            <w:right w:val="none" w:sz="0" w:space="0" w:color="auto"/>
          </w:divBdr>
        </w:div>
        <w:div w:id="433524129">
          <w:marLeft w:val="0"/>
          <w:marRight w:val="0"/>
          <w:marTop w:val="120"/>
          <w:marBottom w:val="0"/>
          <w:divBdr>
            <w:top w:val="none" w:sz="0" w:space="0" w:color="auto"/>
            <w:left w:val="none" w:sz="0" w:space="0" w:color="auto"/>
            <w:bottom w:val="none" w:sz="0" w:space="0" w:color="auto"/>
            <w:right w:val="none" w:sz="0" w:space="0" w:color="auto"/>
          </w:divBdr>
        </w:div>
        <w:div w:id="1849908104">
          <w:marLeft w:val="0"/>
          <w:marRight w:val="0"/>
          <w:marTop w:val="120"/>
          <w:marBottom w:val="0"/>
          <w:divBdr>
            <w:top w:val="none" w:sz="0" w:space="0" w:color="auto"/>
            <w:left w:val="none" w:sz="0" w:space="0" w:color="auto"/>
            <w:bottom w:val="none" w:sz="0" w:space="0" w:color="auto"/>
            <w:right w:val="none" w:sz="0" w:space="0" w:color="auto"/>
          </w:divBdr>
        </w:div>
        <w:div w:id="370225269">
          <w:marLeft w:val="0"/>
          <w:marRight w:val="0"/>
          <w:marTop w:val="120"/>
          <w:marBottom w:val="0"/>
          <w:divBdr>
            <w:top w:val="none" w:sz="0" w:space="0" w:color="auto"/>
            <w:left w:val="none" w:sz="0" w:space="0" w:color="auto"/>
            <w:bottom w:val="none" w:sz="0" w:space="0" w:color="auto"/>
            <w:right w:val="none" w:sz="0" w:space="0" w:color="auto"/>
          </w:divBdr>
        </w:div>
        <w:div w:id="202138520">
          <w:marLeft w:val="1134"/>
          <w:marRight w:val="0"/>
          <w:marTop w:val="60"/>
          <w:marBottom w:val="0"/>
          <w:divBdr>
            <w:top w:val="none" w:sz="0" w:space="0" w:color="auto"/>
            <w:left w:val="none" w:sz="0" w:space="0" w:color="auto"/>
            <w:bottom w:val="none" w:sz="0" w:space="0" w:color="auto"/>
            <w:right w:val="none" w:sz="0" w:space="0" w:color="auto"/>
          </w:divBdr>
        </w:div>
        <w:div w:id="1998224272">
          <w:marLeft w:val="1134"/>
          <w:marRight w:val="0"/>
          <w:marTop w:val="60"/>
          <w:marBottom w:val="0"/>
          <w:divBdr>
            <w:top w:val="none" w:sz="0" w:space="0" w:color="auto"/>
            <w:left w:val="none" w:sz="0" w:space="0" w:color="auto"/>
            <w:bottom w:val="none" w:sz="0" w:space="0" w:color="auto"/>
            <w:right w:val="none" w:sz="0" w:space="0" w:color="auto"/>
          </w:divBdr>
        </w:div>
        <w:div w:id="1778870640">
          <w:marLeft w:val="1134"/>
          <w:marRight w:val="0"/>
          <w:marTop w:val="60"/>
          <w:marBottom w:val="0"/>
          <w:divBdr>
            <w:top w:val="none" w:sz="0" w:space="0" w:color="auto"/>
            <w:left w:val="none" w:sz="0" w:space="0" w:color="auto"/>
            <w:bottom w:val="none" w:sz="0" w:space="0" w:color="auto"/>
            <w:right w:val="none" w:sz="0" w:space="0" w:color="auto"/>
          </w:divBdr>
        </w:div>
        <w:div w:id="416093202">
          <w:marLeft w:val="1134"/>
          <w:marRight w:val="0"/>
          <w:marTop w:val="60"/>
          <w:marBottom w:val="0"/>
          <w:divBdr>
            <w:top w:val="none" w:sz="0" w:space="0" w:color="auto"/>
            <w:left w:val="none" w:sz="0" w:space="0" w:color="auto"/>
            <w:bottom w:val="none" w:sz="0" w:space="0" w:color="auto"/>
            <w:right w:val="none" w:sz="0" w:space="0" w:color="auto"/>
          </w:divBdr>
        </w:div>
        <w:div w:id="12345351">
          <w:marLeft w:val="0"/>
          <w:marRight w:val="0"/>
          <w:marTop w:val="120"/>
          <w:marBottom w:val="0"/>
          <w:divBdr>
            <w:top w:val="none" w:sz="0" w:space="0" w:color="auto"/>
            <w:left w:val="none" w:sz="0" w:space="0" w:color="auto"/>
            <w:bottom w:val="none" w:sz="0" w:space="0" w:color="auto"/>
            <w:right w:val="none" w:sz="0" w:space="0" w:color="auto"/>
          </w:divBdr>
        </w:div>
      </w:divsChild>
    </w:div>
    <w:div w:id="671614649">
      <w:bodyDiv w:val="1"/>
      <w:marLeft w:val="0"/>
      <w:marRight w:val="0"/>
      <w:marTop w:val="0"/>
      <w:marBottom w:val="0"/>
      <w:divBdr>
        <w:top w:val="none" w:sz="0" w:space="0" w:color="auto"/>
        <w:left w:val="none" w:sz="0" w:space="0" w:color="auto"/>
        <w:bottom w:val="none" w:sz="0" w:space="0" w:color="auto"/>
        <w:right w:val="none" w:sz="0" w:space="0" w:color="auto"/>
      </w:divBdr>
    </w:div>
    <w:div w:id="1294215819">
      <w:bodyDiv w:val="1"/>
      <w:marLeft w:val="0"/>
      <w:marRight w:val="0"/>
      <w:marTop w:val="0"/>
      <w:marBottom w:val="0"/>
      <w:divBdr>
        <w:top w:val="none" w:sz="0" w:space="0" w:color="auto"/>
        <w:left w:val="none" w:sz="0" w:space="0" w:color="auto"/>
        <w:bottom w:val="none" w:sz="0" w:space="0" w:color="auto"/>
        <w:right w:val="none" w:sz="0" w:space="0" w:color="auto"/>
      </w:divBdr>
      <w:divsChild>
        <w:div w:id="1669014025">
          <w:marLeft w:val="0"/>
          <w:marRight w:val="0"/>
          <w:marTop w:val="240"/>
          <w:marBottom w:val="0"/>
          <w:divBdr>
            <w:top w:val="none" w:sz="0" w:space="0" w:color="auto"/>
            <w:left w:val="none" w:sz="0" w:space="0" w:color="auto"/>
            <w:bottom w:val="none" w:sz="0" w:space="0" w:color="auto"/>
            <w:right w:val="none" w:sz="0" w:space="0" w:color="auto"/>
          </w:divBdr>
        </w:div>
        <w:div w:id="1245142782">
          <w:marLeft w:val="0"/>
          <w:marRight w:val="0"/>
          <w:marTop w:val="120"/>
          <w:marBottom w:val="0"/>
          <w:divBdr>
            <w:top w:val="none" w:sz="0" w:space="0" w:color="auto"/>
            <w:left w:val="none" w:sz="0" w:space="0" w:color="auto"/>
            <w:bottom w:val="none" w:sz="0" w:space="0" w:color="auto"/>
            <w:right w:val="none" w:sz="0" w:space="0" w:color="auto"/>
          </w:divBdr>
        </w:div>
      </w:divsChild>
    </w:div>
    <w:div w:id="172510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5b2017%5d%20ZASCA%20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60F9C-F914-4C60-AC13-BE6384B2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 Thompson</dc:creator>
  <cp:keywords/>
  <dc:description/>
  <cp:lastModifiedBy>Mokone</cp:lastModifiedBy>
  <cp:revision>3</cp:revision>
  <dcterms:created xsi:type="dcterms:W3CDTF">2023-05-22T07:06:00Z</dcterms:created>
  <dcterms:modified xsi:type="dcterms:W3CDTF">2023-05-22T07:08:00Z</dcterms:modified>
</cp:coreProperties>
</file>