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D0" w:rsidRPr="00DF2DD0" w:rsidRDefault="00DF2DD0" w:rsidP="00DF2DD0">
      <w:pPr>
        <w:spacing w:after="0" w:line="480" w:lineRule="auto"/>
        <w:jc w:val="center"/>
        <w:rPr>
          <w:rFonts w:ascii="Arial" w:eastAsia="Calibri" w:hAnsi="Arial" w:cs="Arial"/>
          <w:b/>
          <w:sz w:val="24"/>
          <w:szCs w:val="24"/>
        </w:rPr>
      </w:pPr>
      <w:r w:rsidRPr="00DF2DD0">
        <w:rPr>
          <w:rFonts w:ascii="Arial" w:eastAsia="Calibri" w:hAnsi="Arial" w:cs="Arial"/>
          <w:b/>
          <w:sz w:val="24"/>
          <w:szCs w:val="24"/>
        </w:rPr>
        <w:t>REPUBLIC OF SOUTH AFRICA</w:t>
      </w:r>
    </w:p>
    <w:p w:rsidR="00DF2DD0" w:rsidRPr="00DF2DD0" w:rsidRDefault="00DF2DD0" w:rsidP="00DF2DD0">
      <w:pPr>
        <w:spacing w:after="0" w:line="480" w:lineRule="auto"/>
        <w:jc w:val="center"/>
        <w:rPr>
          <w:rFonts w:ascii="Arial" w:eastAsia="Calibri" w:hAnsi="Arial" w:cs="Arial"/>
          <w:b/>
          <w:sz w:val="24"/>
          <w:szCs w:val="24"/>
        </w:rPr>
      </w:pPr>
      <w:r w:rsidRPr="00DF2DD0">
        <w:rPr>
          <w:rFonts w:ascii="Arial" w:eastAsia="Calibri" w:hAnsi="Arial" w:cs="Arial"/>
          <w:noProof/>
          <w:sz w:val="24"/>
          <w:szCs w:val="24"/>
          <w:lang w:val="en-US"/>
        </w:rPr>
        <w:drawing>
          <wp:inline distT="0" distB="0" distL="0" distR="0" wp14:anchorId="76D494CE" wp14:editId="545DA2E3">
            <wp:extent cx="908050" cy="908050"/>
            <wp:effectExtent l="0" t="0" r="635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p w:rsidR="00DF2DD0" w:rsidRPr="00DF2DD0" w:rsidRDefault="00DF2DD0" w:rsidP="00DF2DD0">
      <w:pPr>
        <w:spacing w:after="0" w:line="480" w:lineRule="auto"/>
        <w:jc w:val="center"/>
        <w:rPr>
          <w:rFonts w:ascii="Arial" w:eastAsia="Calibri" w:hAnsi="Arial" w:cs="Arial"/>
          <w:b/>
          <w:sz w:val="24"/>
          <w:szCs w:val="24"/>
        </w:rPr>
      </w:pPr>
      <w:r w:rsidRPr="00DF2DD0">
        <w:rPr>
          <w:rFonts w:ascii="Arial" w:eastAsia="Calibri" w:hAnsi="Arial" w:cs="Arial"/>
          <w:b/>
          <w:sz w:val="24"/>
          <w:szCs w:val="24"/>
        </w:rPr>
        <w:t>IN THE HIGH COURT OF SOUTH AFRICA</w:t>
      </w:r>
    </w:p>
    <w:p w:rsidR="00DF2DD0" w:rsidRPr="00DF2DD0" w:rsidRDefault="00DF2DD0" w:rsidP="00DF2DD0">
      <w:pPr>
        <w:spacing w:after="0" w:line="480" w:lineRule="auto"/>
        <w:jc w:val="center"/>
        <w:rPr>
          <w:rFonts w:ascii="Arial" w:eastAsia="Calibri" w:hAnsi="Arial" w:cs="Arial"/>
          <w:b/>
          <w:sz w:val="24"/>
          <w:szCs w:val="24"/>
        </w:rPr>
      </w:pPr>
      <w:r w:rsidRPr="00DF2DD0">
        <w:rPr>
          <w:rFonts w:ascii="Arial" w:eastAsia="Calibri" w:hAnsi="Arial" w:cs="Arial"/>
          <w:b/>
          <w:sz w:val="24"/>
          <w:szCs w:val="24"/>
        </w:rPr>
        <w:t>GAUTENG LOCAL DIVISION, JOHANNESBURG</w:t>
      </w:r>
    </w:p>
    <w:p w:rsidR="00DF2DD0" w:rsidRPr="00DF2DD0" w:rsidRDefault="00DF2DD0" w:rsidP="00DF2DD0">
      <w:pPr>
        <w:spacing w:after="0" w:line="480" w:lineRule="auto"/>
        <w:jc w:val="both"/>
        <w:rPr>
          <w:rFonts w:ascii="Arial" w:eastAsia="Calibri" w:hAnsi="Arial" w:cs="Arial"/>
          <w:sz w:val="24"/>
          <w:szCs w:val="24"/>
          <w:lang w:val="en-GB"/>
        </w:rPr>
      </w:pPr>
      <w:r w:rsidRPr="00DF2DD0">
        <w:rPr>
          <w:rFonts w:ascii="Arial" w:eastAsia="Calibri" w:hAnsi="Arial" w:cs="Arial"/>
          <w:noProof/>
          <w:sz w:val="24"/>
          <w:szCs w:val="24"/>
          <w:lang w:val="en-US"/>
        </w:rPr>
        <mc:AlternateContent>
          <mc:Choice Requires="wps">
            <w:drawing>
              <wp:anchor distT="0" distB="0" distL="114300" distR="114300" simplePos="0" relativeHeight="251659264" behindDoc="0" locked="0" layoutInCell="1" allowOverlap="1" wp14:anchorId="273EC8A4" wp14:editId="2EA3FDD1">
                <wp:simplePos x="0" y="0"/>
                <wp:positionH relativeFrom="margin">
                  <wp:align>left</wp:align>
                </wp:positionH>
                <wp:positionV relativeFrom="paragraph">
                  <wp:posOffset>265430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DF2DD0" w:rsidRPr="004120A8" w:rsidRDefault="00DF2DD0" w:rsidP="00DF2DD0">
                            <w:pPr>
                              <w:jc w:val="center"/>
                              <w:rPr>
                                <w:rFonts w:ascii="Century Gothic" w:hAnsi="Century Gothic"/>
                                <w:b/>
                                <w:sz w:val="2"/>
                                <w:szCs w:val="18"/>
                              </w:rPr>
                            </w:pPr>
                          </w:p>
                          <w:p w:rsidR="00DF2DD0" w:rsidRPr="004120A8" w:rsidRDefault="00B6078F" w:rsidP="00B6078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DF2DD0">
                              <w:rPr>
                                <w:rFonts w:ascii="Century Gothic" w:hAnsi="Century Gothic"/>
                                <w:sz w:val="18"/>
                                <w:szCs w:val="18"/>
                              </w:rPr>
                              <w:t xml:space="preserve">REPORTABLE: </w:t>
                            </w:r>
                            <w:r w:rsidR="00DF2DD0" w:rsidRPr="004120A8">
                              <w:rPr>
                                <w:rFonts w:ascii="Century Gothic" w:hAnsi="Century Gothic"/>
                                <w:sz w:val="18"/>
                                <w:szCs w:val="18"/>
                              </w:rPr>
                              <w:t>NO</w:t>
                            </w:r>
                            <w:r w:rsidR="00DF2DD0">
                              <w:rPr>
                                <w:rFonts w:ascii="Century Gothic" w:hAnsi="Century Gothic"/>
                                <w:sz w:val="18"/>
                                <w:szCs w:val="18"/>
                              </w:rPr>
                              <w:t xml:space="preserve"> / YES</w:t>
                            </w:r>
                          </w:p>
                          <w:p w:rsidR="00DF2DD0" w:rsidRPr="004120A8" w:rsidRDefault="00B6078F" w:rsidP="00B6078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DF2DD0" w:rsidRPr="004120A8">
                              <w:rPr>
                                <w:rFonts w:ascii="Century Gothic" w:hAnsi="Century Gothic"/>
                                <w:sz w:val="18"/>
                                <w:szCs w:val="18"/>
                              </w:rPr>
                              <w:t>O</w:t>
                            </w:r>
                            <w:r w:rsidR="00DF2DD0">
                              <w:rPr>
                                <w:rFonts w:ascii="Century Gothic" w:hAnsi="Century Gothic"/>
                                <w:sz w:val="18"/>
                                <w:szCs w:val="18"/>
                              </w:rPr>
                              <w:t xml:space="preserve">F INTEREST TO OTHER JUDGES: </w:t>
                            </w:r>
                            <w:r w:rsidR="00DF2DD0" w:rsidRPr="004120A8">
                              <w:rPr>
                                <w:rFonts w:ascii="Century Gothic" w:hAnsi="Century Gothic"/>
                                <w:sz w:val="18"/>
                                <w:szCs w:val="18"/>
                              </w:rPr>
                              <w:t>NO</w:t>
                            </w:r>
                            <w:r w:rsidR="00DF2DD0">
                              <w:rPr>
                                <w:rFonts w:ascii="Century Gothic" w:hAnsi="Century Gothic"/>
                                <w:sz w:val="18"/>
                                <w:szCs w:val="18"/>
                              </w:rPr>
                              <w:t xml:space="preserve"> / YES</w:t>
                            </w:r>
                          </w:p>
                          <w:p w:rsidR="00DF2DD0" w:rsidRPr="004120A8" w:rsidRDefault="00B6078F" w:rsidP="00B6078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DF2DD0" w:rsidRPr="004120A8">
                              <w:rPr>
                                <w:rFonts w:ascii="Century Gothic" w:hAnsi="Century Gothic"/>
                                <w:sz w:val="18"/>
                                <w:szCs w:val="18"/>
                              </w:rPr>
                              <w:t xml:space="preserve">REVISED. </w:t>
                            </w:r>
                          </w:p>
                          <w:p w:rsidR="00DF2DD0" w:rsidRPr="004120A8" w:rsidRDefault="00DF2DD0" w:rsidP="00DF2DD0">
                            <w:pPr>
                              <w:rPr>
                                <w:rFonts w:ascii="Century Gothic" w:hAnsi="Century Gothic"/>
                                <w:b/>
                                <w:sz w:val="18"/>
                                <w:szCs w:val="18"/>
                              </w:rPr>
                            </w:pPr>
                          </w:p>
                          <w:p w:rsidR="00DF2DD0" w:rsidRPr="004120A8" w:rsidRDefault="00DF2DD0" w:rsidP="00DF2DD0">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rsidR="00DF2DD0" w:rsidRPr="004120A8" w:rsidRDefault="00DF2DD0" w:rsidP="00DF2DD0">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rsidR="00DF2DD0" w:rsidRPr="004120A8" w:rsidRDefault="00DF2DD0" w:rsidP="00DF2DD0">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EC8A4" id="_x0000_t202" coordsize="21600,21600" o:spt="202" path="m,l,21600r21600,l21600,xe">
                <v:stroke joinstyle="miter"/>
                <v:path gradientshapeok="t" o:connecttype="rect"/>
              </v:shapetype>
              <v:shape id="Text Box 9" o:spid="_x0000_s1026" type="#_x0000_t202" style="position:absolute;left:0;text-align:left;margin-left:0;margin-top:20.9pt;width:261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">
                <v:textbox>
                  <w:txbxContent>
                    <w:p w:rsidR="00DF2DD0" w:rsidRPr="004120A8" w:rsidRDefault="00DF2DD0" w:rsidP="00DF2DD0">
                      <w:pPr>
                        <w:jc w:val="center"/>
                        <w:rPr>
                          <w:rFonts w:ascii="Century Gothic" w:hAnsi="Century Gothic"/>
                          <w:b/>
                          <w:sz w:val="2"/>
                          <w:szCs w:val="18"/>
                        </w:rPr>
                      </w:pPr>
                    </w:p>
                    <w:p w:rsidR="00DF2DD0" w:rsidRPr="004120A8" w:rsidRDefault="00B6078F" w:rsidP="00B6078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DF2DD0">
                        <w:rPr>
                          <w:rFonts w:ascii="Century Gothic" w:hAnsi="Century Gothic"/>
                          <w:sz w:val="18"/>
                          <w:szCs w:val="18"/>
                        </w:rPr>
                        <w:t xml:space="preserve">REPORTABLE: </w:t>
                      </w:r>
                      <w:r w:rsidR="00DF2DD0" w:rsidRPr="004120A8">
                        <w:rPr>
                          <w:rFonts w:ascii="Century Gothic" w:hAnsi="Century Gothic"/>
                          <w:sz w:val="18"/>
                          <w:szCs w:val="18"/>
                        </w:rPr>
                        <w:t>NO</w:t>
                      </w:r>
                      <w:r w:rsidR="00DF2DD0">
                        <w:rPr>
                          <w:rFonts w:ascii="Century Gothic" w:hAnsi="Century Gothic"/>
                          <w:sz w:val="18"/>
                          <w:szCs w:val="18"/>
                        </w:rPr>
                        <w:t xml:space="preserve"> / YES</w:t>
                      </w:r>
                    </w:p>
                    <w:p w:rsidR="00DF2DD0" w:rsidRPr="004120A8" w:rsidRDefault="00B6078F" w:rsidP="00B6078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DF2DD0" w:rsidRPr="004120A8">
                        <w:rPr>
                          <w:rFonts w:ascii="Century Gothic" w:hAnsi="Century Gothic"/>
                          <w:sz w:val="18"/>
                          <w:szCs w:val="18"/>
                        </w:rPr>
                        <w:t>O</w:t>
                      </w:r>
                      <w:r w:rsidR="00DF2DD0">
                        <w:rPr>
                          <w:rFonts w:ascii="Century Gothic" w:hAnsi="Century Gothic"/>
                          <w:sz w:val="18"/>
                          <w:szCs w:val="18"/>
                        </w:rPr>
                        <w:t xml:space="preserve">F INTEREST TO OTHER JUDGES: </w:t>
                      </w:r>
                      <w:r w:rsidR="00DF2DD0" w:rsidRPr="004120A8">
                        <w:rPr>
                          <w:rFonts w:ascii="Century Gothic" w:hAnsi="Century Gothic"/>
                          <w:sz w:val="18"/>
                          <w:szCs w:val="18"/>
                        </w:rPr>
                        <w:t>NO</w:t>
                      </w:r>
                      <w:r w:rsidR="00DF2DD0">
                        <w:rPr>
                          <w:rFonts w:ascii="Century Gothic" w:hAnsi="Century Gothic"/>
                          <w:sz w:val="18"/>
                          <w:szCs w:val="18"/>
                        </w:rPr>
                        <w:t xml:space="preserve"> / YES</w:t>
                      </w:r>
                    </w:p>
                    <w:p w:rsidR="00DF2DD0" w:rsidRPr="004120A8" w:rsidRDefault="00B6078F" w:rsidP="00B6078F">
                      <w:pPr>
                        <w:tabs>
                          <w:tab w:val="left" w:pos="900"/>
                        </w:tabs>
                        <w:spacing w:after="0" w:line="240" w:lineRule="auto"/>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DF2DD0" w:rsidRPr="004120A8">
                        <w:rPr>
                          <w:rFonts w:ascii="Century Gothic" w:hAnsi="Century Gothic"/>
                          <w:sz w:val="18"/>
                          <w:szCs w:val="18"/>
                        </w:rPr>
                        <w:t xml:space="preserve">REVISED. </w:t>
                      </w:r>
                    </w:p>
                    <w:p w:rsidR="00DF2DD0" w:rsidRPr="004120A8" w:rsidRDefault="00DF2DD0" w:rsidP="00DF2DD0">
                      <w:pPr>
                        <w:rPr>
                          <w:rFonts w:ascii="Century Gothic" w:hAnsi="Century Gothic"/>
                          <w:b/>
                          <w:sz w:val="18"/>
                          <w:szCs w:val="18"/>
                        </w:rPr>
                      </w:pPr>
                    </w:p>
                    <w:p w:rsidR="00DF2DD0" w:rsidRPr="004120A8" w:rsidRDefault="00DF2DD0" w:rsidP="00DF2DD0">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rsidR="00DF2DD0" w:rsidRPr="004120A8" w:rsidRDefault="00DF2DD0" w:rsidP="00DF2DD0">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rsidR="00DF2DD0" w:rsidRPr="004120A8" w:rsidRDefault="00DF2DD0" w:rsidP="00DF2DD0">
                      <w:pPr>
                        <w:rPr>
                          <w:rFonts w:ascii="Century Gothic" w:hAnsi="Century Gothic"/>
                          <w:b/>
                          <w:sz w:val="2"/>
                          <w:szCs w:val="18"/>
                        </w:rPr>
                      </w:pPr>
                    </w:p>
                  </w:txbxContent>
                </v:textbox>
                <w10:wrap anchorx="margin"/>
              </v:shape>
            </w:pict>
          </mc:Fallback>
        </mc:AlternateContent>
      </w:r>
    </w:p>
    <w:p w:rsidR="00DF2DD0" w:rsidRPr="00DF2DD0" w:rsidRDefault="00DF2DD0" w:rsidP="00DF2DD0">
      <w:pPr>
        <w:spacing w:after="0" w:line="480" w:lineRule="auto"/>
        <w:jc w:val="both"/>
        <w:rPr>
          <w:rFonts w:ascii="Arial" w:eastAsia="Calibri" w:hAnsi="Arial" w:cs="Arial"/>
          <w:sz w:val="24"/>
          <w:szCs w:val="24"/>
          <w:lang w:val="en-GB"/>
        </w:rPr>
      </w:pPr>
    </w:p>
    <w:p w:rsidR="00DF2DD0" w:rsidRPr="00DF2DD0" w:rsidRDefault="00DF2DD0" w:rsidP="00DF2DD0">
      <w:pPr>
        <w:spacing w:after="0" w:line="480" w:lineRule="auto"/>
        <w:jc w:val="both"/>
        <w:rPr>
          <w:rFonts w:ascii="Arial" w:eastAsia="Calibri" w:hAnsi="Arial" w:cs="Arial"/>
          <w:sz w:val="24"/>
          <w:szCs w:val="24"/>
          <w:u w:val="single"/>
          <w:lang w:val="en-GB"/>
        </w:rPr>
      </w:pPr>
    </w:p>
    <w:p w:rsidR="00DF2DD0" w:rsidRPr="00DF2DD0" w:rsidRDefault="00DF2DD0" w:rsidP="00DF2DD0">
      <w:pPr>
        <w:spacing w:after="0" w:line="480" w:lineRule="auto"/>
        <w:jc w:val="both"/>
        <w:rPr>
          <w:rFonts w:ascii="Arial" w:eastAsia="Calibri" w:hAnsi="Arial" w:cs="Arial"/>
          <w:sz w:val="24"/>
          <w:szCs w:val="24"/>
          <w:lang w:val="en-GB"/>
        </w:rPr>
      </w:pPr>
    </w:p>
    <w:p w:rsidR="00DF2DD0" w:rsidRPr="00DF2DD0" w:rsidRDefault="00DF2DD0" w:rsidP="00DF2DD0">
      <w:pPr>
        <w:spacing w:after="0" w:line="480" w:lineRule="auto"/>
        <w:jc w:val="both"/>
        <w:rPr>
          <w:rFonts w:ascii="Arial" w:eastAsia="Calibri" w:hAnsi="Arial" w:cs="Arial"/>
          <w:sz w:val="24"/>
          <w:szCs w:val="24"/>
          <w:lang w:val="en-GB"/>
        </w:rPr>
      </w:pPr>
      <w:r w:rsidRPr="00DF2DD0">
        <w:rPr>
          <w:rFonts w:ascii="Arial" w:eastAsia="Calibri" w:hAnsi="Arial" w:cs="Arial"/>
          <w:sz w:val="24"/>
          <w:szCs w:val="24"/>
          <w:lang w:val="en-GB"/>
        </w:rPr>
        <w:tab/>
      </w:r>
      <w:r w:rsidRPr="00DF2DD0">
        <w:rPr>
          <w:rFonts w:ascii="Arial" w:eastAsia="Calibri" w:hAnsi="Arial" w:cs="Arial"/>
          <w:sz w:val="24"/>
          <w:szCs w:val="24"/>
          <w:lang w:val="en-GB"/>
        </w:rPr>
        <w:tab/>
      </w:r>
      <w:r w:rsidRPr="00DF2DD0">
        <w:rPr>
          <w:rFonts w:ascii="Arial" w:eastAsia="Calibri" w:hAnsi="Arial" w:cs="Arial"/>
          <w:sz w:val="24"/>
          <w:szCs w:val="24"/>
          <w:lang w:val="en-GB"/>
        </w:rPr>
        <w:tab/>
      </w:r>
      <w:r w:rsidRPr="00DF2DD0">
        <w:rPr>
          <w:rFonts w:ascii="Arial" w:eastAsia="Calibri" w:hAnsi="Arial" w:cs="Arial"/>
          <w:sz w:val="24"/>
          <w:szCs w:val="24"/>
          <w:lang w:val="en-GB"/>
        </w:rPr>
        <w:tab/>
      </w:r>
      <w:r w:rsidRPr="00DF2DD0">
        <w:rPr>
          <w:rFonts w:ascii="Arial" w:eastAsia="Calibri" w:hAnsi="Arial" w:cs="Arial"/>
          <w:sz w:val="24"/>
          <w:szCs w:val="24"/>
          <w:lang w:val="en-GB"/>
        </w:rPr>
        <w:tab/>
      </w:r>
      <w:r w:rsidRPr="00DF2DD0">
        <w:rPr>
          <w:rFonts w:ascii="Arial" w:eastAsia="Calibri" w:hAnsi="Arial" w:cs="Arial"/>
          <w:sz w:val="24"/>
          <w:szCs w:val="24"/>
          <w:lang w:val="en-GB"/>
        </w:rPr>
        <w:tab/>
      </w:r>
      <w:r w:rsidRPr="00DF2DD0">
        <w:rPr>
          <w:rFonts w:ascii="Arial" w:eastAsia="Calibri" w:hAnsi="Arial" w:cs="Arial"/>
          <w:sz w:val="24"/>
          <w:szCs w:val="24"/>
          <w:lang w:val="en-GB"/>
        </w:rPr>
        <w:tab/>
      </w:r>
      <w:r w:rsidRPr="00DF2DD0">
        <w:rPr>
          <w:rFonts w:ascii="Arial" w:eastAsia="Calibri" w:hAnsi="Arial" w:cs="Arial"/>
          <w:sz w:val="24"/>
          <w:szCs w:val="24"/>
          <w:lang w:val="en-GB"/>
        </w:rPr>
        <w:tab/>
      </w:r>
      <w:r w:rsidRPr="00DF2DD0">
        <w:rPr>
          <w:rFonts w:ascii="Arial" w:eastAsia="Calibri" w:hAnsi="Arial" w:cs="Arial"/>
          <w:sz w:val="24"/>
          <w:szCs w:val="24"/>
          <w:lang w:val="en-GB"/>
        </w:rPr>
        <w:tab/>
      </w:r>
    </w:p>
    <w:p w:rsidR="00DF2DD0" w:rsidRPr="00DF2DD0" w:rsidRDefault="00DF2DD0" w:rsidP="00DF2DD0">
      <w:pPr>
        <w:spacing w:after="0" w:line="480" w:lineRule="auto"/>
        <w:ind w:left="5760" w:firstLine="720"/>
        <w:jc w:val="both"/>
        <w:rPr>
          <w:rFonts w:ascii="Arial" w:eastAsia="Calibri" w:hAnsi="Arial" w:cs="Arial"/>
          <w:sz w:val="24"/>
          <w:szCs w:val="24"/>
          <w:lang w:val="en-GB"/>
        </w:rPr>
      </w:pPr>
      <w:r w:rsidRPr="00DF2DD0">
        <w:rPr>
          <w:rFonts w:ascii="Arial" w:eastAsia="Calibri" w:hAnsi="Arial" w:cs="Arial"/>
          <w:sz w:val="24"/>
          <w:szCs w:val="24"/>
          <w:lang w:val="en-GB"/>
        </w:rPr>
        <w:t>CASE NO: 13551/2018</w:t>
      </w:r>
    </w:p>
    <w:p w:rsidR="00DF2DD0" w:rsidRPr="00DF2DD0" w:rsidRDefault="00DF2DD0" w:rsidP="00DF2DD0">
      <w:pPr>
        <w:spacing w:after="0" w:line="480" w:lineRule="auto"/>
        <w:jc w:val="both"/>
        <w:rPr>
          <w:rFonts w:ascii="Arial" w:eastAsia="Calibri" w:hAnsi="Arial" w:cs="Arial"/>
          <w:sz w:val="24"/>
          <w:szCs w:val="24"/>
          <w:lang w:val="en-GB"/>
        </w:rPr>
      </w:pPr>
      <w:r w:rsidRPr="00DF2DD0">
        <w:rPr>
          <w:rFonts w:ascii="Arial" w:eastAsia="Calibri" w:hAnsi="Arial" w:cs="Arial"/>
          <w:sz w:val="24"/>
          <w:szCs w:val="24"/>
          <w:lang w:val="en-GB"/>
        </w:rPr>
        <w:t xml:space="preserve">In the matter between: </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BEEFCOR (PTY) LTD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APPLICANT</w:t>
      </w:r>
    </w:p>
    <w:p w:rsidR="00DF2DD0" w:rsidRPr="00DF2DD0" w:rsidRDefault="00DF2DD0" w:rsidP="00DF2DD0">
      <w:pPr>
        <w:spacing w:after="0" w:line="480" w:lineRule="auto"/>
        <w:jc w:val="both"/>
        <w:rPr>
          <w:rFonts w:ascii="Arial" w:eastAsia="Calibri" w:hAnsi="Arial" w:cs="Arial"/>
          <w:b/>
          <w:sz w:val="24"/>
          <w:szCs w:val="24"/>
          <w:lang w:val="en-GB"/>
        </w:rPr>
      </w:pPr>
      <w:proofErr w:type="gramStart"/>
      <w:r w:rsidRPr="00DF2DD0">
        <w:rPr>
          <w:rFonts w:ascii="Arial" w:eastAsia="Calibri" w:hAnsi="Arial" w:cs="Arial"/>
          <w:b/>
          <w:sz w:val="24"/>
          <w:szCs w:val="24"/>
          <w:lang w:val="en-GB"/>
        </w:rPr>
        <w:t>and</w:t>
      </w:r>
      <w:proofErr w:type="gramEnd"/>
      <w:r w:rsidRPr="00DF2DD0">
        <w:rPr>
          <w:rFonts w:ascii="Arial" w:eastAsia="Calibri" w:hAnsi="Arial" w:cs="Arial"/>
          <w:b/>
          <w:sz w:val="24"/>
          <w:szCs w:val="24"/>
          <w:lang w:val="en-GB"/>
        </w:rPr>
        <w:t xml:space="preserve"> </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JOSE JORGE DE FREITAS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FIRST RESPONDENT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FRANKLIN DOMICIANO DE AGUAR MENEZES </w:t>
      </w:r>
      <w:r w:rsidRPr="00DF2DD0">
        <w:rPr>
          <w:rFonts w:ascii="Arial" w:eastAsia="Calibri" w:hAnsi="Arial" w:cs="Arial"/>
          <w:b/>
          <w:sz w:val="24"/>
          <w:szCs w:val="24"/>
          <w:lang w:val="en-GB"/>
        </w:rPr>
        <w:tab/>
        <w:t xml:space="preserve">       SECOND RESPONDENT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ABBYGAIL VAN WYK ATTORNEYS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THIRD RESPONDENT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SHERIFF JOHANNESBURG CENTRAL</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FOURTH RESPONDENT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ABSA BANK LTD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FIFTH RESPONDENT</w:t>
      </w:r>
    </w:p>
    <w:p w:rsidR="00DF2DD0" w:rsidRPr="00DF2DD0" w:rsidRDefault="00DF2DD0" w:rsidP="00DF2DD0">
      <w:pPr>
        <w:spacing w:after="0" w:line="480" w:lineRule="auto"/>
        <w:jc w:val="both"/>
        <w:rPr>
          <w:rFonts w:ascii="Arial" w:eastAsia="Calibri" w:hAnsi="Arial" w:cs="Arial"/>
          <w:sz w:val="24"/>
          <w:szCs w:val="24"/>
          <w:lang w:val="en-GB"/>
        </w:rPr>
      </w:pPr>
      <w:r w:rsidRPr="00DF2DD0">
        <w:rPr>
          <w:rFonts w:ascii="Arial" w:eastAsia="Calibri" w:hAnsi="Arial" w:cs="Arial"/>
          <w:sz w:val="24"/>
          <w:szCs w:val="24"/>
          <w:lang w:val="en-GB"/>
        </w:rPr>
        <w:t>In re the action between:</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JOSE JORGE DE FREITAS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FIRST PLAINTIFF</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FRANKLIN DOMICIANO DE AGUAR MENEZES                     SECOND PLAINTIFF </w:t>
      </w:r>
    </w:p>
    <w:p w:rsidR="00DF2DD0" w:rsidRPr="00DF2DD0" w:rsidRDefault="00DF2DD0" w:rsidP="00DF2DD0">
      <w:pPr>
        <w:spacing w:after="0" w:line="480" w:lineRule="auto"/>
        <w:jc w:val="both"/>
        <w:rPr>
          <w:rFonts w:ascii="Arial" w:eastAsia="Calibri" w:hAnsi="Arial" w:cs="Arial"/>
          <w:sz w:val="24"/>
          <w:szCs w:val="24"/>
          <w:lang w:val="en-GB"/>
        </w:rPr>
      </w:pPr>
      <w:proofErr w:type="gramStart"/>
      <w:r w:rsidRPr="00DF2DD0">
        <w:rPr>
          <w:rFonts w:ascii="Arial" w:eastAsia="Calibri" w:hAnsi="Arial" w:cs="Arial"/>
          <w:sz w:val="24"/>
          <w:szCs w:val="24"/>
          <w:lang w:val="en-GB"/>
        </w:rPr>
        <w:t>and</w:t>
      </w:r>
      <w:proofErr w:type="gramEnd"/>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CHAMDOR MEAT PACKERS (PTY) LTD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FIRST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lastRenderedPageBreak/>
        <w:t xml:space="preserve">BEEFCOR (PTY) LTD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SECOND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PETRUS HENDRIK TROSKIE N.O.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THIRD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JOHANNES LODEWIKUS LE ROUX N.O.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FOURTH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JACOMINA ELIZABETH TROSKIE N.O.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FIFTH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CORNELIUS JOHANNES HATEM N.O.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SIXTH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HENDRIK LAMBERTUS JOHANNES MOULDER N.O.        SEVENTH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ERENSCHA ALETTA ERASMUS N.O.                                     EIGHTH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MALCOLM JOSEPH FARQUARSON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NINTH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PETRUS HENDRIK TROSKIE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TENTH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CASPARUS JAN HENDRIK WESSELS </w:t>
      </w:r>
      <w:r>
        <w:rPr>
          <w:rFonts w:ascii="Arial" w:eastAsia="Calibri" w:hAnsi="Arial" w:cs="Arial"/>
          <w:b/>
          <w:sz w:val="24"/>
          <w:szCs w:val="24"/>
          <w:lang w:val="en-GB"/>
        </w:rPr>
        <w:tab/>
      </w:r>
      <w:r>
        <w:rPr>
          <w:rFonts w:ascii="Arial" w:eastAsia="Calibri" w:hAnsi="Arial" w:cs="Arial"/>
          <w:b/>
          <w:sz w:val="24"/>
          <w:szCs w:val="24"/>
          <w:lang w:val="en-GB"/>
        </w:rPr>
        <w:tab/>
        <w:t xml:space="preserve">      </w:t>
      </w:r>
      <w:r w:rsidRPr="00DF2DD0">
        <w:rPr>
          <w:rFonts w:ascii="Arial" w:eastAsia="Calibri" w:hAnsi="Arial" w:cs="Arial"/>
          <w:b/>
          <w:sz w:val="24"/>
          <w:szCs w:val="24"/>
          <w:lang w:val="en-GB"/>
        </w:rPr>
        <w:t>ELEVENTH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JOHAN ROBINS WATSON </w:t>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r>
      <w:r>
        <w:rPr>
          <w:rFonts w:ascii="Arial" w:eastAsia="Calibri" w:hAnsi="Arial" w:cs="Arial"/>
          <w:b/>
          <w:sz w:val="24"/>
          <w:szCs w:val="24"/>
          <w:lang w:val="en-GB"/>
        </w:rPr>
        <w:tab/>
        <w:t xml:space="preserve">     </w:t>
      </w:r>
      <w:r w:rsidRPr="00DF2DD0">
        <w:rPr>
          <w:rFonts w:ascii="Arial" w:eastAsia="Calibri" w:hAnsi="Arial" w:cs="Arial"/>
          <w:b/>
          <w:sz w:val="24"/>
          <w:szCs w:val="24"/>
          <w:lang w:val="en-GB"/>
        </w:rPr>
        <w:t xml:space="preserve">   TWELFTH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HERMANUS ABRAHAM VAN STADEN </w:t>
      </w:r>
      <w:r>
        <w:rPr>
          <w:rFonts w:ascii="Arial" w:eastAsia="Calibri" w:hAnsi="Arial" w:cs="Arial"/>
          <w:b/>
          <w:sz w:val="24"/>
          <w:szCs w:val="24"/>
          <w:lang w:val="en-GB"/>
        </w:rPr>
        <w:tab/>
      </w:r>
      <w:r>
        <w:rPr>
          <w:rFonts w:ascii="Arial" w:eastAsia="Calibri" w:hAnsi="Arial" w:cs="Arial"/>
          <w:b/>
          <w:sz w:val="24"/>
          <w:szCs w:val="24"/>
          <w:lang w:val="en-GB"/>
        </w:rPr>
        <w:tab/>
        <w:t xml:space="preserve"> </w:t>
      </w:r>
      <w:r w:rsidRPr="00DF2DD0">
        <w:rPr>
          <w:rFonts w:ascii="Arial" w:eastAsia="Calibri" w:hAnsi="Arial" w:cs="Arial"/>
          <w:b/>
          <w:sz w:val="24"/>
          <w:szCs w:val="24"/>
          <w:lang w:val="en-GB"/>
        </w:rPr>
        <w:t xml:space="preserve"> THIRTEENTH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WESSELS JOHANNES MULLER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FOURTEENTH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TROSKIE &amp; DE WET CC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FIFTEENTH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 xml:space="preserve">RINGDYER INVESTMENTS (PTY) LTD </w:t>
      </w:r>
      <w:r w:rsidRPr="00DF2DD0">
        <w:rPr>
          <w:rFonts w:ascii="Arial" w:eastAsia="Calibri" w:hAnsi="Arial" w:cs="Arial"/>
          <w:b/>
          <w:sz w:val="24"/>
          <w:szCs w:val="24"/>
          <w:lang w:val="en-GB"/>
        </w:rPr>
        <w:tab/>
      </w:r>
      <w:r w:rsidRPr="00DF2DD0">
        <w:rPr>
          <w:rFonts w:ascii="Arial" w:eastAsia="Calibri" w:hAnsi="Arial" w:cs="Arial"/>
          <w:b/>
          <w:sz w:val="24"/>
          <w:szCs w:val="24"/>
          <w:lang w:val="en-GB"/>
        </w:rPr>
        <w:tab/>
        <w:t xml:space="preserve">     SIXTEENTH DEFENDANT</w:t>
      </w:r>
    </w:p>
    <w:p w:rsidR="00DF2DD0" w:rsidRPr="00DF2DD0" w:rsidRDefault="00DF2DD0" w:rsidP="00DF2DD0">
      <w:pPr>
        <w:spacing w:after="0" w:line="480" w:lineRule="auto"/>
        <w:jc w:val="both"/>
        <w:rPr>
          <w:rFonts w:ascii="Arial" w:eastAsia="Calibri" w:hAnsi="Arial" w:cs="Arial"/>
          <w:b/>
          <w:sz w:val="24"/>
          <w:szCs w:val="24"/>
          <w:lang w:val="en-GB"/>
        </w:rPr>
      </w:pPr>
      <w:r w:rsidRPr="00DF2DD0">
        <w:rPr>
          <w:rFonts w:ascii="Arial" w:eastAsia="Calibri" w:hAnsi="Arial" w:cs="Arial"/>
          <w:b/>
          <w:sz w:val="24"/>
          <w:szCs w:val="24"/>
          <w:lang w:val="en-GB"/>
        </w:rPr>
        <w:t>GAUTENG MEAT INSPECTION SERVICES CC        SEVENTEENTH DEFENDANT</w:t>
      </w:r>
    </w:p>
    <w:p w:rsidR="00DF2DD0" w:rsidRPr="00DF2DD0" w:rsidRDefault="00DF2DD0" w:rsidP="00DF2DD0">
      <w:pPr>
        <w:spacing w:after="0" w:line="480" w:lineRule="auto"/>
        <w:jc w:val="both"/>
        <w:rPr>
          <w:rFonts w:ascii="Arial" w:eastAsia="Calibri" w:hAnsi="Arial" w:cs="Arial"/>
          <w:sz w:val="24"/>
          <w:szCs w:val="24"/>
          <w:lang w:val="en-GB"/>
        </w:rPr>
      </w:pPr>
    </w:p>
    <w:p w:rsidR="00DF2DD0" w:rsidRPr="00DF2DD0" w:rsidRDefault="00DF2DD0" w:rsidP="00DF2DD0">
      <w:pPr>
        <w:spacing w:after="0" w:line="480" w:lineRule="auto"/>
        <w:jc w:val="both"/>
        <w:rPr>
          <w:rFonts w:ascii="Arial" w:eastAsia="Calibri" w:hAnsi="Arial" w:cs="Arial"/>
          <w:sz w:val="24"/>
          <w:szCs w:val="24"/>
          <w:lang w:val="en-GB"/>
        </w:rPr>
      </w:pPr>
      <w:r w:rsidRPr="00DF2DD0">
        <w:rPr>
          <w:rFonts w:ascii="Arial" w:eastAsia="Calibri" w:hAnsi="Arial" w:cs="Arial"/>
          <w:i/>
          <w:sz w:val="24"/>
          <w:szCs w:val="24"/>
          <w:lang w:val="en-GB"/>
        </w:rPr>
        <w:t xml:space="preserve">DE FREITAS, JOSE JORGE &amp; MENEZES, FRANKLIN DOMICIANO DE AGUAR </w:t>
      </w:r>
      <w:proofErr w:type="spellStart"/>
      <w:r w:rsidRPr="00DF2DD0">
        <w:rPr>
          <w:rFonts w:ascii="Arial" w:eastAsia="Calibri" w:hAnsi="Arial" w:cs="Arial"/>
          <w:i/>
          <w:sz w:val="24"/>
          <w:szCs w:val="24"/>
          <w:lang w:val="en-GB"/>
        </w:rPr>
        <w:t>vs</w:t>
      </w:r>
      <w:proofErr w:type="spellEnd"/>
      <w:r w:rsidRPr="00DF2DD0">
        <w:rPr>
          <w:rFonts w:ascii="Arial" w:eastAsia="Calibri" w:hAnsi="Arial" w:cs="Arial"/>
          <w:i/>
          <w:sz w:val="24"/>
          <w:szCs w:val="24"/>
          <w:lang w:val="en-GB"/>
        </w:rPr>
        <w:t xml:space="preserve"> CHAMDOR MEAT PACKERS (PTY) LTD &amp; 16 OTHERS </w:t>
      </w:r>
      <w:r w:rsidRPr="00DF2DD0">
        <w:rPr>
          <w:rFonts w:ascii="Arial" w:eastAsia="Calibri" w:hAnsi="Arial" w:cs="Arial"/>
          <w:sz w:val="24"/>
          <w:szCs w:val="24"/>
          <w:lang w:val="en-GB"/>
        </w:rPr>
        <w:t>(Case No: 2018/13551) [2023] ZAGPJHC 508 (18 March 2023)</w:t>
      </w:r>
    </w:p>
    <w:p w:rsidR="00DF2DD0" w:rsidRPr="00DF2DD0" w:rsidRDefault="005D051A" w:rsidP="00DF2DD0">
      <w:pPr>
        <w:spacing w:after="0" w:line="480" w:lineRule="auto"/>
        <w:jc w:val="both"/>
        <w:rPr>
          <w:rFonts w:ascii="Arial" w:eastAsia="Calibri" w:hAnsi="Arial" w:cs="Arial"/>
          <w:b/>
          <w:sz w:val="24"/>
          <w:szCs w:val="24"/>
          <w:lang w:val="en-GB"/>
        </w:rPr>
      </w:pPr>
      <w:r>
        <w:rPr>
          <w:rFonts w:ascii="Arial" w:eastAsia="Calibri" w:hAnsi="Arial" w:cs="Arial"/>
          <w:b/>
          <w:sz w:val="24"/>
          <w:szCs w:val="24"/>
          <w:lang w:val="en-GB"/>
        </w:rPr>
        <w:pict>
          <v:rect id="_x0000_i1025" style="width:0;height:1.5pt" o:hralign="center" o:hrstd="t" o:hr="t" fillcolor="#a0a0a0" stroked="f"/>
        </w:pict>
      </w:r>
    </w:p>
    <w:p w:rsidR="00DF2DD0" w:rsidRPr="00DF2DD0" w:rsidRDefault="00DF2DD0" w:rsidP="00DF2DD0">
      <w:pPr>
        <w:spacing w:after="0" w:line="480" w:lineRule="auto"/>
        <w:ind w:left="1440" w:firstLine="720"/>
        <w:rPr>
          <w:rFonts w:ascii="Arial" w:eastAsia="Calibri" w:hAnsi="Arial" w:cs="Arial"/>
          <w:b/>
          <w:sz w:val="24"/>
          <w:szCs w:val="24"/>
          <w:lang w:val="en-GB"/>
        </w:rPr>
      </w:pPr>
      <w:r w:rsidRPr="00DF2DD0">
        <w:rPr>
          <w:rFonts w:ascii="Arial" w:eastAsia="Calibri" w:hAnsi="Arial" w:cs="Arial"/>
          <w:b/>
          <w:sz w:val="24"/>
          <w:szCs w:val="24"/>
          <w:lang w:val="en-GB"/>
        </w:rPr>
        <w:t xml:space="preserve">                           JUDGMENT</w:t>
      </w:r>
    </w:p>
    <w:p w:rsidR="006B0042" w:rsidRPr="00DF2DD0" w:rsidRDefault="005D051A" w:rsidP="00DF2DD0">
      <w:pPr>
        <w:rPr>
          <w:rFonts w:ascii="Arial" w:eastAsia="Calibri" w:hAnsi="Arial" w:cs="Arial"/>
          <w:b/>
          <w:sz w:val="24"/>
          <w:szCs w:val="24"/>
          <w:lang w:val="en-GB"/>
        </w:rPr>
      </w:pPr>
      <w:r>
        <w:rPr>
          <w:rFonts w:ascii="Arial" w:eastAsia="Calibri" w:hAnsi="Arial" w:cs="Arial"/>
          <w:b/>
          <w:sz w:val="24"/>
          <w:szCs w:val="24"/>
          <w:lang w:val="en-GB"/>
        </w:rPr>
        <w:pict>
          <v:rect id="_x0000_i1026" style="width:0;height:1.5pt" o:hralign="center" o:bullet="t" o:hrstd="t" o:hr="t" fillcolor="#a0a0a0" stroked="f"/>
        </w:pict>
      </w:r>
    </w:p>
    <w:p w:rsidR="00DF2DD0" w:rsidRDefault="00DF2DD0" w:rsidP="00DF2DD0">
      <w:pPr>
        <w:spacing w:after="0" w:line="480" w:lineRule="auto"/>
        <w:contextualSpacing/>
        <w:jc w:val="both"/>
        <w:rPr>
          <w:rFonts w:ascii="Arial" w:eastAsia="Calibri" w:hAnsi="Arial" w:cs="Arial"/>
          <w:b/>
          <w:sz w:val="24"/>
          <w:szCs w:val="24"/>
          <w:lang w:val="en-US"/>
        </w:rPr>
      </w:pPr>
      <w:r w:rsidRPr="00DF2DD0">
        <w:rPr>
          <w:rFonts w:ascii="Arial" w:eastAsia="Calibri" w:hAnsi="Arial" w:cs="Arial"/>
          <w:b/>
          <w:sz w:val="24"/>
          <w:szCs w:val="24"/>
          <w:lang w:val="en-US"/>
        </w:rPr>
        <w:t>THOMPSON AJ</w:t>
      </w:r>
    </w:p>
    <w:p w:rsidR="00DF2DD0" w:rsidRPr="00DF2DD0" w:rsidRDefault="00DF2DD0" w:rsidP="00DF2DD0">
      <w:pPr>
        <w:spacing w:after="0" w:line="480" w:lineRule="auto"/>
        <w:contextualSpacing/>
        <w:jc w:val="both"/>
        <w:rPr>
          <w:rFonts w:ascii="Arial" w:eastAsia="Calibri" w:hAnsi="Arial" w:cs="Arial"/>
          <w:b/>
          <w:sz w:val="24"/>
          <w:szCs w:val="24"/>
          <w:lang w:val="en-US"/>
        </w:rPr>
      </w:pPr>
    </w:p>
    <w:p w:rsidR="00DF2DD0" w:rsidRPr="00DF2DD0" w:rsidRDefault="00DF2DD0" w:rsidP="00DF2DD0">
      <w:pPr>
        <w:spacing w:after="0" w:line="480" w:lineRule="auto"/>
        <w:contextualSpacing/>
        <w:jc w:val="both"/>
        <w:rPr>
          <w:rFonts w:ascii="Arial" w:eastAsia="Calibri" w:hAnsi="Arial" w:cs="Arial"/>
          <w:b/>
          <w:sz w:val="24"/>
          <w:szCs w:val="24"/>
          <w:lang w:val="en-US"/>
        </w:rPr>
      </w:pPr>
      <w:r w:rsidRPr="00DF2DD0">
        <w:rPr>
          <w:rFonts w:ascii="Arial" w:eastAsia="Calibri" w:hAnsi="Arial" w:cs="Arial"/>
          <w:b/>
          <w:sz w:val="24"/>
          <w:szCs w:val="24"/>
          <w:lang w:val="en-US"/>
        </w:rPr>
        <w:lastRenderedPageBreak/>
        <w:t>Introduction</w:t>
      </w: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 xml:space="preserve"> On 26 January 2021, my learned acting brother Rome handed down judgment in an opposed application whereby the Plaintiffs sought to amend their particulars of claim.  Consequent upon a short and direct judgment, Rome AJ made the following order:</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DF2DD0" w:rsidP="00DF2DD0">
      <w:pPr>
        <w:spacing w:after="0" w:line="480" w:lineRule="auto"/>
        <w:ind w:left="1440" w:hanging="720"/>
        <w:contextualSpacing/>
        <w:jc w:val="both"/>
        <w:rPr>
          <w:rFonts w:ascii="Arial" w:eastAsia="Calibri" w:hAnsi="Arial" w:cs="Arial"/>
          <w:i/>
          <w:iCs/>
          <w:sz w:val="24"/>
          <w:szCs w:val="24"/>
          <w:lang w:val="en-US"/>
        </w:rPr>
      </w:pPr>
      <w:r w:rsidRPr="00DF2DD0">
        <w:rPr>
          <w:rFonts w:ascii="Arial" w:eastAsia="Calibri" w:hAnsi="Arial" w:cs="Arial"/>
          <w:sz w:val="24"/>
          <w:szCs w:val="24"/>
          <w:lang w:val="en-US"/>
        </w:rPr>
        <w:t>“</w:t>
      </w:r>
      <w:r w:rsidRPr="00DF2DD0">
        <w:rPr>
          <w:rFonts w:ascii="Arial" w:eastAsia="Calibri" w:hAnsi="Arial" w:cs="Arial"/>
          <w:i/>
          <w:iCs/>
          <w:sz w:val="24"/>
          <w:szCs w:val="24"/>
          <w:lang w:val="en-US"/>
        </w:rPr>
        <w:t>a.</w:t>
      </w:r>
      <w:r w:rsidRPr="00DF2DD0">
        <w:rPr>
          <w:rFonts w:ascii="Arial" w:eastAsia="Calibri" w:hAnsi="Arial" w:cs="Arial"/>
          <w:i/>
          <w:iCs/>
          <w:sz w:val="24"/>
          <w:szCs w:val="24"/>
          <w:lang w:val="en-US"/>
        </w:rPr>
        <w:tab/>
        <w:t xml:space="preserve">The amendments as envisaged in the applicants’ notice of </w:t>
      </w:r>
      <w:proofErr w:type="gramStart"/>
      <w:r w:rsidRPr="00DF2DD0">
        <w:rPr>
          <w:rFonts w:ascii="Arial" w:eastAsia="Calibri" w:hAnsi="Arial" w:cs="Arial"/>
          <w:i/>
          <w:iCs/>
          <w:sz w:val="24"/>
          <w:szCs w:val="24"/>
          <w:lang w:val="en-US"/>
        </w:rPr>
        <w:t>amendment.</w:t>
      </w:r>
      <w:proofErr w:type="gramEnd"/>
      <w:r w:rsidRPr="00DF2DD0">
        <w:rPr>
          <w:rFonts w:ascii="Arial" w:eastAsia="Calibri" w:hAnsi="Arial" w:cs="Arial"/>
          <w:i/>
          <w:iCs/>
          <w:sz w:val="24"/>
          <w:szCs w:val="24"/>
          <w:lang w:val="en-US"/>
        </w:rPr>
        <w:t xml:space="preserve"> . .are granted.</w:t>
      </w:r>
    </w:p>
    <w:p w:rsidR="00DF2DD0" w:rsidRPr="00DF2DD0" w:rsidRDefault="00DF2DD0" w:rsidP="00DF2DD0">
      <w:pPr>
        <w:spacing w:after="0" w:line="480" w:lineRule="auto"/>
        <w:ind w:left="720"/>
        <w:contextualSpacing/>
        <w:jc w:val="both"/>
        <w:rPr>
          <w:rFonts w:ascii="Arial" w:eastAsia="Calibri" w:hAnsi="Arial" w:cs="Arial"/>
          <w:i/>
          <w:iCs/>
          <w:sz w:val="24"/>
          <w:szCs w:val="24"/>
          <w:lang w:val="en-US"/>
        </w:rPr>
      </w:pPr>
    </w:p>
    <w:p w:rsidR="00DF2DD0" w:rsidRPr="00DF2DD0" w:rsidRDefault="00DF2DD0" w:rsidP="00DF2DD0">
      <w:pPr>
        <w:spacing w:after="0" w:line="480" w:lineRule="auto"/>
        <w:ind w:left="1440" w:hanging="720"/>
        <w:contextualSpacing/>
        <w:jc w:val="both"/>
        <w:rPr>
          <w:rFonts w:ascii="Arial" w:eastAsia="Calibri" w:hAnsi="Arial" w:cs="Arial"/>
          <w:sz w:val="24"/>
          <w:szCs w:val="24"/>
          <w:lang w:val="en-US"/>
        </w:rPr>
      </w:pPr>
      <w:r w:rsidRPr="00DF2DD0">
        <w:rPr>
          <w:rFonts w:ascii="Arial" w:eastAsia="Calibri" w:hAnsi="Arial" w:cs="Arial"/>
          <w:i/>
          <w:iCs/>
          <w:sz w:val="24"/>
          <w:szCs w:val="24"/>
          <w:lang w:val="en-US"/>
        </w:rPr>
        <w:t>b.</w:t>
      </w:r>
      <w:r w:rsidRPr="00DF2DD0">
        <w:rPr>
          <w:rFonts w:ascii="Arial" w:eastAsia="Calibri" w:hAnsi="Arial" w:cs="Arial"/>
          <w:i/>
          <w:iCs/>
          <w:sz w:val="24"/>
          <w:szCs w:val="24"/>
          <w:lang w:val="en-US"/>
        </w:rPr>
        <w:tab/>
      </w:r>
      <w:r w:rsidRPr="00DF2DD0">
        <w:rPr>
          <w:rFonts w:ascii="Arial" w:eastAsia="Calibri" w:hAnsi="Arial" w:cs="Arial"/>
          <w:b/>
          <w:bCs/>
          <w:i/>
          <w:iCs/>
          <w:sz w:val="24"/>
          <w:szCs w:val="24"/>
          <w:u w:val="single"/>
          <w:lang w:val="en-US"/>
        </w:rPr>
        <w:t>The respondents</w:t>
      </w:r>
      <w:r w:rsidRPr="00DF2DD0">
        <w:rPr>
          <w:rFonts w:ascii="Arial" w:eastAsia="Calibri" w:hAnsi="Arial" w:cs="Arial"/>
          <w:i/>
          <w:iCs/>
          <w:sz w:val="24"/>
          <w:szCs w:val="24"/>
          <w:lang w:val="en-US"/>
        </w:rPr>
        <w:t xml:space="preserve"> are ordered to pay the opposed costs occasioned by </w:t>
      </w:r>
      <w:r w:rsidRPr="00DF2DD0">
        <w:rPr>
          <w:rFonts w:ascii="Arial" w:eastAsia="Calibri" w:hAnsi="Arial" w:cs="Arial"/>
          <w:b/>
          <w:bCs/>
          <w:i/>
          <w:iCs/>
          <w:sz w:val="24"/>
          <w:szCs w:val="24"/>
          <w:u w:val="single"/>
          <w:lang w:val="en-US"/>
        </w:rPr>
        <w:t>the respondents’</w:t>
      </w:r>
      <w:r w:rsidRPr="00DF2DD0">
        <w:rPr>
          <w:rFonts w:ascii="Arial" w:eastAsia="Calibri" w:hAnsi="Arial" w:cs="Arial"/>
          <w:i/>
          <w:iCs/>
          <w:sz w:val="24"/>
          <w:szCs w:val="24"/>
          <w:lang w:val="en-US"/>
        </w:rPr>
        <w:t xml:space="preserve"> notice of objection. . .”</w:t>
      </w:r>
      <w:r w:rsidRPr="00DF2DD0">
        <w:rPr>
          <w:rFonts w:ascii="Arial" w:eastAsia="Calibri" w:hAnsi="Arial" w:cs="Arial"/>
          <w:i/>
          <w:iCs/>
          <w:sz w:val="24"/>
          <w:szCs w:val="24"/>
          <w:vertAlign w:val="superscript"/>
          <w:lang w:val="en-US"/>
        </w:rPr>
        <w:footnoteReference w:id="1"/>
      </w:r>
    </w:p>
    <w:p w:rsidR="00DF2DD0" w:rsidRPr="00DF2DD0" w:rsidRDefault="00DF2DD0" w:rsidP="00DF2DD0">
      <w:pPr>
        <w:spacing w:after="0" w:line="480" w:lineRule="auto"/>
        <w:ind w:left="720"/>
        <w:contextualSpacing/>
        <w:jc w:val="both"/>
        <w:rPr>
          <w:rFonts w:ascii="Arial" w:eastAsia="Calibri" w:hAnsi="Arial" w:cs="Arial"/>
          <w:i/>
          <w:iCs/>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w:t>
      </w:r>
      <w:bookmarkStart w:id="0" w:name="_GoBack"/>
      <w:bookmarkEnd w:id="0"/>
      <w:r w:rsidRPr="00DF2DD0">
        <w:rPr>
          <w:rFonts w:ascii="Arial" w:eastAsia="Calibri" w:hAnsi="Arial" w:cs="Arial"/>
          <w:sz w:val="24"/>
          <w:szCs w:val="24"/>
          <w:lang w:val="en-US"/>
        </w:rPr>
        <w:t>2]</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Relevant to the order made by Rome AJ are the following facts.  The Plaintiffs instituted action against seventeen defendants.  Of the seventeen defendants, sixteen defended the action with only the eighth defendant not entering any fray in relation to the action.</w:t>
      </w:r>
      <w:r w:rsidR="00DF2DD0" w:rsidRPr="00DF2DD0">
        <w:rPr>
          <w:rFonts w:ascii="Arial" w:eastAsia="Calibri" w:hAnsi="Arial" w:cs="Arial"/>
          <w:sz w:val="24"/>
          <w:szCs w:val="24"/>
          <w:vertAlign w:val="superscript"/>
          <w:lang w:val="en-US"/>
        </w:rPr>
        <w:footnoteReference w:id="2"/>
      </w:r>
      <w:r w:rsidR="00DF2DD0" w:rsidRPr="00DF2DD0">
        <w:rPr>
          <w:rFonts w:ascii="Arial" w:eastAsia="Calibri" w:hAnsi="Arial" w:cs="Arial"/>
          <w:sz w:val="24"/>
          <w:szCs w:val="24"/>
          <w:lang w:val="en-US"/>
        </w:rPr>
        <w:t xml:space="preserve">  The defendants were all, at the time of entering an appearance and delivery of a plea, all represented by the same set of attorneys.  At the time the plaintiffs gave notice of their intention to amend their particulars of claim, the defendants in unison and still represented by the same set of attorneys, objected to the proposed amendment.</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[3]</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 xml:space="preserve">The plaintiffs launched an application for leave to amend their particulars of claim against all of the cited defendants, but only sought costs of the application </w:t>
      </w:r>
      <w:proofErr w:type="gramStart"/>
      <w:r w:rsidR="00DF2DD0" w:rsidRPr="00DF2DD0">
        <w:rPr>
          <w:rFonts w:ascii="Arial" w:eastAsia="Calibri" w:hAnsi="Arial" w:cs="Arial"/>
          <w:sz w:val="24"/>
          <w:szCs w:val="24"/>
          <w:lang w:val="en-US"/>
        </w:rPr>
        <w:lastRenderedPageBreak/>
        <w:t>for</w:t>
      </w:r>
      <w:proofErr w:type="gramEnd"/>
      <w:r w:rsidR="00DF2DD0" w:rsidRPr="00DF2DD0">
        <w:rPr>
          <w:rFonts w:ascii="Arial" w:eastAsia="Calibri" w:hAnsi="Arial" w:cs="Arial"/>
          <w:sz w:val="24"/>
          <w:szCs w:val="24"/>
          <w:lang w:val="en-US"/>
        </w:rPr>
        <w:t xml:space="preserve"> leave to amend against the defendants, jointly and severally.  The defendants, again in unison and represented by the same set of attorneys, opposed the application for leave to amend and the matter was finally heard, as stated above, as an opposed application.</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[4]</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Material to the existing matter before me, the order by Rome AJ is absent the words “</w:t>
      </w:r>
      <w:r w:rsidR="00DF2DD0" w:rsidRPr="00DF2DD0">
        <w:rPr>
          <w:rFonts w:ascii="Arial" w:eastAsia="Calibri" w:hAnsi="Arial" w:cs="Arial"/>
          <w:i/>
          <w:iCs/>
          <w:sz w:val="24"/>
          <w:szCs w:val="24"/>
          <w:lang w:val="en-US"/>
        </w:rPr>
        <w:t>joint and several</w:t>
      </w:r>
      <w:r w:rsidR="00DF2DD0" w:rsidRPr="00DF2DD0">
        <w:rPr>
          <w:rFonts w:ascii="Arial" w:eastAsia="Calibri" w:hAnsi="Arial" w:cs="Arial"/>
          <w:sz w:val="24"/>
          <w:szCs w:val="24"/>
          <w:lang w:val="en-US"/>
        </w:rPr>
        <w:t>” as prayed for by the plaintiffs.  Notwithstanding the aforesaid, the plaintiffs adopted the view that the costs order meant joint and several.  As a result, the plaintiffs caused a writ of execution to be issued consequent upon having the costs of the opposed application taxed in the sum of R67 295</w:t>
      </w:r>
      <w:proofErr w:type="gramStart"/>
      <w:r w:rsidR="00DF2DD0" w:rsidRPr="00DF2DD0">
        <w:rPr>
          <w:rFonts w:ascii="Arial" w:eastAsia="Calibri" w:hAnsi="Arial" w:cs="Arial"/>
          <w:sz w:val="24"/>
          <w:szCs w:val="24"/>
          <w:lang w:val="en-US"/>
        </w:rPr>
        <w:t>,02</w:t>
      </w:r>
      <w:proofErr w:type="gramEnd"/>
      <w:r w:rsidR="00DF2DD0" w:rsidRPr="00DF2DD0">
        <w:rPr>
          <w:rFonts w:ascii="Arial" w:eastAsia="Calibri" w:hAnsi="Arial" w:cs="Arial"/>
          <w:sz w:val="24"/>
          <w:szCs w:val="24"/>
          <w:lang w:val="en-US"/>
        </w:rPr>
        <w:t>.  Pursuant to the writ, a notice of attachment was drawn by the sheriff in terms of which the sheriff attached the second defendant’s right, title and interest in any and all bank accounts held in the name of the second defendant with ABSA Bank Limited was attached in order to obtain satisfaction of the full taxed sum of costs.  In other words, the plaintiffs ended up obtaining full satisfaction of their costs order against the second defendant only.</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[5]</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 xml:space="preserve">The second defendant, aggrieved by the fact that the costs of the opposed application was recovered from only it elected to launch the present application, which turned into an opposed application of some 135 pages.  The second defendant adopted the stance that, despite the defendants having acted in unison in opposing the application for leave to amend, each defendant should </w:t>
      </w:r>
      <w:r w:rsidR="00DF2DD0" w:rsidRPr="00DF2DD0">
        <w:rPr>
          <w:rFonts w:ascii="Arial" w:eastAsia="Calibri" w:hAnsi="Arial" w:cs="Arial"/>
          <w:sz w:val="24"/>
          <w:szCs w:val="24"/>
          <w:lang w:val="en-US"/>
        </w:rPr>
        <w:lastRenderedPageBreak/>
        <w:t xml:space="preserve">be liable only for a joint </w:t>
      </w:r>
      <w:r w:rsidR="00DF2DD0" w:rsidRPr="00DF2DD0">
        <w:rPr>
          <w:rFonts w:ascii="Arial" w:eastAsia="Calibri" w:hAnsi="Arial" w:cs="Arial"/>
          <w:i/>
          <w:iCs/>
          <w:sz w:val="24"/>
          <w:szCs w:val="24"/>
          <w:lang w:val="en-US"/>
        </w:rPr>
        <w:t>pro rata</w:t>
      </w:r>
      <w:r w:rsidR="00DF2DD0" w:rsidRPr="00DF2DD0">
        <w:rPr>
          <w:rFonts w:ascii="Arial" w:eastAsia="Calibri" w:hAnsi="Arial" w:cs="Arial"/>
          <w:sz w:val="24"/>
          <w:szCs w:val="24"/>
          <w:lang w:val="en-US"/>
        </w:rPr>
        <w:t xml:space="preserve"> portion of the taxed costs and, accordingly, sought to have the writ set aside and repayment of the sum of R54 081</w:t>
      </w:r>
      <w:proofErr w:type="gramStart"/>
      <w:r w:rsidR="00DF2DD0" w:rsidRPr="00DF2DD0">
        <w:rPr>
          <w:rFonts w:ascii="Arial" w:eastAsia="Calibri" w:hAnsi="Arial" w:cs="Arial"/>
          <w:sz w:val="24"/>
          <w:szCs w:val="24"/>
          <w:lang w:val="en-US"/>
        </w:rPr>
        <w:t>,91</w:t>
      </w:r>
      <w:proofErr w:type="gramEnd"/>
      <w:r w:rsidR="00DF2DD0" w:rsidRPr="00DF2DD0">
        <w:rPr>
          <w:rFonts w:ascii="Arial" w:eastAsia="Calibri" w:hAnsi="Arial" w:cs="Arial"/>
          <w:sz w:val="24"/>
          <w:szCs w:val="24"/>
          <w:lang w:val="en-US"/>
        </w:rPr>
        <w:t>.</w:t>
      </w:r>
      <w:r w:rsidR="00DF2DD0" w:rsidRPr="00DF2DD0">
        <w:rPr>
          <w:rFonts w:ascii="Arial" w:eastAsia="Calibri" w:hAnsi="Arial" w:cs="Arial"/>
          <w:sz w:val="24"/>
          <w:szCs w:val="24"/>
          <w:vertAlign w:val="superscript"/>
          <w:lang w:val="en-US"/>
        </w:rPr>
        <w:footnoteReference w:id="3"/>
      </w:r>
      <w:r w:rsidR="00DF2DD0" w:rsidRPr="00DF2DD0">
        <w:rPr>
          <w:rFonts w:ascii="Arial" w:eastAsia="Calibri" w:hAnsi="Arial" w:cs="Arial"/>
          <w:sz w:val="24"/>
          <w:szCs w:val="24"/>
          <w:lang w:val="en-US"/>
        </w:rPr>
        <w:t xml:space="preserve">  </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[6]</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The plaintiff’s countered with a stance that the order, despite the absence of the words “</w:t>
      </w:r>
      <w:r w:rsidR="00DF2DD0" w:rsidRPr="00DF2DD0">
        <w:rPr>
          <w:rFonts w:ascii="Arial" w:eastAsia="Calibri" w:hAnsi="Arial" w:cs="Arial"/>
          <w:i/>
          <w:iCs/>
          <w:sz w:val="24"/>
          <w:szCs w:val="24"/>
          <w:lang w:val="en-US"/>
        </w:rPr>
        <w:t>jointly and severally</w:t>
      </w:r>
      <w:r w:rsidR="00DF2DD0" w:rsidRPr="00DF2DD0">
        <w:rPr>
          <w:rFonts w:ascii="Arial" w:eastAsia="Calibri" w:hAnsi="Arial" w:cs="Arial"/>
          <w:sz w:val="24"/>
          <w:szCs w:val="24"/>
          <w:lang w:val="en-US"/>
        </w:rPr>
        <w:t>”, is to be interpreted as rendering the defendants jointly and severally liable.  However, in the event that the court finds that the costs order by Rome AJ could not be recovered on a joint and several liability basis, the plaintiffs apply to have the costs order varied in terms of Rule 42(1</w:t>
      </w:r>
      <w:proofErr w:type="gramStart"/>
      <w:r w:rsidR="00DF2DD0" w:rsidRPr="00DF2DD0">
        <w:rPr>
          <w:rFonts w:ascii="Arial" w:eastAsia="Calibri" w:hAnsi="Arial" w:cs="Arial"/>
          <w:sz w:val="24"/>
          <w:szCs w:val="24"/>
          <w:lang w:val="en-US"/>
        </w:rPr>
        <w:t>)(</w:t>
      </w:r>
      <w:proofErr w:type="gramEnd"/>
      <w:r w:rsidR="00DF2DD0" w:rsidRPr="00DF2DD0">
        <w:rPr>
          <w:rFonts w:ascii="Arial" w:eastAsia="Calibri" w:hAnsi="Arial" w:cs="Arial"/>
          <w:sz w:val="24"/>
          <w:szCs w:val="24"/>
          <w:lang w:val="en-US"/>
        </w:rPr>
        <w:t>b) on the basis that there is a patent error and/or ambiguity and/or omission.</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[7]</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The starting point in interpreting any order is the words itself.</w:t>
      </w:r>
      <w:r w:rsidR="00DF2DD0" w:rsidRPr="00DF2DD0">
        <w:rPr>
          <w:rFonts w:ascii="Arial" w:eastAsia="Calibri" w:hAnsi="Arial" w:cs="Arial"/>
          <w:sz w:val="24"/>
          <w:szCs w:val="24"/>
          <w:vertAlign w:val="superscript"/>
          <w:lang w:val="en-US"/>
        </w:rPr>
        <w:footnoteReference w:id="4"/>
      </w:r>
      <w:r w:rsidR="00DF2DD0" w:rsidRPr="00DF2DD0">
        <w:rPr>
          <w:rFonts w:ascii="Arial" w:eastAsia="Calibri" w:hAnsi="Arial" w:cs="Arial"/>
          <w:sz w:val="24"/>
          <w:szCs w:val="24"/>
          <w:lang w:val="en-US"/>
        </w:rPr>
        <w:t xml:space="preserve">  As </w:t>
      </w:r>
      <w:proofErr w:type="spellStart"/>
      <w:r w:rsidR="00DF2DD0" w:rsidRPr="00DF2DD0">
        <w:rPr>
          <w:rFonts w:ascii="Arial" w:eastAsia="Calibri" w:hAnsi="Arial" w:cs="Arial"/>
          <w:i/>
          <w:iCs/>
          <w:sz w:val="24"/>
          <w:szCs w:val="24"/>
          <w:lang w:val="en-US"/>
        </w:rPr>
        <w:t>Mr</w:t>
      </w:r>
      <w:proofErr w:type="spellEnd"/>
      <w:r w:rsidR="00DF2DD0" w:rsidRPr="00DF2DD0">
        <w:rPr>
          <w:rFonts w:ascii="Arial" w:eastAsia="Calibri" w:hAnsi="Arial" w:cs="Arial"/>
          <w:i/>
          <w:iCs/>
          <w:sz w:val="24"/>
          <w:szCs w:val="24"/>
          <w:lang w:val="en-US"/>
        </w:rPr>
        <w:t xml:space="preserve"> </w:t>
      </w:r>
      <w:proofErr w:type="spellStart"/>
      <w:r w:rsidR="00DF2DD0" w:rsidRPr="00DF2DD0">
        <w:rPr>
          <w:rFonts w:ascii="Arial" w:eastAsia="Calibri" w:hAnsi="Arial" w:cs="Arial"/>
          <w:i/>
          <w:iCs/>
          <w:sz w:val="24"/>
          <w:szCs w:val="24"/>
          <w:lang w:val="en-US"/>
        </w:rPr>
        <w:t>Louw</w:t>
      </w:r>
      <w:proofErr w:type="spellEnd"/>
      <w:r w:rsidR="00DF2DD0" w:rsidRPr="00DF2DD0">
        <w:rPr>
          <w:rFonts w:ascii="Arial" w:eastAsia="Calibri" w:hAnsi="Arial" w:cs="Arial"/>
          <w:sz w:val="24"/>
          <w:szCs w:val="24"/>
          <w:lang w:val="en-US"/>
        </w:rPr>
        <w:t xml:space="preserve"> for the second defendant correctly points out in his heads of argument, by reference to </w:t>
      </w:r>
      <w:proofErr w:type="spellStart"/>
      <w:r w:rsidR="00DF2DD0" w:rsidRPr="00DF2DD0">
        <w:rPr>
          <w:rFonts w:ascii="Arial" w:eastAsia="Calibri" w:hAnsi="Arial" w:cs="Arial"/>
          <w:b/>
          <w:bCs/>
          <w:i/>
          <w:iCs/>
          <w:sz w:val="24"/>
          <w:szCs w:val="24"/>
          <w:lang w:val="en-US"/>
        </w:rPr>
        <w:t>Roelou</w:t>
      </w:r>
      <w:proofErr w:type="spellEnd"/>
      <w:r w:rsidR="00DF2DD0" w:rsidRPr="00DF2DD0">
        <w:rPr>
          <w:rFonts w:ascii="Arial" w:eastAsia="Calibri" w:hAnsi="Arial" w:cs="Arial"/>
          <w:b/>
          <w:bCs/>
          <w:i/>
          <w:iCs/>
          <w:sz w:val="24"/>
          <w:szCs w:val="24"/>
          <w:lang w:val="en-US"/>
        </w:rPr>
        <w:t xml:space="preserve"> Barry (</w:t>
      </w:r>
      <w:proofErr w:type="spellStart"/>
      <w:r w:rsidR="00DF2DD0" w:rsidRPr="00DF2DD0">
        <w:rPr>
          <w:rFonts w:ascii="Arial" w:eastAsia="Calibri" w:hAnsi="Arial" w:cs="Arial"/>
          <w:b/>
          <w:bCs/>
          <w:i/>
          <w:iCs/>
          <w:sz w:val="24"/>
          <w:szCs w:val="24"/>
          <w:lang w:val="en-US"/>
        </w:rPr>
        <w:t>Edms</w:t>
      </w:r>
      <w:proofErr w:type="spellEnd"/>
      <w:r w:rsidR="00DF2DD0" w:rsidRPr="00DF2DD0">
        <w:rPr>
          <w:rFonts w:ascii="Arial" w:eastAsia="Calibri" w:hAnsi="Arial" w:cs="Arial"/>
          <w:b/>
          <w:bCs/>
          <w:i/>
          <w:iCs/>
          <w:sz w:val="24"/>
          <w:szCs w:val="24"/>
          <w:lang w:val="en-US"/>
        </w:rPr>
        <w:t xml:space="preserve">) </w:t>
      </w:r>
      <w:proofErr w:type="spellStart"/>
      <w:r w:rsidR="00DF2DD0" w:rsidRPr="00DF2DD0">
        <w:rPr>
          <w:rFonts w:ascii="Arial" w:eastAsia="Calibri" w:hAnsi="Arial" w:cs="Arial"/>
          <w:b/>
          <w:bCs/>
          <w:i/>
          <w:iCs/>
          <w:sz w:val="24"/>
          <w:szCs w:val="24"/>
          <w:lang w:val="en-US"/>
        </w:rPr>
        <w:t>Bpk</w:t>
      </w:r>
      <w:proofErr w:type="spellEnd"/>
      <w:r w:rsidR="00DF2DD0" w:rsidRPr="00DF2DD0">
        <w:rPr>
          <w:rFonts w:ascii="Arial" w:eastAsia="Calibri" w:hAnsi="Arial" w:cs="Arial"/>
          <w:b/>
          <w:bCs/>
          <w:i/>
          <w:iCs/>
          <w:sz w:val="24"/>
          <w:szCs w:val="24"/>
          <w:lang w:val="en-US"/>
        </w:rPr>
        <w:t xml:space="preserve"> v Bosch en ‘n Ander</w:t>
      </w:r>
      <w:r w:rsidR="00DF2DD0" w:rsidRPr="00DF2DD0">
        <w:rPr>
          <w:rFonts w:ascii="Arial" w:eastAsia="Calibri" w:hAnsi="Arial" w:cs="Arial"/>
          <w:sz w:val="24"/>
          <w:szCs w:val="24"/>
          <w:lang w:val="en-US"/>
        </w:rPr>
        <w:t>,</w:t>
      </w:r>
      <w:r w:rsidR="00DF2DD0" w:rsidRPr="00DF2DD0">
        <w:rPr>
          <w:rFonts w:ascii="Arial" w:eastAsia="Calibri" w:hAnsi="Arial" w:cs="Arial"/>
          <w:i/>
          <w:iCs/>
          <w:sz w:val="24"/>
          <w:szCs w:val="24"/>
          <w:vertAlign w:val="superscript"/>
          <w:lang w:val="en-US"/>
        </w:rPr>
        <w:footnoteReference w:id="5"/>
      </w:r>
      <w:r w:rsidR="00DF2DD0" w:rsidRPr="00DF2DD0">
        <w:rPr>
          <w:rFonts w:ascii="Arial" w:eastAsia="Calibri" w:hAnsi="Arial" w:cs="Arial"/>
          <w:sz w:val="24"/>
          <w:szCs w:val="24"/>
          <w:lang w:val="en-US"/>
        </w:rPr>
        <w:t xml:space="preserve"> the general rule of our common law is that joint-debtors can be held liable for no more than their equal share of the particular debt, unless there is clear evidence that it is the intention that they be held liable </w:t>
      </w:r>
      <w:r w:rsidR="00DF2DD0" w:rsidRPr="00DF2DD0">
        <w:rPr>
          <w:rFonts w:ascii="Arial" w:eastAsia="Calibri" w:hAnsi="Arial" w:cs="Arial"/>
          <w:i/>
          <w:iCs/>
          <w:sz w:val="24"/>
          <w:szCs w:val="24"/>
          <w:lang w:val="en-US"/>
        </w:rPr>
        <w:t xml:space="preserve">in </w:t>
      </w:r>
      <w:proofErr w:type="spellStart"/>
      <w:r w:rsidR="00DF2DD0" w:rsidRPr="00DF2DD0">
        <w:rPr>
          <w:rFonts w:ascii="Arial" w:eastAsia="Calibri" w:hAnsi="Arial" w:cs="Arial"/>
          <w:i/>
          <w:iCs/>
          <w:sz w:val="24"/>
          <w:szCs w:val="24"/>
          <w:lang w:val="en-US"/>
        </w:rPr>
        <w:t>solidium</w:t>
      </w:r>
      <w:proofErr w:type="spellEnd"/>
      <w:r w:rsidR="00DF2DD0" w:rsidRPr="00DF2DD0">
        <w:rPr>
          <w:rFonts w:ascii="Arial" w:eastAsia="Calibri" w:hAnsi="Arial" w:cs="Arial"/>
          <w:sz w:val="24"/>
          <w:szCs w:val="24"/>
          <w:lang w:val="en-US"/>
        </w:rPr>
        <w:t>.</w:t>
      </w:r>
      <w:r w:rsidR="00DF2DD0" w:rsidRPr="00DF2DD0">
        <w:rPr>
          <w:rFonts w:ascii="Arial" w:eastAsia="Calibri" w:hAnsi="Arial" w:cs="Arial"/>
          <w:sz w:val="24"/>
          <w:szCs w:val="24"/>
          <w:vertAlign w:val="superscript"/>
          <w:lang w:val="en-US"/>
        </w:rPr>
        <w:footnoteReference w:id="6"/>
      </w:r>
      <w:r w:rsidR="00DF2DD0" w:rsidRPr="00DF2DD0">
        <w:rPr>
          <w:rFonts w:ascii="Arial" w:eastAsia="Calibri" w:hAnsi="Arial" w:cs="Arial"/>
          <w:sz w:val="24"/>
          <w:szCs w:val="24"/>
          <w:lang w:val="en-US"/>
        </w:rPr>
        <w:t xml:space="preserve">  It is therefore practice for a court to add the words “</w:t>
      </w:r>
      <w:r w:rsidR="00DF2DD0" w:rsidRPr="00DF2DD0">
        <w:rPr>
          <w:rFonts w:ascii="Arial" w:eastAsia="Calibri" w:hAnsi="Arial" w:cs="Arial"/>
          <w:i/>
          <w:iCs/>
          <w:sz w:val="24"/>
          <w:szCs w:val="24"/>
          <w:lang w:val="en-US"/>
        </w:rPr>
        <w:t>jointly and severally</w:t>
      </w:r>
      <w:r w:rsidR="00DF2DD0" w:rsidRPr="00DF2DD0">
        <w:rPr>
          <w:rFonts w:ascii="Arial" w:eastAsia="Calibri" w:hAnsi="Arial" w:cs="Arial"/>
          <w:sz w:val="24"/>
          <w:szCs w:val="24"/>
          <w:lang w:val="en-US"/>
        </w:rPr>
        <w:t xml:space="preserve">” to an order where </w:t>
      </w:r>
      <w:r w:rsidR="00DF2DD0" w:rsidRPr="00DF2DD0">
        <w:rPr>
          <w:rFonts w:ascii="Arial" w:eastAsia="Calibri" w:hAnsi="Arial" w:cs="Arial"/>
          <w:i/>
          <w:iCs/>
          <w:sz w:val="24"/>
          <w:szCs w:val="24"/>
          <w:lang w:val="en-US"/>
        </w:rPr>
        <w:t xml:space="preserve">in </w:t>
      </w:r>
      <w:proofErr w:type="spellStart"/>
      <w:r w:rsidR="00DF2DD0" w:rsidRPr="00DF2DD0">
        <w:rPr>
          <w:rFonts w:ascii="Arial" w:eastAsia="Calibri" w:hAnsi="Arial" w:cs="Arial"/>
          <w:i/>
          <w:iCs/>
          <w:sz w:val="24"/>
          <w:szCs w:val="24"/>
          <w:lang w:val="en-US"/>
        </w:rPr>
        <w:t>solidium</w:t>
      </w:r>
      <w:proofErr w:type="spellEnd"/>
      <w:r w:rsidR="00DF2DD0" w:rsidRPr="00DF2DD0">
        <w:rPr>
          <w:rFonts w:ascii="Arial" w:eastAsia="Calibri" w:hAnsi="Arial" w:cs="Arial"/>
          <w:sz w:val="24"/>
          <w:szCs w:val="24"/>
          <w:lang w:val="en-US"/>
        </w:rPr>
        <w:t xml:space="preserve"> liability is envisaged.</w:t>
      </w:r>
      <w:r w:rsidR="00DF2DD0" w:rsidRPr="00DF2DD0">
        <w:rPr>
          <w:rFonts w:ascii="Arial" w:eastAsia="Calibri" w:hAnsi="Arial" w:cs="Arial"/>
          <w:sz w:val="24"/>
          <w:szCs w:val="24"/>
          <w:vertAlign w:val="superscript"/>
          <w:lang w:val="en-US"/>
        </w:rPr>
        <w:footnoteReference w:id="7"/>
      </w:r>
      <w:r w:rsidR="00DF2DD0" w:rsidRPr="00DF2DD0">
        <w:rPr>
          <w:rFonts w:ascii="Arial" w:eastAsia="Calibri" w:hAnsi="Arial" w:cs="Arial"/>
          <w:sz w:val="24"/>
          <w:szCs w:val="24"/>
          <w:lang w:val="en-US"/>
        </w:rPr>
        <w:t xml:space="preserve">  </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[8]</w:t>
      </w:r>
      <w:r w:rsidRPr="00DF2DD0">
        <w:rPr>
          <w:rFonts w:ascii="Arial" w:eastAsia="Calibri" w:hAnsi="Arial" w:cs="Arial"/>
          <w:sz w:val="24"/>
          <w:szCs w:val="24"/>
          <w:lang w:val="en-US"/>
        </w:rPr>
        <w:tab/>
      </w:r>
      <w:proofErr w:type="spellStart"/>
      <w:r w:rsidR="00DF2DD0" w:rsidRPr="00DF2DD0">
        <w:rPr>
          <w:rFonts w:ascii="Arial" w:eastAsia="Calibri" w:hAnsi="Arial" w:cs="Arial"/>
          <w:i/>
          <w:iCs/>
          <w:sz w:val="24"/>
          <w:szCs w:val="24"/>
          <w:lang w:val="en-US"/>
        </w:rPr>
        <w:t>Mr</w:t>
      </w:r>
      <w:proofErr w:type="spellEnd"/>
      <w:r w:rsidR="00DF2DD0" w:rsidRPr="00DF2DD0">
        <w:rPr>
          <w:rFonts w:ascii="Arial" w:eastAsia="Calibri" w:hAnsi="Arial" w:cs="Arial"/>
          <w:i/>
          <w:iCs/>
          <w:sz w:val="24"/>
          <w:szCs w:val="24"/>
          <w:lang w:val="en-US"/>
        </w:rPr>
        <w:t xml:space="preserve"> Cowley</w:t>
      </w:r>
      <w:r w:rsidR="00DF2DD0" w:rsidRPr="00DF2DD0">
        <w:rPr>
          <w:rFonts w:ascii="Arial" w:eastAsia="Calibri" w:hAnsi="Arial" w:cs="Arial"/>
          <w:sz w:val="24"/>
          <w:szCs w:val="24"/>
          <w:lang w:val="en-US"/>
        </w:rPr>
        <w:t xml:space="preserve">, for the plaintiffs, relied on two </w:t>
      </w:r>
      <w:proofErr w:type="spellStart"/>
      <w:r w:rsidR="00DF2DD0" w:rsidRPr="00DF2DD0">
        <w:rPr>
          <w:rFonts w:ascii="Arial" w:eastAsia="Calibri" w:hAnsi="Arial" w:cs="Arial"/>
          <w:sz w:val="24"/>
          <w:szCs w:val="24"/>
          <w:lang w:val="en-US"/>
        </w:rPr>
        <w:t>authorties</w:t>
      </w:r>
      <w:proofErr w:type="spellEnd"/>
      <w:r w:rsidR="00DF2DD0" w:rsidRPr="00DF2DD0">
        <w:rPr>
          <w:rFonts w:ascii="Arial" w:eastAsia="Calibri" w:hAnsi="Arial" w:cs="Arial"/>
          <w:sz w:val="24"/>
          <w:szCs w:val="24"/>
          <w:lang w:val="en-US"/>
        </w:rPr>
        <w:t xml:space="preserve"> for the proposition that the order must be interpreted to include joint and several liability.  The first authority </w:t>
      </w:r>
      <w:r w:rsidR="00DF2DD0" w:rsidRPr="00DF2DD0">
        <w:rPr>
          <w:rFonts w:ascii="Arial" w:eastAsia="Calibri" w:hAnsi="Arial" w:cs="Arial"/>
          <w:sz w:val="24"/>
          <w:szCs w:val="24"/>
          <w:lang w:val="en-US"/>
        </w:rPr>
        <w:lastRenderedPageBreak/>
        <w:t>relied upon, in my view, does not more than establish a general rule that where parties make common cause in opposing a matter, equity demands that they should be jointly and severally liable for such costs.</w:t>
      </w:r>
      <w:r w:rsidR="00DF2DD0" w:rsidRPr="00DF2DD0">
        <w:rPr>
          <w:rFonts w:ascii="Arial" w:eastAsia="Calibri" w:hAnsi="Arial" w:cs="Arial"/>
          <w:sz w:val="24"/>
          <w:szCs w:val="24"/>
          <w:vertAlign w:val="superscript"/>
          <w:lang w:val="en-US"/>
        </w:rPr>
        <w:footnoteReference w:id="8"/>
      </w:r>
      <w:r w:rsidR="00DF2DD0" w:rsidRPr="00DF2DD0">
        <w:rPr>
          <w:rFonts w:ascii="Arial" w:eastAsia="Calibri" w:hAnsi="Arial" w:cs="Arial"/>
          <w:sz w:val="24"/>
          <w:szCs w:val="24"/>
          <w:lang w:val="en-US"/>
        </w:rPr>
        <w:t xml:space="preserve">  The second authority, in my view, clarifies the general rule established by the first authority.  The second authority makes it clear that where parties make common cause to oppose certain relief sought, the other party seeking the relief is entitled to an order in respect of joint and several liability.</w:t>
      </w:r>
      <w:r w:rsidR="00DF2DD0" w:rsidRPr="00DF2DD0">
        <w:rPr>
          <w:rFonts w:ascii="Arial" w:eastAsia="Calibri" w:hAnsi="Arial" w:cs="Arial"/>
          <w:sz w:val="24"/>
          <w:szCs w:val="24"/>
          <w:vertAlign w:val="superscript"/>
          <w:lang w:val="en-US"/>
        </w:rPr>
        <w:footnoteReference w:id="9"/>
      </w:r>
      <w:r w:rsidR="00DF2DD0" w:rsidRPr="00DF2DD0">
        <w:rPr>
          <w:rFonts w:ascii="Arial" w:eastAsia="Calibri" w:hAnsi="Arial" w:cs="Arial"/>
          <w:sz w:val="24"/>
          <w:szCs w:val="24"/>
          <w:lang w:val="en-US"/>
        </w:rPr>
        <w:t xml:space="preserve">  </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[9]</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 xml:space="preserve">More eloquently stated, as a general rule a party seeking relief against more than one opposing party is entitled to have his/her costs paid on a joint and several liability basis by the opposing parties, where such opposing parties made common cause in the opposition of the relief sought.  However, such entitlement must be clearly stated in the order by stipulating that the order envisages </w:t>
      </w:r>
      <w:r w:rsidR="00DF2DD0" w:rsidRPr="00DF2DD0">
        <w:rPr>
          <w:rFonts w:ascii="Arial" w:eastAsia="Calibri" w:hAnsi="Arial" w:cs="Arial"/>
          <w:i/>
          <w:iCs/>
          <w:sz w:val="24"/>
          <w:szCs w:val="24"/>
          <w:lang w:val="en-US"/>
        </w:rPr>
        <w:t xml:space="preserve">in </w:t>
      </w:r>
      <w:proofErr w:type="spellStart"/>
      <w:r w:rsidR="00DF2DD0" w:rsidRPr="00DF2DD0">
        <w:rPr>
          <w:rFonts w:ascii="Arial" w:eastAsia="Calibri" w:hAnsi="Arial" w:cs="Arial"/>
          <w:i/>
          <w:iCs/>
          <w:sz w:val="24"/>
          <w:szCs w:val="24"/>
          <w:lang w:val="en-US"/>
        </w:rPr>
        <w:t>solidium</w:t>
      </w:r>
      <w:proofErr w:type="spellEnd"/>
      <w:r w:rsidR="00DF2DD0" w:rsidRPr="00DF2DD0">
        <w:rPr>
          <w:rFonts w:ascii="Arial" w:eastAsia="Calibri" w:hAnsi="Arial" w:cs="Arial"/>
          <w:i/>
          <w:iCs/>
          <w:sz w:val="24"/>
          <w:szCs w:val="24"/>
          <w:lang w:val="en-US"/>
        </w:rPr>
        <w:t xml:space="preserve"> </w:t>
      </w:r>
      <w:r w:rsidR="00DF2DD0" w:rsidRPr="00DF2DD0">
        <w:rPr>
          <w:rFonts w:ascii="Arial" w:eastAsia="Calibri" w:hAnsi="Arial" w:cs="Arial"/>
          <w:sz w:val="24"/>
          <w:szCs w:val="24"/>
          <w:lang w:val="en-US"/>
        </w:rPr>
        <w:t>liability by adding the words “</w:t>
      </w:r>
      <w:r w:rsidR="00DF2DD0" w:rsidRPr="00DF2DD0">
        <w:rPr>
          <w:rFonts w:ascii="Arial" w:eastAsia="Calibri" w:hAnsi="Arial" w:cs="Arial"/>
          <w:i/>
          <w:iCs/>
          <w:sz w:val="24"/>
          <w:szCs w:val="24"/>
          <w:lang w:val="en-US"/>
        </w:rPr>
        <w:t>joint and several</w:t>
      </w:r>
      <w:r w:rsidR="00DF2DD0" w:rsidRPr="00DF2DD0">
        <w:rPr>
          <w:rFonts w:ascii="Arial" w:eastAsia="Calibri" w:hAnsi="Arial" w:cs="Arial"/>
          <w:sz w:val="24"/>
          <w:szCs w:val="24"/>
          <w:lang w:val="en-US"/>
        </w:rPr>
        <w:t xml:space="preserve">” to such order.  </w:t>
      </w:r>
    </w:p>
    <w:p w:rsidR="00DF2DD0" w:rsidRPr="00DF2DD0" w:rsidRDefault="00DF2DD0" w:rsidP="00DF2DD0">
      <w:pPr>
        <w:spacing w:after="0" w:line="480" w:lineRule="auto"/>
        <w:ind w:left="720"/>
        <w:contextualSpacing/>
        <w:jc w:val="both"/>
        <w:rPr>
          <w:rFonts w:ascii="Arial" w:eastAsia="Calibri" w:hAnsi="Arial" w:cs="Arial"/>
          <w:i/>
          <w:iCs/>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[10]</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 xml:space="preserve">In light of the aforesaid, </w:t>
      </w:r>
      <w:proofErr w:type="spellStart"/>
      <w:r w:rsidR="00DF2DD0" w:rsidRPr="00DF2DD0">
        <w:rPr>
          <w:rFonts w:ascii="Arial" w:eastAsia="Calibri" w:hAnsi="Arial" w:cs="Arial"/>
          <w:i/>
          <w:iCs/>
          <w:sz w:val="24"/>
          <w:szCs w:val="24"/>
          <w:lang w:val="en-US"/>
        </w:rPr>
        <w:t>Mr</w:t>
      </w:r>
      <w:proofErr w:type="spellEnd"/>
      <w:r w:rsidR="00DF2DD0" w:rsidRPr="00DF2DD0">
        <w:rPr>
          <w:rFonts w:ascii="Arial" w:eastAsia="Calibri" w:hAnsi="Arial" w:cs="Arial"/>
          <w:i/>
          <w:iCs/>
          <w:sz w:val="24"/>
          <w:szCs w:val="24"/>
          <w:lang w:val="en-US"/>
        </w:rPr>
        <w:t xml:space="preserve"> Cowley’s</w:t>
      </w:r>
      <w:r w:rsidR="00DF2DD0" w:rsidRPr="00DF2DD0">
        <w:rPr>
          <w:rFonts w:ascii="Arial" w:eastAsia="Calibri" w:hAnsi="Arial" w:cs="Arial"/>
          <w:sz w:val="24"/>
          <w:szCs w:val="24"/>
          <w:lang w:val="en-US"/>
        </w:rPr>
        <w:t xml:space="preserve"> submission cannot muster scrutiny that words must be interpreted into the order where they do not clearly appear in the order.  The second defendant is therefore correct, the order does not stipulate a joint and several liability on the part of the defendants.</w:t>
      </w:r>
    </w:p>
    <w:p w:rsidR="00DF2DD0" w:rsidRPr="00DF2DD0" w:rsidRDefault="00DF2DD0" w:rsidP="00DF2DD0">
      <w:pPr>
        <w:spacing w:after="0" w:line="480" w:lineRule="auto"/>
        <w:ind w:left="720"/>
        <w:contextualSpacing/>
        <w:jc w:val="both"/>
        <w:rPr>
          <w:rFonts w:ascii="Arial" w:eastAsia="Calibri" w:hAnsi="Arial" w:cs="Arial"/>
          <w:i/>
          <w:iCs/>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[11]</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 xml:space="preserve">Had it not been for the Rule 42-counterapplication, this would have been the end of the matter.  The plaintiffs, wisely so, kept the additional string in their </w:t>
      </w:r>
      <w:r w:rsidR="00DF2DD0" w:rsidRPr="00DF2DD0">
        <w:rPr>
          <w:rFonts w:ascii="Arial" w:eastAsia="Calibri" w:hAnsi="Arial" w:cs="Arial"/>
          <w:sz w:val="24"/>
          <w:szCs w:val="24"/>
          <w:lang w:val="en-US"/>
        </w:rPr>
        <w:lastRenderedPageBreak/>
        <w:t>bow to seek a variation of Rome AJ’s costs order in the event that it was needed.  In this regard the plaintiff’s aver that the order by Rome AJ contains either an ambiguity, patent error or omission.</w:t>
      </w:r>
    </w:p>
    <w:p w:rsidR="00DF2DD0" w:rsidRPr="00DF2DD0" w:rsidRDefault="00DF2DD0" w:rsidP="00DF2DD0">
      <w:pPr>
        <w:spacing w:after="0" w:line="480" w:lineRule="auto"/>
        <w:ind w:left="720"/>
        <w:contextualSpacing/>
        <w:jc w:val="both"/>
        <w:rPr>
          <w:rFonts w:ascii="Arial" w:eastAsia="Calibri" w:hAnsi="Arial" w:cs="Arial"/>
          <w:i/>
          <w:iCs/>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[12]</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 xml:space="preserve">During argument I pointed out to </w:t>
      </w:r>
      <w:proofErr w:type="spellStart"/>
      <w:r w:rsidR="00DF2DD0" w:rsidRPr="00DF2DD0">
        <w:rPr>
          <w:rFonts w:ascii="Arial" w:eastAsia="Calibri" w:hAnsi="Arial" w:cs="Arial"/>
          <w:i/>
          <w:iCs/>
          <w:sz w:val="24"/>
          <w:szCs w:val="24"/>
          <w:lang w:val="en-US"/>
        </w:rPr>
        <w:t>Mr</w:t>
      </w:r>
      <w:proofErr w:type="spellEnd"/>
      <w:r w:rsidR="00DF2DD0" w:rsidRPr="00DF2DD0">
        <w:rPr>
          <w:rFonts w:ascii="Arial" w:eastAsia="Calibri" w:hAnsi="Arial" w:cs="Arial"/>
          <w:i/>
          <w:iCs/>
          <w:sz w:val="24"/>
          <w:szCs w:val="24"/>
          <w:lang w:val="en-US"/>
        </w:rPr>
        <w:t xml:space="preserve"> </w:t>
      </w:r>
      <w:proofErr w:type="spellStart"/>
      <w:r w:rsidR="00DF2DD0" w:rsidRPr="00DF2DD0">
        <w:rPr>
          <w:rFonts w:ascii="Arial" w:eastAsia="Calibri" w:hAnsi="Arial" w:cs="Arial"/>
          <w:i/>
          <w:iCs/>
          <w:sz w:val="24"/>
          <w:szCs w:val="24"/>
          <w:lang w:val="en-US"/>
        </w:rPr>
        <w:t>Louw</w:t>
      </w:r>
      <w:proofErr w:type="spellEnd"/>
      <w:r w:rsidR="00DF2DD0" w:rsidRPr="00DF2DD0">
        <w:rPr>
          <w:rFonts w:ascii="Arial" w:eastAsia="Calibri" w:hAnsi="Arial" w:cs="Arial"/>
          <w:sz w:val="24"/>
          <w:szCs w:val="24"/>
          <w:lang w:val="en-US"/>
        </w:rPr>
        <w:t xml:space="preserve"> that the general rule is that where opposing defendants make common cause with one another, the plaintiff is entitled to an order pertaining to joint and several liability.  I then directed </w:t>
      </w:r>
      <w:proofErr w:type="spellStart"/>
      <w:r w:rsidR="00DF2DD0" w:rsidRPr="00DF2DD0">
        <w:rPr>
          <w:rFonts w:ascii="Arial" w:eastAsia="Calibri" w:hAnsi="Arial" w:cs="Arial"/>
          <w:i/>
          <w:iCs/>
          <w:sz w:val="24"/>
          <w:szCs w:val="24"/>
          <w:lang w:val="en-US"/>
        </w:rPr>
        <w:t>Mr</w:t>
      </w:r>
      <w:proofErr w:type="spellEnd"/>
      <w:r w:rsidR="00DF2DD0" w:rsidRPr="00DF2DD0">
        <w:rPr>
          <w:rFonts w:ascii="Arial" w:eastAsia="Calibri" w:hAnsi="Arial" w:cs="Arial"/>
          <w:i/>
          <w:iCs/>
          <w:sz w:val="24"/>
          <w:szCs w:val="24"/>
          <w:lang w:val="en-US"/>
        </w:rPr>
        <w:t xml:space="preserve"> </w:t>
      </w:r>
      <w:proofErr w:type="spellStart"/>
      <w:r w:rsidR="00DF2DD0" w:rsidRPr="00DF2DD0">
        <w:rPr>
          <w:rFonts w:ascii="Arial" w:eastAsia="Calibri" w:hAnsi="Arial" w:cs="Arial"/>
          <w:i/>
          <w:iCs/>
          <w:sz w:val="24"/>
          <w:szCs w:val="24"/>
          <w:lang w:val="en-US"/>
        </w:rPr>
        <w:t>Louw’s</w:t>
      </w:r>
      <w:proofErr w:type="spellEnd"/>
      <w:r w:rsidR="00DF2DD0" w:rsidRPr="00DF2DD0">
        <w:rPr>
          <w:rFonts w:ascii="Arial" w:eastAsia="Calibri" w:hAnsi="Arial" w:cs="Arial"/>
          <w:i/>
          <w:iCs/>
          <w:sz w:val="24"/>
          <w:szCs w:val="24"/>
          <w:lang w:val="en-US"/>
        </w:rPr>
        <w:t xml:space="preserve"> </w:t>
      </w:r>
      <w:r w:rsidR="00DF2DD0" w:rsidRPr="00DF2DD0">
        <w:rPr>
          <w:rFonts w:ascii="Arial" w:eastAsia="Calibri" w:hAnsi="Arial" w:cs="Arial"/>
          <w:sz w:val="24"/>
          <w:szCs w:val="24"/>
          <w:lang w:val="en-US"/>
        </w:rPr>
        <w:t>attention thereto that Rome AJ continually referred in this judgment to “</w:t>
      </w:r>
      <w:r w:rsidR="00DF2DD0" w:rsidRPr="00DF2DD0">
        <w:rPr>
          <w:rFonts w:ascii="Arial" w:eastAsia="Calibri" w:hAnsi="Arial" w:cs="Arial"/>
          <w:i/>
          <w:iCs/>
          <w:sz w:val="24"/>
          <w:szCs w:val="24"/>
          <w:lang w:val="en-US"/>
        </w:rPr>
        <w:t>the respondents</w:t>
      </w:r>
      <w:r w:rsidR="00DF2DD0" w:rsidRPr="00DF2DD0">
        <w:rPr>
          <w:rFonts w:ascii="Arial" w:eastAsia="Calibri" w:hAnsi="Arial" w:cs="Arial"/>
          <w:sz w:val="24"/>
          <w:szCs w:val="24"/>
          <w:lang w:val="en-US"/>
        </w:rPr>
        <w:t xml:space="preserve">” and that, in my view, is indicative of him accepting that the defendants had made common cause with one another.  As such, the proposition was postulated to him, the order by Rome AJ which refers to the common cause respondents, envisaged a joint and several liability scenario.  </w:t>
      </w:r>
      <w:proofErr w:type="spellStart"/>
      <w:r w:rsidR="00DF2DD0" w:rsidRPr="00DF2DD0">
        <w:rPr>
          <w:rFonts w:ascii="Arial" w:eastAsia="Calibri" w:hAnsi="Arial" w:cs="Arial"/>
          <w:i/>
          <w:iCs/>
          <w:sz w:val="24"/>
          <w:szCs w:val="24"/>
          <w:lang w:val="en-US"/>
        </w:rPr>
        <w:t>Mr</w:t>
      </w:r>
      <w:proofErr w:type="spellEnd"/>
      <w:r w:rsidR="00DF2DD0" w:rsidRPr="00DF2DD0">
        <w:rPr>
          <w:rFonts w:ascii="Arial" w:eastAsia="Calibri" w:hAnsi="Arial" w:cs="Arial"/>
          <w:i/>
          <w:iCs/>
          <w:sz w:val="24"/>
          <w:szCs w:val="24"/>
          <w:lang w:val="en-US"/>
        </w:rPr>
        <w:t xml:space="preserve"> </w:t>
      </w:r>
      <w:proofErr w:type="spellStart"/>
      <w:r w:rsidR="00DF2DD0" w:rsidRPr="00DF2DD0">
        <w:rPr>
          <w:rFonts w:ascii="Arial" w:eastAsia="Calibri" w:hAnsi="Arial" w:cs="Arial"/>
          <w:i/>
          <w:iCs/>
          <w:sz w:val="24"/>
          <w:szCs w:val="24"/>
          <w:lang w:val="en-US"/>
        </w:rPr>
        <w:t>Louw’s</w:t>
      </w:r>
      <w:proofErr w:type="spellEnd"/>
      <w:r w:rsidR="00DF2DD0" w:rsidRPr="00DF2DD0">
        <w:rPr>
          <w:rFonts w:ascii="Arial" w:eastAsia="Calibri" w:hAnsi="Arial" w:cs="Arial"/>
          <w:i/>
          <w:iCs/>
          <w:sz w:val="24"/>
          <w:szCs w:val="24"/>
          <w:lang w:val="en-US"/>
        </w:rPr>
        <w:t xml:space="preserve"> </w:t>
      </w:r>
      <w:r w:rsidR="00DF2DD0" w:rsidRPr="00DF2DD0">
        <w:rPr>
          <w:rFonts w:ascii="Arial" w:eastAsia="Calibri" w:hAnsi="Arial" w:cs="Arial"/>
          <w:sz w:val="24"/>
          <w:szCs w:val="24"/>
          <w:lang w:val="en-US"/>
        </w:rPr>
        <w:t>submission in response, at first blush, is a cogent one.  Rome AJ would have been aware of this general rule and the fact that he made the order he made, despite his grouping of the respondents under a common cause umbrella is indicative thereof that he did not intend joint and several liability on the part of the defendants.</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[13]</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 xml:space="preserve">As I said, at first blush this argument seemed a cogent argument.  Upon proper consideration, however, the submission is fatally flawed.  The first flaw in the submission is to be found in the </w:t>
      </w:r>
      <w:proofErr w:type="spellStart"/>
      <w:r w:rsidR="00DF2DD0" w:rsidRPr="00DF2DD0">
        <w:rPr>
          <w:rFonts w:ascii="Arial" w:eastAsia="Calibri" w:hAnsi="Arial" w:cs="Arial"/>
          <w:b/>
          <w:bCs/>
          <w:i/>
          <w:iCs/>
          <w:sz w:val="24"/>
          <w:szCs w:val="24"/>
          <w:lang w:val="en-US"/>
        </w:rPr>
        <w:t>Roelou</w:t>
      </w:r>
      <w:proofErr w:type="spellEnd"/>
      <w:r w:rsidR="00DF2DD0" w:rsidRPr="00DF2DD0">
        <w:rPr>
          <w:rFonts w:ascii="Arial" w:eastAsia="Calibri" w:hAnsi="Arial" w:cs="Arial"/>
          <w:sz w:val="24"/>
          <w:szCs w:val="24"/>
          <w:lang w:val="en-US"/>
        </w:rPr>
        <w:t xml:space="preserve">-judgment earlier relied upon by </w:t>
      </w:r>
      <w:proofErr w:type="spellStart"/>
      <w:r w:rsidR="00DF2DD0" w:rsidRPr="00DF2DD0">
        <w:rPr>
          <w:rFonts w:ascii="Arial" w:eastAsia="Calibri" w:hAnsi="Arial" w:cs="Arial"/>
          <w:i/>
          <w:iCs/>
          <w:sz w:val="24"/>
          <w:szCs w:val="24"/>
          <w:lang w:val="en-US"/>
        </w:rPr>
        <w:t>Mr</w:t>
      </w:r>
      <w:proofErr w:type="spellEnd"/>
      <w:r w:rsidR="00DF2DD0" w:rsidRPr="00DF2DD0">
        <w:rPr>
          <w:rFonts w:ascii="Arial" w:eastAsia="Calibri" w:hAnsi="Arial" w:cs="Arial"/>
          <w:i/>
          <w:iCs/>
          <w:sz w:val="24"/>
          <w:szCs w:val="24"/>
          <w:lang w:val="en-US"/>
        </w:rPr>
        <w:t xml:space="preserve"> </w:t>
      </w:r>
      <w:proofErr w:type="spellStart"/>
      <w:r w:rsidR="00DF2DD0" w:rsidRPr="00DF2DD0">
        <w:rPr>
          <w:rFonts w:ascii="Arial" w:eastAsia="Calibri" w:hAnsi="Arial" w:cs="Arial"/>
          <w:i/>
          <w:iCs/>
          <w:sz w:val="24"/>
          <w:szCs w:val="24"/>
          <w:lang w:val="en-US"/>
        </w:rPr>
        <w:t>Louw</w:t>
      </w:r>
      <w:proofErr w:type="spellEnd"/>
      <w:r w:rsidR="00DF2DD0" w:rsidRPr="00DF2DD0">
        <w:rPr>
          <w:rFonts w:ascii="Arial" w:eastAsia="Calibri" w:hAnsi="Arial" w:cs="Arial"/>
          <w:sz w:val="24"/>
          <w:szCs w:val="24"/>
          <w:lang w:val="en-US"/>
        </w:rPr>
        <w:t xml:space="preserve">.  The </w:t>
      </w:r>
      <w:proofErr w:type="spellStart"/>
      <w:r w:rsidR="00DF2DD0" w:rsidRPr="00DF2DD0">
        <w:rPr>
          <w:rFonts w:ascii="Arial" w:eastAsia="Calibri" w:hAnsi="Arial" w:cs="Arial"/>
          <w:b/>
          <w:bCs/>
          <w:i/>
          <w:iCs/>
          <w:sz w:val="24"/>
          <w:szCs w:val="24"/>
          <w:lang w:val="en-US"/>
        </w:rPr>
        <w:t>Roelou</w:t>
      </w:r>
      <w:proofErr w:type="spellEnd"/>
      <w:r w:rsidR="00DF2DD0" w:rsidRPr="00DF2DD0">
        <w:rPr>
          <w:rFonts w:ascii="Arial" w:eastAsia="Calibri" w:hAnsi="Arial" w:cs="Arial"/>
          <w:sz w:val="24"/>
          <w:szCs w:val="24"/>
          <w:lang w:val="en-US"/>
        </w:rPr>
        <w:t xml:space="preserve">-judgment makes it clear that the general rule of equal proportional liability can only be deviated from where there is clear evidence that </w:t>
      </w:r>
      <w:r w:rsidR="00DF2DD0" w:rsidRPr="00DF2DD0">
        <w:rPr>
          <w:rFonts w:ascii="Arial" w:eastAsia="Calibri" w:hAnsi="Arial" w:cs="Arial"/>
          <w:i/>
          <w:iCs/>
          <w:sz w:val="24"/>
          <w:szCs w:val="24"/>
          <w:lang w:val="en-US"/>
        </w:rPr>
        <w:t xml:space="preserve">in </w:t>
      </w:r>
      <w:proofErr w:type="spellStart"/>
      <w:r w:rsidR="00DF2DD0" w:rsidRPr="00DF2DD0">
        <w:rPr>
          <w:rFonts w:ascii="Arial" w:eastAsia="Calibri" w:hAnsi="Arial" w:cs="Arial"/>
          <w:i/>
          <w:iCs/>
          <w:sz w:val="24"/>
          <w:szCs w:val="24"/>
          <w:lang w:val="en-US"/>
        </w:rPr>
        <w:t>solidium</w:t>
      </w:r>
      <w:proofErr w:type="spellEnd"/>
      <w:r w:rsidR="00DF2DD0" w:rsidRPr="00DF2DD0">
        <w:rPr>
          <w:rFonts w:ascii="Arial" w:eastAsia="Calibri" w:hAnsi="Arial" w:cs="Arial"/>
          <w:sz w:val="24"/>
          <w:szCs w:val="24"/>
          <w:lang w:val="en-US"/>
        </w:rPr>
        <w:t xml:space="preserve"> liability is intended.  The costs prayer in the application for leave to amend is clear in this regard, </w:t>
      </w:r>
      <w:r w:rsidR="00DF2DD0" w:rsidRPr="00DF2DD0">
        <w:rPr>
          <w:rFonts w:ascii="Arial" w:eastAsia="Calibri" w:hAnsi="Arial" w:cs="Arial"/>
          <w:i/>
          <w:iCs/>
          <w:sz w:val="24"/>
          <w:szCs w:val="24"/>
          <w:lang w:val="en-US"/>
        </w:rPr>
        <w:t xml:space="preserve">in </w:t>
      </w:r>
      <w:proofErr w:type="spellStart"/>
      <w:r w:rsidR="00DF2DD0" w:rsidRPr="00DF2DD0">
        <w:rPr>
          <w:rFonts w:ascii="Arial" w:eastAsia="Calibri" w:hAnsi="Arial" w:cs="Arial"/>
          <w:i/>
          <w:iCs/>
          <w:sz w:val="24"/>
          <w:szCs w:val="24"/>
          <w:lang w:val="en-US"/>
        </w:rPr>
        <w:t>solidium</w:t>
      </w:r>
      <w:proofErr w:type="spellEnd"/>
      <w:r w:rsidR="00DF2DD0" w:rsidRPr="00DF2DD0">
        <w:rPr>
          <w:rFonts w:ascii="Arial" w:eastAsia="Calibri" w:hAnsi="Arial" w:cs="Arial"/>
          <w:sz w:val="24"/>
          <w:szCs w:val="24"/>
          <w:lang w:val="en-US"/>
        </w:rPr>
        <w:t xml:space="preserve"> liability is intended.  The second </w:t>
      </w:r>
      <w:r w:rsidR="00DF2DD0" w:rsidRPr="00DF2DD0">
        <w:rPr>
          <w:rFonts w:ascii="Arial" w:eastAsia="Calibri" w:hAnsi="Arial" w:cs="Arial"/>
          <w:sz w:val="24"/>
          <w:szCs w:val="24"/>
          <w:lang w:val="en-US"/>
        </w:rPr>
        <w:lastRenderedPageBreak/>
        <w:t xml:space="preserve">flaw in the argument is the general cost principle that costs should follow the result. </w:t>
      </w:r>
      <w:r w:rsidR="00DF2DD0" w:rsidRPr="00DF2DD0">
        <w:rPr>
          <w:rFonts w:ascii="Arial" w:eastAsia="Calibri" w:hAnsi="Arial" w:cs="Arial"/>
          <w:sz w:val="24"/>
          <w:szCs w:val="24"/>
          <w:vertAlign w:val="superscript"/>
          <w:lang w:val="en-US"/>
        </w:rPr>
        <w:footnoteReference w:id="10"/>
      </w:r>
      <w:r w:rsidR="00DF2DD0" w:rsidRPr="00DF2DD0">
        <w:rPr>
          <w:rFonts w:ascii="Arial" w:eastAsia="Calibri" w:hAnsi="Arial" w:cs="Arial"/>
          <w:sz w:val="24"/>
          <w:szCs w:val="24"/>
          <w:lang w:val="en-US"/>
        </w:rPr>
        <w:t xml:space="preserve"> This general costs’ principle should be considered in terms of the other general principle that where opposing defendants make common cause, the plaintiff is entitled to an </w:t>
      </w:r>
      <w:r w:rsidR="00DF2DD0" w:rsidRPr="00DF2DD0">
        <w:rPr>
          <w:rFonts w:ascii="Arial" w:eastAsia="Calibri" w:hAnsi="Arial" w:cs="Arial"/>
          <w:i/>
          <w:iCs/>
          <w:sz w:val="24"/>
          <w:szCs w:val="24"/>
          <w:lang w:val="en-US"/>
        </w:rPr>
        <w:t xml:space="preserve">in </w:t>
      </w:r>
      <w:proofErr w:type="spellStart"/>
      <w:r w:rsidR="00DF2DD0" w:rsidRPr="00DF2DD0">
        <w:rPr>
          <w:rFonts w:ascii="Arial" w:eastAsia="Calibri" w:hAnsi="Arial" w:cs="Arial"/>
          <w:i/>
          <w:iCs/>
          <w:sz w:val="24"/>
          <w:szCs w:val="24"/>
          <w:lang w:val="en-US"/>
        </w:rPr>
        <w:t>solidium</w:t>
      </w:r>
      <w:proofErr w:type="spellEnd"/>
      <w:r w:rsidR="00DF2DD0" w:rsidRPr="00DF2DD0">
        <w:rPr>
          <w:rFonts w:ascii="Arial" w:eastAsia="Calibri" w:hAnsi="Arial" w:cs="Arial"/>
          <w:sz w:val="24"/>
          <w:szCs w:val="24"/>
          <w:lang w:val="en-US"/>
        </w:rPr>
        <w:t xml:space="preserve"> liability order.  Otherwise stated, </w:t>
      </w:r>
      <w:r w:rsidR="00DF2DD0" w:rsidRPr="00DF2DD0">
        <w:rPr>
          <w:rFonts w:ascii="Arial" w:eastAsia="Calibri" w:hAnsi="Arial" w:cs="Arial"/>
          <w:i/>
          <w:iCs/>
          <w:sz w:val="24"/>
          <w:szCs w:val="24"/>
          <w:lang w:val="en-US"/>
        </w:rPr>
        <w:t xml:space="preserve">in </w:t>
      </w:r>
      <w:proofErr w:type="spellStart"/>
      <w:r w:rsidR="00DF2DD0" w:rsidRPr="00DF2DD0">
        <w:rPr>
          <w:rFonts w:ascii="Arial" w:eastAsia="Calibri" w:hAnsi="Arial" w:cs="Arial"/>
          <w:i/>
          <w:iCs/>
          <w:sz w:val="24"/>
          <w:szCs w:val="24"/>
          <w:lang w:val="en-US"/>
        </w:rPr>
        <w:t>casu</w:t>
      </w:r>
      <w:proofErr w:type="spellEnd"/>
      <w:r w:rsidR="00DF2DD0" w:rsidRPr="00DF2DD0">
        <w:rPr>
          <w:rFonts w:ascii="Arial" w:eastAsia="Calibri" w:hAnsi="Arial" w:cs="Arial"/>
          <w:sz w:val="24"/>
          <w:szCs w:val="24"/>
          <w:lang w:val="en-US"/>
        </w:rPr>
        <w:t>, the plaintiff was entitled on the general costs principles stated above to an order for costs as the successful party with such costs to be paid by the defendants on a joint and several liability basis.</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[14]</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The reasons for a court’s order must appear clearly from the judgment.  Thus, where a court is to deviate from the general rule(s) relating to a costs order, such reasons must clearly appear from the judgment.  In the application for leave to amend, Rome AJ’s judgment does not even touch upon the issue of costs.  He was, however, clearly unimpressed with the nature of the objection by the defendants.  In my view, in failing to specifically deal with the issue of costs, he clearly envisaged the usual rule(s) relating to costs to apply.  In other words, he clearly intended to apply the usual rule that costs must follow the result.  There is nothing to indicate that he intended to deviate from the other general rule relating to liability where opposing defendants make common cause with one another.  In my view, the repeated reference to the grouping of “</w:t>
      </w:r>
      <w:r w:rsidR="00DF2DD0" w:rsidRPr="00DF2DD0">
        <w:rPr>
          <w:rFonts w:ascii="Arial" w:eastAsia="Calibri" w:hAnsi="Arial" w:cs="Arial"/>
          <w:i/>
          <w:iCs/>
          <w:sz w:val="24"/>
          <w:szCs w:val="24"/>
          <w:lang w:val="en-US"/>
        </w:rPr>
        <w:t>respondents</w:t>
      </w:r>
      <w:r w:rsidR="00DF2DD0" w:rsidRPr="00DF2DD0">
        <w:rPr>
          <w:rFonts w:ascii="Arial" w:eastAsia="Calibri" w:hAnsi="Arial" w:cs="Arial"/>
          <w:sz w:val="24"/>
          <w:szCs w:val="24"/>
          <w:lang w:val="en-US"/>
        </w:rPr>
        <w:t>” is the clearest indication that he intended to hold each defendant liable with each other defendant for the whole of the costs order.</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[15]</w:t>
      </w:r>
      <w:r w:rsidRPr="00DF2DD0">
        <w:rPr>
          <w:rFonts w:ascii="Arial" w:eastAsia="Calibri" w:hAnsi="Arial" w:cs="Arial"/>
          <w:sz w:val="24"/>
          <w:szCs w:val="24"/>
          <w:lang w:val="en-US"/>
        </w:rPr>
        <w:tab/>
      </w:r>
      <w:proofErr w:type="spellStart"/>
      <w:r w:rsidR="00DF2DD0" w:rsidRPr="00DF2DD0">
        <w:rPr>
          <w:rFonts w:ascii="Arial" w:eastAsia="Calibri" w:hAnsi="Arial" w:cs="Arial"/>
          <w:i/>
          <w:iCs/>
          <w:sz w:val="24"/>
          <w:szCs w:val="24"/>
          <w:lang w:val="en-US"/>
        </w:rPr>
        <w:t>Mr</w:t>
      </w:r>
      <w:proofErr w:type="spellEnd"/>
      <w:r w:rsidR="00DF2DD0" w:rsidRPr="00DF2DD0">
        <w:rPr>
          <w:rFonts w:ascii="Arial" w:eastAsia="Calibri" w:hAnsi="Arial" w:cs="Arial"/>
          <w:i/>
          <w:iCs/>
          <w:sz w:val="24"/>
          <w:szCs w:val="24"/>
          <w:lang w:val="en-US"/>
        </w:rPr>
        <w:t xml:space="preserve"> </w:t>
      </w:r>
      <w:proofErr w:type="spellStart"/>
      <w:r w:rsidR="00DF2DD0" w:rsidRPr="00DF2DD0">
        <w:rPr>
          <w:rFonts w:ascii="Arial" w:eastAsia="Calibri" w:hAnsi="Arial" w:cs="Arial"/>
          <w:i/>
          <w:iCs/>
          <w:sz w:val="24"/>
          <w:szCs w:val="24"/>
          <w:lang w:val="en-US"/>
        </w:rPr>
        <w:t>Louw</w:t>
      </w:r>
      <w:proofErr w:type="spellEnd"/>
      <w:r w:rsidR="00DF2DD0" w:rsidRPr="00DF2DD0">
        <w:rPr>
          <w:rFonts w:ascii="Arial" w:eastAsia="Calibri" w:hAnsi="Arial" w:cs="Arial"/>
          <w:sz w:val="24"/>
          <w:szCs w:val="24"/>
          <w:lang w:val="en-US"/>
        </w:rPr>
        <w:t xml:space="preserve"> submits, in response, that the plaintiffs failed to make out a case in this regard as they do not deal with the intention of court when the costs </w:t>
      </w:r>
      <w:r w:rsidR="00DF2DD0" w:rsidRPr="00DF2DD0">
        <w:rPr>
          <w:rFonts w:ascii="Arial" w:eastAsia="Calibri" w:hAnsi="Arial" w:cs="Arial"/>
          <w:sz w:val="24"/>
          <w:szCs w:val="24"/>
          <w:lang w:val="en-US"/>
        </w:rPr>
        <w:lastRenderedPageBreak/>
        <w:t>order was made by Rome AJ.  Although the affidavit by the plaintiffs in this regard is somewhat wanting, in my view it is not fatally wanting.  The plaintiffs do allege that they interpreted the order to give effect thereto as being joint and several liability in respect of the defendants.  Interpretation is nothing more than a process of determining the intention of that which is being conveyed.  In my view, although not directly said, the plaintiffs bring to bear that the order does not clearly convey the intention of Rome AJ when he made the order pertaining to costs that he made.</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[16]</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The patent error or omission in the order, in my view, is attributable to the court and does not amount to, as submitted, a mere dissatisfaction of the order relating to costs on the part of the plaintiffs.  Rome AJ was unimpressed with the opposition to the objection and dismissed same almost out of hand</w:t>
      </w:r>
      <w:proofErr w:type="gramStart"/>
      <w:r w:rsidR="00DF2DD0" w:rsidRPr="00DF2DD0">
        <w:rPr>
          <w:rFonts w:ascii="Arial" w:eastAsia="Calibri" w:hAnsi="Arial" w:cs="Arial"/>
          <w:sz w:val="24"/>
          <w:szCs w:val="24"/>
          <w:lang w:val="en-US"/>
        </w:rPr>
        <w:t>;  he</w:t>
      </w:r>
      <w:proofErr w:type="gramEnd"/>
      <w:r w:rsidR="00DF2DD0" w:rsidRPr="00DF2DD0">
        <w:rPr>
          <w:rFonts w:ascii="Arial" w:eastAsia="Calibri" w:hAnsi="Arial" w:cs="Arial"/>
          <w:sz w:val="24"/>
          <w:szCs w:val="24"/>
          <w:lang w:val="en-US"/>
        </w:rPr>
        <w:t xml:space="preserve"> was requested to grant a costs order in line with the general rules applicable to costs orders in the nature of that which was before him; and he set out no reasons, why he is deviating from the general rules, which reasons he should have set out if he intended to deviate from the general rules.  The patent error or omission in this regard therefore lies with the court.</w:t>
      </w:r>
    </w:p>
    <w:p w:rsidR="00DF2DD0" w:rsidRPr="00DF2DD0" w:rsidRDefault="00DF2DD0" w:rsidP="00DF2DD0">
      <w:pPr>
        <w:spacing w:after="0" w:line="240" w:lineRule="auto"/>
        <w:ind w:left="720"/>
        <w:contextualSpacing/>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color w:val="64473A"/>
          <w:sz w:val="24"/>
          <w:szCs w:val="24"/>
        </w:rPr>
      </w:pPr>
      <w:r w:rsidRPr="00DF2DD0">
        <w:rPr>
          <w:rFonts w:ascii="Arial" w:eastAsia="Calibri" w:hAnsi="Arial" w:cs="Arial"/>
          <w:color w:val="64473A"/>
          <w:sz w:val="24"/>
          <w:szCs w:val="24"/>
        </w:rPr>
        <w:t>[17]</w:t>
      </w:r>
      <w:r w:rsidRPr="00DF2DD0">
        <w:rPr>
          <w:rFonts w:ascii="Arial" w:eastAsia="Calibri" w:hAnsi="Arial" w:cs="Arial"/>
          <w:color w:val="64473A"/>
          <w:sz w:val="24"/>
          <w:szCs w:val="24"/>
        </w:rPr>
        <w:tab/>
      </w:r>
      <w:r w:rsidR="00DF2DD0" w:rsidRPr="00DF2DD0">
        <w:rPr>
          <w:rFonts w:ascii="Arial" w:eastAsia="Calibri" w:hAnsi="Arial" w:cs="Arial"/>
          <w:sz w:val="24"/>
          <w:szCs w:val="24"/>
          <w:lang w:val="en-US"/>
        </w:rPr>
        <w:t xml:space="preserve">In my view, the above is in line with the eloquent setting out of the law on Rule 42(1)(b) and the interpretation of court orders as recently discoursed by Meyer AJA (as he then was) in the matter of </w:t>
      </w:r>
      <w:r w:rsidR="00DF2DD0" w:rsidRPr="00DF2DD0">
        <w:rPr>
          <w:rFonts w:ascii="Arial" w:eastAsia="Calibri" w:hAnsi="Arial" w:cs="Arial"/>
          <w:b/>
          <w:bCs/>
          <w:sz w:val="24"/>
          <w:szCs w:val="24"/>
          <w:lang w:val="en-US"/>
        </w:rPr>
        <w:t>HLB International (South Africa) v MWRK Accountants and Consultants</w:t>
      </w:r>
      <w:r w:rsidR="00DF2DD0" w:rsidRPr="00DF2DD0">
        <w:rPr>
          <w:rFonts w:ascii="Arial" w:eastAsia="Calibri" w:hAnsi="Arial" w:cs="Arial"/>
          <w:sz w:val="24"/>
          <w:szCs w:val="24"/>
          <w:lang w:val="en-US"/>
        </w:rPr>
        <w:t>.</w:t>
      </w:r>
      <w:r w:rsidR="00DF2DD0" w:rsidRPr="00DF2DD0">
        <w:rPr>
          <w:rFonts w:ascii="Arial" w:eastAsia="Calibri" w:hAnsi="Arial" w:cs="Arial"/>
          <w:sz w:val="24"/>
          <w:szCs w:val="24"/>
          <w:vertAlign w:val="superscript"/>
          <w:lang w:val="en-US"/>
        </w:rPr>
        <w:footnoteReference w:id="11"/>
      </w:r>
      <w:r w:rsidR="00DF2DD0" w:rsidRPr="00DF2DD0">
        <w:rPr>
          <w:rFonts w:ascii="Arial" w:eastAsia="Calibri" w:hAnsi="Arial" w:cs="Arial"/>
          <w:sz w:val="24"/>
          <w:szCs w:val="24"/>
          <w:lang w:val="en-US"/>
        </w:rPr>
        <w:t xml:space="preserve">  In particular, even a cursory reading of Rome AJ’s judgment demonstrates that he grouped the </w:t>
      </w:r>
      <w:r w:rsidR="00DF2DD0" w:rsidRPr="00DF2DD0">
        <w:rPr>
          <w:rFonts w:ascii="Arial" w:eastAsia="Calibri" w:hAnsi="Arial" w:cs="Arial"/>
          <w:sz w:val="24"/>
          <w:szCs w:val="24"/>
          <w:lang w:val="en-US"/>
        </w:rPr>
        <w:lastRenderedPageBreak/>
        <w:t>defendants together as having made common cause with one another.</w:t>
      </w:r>
      <w:r w:rsidR="00DF2DD0" w:rsidRPr="00DF2DD0">
        <w:rPr>
          <w:rFonts w:ascii="Arial" w:eastAsia="Calibri" w:hAnsi="Arial" w:cs="Arial"/>
          <w:sz w:val="24"/>
          <w:szCs w:val="24"/>
          <w:vertAlign w:val="superscript"/>
          <w:lang w:val="en-US"/>
        </w:rPr>
        <w:footnoteReference w:id="12"/>
      </w:r>
      <w:r w:rsidR="00DF2DD0" w:rsidRPr="00DF2DD0">
        <w:rPr>
          <w:rFonts w:ascii="Arial" w:eastAsia="Calibri" w:hAnsi="Arial" w:cs="Arial"/>
          <w:sz w:val="24"/>
          <w:szCs w:val="24"/>
          <w:lang w:val="en-US"/>
        </w:rPr>
        <w:t xml:space="preserve">  Any other interpretation would be absurd and be contrary to established legal principles relating to costs orders as set out earlier herein, particularly as Rome AJ did not deal with any reason why those general and usual rules should be departed from.</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[18]</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 xml:space="preserve">In order to avoid further disputes as to costs orders I add in closing in respect of this application that neither party advanced any reasons why any of the usual costs orders should not be made and/or general rules should not be applied.  In my view no such grounds exists.  There was also, in the </w:t>
      </w:r>
      <w:proofErr w:type="spellStart"/>
      <w:r w:rsidR="00DF2DD0" w:rsidRPr="00DF2DD0">
        <w:rPr>
          <w:rFonts w:ascii="Arial" w:eastAsia="Calibri" w:hAnsi="Arial" w:cs="Arial"/>
          <w:sz w:val="24"/>
          <w:szCs w:val="24"/>
          <w:lang w:val="en-US"/>
        </w:rPr>
        <w:t>counterapplication</w:t>
      </w:r>
      <w:proofErr w:type="spellEnd"/>
      <w:r w:rsidR="00DF2DD0" w:rsidRPr="00DF2DD0">
        <w:rPr>
          <w:rFonts w:ascii="Arial" w:eastAsia="Calibri" w:hAnsi="Arial" w:cs="Arial"/>
          <w:sz w:val="24"/>
          <w:szCs w:val="24"/>
          <w:lang w:val="en-US"/>
        </w:rPr>
        <w:t xml:space="preserve"> a prayer for a costs </w:t>
      </w:r>
      <w:r w:rsidR="00DF2DD0" w:rsidRPr="00DF2DD0">
        <w:rPr>
          <w:rFonts w:ascii="Arial" w:eastAsia="Calibri" w:hAnsi="Arial" w:cs="Arial"/>
          <w:i/>
          <w:iCs/>
          <w:sz w:val="24"/>
          <w:szCs w:val="24"/>
          <w:lang w:val="en-US"/>
        </w:rPr>
        <w:t xml:space="preserve">de </w:t>
      </w:r>
      <w:proofErr w:type="spellStart"/>
      <w:r w:rsidR="00DF2DD0" w:rsidRPr="00DF2DD0">
        <w:rPr>
          <w:rFonts w:ascii="Arial" w:eastAsia="Calibri" w:hAnsi="Arial" w:cs="Arial"/>
          <w:i/>
          <w:iCs/>
          <w:sz w:val="24"/>
          <w:szCs w:val="24"/>
          <w:lang w:val="en-US"/>
        </w:rPr>
        <w:t>bonis</w:t>
      </w:r>
      <w:proofErr w:type="spellEnd"/>
      <w:r w:rsidR="00DF2DD0" w:rsidRPr="00DF2DD0">
        <w:rPr>
          <w:rFonts w:ascii="Arial" w:eastAsia="Calibri" w:hAnsi="Arial" w:cs="Arial"/>
          <w:i/>
          <w:iCs/>
          <w:sz w:val="24"/>
          <w:szCs w:val="24"/>
          <w:lang w:val="en-US"/>
        </w:rPr>
        <w:t xml:space="preserve"> </w:t>
      </w:r>
      <w:proofErr w:type="spellStart"/>
      <w:r w:rsidR="00DF2DD0" w:rsidRPr="00DF2DD0">
        <w:rPr>
          <w:rFonts w:ascii="Arial" w:eastAsia="Calibri" w:hAnsi="Arial" w:cs="Arial"/>
          <w:i/>
          <w:iCs/>
          <w:sz w:val="24"/>
          <w:szCs w:val="24"/>
          <w:lang w:val="en-US"/>
        </w:rPr>
        <w:t>propriss</w:t>
      </w:r>
      <w:proofErr w:type="spellEnd"/>
      <w:r w:rsidR="00DF2DD0" w:rsidRPr="00DF2DD0">
        <w:rPr>
          <w:rFonts w:ascii="Arial" w:eastAsia="Calibri" w:hAnsi="Arial" w:cs="Arial"/>
          <w:sz w:val="24"/>
          <w:szCs w:val="24"/>
          <w:lang w:val="en-US"/>
        </w:rPr>
        <w:t xml:space="preserve"> order against the defendants’ attorney.  No case is made out in terms of any of the recognized grounds for costs </w:t>
      </w:r>
      <w:r w:rsidR="00DF2DD0" w:rsidRPr="00DF2DD0">
        <w:rPr>
          <w:rFonts w:ascii="Arial" w:eastAsia="Calibri" w:hAnsi="Arial" w:cs="Arial"/>
          <w:i/>
          <w:iCs/>
          <w:sz w:val="24"/>
          <w:szCs w:val="24"/>
          <w:lang w:val="en-US"/>
        </w:rPr>
        <w:t xml:space="preserve">de </w:t>
      </w:r>
      <w:proofErr w:type="spellStart"/>
      <w:r w:rsidR="00DF2DD0" w:rsidRPr="00DF2DD0">
        <w:rPr>
          <w:rFonts w:ascii="Arial" w:eastAsia="Calibri" w:hAnsi="Arial" w:cs="Arial"/>
          <w:i/>
          <w:iCs/>
          <w:sz w:val="24"/>
          <w:szCs w:val="24"/>
          <w:lang w:val="en-US"/>
        </w:rPr>
        <w:t>bonis</w:t>
      </w:r>
      <w:proofErr w:type="spellEnd"/>
      <w:r w:rsidR="00DF2DD0" w:rsidRPr="00DF2DD0">
        <w:rPr>
          <w:rFonts w:ascii="Arial" w:eastAsia="Calibri" w:hAnsi="Arial" w:cs="Arial"/>
          <w:i/>
          <w:iCs/>
          <w:sz w:val="24"/>
          <w:szCs w:val="24"/>
          <w:lang w:val="en-US"/>
        </w:rPr>
        <w:t xml:space="preserve"> </w:t>
      </w:r>
      <w:proofErr w:type="spellStart"/>
      <w:r w:rsidR="00DF2DD0" w:rsidRPr="00DF2DD0">
        <w:rPr>
          <w:rFonts w:ascii="Arial" w:eastAsia="Calibri" w:hAnsi="Arial" w:cs="Arial"/>
          <w:i/>
          <w:iCs/>
          <w:sz w:val="24"/>
          <w:szCs w:val="24"/>
          <w:lang w:val="en-US"/>
        </w:rPr>
        <w:t>propriss</w:t>
      </w:r>
      <w:proofErr w:type="spellEnd"/>
      <w:r w:rsidR="00DF2DD0" w:rsidRPr="00DF2DD0">
        <w:rPr>
          <w:rFonts w:ascii="Arial" w:eastAsia="Calibri" w:hAnsi="Arial" w:cs="Arial"/>
          <w:sz w:val="24"/>
          <w:szCs w:val="24"/>
          <w:lang w:val="en-US"/>
        </w:rPr>
        <w:t xml:space="preserve"> against the defendants’ attorney and, in light of my view expressed in paragraph [10] of this judgment, it cannot be said that the defendants’ attorney acted in a frivolous or opportunistic manner.</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72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[19]</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In the premises I make the following order:</w:t>
      </w:r>
    </w:p>
    <w:p w:rsidR="00DF2DD0" w:rsidRPr="00DF2DD0" w:rsidRDefault="00B6078F" w:rsidP="00B6078F">
      <w:pPr>
        <w:spacing w:after="0" w:line="480" w:lineRule="auto"/>
        <w:ind w:left="108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1.</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The second defendant’s application (dated 26 May 2022) is dismissed with the second defendant to pay the costs of the plaintiffs (as the first and second respondents in the second defendant’s aforesaid application).</w:t>
      </w:r>
    </w:p>
    <w:p w:rsidR="00DF2DD0" w:rsidRPr="00DF2DD0" w:rsidRDefault="00DF2DD0" w:rsidP="00DF2DD0">
      <w:pPr>
        <w:spacing w:after="0" w:line="480" w:lineRule="auto"/>
        <w:ind w:left="1080"/>
        <w:contextualSpacing/>
        <w:jc w:val="both"/>
        <w:rPr>
          <w:rFonts w:ascii="Arial" w:eastAsia="Calibri" w:hAnsi="Arial" w:cs="Arial"/>
          <w:sz w:val="24"/>
          <w:szCs w:val="24"/>
          <w:lang w:val="en-US"/>
        </w:rPr>
      </w:pPr>
    </w:p>
    <w:p w:rsidR="00DF2DD0" w:rsidRPr="00DF2DD0" w:rsidRDefault="00B6078F" w:rsidP="00B6078F">
      <w:pPr>
        <w:spacing w:after="0" w:line="480" w:lineRule="auto"/>
        <w:ind w:left="108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2.</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Paragraph b. of the order by Rome AJ handed down on 26 January 2021 is corrected and varied to read as follows:</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DF2DD0" w:rsidP="00DF2DD0">
      <w:pPr>
        <w:spacing w:after="0" w:line="480" w:lineRule="auto"/>
        <w:ind w:left="1080"/>
        <w:contextualSpacing/>
        <w:jc w:val="both"/>
        <w:rPr>
          <w:rFonts w:ascii="Arial" w:eastAsia="Calibri" w:hAnsi="Arial" w:cs="Arial"/>
          <w:i/>
          <w:iCs/>
          <w:sz w:val="24"/>
          <w:szCs w:val="24"/>
          <w:lang w:val="en-US"/>
        </w:rPr>
      </w:pPr>
      <w:r w:rsidRPr="00DF2DD0">
        <w:rPr>
          <w:rFonts w:ascii="Arial" w:eastAsia="Calibri" w:hAnsi="Arial" w:cs="Arial"/>
          <w:sz w:val="24"/>
          <w:szCs w:val="24"/>
          <w:lang w:val="en-US"/>
        </w:rPr>
        <w:lastRenderedPageBreak/>
        <w:t>“</w:t>
      </w:r>
      <w:r w:rsidRPr="00DF2DD0">
        <w:rPr>
          <w:rFonts w:ascii="Arial" w:eastAsia="Calibri" w:hAnsi="Arial" w:cs="Arial"/>
          <w:i/>
          <w:iCs/>
          <w:sz w:val="24"/>
          <w:szCs w:val="24"/>
          <w:lang w:val="en-US"/>
        </w:rPr>
        <w:t>The respondents (being the respondents who opposed the application for leave to amend) are to pay the opposed costs occasioned by the respondent’s notice of objection dated 19 August 2020, jointly and severally.</w:t>
      </w:r>
    </w:p>
    <w:p w:rsidR="00DF2DD0" w:rsidRPr="00DF2DD0" w:rsidRDefault="00DF2DD0" w:rsidP="00DF2DD0">
      <w:pPr>
        <w:spacing w:after="0" w:line="480" w:lineRule="auto"/>
        <w:ind w:left="720"/>
        <w:contextualSpacing/>
        <w:jc w:val="both"/>
        <w:rPr>
          <w:rFonts w:ascii="Arial" w:eastAsia="Calibri" w:hAnsi="Arial" w:cs="Arial"/>
          <w:sz w:val="24"/>
          <w:szCs w:val="24"/>
          <w:lang w:val="en-US"/>
        </w:rPr>
      </w:pPr>
    </w:p>
    <w:p w:rsidR="00DF2DD0" w:rsidRPr="00DF2DD0" w:rsidRDefault="00B6078F" w:rsidP="00B6078F">
      <w:pPr>
        <w:spacing w:after="0" w:line="480" w:lineRule="auto"/>
        <w:ind w:left="1080" w:hanging="360"/>
        <w:contextualSpacing/>
        <w:jc w:val="both"/>
        <w:rPr>
          <w:rFonts w:ascii="Arial" w:eastAsia="Calibri" w:hAnsi="Arial" w:cs="Arial"/>
          <w:sz w:val="24"/>
          <w:szCs w:val="24"/>
          <w:lang w:val="en-US"/>
        </w:rPr>
      </w:pPr>
      <w:r w:rsidRPr="00DF2DD0">
        <w:rPr>
          <w:rFonts w:ascii="Arial" w:eastAsia="Calibri" w:hAnsi="Arial" w:cs="Arial"/>
          <w:sz w:val="24"/>
          <w:szCs w:val="24"/>
          <w:lang w:val="en-US"/>
        </w:rPr>
        <w:t>3.</w:t>
      </w:r>
      <w:r w:rsidRPr="00DF2DD0">
        <w:rPr>
          <w:rFonts w:ascii="Arial" w:eastAsia="Calibri" w:hAnsi="Arial" w:cs="Arial"/>
          <w:sz w:val="24"/>
          <w:szCs w:val="24"/>
          <w:lang w:val="en-US"/>
        </w:rPr>
        <w:tab/>
      </w:r>
      <w:r w:rsidR="00DF2DD0" w:rsidRPr="00DF2DD0">
        <w:rPr>
          <w:rFonts w:ascii="Arial" w:eastAsia="Calibri" w:hAnsi="Arial" w:cs="Arial"/>
          <w:sz w:val="24"/>
          <w:szCs w:val="24"/>
          <w:lang w:val="en-US"/>
        </w:rPr>
        <w:t xml:space="preserve">The second defendant is to pay the costs of the plaintiff’s conditional </w:t>
      </w:r>
      <w:proofErr w:type="spellStart"/>
      <w:r w:rsidR="00DF2DD0" w:rsidRPr="00DF2DD0">
        <w:rPr>
          <w:rFonts w:ascii="Arial" w:eastAsia="Calibri" w:hAnsi="Arial" w:cs="Arial"/>
          <w:sz w:val="24"/>
          <w:szCs w:val="24"/>
          <w:lang w:val="en-US"/>
        </w:rPr>
        <w:t>counterapplication</w:t>
      </w:r>
      <w:proofErr w:type="spellEnd"/>
      <w:r w:rsidR="00DF2DD0" w:rsidRPr="00DF2DD0">
        <w:rPr>
          <w:rFonts w:ascii="Arial" w:eastAsia="Calibri" w:hAnsi="Arial" w:cs="Arial"/>
          <w:sz w:val="24"/>
          <w:szCs w:val="24"/>
          <w:lang w:val="en-US"/>
        </w:rPr>
        <w:t xml:space="preserve"> dated 18 July 2022.</w:t>
      </w:r>
    </w:p>
    <w:p w:rsidR="00DF2DD0" w:rsidRPr="00DF2DD0" w:rsidRDefault="00DF2DD0" w:rsidP="00DF2DD0">
      <w:pPr>
        <w:spacing w:after="0" w:line="480" w:lineRule="auto"/>
        <w:ind w:left="1080"/>
        <w:jc w:val="both"/>
        <w:rPr>
          <w:rFonts w:ascii="Arial" w:eastAsia="Calibri" w:hAnsi="Arial" w:cs="Arial"/>
          <w:sz w:val="24"/>
          <w:szCs w:val="24"/>
          <w:lang w:val="en-US"/>
        </w:rPr>
      </w:pPr>
    </w:p>
    <w:p w:rsidR="00DF2DD0" w:rsidRPr="00DF2DD0" w:rsidRDefault="00DF2DD0" w:rsidP="00DF2DD0">
      <w:pPr>
        <w:spacing w:after="0" w:line="480" w:lineRule="auto"/>
        <w:jc w:val="right"/>
        <w:rPr>
          <w:rFonts w:ascii="Arial" w:eastAsia="Calibri" w:hAnsi="Arial" w:cs="Arial"/>
          <w:sz w:val="24"/>
          <w:szCs w:val="24"/>
          <w:lang w:val="en-US"/>
        </w:rPr>
      </w:pPr>
      <w:r w:rsidRPr="00DF2DD0">
        <w:rPr>
          <w:rFonts w:ascii="Arial" w:eastAsia="Calibri" w:hAnsi="Arial" w:cs="Arial"/>
          <w:sz w:val="24"/>
          <w:szCs w:val="24"/>
          <w:lang w:val="en-US"/>
        </w:rPr>
        <w:t xml:space="preserve">________________ </w:t>
      </w:r>
    </w:p>
    <w:p w:rsidR="00DF2DD0" w:rsidRPr="00DF2DD0" w:rsidRDefault="00DF2DD0" w:rsidP="00DF2DD0">
      <w:pPr>
        <w:spacing w:after="0" w:line="480" w:lineRule="auto"/>
        <w:jc w:val="right"/>
        <w:rPr>
          <w:rFonts w:ascii="Arial" w:eastAsia="Calibri" w:hAnsi="Arial" w:cs="Arial"/>
          <w:sz w:val="24"/>
          <w:szCs w:val="24"/>
          <w:lang w:val="en-US"/>
        </w:rPr>
      </w:pPr>
      <w:r w:rsidRPr="00DF2DD0">
        <w:rPr>
          <w:rFonts w:ascii="Arial" w:eastAsia="Calibri" w:hAnsi="Arial" w:cs="Arial"/>
          <w:sz w:val="24"/>
          <w:szCs w:val="24"/>
          <w:lang w:val="en-US"/>
        </w:rPr>
        <w:t>C</w:t>
      </w:r>
      <w:r w:rsidR="00F22807">
        <w:rPr>
          <w:rFonts w:ascii="Arial" w:eastAsia="Calibri" w:hAnsi="Arial" w:cs="Arial"/>
          <w:sz w:val="24"/>
          <w:szCs w:val="24"/>
          <w:lang w:val="en-US"/>
        </w:rPr>
        <w:t>.E</w:t>
      </w:r>
      <w:r w:rsidRPr="00DF2DD0">
        <w:rPr>
          <w:rFonts w:ascii="Arial" w:eastAsia="Calibri" w:hAnsi="Arial" w:cs="Arial"/>
          <w:sz w:val="24"/>
          <w:szCs w:val="24"/>
          <w:lang w:val="en-US"/>
        </w:rPr>
        <w:t xml:space="preserve"> THOMPSON</w:t>
      </w:r>
    </w:p>
    <w:p w:rsidR="00DF2DD0" w:rsidRPr="00DF2DD0" w:rsidRDefault="00DF2DD0" w:rsidP="00DF2DD0">
      <w:pPr>
        <w:spacing w:after="0" w:line="480" w:lineRule="auto"/>
        <w:jc w:val="right"/>
        <w:rPr>
          <w:rFonts w:ascii="Arial" w:eastAsia="Calibri" w:hAnsi="Arial" w:cs="Arial"/>
          <w:sz w:val="24"/>
          <w:szCs w:val="24"/>
          <w:lang w:val="en-US"/>
        </w:rPr>
      </w:pPr>
      <w:r w:rsidRPr="00DF2DD0">
        <w:rPr>
          <w:rFonts w:ascii="Arial" w:eastAsia="Calibri" w:hAnsi="Arial" w:cs="Arial"/>
          <w:sz w:val="24"/>
          <w:szCs w:val="24"/>
          <w:lang w:val="en-US"/>
        </w:rPr>
        <w:t>ACTING JUDGE OF THE HIGH COURT</w:t>
      </w:r>
    </w:p>
    <w:p w:rsidR="00DF2DD0" w:rsidRPr="00DF2DD0" w:rsidRDefault="00DF2DD0" w:rsidP="00DF2DD0">
      <w:pPr>
        <w:spacing w:after="0" w:line="480" w:lineRule="auto"/>
        <w:jc w:val="right"/>
        <w:rPr>
          <w:rFonts w:ascii="Arial" w:eastAsia="Calibri" w:hAnsi="Arial" w:cs="Arial"/>
          <w:sz w:val="24"/>
          <w:szCs w:val="24"/>
          <w:lang w:val="en-US"/>
        </w:rPr>
      </w:pPr>
      <w:r w:rsidRPr="00DF2DD0">
        <w:rPr>
          <w:rFonts w:ascii="Arial" w:eastAsia="Calibri" w:hAnsi="Arial" w:cs="Arial"/>
          <w:sz w:val="24"/>
          <w:szCs w:val="24"/>
          <w:lang w:val="en-US"/>
        </w:rPr>
        <w:t>GAUTENG LOCAL DIVISION, JOHANNESBURG</w:t>
      </w:r>
    </w:p>
    <w:p w:rsidR="00DF2DD0" w:rsidRPr="00DF2DD0" w:rsidRDefault="00DF2DD0" w:rsidP="00DF2DD0">
      <w:pPr>
        <w:spacing w:after="0" w:line="480" w:lineRule="auto"/>
        <w:jc w:val="right"/>
        <w:rPr>
          <w:rFonts w:ascii="Arial" w:eastAsia="Calibri" w:hAnsi="Arial" w:cs="Arial"/>
          <w:sz w:val="24"/>
          <w:szCs w:val="24"/>
          <w:lang w:val="en-US"/>
        </w:rPr>
      </w:pPr>
    </w:p>
    <w:p w:rsidR="00DF2DD0" w:rsidRPr="00DF2DD0" w:rsidRDefault="00DF2DD0" w:rsidP="00DF2DD0">
      <w:pPr>
        <w:spacing w:after="0" w:line="480" w:lineRule="auto"/>
        <w:jc w:val="both"/>
        <w:rPr>
          <w:rFonts w:ascii="Arial" w:eastAsia="Calibri" w:hAnsi="Arial" w:cs="Arial"/>
          <w:sz w:val="24"/>
          <w:szCs w:val="24"/>
          <w:lang w:val="en-US"/>
        </w:rPr>
      </w:pPr>
      <w:r w:rsidRPr="00DF2DD0">
        <w:rPr>
          <w:rFonts w:ascii="Arial" w:eastAsia="Calibri" w:hAnsi="Arial" w:cs="Arial"/>
          <w:sz w:val="24"/>
          <w:szCs w:val="24"/>
          <w:lang w:val="en-US"/>
        </w:rPr>
        <w:t>COUNSEL FOR THE</w:t>
      </w:r>
      <w:r w:rsidR="00F22807">
        <w:rPr>
          <w:rFonts w:ascii="Arial" w:eastAsia="Calibri" w:hAnsi="Arial" w:cs="Arial"/>
          <w:sz w:val="24"/>
          <w:szCs w:val="24"/>
          <w:lang w:val="en-US"/>
        </w:rPr>
        <w:t xml:space="preserve"> APPLICANT: </w:t>
      </w:r>
      <w:r w:rsidR="00F22807">
        <w:rPr>
          <w:rFonts w:ascii="Arial" w:eastAsia="Calibri" w:hAnsi="Arial" w:cs="Arial"/>
          <w:sz w:val="24"/>
          <w:szCs w:val="24"/>
          <w:lang w:val="en-US"/>
        </w:rPr>
        <w:tab/>
        <w:t>ADV N.G LOUW</w:t>
      </w:r>
      <w:r w:rsidRPr="00DF2DD0">
        <w:rPr>
          <w:rFonts w:ascii="Arial" w:eastAsia="Calibri" w:hAnsi="Arial" w:cs="Arial"/>
          <w:sz w:val="24"/>
          <w:szCs w:val="24"/>
          <w:lang w:val="en-US"/>
        </w:rPr>
        <w:tab/>
      </w:r>
      <w:r w:rsidRPr="00DF2DD0">
        <w:rPr>
          <w:rFonts w:ascii="Arial" w:eastAsia="Calibri" w:hAnsi="Arial" w:cs="Arial"/>
          <w:sz w:val="24"/>
          <w:szCs w:val="24"/>
          <w:lang w:val="en-US"/>
        </w:rPr>
        <w:tab/>
      </w:r>
    </w:p>
    <w:p w:rsidR="00DF2DD0" w:rsidRPr="00DF2DD0" w:rsidRDefault="00DF2DD0" w:rsidP="00DF2DD0">
      <w:pPr>
        <w:spacing w:after="0" w:line="480" w:lineRule="auto"/>
        <w:jc w:val="both"/>
        <w:rPr>
          <w:rFonts w:ascii="Arial" w:eastAsia="Calibri" w:hAnsi="Arial" w:cs="Arial"/>
          <w:sz w:val="24"/>
          <w:szCs w:val="24"/>
          <w:lang w:val="en-US"/>
        </w:rPr>
      </w:pPr>
      <w:r w:rsidRPr="00DF2DD0">
        <w:rPr>
          <w:rFonts w:ascii="Arial" w:eastAsia="Calibri" w:hAnsi="Arial" w:cs="Arial"/>
          <w:sz w:val="24"/>
          <w:szCs w:val="24"/>
          <w:lang w:val="en-US"/>
        </w:rPr>
        <w:t>APPLICANT’S ATTORNEYS:</w:t>
      </w:r>
      <w:r w:rsidRPr="00DF2DD0">
        <w:rPr>
          <w:rFonts w:ascii="Arial" w:eastAsia="Calibri" w:hAnsi="Arial" w:cs="Arial"/>
          <w:sz w:val="24"/>
          <w:szCs w:val="24"/>
          <w:lang w:val="en-US"/>
        </w:rPr>
        <w:tab/>
      </w:r>
      <w:r w:rsidRPr="00DF2DD0">
        <w:rPr>
          <w:rFonts w:ascii="Arial" w:eastAsia="Calibri" w:hAnsi="Arial" w:cs="Arial"/>
          <w:sz w:val="24"/>
          <w:szCs w:val="24"/>
          <w:lang w:val="en-US"/>
        </w:rPr>
        <w:tab/>
        <w:t xml:space="preserve"> </w:t>
      </w:r>
      <w:r w:rsidR="00F22807">
        <w:rPr>
          <w:rFonts w:ascii="Arial" w:eastAsia="Calibri" w:hAnsi="Arial" w:cs="Arial"/>
          <w:sz w:val="24"/>
          <w:szCs w:val="24"/>
          <w:lang w:val="en-US"/>
        </w:rPr>
        <w:t>MANLEY</w:t>
      </w:r>
      <w:r w:rsidRPr="00DF2DD0">
        <w:rPr>
          <w:rFonts w:ascii="Arial" w:eastAsia="Calibri" w:hAnsi="Arial" w:cs="Arial"/>
          <w:sz w:val="24"/>
          <w:szCs w:val="24"/>
          <w:lang w:val="en-US"/>
        </w:rPr>
        <w:t xml:space="preserve"> INC</w:t>
      </w:r>
    </w:p>
    <w:p w:rsidR="00DF2DD0" w:rsidRPr="00DF2DD0" w:rsidRDefault="00DF2DD0" w:rsidP="00DF2DD0">
      <w:pPr>
        <w:spacing w:after="0" w:line="480" w:lineRule="auto"/>
        <w:jc w:val="both"/>
        <w:rPr>
          <w:rFonts w:ascii="Arial" w:eastAsia="Calibri" w:hAnsi="Arial" w:cs="Arial"/>
          <w:sz w:val="24"/>
          <w:szCs w:val="24"/>
          <w:lang w:val="en-US"/>
        </w:rPr>
      </w:pPr>
      <w:r w:rsidRPr="00DF2DD0">
        <w:rPr>
          <w:rFonts w:ascii="Arial" w:eastAsia="Calibri" w:hAnsi="Arial" w:cs="Arial"/>
          <w:sz w:val="24"/>
          <w:szCs w:val="24"/>
          <w:lang w:val="en-US"/>
        </w:rPr>
        <w:t xml:space="preserve">COUNSEL FOR THE RESPONDENTS: </w:t>
      </w:r>
      <w:r w:rsidRPr="00DF2DD0">
        <w:rPr>
          <w:rFonts w:ascii="Arial" w:eastAsia="Calibri" w:hAnsi="Arial" w:cs="Arial"/>
          <w:sz w:val="24"/>
          <w:szCs w:val="24"/>
          <w:lang w:val="en-US"/>
        </w:rPr>
        <w:tab/>
        <w:t xml:space="preserve"> ADV </w:t>
      </w:r>
      <w:r w:rsidR="00F22807">
        <w:rPr>
          <w:rFonts w:ascii="Arial" w:eastAsia="Calibri" w:hAnsi="Arial" w:cs="Arial"/>
          <w:sz w:val="24"/>
          <w:szCs w:val="24"/>
          <w:lang w:val="en-US"/>
        </w:rPr>
        <w:t>H.H. COWLEY</w:t>
      </w:r>
    </w:p>
    <w:p w:rsidR="00DF2DD0" w:rsidRPr="00DF2DD0" w:rsidRDefault="00DF2DD0" w:rsidP="00DF2DD0">
      <w:pPr>
        <w:spacing w:after="0" w:line="480" w:lineRule="auto"/>
        <w:jc w:val="both"/>
        <w:rPr>
          <w:rFonts w:ascii="Arial" w:eastAsia="Calibri" w:hAnsi="Arial" w:cs="Arial"/>
          <w:sz w:val="24"/>
          <w:szCs w:val="24"/>
          <w:lang w:val="en-US"/>
        </w:rPr>
      </w:pPr>
      <w:r w:rsidRPr="00DF2DD0">
        <w:rPr>
          <w:rFonts w:ascii="Arial" w:eastAsia="Calibri" w:hAnsi="Arial" w:cs="Arial"/>
          <w:sz w:val="24"/>
          <w:szCs w:val="24"/>
          <w:lang w:val="en-US"/>
        </w:rPr>
        <w:t>RESPONDENTS ATTORNEYS:</w:t>
      </w:r>
      <w:r w:rsidRPr="00DF2DD0">
        <w:rPr>
          <w:rFonts w:ascii="Arial" w:eastAsia="Calibri" w:hAnsi="Arial" w:cs="Arial"/>
          <w:sz w:val="24"/>
          <w:szCs w:val="24"/>
          <w:lang w:val="en-US"/>
        </w:rPr>
        <w:tab/>
      </w:r>
      <w:r w:rsidRPr="00DF2DD0">
        <w:rPr>
          <w:rFonts w:ascii="Arial" w:eastAsia="Calibri" w:hAnsi="Arial" w:cs="Arial"/>
          <w:sz w:val="24"/>
          <w:szCs w:val="24"/>
          <w:lang w:val="en-US"/>
        </w:rPr>
        <w:tab/>
        <w:t xml:space="preserve"> </w:t>
      </w:r>
      <w:r w:rsidR="00F22807">
        <w:rPr>
          <w:rFonts w:ascii="Arial" w:eastAsia="Calibri" w:hAnsi="Arial" w:cs="Arial"/>
          <w:sz w:val="24"/>
          <w:szCs w:val="24"/>
          <w:lang w:val="en-US"/>
        </w:rPr>
        <w:t>VAN DER WALT ATTORNEYS</w:t>
      </w:r>
    </w:p>
    <w:p w:rsidR="00DF2DD0" w:rsidRPr="00DF2DD0" w:rsidRDefault="00F22807" w:rsidP="00DF2DD0">
      <w:pPr>
        <w:spacing w:after="0" w:line="480" w:lineRule="auto"/>
        <w:jc w:val="both"/>
        <w:rPr>
          <w:rFonts w:ascii="Arial" w:eastAsia="Calibri" w:hAnsi="Arial" w:cs="Arial"/>
          <w:sz w:val="24"/>
          <w:szCs w:val="24"/>
          <w:lang w:val="en-US"/>
        </w:rPr>
      </w:pPr>
      <w:r>
        <w:rPr>
          <w:rFonts w:ascii="Arial" w:eastAsia="Calibri" w:hAnsi="Arial" w:cs="Arial"/>
          <w:sz w:val="24"/>
          <w:szCs w:val="24"/>
          <w:lang w:val="en-US"/>
        </w:rPr>
        <w:t>DATE OF HEARING:</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15</w:t>
      </w:r>
      <w:r w:rsidR="00DF2DD0" w:rsidRPr="00DF2DD0">
        <w:rPr>
          <w:rFonts w:ascii="Arial" w:eastAsia="Calibri" w:hAnsi="Arial" w:cs="Arial"/>
          <w:sz w:val="24"/>
          <w:szCs w:val="24"/>
          <w:lang w:val="en-US"/>
        </w:rPr>
        <w:t xml:space="preserve"> MAY 2023</w:t>
      </w:r>
    </w:p>
    <w:p w:rsidR="00DF2DD0" w:rsidRPr="00DF2DD0" w:rsidRDefault="00DF2DD0" w:rsidP="00DF2DD0">
      <w:pPr>
        <w:spacing w:after="0" w:line="480" w:lineRule="auto"/>
        <w:rPr>
          <w:rFonts w:ascii="Arial" w:eastAsia="Calibri" w:hAnsi="Arial" w:cs="Arial"/>
          <w:sz w:val="24"/>
          <w:szCs w:val="24"/>
          <w:lang w:val="en-US"/>
        </w:rPr>
      </w:pPr>
      <w:r w:rsidRPr="00DF2DD0">
        <w:rPr>
          <w:rFonts w:ascii="Arial" w:eastAsia="Calibri" w:hAnsi="Arial" w:cs="Arial"/>
          <w:sz w:val="24"/>
          <w:szCs w:val="24"/>
          <w:lang w:val="en-US"/>
        </w:rPr>
        <w:t>DATE OF JUDGMENT:</w:t>
      </w:r>
      <w:r w:rsidRPr="00DF2DD0">
        <w:rPr>
          <w:rFonts w:ascii="Arial" w:eastAsia="Calibri" w:hAnsi="Arial" w:cs="Arial"/>
          <w:sz w:val="24"/>
          <w:szCs w:val="24"/>
          <w:lang w:val="en-US"/>
        </w:rPr>
        <w:tab/>
      </w:r>
      <w:r w:rsidRPr="00DF2DD0">
        <w:rPr>
          <w:rFonts w:ascii="Arial" w:eastAsia="Calibri" w:hAnsi="Arial" w:cs="Arial"/>
          <w:sz w:val="24"/>
          <w:szCs w:val="24"/>
          <w:lang w:val="en-US"/>
        </w:rPr>
        <w:tab/>
      </w:r>
      <w:r w:rsidRPr="00DF2DD0">
        <w:rPr>
          <w:rFonts w:ascii="Arial" w:eastAsia="Calibri" w:hAnsi="Arial" w:cs="Arial"/>
          <w:sz w:val="24"/>
          <w:szCs w:val="24"/>
          <w:lang w:val="en-US"/>
        </w:rPr>
        <w:tab/>
        <w:t>18 MAY 2023</w:t>
      </w:r>
    </w:p>
    <w:p w:rsidR="00DF2DD0" w:rsidRPr="00DF2DD0" w:rsidRDefault="00DF2DD0" w:rsidP="00DF2DD0">
      <w:pPr>
        <w:spacing w:after="0" w:line="480" w:lineRule="auto"/>
        <w:ind w:left="1080"/>
        <w:jc w:val="both"/>
        <w:rPr>
          <w:rFonts w:ascii="Arial" w:eastAsia="Calibri" w:hAnsi="Arial" w:cs="Arial"/>
          <w:sz w:val="24"/>
          <w:szCs w:val="24"/>
          <w:lang w:val="en-US"/>
        </w:rPr>
      </w:pPr>
    </w:p>
    <w:p w:rsidR="00DF2DD0" w:rsidRPr="00DF2DD0" w:rsidRDefault="00DF2DD0" w:rsidP="00DF2DD0">
      <w:pPr>
        <w:spacing w:after="0" w:line="480" w:lineRule="auto"/>
        <w:jc w:val="both"/>
        <w:rPr>
          <w:rFonts w:ascii="Arial" w:eastAsia="Calibri" w:hAnsi="Arial" w:cs="Arial"/>
          <w:sz w:val="24"/>
          <w:szCs w:val="24"/>
          <w:lang w:val="en-US"/>
        </w:rPr>
      </w:pPr>
    </w:p>
    <w:p w:rsidR="00DF2DD0" w:rsidRPr="00DF2DD0" w:rsidRDefault="00DF2DD0" w:rsidP="00DF2DD0">
      <w:pPr>
        <w:spacing w:after="0" w:line="480" w:lineRule="auto"/>
        <w:jc w:val="both"/>
        <w:rPr>
          <w:rFonts w:ascii="Arial" w:eastAsia="Calibri" w:hAnsi="Arial" w:cs="Arial"/>
          <w:sz w:val="24"/>
          <w:szCs w:val="24"/>
          <w:lang w:val="en-US"/>
        </w:rPr>
      </w:pPr>
    </w:p>
    <w:p w:rsidR="00DF2DD0" w:rsidRPr="00DF2DD0" w:rsidRDefault="00DF2DD0" w:rsidP="00DF2DD0">
      <w:pPr>
        <w:rPr>
          <w:rFonts w:ascii="Arial" w:hAnsi="Arial" w:cs="Arial"/>
          <w:sz w:val="24"/>
          <w:szCs w:val="24"/>
        </w:rPr>
      </w:pPr>
    </w:p>
    <w:sectPr w:rsidR="00DF2DD0" w:rsidRPr="00DF2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1A" w:rsidRDefault="005D051A" w:rsidP="00DF2DD0">
      <w:pPr>
        <w:spacing w:after="0" w:line="240" w:lineRule="auto"/>
      </w:pPr>
      <w:r>
        <w:separator/>
      </w:r>
    </w:p>
  </w:endnote>
  <w:endnote w:type="continuationSeparator" w:id="0">
    <w:p w:rsidR="005D051A" w:rsidRDefault="005D051A" w:rsidP="00DF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1A" w:rsidRDefault="005D051A" w:rsidP="00DF2DD0">
      <w:pPr>
        <w:spacing w:after="0" w:line="240" w:lineRule="auto"/>
      </w:pPr>
      <w:r>
        <w:separator/>
      </w:r>
    </w:p>
  </w:footnote>
  <w:footnote w:type="continuationSeparator" w:id="0">
    <w:p w:rsidR="005D051A" w:rsidRDefault="005D051A" w:rsidP="00DF2DD0">
      <w:pPr>
        <w:spacing w:after="0" w:line="240" w:lineRule="auto"/>
      </w:pPr>
      <w:r>
        <w:continuationSeparator/>
      </w:r>
    </w:p>
  </w:footnote>
  <w:footnote w:id="1">
    <w:p w:rsidR="00DF2DD0" w:rsidRPr="00E072D0" w:rsidRDefault="00DF2DD0" w:rsidP="00DF2DD0">
      <w:pPr>
        <w:pStyle w:val="FootnoteText1"/>
        <w:rPr>
          <w:u w:val="single"/>
          <w:lang w:val="en-US"/>
        </w:rPr>
      </w:pPr>
      <w:r>
        <w:rPr>
          <w:rStyle w:val="FootnoteReference"/>
        </w:rPr>
        <w:footnoteRef/>
      </w:r>
      <w:r>
        <w:t xml:space="preserve"> </w:t>
      </w:r>
      <w:r>
        <w:rPr>
          <w:b/>
          <w:bCs/>
          <w:i/>
          <w:iCs/>
          <w:u w:val="single"/>
          <w:lang w:val="en-US"/>
        </w:rPr>
        <w:t>My emphasis</w:t>
      </w:r>
    </w:p>
  </w:footnote>
  <w:footnote w:id="2">
    <w:p w:rsidR="00DF2DD0" w:rsidRPr="00E072D0" w:rsidRDefault="00DF2DD0" w:rsidP="00DF2DD0">
      <w:pPr>
        <w:pStyle w:val="FootnoteText1"/>
        <w:rPr>
          <w:lang w:val="en-US"/>
        </w:rPr>
      </w:pPr>
      <w:r>
        <w:rPr>
          <w:rStyle w:val="FootnoteReference"/>
        </w:rPr>
        <w:footnoteRef/>
      </w:r>
      <w:r>
        <w:t xml:space="preserve"> </w:t>
      </w:r>
      <w:r>
        <w:rPr>
          <w:lang w:val="en-US"/>
        </w:rPr>
        <w:t>For the remainder of the judgment, a reference to the defendants will be a reference to the first to seventh and the ninth to seventeenth defendants.</w:t>
      </w:r>
    </w:p>
  </w:footnote>
  <w:footnote w:id="3">
    <w:p w:rsidR="00DF2DD0" w:rsidRPr="00A73F18" w:rsidRDefault="00DF2DD0" w:rsidP="00DF2DD0">
      <w:pPr>
        <w:pStyle w:val="FootnoteText1"/>
        <w:rPr>
          <w:lang w:val="en-US"/>
        </w:rPr>
      </w:pPr>
      <w:r>
        <w:rPr>
          <w:rStyle w:val="FootnoteReference"/>
        </w:rPr>
        <w:footnoteRef/>
      </w:r>
      <w:r>
        <w:t xml:space="preserve"> </w:t>
      </w:r>
      <w:r>
        <w:rPr>
          <w:lang w:val="en-US"/>
        </w:rPr>
        <w:t>This sum is calculated by subtracting a tendered sum by the second defendant together with the twelfth and thirteenth defendants from the sum attached in terms of the notice of attachment.</w:t>
      </w:r>
    </w:p>
  </w:footnote>
  <w:footnote w:id="4">
    <w:p w:rsidR="00DF2DD0" w:rsidRPr="00135EB8" w:rsidRDefault="00DF2DD0" w:rsidP="00DF2DD0">
      <w:pPr>
        <w:pStyle w:val="FootnoteText1"/>
        <w:rPr>
          <w:lang w:val="en-US"/>
        </w:rPr>
      </w:pPr>
      <w:r>
        <w:rPr>
          <w:rStyle w:val="FootnoteReference"/>
        </w:rPr>
        <w:footnoteRef/>
      </w:r>
      <w:r>
        <w:t xml:space="preserve"> </w:t>
      </w:r>
      <w:r>
        <w:rPr>
          <w:b/>
          <w:bCs/>
          <w:i/>
          <w:iCs/>
        </w:rPr>
        <w:t xml:space="preserve">Natal Joint Municipal Pension Fund v </w:t>
      </w:r>
      <w:proofErr w:type="spellStart"/>
      <w:r>
        <w:rPr>
          <w:b/>
          <w:bCs/>
          <w:i/>
          <w:iCs/>
        </w:rPr>
        <w:t>Endumeni</w:t>
      </w:r>
      <w:proofErr w:type="spellEnd"/>
      <w:r>
        <w:rPr>
          <w:b/>
          <w:bCs/>
          <w:i/>
          <w:iCs/>
        </w:rPr>
        <w:t xml:space="preserve"> Municipality</w:t>
      </w:r>
      <w:r>
        <w:t xml:space="preserve"> 2012 (4) SA 593 (SCA) (16 March 2012)</w:t>
      </w:r>
    </w:p>
  </w:footnote>
  <w:footnote w:id="5">
    <w:p w:rsidR="00DF2DD0" w:rsidRPr="00135EB8" w:rsidRDefault="00DF2DD0" w:rsidP="00DF2DD0">
      <w:pPr>
        <w:pStyle w:val="FootnoteText1"/>
        <w:rPr>
          <w:lang w:val="en-US"/>
        </w:rPr>
      </w:pPr>
      <w:r>
        <w:rPr>
          <w:rStyle w:val="FootnoteReference"/>
        </w:rPr>
        <w:footnoteRef/>
      </w:r>
      <w:r>
        <w:t xml:space="preserve"> </w:t>
      </w:r>
      <w:r>
        <w:rPr>
          <w:lang w:val="en-US"/>
        </w:rPr>
        <w:t>1967 (1) SA 54 (C)</w:t>
      </w:r>
    </w:p>
  </w:footnote>
  <w:footnote w:id="6">
    <w:p w:rsidR="00DF2DD0" w:rsidRPr="008D5016" w:rsidRDefault="00DF2DD0" w:rsidP="00DF2DD0">
      <w:pPr>
        <w:pStyle w:val="FootnoteText1"/>
        <w:rPr>
          <w:lang w:val="en-US"/>
        </w:rPr>
      </w:pPr>
      <w:r>
        <w:rPr>
          <w:rStyle w:val="FootnoteReference"/>
        </w:rPr>
        <w:footnoteRef/>
      </w:r>
      <w:r>
        <w:t xml:space="preserve"> </w:t>
      </w:r>
      <w:proofErr w:type="spellStart"/>
      <w:r>
        <w:rPr>
          <w:b/>
          <w:bCs/>
          <w:i/>
          <w:iCs/>
          <w:lang w:val="en-US"/>
        </w:rPr>
        <w:t>Roelou</w:t>
      </w:r>
      <w:proofErr w:type="spellEnd"/>
      <w:r>
        <w:rPr>
          <w:i/>
          <w:iCs/>
          <w:lang w:val="en-US"/>
        </w:rPr>
        <w:t>, supra</w:t>
      </w:r>
      <w:r>
        <w:rPr>
          <w:lang w:val="en-US"/>
        </w:rPr>
        <w:t xml:space="preserve"> at 59A – B </w:t>
      </w:r>
    </w:p>
  </w:footnote>
  <w:footnote w:id="7">
    <w:p w:rsidR="00DF2DD0" w:rsidRPr="008D5016" w:rsidRDefault="00DF2DD0" w:rsidP="00DF2DD0">
      <w:pPr>
        <w:pStyle w:val="FootnoteText1"/>
        <w:rPr>
          <w:lang w:val="en-US"/>
        </w:rPr>
      </w:pPr>
      <w:r>
        <w:rPr>
          <w:rStyle w:val="FootnoteReference"/>
        </w:rPr>
        <w:footnoteRef/>
      </w:r>
      <w:r>
        <w:t xml:space="preserve"> </w:t>
      </w:r>
      <w:proofErr w:type="spellStart"/>
      <w:r>
        <w:rPr>
          <w:b/>
          <w:bCs/>
          <w:i/>
          <w:iCs/>
          <w:lang w:val="en-US"/>
        </w:rPr>
        <w:t>Roelou</w:t>
      </w:r>
      <w:proofErr w:type="spellEnd"/>
      <w:r>
        <w:rPr>
          <w:i/>
          <w:iCs/>
          <w:lang w:val="en-US"/>
        </w:rPr>
        <w:t xml:space="preserve">, supra </w:t>
      </w:r>
      <w:r>
        <w:rPr>
          <w:lang w:val="en-US"/>
        </w:rPr>
        <w:t>at 59C</w:t>
      </w:r>
    </w:p>
  </w:footnote>
  <w:footnote w:id="8">
    <w:p w:rsidR="00DF2DD0" w:rsidRPr="008D5016" w:rsidRDefault="00DF2DD0" w:rsidP="00DF2DD0">
      <w:pPr>
        <w:pStyle w:val="FootnoteText1"/>
        <w:rPr>
          <w:lang w:val="en-US"/>
        </w:rPr>
      </w:pPr>
      <w:r>
        <w:rPr>
          <w:rStyle w:val="FootnoteReference"/>
        </w:rPr>
        <w:footnoteRef/>
      </w:r>
      <w:r>
        <w:t xml:space="preserve"> </w:t>
      </w:r>
      <w:r>
        <w:rPr>
          <w:b/>
          <w:bCs/>
          <w:i/>
          <w:iCs/>
          <w:lang w:val="en-US"/>
        </w:rPr>
        <w:t xml:space="preserve">Minister of </w:t>
      </w:r>
      <w:proofErr w:type="spellStart"/>
      <w:r>
        <w:rPr>
          <w:b/>
          <w:bCs/>
          <w:i/>
          <w:iCs/>
          <w:lang w:val="en-US"/>
        </w:rPr>
        <w:t>Labour</w:t>
      </w:r>
      <w:proofErr w:type="spellEnd"/>
      <w:r>
        <w:rPr>
          <w:b/>
          <w:bCs/>
          <w:i/>
          <w:iCs/>
          <w:lang w:val="en-US"/>
        </w:rPr>
        <w:t xml:space="preserve"> &amp; Others v Port Elizabeth Municipality</w:t>
      </w:r>
      <w:r>
        <w:rPr>
          <w:b/>
          <w:bCs/>
          <w:lang w:val="en-US"/>
        </w:rPr>
        <w:t xml:space="preserve"> </w:t>
      </w:r>
      <w:r>
        <w:rPr>
          <w:lang w:val="en-US"/>
        </w:rPr>
        <w:t>1952 (2) SA 522 (A) at 537H</w:t>
      </w:r>
    </w:p>
  </w:footnote>
  <w:footnote w:id="9">
    <w:p w:rsidR="00DF2DD0" w:rsidRPr="00290A25" w:rsidRDefault="00DF2DD0" w:rsidP="00DF2DD0">
      <w:pPr>
        <w:pStyle w:val="FootnoteText1"/>
        <w:rPr>
          <w:lang w:val="en-US"/>
        </w:rPr>
      </w:pPr>
      <w:r>
        <w:rPr>
          <w:rStyle w:val="FootnoteReference"/>
        </w:rPr>
        <w:footnoteRef/>
      </w:r>
      <w:r>
        <w:t xml:space="preserve"> </w:t>
      </w:r>
      <w:proofErr w:type="spellStart"/>
      <w:r>
        <w:rPr>
          <w:b/>
          <w:bCs/>
          <w:i/>
          <w:iCs/>
          <w:lang w:val="en-US"/>
        </w:rPr>
        <w:t>Yassen</w:t>
      </w:r>
      <w:proofErr w:type="spellEnd"/>
      <w:r>
        <w:rPr>
          <w:b/>
          <w:bCs/>
          <w:i/>
          <w:iCs/>
          <w:lang w:val="en-US"/>
        </w:rPr>
        <w:t xml:space="preserve"> &amp; Others v </w:t>
      </w:r>
      <w:proofErr w:type="spellStart"/>
      <w:r>
        <w:rPr>
          <w:b/>
          <w:bCs/>
          <w:i/>
          <w:iCs/>
          <w:lang w:val="en-US"/>
        </w:rPr>
        <w:t>Yassen</w:t>
      </w:r>
      <w:proofErr w:type="spellEnd"/>
      <w:r>
        <w:rPr>
          <w:b/>
          <w:bCs/>
          <w:i/>
          <w:iCs/>
          <w:lang w:val="en-US"/>
        </w:rPr>
        <w:t xml:space="preserve"> &amp; Others</w:t>
      </w:r>
      <w:r>
        <w:rPr>
          <w:lang w:val="en-US"/>
        </w:rPr>
        <w:t xml:space="preserve"> 1965 (1) SA 436 (N) at 444F – H </w:t>
      </w:r>
    </w:p>
  </w:footnote>
  <w:footnote w:id="10">
    <w:p w:rsidR="00DF2DD0" w:rsidRPr="00B255AF" w:rsidRDefault="00DF2DD0" w:rsidP="00DF2DD0">
      <w:pPr>
        <w:pStyle w:val="FootnoteText1"/>
        <w:rPr>
          <w:lang w:val="en-US"/>
        </w:rPr>
      </w:pPr>
      <w:r>
        <w:rPr>
          <w:rStyle w:val="FootnoteReference"/>
        </w:rPr>
        <w:footnoteRef/>
      </w:r>
      <w:r>
        <w:t xml:space="preserve"> </w:t>
      </w:r>
      <w:r>
        <w:rPr>
          <w:lang w:val="en-US"/>
        </w:rPr>
        <w:t xml:space="preserve">See generally </w:t>
      </w:r>
      <w:r>
        <w:rPr>
          <w:b/>
          <w:bCs/>
          <w:i/>
          <w:iCs/>
          <w:lang w:val="en-US"/>
        </w:rPr>
        <w:t>Ferreira v Levin NO &amp; Others</w:t>
      </w:r>
      <w:r>
        <w:rPr>
          <w:lang w:val="en-US"/>
        </w:rPr>
        <w:t xml:space="preserve"> 1996 (2) SA 621 (CC) at para [3]</w:t>
      </w:r>
    </w:p>
  </w:footnote>
  <w:footnote w:id="11">
    <w:p w:rsidR="00DF2DD0" w:rsidRPr="003B6B61" w:rsidRDefault="00DF2DD0" w:rsidP="00DF2DD0">
      <w:pPr>
        <w:pStyle w:val="FootnoteText1"/>
        <w:rPr>
          <w:lang w:val="en-US"/>
        </w:rPr>
      </w:pPr>
      <w:r>
        <w:rPr>
          <w:rStyle w:val="FootnoteReference"/>
        </w:rPr>
        <w:footnoteRef/>
      </w:r>
      <w:r>
        <w:t xml:space="preserve"> </w:t>
      </w:r>
      <w:r>
        <w:rPr>
          <w:lang w:val="en-US"/>
        </w:rPr>
        <w:t>(113/2021) [2022] ZASCA 52;  2022 (5) SA 373 (SCA) (12 April 2022)</w:t>
      </w:r>
    </w:p>
  </w:footnote>
  <w:footnote w:id="12">
    <w:p w:rsidR="00DF2DD0" w:rsidRPr="005801DB" w:rsidRDefault="00DF2DD0" w:rsidP="00DF2DD0">
      <w:pPr>
        <w:pStyle w:val="FootnoteText1"/>
        <w:rPr>
          <w:lang w:val="en-US"/>
        </w:rPr>
      </w:pPr>
      <w:r>
        <w:rPr>
          <w:rStyle w:val="FootnoteReference"/>
        </w:rPr>
        <w:footnoteRef/>
      </w:r>
      <w:r>
        <w:t xml:space="preserve"> </w:t>
      </w:r>
      <w:r>
        <w:rPr>
          <w:lang w:val="en-US"/>
        </w:rPr>
        <w:t xml:space="preserve">See, for example, </w:t>
      </w:r>
      <w:r>
        <w:rPr>
          <w:b/>
          <w:bCs/>
          <w:i/>
          <w:iCs/>
          <w:lang w:val="en-US"/>
        </w:rPr>
        <w:t>HLB</w:t>
      </w:r>
      <w:r>
        <w:rPr>
          <w:i/>
          <w:iCs/>
          <w:lang w:val="en-US"/>
        </w:rPr>
        <w:t xml:space="preserve">, supra </w:t>
      </w:r>
      <w:r>
        <w:rPr>
          <w:lang w:val="en-US"/>
        </w:rPr>
        <w:t xml:space="preserve">at para [26] – [28]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8" style="width:0;height:1.5pt" o:hralign="center" o:bullet="t" o:hrstd="t" o:hr="t" fillcolor="#a0a0a0" stroked="f"/>
    </w:pict>
  </w:numPicBullet>
  <w:abstractNum w:abstractNumId="0">
    <w:nsid w:val="02DA24BE"/>
    <w:multiLevelType w:val="hybridMultilevel"/>
    <w:tmpl w:val="CEF8A3BE"/>
    <w:lvl w:ilvl="0" w:tplc="7A4C19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3C2E0339"/>
    <w:multiLevelType w:val="hybridMultilevel"/>
    <w:tmpl w:val="AEFEF090"/>
    <w:lvl w:ilvl="0" w:tplc="A852E6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D0"/>
    <w:rsid w:val="00117F83"/>
    <w:rsid w:val="00221B25"/>
    <w:rsid w:val="00362E0E"/>
    <w:rsid w:val="00572818"/>
    <w:rsid w:val="005C5B0A"/>
    <w:rsid w:val="005D051A"/>
    <w:rsid w:val="00866F69"/>
    <w:rsid w:val="00A06E41"/>
    <w:rsid w:val="00B6078F"/>
    <w:rsid w:val="00DF2DD0"/>
    <w:rsid w:val="00F228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3DDC0-AC79-4719-B980-E65D232C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DF2DD0"/>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DF2DD0"/>
    <w:rPr>
      <w:sz w:val="20"/>
      <w:szCs w:val="20"/>
    </w:rPr>
  </w:style>
  <w:style w:type="character" w:styleId="FootnoteReference">
    <w:name w:val="footnote reference"/>
    <w:basedOn w:val="DefaultParagraphFont"/>
    <w:uiPriority w:val="99"/>
    <w:semiHidden/>
    <w:unhideWhenUsed/>
    <w:rsid w:val="00DF2DD0"/>
    <w:rPr>
      <w:vertAlign w:val="superscript"/>
    </w:rPr>
  </w:style>
  <w:style w:type="paragraph" w:styleId="FootnoteText">
    <w:name w:val="footnote text"/>
    <w:basedOn w:val="Normal"/>
    <w:link w:val="FootnoteTextChar1"/>
    <w:uiPriority w:val="99"/>
    <w:semiHidden/>
    <w:unhideWhenUsed/>
    <w:rsid w:val="00DF2DD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F2D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Nomaswazi Mvula</dc:creator>
  <cp:keywords/>
  <dc:description/>
  <cp:lastModifiedBy>Mokone</cp:lastModifiedBy>
  <cp:revision>3</cp:revision>
  <dcterms:created xsi:type="dcterms:W3CDTF">2023-05-22T06:05:00Z</dcterms:created>
  <dcterms:modified xsi:type="dcterms:W3CDTF">2023-05-22T06:06:00Z</dcterms:modified>
</cp:coreProperties>
</file>