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D3DBB" w14:textId="03207767" w:rsidR="00E84592" w:rsidRDefault="00DD199F" w:rsidP="00E84592">
      <w:pPr>
        <w:spacing w:line="240" w:lineRule="auto"/>
        <w:jc w:val="center"/>
        <w:rPr>
          <w:rFonts w:cs="Arial"/>
          <w:b/>
          <w:noProof/>
          <w:lang w:eastAsia="en-ZA"/>
        </w:rPr>
      </w:pPr>
      <w:bookmarkStart w:id="0" w:name="_GoBack"/>
      <w:bookmarkEnd w:id="0"/>
      <w:r>
        <w:rPr>
          <w:rFonts w:cs="Arial"/>
          <w:b/>
          <w:noProof/>
          <w:lang w:val="en-US" w:eastAsia="en-US"/>
        </w:rPr>
        <w:drawing>
          <wp:inline distT="0" distB="0" distL="0" distR="0" wp14:anchorId="47A2AAAA" wp14:editId="6CDD5C07">
            <wp:extent cx="1356360" cy="1356360"/>
            <wp:effectExtent l="0" t="0" r="0" b="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p>
    <w:p w14:paraId="1F95F119" w14:textId="77777777" w:rsidR="00E84592" w:rsidRPr="00C71BA3" w:rsidRDefault="00E84592" w:rsidP="00E84592">
      <w:pPr>
        <w:spacing w:after="0" w:line="240" w:lineRule="auto"/>
        <w:jc w:val="center"/>
        <w:rPr>
          <w:rFonts w:cs="Arial"/>
          <w:b/>
        </w:rPr>
      </w:pPr>
      <w:r w:rsidRPr="00C71BA3">
        <w:rPr>
          <w:rFonts w:cs="Arial"/>
          <w:b/>
        </w:rPr>
        <w:t>IN THE HIGH COURT OF SOUTH AFRICA</w:t>
      </w:r>
    </w:p>
    <w:p w14:paraId="564F0E78" w14:textId="4968DF78" w:rsidR="00E84592" w:rsidRDefault="00E84592" w:rsidP="00E84592">
      <w:pPr>
        <w:spacing w:after="0" w:line="240" w:lineRule="auto"/>
        <w:jc w:val="center"/>
        <w:rPr>
          <w:rFonts w:cs="Arial"/>
          <w:b/>
        </w:rPr>
      </w:pPr>
      <w:r w:rsidRPr="00C71BA3">
        <w:rPr>
          <w:rFonts w:cs="Arial"/>
          <w:b/>
        </w:rPr>
        <w:t>GAUTENG</w:t>
      </w:r>
      <w:r>
        <w:rPr>
          <w:rFonts w:cs="Arial"/>
          <w:b/>
        </w:rPr>
        <w:t xml:space="preserve"> LOCAL</w:t>
      </w:r>
      <w:r w:rsidRPr="00C71BA3">
        <w:rPr>
          <w:rFonts w:cs="Arial"/>
          <w:b/>
        </w:rPr>
        <w:t xml:space="preserve"> DIVISION, </w:t>
      </w:r>
      <w:r>
        <w:rPr>
          <w:rFonts w:cs="Arial"/>
          <w:b/>
        </w:rPr>
        <w:t>JOHANNESBURG</w:t>
      </w:r>
    </w:p>
    <w:p w14:paraId="31EAFFE4" w14:textId="77777777" w:rsidR="00E84592" w:rsidRPr="00C71BA3" w:rsidRDefault="00E84592" w:rsidP="00E84592">
      <w:pPr>
        <w:spacing w:after="0" w:line="240" w:lineRule="auto"/>
        <w:jc w:val="center"/>
        <w:rPr>
          <w:rFonts w:cs="Arial"/>
          <w:b/>
        </w:rPr>
      </w:pPr>
    </w:p>
    <w:p w14:paraId="1F678FB1" w14:textId="77777777" w:rsidR="00E84592" w:rsidRPr="00170585" w:rsidRDefault="00E84592" w:rsidP="00E84592">
      <w:pPr>
        <w:spacing w:line="240" w:lineRule="auto"/>
        <w:jc w:val="center"/>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70585">
        <w:rPr>
          <w:b/>
          <w:sz w:val="24"/>
          <w:szCs w:val="24"/>
        </w:rPr>
        <w:t xml:space="preserve">CASE NO.:  </w:t>
      </w:r>
      <w:r w:rsidRPr="00CF24C2">
        <w:rPr>
          <w:b/>
          <w:sz w:val="24"/>
          <w:szCs w:val="24"/>
        </w:rPr>
        <w:t>46054/2018</w:t>
      </w:r>
    </w:p>
    <w:p w14:paraId="6300462D" w14:textId="59CB2164" w:rsidR="00E84592" w:rsidRDefault="00DD199F" w:rsidP="00E84592">
      <w:pPr>
        <w:spacing w:line="240" w:lineRule="auto"/>
        <w:jc w:val="left"/>
        <w:rPr>
          <w:sz w:val="24"/>
          <w:szCs w:val="24"/>
        </w:rPr>
      </w:pPr>
      <w:r>
        <w:rPr>
          <w:noProof/>
          <w:lang w:val="en-US" w:eastAsia="en-US"/>
        </w:rPr>
        <mc:AlternateContent>
          <mc:Choice Requires="wps">
            <w:drawing>
              <wp:anchor distT="0" distB="0" distL="114300" distR="114300" simplePos="0" relativeHeight="251657728" behindDoc="0" locked="0" layoutInCell="1" allowOverlap="1" wp14:anchorId="296097A6" wp14:editId="2D3B5F7E">
                <wp:simplePos x="0" y="0"/>
                <wp:positionH relativeFrom="column">
                  <wp:posOffset>45720</wp:posOffset>
                </wp:positionH>
                <wp:positionV relativeFrom="paragraph">
                  <wp:posOffset>19685</wp:posOffset>
                </wp:positionV>
                <wp:extent cx="3205480" cy="1195705"/>
                <wp:effectExtent l="0" t="0" r="0" b="4445"/>
                <wp:wrapNone/>
                <wp:docPr id="13723863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195705"/>
                        </a:xfrm>
                        <a:prstGeom prst="rect">
                          <a:avLst/>
                        </a:prstGeom>
                        <a:solidFill>
                          <a:srgbClr val="FFFFFF"/>
                        </a:solidFill>
                        <a:ln w="9525">
                          <a:solidFill>
                            <a:srgbClr val="000000"/>
                          </a:solidFill>
                          <a:miter lim="800000"/>
                          <a:headEnd/>
                          <a:tailEnd/>
                        </a:ln>
                      </wps:spPr>
                      <wps:txbx>
                        <w:txbxContent>
                          <w:p w14:paraId="2ACED724" w14:textId="77777777" w:rsidR="00E84592" w:rsidRPr="00423E7E" w:rsidRDefault="00E84592" w:rsidP="00E84592">
                            <w:pPr>
                              <w:spacing w:after="0" w:line="240" w:lineRule="auto"/>
                              <w:rPr>
                                <w:rFonts w:cs="Arial"/>
                                <w:sz w:val="18"/>
                                <w:szCs w:val="18"/>
                              </w:rPr>
                            </w:pPr>
                            <w:r w:rsidRPr="00423E7E">
                              <w:rPr>
                                <w:rFonts w:cs="Arial"/>
                                <w:sz w:val="18"/>
                                <w:szCs w:val="18"/>
                              </w:rPr>
                              <w:t xml:space="preserve">(1)  REPORTABLE:  </w:t>
                            </w:r>
                            <w:r w:rsidRPr="00E84592">
                              <w:rPr>
                                <w:rFonts w:cs="Arial"/>
                                <w:strike/>
                                <w:sz w:val="18"/>
                                <w:szCs w:val="18"/>
                              </w:rPr>
                              <w:t>YES</w:t>
                            </w:r>
                            <w:r w:rsidRPr="00423E7E">
                              <w:rPr>
                                <w:rFonts w:cs="Arial"/>
                                <w:sz w:val="18"/>
                                <w:szCs w:val="18"/>
                              </w:rPr>
                              <w:t xml:space="preserve"> / </w:t>
                            </w:r>
                            <w:r w:rsidRPr="00E84592">
                              <w:rPr>
                                <w:rFonts w:cs="Arial"/>
                                <w:sz w:val="18"/>
                                <w:szCs w:val="18"/>
                              </w:rPr>
                              <w:t>NO</w:t>
                            </w:r>
                          </w:p>
                          <w:p w14:paraId="5C204E27" w14:textId="77777777" w:rsidR="00E84592" w:rsidRPr="00423E7E" w:rsidRDefault="00E84592" w:rsidP="00E84592">
                            <w:pPr>
                              <w:spacing w:after="0" w:line="240" w:lineRule="auto"/>
                              <w:rPr>
                                <w:rFonts w:cs="Arial"/>
                                <w:sz w:val="18"/>
                                <w:szCs w:val="18"/>
                              </w:rPr>
                            </w:pPr>
                            <w:r w:rsidRPr="00423E7E">
                              <w:rPr>
                                <w:rFonts w:cs="Arial"/>
                                <w:sz w:val="18"/>
                                <w:szCs w:val="18"/>
                              </w:rPr>
                              <w:t>(</w:t>
                            </w:r>
                            <w:r>
                              <w:rPr>
                                <w:rFonts w:cs="Arial"/>
                                <w:sz w:val="18"/>
                                <w:szCs w:val="18"/>
                              </w:rPr>
                              <w:t>2)  OF INTEREST TO OTHER JUDGES</w:t>
                            </w:r>
                            <w:r w:rsidRPr="00423E7E">
                              <w:rPr>
                                <w:rFonts w:cs="Arial"/>
                                <w:sz w:val="18"/>
                                <w:szCs w:val="18"/>
                              </w:rPr>
                              <w:t xml:space="preserve">:  </w:t>
                            </w:r>
                            <w:r w:rsidRPr="00E84592">
                              <w:rPr>
                                <w:rFonts w:cs="Arial"/>
                                <w:strike/>
                                <w:sz w:val="18"/>
                                <w:szCs w:val="18"/>
                              </w:rPr>
                              <w:t>YES</w:t>
                            </w:r>
                            <w:r w:rsidRPr="00423E7E">
                              <w:rPr>
                                <w:rFonts w:cs="Arial"/>
                                <w:sz w:val="18"/>
                                <w:szCs w:val="18"/>
                              </w:rPr>
                              <w:t xml:space="preserve"> / </w:t>
                            </w:r>
                            <w:r w:rsidRPr="00E84592">
                              <w:rPr>
                                <w:rFonts w:cs="Arial"/>
                                <w:sz w:val="18"/>
                                <w:szCs w:val="18"/>
                              </w:rPr>
                              <w:t>NO</w:t>
                            </w:r>
                          </w:p>
                          <w:p w14:paraId="5E631258" w14:textId="68B66525" w:rsidR="00E84592" w:rsidRPr="00423E7E" w:rsidRDefault="00E84592" w:rsidP="00E84592">
                            <w:pPr>
                              <w:spacing w:after="0" w:line="240" w:lineRule="auto"/>
                              <w:rPr>
                                <w:rFonts w:cs="Arial"/>
                                <w:sz w:val="18"/>
                                <w:szCs w:val="18"/>
                              </w:rPr>
                            </w:pPr>
                            <w:r w:rsidRPr="00423E7E">
                              <w:rPr>
                                <w:rFonts w:cs="Arial"/>
                                <w:sz w:val="18"/>
                                <w:szCs w:val="18"/>
                              </w:rPr>
                              <w:t>(3)  REVISED</w:t>
                            </w:r>
                            <w:r>
                              <w:rPr>
                                <w:rFonts w:cs="Arial"/>
                                <w:sz w:val="18"/>
                                <w:szCs w:val="18"/>
                              </w:rPr>
                              <w:t>: NO</w:t>
                            </w:r>
                            <w:r w:rsidRPr="00423E7E">
                              <w:rPr>
                                <w:rFonts w:cs="Arial"/>
                                <w:sz w:val="18"/>
                                <w:szCs w:val="18"/>
                              </w:rPr>
                              <w:t xml:space="preserve"> </w:t>
                            </w:r>
                          </w:p>
                          <w:p w14:paraId="19C3B48E" w14:textId="77777777" w:rsidR="00E84592" w:rsidRDefault="00E84592" w:rsidP="00E84592">
                            <w:pPr>
                              <w:spacing w:after="0" w:line="240" w:lineRule="auto"/>
                              <w:rPr>
                                <w:rFonts w:cs="Arial"/>
                                <w:sz w:val="18"/>
                                <w:szCs w:val="18"/>
                              </w:rPr>
                            </w:pPr>
                          </w:p>
                          <w:p w14:paraId="03F2655C" w14:textId="6516D2D3" w:rsidR="00E84592" w:rsidRPr="00423E7E" w:rsidRDefault="002D4157" w:rsidP="00E84592">
                            <w:pPr>
                              <w:spacing w:after="0" w:line="240" w:lineRule="auto"/>
                              <w:rPr>
                                <w:rFonts w:cs="Arial"/>
                                <w:sz w:val="18"/>
                                <w:szCs w:val="18"/>
                              </w:rPr>
                            </w:pPr>
                            <w:r>
                              <w:rPr>
                                <w:rFonts w:cs="Arial"/>
                                <w:sz w:val="18"/>
                                <w:szCs w:val="18"/>
                              </w:rPr>
                              <w:tab/>
                            </w:r>
                            <w:r>
                              <w:rPr>
                                <w:rFonts w:cs="Arial"/>
                                <w:sz w:val="18"/>
                                <w:szCs w:val="18"/>
                              </w:rPr>
                              <w:tab/>
                              <w:t>19</w:t>
                            </w:r>
                            <w:r w:rsidR="00E84592">
                              <w:rPr>
                                <w:rFonts w:cs="Arial"/>
                                <w:sz w:val="18"/>
                                <w:szCs w:val="18"/>
                              </w:rPr>
                              <w:t xml:space="preserve"> May 2023</w:t>
                            </w:r>
                          </w:p>
                          <w:p w14:paraId="05272FA0" w14:textId="77777777" w:rsidR="00E84592" w:rsidRPr="00423E7E" w:rsidRDefault="00E84592" w:rsidP="00E84592">
                            <w:pPr>
                              <w:spacing w:after="0" w:line="240" w:lineRule="auto"/>
                              <w:rPr>
                                <w:rFonts w:cs="Arial"/>
                                <w:sz w:val="18"/>
                                <w:szCs w:val="18"/>
                              </w:rPr>
                            </w:pPr>
                            <w:r w:rsidRPr="00423E7E">
                              <w:rPr>
                                <w:rFonts w:cs="Arial"/>
                                <w:sz w:val="18"/>
                                <w:szCs w:val="18"/>
                              </w:rPr>
                              <w:t xml:space="preserve">  ....................</w:t>
                            </w:r>
                            <w:r>
                              <w:rPr>
                                <w:rFonts w:cs="Arial"/>
                                <w:sz w:val="18"/>
                                <w:szCs w:val="18"/>
                              </w:rPr>
                              <w:t>...............</w:t>
                            </w:r>
                            <w:r w:rsidRPr="00423E7E">
                              <w:rPr>
                                <w:rFonts w:cs="Arial"/>
                                <w:sz w:val="18"/>
                                <w:szCs w:val="18"/>
                              </w:rPr>
                              <w:tab/>
                              <w:t>……………………</w:t>
                            </w:r>
                          </w:p>
                          <w:p w14:paraId="4B5ABF40" w14:textId="77777777" w:rsidR="00E84592" w:rsidRPr="00423E7E" w:rsidRDefault="00E84592" w:rsidP="00E84592">
                            <w:pPr>
                              <w:spacing w:after="0" w:line="240" w:lineRule="auto"/>
                              <w:rPr>
                                <w:rFonts w:cs="Arial"/>
                                <w:sz w:val="18"/>
                                <w:szCs w:val="18"/>
                              </w:rPr>
                            </w:pPr>
                            <w:r w:rsidRPr="00423E7E">
                              <w:rPr>
                                <w:rFonts w:cs="Arial"/>
                                <w:sz w:val="18"/>
                                <w:szCs w:val="18"/>
                              </w:rPr>
                              <w:t xml:space="preserve">  SIGNATURE</w:t>
                            </w:r>
                            <w:r>
                              <w:rPr>
                                <w:rFonts w:cs="Arial"/>
                                <w:sz w:val="18"/>
                                <w:szCs w:val="18"/>
                              </w:rPr>
                              <w:tab/>
                            </w:r>
                            <w:r>
                              <w:rPr>
                                <w:rFonts w:cs="Arial"/>
                                <w:sz w:val="18"/>
                                <w:szCs w:val="18"/>
                              </w:rPr>
                              <w:tab/>
                            </w:r>
                            <w:r w:rsidRPr="00423E7E">
                              <w:rPr>
                                <w:rFonts w:cs="Arial"/>
                                <w:sz w:val="18"/>
                                <w:szCs w:val="18"/>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296097A6" id="_x0000_t202" coordsize="21600,21600" o:spt="202" path="m,l,21600r21600,l21600,xe">
                <v:stroke joinstyle="miter"/>
                <v:path gradientshapeok="t" o:connecttype="rect"/>
              </v:shapetype>
              <v:shape id="Text Box 1" o:spid="_x0000_s1026" type="#_x0000_t202" style="position:absolute;margin-left:3.6pt;margin-top:1.55pt;width:252.4pt;height:9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">
                <v:textbox>
                  <w:txbxContent>
                    <w:p w14:paraId="2ACED724" w14:textId="77777777" w:rsidR="00E84592" w:rsidRPr="00423E7E" w:rsidRDefault="00E84592" w:rsidP="00E84592">
                      <w:pPr>
                        <w:spacing w:after="0" w:line="240" w:lineRule="auto"/>
                        <w:rPr>
                          <w:rFonts w:cs="Arial"/>
                          <w:sz w:val="18"/>
                          <w:szCs w:val="18"/>
                        </w:rPr>
                      </w:pPr>
                      <w:r w:rsidRPr="00423E7E">
                        <w:rPr>
                          <w:rFonts w:cs="Arial"/>
                          <w:sz w:val="18"/>
                          <w:szCs w:val="18"/>
                        </w:rPr>
                        <w:t xml:space="preserve">(1)  REPORTABLE:  </w:t>
                      </w:r>
                      <w:r w:rsidRPr="00E84592">
                        <w:rPr>
                          <w:rFonts w:cs="Arial"/>
                          <w:strike/>
                          <w:sz w:val="18"/>
                          <w:szCs w:val="18"/>
                        </w:rPr>
                        <w:t>YES</w:t>
                      </w:r>
                      <w:r w:rsidRPr="00423E7E">
                        <w:rPr>
                          <w:rFonts w:cs="Arial"/>
                          <w:sz w:val="18"/>
                          <w:szCs w:val="18"/>
                        </w:rPr>
                        <w:t xml:space="preserve"> / </w:t>
                      </w:r>
                      <w:r w:rsidRPr="00E84592">
                        <w:rPr>
                          <w:rFonts w:cs="Arial"/>
                          <w:sz w:val="18"/>
                          <w:szCs w:val="18"/>
                        </w:rPr>
                        <w:t>NO</w:t>
                      </w:r>
                    </w:p>
                    <w:p w14:paraId="5C204E27" w14:textId="77777777" w:rsidR="00E84592" w:rsidRPr="00423E7E" w:rsidRDefault="00E84592" w:rsidP="00E84592">
                      <w:pPr>
                        <w:spacing w:after="0" w:line="240" w:lineRule="auto"/>
                        <w:rPr>
                          <w:rFonts w:cs="Arial"/>
                          <w:sz w:val="18"/>
                          <w:szCs w:val="18"/>
                        </w:rPr>
                      </w:pPr>
                      <w:r w:rsidRPr="00423E7E">
                        <w:rPr>
                          <w:rFonts w:cs="Arial"/>
                          <w:sz w:val="18"/>
                          <w:szCs w:val="18"/>
                        </w:rPr>
                        <w:t>(</w:t>
                      </w:r>
                      <w:r>
                        <w:rPr>
                          <w:rFonts w:cs="Arial"/>
                          <w:sz w:val="18"/>
                          <w:szCs w:val="18"/>
                        </w:rPr>
                        <w:t>2)  OF INTEREST TO OTHER JUDGES</w:t>
                      </w:r>
                      <w:r w:rsidRPr="00423E7E">
                        <w:rPr>
                          <w:rFonts w:cs="Arial"/>
                          <w:sz w:val="18"/>
                          <w:szCs w:val="18"/>
                        </w:rPr>
                        <w:t xml:space="preserve">:  </w:t>
                      </w:r>
                      <w:r w:rsidRPr="00E84592">
                        <w:rPr>
                          <w:rFonts w:cs="Arial"/>
                          <w:strike/>
                          <w:sz w:val="18"/>
                          <w:szCs w:val="18"/>
                        </w:rPr>
                        <w:t>YES</w:t>
                      </w:r>
                      <w:r w:rsidRPr="00423E7E">
                        <w:rPr>
                          <w:rFonts w:cs="Arial"/>
                          <w:sz w:val="18"/>
                          <w:szCs w:val="18"/>
                        </w:rPr>
                        <w:t xml:space="preserve"> / </w:t>
                      </w:r>
                      <w:r w:rsidRPr="00E84592">
                        <w:rPr>
                          <w:rFonts w:cs="Arial"/>
                          <w:sz w:val="18"/>
                          <w:szCs w:val="18"/>
                        </w:rPr>
                        <w:t>NO</w:t>
                      </w:r>
                    </w:p>
                    <w:p w14:paraId="5E631258" w14:textId="68B66525" w:rsidR="00E84592" w:rsidRPr="00423E7E" w:rsidRDefault="00E84592" w:rsidP="00E84592">
                      <w:pPr>
                        <w:spacing w:after="0" w:line="240" w:lineRule="auto"/>
                        <w:rPr>
                          <w:rFonts w:cs="Arial"/>
                          <w:sz w:val="18"/>
                          <w:szCs w:val="18"/>
                        </w:rPr>
                      </w:pPr>
                      <w:r w:rsidRPr="00423E7E">
                        <w:rPr>
                          <w:rFonts w:cs="Arial"/>
                          <w:sz w:val="18"/>
                          <w:szCs w:val="18"/>
                        </w:rPr>
                        <w:t>(3)  REVISED</w:t>
                      </w:r>
                      <w:r>
                        <w:rPr>
                          <w:rFonts w:cs="Arial"/>
                          <w:sz w:val="18"/>
                          <w:szCs w:val="18"/>
                        </w:rPr>
                        <w:t>: NO</w:t>
                      </w:r>
                      <w:r w:rsidRPr="00423E7E">
                        <w:rPr>
                          <w:rFonts w:cs="Arial"/>
                          <w:sz w:val="18"/>
                          <w:szCs w:val="18"/>
                        </w:rPr>
                        <w:t xml:space="preserve"> </w:t>
                      </w:r>
                    </w:p>
                    <w:p w14:paraId="19C3B48E" w14:textId="77777777" w:rsidR="00E84592" w:rsidRDefault="00E84592" w:rsidP="00E84592">
                      <w:pPr>
                        <w:spacing w:after="0" w:line="240" w:lineRule="auto"/>
                        <w:rPr>
                          <w:rFonts w:cs="Arial"/>
                          <w:sz w:val="18"/>
                          <w:szCs w:val="18"/>
                        </w:rPr>
                      </w:pPr>
                    </w:p>
                    <w:p w14:paraId="03F2655C" w14:textId="6516D2D3" w:rsidR="00E84592" w:rsidRPr="00423E7E" w:rsidRDefault="002D4157" w:rsidP="00E84592">
                      <w:pPr>
                        <w:spacing w:after="0" w:line="240" w:lineRule="auto"/>
                        <w:rPr>
                          <w:rFonts w:cs="Arial"/>
                          <w:sz w:val="18"/>
                          <w:szCs w:val="18"/>
                        </w:rPr>
                      </w:pPr>
                      <w:r>
                        <w:rPr>
                          <w:rFonts w:cs="Arial"/>
                          <w:sz w:val="18"/>
                          <w:szCs w:val="18"/>
                        </w:rPr>
                        <w:tab/>
                      </w:r>
                      <w:r>
                        <w:rPr>
                          <w:rFonts w:cs="Arial"/>
                          <w:sz w:val="18"/>
                          <w:szCs w:val="18"/>
                        </w:rPr>
                        <w:tab/>
                        <w:t>19</w:t>
                      </w:r>
                      <w:r w:rsidR="00E84592">
                        <w:rPr>
                          <w:rFonts w:cs="Arial"/>
                          <w:sz w:val="18"/>
                          <w:szCs w:val="18"/>
                        </w:rPr>
                        <w:t xml:space="preserve"> May 2023</w:t>
                      </w:r>
                    </w:p>
                    <w:p w14:paraId="05272FA0" w14:textId="77777777" w:rsidR="00E84592" w:rsidRPr="00423E7E" w:rsidRDefault="00E84592" w:rsidP="00E84592">
                      <w:pPr>
                        <w:spacing w:after="0" w:line="240" w:lineRule="auto"/>
                        <w:rPr>
                          <w:rFonts w:cs="Arial"/>
                          <w:sz w:val="18"/>
                          <w:szCs w:val="18"/>
                        </w:rPr>
                      </w:pPr>
                      <w:r w:rsidRPr="00423E7E">
                        <w:rPr>
                          <w:rFonts w:cs="Arial"/>
                          <w:sz w:val="18"/>
                          <w:szCs w:val="18"/>
                        </w:rPr>
                        <w:t xml:space="preserve">  ....................</w:t>
                      </w:r>
                      <w:r>
                        <w:rPr>
                          <w:rFonts w:cs="Arial"/>
                          <w:sz w:val="18"/>
                          <w:szCs w:val="18"/>
                        </w:rPr>
                        <w:t>...............</w:t>
                      </w:r>
                      <w:r w:rsidRPr="00423E7E">
                        <w:rPr>
                          <w:rFonts w:cs="Arial"/>
                          <w:sz w:val="18"/>
                          <w:szCs w:val="18"/>
                        </w:rPr>
                        <w:tab/>
                        <w:t>……………………</w:t>
                      </w:r>
                    </w:p>
                    <w:p w14:paraId="4B5ABF40" w14:textId="77777777" w:rsidR="00E84592" w:rsidRPr="00423E7E" w:rsidRDefault="00E84592" w:rsidP="00E84592">
                      <w:pPr>
                        <w:spacing w:after="0" w:line="240" w:lineRule="auto"/>
                        <w:rPr>
                          <w:rFonts w:cs="Arial"/>
                          <w:sz w:val="18"/>
                          <w:szCs w:val="18"/>
                        </w:rPr>
                      </w:pPr>
                      <w:r w:rsidRPr="00423E7E">
                        <w:rPr>
                          <w:rFonts w:cs="Arial"/>
                          <w:sz w:val="18"/>
                          <w:szCs w:val="18"/>
                        </w:rPr>
                        <w:t xml:space="preserve">  SIGNATURE</w:t>
                      </w:r>
                      <w:r>
                        <w:rPr>
                          <w:rFonts w:cs="Arial"/>
                          <w:sz w:val="18"/>
                          <w:szCs w:val="18"/>
                        </w:rPr>
                        <w:tab/>
                      </w:r>
                      <w:r>
                        <w:rPr>
                          <w:rFonts w:cs="Arial"/>
                          <w:sz w:val="18"/>
                          <w:szCs w:val="18"/>
                        </w:rPr>
                        <w:tab/>
                      </w:r>
                      <w:r w:rsidRPr="00423E7E">
                        <w:rPr>
                          <w:rFonts w:cs="Arial"/>
                          <w:sz w:val="18"/>
                          <w:szCs w:val="18"/>
                        </w:rPr>
                        <w:t>DATE</w:t>
                      </w:r>
                    </w:p>
                  </w:txbxContent>
                </v:textbox>
              </v:shape>
            </w:pict>
          </mc:Fallback>
        </mc:AlternateContent>
      </w:r>
    </w:p>
    <w:p w14:paraId="4BE9346F" w14:textId="77777777" w:rsidR="00E84592" w:rsidRDefault="00E84592" w:rsidP="00F21280">
      <w:pPr>
        <w:pStyle w:val="heading30"/>
        <w:spacing w:after="0" w:line="240" w:lineRule="auto"/>
        <w:rPr>
          <w:u w:val="none"/>
          <w:lang w:val="en-GB"/>
        </w:rPr>
      </w:pPr>
    </w:p>
    <w:p w14:paraId="673616D9" w14:textId="77777777" w:rsidR="00E84592" w:rsidRDefault="00E84592" w:rsidP="00F21280">
      <w:pPr>
        <w:pStyle w:val="heading30"/>
        <w:spacing w:after="0" w:line="240" w:lineRule="auto"/>
        <w:rPr>
          <w:u w:val="none"/>
          <w:lang w:val="en-GB"/>
        </w:rPr>
      </w:pPr>
    </w:p>
    <w:p w14:paraId="1DB1A5F4" w14:textId="77777777" w:rsidR="00E84592" w:rsidRDefault="00E84592" w:rsidP="00F21280">
      <w:pPr>
        <w:pStyle w:val="heading30"/>
        <w:spacing w:after="0" w:line="240" w:lineRule="auto"/>
        <w:rPr>
          <w:u w:val="none"/>
          <w:lang w:val="en-GB"/>
        </w:rPr>
      </w:pPr>
    </w:p>
    <w:p w14:paraId="602F1C7D" w14:textId="77777777" w:rsidR="00E84592" w:rsidRDefault="00E84592" w:rsidP="00F21280">
      <w:pPr>
        <w:pStyle w:val="heading30"/>
        <w:spacing w:after="0" w:line="240" w:lineRule="auto"/>
        <w:rPr>
          <w:u w:val="none"/>
          <w:lang w:val="en-GB"/>
        </w:rPr>
      </w:pPr>
    </w:p>
    <w:p w14:paraId="5916C63C" w14:textId="77777777" w:rsidR="00E84592" w:rsidRDefault="00E84592" w:rsidP="00F21280">
      <w:pPr>
        <w:pStyle w:val="heading30"/>
        <w:spacing w:after="0" w:line="240" w:lineRule="auto"/>
        <w:rPr>
          <w:u w:val="none"/>
          <w:lang w:val="en-GB"/>
        </w:rPr>
      </w:pPr>
    </w:p>
    <w:p w14:paraId="755CBFB1" w14:textId="0A64D39C" w:rsidR="007326C5" w:rsidRPr="00B00377" w:rsidRDefault="00E1187A" w:rsidP="00F21280">
      <w:pPr>
        <w:pStyle w:val="heading30"/>
        <w:spacing w:after="0" w:line="240" w:lineRule="auto"/>
        <w:rPr>
          <w:b/>
          <w:u w:val="none"/>
          <w:lang w:val="en-GB"/>
        </w:rPr>
      </w:pPr>
      <w:r w:rsidRPr="00B00377">
        <w:rPr>
          <w:u w:val="none"/>
          <w:lang w:val="en-GB"/>
        </w:rPr>
        <w:t>CASE NO</w:t>
      </w:r>
      <w:r w:rsidR="00E22F6A">
        <w:rPr>
          <w:u w:val="none"/>
          <w:lang w:val="en-GB"/>
        </w:rPr>
        <w:t>.</w:t>
      </w:r>
      <w:r w:rsidRPr="00B00377">
        <w:rPr>
          <w:u w:val="none"/>
          <w:lang w:val="en-GB"/>
        </w:rPr>
        <w:t>:</w:t>
      </w:r>
      <w:r w:rsidRPr="00B00377">
        <w:rPr>
          <w:b/>
          <w:u w:val="none"/>
          <w:lang w:val="en-GB"/>
        </w:rPr>
        <w:t xml:space="preserve"> </w:t>
      </w:r>
      <w:r w:rsidR="00615A56">
        <w:rPr>
          <w:b/>
          <w:u w:val="none"/>
          <w:lang w:val="en-GB"/>
        </w:rPr>
        <w:t>2022/1538</w:t>
      </w:r>
    </w:p>
    <w:p w14:paraId="0232E337" w14:textId="77777777" w:rsidR="007326C5" w:rsidRPr="004C1FC6" w:rsidRDefault="007326C5" w:rsidP="00D743E8">
      <w:pPr>
        <w:spacing w:line="240" w:lineRule="auto"/>
      </w:pPr>
      <w:r w:rsidRPr="004C1FC6">
        <w:t>In the matter between: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2"/>
        <w:gridCol w:w="2748"/>
      </w:tblGrid>
      <w:tr w:rsidR="007326C5" w:rsidRPr="004C1FC6" w14:paraId="0227C30F" w14:textId="77777777" w:rsidTr="00D110A2">
        <w:tc>
          <w:tcPr>
            <w:tcW w:w="6062" w:type="dxa"/>
            <w:tcBorders>
              <w:top w:val="nil"/>
              <w:left w:val="nil"/>
              <w:bottom w:val="nil"/>
              <w:right w:val="nil"/>
            </w:tcBorders>
          </w:tcPr>
          <w:p w14:paraId="75435678" w14:textId="77777777" w:rsidR="007326C5" w:rsidRPr="00B00377" w:rsidRDefault="00615A56" w:rsidP="007326C5">
            <w:pPr>
              <w:spacing w:after="120" w:line="240" w:lineRule="auto"/>
              <w:rPr>
                <w:b/>
              </w:rPr>
            </w:pPr>
            <w:r>
              <w:rPr>
                <w:b/>
              </w:rPr>
              <w:t>THE STANDARD BANK OF SOUTH AFRICA LTD</w:t>
            </w:r>
          </w:p>
        </w:tc>
        <w:tc>
          <w:tcPr>
            <w:tcW w:w="2748" w:type="dxa"/>
            <w:tcBorders>
              <w:top w:val="nil"/>
              <w:left w:val="nil"/>
              <w:bottom w:val="nil"/>
              <w:right w:val="nil"/>
            </w:tcBorders>
          </w:tcPr>
          <w:p w14:paraId="33594138" w14:textId="77777777" w:rsidR="007326C5" w:rsidRPr="004C1FC6" w:rsidRDefault="00615A56" w:rsidP="007326C5">
            <w:pPr>
              <w:spacing w:after="120" w:line="240" w:lineRule="auto"/>
              <w:jc w:val="right"/>
            </w:pPr>
            <w:r>
              <w:t>Applicant</w:t>
            </w:r>
          </w:p>
        </w:tc>
      </w:tr>
      <w:tr w:rsidR="007326C5" w:rsidRPr="004C1FC6" w14:paraId="39F1713B" w14:textId="77777777" w:rsidTr="00D110A2">
        <w:tc>
          <w:tcPr>
            <w:tcW w:w="6062" w:type="dxa"/>
            <w:tcBorders>
              <w:top w:val="nil"/>
              <w:left w:val="nil"/>
              <w:bottom w:val="nil"/>
              <w:right w:val="nil"/>
            </w:tcBorders>
          </w:tcPr>
          <w:p w14:paraId="4A72D564" w14:textId="77777777" w:rsidR="007326C5" w:rsidRPr="00642F67" w:rsidRDefault="007326C5" w:rsidP="00194235">
            <w:pPr>
              <w:spacing w:after="120" w:line="240" w:lineRule="auto"/>
              <w:jc w:val="left"/>
              <w:rPr>
                <w:b/>
              </w:rPr>
            </w:pPr>
          </w:p>
        </w:tc>
        <w:tc>
          <w:tcPr>
            <w:tcW w:w="2748" w:type="dxa"/>
            <w:tcBorders>
              <w:top w:val="nil"/>
              <w:left w:val="nil"/>
              <w:bottom w:val="nil"/>
              <w:right w:val="nil"/>
            </w:tcBorders>
          </w:tcPr>
          <w:p w14:paraId="327126FC" w14:textId="77777777" w:rsidR="007326C5" w:rsidRPr="004C1FC6" w:rsidRDefault="007326C5" w:rsidP="007326C5">
            <w:pPr>
              <w:spacing w:after="120" w:line="240" w:lineRule="auto"/>
              <w:jc w:val="right"/>
            </w:pPr>
          </w:p>
        </w:tc>
      </w:tr>
      <w:tr w:rsidR="007326C5" w:rsidRPr="004C1FC6" w14:paraId="3BA31C6D" w14:textId="77777777" w:rsidTr="00D110A2">
        <w:tc>
          <w:tcPr>
            <w:tcW w:w="6062" w:type="dxa"/>
            <w:tcBorders>
              <w:top w:val="nil"/>
              <w:left w:val="nil"/>
              <w:bottom w:val="nil"/>
              <w:right w:val="nil"/>
            </w:tcBorders>
          </w:tcPr>
          <w:p w14:paraId="7E91BC8C" w14:textId="77777777" w:rsidR="007326C5" w:rsidRPr="004C1FC6" w:rsidRDefault="007326C5" w:rsidP="007326C5">
            <w:pPr>
              <w:spacing w:after="120" w:line="240" w:lineRule="auto"/>
            </w:pPr>
            <w:r w:rsidRPr="004C1FC6">
              <w:t>and</w:t>
            </w:r>
          </w:p>
        </w:tc>
        <w:tc>
          <w:tcPr>
            <w:tcW w:w="2748" w:type="dxa"/>
            <w:tcBorders>
              <w:top w:val="nil"/>
              <w:left w:val="nil"/>
              <w:bottom w:val="nil"/>
              <w:right w:val="nil"/>
            </w:tcBorders>
          </w:tcPr>
          <w:p w14:paraId="37FB3814" w14:textId="77777777" w:rsidR="007326C5" w:rsidRPr="004C1FC6" w:rsidRDefault="007326C5" w:rsidP="007326C5">
            <w:pPr>
              <w:spacing w:after="120" w:line="240" w:lineRule="auto"/>
              <w:jc w:val="right"/>
            </w:pPr>
          </w:p>
        </w:tc>
      </w:tr>
      <w:tr w:rsidR="007326C5" w:rsidRPr="004C1FC6" w14:paraId="2DB4D13E" w14:textId="77777777" w:rsidTr="00D110A2">
        <w:tc>
          <w:tcPr>
            <w:tcW w:w="6062" w:type="dxa"/>
            <w:tcBorders>
              <w:top w:val="nil"/>
              <w:left w:val="nil"/>
              <w:bottom w:val="nil"/>
              <w:right w:val="nil"/>
            </w:tcBorders>
          </w:tcPr>
          <w:p w14:paraId="7B864E2C" w14:textId="77777777" w:rsidR="007326C5" w:rsidRPr="004C1FC6" w:rsidRDefault="007326C5" w:rsidP="007326C5">
            <w:pPr>
              <w:spacing w:after="120" w:line="240" w:lineRule="auto"/>
            </w:pPr>
          </w:p>
        </w:tc>
        <w:tc>
          <w:tcPr>
            <w:tcW w:w="2748" w:type="dxa"/>
            <w:tcBorders>
              <w:top w:val="nil"/>
              <w:left w:val="nil"/>
              <w:bottom w:val="nil"/>
              <w:right w:val="nil"/>
            </w:tcBorders>
          </w:tcPr>
          <w:p w14:paraId="6A71E03F" w14:textId="77777777" w:rsidR="007326C5" w:rsidRPr="004C1FC6" w:rsidRDefault="007326C5" w:rsidP="007326C5">
            <w:pPr>
              <w:spacing w:after="120" w:line="240" w:lineRule="auto"/>
              <w:jc w:val="right"/>
            </w:pPr>
          </w:p>
        </w:tc>
      </w:tr>
      <w:tr w:rsidR="007326C5" w:rsidRPr="004C1FC6" w14:paraId="6E9CE974" w14:textId="77777777" w:rsidTr="00D110A2">
        <w:tc>
          <w:tcPr>
            <w:tcW w:w="6062" w:type="dxa"/>
            <w:tcBorders>
              <w:top w:val="nil"/>
              <w:left w:val="nil"/>
              <w:bottom w:val="nil"/>
              <w:right w:val="nil"/>
            </w:tcBorders>
          </w:tcPr>
          <w:p w14:paraId="0CCBF0C6" w14:textId="77777777" w:rsidR="007326C5" w:rsidRPr="00B00377" w:rsidRDefault="00615A56" w:rsidP="00194235">
            <w:pPr>
              <w:spacing w:after="120" w:line="240" w:lineRule="auto"/>
              <w:jc w:val="left"/>
              <w:rPr>
                <w:b/>
              </w:rPr>
            </w:pPr>
            <w:r>
              <w:rPr>
                <w:b/>
              </w:rPr>
              <w:t>MAKAULA, BONKE SIGNORA</w:t>
            </w:r>
          </w:p>
        </w:tc>
        <w:tc>
          <w:tcPr>
            <w:tcW w:w="2748" w:type="dxa"/>
            <w:tcBorders>
              <w:top w:val="nil"/>
              <w:left w:val="nil"/>
              <w:bottom w:val="nil"/>
              <w:right w:val="nil"/>
            </w:tcBorders>
          </w:tcPr>
          <w:p w14:paraId="06E086B8" w14:textId="77777777" w:rsidR="007326C5" w:rsidRPr="004C1FC6" w:rsidRDefault="00615A56" w:rsidP="007326C5">
            <w:pPr>
              <w:spacing w:after="120" w:line="240" w:lineRule="auto"/>
              <w:jc w:val="right"/>
            </w:pPr>
            <w:r>
              <w:t>First Respondent</w:t>
            </w:r>
          </w:p>
        </w:tc>
      </w:tr>
      <w:tr w:rsidR="00615A56" w:rsidRPr="004C1FC6" w14:paraId="777D83AB" w14:textId="77777777" w:rsidTr="00D110A2">
        <w:tc>
          <w:tcPr>
            <w:tcW w:w="6062" w:type="dxa"/>
            <w:tcBorders>
              <w:top w:val="nil"/>
              <w:left w:val="nil"/>
              <w:bottom w:val="nil"/>
              <w:right w:val="nil"/>
            </w:tcBorders>
          </w:tcPr>
          <w:p w14:paraId="14B4F237" w14:textId="77777777" w:rsidR="00615A56" w:rsidRDefault="00615A56" w:rsidP="00194235">
            <w:pPr>
              <w:spacing w:after="120" w:line="240" w:lineRule="auto"/>
              <w:jc w:val="left"/>
              <w:rPr>
                <w:b/>
              </w:rPr>
            </w:pPr>
            <w:r>
              <w:rPr>
                <w:b/>
              </w:rPr>
              <w:t>CHIDI, BOITUMELO</w:t>
            </w:r>
          </w:p>
        </w:tc>
        <w:tc>
          <w:tcPr>
            <w:tcW w:w="2748" w:type="dxa"/>
            <w:tcBorders>
              <w:top w:val="nil"/>
              <w:left w:val="nil"/>
              <w:bottom w:val="nil"/>
              <w:right w:val="nil"/>
            </w:tcBorders>
          </w:tcPr>
          <w:p w14:paraId="7CBCF12F" w14:textId="77777777" w:rsidR="00615A56" w:rsidRDefault="00615A56" w:rsidP="007326C5">
            <w:pPr>
              <w:spacing w:after="120" w:line="240" w:lineRule="auto"/>
              <w:jc w:val="right"/>
            </w:pPr>
            <w:r>
              <w:t>Second Respondent</w:t>
            </w:r>
          </w:p>
        </w:tc>
      </w:tr>
    </w:tbl>
    <w:p w14:paraId="25313108" w14:textId="77777777" w:rsidR="00F21280" w:rsidRDefault="00F21280" w:rsidP="00F21280">
      <w:pPr>
        <w:spacing w:after="0" w:line="240" w:lineRule="auto"/>
        <w:rPr>
          <w:i/>
          <w:u w:val="single"/>
        </w:rPr>
      </w:pPr>
    </w:p>
    <w:p w14:paraId="6B32C7C3" w14:textId="76F82EE4" w:rsidR="00D743E8" w:rsidRDefault="00E84592" w:rsidP="00F21280">
      <w:pPr>
        <w:spacing w:after="0" w:line="240" w:lineRule="auto"/>
      </w:pPr>
      <w:r>
        <w:t xml:space="preserve">Neutral Citation: </w:t>
      </w:r>
      <w:r>
        <w:rPr>
          <w:i/>
          <w:iCs/>
        </w:rPr>
        <w:t xml:space="preserve">The Standard Bank of South Africa Ltd v Makaula &amp; Another </w:t>
      </w:r>
      <w:r>
        <w:t>(Case No</w:t>
      </w:r>
      <w:r w:rsidR="002D4157">
        <w:t xml:space="preserve">: 2022/1538) [2023] ZAGPJHC </w:t>
      </w:r>
      <w:r w:rsidR="002D4157">
        <w:rPr>
          <w:rFonts w:cs="Arial"/>
          <w:lang w:eastAsia="en-ZA"/>
        </w:rPr>
        <w:t>519</w:t>
      </w:r>
      <w:r w:rsidR="002D4157">
        <w:t xml:space="preserve"> (19</w:t>
      </w:r>
      <w:r>
        <w:t xml:space="preserve"> May 2023)</w:t>
      </w:r>
    </w:p>
    <w:p w14:paraId="6EFD71E4" w14:textId="77777777" w:rsidR="00F11B20" w:rsidRDefault="00F11B20" w:rsidP="00F21280">
      <w:pPr>
        <w:spacing w:after="0" w:line="240" w:lineRule="auto"/>
      </w:pPr>
    </w:p>
    <w:p w14:paraId="64C67540" w14:textId="77777777" w:rsidR="00F11B20" w:rsidRDefault="00F11B20" w:rsidP="00F11B20">
      <w:pPr>
        <w:pStyle w:val="Indent"/>
        <w:numPr>
          <w:ilvl w:val="0"/>
          <w:numId w:val="0"/>
        </w:numPr>
        <w:spacing w:after="240" w:line="240" w:lineRule="auto"/>
        <w:ind w:left="1440" w:hanging="1440"/>
      </w:pPr>
      <w:r>
        <w:t>Delivered:</w:t>
      </w:r>
      <w:r>
        <w:tab/>
        <w:t xml:space="preserve">This judgment was prepared and authored by the Judge whose name is reflected and is handed down electronically by circulation to the parties/their legal representatives by </w:t>
      </w:r>
      <w:r w:rsidRPr="00167093">
        <w:t>e</w:t>
      </w:r>
      <w:r w:rsidRPr="00167093">
        <w:noBreakHyphen/>
        <w:t>mail</w:t>
      </w:r>
      <w:r>
        <w:t xml:space="preserve"> and by uploading it to the electronic file of this matter on CaseLines.  The date for hand-down is deemed to be 24 February 2023.</w:t>
      </w:r>
    </w:p>
    <w:tbl>
      <w:tblPr>
        <w:tblW w:w="8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1"/>
      </w:tblGrid>
      <w:tr w:rsidR="00E1187A" w:rsidRPr="004C1FC6" w14:paraId="7D304368" w14:textId="77777777" w:rsidTr="00F11B20">
        <w:tc>
          <w:tcPr>
            <w:tcW w:w="8811" w:type="dxa"/>
            <w:tcBorders>
              <w:top w:val="single" w:sz="4" w:space="0" w:color="auto"/>
              <w:left w:val="nil"/>
              <w:bottom w:val="single" w:sz="4" w:space="0" w:color="auto"/>
              <w:right w:val="nil"/>
            </w:tcBorders>
          </w:tcPr>
          <w:p w14:paraId="5A01413A" w14:textId="77777777" w:rsidR="00E1187A" w:rsidRPr="00B00377" w:rsidRDefault="00615A56" w:rsidP="007266BE">
            <w:pPr>
              <w:spacing w:before="360" w:after="360" w:line="240" w:lineRule="auto"/>
              <w:jc w:val="center"/>
              <w:rPr>
                <w:b/>
              </w:rPr>
            </w:pPr>
            <w:r>
              <w:rPr>
                <w:b/>
              </w:rPr>
              <w:lastRenderedPageBreak/>
              <w:t>JUDGMENT</w:t>
            </w:r>
          </w:p>
        </w:tc>
      </w:tr>
    </w:tbl>
    <w:p w14:paraId="3F96D7DB" w14:textId="77777777" w:rsidR="00E1187A" w:rsidRDefault="00E1187A" w:rsidP="00E1187A">
      <w:pPr>
        <w:spacing w:line="240" w:lineRule="auto"/>
        <w:jc w:val="left"/>
      </w:pPr>
    </w:p>
    <w:p w14:paraId="18E3B5C4" w14:textId="77777777" w:rsidR="00615A56" w:rsidRDefault="00615A56" w:rsidP="00615A56">
      <w:pPr>
        <w:pStyle w:val="Indent"/>
        <w:numPr>
          <w:ilvl w:val="0"/>
          <w:numId w:val="0"/>
        </w:numPr>
        <w:rPr>
          <w:b/>
        </w:rPr>
      </w:pPr>
      <w:r>
        <w:rPr>
          <w:b/>
          <w:u w:val="single"/>
        </w:rPr>
        <w:t xml:space="preserve">VAN NIEUWENHUIZEN </w:t>
      </w:r>
      <w:r w:rsidRPr="00CA03EF">
        <w:rPr>
          <w:b/>
          <w:u w:val="single"/>
        </w:rPr>
        <w:t>AJ</w:t>
      </w:r>
      <w:r>
        <w:rPr>
          <w:b/>
        </w:rPr>
        <w:t>:</w:t>
      </w:r>
    </w:p>
    <w:p w14:paraId="6ABD2812" w14:textId="48F17F3B" w:rsidR="00E84592" w:rsidRDefault="00E84592" w:rsidP="00E84592">
      <w:pPr>
        <w:pStyle w:val="Indent"/>
        <w:numPr>
          <w:ilvl w:val="0"/>
          <w:numId w:val="0"/>
        </w:numPr>
      </w:pPr>
      <w:r>
        <w:t>[1]</w:t>
      </w:r>
      <w:r>
        <w:tab/>
      </w:r>
      <w:r w:rsidR="00505CE3">
        <w:t>Sitting in the unopposed motion court in two weeks during February 2023</w:t>
      </w:r>
      <w:r w:rsidR="00DB5832">
        <w:t>,</w:t>
      </w:r>
      <w:r w:rsidR="00505CE3">
        <w:t xml:space="preserve"> I was faced with various applications for default judgment where the Applicants were banks and the affidavits in support of such applications were commissioned by attorneys of firms of attorneys who acted for such banks in other applications for default judgment. In other words, it would transpire that XYZ attorneys would be the attorneys of record of ABC Bank in one matter and then in another </w:t>
      </w:r>
      <w:r>
        <w:t>application for default judgment</w:t>
      </w:r>
      <w:r w:rsidR="00505CE3">
        <w:t xml:space="preserve"> they would be the commissioner of oaths of the very same bank.  </w:t>
      </w:r>
    </w:p>
    <w:p w14:paraId="5FF0C610" w14:textId="277A275B" w:rsidR="00E84592" w:rsidRDefault="00E84592" w:rsidP="00E84592">
      <w:pPr>
        <w:pStyle w:val="Indent"/>
        <w:numPr>
          <w:ilvl w:val="0"/>
          <w:numId w:val="0"/>
        </w:numPr>
      </w:pPr>
      <w:r>
        <w:t>[2]</w:t>
      </w:r>
      <w:r>
        <w:tab/>
      </w:r>
      <w:r w:rsidR="00505CE3">
        <w:t xml:space="preserve">I had raised my concerns as to </w:t>
      </w:r>
      <w:r>
        <w:t>whether</w:t>
      </w:r>
      <w:r w:rsidR="00505CE3">
        <w:t xml:space="preserve"> affidavits commissioned by attorneys under these circumstances </w:t>
      </w:r>
      <w:r>
        <w:t>(</w:t>
      </w:r>
      <w:r w:rsidR="00505CE3">
        <w:t>who were clearly on the panel of the banks and thus commissioning the affidavits of their clients</w:t>
      </w:r>
      <w:r>
        <w:t xml:space="preserve">, albeit not in the same matters in </w:t>
      </w:r>
      <w:r w:rsidR="00DB5832">
        <w:t xml:space="preserve">which </w:t>
      </w:r>
      <w:r>
        <w:t>they represented them)</w:t>
      </w:r>
      <w:r w:rsidR="00505CE3">
        <w:t xml:space="preserve"> complied with the peremptory provisions of Regulation 7(1) </w:t>
      </w:r>
      <w:r w:rsidR="00D04F6D">
        <w:t xml:space="preserve">(see </w:t>
      </w:r>
      <w:r w:rsidR="00D04F6D" w:rsidRPr="00D04F6D">
        <w:rPr>
          <w:b/>
          <w:bCs/>
        </w:rPr>
        <w:t xml:space="preserve">Royal Hotel, Dundee, </w:t>
      </w:r>
      <w:r w:rsidR="00D04F6D">
        <w:rPr>
          <w:b/>
          <w:bCs/>
        </w:rPr>
        <w:t>a</w:t>
      </w:r>
      <w:r w:rsidR="00D04F6D" w:rsidRPr="00D04F6D">
        <w:rPr>
          <w:b/>
          <w:bCs/>
        </w:rPr>
        <w:t xml:space="preserve">nd Others </w:t>
      </w:r>
      <w:r w:rsidR="00D04F6D">
        <w:rPr>
          <w:b/>
          <w:bCs/>
        </w:rPr>
        <w:t>v</w:t>
      </w:r>
      <w:r w:rsidR="00D04F6D" w:rsidRPr="00D04F6D">
        <w:rPr>
          <w:b/>
          <w:bCs/>
        </w:rPr>
        <w:t xml:space="preserve"> Liquor Licensing Board, Area No 26; Durnacol Recreation Club </w:t>
      </w:r>
      <w:r w:rsidR="00D04F6D">
        <w:rPr>
          <w:b/>
          <w:bCs/>
        </w:rPr>
        <w:t>v</w:t>
      </w:r>
      <w:r w:rsidR="00D04F6D" w:rsidRPr="00D04F6D">
        <w:rPr>
          <w:b/>
          <w:bCs/>
        </w:rPr>
        <w:t xml:space="preserve"> Liquor Licensing Board Area, No 26</w:t>
      </w:r>
      <w:r w:rsidR="00D04F6D" w:rsidRPr="00D04F6D">
        <w:t xml:space="preserve"> 1966 (2) SA 661 (N)</w:t>
      </w:r>
      <w:r w:rsidR="00D04F6D">
        <w:t xml:space="preserve"> (</w:t>
      </w:r>
      <w:r w:rsidR="00D04F6D" w:rsidRPr="009846BF">
        <w:t>“</w:t>
      </w:r>
      <w:r w:rsidR="00D04F6D">
        <w:rPr>
          <w:b/>
          <w:bCs/>
        </w:rPr>
        <w:t>Royal Hotel</w:t>
      </w:r>
      <w:r w:rsidR="00D04F6D" w:rsidRPr="009846BF">
        <w:t>”</w:t>
      </w:r>
      <w:r w:rsidR="00D04F6D">
        <w:t xml:space="preserve">) at 670E – G) </w:t>
      </w:r>
      <w:r>
        <w:t>of</w:t>
      </w:r>
      <w:r w:rsidRPr="00796E6B">
        <w:t xml:space="preserve"> the Regulations governing the administering of an oath or affirmation </w:t>
      </w:r>
      <w:r w:rsidRPr="00796E6B">
        <w:lastRenderedPageBreak/>
        <w:t>made in terms of Section 10 of the Justices of the Peace and Commissioner of Oaths Act 16 of 1963 and published under GN R12258 in GG3619 of 21 July 1972, as amended</w:t>
      </w:r>
      <w:r w:rsidR="00B60852">
        <w:t xml:space="preserve"> (“the regulations”)</w:t>
      </w:r>
      <w:r>
        <w:t>, which provides that:</w:t>
      </w:r>
    </w:p>
    <w:p w14:paraId="3A1E4FE0" w14:textId="416BD5CD" w:rsidR="00E84592" w:rsidRPr="00E84592" w:rsidRDefault="00E84592" w:rsidP="00E84592">
      <w:pPr>
        <w:pStyle w:val="Indent"/>
        <w:numPr>
          <w:ilvl w:val="0"/>
          <w:numId w:val="0"/>
        </w:numPr>
        <w:spacing w:line="360" w:lineRule="auto"/>
        <w:ind w:left="720"/>
        <w:rPr>
          <w:i/>
          <w:iCs/>
          <w:sz w:val="24"/>
          <w:szCs w:val="24"/>
        </w:rPr>
      </w:pPr>
      <w:r w:rsidRPr="00E84592">
        <w:rPr>
          <w:i/>
          <w:iCs/>
          <w:sz w:val="24"/>
          <w:szCs w:val="24"/>
        </w:rPr>
        <w:t>“A commissioner of oaths shall not administer an oath or affirmation relating to matter in which he has interest.”</w:t>
      </w:r>
    </w:p>
    <w:p w14:paraId="128AFF66" w14:textId="4A1C772F" w:rsidR="00D04F6D" w:rsidRDefault="00D04F6D" w:rsidP="00D04F6D">
      <w:pPr>
        <w:pStyle w:val="Indent"/>
        <w:numPr>
          <w:ilvl w:val="0"/>
          <w:numId w:val="0"/>
        </w:numPr>
      </w:pPr>
      <w:r>
        <w:t>[3]</w:t>
      </w:r>
      <w:r>
        <w:tab/>
      </w:r>
      <w:r w:rsidR="00505CE3">
        <w:t xml:space="preserve">I expressed my </w:t>
      </w:r>
      <w:r w:rsidR="00505CE3" w:rsidRPr="00B50799">
        <w:rPr>
          <w:i/>
        </w:rPr>
        <w:t>prima facie</w:t>
      </w:r>
      <w:r w:rsidR="00505CE3">
        <w:t xml:space="preserve"> view that I did not believe that </w:t>
      </w:r>
      <w:r w:rsidR="00B60852">
        <w:t>they</w:t>
      </w:r>
      <w:r w:rsidR="00505CE3">
        <w:t xml:space="preserve"> did.</w:t>
      </w:r>
      <w:r>
        <w:t xml:space="preserve"> </w:t>
      </w:r>
      <w:r w:rsidR="00505CE3">
        <w:t>Many of the applications were removed from the roll</w:t>
      </w:r>
      <w:r w:rsidR="00B60852">
        <w:t>,</w:t>
      </w:r>
      <w:r w:rsidR="00505CE3">
        <w:t xml:space="preserve"> but</w:t>
      </w:r>
      <w:r>
        <w:t xml:space="preserve"> on 23 February 2023</w:t>
      </w:r>
      <w:r w:rsidR="00505CE3">
        <w:t xml:space="preserve"> in the above matter</w:t>
      </w:r>
      <w:r w:rsidR="00DB5832">
        <w:t>,</w:t>
      </w:r>
      <w:r w:rsidR="00505CE3">
        <w:t xml:space="preserve"> pursuant to taking an instruction, the Applicant persisted in seeking an order for default judgment in circumstances where the founding affidavit was commissioned by an attorney who practised at a firm of attorneys who is on the panel of the Applicant. </w:t>
      </w:r>
      <w:r>
        <w:t xml:space="preserve">The matter was stood down to the following day for argument and to allow </w:t>
      </w:r>
      <w:r w:rsidR="00505CE3">
        <w:t>Ms Latif, who appeared most ably</w:t>
      </w:r>
      <w:r w:rsidR="006345D4">
        <w:t xml:space="preserve"> </w:t>
      </w:r>
      <w:r w:rsidR="00505CE3">
        <w:t xml:space="preserve">for the Applicant, to prepare heads of argument. </w:t>
      </w:r>
      <w:r>
        <w:t xml:space="preserve">Ms Latif referred me to a decision by Daffue J in </w:t>
      </w:r>
      <w:r w:rsidR="009846BF" w:rsidRPr="009846BF">
        <w:rPr>
          <w:b/>
        </w:rPr>
        <w:t xml:space="preserve">Nedbank Limited v Hattingh and Others </w:t>
      </w:r>
      <w:r w:rsidR="009846BF" w:rsidRPr="009846BF">
        <w:rPr>
          <w:bCs/>
        </w:rPr>
        <w:t>(4136/2020) [2022] ZAFSHC 44 (7 March 2022)</w:t>
      </w:r>
      <w:r>
        <w:t xml:space="preserve"> </w:t>
      </w:r>
      <w:r w:rsidR="009846BF">
        <w:t>(</w:t>
      </w:r>
      <w:r w:rsidR="009846BF" w:rsidRPr="009846BF">
        <w:t>“</w:t>
      </w:r>
      <w:r w:rsidR="009846BF" w:rsidRPr="009846BF">
        <w:rPr>
          <w:b/>
          <w:bCs/>
        </w:rPr>
        <w:t>Hattingh</w:t>
      </w:r>
      <w:r w:rsidR="009846BF" w:rsidRPr="009846BF">
        <w:t>”</w:t>
      </w:r>
      <w:r w:rsidR="009846BF">
        <w:t xml:space="preserve">) </w:t>
      </w:r>
      <w:r>
        <w:t xml:space="preserve">where in </w:t>
      </w:r>
      <w:r w:rsidR="009846BF">
        <w:t xml:space="preserve">an </w:t>
      </w:r>
      <w:r>
        <w:t>application for summary</w:t>
      </w:r>
      <w:r w:rsidR="00DB5832">
        <w:t xml:space="preserve"> judgment</w:t>
      </w:r>
      <w:r>
        <w:t xml:space="preserve"> the same point was taken and rejected</w:t>
      </w:r>
      <w:r w:rsidR="009846BF">
        <w:t xml:space="preserve"> as follows </w:t>
      </w:r>
      <w:r>
        <w:t>at paragraph 16:</w:t>
      </w:r>
    </w:p>
    <w:p w14:paraId="6862A3B8" w14:textId="21725768" w:rsidR="009846BF" w:rsidRPr="009846BF" w:rsidRDefault="009846BF" w:rsidP="009846BF">
      <w:pPr>
        <w:pStyle w:val="Indent"/>
        <w:numPr>
          <w:ilvl w:val="0"/>
          <w:numId w:val="0"/>
        </w:numPr>
        <w:spacing w:line="360" w:lineRule="auto"/>
        <w:ind w:left="720"/>
        <w:rPr>
          <w:i/>
          <w:iCs/>
          <w:sz w:val="24"/>
          <w:szCs w:val="24"/>
        </w:rPr>
      </w:pPr>
      <w:r w:rsidRPr="009846BF">
        <w:rPr>
          <w:i/>
          <w:iCs/>
          <w:sz w:val="24"/>
          <w:szCs w:val="24"/>
        </w:rPr>
        <w:t xml:space="preserve">“The mere fact that the two firms of attorneys featuring herein may be on the plaintiff’s panel of attorneys, cannot be used in support of a responsible submission that they are not functioning totally independent from each other. In fact, there can be no doubt that they are completely independent from each other. I cannot see on what conceivable basis could it be held </w:t>
      </w:r>
      <w:r w:rsidRPr="009846BF">
        <w:rPr>
          <w:i/>
          <w:iCs/>
          <w:sz w:val="24"/>
          <w:szCs w:val="24"/>
        </w:rPr>
        <w:lastRenderedPageBreak/>
        <w:t>that attorney Steensma has an interest in the present litigation, or that she would want to, or could have influenced the deponent in regard to the issue at hand. Notwithstanding my request, the 4</w:t>
      </w:r>
      <w:r w:rsidRPr="009846BF">
        <w:rPr>
          <w:i/>
          <w:iCs/>
          <w:sz w:val="24"/>
          <w:szCs w:val="24"/>
          <w:vertAlign w:val="superscript"/>
        </w:rPr>
        <w:t>th</w:t>
      </w:r>
      <w:r w:rsidRPr="009846BF">
        <w:rPr>
          <w:i/>
          <w:iCs/>
          <w:sz w:val="24"/>
          <w:szCs w:val="24"/>
        </w:rPr>
        <w:t xml:space="preserve"> defendant’s counsel could not provide me with any authorities in support of her submissions. The facts in Radue and authorities relied upon are clearly distinguishable from the facts in casu and consequently, I am not bound to follow any of these judgments.”</w:t>
      </w:r>
    </w:p>
    <w:p w14:paraId="1C212EB0" w14:textId="374ED31D" w:rsidR="009846BF" w:rsidRDefault="009846BF" w:rsidP="00D04F6D">
      <w:pPr>
        <w:pStyle w:val="Indent"/>
        <w:numPr>
          <w:ilvl w:val="0"/>
          <w:numId w:val="0"/>
        </w:numPr>
      </w:pPr>
      <w:r>
        <w:t>[4]</w:t>
      </w:r>
      <w:r>
        <w:tab/>
        <w:t xml:space="preserve">As is thus </w:t>
      </w:r>
      <w:r w:rsidR="005A760B">
        <w:t xml:space="preserve">not quite </w:t>
      </w:r>
      <w:r>
        <w:t xml:space="preserve">apparent from the judgment of </w:t>
      </w:r>
      <w:r>
        <w:rPr>
          <w:b/>
          <w:bCs/>
        </w:rPr>
        <w:t xml:space="preserve">Hattingh </w:t>
      </w:r>
      <w:r>
        <w:t xml:space="preserve">itself, </w:t>
      </w:r>
      <w:r w:rsidR="005A760B">
        <w:t xml:space="preserve">to what extent, if any, </w:t>
      </w:r>
      <w:r>
        <w:t xml:space="preserve">the learned judge was referred to </w:t>
      </w:r>
      <w:r w:rsidRPr="009846BF">
        <w:rPr>
          <w:b/>
          <w:bCs/>
        </w:rPr>
        <w:t>Royal Hotel</w:t>
      </w:r>
      <w:r>
        <w:t xml:space="preserve"> </w:t>
      </w:r>
      <w:r w:rsidR="005A760B">
        <w:t>[</w:t>
      </w:r>
      <w:r>
        <w:t xml:space="preserve">or the other decisions to which I shall refer to </w:t>
      </w:r>
      <w:r w:rsidR="005A760B">
        <w:t xml:space="preserve">later </w:t>
      </w:r>
      <w:r>
        <w:t>herein</w:t>
      </w:r>
      <w:r w:rsidR="005A760B">
        <w:t xml:space="preserve"> – albeit that these decisions were referred to in </w:t>
      </w:r>
      <w:r w:rsidR="005A760B" w:rsidRPr="005A760B">
        <w:rPr>
          <w:b/>
          <w:bCs/>
        </w:rPr>
        <w:t xml:space="preserve">Radue Weir Holdings Ltd </w:t>
      </w:r>
      <w:r w:rsidR="005A760B">
        <w:rPr>
          <w:b/>
          <w:bCs/>
        </w:rPr>
        <w:t>t/a</w:t>
      </w:r>
      <w:r w:rsidR="005A760B" w:rsidRPr="005A760B">
        <w:rPr>
          <w:b/>
          <w:bCs/>
        </w:rPr>
        <w:t xml:space="preserve"> Weirs Cash &amp; Carry </w:t>
      </w:r>
      <w:r w:rsidR="005A760B">
        <w:rPr>
          <w:b/>
          <w:bCs/>
        </w:rPr>
        <w:t>v</w:t>
      </w:r>
      <w:r w:rsidR="005A760B" w:rsidRPr="005A760B">
        <w:rPr>
          <w:b/>
          <w:bCs/>
        </w:rPr>
        <w:t xml:space="preserve"> Galleus Investments C</w:t>
      </w:r>
      <w:r w:rsidR="005A760B">
        <w:rPr>
          <w:b/>
          <w:bCs/>
        </w:rPr>
        <w:t>C</w:t>
      </w:r>
      <w:r w:rsidR="005A760B" w:rsidRPr="005A760B">
        <w:rPr>
          <w:b/>
          <w:bCs/>
        </w:rPr>
        <w:t xml:space="preserve"> </w:t>
      </w:r>
      <w:r w:rsidR="005A760B">
        <w:rPr>
          <w:b/>
          <w:bCs/>
        </w:rPr>
        <w:t>t/</w:t>
      </w:r>
      <w:r w:rsidR="005A760B" w:rsidRPr="005A760B">
        <w:rPr>
          <w:b/>
          <w:bCs/>
        </w:rPr>
        <w:t>a Bargain Wholesalers</w:t>
      </w:r>
      <w:r w:rsidR="005A760B" w:rsidRPr="005A760B">
        <w:t xml:space="preserve"> 1998 (3) SA 677 (E)</w:t>
      </w:r>
      <w:r w:rsidR="005A760B">
        <w:t xml:space="preserve"> (“</w:t>
      </w:r>
      <w:r w:rsidR="005A760B">
        <w:rPr>
          <w:b/>
          <w:bCs/>
        </w:rPr>
        <w:t>Radue</w:t>
      </w:r>
      <w:r w:rsidR="005A760B">
        <w:t xml:space="preserve">”) and </w:t>
      </w:r>
      <w:r w:rsidR="005A760B">
        <w:rPr>
          <w:b/>
          <w:bCs/>
        </w:rPr>
        <w:t xml:space="preserve">Radue </w:t>
      </w:r>
      <w:r w:rsidR="005A760B">
        <w:t>itself</w:t>
      </w:r>
      <w:r w:rsidR="00782982">
        <w:t>] being</w:t>
      </w:r>
      <w:r w:rsidR="005A760B">
        <w:t xml:space="preserve"> authority for the proposition that the commissioner of oaths was not entirely independent and </w:t>
      </w:r>
      <w:r w:rsidR="00782982">
        <w:t>unbiased</w:t>
      </w:r>
      <w:r>
        <w:t xml:space="preserve"> in the outcome of the summary judgment application of her client (albeit not her matter for that client).</w:t>
      </w:r>
    </w:p>
    <w:p w14:paraId="7C4FB68D" w14:textId="4E71DB99" w:rsidR="00782982" w:rsidRDefault="00D04F6D" w:rsidP="00D04F6D">
      <w:pPr>
        <w:pStyle w:val="Indent"/>
        <w:numPr>
          <w:ilvl w:val="0"/>
          <w:numId w:val="0"/>
        </w:numPr>
      </w:pPr>
      <w:r>
        <w:t>[</w:t>
      </w:r>
      <w:r w:rsidR="009C5AA1">
        <w:t>5</w:t>
      </w:r>
      <w:r>
        <w:t>]</w:t>
      </w:r>
      <w:r>
        <w:tab/>
      </w:r>
      <w:r w:rsidR="00782982">
        <w:t xml:space="preserve">After argument and a very constructive debate with Ms Latif, I permitted her to provide me with supplementary heads of argument, which was provided to me on 14 March 2023, and I express my gratitude to her therefor. </w:t>
      </w:r>
      <w:r w:rsidR="00505CE3">
        <w:t xml:space="preserve">I had sought to be addressed on the following </w:t>
      </w:r>
      <w:r w:rsidR="00782982">
        <w:t xml:space="preserve">authorities: </w:t>
      </w:r>
    </w:p>
    <w:p w14:paraId="5EB574C0" w14:textId="31012FAE" w:rsidR="00782982" w:rsidRDefault="00782982" w:rsidP="00D04F6D">
      <w:pPr>
        <w:pStyle w:val="Indent"/>
        <w:numPr>
          <w:ilvl w:val="0"/>
          <w:numId w:val="0"/>
        </w:numPr>
        <w:rPr>
          <w:b/>
          <w:bCs/>
        </w:rPr>
      </w:pPr>
      <w:r>
        <w:t>(a)</w:t>
      </w:r>
      <w:r>
        <w:tab/>
      </w:r>
      <w:r>
        <w:rPr>
          <w:b/>
          <w:bCs/>
        </w:rPr>
        <w:t>Radue</w:t>
      </w:r>
      <w:r w:rsidRPr="00782982">
        <w:t>;</w:t>
      </w:r>
    </w:p>
    <w:p w14:paraId="169CADD5" w14:textId="26E26936" w:rsidR="00782982" w:rsidRDefault="00782982" w:rsidP="00782982">
      <w:pPr>
        <w:pStyle w:val="Indent"/>
        <w:numPr>
          <w:ilvl w:val="0"/>
          <w:numId w:val="0"/>
        </w:numPr>
        <w:ind w:left="720" w:hanging="720"/>
        <w:rPr>
          <w:color w:val="000000"/>
          <w:sz w:val="24"/>
          <w:szCs w:val="24"/>
        </w:rPr>
      </w:pPr>
      <w:r>
        <w:t xml:space="preserve">(b) </w:t>
      </w:r>
      <w:r>
        <w:tab/>
      </w:r>
      <w:r w:rsidRPr="00782982">
        <w:rPr>
          <w:b/>
          <w:bCs/>
          <w:color w:val="000000"/>
          <w:sz w:val="24"/>
          <w:szCs w:val="24"/>
        </w:rPr>
        <w:t xml:space="preserve">Bondev Midrand (Pty) Limited v Ndlangamandla NO and Others </w:t>
      </w:r>
      <w:r w:rsidRPr="00782982">
        <w:rPr>
          <w:color w:val="000000"/>
          <w:sz w:val="24"/>
          <w:szCs w:val="24"/>
        </w:rPr>
        <w:lastRenderedPageBreak/>
        <w:t>(38331/2015) [2016] ZAGPPHC 939 (11 November 2016)</w:t>
      </w:r>
      <w:r>
        <w:rPr>
          <w:color w:val="000000"/>
          <w:sz w:val="24"/>
          <w:szCs w:val="24"/>
        </w:rPr>
        <w:t xml:space="preserve"> (“</w:t>
      </w:r>
      <w:r>
        <w:rPr>
          <w:b/>
          <w:bCs/>
          <w:color w:val="000000"/>
          <w:sz w:val="24"/>
          <w:szCs w:val="24"/>
        </w:rPr>
        <w:t>Bondev</w:t>
      </w:r>
      <w:r>
        <w:rPr>
          <w:color w:val="000000"/>
          <w:sz w:val="24"/>
          <w:szCs w:val="24"/>
        </w:rPr>
        <w:t>”)</w:t>
      </w:r>
      <w:r w:rsidRPr="00782982">
        <w:rPr>
          <w:color w:val="000000"/>
          <w:sz w:val="24"/>
          <w:szCs w:val="24"/>
        </w:rPr>
        <w:t>;</w:t>
      </w:r>
    </w:p>
    <w:p w14:paraId="55E5A796" w14:textId="10C2716E" w:rsidR="00782982" w:rsidRDefault="00782982" w:rsidP="00782982">
      <w:pPr>
        <w:pStyle w:val="Indent"/>
        <w:numPr>
          <w:ilvl w:val="0"/>
          <w:numId w:val="0"/>
        </w:numPr>
        <w:ind w:left="720" w:hanging="720"/>
        <w:rPr>
          <w:color w:val="000000"/>
          <w:sz w:val="24"/>
          <w:szCs w:val="24"/>
          <w:shd w:val="clear" w:color="auto" w:fill="FFFFFF"/>
        </w:rPr>
      </w:pPr>
      <w:r>
        <w:t>(c)</w:t>
      </w:r>
      <w:r>
        <w:tab/>
      </w:r>
      <w:r w:rsidRPr="00782982">
        <w:rPr>
          <w:b/>
          <w:bCs/>
          <w:color w:val="000000"/>
          <w:sz w:val="24"/>
          <w:szCs w:val="24"/>
          <w:shd w:val="clear" w:color="auto" w:fill="FFFFFF"/>
        </w:rPr>
        <w:t>Ferreira and Another v Nedbank Limited and Another</w:t>
      </w:r>
      <w:r w:rsidRPr="00782982">
        <w:rPr>
          <w:color w:val="000000"/>
          <w:sz w:val="24"/>
          <w:szCs w:val="24"/>
          <w:shd w:val="clear" w:color="auto" w:fill="FFFFFF"/>
        </w:rPr>
        <w:t xml:space="preserve"> (45240/16) [2017] ZAGPJHC 357 (24 November 2017)</w:t>
      </w:r>
      <w:r>
        <w:rPr>
          <w:color w:val="000000"/>
          <w:sz w:val="24"/>
          <w:szCs w:val="24"/>
          <w:shd w:val="clear" w:color="auto" w:fill="FFFFFF"/>
        </w:rPr>
        <w:t xml:space="preserve"> (“</w:t>
      </w:r>
      <w:r>
        <w:rPr>
          <w:b/>
          <w:bCs/>
          <w:color w:val="000000"/>
          <w:sz w:val="24"/>
          <w:szCs w:val="24"/>
          <w:shd w:val="clear" w:color="auto" w:fill="FFFFFF"/>
        </w:rPr>
        <w:t>Ferreira</w:t>
      </w:r>
      <w:r>
        <w:rPr>
          <w:color w:val="000000"/>
          <w:sz w:val="24"/>
          <w:szCs w:val="24"/>
          <w:shd w:val="clear" w:color="auto" w:fill="FFFFFF"/>
        </w:rPr>
        <w:t>”);</w:t>
      </w:r>
    </w:p>
    <w:p w14:paraId="77920E5B" w14:textId="4C77C968" w:rsidR="00782982" w:rsidRDefault="00782982" w:rsidP="00782982">
      <w:pPr>
        <w:pStyle w:val="Indent"/>
        <w:numPr>
          <w:ilvl w:val="0"/>
          <w:numId w:val="0"/>
        </w:numPr>
        <w:ind w:left="720" w:hanging="720"/>
      </w:pPr>
      <w:r>
        <w:t>(d)</w:t>
      </w:r>
      <w:r>
        <w:tab/>
      </w:r>
      <w:r w:rsidRPr="00782982">
        <w:rPr>
          <w:b/>
          <w:bCs/>
        </w:rPr>
        <w:t>Ida Oosthuizen Immigration Practitioner CC &amp; Others v DG of the Dept. of Home Affairs &amp; Another</w:t>
      </w:r>
      <w:r w:rsidRPr="00782982">
        <w:t xml:space="preserve"> (84727</w:t>
      </w:r>
      <w:r>
        <w:t>/</w:t>
      </w:r>
      <w:r w:rsidRPr="00782982">
        <w:t>2017) [2018] ZAGPPHC 204 (10 Apr</w:t>
      </w:r>
      <w:r>
        <w:t>il</w:t>
      </w:r>
      <w:r w:rsidRPr="00782982">
        <w:t xml:space="preserve"> 2018)</w:t>
      </w:r>
      <w:r>
        <w:t xml:space="preserve"> (“</w:t>
      </w:r>
      <w:r>
        <w:rPr>
          <w:b/>
          <w:bCs/>
        </w:rPr>
        <w:t>Ida Oosthuizen</w:t>
      </w:r>
      <w:r>
        <w:t>”);</w:t>
      </w:r>
    </w:p>
    <w:p w14:paraId="2D56D27D" w14:textId="1D3A8819" w:rsidR="00782982" w:rsidRPr="00782982" w:rsidRDefault="00782982" w:rsidP="00782982">
      <w:pPr>
        <w:pStyle w:val="Indent"/>
        <w:numPr>
          <w:ilvl w:val="0"/>
          <w:numId w:val="0"/>
        </w:numPr>
        <w:ind w:left="720" w:hanging="720"/>
      </w:pPr>
      <w:r>
        <w:t>(e)</w:t>
      </w:r>
      <w:r>
        <w:tab/>
      </w:r>
      <w:r w:rsidRPr="00782982">
        <w:rPr>
          <w:b/>
          <w:bCs/>
        </w:rPr>
        <w:t>NB Developments &amp; Others v Cargo Loading Solutions (Pty) Ltd &amp; Others</w:t>
      </w:r>
      <w:r w:rsidRPr="00782982">
        <w:t xml:space="preserve"> (26823</w:t>
      </w:r>
      <w:r>
        <w:t>/</w:t>
      </w:r>
      <w:r w:rsidRPr="00782982">
        <w:t>2018) [2018] ZAGLDJHC (6 August 2018)</w:t>
      </w:r>
      <w:r>
        <w:t xml:space="preserve"> (“</w:t>
      </w:r>
      <w:r>
        <w:rPr>
          <w:b/>
          <w:bCs/>
        </w:rPr>
        <w:t>NB Developments</w:t>
      </w:r>
      <w:r>
        <w:t>”); and</w:t>
      </w:r>
    </w:p>
    <w:p w14:paraId="37843EA7" w14:textId="4C2FE706" w:rsidR="00782982" w:rsidRDefault="00782982" w:rsidP="00782982">
      <w:pPr>
        <w:pStyle w:val="Indent"/>
        <w:numPr>
          <w:ilvl w:val="0"/>
          <w:numId w:val="0"/>
        </w:numPr>
        <w:rPr>
          <w:b/>
        </w:rPr>
      </w:pPr>
      <w:r>
        <w:t>(f)</w:t>
      </w:r>
      <w:r>
        <w:tab/>
      </w:r>
      <w:r w:rsidR="00505CE3">
        <w:t xml:space="preserve">with particular emphasis on the decision of </w:t>
      </w:r>
      <w:r w:rsidR="00505CE3" w:rsidRPr="00D04F6D">
        <w:rPr>
          <w:b/>
          <w:bCs/>
        </w:rPr>
        <w:t>Royal Hotel</w:t>
      </w:r>
      <w:r>
        <w:t>.</w:t>
      </w:r>
    </w:p>
    <w:p w14:paraId="12DCCDF8" w14:textId="06B9E9CB" w:rsidR="00505CE3" w:rsidRDefault="009C5AA1" w:rsidP="009C5AA1">
      <w:pPr>
        <w:pStyle w:val="Indent"/>
        <w:numPr>
          <w:ilvl w:val="0"/>
          <w:numId w:val="0"/>
        </w:numPr>
      </w:pPr>
      <w:r>
        <w:t>[6]</w:t>
      </w:r>
      <w:r>
        <w:tab/>
        <w:t xml:space="preserve">In </w:t>
      </w:r>
      <w:r w:rsidR="00505CE3">
        <w:rPr>
          <w:b/>
        </w:rPr>
        <w:t>Bondev</w:t>
      </w:r>
      <w:r w:rsidR="00505CE3">
        <w:t xml:space="preserve">, albeit in my view by virtue of </w:t>
      </w:r>
      <w:r w:rsidR="00505CE3">
        <w:rPr>
          <w:i/>
        </w:rPr>
        <w:t xml:space="preserve">obiter </w:t>
      </w:r>
      <w:r w:rsidR="00505CE3">
        <w:t xml:space="preserve">dictum, </w:t>
      </w:r>
      <w:r>
        <w:t xml:space="preserve">Prinsloo J </w:t>
      </w:r>
      <w:r w:rsidR="00505CE3">
        <w:t>held a similar view as that of Da</w:t>
      </w:r>
      <w:r>
        <w:t>ffu</w:t>
      </w:r>
      <w:r w:rsidR="00505CE3">
        <w:t>e J</w:t>
      </w:r>
      <w:r>
        <w:t xml:space="preserve">. In </w:t>
      </w:r>
      <w:r w:rsidR="00505CE3">
        <w:rPr>
          <w:b/>
        </w:rPr>
        <w:t xml:space="preserve">Ferreira </w:t>
      </w:r>
      <w:r w:rsidR="00505CE3">
        <w:t>Pather AJ held as follows at paragraph 29:</w:t>
      </w:r>
    </w:p>
    <w:p w14:paraId="3BD66003" w14:textId="27D4D99B" w:rsidR="00505CE3" w:rsidRPr="009C5AA1" w:rsidRDefault="009C5AA1" w:rsidP="009C5AA1">
      <w:pPr>
        <w:pStyle w:val="Indent"/>
        <w:numPr>
          <w:ilvl w:val="0"/>
          <w:numId w:val="0"/>
        </w:numPr>
        <w:spacing w:line="360" w:lineRule="auto"/>
        <w:ind w:left="1440"/>
        <w:rPr>
          <w:bCs/>
          <w:i/>
          <w:iCs/>
          <w:sz w:val="24"/>
          <w:szCs w:val="24"/>
        </w:rPr>
      </w:pPr>
      <w:r w:rsidRPr="009C5AA1">
        <w:rPr>
          <w:bCs/>
          <w:i/>
          <w:iCs/>
          <w:sz w:val="24"/>
          <w:szCs w:val="24"/>
        </w:rPr>
        <w:t xml:space="preserve">“Turning to the defences raised in the founding affidavit, these can only be described as bald and fictitious. Regulation 7(1) in respect of commissioners of oaths provides that a commissioner of oaths “shall not administer an oath or affirmation relating to a matter in which he/she has an interest”. To suggest that the attorney who </w:t>
      </w:r>
      <w:r w:rsidRPr="009C5AA1">
        <w:rPr>
          <w:bCs/>
          <w:i/>
          <w:iCs/>
          <w:sz w:val="24"/>
          <w:szCs w:val="24"/>
        </w:rPr>
        <w:lastRenderedPageBreak/>
        <w:t>commissioned the first respondent’s affidavit and who is employed by the firm of attorneys who are part of the first respondent’s panel of attorneys/conveyancers, has an interest in the matter against the applicants, is far-fetched. In the course of their legal work for the first respondent, the firm probably deals with many such matters in a day. And it is not known whether the commissioner of oaths is one of the conveyancers who works in that department. This is similar to the first applicant’s spurious attack on the attorney acting on behalf of the first respondent’s, blaming her for his poor handling of his “urgent” application.”</w:t>
      </w:r>
    </w:p>
    <w:p w14:paraId="2A2E206B" w14:textId="2BE614D4" w:rsidR="00505CE3" w:rsidRDefault="009C5AA1" w:rsidP="009C5AA1">
      <w:pPr>
        <w:pStyle w:val="Indent"/>
        <w:numPr>
          <w:ilvl w:val="0"/>
          <w:numId w:val="0"/>
        </w:numPr>
      </w:pPr>
      <w:r>
        <w:t>[7]</w:t>
      </w:r>
      <w:r>
        <w:tab/>
        <w:t xml:space="preserve">By reason of the conclusion to which I come to in this judgment, it is not necessary for me to </w:t>
      </w:r>
      <w:r w:rsidR="008E2647">
        <w:t xml:space="preserve">specifically </w:t>
      </w:r>
      <w:r>
        <w:t xml:space="preserve">deal with </w:t>
      </w:r>
      <w:r>
        <w:rPr>
          <w:b/>
          <w:bCs/>
        </w:rPr>
        <w:t xml:space="preserve">Ida Oosthuizen </w:t>
      </w:r>
      <w:r>
        <w:t xml:space="preserve">or </w:t>
      </w:r>
      <w:r>
        <w:rPr>
          <w:b/>
          <w:bCs/>
        </w:rPr>
        <w:t>NB Developments</w:t>
      </w:r>
      <w:r>
        <w:t xml:space="preserve"> but suffice it to state that those decisions were in line with </w:t>
      </w:r>
      <w:r>
        <w:rPr>
          <w:b/>
          <w:bCs/>
        </w:rPr>
        <w:t xml:space="preserve">Royal Hotel </w:t>
      </w:r>
      <w:r>
        <w:t xml:space="preserve">and </w:t>
      </w:r>
      <w:r>
        <w:rPr>
          <w:b/>
          <w:bCs/>
        </w:rPr>
        <w:t>Radue</w:t>
      </w:r>
      <w:r>
        <w:t>.</w:t>
      </w:r>
      <w:r>
        <w:rPr>
          <w:b/>
          <w:bCs/>
        </w:rPr>
        <w:t xml:space="preserve"> </w:t>
      </w:r>
      <w:r w:rsidR="00505CE3">
        <w:t xml:space="preserve">My concern with the judgments </w:t>
      </w:r>
      <w:r>
        <w:t xml:space="preserve">in </w:t>
      </w:r>
      <w:r w:rsidRPr="009C5AA1">
        <w:rPr>
          <w:b/>
          <w:bCs/>
        </w:rPr>
        <w:t>Hattingh</w:t>
      </w:r>
      <w:r>
        <w:t xml:space="preserve">, </w:t>
      </w:r>
      <w:r>
        <w:rPr>
          <w:b/>
          <w:bCs/>
        </w:rPr>
        <w:t>Bondev</w:t>
      </w:r>
      <w:r w:rsidRPr="009C5AA1">
        <w:t>,</w:t>
      </w:r>
      <w:r>
        <w:rPr>
          <w:b/>
          <w:bCs/>
        </w:rPr>
        <w:t xml:space="preserve"> </w:t>
      </w:r>
      <w:r>
        <w:t xml:space="preserve">and </w:t>
      </w:r>
      <w:r>
        <w:rPr>
          <w:b/>
          <w:bCs/>
        </w:rPr>
        <w:t xml:space="preserve">Ferreira </w:t>
      </w:r>
      <w:r w:rsidR="00505CE3" w:rsidRPr="009C5AA1">
        <w:t>is</w:t>
      </w:r>
      <w:r w:rsidR="00505CE3">
        <w:t xml:space="preserve"> that none of them dealt with the very persuasive reasoning of the </w:t>
      </w:r>
      <w:r>
        <w:t xml:space="preserve">full bench </w:t>
      </w:r>
      <w:r w:rsidR="00505CE3">
        <w:t xml:space="preserve">decision in </w:t>
      </w:r>
      <w:r w:rsidR="00505CE3">
        <w:rPr>
          <w:b/>
        </w:rPr>
        <w:t>Royal Hotel</w:t>
      </w:r>
      <w:r w:rsidR="00505CE3">
        <w:t>.</w:t>
      </w:r>
    </w:p>
    <w:p w14:paraId="7A6EC442" w14:textId="7D402285" w:rsidR="00B87B58" w:rsidRDefault="009C5AA1" w:rsidP="009C5AA1">
      <w:pPr>
        <w:pStyle w:val="Indent"/>
        <w:numPr>
          <w:ilvl w:val="0"/>
          <w:numId w:val="0"/>
        </w:numPr>
      </w:pPr>
      <w:r>
        <w:t>[8]</w:t>
      </w:r>
      <w:r>
        <w:tab/>
        <w:t xml:space="preserve">In </w:t>
      </w:r>
      <w:r>
        <w:rPr>
          <w:b/>
          <w:bCs/>
        </w:rPr>
        <w:t xml:space="preserve">Royal Hotel </w:t>
      </w:r>
      <w:r>
        <w:t xml:space="preserve">Caney J (writing on behalf of the full bench) </w:t>
      </w:r>
      <w:r w:rsidR="00B87B58">
        <w:t xml:space="preserve">held that </w:t>
      </w:r>
      <w:r w:rsidR="00B87B58">
        <w:rPr>
          <w:i/>
          <w:iCs/>
        </w:rPr>
        <w:t xml:space="preserve">“… a </w:t>
      </w:r>
      <w:r w:rsidR="00B87B58" w:rsidRPr="00B87B58">
        <w:rPr>
          <w:i/>
          <w:iCs/>
        </w:rPr>
        <w:t>commissioner of oaths is required to be impartial and unbiased in relation to the subject matter of the affidavit and that, if he is otherwise, he has an interest in the matter.</w:t>
      </w:r>
      <w:r w:rsidR="00B87B58">
        <w:rPr>
          <w:i/>
          <w:iCs/>
        </w:rPr>
        <w:t xml:space="preserve">” </w:t>
      </w:r>
      <w:r w:rsidR="00B87B58">
        <w:t xml:space="preserve">and that </w:t>
      </w:r>
      <w:r w:rsidR="00B87B58">
        <w:rPr>
          <w:i/>
          <w:iCs/>
        </w:rPr>
        <w:t>“</w:t>
      </w:r>
      <w:r w:rsidR="00B87B58" w:rsidRPr="00B87B58">
        <w:rPr>
          <w:i/>
          <w:iCs/>
        </w:rPr>
        <w:t>That the interest hit at by the regulations is not only a pecuniary or proprietary one is indicated by The Master v Benjamin, N.O., 1955 (4) SA 14 (T), in which an affidavit by the Master was held to contravene reg. 1 (i) because it had been attested by the Assistant Master.</w:t>
      </w:r>
      <w:r w:rsidR="00B87B58">
        <w:rPr>
          <w:i/>
          <w:iCs/>
        </w:rPr>
        <w:t xml:space="preserve">” </w:t>
      </w:r>
      <w:r w:rsidR="00B87B58">
        <w:t>(at 659G – H)</w:t>
      </w:r>
      <w:r w:rsidR="008E2647">
        <w:t>.</w:t>
      </w:r>
    </w:p>
    <w:p w14:paraId="1298DD44" w14:textId="77777777" w:rsidR="008E2647" w:rsidRDefault="008E2647" w:rsidP="009C5AA1">
      <w:pPr>
        <w:pStyle w:val="Indent"/>
        <w:numPr>
          <w:ilvl w:val="0"/>
          <w:numId w:val="0"/>
        </w:numPr>
      </w:pPr>
      <w:r>
        <w:lastRenderedPageBreak/>
        <w:t xml:space="preserve">[9] </w:t>
      </w:r>
      <w:r>
        <w:tab/>
        <w:t>The interest that an attorney may have in a matter of a client where that attorney was not the attorney of record was cogently explained by Caney J as follows at 668H – 670A:</w:t>
      </w:r>
    </w:p>
    <w:p w14:paraId="00D5E372" w14:textId="46983D97" w:rsidR="008E2647" w:rsidRPr="008E2647" w:rsidRDefault="008E2647" w:rsidP="008E2647">
      <w:pPr>
        <w:pStyle w:val="Indent"/>
        <w:numPr>
          <w:ilvl w:val="0"/>
          <w:numId w:val="0"/>
        </w:numPr>
        <w:spacing w:line="360" w:lineRule="auto"/>
        <w:ind w:left="720"/>
        <w:rPr>
          <w:i/>
          <w:iCs/>
          <w:sz w:val="24"/>
          <w:szCs w:val="24"/>
        </w:rPr>
      </w:pPr>
      <w:r w:rsidRPr="008E2647">
        <w:rPr>
          <w:i/>
          <w:iCs/>
          <w:sz w:val="24"/>
          <w:szCs w:val="24"/>
        </w:rPr>
        <w:t>“Mr. Hunt urged on us the case of S v van Schalkwyk, 1966 (1) SA 172 (T). In that case HILL, J., said that the question whether the attorney functioning as commissioner of oaths had an interest in the subject matter was a question of fact to be decided in the light of the</w:t>
      </w:r>
      <w:r w:rsidRPr="008E2647">
        <w:rPr>
          <w:sz w:val="24"/>
          <w:szCs w:val="24"/>
        </w:rPr>
        <w:t xml:space="preserve"> </w:t>
      </w:r>
      <w:r w:rsidRPr="008E2647">
        <w:rPr>
          <w:i/>
          <w:iCs/>
          <w:sz w:val="24"/>
          <w:szCs w:val="24"/>
        </w:rPr>
        <w:t>relevant circumstances. With respect, I agree with this, but when an attorney so functions in a matter in which he is acting on behalf of his client, that fact requires the question to be answered in the affirmative because, for reasons which I shall state, the attorney's interest is closely associated with his client's interest. The facts of the case abovementioned were that an attorney, a member of a firm of attorneys generally acting for a company which owned a newspaper and which contemplated publishing in it the contents of a certain affidavit, examined the deponent on the contents of the affidavit he was about to  swear and informed him that his purpose in doing so was to ensure that the allegations in it were correct, with a view to protecting the newspaper against any infringement of the Prisons Act; he translated portions of the affidavit into Afrikaans for the deponent and made certain amendments where required by the latter. He then attested the affidavit when the deponent executed and swore to it before him. HILL,  J., took the view that the only interest the attorney had in the affidavit was</w:t>
      </w:r>
    </w:p>
    <w:p w14:paraId="28832CEF" w14:textId="597F9E99" w:rsidR="008E2647" w:rsidRPr="008E2647" w:rsidRDefault="008E2647" w:rsidP="008E2647">
      <w:pPr>
        <w:pStyle w:val="Indent"/>
        <w:numPr>
          <w:ilvl w:val="0"/>
          <w:numId w:val="0"/>
        </w:numPr>
        <w:spacing w:line="276" w:lineRule="auto"/>
        <w:ind w:left="1440"/>
        <w:rPr>
          <w:i/>
          <w:iCs/>
          <w:sz w:val="22"/>
          <w:szCs w:val="22"/>
        </w:rPr>
      </w:pPr>
      <w:r w:rsidRPr="008E2647">
        <w:rPr>
          <w:i/>
          <w:iCs/>
          <w:sz w:val="22"/>
          <w:szCs w:val="22"/>
        </w:rPr>
        <w:t>'to ensure as far as possible that the deponent understood the contents and that the allegations were true'</w:t>
      </w:r>
    </w:p>
    <w:p w14:paraId="6713D12B" w14:textId="50419A20" w:rsidR="008E2647" w:rsidRPr="008E2647" w:rsidRDefault="008E2647" w:rsidP="008E2647">
      <w:pPr>
        <w:pStyle w:val="Indent"/>
        <w:numPr>
          <w:ilvl w:val="0"/>
          <w:numId w:val="0"/>
        </w:numPr>
        <w:spacing w:line="360" w:lineRule="auto"/>
        <w:ind w:left="720"/>
        <w:rPr>
          <w:i/>
          <w:iCs/>
          <w:sz w:val="24"/>
          <w:szCs w:val="24"/>
        </w:rPr>
      </w:pPr>
      <w:r w:rsidRPr="008E2647">
        <w:rPr>
          <w:i/>
          <w:iCs/>
          <w:sz w:val="24"/>
          <w:szCs w:val="24"/>
        </w:rPr>
        <w:t xml:space="preserve">and this type of interest, he held, did not invalidate the affidavit. BOSHOFF, J., took the view that from the fact that the attorney had a professional and </w:t>
      </w:r>
      <w:r w:rsidRPr="008E2647">
        <w:rPr>
          <w:i/>
          <w:iCs/>
          <w:sz w:val="24"/>
          <w:szCs w:val="24"/>
        </w:rPr>
        <w:lastRenderedPageBreak/>
        <w:t xml:space="preserve">pecuniary interest in performing his mandate in respect of the affidavit itself, it did not follow that the affidavit related to a matter in which he had an interest. It appears to me, however, with respect to the members of the Court who decided that case, that the attorney attested an affidavit relating to a matter in which his client had an interest, namely the publication of information, and  his interest was to protect his client in that matter; the continuance of the relationship of attorney and client, and, therefore, his income from that relationship, depended upon his protecting his client's interests in the matters he handled on its behalf. (The question is not whether the commissioner of oaths has an interest in the affidavit he attests, but whether he has an interest in the matter to which the affidavit relates). If, on the other hand, the attorney was not acting for the proprietor, the decision does not touch the present case. Coming to answer the first question, whether an attorney acting for the party in a matter has an interest in that matter which precludes him from functioning as commissioner of oaths to attest an affidavit, it appears to me that, approaching the matter upon a realistic basis, it is not possible to hold that he has not an interest in the matter. An attorney practises his profession for gain; he carries on his practice to make a living, albeit he submits to and is bound by professional rules of conduct. In the course of carrying on his practice, he has an interest to earn fees and in each matter to which he gives attention, that is an interest attributable to him. In addition, and even where he acts pro Deo or pro amico, he has an interest to improve, increase and consolidate his goodwill, which is a valuable thing; it is to his interest in this respect to bring his client's affairs, whether litigious or otherwise, to a successful conclusion - 'success breeds success'. Not only, consequently, has he these financial interests in any matter in which he is acting, but, because it is to his interest to bring his client's affairs to a successful conclusion, he cannot be impartial and unbiased; if he functions as a commissioner of oaths in the matter, he is not independent. Those selfsame </w:t>
      </w:r>
      <w:r w:rsidRPr="008E2647">
        <w:rPr>
          <w:i/>
          <w:iCs/>
          <w:sz w:val="24"/>
          <w:szCs w:val="24"/>
        </w:rPr>
        <w:lastRenderedPageBreak/>
        <w:t>considerations, which operate in the evidential rule against his functioning, operate equally under the regulations.”</w:t>
      </w:r>
    </w:p>
    <w:p w14:paraId="469E6DBB" w14:textId="6971B768" w:rsidR="00505CE3" w:rsidRDefault="008E2647" w:rsidP="008E2647">
      <w:pPr>
        <w:pStyle w:val="Indent"/>
        <w:numPr>
          <w:ilvl w:val="0"/>
          <w:numId w:val="0"/>
        </w:numPr>
      </w:pPr>
      <w:r>
        <w:t>[10]</w:t>
      </w:r>
      <w:r>
        <w:tab/>
      </w:r>
      <w:r w:rsidR="00505CE3">
        <w:t xml:space="preserve">With great respect to the learned judges in the </w:t>
      </w:r>
      <w:r w:rsidR="00505CE3">
        <w:rPr>
          <w:b/>
        </w:rPr>
        <w:t xml:space="preserve">Bondev, Ferreira </w:t>
      </w:r>
      <w:r w:rsidR="00505CE3">
        <w:t xml:space="preserve">and </w:t>
      </w:r>
      <w:r w:rsidR="00505CE3">
        <w:rPr>
          <w:b/>
        </w:rPr>
        <w:t>Hattingh</w:t>
      </w:r>
      <w:r w:rsidR="00505CE3">
        <w:t xml:space="preserve"> matters, the reasoning put forward for their conclusions is unconvincing</w:t>
      </w:r>
      <w:r w:rsidR="00DB5832">
        <w:t>,</w:t>
      </w:r>
      <w:r w:rsidR="00505CE3">
        <w:t xml:space="preserve"> especially when juxtaposed to the reasoning of the Full Bench in </w:t>
      </w:r>
      <w:r w:rsidR="00505CE3">
        <w:rPr>
          <w:b/>
        </w:rPr>
        <w:t>Royal Hotel</w:t>
      </w:r>
      <w:r w:rsidR="00505CE3">
        <w:t xml:space="preserve">, which was subsequently also followed by Marais J (as he then was) in </w:t>
      </w:r>
      <w:r w:rsidR="00505CE3">
        <w:rPr>
          <w:b/>
        </w:rPr>
        <w:t xml:space="preserve">Papenfus v Transvaal Board for the Development of Peri-Urban Areas </w:t>
      </w:r>
      <w:r w:rsidR="00505CE3">
        <w:t xml:space="preserve">1969 (2) SA 66 (T) </w:t>
      </w:r>
      <w:r w:rsidR="002B45E0">
        <w:t>(“</w:t>
      </w:r>
      <w:r w:rsidR="002B45E0">
        <w:rPr>
          <w:b/>
          <w:bCs/>
        </w:rPr>
        <w:t>Papenfus</w:t>
      </w:r>
      <w:r w:rsidR="002B45E0">
        <w:t>”)</w:t>
      </w:r>
      <w:r w:rsidR="002B45E0">
        <w:rPr>
          <w:b/>
          <w:bCs/>
        </w:rPr>
        <w:t xml:space="preserve"> </w:t>
      </w:r>
      <w:r w:rsidR="00505CE3">
        <w:t xml:space="preserve">at 70 to 71 and </w:t>
      </w:r>
      <w:r w:rsidR="00164BE2">
        <w:rPr>
          <w:b/>
        </w:rPr>
        <w:t xml:space="preserve">Ida Oosthuizen </w:t>
      </w:r>
      <w:r w:rsidR="00164BE2" w:rsidRPr="008E2647">
        <w:rPr>
          <w:bCs/>
        </w:rPr>
        <w:t>and</w:t>
      </w:r>
      <w:r w:rsidR="00164BE2">
        <w:rPr>
          <w:b/>
        </w:rPr>
        <w:t xml:space="preserve"> NB Developments</w:t>
      </w:r>
      <w:r w:rsidR="00164BE2">
        <w:t>.  I align myself fully with such reasoning and cannot find any fault therein.</w:t>
      </w:r>
      <w:r>
        <w:t xml:space="preserve"> For example, should attorney X act for Mr A in his divorce, may he commission Mr A’s affidavits in commercial litigation where Mr A is claiming a large some of money against a third party, but is represented by attorney Y therein, or </w:t>
      </w:r>
      <w:r>
        <w:rPr>
          <w:i/>
          <w:iCs/>
        </w:rPr>
        <w:t>vice versa</w:t>
      </w:r>
      <w:r>
        <w:t>? I do not believe that the attorneys would be impartial and unbiased</w:t>
      </w:r>
      <w:r w:rsidR="002B45E0">
        <w:t xml:space="preserve"> under such circumstances, and why should this differ from an attorney on the panel of a bank? Any advice or changes that may be notionally suggested by the commissioner of oaths may well impress the bank and that attorney may stand to obtain more work from the bank, even at the expense of the attorney of record. This, with respect, answers the criticisms in </w:t>
      </w:r>
      <w:r w:rsidR="002B45E0" w:rsidRPr="002B45E0">
        <w:rPr>
          <w:b/>
          <w:bCs/>
        </w:rPr>
        <w:t>Bondev</w:t>
      </w:r>
      <w:r w:rsidR="002B45E0">
        <w:t xml:space="preserve">, </w:t>
      </w:r>
      <w:r w:rsidR="002B45E0" w:rsidRPr="002B45E0">
        <w:rPr>
          <w:b/>
          <w:bCs/>
        </w:rPr>
        <w:t>Ferreira</w:t>
      </w:r>
      <w:r w:rsidR="002B45E0">
        <w:t xml:space="preserve">, and </w:t>
      </w:r>
      <w:r w:rsidR="002B45E0">
        <w:rPr>
          <w:b/>
          <w:bCs/>
        </w:rPr>
        <w:t>Hattingh</w:t>
      </w:r>
      <w:r w:rsidR="002B45E0">
        <w:t xml:space="preserve">. </w:t>
      </w:r>
    </w:p>
    <w:p w14:paraId="79DA6CDD" w14:textId="01634D92" w:rsidR="002B45E0" w:rsidRDefault="002B45E0" w:rsidP="008E2647">
      <w:pPr>
        <w:pStyle w:val="Indent"/>
        <w:numPr>
          <w:ilvl w:val="0"/>
          <w:numId w:val="0"/>
        </w:numPr>
        <w:rPr>
          <w:iCs/>
        </w:rPr>
      </w:pPr>
      <w:r>
        <w:t>[11]</w:t>
      </w:r>
      <w:r>
        <w:tab/>
        <w:t xml:space="preserve">Whilst there is much to be said for the statement of Daffue J at paragraph 17 of </w:t>
      </w:r>
      <w:r>
        <w:rPr>
          <w:b/>
          <w:bCs/>
        </w:rPr>
        <w:t xml:space="preserve">Hattingh </w:t>
      </w:r>
      <w:r>
        <w:t xml:space="preserve">that </w:t>
      </w:r>
      <w:r w:rsidRPr="002B45E0">
        <w:rPr>
          <w:i/>
          <w:iCs/>
        </w:rPr>
        <w:t xml:space="preserve">“In my view, courts should ensure that disputes are dealt </w:t>
      </w:r>
      <w:r w:rsidRPr="002B45E0">
        <w:rPr>
          <w:i/>
          <w:iCs/>
        </w:rPr>
        <w:lastRenderedPageBreak/>
        <w:t>with on their merits and technical defences that merely cause delay and nothing else should be frowned upon and dismissed.”</w:t>
      </w:r>
      <w:r>
        <w:rPr>
          <w:i/>
          <w:iCs/>
        </w:rPr>
        <w:t xml:space="preserve"> </w:t>
      </w:r>
      <w:r>
        <w:rPr>
          <w:iCs/>
        </w:rPr>
        <w:t xml:space="preserve">I cannot disagree with what was said by Marais J in </w:t>
      </w:r>
      <w:r>
        <w:rPr>
          <w:b/>
          <w:bCs/>
          <w:iCs/>
        </w:rPr>
        <w:t>Papenfus</w:t>
      </w:r>
      <w:r>
        <w:rPr>
          <w:iCs/>
        </w:rPr>
        <w:t xml:space="preserve"> at 70H:</w:t>
      </w:r>
    </w:p>
    <w:p w14:paraId="74C3383E" w14:textId="100BFBB3" w:rsidR="002B45E0" w:rsidRPr="002B45E0" w:rsidRDefault="002B45E0" w:rsidP="002B45E0">
      <w:pPr>
        <w:pStyle w:val="Indent"/>
        <w:numPr>
          <w:ilvl w:val="0"/>
          <w:numId w:val="0"/>
        </w:numPr>
        <w:spacing w:line="360" w:lineRule="auto"/>
        <w:ind w:left="720"/>
        <w:rPr>
          <w:i/>
          <w:sz w:val="24"/>
          <w:szCs w:val="24"/>
        </w:rPr>
      </w:pPr>
      <w:r w:rsidRPr="002B45E0">
        <w:rPr>
          <w:i/>
          <w:sz w:val="24"/>
          <w:szCs w:val="24"/>
        </w:rPr>
        <w:t>“The fact that compliance with the prescribed procedure is often of a sketchy nature is no reason why our Courts should relax their watchfulness in this respect. Slackness on the part of commissioners of oaths should rather tend to encourage judicial strictness.”</w:t>
      </w:r>
    </w:p>
    <w:p w14:paraId="1A9B5EFA" w14:textId="16882BB8" w:rsidR="002B45E0" w:rsidRDefault="002B45E0" w:rsidP="002B45E0">
      <w:pPr>
        <w:pStyle w:val="Indent"/>
        <w:numPr>
          <w:ilvl w:val="0"/>
          <w:numId w:val="0"/>
        </w:numPr>
      </w:pPr>
      <w:r>
        <w:t>The peremptory requirement of Regulation 7(1) is a matter for the legislature and executive (who is empowered to promulgate regulations) and should not be encroached upon by the courts.</w:t>
      </w:r>
    </w:p>
    <w:p w14:paraId="46E47600" w14:textId="2738DFC9" w:rsidR="00164BE2" w:rsidRDefault="004D521B" w:rsidP="004D521B">
      <w:pPr>
        <w:pStyle w:val="Indent"/>
        <w:numPr>
          <w:ilvl w:val="0"/>
          <w:numId w:val="0"/>
        </w:numPr>
      </w:pPr>
      <w:r>
        <w:t>[12]</w:t>
      </w:r>
      <w:r>
        <w:tab/>
      </w:r>
      <w:r w:rsidR="00164BE2">
        <w:t>However, despite my unhesitating view</w:t>
      </w:r>
      <w:r>
        <w:t xml:space="preserve"> as to the correctness of the decisions in </w:t>
      </w:r>
      <w:r>
        <w:rPr>
          <w:b/>
          <w:bCs/>
        </w:rPr>
        <w:t xml:space="preserve">Royal Hotel </w:t>
      </w:r>
      <w:r>
        <w:t xml:space="preserve">and </w:t>
      </w:r>
      <w:r>
        <w:rPr>
          <w:b/>
          <w:bCs/>
        </w:rPr>
        <w:t>Radue</w:t>
      </w:r>
      <w:r w:rsidR="00164BE2">
        <w:t xml:space="preserve">, I was reminded when considering the judgment of Caney J that I am nonetheless constrained to find to the contrary.  This is so as Caney J referred to the matter of </w:t>
      </w:r>
      <w:r w:rsidR="00164BE2">
        <w:rPr>
          <w:b/>
        </w:rPr>
        <w:t>S v Van Schalkwyk</w:t>
      </w:r>
      <w:r w:rsidR="00164BE2">
        <w:t xml:space="preserve"> 1966 (1) SA 172 (T)</w:t>
      </w:r>
      <w:r w:rsidR="00905E6D">
        <w:t xml:space="preserve"> (“</w:t>
      </w:r>
      <w:r w:rsidR="00905E6D">
        <w:rPr>
          <w:b/>
          <w:bCs/>
        </w:rPr>
        <w:t>Van Schalkwyk</w:t>
      </w:r>
      <w:r w:rsidR="00905E6D">
        <w:t>”)</w:t>
      </w:r>
      <w:r w:rsidR="00164BE2">
        <w:t xml:space="preserve"> where the </w:t>
      </w:r>
      <w:r w:rsidR="00B60852">
        <w:t xml:space="preserve">Full Bench </w:t>
      </w:r>
      <w:r w:rsidR="00164BE2">
        <w:t xml:space="preserve">of the Transvaal Provincial Division (as it then was) found that the </w:t>
      </w:r>
      <w:r w:rsidR="00164BE2">
        <w:rPr>
          <w:i/>
        </w:rPr>
        <w:t>“interest”</w:t>
      </w:r>
      <w:r w:rsidR="00164BE2">
        <w:t xml:space="preserve"> referenced in Regulation 7(1) necessitated a pecuniary interest or an interest in a proprietary right or an interest by which the legal rights or liabilities of the commissioner of oaths were affected (at 175F – 176F and 180C).</w:t>
      </w:r>
    </w:p>
    <w:p w14:paraId="458FBA63" w14:textId="7D8F3AF9" w:rsidR="00164BE2" w:rsidRDefault="004D521B" w:rsidP="004D521B">
      <w:pPr>
        <w:pStyle w:val="Indent"/>
        <w:numPr>
          <w:ilvl w:val="0"/>
          <w:numId w:val="0"/>
        </w:numPr>
      </w:pPr>
      <w:r>
        <w:t>[13]</w:t>
      </w:r>
      <w:r>
        <w:tab/>
      </w:r>
      <w:r w:rsidR="00164BE2">
        <w:t xml:space="preserve">Sitting as a single judge, I am bound by a previous decision of a </w:t>
      </w:r>
      <w:r>
        <w:t xml:space="preserve">full </w:t>
      </w:r>
      <w:r>
        <w:lastRenderedPageBreak/>
        <w:t xml:space="preserve">bench </w:t>
      </w:r>
      <w:r w:rsidR="00164BE2">
        <w:t xml:space="preserve">of this </w:t>
      </w:r>
      <w:r>
        <w:t>d</w:t>
      </w:r>
      <w:r w:rsidR="00164BE2">
        <w:t xml:space="preserve">ivision (see </w:t>
      </w:r>
      <w:r w:rsidR="00164BE2" w:rsidRPr="00164BE2">
        <w:rPr>
          <w:b/>
        </w:rPr>
        <w:t>North Vaal Mineral Co Ltd v Lovasz</w:t>
      </w:r>
      <w:r w:rsidR="00164BE2">
        <w:t xml:space="preserve"> 1961 (3) SA 604 (T) 607G).  This is so due to the doctrine of </w:t>
      </w:r>
      <w:r w:rsidR="00164BE2" w:rsidRPr="00164BE2">
        <w:rPr>
          <w:i/>
        </w:rPr>
        <w:t>stare decisis</w:t>
      </w:r>
      <w:r w:rsidR="00164BE2">
        <w:t xml:space="preserve"> </w:t>
      </w:r>
      <w:r>
        <w:t xml:space="preserve">– </w:t>
      </w:r>
      <w:r w:rsidR="00164BE2">
        <w:t xml:space="preserve">even if I am of the view that the decision of a </w:t>
      </w:r>
      <w:r>
        <w:t xml:space="preserve">full bench </w:t>
      </w:r>
      <w:r w:rsidR="00164BE2">
        <w:t xml:space="preserve">in another </w:t>
      </w:r>
      <w:r w:rsidR="00B60852">
        <w:t>d</w:t>
      </w:r>
      <w:r w:rsidR="00164BE2">
        <w:t xml:space="preserve">ivision is the one that ought to be preferred (see </w:t>
      </w:r>
      <w:r w:rsidR="00164BE2" w:rsidRPr="00164BE2">
        <w:rPr>
          <w:b/>
          <w:i/>
        </w:rPr>
        <w:t>Ex parte</w:t>
      </w:r>
      <w:r w:rsidR="00164BE2">
        <w:rPr>
          <w:b/>
        </w:rPr>
        <w:t xml:space="preserve"> Hetzler </w:t>
      </w:r>
      <w:r w:rsidR="00164BE2">
        <w:t>1969 (3) SA 90 (T) 94 A – B).  This constraint is a fundamental important one of the doctrine of judicial precedent as a matter of the rule of law</w:t>
      </w:r>
      <w:r>
        <w:t>,</w:t>
      </w:r>
      <w:r w:rsidR="00164BE2">
        <w:t xml:space="preserve"> and even if the decision is clearly wrong, it must be followed</w:t>
      </w:r>
      <w:r>
        <w:t>. S</w:t>
      </w:r>
      <w:r w:rsidR="00164BE2">
        <w:t xml:space="preserve">ee </w:t>
      </w:r>
      <w:r w:rsidR="00164BE2">
        <w:rPr>
          <w:b/>
        </w:rPr>
        <w:t>Potgieter v Olivier and Another</w:t>
      </w:r>
      <w:r w:rsidR="00164BE2">
        <w:t xml:space="preserve"> 2016 (6) SA 272 (GP)</w:t>
      </w:r>
      <w:r>
        <w:t>)</w:t>
      </w:r>
      <w:r w:rsidR="00164BE2">
        <w:t xml:space="preserve"> where Unterhalter AJ (as he then was) said the following at paragraph 27</w:t>
      </w:r>
      <w:r>
        <w:t xml:space="preserve"> (footnote omitted)</w:t>
      </w:r>
      <w:r w:rsidR="00164BE2">
        <w:t>:</w:t>
      </w:r>
    </w:p>
    <w:p w14:paraId="35EE4062" w14:textId="5FB7B4E3" w:rsidR="00164BE2" w:rsidRPr="004D521B" w:rsidRDefault="004D521B" w:rsidP="00B60852">
      <w:pPr>
        <w:pStyle w:val="Indent"/>
        <w:numPr>
          <w:ilvl w:val="0"/>
          <w:numId w:val="0"/>
        </w:numPr>
        <w:spacing w:line="360" w:lineRule="auto"/>
        <w:ind w:left="850"/>
        <w:rPr>
          <w:bCs/>
          <w:i/>
          <w:iCs/>
          <w:sz w:val="24"/>
          <w:szCs w:val="24"/>
        </w:rPr>
      </w:pPr>
      <w:r w:rsidRPr="004D521B">
        <w:rPr>
          <w:bCs/>
          <w:i/>
          <w:iCs/>
          <w:sz w:val="24"/>
          <w:szCs w:val="24"/>
        </w:rPr>
        <w:t>“Residually it was argued by Mr Ferreira that I might nevertheless escape the binding authority of Friend on the basis that it is fundamentally flawed, and in any event, it is not a case that has yet been reported in the law reports. I do not consider myself to enjoy such liberty. The Constitutional Court has recently affirmed the fundamental importance of adherence to precedent as an attribute of the rule of law. A binding decision, even if judged wrong, must be followed.”</w:t>
      </w:r>
    </w:p>
    <w:p w14:paraId="235B1508" w14:textId="34B9E52E" w:rsidR="004D521B" w:rsidRPr="0096250F" w:rsidRDefault="0096250F" w:rsidP="0096250F">
      <w:pPr>
        <w:pStyle w:val="Indent"/>
        <w:numPr>
          <w:ilvl w:val="0"/>
          <w:numId w:val="0"/>
        </w:numPr>
        <w:rPr>
          <w:b/>
          <w:bCs/>
          <w:i/>
          <w:iCs/>
        </w:rPr>
      </w:pPr>
      <w:r>
        <w:t>[14]</w:t>
      </w:r>
      <w:r>
        <w:tab/>
      </w:r>
      <w:r w:rsidR="004D521B">
        <w:t xml:space="preserve">Thus, whilst </w:t>
      </w:r>
      <w:r w:rsidR="00905E6D">
        <w:rPr>
          <w:b/>
          <w:bCs/>
        </w:rPr>
        <w:t xml:space="preserve">Van Schalkwyk </w:t>
      </w:r>
      <w:r w:rsidR="00905E6D">
        <w:t xml:space="preserve">seems at odds with the decision of </w:t>
      </w:r>
      <w:r w:rsidR="00905E6D" w:rsidRPr="00905E6D">
        <w:t>by</w:t>
      </w:r>
      <w:r w:rsidR="00905E6D" w:rsidRPr="00B87B58">
        <w:rPr>
          <w:i/>
          <w:iCs/>
        </w:rPr>
        <w:t xml:space="preserve"> </w:t>
      </w:r>
      <w:r w:rsidR="00905E6D" w:rsidRPr="00905E6D">
        <w:rPr>
          <w:b/>
          <w:bCs/>
        </w:rPr>
        <w:t>The Master v Benjamin, N.O.</w:t>
      </w:r>
      <w:r w:rsidR="00905E6D" w:rsidRPr="00905E6D">
        <w:t xml:space="preserve"> 1955 (4) SA 14 (T)</w:t>
      </w:r>
      <w:r w:rsidR="00905E6D">
        <w:t xml:space="preserve"> (relied upon by Caney J </w:t>
      </w:r>
      <w:r w:rsidR="00905E6D">
        <w:rPr>
          <w:i/>
          <w:iCs/>
        </w:rPr>
        <w:t>op cit</w:t>
      </w:r>
      <w:r w:rsidR="00905E6D">
        <w:t xml:space="preserve">) the latter was a judgment of a single judge and was a least drawn to the court’s attention in </w:t>
      </w:r>
      <w:r w:rsidR="00905E6D">
        <w:rPr>
          <w:b/>
          <w:bCs/>
        </w:rPr>
        <w:t>Van Schalkwyk</w:t>
      </w:r>
      <w:r w:rsidR="00905E6D">
        <w:t xml:space="preserve"> and thus it cannot be said that </w:t>
      </w:r>
      <w:r w:rsidR="00905E6D">
        <w:rPr>
          <w:b/>
          <w:bCs/>
        </w:rPr>
        <w:t xml:space="preserve">Van Schalkwyk </w:t>
      </w:r>
      <w:r w:rsidR="00905E6D">
        <w:t xml:space="preserve">was decided </w:t>
      </w:r>
      <w:r w:rsidR="00905E6D">
        <w:rPr>
          <w:i/>
          <w:iCs/>
        </w:rPr>
        <w:t>per incuriam</w:t>
      </w:r>
      <w:r w:rsidR="00905E6D">
        <w:t xml:space="preserve">. </w:t>
      </w:r>
      <w:r w:rsidR="00905E6D">
        <w:rPr>
          <w:b/>
          <w:bCs/>
        </w:rPr>
        <w:t>Van Schalkwyk</w:t>
      </w:r>
      <w:r w:rsidR="00905E6D">
        <w:t xml:space="preserve"> has not been overturned and in fact </w:t>
      </w:r>
      <w:r>
        <w:t xml:space="preserve">seemingly </w:t>
      </w:r>
      <w:r w:rsidR="00905E6D">
        <w:t xml:space="preserve">referred to </w:t>
      </w:r>
      <w:r>
        <w:t xml:space="preserve">with approval in </w:t>
      </w:r>
      <w:r w:rsidRPr="0096250F">
        <w:rPr>
          <w:rFonts w:cs="Arial"/>
          <w:b/>
          <w:bCs/>
        </w:rPr>
        <w:t xml:space="preserve">Kouwenhoven v Minister of Police </w:t>
      </w:r>
      <w:r w:rsidRPr="0096250F">
        <w:rPr>
          <w:rFonts w:cs="Arial"/>
          <w:b/>
          <w:bCs/>
        </w:rPr>
        <w:lastRenderedPageBreak/>
        <w:t>and Others</w:t>
      </w:r>
      <w:r w:rsidRPr="008D6A29">
        <w:rPr>
          <w:rFonts w:cs="Arial"/>
        </w:rPr>
        <w:t xml:space="preserve"> (888/2020) [2021] ZASCA 119 (22 September 2021) </w:t>
      </w:r>
      <w:r>
        <w:t xml:space="preserve">at paragraph 32 (fn 23). In this judgment the Supreme Court of Appeal also criticised </w:t>
      </w:r>
      <w:r>
        <w:rPr>
          <w:b/>
          <w:bCs/>
        </w:rPr>
        <w:t xml:space="preserve">Papenfus </w:t>
      </w:r>
      <w:r>
        <w:t xml:space="preserve">insofar as it had invoked and extended the old evidentiary rules of England but does not appear to have overruled the principles as enunciated in </w:t>
      </w:r>
      <w:r>
        <w:rPr>
          <w:b/>
          <w:bCs/>
        </w:rPr>
        <w:t>Royal Hotel</w:t>
      </w:r>
      <w:r>
        <w:t xml:space="preserve"> and then applied in </w:t>
      </w:r>
      <w:r>
        <w:rPr>
          <w:b/>
          <w:bCs/>
        </w:rPr>
        <w:t>Papenfus</w:t>
      </w:r>
      <w:r>
        <w:rPr>
          <w:b/>
          <w:bCs/>
          <w:i/>
          <w:iCs/>
        </w:rPr>
        <w:t xml:space="preserve"> </w:t>
      </w:r>
      <w:r w:rsidRPr="0096250F">
        <w:t>insofar as th</w:t>
      </w:r>
      <w:r>
        <w:t>e regulations are concerned.</w:t>
      </w:r>
    </w:p>
    <w:p w14:paraId="7ABEC114" w14:textId="12304B01" w:rsidR="006345D4" w:rsidRDefault="0096250F" w:rsidP="0096250F">
      <w:pPr>
        <w:pStyle w:val="Indent"/>
        <w:numPr>
          <w:ilvl w:val="0"/>
          <w:numId w:val="0"/>
        </w:numPr>
      </w:pPr>
      <w:r>
        <w:t>[15]</w:t>
      </w:r>
      <w:r>
        <w:tab/>
      </w:r>
      <w:r w:rsidR="00164BE2">
        <w:t>In the circumstances</w:t>
      </w:r>
      <w:r>
        <w:t xml:space="preserve"> I conclude </w:t>
      </w:r>
      <w:r w:rsidR="00754AEE">
        <w:t xml:space="preserve">that </w:t>
      </w:r>
      <w:r>
        <w:t xml:space="preserve">I am bound by the decision of </w:t>
      </w:r>
      <w:r>
        <w:rPr>
          <w:b/>
          <w:bCs/>
        </w:rPr>
        <w:t>Van Schalkwyk</w:t>
      </w:r>
      <w:r w:rsidR="00B60852">
        <w:rPr>
          <w:b/>
          <w:bCs/>
        </w:rPr>
        <w:t xml:space="preserve"> </w:t>
      </w:r>
      <w:r w:rsidR="00B60852">
        <w:t xml:space="preserve">to the effect that the interest of an attorney </w:t>
      </w:r>
      <w:r w:rsidR="00754AEE">
        <w:t xml:space="preserve">(acting as commissioner of oaths) </w:t>
      </w:r>
      <w:r w:rsidR="00B60852">
        <w:t xml:space="preserve">of a client in litigation where that </w:t>
      </w:r>
      <w:r w:rsidR="00754AEE">
        <w:t xml:space="preserve">commissioner of oaths </w:t>
      </w:r>
      <w:r w:rsidR="00B60852">
        <w:t>is not the attorney of record in the matter in which the affidavit is commissioned</w:t>
      </w:r>
      <w:r w:rsidR="00164BE2">
        <w:t>,</w:t>
      </w:r>
      <w:r w:rsidR="00754AEE">
        <w:t xml:space="preserve"> does not have pecuniary interest or an interest in a proprietary right or an interest by which the legal rights or liabilities of the commissioner of oaths were affected </w:t>
      </w:r>
      <w:r>
        <w:t xml:space="preserve">and accordingly </w:t>
      </w:r>
      <w:r w:rsidR="00164BE2">
        <w:t xml:space="preserve">I grant </w:t>
      </w:r>
      <w:r w:rsidR="006345D4">
        <w:t xml:space="preserve">default judgment against the First and Second Defendants, jointly and severally, the one paying the other to be absolved as follows: </w:t>
      </w:r>
    </w:p>
    <w:p w14:paraId="679A8F53" w14:textId="77777777" w:rsidR="006345D4" w:rsidRPr="006345D4" w:rsidRDefault="006345D4" w:rsidP="006345D4">
      <w:pPr>
        <w:pStyle w:val="ListParagraph"/>
        <w:numPr>
          <w:ilvl w:val="0"/>
          <w:numId w:val="50"/>
        </w:numPr>
        <w:tabs>
          <w:tab w:val="left" w:pos="854"/>
        </w:tabs>
        <w:spacing w:line="480" w:lineRule="auto"/>
        <w:ind w:right="0"/>
        <w:rPr>
          <w:sz w:val="25"/>
          <w:szCs w:val="25"/>
        </w:rPr>
      </w:pPr>
      <w:r w:rsidRPr="006345D4">
        <w:rPr>
          <w:sz w:val="25"/>
          <w:szCs w:val="25"/>
        </w:rPr>
        <w:t>Payment</w:t>
      </w:r>
      <w:r w:rsidRPr="006345D4">
        <w:rPr>
          <w:spacing w:val="-10"/>
          <w:sz w:val="25"/>
          <w:szCs w:val="25"/>
        </w:rPr>
        <w:t xml:space="preserve"> </w:t>
      </w:r>
      <w:r w:rsidRPr="006345D4">
        <w:rPr>
          <w:sz w:val="25"/>
          <w:szCs w:val="25"/>
        </w:rPr>
        <w:t>of</w:t>
      </w:r>
      <w:r w:rsidRPr="006345D4">
        <w:rPr>
          <w:spacing w:val="-10"/>
          <w:sz w:val="25"/>
          <w:szCs w:val="25"/>
        </w:rPr>
        <w:t xml:space="preserve"> </w:t>
      </w:r>
      <w:r w:rsidRPr="006345D4">
        <w:rPr>
          <w:sz w:val="25"/>
          <w:szCs w:val="25"/>
        </w:rPr>
        <w:t>the</w:t>
      </w:r>
      <w:r w:rsidRPr="006345D4">
        <w:rPr>
          <w:spacing w:val="-11"/>
          <w:sz w:val="25"/>
          <w:szCs w:val="25"/>
        </w:rPr>
        <w:t xml:space="preserve"> </w:t>
      </w:r>
      <w:r w:rsidRPr="006345D4">
        <w:rPr>
          <w:sz w:val="25"/>
          <w:szCs w:val="25"/>
        </w:rPr>
        <w:t>amount</w:t>
      </w:r>
      <w:r w:rsidRPr="006345D4">
        <w:rPr>
          <w:spacing w:val="-9"/>
          <w:sz w:val="25"/>
          <w:szCs w:val="25"/>
        </w:rPr>
        <w:t xml:space="preserve"> </w:t>
      </w:r>
      <w:r w:rsidRPr="006345D4">
        <w:rPr>
          <w:sz w:val="25"/>
          <w:szCs w:val="25"/>
        </w:rPr>
        <w:t>of</w:t>
      </w:r>
      <w:r w:rsidRPr="006345D4">
        <w:rPr>
          <w:spacing w:val="-10"/>
          <w:sz w:val="25"/>
          <w:szCs w:val="25"/>
        </w:rPr>
        <w:t xml:space="preserve"> </w:t>
      </w:r>
      <w:r w:rsidRPr="006345D4">
        <w:rPr>
          <w:bCs/>
          <w:sz w:val="25"/>
          <w:szCs w:val="25"/>
        </w:rPr>
        <w:t>R1</w:t>
      </w:r>
      <w:r w:rsidRPr="006345D4">
        <w:rPr>
          <w:bCs/>
          <w:spacing w:val="-11"/>
          <w:sz w:val="25"/>
          <w:szCs w:val="25"/>
        </w:rPr>
        <w:t xml:space="preserve"> </w:t>
      </w:r>
      <w:r w:rsidRPr="006345D4">
        <w:rPr>
          <w:bCs/>
          <w:sz w:val="25"/>
          <w:szCs w:val="25"/>
        </w:rPr>
        <w:t>110</w:t>
      </w:r>
      <w:r w:rsidRPr="006345D4">
        <w:rPr>
          <w:bCs/>
          <w:spacing w:val="-9"/>
          <w:sz w:val="25"/>
          <w:szCs w:val="25"/>
        </w:rPr>
        <w:t xml:space="preserve"> </w:t>
      </w:r>
      <w:r w:rsidRPr="006345D4">
        <w:rPr>
          <w:bCs/>
          <w:spacing w:val="-2"/>
          <w:sz w:val="25"/>
          <w:szCs w:val="25"/>
        </w:rPr>
        <w:t>950.94</w:t>
      </w:r>
      <w:r w:rsidRPr="006345D4">
        <w:rPr>
          <w:spacing w:val="-2"/>
          <w:sz w:val="25"/>
          <w:szCs w:val="25"/>
        </w:rPr>
        <w:t>;</w:t>
      </w:r>
    </w:p>
    <w:p w14:paraId="2F795FC2" w14:textId="77777777" w:rsidR="006345D4" w:rsidRPr="006345D4" w:rsidRDefault="006345D4" w:rsidP="006345D4">
      <w:pPr>
        <w:pStyle w:val="BodyText"/>
        <w:spacing w:line="480" w:lineRule="auto"/>
        <w:rPr>
          <w:sz w:val="25"/>
          <w:szCs w:val="25"/>
        </w:rPr>
      </w:pPr>
    </w:p>
    <w:p w14:paraId="28EE4C83" w14:textId="77777777" w:rsidR="006345D4" w:rsidRDefault="006345D4" w:rsidP="006345D4">
      <w:pPr>
        <w:pStyle w:val="ListParagraph"/>
        <w:numPr>
          <w:ilvl w:val="0"/>
          <w:numId w:val="50"/>
        </w:numPr>
        <w:tabs>
          <w:tab w:val="left" w:pos="854"/>
        </w:tabs>
        <w:spacing w:before="221" w:line="480" w:lineRule="auto"/>
        <w:ind w:right="114"/>
        <w:jc w:val="both"/>
        <w:rPr>
          <w:sz w:val="25"/>
          <w:szCs w:val="25"/>
        </w:rPr>
      </w:pPr>
      <w:r w:rsidRPr="006345D4">
        <w:rPr>
          <w:sz w:val="25"/>
          <w:szCs w:val="25"/>
        </w:rPr>
        <w:t>Interest</w:t>
      </w:r>
      <w:r w:rsidRPr="006345D4">
        <w:rPr>
          <w:spacing w:val="-6"/>
          <w:sz w:val="25"/>
          <w:szCs w:val="25"/>
        </w:rPr>
        <w:t xml:space="preserve"> </w:t>
      </w:r>
      <w:r w:rsidRPr="006345D4">
        <w:rPr>
          <w:sz w:val="25"/>
          <w:szCs w:val="25"/>
        </w:rPr>
        <w:t>on</w:t>
      </w:r>
      <w:r w:rsidRPr="006345D4">
        <w:rPr>
          <w:spacing w:val="-2"/>
          <w:sz w:val="25"/>
          <w:szCs w:val="25"/>
        </w:rPr>
        <w:t xml:space="preserve"> </w:t>
      </w:r>
      <w:r w:rsidRPr="006345D4">
        <w:rPr>
          <w:sz w:val="25"/>
          <w:szCs w:val="25"/>
        </w:rPr>
        <w:t>the</w:t>
      </w:r>
      <w:r w:rsidRPr="006345D4">
        <w:rPr>
          <w:spacing w:val="-2"/>
          <w:sz w:val="25"/>
          <w:szCs w:val="25"/>
        </w:rPr>
        <w:t xml:space="preserve"> </w:t>
      </w:r>
      <w:r w:rsidRPr="006345D4">
        <w:rPr>
          <w:sz w:val="25"/>
          <w:szCs w:val="25"/>
        </w:rPr>
        <w:t>amount</w:t>
      </w:r>
      <w:r w:rsidRPr="006345D4">
        <w:rPr>
          <w:spacing w:val="-2"/>
          <w:sz w:val="25"/>
          <w:szCs w:val="25"/>
        </w:rPr>
        <w:t xml:space="preserve"> </w:t>
      </w:r>
      <w:r w:rsidRPr="006345D4">
        <w:rPr>
          <w:sz w:val="25"/>
          <w:szCs w:val="25"/>
        </w:rPr>
        <w:t>referred</w:t>
      </w:r>
      <w:r w:rsidRPr="006345D4">
        <w:rPr>
          <w:spacing w:val="-2"/>
          <w:sz w:val="25"/>
          <w:szCs w:val="25"/>
        </w:rPr>
        <w:t xml:space="preserve"> </w:t>
      </w:r>
      <w:r w:rsidRPr="006345D4">
        <w:rPr>
          <w:sz w:val="25"/>
          <w:szCs w:val="25"/>
        </w:rPr>
        <w:t>to</w:t>
      </w:r>
      <w:r w:rsidRPr="006345D4">
        <w:rPr>
          <w:spacing w:val="-2"/>
          <w:sz w:val="25"/>
          <w:szCs w:val="25"/>
        </w:rPr>
        <w:t xml:space="preserve"> </w:t>
      </w:r>
      <w:r w:rsidRPr="006345D4">
        <w:rPr>
          <w:sz w:val="25"/>
          <w:szCs w:val="25"/>
        </w:rPr>
        <w:t>immediately</w:t>
      </w:r>
      <w:r w:rsidRPr="006345D4">
        <w:rPr>
          <w:spacing w:val="-2"/>
          <w:sz w:val="25"/>
          <w:szCs w:val="25"/>
        </w:rPr>
        <w:t xml:space="preserve"> </w:t>
      </w:r>
      <w:r w:rsidRPr="006345D4">
        <w:rPr>
          <w:sz w:val="25"/>
          <w:szCs w:val="25"/>
        </w:rPr>
        <w:t>above</w:t>
      </w:r>
      <w:r w:rsidRPr="006345D4">
        <w:rPr>
          <w:spacing w:val="-2"/>
          <w:sz w:val="25"/>
          <w:szCs w:val="25"/>
        </w:rPr>
        <w:t xml:space="preserve"> </w:t>
      </w:r>
      <w:r w:rsidRPr="006345D4">
        <w:rPr>
          <w:sz w:val="25"/>
          <w:szCs w:val="25"/>
        </w:rPr>
        <w:t>at</w:t>
      </w:r>
      <w:r w:rsidRPr="006345D4">
        <w:rPr>
          <w:spacing w:val="-2"/>
          <w:sz w:val="25"/>
          <w:szCs w:val="25"/>
        </w:rPr>
        <w:t xml:space="preserve"> </w:t>
      </w:r>
      <w:r w:rsidRPr="006345D4">
        <w:rPr>
          <w:sz w:val="25"/>
          <w:szCs w:val="25"/>
        </w:rPr>
        <w:t>the</w:t>
      </w:r>
      <w:r w:rsidRPr="006345D4">
        <w:rPr>
          <w:spacing w:val="-2"/>
          <w:sz w:val="25"/>
          <w:szCs w:val="25"/>
        </w:rPr>
        <w:t xml:space="preserve"> </w:t>
      </w:r>
      <w:r w:rsidRPr="006345D4">
        <w:rPr>
          <w:sz w:val="25"/>
          <w:szCs w:val="25"/>
        </w:rPr>
        <w:t>rate</w:t>
      </w:r>
      <w:r w:rsidRPr="006345D4">
        <w:rPr>
          <w:spacing w:val="-2"/>
          <w:sz w:val="25"/>
          <w:szCs w:val="25"/>
        </w:rPr>
        <w:t xml:space="preserve"> </w:t>
      </w:r>
      <w:r w:rsidRPr="006345D4">
        <w:rPr>
          <w:sz w:val="25"/>
          <w:szCs w:val="25"/>
        </w:rPr>
        <w:t>of</w:t>
      </w:r>
      <w:r w:rsidRPr="006345D4">
        <w:rPr>
          <w:spacing w:val="-2"/>
          <w:sz w:val="25"/>
          <w:szCs w:val="25"/>
        </w:rPr>
        <w:t xml:space="preserve"> </w:t>
      </w:r>
      <w:r w:rsidRPr="006345D4">
        <w:rPr>
          <w:bCs/>
          <w:sz w:val="25"/>
          <w:szCs w:val="25"/>
        </w:rPr>
        <w:t>7.99</w:t>
      </w:r>
      <w:r w:rsidRPr="006345D4">
        <w:rPr>
          <w:b/>
          <w:sz w:val="25"/>
          <w:szCs w:val="25"/>
        </w:rPr>
        <w:t>%</w:t>
      </w:r>
      <w:r w:rsidRPr="006345D4">
        <w:rPr>
          <w:b/>
          <w:spacing w:val="-2"/>
          <w:sz w:val="25"/>
          <w:szCs w:val="25"/>
        </w:rPr>
        <w:t xml:space="preserve"> </w:t>
      </w:r>
      <w:r w:rsidRPr="006345D4">
        <w:rPr>
          <w:sz w:val="25"/>
          <w:szCs w:val="25"/>
        </w:rPr>
        <w:t>per</w:t>
      </w:r>
      <w:r w:rsidRPr="006345D4">
        <w:rPr>
          <w:spacing w:val="-2"/>
          <w:sz w:val="25"/>
          <w:szCs w:val="25"/>
        </w:rPr>
        <w:t xml:space="preserve"> </w:t>
      </w:r>
      <w:r w:rsidRPr="006345D4">
        <w:rPr>
          <w:sz w:val="25"/>
          <w:szCs w:val="25"/>
        </w:rPr>
        <w:t xml:space="preserve">annum from </w:t>
      </w:r>
      <w:r w:rsidRPr="006345D4">
        <w:rPr>
          <w:bCs/>
          <w:sz w:val="25"/>
          <w:szCs w:val="25"/>
        </w:rPr>
        <w:t>14 DECEMBER 2021</w:t>
      </w:r>
      <w:r w:rsidRPr="006345D4">
        <w:rPr>
          <w:b/>
          <w:sz w:val="25"/>
          <w:szCs w:val="25"/>
        </w:rPr>
        <w:t xml:space="preserve"> </w:t>
      </w:r>
      <w:r w:rsidRPr="006345D4">
        <w:rPr>
          <w:sz w:val="25"/>
          <w:szCs w:val="25"/>
        </w:rPr>
        <w:t>to date of payment,</w:t>
      </w:r>
      <w:r w:rsidRPr="006345D4">
        <w:rPr>
          <w:spacing w:val="40"/>
          <w:sz w:val="25"/>
          <w:szCs w:val="25"/>
        </w:rPr>
        <w:t xml:space="preserve"> </w:t>
      </w:r>
      <w:r w:rsidRPr="006345D4">
        <w:rPr>
          <w:sz w:val="25"/>
          <w:szCs w:val="25"/>
        </w:rPr>
        <w:t>both dates inclusive;</w:t>
      </w:r>
    </w:p>
    <w:p w14:paraId="58FA0E70" w14:textId="77777777" w:rsidR="006345D4" w:rsidRPr="006345D4" w:rsidRDefault="006345D4" w:rsidP="006345D4">
      <w:pPr>
        <w:pStyle w:val="ListParagraph"/>
        <w:rPr>
          <w:szCs w:val="25"/>
        </w:rPr>
      </w:pPr>
    </w:p>
    <w:p w14:paraId="04270294" w14:textId="61573C69" w:rsidR="006345D4" w:rsidRPr="006345D4" w:rsidRDefault="006345D4" w:rsidP="006345D4">
      <w:pPr>
        <w:pStyle w:val="ListParagraph"/>
        <w:numPr>
          <w:ilvl w:val="0"/>
          <w:numId w:val="50"/>
        </w:numPr>
        <w:tabs>
          <w:tab w:val="left" w:pos="854"/>
        </w:tabs>
        <w:spacing w:before="221" w:line="480" w:lineRule="auto"/>
        <w:ind w:right="114"/>
        <w:jc w:val="both"/>
        <w:rPr>
          <w:sz w:val="25"/>
          <w:szCs w:val="25"/>
        </w:rPr>
      </w:pPr>
      <w:r w:rsidRPr="006345D4">
        <w:rPr>
          <w:sz w:val="25"/>
          <w:szCs w:val="25"/>
        </w:rPr>
        <w:t xml:space="preserve">That the immovable property described as: </w:t>
      </w:r>
      <w:r w:rsidRPr="006345D4">
        <w:rPr>
          <w:b/>
          <w:sz w:val="25"/>
          <w:szCs w:val="25"/>
        </w:rPr>
        <w:t>A UNIT CONSISTING - SECTION NUMBER 15 AS SHOWN AND MORE FULLY DESCRIBED ON SECTIONAL PLAN NO. SS269/2012 IN THE SCHEME KNOWN AS MARSH ROSE IN RESPECT OF THE LAND AND BUILDING OR BUILDINGS SITUATE AT COUNTRY VIEW EXTENSION 1 TOWNSHIP, LOCAL AUTHORITY: CITY</w:t>
      </w:r>
      <w:r w:rsidRPr="006345D4">
        <w:rPr>
          <w:b/>
          <w:spacing w:val="40"/>
          <w:sz w:val="25"/>
          <w:szCs w:val="25"/>
        </w:rPr>
        <w:t xml:space="preserve">  </w:t>
      </w:r>
      <w:r w:rsidRPr="006345D4">
        <w:rPr>
          <w:b/>
          <w:sz w:val="25"/>
          <w:szCs w:val="25"/>
        </w:rPr>
        <w:t>OF</w:t>
      </w:r>
      <w:r w:rsidRPr="006345D4">
        <w:rPr>
          <w:b/>
          <w:spacing w:val="40"/>
          <w:sz w:val="25"/>
          <w:szCs w:val="25"/>
        </w:rPr>
        <w:t xml:space="preserve">  </w:t>
      </w:r>
      <w:r w:rsidRPr="006345D4">
        <w:rPr>
          <w:b/>
          <w:sz w:val="25"/>
          <w:szCs w:val="25"/>
        </w:rPr>
        <w:t>JOHANNESBURG</w:t>
      </w:r>
      <w:r w:rsidRPr="006345D4">
        <w:rPr>
          <w:b/>
          <w:spacing w:val="40"/>
          <w:sz w:val="25"/>
          <w:szCs w:val="25"/>
        </w:rPr>
        <w:t xml:space="preserve">  </w:t>
      </w:r>
      <w:r w:rsidRPr="006345D4">
        <w:rPr>
          <w:b/>
          <w:sz w:val="25"/>
          <w:szCs w:val="25"/>
        </w:rPr>
        <w:t>METROPOLITAN</w:t>
      </w:r>
      <w:r w:rsidRPr="006345D4">
        <w:rPr>
          <w:b/>
          <w:spacing w:val="40"/>
          <w:sz w:val="25"/>
          <w:szCs w:val="25"/>
        </w:rPr>
        <w:t xml:space="preserve">  </w:t>
      </w:r>
      <w:r w:rsidRPr="006345D4">
        <w:rPr>
          <w:b/>
          <w:sz w:val="25"/>
          <w:szCs w:val="25"/>
        </w:rPr>
        <w:t>MUNICIPALITY</w:t>
      </w:r>
      <w:r w:rsidRPr="006345D4">
        <w:rPr>
          <w:b/>
          <w:spacing w:val="40"/>
          <w:sz w:val="25"/>
          <w:szCs w:val="25"/>
        </w:rPr>
        <w:t xml:space="preserve">  </w:t>
      </w:r>
      <w:r w:rsidRPr="006345D4">
        <w:rPr>
          <w:b/>
          <w:sz w:val="25"/>
          <w:szCs w:val="25"/>
        </w:rPr>
        <w:t>OF</w:t>
      </w:r>
      <w:r w:rsidRPr="006345D4">
        <w:rPr>
          <w:b/>
          <w:spacing w:val="40"/>
          <w:sz w:val="25"/>
          <w:szCs w:val="25"/>
        </w:rPr>
        <w:t xml:space="preserve">  </w:t>
      </w:r>
      <w:r w:rsidRPr="006345D4">
        <w:rPr>
          <w:b/>
          <w:sz w:val="25"/>
          <w:szCs w:val="25"/>
        </w:rPr>
        <w:t>WHICH SECTION THE FLOOR AREA, ACCORDING TO THE SAID SECTIONAL PLAN, IS 171 (ONE HUNDRED AND SEVENTY ONE) SQUARE METRES IN EXTENT; AND AN UNDIVIDED SHARE IN THE COMMON PROPERTY IN THE SCHEME APPORTIONED TO THE SAID SECTION IN ACCORDANCE WITH THE PARTICIPATION</w:t>
      </w:r>
      <w:r w:rsidRPr="006345D4">
        <w:rPr>
          <w:b/>
          <w:spacing w:val="49"/>
          <w:w w:val="150"/>
          <w:sz w:val="25"/>
          <w:szCs w:val="25"/>
        </w:rPr>
        <w:t xml:space="preserve"> </w:t>
      </w:r>
      <w:r w:rsidRPr="006345D4">
        <w:rPr>
          <w:b/>
          <w:sz w:val="25"/>
          <w:szCs w:val="25"/>
        </w:rPr>
        <w:t>QUOTA</w:t>
      </w:r>
      <w:r w:rsidRPr="006345D4">
        <w:rPr>
          <w:b/>
          <w:spacing w:val="49"/>
          <w:w w:val="150"/>
          <w:sz w:val="25"/>
          <w:szCs w:val="25"/>
        </w:rPr>
        <w:t xml:space="preserve"> </w:t>
      </w:r>
      <w:r w:rsidRPr="006345D4">
        <w:rPr>
          <w:b/>
          <w:sz w:val="25"/>
          <w:szCs w:val="25"/>
        </w:rPr>
        <w:t>AS</w:t>
      </w:r>
      <w:r w:rsidRPr="006345D4">
        <w:rPr>
          <w:b/>
          <w:spacing w:val="49"/>
          <w:w w:val="150"/>
          <w:sz w:val="25"/>
          <w:szCs w:val="25"/>
        </w:rPr>
        <w:t xml:space="preserve"> </w:t>
      </w:r>
      <w:r w:rsidRPr="006345D4">
        <w:rPr>
          <w:b/>
          <w:sz w:val="25"/>
          <w:szCs w:val="25"/>
        </w:rPr>
        <w:t>ENDORSED</w:t>
      </w:r>
      <w:r w:rsidRPr="006345D4">
        <w:rPr>
          <w:b/>
          <w:spacing w:val="50"/>
          <w:w w:val="150"/>
          <w:sz w:val="25"/>
          <w:szCs w:val="25"/>
        </w:rPr>
        <w:t xml:space="preserve"> </w:t>
      </w:r>
      <w:r w:rsidRPr="006345D4">
        <w:rPr>
          <w:b/>
          <w:sz w:val="25"/>
          <w:szCs w:val="25"/>
        </w:rPr>
        <w:t>ON</w:t>
      </w:r>
      <w:r w:rsidRPr="006345D4">
        <w:rPr>
          <w:b/>
          <w:spacing w:val="49"/>
          <w:w w:val="150"/>
          <w:sz w:val="25"/>
          <w:szCs w:val="25"/>
        </w:rPr>
        <w:t xml:space="preserve"> </w:t>
      </w:r>
      <w:r w:rsidRPr="006345D4">
        <w:rPr>
          <w:b/>
          <w:sz w:val="25"/>
          <w:szCs w:val="25"/>
        </w:rPr>
        <w:t>THE</w:t>
      </w:r>
      <w:r w:rsidRPr="006345D4">
        <w:rPr>
          <w:b/>
          <w:spacing w:val="49"/>
          <w:w w:val="150"/>
          <w:sz w:val="25"/>
          <w:szCs w:val="25"/>
        </w:rPr>
        <w:t xml:space="preserve"> </w:t>
      </w:r>
      <w:r w:rsidRPr="006345D4">
        <w:rPr>
          <w:b/>
          <w:sz w:val="25"/>
          <w:szCs w:val="25"/>
        </w:rPr>
        <w:t>SAID</w:t>
      </w:r>
      <w:r w:rsidRPr="006345D4">
        <w:rPr>
          <w:b/>
          <w:spacing w:val="50"/>
          <w:w w:val="150"/>
          <w:sz w:val="25"/>
          <w:szCs w:val="25"/>
        </w:rPr>
        <w:t xml:space="preserve"> </w:t>
      </w:r>
      <w:r w:rsidRPr="006345D4">
        <w:rPr>
          <w:b/>
          <w:sz w:val="25"/>
          <w:szCs w:val="25"/>
        </w:rPr>
        <w:t>SECTIONAL</w:t>
      </w:r>
      <w:r w:rsidRPr="006345D4">
        <w:rPr>
          <w:b/>
          <w:spacing w:val="49"/>
          <w:w w:val="150"/>
          <w:sz w:val="25"/>
          <w:szCs w:val="25"/>
        </w:rPr>
        <w:t xml:space="preserve"> </w:t>
      </w:r>
      <w:r w:rsidRPr="006345D4">
        <w:rPr>
          <w:b/>
          <w:spacing w:val="-2"/>
          <w:sz w:val="25"/>
          <w:szCs w:val="25"/>
        </w:rPr>
        <w:t xml:space="preserve">PLAN </w:t>
      </w:r>
      <w:r w:rsidRPr="006345D4">
        <w:rPr>
          <w:b/>
          <w:sz w:val="25"/>
          <w:szCs w:val="25"/>
        </w:rPr>
        <w:t>HELD BY DEED OF TRANSFER NUMBER ST44766/2012</w:t>
      </w:r>
      <w:r w:rsidRPr="006345D4">
        <w:rPr>
          <w:sz w:val="25"/>
          <w:szCs w:val="25"/>
        </w:rPr>
        <w:t xml:space="preserve">, </w:t>
      </w:r>
      <w:r>
        <w:rPr>
          <w:sz w:val="25"/>
          <w:szCs w:val="25"/>
        </w:rPr>
        <w:t>is</w:t>
      </w:r>
      <w:r w:rsidRPr="006345D4">
        <w:rPr>
          <w:sz w:val="25"/>
          <w:szCs w:val="25"/>
        </w:rPr>
        <w:t xml:space="preserve"> declared executable for the aforesaid amounts;</w:t>
      </w:r>
    </w:p>
    <w:p w14:paraId="11215EF9" w14:textId="77777777" w:rsidR="006345D4" w:rsidRPr="006345D4" w:rsidRDefault="006345D4" w:rsidP="006345D4">
      <w:pPr>
        <w:pStyle w:val="ListParagraph"/>
        <w:spacing w:line="480" w:lineRule="auto"/>
        <w:rPr>
          <w:sz w:val="25"/>
          <w:szCs w:val="25"/>
        </w:rPr>
      </w:pPr>
    </w:p>
    <w:p w14:paraId="4ED0E253" w14:textId="09D17018" w:rsidR="006345D4" w:rsidRPr="006345D4" w:rsidRDefault="006345D4" w:rsidP="006345D4">
      <w:pPr>
        <w:pStyle w:val="ListParagraph"/>
        <w:numPr>
          <w:ilvl w:val="0"/>
          <w:numId w:val="50"/>
        </w:numPr>
        <w:tabs>
          <w:tab w:val="left" w:pos="854"/>
        </w:tabs>
        <w:spacing w:line="480" w:lineRule="auto"/>
        <w:jc w:val="both"/>
        <w:rPr>
          <w:sz w:val="25"/>
          <w:szCs w:val="25"/>
        </w:rPr>
      </w:pPr>
      <w:r>
        <w:rPr>
          <w:sz w:val="25"/>
          <w:szCs w:val="25"/>
        </w:rPr>
        <w:t>T</w:t>
      </w:r>
      <w:r w:rsidRPr="006345D4">
        <w:rPr>
          <w:sz w:val="25"/>
          <w:szCs w:val="25"/>
        </w:rPr>
        <w:t>he issuing of a writ of execution in terms of Rule 46 as read with 46A for the attachment of the Property</w:t>
      </w:r>
      <w:r>
        <w:rPr>
          <w:sz w:val="25"/>
          <w:szCs w:val="25"/>
        </w:rPr>
        <w:t xml:space="preserve"> is authorised</w:t>
      </w:r>
      <w:r w:rsidRPr="006345D4">
        <w:rPr>
          <w:sz w:val="25"/>
          <w:szCs w:val="25"/>
        </w:rPr>
        <w:t>;</w:t>
      </w:r>
    </w:p>
    <w:p w14:paraId="3E87644B" w14:textId="77777777" w:rsidR="006345D4" w:rsidRPr="006345D4" w:rsidRDefault="006345D4" w:rsidP="006345D4">
      <w:pPr>
        <w:pStyle w:val="BodyText"/>
        <w:spacing w:before="4" w:line="480" w:lineRule="auto"/>
        <w:rPr>
          <w:sz w:val="25"/>
          <w:szCs w:val="25"/>
        </w:rPr>
      </w:pPr>
    </w:p>
    <w:p w14:paraId="6B1F586D" w14:textId="00FBD783" w:rsidR="006345D4" w:rsidRPr="006345D4" w:rsidRDefault="006345D4" w:rsidP="006345D4">
      <w:pPr>
        <w:pStyle w:val="ListParagraph"/>
        <w:numPr>
          <w:ilvl w:val="0"/>
          <w:numId w:val="50"/>
        </w:numPr>
        <w:tabs>
          <w:tab w:val="left" w:pos="854"/>
        </w:tabs>
        <w:spacing w:line="480" w:lineRule="auto"/>
        <w:jc w:val="both"/>
        <w:rPr>
          <w:sz w:val="25"/>
          <w:szCs w:val="25"/>
        </w:rPr>
      </w:pPr>
      <w:r w:rsidRPr="006345D4">
        <w:rPr>
          <w:sz w:val="25"/>
          <w:szCs w:val="25"/>
        </w:rPr>
        <w:t xml:space="preserve">A reserve price is set for the sale of the property, at the sale in execution, at </w:t>
      </w:r>
      <w:r w:rsidRPr="006345D4">
        <w:rPr>
          <w:bCs/>
          <w:sz w:val="25"/>
          <w:szCs w:val="25"/>
        </w:rPr>
        <w:t>R1</w:t>
      </w:r>
      <w:r w:rsidRPr="006345D4">
        <w:rPr>
          <w:bCs/>
          <w:spacing w:val="-11"/>
          <w:sz w:val="25"/>
          <w:szCs w:val="25"/>
        </w:rPr>
        <w:t xml:space="preserve"> </w:t>
      </w:r>
      <w:r w:rsidRPr="006345D4">
        <w:rPr>
          <w:bCs/>
          <w:sz w:val="25"/>
          <w:szCs w:val="25"/>
        </w:rPr>
        <w:t xml:space="preserve">016 </w:t>
      </w:r>
      <w:r w:rsidRPr="006345D4">
        <w:rPr>
          <w:bCs/>
          <w:spacing w:val="-2"/>
          <w:sz w:val="25"/>
          <w:szCs w:val="25"/>
        </w:rPr>
        <w:t>507.46</w:t>
      </w:r>
      <w:r>
        <w:rPr>
          <w:spacing w:val="-2"/>
          <w:sz w:val="25"/>
          <w:szCs w:val="25"/>
        </w:rPr>
        <w:t>;</w:t>
      </w:r>
    </w:p>
    <w:p w14:paraId="2C903CDE" w14:textId="77777777" w:rsidR="006345D4" w:rsidRPr="006345D4" w:rsidRDefault="006345D4" w:rsidP="006345D4">
      <w:pPr>
        <w:pStyle w:val="BodyText"/>
        <w:spacing w:before="3" w:line="480" w:lineRule="auto"/>
        <w:rPr>
          <w:sz w:val="25"/>
          <w:szCs w:val="25"/>
        </w:rPr>
      </w:pPr>
    </w:p>
    <w:p w14:paraId="347BE073" w14:textId="5BF1DCAA" w:rsidR="006345D4" w:rsidRPr="006345D4" w:rsidRDefault="006345D4" w:rsidP="006345D4">
      <w:pPr>
        <w:pStyle w:val="ListParagraph"/>
        <w:numPr>
          <w:ilvl w:val="0"/>
          <w:numId w:val="50"/>
        </w:numPr>
        <w:tabs>
          <w:tab w:val="left" w:pos="854"/>
        </w:tabs>
        <w:spacing w:line="480" w:lineRule="auto"/>
        <w:jc w:val="both"/>
        <w:rPr>
          <w:sz w:val="25"/>
          <w:szCs w:val="25"/>
        </w:rPr>
      </w:pPr>
      <w:r w:rsidRPr="006345D4">
        <w:rPr>
          <w:sz w:val="25"/>
          <w:szCs w:val="25"/>
        </w:rPr>
        <w:t xml:space="preserve">The Defendants are </w:t>
      </w:r>
      <w:r>
        <w:rPr>
          <w:sz w:val="25"/>
          <w:szCs w:val="25"/>
        </w:rPr>
        <w:t xml:space="preserve">to be advised through service of this order </w:t>
      </w:r>
      <w:r w:rsidRPr="006345D4">
        <w:rPr>
          <w:sz w:val="25"/>
          <w:szCs w:val="25"/>
        </w:rPr>
        <w:t>that the provisions of Section 129 (3) and (4) of the National</w:t>
      </w:r>
      <w:r w:rsidRPr="006345D4">
        <w:rPr>
          <w:spacing w:val="-9"/>
          <w:sz w:val="25"/>
          <w:szCs w:val="25"/>
        </w:rPr>
        <w:t xml:space="preserve"> </w:t>
      </w:r>
      <w:r w:rsidRPr="006345D4">
        <w:rPr>
          <w:sz w:val="25"/>
          <w:szCs w:val="25"/>
        </w:rPr>
        <w:t>Credit</w:t>
      </w:r>
      <w:r w:rsidRPr="006345D4">
        <w:rPr>
          <w:spacing w:val="-9"/>
          <w:sz w:val="25"/>
          <w:szCs w:val="25"/>
        </w:rPr>
        <w:t xml:space="preserve"> </w:t>
      </w:r>
      <w:r w:rsidRPr="006345D4">
        <w:rPr>
          <w:sz w:val="25"/>
          <w:szCs w:val="25"/>
        </w:rPr>
        <w:t>Act</w:t>
      </w:r>
      <w:r w:rsidRPr="006345D4">
        <w:rPr>
          <w:spacing w:val="-9"/>
          <w:sz w:val="25"/>
          <w:szCs w:val="25"/>
        </w:rPr>
        <w:t xml:space="preserve"> </w:t>
      </w:r>
      <w:r w:rsidRPr="006345D4">
        <w:rPr>
          <w:sz w:val="25"/>
          <w:szCs w:val="25"/>
        </w:rPr>
        <w:t>34</w:t>
      </w:r>
      <w:r w:rsidRPr="006345D4">
        <w:rPr>
          <w:spacing w:val="-9"/>
          <w:sz w:val="25"/>
          <w:szCs w:val="25"/>
        </w:rPr>
        <w:t xml:space="preserve"> </w:t>
      </w:r>
      <w:r w:rsidRPr="006345D4">
        <w:rPr>
          <w:sz w:val="25"/>
          <w:szCs w:val="25"/>
        </w:rPr>
        <w:t>of</w:t>
      </w:r>
      <w:r w:rsidRPr="006345D4">
        <w:rPr>
          <w:spacing w:val="-9"/>
          <w:sz w:val="25"/>
          <w:szCs w:val="25"/>
        </w:rPr>
        <w:t xml:space="preserve"> </w:t>
      </w:r>
      <w:r w:rsidRPr="006345D4">
        <w:rPr>
          <w:sz w:val="25"/>
          <w:szCs w:val="25"/>
        </w:rPr>
        <w:t>2005</w:t>
      </w:r>
      <w:r w:rsidRPr="006345D4">
        <w:rPr>
          <w:spacing w:val="-9"/>
          <w:sz w:val="25"/>
          <w:szCs w:val="25"/>
        </w:rPr>
        <w:t xml:space="preserve"> </w:t>
      </w:r>
      <w:r w:rsidRPr="006345D4">
        <w:rPr>
          <w:sz w:val="25"/>
          <w:szCs w:val="25"/>
        </w:rPr>
        <w:t>applied</w:t>
      </w:r>
      <w:r w:rsidRPr="006345D4">
        <w:rPr>
          <w:spacing w:val="-9"/>
          <w:sz w:val="25"/>
          <w:szCs w:val="25"/>
        </w:rPr>
        <w:t xml:space="preserve"> </w:t>
      </w:r>
      <w:r w:rsidRPr="006345D4">
        <w:rPr>
          <w:sz w:val="25"/>
          <w:szCs w:val="25"/>
        </w:rPr>
        <w:t>to</w:t>
      </w:r>
      <w:r w:rsidRPr="006345D4">
        <w:rPr>
          <w:spacing w:val="-9"/>
          <w:sz w:val="25"/>
          <w:szCs w:val="25"/>
        </w:rPr>
        <w:t xml:space="preserve"> </w:t>
      </w:r>
      <w:r w:rsidRPr="006345D4">
        <w:rPr>
          <w:sz w:val="25"/>
          <w:szCs w:val="25"/>
        </w:rPr>
        <w:t>the</w:t>
      </w:r>
      <w:r w:rsidRPr="006345D4">
        <w:rPr>
          <w:spacing w:val="-9"/>
          <w:sz w:val="25"/>
          <w:szCs w:val="25"/>
        </w:rPr>
        <w:t xml:space="preserve"> </w:t>
      </w:r>
      <w:r>
        <w:rPr>
          <w:spacing w:val="-9"/>
          <w:sz w:val="25"/>
          <w:szCs w:val="25"/>
        </w:rPr>
        <w:t xml:space="preserve">Default </w:t>
      </w:r>
      <w:r w:rsidRPr="006345D4">
        <w:rPr>
          <w:sz w:val="25"/>
          <w:szCs w:val="25"/>
        </w:rPr>
        <w:t>Judgment</w:t>
      </w:r>
      <w:r w:rsidRPr="006345D4">
        <w:rPr>
          <w:spacing w:val="-9"/>
          <w:sz w:val="25"/>
          <w:szCs w:val="25"/>
        </w:rPr>
        <w:t xml:space="preserve"> </w:t>
      </w:r>
      <w:r w:rsidRPr="006345D4">
        <w:rPr>
          <w:sz w:val="25"/>
          <w:szCs w:val="25"/>
        </w:rPr>
        <w:t>granted</w:t>
      </w:r>
      <w:r w:rsidRPr="006345D4">
        <w:rPr>
          <w:spacing w:val="-9"/>
          <w:sz w:val="25"/>
          <w:szCs w:val="25"/>
        </w:rPr>
        <w:t xml:space="preserve"> </w:t>
      </w:r>
      <w:r w:rsidRPr="006345D4">
        <w:rPr>
          <w:sz w:val="25"/>
          <w:szCs w:val="25"/>
        </w:rPr>
        <w:t>in</w:t>
      </w:r>
      <w:r w:rsidRPr="006345D4">
        <w:rPr>
          <w:spacing w:val="-9"/>
          <w:sz w:val="25"/>
          <w:szCs w:val="25"/>
        </w:rPr>
        <w:t xml:space="preserve"> </w:t>
      </w:r>
      <w:r w:rsidRPr="006345D4">
        <w:rPr>
          <w:sz w:val="25"/>
          <w:szCs w:val="25"/>
        </w:rPr>
        <w:t>favour</w:t>
      </w:r>
      <w:r w:rsidRPr="006345D4">
        <w:rPr>
          <w:spacing w:val="-9"/>
          <w:sz w:val="25"/>
          <w:szCs w:val="25"/>
        </w:rPr>
        <w:t xml:space="preserve"> </w:t>
      </w:r>
      <w:r w:rsidRPr="006345D4">
        <w:rPr>
          <w:sz w:val="25"/>
          <w:szCs w:val="25"/>
        </w:rPr>
        <w:t xml:space="preserve">of the Plaintiff. The Defendants may prevent the sale of the property described above, if </w:t>
      </w:r>
      <w:r>
        <w:rPr>
          <w:sz w:val="25"/>
          <w:szCs w:val="25"/>
        </w:rPr>
        <w:t>they</w:t>
      </w:r>
      <w:r w:rsidRPr="006345D4">
        <w:rPr>
          <w:spacing w:val="-14"/>
          <w:sz w:val="25"/>
          <w:szCs w:val="25"/>
        </w:rPr>
        <w:t xml:space="preserve"> </w:t>
      </w:r>
      <w:r w:rsidRPr="006345D4">
        <w:rPr>
          <w:sz w:val="25"/>
          <w:szCs w:val="25"/>
        </w:rPr>
        <w:t>pay</w:t>
      </w:r>
      <w:r w:rsidRPr="006345D4">
        <w:rPr>
          <w:spacing w:val="-14"/>
          <w:sz w:val="25"/>
          <w:szCs w:val="25"/>
        </w:rPr>
        <w:t xml:space="preserve"> </w:t>
      </w:r>
      <w:r w:rsidRPr="006345D4">
        <w:rPr>
          <w:sz w:val="25"/>
          <w:szCs w:val="25"/>
        </w:rPr>
        <w:t>the</w:t>
      </w:r>
      <w:r w:rsidRPr="006345D4">
        <w:rPr>
          <w:spacing w:val="-14"/>
          <w:sz w:val="25"/>
          <w:szCs w:val="25"/>
        </w:rPr>
        <w:t xml:space="preserve"> </w:t>
      </w:r>
      <w:r w:rsidRPr="006345D4">
        <w:rPr>
          <w:sz w:val="25"/>
          <w:szCs w:val="25"/>
        </w:rPr>
        <w:t>Plaintiff</w:t>
      </w:r>
      <w:r w:rsidRPr="006345D4">
        <w:rPr>
          <w:spacing w:val="-14"/>
          <w:sz w:val="25"/>
          <w:szCs w:val="25"/>
        </w:rPr>
        <w:t xml:space="preserve"> </w:t>
      </w:r>
      <w:r w:rsidRPr="006345D4">
        <w:rPr>
          <w:sz w:val="25"/>
          <w:szCs w:val="25"/>
        </w:rPr>
        <w:t>all</w:t>
      </w:r>
      <w:r w:rsidRPr="006345D4">
        <w:rPr>
          <w:spacing w:val="-14"/>
          <w:sz w:val="25"/>
          <w:szCs w:val="25"/>
        </w:rPr>
        <w:t xml:space="preserve"> </w:t>
      </w:r>
      <w:r w:rsidRPr="006345D4">
        <w:rPr>
          <w:sz w:val="25"/>
          <w:szCs w:val="25"/>
        </w:rPr>
        <w:t>of</w:t>
      </w:r>
      <w:r w:rsidRPr="006345D4">
        <w:rPr>
          <w:spacing w:val="-14"/>
          <w:sz w:val="25"/>
          <w:szCs w:val="25"/>
        </w:rPr>
        <w:t xml:space="preserve"> </w:t>
      </w:r>
      <w:r w:rsidRPr="006345D4">
        <w:rPr>
          <w:sz w:val="25"/>
          <w:szCs w:val="25"/>
        </w:rPr>
        <w:t>the</w:t>
      </w:r>
      <w:r w:rsidRPr="006345D4">
        <w:rPr>
          <w:spacing w:val="-14"/>
          <w:sz w:val="25"/>
          <w:szCs w:val="25"/>
        </w:rPr>
        <w:t xml:space="preserve"> </w:t>
      </w:r>
      <w:r w:rsidRPr="006345D4">
        <w:rPr>
          <w:sz w:val="25"/>
          <w:szCs w:val="25"/>
        </w:rPr>
        <w:t>arrear</w:t>
      </w:r>
      <w:r w:rsidRPr="006345D4">
        <w:rPr>
          <w:spacing w:val="-14"/>
          <w:sz w:val="25"/>
          <w:szCs w:val="25"/>
        </w:rPr>
        <w:t xml:space="preserve"> </w:t>
      </w:r>
      <w:r w:rsidRPr="006345D4">
        <w:rPr>
          <w:sz w:val="25"/>
          <w:szCs w:val="25"/>
        </w:rPr>
        <w:t>amounts</w:t>
      </w:r>
      <w:r w:rsidRPr="006345D4">
        <w:rPr>
          <w:spacing w:val="-14"/>
          <w:sz w:val="25"/>
          <w:szCs w:val="25"/>
        </w:rPr>
        <w:t xml:space="preserve"> </w:t>
      </w:r>
      <w:r w:rsidRPr="006345D4">
        <w:rPr>
          <w:sz w:val="25"/>
          <w:szCs w:val="25"/>
        </w:rPr>
        <w:t>owing</w:t>
      </w:r>
      <w:r w:rsidRPr="006345D4">
        <w:rPr>
          <w:spacing w:val="-14"/>
          <w:sz w:val="25"/>
          <w:szCs w:val="25"/>
        </w:rPr>
        <w:t xml:space="preserve"> </w:t>
      </w:r>
      <w:r w:rsidRPr="006345D4">
        <w:rPr>
          <w:sz w:val="25"/>
          <w:szCs w:val="25"/>
        </w:rPr>
        <w:t>by</w:t>
      </w:r>
      <w:r w:rsidRPr="006345D4">
        <w:rPr>
          <w:spacing w:val="-14"/>
          <w:sz w:val="25"/>
          <w:szCs w:val="25"/>
        </w:rPr>
        <w:t xml:space="preserve"> </w:t>
      </w:r>
      <w:r>
        <w:rPr>
          <w:sz w:val="25"/>
          <w:szCs w:val="25"/>
        </w:rPr>
        <w:t>them</w:t>
      </w:r>
      <w:r w:rsidRPr="006345D4">
        <w:rPr>
          <w:spacing w:val="-14"/>
          <w:sz w:val="25"/>
          <w:szCs w:val="25"/>
        </w:rPr>
        <w:t xml:space="preserve"> </w:t>
      </w:r>
      <w:r w:rsidRPr="006345D4">
        <w:rPr>
          <w:sz w:val="25"/>
          <w:szCs w:val="25"/>
        </w:rPr>
        <w:t>to</w:t>
      </w:r>
      <w:r w:rsidRPr="006345D4">
        <w:rPr>
          <w:spacing w:val="-14"/>
          <w:sz w:val="25"/>
          <w:szCs w:val="25"/>
        </w:rPr>
        <w:t xml:space="preserve"> </w:t>
      </w:r>
      <w:r w:rsidRPr="006345D4">
        <w:rPr>
          <w:sz w:val="25"/>
          <w:szCs w:val="25"/>
        </w:rPr>
        <w:t>the</w:t>
      </w:r>
      <w:r w:rsidRPr="006345D4">
        <w:rPr>
          <w:spacing w:val="-14"/>
          <w:sz w:val="25"/>
          <w:szCs w:val="25"/>
        </w:rPr>
        <w:t xml:space="preserve"> </w:t>
      </w:r>
      <w:r w:rsidRPr="006345D4">
        <w:rPr>
          <w:sz w:val="25"/>
          <w:szCs w:val="25"/>
        </w:rPr>
        <w:t>Plaintiff,</w:t>
      </w:r>
      <w:r w:rsidRPr="006345D4">
        <w:rPr>
          <w:spacing w:val="-14"/>
          <w:sz w:val="25"/>
          <w:szCs w:val="25"/>
        </w:rPr>
        <w:t xml:space="preserve"> </w:t>
      </w:r>
      <w:r w:rsidRPr="006345D4">
        <w:rPr>
          <w:sz w:val="25"/>
          <w:szCs w:val="25"/>
        </w:rPr>
        <w:t>together</w:t>
      </w:r>
      <w:r w:rsidRPr="006345D4">
        <w:rPr>
          <w:spacing w:val="-14"/>
          <w:sz w:val="25"/>
          <w:szCs w:val="25"/>
        </w:rPr>
        <w:t xml:space="preserve"> </w:t>
      </w:r>
      <w:r w:rsidRPr="006345D4">
        <w:rPr>
          <w:sz w:val="25"/>
          <w:szCs w:val="25"/>
        </w:rPr>
        <w:t>with the Plaintiff’s permitted default charges and reasonable costs of enforcing the Agreement up to the time of reinstatement</w:t>
      </w:r>
      <w:r>
        <w:rPr>
          <w:sz w:val="25"/>
          <w:szCs w:val="25"/>
        </w:rPr>
        <w:t>;</w:t>
      </w:r>
    </w:p>
    <w:p w14:paraId="0F5E606A" w14:textId="77777777" w:rsidR="006345D4" w:rsidRPr="006345D4" w:rsidRDefault="006345D4" w:rsidP="006345D4">
      <w:pPr>
        <w:pStyle w:val="BodyText"/>
        <w:spacing w:before="4" w:line="480" w:lineRule="auto"/>
        <w:rPr>
          <w:sz w:val="25"/>
          <w:szCs w:val="25"/>
        </w:rPr>
      </w:pPr>
    </w:p>
    <w:p w14:paraId="32A584AC" w14:textId="37519ACF" w:rsidR="006345D4" w:rsidRPr="006345D4" w:rsidRDefault="006345D4" w:rsidP="006345D4">
      <w:pPr>
        <w:pStyle w:val="ListParagraph"/>
        <w:numPr>
          <w:ilvl w:val="0"/>
          <w:numId w:val="50"/>
        </w:numPr>
        <w:tabs>
          <w:tab w:val="left" w:pos="854"/>
        </w:tabs>
        <w:spacing w:line="480" w:lineRule="auto"/>
        <w:jc w:val="both"/>
        <w:rPr>
          <w:sz w:val="25"/>
          <w:szCs w:val="25"/>
        </w:rPr>
      </w:pPr>
      <w:r w:rsidRPr="006345D4">
        <w:rPr>
          <w:sz w:val="25"/>
          <w:szCs w:val="25"/>
        </w:rPr>
        <w:t xml:space="preserve">The arrear </w:t>
      </w:r>
      <w:r>
        <w:rPr>
          <w:sz w:val="25"/>
          <w:szCs w:val="25"/>
        </w:rPr>
        <w:t>a</w:t>
      </w:r>
      <w:r w:rsidRPr="006345D4">
        <w:rPr>
          <w:sz w:val="25"/>
          <w:szCs w:val="25"/>
        </w:rPr>
        <w:t xml:space="preserve">mount and enforcement costs referred to in paragraph (f) above may be obtained from the Plaintiff. The Defendants are </w:t>
      </w:r>
      <w:r w:rsidR="00273F6C">
        <w:rPr>
          <w:sz w:val="25"/>
          <w:szCs w:val="25"/>
        </w:rPr>
        <w:t xml:space="preserve">to be advised through service of this order </w:t>
      </w:r>
      <w:r w:rsidRPr="006345D4">
        <w:rPr>
          <w:sz w:val="25"/>
          <w:szCs w:val="25"/>
        </w:rPr>
        <w:t xml:space="preserve">advised that the arrear amount is not the full amounts of the </w:t>
      </w:r>
      <w:r w:rsidR="00273F6C">
        <w:rPr>
          <w:sz w:val="25"/>
          <w:szCs w:val="25"/>
        </w:rPr>
        <w:t>j</w:t>
      </w:r>
      <w:r w:rsidRPr="006345D4">
        <w:rPr>
          <w:sz w:val="25"/>
          <w:szCs w:val="25"/>
        </w:rPr>
        <w:t>udgment debt, but the amounts owing by the Defendants to the Plaintiff, without reference to the accelerated amounts</w:t>
      </w:r>
      <w:r w:rsidR="00273F6C">
        <w:rPr>
          <w:sz w:val="25"/>
          <w:szCs w:val="25"/>
        </w:rPr>
        <w:t>;</w:t>
      </w:r>
    </w:p>
    <w:p w14:paraId="1EBE99DC" w14:textId="210FCA72" w:rsidR="006345D4" w:rsidRPr="00273F6C" w:rsidRDefault="006345D4" w:rsidP="006345D4">
      <w:pPr>
        <w:pStyle w:val="ListParagraph"/>
        <w:numPr>
          <w:ilvl w:val="0"/>
          <w:numId w:val="50"/>
        </w:numPr>
        <w:tabs>
          <w:tab w:val="left" w:pos="854"/>
        </w:tabs>
        <w:spacing w:before="221" w:line="480" w:lineRule="auto"/>
        <w:ind w:right="114"/>
        <w:jc w:val="both"/>
      </w:pPr>
      <w:r w:rsidRPr="006345D4">
        <w:rPr>
          <w:sz w:val="25"/>
          <w:szCs w:val="25"/>
        </w:rPr>
        <w:t>Cost</w:t>
      </w:r>
      <w:r w:rsidRPr="006345D4">
        <w:rPr>
          <w:spacing w:val="-11"/>
          <w:sz w:val="25"/>
          <w:szCs w:val="25"/>
        </w:rPr>
        <w:t xml:space="preserve"> </w:t>
      </w:r>
      <w:r w:rsidRPr="006345D4">
        <w:rPr>
          <w:sz w:val="25"/>
          <w:szCs w:val="25"/>
        </w:rPr>
        <w:t>of</w:t>
      </w:r>
      <w:r w:rsidRPr="006345D4">
        <w:rPr>
          <w:spacing w:val="-11"/>
          <w:sz w:val="25"/>
          <w:szCs w:val="25"/>
        </w:rPr>
        <w:t xml:space="preserve"> </w:t>
      </w:r>
      <w:r w:rsidRPr="006345D4">
        <w:rPr>
          <w:sz w:val="25"/>
          <w:szCs w:val="25"/>
        </w:rPr>
        <w:t>suit</w:t>
      </w:r>
      <w:r w:rsidRPr="006345D4">
        <w:rPr>
          <w:spacing w:val="-10"/>
          <w:sz w:val="25"/>
          <w:szCs w:val="25"/>
        </w:rPr>
        <w:t xml:space="preserve"> </w:t>
      </w:r>
      <w:r w:rsidRPr="006345D4">
        <w:rPr>
          <w:sz w:val="25"/>
          <w:szCs w:val="25"/>
        </w:rPr>
        <w:t>on</w:t>
      </w:r>
      <w:r w:rsidRPr="006345D4">
        <w:rPr>
          <w:spacing w:val="-11"/>
          <w:sz w:val="25"/>
          <w:szCs w:val="25"/>
        </w:rPr>
        <w:t xml:space="preserve"> </w:t>
      </w:r>
      <w:r w:rsidRPr="006345D4">
        <w:rPr>
          <w:sz w:val="25"/>
          <w:szCs w:val="25"/>
        </w:rPr>
        <w:t>the</w:t>
      </w:r>
      <w:r w:rsidRPr="006345D4">
        <w:rPr>
          <w:spacing w:val="-11"/>
          <w:sz w:val="25"/>
          <w:szCs w:val="25"/>
        </w:rPr>
        <w:t xml:space="preserve"> </w:t>
      </w:r>
      <w:r w:rsidRPr="006345D4">
        <w:rPr>
          <w:sz w:val="25"/>
          <w:szCs w:val="25"/>
        </w:rPr>
        <w:t>attorney</w:t>
      </w:r>
      <w:r w:rsidRPr="006345D4">
        <w:rPr>
          <w:spacing w:val="-12"/>
          <w:sz w:val="25"/>
          <w:szCs w:val="25"/>
        </w:rPr>
        <w:t xml:space="preserve"> </w:t>
      </w:r>
      <w:r w:rsidRPr="006345D4">
        <w:rPr>
          <w:sz w:val="25"/>
          <w:szCs w:val="25"/>
        </w:rPr>
        <w:t>and</w:t>
      </w:r>
      <w:r w:rsidRPr="006345D4">
        <w:rPr>
          <w:spacing w:val="-11"/>
          <w:sz w:val="25"/>
          <w:szCs w:val="25"/>
        </w:rPr>
        <w:t xml:space="preserve"> </w:t>
      </w:r>
      <w:r w:rsidRPr="006345D4">
        <w:rPr>
          <w:sz w:val="25"/>
          <w:szCs w:val="25"/>
        </w:rPr>
        <w:t>client</w:t>
      </w:r>
      <w:r w:rsidRPr="006345D4">
        <w:rPr>
          <w:spacing w:val="-10"/>
          <w:sz w:val="25"/>
          <w:szCs w:val="25"/>
        </w:rPr>
        <w:t xml:space="preserve"> </w:t>
      </w:r>
      <w:r w:rsidRPr="006345D4">
        <w:rPr>
          <w:spacing w:val="-2"/>
          <w:sz w:val="25"/>
          <w:szCs w:val="25"/>
        </w:rPr>
        <w:t>scale</w:t>
      </w:r>
      <w:r w:rsidR="00273F6C">
        <w:rPr>
          <w:spacing w:val="-2"/>
          <w:sz w:val="25"/>
          <w:szCs w:val="25"/>
        </w:rPr>
        <w:t>.</w:t>
      </w:r>
    </w:p>
    <w:p w14:paraId="0D1669C3" w14:textId="7106CF10" w:rsidR="00273F6C" w:rsidRDefault="00273F6C" w:rsidP="00F11B20">
      <w:pPr>
        <w:pStyle w:val="ListParagraph"/>
        <w:tabs>
          <w:tab w:val="left" w:pos="854"/>
        </w:tabs>
        <w:ind w:right="114" w:hanging="854"/>
        <w:rPr>
          <w:noProof/>
          <w:lang w:val="en-ZA" w:eastAsia="en-ZA"/>
        </w:rPr>
      </w:pPr>
    </w:p>
    <w:p w14:paraId="2D428C6E" w14:textId="77777777" w:rsidR="00636056" w:rsidRDefault="00636056" w:rsidP="00F11B20">
      <w:pPr>
        <w:pStyle w:val="ListParagraph"/>
        <w:tabs>
          <w:tab w:val="left" w:pos="854"/>
        </w:tabs>
        <w:ind w:right="114" w:hanging="854"/>
      </w:pPr>
    </w:p>
    <w:p w14:paraId="03F371B3" w14:textId="77777777" w:rsidR="00164BE2" w:rsidRPr="006345D4" w:rsidRDefault="00164BE2" w:rsidP="00164BE2">
      <w:pPr>
        <w:pStyle w:val="Indent"/>
        <w:numPr>
          <w:ilvl w:val="0"/>
          <w:numId w:val="0"/>
        </w:numPr>
        <w:spacing w:after="0" w:line="240" w:lineRule="auto"/>
        <w:rPr>
          <w:lang w:val="en-ZA"/>
        </w:rPr>
      </w:pPr>
      <w:r w:rsidRPr="006345D4">
        <w:rPr>
          <w:lang w:val="en-ZA"/>
        </w:rPr>
        <w:t>__________________________</w:t>
      </w:r>
    </w:p>
    <w:p w14:paraId="2D5D80C6" w14:textId="5E5AF472" w:rsidR="00164BE2" w:rsidRPr="006345D4" w:rsidRDefault="00164BE2" w:rsidP="00164BE2">
      <w:pPr>
        <w:pStyle w:val="Indent"/>
        <w:numPr>
          <w:ilvl w:val="0"/>
          <w:numId w:val="0"/>
        </w:numPr>
        <w:spacing w:after="0" w:line="240" w:lineRule="auto"/>
        <w:rPr>
          <w:b/>
          <w:lang w:val="en-ZA"/>
        </w:rPr>
      </w:pPr>
      <w:r w:rsidRPr="006345D4">
        <w:rPr>
          <w:b/>
          <w:lang w:val="en-ZA"/>
        </w:rPr>
        <w:t>H P VAN NIEUWENHUIZEN AJ</w:t>
      </w:r>
    </w:p>
    <w:p w14:paraId="7721EDDD" w14:textId="77777777" w:rsidR="00164BE2" w:rsidRPr="00164BE2" w:rsidRDefault="00164BE2" w:rsidP="00164BE2">
      <w:pPr>
        <w:pStyle w:val="Indent"/>
        <w:numPr>
          <w:ilvl w:val="0"/>
          <w:numId w:val="0"/>
        </w:numPr>
        <w:spacing w:after="0" w:line="240" w:lineRule="auto"/>
      </w:pPr>
      <w:r w:rsidRPr="00164BE2">
        <w:t>Acting Judge of the High Court</w:t>
      </w:r>
    </w:p>
    <w:p w14:paraId="6BAF317E" w14:textId="77777777" w:rsidR="00164BE2" w:rsidRPr="00164BE2" w:rsidRDefault="00164BE2" w:rsidP="00164BE2">
      <w:pPr>
        <w:pStyle w:val="Indent"/>
        <w:numPr>
          <w:ilvl w:val="0"/>
          <w:numId w:val="0"/>
        </w:numPr>
        <w:spacing w:after="0" w:line="240" w:lineRule="auto"/>
      </w:pPr>
      <w:smartTag w:uri="urn:schemas-microsoft-com:office:smarttags" w:element="State">
        <w:smartTag w:uri="urn:schemas-microsoft-com:office:smarttags" w:element="place">
          <w:r w:rsidRPr="00164BE2">
            <w:t>Gauteng</w:t>
          </w:r>
        </w:smartTag>
      </w:smartTag>
      <w:r w:rsidRPr="00164BE2">
        <w:t xml:space="preserve"> Division</w:t>
      </w:r>
    </w:p>
    <w:p w14:paraId="3B0A9281" w14:textId="77777777" w:rsidR="00164BE2" w:rsidRPr="00164BE2" w:rsidRDefault="00164BE2" w:rsidP="00164BE2">
      <w:pPr>
        <w:pStyle w:val="Indent"/>
        <w:numPr>
          <w:ilvl w:val="0"/>
          <w:numId w:val="0"/>
        </w:numPr>
        <w:spacing w:after="0" w:line="240" w:lineRule="auto"/>
      </w:pPr>
      <w:smartTag w:uri="urn:schemas-microsoft-com:office:smarttags" w:element="City">
        <w:smartTag w:uri="urn:schemas-microsoft-com:office:smarttags" w:element="place">
          <w:r w:rsidRPr="00164BE2">
            <w:t>Johannesburg</w:t>
          </w:r>
        </w:smartTag>
      </w:smartTag>
    </w:p>
    <w:p w14:paraId="1FA32FB7" w14:textId="77777777" w:rsidR="00164BE2" w:rsidRDefault="00164BE2" w:rsidP="00164BE2">
      <w:pPr>
        <w:pStyle w:val="Indent"/>
        <w:numPr>
          <w:ilvl w:val="0"/>
          <w:numId w:val="0"/>
        </w:numPr>
        <w:spacing w:after="240" w:line="240" w:lineRule="auto"/>
      </w:pPr>
    </w:p>
    <w:p w14:paraId="526A3295" w14:textId="77777777" w:rsidR="00164BE2" w:rsidRDefault="00164BE2" w:rsidP="00164BE2">
      <w:pPr>
        <w:pStyle w:val="Indent"/>
        <w:numPr>
          <w:ilvl w:val="0"/>
          <w:numId w:val="0"/>
        </w:numPr>
        <w:tabs>
          <w:tab w:val="left" w:pos="2410"/>
          <w:tab w:val="left" w:pos="2835"/>
        </w:tabs>
        <w:spacing w:after="240" w:line="240" w:lineRule="auto"/>
      </w:pPr>
      <w:r>
        <w:lastRenderedPageBreak/>
        <w:t xml:space="preserve">Date heard </w:t>
      </w:r>
      <w:r>
        <w:tab/>
        <w:t>:</w:t>
      </w:r>
      <w:r>
        <w:tab/>
        <w:t>24 February 2023</w:t>
      </w:r>
    </w:p>
    <w:p w14:paraId="4F235352" w14:textId="4034004F" w:rsidR="00164BE2" w:rsidRDefault="00164BE2" w:rsidP="00164BE2">
      <w:pPr>
        <w:pStyle w:val="Indent"/>
        <w:numPr>
          <w:ilvl w:val="0"/>
          <w:numId w:val="0"/>
        </w:numPr>
        <w:tabs>
          <w:tab w:val="left" w:pos="2410"/>
          <w:tab w:val="left" w:pos="2835"/>
        </w:tabs>
        <w:spacing w:after="240" w:line="240" w:lineRule="auto"/>
      </w:pPr>
      <w:r>
        <w:t>Judgment delivered</w:t>
      </w:r>
      <w:r>
        <w:tab/>
        <w:t>:</w:t>
      </w:r>
      <w:r>
        <w:tab/>
        <w:t>19 May 2023</w:t>
      </w:r>
    </w:p>
    <w:p w14:paraId="25FCA5FA" w14:textId="44588E91" w:rsidR="00142CE6" w:rsidRDefault="00142CE6" w:rsidP="00164BE2">
      <w:pPr>
        <w:pStyle w:val="Indent"/>
        <w:numPr>
          <w:ilvl w:val="0"/>
          <w:numId w:val="0"/>
        </w:numPr>
        <w:tabs>
          <w:tab w:val="left" w:pos="2410"/>
          <w:tab w:val="left" w:pos="2835"/>
        </w:tabs>
        <w:spacing w:after="240" w:line="240" w:lineRule="auto"/>
      </w:pPr>
    </w:p>
    <w:p w14:paraId="14622B7E" w14:textId="661AF5F8" w:rsidR="00142CE6" w:rsidRDefault="00142CE6" w:rsidP="00164BE2">
      <w:pPr>
        <w:pStyle w:val="Indent"/>
        <w:numPr>
          <w:ilvl w:val="0"/>
          <w:numId w:val="0"/>
        </w:numPr>
        <w:tabs>
          <w:tab w:val="left" w:pos="2410"/>
          <w:tab w:val="left" w:pos="2835"/>
        </w:tabs>
        <w:spacing w:after="240" w:line="240" w:lineRule="auto"/>
      </w:pPr>
    </w:p>
    <w:p w14:paraId="73B29A9A" w14:textId="77777777" w:rsidR="00142CE6" w:rsidRDefault="00142CE6" w:rsidP="00164BE2">
      <w:pPr>
        <w:pStyle w:val="Indent"/>
        <w:numPr>
          <w:ilvl w:val="0"/>
          <w:numId w:val="0"/>
        </w:numPr>
        <w:spacing w:after="240" w:line="240" w:lineRule="auto"/>
      </w:pPr>
    </w:p>
    <w:p w14:paraId="5581115F" w14:textId="3ABCAFD7" w:rsidR="00164BE2" w:rsidRDefault="00164BE2" w:rsidP="00164BE2">
      <w:pPr>
        <w:pStyle w:val="Indent"/>
        <w:numPr>
          <w:ilvl w:val="0"/>
          <w:numId w:val="0"/>
        </w:numPr>
        <w:spacing w:after="240" w:line="240" w:lineRule="auto"/>
      </w:pPr>
      <w:r>
        <w:t>Appearances:</w:t>
      </w:r>
    </w:p>
    <w:p w14:paraId="538446DF" w14:textId="0F3013E9" w:rsidR="00164BE2" w:rsidRDefault="00164BE2" w:rsidP="00164BE2">
      <w:pPr>
        <w:pStyle w:val="Indent"/>
        <w:numPr>
          <w:ilvl w:val="0"/>
          <w:numId w:val="0"/>
        </w:numPr>
        <w:spacing w:after="0" w:line="240" w:lineRule="auto"/>
      </w:pPr>
      <w:r>
        <w:t xml:space="preserve"> </w:t>
      </w:r>
      <w:r>
        <w:tab/>
        <w:t xml:space="preserve">Counsel for Applicant: </w:t>
      </w:r>
      <w:r>
        <w:tab/>
      </w:r>
      <w:r>
        <w:tab/>
      </w:r>
      <w:r w:rsidR="005B1F8A">
        <w:t>Adv N</w:t>
      </w:r>
      <w:r>
        <w:t xml:space="preserve"> Latif</w:t>
      </w:r>
    </w:p>
    <w:p w14:paraId="4F7A5166" w14:textId="2FE41477" w:rsidR="00164BE2" w:rsidRDefault="00164BE2" w:rsidP="00164BE2">
      <w:pPr>
        <w:pStyle w:val="Indent"/>
        <w:numPr>
          <w:ilvl w:val="0"/>
          <w:numId w:val="0"/>
        </w:numPr>
        <w:spacing w:after="0" w:line="240" w:lineRule="auto"/>
      </w:pPr>
      <w:r>
        <w:tab/>
        <w:t>Instructed by:</w:t>
      </w:r>
      <w:r>
        <w:tab/>
      </w:r>
      <w:r>
        <w:tab/>
      </w:r>
      <w:r>
        <w:tab/>
        <w:t>Stupel &amp; Berman Inc</w:t>
      </w:r>
    </w:p>
    <w:sectPr w:rsidR="00164BE2" w:rsidSect="000C6359">
      <w:headerReference w:type="default" r:id="rId9"/>
      <w:footerReference w:type="default" r:id="rId10"/>
      <w:headerReference w:type="first" r:id="rId11"/>
      <w:pgSz w:w="11906" w:h="16838" w:code="9"/>
      <w:pgMar w:top="1134" w:right="1729" w:bottom="1134" w:left="1582" w:header="1134" w:footer="567" w:gutter="0"/>
      <w:cols w:space="720"/>
    </w:sectPr>
  </w:body>
</w:document>
</file>

<file path=word/customizations.xml><?xml version="1.0" encoding="utf-8"?>
<wne:tcg xmlns:r="http://schemas.openxmlformats.org/officeDocument/2006/relationships" xmlns:wne="http://schemas.microsoft.com/office/word/2006/wordml">
  <wne:keymaps>
    <wne:keymap wne:kcmPrimary="0439">
      <wne:acd wne:acdName="acd0"/>
    </wne:keymap>
  </wne:keymaps>
  <wne:toolbars>
    <wne:acdManifest>
      <wne:acdEntry wne:acdName="acd0"/>
    </wne:acdManifest>
  </wne:toolbars>
  <wne:acds>
    <wne:acd wne:argValue="AgBTAHQAeQBsAGUAMQ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7DE75" w14:textId="77777777" w:rsidR="00DF76AE" w:rsidRDefault="00DF76AE">
      <w:r>
        <w:separator/>
      </w:r>
    </w:p>
  </w:endnote>
  <w:endnote w:type="continuationSeparator" w:id="0">
    <w:p w14:paraId="7546F3ED" w14:textId="77777777" w:rsidR="00DF76AE" w:rsidRDefault="00DF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b 1Stone Serif Semi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BB7D5" w14:textId="77777777" w:rsidR="0069182C" w:rsidRDefault="0069182C" w:rsidP="000E5C06">
    <w:pPr>
      <w:pStyle w:val="Footer"/>
      <w:tabs>
        <w:tab w:val="left" w:pos="3053"/>
      </w:tabs>
      <w:spacing w:before="600"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AD9BB" w14:textId="77777777" w:rsidR="00DF76AE" w:rsidRDefault="00DF76AE" w:rsidP="000411CA">
      <w:pPr>
        <w:spacing w:after="0"/>
      </w:pPr>
      <w:r>
        <w:separator/>
      </w:r>
    </w:p>
  </w:footnote>
  <w:footnote w:type="continuationSeparator" w:id="0">
    <w:p w14:paraId="7ABBEF0C" w14:textId="77777777" w:rsidR="00DF76AE" w:rsidRDefault="00DF7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44B45" w14:textId="0D2DAF79" w:rsidR="0069182C" w:rsidRDefault="0069182C" w:rsidP="000E5C06">
    <w:pPr>
      <w:pStyle w:val="Header"/>
      <w:pBdr>
        <w:bottom w:val="single" w:sz="4" w:space="1" w:color="D9D9D9"/>
      </w:pBdr>
      <w:jc w:val="right"/>
      <w:rPr>
        <w:b/>
        <w:bCs/>
      </w:rPr>
    </w:pPr>
    <w:r w:rsidRPr="00F93B39">
      <w:rPr>
        <w:color w:val="7F7F7F"/>
        <w:spacing w:val="60"/>
      </w:rPr>
      <w:t>Page</w:t>
    </w:r>
    <w:r>
      <w:t xml:space="preserve"> | </w:t>
    </w:r>
    <w:r>
      <w:fldChar w:fldCharType="begin"/>
    </w:r>
    <w:r>
      <w:instrText xml:space="preserve"> PAGE   \* MERGEFORMAT </w:instrText>
    </w:r>
    <w:r>
      <w:fldChar w:fldCharType="separate"/>
    </w:r>
    <w:r w:rsidR="008F1C31" w:rsidRPr="008F1C31">
      <w:rPr>
        <w:b/>
        <w:bCs/>
        <w:noProof/>
      </w:rPr>
      <w:t>3</w:t>
    </w:r>
    <w:r>
      <w:fldChar w:fldCharType="end"/>
    </w:r>
  </w:p>
  <w:p w14:paraId="48E87586" w14:textId="77777777" w:rsidR="0069182C" w:rsidRDefault="0069182C" w:rsidP="000E5C06">
    <w:pPr>
      <w:pStyle w:val="Header"/>
      <w:spacing w:after="720" w:line="480" w:lineRule="auto"/>
      <w:rPr>
        <w:snapToGrid w:val="0"/>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D1BC7" w14:textId="77777777" w:rsidR="0069182C" w:rsidRDefault="0069182C" w:rsidP="00D80704">
    <w:pPr>
      <w:pStyle w:val="Header"/>
      <w:spacing w:after="600" w:line="480" w:lineRule="auto"/>
      <w:ind w:left="-567"/>
      <w:rPr>
        <w:snapToGrid w:val="0"/>
        <w:sz w:val="16"/>
      </w:rPr>
    </w:pP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Wits</w:t>
    </w:r>
    <w:r>
      <w:rPr>
        <w:snapToGrid w:val="0"/>
        <w:sz w:val="16"/>
      </w:rPr>
      <w:fldChar w:fldCharType="end"/>
    </w:r>
    <w:r>
      <w:rPr>
        <w:snapToGrid w:val="0"/>
        <w:sz w:val="16"/>
      </w:rPr>
      <w:t>/</w:t>
    </w:r>
    <w:r>
      <w:rPr>
        <w:snapToGrid w:val="0"/>
        <w:sz w:val="16"/>
      </w:rPr>
      <w:fldChar w:fldCharType="begin"/>
    </w:r>
    <w:r>
      <w:rPr>
        <w:snapToGrid w:val="0"/>
        <w:sz w:val="16"/>
      </w:rPr>
      <w:instrText xml:space="preserve"> AUTHOR </w:instrText>
    </w:r>
    <w:r>
      <w:rPr>
        <w:snapToGrid w:val="0"/>
        <w:sz w:val="16"/>
      </w:rPr>
      <w:fldChar w:fldCharType="separate"/>
    </w:r>
    <w:r>
      <w:rPr>
        <w:noProof/>
        <w:snapToGrid w:val="0"/>
        <w:sz w:val="16"/>
      </w:rPr>
      <w:t>JH</w:t>
    </w:r>
    <w:r>
      <w:rPr>
        <w:snapToGrid w:val="0"/>
        <w:sz w:val="16"/>
      </w:rPr>
      <w:fldChar w:fldCharType="end"/>
    </w:r>
  </w:p>
  <w:p w14:paraId="3C5F88EB" w14:textId="77777777" w:rsidR="0069182C" w:rsidRDefault="0069182C" w:rsidP="00D80704">
    <w:pPr>
      <w:pStyle w:val="Header"/>
      <w:rPr>
        <w:snapToGrid w:val="0"/>
        <w:sz w:val="16"/>
      </w:rPr>
    </w:pPr>
  </w:p>
  <w:p w14:paraId="3814813A" w14:textId="77777777" w:rsidR="0069182C" w:rsidRDefault="0069182C">
    <w:pPr>
      <w:pStyle w:val="Header"/>
      <w:rPr>
        <w:snapToGrid w:val="0"/>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10E5CA"/>
    <w:lvl w:ilvl="0">
      <w:start w:val="1"/>
      <w:numFmt w:val="decimal"/>
      <w:lvlText w:val="%1."/>
      <w:lvlJc w:val="left"/>
      <w:pPr>
        <w:tabs>
          <w:tab w:val="num" w:pos="1492"/>
        </w:tabs>
        <w:ind w:left="1492" w:hanging="360"/>
      </w:pPr>
    </w:lvl>
  </w:abstractNum>
  <w:abstractNum w:abstractNumId="1">
    <w:nsid w:val="FFFFFF7D"/>
    <w:multiLevelType w:val="singleLevel"/>
    <w:tmpl w:val="DFDA58FC"/>
    <w:lvl w:ilvl="0">
      <w:start w:val="1"/>
      <w:numFmt w:val="decimal"/>
      <w:lvlText w:val="%1."/>
      <w:lvlJc w:val="left"/>
      <w:pPr>
        <w:tabs>
          <w:tab w:val="num" w:pos="1209"/>
        </w:tabs>
        <w:ind w:left="1209" w:hanging="360"/>
      </w:pPr>
    </w:lvl>
  </w:abstractNum>
  <w:abstractNum w:abstractNumId="2">
    <w:nsid w:val="FFFFFF7E"/>
    <w:multiLevelType w:val="singleLevel"/>
    <w:tmpl w:val="643CD892"/>
    <w:lvl w:ilvl="0">
      <w:start w:val="1"/>
      <w:numFmt w:val="decimal"/>
      <w:lvlText w:val="%1."/>
      <w:lvlJc w:val="left"/>
      <w:pPr>
        <w:tabs>
          <w:tab w:val="num" w:pos="926"/>
        </w:tabs>
        <w:ind w:left="926" w:hanging="360"/>
      </w:pPr>
    </w:lvl>
  </w:abstractNum>
  <w:abstractNum w:abstractNumId="3">
    <w:nsid w:val="FFFFFF7F"/>
    <w:multiLevelType w:val="singleLevel"/>
    <w:tmpl w:val="79D41E5E"/>
    <w:lvl w:ilvl="0">
      <w:start w:val="1"/>
      <w:numFmt w:val="decimal"/>
      <w:lvlText w:val="%1."/>
      <w:lvlJc w:val="left"/>
      <w:pPr>
        <w:tabs>
          <w:tab w:val="num" w:pos="643"/>
        </w:tabs>
        <w:ind w:left="643" w:hanging="360"/>
      </w:pPr>
    </w:lvl>
  </w:abstractNum>
  <w:abstractNum w:abstractNumId="4">
    <w:nsid w:val="FFFFFF80"/>
    <w:multiLevelType w:val="singleLevel"/>
    <w:tmpl w:val="281E5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1017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D86C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442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6221A6"/>
    <w:lvl w:ilvl="0">
      <w:start w:val="1"/>
      <w:numFmt w:val="decimal"/>
      <w:lvlText w:val="%1."/>
      <w:lvlJc w:val="left"/>
      <w:pPr>
        <w:tabs>
          <w:tab w:val="num" w:pos="360"/>
        </w:tabs>
        <w:ind w:left="360" w:hanging="360"/>
      </w:pPr>
    </w:lvl>
  </w:abstractNum>
  <w:abstractNum w:abstractNumId="9">
    <w:nsid w:val="FFFFFF89"/>
    <w:multiLevelType w:val="singleLevel"/>
    <w:tmpl w:val="2F148B5E"/>
    <w:lvl w:ilvl="0">
      <w:start w:val="1"/>
      <w:numFmt w:val="bullet"/>
      <w:lvlText w:val=""/>
      <w:lvlJc w:val="left"/>
      <w:pPr>
        <w:tabs>
          <w:tab w:val="num" w:pos="360"/>
        </w:tabs>
        <w:ind w:left="360" w:hanging="360"/>
      </w:pPr>
      <w:rPr>
        <w:rFonts w:ascii="Symbol" w:hAnsi="Symbol" w:hint="default"/>
      </w:rPr>
    </w:lvl>
  </w:abstractNum>
  <w:abstractNum w:abstractNumId="10">
    <w:nsid w:val="0A643F70"/>
    <w:multiLevelType w:val="hybridMultilevel"/>
    <w:tmpl w:val="FAB69B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24D35A5"/>
    <w:multiLevelType w:val="multilevel"/>
    <w:tmpl w:val="4C245596"/>
    <w:styleLink w:val="A111111"/>
    <w:lvl w:ilvl="0">
      <w:start w:val="1"/>
      <w:numFmt w:val="upperLetter"/>
      <w:lvlText w:val="%1."/>
      <w:lvlJc w:val="left"/>
      <w:pPr>
        <w:tabs>
          <w:tab w:val="num" w:pos="567"/>
        </w:tabs>
        <w:ind w:left="567" w:hanging="567"/>
      </w:pPr>
      <w:rPr>
        <w:rFonts w:ascii="Arial" w:hAnsi="Arial" w:hint="default"/>
        <w:sz w:val="25"/>
        <w:szCs w:val="25"/>
      </w:rPr>
    </w:lvl>
    <w:lvl w:ilvl="1">
      <w:start w:val="1"/>
      <w:numFmt w:val="decimal"/>
      <w:lvlText w:val="%2."/>
      <w:lvlJc w:val="left"/>
      <w:pPr>
        <w:tabs>
          <w:tab w:val="num" w:pos="1191"/>
        </w:tabs>
        <w:ind w:left="1191" w:hanging="624"/>
      </w:pPr>
      <w:rPr>
        <w:rFonts w:hint="default"/>
      </w:rPr>
    </w:lvl>
    <w:lvl w:ilvl="2">
      <w:start w:val="1"/>
      <w:numFmt w:val="decimal"/>
      <w:lvlText w:val="%2.%3"/>
      <w:lvlJc w:val="left"/>
      <w:pPr>
        <w:tabs>
          <w:tab w:val="num" w:pos="1985"/>
        </w:tabs>
        <w:ind w:left="1985" w:hanging="794"/>
      </w:pPr>
      <w:rPr>
        <w:rFonts w:hint="default"/>
      </w:rPr>
    </w:lvl>
    <w:lvl w:ilvl="3">
      <w:start w:val="1"/>
      <w:numFmt w:val="decimal"/>
      <w:lvlText w:val="%2.%3.%4"/>
      <w:lvlJc w:val="left"/>
      <w:pPr>
        <w:tabs>
          <w:tab w:val="num" w:pos="2835"/>
        </w:tabs>
        <w:ind w:left="2835" w:hanging="850"/>
      </w:pPr>
      <w:rPr>
        <w:rFonts w:hint="default"/>
      </w:rPr>
    </w:lvl>
    <w:lvl w:ilvl="4">
      <w:start w:val="1"/>
      <w:numFmt w:val="decimal"/>
      <w:lvlText w:val="%2.%3.%4.%5"/>
      <w:lvlJc w:val="left"/>
      <w:pPr>
        <w:tabs>
          <w:tab w:val="num" w:pos="3969"/>
        </w:tabs>
        <w:ind w:left="3969" w:hanging="1134"/>
      </w:pPr>
      <w:rPr>
        <w:rFonts w:hint="default"/>
      </w:rPr>
    </w:lvl>
    <w:lvl w:ilvl="5">
      <w:start w:val="1"/>
      <w:numFmt w:val="decimal"/>
      <w:lvlText w:val="%2.%3.%4.%5.%6"/>
      <w:lvlJc w:val="left"/>
      <w:pPr>
        <w:tabs>
          <w:tab w:val="num" w:pos="5103"/>
        </w:tabs>
        <w:ind w:left="5103" w:hanging="1134"/>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2">
    <w:nsid w:val="154C3444"/>
    <w:multiLevelType w:val="multilevel"/>
    <w:tmpl w:val="23606C84"/>
    <w:lvl w:ilvl="0">
      <w:start w:val="1"/>
      <w:numFmt w:val="decimal"/>
      <w:lvlText w:val="%1."/>
      <w:lvlJc w:val="left"/>
      <w:pPr>
        <w:tabs>
          <w:tab w:val="num" w:pos="862"/>
        </w:tabs>
        <w:ind w:left="862" w:hanging="862"/>
      </w:pPr>
    </w:lvl>
    <w:lvl w:ilvl="1">
      <w:start w:val="1"/>
      <w:numFmt w:val="decimal"/>
      <w:lvlText w:val="%1.%2"/>
      <w:lvlJc w:val="left"/>
      <w:pPr>
        <w:tabs>
          <w:tab w:val="num" w:pos="1871"/>
        </w:tabs>
        <w:ind w:left="1871" w:hanging="1009"/>
      </w:pPr>
    </w:lvl>
    <w:lvl w:ilvl="2">
      <w:start w:val="1"/>
      <w:numFmt w:val="decimal"/>
      <w:lvlText w:val="%1.%2.%3"/>
      <w:lvlJc w:val="left"/>
      <w:pPr>
        <w:tabs>
          <w:tab w:val="num" w:pos="3022"/>
        </w:tabs>
        <w:ind w:left="3022" w:hanging="1151"/>
      </w:pPr>
    </w:lvl>
    <w:lvl w:ilvl="3">
      <w:start w:val="1"/>
      <w:numFmt w:val="decimal"/>
      <w:lvlText w:val="%1.%2.%3.%4"/>
      <w:lvlJc w:val="left"/>
      <w:pPr>
        <w:tabs>
          <w:tab w:val="num" w:pos="4321"/>
        </w:tabs>
        <w:ind w:left="4321" w:hanging="1299"/>
      </w:pPr>
    </w:lvl>
    <w:lvl w:ilvl="4">
      <w:start w:val="1"/>
      <w:numFmt w:val="decimal"/>
      <w:pStyle w:val="Heading5"/>
      <w:lvlText w:val="%1.%2.%3.%4.%5"/>
      <w:lvlJc w:val="left"/>
      <w:pPr>
        <w:tabs>
          <w:tab w:val="num" w:pos="5761"/>
        </w:tabs>
        <w:ind w:left="5761" w:hanging="1440"/>
      </w:pPr>
    </w:lvl>
    <w:lvl w:ilvl="5">
      <w:start w:val="1"/>
      <w:numFmt w:val="decimal"/>
      <w:lvlText w:val="%1.%2.%3.%4.%5.%6"/>
      <w:lvlJc w:val="left"/>
      <w:pPr>
        <w:tabs>
          <w:tab w:val="num" w:pos="7343"/>
        </w:tabs>
        <w:ind w:left="7343" w:hanging="1582"/>
      </w:pPr>
    </w:lvl>
    <w:lvl w:ilvl="6">
      <w:start w:val="1"/>
      <w:numFmt w:val="decimal"/>
      <w:lvlText w:val="%1.%2.%3.%4.%5.%6.%7"/>
      <w:lvlJc w:val="left"/>
      <w:pPr>
        <w:tabs>
          <w:tab w:val="num" w:pos="9072"/>
        </w:tabs>
        <w:ind w:left="9072" w:hanging="1729"/>
      </w:pPr>
    </w:lvl>
    <w:lvl w:ilvl="7">
      <w:start w:val="1"/>
      <w:numFmt w:val="decimal"/>
      <w:lvlText w:val="%1.%2.%3.%4.%5.%6.%7.%8."/>
      <w:lvlJc w:val="left"/>
      <w:pPr>
        <w:tabs>
          <w:tab w:val="num" w:pos="11232"/>
        </w:tabs>
        <w:ind w:left="10801" w:hanging="1729"/>
      </w:pPr>
    </w:lvl>
    <w:lvl w:ilvl="8">
      <w:start w:val="1"/>
      <w:numFmt w:val="decimal"/>
      <w:lvlText w:val="%1.%2.%3.%4.%5.%6.%7.%8.%9."/>
      <w:lvlJc w:val="left"/>
      <w:pPr>
        <w:tabs>
          <w:tab w:val="num" w:pos="12961"/>
        </w:tabs>
        <w:ind w:left="12531" w:hanging="1730"/>
      </w:pPr>
    </w:lvl>
  </w:abstractNum>
  <w:abstractNum w:abstractNumId="13">
    <w:nsid w:val="1A794D60"/>
    <w:multiLevelType w:val="multilevel"/>
    <w:tmpl w:val="1B585BF2"/>
    <w:lvl w:ilvl="0">
      <w:start w:val="1"/>
      <w:numFmt w:val="decimal"/>
      <w:lvlText w:val="%1."/>
      <w:lvlJc w:val="left"/>
      <w:pPr>
        <w:tabs>
          <w:tab w:val="num" w:pos="850"/>
        </w:tabs>
        <w:ind w:left="850" w:hanging="850"/>
      </w:pPr>
      <w:rPr>
        <w:rFonts w:ascii="Arial" w:hAnsi="Arial" w:hint="default"/>
        <w:sz w:val="25"/>
        <w:szCs w:val="25"/>
      </w:rPr>
    </w:lvl>
    <w:lvl w:ilvl="1">
      <w:start w:val="1"/>
      <w:numFmt w:val="decimal"/>
      <w:lvlText w:val="%1.%2"/>
      <w:lvlJc w:val="left"/>
      <w:pPr>
        <w:tabs>
          <w:tab w:val="num" w:pos="1701"/>
        </w:tabs>
        <w:ind w:left="1701" w:hanging="851"/>
      </w:pPr>
      <w:rPr>
        <w:rFonts w:hint="default"/>
        <w:i w:val="0"/>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14">
    <w:nsid w:val="20C7282B"/>
    <w:multiLevelType w:val="hybridMultilevel"/>
    <w:tmpl w:val="70E807D6"/>
    <w:lvl w:ilvl="0" w:tplc="DDD847C6">
      <w:start w:val="1"/>
      <w:numFmt w:val="lowerLetter"/>
      <w:lvlText w:val="%1)"/>
      <w:lvlJc w:val="left"/>
      <w:pPr>
        <w:ind w:left="854" w:hanging="720"/>
        <w:jc w:val="left"/>
      </w:pPr>
      <w:rPr>
        <w:rFonts w:hint="default"/>
        <w:spacing w:val="-2"/>
        <w:w w:val="100"/>
        <w:lang w:val="en-US" w:eastAsia="en-US" w:bidi="ar-SA"/>
      </w:rPr>
    </w:lvl>
    <w:lvl w:ilvl="1" w:tplc="D518AEEC">
      <w:numFmt w:val="bullet"/>
      <w:lvlText w:val="•"/>
      <w:lvlJc w:val="left"/>
      <w:pPr>
        <w:ind w:left="1786" w:hanging="720"/>
      </w:pPr>
      <w:rPr>
        <w:rFonts w:hint="default"/>
        <w:lang w:val="en-US" w:eastAsia="en-US" w:bidi="ar-SA"/>
      </w:rPr>
    </w:lvl>
    <w:lvl w:ilvl="2" w:tplc="0B04F908">
      <w:numFmt w:val="bullet"/>
      <w:lvlText w:val="•"/>
      <w:lvlJc w:val="left"/>
      <w:pPr>
        <w:ind w:left="2713" w:hanging="720"/>
      </w:pPr>
      <w:rPr>
        <w:rFonts w:hint="default"/>
        <w:lang w:val="en-US" w:eastAsia="en-US" w:bidi="ar-SA"/>
      </w:rPr>
    </w:lvl>
    <w:lvl w:ilvl="3" w:tplc="4B94058E">
      <w:numFmt w:val="bullet"/>
      <w:lvlText w:val="•"/>
      <w:lvlJc w:val="left"/>
      <w:pPr>
        <w:ind w:left="3639" w:hanging="720"/>
      </w:pPr>
      <w:rPr>
        <w:rFonts w:hint="default"/>
        <w:lang w:val="en-US" w:eastAsia="en-US" w:bidi="ar-SA"/>
      </w:rPr>
    </w:lvl>
    <w:lvl w:ilvl="4" w:tplc="8CBA607A">
      <w:numFmt w:val="bullet"/>
      <w:lvlText w:val="•"/>
      <w:lvlJc w:val="left"/>
      <w:pPr>
        <w:ind w:left="4566" w:hanging="720"/>
      </w:pPr>
      <w:rPr>
        <w:rFonts w:hint="default"/>
        <w:lang w:val="en-US" w:eastAsia="en-US" w:bidi="ar-SA"/>
      </w:rPr>
    </w:lvl>
    <w:lvl w:ilvl="5" w:tplc="8DB6E30A">
      <w:numFmt w:val="bullet"/>
      <w:lvlText w:val="•"/>
      <w:lvlJc w:val="left"/>
      <w:pPr>
        <w:ind w:left="5493" w:hanging="720"/>
      </w:pPr>
      <w:rPr>
        <w:rFonts w:hint="default"/>
        <w:lang w:val="en-US" w:eastAsia="en-US" w:bidi="ar-SA"/>
      </w:rPr>
    </w:lvl>
    <w:lvl w:ilvl="6" w:tplc="839A4666">
      <w:numFmt w:val="bullet"/>
      <w:lvlText w:val="•"/>
      <w:lvlJc w:val="left"/>
      <w:pPr>
        <w:ind w:left="6419" w:hanging="720"/>
      </w:pPr>
      <w:rPr>
        <w:rFonts w:hint="default"/>
        <w:lang w:val="en-US" w:eastAsia="en-US" w:bidi="ar-SA"/>
      </w:rPr>
    </w:lvl>
    <w:lvl w:ilvl="7" w:tplc="2606FD2C">
      <w:numFmt w:val="bullet"/>
      <w:lvlText w:val="•"/>
      <w:lvlJc w:val="left"/>
      <w:pPr>
        <w:ind w:left="7346" w:hanging="720"/>
      </w:pPr>
      <w:rPr>
        <w:rFonts w:hint="default"/>
        <w:lang w:val="en-US" w:eastAsia="en-US" w:bidi="ar-SA"/>
      </w:rPr>
    </w:lvl>
    <w:lvl w:ilvl="8" w:tplc="2D741718">
      <w:numFmt w:val="bullet"/>
      <w:lvlText w:val="•"/>
      <w:lvlJc w:val="left"/>
      <w:pPr>
        <w:ind w:left="8272" w:hanging="720"/>
      </w:pPr>
      <w:rPr>
        <w:rFonts w:hint="default"/>
        <w:lang w:val="en-US" w:eastAsia="en-US" w:bidi="ar-SA"/>
      </w:rPr>
    </w:lvl>
  </w:abstractNum>
  <w:abstractNum w:abstractNumId="15">
    <w:nsid w:val="34B36A7E"/>
    <w:multiLevelType w:val="multilevel"/>
    <w:tmpl w:val="58C4ABC2"/>
    <w:lvl w:ilvl="0">
      <w:start w:val="1"/>
      <w:numFmt w:val="decimal"/>
      <w:pStyle w:val="Indent2"/>
      <w:lvlText w:val="%1."/>
      <w:lvlJc w:val="left"/>
      <w:pPr>
        <w:tabs>
          <w:tab w:val="num" w:pos="851"/>
        </w:tabs>
        <w:ind w:left="851" w:hanging="851"/>
      </w:pPr>
      <w:rPr>
        <w:rFonts w:ascii="Arial" w:hAnsi="Arial" w:hint="default"/>
        <w:sz w:val="24"/>
        <w:szCs w:val="24"/>
      </w:rPr>
    </w:lvl>
    <w:lvl w:ilvl="1">
      <w:start w:val="1"/>
      <w:numFmt w:val="decimal"/>
      <w:pStyle w:val="Indent2"/>
      <w:lvlText w:val="%1.%2"/>
      <w:lvlJc w:val="left"/>
      <w:pPr>
        <w:tabs>
          <w:tab w:val="num" w:pos="1701"/>
        </w:tabs>
        <w:ind w:left="1701" w:hanging="850"/>
      </w:pPr>
      <w:rPr>
        <w:rFonts w:ascii="Arial" w:hAnsi="Arial" w:hint="default"/>
        <w:b w:val="0"/>
        <w:i w:val="0"/>
        <w:sz w:val="24"/>
        <w:szCs w:val="24"/>
      </w:rPr>
    </w:lvl>
    <w:lvl w:ilvl="2">
      <w:start w:val="1"/>
      <w:numFmt w:val="decimal"/>
      <w:lvlText w:val="%1.%2.%3"/>
      <w:lvlJc w:val="left"/>
      <w:pPr>
        <w:tabs>
          <w:tab w:val="num" w:pos="2325"/>
        </w:tabs>
        <w:ind w:left="2325" w:hanging="851"/>
      </w:pPr>
      <w:rPr>
        <w:rFonts w:hint="default"/>
      </w:rPr>
    </w:lvl>
    <w:lvl w:ilvl="3">
      <w:start w:val="1"/>
      <w:numFmt w:val="decimal"/>
      <w:lvlText w:val="%1.%2.%3.%4"/>
      <w:lvlJc w:val="left"/>
      <w:pPr>
        <w:tabs>
          <w:tab w:val="num" w:pos="3459"/>
        </w:tabs>
        <w:ind w:left="3459" w:hanging="1134"/>
      </w:pPr>
      <w:rPr>
        <w:rFonts w:hint="default"/>
      </w:rPr>
    </w:lvl>
    <w:lvl w:ilvl="4">
      <w:start w:val="1"/>
      <w:numFmt w:val="decimal"/>
      <w:lvlText w:val="%1.%2.%3.%4.%5"/>
      <w:lvlJc w:val="left"/>
      <w:pPr>
        <w:tabs>
          <w:tab w:val="num" w:pos="4876"/>
        </w:tabs>
        <w:ind w:left="4876" w:hanging="1417"/>
      </w:pPr>
      <w:rPr>
        <w:rFonts w:hint="default"/>
      </w:rPr>
    </w:lvl>
    <w:lvl w:ilvl="5">
      <w:start w:val="1"/>
      <w:numFmt w:val="decimal"/>
      <w:lvlText w:val="%1.%2.%3.%4.%5.%6"/>
      <w:lvlJc w:val="left"/>
      <w:pPr>
        <w:tabs>
          <w:tab w:val="num" w:pos="6010"/>
        </w:tabs>
        <w:ind w:left="6010" w:hanging="1134"/>
      </w:pPr>
      <w:rPr>
        <w:rFonts w:hint="default"/>
      </w:rPr>
    </w:lvl>
    <w:lvl w:ilvl="6">
      <w:start w:val="1"/>
      <w:numFmt w:val="decimal"/>
      <w:lvlText w:val="%1.%2.%3.%4.%5.%6.%7"/>
      <w:lvlJc w:val="left"/>
      <w:pPr>
        <w:tabs>
          <w:tab w:val="num" w:pos="8278"/>
        </w:tabs>
        <w:ind w:left="8278" w:hanging="1729"/>
      </w:pPr>
      <w:rPr>
        <w:rFonts w:hint="default"/>
      </w:rPr>
    </w:lvl>
    <w:lvl w:ilvl="7">
      <w:start w:val="1"/>
      <w:numFmt w:val="decimal"/>
      <w:lvlText w:val="%1.%2.%3.%4.%5.%6.%7.%8."/>
      <w:lvlJc w:val="left"/>
      <w:pPr>
        <w:tabs>
          <w:tab w:val="num" w:pos="10438"/>
        </w:tabs>
        <w:ind w:left="10007" w:hanging="1729"/>
      </w:pPr>
      <w:rPr>
        <w:rFonts w:hint="default"/>
      </w:rPr>
    </w:lvl>
    <w:lvl w:ilvl="8">
      <w:start w:val="1"/>
      <w:numFmt w:val="decimal"/>
      <w:lvlText w:val="%1.%2.%3.%4.%5.%6.%7.%8.%9."/>
      <w:lvlJc w:val="left"/>
      <w:pPr>
        <w:tabs>
          <w:tab w:val="num" w:pos="12167"/>
        </w:tabs>
        <w:ind w:left="11737" w:hanging="1730"/>
      </w:pPr>
      <w:rPr>
        <w:rFonts w:hint="default"/>
      </w:rPr>
    </w:lvl>
  </w:abstractNum>
  <w:abstractNum w:abstractNumId="16">
    <w:nsid w:val="47A53653"/>
    <w:multiLevelType w:val="multilevel"/>
    <w:tmpl w:val="F16658F8"/>
    <w:lvl w:ilvl="0">
      <w:start w:val="1"/>
      <w:numFmt w:val="lowerLetter"/>
      <w:pStyle w:val="aThirdIndent"/>
      <w:lvlText w:val="(%1)"/>
      <w:lvlJc w:val="left"/>
      <w:pPr>
        <w:tabs>
          <w:tab w:val="num" w:pos="3969"/>
        </w:tabs>
        <w:ind w:left="3969" w:hanging="1134"/>
      </w:pPr>
      <w:rPr>
        <w:rFonts w:ascii="Arial" w:hAnsi="Arial" w:hint="default"/>
        <w:b w:val="0"/>
        <w:i w:val="0"/>
        <w:sz w:val="25"/>
        <w:szCs w:val="25"/>
      </w:rPr>
    </w:lvl>
    <w:lvl w:ilvl="1">
      <w:start w:val="1"/>
      <w:numFmt w:val="lowerRoman"/>
      <w:lvlText w:val="(%2)"/>
      <w:lvlJc w:val="left"/>
      <w:pPr>
        <w:tabs>
          <w:tab w:val="num" w:pos="4706"/>
        </w:tabs>
        <w:ind w:left="4706" w:hanging="737"/>
      </w:pPr>
      <w:rPr>
        <w:rFonts w:ascii="Arial" w:hAnsi="Arial" w:hint="default"/>
        <w:b w:val="0"/>
        <w:i w:val="0"/>
        <w:sz w:val="25"/>
        <w:szCs w:val="25"/>
      </w:rPr>
    </w:lvl>
    <w:lvl w:ilvl="2">
      <w:start w:val="1"/>
      <w:numFmt w:val="upperLetter"/>
      <w:lvlText w:val="%3."/>
      <w:lvlJc w:val="left"/>
      <w:pPr>
        <w:tabs>
          <w:tab w:val="num" w:pos="5670"/>
        </w:tabs>
        <w:ind w:left="5670" w:hanging="964"/>
      </w:pPr>
      <w:rPr>
        <w:rFonts w:ascii="Arial" w:hAnsi="Arial" w:hint="default"/>
        <w:b w:val="0"/>
        <w:i w:val="0"/>
        <w:sz w:val="25"/>
        <w:szCs w:val="25"/>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103"/>
        </w:tabs>
        <w:ind w:left="5103" w:hanging="1134"/>
      </w:pPr>
      <w:rPr>
        <w:rFonts w:hint="default"/>
      </w:rPr>
    </w:lvl>
    <w:lvl w:ilvl="5">
      <w:start w:val="1"/>
      <w:numFmt w:val="decimal"/>
      <w:lvlText w:val="%1.%2.%3.%4.%5.%6"/>
      <w:lvlJc w:val="left"/>
      <w:pPr>
        <w:tabs>
          <w:tab w:val="num" w:pos="7343"/>
        </w:tabs>
        <w:ind w:left="7343" w:hanging="1582"/>
      </w:pPr>
      <w:rPr>
        <w:rFonts w:hint="default"/>
      </w:rPr>
    </w:lvl>
    <w:lvl w:ilvl="6">
      <w:start w:val="1"/>
      <w:numFmt w:val="decimal"/>
      <w:lvlText w:val="%1.%2.%3.%4.%5.%6.%7"/>
      <w:lvlJc w:val="left"/>
      <w:pPr>
        <w:tabs>
          <w:tab w:val="num" w:pos="9072"/>
        </w:tabs>
        <w:ind w:left="9072" w:hanging="1729"/>
      </w:pPr>
      <w:rPr>
        <w:rFonts w:hint="default"/>
      </w:rPr>
    </w:lvl>
    <w:lvl w:ilvl="7">
      <w:start w:val="1"/>
      <w:numFmt w:val="decimal"/>
      <w:lvlText w:val="%1.%2.%3.%4.%5.%6.%7.%8."/>
      <w:lvlJc w:val="left"/>
      <w:pPr>
        <w:tabs>
          <w:tab w:val="num" w:pos="11232"/>
        </w:tabs>
        <w:ind w:left="10801" w:hanging="1729"/>
      </w:pPr>
      <w:rPr>
        <w:rFonts w:hint="default"/>
      </w:rPr>
    </w:lvl>
    <w:lvl w:ilvl="8">
      <w:start w:val="1"/>
      <w:numFmt w:val="decimal"/>
      <w:lvlText w:val="%1.%2.%3.%4.%5.%6.%7.%8.%9."/>
      <w:lvlJc w:val="left"/>
      <w:pPr>
        <w:tabs>
          <w:tab w:val="num" w:pos="12961"/>
        </w:tabs>
        <w:ind w:left="12531" w:hanging="1730"/>
      </w:pPr>
      <w:rPr>
        <w:rFonts w:hint="default"/>
      </w:rPr>
    </w:lvl>
  </w:abstractNum>
  <w:abstractNum w:abstractNumId="17">
    <w:nsid w:val="506335D3"/>
    <w:multiLevelType w:val="multilevel"/>
    <w:tmpl w:val="D3AE4CB2"/>
    <w:lvl w:ilvl="0">
      <w:start w:val="1"/>
      <w:numFmt w:val="decimal"/>
      <w:lvlText w:val="%1."/>
      <w:lvlJc w:val="left"/>
      <w:pPr>
        <w:tabs>
          <w:tab w:val="num" w:pos="851"/>
        </w:tabs>
        <w:ind w:left="851" w:hanging="851"/>
      </w:pPr>
      <w:rPr>
        <w:rFonts w:ascii="Arial" w:hAnsi="Arial" w:hint="default"/>
        <w:sz w:val="24"/>
        <w:szCs w:val="24"/>
      </w:rPr>
    </w:lvl>
    <w:lvl w:ilvl="1">
      <w:start w:val="1"/>
      <w:numFmt w:val="decimal"/>
      <w:lvlText w:val="%1.%2"/>
      <w:lvlJc w:val="left"/>
      <w:pPr>
        <w:tabs>
          <w:tab w:val="num" w:pos="1474"/>
        </w:tabs>
        <w:ind w:left="1474" w:hanging="850"/>
      </w:pPr>
      <w:rPr>
        <w:rFonts w:hint="default"/>
        <w:i w:val="0"/>
      </w:rPr>
    </w:lvl>
    <w:lvl w:ilvl="2">
      <w:start w:val="1"/>
      <w:numFmt w:val="decimal"/>
      <w:lvlText w:val="%1.%2.%3"/>
      <w:lvlJc w:val="left"/>
      <w:pPr>
        <w:tabs>
          <w:tab w:val="num" w:pos="2325"/>
        </w:tabs>
        <w:ind w:left="2325" w:hanging="851"/>
      </w:pPr>
      <w:rPr>
        <w:rFonts w:hint="default"/>
      </w:rPr>
    </w:lvl>
    <w:lvl w:ilvl="3">
      <w:start w:val="1"/>
      <w:numFmt w:val="decimal"/>
      <w:lvlText w:val="%1.%2.%3.%4"/>
      <w:lvlJc w:val="left"/>
      <w:pPr>
        <w:tabs>
          <w:tab w:val="num" w:pos="3459"/>
        </w:tabs>
        <w:ind w:left="3459" w:hanging="1134"/>
      </w:pPr>
      <w:rPr>
        <w:rFonts w:hint="default"/>
      </w:rPr>
    </w:lvl>
    <w:lvl w:ilvl="4">
      <w:start w:val="1"/>
      <w:numFmt w:val="decimal"/>
      <w:lvlText w:val="%1.%2.%3.%4.%5"/>
      <w:lvlJc w:val="left"/>
      <w:pPr>
        <w:tabs>
          <w:tab w:val="num" w:pos="4876"/>
        </w:tabs>
        <w:ind w:left="4876" w:hanging="1417"/>
      </w:pPr>
      <w:rPr>
        <w:rFonts w:hint="default"/>
      </w:rPr>
    </w:lvl>
    <w:lvl w:ilvl="5">
      <w:start w:val="1"/>
      <w:numFmt w:val="decimal"/>
      <w:lvlText w:val="%1.%2.%3.%4.%5.%6"/>
      <w:lvlJc w:val="left"/>
      <w:pPr>
        <w:tabs>
          <w:tab w:val="num" w:pos="6010"/>
        </w:tabs>
        <w:ind w:left="6010" w:hanging="1134"/>
      </w:pPr>
      <w:rPr>
        <w:rFonts w:hint="default"/>
      </w:rPr>
    </w:lvl>
    <w:lvl w:ilvl="6">
      <w:start w:val="1"/>
      <w:numFmt w:val="decimal"/>
      <w:lvlText w:val="%1.%2.%3.%4.%5.%6.%7"/>
      <w:lvlJc w:val="left"/>
      <w:pPr>
        <w:tabs>
          <w:tab w:val="num" w:pos="8278"/>
        </w:tabs>
        <w:ind w:left="8278" w:hanging="1729"/>
      </w:pPr>
      <w:rPr>
        <w:rFonts w:hint="default"/>
      </w:rPr>
    </w:lvl>
    <w:lvl w:ilvl="7">
      <w:start w:val="1"/>
      <w:numFmt w:val="decimal"/>
      <w:lvlText w:val="%1.%2.%3.%4.%5.%6.%7.%8."/>
      <w:lvlJc w:val="left"/>
      <w:pPr>
        <w:tabs>
          <w:tab w:val="num" w:pos="10438"/>
        </w:tabs>
        <w:ind w:left="10007" w:hanging="1729"/>
      </w:pPr>
      <w:rPr>
        <w:rFonts w:hint="default"/>
      </w:rPr>
    </w:lvl>
    <w:lvl w:ilvl="8">
      <w:start w:val="1"/>
      <w:numFmt w:val="decimal"/>
      <w:lvlText w:val="%1.%2.%3.%4.%5.%6.%7.%8.%9."/>
      <w:lvlJc w:val="left"/>
      <w:pPr>
        <w:tabs>
          <w:tab w:val="num" w:pos="12167"/>
        </w:tabs>
        <w:ind w:left="11737" w:hanging="1730"/>
      </w:pPr>
      <w:rPr>
        <w:rFonts w:hint="default"/>
      </w:rPr>
    </w:lvl>
  </w:abstractNum>
  <w:abstractNum w:abstractNumId="18">
    <w:nsid w:val="543126C9"/>
    <w:multiLevelType w:val="multilevel"/>
    <w:tmpl w:val="3050D978"/>
    <w:styleLink w:val="Indentedai"/>
    <w:lvl w:ilvl="0">
      <w:start w:val="1"/>
      <w:numFmt w:val="lowerLetter"/>
      <w:lvlText w:val="(%1)"/>
      <w:lvlJc w:val="left"/>
      <w:pPr>
        <w:tabs>
          <w:tab w:val="num" w:pos="2835"/>
        </w:tabs>
        <w:ind w:left="2835" w:hanging="1134"/>
      </w:pPr>
      <w:rPr>
        <w:rFonts w:hint="default"/>
      </w:rPr>
    </w:lvl>
    <w:lvl w:ilvl="1">
      <w:start w:val="1"/>
      <w:numFmt w:val="lowerRoman"/>
      <w:lvlText w:val="(%2)"/>
      <w:lvlJc w:val="left"/>
      <w:pPr>
        <w:tabs>
          <w:tab w:val="num" w:pos="3402"/>
        </w:tabs>
        <w:ind w:left="3402" w:hanging="567"/>
      </w:pPr>
      <w:rPr>
        <w:rFonts w:ascii="Arial" w:hAnsi="Arial" w:hint="default"/>
        <w:kern w:val="25"/>
        <w:sz w:val="25"/>
      </w:rPr>
    </w:lvl>
    <w:lvl w:ilvl="2">
      <w:start w:val="1"/>
      <w:numFmt w:val="lowerRoman"/>
      <w:lvlText w:val="%3."/>
      <w:lvlJc w:val="right"/>
      <w:pPr>
        <w:tabs>
          <w:tab w:val="num" w:pos="3969"/>
        </w:tabs>
        <w:ind w:left="3969" w:hanging="567"/>
      </w:pPr>
      <w:rPr>
        <w:rFonts w:hint="default"/>
      </w:rPr>
    </w:lvl>
    <w:lvl w:ilvl="3">
      <w:start w:val="1"/>
      <w:numFmt w:val="decimal"/>
      <w:lvlText w:val="%4."/>
      <w:lvlJc w:val="left"/>
      <w:pPr>
        <w:tabs>
          <w:tab w:val="num" w:pos="4221"/>
        </w:tabs>
        <w:ind w:left="4221" w:hanging="360"/>
      </w:pPr>
      <w:rPr>
        <w:rFonts w:hint="default"/>
      </w:rPr>
    </w:lvl>
    <w:lvl w:ilvl="4">
      <w:start w:val="1"/>
      <w:numFmt w:val="lowerLetter"/>
      <w:lvlText w:val="%5."/>
      <w:lvlJc w:val="left"/>
      <w:pPr>
        <w:tabs>
          <w:tab w:val="num" w:pos="4941"/>
        </w:tabs>
        <w:ind w:left="4941" w:hanging="360"/>
      </w:pPr>
      <w:rPr>
        <w:rFonts w:hint="default"/>
      </w:rPr>
    </w:lvl>
    <w:lvl w:ilvl="5">
      <w:start w:val="1"/>
      <w:numFmt w:val="lowerRoman"/>
      <w:lvlText w:val="%6."/>
      <w:lvlJc w:val="right"/>
      <w:pPr>
        <w:tabs>
          <w:tab w:val="num" w:pos="5661"/>
        </w:tabs>
        <w:ind w:left="5661" w:hanging="180"/>
      </w:pPr>
      <w:rPr>
        <w:rFonts w:hint="default"/>
      </w:rPr>
    </w:lvl>
    <w:lvl w:ilvl="6">
      <w:start w:val="1"/>
      <w:numFmt w:val="decimal"/>
      <w:lvlText w:val="%7."/>
      <w:lvlJc w:val="left"/>
      <w:pPr>
        <w:tabs>
          <w:tab w:val="num" w:pos="6381"/>
        </w:tabs>
        <w:ind w:left="6381" w:hanging="360"/>
      </w:pPr>
      <w:rPr>
        <w:rFonts w:hint="default"/>
      </w:rPr>
    </w:lvl>
    <w:lvl w:ilvl="7">
      <w:start w:val="1"/>
      <w:numFmt w:val="lowerLetter"/>
      <w:lvlText w:val="%8."/>
      <w:lvlJc w:val="left"/>
      <w:pPr>
        <w:tabs>
          <w:tab w:val="num" w:pos="7101"/>
        </w:tabs>
        <w:ind w:left="7101" w:hanging="360"/>
      </w:pPr>
      <w:rPr>
        <w:rFonts w:hint="default"/>
      </w:rPr>
    </w:lvl>
    <w:lvl w:ilvl="8">
      <w:start w:val="1"/>
      <w:numFmt w:val="lowerRoman"/>
      <w:lvlText w:val="%9."/>
      <w:lvlJc w:val="right"/>
      <w:pPr>
        <w:tabs>
          <w:tab w:val="num" w:pos="7821"/>
        </w:tabs>
        <w:ind w:left="7821" w:hanging="180"/>
      </w:pPr>
      <w:rPr>
        <w:rFonts w:hint="default"/>
      </w:rPr>
    </w:lvl>
  </w:abstractNum>
  <w:abstractNum w:abstractNumId="19">
    <w:nsid w:val="59FE214D"/>
    <w:multiLevelType w:val="hybridMultilevel"/>
    <w:tmpl w:val="6DD2998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5E3D20A5"/>
    <w:multiLevelType w:val="multilevel"/>
    <w:tmpl w:val="1AA0D1DE"/>
    <w:lvl w:ilvl="0">
      <w:start w:val="1"/>
      <w:numFmt w:val="decimal"/>
      <w:lvlText w:val="%1."/>
      <w:lvlJc w:val="left"/>
      <w:pPr>
        <w:tabs>
          <w:tab w:val="num" w:pos="851"/>
        </w:tabs>
        <w:ind w:left="851" w:hanging="851"/>
      </w:pPr>
      <w:rPr>
        <w:rFonts w:ascii="Arial" w:hAnsi="Arial" w:hint="default"/>
        <w:sz w:val="24"/>
        <w:szCs w:val="24"/>
      </w:rPr>
    </w:lvl>
    <w:lvl w:ilvl="1">
      <w:start w:val="1"/>
      <w:numFmt w:val="decimal"/>
      <w:lvlText w:val="%1.%2"/>
      <w:lvlJc w:val="left"/>
      <w:pPr>
        <w:tabs>
          <w:tab w:val="num" w:pos="1474"/>
        </w:tabs>
        <w:ind w:left="1474" w:hanging="850"/>
      </w:pPr>
      <w:rPr>
        <w:rFonts w:hint="default"/>
      </w:rPr>
    </w:lvl>
    <w:lvl w:ilvl="2">
      <w:start w:val="1"/>
      <w:numFmt w:val="decimal"/>
      <w:lvlText w:val="%1.%2.%3"/>
      <w:lvlJc w:val="left"/>
      <w:pPr>
        <w:tabs>
          <w:tab w:val="num" w:pos="2325"/>
        </w:tabs>
        <w:ind w:left="2325" w:hanging="851"/>
      </w:pPr>
      <w:rPr>
        <w:rFonts w:hint="default"/>
      </w:rPr>
    </w:lvl>
    <w:lvl w:ilvl="3">
      <w:start w:val="1"/>
      <w:numFmt w:val="decimal"/>
      <w:lvlText w:val="%1.%2.%3.%4"/>
      <w:lvlJc w:val="left"/>
      <w:pPr>
        <w:tabs>
          <w:tab w:val="num" w:pos="3459"/>
        </w:tabs>
        <w:ind w:left="3459" w:hanging="1134"/>
      </w:pPr>
      <w:rPr>
        <w:rFonts w:hint="default"/>
      </w:rPr>
    </w:lvl>
    <w:lvl w:ilvl="4">
      <w:start w:val="1"/>
      <w:numFmt w:val="decimal"/>
      <w:lvlText w:val="%1.%2.%3.%4.%5"/>
      <w:lvlJc w:val="left"/>
      <w:pPr>
        <w:tabs>
          <w:tab w:val="num" w:pos="4876"/>
        </w:tabs>
        <w:ind w:left="4876" w:hanging="1417"/>
      </w:pPr>
      <w:rPr>
        <w:rFonts w:hint="default"/>
      </w:rPr>
    </w:lvl>
    <w:lvl w:ilvl="5">
      <w:start w:val="1"/>
      <w:numFmt w:val="decimal"/>
      <w:lvlText w:val="%1.%2.%3.%4.%5.%6"/>
      <w:lvlJc w:val="left"/>
      <w:pPr>
        <w:tabs>
          <w:tab w:val="num" w:pos="6010"/>
        </w:tabs>
        <w:ind w:left="6010" w:hanging="1134"/>
      </w:pPr>
      <w:rPr>
        <w:rFonts w:hint="default"/>
      </w:rPr>
    </w:lvl>
    <w:lvl w:ilvl="6">
      <w:start w:val="1"/>
      <w:numFmt w:val="decimal"/>
      <w:lvlText w:val="%1.%2.%3.%4.%5.%6.%7"/>
      <w:lvlJc w:val="left"/>
      <w:pPr>
        <w:tabs>
          <w:tab w:val="num" w:pos="8278"/>
        </w:tabs>
        <w:ind w:left="8278" w:hanging="1729"/>
      </w:pPr>
      <w:rPr>
        <w:rFonts w:hint="default"/>
      </w:rPr>
    </w:lvl>
    <w:lvl w:ilvl="7">
      <w:start w:val="1"/>
      <w:numFmt w:val="decimal"/>
      <w:lvlText w:val="%1.%2.%3.%4.%5.%6.%7.%8."/>
      <w:lvlJc w:val="left"/>
      <w:pPr>
        <w:tabs>
          <w:tab w:val="num" w:pos="10438"/>
        </w:tabs>
        <w:ind w:left="10007" w:hanging="1729"/>
      </w:pPr>
      <w:rPr>
        <w:rFonts w:hint="default"/>
      </w:rPr>
    </w:lvl>
    <w:lvl w:ilvl="8">
      <w:start w:val="1"/>
      <w:numFmt w:val="decimal"/>
      <w:lvlText w:val="%1.%2.%3.%4.%5.%6.%7.%8.%9."/>
      <w:lvlJc w:val="left"/>
      <w:pPr>
        <w:tabs>
          <w:tab w:val="num" w:pos="12167"/>
        </w:tabs>
        <w:ind w:left="11737" w:hanging="1730"/>
      </w:pPr>
      <w:rPr>
        <w:rFonts w:hint="default"/>
      </w:rPr>
    </w:lvl>
  </w:abstractNum>
  <w:abstractNum w:abstractNumId="21">
    <w:nsid w:val="5F36541C"/>
    <w:multiLevelType w:val="multilevel"/>
    <w:tmpl w:val="DA7A3554"/>
    <w:lvl w:ilvl="0">
      <w:start w:val="1"/>
      <w:numFmt w:val="decimal"/>
      <w:lvlRestart w:val="0"/>
      <w:pStyle w:val="Indent"/>
      <w:lvlText w:val="%1."/>
      <w:lvlJc w:val="left"/>
      <w:pPr>
        <w:tabs>
          <w:tab w:val="num" w:pos="850"/>
        </w:tabs>
        <w:ind w:left="850" w:hanging="850"/>
      </w:pPr>
      <w:rPr>
        <w:rFonts w:ascii="Arial" w:hAnsi="Arial" w:cs="Arial" w:hint="default"/>
        <w:b w:val="0"/>
        <w:sz w:val="24"/>
        <w:szCs w:val="25"/>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835"/>
        </w:tabs>
        <w:ind w:left="2835" w:hanging="1134"/>
      </w:pPr>
      <w:rPr>
        <w:rFonts w:hint="default"/>
      </w:rPr>
    </w:lvl>
    <w:lvl w:ilvl="3">
      <w:start w:val="1"/>
      <w:numFmt w:val="decimal"/>
      <w:lvlText w:val="%1.%2.%3.%4"/>
      <w:lvlJc w:val="left"/>
      <w:pPr>
        <w:tabs>
          <w:tab w:val="num" w:pos="3969"/>
        </w:tabs>
        <w:ind w:left="3969" w:hanging="1134"/>
      </w:pPr>
      <w:rPr>
        <w:rFonts w:hint="default"/>
      </w:rPr>
    </w:lvl>
    <w:lvl w:ilvl="4">
      <w:start w:val="1"/>
      <w:numFmt w:val="decimal"/>
      <w:lvlText w:val="%1.%2.%3.%4.%5"/>
      <w:lvlJc w:val="left"/>
      <w:pPr>
        <w:tabs>
          <w:tab w:val="num" w:pos="5272"/>
        </w:tabs>
        <w:ind w:left="5272" w:hanging="1303"/>
      </w:pPr>
      <w:rPr>
        <w:rFonts w:hint="default"/>
      </w:rPr>
    </w:lvl>
    <w:lvl w:ilvl="5">
      <w:start w:val="1"/>
      <w:numFmt w:val="decimal"/>
      <w:lvlText w:val="%1.%2.%3.%4.%5.%6"/>
      <w:lvlJc w:val="left"/>
      <w:pPr>
        <w:tabs>
          <w:tab w:val="num" w:pos="7342"/>
        </w:tabs>
        <w:ind w:left="7342" w:hanging="1582"/>
      </w:pPr>
      <w:rPr>
        <w:rFonts w:hint="default"/>
      </w:rPr>
    </w:lvl>
    <w:lvl w:ilvl="6">
      <w:start w:val="1"/>
      <w:numFmt w:val="decimal"/>
      <w:lvlText w:val="%1.%2.%3.%4.%5.%6.%7"/>
      <w:lvlJc w:val="left"/>
      <w:pPr>
        <w:tabs>
          <w:tab w:val="num" w:pos="9071"/>
        </w:tabs>
        <w:ind w:left="9071" w:hanging="1729"/>
      </w:pPr>
      <w:rPr>
        <w:rFonts w:hint="default"/>
      </w:rPr>
    </w:lvl>
    <w:lvl w:ilvl="7">
      <w:start w:val="1"/>
      <w:numFmt w:val="decimal"/>
      <w:lvlText w:val="%1.%2.%3.%4.%5.%6.%7.%8."/>
      <w:lvlJc w:val="left"/>
      <w:pPr>
        <w:tabs>
          <w:tab w:val="num" w:pos="11231"/>
        </w:tabs>
        <w:ind w:left="10800" w:hanging="1729"/>
      </w:pPr>
      <w:rPr>
        <w:rFonts w:hint="default"/>
      </w:rPr>
    </w:lvl>
    <w:lvl w:ilvl="8">
      <w:start w:val="1"/>
      <w:numFmt w:val="decimal"/>
      <w:lvlText w:val="%1.%2.%3.%4.%5.%6.%7.%8.%9."/>
      <w:lvlJc w:val="left"/>
      <w:pPr>
        <w:tabs>
          <w:tab w:val="num" w:pos="12960"/>
        </w:tabs>
        <w:ind w:left="12529" w:hanging="1729"/>
      </w:pPr>
      <w:rPr>
        <w:rFonts w:hint="default"/>
      </w:rPr>
    </w:lvl>
  </w:abstractNum>
  <w:abstractNum w:abstractNumId="22">
    <w:nsid w:val="6E49322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786D3EE4"/>
    <w:multiLevelType w:val="hybridMultilevel"/>
    <w:tmpl w:val="8DD8FC1C"/>
    <w:lvl w:ilvl="0" w:tplc="8A484D3C">
      <w:start w:val="1"/>
      <w:numFmt w:val="lowerRoman"/>
      <w:lvlText w:val="(%1)"/>
      <w:lvlJc w:val="left"/>
      <w:pPr>
        <w:tabs>
          <w:tab w:val="num" w:pos="1146"/>
        </w:tabs>
        <w:ind w:left="1146" w:hanging="72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4">
    <w:nsid w:val="7F3B58F4"/>
    <w:multiLevelType w:val="multilevel"/>
    <w:tmpl w:val="80140D54"/>
    <w:lvl w:ilvl="0">
      <w:start w:val="1"/>
      <w:numFmt w:val="lowerLetter"/>
      <w:pStyle w:val="ai"/>
      <w:lvlText w:val="(%1)"/>
      <w:lvlJc w:val="left"/>
      <w:pPr>
        <w:tabs>
          <w:tab w:val="num" w:pos="851"/>
        </w:tabs>
        <w:ind w:left="851" w:hanging="851"/>
      </w:pPr>
      <w:rPr>
        <w:rFonts w:hint="default"/>
        <w:sz w:val="25"/>
        <w:szCs w:val="25"/>
      </w:rPr>
    </w:lvl>
    <w:lvl w:ilvl="1">
      <w:start w:val="1"/>
      <w:numFmt w:val="lowerRoman"/>
      <w:lvlText w:val="(%2)"/>
      <w:lvlJc w:val="left"/>
      <w:pPr>
        <w:tabs>
          <w:tab w:val="num" w:pos="1701"/>
        </w:tabs>
        <w:ind w:left="1701" w:hanging="850"/>
      </w:pPr>
      <w:rPr>
        <w:rFonts w:ascii="Arial" w:hAnsi="Arial" w:hint="default"/>
        <w:b w:val="0"/>
        <w:i w:val="0"/>
        <w:kern w:val="25"/>
        <w:sz w:val="25"/>
        <w:szCs w:val="24"/>
      </w:rPr>
    </w:lvl>
    <w:lvl w:ilvl="2">
      <w:start w:val="1"/>
      <w:numFmt w:val="upperLetter"/>
      <w:lvlText w:val="(%3)"/>
      <w:lvlJc w:val="left"/>
      <w:pPr>
        <w:tabs>
          <w:tab w:val="num" w:pos="2835"/>
        </w:tabs>
        <w:ind w:left="2835" w:hanging="1134"/>
      </w:pPr>
      <w:rPr>
        <w:rFonts w:hint="default"/>
        <w:b w:val="0"/>
        <w:i w:val="0"/>
        <w:sz w:val="24"/>
        <w:szCs w:val="24"/>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5"/>
  </w:num>
  <w:num w:numId="19">
    <w:abstractNumId w:val="13"/>
  </w:num>
  <w:num w:numId="20">
    <w:abstractNumId w:val="22"/>
  </w:num>
  <w:num w:numId="21">
    <w:abstractNumId w:val="17"/>
  </w:num>
  <w:num w:numId="22">
    <w:abstractNumId w:val="21"/>
  </w:num>
  <w:num w:numId="23">
    <w:abstractNumId w:val="20"/>
  </w:num>
  <w:num w:numId="24">
    <w:abstractNumId w:val="21"/>
  </w:num>
  <w:num w:numId="25">
    <w:abstractNumId w:val="16"/>
  </w:num>
  <w:num w:numId="26">
    <w:abstractNumId w:val="18"/>
  </w:num>
  <w:num w:numId="27">
    <w:abstractNumId w:val="16"/>
  </w:num>
  <w:num w:numId="28">
    <w:abstractNumId w:val="16"/>
  </w:num>
  <w:num w:numId="29">
    <w:abstractNumId w:val="24"/>
  </w:num>
  <w:num w:numId="30">
    <w:abstractNumId w:val="24"/>
  </w:num>
  <w:num w:numId="31">
    <w:abstractNumId w:val="24"/>
  </w:num>
  <w:num w:numId="32">
    <w:abstractNumId w:val="24"/>
  </w:num>
  <w:num w:numId="33">
    <w:abstractNumId w:val="24"/>
  </w:num>
  <w:num w:numId="34">
    <w:abstractNumId w:val="11"/>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9"/>
  </w:num>
  <w:num w:numId="39">
    <w:abstractNumId w:val="23"/>
  </w:num>
  <w:num w:numId="40">
    <w:abstractNumId w:val="9"/>
  </w:num>
  <w:num w:numId="41">
    <w:abstractNumId w:val="7"/>
  </w:num>
  <w:num w:numId="42">
    <w:abstractNumId w:val="6"/>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55"/>
    <w:rsid w:val="00001FB3"/>
    <w:rsid w:val="000026C1"/>
    <w:rsid w:val="00012B99"/>
    <w:rsid w:val="000138AD"/>
    <w:rsid w:val="0001548A"/>
    <w:rsid w:val="000158DD"/>
    <w:rsid w:val="00022CFB"/>
    <w:rsid w:val="000267E7"/>
    <w:rsid w:val="00027BD0"/>
    <w:rsid w:val="00035885"/>
    <w:rsid w:val="000372A1"/>
    <w:rsid w:val="000411CA"/>
    <w:rsid w:val="00050251"/>
    <w:rsid w:val="00061A1F"/>
    <w:rsid w:val="00065437"/>
    <w:rsid w:val="00071878"/>
    <w:rsid w:val="00077F3E"/>
    <w:rsid w:val="000841AC"/>
    <w:rsid w:val="00085017"/>
    <w:rsid w:val="000907B0"/>
    <w:rsid w:val="00097B15"/>
    <w:rsid w:val="000A1AD6"/>
    <w:rsid w:val="000A224A"/>
    <w:rsid w:val="000B6BAD"/>
    <w:rsid w:val="000C6359"/>
    <w:rsid w:val="000D53E5"/>
    <w:rsid w:val="000E5C06"/>
    <w:rsid w:val="000F1552"/>
    <w:rsid w:val="000F1FEF"/>
    <w:rsid w:val="000F64D6"/>
    <w:rsid w:val="000F68D9"/>
    <w:rsid w:val="001027B9"/>
    <w:rsid w:val="00103ED6"/>
    <w:rsid w:val="00114B4B"/>
    <w:rsid w:val="0011558F"/>
    <w:rsid w:val="00122343"/>
    <w:rsid w:val="0013225B"/>
    <w:rsid w:val="00132317"/>
    <w:rsid w:val="00142CE6"/>
    <w:rsid w:val="00153C67"/>
    <w:rsid w:val="00156CC5"/>
    <w:rsid w:val="001630E5"/>
    <w:rsid w:val="00164BE2"/>
    <w:rsid w:val="00172BE0"/>
    <w:rsid w:val="00194235"/>
    <w:rsid w:val="001A1F9A"/>
    <w:rsid w:val="001A5361"/>
    <w:rsid w:val="001B533E"/>
    <w:rsid w:val="001C13D7"/>
    <w:rsid w:val="001C4E55"/>
    <w:rsid w:val="001C5ACA"/>
    <w:rsid w:val="001D7088"/>
    <w:rsid w:val="001E09CD"/>
    <w:rsid w:val="001E138C"/>
    <w:rsid w:val="001E3121"/>
    <w:rsid w:val="001E3BFE"/>
    <w:rsid w:val="001E63F6"/>
    <w:rsid w:val="002026F9"/>
    <w:rsid w:val="00210173"/>
    <w:rsid w:val="002214BC"/>
    <w:rsid w:val="00221E9A"/>
    <w:rsid w:val="00224207"/>
    <w:rsid w:val="00231392"/>
    <w:rsid w:val="002317B6"/>
    <w:rsid w:val="0024686D"/>
    <w:rsid w:val="00261851"/>
    <w:rsid w:val="00271C16"/>
    <w:rsid w:val="00272A8D"/>
    <w:rsid w:val="00273C8D"/>
    <w:rsid w:val="00273F6C"/>
    <w:rsid w:val="002819E8"/>
    <w:rsid w:val="002A3634"/>
    <w:rsid w:val="002B45E0"/>
    <w:rsid w:val="002C2C0B"/>
    <w:rsid w:val="002C3395"/>
    <w:rsid w:val="002D09A8"/>
    <w:rsid w:val="002D2FEC"/>
    <w:rsid w:val="002D4157"/>
    <w:rsid w:val="002F05FE"/>
    <w:rsid w:val="002F37E2"/>
    <w:rsid w:val="00302055"/>
    <w:rsid w:val="003116D9"/>
    <w:rsid w:val="00317CFA"/>
    <w:rsid w:val="00323F57"/>
    <w:rsid w:val="003250EF"/>
    <w:rsid w:val="00364895"/>
    <w:rsid w:val="00370569"/>
    <w:rsid w:val="00371C5F"/>
    <w:rsid w:val="003801AE"/>
    <w:rsid w:val="00380406"/>
    <w:rsid w:val="00382FBD"/>
    <w:rsid w:val="00392F33"/>
    <w:rsid w:val="003A14FA"/>
    <w:rsid w:val="003A5A2B"/>
    <w:rsid w:val="003A5AAD"/>
    <w:rsid w:val="003B2A6B"/>
    <w:rsid w:val="003B2CC6"/>
    <w:rsid w:val="003D6792"/>
    <w:rsid w:val="003E2214"/>
    <w:rsid w:val="003F178E"/>
    <w:rsid w:val="003F7ABD"/>
    <w:rsid w:val="004023D4"/>
    <w:rsid w:val="004146FF"/>
    <w:rsid w:val="00430425"/>
    <w:rsid w:val="0043783C"/>
    <w:rsid w:val="00437922"/>
    <w:rsid w:val="004517C5"/>
    <w:rsid w:val="00453898"/>
    <w:rsid w:val="00457798"/>
    <w:rsid w:val="00464F22"/>
    <w:rsid w:val="00465E6A"/>
    <w:rsid w:val="00466B57"/>
    <w:rsid w:val="00471889"/>
    <w:rsid w:val="00476257"/>
    <w:rsid w:val="00480C82"/>
    <w:rsid w:val="004A139C"/>
    <w:rsid w:val="004D1AC7"/>
    <w:rsid w:val="004D521B"/>
    <w:rsid w:val="004E31DE"/>
    <w:rsid w:val="004F0551"/>
    <w:rsid w:val="004F7342"/>
    <w:rsid w:val="00501BA1"/>
    <w:rsid w:val="00505CE3"/>
    <w:rsid w:val="00507E01"/>
    <w:rsid w:val="005148DE"/>
    <w:rsid w:val="00520729"/>
    <w:rsid w:val="005236C5"/>
    <w:rsid w:val="00525D6F"/>
    <w:rsid w:val="005344F8"/>
    <w:rsid w:val="00535573"/>
    <w:rsid w:val="00536CDC"/>
    <w:rsid w:val="00541752"/>
    <w:rsid w:val="005447E8"/>
    <w:rsid w:val="00546BA2"/>
    <w:rsid w:val="00547EE7"/>
    <w:rsid w:val="005505BB"/>
    <w:rsid w:val="00550770"/>
    <w:rsid w:val="00561126"/>
    <w:rsid w:val="00564284"/>
    <w:rsid w:val="00574B39"/>
    <w:rsid w:val="005773E9"/>
    <w:rsid w:val="00583359"/>
    <w:rsid w:val="00585B8A"/>
    <w:rsid w:val="00590246"/>
    <w:rsid w:val="005941CE"/>
    <w:rsid w:val="005A760B"/>
    <w:rsid w:val="005B031D"/>
    <w:rsid w:val="005B08C6"/>
    <w:rsid w:val="005B1F8A"/>
    <w:rsid w:val="005C11A1"/>
    <w:rsid w:val="005C3107"/>
    <w:rsid w:val="005D2D1E"/>
    <w:rsid w:val="005D3D39"/>
    <w:rsid w:val="005D65C6"/>
    <w:rsid w:val="005E0DCC"/>
    <w:rsid w:val="005E4556"/>
    <w:rsid w:val="005F3813"/>
    <w:rsid w:val="006011B7"/>
    <w:rsid w:val="006044AE"/>
    <w:rsid w:val="00612130"/>
    <w:rsid w:val="00615A56"/>
    <w:rsid w:val="006345D4"/>
    <w:rsid w:val="00636056"/>
    <w:rsid w:val="00636DA2"/>
    <w:rsid w:val="00636DFC"/>
    <w:rsid w:val="006401FA"/>
    <w:rsid w:val="006569BF"/>
    <w:rsid w:val="00662242"/>
    <w:rsid w:val="00662DA7"/>
    <w:rsid w:val="006709A1"/>
    <w:rsid w:val="00671949"/>
    <w:rsid w:val="0068158B"/>
    <w:rsid w:val="0068263F"/>
    <w:rsid w:val="0069182C"/>
    <w:rsid w:val="00693162"/>
    <w:rsid w:val="006955F1"/>
    <w:rsid w:val="006A2396"/>
    <w:rsid w:val="006B1AE2"/>
    <w:rsid w:val="006B410D"/>
    <w:rsid w:val="006C3E37"/>
    <w:rsid w:val="006D0298"/>
    <w:rsid w:val="006D2383"/>
    <w:rsid w:val="006D4373"/>
    <w:rsid w:val="006D6DD3"/>
    <w:rsid w:val="006E3102"/>
    <w:rsid w:val="006E745F"/>
    <w:rsid w:val="006F7EA0"/>
    <w:rsid w:val="007266BE"/>
    <w:rsid w:val="00730155"/>
    <w:rsid w:val="00732396"/>
    <w:rsid w:val="007326C5"/>
    <w:rsid w:val="007432C6"/>
    <w:rsid w:val="00743350"/>
    <w:rsid w:val="00752A00"/>
    <w:rsid w:val="007546B6"/>
    <w:rsid w:val="00754AEE"/>
    <w:rsid w:val="007612A9"/>
    <w:rsid w:val="00762376"/>
    <w:rsid w:val="00766B2A"/>
    <w:rsid w:val="00767CE5"/>
    <w:rsid w:val="007754B4"/>
    <w:rsid w:val="00782982"/>
    <w:rsid w:val="007852C0"/>
    <w:rsid w:val="00790487"/>
    <w:rsid w:val="00796D5D"/>
    <w:rsid w:val="007A3ED9"/>
    <w:rsid w:val="007A5087"/>
    <w:rsid w:val="007A7219"/>
    <w:rsid w:val="007C6C8E"/>
    <w:rsid w:val="007C7467"/>
    <w:rsid w:val="007D7EFE"/>
    <w:rsid w:val="007E3ED3"/>
    <w:rsid w:val="007E59A8"/>
    <w:rsid w:val="007E7292"/>
    <w:rsid w:val="007F02D0"/>
    <w:rsid w:val="00802E3D"/>
    <w:rsid w:val="008123C8"/>
    <w:rsid w:val="00814B31"/>
    <w:rsid w:val="00815F0D"/>
    <w:rsid w:val="008224D7"/>
    <w:rsid w:val="0082488B"/>
    <w:rsid w:val="00825FB5"/>
    <w:rsid w:val="00827FB9"/>
    <w:rsid w:val="008448A8"/>
    <w:rsid w:val="0084576B"/>
    <w:rsid w:val="00847011"/>
    <w:rsid w:val="008513C5"/>
    <w:rsid w:val="00852E69"/>
    <w:rsid w:val="00853EA1"/>
    <w:rsid w:val="008710BD"/>
    <w:rsid w:val="0089017F"/>
    <w:rsid w:val="00892013"/>
    <w:rsid w:val="008959C2"/>
    <w:rsid w:val="008A7279"/>
    <w:rsid w:val="008B7B1D"/>
    <w:rsid w:val="008C4A3B"/>
    <w:rsid w:val="008D46B6"/>
    <w:rsid w:val="008E0382"/>
    <w:rsid w:val="008E0FF6"/>
    <w:rsid w:val="008E2647"/>
    <w:rsid w:val="008E7197"/>
    <w:rsid w:val="008F1C31"/>
    <w:rsid w:val="008F207B"/>
    <w:rsid w:val="008F3149"/>
    <w:rsid w:val="008F445B"/>
    <w:rsid w:val="00905E6D"/>
    <w:rsid w:val="00910049"/>
    <w:rsid w:val="00911201"/>
    <w:rsid w:val="00911466"/>
    <w:rsid w:val="00911808"/>
    <w:rsid w:val="00917548"/>
    <w:rsid w:val="00917C13"/>
    <w:rsid w:val="00924280"/>
    <w:rsid w:val="0093000F"/>
    <w:rsid w:val="009301B2"/>
    <w:rsid w:val="00933A3D"/>
    <w:rsid w:val="0093738F"/>
    <w:rsid w:val="009416CB"/>
    <w:rsid w:val="0094302F"/>
    <w:rsid w:val="0096250F"/>
    <w:rsid w:val="009674E9"/>
    <w:rsid w:val="00972506"/>
    <w:rsid w:val="00983924"/>
    <w:rsid w:val="009846BF"/>
    <w:rsid w:val="00994063"/>
    <w:rsid w:val="009944B2"/>
    <w:rsid w:val="0099517E"/>
    <w:rsid w:val="0099544A"/>
    <w:rsid w:val="009A63BB"/>
    <w:rsid w:val="009A7C83"/>
    <w:rsid w:val="009B1006"/>
    <w:rsid w:val="009C073E"/>
    <w:rsid w:val="009C5AA1"/>
    <w:rsid w:val="009D68C5"/>
    <w:rsid w:val="009D7BEB"/>
    <w:rsid w:val="009E2F3D"/>
    <w:rsid w:val="009E3374"/>
    <w:rsid w:val="009F501A"/>
    <w:rsid w:val="00A12563"/>
    <w:rsid w:val="00A14C75"/>
    <w:rsid w:val="00A15516"/>
    <w:rsid w:val="00A211D2"/>
    <w:rsid w:val="00A27170"/>
    <w:rsid w:val="00A34D55"/>
    <w:rsid w:val="00A45D50"/>
    <w:rsid w:val="00A51F4F"/>
    <w:rsid w:val="00A8335A"/>
    <w:rsid w:val="00A83F69"/>
    <w:rsid w:val="00A92917"/>
    <w:rsid w:val="00A957AE"/>
    <w:rsid w:val="00AA5D61"/>
    <w:rsid w:val="00AA7184"/>
    <w:rsid w:val="00AB2191"/>
    <w:rsid w:val="00AB308D"/>
    <w:rsid w:val="00AB61DD"/>
    <w:rsid w:val="00AB6B1F"/>
    <w:rsid w:val="00AC360A"/>
    <w:rsid w:val="00AD5831"/>
    <w:rsid w:val="00AE0A1C"/>
    <w:rsid w:val="00AF2002"/>
    <w:rsid w:val="00AF4BC7"/>
    <w:rsid w:val="00AF52CD"/>
    <w:rsid w:val="00B220DE"/>
    <w:rsid w:val="00B26CCE"/>
    <w:rsid w:val="00B314E7"/>
    <w:rsid w:val="00B34658"/>
    <w:rsid w:val="00B44BA2"/>
    <w:rsid w:val="00B53CD4"/>
    <w:rsid w:val="00B60852"/>
    <w:rsid w:val="00B72D1E"/>
    <w:rsid w:val="00B7508A"/>
    <w:rsid w:val="00B831E8"/>
    <w:rsid w:val="00B84CCB"/>
    <w:rsid w:val="00B87B58"/>
    <w:rsid w:val="00BA2238"/>
    <w:rsid w:val="00BB071B"/>
    <w:rsid w:val="00BB6521"/>
    <w:rsid w:val="00BC1652"/>
    <w:rsid w:val="00BC596C"/>
    <w:rsid w:val="00BC7AFB"/>
    <w:rsid w:val="00BE2A15"/>
    <w:rsid w:val="00BE7F45"/>
    <w:rsid w:val="00BF5750"/>
    <w:rsid w:val="00C00847"/>
    <w:rsid w:val="00C0110F"/>
    <w:rsid w:val="00C07F67"/>
    <w:rsid w:val="00C14DF3"/>
    <w:rsid w:val="00C30F83"/>
    <w:rsid w:val="00C374F0"/>
    <w:rsid w:val="00C47939"/>
    <w:rsid w:val="00C51837"/>
    <w:rsid w:val="00C54199"/>
    <w:rsid w:val="00C57939"/>
    <w:rsid w:val="00C6658F"/>
    <w:rsid w:val="00C7106E"/>
    <w:rsid w:val="00C76C9D"/>
    <w:rsid w:val="00C82AB2"/>
    <w:rsid w:val="00C84BE3"/>
    <w:rsid w:val="00C9171B"/>
    <w:rsid w:val="00C949DE"/>
    <w:rsid w:val="00C97581"/>
    <w:rsid w:val="00CA7147"/>
    <w:rsid w:val="00CB24CE"/>
    <w:rsid w:val="00CC470F"/>
    <w:rsid w:val="00CC69CD"/>
    <w:rsid w:val="00CE0F80"/>
    <w:rsid w:val="00CF5058"/>
    <w:rsid w:val="00CF7290"/>
    <w:rsid w:val="00D01E39"/>
    <w:rsid w:val="00D04F6D"/>
    <w:rsid w:val="00D05B9C"/>
    <w:rsid w:val="00D06342"/>
    <w:rsid w:val="00D0644F"/>
    <w:rsid w:val="00D07AFB"/>
    <w:rsid w:val="00D110A2"/>
    <w:rsid w:val="00D13B10"/>
    <w:rsid w:val="00D17BAC"/>
    <w:rsid w:val="00D2088E"/>
    <w:rsid w:val="00D231C3"/>
    <w:rsid w:val="00D419FE"/>
    <w:rsid w:val="00D55A67"/>
    <w:rsid w:val="00D611B3"/>
    <w:rsid w:val="00D613A6"/>
    <w:rsid w:val="00D67D54"/>
    <w:rsid w:val="00D743E8"/>
    <w:rsid w:val="00D80704"/>
    <w:rsid w:val="00D9625A"/>
    <w:rsid w:val="00D96D3C"/>
    <w:rsid w:val="00DA1B81"/>
    <w:rsid w:val="00DB2048"/>
    <w:rsid w:val="00DB5832"/>
    <w:rsid w:val="00DC00F1"/>
    <w:rsid w:val="00DC150A"/>
    <w:rsid w:val="00DD199F"/>
    <w:rsid w:val="00DD7929"/>
    <w:rsid w:val="00DE184E"/>
    <w:rsid w:val="00DE330A"/>
    <w:rsid w:val="00DF76AE"/>
    <w:rsid w:val="00E07565"/>
    <w:rsid w:val="00E1187A"/>
    <w:rsid w:val="00E16CCF"/>
    <w:rsid w:val="00E22ED3"/>
    <w:rsid w:val="00E22F6A"/>
    <w:rsid w:val="00E40481"/>
    <w:rsid w:val="00E41406"/>
    <w:rsid w:val="00E52099"/>
    <w:rsid w:val="00E60F48"/>
    <w:rsid w:val="00E64042"/>
    <w:rsid w:val="00E711D7"/>
    <w:rsid w:val="00E7133F"/>
    <w:rsid w:val="00E73F73"/>
    <w:rsid w:val="00E82E6E"/>
    <w:rsid w:val="00E837E0"/>
    <w:rsid w:val="00E84592"/>
    <w:rsid w:val="00E860E4"/>
    <w:rsid w:val="00E95BFA"/>
    <w:rsid w:val="00EA32AD"/>
    <w:rsid w:val="00EC527B"/>
    <w:rsid w:val="00EC6AE3"/>
    <w:rsid w:val="00ED15DD"/>
    <w:rsid w:val="00ED18B1"/>
    <w:rsid w:val="00EF0FEC"/>
    <w:rsid w:val="00EF5705"/>
    <w:rsid w:val="00EF7388"/>
    <w:rsid w:val="00F01B98"/>
    <w:rsid w:val="00F020BB"/>
    <w:rsid w:val="00F02655"/>
    <w:rsid w:val="00F04C90"/>
    <w:rsid w:val="00F04CA4"/>
    <w:rsid w:val="00F11B20"/>
    <w:rsid w:val="00F11C77"/>
    <w:rsid w:val="00F168E5"/>
    <w:rsid w:val="00F209B5"/>
    <w:rsid w:val="00F21280"/>
    <w:rsid w:val="00F216C9"/>
    <w:rsid w:val="00F35FAA"/>
    <w:rsid w:val="00F36E95"/>
    <w:rsid w:val="00F370DE"/>
    <w:rsid w:val="00F47199"/>
    <w:rsid w:val="00F47C8E"/>
    <w:rsid w:val="00F533D1"/>
    <w:rsid w:val="00F5423B"/>
    <w:rsid w:val="00F7065E"/>
    <w:rsid w:val="00F950A0"/>
    <w:rsid w:val="00FA58AC"/>
    <w:rsid w:val="00FB307E"/>
    <w:rsid w:val="00FC3E98"/>
    <w:rsid w:val="00FE1A08"/>
    <w:rsid w:val="00FE314F"/>
    <w:rsid w:val="00FE433C"/>
    <w:rsid w:val="00FE6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CCA0244"/>
  <w15:chartTrackingRefBased/>
  <w15:docId w15:val="{C111E231-D689-4667-A934-0A917D58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7E0"/>
    <w:pPr>
      <w:widowControl w:val="0"/>
      <w:tabs>
        <w:tab w:val="left" w:pos="851"/>
        <w:tab w:val="left" w:pos="1701"/>
        <w:tab w:val="left" w:pos="2835"/>
        <w:tab w:val="left" w:pos="3969"/>
        <w:tab w:val="left" w:pos="4706"/>
      </w:tabs>
      <w:spacing w:after="480" w:line="480" w:lineRule="auto"/>
      <w:jc w:val="both"/>
    </w:pPr>
    <w:rPr>
      <w:rFonts w:ascii="Arial" w:hAnsi="Arial"/>
      <w:kern w:val="25"/>
      <w:sz w:val="25"/>
      <w:lang w:val="en-GB" w:eastAsia="en-GB"/>
    </w:rPr>
  </w:style>
  <w:style w:type="paragraph" w:styleId="Heading1">
    <w:name w:val="heading 1"/>
    <w:basedOn w:val="Normal"/>
    <w:next w:val="Normal"/>
    <w:qFormat/>
    <w:rsid w:val="001E63F6"/>
    <w:pPr>
      <w:keepNext/>
      <w:widowControl/>
      <w:tabs>
        <w:tab w:val="clear" w:pos="851"/>
      </w:tabs>
      <w:spacing w:after="0" w:line="240" w:lineRule="auto"/>
      <w:jc w:val="left"/>
      <w:outlineLvl w:val="0"/>
    </w:pPr>
    <w:rPr>
      <w:rFonts w:cs="Arial"/>
      <w:b/>
      <w:bCs/>
      <w:color w:val="000000"/>
      <w:kern w:val="0"/>
      <w:sz w:val="18"/>
      <w:szCs w:val="18"/>
      <w:lang w:eastAsia="en-US"/>
    </w:rPr>
  </w:style>
  <w:style w:type="paragraph" w:styleId="Heading2">
    <w:name w:val="heading 2"/>
    <w:basedOn w:val="Normal"/>
    <w:next w:val="Normal"/>
    <w:qFormat/>
    <w:rsid w:val="001E63F6"/>
    <w:pPr>
      <w:keepNext/>
      <w:widowControl/>
      <w:tabs>
        <w:tab w:val="clear" w:pos="851"/>
      </w:tabs>
      <w:spacing w:after="0" w:line="240" w:lineRule="auto"/>
      <w:jc w:val="left"/>
      <w:outlineLvl w:val="1"/>
    </w:pPr>
    <w:rPr>
      <w:rFonts w:cs="Arial"/>
      <w:color w:val="000000"/>
      <w:kern w:val="0"/>
      <w:sz w:val="18"/>
      <w:szCs w:val="18"/>
      <w:u w:val="single"/>
      <w:lang w:eastAsia="en-US"/>
    </w:rPr>
  </w:style>
  <w:style w:type="paragraph" w:styleId="Heading3">
    <w:name w:val="heading 3"/>
    <w:basedOn w:val="Normal"/>
    <w:next w:val="Normal"/>
    <w:qFormat/>
    <w:rsid w:val="001E63F6"/>
    <w:pPr>
      <w:keepNext/>
      <w:widowControl/>
      <w:tabs>
        <w:tab w:val="clear" w:pos="851"/>
      </w:tabs>
      <w:spacing w:after="0" w:line="240" w:lineRule="auto"/>
      <w:ind w:right="692"/>
      <w:jc w:val="left"/>
      <w:outlineLvl w:val="2"/>
    </w:pPr>
    <w:rPr>
      <w:rFonts w:cs="Arial"/>
      <w:b/>
      <w:bCs/>
      <w:color w:val="FF6600"/>
      <w:kern w:val="0"/>
      <w:sz w:val="18"/>
      <w:szCs w:val="18"/>
      <w:lang w:eastAsia="en-US"/>
    </w:rPr>
  </w:style>
  <w:style w:type="paragraph" w:styleId="Heading4">
    <w:name w:val="heading 4"/>
    <w:basedOn w:val="Normal"/>
    <w:next w:val="Normal"/>
    <w:qFormat/>
    <w:rsid w:val="001E63F6"/>
    <w:pPr>
      <w:keepNext/>
      <w:widowControl/>
      <w:tabs>
        <w:tab w:val="clear" w:pos="851"/>
      </w:tabs>
      <w:spacing w:after="0" w:line="288" w:lineRule="auto"/>
      <w:ind w:left="-115"/>
      <w:jc w:val="left"/>
      <w:outlineLvl w:val="3"/>
    </w:pPr>
    <w:rPr>
      <w:rFonts w:ascii="Times New Roman" w:eastAsia="Times" w:hAnsi="Times New Roman"/>
      <w:b/>
      <w:bCs/>
      <w:color w:val="000000"/>
      <w:spacing w:val="24"/>
      <w:kern w:val="0"/>
      <w:sz w:val="15"/>
      <w:szCs w:val="15"/>
      <w:lang w:val="en-US" w:eastAsia="en-US"/>
    </w:rPr>
  </w:style>
  <w:style w:type="paragraph" w:styleId="Heading5">
    <w:name w:val="heading 5"/>
    <w:basedOn w:val="Heading4"/>
    <w:next w:val="Normal"/>
    <w:qFormat/>
    <w:rsid w:val="00815F0D"/>
    <w:pPr>
      <w:numPr>
        <w:ilvl w:val="4"/>
        <w:numId w:val="17"/>
      </w:numPr>
      <w:outlineLvl w:val="4"/>
    </w:pPr>
  </w:style>
  <w:style w:type="paragraph" w:styleId="Heading6">
    <w:name w:val="heading 6"/>
    <w:basedOn w:val="Normal"/>
    <w:next w:val="Normal"/>
    <w:qFormat/>
    <w:pPr>
      <w:keepNext/>
      <w:outlineLvl w:val="5"/>
    </w:pPr>
    <w:rPr>
      <w:u w:val="single"/>
    </w:rPr>
  </w:style>
  <w:style w:type="paragraph" w:styleId="Heading9">
    <w:name w:val="heading 9"/>
    <w:basedOn w:val="Normal"/>
    <w:next w:val="Normal"/>
    <w:qFormat/>
    <w:rsid w:val="00D80704"/>
    <w:pPr>
      <w:keepNext/>
      <w:jc w:val="right"/>
      <w:outlineLvl w:val="8"/>
    </w:pPr>
    <w:rPr>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sid w:val="001E63F6"/>
    <w:pPr>
      <w:widowControl/>
      <w:tabs>
        <w:tab w:val="clear" w:pos="851"/>
      </w:tabs>
      <w:spacing w:after="0" w:line="240" w:lineRule="auto"/>
      <w:jc w:val="left"/>
    </w:pPr>
    <w:rPr>
      <w:rFonts w:ascii="Tahoma" w:hAnsi="Tahoma" w:cs="Tahoma"/>
      <w:color w:val="000000"/>
      <w:kern w:val="0"/>
      <w:sz w:val="16"/>
      <w:szCs w:val="16"/>
      <w:lang w:eastAsia="en-US"/>
    </w:rPr>
  </w:style>
  <w:style w:type="paragraph" w:styleId="BodyText">
    <w:name w:val="Body Text"/>
    <w:basedOn w:val="Normal"/>
    <w:link w:val="BodyTextChar"/>
    <w:rsid w:val="001E63F6"/>
    <w:pPr>
      <w:widowControl/>
      <w:tabs>
        <w:tab w:val="clear" w:pos="851"/>
      </w:tabs>
      <w:spacing w:after="0" w:line="240" w:lineRule="auto"/>
      <w:jc w:val="left"/>
    </w:pPr>
    <w:rPr>
      <w:rFonts w:eastAsia="Times" w:cs="Arial"/>
      <w:color w:val="181512"/>
      <w:kern w:val="0"/>
      <w:sz w:val="16"/>
      <w:szCs w:val="16"/>
      <w:lang w:val="en-US" w:eastAsia="en-US"/>
    </w:rPr>
  </w:style>
  <w:style w:type="paragraph" w:styleId="BodyText2">
    <w:name w:val="Body Text 2"/>
    <w:basedOn w:val="Normal"/>
    <w:rsid w:val="001E63F6"/>
    <w:pPr>
      <w:tabs>
        <w:tab w:val="clear" w:pos="851"/>
      </w:tabs>
      <w:autoSpaceDE w:val="0"/>
      <w:autoSpaceDN w:val="0"/>
      <w:adjustRightInd w:val="0"/>
      <w:spacing w:after="0" w:line="270" w:lineRule="exact"/>
      <w:ind w:right="5805"/>
      <w:jc w:val="left"/>
    </w:pPr>
    <w:rPr>
      <w:rFonts w:ascii="Times New Roman" w:eastAsia="Times" w:hAnsi="Times New Roman"/>
      <w:color w:val="000000"/>
      <w:kern w:val="0"/>
      <w:sz w:val="18"/>
      <w:szCs w:val="18"/>
      <w:lang w:val="en-US" w:eastAsia="en-US"/>
    </w:rPr>
  </w:style>
  <w:style w:type="paragraph" w:customStyle="1" w:styleId="BridgeBodyText">
    <w:name w:val="Bridge Body Text"/>
    <w:basedOn w:val="Normal"/>
    <w:rsid w:val="001E63F6"/>
    <w:pPr>
      <w:tabs>
        <w:tab w:val="clear" w:pos="851"/>
      </w:tabs>
      <w:autoSpaceDE w:val="0"/>
      <w:autoSpaceDN w:val="0"/>
      <w:adjustRightInd w:val="0"/>
      <w:spacing w:after="0" w:line="320" w:lineRule="exact"/>
      <w:jc w:val="left"/>
    </w:pPr>
    <w:rPr>
      <w:rFonts w:ascii="Times New Roman" w:eastAsia="Times" w:hAnsi="Times New Roman"/>
      <w:color w:val="000000"/>
      <w:kern w:val="0"/>
      <w:sz w:val="18"/>
      <w:szCs w:val="18"/>
      <w:lang w:val="en-US" w:eastAsia="en-US"/>
    </w:rPr>
  </w:style>
  <w:style w:type="paragraph" w:customStyle="1" w:styleId="BridgeHeading">
    <w:name w:val="Bridge Heading"/>
    <w:basedOn w:val="BridgeBodyText"/>
    <w:rsid w:val="001E63F6"/>
    <w:rPr>
      <w:b/>
      <w:bCs/>
    </w:rPr>
  </w:style>
  <w:style w:type="paragraph" w:styleId="Caption">
    <w:name w:val="caption"/>
    <w:basedOn w:val="Normal"/>
    <w:next w:val="Normal"/>
    <w:qFormat/>
    <w:rsid w:val="001E63F6"/>
    <w:pPr>
      <w:widowControl/>
      <w:tabs>
        <w:tab w:val="clear" w:pos="851"/>
      </w:tabs>
      <w:spacing w:after="0" w:line="240" w:lineRule="auto"/>
      <w:jc w:val="left"/>
    </w:pPr>
    <w:rPr>
      <w:rFonts w:cs="Arial"/>
      <w:b/>
      <w:bCs/>
      <w:color w:val="000000"/>
      <w:kern w:val="0"/>
      <w:sz w:val="20"/>
      <w:lang w:eastAsia="en-US"/>
    </w:rPr>
  </w:style>
  <w:style w:type="character" w:styleId="CommentReference">
    <w:name w:val="annotation reference"/>
    <w:rsid w:val="001E63F6"/>
    <w:rPr>
      <w:sz w:val="16"/>
      <w:szCs w:val="16"/>
    </w:rPr>
  </w:style>
  <w:style w:type="paragraph" w:styleId="CommentText">
    <w:name w:val="annotation text"/>
    <w:basedOn w:val="Normal"/>
    <w:rsid w:val="001E63F6"/>
    <w:pPr>
      <w:widowControl/>
      <w:tabs>
        <w:tab w:val="clear" w:pos="851"/>
      </w:tabs>
      <w:spacing w:after="0" w:line="240" w:lineRule="auto"/>
      <w:jc w:val="left"/>
    </w:pPr>
    <w:rPr>
      <w:rFonts w:cs="Arial"/>
      <w:color w:val="000000"/>
      <w:kern w:val="0"/>
      <w:sz w:val="20"/>
      <w:lang w:eastAsia="en-US"/>
    </w:rPr>
  </w:style>
  <w:style w:type="paragraph" w:styleId="CommentSubject">
    <w:name w:val="annotation subject"/>
    <w:basedOn w:val="CommentText"/>
    <w:next w:val="CommentText"/>
    <w:rsid w:val="001E63F6"/>
    <w:rPr>
      <w:b/>
      <w:bCs/>
    </w:rPr>
  </w:style>
  <w:style w:type="paragraph" w:styleId="DocumentMap">
    <w:name w:val="Document Map"/>
    <w:basedOn w:val="Normal"/>
    <w:rsid w:val="001E63F6"/>
    <w:pPr>
      <w:widowControl/>
      <w:shd w:val="clear" w:color="auto" w:fill="000080"/>
      <w:tabs>
        <w:tab w:val="clear" w:pos="851"/>
      </w:tabs>
      <w:spacing w:after="0" w:line="240" w:lineRule="auto"/>
      <w:jc w:val="left"/>
    </w:pPr>
    <w:rPr>
      <w:rFonts w:ascii="Tahoma" w:hAnsi="Tahoma" w:cs="Tahoma"/>
      <w:color w:val="000000"/>
      <w:kern w:val="0"/>
      <w:sz w:val="20"/>
      <w:lang w:eastAsia="en-US"/>
    </w:rPr>
  </w:style>
  <w:style w:type="paragraph" w:customStyle="1" w:styleId="Documenttitle">
    <w:name w:val="Document title"/>
    <w:basedOn w:val="Normal"/>
    <w:rsid w:val="001E63F6"/>
    <w:pPr>
      <w:widowControl/>
      <w:tabs>
        <w:tab w:val="clear" w:pos="851"/>
      </w:tabs>
      <w:spacing w:after="0" w:line="240" w:lineRule="auto"/>
      <w:jc w:val="left"/>
    </w:pPr>
    <w:rPr>
      <w:rFonts w:cs="Arial"/>
      <w:b/>
      <w:bCs/>
      <w:kern w:val="0"/>
      <w:sz w:val="48"/>
      <w:szCs w:val="48"/>
      <w:lang w:eastAsia="en-US"/>
    </w:rPr>
  </w:style>
  <w:style w:type="character" w:styleId="EndnoteReference">
    <w:name w:val="endnote reference"/>
    <w:rsid w:val="001E63F6"/>
    <w:rPr>
      <w:vertAlign w:val="superscript"/>
    </w:rPr>
  </w:style>
  <w:style w:type="paragraph" w:styleId="EndnoteText">
    <w:name w:val="endnote text"/>
    <w:basedOn w:val="Normal"/>
    <w:rsid w:val="001E63F6"/>
    <w:pPr>
      <w:widowControl/>
      <w:tabs>
        <w:tab w:val="clear" w:pos="851"/>
      </w:tabs>
      <w:spacing w:after="0" w:line="240" w:lineRule="auto"/>
      <w:jc w:val="left"/>
    </w:pPr>
    <w:rPr>
      <w:rFonts w:cs="Arial"/>
      <w:color w:val="000000"/>
      <w:kern w:val="0"/>
      <w:sz w:val="20"/>
      <w:lang w:eastAsia="en-US"/>
    </w:rPr>
  </w:style>
  <w:style w:type="paragraph" w:styleId="Footer">
    <w:name w:val="footer"/>
    <w:basedOn w:val="Normal"/>
    <w:rsid w:val="001E63F6"/>
    <w:pPr>
      <w:widowControl/>
      <w:tabs>
        <w:tab w:val="clear" w:pos="851"/>
        <w:tab w:val="center" w:pos="4320"/>
        <w:tab w:val="right" w:pos="8640"/>
      </w:tabs>
      <w:spacing w:after="0" w:line="240" w:lineRule="auto"/>
      <w:jc w:val="left"/>
    </w:pPr>
    <w:rPr>
      <w:rFonts w:cs="Arial"/>
      <w:color w:val="000000"/>
      <w:kern w:val="0"/>
      <w:sz w:val="18"/>
      <w:szCs w:val="18"/>
      <w:lang w:eastAsia="en-US"/>
    </w:rPr>
  </w:style>
  <w:style w:type="character" w:styleId="FootnoteReference">
    <w:name w:val="footnote reference"/>
    <w:rsid w:val="00796D5D"/>
    <w:rPr>
      <w:color w:val="0000FF"/>
      <w:vertAlign w:val="superscript"/>
    </w:rPr>
  </w:style>
  <w:style w:type="paragraph" w:styleId="FootnoteText">
    <w:name w:val="footnote text"/>
    <w:basedOn w:val="Normal"/>
    <w:rsid w:val="003A5A2B"/>
    <w:pPr>
      <w:widowControl/>
      <w:tabs>
        <w:tab w:val="left" w:pos="284"/>
        <w:tab w:val="left" w:pos="567"/>
        <w:tab w:val="left" w:pos="1134"/>
      </w:tabs>
      <w:spacing w:after="120" w:line="240" w:lineRule="auto"/>
      <w:ind w:left="284" w:hanging="284"/>
      <w:jc w:val="left"/>
    </w:pPr>
    <w:rPr>
      <w:rFonts w:cs="Arial"/>
      <w:color w:val="000000"/>
      <w:kern w:val="0"/>
      <w:sz w:val="20"/>
      <w:lang w:eastAsia="en-US"/>
    </w:rPr>
  </w:style>
  <w:style w:type="paragraph" w:styleId="Header">
    <w:name w:val="header"/>
    <w:basedOn w:val="Normal"/>
    <w:link w:val="HeaderChar"/>
    <w:rsid w:val="001E63F6"/>
    <w:pPr>
      <w:widowControl/>
      <w:tabs>
        <w:tab w:val="clear" w:pos="851"/>
        <w:tab w:val="center" w:pos="4320"/>
        <w:tab w:val="right" w:pos="8640"/>
      </w:tabs>
      <w:spacing w:after="0" w:line="240" w:lineRule="auto"/>
      <w:jc w:val="left"/>
    </w:pPr>
    <w:rPr>
      <w:rFonts w:cs="Arial"/>
      <w:color w:val="000000"/>
      <w:kern w:val="0"/>
      <w:sz w:val="18"/>
      <w:szCs w:val="18"/>
      <w:lang w:eastAsia="en-US"/>
    </w:rPr>
  </w:style>
  <w:style w:type="character" w:styleId="Hyperlink">
    <w:name w:val="Hyperlink"/>
    <w:rsid w:val="001E63F6"/>
    <w:rPr>
      <w:color w:val="0000FF"/>
      <w:u w:val="single"/>
    </w:rPr>
  </w:style>
  <w:style w:type="paragraph" w:styleId="Index1">
    <w:name w:val="index 1"/>
    <w:basedOn w:val="Normal"/>
    <w:next w:val="Normal"/>
    <w:autoRedefine/>
    <w:rsid w:val="001E63F6"/>
    <w:pPr>
      <w:widowControl/>
      <w:tabs>
        <w:tab w:val="clear" w:pos="851"/>
      </w:tabs>
      <w:spacing w:after="0" w:line="240" w:lineRule="auto"/>
      <w:ind w:left="180" w:hanging="180"/>
      <w:jc w:val="left"/>
    </w:pPr>
    <w:rPr>
      <w:rFonts w:cs="Arial"/>
      <w:color w:val="000000"/>
      <w:kern w:val="0"/>
      <w:sz w:val="18"/>
      <w:szCs w:val="18"/>
      <w:lang w:eastAsia="en-US"/>
    </w:rPr>
  </w:style>
  <w:style w:type="paragraph" w:styleId="Index2">
    <w:name w:val="index 2"/>
    <w:basedOn w:val="Normal"/>
    <w:next w:val="Normal"/>
    <w:autoRedefine/>
    <w:rsid w:val="001E63F6"/>
    <w:pPr>
      <w:widowControl/>
      <w:tabs>
        <w:tab w:val="clear" w:pos="851"/>
      </w:tabs>
      <w:spacing w:after="0" w:line="240" w:lineRule="auto"/>
      <w:ind w:left="360" w:hanging="180"/>
      <w:jc w:val="left"/>
    </w:pPr>
    <w:rPr>
      <w:rFonts w:cs="Arial"/>
      <w:color w:val="000000"/>
      <w:kern w:val="0"/>
      <w:sz w:val="18"/>
      <w:szCs w:val="18"/>
      <w:lang w:eastAsia="en-US"/>
    </w:rPr>
  </w:style>
  <w:style w:type="paragraph" w:styleId="Index3">
    <w:name w:val="index 3"/>
    <w:basedOn w:val="Normal"/>
    <w:next w:val="Normal"/>
    <w:autoRedefine/>
    <w:rsid w:val="001E63F6"/>
    <w:pPr>
      <w:widowControl/>
      <w:tabs>
        <w:tab w:val="clear" w:pos="851"/>
      </w:tabs>
      <w:spacing w:after="0" w:line="240" w:lineRule="auto"/>
      <w:ind w:left="540" w:hanging="180"/>
      <w:jc w:val="left"/>
    </w:pPr>
    <w:rPr>
      <w:rFonts w:cs="Arial"/>
      <w:color w:val="000000"/>
      <w:kern w:val="0"/>
      <w:sz w:val="18"/>
      <w:szCs w:val="18"/>
      <w:lang w:eastAsia="en-US"/>
    </w:rPr>
  </w:style>
  <w:style w:type="paragraph" w:styleId="Index4">
    <w:name w:val="index 4"/>
    <w:basedOn w:val="Normal"/>
    <w:next w:val="Normal"/>
    <w:autoRedefine/>
    <w:rsid w:val="001E63F6"/>
    <w:pPr>
      <w:widowControl/>
      <w:tabs>
        <w:tab w:val="clear" w:pos="851"/>
      </w:tabs>
      <w:spacing w:after="0" w:line="240" w:lineRule="auto"/>
      <w:ind w:left="720" w:hanging="180"/>
      <w:jc w:val="left"/>
    </w:pPr>
    <w:rPr>
      <w:rFonts w:cs="Arial"/>
      <w:color w:val="000000"/>
      <w:kern w:val="0"/>
      <w:sz w:val="18"/>
      <w:szCs w:val="18"/>
      <w:lang w:eastAsia="en-US"/>
    </w:rPr>
  </w:style>
  <w:style w:type="paragraph" w:styleId="Index5">
    <w:name w:val="index 5"/>
    <w:basedOn w:val="Normal"/>
    <w:next w:val="Normal"/>
    <w:autoRedefine/>
    <w:rsid w:val="001E63F6"/>
    <w:pPr>
      <w:widowControl/>
      <w:tabs>
        <w:tab w:val="clear" w:pos="851"/>
      </w:tabs>
      <w:spacing w:after="0" w:line="240" w:lineRule="auto"/>
      <w:ind w:left="900" w:hanging="180"/>
      <w:jc w:val="left"/>
    </w:pPr>
    <w:rPr>
      <w:rFonts w:cs="Arial"/>
      <w:color w:val="000000"/>
      <w:kern w:val="0"/>
      <w:sz w:val="18"/>
      <w:szCs w:val="18"/>
      <w:lang w:eastAsia="en-US"/>
    </w:rPr>
  </w:style>
  <w:style w:type="paragraph" w:styleId="Index6">
    <w:name w:val="index 6"/>
    <w:basedOn w:val="Normal"/>
    <w:next w:val="Normal"/>
    <w:autoRedefine/>
    <w:rsid w:val="001E63F6"/>
    <w:pPr>
      <w:widowControl/>
      <w:tabs>
        <w:tab w:val="clear" w:pos="851"/>
      </w:tabs>
      <w:spacing w:after="0" w:line="240" w:lineRule="auto"/>
      <w:ind w:left="1080" w:hanging="180"/>
      <w:jc w:val="left"/>
    </w:pPr>
    <w:rPr>
      <w:rFonts w:cs="Arial"/>
      <w:color w:val="000000"/>
      <w:kern w:val="0"/>
      <w:sz w:val="18"/>
      <w:szCs w:val="18"/>
      <w:lang w:eastAsia="en-US"/>
    </w:rPr>
  </w:style>
  <w:style w:type="paragraph" w:styleId="Index7">
    <w:name w:val="index 7"/>
    <w:basedOn w:val="Normal"/>
    <w:next w:val="Normal"/>
    <w:autoRedefine/>
    <w:rsid w:val="001E63F6"/>
    <w:pPr>
      <w:widowControl/>
      <w:tabs>
        <w:tab w:val="clear" w:pos="851"/>
      </w:tabs>
      <w:spacing w:after="0" w:line="240" w:lineRule="auto"/>
      <w:ind w:left="1260" w:hanging="180"/>
      <w:jc w:val="left"/>
    </w:pPr>
    <w:rPr>
      <w:rFonts w:cs="Arial"/>
      <w:color w:val="000000"/>
      <w:kern w:val="0"/>
      <w:sz w:val="18"/>
      <w:szCs w:val="18"/>
      <w:lang w:eastAsia="en-US"/>
    </w:rPr>
  </w:style>
  <w:style w:type="paragraph" w:styleId="Index8">
    <w:name w:val="index 8"/>
    <w:basedOn w:val="Normal"/>
    <w:next w:val="Normal"/>
    <w:autoRedefine/>
    <w:rsid w:val="001E63F6"/>
    <w:pPr>
      <w:widowControl/>
      <w:tabs>
        <w:tab w:val="clear" w:pos="851"/>
      </w:tabs>
      <w:spacing w:after="0" w:line="240" w:lineRule="auto"/>
      <w:ind w:left="1440" w:hanging="180"/>
      <w:jc w:val="left"/>
    </w:pPr>
    <w:rPr>
      <w:rFonts w:cs="Arial"/>
      <w:color w:val="000000"/>
      <w:kern w:val="0"/>
      <w:sz w:val="18"/>
      <w:szCs w:val="18"/>
      <w:lang w:eastAsia="en-US"/>
    </w:rPr>
  </w:style>
  <w:style w:type="paragraph" w:styleId="Index9">
    <w:name w:val="index 9"/>
    <w:basedOn w:val="Normal"/>
    <w:next w:val="Normal"/>
    <w:autoRedefine/>
    <w:rsid w:val="001E63F6"/>
    <w:pPr>
      <w:widowControl/>
      <w:tabs>
        <w:tab w:val="clear" w:pos="851"/>
      </w:tabs>
      <w:spacing w:after="0" w:line="240" w:lineRule="auto"/>
      <w:ind w:left="1620" w:hanging="180"/>
      <w:jc w:val="left"/>
    </w:pPr>
    <w:rPr>
      <w:rFonts w:cs="Arial"/>
      <w:color w:val="000000"/>
      <w:kern w:val="0"/>
      <w:sz w:val="18"/>
      <w:szCs w:val="18"/>
      <w:lang w:eastAsia="en-US"/>
    </w:rPr>
  </w:style>
  <w:style w:type="paragraph" w:styleId="IndexHeading">
    <w:name w:val="index heading"/>
    <w:basedOn w:val="Normal"/>
    <w:next w:val="Index1"/>
    <w:rsid w:val="001E63F6"/>
    <w:pPr>
      <w:widowControl/>
      <w:tabs>
        <w:tab w:val="clear" w:pos="851"/>
      </w:tabs>
      <w:spacing w:after="0" w:line="240" w:lineRule="auto"/>
      <w:jc w:val="left"/>
    </w:pPr>
    <w:rPr>
      <w:rFonts w:cs="Arial"/>
      <w:b/>
      <w:bCs/>
      <w:color w:val="000000"/>
      <w:kern w:val="0"/>
      <w:sz w:val="18"/>
      <w:szCs w:val="18"/>
      <w:lang w:eastAsia="en-US"/>
    </w:rPr>
  </w:style>
  <w:style w:type="paragraph" w:styleId="List">
    <w:name w:val="List"/>
    <w:basedOn w:val="Normal"/>
    <w:rsid w:val="001E63F6"/>
    <w:pPr>
      <w:widowControl/>
      <w:tabs>
        <w:tab w:val="clear" w:pos="851"/>
      </w:tabs>
      <w:spacing w:after="0" w:line="240" w:lineRule="auto"/>
      <w:ind w:left="283" w:hanging="283"/>
      <w:jc w:val="left"/>
    </w:pPr>
    <w:rPr>
      <w:rFonts w:cs="Arial"/>
      <w:color w:val="000000"/>
      <w:kern w:val="0"/>
      <w:sz w:val="18"/>
      <w:szCs w:val="18"/>
      <w:lang w:eastAsia="en-US"/>
    </w:rPr>
  </w:style>
  <w:style w:type="paragraph" w:styleId="MacroText">
    <w:name w:val="macro"/>
    <w:rsid w:val="001E63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00"/>
      <w:lang w:val="en-GB" w:eastAsia="en-US"/>
    </w:rPr>
  </w:style>
  <w:style w:type="paragraph" w:customStyle="1" w:styleId="SRNMBodyCopy">
    <w:name w:val="SRNM Body Copy"/>
    <w:basedOn w:val="Normal"/>
    <w:autoRedefine/>
    <w:rsid w:val="001E63F6"/>
    <w:pPr>
      <w:ind w:right="18"/>
    </w:pPr>
  </w:style>
  <w:style w:type="paragraph" w:customStyle="1" w:styleId="SRNMDocumenttitle">
    <w:name w:val="SRNM Document title"/>
    <w:basedOn w:val="Normal"/>
    <w:rsid w:val="001E63F6"/>
    <w:rPr>
      <w:b/>
      <w:bCs/>
      <w:sz w:val="48"/>
      <w:szCs w:val="48"/>
    </w:rPr>
  </w:style>
  <w:style w:type="paragraph" w:customStyle="1" w:styleId="SRNMSubHeadings">
    <w:name w:val="SRNM Sub Headings"/>
    <w:basedOn w:val="SRNMDocumenttitle"/>
    <w:rsid w:val="001E63F6"/>
    <w:rPr>
      <w:color w:val="FF6600"/>
      <w:sz w:val="20"/>
      <w:szCs w:val="20"/>
    </w:rPr>
  </w:style>
  <w:style w:type="table" w:styleId="TableGrid">
    <w:name w:val="Table Grid"/>
    <w:basedOn w:val="TableNormal"/>
    <w:rsid w:val="001E63F6"/>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1E63F6"/>
    <w:pPr>
      <w:ind w:left="180" w:hanging="180"/>
    </w:pPr>
  </w:style>
  <w:style w:type="paragraph" w:styleId="TableofFigures">
    <w:name w:val="table of figures"/>
    <w:basedOn w:val="Normal"/>
    <w:next w:val="Normal"/>
    <w:rsid w:val="001E63F6"/>
  </w:style>
  <w:style w:type="paragraph" w:customStyle="1" w:styleId="timesnew">
    <w:name w:val="times new"/>
    <w:basedOn w:val="Normal"/>
    <w:rsid w:val="001E63F6"/>
    <w:rPr>
      <w:rFonts w:ascii="Sb 1Stone Serif Semibold" w:eastAsia="Times" w:hAnsi="Sb 1Stone Serif Semibold" w:cs="Sb 1Stone Serif Semibold"/>
      <w:spacing w:val="5"/>
      <w:sz w:val="15"/>
      <w:szCs w:val="15"/>
      <w:lang w:val="en-US"/>
    </w:rPr>
  </w:style>
  <w:style w:type="paragraph" w:styleId="TOAHeading">
    <w:name w:val="toa heading"/>
    <w:basedOn w:val="Normal"/>
    <w:next w:val="Normal"/>
    <w:rsid w:val="001E63F6"/>
    <w:pPr>
      <w:spacing w:before="120"/>
    </w:pPr>
    <w:rPr>
      <w:b/>
      <w:bCs/>
      <w:sz w:val="24"/>
      <w:szCs w:val="24"/>
    </w:rPr>
  </w:style>
  <w:style w:type="paragraph" w:styleId="TOC1">
    <w:name w:val="toc 1"/>
    <w:basedOn w:val="Normal"/>
    <w:next w:val="Normal"/>
    <w:autoRedefine/>
    <w:rsid w:val="001E63F6"/>
  </w:style>
  <w:style w:type="paragraph" w:styleId="TOC2">
    <w:name w:val="toc 2"/>
    <w:basedOn w:val="Normal"/>
    <w:next w:val="Normal"/>
    <w:autoRedefine/>
    <w:rsid w:val="001E63F6"/>
    <w:pPr>
      <w:ind w:left="180"/>
    </w:pPr>
  </w:style>
  <w:style w:type="paragraph" w:styleId="TOC3">
    <w:name w:val="toc 3"/>
    <w:basedOn w:val="Normal"/>
    <w:next w:val="Normal"/>
    <w:autoRedefine/>
    <w:rsid w:val="001E63F6"/>
    <w:pPr>
      <w:ind w:left="360"/>
    </w:pPr>
  </w:style>
  <w:style w:type="paragraph" w:styleId="TOC4">
    <w:name w:val="toc 4"/>
    <w:basedOn w:val="Normal"/>
    <w:next w:val="Normal"/>
    <w:autoRedefine/>
    <w:rsid w:val="001E63F6"/>
    <w:pPr>
      <w:ind w:left="540"/>
    </w:pPr>
  </w:style>
  <w:style w:type="paragraph" w:styleId="TOC5">
    <w:name w:val="toc 5"/>
    <w:basedOn w:val="Normal"/>
    <w:next w:val="Normal"/>
    <w:autoRedefine/>
    <w:rsid w:val="001E63F6"/>
    <w:pPr>
      <w:ind w:left="720"/>
    </w:pPr>
  </w:style>
  <w:style w:type="paragraph" w:styleId="TOC6">
    <w:name w:val="toc 6"/>
    <w:basedOn w:val="Normal"/>
    <w:next w:val="Normal"/>
    <w:autoRedefine/>
    <w:rsid w:val="001E63F6"/>
    <w:pPr>
      <w:ind w:left="900"/>
    </w:pPr>
  </w:style>
  <w:style w:type="paragraph" w:styleId="TOC7">
    <w:name w:val="toc 7"/>
    <w:basedOn w:val="Normal"/>
    <w:next w:val="Normal"/>
    <w:autoRedefine/>
    <w:rsid w:val="001E63F6"/>
    <w:pPr>
      <w:ind w:left="1080"/>
    </w:pPr>
  </w:style>
  <w:style w:type="paragraph" w:styleId="TOC8">
    <w:name w:val="toc 8"/>
    <w:basedOn w:val="Normal"/>
    <w:next w:val="Normal"/>
    <w:autoRedefine/>
    <w:rsid w:val="001E63F6"/>
    <w:pPr>
      <w:ind w:left="1260"/>
    </w:pPr>
  </w:style>
  <w:style w:type="paragraph" w:styleId="TOC9">
    <w:name w:val="toc 9"/>
    <w:basedOn w:val="Normal"/>
    <w:next w:val="Normal"/>
    <w:autoRedefine/>
    <w:rsid w:val="001E63F6"/>
    <w:pPr>
      <w:ind w:left="1440"/>
    </w:pPr>
  </w:style>
  <w:style w:type="paragraph" w:customStyle="1" w:styleId="StyleAuthorityAfter30pt">
    <w:name w:val="Style Authority + After:  30 pt"/>
    <w:basedOn w:val="Normal"/>
    <w:rsid w:val="008F3149"/>
    <w:pPr>
      <w:tabs>
        <w:tab w:val="clear" w:pos="851"/>
        <w:tab w:val="left" w:pos="862"/>
        <w:tab w:val="left" w:pos="1871"/>
        <w:tab w:val="left" w:pos="3022"/>
        <w:tab w:val="left" w:pos="4321"/>
        <w:tab w:val="left" w:pos="5761"/>
      </w:tabs>
      <w:spacing w:after="600"/>
      <w:ind w:left="1871" w:hanging="1009"/>
    </w:pPr>
    <w:rPr>
      <w:lang w:val="en-ZA"/>
    </w:rPr>
  </w:style>
  <w:style w:type="paragraph" w:customStyle="1" w:styleId="Indent">
    <w:name w:val="Indent"/>
    <w:basedOn w:val="Normal"/>
    <w:rsid w:val="006D6DD3"/>
    <w:pPr>
      <w:numPr>
        <w:numId w:val="24"/>
      </w:numPr>
      <w:tabs>
        <w:tab w:val="clear" w:pos="1701"/>
        <w:tab w:val="clear" w:pos="2835"/>
        <w:tab w:val="clear" w:pos="3969"/>
        <w:tab w:val="clear" w:pos="4706"/>
      </w:tabs>
    </w:pPr>
  </w:style>
  <w:style w:type="paragraph" w:customStyle="1" w:styleId="Indent2">
    <w:name w:val="Indent2"/>
    <w:basedOn w:val="Indent"/>
    <w:next w:val="Normal"/>
    <w:rsid w:val="001C5ACA"/>
    <w:pPr>
      <w:numPr>
        <w:ilvl w:val="1"/>
        <w:numId w:val="18"/>
      </w:numPr>
    </w:pPr>
  </w:style>
  <w:style w:type="paragraph" w:customStyle="1" w:styleId="StyleAuthorityLeft15cmHanging104cm">
    <w:name w:val="Style Authority + Left:  15 cm Hanging:  104 cm"/>
    <w:basedOn w:val="Normal"/>
    <w:rsid w:val="00B72D1E"/>
    <w:pPr>
      <w:tabs>
        <w:tab w:val="clear" w:pos="851"/>
        <w:tab w:val="clear" w:pos="1701"/>
        <w:tab w:val="clear" w:pos="2835"/>
        <w:tab w:val="clear" w:pos="3969"/>
        <w:tab w:val="clear" w:pos="4706"/>
      </w:tabs>
      <w:spacing w:after="240" w:line="240" w:lineRule="auto"/>
      <w:ind w:left="1441" w:hanging="590"/>
    </w:pPr>
    <w:rPr>
      <w:bCs/>
      <w:szCs w:val="25"/>
    </w:rPr>
  </w:style>
  <w:style w:type="numbering" w:styleId="111111">
    <w:name w:val="Outline List 2"/>
    <w:basedOn w:val="NoList"/>
    <w:rsid w:val="00F370DE"/>
    <w:pPr>
      <w:numPr>
        <w:numId w:val="20"/>
      </w:numPr>
    </w:pPr>
  </w:style>
  <w:style w:type="paragraph" w:customStyle="1" w:styleId="Authority">
    <w:name w:val="Authority"/>
    <w:basedOn w:val="Indent"/>
    <w:rsid w:val="00B72D1E"/>
    <w:pPr>
      <w:numPr>
        <w:numId w:val="0"/>
      </w:numPr>
      <w:spacing w:after="240" w:line="240" w:lineRule="auto"/>
      <w:ind w:left="1441" w:hanging="590"/>
    </w:pPr>
    <w:rPr>
      <w:szCs w:val="25"/>
    </w:rPr>
  </w:style>
  <w:style w:type="paragraph" w:customStyle="1" w:styleId="AuthorityEnd">
    <w:name w:val="Authority End"/>
    <w:basedOn w:val="Authority"/>
    <w:rsid w:val="0001548A"/>
    <w:pPr>
      <w:spacing w:after="720"/>
    </w:pPr>
  </w:style>
  <w:style w:type="paragraph" w:customStyle="1" w:styleId="ai">
    <w:name w:val="(a)(i)"/>
    <w:basedOn w:val="Indent"/>
    <w:rsid w:val="00C00847"/>
    <w:pPr>
      <w:numPr>
        <w:numId w:val="33"/>
      </w:numPr>
    </w:pPr>
    <w:rPr>
      <w:rFonts w:cs="Arial"/>
      <w:color w:val="000000"/>
      <w:kern w:val="0"/>
      <w:szCs w:val="18"/>
      <w:lang w:eastAsia="en-US"/>
    </w:rPr>
  </w:style>
  <w:style w:type="numbering" w:customStyle="1" w:styleId="Indentedai">
    <w:name w:val="Indented (a)(i)"/>
    <w:basedOn w:val="NoList"/>
    <w:rsid w:val="00825FB5"/>
    <w:pPr>
      <w:numPr>
        <w:numId w:val="26"/>
      </w:numPr>
    </w:pPr>
  </w:style>
  <w:style w:type="paragraph" w:customStyle="1" w:styleId="aSecondIndent">
    <w:name w:val="(a) Second Indent"/>
    <w:basedOn w:val="ai"/>
    <w:rsid w:val="00933A3D"/>
  </w:style>
  <w:style w:type="paragraph" w:customStyle="1" w:styleId="aThirdIndent">
    <w:name w:val="(a) Third Indent"/>
    <w:basedOn w:val="aSecondIndent"/>
    <w:rsid w:val="00933A3D"/>
    <w:pPr>
      <w:numPr>
        <w:numId w:val="28"/>
      </w:numPr>
    </w:pPr>
  </w:style>
  <w:style w:type="paragraph" w:customStyle="1" w:styleId="StyleAuthorityEndAfter36pt">
    <w:name w:val="Style Authority End + After:  36 pt"/>
    <w:basedOn w:val="AuthorityEnd"/>
    <w:rsid w:val="00480C82"/>
    <w:rPr>
      <w:szCs w:val="20"/>
    </w:rPr>
  </w:style>
  <w:style w:type="paragraph" w:customStyle="1" w:styleId="StyleAuthorityEndLeft3cm">
    <w:name w:val="Style Authority End + Left:  3 cm"/>
    <w:basedOn w:val="AuthorityEnd"/>
    <w:rsid w:val="008E7197"/>
    <w:pPr>
      <w:ind w:left="2291"/>
    </w:pPr>
    <w:rPr>
      <w:szCs w:val="20"/>
    </w:rPr>
  </w:style>
  <w:style w:type="paragraph" w:customStyle="1" w:styleId="StyleAuthorityEndFirstline046cm">
    <w:name w:val="Style Authority End + First line:  046 cm"/>
    <w:basedOn w:val="AuthorityEnd"/>
    <w:rsid w:val="006F7EA0"/>
    <w:pPr>
      <w:ind w:left="1440" w:firstLine="261"/>
    </w:pPr>
    <w:rPr>
      <w:szCs w:val="20"/>
    </w:rPr>
  </w:style>
  <w:style w:type="character" w:styleId="PageNumber">
    <w:name w:val="page number"/>
    <w:basedOn w:val="DefaultParagraphFont"/>
    <w:rsid w:val="00BC1652"/>
  </w:style>
  <w:style w:type="paragraph" w:customStyle="1" w:styleId="Heading">
    <w:name w:val="Heading"/>
    <w:basedOn w:val="Normal"/>
    <w:next w:val="Indent"/>
    <w:rsid w:val="000F68D9"/>
    <w:pPr>
      <w:keepNext/>
      <w:spacing w:after="720" w:line="240" w:lineRule="auto"/>
    </w:pPr>
    <w:rPr>
      <w:b/>
      <w:u w:val="single"/>
    </w:rPr>
  </w:style>
  <w:style w:type="paragraph" w:customStyle="1" w:styleId="Bold">
    <w:name w:val="Bold"/>
    <w:aliases w:val="underline &amp; Centre"/>
    <w:basedOn w:val="Normal"/>
    <w:rsid w:val="00C84BE3"/>
    <w:pPr>
      <w:jc w:val="center"/>
    </w:pPr>
    <w:rPr>
      <w:b/>
      <w:u w:val="single"/>
    </w:rPr>
  </w:style>
  <w:style w:type="paragraph" w:customStyle="1" w:styleId="Style1">
    <w:name w:val="Style1"/>
    <w:basedOn w:val="Indent"/>
    <w:next w:val="Indent"/>
    <w:rsid w:val="00E82E6E"/>
    <w:pPr>
      <w:keepNext/>
      <w:keepLines/>
      <w:spacing w:after="600" w:line="240" w:lineRule="auto"/>
      <w:ind w:left="851" w:hanging="851"/>
    </w:pPr>
    <w:rPr>
      <w:b/>
      <w:u w:val="single"/>
    </w:rPr>
  </w:style>
  <w:style w:type="numbering" w:customStyle="1" w:styleId="A111111">
    <w:name w:val="A / 1. / 1.1 / 1.1.1"/>
    <w:rsid w:val="0013225B"/>
    <w:pPr>
      <w:numPr>
        <w:numId w:val="34"/>
      </w:numPr>
    </w:pPr>
  </w:style>
  <w:style w:type="paragraph" w:customStyle="1" w:styleId="heading30">
    <w:name w:val="heading3"/>
    <w:aliases w:val="9"/>
    <w:basedOn w:val="Normal"/>
    <w:next w:val="Normal"/>
    <w:rsid w:val="007326C5"/>
    <w:pPr>
      <w:keepNext/>
      <w:jc w:val="right"/>
      <w:outlineLvl w:val="8"/>
    </w:pPr>
    <w:rPr>
      <w:u w:val="single"/>
      <w:lang w:val="en-US"/>
    </w:rPr>
  </w:style>
  <w:style w:type="character" w:customStyle="1" w:styleId="HeaderChar">
    <w:name w:val="Header Char"/>
    <w:link w:val="Header"/>
    <w:locked/>
    <w:rsid w:val="000E5C06"/>
    <w:rPr>
      <w:rFonts w:ascii="Arial" w:hAnsi="Arial" w:cs="Arial"/>
      <w:color w:val="000000"/>
      <w:sz w:val="18"/>
      <w:szCs w:val="18"/>
      <w:lang w:val="en-GB" w:eastAsia="en-US" w:bidi="ar-SA"/>
    </w:rPr>
  </w:style>
  <w:style w:type="character" w:customStyle="1" w:styleId="BodyTextChar">
    <w:name w:val="Body Text Char"/>
    <w:link w:val="BodyText"/>
    <w:rsid w:val="00E84592"/>
    <w:rPr>
      <w:rFonts w:ascii="Arial" w:eastAsia="Times" w:hAnsi="Arial" w:cs="Arial"/>
      <w:color w:val="181512"/>
      <w:sz w:val="16"/>
      <w:szCs w:val="16"/>
      <w:lang w:val="en-US" w:eastAsia="en-US"/>
    </w:rPr>
  </w:style>
  <w:style w:type="paragraph" w:styleId="Revision">
    <w:name w:val="Revision"/>
    <w:hidden/>
    <w:uiPriority w:val="99"/>
    <w:semiHidden/>
    <w:rsid w:val="00DB5832"/>
    <w:rPr>
      <w:rFonts w:ascii="Arial" w:hAnsi="Arial"/>
      <w:kern w:val="25"/>
      <w:sz w:val="25"/>
      <w:lang w:val="en-GB" w:eastAsia="en-GB"/>
    </w:rPr>
  </w:style>
  <w:style w:type="paragraph" w:styleId="ListParagraph">
    <w:name w:val="List Paragraph"/>
    <w:basedOn w:val="Normal"/>
    <w:uiPriority w:val="1"/>
    <w:qFormat/>
    <w:rsid w:val="006345D4"/>
    <w:pPr>
      <w:tabs>
        <w:tab w:val="clear" w:pos="851"/>
        <w:tab w:val="clear" w:pos="1701"/>
        <w:tab w:val="clear" w:pos="2835"/>
        <w:tab w:val="clear" w:pos="3969"/>
        <w:tab w:val="clear" w:pos="4706"/>
      </w:tabs>
      <w:autoSpaceDE w:val="0"/>
      <w:autoSpaceDN w:val="0"/>
      <w:spacing w:after="0" w:line="240" w:lineRule="auto"/>
      <w:ind w:left="854" w:right="112" w:hanging="720"/>
    </w:pPr>
    <w:rPr>
      <w:rFonts w:eastAsia="Arial" w:cs="Arial"/>
      <w:kern w:val="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19038">
      <w:bodyDiv w:val="1"/>
      <w:marLeft w:val="0"/>
      <w:marRight w:val="0"/>
      <w:marTop w:val="0"/>
      <w:marBottom w:val="0"/>
      <w:divBdr>
        <w:top w:val="none" w:sz="0" w:space="0" w:color="auto"/>
        <w:left w:val="none" w:sz="0" w:space="0" w:color="auto"/>
        <w:bottom w:val="none" w:sz="0" w:space="0" w:color="auto"/>
        <w:right w:val="none" w:sz="0" w:space="0" w:color="auto"/>
      </w:divBdr>
    </w:div>
    <w:div w:id="161598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ne\Application%20Data\Microsoft\Templates\S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SG</Template>
  <TotalTime>0</TotalTime>
  <Pages>15</Pages>
  <Words>2908</Words>
  <Characters>16579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IN THE HIGH COURT OF SOUTH AFRICA</vt:lpstr>
    </vt:vector>
  </TitlesOfParts>
  <Company>June Hein</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HIGH COURT OF SOUTH AFRICA</dc:title>
  <dc:subject/>
  <dc:creator>JH</dc:creator>
  <cp:keywords/>
  <dc:description/>
  <cp:lastModifiedBy>Mokone</cp:lastModifiedBy>
  <cp:revision>2</cp:revision>
  <cp:lastPrinted>2008-04-11T10:08:00Z</cp:lastPrinted>
  <dcterms:created xsi:type="dcterms:W3CDTF">2023-05-19T11:16:00Z</dcterms:created>
  <dcterms:modified xsi:type="dcterms:W3CDTF">2023-05-19T11:16:00Z</dcterms:modified>
</cp:coreProperties>
</file>