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FCCC" w14:textId="77777777" w:rsidR="00BF35E9" w:rsidRPr="00C201B8" w:rsidRDefault="00BF35E9" w:rsidP="00BF35E9">
      <w:pPr>
        <w:jc w:val="center"/>
        <w:rPr>
          <w:rFonts w:asciiTheme="minorHAnsi" w:hAnsiTheme="minorHAnsi" w:cstheme="minorHAnsi"/>
          <w:sz w:val="26"/>
          <w:szCs w:val="26"/>
        </w:rPr>
      </w:pPr>
      <w:r w:rsidRPr="00C201B8">
        <w:rPr>
          <w:rFonts w:asciiTheme="minorHAnsi" w:hAnsiTheme="minorHAnsi" w:cstheme="minorHAnsi"/>
          <w:noProof/>
          <w:sz w:val="26"/>
          <w:szCs w:val="26"/>
          <w:lang w:val="en-ZA" w:eastAsia="en-ZA"/>
        </w:rPr>
        <w:drawing>
          <wp:inline distT="0" distB="0" distL="0" distR="0" wp14:anchorId="2EE64D21" wp14:editId="5429BF6E">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14:paraId="2A3B0177" w14:textId="77777777" w:rsidR="00BF35E9" w:rsidRDefault="00BF35E9" w:rsidP="00BF35E9">
      <w:pPr>
        <w:jc w:val="center"/>
        <w:rPr>
          <w:rFonts w:asciiTheme="minorHAnsi" w:hAnsiTheme="minorHAnsi" w:cstheme="minorHAnsi"/>
          <w:b/>
          <w:sz w:val="26"/>
          <w:szCs w:val="26"/>
        </w:rPr>
      </w:pPr>
    </w:p>
    <w:p w14:paraId="34B40687" w14:textId="77777777" w:rsidR="00BF35E9" w:rsidRDefault="00BF35E9" w:rsidP="00BF35E9">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14:paraId="796B29C7" w14:textId="77777777" w:rsidR="00BF35E9" w:rsidRPr="00C201B8" w:rsidRDefault="00BF35E9" w:rsidP="00BF35E9">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14:paraId="1F2EB51A" w14:textId="77777777" w:rsidR="00BF35E9" w:rsidRPr="00C201B8" w:rsidRDefault="00BF35E9" w:rsidP="00BF35E9">
      <w:pPr>
        <w:pStyle w:val="Heading3"/>
      </w:pPr>
      <w:r w:rsidRPr="00C201B8">
        <w:rPr>
          <w:rFonts w:asciiTheme="minorHAnsi" w:hAnsiTheme="minorHAnsi" w:cstheme="minorHAnsi"/>
          <w:b w:val="0"/>
          <w:noProof/>
          <w:sz w:val="26"/>
          <w:szCs w:val="26"/>
          <w:lang w:val="en-ZA" w:eastAsia="en-ZA"/>
        </w:rPr>
        <mc:AlternateContent>
          <mc:Choice Requires="wps">
            <w:drawing>
              <wp:anchor distT="0" distB="0" distL="114300" distR="114300" simplePos="0" relativeHeight="251659264" behindDoc="0" locked="0" layoutInCell="1" allowOverlap="1" wp14:anchorId="60A1D3FF" wp14:editId="3B4ED333">
                <wp:simplePos x="0" y="0"/>
                <wp:positionH relativeFrom="column">
                  <wp:posOffset>-419100</wp:posOffset>
                </wp:positionH>
                <wp:positionV relativeFrom="paragraph">
                  <wp:posOffset>29210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14:paraId="4827B2B3" w14:textId="2F1A701C" w:rsidR="00CA1046" w:rsidRPr="00EB7A27" w:rsidRDefault="00EB7A27" w:rsidP="00EB7A27">
                            <w:pPr>
                              <w:spacing w:after="200" w:line="276" w:lineRule="auto"/>
                              <w:ind w:left="720" w:hanging="360"/>
                              <w:suppressOverlap/>
                              <w:rPr>
                                <w:b/>
                                <w:sz w:val="16"/>
                                <w:szCs w:val="16"/>
                              </w:rPr>
                            </w:pPr>
                            <w:r w:rsidRPr="008B34AE">
                              <w:rPr>
                                <w:b/>
                                <w:sz w:val="16"/>
                                <w:szCs w:val="16"/>
                              </w:rPr>
                              <w:t>(1)</w:t>
                            </w:r>
                            <w:r w:rsidRPr="008B34AE">
                              <w:rPr>
                                <w:b/>
                                <w:sz w:val="16"/>
                                <w:szCs w:val="16"/>
                              </w:rPr>
                              <w:tab/>
                            </w:r>
                            <w:r w:rsidR="00CA1046" w:rsidRPr="00EB7A27">
                              <w:rPr>
                                <w:b/>
                                <w:sz w:val="16"/>
                                <w:szCs w:val="16"/>
                              </w:rPr>
                              <w:t>Reportable: No</w:t>
                            </w:r>
                          </w:p>
                          <w:p w14:paraId="35FF590A" w14:textId="39AF0A00" w:rsidR="00CA1046" w:rsidRPr="00EB7A27" w:rsidRDefault="00EB7A27" w:rsidP="00EB7A27">
                            <w:pPr>
                              <w:spacing w:after="200" w:line="276" w:lineRule="auto"/>
                              <w:ind w:left="720" w:hanging="360"/>
                              <w:suppressOverlap/>
                              <w:rPr>
                                <w:b/>
                                <w:sz w:val="16"/>
                                <w:szCs w:val="16"/>
                              </w:rPr>
                            </w:pPr>
                            <w:r w:rsidRPr="008B34AE">
                              <w:rPr>
                                <w:b/>
                                <w:sz w:val="16"/>
                                <w:szCs w:val="16"/>
                              </w:rPr>
                              <w:t>(2)</w:t>
                            </w:r>
                            <w:r w:rsidRPr="008B34AE">
                              <w:rPr>
                                <w:b/>
                                <w:sz w:val="16"/>
                                <w:szCs w:val="16"/>
                              </w:rPr>
                              <w:tab/>
                            </w:r>
                            <w:r w:rsidR="00CA1046" w:rsidRPr="00EB7A27">
                              <w:rPr>
                                <w:b/>
                                <w:sz w:val="16"/>
                                <w:szCs w:val="16"/>
                              </w:rPr>
                              <w:t>Of interest to other Judges: No</w:t>
                            </w:r>
                          </w:p>
                          <w:p w14:paraId="2007B092" w14:textId="02306359" w:rsidR="00CA1046" w:rsidRPr="00EB7A27" w:rsidRDefault="00EB7A27" w:rsidP="00EB7A27">
                            <w:pPr>
                              <w:spacing w:after="200" w:line="276" w:lineRule="auto"/>
                              <w:ind w:left="720" w:hanging="360"/>
                              <w:suppressOverlap/>
                              <w:rPr>
                                <w:b/>
                                <w:sz w:val="16"/>
                                <w:szCs w:val="16"/>
                              </w:rPr>
                            </w:pPr>
                            <w:r>
                              <w:rPr>
                                <w:b/>
                                <w:sz w:val="16"/>
                                <w:szCs w:val="16"/>
                              </w:rPr>
                              <w:t>(3)</w:t>
                            </w:r>
                            <w:r>
                              <w:rPr>
                                <w:b/>
                                <w:sz w:val="16"/>
                                <w:szCs w:val="16"/>
                              </w:rPr>
                              <w:tab/>
                            </w:r>
                            <w:r w:rsidR="00CA1046" w:rsidRPr="00EB7A27">
                              <w:rPr>
                                <w:b/>
                                <w:sz w:val="16"/>
                                <w:szCs w:val="16"/>
                              </w:rPr>
                              <w:t xml:space="preserve">Revised: </w:t>
                            </w:r>
                            <w:r w:rsidR="0037058E" w:rsidRPr="00EB7A27">
                              <w:rPr>
                                <w:b/>
                                <w:sz w:val="16"/>
                                <w:szCs w:val="16"/>
                              </w:rPr>
                              <w:t>yes</w:t>
                            </w:r>
                          </w:p>
                          <w:p w14:paraId="620DA602" w14:textId="77777777" w:rsidR="00CA1046" w:rsidRPr="00AB7D21" w:rsidRDefault="00CA1046" w:rsidP="00BF35E9">
                            <w:pPr>
                              <w:spacing w:after="200" w:line="276" w:lineRule="auto"/>
                              <w:ind w:left="360"/>
                              <w:suppressOverlap/>
                              <w:rPr>
                                <w:b/>
                                <w:sz w:val="16"/>
                                <w:szCs w:val="16"/>
                              </w:rPr>
                            </w:pPr>
                            <w:r w:rsidRPr="00AB7D21">
                              <w:rPr>
                                <w:b/>
                                <w:sz w:val="16"/>
                                <w:szCs w:val="16"/>
                              </w:rPr>
                              <w:t>Date:</w:t>
                            </w:r>
                            <w:r w:rsidR="0037058E">
                              <w:rPr>
                                <w:b/>
                                <w:sz w:val="16"/>
                                <w:szCs w:val="16"/>
                              </w:rPr>
                              <w:t xml:space="preserve"> 2</w:t>
                            </w:r>
                            <w:r>
                              <w:rPr>
                                <w:b/>
                                <w:sz w:val="16"/>
                                <w:szCs w:val="16"/>
                              </w:rPr>
                              <w:t>9</w:t>
                            </w:r>
                            <w:r w:rsidRPr="00AB7D21">
                              <w:rPr>
                                <w:b/>
                                <w:sz w:val="16"/>
                                <w:szCs w:val="16"/>
                              </w:rPr>
                              <w:t>/</w:t>
                            </w:r>
                            <w:r>
                              <w:rPr>
                                <w:b/>
                                <w:sz w:val="16"/>
                                <w:szCs w:val="16"/>
                              </w:rPr>
                              <w:t>0</w:t>
                            </w:r>
                            <w:r w:rsidR="0037058E">
                              <w:rPr>
                                <w:b/>
                                <w:sz w:val="16"/>
                                <w:szCs w:val="16"/>
                              </w:rPr>
                              <w:t>5</w:t>
                            </w:r>
                            <w:r w:rsidRPr="00AB7D21">
                              <w:rPr>
                                <w:b/>
                                <w:sz w:val="16"/>
                                <w:szCs w:val="16"/>
                              </w:rPr>
                              <w:t>/20</w:t>
                            </w:r>
                            <w:r>
                              <w:rPr>
                                <w:b/>
                                <w:sz w:val="16"/>
                                <w:szCs w:val="16"/>
                              </w:rPr>
                              <w:t>23</w:t>
                            </w:r>
                          </w:p>
                          <w:p w14:paraId="40A673D1" w14:textId="77777777" w:rsidR="00CA1046" w:rsidRDefault="00CA1046" w:rsidP="00BF35E9">
                            <w:pPr>
                              <w:suppressOverlap/>
                              <w:rPr>
                                <w:b/>
                                <w:sz w:val="16"/>
                                <w:szCs w:val="16"/>
                              </w:rPr>
                            </w:pPr>
                            <w:r>
                              <w:rPr>
                                <w:b/>
                                <w:sz w:val="16"/>
                                <w:szCs w:val="16"/>
                              </w:rPr>
                              <w:t xml:space="preserve"> _____________</w:t>
                            </w:r>
                          </w:p>
                          <w:p w14:paraId="4CB5F1A4" w14:textId="77777777" w:rsidR="00CA1046" w:rsidRDefault="00CA1046" w:rsidP="00BF35E9">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1D3FF" id="_x0000_t202" coordsize="21600,21600" o:spt="202" path="m,l,21600r21600,l21600,xe">
                <v:stroke joinstyle="miter"/>
                <v:path gradientshapeok="t" o:connecttype="rect"/>
              </v:shapetype>
              <v:shape id="Text Box 2" o:spid="_x0000_s1026" type="#_x0000_t202" style="position:absolute;margin-left:-33pt;margin-top:2.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">
                <v:textbox>
                  <w:txbxContent>
                    <w:p w14:paraId="4827B2B3" w14:textId="2F1A701C" w:rsidR="00CA1046" w:rsidRPr="00EB7A27" w:rsidRDefault="00EB7A27" w:rsidP="00EB7A27">
                      <w:pPr>
                        <w:spacing w:after="200" w:line="276" w:lineRule="auto"/>
                        <w:ind w:left="720" w:hanging="360"/>
                        <w:suppressOverlap/>
                        <w:rPr>
                          <w:b/>
                          <w:sz w:val="16"/>
                          <w:szCs w:val="16"/>
                        </w:rPr>
                      </w:pPr>
                      <w:r w:rsidRPr="008B34AE">
                        <w:rPr>
                          <w:b/>
                          <w:sz w:val="16"/>
                          <w:szCs w:val="16"/>
                        </w:rPr>
                        <w:t>(1)</w:t>
                      </w:r>
                      <w:r w:rsidRPr="008B34AE">
                        <w:rPr>
                          <w:b/>
                          <w:sz w:val="16"/>
                          <w:szCs w:val="16"/>
                        </w:rPr>
                        <w:tab/>
                      </w:r>
                      <w:r w:rsidR="00CA1046" w:rsidRPr="00EB7A27">
                        <w:rPr>
                          <w:b/>
                          <w:sz w:val="16"/>
                          <w:szCs w:val="16"/>
                        </w:rPr>
                        <w:t>Reportable: No</w:t>
                      </w:r>
                    </w:p>
                    <w:p w14:paraId="35FF590A" w14:textId="39AF0A00" w:rsidR="00CA1046" w:rsidRPr="00EB7A27" w:rsidRDefault="00EB7A27" w:rsidP="00EB7A27">
                      <w:pPr>
                        <w:spacing w:after="200" w:line="276" w:lineRule="auto"/>
                        <w:ind w:left="720" w:hanging="360"/>
                        <w:suppressOverlap/>
                        <w:rPr>
                          <w:b/>
                          <w:sz w:val="16"/>
                          <w:szCs w:val="16"/>
                        </w:rPr>
                      </w:pPr>
                      <w:r w:rsidRPr="008B34AE">
                        <w:rPr>
                          <w:b/>
                          <w:sz w:val="16"/>
                          <w:szCs w:val="16"/>
                        </w:rPr>
                        <w:t>(2)</w:t>
                      </w:r>
                      <w:r w:rsidRPr="008B34AE">
                        <w:rPr>
                          <w:b/>
                          <w:sz w:val="16"/>
                          <w:szCs w:val="16"/>
                        </w:rPr>
                        <w:tab/>
                      </w:r>
                      <w:r w:rsidR="00CA1046" w:rsidRPr="00EB7A27">
                        <w:rPr>
                          <w:b/>
                          <w:sz w:val="16"/>
                          <w:szCs w:val="16"/>
                        </w:rPr>
                        <w:t>Of interest to other Judges: No</w:t>
                      </w:r>
                    </w:p>
                    <w:p w14:paraId="2007B092" w14:textId="02306359" w:rsidR="00CA1046" w:rsidRPr="00EB7A27" w:rsidRDefault="00EB7A27" w:rsidP="00EB7A27">
                      <w:pPr>
                        <w:spacing w:after="200" w:line="276" w:lineRule="auto"/>
                        <w:ind w:left="720" w:hanging="360"/>
                        <w:suppressOverlap/>
                        <w:rPr>
                          <w:b/>
                          <w:sz w:val="16"/>
                          <w:szCs w:val="16"/>
                        </w:rPr>
                      </w:pPr>
                      <w:r>
                        <w:rPr>
                          <w:b/>
                          <w:sz w:val="16"/>
                          <w:szCs w:val="16"/>
                        </w:rPr>
                        <w:t>(3)</w:t>
                      </w:r>
                      <w:r>
                        <w:rPr>
                          <w:b/>
                          <w:sz w:val="16"/>
                          <w:szCs w:val="16"/>
                        </w:rPr>
                        <w:tab/>
                      </w:r>
                      <w:r w:rsidR="00CA1046" w:rsidRPr="00EB7A27">
                        <w:rPr>
                          <w:b/>
                          <w:sz w:val="16"/>
                          <w:szCs w:val="16"/>
                        </w:rPr>
                        <w:t xml:space="preserve">Revised: </w:t>
                      </w:r>
                      <w:r w:rsidR="0037058E" w:rsidRPr="00EB7A27">
                        <w:rPr>
                          <w:b/>
                          <w:sz w:val="16"/>
                          <w:szCs w:val="16"/>
                        </w:rPr>
                        <w:t>yes</w:t>
                      </w:r>
                    </w:p>
                    <w:p w14:paraId="620DA602" w14:textId="77777777" w:rsidR="00CA1046" w:rsidRPr="00AB7D21" w:rsidRDefault="00CA1046" w:rsidP="00BF35E9">
                      <w:pPr>
                        <w:spacing w:after="200" w:line="276" w:lineRule="auto"/>
                        <w:ind w:left="360"/>
                        <w:suppressOverlap/>
                        <w:rPr>
                          <w:b/>
                          <w:sz w:val="16"/>
                          <w:szCs w:val="16"/>
                        </w:rPr>
                      </w:pPr>
                      <w:r w:rsidRPr="00AB7D21">
                        <w:rPr>
                          <w:b/>
                          <w:sz w:val="16"/>
                          <w:szCs w:val="16"/>
                        </w:rPr>
                        <w:t>Date:</w:t>
                      </w:r>
                      <w:r w:rsidR="0037058E">
                        <w:rPr>
                          <w:b/>
                          <w:sz w:val="16"/>
                          <w:szCs w:val="16"/>
                        </w:rPr>
                        <w:t xml:space="preserve"> 2</w:t>
                      </w:r>
                      <w:r>
                        <w:rPr>
                          <w:b/>
                          <w:sz w:val="16"/>
                          <w:szCs w:val="16"/>
                        </w:rPr>
                        <w:t>9</w:t>
                      </w:r>
                      <w:r w:rsidRPr="00AB7D21">
                        <w:rPr>
                          <w:b/>
                          <w:sz w:val="16"/>
                          <w:szCs w:val="16"/>
                        </w:rPr>
                        <w:t>/</w:t>
                      </w:r>
                      <w:r>
                        <w:rPr>
                          <w:b/>
                          <w:sz w:val="16"/>
                          <w:szCs w:val="16"/>
                        </w:rPr>
                        <w:t>0</w:t>
                      </w:r>
                      <w:r w:rsidR="0037058E">
                        <w:rPr>
                          <w:b/>
                          <w:sz w:val="16"/>
                          <w:szCs w:val="16"/>
                        </w:rPr>
                        <w:t>5</w:t>
                      </w:r>
                      <w:r w:rsidRPr="00AB7D21">
                        <w:rPr>
                          <w:b/>
                          <w:sz w:val="16"/>
                          <w:szCs w:val="16"/>
                        </w:rPr>
                        <w:t>/20</w:t>
                      </w:r>
                      <w:r>
                        <w:rPr>
                          <w:b/>
                          <w:sz w:val="16"/>
                          <w:szCs w:val="16"/>
                        </w:rPr>
                        <w:t>23</w:t>
                      </w:r>
                    </w:p>
                    <w:p w14:paraId="40A673D1" w14:textId="77777777" w:rsidR="00CA1046" w:rsidRDefault="00CA1046" w:rsidP="00BF35E9">
                      <w:pPr>
                        <w:suppressOverlap/>
                        <w:rPr>
                          <w:b/>
                          <w:sz w:val="16"/>
                          <w:szCs w:val="16"/>
                        </w:rPr>
                      </w:pPr>
                      <w:r>
                        <w:rPr>
                          <w:b/>
                          <w:sz w:val="16"/>
                          <w:szCs w:val="16"/>
                        </w:rPr>
                        <w:t xml:space="preserve"> _____________</w:t>
                      </w:r>
                    </w:p>
                    <w:p w14:paraId="4CB5F1A4" w14:textId="77777777" w:rsidR="00CA1046" w:rsidRDefault="00CA1046" w:rsidP="00BF35E9">
                      <w:pPr>
                        <w:suppressOverlap/>
                      </w:pPr>
                      <w:r>
                        <w:t>A Maier-Frawley</w:t>
                      </w:r>
                    </w:p>
                  </w:txbxContent>
                </v:textbox>
              </v:shape>
            </w:pict>
          </mc:Fallback>
        </mc:AlternateContent>
      </w:r>
    </w:p>
    <w:p w14:paraId="5DE65905" w14:textId="77777777" w:rsidR="00BF35E9" w:rsidRPr="00C201B8" w:rsidRDefault="00BF35E9" w:rsidP="00BF35E9">
      <w:pPr>
        <w:jc w:val="center"/>
        <w:rPr>
          <w:rFonts w:asciiTheme="minorHAnsi" w:hAnsiTheme="minorHAnsi" w:cstheme="minorHAnsi"/>
          <w:sz w:val="26"/>
          <w:szCs w:val="26"/>
        </w:rPr>
      </w:pPr>
    </w:p>
    <w:p w14:paraId="68F205F5" w14:textId="77777777" w:rsidR="00BF35E9" w:rsidRDefault="00BF35E9" w:rsidP="00BF35E9">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2021/34634</w:t>
      </w:r>
    </w:p>
    <w:p w14:paraId="27DB6C7C" w14:textId="77777777" w:rsidR="00BF35E9" w:rsidRDefault="00BF35E9" w:rsidP="00BF35E9">
      <w:pPr>
        <w:spacing w:after="120"/>
        <w:jc w:val="right"/>
        <w:rPr>
          <w:rFonts w:asciiTheme="minorHAnsi" w:hAnsiTheme="minorHAnsi" w:cstheme="minorHAnsi"/>
          <w:sz w:val="26"/>
          <w:szCs w:val="26"/>
        </w:rPr>
      </w:pPr>
    </w:p>
    <w:p w14:paraId="27DD9AC7" w14:textId="77777777" w:rsidR="00BF35E9" w:rsidRDefault="00BF35E9" w:rsidP="00BF35E9">
      <w:pPr>
        <w:spacing w:after="120"/>
        <w:jc w:val="right"/>
        <w:rPr>
          <w:rFonts w:asciiTheme="minorHAnsi" w:hAnsiTheme="minorHAnsi" w:cstheme="minorHAnsi"/>
          <w:sz w:val="26"/>
          <w:szCs w:val="26"/>
        </w:rPr>
      </w:pPr>
    </w:p>
    <w:p w14:paraId="7B8793F0" w14:textId="77777777" w:rsidR="00BF35E9" w:rsidRDefault="00BF35E9" w:rsidP="00BF35E9">
      <w:pPr>
        <w:jc w:val="both"/>
        <w:rPr>
          <w:rFonts w:asciiTheme="minorHAnsi" w:hAnsiTheme="minorHAnsi" w:cstheme="minorHAnsi"/>
          <w:sz w:val="26"/>
          <w:szCs w:val="26"/>
        </w:rPr>
      </w:pPr>
    </w:p>
    <w:p w14:paraId="1B43619D" w14:textId="77777777" w:rsidR="00BF35E9" w:rsidRDefault="00BF35E9" w:rsidP="00BF35E9">
      <w:pPr>
        <w:jc w:val="both"/>
        <w:rPr>
          <w:rFonts w:asciiTheme="minorHAnsi" w:hAnsiTheme="minorHAnsi" w:cstheme="minorHAnsi"/>
          <w:sz w:val="26"/>
          <w:szCs w:val="26"/>
        </w:rPr>
      </w:pPr>
    </w:p>
    <w:p w14:paraId="03048E98" w14:textId="77777777" w:rsidR="00BF35E9" w:rsidRDefault="00BF35E9" w:rsidP="00BF35E9">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14:paraId="60DF066D" w14:textId="77777777" w:rsidR="00BF35E9" w:rsidRPr="00C201B8" w:rsidRDefault="00BF35E9" w:rsidP="00BF35E9">
      <w:pPr>
        <w:jc w:val="both"/>
        <w:rPr>
          <w:rFonts w:asciiTheme="minorHAnsi" w:hAnsiTheme="minorHAnsi" w:cstheme="minorHAnsi"/>
          <w:sz w:val="26"/>
          <w:szCs w:val="26"/>
        </w:rPr>
      </w:pPr>
    </w:p>
    <w:p w14:paraId="6706800E" w14:textId="77777777" w:rsidR="00472D82" w:rsidRPr="00017EAF" w:rsidRDefault="00472D82" w:rsidP="00472D82">
      <w:pPr>
        <w:ind w:right="-46"/>
        <w:rPr>
          <w:rFonts w:asciiTheme="minorHAnsi" w:hAnsiTheme="minorHAnsi" w:cstheme="minorHAnsi"/>
          <w:sz w:val="26"/>
          <w:szCs w:val="26"/>
        </w:rPr>
      </w:pPr>
      <w:r>
        <w:rPr>
          <w:rFonts w:asciiTheme="minorHAnsi" w:hAnsiTheme="minorHAnsi" w:cstheme="minorHAnsi"/>
          <w:b/>
          <w:sz w:val="26"/>
          <w:szCs w:val="26"/>
        </w:rPr>
        <w:t>ITUMELENG MAFOKO</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First Applicant</w:t>
      </w:r>
    </w:p>
    <w:p w14:paraId="7F6B7E9C" w14:textId="77777777" w:rsidR="00472D82" w:rsidRDefault="00472D82" w:rsidP="00472D82">
      <w:pPr>
        <w:ind w:right="-46"/>
        <w:rPr>
          <w:rFonts w:asciiTheme="minorHAnsi" w:hAnsiTheme="minorHAnsi" w:cstheme="minorHAnsi"/>
          <w:sz w:val="26"/>
          <w:szCs w:val="26"/>
        </w:rPr>
      </w:pPr>
      <w:r>
        <w:rPr>
          <w:rFonts w:asciiTheme="minorHAnsi" w:hAnsiTheme="minorHAnsi" w:cstheme="minorHAnsi"/>
          <w:b/>
          <w:sz w:val="26"/>
          <w:szCs w:val="26"/>
        </w:rPr>
        <w:t>MABUYI ROWENA MEMELA</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Second Applicant</w:t>
      </w:r>
    </w:p>
    <w:p w14:paraId="59E52B98" w14:textId="77777777" w:rsidR="00472D82" w:rsidRPr="006168BD" w:rsidRDefault="00472D82" w:rsidP="00472D82">
      <w:pPr>
        <w:ind w:right="-46"/>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w:t>
      </w:r>
      <w:proofErr w:type="gramStart"/>
      <w:r>
        <w:rPr>
          <w:rFonts w:asciiTheme="minorHAnsi" w:hAnsiTheme="minorHAnsi" w:cstheme="minorHAnsi"/>
          <w:sz w:val="26"/>
          <w:szCs w:val="26"/>
        </w:rPr>
        <w:t xml:space="preserve">Respondents </w:t>
      </w:r>
      <w:r>
        <w:rPr>
          <w:rFonts w:asciiTheme="minorHAnsi" w:hAnsiTheme="minorHAnsi" w:cstheme="minorHAnsi"/>
          <w:i/>
          <w:sz w:val="26"/>
          <w:szCs w:val="26"/>
        </w:rPr>
        <w:t xml:space="preserve"> a</w:t>
      </w:r>
      <w:proofErr w:type="gramEnd"/>
      <w:r>
        <w:rPr>
          <w:rFonts w:asciiTheme="minorHAnsi" w:hAnsiTheme="minorHAnsi" w:cstheme="minorHAnsi"/>
          <w:i/>
          <w:sz w:val="26"/>
          <w:szCs w:val="26"/>
        </w:rPr>
        <w:t xml:space="preserve"> quo</w:t>
      </w:r>
      <w:r>
        <w:rPr>
          <w:rFonts w:asciiTheme="minorHAnsi" w:hAnsiTheme="minorHAnsi" w:cstheme="minorHAnsi"/>
          <w:sz w:val="26"/>
          <w:szCs w:val="26"/>
        </w:rPr>
        <w:t>))</w:t>
      </w:r>
    </w:p>
    <w:p w14:paraId="47C6490D" w14:textId="77777777" w:rsidR="00BF35E9" w:rsidRPr="006054CB" w:rsidRDefault="00BF35E9" w:rsidP="00BF35E9">
      <w:pPr>
        <w:ind w:right="-46"/>
        <w:rPr>
          <w:rFonts w:asciiTheme="minorHAnsi" w:hAnsiTheme="minorHAnsi" w:cstheme="minorHAnsi"/>
          <w:sz w:val="26"/>
          <w:szCs w:val="26"/>
        </w:rPr>
      </w:pPr>
    </w:p>
    <w:p w14:paraId="1CED419B" w14:textId="77777777" w:rsidR="00472D82" w:rsidRPr="006168BD" w:rsidRDefault="00472D82" w:rsidP="00472D82">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14:paraId="54FA8E88" w14:textId="77777777" w:rsidR="00BF35E9" w:rsidRDefault="00BF35E9" w:rsidP="00BF35E9">
      <w:pPr>
        <w:ind w:right="-46"/>
        <w:rPr>
          <w:rFonts w:asciiTheme="minorHAnsi" w:hAnsiTheme="minorHAnsi" w:cstheme="minorHAnsi"/>
          <w:sz w:val="26"/>
          <w:szCs w:val="26"/>
        </w:rPr>
      </w:pPr>
    </w:p>
    <w:p w14:paraId="2B3ACC3A" w14:textId="77777777" w:rsidR="00BF35E9" w:rsidRPr="00B13FBA" w:rsidRDefault="00BF35E9" w:rsidP="00BF35E9">
      <w:pPr>
        <w:ind w:right="-46"/>
        <w:rPr>
          <w:rFonts w:asciiTheme="minorHAnsi" w:hAnsiTheme="minorHAnsi" w:cstheme="minorHAnsi"/>
          <w:sz w:val="26"/>
          <w:szCs w:val="26"/>
        </w:rPr>
      </w:pPr>
      <w:r>
        <w:rPr>
          <w:rFonts w:asciiTheme="minorHAnsi" w:hAnsiTheme="minorHAnsi" w:cstheme="minorHAnsi"/>
          <w:b/>
          <w:sz w:val="26"/>
          <w:szCs w:val="26"/>
        </w:rPr>
        <w:t>VBS MUTUAL BANK (IN LIQUIDATION)</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472D82">
        <w:rPr>
          <w:rFonts w:asciiTheme="minorHAnsi" w:hAnsiTheme="minorHAnsi" w:cstheme="minorHAnsi"/>
          <w:sz w:val="26"/>
          <w:szCs w:val="26"/>
        </w:rPr>
        <w:t xml:space="preserve">         Respondent</w:t>
      </w:r>
    </w:p>
    <w:p w14:paraId="09B9983A" w14:textId="77777777" w:rsidR="00BF35E9" w:rsidRDefault="00BF35E9" w:rsidP="00BF35E9">
      <w:pPr>
        <w:ind w:right="-46"/>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472D82">
        <w:rPr>
          <w:rFonts w:asciiTheme="minorHAnsi" w:hAnsiTheme="minorHAnsi" w:cstheme="minorHAnsi"/>
          <w:sz w:val="26"/>
          <w:szCs w:val="26"/>
        </w:rPr>
        <w:tab/>
      </w:r>
      <w:r w:rsidR="00472D82">
        <w:rPr>
          <w:rFonts w:asciiTheme="minorHAnsi" w:hAnsiTheme="minorHAnsi" w:cstheme="minorHAnsi"/>
          <w:sz w:val="26"/>
          <w:szCs w:val="26"/>
        </w:rPr>
        <w:tab/>
        <w:t xml:space="preserve">          </w:t>
      </w:r>
      <w:r>
        <w:rPr>
          <w:rFonts w:asciiTheme="minorHAnsi" w:hAnsiTheme="minorHAnsi" w:cstheme="minorHAnsi"/>
          <w:sz w:val="26"/>
          <w:szCs w:val="26"/>
        </w:rPr>
        <w:t>(</w:t>
      </w:r>
      <w:r w:rsidR="00472D82">
        <w:rPr>
          <w:rFonts w:asciiTheme="minorHAnsi" w:hAnsiTheme="minorHAnsi" w:cstheme="minorHAnsi"/>
          <w:sz w:val="26"/>
          <w:szCs w:val="26"/>
        </w:rPr>
        <w:t xml:space="preserve">Applicant </w:t>
      </w:r>
      <w:r w:rsidR="00472D82">
        <w:rPr>
          <w:rFonts w:asciiTheme="minorHAnsi" w:hAnsiTheme="minorHAnsi" w:cstheme="minorHAnsi"/>
          <w:i/>
          <w:sz w:val="26"/>
          <w:szCs w:val="26"/>
        </w:rPr>
        <w:t>a quo</w:t>
      </w:r>
      <w:r w:rsidR="00472D82">
        <w:rPr>
          <w:rFonts w:asciiTheme="minorHAnsi" w:hAnsiTheme="minorHAnsi" w:cstheme="minorHAnsi"/>
          <w:sz w:val="26"/>
          <w:szCs w:val="26"/>
        </w:rPr>
        <w:t>)</w:t>
      </w:r>
      <w:r>
        <w:rPr>
          <w:rFonts w:asciiTheme="minorHAnsi" w:hAnsiTheme="minorHAnsi" w:cstheme="minorHAnsi"/>
          <w:sz w:val="26"/>
          <w:szCs w:val="26"/>
        </w:rPr>
        <w:t>)</w:t>
      </w:r>
    </w:p>
    <w:p w14:paraId="3011A3AA" w14:textId="77777777" w:rsidR="00BF35E9" w:rsidRPr="00B13FBA" w:rsidRDefault="00BF35E9" w:rsidP="00BF35E9">
      <w:pPr>
        <w:ind w:right="-46"/>
        <w:rPr>
          <w:rFonts w:asciiTheme="minorHAnsi" w:hAnsiTheme="minorHAnsi" w:cstheme="minorHAnsi"/>
          <w:sz w:val="26"/>
          <w:szCs w:val="26"/>
        </w:rPr>
      </w:pPr>
    </w:p>
    <w:p w14:paraId="2FC08C3F" w14:textId="77777777" w:rsidR="008A27C8" w:rsidRPr="00933745" w:rsidRDefault="008A27C8" w:rsidP="008A27C8">
      <w:pPr>
        <w:rPr>
          <w:rFonts w:asciiTheme="minorHAnsi" w:hAnsiTheme="minorHAnsi" w:cstheme="minorHAnsi"/>
          <w:sz w:val="26"/>
          <w:szCs w:val="26"/>
        </w:rPr>
      </w:pPr>
      <w:r w:rsidRPr="00933745">
        <w:rPr>
          <w:rFonts w:asciiTheme="minorHAnsi" w:eastAsiaTheme="minorHAnsi" w:hAnsiTheme="minorHAnsi" w:cstheme="minorHAnsi"/>
          <w:b/>
          <w:sz w:val="26"/>
          <w:szCs w:val="26"/>
          <w:lang w:val="en-ZA" w:eastAsia="en-US"/>
        </w:rPr>
        <w:t>Neutral Citation</w:t>
      </w:r>
      <w:r>
        <w:rPr>
          <w:rFonts w:asciiTheme="minorHAnsi" w:eastAsiaTheme="minorHAnsi" w:hAnsiTheme="minorHAnsi" w:cstheme="minorHAnsi"/>
          <w:i/>
          <w:sz w:val="26"/>
          <w:szCs w:val="26"/>
          <w:lang w:val="en-ZA" w:eastAsia="en-US"/>
        </w:rPr>
        <w:t xml:space="preserve">: </w:t>
      </w:r>
      <w:r w:rsidR="00933745">
        <w:rPr>
          <w:rFonts w:asciiTheme="minorHAnsi" w:eastAsiaTheme="minorHAnsi" w:hAnsiTheme="minorHAnsi" w:cstheme="minorHAnsi"/>
          <w:i/>
          <w:sz w:val="26"/>
          <w:szCs w:val="26"/>
          <w:lang w:val="en-ZA" w:eastAsia="en-US"/>
        </w:rPr>
        <w:t>Itumeleng Mafoko &amp; Another v</w:t>
      </w:r>
      <w:r w:rsidR="00933745" w:rsidRPr="00933745">
        <w:rPr>
          <w:rFonts w:asciiTheme="minorHAnsi" w:eastAsiaTheme="minorHAnsi" w:hAnsiTheme="minorHAnsi" w:cstheme="minorHAnsi"/>
          <w:i/>
          <w:sz w:val="26"/>
          <w:szCs w:val="26"/>
          <w:lang w:val="en-ZA" w:eastAsia="en-US"/>
        </w:rPr>
        <w:t xml:space="preserve"> VB</w:t>
      </w:r>
      <w:r w:rsidR="00933745">
        <w:rPr>
          <w:rFonts w:asciiTheme="minorHAnsi" w:eastAsiaTheme="minorHAnsi" w:hAnsiTheme="minorHAnsi" w:cstheme="minorHAnsi"/>
          <w:i/>
          <w:sz w:val="26"/>
          <w:szCs w:val="26"/>
          <w:lang w:val="en-ZA" w:eastAsia="en-US"/>
        </w:rPr>
        <w:t xml:space="preserve">S Mutual Bank (In Liquidation) </w:t>
      </w:r>
      <w:r w:rsidRPr="00933745">
        <w:rPr>
          <w:rFonts w:asciiTheme="minorHAnsi" w:eastAsiaTheme="minorHAnsi" w:hAnsiTheme="minorHAnsi" w:cstheme="minorHAnsi"/>
          <w:sz w:val="26"/>
          <w:szCs w:val="26"/>
          <w:lang w:val="en-ZA" w:eastAsia="en-US"/>
        </w:rPr>
        <w:t>(</w:t>
      </w:r>
      <w:r w:rsidR="00933745" w:rsidRPr="00933745">
        <w:rPr>
          <w:rFonts w:asciiTheme="minorHAnsi" w:eastAsiaTheme="minorHAnsi" w:hAnsiTheme="minorHAnsi" w:cstheme="minorHAnsi"/>
          <w:sz w:val="26"/>
          <w:szCs w:val="26"/>
          <w:lang w:val="en-ZA" w:eastAsia="en-US"/>
        </w:rPr>
        <w:t>Case</w:t>
      </w:r>
      <w:r w:rsidR="00933745">
        <w:rPr>
          <w:rFonts w:asciiTheme="minorHAnsi" w:eastAsiaTheme="minorHAnsi" w:hAnsiTheme="minorHAnsi" w:cstheme="minorHAnsi"/>
          <w:sz w:val="26"/>
          <w:szCs w:val="26"/>
          <w:lang w:val="en-ZA" w:eastAsia="en-US"/>
        </w:rPr>
        <w:t xml:space="preserve"> No: 34634/2021) </w:t>
      </w:r>
      <w:r w:rsidRPr="00933745">
        <w:rPr>
          <w:rFonts w:asciiTheme="minorHAnsi" w:eastAsiaTheme="minorHAnsi" w:hAnsiTheme="minorHAnsi" w:cstheme="minorHAnsi"/>
          <w:sz w:val="26"/>
          <w:szCs w:val="26"/>
          <w:lang w:val="en-ZA" w:eastAsia="en-US"/>
        </w:rPr>
        <w:t xml:space="preserve">[2023] </w:t>
      </w:r>
      <w:r w:rsidR="00933745">
        <w:rPr>
          <w:rFonts w:asciiTheme="minorHAnsi" w:hAnsiTheme="minorHAnsi" w:cstheme="minorHAnsi"/>
          <w:sz w:val="26"/>
          <w:szCs w:val="26"/>
        </w:rPr>
        <w:t>ZAGP</w:t>
      </w:r>
      <w:r w:rsidRPr="00933745">
        <w:rPr>
          <w:rFonts w:asciiTheme="minorHAnsi" w:hAnsiTheme="minorHAnsi" w:cstheme="minorHAnsi"/>
          <w:sz w:val="26"/>
          <w:szCs w:val="26"/>
        </w:rPr>
        <w:t>JHC 536</w:t>
      </w:r>
      <w:r w:rsidR="00933745" w:rsidRPr="00933745">
        <w:rPr>
          <w:rFonts w:asciiTheme="minorHAnsi" w:hAnsiTheme="minorHAnsi" w:cstheme="minorHAnsi"/>
          <w:sz w:val="26"/>
          <w:szCs w:val="26"/>
        </w:rPr>
        <w:t xml:space="preserve"> (29 May 2023)</w:t>
      </w:r>
    </w:p>
    <w:p w14:paraId="08D11E6A" w14:textId="77777777" w:rsidR="00BF35E9" w:rsidRPr="00C201B8" w:rsidRDefault="00BF35E9" w:rsidP="00BF35E9">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14:paraId="59886D99" w14:textId="77777777" w:rsidR="00BF35E9" w:rsidRDefault="00BF35E9" w:rsidP="00BF35E9">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14:paraId="61E15D0C" w14:textId="77777777" w:rsidR="00BF35E9" w:rsidRPr="00C201B8" w:rsidRDefault="00BF35E9" w:rsidP="00BF35E9">
      <w:pPr>
        <w:spacing w:after="120"/>
        <w:jc w:val="center"/>
        <w:rPr>
          <w:rFonts w:asciiTheme="minorHAnsi" w:hAnsiTheme="minorHAnsi" w:cstheme="minorHAnsi"/>
          <w:sz w:val="26"/>
          <w:szCs w:val="26"/>
        </w:rPr>
      </w:pPr>
      <w:r>
        <w:rPr>
          <w:rFonts w:asciiTheme="minorHAnsi" w:hAnsiTheme="minorHAnsi" w:cstheme="minorHAnsi"/>
          <w:sz w:val="26"/>
          <w:szCs w:val="26"/>
        </w:rPr>
        <w:t>(Application for leave to appeal)</w:t>
      </w:r>
    </w:p>
    <w:p w14:paraId="1DBB86BA" w14:textId="77777777" w:rsidR="00BF35E9" w:rsidRPr="00C201B8" w:rsidRDefault="00BF35E9" w:rsidP="00BF35E9">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14:paraId="3E2C6097" w14:textId="77777777" w:rsidR="00BF35E9" w:rsidRPr="00E823A0" w:rsidRDefault="00BF35E9" w:rsidP="00BF35E9">
      <w:pPr>
        <w:rPr>
          <w:rFonts w:asciiTheme="minorHAnsi" w:hAnsiTheme="minorHAnsi" w:cstheme="minorHAnsi"/>
          <w:sz w:val="26"/>
          <w:szCs w:val="26"/>
        </w:rPr>
      </w:pPr>
    </w:p>
    <w:p w14:paraId="47826496" w14:textId="77777777" w:rsidR="00BF35E9" w:rsidRPr="009706D5" w:rsidRDefault="00BF35E9" w:rsidP="00BF35E9">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14:paraId="70599F43" w14:textId="77777777" w:rsidR="00BF35E9" w:rsidRDefault="00BF35E9" w:rsidP="00BF35E9">
      <w:pPr>
        <w:rPr>
          <w:rFonts w:asciiTheme="minorHAnsi" w:hAnsiTheme="minorHAnsi" w:cstheme="minorHAnsi"/>
          <w:sz w:val="26"/>
          <w:szCs w:val="26"/>
        </w:rPr>
      </w:pPr>
    </w:p>
    <w:p w14:paraId="393FC633" w14:textId="7FD36C76" w:rsidR="00BF35E9" w:rsidRPr="00EB7A27" w:rsidRDefault="00EB7A27" w:rsidP="00EB7A27">
      <w:pPr>
        <w:spacing w:after="200" w:line="360" w:lineRule="auto"/>
        <w:ind w:left="851" w:hanging="851"/>
        <w:jc w:val="both"/>
        <w:rPr>
          <w:rFonts w:asciiTheme="minorHAnsi" w:hAnsiTheme="minorHAnsi" w:cstheme="minorHAnsi"/>
          <w:sz w:val="26"/>
          <w:szCs w:val="26"/>
        </w:rPr>
      </w:pPr>
      <w:r w:rsidRPr="00D17B52">
        <w:rPr>
          <w:rFonts w:asciiTheme="minorHAnsi" w:hAnsiTheme="minorHAnsi"/>
          <w:sz w:val="24"/>
          <w:szCs w:val="24"/>
        </w:rPr>
        <w:t>1.</w:t>
      </w:r>
      <w:r w:rsidRPr="00D17B52">
        <w:rPr>
          <w:rFonts w:asciiTheme="minorHAnsi" w:hAnsiTheme="minorHAnsi"/>
          <w:sz w:val="24"/>
          <w:szCs w:val="24"/>
        </w:rPr>
        <w:tab/>
      </w:r>
      <w:r w:rsidR="00BF35E9" w:rsidRPr="00EB7A27">
        <w:rPr>
          <w:rFonts w:asciiTheme="minorHAnsi" w:hAnsiTheme="minorHAnsi" w:cstheme="minorHAnsi"/>
          <w:sz w:val="26"/>
          <w:szCs w:val="26"/>
        </w:rPr>
        <w:t xml:space="preserve">For convenience, I will refer to the parties </w:t>
      </w:r>
      <w:r w:rsidR="008C4821" w:rsidRPr="00EB7A27">
        <w:rPr>
          <w:rFonts w:asciiTheme="minorHAnsi" w:hAnsiTheme="minorHAnsi" w:cstheme="minorHAnsi"/>
          <w:sz w:val="26"/>
          <w:szCs w:val="26"/>
        </w:rPr>
        <w:t xml:space="preserve">herein </w:t>
      </w:r>
      <w:r w:rsidR="00BF35E9" w:rsidRPr="00EB7A27">
        <w:rPr>
          <w:rFonts w:asciiTheme="minorHAnsi" w:hAnsiTheme="minorHAnsi" w:cstheme="minorHAnsi"/>
          <w:sz w:val="26"/>
          <w:szCs w:val="26"/>
        </w:rPr>
        <w:t xml:space="preserve">as </w:t>
      </w:r>
      <w:r w:rsidR="00D17B52" w:rsidRPr="00EB7A27">
        <w:rPr>
          <w:rFonts w:asciiTheme="minorHAnsi" w:hAnsiTheme="minorHAnsi" w:cstheme="minorHAnsi"/>
          <w:sz w:val="26"/>
          <w:szCs w:val="26"/>
        </w:rPr>
        <w:t xml:space="preserve">‘the sureties’ and ‘VBS’ respectively. </w:t>
      </w:r>
      <w:r w:rsidR="00BF35E9" w:rsidRPr="00EB7A27">
        <w:rPr>
          <w:rFonts w:asciiTheme="minorHAnsi" w:hAnsiTheme="minorHAnsi" w:cstheme="minorHAnsi"/>
          <w:sz w:val="26"/>
          <w:szCs w:val="26"/>
        </w:rPr>
        <w:t>The sureties</w:t>
      </w:r>
      <w:r w:rsidR="00097643" w:rsidRPr="00EB7A27">
        <w:rPr>
          <w:rFonts w:asciiTheme="minorHAnsi" w:hAnsiTheme="minorHAnsi" w:cstheme="minorHAnsi"/>
          <w:sz w:val="26"/>
          <w:szCs w:val="26"/>
        </w:rPr>
        <w:t xml:space="preserve">, being the </w:t>
      </w:r>
      <w:r w:rsidR="00D17B52" w:rsidRPr="00EB7A27">
        <w:rPr>
          <w:rFonts w:asciiTheme="minorHAnsi" w:hAnsiTheme="minorHAnsi" w:cstheme="minorHAnsi"/>
          <w:sz w:val="26"/>
          <w:szCs w:val="26"/>
        </w:rPr>
        <w:t xml:space="preserve">applicants herein and </w:t>
      </w:r>
      <w:r w:rsidR="00514D13" w:rsidRPr="00EB7A27">
        <w:rPr>
          <w:rFonts w:asciiTheme="minorHAnsi" w:hAnsiTheme="minorHAnsi" w:cstheme="minorHAnsi"/>
          <w:sz w:val="26"/>
          <w:szCs w:val="26"/>
        </w:rPr>
        <w:t xml:space="preserve">the </w:t>
      </w:r>
      <w:r w:rsidR="00097643" w:rsidRPr="00EB7A27">
        <w:rPr>
          <w:rFonts w:asciiTheme="minorHAnsi" w:hAnsiTheme="minorHAnsi" w:cstheme="minorHAnsi"/>
          <w:sz w:val="26"/>
          <w:szCs w:val="26"/>
        </w:rPr>
        <w:t xml:space="preserve">respondents </w:t>
      </w:r>
      <w:r w:rsidR="00097643" w:rsidRPr="00EB7A27">
        <w:rPr>
          <w:rFonts w:asciiTheme="minorHAnsi" w:hAnsiTheme="minorHAnsi" w:cstheme="minorHAnsi"/>
          <w:i/>
          <w:sz w:val="26"/>
          <w:szCs w:val="26"/>
        </w:rPr>
        <w:t>a quo</w:t>
      </w:r>
      <w:r w:rsidR="00D17B52" w:rsidRPr="00EB7A27">
        <w:rPr>
          <w:rFonts w:asciiTheme="minorHAnsi" w:hAnsiTheme="minorHAnsi" w:cstheme="minorHAnsi"/>
          <w:i/>
          <w:sz w:val="26"/>
          <w:szCs w:val="26"/>
        </w:rPr>
        <w:t>,</w:t>
      </w:r>
      <w:r w:rsidR="00BF35E9" w:rsidRPr="00EB7A27">
        <w:rPr>
          <w:rFonts w:asciiTheme="minorHAnsi" w:hAnsiTheme="minorHAnsi" w:cstheme="minorHAnsi"/>
          <w:sz w:val="26"/>
          <w:szCs w:val="26"/>
        </w:rPr>
        <w:t xml:space="preserve"> apply for leave to appeal to the Supreme Court of Appeal, alternatively, the Full </w:t>
      </w:r>
      <w:r w:rsidR="00D17B52" w:rsidRPr="00EB7A27">
        <w:rPr>
          <w:rFonts w:asciiTheme="minorHAnsi" w:hAnsiTheme="minorHAnsi" w:cstheme="minorHAnsi"/>
          <w:sz w:val="26"/>
          <w:szCs w:val="26"/>
        </w:rPr>
        <w:t>Court in this division</w:t>
      </w:r>
      <w:r w:rsidR="00BF35E9" w:rsidRPr="00EB7A27">
        <w:rPr>
          <w:rFonts w:asciiTheme="minorHAnsi" w:hAnsiTheme="minorHAnsi" w:cstheme="minorHAnsi"/>
          <w:sz w:val="26"/>
          <w:szCs w:val="26"/>
        </w:rPr>
        <w:t xml:space="preserve">, against </w:t>
      </w:r>
      <w:r w:rsidR="00D17B52" w:rsidRPr="00EB7A27">
        <w:rPr>
          <w:rFonts w:asciiTheme="minorHAnsi" w:hAnsiTheme="minorHAnsi" w:cstheme="minorHAnsi"/>
          <w:sz w:val="26"/>
          <w:szCs w:val="26"/>
        </w:rPr>
        <w:t xml:space="preserve">the whole </w:t>
      </w:r>
      <w:r w:rsidR="00BF35E9" w:rsidRPr="00EB7A27">
        <w:rPr>
          <w:rFonts w:asciiTheme="minorHAnsi" w:hAnsiTheme="minorHAnsi" w:cstheme="minorHAnsi"/>
          <w:sz w:val="26"/>
          <w:szCs w:val="26"/>
        </w:rPr>
        <w:t xml:space="preserve">of the judgment and order </w:t>
      </w:r>
      <w:r w:rsidR="00D17B52" w:rsidRPr="00EB7A27">
        <w:rPr>
          <w:rFonts w:asciiTheme="minorHAnsi" w:hAnsiTheme="minorHAnsi" w:cstheme="minorHAnsi"/>
          <w:sz w:val="26"/>
          <w:szCs w:val="26"/>
        </w:rPr>
        <w:lastRenderedPageBreak/>
        <w:t xml:space="preserve">which I </w:t>
      </w:r>
      <w:r w:rsidR="00BF35E9" w:rsidRPr="00EB7A27">
        <w:rPr>
          <w:rFonts w:asciiTheme="minorHAnsi" w:hAnsiTheme="minorHAnsi" w:cstheme="minorHAnsi"/>
          <w:sz w:val="26"/>
          <w:szCs w:val="26"/>
        </w:rPr>
        <w:t xml:space="preserve">handed down on </w:t>
      </w:r>
      <w:r w:rsidR="00D17B52" w:rsidRPr="00EB7A27">
        <w:rPr>
          <w:rFonts w:asciiTheme="minorHAnsi" w:hAnsiTheme="minorHAnsi" w:cstheme="minorHAnsi"/>
          <w:sz w:val="26"/>
          <w:szCs w:val="26"/>
        </w:rPr>
        <w:t>9 February 2023</w:t>
      </w:r>
      <w:r w:rsidR="00BF35E9" w:rsidRPr="00EB7A27">
        <w:rPr>
          <w:rFonts w:asciiTheme="minorHAnsi" w:hAnsiTheme="minorHAnsi" w:cstheme="minorHAnsi"/>
          <w:sz w:val="26"/>
          <w:szCs w:val="26"/>
        </w:rPr>
        <w:t xml:space="preserve">. </w:t>
      </w:r>
      <w:r w:rsidR="008C4821" w:rsidRPr="00EB7A27">
        <w:rPr>
          <w:rFonts w:asciiTheme="minorHAnsi" w:hAnsiTheme="minorHAnsi" w:cstheme="minorHAnsi"/>
          <w:sz w:val="26"/>
          <w:szCs w:val="26"/>
        </w:rPr>
        <w:t xml:space="preserve">In terms of the order, the sureties were ordered, jointly and severally to pay VBS the sum of R 1 million together with </w:t>
      </w:r>
      <w:r w:rsidR="008C4821" w:rsidRPr="00EB7A27">
        <w:rPr>
          <w:rFonts w:asciiTheme="minorHAnsi" w:hAnsiTheme="minorHAnsi" w:cstheme="minorHAnsi"/>
          <w:i/>
          <w:sz w:val="26"/>
          <w:szCs w:val="26"/>
        </w:rPr>
        <w:t>mora</w:t>
      </w:r>
      <w:r w:rsidR="008C4821" w:rsidRPr="00EB7A27">
        <w:rPr>
          <w:rFonts w:asciiTheme="minorHAnsi" w:hAnsiTheme="minorHAnsi" w:cstheme="minorHAnsi"/>
          <w:sz w:val="26"/>
          <w:szCs w:val="26"/>
        </w:rPr>
        <w:t xml:space="preserve"> interest t</w:t>
      </w:r>
      <w:r w:rsidR="00575981" w:rsidRPr="00EB7A27">
        <w:rPr>
          <w:rFonts w:asciiTheme="minorHAnsi" w:hAnsiTheme="minorHAnsi" w:cstheme="minorHAnsi"/>
          <w:sz w:val="26"/>
          <w:szCs w:val="26"/>
        </w:rPr>
        <w:t>hereon</w:t>
      </w:r>
      <w:r w:rsidR="008C4821" w:rsidRPr="00EB7A27">
        <w:rPr>
          <w:rFonts w:asciiTheme="minorHAnsi" w:hAnsiTheme="minorHAnsi" w:cstheme="minorHAnsi"/>
          <w:sz w:val="26"/>
          <w:szCs w:val="26"/>
        </w:rPr>
        <w:t xml:space="preserve"> and costs on the attorney and client scale. The application is opposed by VBS.</w:t>
      </w:r>
    </w:p>
    <w:p w14:paraId="5EA36BEA" w14:textId="77777777" w:rsidR="00BF35E9" w:rsidRDefault="00BF35E9" w:rsidP="00BF35E9">
      <w:pPr>
        <w:pStyle w:val="ListParagraph"/>
        <w:rPr>
          <w:rFonts w:asciiTheme="minorHAnsi" w:hAnsiTheme="minorHAnsi" w:cstheme="minorHAnsi"/>
          <w:sz w:val="26"/>
          <w:szCs w:val="26"/>
        </w:rPr>
      </w:pPr>
    </w:p>
    <w:p w14:paraId="3E6FE499" w14:textId="51D06095" w:rsidR="003C4871" w:rsidRPr="00EB7A27" w:rsidRDefault="00EB7A27" w:rsidP="00EB7A2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w:t>
      </w:r>
      <w:r>
        <w:rPr>
          <w:rFonts w:asciiTheme="minorHAnsi" w:hAnsiTheme="minorHAnsi"/>
          <w:sz w:val="24"/>
          <w:szCs w:val="24"/>
        </w:rPr>
        <w:tab/>
      </w:r>
      <w:r w:rsidR="00D17B52" w:rsidRPr="00EB7A27">
        <w:rPr>
          <w:rFonts w:asciiTheme="minorHAnsi" w:hAnsiTheme="minorHAnsi" w:cstheme="minorHAnsi"/>
          <w:sz w:val="26"/>
          <w:szCs w:val="26"/>
        </w:rPr>
        <w:t xml:space="preserve">The grounds </w:t>
      </w:r>
      <w:r w:rsidR="003C4871" w:rsidRPr="00EB7A27">
        <w:rPr>
          <w:rFonts w:asciiTheme="minorHAnsi" w:hAnsiTheme="minorHAnsi" w:cstheme="minorHAnsi"/>
          <w:sz w:val="26"/>
          <w:szCs w:val="26"/>
        </w:rPr>
        <w:t xml:space="preserve">on </w:t>
      </w:r>
      <w:r w:rsidR="00D17B52" w:rsidRPr="00EB7A27">
        <w:rPr>
          <w:rFonts w:asciiTheme="minorHAnsi" w:hAnsiTheme="minorHAnsi" w:cstheme="minorHAnsi"/>
          <w:sz w:val="26"/>
          <w:szCs w:val="26"/>
        </w:rPr>
        <w:t>which leave to appeal is sought are set out in the notice of application for leave to appeal</w:t>
      </w:r>
      <w:r w:rsidR="003C4871" w:rsidRPr="00EB7A27">
        <w:rPr>
          <w:rFonts w:asciiTheme="minorHAnsi" w:hAnsiTheme="minorHAnsi" w:cstheme="minorHAnsi"/>
          <w:sz w:val="26"/>
          <w:szCs w:val="26"/>
        </w:rPr>
        <w:t>,</w:t>
      </w:r>
      <w:r w:rsidR="00D17B52" w:rsidRPr="00EB7A27">
        <w:rPr>
          <w:rFonts w:asciiTheme="minorHAnsi" w:hAnsiTheme="minorHAnsi" w:cstheme="minorHAnsi"/>
          <w:sz w:val="26"/>
          <w:szCs w:val="26"/>
        </w:rPr>
        <w:t xml:space="preserve"> filed of record</w:t>
      </w:r>
      <w:r w:rsidR="003C4871" w:rsidRPr="00EB7A27">
        <w:rPr>
          <w:rFonts w:asciiTheme="minorHAnsi" w:hAnsiTheme="minorHAnsi" w:cstheme="minorHAnsi"/>
          <w:sz w:val="26"/>
          <w:szCs w:val="26"/>
        </w:rPr>
        <w:t>,</w:t>
      </w:r>
      <w:r w:rsidR="00D17B52" w:rsidRPr="00EB7A27">
        <w:rPr>
          <w:rFonts w:asciiTheme="minorHAnsi" w:hAnsiTheme="minorHAnsi" w:cstheme="minorHAnsi"/>
          <w:sz w:val="26"/>
          <w:szCs w:val="26"/>
        </w:rPr>
        <w:t xml:space="preserve"> and </w:t>
      </w:r>
      <w:r w:rsidR="003C4871" w:rsidRPr="00EB7A27">
        <w:rPr>
          <w:rFonts w:asciiTheme="minorHAnsi" w:hAnsiTheme="minorHAnsi" w:cstheme="minorHAnsi"/>
          <w:sz w:val="26"/>
          <w:szCs w:val="26"/>
        </w:rPr>
        <w:t>need not be</w:t>
      </w:r>
      <w:r w:rsidR="00D17B52" w:rsidRPr="00EB7A27">
        <w:rPr>
          <w:rFonts w:asciiTheme="minorHAnsi" w:hAnsiTheme="minorHAnsi" w:cstheme="minorHAnsi"/>
          <w:sz w:val="26"/>
          <w:szCs w:val="26"/>
        </w:rPr>
        <w:t xml:space="preserve"> repeated </w:t>
      </w:r>
      <w:r w:rsidR="003C4871" w:rsidRPr="00EB7A27">
        <w:rPr>
          <w:rFonts w:asciiTheme="minorHAnsi" w:hAnsiTheme="minorHAnsi" w:cstheme="minorHAnsi"/>
          <w:sz w:val="26"/>
          <w:szCs w:val="26"/>
        </w:rPr>
        <w:t>in this judgment</w:t>
      </w:r>
      <w:r w:rsidR="00D17B52" w:rsidRPr="00EB7A27">
        <w:rPr>
          <w:rFonts w:asciiTheme="minorHAnsi" w:hAnsiTheme="minorHAnsi" w:cstheme="minorHAnsi"/>
          <w:sz w:val="26"/>
          <w:szCs w:val="26"/>
        </w:rPr>
        <w:t>.</w:t>
      </w:r>
      <w:r w:rsidR="006D0313" w:rsidRPr="00EB7A27">
        <w:rPr>
          <w:rFonts w:asciiTheme="minorHAnsi" w:hAnsiTheme="minorHAnsi" w:cstheme="minorHAnsi"/>
          <w:sz w:val="26"/>
          <w:szCs w:val="26"/>
        </w:rPr>
        <w:t xml:space="preserve"> </w:t>
      </w:r>
      <w:r w:rsidR="003C4871" w:rsidRPr="00EB7A27">
        <w:rPr>
          <w:rFonts w:asciiTheme="minorHAnsi" w:hAnsiTheme="minorHAnsi" w:cstheme="minorHAnsi"/>
          <w:sz w:val="26"/>
          <w:szCs w:val="26"/>
        </w:rPr>
        <w:t xml:space="preserve">Save </w:t>
      </w:r>
      <w:r w:rsidR="00B15812" w:rsidRPr="00EB7A27">
        <w:rPr>
          <w:rFonts w:asciiTheme="minorHAnsi" w:hAnsiTheme="minorHAnsi" w:cstheme="minorHAnsi"/>
          <w:sz w:val="26"/>
          <w:szCs w:val="26"/>
        </w:rPr>
        <w:t>in the one respect</w:t>
      </w:r>
      <w:r w:rsidR="003C4871" w:rsidRPr="00EB7A27">
        <w:rPr>
          <w:rFonts w:asciiTheme="minorHAnsi" w:hAnsiTheme="minorHAnsi" w:cstheme="minorHAnsi"/>
          <w:sz w:val="26"/>
          <w:szCs w:val="26"/>
        </w:rPr>
        <w:t xml:space="preserve"> mentioned below, no new or novel </w:t>
      </w:r>
      <w:r w:rsidR="00795595" w:rsidRPr="00EB7A27">
        <w:rPr>
          <w:rFonts w:asciiTheme="minorHAnsi" w:hAnsiTheme="minorHAnsi" w:cstheme="minorHAnsi"/>
          <w:sz w:val="26"/>
          <w:szCs w:val="26"/>
        </w:rPr>
        <w:t>issues or legal points,</w:t>
      </w:r>
      <w:r w:rsidR="003C4871" w:rsidRPr="00EB7A27">
        <w:rPr>
          <w:rFonts w:asciiTheme="minorHAnsi" w:hAnsiTheme="minorHAnsi" w:cstheme="minorHAnsi"/>
          <w:sz w:val="26"/>
          <w:szCs w:val="26"/>
        </w:rPr>
        <w:t xml:space="preserve"> </w:t>
      </w:r>
      <w:r w:rsidR="00795595" w:rsidRPr="00EB7A27">
        <w:rPr>
          <w:rFonts w:asciiTheme="minorHAnsi" w:hAnsiTheme="minorHAnsi" w:cstheme="minorHAnsi"/>
          <w:sz w:val="26"/>
          <w:szCs w:val="26"/>
        </w:rPr>
        <w:t>apart from those that were dealt with in the main judgment, have been raised or</w:t>
      </w:r>
      <w:r w:rsidR="00B15812" w:rsidRPr="00EB7A27">
        <w:rPr>
          <w:rFonts w:asciiTheme="minorHAnsi" w:hAnsiTheme="minorHAnsi" w:cstheme="minorHAnsi"/>
          <w:sz w:val="26"/>
          <w:szCs w:val="26"/>
        </w:rPr>
        <w:t xml:space="preserve"> </w:t>
      </w:r>
      <w:r w:rsidR="00795595" w:rsidRPr="00EB7A27">
        <w:rPr>
          <w:rFonts w:asciiTheme="minorHAnsi" w:hAnsiTheme="minorHAnsi" w:cstheme="minorHAnsi"/>
          <w:sz w:val="26"/>
          <w:szCs w:val="26"/>
        </w:rPr>
        <w:t>relied on by the sureties</w:t>
      </w:r>
      <w:r w:rsidR="003C4871" w:rsidRPr="00EB7A27">
        <w:rPr>
          <w:rFonts w:asciiTheme="minorHAnsi" w:hAnsiTheme="minorHAnsi" w:cstheme="minorHAnsi"/>
          <w:sz w:val="26"/>
          <w:szCs w:val="26"/>
        </w:rPr>
        <w:t xml:space="preserve"> </w:t>
      </w:r>
      <w:r w:rsidR="00254B3F" w:rsidRPr="00EB7A27">
        <w:rPr>
          <w:rFonts w:asciiTheme="minorHAnsi" w:hAnsiTheme="minorHAnsi" w:cstheme="minorHAnsi"/>
          <w:sz w:val="26"/>
          <w:szCs w:val="26"/>
        </w:rPr>
        <w:t xml:space="preserve">in </w:t>
      </w:r>
      <w:r w:rsidR="00B15812" w:rsidRPr="00EB7A27">
        <w:rPr>
          <w:rFonts w:asciiTheme="minorHAnsi" w:hAnsiTheme="minorHAnsi" w:cstheme="minorHAnsi"/>
          <w:sz w:val="26"/>
          <w:szCs w:val="26"/>
        </w:rPr>
        <w:t>the application for leave to appeal</w:t>
      </w:r>
      <w:r w:rsidR="00254B3F" w:rsidRPr="00EB7A27">
        <w:rPr>
          <w:rFonts w:asciiTheme="minorHAnsi" w:hAnsiTheme="minorHAnsi" w:cstheme="minorHAnsi"/>
          <w:sz w:val="26"/>
          <w:szCs w:val="26"/>
        </w:rPr>
        <w:t>.</w:t>
      </w:r>
    </w:p>
    <w:p w14:paraId="65A18D55" w14:textId="77777777" w:rsidR="003C4871" w:rsidRDefault="003C4871" w:rsidP="003C4871">
      <w:pPr>
        <w:pStyle w:val="ListParagraph"/>
        <w:rPr>
          <w:rFonts w:asciiTheme="minorHAnsi" w:hAnsiTheme="minorHAnsi" w:cstheme="minorHAnsi"/>
          <w:sz w:val="26"/>
          <w:szCs w:val="26"/>
        </w:rPr>
      </w:pPr>
    </w:p>
    <w:p w14:paraId="01B7E839" w14:textId="5054B6B3" w:rsidR="00795595" w:rsidRPr="00EB7A27" w:rsidRDefault="00EB7A27" w:rsidP="00EB7A27">
      <w:pPr>
        <w:spacing w:after="200" w:line="360" w:lineRule="auto"/>
        <w:ind w:left="851" w:hanging="851"/>
        <w:jc w:val="both"/>
        <w:rPr>
          <w:rFonts w:asciiTheme="minorHAnsi" w:hAnsiTheme="minorHAnsi" w:cstheme="minorHAnsi"/>
          <w:sz w:val="26"/>
          <w:szCs w:val="26"/>
        </w:rPr>
      </w:pPr>
      <w:r w:rsidRPr="00A31F51">
        <w:rPr>
          <w:rFonts w:asciiTheme="minorHAnsi" w:hAnsiTheme="minorHAnsi" w:cstheme="minorHAnsi"/>
          <w:sz w:val="26"/>
          <w:szCs w:val="26"/>
        </w:rPr>
        <w:t>3.</w:t>
      </w:r>
      <w:r w:rsidRPr="00A31F51">
        <w:rPr>
          <w:rFonts w:asciiTheme="minorHAnsi" w:hAnsiTheme="minorHAnsi" w:cstheme="minorHAnsi"/>
          <w:sz w:val="26"/>
          <w:szCs w:val="26"/>
        </w:rPr>
        <w:tab/>
      </w:r>
      <w:r w:rsidR="00795595" w:rsidRPr="00EB7A27">
        <w:rPr>
          <w:rFonts w:asciiTheme="minorHAnsi" w:hAnsiTheme="minorHAnsi" w:cstheme="minorHAnsi"/>
          <w:sz w:val="26"/>
          <w:szCs w:val="26"/>
        </w:rPr>
        <w:t xml:space="preserve">In terms of section 17 of the Superior Courts Act, 10 of 2013: </w:t>
      </w:r>
    </w:p>
    <w:p w14:paraId="07548D3B" w14:textId="77777777" w:rsidR="00795595" w:rsidRPr="006A31DA" w:rsidRDefault="00795595" w:rsidP="00795595">
      <w:pPr>
        <w:pStyle w:val="ListParagraph"/>
        <w:spacing w:line="360" w:lineRule="auto"/>
        <w:ind w:left="1440"/>
        <w:jc w:val="both"/>
        <w:rPr>
          <w:rFonts w:asciiTheme="minorHAnsi" w:hAnsiTheme="minorHAnsi" w:cstheme="minorHAnsi"/>
          <w:sz w:val="26"/>
          <w:szCs w:val="26"/>
        </w:rPr>
      </w:pPr>
      <w:r w:rsidRPr="006A31DA">
        <w:rPr>
          <w:rFonts w:asciiTheme="minorHAnsi" w:hAnsiTheme="minorHAnsi" w:cstheme="minorHAnsi"/>
          <w:sz w:val="26"/>
          <w:szCs w:val="26"/>
        </w:rPr>
        <w:t xml:space="preserve">“(1) Leave to appeal may only be given where the judge or judges concerned are of the opinion that - </w:t>
      </w:r>
    </w:p>
    <w:p w14:paraId="51BABE97" w14:textId="21834C0B" w:rsidR="00795595" w:rsidRPr="00EB7A27" w:rsidRDefault="00EB7A27" w:rsidP="00EB7A27">
      <w:pPr>
        <w:spacing w:after="200" w:line="360" w:lineRule="auto"/>
        <w:ind w:left="3079" w:hanging="1050"/>
        <w:jc w:val="both"/>
        <w:rPr>
          <w:rFonts w:asciiTheme="minorHAnsi" w:hAnsiTheme="minorHAnsi" w:cstheme="minorHAnsi"/>
          <w:sz w:val="26"/>
          <w:szCs w:val="26"/>
        </w:rPr>
      </w:pPr>
      <w:r w:rsidRPr="006A31DA">
        <w:rPr>
          <w:rFonts w:asciiTheme="minorHAnsi" w:hAnsiTheme="minorHAnsi" w:cstheme="minorHAnsi"/>
          <w:sz w:val="26"/>
          <w:szCs w:val="26"/>
        </w:rPr>
        <w:t>(a)</w:t>
      </w:r>
      <w:r w:rsidRPr="006A31DA">
        <w:rPr>
          <w:rFonts w:asciiTheme="minorHAnsi" w:hAnsiTheme="minorHAnsi" w:cstheme="minorHAnsi"/>
          <w:sz w:val="26"/>
          <w:szCs w:val="26"/>
        </w:rPr>
        <w:tab/>
      </w:r>
      <w:r w:rsidR="00795595" w:rsidRPr="00EB7A27">
        <w:rPr>
          <w:rFonts w:asciiTheme="minorHAnsi" w:hAnsiTheme="minorHAnsi" w:cstheme="minorHAnsi"/>
          <w:sz w:val="26"/>
          <w:szCs w:val="26"/>
        </w:rPr>
        <w:t>(</w:t>
      </w:r>
      <w:proofErr w:type="spellStart"/>
      <w:r w:rsidR="00795595" w:rsidRPr="00EB7A27">
        <w:rPr>
          <w:rFonts w:asciiTheme="minorHAnsi" w:hAnsiTheme="minorHAnsi" w:cstheme="minorHAnsi"/>
          <w:sz w:val="26"/>
          <w:szCs w:val="26"/>
        </w:rPr>
        <w:t>i</w:t>
      </w:r>
      <w:proofErr w:type="spellEnd"/>
      <w:r w:rsidR="00795595" w:rsidRPr="00EB7A27">
        <w:rPr>
          <w:rFonts w:asciiTheme="minorHAnsi" w:hAnsiTheme="minorHAnsi" w:cstheme="minorHAnsi"/>
          <w:sz w:val="26"/>
          <w:szCs w:val="26"/>
        </w:rPr>
        <w:t xml:space="preserve">) the appeal would have a reasonable prospect of success; or </w:t>
      </w:r>
    </w:p>
    <w:p w14:paraId="042E937F" w14:textId="77777777" w:rsidR="00795595" w:rsidRPr="006A31DA" w:rsidRDefault="00795595" w:rsidP="00795595">
      <w:pPr>
        <w:pStyle w:val="ListParagraph"/>
        <w:spacing w:line="360" w:lineRule="auto"/>
        <w:ind w:left="3079"/>
        <w:jc w:val="both"/>
        <w:rPr>
          <w:rFonts w:asciiTheme="minorHAnsi" w:hAnsiTheme="minorHAnsi" w:cstheme="minorHAnsi"/>
          <w:sz w:val="26"/>
          <w:szCs w:val="26"/>
        </w:rPr>
      </w:pPr>
      <w:r w:rsidRPr="006A31DA">
        <w:rPr>
          <w:rFonts w:asciiTheme="minorHAnsi" w:hAnsiTheme="minorHAnsi" w:cstheme="minorHAnsi"/>
          <w:sz w:val="26"/>
          <w:szCs w:val="26"/>
        </w:rPr>
        <w:t xml:space="preserve">(ii) there is some other compelling reason why the appeal should be heard, including conflicting judgments on the matter under </w:t>
      </w:r>
      <w:proofErr w:type="gramStart"/>
      <w:r w:rsidRPr="006A31DA">
        <w:rPr>
          <w:rFonts w:asciiTheme="minorHAnsi" w:hAnsiTheme="minorHAnsi" w:cstheme="minorHAnsi"/>
          <w:sz w:val="26"/>
          <w:szCs w:val="26"/>
        </w:rPr>
        <w:t>consideration;</w:t>
      </w:r>
      <w:proofErr w:type="gramEnd"/>
    </w:p>
    <w:p w14:paraId="09DD21DE" w14:textId="382EAAE5" w:rsidR="00795595" w:rsidRPr="00EB7A27" w:rsidRDefault="00EB7A27" w:rsidP="00EB7A27">
      <w:pPr>
        <w:spacing w:after="200" w:line="360" w:lineRule="auto"/>
        <w:ind w:left="3079" w:hanging="1050"/>
        <w:jc w:val="both"/>
        <w:rPr>
          <w:rFonts w:asciiTheme="minorHAnsi" w:hAnsiTheme="minorHAnsi" w:cstheme="minorHAnsi"/>
          <w:sz w:val="26"/>
          <w:szCs w:val="26"/>
        </w:rPr>
      </w:pPr>
      <w:r w:rsidRPr="006A31DA">
        <w:rPr>
          <w:rFonts w:asciiTheme="minorHAnsi" w:hAnsiTheme="minorHAnsi" w:cstheme="minorHAnsi"/>
          <w:sz w:val="26"/>
          <w:szCs w:val="26"/>
        </w:rPr>
        <w:t>(b)</w:t>
      </w:r>
      <w:r w:rsidRPr="006A31DA">
        <w:rPr>
          <w:rFonts w:asciiTheme="minorHAnsi" w:hAnsiTheme="minorHAnsi" w:cstheme="minorHAnsi"/>
          <w:sz w:val="26"/>
          <w:szCs w:val="26"/>
        </w:rPr>
        <w:tab/>
      </w:r>
      <w:r w:rsidR="00795595" w:rsidRPr="00EB7A27">
        <w:rPr>
          <w:rFonts w:asciiTheme="minorHAnsi" w:hAnsiTheme="minorHAnsi" w:cstheme="minorHAnsi"/>
          <w:sz w:val="26"/>
          <w:szCs w:val="26"/>
        </w:rPr>
        <w:t>…”</w:t>
      </w:r>
    </w:p>
    <w:p w14:paraId="0368F401" w14:textId="77777777" w:rsidR="00795595" w:rsidRDefault="00795595" w:rsidP="003C4871">
      <w:pPr>
        <w:pStyle w:val="ListParagraph"/>
        <w:rPr>
          <w:rFonts w:asciiTheme="minorHAnsi" w:hAnsiTheme="minorHAnsi" w:cstheme="minorHAnsi"/>
          <w:sz w:val="26"/>
          <w:szCs w:val="26"/>
        </w:rPr>
      </w:pPr>
    </w:p>
    <w:p w14:paraId="6C65803C" w14:textId="436F2E41" w:rsidR="00254B3F" w:rsidRPr="00EB7A27" w:rsidRDefault="00EB7A27" w:rsidP="00EB7A27">
      <w:pPr>
        <w:spacing w:after="200" w:line="360" w:lineRule="auto"/>
        <w:ind w:left="851" w:hanging="851"/>
        <w:jc w:val="both"/>
        <w:rPr>
          <w:rFonts w:asciiTheme="minorHAnsi" w:hAnsiTheme="minorHAnsi" w:cstheme="minorHAnsi"/>
          <w:sz w:val="26"/>
          <w:szCs w:val="26"/>
        </w:rPr>
      </w:pPr>
      <w:r w:rsidRPr="00B15812">
        <w:rPr>
          <w:rFonts w:asciiTheme="minorHAnsi" w:hAnsiTheme="minorHAnsi"/>
          <w:sz w:val="24"/>
          <w:szCs w:val="24"/>
        </w:rPr>
        <w:t>4.</w:t>
      </w:r>
      <w:r w:rsidRPr="00B15812">
        <w:rPr>
          <w:rFonts w:asciiTheme="minorHAnsi" w:hAnsiTheme="minorHAnsi"/>
          <w:sz w:val="24"/>
          <w:szCs w:val="24"/>
        </w:rPr>
        <w:tab/>
      </w:r>
      <w:r w:rsidR="00254B3F" w:rsidRPr="00EB7A27">
        <w:rPr>
          <w:rFonts w:asciiTheme="minorHAnsi" w:hAnsiTheme="minorHAnsi" w:cstheme="minorHAnsi"/>
          <w:sz w:val="26"/>
          <w:szCs w:val="26"/>
        </w:rPr>
        <w:t>It is now settled that the threshold for the granting of leave to appeal under section 17(1)(a)(</w:t>
      </w:r>
      <w:proofErr w:type="spellStart"/>
      <w:r w:rsidR="00254B3F" w:rsidRPr="00EB7A27">
        <w:rPr>
          <w:rFonts w:asciiTheme="minorHAnsi" w:hAnsiTheme="minorHAnsi" w:cstheme="minorHAnsi"/>
          <w:sz w:val="26"/>
          <w:szCs w:val="26"/>
        </w:rPr>
        <w:t>i</w:t>
      </w:r>
      <w:proofErr w:type="spellEnd"/>
      <w:r w:rsidR="00254B3F" w:rsidRPr="00EB7A27">
        <w:rPr>
          <w:rFonts w:asciiTheme="minorHAnsi" w:hAnsiTheme="minorHAnsi" w:cstheme="minorHAnsi"/>
          <w:sz w:val="26"/>
          <w:szCs w:val="26"/>
        </w:rPr>
        <w:t xml:space="preserve">) is higher than what it was under the previous Supreme Court Act, 1959. In </w:t>
      </w:r>
      <w:proofErr w:type="spellStart"/>
      <w:r w:rsidR="00254B3F" w:rsidRPr="00EB7A27">
        <w:rPr>
          <w:rFonts w:asciiTheme="minorHAnsi" w:hAnsiTheme="minorHAnsi" w:cstheme="minorHAnsi"/>
          <w:i/>
          <w:sz w:val="26"/>
          <w:szCs w:val="26"/>
        </w:rPr>
        <w:t>Notshokovu</w:t>
      </w:r>
      <w:proofErr w:type="spellEnd"/>
      <w:r w:rsidR="00254B3F" w:rsidRPr="00EB7A27">
        <w:rPr>
          <w:rFonts w:asciiTheme="minorHAnsi" w:hAnsiTheme="minorHAnsi" w:cstheme="minorHAnsi"/>
          <w:i/>
          <w:sz w:val="26"/>
          <w:szCs w:val="26"/>
        </w:rPr>
        <w:t xml:space="preserve"> v S</w:t>
      </w:r>
      <w:r w:rsidR="00254B3F" w:rsidRPr="00EB7A27">
        <w:rPr>
          <w:rFonts w:asciiTheme="minorHAnsi" w:hAnsiTheme="minorHAnsi" w:cstheme="minorHAnsi"/>
          <w:sz w:val="26"/>
          <w:szCs w:val="26"/>
        </w:rPr>
        <w:t xml:space="preserve"> [2016] ZASCA112 (7 September 2016), par 2, the Supreme Court of Appeal</w:t>
      </w:r>
      <w:r w:rsidR="00B15812" w:rsidRPr="00EB7A27">
        <w:rPr>
          <w:rFonts w:asciiTheme="minorHAnsi" w:hAnsiTheme="minorHAnsi" w:cstheme="minorHAnsi"/>
          <w:sz w:val="26"/>
          <w:szCs w:val="26"/>
        </w:rPr>
        <w:t xml:space="preserve"> stated that an appellant ‘</w:t>
      </w:r>
      <w:r w:rsidR="00254B3F" w:rsidRPr="00EB7A27">
        <w:rPr>
          <w:rFonts w:asciiTheme="minorHAnsi" w:hAnsiTheme="minorHAnsi" w:cstheme="minorHAnsi"/>
          <w:sz w:val="26"/>
          <w:szCs w:val="26"/>
        </w:rPr>
        <w:t>faces a higher and stringent threshold, in terms of the present Superior Courts Act compared to the provisions of the repealed Supreme Court Act</w:t>
      </w:r>
      <w:r w:rsidR="00B15812" w:rsidRPr="00EB7A27">
        <w:rPr>
          <w:rFonts w:asciiTheme="minorHAnsi" w:hAnsiTheme="minorHAnsi" w:cstheme="minorHAnsi"/>
          <w:sz w:val="26"/>
          <w:szCs w:val="26"/>
        </w:rPr>
        <w:t>.’</w:t>
      </w:r>
      <w:r w:rsidR="00254B3F" w:rsidRPr="00EB7A27">
        <w:rPr>
          <w:rFonts w:asciiTheme="minorHAnsi" w:hAnsiTheme="minorHAnsi" w:cstheme="minorHAnsi"/>
          <w:sz w:val="26"/>
          <w:szCs w:val="26"/>
        </w:rPr>
        <w:t xml:space="preserve"> Similarly, in </w:t>
      </w:r>
      <w:r w:rsidR="00254B3F" w:rsidRPr="00EB7A27">
        <w:rPr>
          <w:rFonts w:asciiTheme="minorHAnsi" w:hAnsiTheme="minorHAnsi" w:cstheme="minorHAnsi"/>
          <w:i/>
          <w:sz w:val="26"/>
          <w:szCs w:val="26"/>
        </w:rPr>
        <w:t xml:space="preserve">Acting </w:t>
      </w:r>
      <w:r w:rsidR="00254B3F" w:rsidRPr="00EB7A27">
        <w:rPr>
          <w:rFonts w:asciiTheme="minorHAnsi" w:hAnsiTheme="minorHAnsi" w:cstheme="minorHAnsi"/>
          <w:i/>
          <w:sz w:val="26"/>
          <w:szCs w:val="26"/>
        </w:rPr>
        <w:lastRenderedPageBreak/>
        <w:t>National Director of Public Prosecutions and others v Democratic Alliance in re: Democratic Alliance v Acting National Director of Public Prosecutions and others</w:t>
      </w:r>
      <w:r w:rsidR="00254B3F" w:rsidRPr="00B15812">
        <w:rPr>
          <w:rStyle w:val="FootnoteReference"/>
          <w:rFonts w:asciiTheme="minorHAnsi" w:hAnsiTheme="minorHAnsi" w:cstheme="minorHAnsi"/>
          <w:sz w:val="26"/>
          <w:szCs w:val="26"/>
        </w:rPr>
        <w:footnoteReference w:id="1"/>
      </w:r>
      <w:r w:rsidR="00254B3F" w:rsidRPr="00EB7A27">
        <w:rPr>
          <w:rFonts w:asciiTheme="minorHAnsi" w:hAnsiTheme="minorHAnsi" w:cstheme="minorHAnsi"/>
          <w:sz w:val="26"/>
          <w:szCs w:val="26"/>
        </w:rPr>
        <w:t xml:space="preserve"> </w:t>
      </w:r>
      <w:r w:rsidR="00B15812" w:rsidRPr="00EB7A27">
        <w:rPr>
          <w:rFonts w:asciiTheme="minorHAnsi" w:hAnsiTheme="minorHAnsi" w:cstheme="minorHAnsi"/>
          <w:sz w:val="26"/>
          <w:szCs w:val="26"/>
        </w:rPr>
        <w:t>the</w:t>
      </w:r>
      <w:r w:rsidR="00254B3F" w:rsidRPr="00EB7A27">
        <w:rPr>
          <w:rFonts w:asciiTheme="minorHAnsi" w:hAnsiTheme="minorHAnsi" w:cstheme="minorHAnsi"/>
          <w:sz w:val="26"/>
          <w:szCs w:val="26"/>
        </w:rPr>
        <w:t xml:space="preserve"> Full Court held th</w:t>
      </w:r>
      <w:r w:rsidR="00B15812" w:rsidRPr="00EB7A27">
        <w:rPr>
          <w:rFonts w:asciiTheme="minorHAnsi" w:hAnsiTheme="minorHAnsi" w:cstheme="minorHAnsi"/>
          <w:sz w:val="26"/>
          <w:szCs w:val="26"/>
        </w:rPr>
        <w:t>at the Superior Courts Act has ‘</w:t>
      </w:r>
      <w:r w:rsidR="00254B3F" w:rsidRPr="00EB7A27">
        <w:rPr>
          <w:rFonts w:asciiTheme="minorHAnsi" w:hAnsiTheme="minorHAnsi" w:cstheme="minorHAnsi"/>
          <w:sz w:val="26"/>
          <w:szCs w:val="26"/>
        </w:rPr>
        <w:t>raised the bar for granting leave to appeal</w:t>
      </w:r>
      <w:r w:rsidR="00B15812" w:rsidRPr="00EB7A27">
        <w:rPr>
          <w:rFonts w:asciiTheme="minorHAnsi" w:hAnsiTheme="minorHAnsi" w:cstheme="minorHAnsi"/>
          <w:sz w:val="26"/>
          <w:szCs w:val="26"/>
        </w:rPr>
        <w:t>’</w:t>
      </w:r>
      <w:r w:rsidR="00254B3F" w:rsidRPr="00EB7A27">
        <w:rPr>
          <w:rFonts w:asciiTheme="minorHAnsi" w:hAnsiTheme="minorHAnsi" w:cstheme="minorHAnsi"/>
          <w:sz w:val="26"/>
          <w:szCs w:val="26"/>
        </w:rPr>
        <w:t xml:space="preserve">, referring with approval to the following passage from the judgment of Bertelsmann J in </w:t>
      </w:r>
      <w:r w:rsidR="00254B3F" w:rsidRPr="00EB7A27">
        <w:rPr>
          <w:rFonts w:asciiTheme="minorHAnsi" w:hAnsiTheme="minorHAnsi" w:cstheme="minorHAnsi"/>
          <w:i/>
          <w:sz w:val="26"/>
          <w:szCs w:val="26"/>
        </w:rPr>
        <w:t xml:space="preserve">Mont </w:t>
      </w:r>
      <w:proofErr w:type="spellStart"/>
      <w:r w:rsidR="00254B3F" w:rsidRPr="00EB7A27">
        <w:rPr>
          <w:rFonts w:asciiTheme="minorHAnsi" w:hAnsiTheme="minorHAnsi" w:cstheme="minorHAnsi"/>
          <w:i/>
          <w:sz w:val="26"/>
          <w:szCs w:val="26"/>
        </w:rPr>
        <w:t>Chevaux</w:t>
      </w:r>
      <w:proofErr w:type="spellEnd"/>
      <w:r w:rsidR="00254B3F" w:rsidRPr="00EB7A27">
        <w:rPr>
          <w:rFonts w:asciiTheme="minorHAnsi" w:hAnsiTheme="minorHAnsi" w:cstheme="minorHAnsi"/>
          <w:i/>
          <w:sz w:val="26"/>
          <w:szCs w:val="26"/>
        </w:rPr>
        <w:t xml:space="preserve"> Trust v </w:t>
      </w:r>
      <w:proofErr w:type="spellStart"/>
      <w:r w:rsidR="00254B3F" w:rsidRPr="00EB7A27">
        <w:rPr>
          <w:rFonts w:asciiTheme="minorHAnsi" w:hAnsiTheme="minorHAnsi" w:cstheme="minorHAnsi"/>
          <w:i/>
          <w:sz w:val="26"/>
          <w:szCs w:val="26"/>
        </w:rPr>
        <w:t>Goosen</w:t>
      </w:r>
      <w:proofErr w:type="spellEnd"/>
      <w:r w:rsidR="00254B3F" w:rsidRPr="00B15812">
        <w:rPr>
          <w:rStyle w:val="FootnoteReference"/>
          <w:rFonts w:asciiTheme="minorHAnsi" w:hAnsiTheme="minorHAnsi" w:cstheme="minorHAnsi"/>
          <w:sz w:val="26"/>
          <w:szCs w:val="26"/>
        </w:rPr>
        <w:footnoteReference w:id="2"/>
      </w:r>
      <w:r w:rsidR="00254B3F" w:rsidRPr="00EB7A27">
        <w:rPr>
          <w:rFonts w:asciiTheme="minorHAnsi" w:hAnsiTheme="minorHAnsi" w:cstheme="minorHAnsi"/>
          <w:sz w:val="26"/>
          <w:szCs w:val="26"/>
        </w:rPr>
        <w:t xml:space="preserve">: </w:t>
      </w:r>
    </w:p>
    <w:p w14:paraId="0CF56EA4" w14:textId="77777777" w:rsidR="00254B3F" w:rsidRPr="00B15812" w:rsidRDefault="00254B3F" w:rsidP="00B15812">
      <w:pPr>
        <w:pStyle w:val="ListParagraph"/>
        <w:spacing w:after="200" w:line="360" w:lineRule="auto"/>
        <w:ind w:left="1134"/>
        <w:jc w:val="both"/>
        <w:rPr>
          <w:rFonts w:asciiTheme="minorHAnsi" w:hAnsiTheme="minorHAnsi" w:cstheme="minorHAnsi"/>
          <w:sz w:val="22"/>
          <w:szCs w:val="22"/>
        </w:rPr>
      </w:pPr>
      <w:r w:rsidRPr="00B15812">
        <w:rPr>
          <w:rFonts w:asciiTheme="minorHAnsi" w:hAnsiTheme="minorHAnsi" w:cstheme="minorHAnsi"/>
          <w:sz w:val="22"/>
          <w:szCs w:val="22"/>
        </w:rPr>
        <w:t>“</w:t>
      </w:r>
      <w:proofErr w:type="gramStart"/>
      <w:r w:rsidRPr="00B15812">
        <w:rPr>
          <w:rFonts w:asciiTheme="minorHAnsi" w:hAnsiTheme="minorHAnsi" w:cstheme="minorHAnsi"/>
          <w:sz w:val="22"/>
          <w:szCs w:val="22"/>
        </w:rPr>
        <w:t>It is clear that the</w:t>
      </w:r>
      <w:proofErr w:type="gramEnd"/>
      <w:r w:rsidRPr="00B15812">
        <w:rPr>
          <w:rFonts w:asciiTheme="minorHAnsi" w:hAnsiTheme="minorHAnsi" w:cstheme="minorHAnsi"/>
          <w:sz w:val="22"/>
          <w:szCs w:val="22"/>
        </w:rPr>
        <w:t xml:space="preserve"> threshold for granting leave to appeal against the judgment of a High Court has been raised in the new Act. The former test whether leave to appeal should be granted was a reasonable prospect that another court might come to a different conclusion, see Van Heerden v </w:t>
      </w:r>
      <w:proofErr w:type="spellStart"/>
      <w:r w:rsidRPr="00B15812">
        <w:rPr>
          <w:rFonts w:asciiTheme="minorHAnsi" w:hAnsiTheme="minorHAnsi" w:cstheme="minorHAnsi"/>
          <w:sz w:val="22"/>
          <w:szCs w:val="22"/>
        </w:rPr>
        <w:t>Cronwright</w:t>
      </w:r>
      <w:proofErr w:type="spellEnd"/>
      <w:r w:rsidRPr="00B15812">
        <w:rPr>
          <w:rFonts w:asciiTheme="minorHAnsi" w:hAnsiTheme="minorHAnsi" w:cstheme="minorHAnsi"/>
          <w:sz w:val="22"/>
          <w:szCs w:val="22"/>
        </w:rPr>
        <w:t xml:space="preserve"> and others 1985 (2) SA 342 (T) at 343H. The use of the word ‘would’ in the new statute indicates a measure of certainty that another court will differ from the court whose judgment is sought to be appealed against.”</w:t>
      </w:r>
    </w:p>
    <w:p w14:paraId="3EA25255" w14:textId="77777777" w:rsidR="00254B3F" w:rsidRPr="00B15812" w:rsidRDefault="00254B3F" w:rsidP="003C4871">
      <w:pPr>
        <w:pStyle w:val="ListParagraph"/>
        <w:rPr>
          <w:rFonts w:asciiTheme="minorHAnsi" w:hAnsiTheme="minorHAnsi" w:cstheme="minorHAnsi"/>
          <w:sz w:val="26"/>
          <w:szCs w:val="26"/>
        </w:rPr>
      </w:pPr>
    </w:p>
    <w:p w14:paraId="743D6F07" w14:textId="17060C00" w:rsidR="00BF35E9" w:rsidRPr="00EB7A27" w:rsidRDefault="00EB7A27" w:rsidP="00EB7A2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w:t>
      </w:r>
      <w:r>
        <w:rPr>
          <w:rFonts w:asciiTheme="minorHAnsi" w:hAnsiTheme="minorHAnsi"/>
          <w:sz w:val="24"/>
          <w:szCs w:val="24"/>
        </w:rPr>
        <w:tab/>
      </w:r>
      <w:r w:rsidR="006D0313" w:rsidRPr="00EB7A27">
        <w:rPr>
          <w:rFonts w:asciiTheme="minorHAnsi" w:hAnsiTheme="minorHAnsi" w:cstheme="minorHAnsi"/>
          <w:sz w:val="26"/>
          <w:szCs w:val="26"/>
        </w:rPr>
        <w:t>For purposes of this judgment, only the main points canvassed during oral argument at the hearing of the matter</w:t>
      </w:r>
      <w:r w:rsidR="000574D5" w:rsidRPr="00EB7A27">
        <w:rPr>
          <w:rFonts w:asciiTheme="minorHAnsi" w:hAnsiTheme="minorHAnsi" w:cstheme="minorHAnsi"/>
          <w:sz w:val="26"/>
          <w:szCs w:val="26"/>
        </w:rPr>
        <w:t>,</w:t>
      </w:r>
      <w:r w:rsidR="006D0313" w:rsidRPr="00EB7A27">
        <w:rPr>
          <w:rFonts w:asciiTheme="minorHAnsi" w:hAnsiTheme="minorHAnsi" w:cstheme="minorHAnsi"/>
          <w:sz w:val="26"/>
          <w:szCs w:val="26"/>
        </w:rPr>
        <w:t xml:space="preserve"> </w:t>
      </w:r>
      <w:r w:rsidR="00523C20" w:rsidRPr="00EB7A27">
        <w:rPr>
          <w:rFonts w:asciiTheme="minorHAnsi" w:hAnsiTheme="minorHAnsi" w:cstheme="minorHAnsi"/>
          <w:sz w:val="26"/>
          <w:szCs w:val="26"/>
        </w:rPr>
        <w:t>need be</w:t>
      </w:r>
      <w:r w:rsidR="006D0313" w:rsidRPr="00EB7A27">
        <w:rPr>
          <w:rFonts w:asciiTheme="minorHAnsi" w:hAnsiTheme="minorHAnsi" w:cstheme="minorHAnsi"/>
          <w:sz w:val="26"/>
          <w:szCs w:val="26"/>
        </w:rPr>
        <w:t xml:space="preserve"> </w:t>
      </w:r>
      <w:r w:rsidR="000574D5" w:rsidRPr="00EB7A27">
        <w:rPr>
          <w:rFonts w:asciiTheme="minorHAnsi" w:hAnsiTheme="minorHAnsi" w:cstheme="minorHAnsi"/>
          <w:sz w:val="26"/>
          <w:szCs w:val="26"/>
        </w:rPr>
        <w:t>addressed</w:t>
      </w:r>
      <w:r w:rsidR="006D0313" w:rsidRPr="00EB7A27">
        <w:rPr>
          <w:rFonts w:asciiTheme="minorHAnsi" w:hAnsiTheme="minorHAnsi" w:cstheme="minorHAnsi"/>
          <w:sz w:val="26"/>
          <w:szCs w:val="26"/>
        </w:rPr>
        <w:t>. These include that:</w:t>
      </w:r>
    </w:p>
    <w:p w14:paraId="73D94BD0" w14:textId="14DBA304" w:rsidR="0037058E" w:rsidRPr="00EB7A27" w:rsidRDefault="00EB7A27" w:rsidP="00EB7A2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5.1.</w:t>
      </w:r>
      <w:r>
        <w:rPr>
          <w:rFonts w:asciiTheme="minorHAnsi" w:hAnsiTheme="minorHAnsi"/>
          <w:sz w:val="24"/>
          <w:szCs w:val="24"/>
        </w:rPr>
        <w:tab/>
      </w:r>
      <w:r w:rsidR="00523C20" w:rsidRPr="00EB7A27">
        <w:rPr>
          <w:rFonts w:asciiTheme="minorHAnsi" w:hAnsiTheme="minorHAnsi" w:cstheme="minorHAnsi"/>
          <w:sz w:val="26"/>
          <w:szCs w:val="26"/>
        </w:rPr>
        <w:t xml:space="preserve">The amount awarded against the sureties is </w:t>
      </w:r>
      <w:r w:rsidR="000574D5" w:rsidRPr="00EB7A27">
        <w:rPr>
          <w:rFonts w:asciiTheme="minorHAnsi" w:hAnsiTheme="minorHAnsi" w:cstheme="minorHAnsi"/>
          <w:sz w:val="26"/>
          <w:szCs w:val="26"/>
        </w:rPr>
        <w:t xml:space="preserve">profoundly </w:t>
      </w:r>
      <w:r w:rsidR="00523C20" w:rsidRPr="00EB7A27">
        <w:rPr>
          <w:rFonts w:asciiTheme="minorHAnsi" w:hAnsiTheme="minorHAnsi" w:cstheme="minorHAnsi"/>
          <w:sz w:val="26"/>
          <w:szCs w:val="26"/>
        </w:rPr>
        <w:t>‘staggering’</w:t>
      </w:r>
      <w:r w:rsidR="000574D5" w:rsidRPr="00EB7A27">
        <w:rPr>
          <w:rFonts w:asciiTheme="minorHAnsi" w:hAnsiTheme="minorHAnsi" w:cstheme="minorHAnsi"/>
          <w:sz w:val="26"/>
          <w:szCs w:val="26"/>
        </w:rPr>
        <w:t xml:space="preserve">, with the implication </w:t>
      </w:r>
      <w:r w:rsidR="00377967" w:rsidRPr="00EB7A27">
        <w:rPr>
          <w:rFonts w:asciiTheme="minorHAnsi" w:hAnsiTheme="minorHAnsi" w:cstheme="minorHAnsi"/>
          <w:sz w:val="26"/>
          <w:szCs w:val="26"/>
        </w:rPr>
        <w:t xml:space="preserve">being </w:t>
      </w:r>
      <w:r w:rsidR="000574D5" w:rsidRPr="00EB7A27">
        <w:rPr>
          <w:rFonts w:asciiTheme="minorHAnsi" w:hAnsiTheme="minorHAnsi" w:cstheme="minorHAnsi"/>
          <w:sz w:val="26"/>
          <w:szCs w:val="26"/>
        </w:rPr>
        <w:t xml:space="preserve">that the judgment ought for such reason alone to be scrutinized by a superior </w:t>
      </w:r>
      <w:proofErr w:type="gramStart"/>
      <w:r w:rsidR="000574D5" w:rsidRPr="00EB7A27">
        <w:rPr>
          <w:rFonts w:asciiTheme="minorHAnsi" w:hAnsiTheme="minorHAnsi" w:cstheme="minorHAnsi"/>
          <w:sz w:val="26"/>
          <w:szCs w:val="26"/>
        </w:rPr>
        <w:t>court</w:t>
      </w:r>
      <w:r w:rsidR="00523C20" w:rsidRPr="00EB7A27">
        <w:rPr>
          <w:rFonts w:asciiTheme="minorHAnsi" w:hAnsiTheme="minorHAnsi" w:cstheme="minorHAnsi"/>
          <w:sz w:val="26"/>
          <w:szCs w:val="26"/>
        </w:rPr>
        <w:t>;</w:t>
      </w:r>
      <w:proofErr w:type="gramEnd"/>
      <w:r w:rsidR="005457DB" w:rsidRPr="00EB7A27">
        <w:rPr>
          <w:rFonts w:asciiTheme="minorHAnsi" w:hAnsiTheme="minorHAnsi" w:cstheme="minorHAnsi"/>
          <w:sz w:val="26"/>
          <w:szCs w:val="26"/>
        </w:rPr>
        <w:t xml:space="preserve"> </w:t>
      </w:r>
    </w:p>
    <w:p w14:paraId="723E5688" w14:textId="77777777" w:rsidR="0037058E" w:rsidRDefault="0037058E" w:rsidP="0037058E">
      <w:pPr>
        <w:pStyle w:val="ListParagraph"/>
        <w:spacing w:after="200" w:line="360" w:lineRule="auto"/>
        <w:ind w:left="1702"/>
        <w:jc w:val="both"/>
        <w:rPr>
          <w:rFonts w:asciiTheme="minorHAnsi" w:hAnsiTheme="minorHAnsi" w:cstheme="minorHAnsi"/>
          <w:sz w:val="26"/>
          <w:szCs w:val="26"/>
        </w:rPr>
      </w:pPr>
    </w:p>
    <w:p w14:paraId="5C8A95DE" w14:textId="77777777" w:rsidR="006D0313" w:rsidRDefault="005457DB" w:rsidP="0037058E">
      <w:pPr>
        <w:pStyle w:val="ListParagraph"/>
        <w:spacing w:after="200" w:line="360" w:lineRule="auto"/>
        <w:ind w:left="1702"/>
        <w:jc w:val="both"/>
        <w:rPr>
          <w:rFonts w:asciiTheme="minorHAnsi" w:hAnsiTheme="minorHAnsi" w:cstheme="minorHAnsi"/>
          <w:sz w:val="26"/>
          <w:szCs w:val="26"/>
        </w:rPr>
      </w:pPr>
      <w:r>
        <w:rPr>
          <w:rFonts w:asciiTheme="minorHAnsi" w:hAnsiTheme="minorHAnsi" w:cstheme="minorHAnsi"/>
          <w:sz w:val="26"/>
          <w:szCs w:val="26"/>
        </w:rPr>
        <w:t>(As regards this submission,</w:t>
      </w:r>
      <w:r w:rsidR="00872D45">
        <w:rPr>
          <w:rFonts w:asciiTheme="minorHAnsi" w:hAnsiTheme="minorHAnsi" w:cstheme="minorHAnsi"/>
          <w:sz w:val="26"/>
          <w:szCs w:val="26"/>
        </w:rPr>
        <w:t xml:space="preserve"> which is rather incredulous, t</w:t>
      </w:r>
      <w:r>
        <w:rPr>
          <w:rFonts w:asciiTheme="minorHAnsi" w:hAnsiTheme="minorHAnsi" w:cstheme="minorHAnsi"/>
          <w:sz w:val="26"/>
          <w:szCs w:val="26"/>
        </w:rPr>
        <w:t xml:space="preserve">he reality is that many judgments have </w:t>
      </w:r>
      <w:r w:rsidRPr="005457DB">
        <w:rPr>
          <w:rFonts w:asciiTheme="minorHAnsi" w:hAnsiTheme="minorHAnsi" w:cstheme="minorHAnsi"/>
          <w:sz w:val="26"/>
          <w:szCs w:val="26"/>
        </w:rPr>
        <w:t>far reaching consequences for one or another litigant. The sureties willingly bound themselves to contractual liability for R1 million</w:t>
      </w:r>
      <w:r w:rsidR="00872D45">
        <w:rPr>
          <w:rFonts w:asciiTheme="minorHAnsi" w:hAnsiTheme="minorHAnsi" w:cstheme="minorHAnsi"/>
          <w:sz w:val="26"/>
          <w:szCs w:val="26"/>
        </w:rPr>
        <w:t xml:space="preserve"> on the terms set out in the suretyships</w:t>
      </w:r>
      <w:r w:rsidRPr="005457DB">
        <w:rPr>
          <w:rFonts w:asciiTheme="minorHAnsi" w:hAnsiTheme="minorHAnsi" w:cstheme="minorHAnsi"/>
          <w:sz w:val="26"/>
          <w:szCs w:val="26"/>
        </w:rPr>
        <w:t xml:space="preserve"> and bore the risk, as any other litigant, that t</w:t>
      </w:r>
      <w:r w:rsidR="0037058E">
        <w:rPr>
          <w:rFonts w:asciiTheme="minorHAnsi" w:hAnsiTheme="minorHAnsi" w:cstheme="minorHAnsi"/>
          <w:sz w:val="26"/>
          <w:szCs w:val="26"/>
        </w:rPr>
        <w:t>heir defences may not be upheld</w:t>
      </w:r>
      <w:r w:rsidR="00872D45">
        <w:rPr>
          <w:rFonts w:asciiTheme="minorHAnsi" w:hAnsiTheme="minorHAnsi" w:cstheme="minorHAnsi"/>
          <w:sz w:val="26"/>
          <w:szCs w:val="26"/>
        </w:rPr>
        <w:t>)</w:t>
      </w:r>
      <w:r w:rsidR="0037058E">
        <w:rPr>
          <w:rFonts w:asciiTheme="minorHAnsi" w:hAnsiTheme="minorHAnsi" w:cstheme="minorHAnsi"/>
          <w:sz w:val="26"/>
          <w:szCs w:val="26"/>
        </w:rPr>
        <w:t>.</w:t>
      </w:r>
    </w:p>
    <w:p w14:paraId="4BA4463B" w14:textId="77777777" w:rsidR="0037058E" w:rsidRDefault="0037058E" w:rsidP="0037058E">
      <w:pPr>
        <w:pStyle w:val="ListParagraph"/>
        <w:spacing w:after="200" w:line="360" w:lineRule="auto"/>
        <w:ind w:left="1702"/>
        <w:jc w:val="both"/>
        <w:rPr>
          <w:rFonts w:asciiTheme="minorHAnsi" w:hAnsiTheme="minorHAnsi" w:cstheme="minorHAnsi"/>
          <w:sz w:val="26"/>
          <w:szCs w:val="26"/>
        </w:rPr>
      </w:pPr>
    </w:p>
    <w:p w14:paraId="78272471" w14:textId="33808AE9" w:rsidR="001C1655" w:rsidRPr="00EB7A27" w:rsidRDefault="00EB7A27" w:rsidP="00EB7A2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5.2.</w:t>
      </w:r>
      <w:r>
        <w:rPr>
          <w:rFonts w:asciiTheme="minorHAnsi" w:hAnsiTheme="minorHAnsi"/>
          <w:sz w:val="24"/>
          <w:szCs w:val="24"/>
        </w:rPr>
        <w:tab/>
      </w:r>
      <w:r w:rsidR="00523C20" w:rsidRPr="00EB7A27">
        <w:rPr>
          <w:rFonts w:asciiTheme="minorHAnsi" w:hAnsiTheme="minorHAnsi" w:cstheme="minorHAnsi"/>
          <w:sz w:val="26"/>
          <w:szCs w:val="26"/>
        </w:rPr>
        <w:t xml:space="preserve">The founding affidavit lacked necessary averments and </w:t>
      </w:r>
      <w:r w:rsidR="000574D5" w:rsidRPr="00EB7A27">
        <w:rPr>
          <w:rFonts w:asciiTheme="minorHAnsi" w:hAnsiTheme="minorHAnsi" w:cstheme="minorHAnsi"/>
          <w:sz w:val="26"/>
          <w:szCs w:val="26"/>
        </w:rPr>
        <w:t xml:space="preserve">factual </w:t>
      </w:r>
      <w:r w:rsidR="00523C20" w:rsidRPr="00EB7A27">
        <w:rPr>
          <w:rFonts w:asciiTheme="minorHAnsi" w:hAnsiTheme="minorHAnsi" w:cstheme="minorHAnsi"/>
          <w:sz w:val="26"/>
          <w:szCs w:val="26"/>
        </w:rPr>
        <w:t xml:space="preserve">evidence to underpin or support the judgment and order and </w:t>
      </w:r>
      <w:r w:rsidR="00377967" w:rsidRPr="00EB7A27">
        <w:rPr>
          <w:rFonts w:asciiTheme="minorHAnsi" w:hAnsiTheme="minorHAnsi" w:cstheme="minorHAnsi"/>
          <w:sz w:val="26"/>
          <w:szCs w:val="26"/>
        </w:rPr>
        <w:t xml:space="preserve">any </w:t>
      </w:r>
      <w:r w:rsidR="00523C20" w:rsidRPr="00EB7A27">
        <w:rPr>
          <w:rFonts w:asciiTheme="minorHAnsi" w:hAnsiTheme="minorHAnsi" w:cstheme="minorHAnsi"/>
          <w:sz w:val="26"/>
          <w:szCs w:val="26"/>
        </w:rPr>
        <w:lastRenderedPageBreak/>
        <w:t xml:space="preserve">failure by the sureties to object thereto </w:t>
      </w:r>
      <w:r w:rsidR="000574D5" w:rsidRPr="00EB7A27">
        <w:rPr>
          <w:rFonts w:asciiTheme="minorHAnsi" w:hAnsiTheme="minorHAnsi" w:cstheme="minorHAnsi"/>
          <w:sz w:val="26"/>
          <w:szCs w:val="26"/>
        </w:rPr>
        <w:t xml:space="preserve">in the answering affidavit </w:t>
      </w:r>
      <w:r w:rsidR="00523C20" w:rsidRPr="00EB7A27">
        <w:rPr>
          <w:rFonts w:asciiTheme="minorHAnsi" w:hAnsiTheme="minorHAnsi" w:cstheme="minorHAnsi"/>
          <w:sz w:val="26"/>
          <w:szCs w:val="26"/>
        </w:rPr>
        <w:t>could not cure such ‘fatal defect’</w:t>
      </w:r>
      <w:r w:rsidR="000574D5" w:rsidRPr="00EB7A27">
        <w:rPr>
          <w:rFonts w:asciiTheme="minorHAnsi" w:hAnsiTheme="minorHAnsi" w:cstheme="minorHAnsi"/>
          <w:sz w:val="26"/>
          <w:szCs w:val="26"/>
        </w:rPr>
        <w:t xml:space="preserve">, therefore the court </w:t>
      </w:r>
      <w:r w:rsidR="00377967" w:rsidRPr="00EB7A27">
        <w:rPr>
          <w:rFonts w:asciiTheme="minorHAnsi" w:hAnsiTheme="minorHAnsi" w:cstheme="minorHAnsi"/>
          <w:i/>
          <w:sz w:val="26"/>
          <w:szCs w:val="26"/>
        </w:rPr>
        <w:t xml:space="preserve">a quo </w:t>
      </w:r>
      <w:r w:rsidR="000574D5" w:rsidRPr="00EB7A27">
        <w:rPr>
          <w:rFonts w:asciiTheme="minorHAnsi" w:hAnsiTheme="minorHAnsi" w:cstheme="minorHAnsi"/>
          <w:sz w:val="26"/>
          <w:szCs w:val="26"/>
        </w:rPr>
        <w:t xml:space="preserve">erred in failing to find that a cause of action had not been made out </w:t>
      </w:r>
      <w:r w:rsidR="00377967" w:rsidRPr="00EB7A27">
        <w:rPr>
          <w:rFonts w:asciiTheme="minorHAnsi" w:hAnsiTheme="minorHAnsi" w:cstheme="minorHAnsi"/>
          <w:sz w:val="26"/>
          <w:szCs w:val="26"/>
        </w:rPr>
        <w:t xml:space="preserve">by VBS in its founding papers </w:t>
      </w:r>
      <w:r w:rsidR="000574D5" w:rsidRPr="00EB7A27">
        <w:rPr>
          <w:rFonts w:asciiTheme="minorHAnsi" w:hAnsiTheme="minorHAnsi" w:cstheme="minorHAnsi"/>
          <w:sz w:val="26"/>
          <w:szCs w:val="26"/>
        </w:rPr>
        <w:t>for the relief sought</w:t>
      </w:r>
      <w:r w:rsidR="00377967" w:rsidRPr="00EB7A27">
        <w:rPr>
          <w:rFonts w:asciiTheme="minorHAnsi" w:hAnsiTheme="minorHAnsi" w:cstheme="minorHAnsi"/>
          <w:sz w:val="26"/>
          <w:szCs w:val="26"/>
        </w:rPr>
        <w:t xml:space="preserve"> and </w:t>
      </w:r>
      <w:proofErr w:type="gramStart"/>
      <w:r w:rsidR="00377967" w:rsidRPr="00EB7A27">
        <w:rPr>
          <w:rFonts w:asciiTheme="minorHAnsi" w:hAnsiTheme="minorHAnsi" w:cstheme="minorHAnsi"/>
          <w:sz w:val="26"/>
          <w:szCs w:val="26"/>
        </w:rPr>
        <w:t>granted</w:t>
      </w:r>
      <w:r w:rsidR="00523C20" w:rsidRPr="00EB7A27">
        <w:rPr>
          <w:rFonts w:asciiTheme="minorHAnsi" w:hAnsiTheme="minorHAnsi" w:cstheme="minorHAnsi"/>
          <w:sz w:val="26"/>
          <w:szCs w:val="26"/>
        </w:rPr>
        <w:t>;</w:t>
      </w:r>
      <w:proofErr w:type="gramEnd"/>
      <w:r w:rsidR="00872D45" w:rsidRPr="00EB7A27">
        <w:rPr>
          <w:rFonts w:asciiTheme="minorHAnsi" w:hAnsiTheme="minorHAnsi" w:cstheme="minorHAnsi"/>
          <w:sz w:val="26"/>
          <w:szCs w:val="26"/>
        </w:rPr>
        <w:t xml:space="preserve"> </w:t>
      </w:r>
    </w:p>
    <w:p w14:paraId="10ADE92E" w14:textId="77777777" w:rsidR="001C1655" w:rsidRDefault="001C1655" w:rsidP="001C1655">
      <w:pPr>
        <w:pStyle w:val="ListParagraph"/>
        <w:spacing w:after="200" w:line="360" w:lineRule="auto"/>
        <w:ind w:left="1702"/>
        <w:jc w:val="both"/>
        <w:rPr>
          <w:rFonts w:asciiTheme="minorHAnsi" w:hAnsiTheme="minorHAnsi" w:cstheme="minorHAnsi"/>
          <w:sz w:val="26"/>
          <w:szCs w:val="26"/>
        </w:rPr>
      </w:pPr>
    </w:p>
    <w:p w14:paraId="7AD7535D" w14:textId="77777777" w:rsidR="001C1655" w:rsidRDefault="00872D45" w:rsidP="001C1655">
      <w:pPr>
        <w:pStyle w:val="ListParagraph"/>
        <w:spacing w:after="200" w:line="360" w:lineRule="auto"/>
        <w:ind w:left="1702"/>
        <w:jc w:val="both"/>
        <w:rPr>
          <w:rFonts w:asciiTheme="minorHAnsi" w:hAnsiTheme="minorHAnsi" w:cstheme="minorHAnsi"/>
          <w:sz w:val="26"/>
          <w:szCs w:val="26"/>
        </w:rPr>
      </w:pPr>
      <w:r>
        <w:rPr>
          <w:rFonts w:asciiTheme="minorHAnsi" w:hAnsiTheme="minorHAnsi" w:cstheme="minorHAnsi"/>
          <w:sz w:val="26"/>
          <w:szCs w:val="26"/>
        </w:rPr>
        <w:t>(</w:t>
      </w:r>
      <w:r w:rsidR="001C1655">
        <w:rPr>
          <w:rFonts w:asciiTheme="minorHAnsi" w:hAnsiTheme="minorHAnsi" w:cstheme="minorHAnsi"/>
          <w:sz w:val="26"/>
          <w:szCs w:val="26"/>
        </w:rPr>
        <w:t>T</w:t>
      </w:r>
      <w:r>
        <w:rPr>
          <w:rFonts w:asciiTheme="minorHAnsi" w:hAnsiTheme="minorHAnsi" w:cstheme="minorHAnsi"/>
          <w:sz w:val="26"/>
          <w:szCs w:val="26"/>
        </w:rPr>
        <w:t>his complaint was considered and dealt with in paragraphs 61 and 65 to 68 of the main judgment)</w:t>
      </w:r>
      <w:r w:rsidR="00286979">
        <w:rPr>
          <w:rFonts w:asciiTheme="minorHAnsi" w:hAnsiTheme="minorHAnsi" w:cstheme="minorHAnsi"/>
          <w:sz w:val="26"/>
          <w:szCs w:val="26"/>
        </w:rPr>
        <w:t>.</w:t>
      </w:r>
    </w:p>
    <w:p w14:paraId="31A605D5" w14:textId="77777777" w:rsidR="00523C20" w:rsidRDefault="00523C20" w:rsidP="001C1655">
      <w:pPr>
        <w:pStyle w:val="ListParagraph"/>
        <w:spacing w:after="200" w:line="360" w:lineRule="auto"/>
        <w:ind w:left="1702"/>
        <w:jc w:val="both"/>
        <w:rPr>
          <w:rFonts w:asciiTheme="minorHAnsi" w:hAnsiTheme="minorHAnsi" w:cstheme="minorHAnsi"/>
          <w:sz w:val="26"/>
          <w:szCs w:val="26"/>
        </w:rPr>
      </w:pPr>
    </w:p>
    <w:p w14:paraId="493A7759" w14:textId="1ABEBF84" w:rsidR="001C1655" w:rsidRPr="00EB7A27" w:rsidRDefault="00EB7A27" w:rsidP="00EB7A2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5.3.</w:t>
      </w:r>
      <w:r>
        <w:rPr>
          <w:rFonts w:asciiTheme="minorHAnsi" w:hAnsiTheme="minorHAnsi"/>
          <w:sz w:val="24"/>
          <w:szCs w:val="24"/>
        </w:rPr>
        <w:tab/>
      </w:r>
      <w:r w:rsidR="00523C20" w:rsidRPr="00EB7A27">
        <w:rPr>
          <w:rFonts w:asciiTheme="minorHAnsi" w:hAnsiTheme="minorHAnsi" w:cstheme="minorHAnsi"/>
          <w:sz w:val="26"/>
          <w:szCs w:val="26"/>
        </w:rPr>
        <w:t>The court</w:t>
      </w:r>
      <w:r w:rsidR="00377967" w:rsidRPr="00EB7A27">
        <w:rPr>
          <w:rFonts w:asciiTheme="minorHAnsi" w:hAnsiTheme="minorHAnsi" w:cstheme="minorHAnsi"/>
          <w:sz w:val="26"/>
          <w:szCs w:val="26"/>
        </w:rPr>
        <w:t xml:space="preserve"> </w:t>
      </w:r>
      <w:r w:rsidR="00377967" w:rsidRPr="00EB7A27">
        <w:rPr>
          <w:rFonts w:asciiTheme="minorHAnsi" w:hAnsiTheme="minorHAnsi" w:cstheme="minorHAnsi"/>
          <w:i/>
          <w:sz w:val="26"/>
          <w:szCs w:val="26"/>
        </w:rPr>
        <w:t>a quo</w:t>
      </w:r>
      <w:r w:rsidR="00523C20" w:rsidRPr="00EB7A27">
        <w:rPr>
          <w:rFonts w:asciiTheme="minorHAnsi" w:hAnsiTheme="minorHAnsi" w:cstheme="minorHAnsi"/>
          <w:sz w:val="26"/>
          <w:szCs w:val="26"/>
        </w:rPr>
        <w:t xml:space="preserve"> erred in </w:t>
      </w:r>
      <w:r w:rsidR="000574D5" w:rsidRPr="00EB7A27">
        <w:rPr>
          <w:rFonts w:asciiTheme="minorHAnsi" w:hAnsiTheme="minorHAnsi" w:cstheme="minorHAnsi"/>
          <w:sz w:val="26"/>
          <w:szCs w:val="26"/>
        </w:rPr>
        <w:t>taking account of</w:t>
      </w:r>
      <w:r w:rsidR="00523C20" w:rsidRPr="00EB7A27">
        <w:rPr>
          <w:rFonts w:asciiTheme="minorHAnsi" w:hAnsiTheme="minorHAnsi" w:cstheme="minorHAnsi"/>
          <w:sz w:val="26"/>
          <w:szCs w:val="26"/>
        </w:rPr>
        <w:t xml:space="preserve"> new matter </w:t>
      </w:r>
      <w:r w:rsidR="000574D5" w:rsidRPr="00EB7A27">
        <w:rPr>
          <w:rFonts w:asciiTheme="minorHAnsi" w:hAnsiTheme="minorHAnsi" w:cstheme="minorHAnsi"/>
          <w:sz w:val="26"/>
          <w:szCs w:val="26"/>
        </w:rPr>
        <w:t xml:space="preserve">raised </w:t>
      </w:r>
      <w:r w:rsidR="00523C20" w:rsidRPr="00EB7A27">
        <w:rPr>
          <w:rFonts w:asciiTheme="minorHAnsi" w:hAnsiTheme="minorHAnsi" w:cstheme="minorHAnsi"/>
          <w:sz w:val="26"/>
          <w:szCs w:val="26"/>
        </w:rPr>
        <w:t xml:space="preserve">in the replying affidavit, thereby </w:t>
      </w:r>
      <w:r w:rsidR="000574D5" w:rsidRPr="00EB7A27">
        <w:rPr>
          <w:rFonts w:asciiTheme="minorHAnsi" w:hAnsiTheme="minorHAnsi" w:cstheme="minorHAnsi"/>
          <w:sz w:val="26"/>
          <w:szCs w:val="26"/>
        </w:rPr>
        <w:t xml:space="preserve">erring in failing to ignore such matter </w:t>
      </w:r>
      <w:r w:rsidR="00377967" w:rsidRPr="00EB7A27">
        <w:rPr>
          <w:rFonts w:asciiTheme="minorHAnsi" w:hAnsiTheme="minorHAnsi" w:cstheme="minorHAnsi"/>
          <w:sz w:val="26"/>
          <w:szCs w:val="26"/>
        </w:rPr>
        <w:t xml:space="preserve">and in granting condonation for the late filing of the replying affidavit </w:t>
      </w:r>
      <w:r w:rsidR="000574D5" w:rsidRPr="00EB7A27">
        <w:rPr>
          <w:rFonts w:asciiTheme="minorHAnsi" w:hAnsiTheme="minorHAnsi" w:cstheme="minorHAnsi"/>
          <w:sz w:val="26"/>
          <w:szCs w:val="26"/>
        </w:rPr>
        <w:t xml:space="preserve">in circumstances where the sureties were not afforded an opportunity to deal therewith and were thereby deprived of their right to </w:t>
      </w:r>
      <w:proofErr w:type="spellStart"/>
      <w:r w:rsidR="0014697D" w:rsidRPr="00EB7A27">
        <w:rPr>
          <w:rFonts w:asciiTheme="minorHAnsi" w:hAnsiTheme="minorHAnsi" w:cstheme="minorHAnsi"/>
          <w:i/>
          <w:sz w:val="26"/>
          <w:szCs w:val="26"/>
        </w:rPr>
        <w:t>audi</w:t>
      </w:r>
      <w:proofErr w:type="spellEnd"/>
      <w:r w:rsidR="0014697D" w:rsidRPr="00EB7A27">
        <w:rPr>
          <w:rFonts w:asciiTheme="minorHAnsi" w:hAnsiTheme="minorHAnsi" w:cstheme="minorHAnsi"/>
          <w:i/>
          <w:sz w:val="26"/>
          <w:szCs w:val="26"/>
        </w:rPr>
        <w:t xml:space="preserve"> altera</w:t>
      </w:r>
      <w:r w:rsidR="000574D5" w:rsidRPr="00EB7A27">
        <w:rPr>
          <w:rFonts w:asciiTheme="minorHAnsi" w:hAnsiTheme="minorHAnsi" w:cstheme="minorHAnsi"/>
          <w:i/>
          <w:sz w:val="26"/>
          <w:szCs w:val="26"/>
        </w:rPr>
        <w:t xml:space="preserve">m </w:t>
      </w:r>
      <w:proofErr w:type="gramStart"/>
      <w:r w:rsidR="000574D5" w:rsidRPr="00EB7A27">
        <w:rPr>
          <w:rFonts w:asciiTheme="minorHAnsi" w:hAnsiTheme="minorHAnsi" w:cstheme="minorHAnsi"/>
          <w:i/>
          <w:sz w:val="26"/>
          <w:szCs w:val="26"/>
        </w:rPr>
        <w:t>partem</w:t>
      </w:r>
      <w:r w:rsidR="001C1655" w:rsidRPr="00EB7A27">
        <w:rPr>
          <w:rFonts w:asciiTheme="minorHAnsi" w:hAnsiTheme="minorHAnsi" w:cstheme="minorHAnsi"/>
          <w:i/>
          <w:sz w:val="26"/>
          <w:szCs w:val="26"/>
        </w:rPr>
        <w:t>;</w:t>
      </w:r>
      <w:proofErr w:type="gramEnd"/>
      <w:r w:rsidR="00377967" w:rsidRPr="00EB7A27">
        <w:rPr>
          <w:rFonts w:asciiTheme="minorHAnsi" w:hAnsiTheme="minorHAnsi" w:cstheme="minorHAnsi"/>
          <w:sz w:val="26"/>
          <w:szCs w:val="26"/>
        </w:rPr>
        <w:t xml:space="preserve"> </w:t>
      </w:r>
    </w:p>
    <w:p w14:paraId="6301694C" w14:textId="77777777" w:rsidR="001C1655" w:rsidRDefault="001C1655" w:rsidP="001C1655">
      <w:pPr>
        <w:pStyle w:val="ListParagraph"/>
        <w:spacing w:after="200" w:line="360" w:lineRule="auto"/>
        <w:ind w:left="1702"/>
        <w:jc w:val="both"/>
        <w:rPr>
          <w:rFonts w:asciiTheme="minorHAnsi" w:hAnsiTheme="minorHAnsi" w:cstheme="minorHAnsi"/>
          <w:sz w:val="26"/>
          <w:szCs w:val="26"/>
        </w:rPr>
      </w:pPr>
    </w:p>
    <w:p w14:paraId="48316BE4" w14:textId="77777777" w:rsidR="001C1655" w:rsidRDefault="001C1655" w:rsidP="001C1655">
      <w:pPr>
        <w:pStyle w:val="ListParagraph"/>
        <w:spacing w:after="200" w:line="360" w:lineRule="auto"/>
        <w:ind w:left="1702"/>
        <w:jc w:val="both"/>
        <w:rPr>
          <w:rFonts w:asciiTheme="minorHAnsi" w:hAnsiTheme="minorHAnsi" w:cstheme="minorHAnsi"/>
          <w:sz w:val="26"/>
          <w:szCs w:val="26"/>
        </w:rPr>
      </w:pPr>
      <w:r w:rsidRPr="00286979">
        <w:rPr>
          <w:rFonts w:asciiTheme="minorHAnsi" w:hAnsiTheme="minorHAnsi" w:cstheme="minorHAnsi"/>
          <w:sz w:val="26"/>
          <w:szCs w:val="26"/>
        </w:rPr>
        <w:t>(</w:t>
      </w:r>
      <w:r w:rsidR="00286979" w:rsidRPr="00286979">
        <w:rPr>
          <w:rFonts w:asciiTheme="minorHAnsi" w:hAnsiTheme="minorHAnsi" w:cstheme="minorHAnsi"/>
          <w:sz w:val="26"/>
          <w:szCs w:val="26"/>
          <w:lang w:val="en-US"/>
        </w:rPr>
        <w:t xml:space="preserve">The </w:t>
      </w:r>
      <w:proofErr w:type="spellStart"/>
      <w:r w:rsidR="00286979" w:rsidRPr="00286979">
        <w:rPr>
          <w:rFonts w:asciiTheme="minorHAnsi" w:hAnsiTheme="minorHAnsi" w:cstheme="minorHAnsi"/>
          <w:i/>
          <w:sz w:val="26"/>
          <w:szCs w:val="26"/>
          <w:lang w:val="en-US"/>
        </w:rPr>
        <w:t>audi</w:t>
      </w:r>
      <w:proofErr w:type="spellEnd"/>
      <w:r w:rsidR="00286979" w:rsidRPr="00286979">
        <w:rPr>
          <w:rFonts w:asciiTheme="minorHAnsi" w:hAnsiTheme="minorHAnsi" w:cstheme="minorHAnsi"/>
          <w:i/>
          <w:sz w:val="26"/>
          <w:szCs w:val="26"/>
          <w:lang w:val="en-US"/>
        </w:rPr>
        <w:t xml:space="preserve"> alteram partem </w:t>
      </w:r>
      <w:r w:rsidR="00286979" w:rsidRPr="00286979">
        <w:rPr>
          <w:rFonts w:asciiTheme="minorHAnsi" w:hAnsiTheme="minorHAnsi" w:cstheme="minorHAnsi"/>
          <w:sz w:val="26"/>
          <w:szCs w:val="26"/>
          <w:lang w:val="en-US"/>
        </w:rPr>
        <w:t xml:space="preserve">complaint was raised for the first time on appeal. </w:t>
      </w:r>
      <w:r w:rsidR="00741474">
        <w:rPr>
          <w:rFonts w:asciiTheme="minorHAnsi" w:hAnsiTheme="minorHAnsi" w:cstheme="minorHAnsi"/>
          <w:sz w:val="26"/>
          <w:szCs w:val="26"/>
          <w:lang w:val="en-US"/>
        </w:rPr>
        <w:t xml:space="preserve">Significantly, the prejudice now contended for is that the sureties were not afforded the opportunity by the court to deal with new matter contained in the replying affidavit. </w:t>
      </w:r>
      <w:r w:rsidR="00286979" w:rsidRPr="00286979">
        <w:rPr>
          <w:rFonts w:asciiTheme="minorHAnsi" w:hAnsiTheme="minorHAnsi" w:cstheme="minorHAnsi"/>
          <w:sz w:val="26"/>
          <w:szCs w:val="26"/>
          <w:lang w:val="en-US"/>
        </w:rPr>
        <w:t>The complaint that new matter was impermissibly included in the replying affidavit, which allegedly prejudiced the respondents, was dealt with in paras 13, 14 and 74 of the judgment</w:t>
      </w:r>
      <w:r w:rsidR="00286979">
        <w:rPr>
          <w:lang w:val="en-US"/>
        </w:rPr>
        <w:t xml:space="preserve">. </w:t>
      </w:r>
      <w:r w:rsidR="00872D45">
        <w:rPr>
          <w:rFonts w:asciiTheme="minorHAnsi" w:hAnsiTheme="minorHAnsi" w:cstheme="minorHAnsi"/>
          <w:sz w:val="26"/>
          <w:szCs w:val="26"/>
        </w:rPr>
        <w:t xml:space="preserve">As regards, the </w:t>
      </w:r>
      <w:proofErr w:type="spellStart"/>
      <w:r w:rsidR="00872D45">
        <w:rPr>
          <w:rFonts w:asciiTheme="minorHAnsi" w:hAnsiTheme="minorHAnsi" w:cstheme="minorHAnsi"/>
          <w:i/>
          <w:sz w:val="26"/>
          <w:szCs w:val="26"/>
        </w:rPr>
        <w:t>audi</w:t>
      </w:r>
      <w:proofErr w:type="spellEnd"/>
      <w:r w:rsidR="00872D45">
        <w:rPr>
          <w:rFonts w:asciiTheme="minorHAnsi" w:hAnsiTheme="minorHAnsi" w:cstheme="minorHAnsi"/>
          <w:i/>
          <w:sz w:val="26"/>
          <w:szCs w:val="26"/>
        </w:rPr>
        <w:t xml:space="preserve"> </w:t>
      </w:r>
      <w:r w:rsidR="00872D45" w:rsidRPr="00872D45">
        <w:rPr>
          <w:rFonts w:asciiTheme="minorHAnsi" w:hAnsiTheme="minorHAnsi" w:cstheme="minorHAnsi"/>
          <w:sz w:val="26"/>
          <w:szCs w:val="26"/>
        </w:rPr>
        <w:t>complaint, it is noteworthy that</w:t>
      </w:r>
      <w:r w:rsidR="00872D45">
        <w:rPr>
          <w:rFonts w:asciiTheme="minorHAnsi" w:hAnsiTheme="minorHAnsi" w:cstheme="minorHAnsi"/>
          <w:i/>
          <w:sz w:val="26"/>
          <w:szCs w:val="26"/>
        </w:rPr>
        <w:t xml:space="preserve"> </w:t>
      </w:r>
      <w:r w:rsidR="00872D45">
        <w:rPr>
          <w:rFonts w:asciiTheme="minorHAnsi" w:hAnsiTheme="minorHAnsi" w:cstheme="minorHAnsi"/>
          <w:sz w:val="26"/>
          <w:szCs w:val="26"/>
        </w:rPr>
        <w:t xml:space="preserve">the sureties elected to argue the matter on the basis that their contention that the court was </w:t>
      </w:r>
      <w:r>
        <w:rPr>
          <w:rFonts w:asciiTheme="minorHAnsi" w:hAnsiTheme="minorHAnsi" w:cstheme="minorHAnsi"/>
          <w:sz w:val="26"/>
          <w:szCs w:val="26"/>
        </w:rPr>
        <w:t xml:space="preserve">legally </w:t>
      </w:r>
      <w:r w:rsidR="00872D45">
        <w:rPr>
          <w:rFonts w:asciiTheme="minorHAnsi" w:hAnsiTheme="minorHAnsi" w:cstheme="minorHAnsi"/>
          <w:sz w:val="26"/>
          <w:szCs w:val="26"/>
        </w:rPr>
        <w:t>bound to ignore any new matter appearing in the replying affidavit</w:t>
      </w:r>
      <w:r w:rsidR="00286979">
        <w:rPr>
          <w:rFonts w:asciiTheme="minorHAnsi" w:hAnsiTheme="minorHAnsi" w:cstheme="minorHAnsi"/>
          <w:sz w:val="26"/>
          <w:szCs w:val="26"/>
        </w:rPr>
        <w:t xml:space="preserve"> would be upheld</w:t>
      </w:r>
      <w:r w:rsidR="00741474">
        <w:rPr>
          <w:rFonts w:asciiTheme="minorHAnsi" w:hAnsiTheme="minorHAnsi" w:cstheme="minorHAnsi"/>
          <w:sz w:val="26"/>
          <w:szCs w:val="26"/>
        </w:rPr>
        <w:t xml:space="preserve"> and/or that the court would exercise its discretion against VBS</w:t>
      </w:r>
      <w:r>
        <w:rPr>
          <w:rFonts w:asciiTheme="minorHAnsi" w:hAnsiTheme="minorHAnsi" w:cstheme="minorHAnsi"/>
          <w:sz w:val="26"/>
          <w:szCs w:val="26"/>
        </w:rPr>
        <w:t xml:space="preserve">. They neither sought a postponement of the matter to cure any alleged prejudice </w:t>
      </w:r>
      <w:r w:rsidR="00AD7B07">
        <w:rPr>
          <w:rFonts w:asciiTheme="minorHAnsi" w:hAnsiTheme="minorHAnsi" w:cstheme="minorHAnsi"/>
          <w:sz w:val="26"/>
          <w:szCs w:val="26"/>
        </w:rPr>
        <w:t>to them</w:t>
      </w:r>
      <w:r>
        <w:rPr>
          <w:rFonts w:asciiTheme="minorHAnsi" w:hAnsiTheme="minorHAnsi" w:cstheme="minorHAnsi"/>
          <w:sz w:val="26"/>
          <w:szCs w:val="26"/>
        </w:rPr>
        <w:t xml:space="preserve"> if the matter were to proceed without affording </w:t>
      </w:r>
      <w:r>
        <w:rPr>
          <w:rFonts w:asciiTheme="minorHAnsi" w:hAnsiTheme="minorHAnsi" w:cstheme="minorHAnsi"/>
          <w:sz w:val="26"/>
          <w:szCs w:val="26"/>
        </w:rPr>
        <w:lastRenderedPageBreak/>
        <w:t xml:space="preserve">them the opportunity to file a supplementary affidavit, nor did they avail themselves of the right to seek leave to file a supplementary affidavit to deal with the new matter. They chose to proceed on the basis that their contentions would be upheld, </w:t>
      </w:r>
      <w:r w:rsidR="00286979">
        <w:rPr>
          <w:rFonts w:asciiTheme="minorHAnsi" w:hAnsiTheme="minorHAnsi" w:cstheme="minorHAnsi"/>
          <w:sz w:val="26"/>
          <w:szCs w:val="26"/>
        </w:rPr>
        <w:t>notwithstanding</w:t>
      </w:r>
      <w:r>
        <w:rPr>
          <w:rFonts w:asciiTheme="minorHAnsi" w:hAnsiTheme="minorHAnsi" w:cstheme="minorHAnsi"/>
          <w:sz w:val="26"/>
          <w:szCs w:val="26"/>
        </w:rPr>
        <w:t xml:space="preserve"> the risk of same </w:t>
      </w:r>
      <w:r w:rsidR="00AD7B07">
        <w:rPr>
          <w:rFonts w:asciiTheme="minorHAnsi" w:hAnsiTheme="minorHAnsi" w:cstheme="minorHAnsi"/>
          <w:sz w:val="26"/>
          <w:szCs w:val="26"/>
        </w:rPr>
        <w:t>being rejected</w:t>
      </w:r>
      <w:r>
        <w:rPr>
          <w:rFonts w:asciiTheme="minorHAnsi" w:hAnsiTheme="minorHAnsi" w:cstheme="minorHAnsi"/>
          <w:sz w:val="26"/>
          <w:szCs w:val="26"/>
        </w:rPr>
        <w:t xml:space="preserve"> by the court</w:t>
      </w:r>
      <w:r w:rsidR="0077376D">
        <w:rPr>
          <w:rFonts w:asciiTheme="minorHAnsi" w:hAnsiTheme="minorHAnsi" w:cstheme="minorHAnsi"/>
          <w:sz w:val="26"/>
          <w:szCs w:val="26"/>
        </w:rPr>
        <w:t>)</w:t>
      </w:r>
      <w:r w:rsidR="00286979">
        <w:rPr>
          <w:rFonts w:asciiTheme="minorHAnsi" w:hAnsiTheme="minorHAnsi" w:cstheme="minorHAnsi"/>
          <w:sz w:val="26"/>
          <w:szCs w:val="26"/>
        </w:rPr>
        <w:t>.</w:t>
      </w:r>
    </w:p>
    <w:p w14:paraId="2B04D728" w14:textId="77777777" w:rsidR="00523C20" w:rsidRDefault="00523C20" w:rsidP="001C1655">
      <w:pPr>
        <w:pStyle w:val="ListParagraph"/>
        <w:spacing w:after="200" w:line="360" w:lineRule="auto"/>
        <w:ind w:left="1702"/>
        <w:jc w:val="both"/>
        <w:rPr>
          <w:rFonts w:asciiTheme="minorHAnsi" w:hAnsiTheme="minorHAnsi" w:cstheme="minorHAnsi"/>
          <w:sz w:val="26"/>
          <w:szCs w:val="26"/>
        </w:rPr>
      </w:pPr>
    </w:p>
    <w:p w14:paraId="73BEDE63" w14:textId="67556DCE" w:rsidR="000574D5" w:rsidRPr="00EB7A27" w:rsidRDefault="00EB7A27" w:rsidP="00EB7A2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5.4.</w:t>
      </w:r>
      <w:r>
        <w:rPr>
          <w:rFonts w:asciiTheme="minorHAnsi" w:hAnsiTheme="minorHAnsi"/>
          <w:sz w:val="24"/>
          <w:szCs w:val="24"/>
        </w:rPr>
        <w:tab/>
      </w:r>
      <w:r w:rsidR="00377967" w:rsidRPr="00EB7A27">
        <w:rPr>
          <w:rFonts w:asciiTheme="minorHAnsi" w:hAnsiTheme="minorHAnsi" w:cstheme="minorHAnsi"/>
          <w:sz w:val="26"/>
          <w:szCs w:val="26"/>
        </w:rPr>
        <w:t>The quantum of the indebtedness of the sureties was not established by primary facts in the founding affidavit and consequently the court erred in having regard to annexure ‘FA9’ to the founding affidavit, being the principal debtor’s bank statement in respect of its account held at VBS</w:t>
      </w:r>
      <w:r w:rsidR="009C2DDD" w:rsidRPr="00EB7A27">
        <w:rPr>
          <w:rFonts w:asciiTheme="minorHAnsi" w:hAnsiTheme="minorHAnsi" w:cstheme="minorHAnsi"/>
          <w:sz w:val="26"/>
          <w:szCs w:val="26"/>
        </w:rPr>
        <w:t xml:space="preserve"> </w:t>
      </w:r>
      <w:r w:rsidR="00377967" w:rsidRPr="00EB7A27">
        <w:rPr>
          <w:rFonts w:asciiTheme="minorHAnsi" w:hAnsiTheme="minorHAnsi" w:cstheme="minorHAnsi"/>
          <w:sz w:val="26"/>
          <w:szCs w:val="26"/>
        </w:rPr>
        <w:t xml:space="preserve">for purposes of determining the extent of the liability of the sureties </w:t>
      </w:r>
      <w:r w:rsidR="00CA1046" w:rsidRPr="00EB7A27">
        <w:rPr>
          <w:rFonts w:asciiTheme="minorHAnsi" w:hAnsiTheme="minorHAnsi" w:cstheme="minorHAnsi"/>
          <w:sz w:val="26"/>
          <w:szCs w:val="26"/>
        </w:rPr>
        <w:t>in respect of the outstanding</w:t>
      </w:r>
      <w:r w:rsidR="00377967" w:rsidRPr="00EB7A27">
        <w:rPr>
          <w:rFonts w:asciiTheme="minorHAnsi" w:hAnsiTheme="minorHAnsi" w:cstheme="minorHAnsi"/>
          <w:sz w:val="26"/>
          <w:szCs w:val="26"/>
        </w:rPr>
        <w:t xml:space="preserve"> indebtedness </w:t>
      </w:r>
      <w:r w:rsidR="00CA1046" w:rsidRPr="00EB7A27">
        <w:rPr>
          <w:rFonts w:asciiTheme="minorHAnsi" w:hAnsiTheme="minorHAnsi" w:cstheme="minorHAnsi"/>
          <w:sz w:val="26"/>
          <w:szCs w:val="26"/>
        </w:rPr>
        <w:t>owed by the principal debtor (</w:t>
      </w:r>
      <w:proofErr w:type="spellStart"/>
      <w:r w:rsidR="00CA1046" w:rsidRPr="00EB7A27">
        <w:rPr>
          <w:rFonts w:asciiTheme="minorHAnsi" w:hAnsiTheme="minorHAnsi" w:cstheme="minorHAnsi"/>
          <w:sz w:val="26"/>
          <w:szCs w:val="26"/>
        </w:rPr>
        <w:t>Leratadima</w:t>
      </w:r>
      <w:proofErr w:type="spellEnd"/>
      <w:r w:rsidR="00CA1046" w:rsidRPr="00EB7A27">
        <w:rPr>
          <w:rFonts w:asciiTheme="minorHAnsi" w:hAnsiTheme="minorHAnsi" w:cstheme="minorHAnsi"/>
          <w:sz w:val="26"/>
          <w:szCs w:val="26"/>
        </w:rPr>
        <w:t xml:space="preserve"> [in liquidation]</w:t>
      </w:r>
      <w:r w:rsidR="00B54079" w:rsidRPr="00EB7A27">
        <w:rPr>
          <w:rFonts w:asciiTheme="minorHAnsi" w:hAnsiTheme="minorHAnsi" w:cstheme="minorHAnsi"/>
          <w:sz w:val="26"/>
          <w:szCs w:val="26"/>
        </w:rPr>
        <w:t>)</w:t>
      </w:r>
      <w:r w:rsidR="00CA1046" w:rsidRPr="00EB7A27">
        <w:rPr>
          <w:rFonts w:asciiTheme="minorHAnsi" w:hAnsiTheme="minorHAnsi" w:cstheme="minorHAnsi"/>
          <w:sz w:val="26"/>
          <w:szCs w:val="26"/>
        </w:rPr>
        <w:t xml:space="preserve"> to VBS</w:t>
      </w:r>
      <w:r w:rsidR="00377967" w:rsidRPr="00EB7A27">
        <w:rPr>
          <w:rFonts w:asciiTheme="minorHAnsi" w:hAnsiTheme="minorHAnsi" w:cstheme="minorHAnsi"/>
          <w:sz w:val="26"/>
          <w:szCs w:val="26"/>
        </w:rPr>
        <w:t>.</w:t>
      </w:r>
    </w:p>
    <w:p w14:paraId="7C667964" w14:textId="77777777" w:rsidR="00286979" w:rsidRDefault="00286979" w:rsidP="00286979">
      <w:pPr>
        <w:pStyle w:val="ListParagraph"/>
        <w:spacing w:after="200" w:line="360" w:lineRule="auto"/>
        <w:ind w:left="1702"/>
        <w:jc w:val="both"/>
        <w:rPr>
          <w:rFonts w:asciiTheme="minorHAnsi" w:hAnsiTheme="minorHAnsi" w:cstheme="minorHAnsi"/>
          <w:sz w:val="26"/>
          <w:szCs w:val="26"/>
        </w:rPr>
      </w:pPr>
    </w:p>
    <w:p w14:paraId="024BF43B" w14:textId="77777777" w:rsidR="00286979" w:rsidRDefault="00286979" w:rsidP="00286979">
      <w:pPr>
        <w:pStyle w:val="ListParagraph"/>
        <w:spacing w:after="200" w:line="360" w:lineRule="auto"/>
        <w:ind w:left="1702"/>
        <w:jc w:val="both"/>
        <w:rPr>
          <w:rFonts w:asciiTheme="minorHAnsi" w:hAnsiTheme="minorHAnsi" w:cstheme="minorHAnsi"/>
          <w:sz w:val="26"/>
          <w:szCs w:val="26"/>
        </w:rPr>
      </w:pPr>
      <w:r>
        <w:rPr>
          <w:rFonts w:asciiTheme="minorHAnsi" w:hAnsiTheme="minorHAnsi" w:cstheme="minorHAnsi"/>
          <w:sz w:val="26"/>
          <w:szCs w:val="26"/>
        </w:rPr>
        <w:t>(On a contextual reading of the main judgment, I had regard to the contents of Annexure ‘FA9’ in circumstances where the sureties failed in their answering affidavit, to point out any errors in the bank statement</w:t>
      </w:r>
      <w:r w:rsidR="0077376D">
        <w:rPr>
          <w:rFonts w:asciiTheme="minorHAnsi" w:hAnsiTheme="minorHAnsi" w:cstheme="minorHAnsi"/>
          <w:sz w:val="26"/>
          <w:szCs w:val="26"/>
        </w:rPr>
        <w:t xml:space="preserve"> and failed to object to its production</w:t>
      </w:r>
      <w:r>
        <w:rPr>
          <w:rFonts w:asciiTheme="minorHAnsi" w:hAnsiTheme="minorHAnsi" w:cstheme="minorHAnsi"/>
          <w:sz w:val="26"/>
          <w:szCs w:val="26"/>
        </w:rPr>
        <w:t xml:space="preserve"> and where the amount of the principal debtor’s liability was not in dispute)</w:t>
      </w:r>
      <w:r w:rsidR="0037058E">
        <w:rPr>
          <w:rFonts w:asciiTheme="minorHAnsi" w:hAnsiTheme="minorHAnsi" w:cstheme="minorHAnsi"/>
          <w:sz w:val="26"/>
          <w:szCs w:val="26"/>
        </w:rPr>
        <w:t>.</w:t>
      </w:r>
    </w:p>
    <w:p w14:paraId="36E53B80" w14:textId="77777777" w:rsidR="00BF35E9" w:rsidRPr="00DE12E7" w:rsidRDefault="00BF35E9" w:rsidP="00BF35E9">
      <w:pPr>
        <w:pStyle w:val="ListParagraph"/>
        <w:rPr>
          <w:rFonts w:asciiTheme="minorHAnsi" w:hAnsiTheme="minorHAnsi" w:cstheme="minorHAnsi"/>
          <w:sz w:val="26"/>
          <w:szCs w:val="26"/>
        </w:rPr>
      </w:pPr>
    </w:p>
    <w:p w14:paraId="13285C98" w14:textId="62FE0A3C" w:rsidR="00BF35E9" w:rsidRPr="00EB7A27" w:rsidRDefault="00EB7A27" w:rsidP="00EB7A2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w:t>
      </w:r>
      <w:r>
        <w:rPr>
          <w:rFonts w:asciiTheme="minorHAnsi" w:hAnsiTheme="minorHAnsi"/>
          <w:sz w:val="24"/>
          <w:szCs w:val="24"/>
        </w:rPr>
        <w:tab/>
      </w:r>
      <w:r w:rsidR="00CA1046" w:rsidRPr="00EB7A27">
        <w:rPr>
          <w:rFonts w:asciiTheme="minorHAnsi" w:hAnsiTheme="minorHAnsi" w:cstheme="minorHAnsi"/>
          <w:sz w:val="26"/>
          <w:szCs w:val="26"/>
        </w:rPr>
        <w:t xml:space="preserve">Ultimately, the sureties submit that given the magnitude of the monetary order granted against them, the complexity of the issues arising in the matter, the </w:t>
      </w:r>
      <w:r w:rsidR="00472D82" w:rsidRPr="00EB7A27">
        <w:rPr>
          <w:rFonts w:asciiTheme="minorHAnsi" w:hAnsiTheme="minorHAnsi" w:cstheme="minorHAnsi"/>
          <w:sz w:val="26"/>
          <w:szCs w:val="26"/>
        </w:rPr>
        <w:t xml:space="preserve">seriousness </w:t>
      </w:r>
      <w:r w:rsidR="00154656" w:rsidRPr="00EB7A27">
        <w:rPr>
          <w:rFonts w:asciiTheme="minorHAnsi" w:hAnsiTheme="minorHAnsi" w:cstheme="minorHAnsi"/>
          <w:sz w:val="26"/>
          <w:szCs w:val="26"/>
        </w:rPr>
        <w:t xml:space="preserve">of the matter </w:t>
      </w:r>
      <w:r w:rsidR="00472D82" w:rsidRPr="00EB7A27">
        <w:rPr>
          <w:rFonts w:asciiTheme="minorHAnsi" w:hAnsiTheme="minorHAnsi" w:cstheme="minorHAnsi"/>
          <w:sz w:val="26"/>
          <w:szCs w:val="26"/>
        </w:rPr>
        <w:t xml:space="preserve">and </w:t>
      </w:r>
      <w:r w:rsidR="0077376D" w:rsidRPr="00EB7A27">
        <w:rPr>
          <w:rFonts w:asciiTheme="minorHAnsi" w:hAnsiTheme="minorHAnsi" w:cstheme="minorHAnsi"/>
          <w:sz w:val="26"/>
          <w:szCs w:val="26"/>
        </w:rPr>
        <w:t xml:space="preserve">the </w:t>
      </w:r>
      <w:r w:rsidR="00CA1046" w:rsidRPr="00EB7A27">
        <w:rPr>
          <w:rFonts w:asciiTheme="minorHAnsi" w:hAnsiTheme="minorHAnsi" w:cstheme="minorHAnsi"/>
          <w:sz w:val="26"/>
          <w:szCs w:val="26"/>
        </w:rPr>
        <w:t xml:space="preserve">importance of the outcome </w:t>
      </w:r>
      <w:r w:rsidR="00154656" w:rsidRPr="00EB7A27">
        <w:rPr>
          <w:rFonts w:asciiTheme="minorHAnsi" w:hAnsiTheme="minorHAnsi" w:cstheme="minorHAnsi"/>
          <w:sz w:val="26"/>
          <w:szCs w:val="26"/>
        </w:rPr>
        <w:t>on</w:t>
      </w:r>
      <w:r w:rsidR="00CA1046" w:rsidRPr="00EB7A27">
        <w:rPr>
          <w:rFonts w:asciiTheme="minorHAnsi" w:hAnsiTheme="minorHAnsi" w:cstheme="minorHAnsi"/>
          <w:sz w:val="26"/>
          <w:szCs w:val="26"/>
        </w:rPr>
        <w:t xml:space="preserve"> appeal</w:t>
      </w:r>
      <w:r w:rsidR="00472D82" w:rsidRPr="00EB7A27">
        <w:rPr>
          <w:rFonts w:asciiTheme="minorHAnsi" w:hAnsiTheme="minorHAnsi" w:cstheme="minorHAnsi"/>
          <w:sz w:val="26"/>
          <w:szCs w:val="26"/>
        </w:rPr>
        <w:t>,</w:t>
      </w:r>
      <w:r w:rsidR="00CA1046" w:rsidRPr="00EB7A27">
        <w:rPr>
          <w:rFonts w:asciiTheme="minorHAnsi" w:hAnsiTheme="minorHAnsi" w:cstheme="minorHAnsi"/>
          <w:sz w:val="26"/>
          <w:szCs w:val="26"/>
        </w:rPr>
        <w:t xml:space="preserve"> </w:t>
      </w:r>
      <w:r w:rsidR="009C2DDD" w:rsidRPr="00EB7A27">
        <w:rPr>
          <w:rFonts w:asciiTheme="minorHAnsi" w:hAnsiTheme="minorHAnsi" w:cstheme="minorHAnsi"/>
          <w:sz w:val="26"/>
          <w:szCs w:val="26"/>
        </w:rPr>
        <w:t xml:space="preserve">not only to the sureties but </w:t>
      </w:r>
      <w:r w:rsidR="00CA1046" w:rsidRPr="00EB7A27">
        <w:rPr>
          <w:rFonts w:asciiTheme="minorHAnsi" w:hAnsiTheme="minorHAnsi" w:cstheme="minorHAnsi"/>
          <w:sz w:val="26"/>
          <w:szCs w:val="26"/>
        </w:rPr>
        <w:t xml:space="preserve">to both parties, </w:t>
      </w:r>
      <w:r w:rsidR="009C36D9" w:rsidRPr="00EB7A27">
        <w:rPr>
          <w:rFonts w:asciiTheme="minorHAnsi" w:hAnsiTheme="minorHAnsi" w:cstheme="minorHAnsi"/>
          <w:sz w:val="26"/>
          <w:szCs w:val="26"/>
        </w:rPr>
        <w:t>it is compelling</w:t>
      </w:r>
      <w:r w:rsidR="00CA1046" w:rsidRPr="00EB7A27">
        <w:rPr>
          <w:rFonts w:asciiTheme="minorHAnsi" w:hAnsiTheme="minorHAnsi" w:cstheme="minorHAnsi"/>
          <w:sz w:val="26"/>
          <w:szCs w:val="26"/>
        </w:rPr>
        <w:t xml:space="preserve"> for leave to appeal to be granted</w:t>
      </w:r>
      <w:r w:rsidR="009C36D9" w:rsidRPr="00EB7A27">
        <w:rPr>
          <w:rFonts w:asciiTheme="minorHAnsi" w:hAnsiTheme="minorHAnsi" w:cstheme="minorHAnsi"/>
          <w:sz w:val="26"/>
          <w:szCs w:val="26"/>
        </w:rPr>
        <w:t>.</w:t>
      </w:r>
    </w:p>
    <w:p w14:paraId="0E74FB74" w14:textId="77777777" w:rsidR="00BF35E9" w:rsidRPr="00DE12E7" w:rsidRDefault="00BF35E9" w:rsidP="00BF35E9">
      <w:pPr>
        <w:pStyle w:val="ListParagraph"/>
        <w:rPr>
          <w:rFonts w:asciiTheme="minorHAnsi" w:hAnsiTheme="minorHAnsi" w:cstheme="minorHAnsi"/>
          <w:sz w:val="26"/>
          <w:szCs w:val="26"/>
        </w:rPr>
      </w:pPr>
    </w:p>
    <w:p w14:paraId="38DF4883" w14:textId="32769157" w:rsidR="003B0991" w:rsidRPr="00EB7A27" w:rsidRDefault="00EB7A27" w:rsidP="00EB7A2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w:t>
      </w:r>
      <w:r>
        <w:rPr>
          <w:rFonts w:asciiTheme="minorHAnsi" w:hAnsiTheme="minorHAnsi"/>
          <w:sz w:val="24"/>
          <w:szCs w:val="24"/>
        </w:rPr>
        <w:tab/>
      </w:r>
      <w:r w:rsidR="00BE6D09" w:rsidRPr="00EB7A27">
        <w:rPr>
          <w:rFonts w:asciiTheme="minorHAnsi" w:hAnsiTheme="minorHAnsi" w:cstheme="minorHAnsi"/>
          <w:sz w:val="26"/>
          <w:szCs w:val="26"/>
        </w:rPr>
        <w:t>The main</w:t>
      </w:r>
      <w:r w:rsidR="009C36D9" w:rsidRPr="00EB7A27">
        <w:rPr>
          <w:rFonts w:asciiTheme="minorHAnsi" w:hAnsiTheme="minorHAnsi" w:cstheme="minorHAnsi"/>
          <w:sz w:val="26"/>
          <w:szCs w:val="26"/>
        </w:rPr>
        <w:t xml:space="preserve"> judgment is </w:t>
      </w:r>
      <w:proofErr w:type="gramStart"/>
      <w:r w:rsidR="009C36D9" w:rsidRPr="00EB7A27">
        <w:rPr>
          <w:rFonts w:asciiTheme="minorHAnsi" w:hAnsiTheme="minorHAnsi" w:cstheme="minorHAnsi"/>
          <w:sz w:val="26"/>
          <w:szCs w:val="26"/>
        </w:rPr>
        <w:t>detailed</w:t>
      </w:r>
      <w:proofErr w:type="gramEnd"/>
      <w:r w:rsidR="009C2DDD" w:rsidRPr="00EB7A27">
        <w:rPr>
          <w:rFonts w:asciiTheme="minorHAnsi" w:hAnsiTheme="minorHAnsi" w:cstheme="minorHAnsi"/>
          <w:sz w:val="26"/>
          <w:szCs w:val="26"/>
        </w:rPr>
        <w:t xml:space="preserve"> </w:t>
      </w:r>
      <w:r w:rsidR="003835AD" w:rsidRPr="00EB7A27">
        <w:rPr>
          <w:rFonts w:asciiTheme="minorHAnsi" w:hAnsiTheme="minorHAnsi" w:cstheme="minorHAnsi"/>
          <w:sz w:val="26"/>
          <w:szCs w:val="26"/>
        </w:rPr>
        <w:t>and</w:t>
      </w:r>
      <w:r w:rsidR="009C36D9" w:rsidRPr="00EB7A27">
        <w:rPr>
          <w:rFonts w:asciiTheme="minorHAnsi" w:hAnsiTheme="minorHAnsi" w:cstheme="minorHAnsi"/>
          <w:sz w:val="26"/>
          <w:szCs w:val="26"/>
        </w:rPr>
        <w:t xml:space="preserve"> comprehensive reasons were </w:t>
      </w:r>
      <w:r w:rsidR="009C2DDD" w:rsidRPr="00EB7A27">
        <w:rPr>
          <w:rFonts w:asciiTheme="minorHAnsi" w:hAnsiTheme="minorHAnsi" w:cstheme="minorHAnsi"/>
          <w:sz w:val="26"/>
          <w:szCs w:val="26"/>
        </w:rPr>
        <w:t>for provided</w:t>
      </w:r>
      <w:r w:rsidR="009C36D9" w:rsidRPr="00EB7A27">
        <w:rPr>
          <w:rFonts w:asciiTheme="minorHAnsi" w:hAnsiTheme="minorHAnsi" w:cstheme="minorHAnsi"/>
          <w:sz w:val="26"/>
          <w:szCs w:val="26"/>
        </w:rPr>
        <w:t xml:space="preserve"> </w:t>
      </w:r>
      <w:r w:rsidR="00BE6D09" w:rsidRPr="00EB7A27">
        <w:rPr>
          <w:rFonts w:asciiTheme="minorHAnsi" w:hAnsiTheme="minorHAnsi" w:cstheme="minorHAnsi"/>
          <w:sz w:val="26"/>
          <w:szCs w:val="26"/>
        </w:rPr>
        <w:t xml:space="preserve">therein </w:t>
      </w:r>
      <w:r w:rsidR="009C36D9" w:rsidRPr="00EB7A27">
        <w:rPr>
          <w:rFonts w:asciiTheme="minorHAnsi" w:hAnsiTheme="minorHAnsi" w:cstheme="minorHAnsi"/>
          <w:sz w:val="26"/>
          <w:szCs w:val="26"/>
        </w:rPr>
        <w:t>for the findings made and conclusions reached therein</w:t>
      </w:r>
      <w:r w:rsidR="003835AD" w:rsidRPr="00EB7A27">
        <w:rPr>
          <w:rFonts w:asciiTheme="minorHAnsi" w:hAnsiTheme="minorHAnsi" w:cstheme="minorHAnsi"/>
          <w:sz w:val="26"/>
          <w:szCs w:val="26"/>
        </w:rPr>
        <w:t>.</w:t>
      </w:r>
      <w:r w:rsidR="00A5281C" w:rsidRPr="00EB7A27">
        <w:rPr>
          <w:rFonts w:asciiTheme="minorHAnsi" w:hAnsiTheme="minorHAnsi" w:cstheme="minorHAnsi"/>
          <w:sz w:val="26"/>
          <w:szCs w:val="26"/>
        </w:rPr>
        <w:t xml:space="preserve"> </w:t>
      </w:r>
      <w:r w:rsidR="009C36D9" w:rsidRPr="00EB7A27">
        <w:rPr>
          <w:rFonts w:asciiTheme="minorHAnsi" w:hAnsiTheme="minorHAnsi" w:cstheme="minorHAnsi"/>
          <w:sz w:val="26"/>
          <w:szCs w:val="26"/>
        </w:rPr>
        <w:t xml:space="preserve">I stand by the </w:t>
      </w:r>
      <w:r w:rsidR="009C36D9" w:rsidRPr="00EB7A27">
        <w:rPr>
          <w:rFonts w:asciiTheme="minorHAnsi" w:hAnsiTheme="minorHAnsi" w:cstheme="minorHAnsi"/>
          <w:sz w:val="26"/>
          <w:szCs w:val="26"/>
        </w:rPr>
        <w:lastRenderedPageBreak/>
        <w:t>judgment</w:t>
      </w:r>
      <w:r w:rsidR="00EE5D74" w:rsidRPr="00EB7A27">
        <w:rPr>
          <w:rFonts w:asciiTheme="minorHAnsi" w:hAnsiTheme="minorHAnsi" w:cstheme="minorHAnsi"/>
          <w:sz w:val="26"/>
          <w:szCs w:val="26"/>
        </w:rPr>
        <w:t xml:space="preserve"> and reasons provided therein</w:t>
      </w:r>
      <w:r w:rsidR="0077376D" w:rsidRPr="00EB7A27">
        <w:rPr>
          <w:rFonts w:asciiTheme="minorHAnsi" w:hAnsiTheme="minorHAnsi" w:cstheme="minorHAnsi"/>
          <w:sz w:val="26"/>
          <w:szCs w:val="26"/>
        </w:rPr>
        <w:t xml:space="preserve"> in respect of all complaints raised in the notice of application for leave to appeal</w:t>
      </w:r>
      <w:r w:rsidR="00EE5D74" w:rsidRPr="00EB7A27">
        <w:rPr>
          <w:rFonts w:asciiTheme="minorHAnsi" w:hAnsiTheme="minorHAnsi" w:cstheme="minorHAnsi"/>
          <w:sz w:val="26"/>
          <w:szCs w:val="26"/>
        </w:rPr>
        <w:t>.</w:t>
      </w:r>
      <w:r w:rsidR="009C36D9" w:rsidRPr="00EB7A27">
        <w:rPr>
          <w:rFonts w:asciiTheme="minorHAnsi" w:hAnsiTheme="minorHAnsi" w:cstheme="minorHAnsi"/>
          <w:sz w:val="26"/>
          <w:szCs w:val="26"/>
        </w:rPr>
        <w:t xml:space="preserve"> </w:t>
      </w:r>
    </w:p>
    <w:p w14:paraId="68EDAC58" w14:textId="77777777" w:rsidR="003B0991" w:rsidRPr="003B0991" w:rsidRDefault="003B0991" w:rsidP="003B0991">
      <w:pPr>
        <w:pStyle w:val="ListParagraph"/>
        <w:rPr>
          <w:rFonts w:asciiTheme="minorHAnsi" w:hAnsiTheme="minorHAnsi" w:cstheme="minorHAnsi"/>
          <w:sz w:val="26"/>
          <w:szCs w:val="26"/>
        </w:rPr>
      </w:pPr>
    </w:p>
    <w:p w14:paraId="00F9953F" w14:textId="466FC2B5" w:rsidR="00BF35E9" w:rsidRPr="00EB7A27" w:rsidRDefault="00EB7A27" w:rsidP="00EB7A2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8.</w:t>
      </w:r>
      <w:r>
        <w:rPr>
          <w:rFonts w:asciiTheme="minorHAnsi" w:hAnsiTheme="minorHAnsi"/>
          <w:sz w:val="24"/>
          <w:szCs w:val="24"/>
        </w:rPr>
        <w:tab/>
      </w:r>
      <w:r w:rsidR="00965E88" w:rsidRPr="00EB7A27">
        <w:rPr>
          <w:rFonts w:asciiTheme="minorHAnsi" w:hAnsiTheme="minorHAnsi" w:cstheme="minorHAnsi"/>
          <w:sz w:val="26"/>
          <w:szCs w:val="26"/>
        </w:rPr>
        <w:t>Salient</w:t>
      </w:r>
      <w:r w:rsidR="009C36D9" w:rsidRPr="00EB7A27">
        <w:rPr>
          <w:rFonts w:asciiTheme="minorHAnsi" w:hAnsiTheme="minorHAnsi" w:cstheme="minorHAnsi"/>
          <w:sz w:val="26"/>
          <w:szCs w:val="26"/>
        </w:rPr>
        <w:t xml:space="preserve"> </w:t>
      </w:r>
      <w:r w:rsidR="003835AD" w:rsidRPr="00EB7A27">
        <w:rPr>
          <w:rFonts w:asciiTheme="minorHAnsi" w:hAnsiTheme="minorHAnsi" w:cstheme="minorHAnsi"/>
          <w:sz w:val="26"/>
          <w:szCs w:val="26"/>
        </w:rPr>
        <w:t xml:space="preserve">common cause </w:t>
      </w:r>
      <w:r w:rsidR="009C36D9" w:rsidRPr="00EB7A27">
        <w:rPr>
          <w:rFonts w:asciiTheme="minorHAnsi" w:hAnsiTheme="minorHAnsi" w:cstheme="minorHAnsi"/>
          <w:sz w:val="26"/>
          <w:szCs w:val="26"/>
        </w:rPr>
        <w:t>facts</w:t>
      </w:r>
      <w:r w:rsidR="00965E88" w:rsidRPr="00EB7A27">
        <w:rPr>
          <w:rFonts w:asciiTheme="minorHAnsi" w:hAnsiTheme="minorHAnsi" w:cstheme="minorHAnsi"/>
          <w:sz w:val="26"/>
          <w:szCs w:val="26"/>
        </w:rPr>
        <w:t xml:space="preserve"> were r</w:t>
      </w:r>
      <w:r w:rsidR="0031742B" w:rsidRPr="00EB7A27">
        <w:rPr>
          <w:rFonts w:asciiTheme="minorHAnsi" w:hAnsiTheme="minorHAnsi" w:cstheme="minorHAnsi"/>
          <w:sz w:val="26"/>
          <w:szCs w:val="26"/>
        </w:rPr>
        <w:t>eferred to in</w:t>
      </w:r>
      <w:r w:rsidR="009C2DDD" w:rsidRPr="00EB7A27">
        <w:rPr>
          <w:rFonts w:asciiTheme="minorHAnsi" w:hAnsiTheme="minorHAnsi" w:cstheme="minorHAnsi"/>
          <w:sz w:val="26"/>
          <w:szCs w:val="26"/>
        </w:rPr>
        <w:t xml:space="preserve"> </w:t>
      </w:r>
      <w:r w:rsidR="009C36D9" w:rsidRPr="00EB7A27">
        <w:rPr>
          <w:rFonts w:asciiTheme="minorHAnsi" w:hAnsiTheme="minorHAnsi" w:cstheme="minorHAnsi"/>
          <w:sz w:val="26"/>
          <w:szCs w:val="26"/>
        </w:rPr>
        <w:t>paragraph</w:t>
      </w:r>
      <w:r w:rsidR="009C2DDD" w:rsidRPr="00EB7A27">
        <w:rPr>
          <w:rFonts w:asciiTheme="minorHAnsi" w:hAnsiTheme="minorHAnsi" w:cstheme="minorHAnsi"/>
          <w:sz w:val="26"/>
          <w:szCs w:val="26"/>
        </w:rPr>
        <w:t xml:space="preserve">s 54 to 55 and 70 to 71 of the </w:t>
      </w:r>
      <w:r w:rsidR="0031742B" w:rsidRPr="00EB7A27">
        <w:rPr>
          <w:rFonts w:asciiTheme="minorHAnsi" w:hAnsiTheme="minorHAnsi" w:cstheme="minorHAnsi"/>
          <w:sz w:val="26"/>
          <w:szCs w:val="26"/>
        </w:rPr>
        <w:t xml:space="preserve">main </w:t>
      </w:r>
      <w:r w:rsidR="009C2DDD" w:rsidRPr="00EB7A27">
        <w:rPr>
          <w:rFonts w:asciiTheme="minorHAnsi" w:hAnsiTheme="minorHAnsi" w:cstheme="minorHAnsi"/>
          <w:sz w:val="26"/>
          <w:szCs w:val="26"/>
        </w:rPr>
        <w:t>judgment</w:t>
      </w:r>
      <w:r w:rsidR="00154656" w:rsidRPr="00EB7A27">
        <w:rPr>
          <w:rFonts w:asciiTheme="minorHAnsi" w:hAnsiTheme="minorHAnsi" w:cstheme="minorHAnsi"/>
          <w:sz w:val="26"/>
          <w:szCs w:val="26"/>
        </w:rPr>
        <w:t xml:space="preserve"> in terms of which it ultimately remained undisputed that</w:t>
      </w:r>
      <w:r w:rsidR="00154656" w:rsidRPr="00EB7A27">
        <w:rPr>
          <w:rFonts w:asciiTheme="minorHAnsi" w:hAnsiTheme="minorHAnsi" w:cstheme="minorHAnsi"/>
          <w:color w:val="242121"/>
          <w:sz w:val="26"/>
          <w:szCs w:val="26"/>
        </w:rPr>
        <w:t xml:space="preserve"> valid contracts of suretyship concluded by the sureties were in existence; that the source of indebtedness (</w:t>
      </w:r>
      <w:r w:rsidR="00154656" w:rsidRPr="00EB7A27">
        <w:rPr>
          <w:rFonts w:asciiTheme="minorHAnsi" w:hAnsiTheme="minorHAnsi" w:cstheme="minorHAnsi"/>
          <w:i/>
          <w:iCs/>
          <w:color w:val="242121"/>
          <w:sz w:val="26"/>
          <w:szCs w:val="26"/>
        </w:rPr>
        <w:t xml:space="preserve">causa </w:t>
      </w:r>
      <w:proofErr w:type="spellStart"/>
      <w:r w:rsidR="00154656" w:rsidRPr="00EB7A27">
        <w:rPr>
          <w:rFonts w:asciiTheme="minorHAnsi" w:hAnsiTheme="minorHAnsi" w:cstheme="minorHAnsi"/>
          <w:i/>
          <w:iCs/>
          <w:color w:val="242121"/>
          <w:sz w:val="26"/>
          <w:szCs w:val="26"/>
        </w:rPr>
        <w:t>debiti</w:t>
      </w:r>
      <w:proofErr w:type="spellEnd"/>
      <w:r w:rsidR="00154656" w:rsidRPr="00EB7A27">
        <w:rPr>
          <w:rFonts w:asciiTheme="minorHAnsi" w:hAnsiTheme="minorHAnsi" w:cstheme="minorHAnsi"/>
          <w:color w:val="242121"/>
          <w:sz w:val="26"/>
          <w:szCs w:val="26"/>
        </w:rPr>
        <w:t>) in terms of such agreements was one in respect of which the sureties undertook to be liable; and that the said indebtedness was due and payable in consequence of the principal debtor’s default of payment of its outstanding liability to VBS</w:t>
      </w:r>
      <w:r w:rsidR="009C2DDD" w:rsidRPr="00EB7A27">
        <w:rPr>
          <w:rFonts w:asciiTheme="minorHAnsi" w:hAnsiTheme="minorHAnsi" w:cstheme="minorHAnsi"/>
          <w:sz w:val="26"/>
          <w:szCs w:val="26"/>
        </w:rPr>
        <w:t>.</w:t>
      </w:r>
      <w:r w:rsidR="0031742B" w:rsidRPr="00EB7A27">
        <w:rPr>
          <w:rFonts w:asciiTheme="minorHAnsi" w:hAnsiTheme="minorHAnsi" w:cstheme="minorHAnsi"/>
          <w:sz w:val="26"/>
          <w:szCs w:val="26"/>
        </w:rPr>
        <w:t xml:space="preserve"> It will be recalled that </w:t>
      </w:r>
      <w:r w:rsidR="003F3336" w:rsidRPr="00EB7A27">
        <w:rPr>
          <w:rFonts w:asciiTheme="minorHAnsi" w:hAnsiTheme="minorHAnsi" w:cstheme="minorHAnsi"/>
          <w:sz w:val="26"/>
          <w:szCs w:val="26"/>
        </w:rPr>
        <w:t xml:space="preserve">by the time the matter was argued, </w:t>
      </w:r>
      <w:r w:rsidR="0031742B" w:rsidRPr="00EB7A27">
        <w:rPr>
          <w:rFonts w:asciiTheme="minorHAnsi" w:hAnsiTheme="minorHAnsi" w:cstheme="minorHAnsi"/>
          <w:sz w:val="26"/>
          <w:szCs w:val="26"/>
        </w:rPr>
        <w:t xml:space="preserve">VBS </w:t>
      </w:r>
      <w:r w:rsidR="003835AD" w:rsidRPr="00EB7A27">
        <w:rPr>
          <w:rFonts w:asciiTheme="minorHAnsi" w:hAnsiTheme="minorHAnsi" w:cstheme="minorHAnsi"/>
          <w:sz w:val="26"/>
          <w:szCs w:val="26"/>
        </w:rPr>
        <w:t xml:space="preserve">accepted that the </w:t>
      </w:r>
      <w:r w:rsidR="003F3336" w:rsidRPr="00EB7A27">
        <w:rPr>
          <w:rFonts w:asciiTheme="minorHAnsi" w:hAnsiTheme="minorHAnsi" w:cstheme="minorHAnsi"/>
          <w:sz w:val="26"/>
          <w:szCs w:val="26"/>
        </w:rPr>
        <w:t xml:space="preserve">amount for which the sureties undertook liability, being the </w:t>
      </w:r>
      <w:r w:rsidR="00154656" w:rsidRPr="00EB7A27">
        <w:rPr>
          <w:rFonts w:asciiTheme="minorHAnsi" w:hAnsiTheme="minorHAnsi" w:cstheme="minorHAnsi"/>
          <w:sz w:val="26"/>
          <w:szCs w:val="26"/>
        </w:rPr>
        <w:t xml:space="preserve">maximum </w:t>
      </w:r>
      <w:r w:rsidR="003F3336" w:rsidRPr="00EB7A27">
        <w:rPr>
          <w:rFonts w:asciiTheme="minorHAnsi" w:hAnsiTheme="minorHAnsi" w:cstheme="minorHAnsi"/>
          <w:sz w:val="26"/>
          <w:szCs w:val="26"/>
        </w:rPr>
        <w:t>amount of R1 million</w:t>
      </w:r>
      <w:r w:rsidR="00154656" w:rsidRPr="00EB7A27">
        <w:rPr>
          <w:rFonts w:asciiTheme="minorHAnsi" w:hAnsiTheme="minorHAnsi" w:cstheme="minorHAnsi"/>
          <w:sz w:val="26"/>
          <w:szCs w:val="26"/>
        </w:rPr>
        <w:t>, was to exclude any interest charges for which the principal debtor (</w:t>
      </w:r>
      <w:proofErr w:type="spellStart"/>
      <w:r w:rsidR="00154656" w:rsidRPr="00EB7A27">
        <w:rPr>
          <w:rFonts w:asciiTheme="minorHAnsi" w:hAnsiTheme="minorHAnsi" w:cstheme="minorHAnsi"/>
          <w:sz w:val="26"/>
          <w:szCs w:val="26"/>
        </w:rPr>
        <w:t>Leratadima</w:t>
      </w:r>
      <w:proofErr w:type="spellEnd"/>
      <w:r w:rsidR="00BE6D09" w:rsidRPr="00EB7A27">
        <w:rPr>
          <w:rFonts w:asciiTheme="minorHAnsi" w:hAnsiTheme="minorHAnsi" w:cstheme="minorHAnsi"/>
          <w:sz w:val="26"/>
          <w:szCs w:val="26"/>
        </w:rPr>
        <w:t>)</w:t>
      </w:r>
      <w:r w:rsidR="003B0991" w:rsidRPr="00EB7A27">
        <w:rPr>
          <w:rFonts w:asciiTheme="minorHAnsi" w:hAnsiTheme="minorHAnsi" w:cstheme="minorHAnsi"/>
          <w:sz w:val="26"/>
          <w:szCs w:val="26"/>
        </w:rPr>
        <w:t xml:space="preserve"> </w:t>
      </w:r>
      <w:r w:rsidR="00B54079" w:rsidRPr="00EB7A27">
        <w:rPr>
          <w:rFonts w:asciiTheme="minorHAnsi" w:hAnsiTheme="minorHAnsi" w:cstheme="minorHAnsi"/>
          <w:sz w:val="26"/>
          <w:szCs w:val="26"/>
        </w:rPr>
        <w:t>was liable</w:t>
      </w:r>
      <w:r w:rsidR="00BE6D09" w:rsidRPr="00EB7A27">
        <w:rPr>
          <w:rFonts w:asciiTheme="minorHAnsi" w:hAnsiTheme="minorHAnsi" w:cstheme="minorHAnsi"/>
          <w:sz w:val="26"/>
          <w:szCs w:val="26"/>
        </w:rPr>
        <w:t xml:space="preserve">. That meant that in so far as the outstanding principal indebtedness (comprising capital, costs and charges levied in terms of the facility </w:t>
      </w:r>
      <w:proofErr w:type="gramStart"/>
      <w:r w:rsidR="00BE6D09" w:rsidRPr="00EB7A27">
        <w:rPr>
          <w:rFonts w:asciiTheme="minorHAnsi" w:hAnsiTheme="minorHAnsi" w:cstheme="minorHAnsi"/>
          <w:sz w:val="26"/>
          <w:szCs w:val="26"/>
        </w:rPr>
        <w:t>agreement, but</w:t>
      </w:r>
      <w:proofErr w:type="gramEnd"/>
      <w:r w:rsidR="00BE6D09" w:rsidRPr="00EB7A27">
        <w:rPr>
          <w:rFonts w:asciiTheme="minorHAnsi" w:hAnsiTheme="minorHAnsi" w:cstheme="minorHAnsi"/>
          <w:sz w:val="26"/>
          <w:szCs w:val="26"/>
        </w:rPr>
        <w:t xml:space="preserve"> excluding any interest charges) exceeded the amount for which the sureties undertook liability under the suretyship agreements, then the sureties would only be liable for the sum of R1 million.</w:t>
      </w:r>
      <w:r w:rsidR="003835AD" w:rsidRPr="00EB7A27">
        <w:rPr>
          <w:rFonts w:asciiTheme="minorHAnsi" w:hAnsiTheme="minorHAnsi" w:cstheme="minorHAnsi"/>
          <w:sz w:val="26"/>
          <w:szCs w:val="26"/>
        </w:rPr>
        <w:t xml:space="preserve"> </w:t>
      </w:r>
      <w:r w:rsidR="00A5281C" w:rsidRPr="00EB7A27">
        <w:rPr>
          <w:rFonts w:asciiTheme="minorHAnsi" w:hAnsiTheme="minorHAnsi" w:cstheme="minorHAnsi"/>
          <w:sz w:val="26"/>
          <w:szCs w:val="26"/>
        </w:rPr>
        <w:t xml:space="preserve">Ultimately, </w:t>
      </w:r>
      <w:r w:rsidR="003B0991" w:rsidRPr="00EB7A27">
        <w:rPr>
          <w:rFonts w:asciiTheme="minorHAnsi" w:hAnsiTheme="minorHAnsi" w:cstheme="minorHAnsi"/>
          <w:sz w:val="26"/>
          <w:szCs w:val="26"/>
        </w:rPr>
        <w:t>t</w:t>
      </w:r>
      <w:r w:rsidR="009C36D9" w:rsidRPr="00EB7A27">
        <w:rPr>
          <w:rFonts w:asciiTheme="minorHAnsi" w:hAnsiTheme="minorHAnsi" w:cstheme="minorHAnsi"/>
          <w:sz w:val="26"/>
          <w:szCs w:val="26"/>
        </w:rPr>
        <w:t>he principal debtor’s outstanding liability to VBS</w:t>
      </w:r>
      <w:r w:rsidR="003B0991" w:rsidRPr="00EB7A27">
        <w:rPr>
          <w:rFonts w:asciiTheme="minorHAnsi" w:hAnsiTheme="minorHAnsi" w:cstheme="minorHAnsi"/>
          <w:sz w:val="26"/>
          <w:szCs w:val="26"/>
        </w:rPr>
        <w:t>, which exceeded the sum of R1 million,</w:t>
      </w:r>
      <w:r w:rsidR="009C36D9" w:rsidRPr="00EB7A27">
        <w:rPr>
          <w:rFonts w:asciiTheme="minorHAnsi" w:hAnsiTheme="minorHAnsi" w:cstheme="minorHAnsi"/>
          <w:sz w:val="26"/>
          <w:szCs w:val="26"/>
        </w:rPr>
        <w:t xml:space="preserve"> was supported by a certificate of balance</w:t>
      </w:r>
      <w:r w:rsidR="003B0991" w:rsidRPr="00EB7A27">
        <w:rPr>
          <w:rFonts w:asciiTheme="minorHAnsi" w:hAnsiTheme="minorHAnsi" w:cstheme="minorHAnsi"/>
          <w:sz w:val="26"/>
          <w:szCs w:val="26"/>
        </w:rPr>
        <w:t xml:space="preserve"> which accorded with the entries appearing on </w:t>
      </w:r>
      <w:proofErr w:type="spellStart"/>
      <w:r w:rsidR="003B0991" w:rsidRPr="00EB7A27">
        <w:rPr>
          <w:rFonts w:asciiTheme="minorHAnsi" w:hAnsiTheme="minorHAnsi" w:cstheme="minorHAnsi"/>
          <w:sz w:val="26"/>
          <w:szCs w:val="26"/>
        </w:rPr>
        <w:t>Leratadima’s</w:t>
      </w:r>
      <w:proofErr w:type="spellEnd"/>
      <w:r w:rsidR="003B0991" w:rsidRPr="00EB7A27">
        <w:rPr>
          <w:rFonts w:asciiTheme="minorHAnsi" w:hAnsiTheme="minorHAnsi" w:cstheme="minorHAnsi"/>
          <w:sz w:val="26"/>
          <w:szCs w:val="26"/>
        </w:rPr>
        <w:t xml:space="preserve"> bank statement (annexure ‘FA9’ to the founding affidavit)</w:t>
      </w:r>
      <w:r w:rsidR="009C36D9" w:rsidRPr="00EB7A27">
        <w:rPr>
          <w:rFonts w:asciiTheme="minorHAnsi" w:hAnsiTheme="minorHAnsi" w:cstheme="minorHAnsi"/>
          <w:sz w:val="26"/>
          <w:szCs w:val="26"/>
        </w:rPr>
        <w:t xml:space="preserve">, the </w:t>
      </w:r>
      <w:r w:rsidR="003B0991" w:rsidRPr="00EB7A27">
        <w:rPr>
          <w:rFonts w:asciiTheme="minorHAnsi" w:hAnsiTheme="minorHAnsi" w:cstheme="minorHAnsi"/>
          <w:sz w:val="26"/>
          <w:szCs w:val="26"/>
        </w:rPr>
        <w:t xml:space="preserve">aggregate total </w:t>
      </w:r>
      <w:r w:rsidR="009C36D9" w:rsidRPr="00EB7A27">
        <w:rPr>
          <w:rFonts w:asciiTheme="minorHAnsi" w:hAnsiTheme="minorHAnsi" w:cstheme="minorHAnsi"/>
          <w:sz w:val="26"/>
          <w:szCs w:val="26"/>
        </w:rPr>
        <w:t xml:space="preserve">amount of which was not </w:t>
      </w:r>
      <w:r w:rsidR="00EE5D74" w:rsidRPr="00EB7A27">
        <w:rPr>
          <w:rFonts w:asciiTheme="minorHAnsi" w:hAnsiTheme="minorHAnsi" w:cstheme="minorHAnsi"/>
          <w:sz w:val="26"/>
          <w:szCs w:val="26"/>
        </w:rPr>
        <w:t xml:space="preserve">effectively </w:t>
      </w:r>
      <w:r w:rsidR="009C36D9" w:rsidRPr="00EB7A27">
        <w:rPr>
          <w:rFonts w:asciiTheme="minorHAnsi" w:hAnsiTheme="minorHAnsi" w:cstheme="minorHAnsi"/>
          <w:sz w:val="26"/>
          <w:szCs w:val="26"/>
        </w:rPr>
        <w:t xml:space="preserve">challenged in the answering affidavit. </w:t>
      </w:r>
      <w:r w:rsidR="00EE5D74" w:rsidRPr="00EB7A27">
        <w:rPr>
          <w:rFonts w:asciiTheme="minorHAnsi" w:hAnsiTheme="minorHAnsi" w:cstheme="minorHAnsi"/>
          <w:sz w:val="26"/>
          <w:szCs w:val="26"/>
        </w:rPr>
        <w:t xml:space="preserve">In </w:t>
      </w:r>
      <w:r w:rsidR="003B0991" w:rsidRPr="00EB7A27">
        <w:rPr>
          <w:rFonts w:asciiTheme="minorHAnsi" w:hAnsiTheme="minorHAnsi" w:cstheme="minorHAnsi"/>
          <w:sz w:val="26"/>
          <w:szCs w:val="26"/>
        </w:rPr>
        <w:t xml:space="preserve">so far as </w:t>
      </w:r>
      <w:r w:rsidR="00AF719F" w:rsidRPr="00EB7A27">
        <w:rPr>
          <w:rFonts w:asciiTheme="minorHAnsi" w:hAnsiTheme="minorHAnsi" w:cstheme="minorHAnsi"/>
          <w:sz w:val="26"/>
          <w:szCs w:val="26"/>
        </w:rPr>
        <w:t>the aggregate total</w:t>
      </w:r>
      <w:r w:rsidR="003B0991" w:rsidRPr="00EB7A27">
        <w:rPr>
          <w:rFonts w:asciiTheme="minorHAnsi" w:hAnsiTheme="minorHAnsi" w:cstheme="minorHAnsi"/>
          <w:sz w:val="26"/>
          <w:szCs w:val="26"/>
        </w:rPr>
        <w:t xml:space="preserve"> amount </w:t>
      </w:r>
      <w:r w:rsidR="00741474" w:rsidRPr="00EB7A27">
        <w:rPr>
          <w:rFonts w:asciiTheme="minorHAnsi" w:hAnsiTheme="minorHAnsi" w:cstheme="minorHAnsi"/>
          <w:sz w:val="26"/>
          <w:szCs w:val="26"/>
        </w:rPr>
        <w:t xml:space="preserve">so certified </w:t>
      </w:r>
      <w:r w:rsidR="003B0991" w:rsidRPr="00EB7A27">
        <w:rPr>
          <w:rFonts w:asciiTheme="minorHAnsi" w:hAnsiTheme="minorHAnsi" w:cstheme="minorHAnsi"/>
          <w:sz w:val="26"/>
          <w:szCs w:val="26"/>
        </w:rPr>
        <w:t>included interest, the main judgment found</w:t>
      </w:r>
      <w:r w:rsidR="00AF719F" w:rsidRPr="00EB7A27">
        <w:rPr>
          <w:rFonts w:asciiTheme="minorHAnsi" w:hAnsiTheme="minorHAnsi" w:cstheme="minorHAnsi"/>
          <w:sz w:val="26"/>
          <w:szCs w:val="26"/>
        </w:rPr>
        <w:t>,</w:t>
      </w:r>
      <w:r w:rsidR="003B0991" w:rsidRPr="00EB7A27">
        <w:rPr>
          <w:rFonts w:asciiTheme="minorHAnsi" w:hAnsiTheme="minorHAnsi" w:cstheme="minorHAnsi"/>
          <w:sz w:val="26"/>
          <w:szCs w:val="26"/>
        </w:rPr>
        <w:t xml:space="preserve"> in paragraph </w:t>
      </w:r>
      <w:r w:rsidR="00AF719F" w:rsidRPr="00EB7A27">
        <w:rPr>
          <w:rFonts w:asciiTheme="minorHAnsi" w:hAnsiTheme="minorHAnsi" w:cstheme="minorHAnsi"/>
          <w:sz w:val="26"/>
          <w:szCs w:val="26"/>
        </w:rPr>
        <w:t>60,</w:t>
      </w:r>
      <w:r w:rsidR="003B0991" w:rsidRPr="00EB7A27">
        <w:rPr>
          <w:rFonts w:asciiTheme="minorHAnsi" w:hAnsiTheme="minorHAnsi" w:cstheme="minorHAnsi"/>
          <w:sz w:val="26"/>
          <w:szCs w:val="26"/>
        </w:rPr>
        <w:t xml:space="preserve"> that the amount, sans interest, was easily ascertainable on the basis therein set out.</w:t>
      </w:r>
    </w:p>
    <w:p w14:paraId="01DF4D3C" w14:textId="77777777" w:rsidR="00BF35E9" w:rsidRDefault="00BF35E9" w:rsidP="00BF35E9">
      <w:pPr>
        <w:pStyle w:val="ListParagraph"/>
        <w:rPr>
          <w:rFonts w:asciiTheme="minorHAnsi" w:hAnsiTheme="minorHAnsi" w:cstheme="minorHAnsi"/>
          <w:sz w:val="26"/>
          <w:szCs w:val="26"/>
        </w:rPr>
      </w:pPr>
    </w:p>
    <w:p w14:paraId="6EA2A4E0" w14:textId="60185C4E" w:rsidR="00AF719F" w:rsidRPr="00EB7A27" w:rsidRDefault="00EB7A27" w:rsidP="00EB7A2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9.</w:t>
      </w:r>
      <w:r>
        <w:rPr>
          <w:rFonts w:asciiTheme="minorHAnsi" w:hAnsiTheme="minorHAnsi"/>
          <w:sz w:val="24"/>
          <w:szCs w:val="24"/>
        </w:rPr>
        <w:tab/>
      </w:r>
      <w:r w:rsidR="009C2DDD" w:rsidRPr="00EB7A27">
        <w:rPr>
          <w:rFonts w:asciiTheme="minorHAnsi" w:hAnsiTheme="minorHAnsi" w:cstheme="minorHAnsi"/>
          <w:sz w:val="26"/>
          <w:szCs w:val="26"/>
        </w:rPr>
        <w:t>Having dispassionately considered the main judgment</w:t>
      </w:r>
      <w:r w:rsidR="00AF719F" w:rsidRPr="00EB7A27">
        <w:rPr>
          <w:rFonts w:asciiTheme="minorHAnsi" w:hAnsiTheme="minorHAnsi" w:cstheme="minorHAnsi"/>
          <w:sz w:val="26"/>
          <w:szCs w:val="26"/>
        </w:rPr>
        <w:t xml:space="preserve"> and the opposing contentions of counsel in their written and oral argument</w:t>
      </w:r>
      <w:r w:rsidR="00965E88" w:rsidRPr="00EB7A27">
        <w:rPr>
          <w:rFonts w:asciiTheme="minorHAnsi" w:hAnsiTheme="minorHAnsi" w:cstheme="minorHAnsi"/>
          <w:sz w:val="26"/>
          <w:szCs w:val="26"/>
        </w:rPr>
        <w:t xml:space="preserve">, I am not left with </w:t>
      </w:r>
      <w:r w:rsidR="00965E88" w:rsidRPr="00EB7A27">
        <w:rPr>
          <w:rFonts w:asciiTheme="minorHAnsi" w:hAnsiTheme="minorHAnsi" w:cstheme="minorHAnsi"/>
          <w:sz w:val="26"/>
          <w:szCs w:val="26"/>
        </w:rPr>
        <w:lastRenderedPageBreak/>
        <w:t xml:space="preserve">any measure of certainty that there </w:t>
      </w:r>
      <w:r w:rsidR="00946E07" w:rsidRPr="00EB7A27">
        <w:rPr>
          <w:rFonts w:asciiTheme="minorHAnsi" w:hAnsiTheme="minorHAnsi" w:cstheme="minorHAnsi"/>
          <w:sz w:val="26"/>
          <w:szCs w:val="26"/>
        </w:rPr>
        <w:t>exists a reasonable prospect</w:t>
      </w:r>
      <w:r w:rsidR="00965E88" w:rsidRPr="00EB7A27">
        <w:rPr>
          <w:rFonts w:asciiTheme="minorHAnsi" w:hAnsiTheme="minorHAnsi" w:cstheme="minorHAnsi"/>
          <w:sz w:val="26"/>
          <w:szCs w:val="26"/>
        </w:rPr>
        <w:t xml:space="preserve"> of success on appeal</w:t>
      </w:r>
      <w:r w:rsidR="00AF719F" w:rsidRPr="00EB7A27">
        <w:rPr>
          <w:rFonts w:asciiTheme="minorHAnsi" w:hAnsiTheme="minorHAnsi" w:cstheme="minorHAnsi"/>
          <w:sz w:val="26"/>
          <w:szCs w:val="26"/>
        </w:rPr>
        <w:t>.</w:t>
      </w:r>
      <w:r w:rsidR="00965E88" w:rsidRPr="00EB7A27">
        <w:rPr>
          <w:rFonts w:asciiTheme="minorHAnsi" w:hAnsiTheme="minorHAnsi" w:cstheme="minorHAnsi"/>
          <w:sz w:val="26"/>
          <w:szCs w:val="26"/>
        </w:rPr>
        <w:t xml:space="preserve"> </w:t>
      </w:r>
      <w:r w:rsidR="00293ACD" w:rsidRPr="00EB7A27">
        <w:rPr>
          <w:rFonts w:asciiTheme="minorHAnsi" w:hAnsiTheme="minorHAnsi" w:cstheme="minorHAnsi"/>
          <w:sz w:val="26"/>
          <w:szCs w:val="26"/>
        </w:rPr>
        <w:t xml:space="preserve">However, </w:t>
      </w:r>
      <w:r w:rsidR="00AF719F" w:rsidRPr="00EB7A27">
        <w:rPr>
          <w:rFonts w:asciiTheme="minorHAnsi" w:hAnsiTheme="minorHAnsi" w:cstheme="minorHAnsi"/>
          <w:sz w:val="26"/>
          <w:szCs w:val="26"/>
        </w:rPr>
        <w:t>I accept that</w:t>
      </w:r>
      <w:r w:rsidR="00293ACD" w:rsidRPr="00EB7A27">
        <w:rPr>
          <w:rFonts w:asciiTheme="minorHAnsi" w:hAnsiTheme="minorHAnsi" w:cstheme="minorHAnsi"/>
          <w:sz w:val="26"/>
          <w:szCs w:val="26"/>
        </w:rPr>
        <w:t xml:space="preserve"> this court may grant leave to appeal if persuaded that compelling reasons to do so exist</w:t>
      </w:r>
      <w:r w:rsidR="00AF719F" w:rsidRPr="00EB7A27">
        <w:rPr>
          <w:rFonts w:asciiTheme="minorHAnsi" w:hAnsiTheme="minorHAnsi" w:cstheme="minorHAnsi"/>
          <w:sz w:val="26"/>
          <w:szCs w:val="26"/>
        </w:rPr>
        <w:t>.</w:t>
      </w:r>
      <w:r w:rsidR="005457DB">
        <w:rPr>
          <w:rStyle w:val="FootnoteReference"/>
          <w:rFonts w:asciiTheme="minorHAnsi" w:hAnsiTheme="minorHAnsi" w:cstheme="minorHAnsi"/>
          <w:sz w:val="26"/>
          <w:szCs w:val="26"/>
        </w:rPr>
        <w:footnoteReference w:id="3"/>
      </w:r>
      <w:r w:rsidR="00AF719F" w:rsidRPr="00EB7A27">
        <w:rPr>
          <w:rFonts w:asciiTheme="minorHAnsi" w:hAnsiTheme="minorHAnsi" w:cstheme="minorHAnsi"/>
          <w:sz w:val="26"/>
          <w:szCs w:val="26"/>
        </w:rPr>
        <w:t xml:space="preserve"> Counsel for the sureties made a compelling argument for leave to appeal to be granted </w:t>
      </w:r>
      <w:r w:rsidR="00286979" w:rsidRPr="00EB7A27">
        <w:rPr>
          <w:rFonts w:asciiTheme="minorHAnsi" w:hAnsiTheme="minorHAnsi" w:cstheme="minorHAnsi"/>
          <w:sz w:val="26"/>
          <w:szCs w:val="26"/>
        </w:rPr>
        <w:t>to the Supreme Court of Appeal</w:t>
      </w:r>
      <w:r w:rsidR="00B54079" w:rsidRPr="00EB7A27">
        <w:rPr>
          <w:rFonts w:asciiTheme="minorHAnsi" w:hAnsiTheme="minorHAnsi" w:cstheme="minorHAnsi"/>
          <w:sz w:val="26"/>
          <w:szCs w:val="26"/>
        </w:rPr>
        <w:t xml:space="preserve">, </w:t>
      </w:r>
      <w:r w:rsidR="00AF719F" w:rsidRPr="00EB7A27">
        <w:rPr>
          <w:rFonts w:asciiTheme="minorHAnsi" w:hAnsiTheme="minorHAnsi" w:cstheme="minorHAnsi"/>
          <w:sz w:val="26"/>
          <w:szCs w:val="26"/>
        </w:rPr>
        <w:t>for the following reasons:</w:t>
      </w:r>
    </w:p>
    <w:p w14:paraId="709C25E9" w14:textId="77777777" w:rsidR="00946E07" w:rsidRDefault="00946E07" w:rsidP="00946E07">
      <w:pPr>
        <w:pStyle w:val="ListParagraph"/>
        <w:spacing w:after="200" w:line="360" w:lineRule="auto"/>
        <w:ind w:left="1571"/>
        <w:jc w:val="both"/>
        <w:rPr>
          <w:rFonts w:asciiTheme="minorHAnsi" w:hAnsiTheme="minorHAnsi" w:cstheme="minorHAnsi"/>
          <w:sz w:val="26"/>
          <w:szCs w:val="26"/>
        </w:rPr>
      </w:pPr>
    </w:p>
    <w:p w14:paraId="316748F7" w14:textId="1A528A9F" w:rsidR="00F27AE8" w:rsidRPr="00EB7A27" w:rsidRDefault="00EB7A27" w:rsidP="00EB7A27">
      <w:pPr>
        <w:spacing w:after="200" w:line="360" w:lineRule="auto"/>
        <w:ind w:left="1571" w:hanging="720"/>
        <w:jc w:val="both"/>
        <w:rPr>
          <w:rFonts w:asciiTheme="minorHAnsi" w:hAnsiTheme="minorHAnsi" w:cstheme="minorHAnsi"/>
          <w:sz w:val="26"/>
          <w:szCs w:val="26"/>
        </w:rPr>
      </w:pPr>
      <w:r>
        <w:rPr>
          <w:rFonts w:asciiTheme="minorHAnsi" w:hAnsiTheme="minorHAnsi" w:cstheme="minorHAnsi"/>
          <w:sz w:val="26"/>
          <w:szCs w:val="26"/>
        </w:rPr>
        <w:t>(</w:t>
      </w:r>
      <w:proofErr w:type="spellStart"/>
      <w:r>
        <w:rPr>
          <w:rFonts w:asciiTheme="minorHAnsi" w:hAnsiTheme="minorHAnsi" w:cstheme="minorHAnsi"/>
          <w:sz w:val="26"/>
          <w:szCs w:val="26"/>
        </w:rPr>
        <w:t>i</w:t>
      </w:r>
      <w:proofErr w:type="spellEnd"/>
      <w:r>
        <w:rPr>
          <w:rFonts w:asciiTheme="minorHAnsi" w:hAnsiTheme="minorHAnsi" w:cstheme="minorHAnsi"/>
          <w:sz w:val="26"/>
          <w:szCs w:val="26"/>
        </w:rPr>
        <w:t>)</w:t>
      </w:r>
      <w:r>
        <w:rPr>
          <w:rFonts w:asciiTheme="minorHAnsi" w:hAnsiTheme="minorHAnsi" w:cstheme="minorHAnsi"/>
          <w:sz w:val="26"/>
          <w:szCs w:val="26"/>
        </w:rPr>
        <w:tab/>
      </w:r>
      <w:r w:rsidR="00B94414" w:rsidRPr="00EB7A27">
        <w:rPr>
          <w:rFonts w:asciiTheme="minorHAnsi" w:hAnsiTheme="minorHAnsi" w:cstheme="minorHAnsi"/>
          <w:sz w:val="26"/>
          <w:szCs w:val="26"/>
        </w:rPr>
        <w:t xml:space="preserve">In regard to the complaint </w:t>
      </w:r>
      <w:r w:rsidR="0014697D" w:rsidRPr="00EB7A27">
        <w:rPr>
          <w:rFonts w:asciiTheme="minorHAnsi" w:hAnsiTheme="minorHAnsi" w:cstheme="minorHAnsi"/>
          <w:sz w:val="26"/>
          <w:szCs w:val="26"/>
        </w:rPr>
        <w:t>referred to</w:t>
      </w:r>
      <w:r w:rsidR="00F27AE8" w:rsidRPr="00EB7A27">
        <w:rPr>
          <w:rFonts w:asciiTheme="minorHAnsi" w:hAnsiTheme="minorHAnsi" w:cstheme="minorHAnsi"/>
          <w:sz w:val="26"/>
          <w:szCs w:val="26"/>
        </w:rPr>
        <w:t xml:space="preserve"> in paragraphs 6.2 and 6.4 above, </w:t>
      </w:r>
      <w:r w:rsidR="00286979" w:rsidRPr="00EB7A27">
        <w:rPr>
          <w:rFonts w:asciiTheme="minorHAnsi" w:hAnsiTheme="minorHAnsi" w:cstheme="minorHAnsi"/>
          <w:sz w:val="26"/>
          <w:szCs w:val="26"/>
        </w:rPr>
        <w:t xml:space="preserve">which, </w:t>
      </w:r>
      <w:r w:rsidR="00F27AE8" w:rsidRPr="00EB7A27">
        <w:rPr>
          <w:rFonts w:asciiTheme="minorHAnsi" w:hAnsiTheme="minorHAnsi" w:cstheme="minorHAnsi"/>
          <w:sz w:val="26"/>
          <w:szCs w:val="26"/>
        </w:rPr>
        <w:t xml:space="preserve">amongst others, </w:t>
      </w:r>
      <w:r w:rsidR="00286979" w:rsidRPr="00EB7A27">
        <w:rPr>
          <w:rFonts w:asciiTheme="minorHAnsi" w:hAnsiTheme="minorHAnsi" w:cstheme="minorHAnsi"/>
          <w:sz w:val="26"/>
          <w:szCs w:val="26"/>
        </w:rPr>
        <w:t xml:space="preserve">was </w:t>
      </w:r>
      <w:r w:rsidR="00B94414" w:rsidRPr="00EB7A27">
        <w:rPr>
          <w:rFonts w:asciiTheme="minorHAnsi" w:hAnsiTheme="minorHAnsi" w:cstheme="minorHAnsi"/>
          <w:sz w:val="26"/>
          <w:szCs w:val="26"/>
        </w:rPr>
        <w:t xml:space="preserve">that no factual evidence was provided in the founding affidavit to underpin or support the </w:t>
      </w:r>
      <w:r w:rsidR="00F27AE8" w:rsidRPr="00EB7A27">
        <w:rPr>
          <w:rFonts w:asciiTheme="minorHAnsi" w:hAnsiTheme="minorHAnsi" w:cstheme="minorHAnsi"/>
          <w:sz w:val="26"/>
          <w:szCs w:val="26"/>
        </w:rPr>
        <w:t>judgment,</w:t>
      </w:r>
      <w:r w:rsidR="00F27AE8">
        <w:rPr>
          <w:rStyle w:val="FootnoteReference"/>
          <w:rFonts w:asciiTheme="minorHAnsi" w:hAnsiTheme="minorHAnsi" w:cstheme="minorHAnsi"/>
          <w:sz w:val="26"/>
          <w:szCs w:val="26"/>
        </w:rPr>
        <w:footnoteReference w:id="4"/>
      </w:r>
      <w:r w:rsidR="00F27AE8" w:rsidRPr="00EB7A27">
        <w:rPr>
          <w:rFonts w:asciiTheme="minorHAnsi" w:hAnsiTheme="minorHAnsi" w:cstheme="minorHAnsi"/>
          <w:sz w:val="26"/>
          <w:szCs w:val="26"/>
        </w:rPr>
        <w:t xml:space="preserve"> </w:t>
      </w:r>
      <w:r w:rsidR="00B94414" w:rsidRPr="00EB7A27">
        <w:rPr>
          <w:rFonts w:asciiTheme="minorHAnsi" w:hAnsiTheme="minorHAnsi" w:cstheme="minorHAnsi"/>
          <w:sz w:val="26"/>
          <w:szCs w:val="26"/>
        </w:rPr>
        <w:t xml:space="preserve">the legal point on which clarification by a superior court is sought is whether and to what extent </w:t>
      </w:r>
      <w:r w:rsidR="00F27AE8" w:rsidRPr="00EB7A27">
        <w:rPr>
          <w:rFonts w:asciiTheme="minorHAnsi" w:hAnsiTheme="minorHAnsi" w:cstheme="minorHAnsi"/>
          <w:sz w:val="26"/>
          <w:szCs w:val="26"/>
        </w:rPr>
        <w:t xml:space="preserve">the lack of objection in the </w:t>
      </w:r>
      <w:r w:rsidR="00B94414" w:rsidRPr="00EB7A27">
        <w:rPr>
          <w:rFonts w:asciiTheme="minorHAnsi" w:hAnsiTheme="minorHAnsi" w:cstheme="minorHAnsi"/>
          <w:sz w:val="26"/>
          <w:szCs w:val="26"/>
        </w:rPr>
        <w:t>answering affidavit could cure the alleged defects in VBS’s founding papers</w:t>
      </w:r>
      <w:r w:rsidR="00F27AE8" w:rsidRPr="00EB7A27">
        <w:rPr>
          <w:rFonts w:asciiTheme="minorHAnsi" w:hAnsiTheme="minorHAnsi" w:cstheme="minorHAnsi"/>
          <w:sz w:val="26"/>
          <w:szCs w:val="26"/>
        </w:rPr>
        <w:t xml:space="preserve"> and its reliance on </w:t>
      </w:r>
      <w:r w:rsidR="00B54079" w:rsidRPr="00EB7A27">
        <w:rPr>
          <w:rFonts w:asciiTheme="minorHAnsi" w:hAnsiTheme="minorHAnsi" w:cstheme="minorHAnsi"/>
          <w:sz w:val="26"/>
          <w:szCs w:val="26"/>
        </w:rPr>
        <w:t>‘</w:t>
      </w:r>
      <w:r w:rsidR="00F27AE8" w:rsidRPr="00EB7A27">
        <w:rPr>
          <w:rFonts w:asciiTheme="minorHAnsi" w:hAnsiTheme="minorHAnsi" w:cstheme="minorHAnsi"/>
          <w:sz w:val="26"/>
          <w:szCs w:val="26"/>
        </w:rPr>
        <w:t>hearsay</w:t>
      </w:r>
      <w:r w:rsidR="00B54079" w:rsidRPr="00EB7A27">
        <w:rPr>
          <w:rFonts w:asciiTheme="minorHAnsi" w:hAnsiTheme="minorHAnsi" w:cstheme="minorHAnsi"/>
          <w:sz w:val="26"/>
          <w:szCs w:val="26"/>
        </w:rPr>
        <w:t>’</w:t>
      </w:r>
      <w:r w:rsidR="00F27AE8" w:rsidRPr="00EB7A27">
        <w:rPr>
          <w:rFonts w:asciiTheme="minorHAnsi" w:hAnsiTheme="minorHAnsi" w:cstheme="minorHAnsi"/>
          <w:sz w:val="26"/>
          <w:szCs w:val="26"/>
        </w:rPr>
        <w:t xml:space="preserve"> evidence</w:t>
      </w:r>
      <w:r w:rsidR="0077376D" w:rsidRPr="00EB7A27">
        <w:rPr>
          <w:rFonts w:asciiTheme="minorHAnsi" w:hAnsiTheme="minorHAnsi" w:cstheme="minorHAnsi"/>
          <w:sz w:val="26"/>
          <w:szCs w:val="26"/>
        </w:rPr>
        <w:t xml:space="preserve"> contained in annexure ‘FA9’ to the founding affidavit</w:t>
      </w:r>
      <w:r w:rsidR="00B94414" w:rsidRPr="00EB7A27">
        <w:rPr>
          <w:rFonts w:asciiTheme="minorHAnsi" w:hAnsiTheme="minorHAnsi" w:cstheme="minorHAnsi"/>
          <w:sz w:val="26"/>
          <w:szCs w:val="26"/>
        </w:rPr>
        <w:t xml:space="preserve">; </w:t>
      </w:r>
    </w:p>
    <w:p w14:paraId="6267062B" w14:textId="77777777" w:rsidR="00CC1279" w:rsidRDefault="00CC1279" w:rsidP="00CC1279">
      <w:pPr>
        <w:pStyle w:val="ListParagraph"/>
        <w:spacing w:after="200" w:line="360" w:lineRule="auto"/>
        <w:ind w:left="1571"/>
        <w:jc w:val="both"/>
        <w:rPr>
          <w:rFonts w:asciiTheme="minorHAnsi" w:hAnsiTheme="minorHAnsi" w:cstheme="minorHAnsi"/>
          <w:sz w:val="26"/>
          <w:szCs w:val="26"/>
        </w:rPr>
      </w:pPr>
    </w:p>
    <w:p w14:paraId="256482AE" w14:textId="473B25B8" w:rsidR="007D4DEF" w:rsidRPr="00EB7A27" w:rsidRDefault="00EB7A27" w:rsidP="00EB7A27">
      <w:pPr>
        <w:spacing w:after="200" w:line="360" w:lineRule="auto"/>
        <w:ind w:left="1571" w:hanging="720"/>
        <w:jc w:val="both"/>
        <w:rPr>
          <w:rFonts w:asciiTheme="minorHAnsi" w:hAnsiTheme="minorHAnsi" w:cstheme="minorHAnsi"/>
          <w:sz w:val="26"/>
          <w:szCs w:val="26"/>
        </w:rPr>
      </w:pPr>
      <w:r>
        <w:rPr>
          <w:rFonts w:asciiTheme="minorHAnsi" w:hAnsiTheme="minorHAnsi" w:cstheme="minorHAnsi"/>
          <w:sz w:val="26"/>
          <w:szCs w:val="26"/>
        </w:rPr>
        <w:lastRenderedPageBreak/>
        <w:t>(ii)</w:t>
      </w:r>
      <w:r>
        <w:rPr>
          <w:rFonts w:asciiTheme="minorHAnsi" w:hAnsiTheme="minorHAnsi" w:cstheme="minorHAnsi"/>
          <w:sz w:val="26"/>
          <w:szCs w:val="26"/>
        </w:rPr>
        <w:tab/>
      </w:r>
      <w:r w:rsidR="0014697D" w:rsidRPr="00EB7A27">
        <w:rPr>
          <w:rFonts w:asciiTheme="minorHAnsi" w:hAnsiTheme="minorHAnsi" w:cstheme="minorHAnsi"/>
          <w:sz w:val="26"/>
          <w:szCs w:val="26"/>
        </w:rPr>
        <w:t xml:space="preserve">In regard to the </w:t>
      </w:r>
      <w:proofErr w:type="spellStart"/>
      <w:r w:rsidR="0014697D" w:rsidRPr="00EB7A27">
        <w:rPr>
          <w:rFonts w:asciiTheme="minorHAnsi" w:hAnsiTheme="minorHAnsi" w:cstheme="minorHAnsi"/>
          <w:i/>
          <w:sz w:val="26"/>
          <w:szCs w:val="26"/>
        </w:rPr>
        <w:t>audi</w:t>
      </w:r>
      <w:proofErr w:type="spellEnd"/>
      <w:r w:rsidR="0014697D" w:rsidRPr="00EB7A27">
        <w:rPr>
          <w:rFonts w:asciiTheme="minorHAnsi" w:hAnsiTheme="minorHAnsi" w:cstheme="minorHAnsi"/>
          <w:i/>
          <w:sz w:val="26"/>
          <w:szCs w:val="26"/>
        </w:rPr>
        <w:t xml:space="preserve"> alteram partem </w:t>
      </w:r>
      <w:r w:rsidR="0014697D" w:rsidRPr="00EB7A27">
        <w:rPr>
          <w:rFonts w:asciiTheme="minorHAnsi" w:hAnsiTheme="minorHAnsi" w:cstheme="minorHAnsi"/>
          <w:sz w:val="26"/>
          <w:szCs w:val="26"/>
        </w:rPr>
        <w:t>complaint referred to in paragraph 6.3 above,</w:t>
      </w:r>
      <w:r w:rsidR="00527C5E">
        <w:rPr>
          <w:rStyle w:val="FootnoteReference"/>
          <w:rFonts w:asciiTheme="minorHAnsi" w:hAnsiTheme="minorHAnsi" w:cstheme="minorHAnsi"/>
          <w:sz w:val="26"/>
          <w:szCs w:val="26"/>
        </w:rPr>
        <w:footnoteReference w:id="5"/>
      </w:r>
      <w:r w:rsidR="0014697D" w:rsidRPr="00EB7A27">
        <w:rPr>
          <w:rFonts w:asciiTheme="minorHAnsi" w:hAnsiTheme="minorHAnsi" w:cstheme="minorHAnsi"/>
          <w:sz w:val="26"/>
          <w:szCs w:val="26"/>
        </w:rPr>
        <w:t xml:space="preserve"> </w:t>
      </w:r>
      <w:r w:rsidR="005457DB" w:rsidRPr="00EB7A27">
        <w:rPr>
          <w:rFonts w:asciiTheme="minorHAnsi" w:hAnsiTheme="minorHAnsi" w:cstheme="minorHAnsi"/>
          <w:sz w:val="26"/>
          <w:szCs w:val="26"/>
        </w:rPr>
        <w:t xml:space="preserve">the legal point on which clarification is sought by a superior court is </w:t>
      </w:r>
      <w:r w:rsidR="0014697D" w:rsidRPr="00EB7A27">
        <w:rPr>
          <w:rFonts w:asciiTheme="minorHAnsi" w:hAnsiTheme="minorHAnsi" w:cstheme="minorHAnsi"/>
          <w:sz w:val="26"/>
          <w:szCs w:val="26"/>
        </w:rPr>
        <w:t>whether</w:t>
      </w:r>
      <w:r w:rsidR="00B54079" w:rsidRPr="00EB7A27">
        <w:rPr>
          <w:rFonts w:asciiTheme="minorHAnsi" w:hAnsiTheme="minorHAnsi" w:cstheme="minorHAnsi"/>
          <w:sz w:val="26"/>
          <w:szCs w:val="26"/>
        </w:rPr>
        <w:t>,</w:t>
      </w:r>
      <w:r w:rsidR="0014697D" w:rsidRPr="00EB7A27">
        <w:rPr>
          <w:rFonts w:asciiTheme="minorHAnsi" w:hAnsiTheme="minorHAnsi" w:cstheme="minorHAnsi"/>
          <w:sz w:val="26"/>
          <w:szCs w:val="26"/>
        </w:rPr>
        <w:t xml:space="preserve"> in the absence of a party</w:t>
      </w:r>
      <w:r w:rsidR="0077376D" w:rsidRPr="00EB7A27">
        <w:rPr>
          <w:rFonts w:asciiTheme="minorHAnsi" w:hAnsiTheme="minorHAnsi" w:cstheme="minorHAnsi"/>
          <w:sz w:val="26"/>
          <w:szCs w:val="26"/>
        </w:rPr>
        <w:t xml:space="preserve"> –which party</w:t>
      </w:r>
      <w:r w:rsidR="0014697D" w:rsidRPr="00EB7A27">
        <w:rPr>
          <w:rFonts w:asciiTheme="minorHAnsi" w:hAnsiTheme="minorHAnsi" w:cstheme="minorHAnsi"/>
          <w:sz w:val="26"/>
          <w:szCs w:val="26"/>
        </w:rPr>
        <w:t xml:space="preserve"> </w:t>
      </w:r>
      <w:r w:rsidR="0077376D" w:rsidRPr="00EB7A27">
        <w:rPr>
          <w:rFonts w:asciiTheme="minorHAnsi" w:hAnsiTheme="minorHAnsi" w:cstheme="minorHAnsi"/>
          <w:sz w:val="26"/>
          <w:szCs w:val="26"/>
        </w:rPr>
        <w:t xml:space="preserve">is legally represented and </w:t>
      </w:r>
      <w:r w:rsidR="0014697D" w:rsidRPr="00EB7A27">
        <w:rPr>
          <w:rFonts w:asciiTheme="minorHAnsi" w:hAnsiTheme="minorHAnsi" w:cstheme="minorHAnsi"/>
          <w:sz w:val="26"/>
          <w:szCs w:val="26"/>
        </w:rPr>
        <w:t xml:space="preserve">who </w:t>
      </w:r>
      <w:r w:rsidR="00B54079" w:rsidRPr="00EB7A27">
        <w:rPr>
          <w:rFonts w:asciiTheme="minorHAnsi" w:hAnsiTheme="minorHAnsi" w:cstheme="minorHAnsi"/>
          <w:sz w:val="26"/>
          <w:szCs w:val="26"/>
        </w:rPr>
        <w:t xml:space="preserve">has at all material times enjoyed the benefit of legal advice and who </w:t>
      </w:r>
      <w:r w:rsidR="0014697D" w:rsidRPr="00EB7A27">
        <w:rPr>
          <w:rFonts w:asciiTheme="minorHAnsi" w:hAnsiTheme="minorHAnsi" w:cstheme="minorHAnsi"/>
          <w:sz w:val="26"/>
          <w:szCs w:val="26"/>
        </w:rPr>
        <w:t>asserts that new matter is contained in the replying affidavit</w:t>
      </w:r>
      <w:r w:rsidR="0077376D" w:rsidRPr="00EB7A27">
        <w:rPr>
          <w:rFonts w:asciiTheme="minorHAnsi" w:hAnsiTheme="minorHAnsi" w:cstheme="minorHAnsi"/>
          <w:sz w:val="26"/>
          <w:szCs w:val="26"/>
        </w:rPr>
        <w:t xml:space="preserve"> - </w:t>
      </w:r>
      <w:r w:rsidR="00B54079" w:rsidRPr="00EB7A27">
        <w:rPr>
          <w:rFonts w:asciiTheme="minorHAnsi" w:hAnsiTheme="minorHAnsi" w:cstheme="minorHAnsi"/>
          <w:sz w:val="26"/>
          <w:szCs w:val="26"/>
        </w:rPr>
        <w:t xml:space="preserve"> </w:t>
      </w:r>
      <w:r w:rsidR="00EE4F8D" w:rsidRPr="00EB7A27">
        <w:rPr>
          <w:rFonts w:asciiTheme="minorHAnsi" w:hAnsiTheme="minorHAnsi" w:cstheme="minorHAnsi"/>
          <w:sz w:val="26"/>
          <w:szCs w:val="26"/>
        </w:rPr>
        <w:t>to</w:t>
      </w:r>
      <w:r w:rsidR="0014697D" w:rsidRPr="00EB7A27">
        <w:rPr>
          <w:rFonts w:asciiTheme="minorHAnsi" w:hAnsiTheme="minorHAnsi" w:cstheme="minorHAnsi"/>
          <w:sz w:val="26"/>
          <w:szCs w:val="26"/>
        </w:rPr>
        <w:t xml:space="preserve"> </w:t>
      </w:r>
      <w:r w:rsidR="00EE4F8D" w:rsidRPr="00EB7A27">
        <w:rPr>
          <w:rFonts w:asciiTheme="minorHAnsi" w:hAnsiTheme="minorHAnsi" w:cstheme="minorHAnsi"/>
          <w:sz w:val="26"/>
          <w:szCs w:val="26"/>
        </w:rPr>
        <w:t xml:space="preserve">avail him/herself </w:t>
      </w:r>
      <w:r w:rsidR="0014697D" w:rsidRPr="00EB7A27">
        <w:rPr>
          <w:rFonts w:asciiTheme="minorHAnsi" w:hAnsiTheme="minorHAnsi" w:cstheme="minorHAnsi"/>
          <w:sz w:val="26"/>
          <w:szCs w:val="26"/>
        </w:rPr>
        <w:t xml:space="preserve">of the right to </w:t>
      </w:r>
      <w:r w:rsidR="00527C5E" w:rsidRPr="00EB7A27">
        <w:rPr>
          <w:rFonts w:asciiTheme="minorHAnsi" w:hAnsiTheme="minorHAnsi" w:cstheme="minorHAnsi"/>
          <w:sz w:val="26"/>
          <w:szCs w:val="26"/>
        </w:rPr>
        <w:t xml:space="preserve">apply for leave to </w:t>
      </w:r>
      <w:r w:rsidR="0014697D" w:rsidRPr="00EB7A27">
        <w:rPr>
          <w:rFonts w:asciiTheme="minorHAnsi" w:hAnsiTheme="minorHAnsi" w:cstheme="minorHAnsi"/>
          <w:sz w:val="26"/>
          <w:szCs w:val="26"/>
        </w:rPr>
        <w:t xml:space="preserve">file a supplementary affidavit </w:t>
      </w:r>
      <w:r w:rsidR="00B54079" w:rsidRPr="00EB7A27">
        <w:rPr>
          <w:rFonts w:asciiTheme="minorHAnsi" w:hAnsiTheme="minorHAnsi" w:cstheme="minorHAnsi"/>
          <w:sz w:val="26"/>
          <w:szCs w:val="26"/>
        </w:rPr>
        <w:t xml:space="preserve">in order </w:t>
      </w:r>
      <w:r w:rsidR="00527C5E" w:rsidRPr="00EB7A27">
        <w:rPr>
          <w:rFonts w:asciiTheme="minorHAnsi" w:hAnsiTheme="minorHAnsi" w:cstheme="minorHAnsi"/>
          <w:sz w:val="26"/>
          <w:szCs w:val="26"/>
        </w:rPr>
        <w:t>to deal therewith</w:t>
      </w:r>
      <w:r w:rsidR="00B54079" w:rsidRPr="00EB7A27">
        <w:rPr>
          <w:rFonts w:asciiTheme="minorHAnsi" w:hAnsiTheme="minorHAnsi" w:cstheme="minorHAnsi"/>
          <w:sz w:val="26"/>
          <w:szCs w:val="26"/>
        </w:rPr>
        <w:t>, it is incumbent on a court</w:t>
      </w:r>
      <w:r w:rsidR="00527C5E" w:rsidRPr="00EB7A27">
        <w:rPr>
          <w:rFonts w:asciiTheme="minorHAnsi" w:hAnsiTheme="minorHAnsi" w:cstheme="minorHAnsi"/>
          <w:sz w:val="26"/>
          <w:szCs w:val="26"/>
        </w:rPr>
        <w:t xml:space="preserve"> </w:t>
      </w:r>
      <w:r w:rsidR="0014697D" w:rsidRPr="00EB7A27">
        <w:rPr>
          <w:rFonts w:asciiTheme="minorHAnsi" w:hAnsiTheme="minorHAnsi" w:cstheme="minorHAnsi"/>
          <w:sz w:val="26"/>
          <w:szCs w:val="26"/>
        </w:rPr>
        <w:t xml:space="preserve">to </w:t>
      </w:r>
      <w:r w:rsidR="00EE4F8D" w:rsidRPr="00EB7A27">
        <w:rPr>
          <w:rFonts w:asciiTheme="minorHAnsi" w:hAnsiTheme="minorHAnsi" w:cstheme="minorHAnsi"/>
          <w:sz w:val="26"/>
          <w:szCs w:val="26"/>
        </w:rPr>
        <w:t xml:space="preserve">either </w:t>
      </w:r>
      <w:r w:rsidR="00527C5E" w:rsidRPr="00EB7A27">
        <w:rPr>
          <w:rFonts w:asciiTheme="minorHAnsi" w:hAnsiTheme="minorHAnsi" w:cstheme="minorHAnsi"/>
          <w:sz w:val="26"/>
          <w:szCs w:val="26"/>
        </w:rPr>
        <w:t xml:space="preserve">disregard new matter raised in the replying affidavit </w:t>
      </w:r>
      <w:r w:rsidR="0037058E" w:rsidRPr="00EB7A27">
        <w:rPr>
          <w:rFonts w:asciiTheme="minorHAnsi" w:hAnsiTheme="minorHAnsi" w:cstheme="minorHAnsi"/>
          <w:sz w:val="26"/>
          <w:szCs w:val="26"/>
        </w:rPr>
        <w:t>(t</w:t>
      </w:r>
      <w:r w:rsidR="00514D13" w:rsidRPr="00EB7A27">
        <w:rPr>
          <w:rFonts w:asciiTheme="minorHAnsi" w:hAnsiTheme="minorHAnsi" w:cstheme="minorHAnsi"/>
          <w:sz w:val="26"/>
          <w:szCs w:val="26"/>
        </w:rPr>
        <w:t>h</w:t>
      </w:r>
      <w:r w:rsidR="0037058E" w:rsidRPr="00EB7A27">
        <w:rPr>
          <w:rFonts w:asciiTheme="minorHAnsi" w:hAnsiTheme="minorHAnsi" w:cstheme="minorHAnsi"/>
          <w:sz w:val="26"/>
          <w:szCs w:val="26"/>
        </w:rPr>
        <w:t xml:space="preserve">e implication being that a court has no discretion to </w:t>
      </w:r>
      <w:r w:rsidR="00514D13" w:rsidRPr="00EB7A27">
        <w:rPr>
          <w:rFonts w:asciiTheme="minorHAnsi" w:hAnsiTheme="minorHAnsi" w:cstheme="minorHAnsi"/>
          <w:sz w:val="26"/>
          <w:szCs w:val="26"/>
        </w:rPr>
        <w:t>have regard to same</w:t>
      </w:r>
      <w:r w:rsidR="0037058E" w:rsidRPr="00EB7A27">
        <w:rPr>
          <w:rFonts w:asciiTheme="minorHAnsi" w:hAnsiTheme="minorHAnsi" w:cstheme="minorHAnsi"/>
          <w:sz w:val="26"/>
          <w:szCs w:val="26"/>
        </w:rPr>
        <w:t xml:space="preserve"> ) </w:t>
      </w:r>
      <w:r w:rsidR="00EE4F8D" w:rsidRPr="00EB7A27">
        <w:rPr>
          <w:rFonts w:asciiTheme="minorHAnsi" w:hAnsiTheme="minorHAnsi" w:cstheme="minorHAnsi"/>
          <w:sz w:val="26"/>
          <w:szCs w:val="26"/>
        </w:rPr>
        <w:t xml:space="preserve">or to </w:t>
      </w:r>
      <w:proofErr w:type="spellStart"/>
      <w:r w:rsidR="00EE4F8D" w:rsidRPr="00EB7A27">
        <w:rPr>
          <w:rFonts w:asciiTheme="minorHAnsi" w:hAnsiTheme="minorHAnsi" w:cstheme="minorHAnsi"/>
          <w:i/>
          <w:sz w:val="26"/>
          <w:szCs w:val="26"/>
        </w:rPr>
        <w:t>mero</w:t>
      </w:r>
      <w:proofErr w:type="spellEnd"/>
      <w:r w:rsidR="00EE4F8D" w:rsidRPr="00EB7A27">
        <w:rPr>
          <w:rFonts w:asciiTheme="minorHAnsi" w:hAnsiTheme="minorHAnsi" w:cstheme="minorHAnsi"/>
          <w:i/>
          <w:sz w:val="26"/>
          <w:szCs w:val="26"/>
        </w:rPr>
        <w:t xml:space="preserve"> motu</w:t>
      </w:r>
      <w:r w:rsidR="00EE4F8D" w:rsidRPr="00EB7A27">
        <w:rPr>
          <w:rFonts w:asciiTheme="minorHAnsi" w:hAnsiTheme="minorHAnsi" w:cstheme="minorHAnsi"/>
          <w:sz w:val="26"/>
          <w:szCs w:val="26"/>
        </w:rPr>
        <w:t xml:space="preserve"> postpone the hearing of the matter to allow </w:t>
      </w:r>
      <w:r w:rsidR="00B54079" w:rsidRPr="00EB7A27">
        <w:rPr>
          <w:rFonts w:asciiTheme="minorHAnsi" w:hAnsiTheme="minorHAnsi" w:cstheme="minorHAnsi"/>
          <w:sz w:val="26"/>
          <w:szCs w:val="26"/>
        </w:rPr>
        <w:t xml:space="preserve">for </w:t>
      </w:r>
      <w:r w:rsidR="00EE4F8D" w:rsidRPr="00EB7A27">
        <w:rPr>
          <w:rFonts w:asciiTheme="minorHAnsi" w:hAnsiTheme="minorHAnsi" w:cstheme="minorHAnsi"/>
          <w:sz w:val="26"/>
          <w:szCs w:val="26"/>
        </w:rPr>
        <w:t>the filing by the respondents of a supplementary affidavit</w:t>
      </w:r>
      <w:r w:rsidR="00B54079" w:rsidRPr="00EB7A27">
        <w:rPr>
          <w:rFonts w:asciiTheme="minorHAnsi" w:hAnsiTheme="minorHAnsi" w:cstheme="minorHAnsi"/>
          <w:sz w:val="26"/>
          <w:szCs w:val="26"/>
        </w:rPr>
        <w:t>,</w:t>
      </w:r>
      <w:r w:rsidR="00527C5E" w:rsidRPr="00EB7A27">
        <w:rPr>
          <w:rFonts w:asciiTheme="minorHAnsi" w:hAnsiTheme="minorHAnsi" w:cstheme="minorHAnsi"/>
          <w:sz w:val="26"/>
          <w:szCs w:val="26"/>
        </w:rPr>
        <w:t xml:space="preserve"> </w:t>
      </w:r>
      <w:r w:rsidR="00EE4F8D" w:rsidRPr="00EB7A27">
        <w:rPr>
          <w:rFonts w:asciiTheme="minorHAnsi" w:hAnsiTheme="minorHAnsi" w:cstheme="minorHAnsi"/>
          <w:sz w:val="26"/>
          <w:szCs w:val="26"/>
        </w:rPr>
        <w:t xml:space="preserve">so as not to infringe the </w:t>
      </w:r>
      <w:proofErr w:type="spellStart"/>
      <w:r w:rsidR="00EE4F8D" w:rsidRPr="00EB7A27">
        <w:rPr>
          <w:rFonts w:asciiTheme="minorHAnsi" w:hAnsiTheme="minorHAnsi" w:cstheme="minorHAnsi"/>
          <w:i/>
          <w:sz w:val="26"/>
          <w:szCs w:val="26"/>
        </w:rPr>
        <w:t>audi</w:t>
      </w:r>
      <w:proofErr w:type="spellEnd"/>
      <w:r w:rsidR="00EE4F8D" w:rsidRPr="00EB7A27">
        <w:rPr>
          <w:rFonts w:asciiTheme="minorHAnsi" w:hAnsiTheme="minorHAnsi" w:cstheme="minorHAnsi"/>
          <w:i/>
          <w:sz w:val="26"/>
          <w:szCs w:val="26"/>
        </w:rPr>
        <w:t xml:space="preserve"> alter</w:t>
      </w:r>
      <w:r w:rsidR="00CC1279" w:rsidRPr="00EB7A27">
        <w:rPr>
          <w:rFonts w:asciiTheme="minorHAnsi" w:hAnsiTheme="minorHAnsi" w:cstheme="minorHAnsi"/>
          <w:i/>
          <w:sz w:val="26"/>
          <w:szCs w:val="26"/>
        </w:rPr>
        <w:t>a</w:t>
      </w:r>
      <w:r w:rsidR="00EE4F8D" w:rsidRPr="00EB7A27">
        <w:rPr>
          <w:rFonts w:asciiTheme="minorHAnsi" w:hAnsiTheme="minorHAnsi" w:cstheme="minorHAnsi"/>
          <w:i/>
          <w:sz w:val="26"/>
          <w:szCs w:val="26"/>
        </w:rPr>
        <w:t xml:space="preserve">m partem </w:t>
      </w:r>
      <w:r w:rsidR="00EE4F8D" w:rsidRPr="00EB7A27">
        <w:rPr>
          <w:rFonts w:asciiTheme="minorHAnsi" w:hAnsiTheme="minorHAnsi" w:cstheme="minorHAnsi"/>
          <w:sz w:val="26"/>
          <w:szCs w:val="26"/>
        </w:rPr>
        <w:t>principle;</w:t>
      </w:r>
    </w:p>
    <w:p w14:paraId="1BF605A2" w14:textId="77777777" w:rsidR="00514D13" w:rsidRDefault="00514D13" w:rsidP="00514D13">
      <w:pPr>
        <w:pStyle w:val="ListParagraph"/>
        <w:spacing w:after="200" w:line="360" w:lineRule="auto"/>
        <w:ind w:left="1571"/>
        <w:jc w:val="both"/>
        <w:rPr>
          <w:rFonts w:asciiTheme="minorHAnsi" w:hAnsiTheme="minorHAnsi" w:cstheme="minorHAnsi"/>
          <w:sz w:val="26"/>
          <w:szCs w:val="26"/>
        </w:rPr>
      </w:pPr>
    </w:p>
    <w:p w14:paraId="4842E913" w14:textId="0AE95FBF" w:rsidR="00EE4F8D" w:rsidRPr="00EB7A27" w:rsidRDefault="00EB7A27" w:rsidP="00EB7A27">
      <w:pPr>
        <w:spacing w:after="200" w:line="360" w:lineRule="auto"/>
        <w:ind w:left="1571" w:hanging="720"/>
        <w:jc w:val="both"/>
        <w:rPr>
          <w:rFonts w:asciiTheme="minorHAnsi" w:hAnsiTheme="minorHAnsi" w:cstheme="minorHAnsi"/>
          <w:sz w:val="26"/>
          <w:szCs w:val="26"/>
        </w:rPr>
      </w:pPr>
      <w:r>
        <w:rPr>
          <w:rFonts w:asciiTheme="minorHAnsi" w:hAnsiTheme="minorHAnsi" w:cstheme="minorHAnsi"/>
          <w:sz w:val="26"/>
          <w:szCs w:val="26"/>
        </w:rPr>
        <w:t>(iii)</w:t>
      </w:r>
      <w:r>
        <w:rPr>
          <w:rFonts w:asciiTheme="minorHAnsi" w:hAnsiTheme="minorHAnsi" w:cstheme="minorHAnsi"/>
          <w:sz w:val="26"/>
          <w:szCs w:val="26"/>
        </w:rPr>
        <w:tab/>
      </w:r>
      <w:r w:rsidR="00CC1279" w:rsidRPr="00EB7A27">
        <w:rPr>
          <w:rFonts w:asciiTheme="minorHAnsi" w:hAnsiTheme="minorHAnsi" w:cstheme="minorHAnsi"/>
          <w:sz w:val="26"/>
          <w:szCs w:val="26"/>
        </w:rPr>
        <w:t>Aligned to (</w:t>
      </w:r>
      <w:proofErr w:type="spellStart"/>
      <w:r w:rsidR="00CC1279" w:rsidRPr="00EB7A27">
        <w:rPr>
          <w:rFonts w:asciiTheme="minorHAnsi" w:hAnsiTheme="minorHAnsi" w:cstheme="minorHAnsi"/>
          <w:sz w:val="26"/>
          <w:szCs w:val="26"/>
        </w:rPr>
        <w:t>i</w:t>
      </w:r>
      <w:proofErr w:type="spellEnd"/>
      <w:r w:rsidR="00CC1279" w:rsidRPr="00EB7A27">
        <w:rPr>
          <w:rFonts w:asciiTheme="minorHAnsi" w:hAnsiTheme="minorHAnsi" w:cstheme="minorHAnsi"/>
          <w:sz w:val="26"/>
          <w:szCs w:val="26"/>
        </w:rPr>
        <w:t xml:space="preserve">) above, </w:t>
      </w:r>
      <w:r w:rsidR="005457DB" w:rsidRPr="00EB7A27">
        <w:rPr>
          <w:rFonts w:asciiTheme="minorHAnsi" w:hAnsiTheme="minorHAnsi" w:cstheme="minorHAnsi"/>
          <w:sz w:val="26"/>
          <w:szCs w:val="26"/>
        </w:rPr>
        <w:t xml:space="preserve">the legal point on which clarification is sought by a superior court is </w:t>
      </w:r>
      <w:r w:rsidR="00CC1279" w:rsidRPr="00EB7A27">
        <w:rPr>
          <w:rFonts w:asciiTheme="minorHAnsi" w:hAnsiTheme="minorHAnsi" w:cstheme="minorHAnsi"/>
          <w:sz w:val="26"/>
          <w:szCs w:val="26"/>
        </w:rPr>
        <w:t>w</w:t>
      </w:r>
      <w:r w:rsidR="00EE4F8D" w:rsidRPr="00EB7A27">
        <w:rPr>
          <w:rFonts w:asciiTheme="minorHAnsi" w:hAnsiTheme="minorHAnsi" w:cstheme="minorHAnsi"/>
          <w:sz w:val="26"/>
          <w:szCs w:val="26"/>
        </w:rPr>
        <w:t>hether, in a claim based on the enforcement of a suretyship contract (as opposed to a claim based on the enforcement of the main loan agreement) the failure to allege and prove the fulfilment of suspensive conditions governing the main contract</w:t>
      </w:r>
      <w:r w:rsidR="00CC1279" w:rsidRPr="00EB7A27">
        <w:rPr>
          <w:rFonts w:asciiTheme="minorHAnsi" w:hAnsiTheme="minorHAnsi" w:cstheme="minorHAnsi"/>
          <w:sz w:val="26"/>
          <w:szCs w:val="26"/>
        </w:rPr>
        <w:t>,</w:t>
      </w:r>
      <w:r w:rsidR="00EE4F8D" w:rsidRPr="00EB7A27">
        <w:rPr>
          <w:rFonts w:asciiTheme="minorHAnsi" w:hAnsiTheme="minorHAnsi" w:cstheme="minorHAnsi"/>
          <w:sz w:val="26"/>
          <w:szCs w:val="26"/>
        </w:rPr>
        <w:t xml:space="preserve"> which </w:t>
      </w:r>
      <w:r w:rsidR="00741474" w:rsidRPr="00EB7A27">
        <w:rPr>
          <w:rFonts w:asciiTheme="minorHAnsi" w:hAnsiTheme="minorHAnsi" w:cstheme="minorHAnsi"/>
          <w:sz w:val="26"/>
          <w:szCs w:val="26"/>
        </w:rPr>
        <w:t xml:space="preserve">contract, as </w:t>
      </w:r>
      <w:r w:rsidR="00514D13" w:rsidRPr="00EB7A27">
        <w:rPr>
          <w:rFonts w:asciiTheme="minorHAnsi" w:hAnsiTheme="minorHAnsi" w:cstheme="minorHAnsi"/>
          <w:sz w:val="26"/>
          <w:szCs w:val="26"/>
        </w:rPr>
        <w:t>wa</w:t>
      </w:r>
      <w:r w:rsidR="00EE4F8D" w:rsidRPr="00EB7A27">
        <w:rPr>
          <w:rFonts w:asciiTheme="minorHAnsi" w:hAnsiTheme="minorHAnsi" w:cstheme="minorHAnsi"/>
          <w:sz w:val="26"/>
          <w:szCs w:val="26"/>
        </w:rPr>
        <w:t>s common cause</w:t>
      </w:r>
      <w:r w:rsidR="00514D13" w:rsidRPr="00EB7A27">
        <w:rPr>
          <w:rFonts w:asciiTheme="minorHAnsi" w:hAnsiTheme="minorHAnsi" w:cstheme="minorHAnsi"/>
          <w:sz w:val="26"/>
          <w:szCs w:val="26"/>
        </w:rPr>
        <w:t>,</w:t>
      </w:r>
      <w:r w:rsidR="00EE4F8D" w:rsidRPr="00EB7A27">
        <w:rPr>
          <w:rFonts w:asciiTheme="minorHAnsi" w:hAnsiTheme="minorHAnsi" w:cstheme="minorHAnsi"/>
          <w:sz w:val="26"/>
          <w:szCs w:val="26"/>
        </w:rPr>
        <w:t xml:space="preserve"> was enforceable</w:t>
      </w:r>
      <w:r w:rsidR="00741474" w:rsidRPr="00EB7A27">
        <w:rPr>
          <w:rFonts w:asciiTheme="minorHAnsi" w:hAnsiTheme="minorHAnsi" w:cstheme="minorHAnsi"/>
          <w:sz w:val="26"/>
          <w:szCs w:val="26"/>
        </w:rPr>
        <w:t xml:space="preserve"> and</w:t>
      </w:r>
      <w:r w:rsidR="00EE4F8D" w:rsidRPr="00EB7A27">
        <w:rPr>
          <w:rFonts w:asciiTheme="minorHAnsi" w:hAnsiTheme="minorHAnsi" w:cstheme="minorHAnsi"/>
          <w:sz w:val="26"/>
          <w:szCs w:val="26"/>
        </w:rPr>
        <w:t xml:space="preserve"> </w:t>
      </w:r>
      <w:r w:rsidR="00741474" w:rsidRPr="00EB7A27">
        <w:rPr>
          <w:rFonts w:asciiTheme="minorHAnsi" w:hAnsiTheme="minorHAnsi" w:cstheme="minorHAnsi"/>
          <w:sz w:val="26"/>
          <w:szCs w:val="26"/>
        </w:rPr>
        <w:t xml:space="preserve">was </w:t>
      </w:r>
      <w:r w:rsidR="00514D13" w:rsidRPr="00EB7A27">
        <w:rPr>
          <w:rFonts w:asciiTheme="minorHAnsi" w:hAnsiTheme="minorHAnsi" w:cstheme="minorHAnsi"/>
          <w:sz w:val="26"/>
          <w:szCs w:val="26"/>
        </w:rPr>
        <w:t>performed</w:t>
      </w:r>
      <w:r w:rsidR="00EE4F8D" w:rsidRPr="00EB7A27">
        <w:rPr>
          <w:rFonts w:asciiTheme="minorHAnsi" w:hAnsiTheme="minorHAnsi" w:cstheme="minorHAnsi"/>
          <w:sz w:val="26"/>
          <w:szCs w:val="26"/>
        </w:rPr>
        <w:t xml:space="preserve"> by the contracting parties</w:t>
      </w:r>
      <w:r w:rsidR="00CC1279" w:rsidRPr="00EB7A27">
        <w:rPr>
          <w:rFonts w:asciiTheme="minorHAnsi" w:hAnsiTheme="minorHAnsi" w:cstheme="minorHAnsi"/>
          <w:sz w:val="26"/>
          <w:szCs w:val="26"/>
        </w:rPr>
        <w:t xml:space="preserve"> (VBS and </w:t>
      </w:r>
      <w:proofErr w:type="spellStart"/>
      <w:r w:rsidR="00CC1279" w:rsidRPr="00EB7A27">
        <w:rPr>
          <w:rFonts w:asciiTheme="minorHAnsi" w:hAnsiTheme="minorHAnsi" w:cstheme="minorHAnsi"/>
          <w:sz w:val="26"/>
          <w:szCs w:val="26"/>
        </w:rPr>
        <w:t>Leratadima</w:t>
      </w:r>
      <w:proofErr w:type="spellEnd"/>
      <w:r w:rsidR="00CC1279" w:rsidRPr="00EB7A27">
        <w:rPr>
          <w:rFonts w:asciiTheme="minorHAnsi" w:hAnsiTheme="minorHAnsi" w:cstheme="minorHAnsi"/>
          <w:sz w:val="26"/>
          <w:szCs w:val="26"/>
        </w:rPr>
        <w:t xml:space="preserve">) and which </w:t>
      </w:r>
      <w:r w:rsidR="00741474" w:rsidRPr="00EB7A27">
        <w:rPr>
          <w:rFonts w:asciiTheme="minorHAnsi" w:hAnsiTheme="minorHAnsi" w:cstheme="minorHAnsi"/>
          <w:sz w:val="26"/>
          <w:szCs w:val="26"/>
        </w:rPr>
        <w:t xml:space="preserve">contract </w:t>
      </w:r>
      <w:r w:rsidR="00CC1279" w:rsidRPr="00EB7A27">
        <w:rPr>
          <w:rFonts w:asciiTheme="minorHAnsi" w:hAnsiTheme="minorHAnsi" w:cstheme="minorHAnsi"/>
          <w:sz w:val="26"/>
          <w:szCs w:val="26"/>
        </w:rPr>
        <w:t xml:space="preserve">was also relied on by the sureties </w:t>
      </w:r>
      <w:r w:rsidR="005457DB" w:rsidRPr="00EB7A27">
        <w:rPr>
          <w:rFonts w:asciiTheme="minorHAnsi" w:hAnsiTheme="minorHAnsi" w:cstheme="minorHAnsi"/>
          <w:sz w:val="26"/>
          <w:szCs w:val="26"/>
        </w:rPr>
        <w:t xml:space="preserve">in the answering affidavit </w:t>
      </w:r>
      <w:r w:rsidR="00CC1279" w:rsidRPr="00EB7A27">
        <w:rPr>
          <w:rFonts w:asciiTheme="minorHAnsi" w:hAnsiTheme="minorHAnsi" w:cstheme="minorHAnsi"/>
          <w:sz w:val="26"/>
          <w:szCs w:val="26"/>
        </w:rPr>
        <w:t>as being extant and in force</w:t>
      </w:r>
      <w:r w:rsidR="00EE4F8D" w:rsidRPr="00EB7A27">
        <w:rPr>
          <w:rFonts w:asciiTheme="minorHAnsi" w:hAnsiTheme="minorHAnsi" w:cstheme="minorHAnsi"/>
          <w:sz w:val="26"/>
          <w:szCs w:val="26"/>
        </w:rPr>
        <w:t>, renders the claim against the sureties fatally defective</w:t>
      </w:r>
      <w:r w:rsidR="00CC1279" w:rsidRPr="00EB7A27">
        <w:rPr>
          <w:rFonts w:asciiTheme="minorHAnsi" w:hAnsiTheme="minorHAnsi" w:cstheme="minorHAnsi"/>
          <w:sz w:val="26"/>
          <w:szCs w:val="26"/>
        </w:rPr>
        <w:t>,</w:t>
      </w:r>
      <w:r w:rsidR="00EE4F8D" w:rsidRPr="00EB7A27">
        <w:rPr>
          <w:rFonts w:asciiTheme="minorHAnsi" w:hAnsiTheme="minorHAnsi" w:cstheme="minorHAnsi"/>
          <w:sz w:val="26"/>
          <w:szCs w:val="26"/>
        </w:rPr>
        <w:t xml:space="preserve"> warranting the dismissal thereof</w:t>
      </w:r>
      <w:r w:rsidR="005457DB" w:rsidRPr="00EB7A27">
        <w:rPr>
          <w:rFonts w:asciiTheme="minorHAnsi" w:hAnsiTheme="minorHAnsi" w:cstheme="minorHAnsi"/>
          <w:sz w:val="26"/>
          <w:szCs w:val="26"/>
        </w:rPr>
        <w:t xml:space="preserve">; </w:t>
      </w:r>
      <w:r w:rsidR="00CC1279" w:rsidRPr="00EB7A27">
        <w:rPr>
          <w:rFonts w:asciiTheme="minorHAnsi" w:hAnsiTheme="minorHAnsi" w:cstheme="minorHAnsi"/>
          <w:sz w:val="26"/>
          <w:szCs w:val="26"/>
        </w:rPr>
        <w:t xml:space="preserve">and </w:t>
      </w:r>
      <w:r w:rsidR="00741474" w:rsidRPr="00EB7A27">
        <w:rPr>
          <w:rFonts w:asciiTheme="minorHAnsi" w:hAnsiTheme="minorHAnsi" w:cstheme="minorHAnsi"/>
          <w:sz w:val="26"/>
          <w:szCs w:val="26"/>
        </w:rPr>
        <w:t xml:space="preserve">in addition, </w:t>
      </w:r>
      <w:r w:rsidR="00CC1279" w:rsidRPr="00EB7A27">
        <w:rPr>
          <w:rFonts w:asciiTheme="minorHAnsi" w:hAnsiTheme="minorHAnsi" w:cstheme="minorHAnsi"/>
          <w:sz w:val="26"/>
          <w:szCs w:val="26"/>
        </w:rPr>
        <w:t>whether the invalidity of the main contract can</w:t>
      </w:r>
      <w:r w:rsidR="0037058E" w:rsidRPr="00EB7A27">
        <w:rPr>
          <w:rFonts w:asciiTheme="minorHAnsi" w:hAnsiTheme="minorHAnsi" w:cstheme="minorHAnsi"/>
          <w:sz w:val="26"/>
          <w:szCs w:val="26"/>
        </w:rPr>
        <w:t>, as a matter of law,</w:t>
      </w:r>
      <w:r w:rsidR="00CC1279" w:rsidRPr="00EB7A27">
        <w:rPr>
          <w:rFonts w:asciiTheme="minorHAnsi" w:hAnsiTheme="minorHAnsi" w:cstheme="minorHAnsi"/>
          <w:sz w:val="26"/>
          <w:szCs w:val="26"/>
        </w:rPr>
        <w:t xml:space="preserve"> be asserted </w:t>
      </w:r>
      <w:r w:rsidR="005457DB" w:rsidRPr="00EB7A27">
        <w:rPr>
          <w:rFonts w:asciiTheme="minorHAnsi" w:hAnsiTheme="minorHAnsi" w:cstheme="minorHAnsi"/>
          <w:sz w:val="26"/>
          <w:szCs w:val="26"/>
        </w:rPr>
        <w:lastRenderedPageBreak/>
        <w:t xml:space="preserve">in argument by the sureties </w:t>
      </w:r>
      <w:r w:rsidR="00CC1279" w:rsidRPr="00EB7A27">
        <w:rPr>
          <w:rFonts w:asciiTheme="minorHAnsi" w:hAnsiTheme="minorHAnsi" w:cstheme="minorHAnsi"/>
          <w:sz w:val="26"/>
          <w:szCs w:val="26"/>
        </w:rPr>
        <w:t xml:space="preserve">without same having been pleaded </w:t>
      </w:r>
      <w:r w:rsidR="00741474" w:rsidRPr="00EB7A27">
        <w:rPr>
          <w:rFonts w:asciiTheme="minorHAnsi" w:hAnsiTheme="minorHAnsi" w:cstheme="minorHAnsi"/>
          <w:sz w:val="26"/>
          <w:szCs w:val="26"/>
        </w:rPr>
        <w:t xml:space="preserve">by them </w:t>
      </w:r>
      <w:r w:rsidR="00CC1279" w:rsidRPr="00EB7A27">
        <w:rPr>
          <w:rFonts w:asciiTheme="minorHAnsi" w:hAnsiTheme="minorHAnsi" w:cstheme="minorHAnsi"/>
          <w:sz w:val="26"/>
          <w:szCs w:val="26"/>
        </w:rPr>
        <w:t>in the answering affidavit</w:t>
      </w:r>
      <w:r w:rsidR="00EE4F8D" w:rsidRPr="00EB7A27">
        <w:rPr>
          <w:rFonts w:asciiTheme="minorHAnsi" w:hAnsiTheme="minorHAnsi" w:cstheme="minorHAnsi"/>
          <w:sz w:val="26"/>
          <w:szCs w:val="26"/>
        </w:rPr>
        <w:t>.</w:t>
      </w:r>
      <w:r w:rsidR="00CC1279" w:rsidRPr="00EB7A27">
        <w:rPr>
          <w:rFonts w:asciiTheme="minorHAnsi" w:hAnsiTheme="minorHAnsi" w:cstheme="minorHAnsi"/>
          <w:sz w:val="26"/>
          <w:szCs w:val="26"/>
        </w:rPr>
        <w:t xml:space="preserve"> </w:t>
      </w:r>
    </w:p>
    <w:p w14:paraId="49F453D8" w14:textId="77777777" w:rsidR="00BF35E9" w:rsidRDefault="00BF35E9" w:rsidP="00BF35E9">
      <w:pPr>
        <w:pStyle w:val="ListParagraph"/>
        <w:rPr>
          <w:rFonts w:asciiTheme="minorHAnsi" w:hAnsiTheme="minorHAnsi" w:cstheme="minorHAnsi"/>
          <w:sz w:val="26"/>
          <w:szCs w:val="26"/>
        </w:rPr>
      </w:pPr>
    </w:p>
    <w:p w14:paraId="3D416C6C" w14:textId="3CE1C927" w:rsidR="00BF35E9" w:rsidRPr="00EB7A27" w:rsidRDefault="00EB7A27" w:rsidP="00EB7A2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w:t>
      </w:r>
      <w:r>
        <w:rPr>
          <w:rFonts w:asciiTheme="minorHAnsi" w:hAnsiTheme="minorHAnsi"/>
          <w:sz w:val="24"/>
          <w:szCs w:val="24"/>
        </w:rPr>
        <w:tab/>
      </w:r>
      <w:r w:rsidR="0037058E" w:rsidRPr="00EB7A27">
        <w:rPr>
          <w:rFonts w:asciiTheme="minorHAnsi" w:hAnsiTheme="minorHAnsi" w:cstheme="minorHAnsi"/>
          <w:sz w:val="26"/>
          <w:szCs w:val="26"/>
        </w:rPr>
        <w:t>In the result, I make the following order:</w:t>
      </w:r>
    </w:p>
    <w:p w14:paraId="11E934BE" w14:textId="5CD59B23" w:rsidR="0037058E" w:rsidRPr="00EB7A27" w:rsidRDefault="00EB7A27" w:rsidP="00EB7A2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10.1.</w:t>
      </w:r>
      <w:r>
        <w:rPr>
          <w:rFonts w:asciiTheme="minorHAnsi" w:hAnsiTheme="minorHAnsi"/>
          <w:sz w:val="24"/>
          <w:szCs w:val="24"/>
        </w:rPr>
        <w:tab/>
      </w:r>
      <w:r w:rsidR="0037058E" w:rsidRPr="00EB7A27">
        <w:rPr>
          <w:rFonts w:asciiTheme="minorHAnsi" w:hAnsiTheme="minorHAnsi" w:cstheme="minorHAnsi"/>
          <w:sz w:val="26"/>
          <w:szCs w:val="26"/>
        </w:rPr>
        <w:t>Leave to appeal to the Supreme Court of Appeal is granted.</w:t>
      </w:r>
    </w:p>
    <w:p w14:paraId="3A9917C5" w14:textId="5B466270" w:rsidR="0037058E" w:rsidRPr="00EB7A27" w:rsidRDefault="00EB7A27" w:rsidP="00EB7A2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10.2.</w:t>
      </w:r>
      <w:r>
        <w:rPr>
          <w:rFonts w:asciiTheme="minorHAnsi" w:hAnsiTheme="minorHAnsi"/>
          <w:sz w:val="24"/>
          <w:szCs w:val="24"/>
        </w:rPr>
        <w:tab/>
      </w:r>
      <w:r w:rsidR="0037058E" w:rsidRPr="00EB7A27">
        <w:rPr>
          <w:rFonts w:asciiTheme="minorHAnsi" w:hAnsiTheme="minorHAnsi" w:cstheme="minorHAnsi"/>
          <w:sz w:val="26"/>
          <w:szCs w:val="26"/>
        </w:rPr>
        <w:t>The costs of the application for leave to appeal are costs in the cause of the appeal.</w:t>
      </w:r>
    </w:p>
    <w:p w14:paraId="1E31A3A1" w14:textId="77777777" w:rsidR="00BF35E9" w:rsidRPr="006D429B" w:rsidRDefault="00BF35E9" w:rsidP="00BF35E9">
      <w:pPr>
        <w:pStyle w:val="ListParagraph"/>
        <w:rPr>
          <w:rFonts w:asciiTheme="minorHAnsi" w:hAnsiTheme="minorHAnsi" w:cstheme="minorHAnsi"/>
          <w:sz w:val="26"/>
          <w:szCs w:val="26"/>
        </w:rPr>
      </w:pPr>
    </w:p>
    <w:p w14:paraId="715F20C4" w14:textId="77777777" w:rsidR="00BF35E9" w:rsidRPr="00F945BC" w:rsidRDefault="00BF35E9" w:rsidP="00BF35E9">
      <w:pPr>
        <w:pStyle w:val="ListParagraph"/>
        <w:rPr>
          <w:rFonts w:asciiTheme="minorHAnsi" w:hAnsiTheme="minorHAnsi" w:cstheme="minorHAnsi"/>
          <w:sz w:val="26"/>
          <w:szCs w:val="26"/>
        </w:rPr>
      </w:pPr>
    </w:p>
    <w:p w14:paraId="6978F1C4" w14:textId="77777777" w:rsidR="00BF35E9" w:rsidRPr="00F945BC" w:rsidRDefault="00BF35E9" w:rsidP="00BF35E9">
      <w:pPr>
        <w:pStyle w:val="ListParagraph"/>
        <w:rPr>
          <w:rFonts w:asciiTheme="minorHAnsi" w:hAnsiTheme="minorHAnsi" w:cstheme="minorHAnsi"/>
          <w:sz w:val="26"/>
          <w:szCs w:val="26"/>
        </w:rPr>
      </w:pPr>
    </w:p>
    <w:p w14:paraId="5FDFE210" w14:textId="77777777" w:rsidR="00BF35E9" w:rsidRPr="00C5002D" w:rsidRDefault="00BF35E9" w:rsidP="00BF35E9">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14:paraId="2AF0754D" w14:textId="77777777" w:rsidR="00BF35E9" w:rsidRPr="00877F1E" w:rsidRDefault="00BF35E9" w:rsidP="00BF35E9">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14:paraId="65D0DD9E" w14:textId="77777777" w:rsidR="00BF35E9" w:rsidRPr="00877F1E" w:rsidRDefault="00BF35E9" w:rsidP="00BF35E9">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14:paraId="18D2DDA7" w14:textId="77777777" w:rsidR="00BF35E9" w:rsidRPr="00877F1E" w:rsidRDefault="00BF35E9" w:rsidP="00BF35E9">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14:paraId="6C8E0EAE" w14:textId="77777777" w:rsidR="00BF35E9" w:rsidRDefault="00BF35E9" w:rsidP="00BF35E9">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14:paraId="20D62033" w14:textId="77777777" w:rsidR="00BF35E9" w:rsidRDefault="00BF35E9" w:rsidP="00BF35E9">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14:paraId="519E0916" w14:textId="77777777" w:rsidR="00BF35E9" w:rsidRPr="008E28FB" w:rsidRDefault="00BF35E9" w:rsidP="00BF35E9">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37058E">
        <w:rPr>
          <w:rFonts w:asciiTheme="minorHAnsi" w:hAnsiTheme="minorHAnsi" w:cstheme="minorHAnsi"/>
          <w:sz w:val="24"/>
          <w:szCs w:val="24"/>
        </w:rPr>
        <w:t>25 April 2023</w:t>
      </w:r>
    </w:p>
    <w:p w14:paraId="36CF728D" w14:textId="77777777" w:rsidR="00BF35E9" w:rsidRPr="008E28FB" w:rsidRDefault="00BF35E9" w:rsidP="00BF35E9">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37058E">
        <w:rPr>
          <w:rFonts w:asciiTheme="minorHAnsi" w:hAnsiTheme="minorHAnsi" w:cstheme="minorHAnsi"/>
          <w:sz w:val="24"/>
          <w:szCs w:val="24"/>
        </w:rPr>
        <w:t>29 May 2023</w:t>
      </w:r>
    </w:p>
    <w:p w14:paraId="4F6A51BB" w14:textId="77777777" w:rsidR="00BF35E9" w:rsidRDefault="00BF35E9" w:rsidP="00BF35E9">
      <w:pPr>
        <w:pStyle w:val="ListParagraph"/>
        <w:ind w:left="0"/>
        <w:rPr>
          <w:rFonts w:asciiTheme="minorHAnsi" w:hAnsiTheme="minorHAnsi" w:cstheme="minorHAnsi"/>
          <w:sz w:val="24"/>
          <w:szCs w:val="24"/>
        </w:rPr>
      </w:pPr>
    </w:p>
    <w:p w14:paraId="3CCE49DA" w14:textId="77777777" w:rsidR="00BF35E9" w:rsidRDefault="00BF35E9" w:rsidP="00BF35E9">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w:t>
      </w:r>
      <w:proofErr w:type="spellStart"/>
      <w:r w:rsidRPr="00D626A3">
        <w:rPr>
          <w:i/>
        </w:rPr>
        <w:t>Caselines</w:t>
      </w:r>
      <w:proofErr w:type="spellEnd"/>
      <w:r w:rsidRPr="00D626A3">
        <w:rPr>
          <w:i/>
        </w:rPr>
        <w:t xml:space="preserve"> and release to SAFLII. The date and time for hand-down is deemed to </w:t>
      </w:r>
      <w:proofErr w:type="gramStart"/>
      <w:r w:rsidRPr="00D626A3">
        <w:rPr>
          <w:i/>
        </w:rPr>
        <w:t>be have</w:t>
      </w:r>
      <w:proofErr w:type="gramEnd"/>
      <w:r w:rsidRPr="00D626A3">
        <w:rPr>
          <w:i/>
        </w:rPr>
        <w:t xml:space="preserve"> been at 10h00 on</w:t>
      </w:r>
      <w:r>
        <w:rPr>
          <w:i/>
        </w:rPr>
        <w:t xml:space="preserve"> </w:t>
      </w:r>
      <w:r w:rsidR="0037058E">
        <w:rPr>
          <w:i/>
        </w:rPr>
        <w:t>29 May</w:t>
      </w:r>
      <w:r>
        <w:rPr>
          <w:i/>
        </w:rPr>
        <w:t xml:space="preserve"> 2023</w:t>
      </w:r>
      <w:r w:rsidRPr="00D626A3">
        <w:rPr>
          <w:i/>
        </w:rPr>
        <w:t>.</w:t>
      </w:r>
    </w:p>
    <w:p w14:paraId="50F3FEA5" w14:textId="77777777" w:rsidR="00BF35E9" w:rsidRDefault="00BF35E9" w:rsidP="00BF35E9">
      <w:pPr>
        <w:pStyle w:val="ListParagraph"/>
        <w:ind w:left="0"/>
        <w:rPr>
          <w:rFonts w:asciiTheme="minorHAnsi" w:hAnsiTheme="minorHAnsi" w:cstheme="minorHAnsi"/>
          <w:sz w:val="24"/>
          <w:szCs w:val="24"/>
        </w:rPr>
      </w:pPr>
    </w:p>
    <w:p w14:paraId="3B7CE099" w14:textId="77777777" w:rsidR="00BF35E9" w:rsidRPr="008E28FB" w:rsidRDefault="00BF35E9" w:rsidP="00BF35E9">
      <w:pPr>
        <w:pStyle w:val="ListParagraph"/>
        <w:ind w:left="0"/>
        <w:rPr>
          <w:rFonts w:asciiTheme="minorHAnsi" w:hAnsiTheme="minorHAnsi" w:cstheme="minorHAnsi"/>
          <w:sz w:val="24"/>
          <w:szCs w:val="24"/>
        </w:rPr>
      </w:pPr>
    </w:p>
    <w:p w14:paraId="40C1338F" w14:textId="77777777" w:rsidR="00BF35E9" w:rsidRPr="008E28FB" w:rsidRDefault="00BF35E9" w:rsidP="00BF35E9">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14:paraId="4EE3D6F4" w14:textId="77777777" w:rsidR="00BF35E9" w:rsidRPr="008E28FB" w:rsidRDefault="00BF35E9" w:rsidP="00BF35E9">
      <w:pPr>
        <w:pStyle w:val="ListParagraph"/>
        <w:ind w:left="0"/>
        <w:rPr>
          <w:rFonts w:asciiTheme="minorHAnsi" w:hAnsiTheme="minorHAnsi" w:cstheme="minorHAnsi"/>
          <w:sz w:val="24"/>
          <w:szCs w:val="24"/>
        </w:rPr>
      </w:pPr>
    </w:p>
    <w:p w14:paraId="15BA3EF6" w14:textId="77777777" w:rsidR="0037058E" w:rsidRDefault="00BF35E9" w:rsidP="00BF35E9">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Applicant</w:t>
      </w:r>
      <w:r w:rsidR="0037058E">
        <w:rPr>
          <w:rFonts w:asciiTheme="minorHAnsi" w:hAnsiTheme="minorHAnsi" w:cstheme="minorHAnsi"/>
          <w:sz w:val="24"/>
          <w:szCs w:val="24"/>
        </w:rPr>
        <w:t xml:space="preserve">s (leave to </w:t>
      </w:r>
      <w:proofErr w:type="gramStart"/>
      <w:r w:rsidR="0037058E">
        <w:rPr>
          <w:rFonts w:asciiTheme="minorHAnsi" w:hAnsiTheme="minorHAnsi" w:cstheme="minorHAnsi"/>
          <w:sz w:val="24"/>
          <w:szCs w:val="24"/>
        </w:rPr>
        <w:t>Appeal</w:t>
      </w:r>
      <w:proofErr w:type="gramEnd"/>
      <w:r w:rsidR="0037058E">
        <w:rPr>
          <w:rFonts w:asciiTheme="minorHAnsi" w:hAnsiTheme="minorHAnsi" w:cstheme="minorHAnsi"/>
          <w:sz w:val="24"/>
          <w:szCs w:val="24"/>
        </w:rPr>
        <w:t>):</w:t>
      </w:r>
      <w:r>
        <w:rPr>
          <w:rFonts w:asciiTheme="minorHAnsi" w:hAnsiTheme="minorHAnsi" w:cstheme="minorHAnsi"/>
          <w:sz w:val="24"/>
          <w:szCs w:val="24"/>
        </w:rPr>
        <w:tab/>
      </w:r>
      <w:r w:rsidR="0037058E">
        <w:rPr>
          <w:rFonts w:asciiTheme="minorHAnsi" w:hAnsiTheme="minorHAnsi" w:cstheme="minorHAnsi"/>
          <w:sz w:val="24"/>
          <w:szCs w:val="24"/>
        </w:rPr>
        <w:tab/>
      </w:r>
      <w:r w:rsidR="0037058E">
        <w:t>Adv SG Maritz SC</w:t>
      </w:r>
    </w:p>
    <w:p w14:paraId="250E218F" w14:textId="77777777" w:rsidR="0037058E" w:rsidRDefault="0037058E" w:rsidP="0037058E">
      <w:r>
        <w:t>Instructed by</w:t>
      </w:r>
      <w:r>
        <w:tab/>
      </w:r>
      <w:r>
        <w:tab/>
        <w:t>:</w:t>
      </w:r>
      <w:r>
        <w:tab/>
      </w:r>
      <w:r>
        <w:tab/>
      </w:r>
      <w:r>
        <w:tab/>
      </w:r>
      <w:r>
        <w:tab/>
      </w:r>
      <w:proofErr w:type="spellStart"/>
      <w:r>
        <w:t>Carreira</w:t>
      </w:r>
      <w:proofErr w:type="spellEnd"/>
      <w:r>
        <w:t xml:space="preserve"> &amp; Associates Inc.</w:t>
      </w:r>
    </w:p>
    <w:p w14:paraId="2A2A3BA6" w14:textId="77777777" w:rsidR="0037058E" w:rsidRDefault="0037058E" w:rsidP="00BF35E9">
      <w:pPr>
        <w:pStyle w:val="ListParagraph"/>
        <w:tabs>
          <w:tab w:val="left" w:pos="2977"/>
        </w:tabs>
        <w:ind w:left="0"/>
        <w:rPr>
          <w:rFonts w:asciiTheme="minorHAnsi" w:hAnsiTheme="minorHAnsi" w:cstheme="minorHAnsi"/>
          <w:sz w:val="24"/>
          <w:szCs w:val="24"/>
        </w:rPr>
      </w:pPr>
    </w:p>
    <w:p w14:paraId="313F1AD5" w14:textId="77777777" w:rsidR="00BF35E9" w:rsidRPr="008E28FB" w:rsidRDefault="00BF35E9" w:rsidP="00BF35E9">
      <w:pPr>
        <w:ind w:left="4320" w:hanging="4320"/>
        <w:jc w:val="both"/>
        <w:rPr>
          <w:rFonts w:asciiTheme="minorHAnsi" w:hAnsiTheme="minorHAnsi" w:cstheme="minorHAnsi"/>
          <w:sz w:val="24"/>
          <w:szCs w:val="24"/>
        </w:rPr>
      </w:pPr>
    </w:p>
    <w:p w14:paraId="5CF53AD0" w14:textId="77777777" w:rsidR="00BF35E9" w:rsidRDefault="00BF35E9" w:rsidP="00BF35E9">
      <w:r>
        <w:t>Counsel for Respondents</w:t>
      </w:r>
      <w:r w:rsidR="0037058E">
        <w:t xml:space="preserve"> (leave to appeal)</w:t>
      </w:r>
      <w:r>
        <w:t>:</w:t>
      </w:r>
      <w:r w:rsidR="0037058E">
        <w:tab/>
      </w:r>
      <w:r w:rsidR="0037058E">
        <w:rPr>
          <w:rFonts w:asciiTheme="minorHAnsi" w:hAnsiTheme="minorHAnsi" w:cstheme="minorHAnsi"/>
          <w:sz w:val="24"/>
          <w:szCs w:val="24"/>
        </w:rPr>
        <w:t>Adv E. Van Vuuren SC</w:t>
      </w:r>
    </w:p>
    <w:p w14:paraId="46DE2ACF" w14:textId="77777777" w:rsidR="00BF35E9" w:rsidRDefault="0037058E" w:rsidP="00BF35E9">
      <w:r>
        <w:rPr>
          <w:rFonts w:asciiTheme="minorHAnsi" w:hAnsiTheme="minorHAnsi" w:cstheme="minorHAnsi"/>
          <w:sz w:val="24"/>
          <w:szCs w:val="24"/>
        </w:rPr>
        <w:t>Instructed by</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roofErr w:type="spellStart"/>
      <w:r>
        <w:rPr>
          <w:rFonts w:asciiTheme="minorHAnsi" w:hAnsiTheme="minorHAnsi" w:cstheme="minorHAnsi"/>
          <w:sz w:val="24"/>
          <w:szCs w:val="24"/>
        </w:rPr>
        <w:t>Werksmans</w:t>
      </w:r>
      <w:proofErr w:type="spellEnd"/>
      <w:r>
        <w:rPr>
          <w:rFonts w:asciiTheme="minorHAnsi" w:hAnsiTheme="minorHAnsi" w:cstheme="minorHAnsi"/>
          <w:sz w:val="24"/>
          <w:szCs w:val="24"/>
        </w:rPr>
        <w:t xml:space="preserve"> Attorneys</w:t>
      </w:r>
    </w:p>
    <w:p w14:paraId="541D1A98" w14:textId="77777777" w:rsidR="00BF35E9" w:rsidRDefault="00BF35E9" w:rsidP="00BF35E9"/>
    <w:p w14:paraId="7B92196C" w14:textId="77777777" w:rsidR="00EE114F" w:rsidRDefault="00EE114F"/>
    <w:sectPr w:rsidR="00EE114F" w:rsidSect="00CC1279">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9095" w14:textId="77777777" w:rsidR="00411013" w:rsidRDefault="00411013" w:rsidP="00BF35E9">
      <w:r>
        <w:separator/>
      </w:r>
    </w:p>
  </w:endnote>
  <w:endnote w:type="continuationSeparator" w:id="0">
    <w:p w14:paraId="2505E02B" w14:textId="77777777" w:rsidR="00411013" w:rsidRDefault="00411013" w:rsidP="00BF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E4B3" w14:textId="77777777" w:rsidR="00411013" w:rsidRDefault="00411013" w:rsidP="00BF35E9">
      <w:r>
        <w:separator/>
      </w:r>
    </w:p>
  </w:footnote>
  <w:footnote w:type="continuationSeparator" w:id="0">
    <w:p w14:paraId="760AC2FA" w14:textId="77777777" w:rsidR="00411013" w:rsidRDefault="00411013" w:rsidP="00BF35E9">
      <w:r>
        <w:continuationSeparator/>
      </w:r>
    </w:p>
  </w:footnote>
  <w:footnote w:id="1">
    <w:p w14:paraId="493430F6" w14:textId="77777777" w:rsidR="00254B3F" w:rsidRPr="00254B3F" w:rsidRDefault="00254B3F">
      <w:pPr>
        <w:pStyle w:val="FootnoteText"/>
        <w:rPr>
          <w:lang w:val="en-US"/>
        </w:rPr>
      </w:pPr>
      <w:r>
        <w:rPr>
          <w:rStyle w:val="FootnoteReference"/>
        </w:rPr>
        <w:footnoteRef/>
      </w:r>
      <w:r>
        <w:t xml:space="preserve"> [19577/09] [2016] ZAGPHC489 (24 June 2016), at para 25.</w:t>
      </w:r>
    </w:p>
  </w:footnote>
  <w:footnote w:id="2">
    <w:p w14:paraId="72473271" w14:textId="77777777" w:rsidR="00254B3F" w:rsidRPr="00254B3F" w:rsidRDefault="00254B3F">
      <w:pPr>
        <w:pStyle w:val="FootnoteText"/>
        <w:rPr>
          <w:lang w:val="en-US"/>
        </w:rPr>
      </w:pPr>
      <w:r>
        <w:rPr>
          <w:rStyle w:val="FootnoteReference"/>
        </w:rPr>
        <w:footnoteRef/>
      </w:r>
      <w:r>
        <w:t xml:space="preserve"> 2014 JDR 2325 (LCC).</w:t>
      </w:r>
    </w:p>
  </w:footnote>
  <w:footnote w:id="3">
    <w:p w14:paraId="30671A87" w14:textId="77777777" w:rsidR="005457DB" w:rsidRDefault="005457DB" w:rsidP="005457DB">
      <w:pPr>
        <w:pStyle w:val="FootnoteText"/>
        <w:spacing w:line="360" w:lineRule="auto"/>
        <w:jc w:val="both"/>
      </w:pPr>
      <w:r>
        <w:rPr>
          <w:rStyle w:val="FootnoteReference"/>
        </w:rPr>
        <w:footnoteRef/>
      </w:r>
      <w:r>
        <w:t xml:space="preserve"> </w:t>
      </w:r>
      <w:r w:rsidRPr="005457DB">
        <w:rPr>
          <w:i/>
          <w:lang w:val="en-US"/>
        </w:rPr>
        <w:t xml:space="preserve">See </w:t>
      </w:r>
      <w:proofErr w:type="spellStart"/>
      <w:r w:rsidRPr="005457DB">
        <w:rPr>
          <w:i/>
        </w:rPr>
        <w:t>Caratco</w:t>
      </w:r>
      <w:proofErr w:type="spellEnd"/>
      <w:r w:rsidRPr="005457DB">
        <w:rPr>
          <w:i/>
        </w:rPr>
        <w:t xml:space="preserve"> (Pty) Limited v Independent Advisory (Pty) Limited</w:t>
      </w:r>
      <w:r>
        <w:t xml:space="preserve"> 2002 (5) SA (SCA), par 2, where the following was said: </w:t>
      </w:r>
      <w:r w:rsidRPr="005457DB">
        <w:rPr>
          <w:i/>
        </w:rPr>
        <w:t>“In order to be granted leave to appeal in terms of s 17(1)(a)(</w:t>
      </w:r>
      <w:proofErr w:type="spellStart"/>
      <w:r w:rsidRPr="005457DB">
        <w:rPr>
          <w:i/>
        </w:rPr>
        <w:t>i</w:t>
      </w:r>
      <w:proofErr w:type="spellEnd"/>
      <w:r w:rsidRPr="005457DB">
        <w:rPr>
          <w:i/>
        </w:rPr>
        <w:t>) and s 17(1)(a)(ii) of the Superior Courts Act an applicant for leave must satisfy the court that the appeal would have a reasonable prospect of success or that there is some other compelling reason why the appeal should be heard. If the court is unpersuaded of the prospects of success, it must still enquire into whether there is a compelling reason to entertain the appeal</w:t>
      </w:r>
      <w:r>
        <w:t xml:space="preserve">.” </w:t>
      </w:r>
    </w:p>
    <w:p w14:paraId="7E718215" w14:textId="77777777" w:rsidR="00872D45" w:rsidRPr="005457DB" w:rsidRDefault="00872D45" w:rsidP="005457DB">
      <w:pPr>
        <w:pStyle w:val="FootnoteText"/>
        <w:spacing w:line="360" w:lineRule="auto"/>
        <w:jc w:val="both"/>
        <w:rPr>
          <w:lang w:val="en-US"/>
        </w:rPr>
      </w:pPr>
    </w:p>
  </w:footnote>
  <w:footnote w:id="4">
    <w:p w14:paraId="6398660C" w14:textId="77777777" w:rsidR="00527C5E" w:rsidRDefault="00F27AE8" w:rsidP="00527C5E">
      <w:pPr>
        <w:pStyle w:val="FootnoteText"/>
        <w:spacing w:line="360" w:lineRule="auto"/>
        <w:jc w:val="both"/>
        <w:rPr>
          <w:lang w:val="en-US"/>
        </w:rPr>
      </w:pPr>
      <w:r>
        <w:rPr>
          <w:rStyle w:val="FootnoteReference"/>
        </w:rPr>
        <w:footnoteRef/>
      </w:r>
      <w:r>
        <w:t xml:space="preserve"> </w:t>
      </w:r>
      <w:r>
        <w:rPr>
          <w:lang w:val="en-US"/>
        </w:rPr>
        <w:t>Amongst others, in respect of VBS’s failure to plead and prove the fulfilment of the suspensive conditions in the facility agreement (dealt with in the judgment in paras</w:t>
      </w:r>
      <w:r w:rsidR="0014697D">
        <w:rPr>
          <w:lang w:val="en-US"/>
        </w:rPr>
        <w:t xml:space="preserve"> 61 and 65 to 68)</w:t>
      </w:r>
      <w:r>
        <w:rPr>
          <w:lang w:val="en-US"/>
        </w:rPr>
        <w:t xml:space="preserve"> and the failure by VBS to plead </w:t>
      </w:r>
      <w:r w:rsidR="00741474">
        <w:rPr>
          <w:lang w:val="en-US"/>
        </w:rPr>
        <w:t xml:space="preserve">in its founding papers </w:t>
      </w:r>
      <w:r>
        <w:rPr>
          <w:lang w:val="en-US"/>
        </w:rPr>
        <w:t>that annexure ‘FA9</w:t>
      </w:r>
      <w:r w:rsidR="00286979">
        <w:rPr>
          <w:lang w:val="en-US"/>
        </w:rPr>
        <w:t>’</w:t>
      </w:r>
      <w:r>
        <w:rPr>
          <w:lang w:val="en-US"/>
        </w:rPr>
        <w:t xml:space="preserve"> was introduced to reflect the liability of the sureties.</w:t>
      </w:r>
    </w:p>
    <w:p w14:paraId="688FD577" w14:textId="77777777" w:rsidR="00F27AE8" w:rsidRPr="00F27AE8" w:rsidRDefault="00F27AE8" w:rsidP="00527C5E">
      <w:pPr>
        <w:pStyle w:val="FootnoteText"/>
        <w:spacing w:line="360" w:lineRule="auto"/>
        <w:jc w:val="both"/>
        <w:rPr>
          <w:lang w:val="en-US"/>
        </w:rPr>
      </w:pPr>
      <w:r>
        <w:rPr>
          <w:lang w:val="en-US"/>
        </w:rPr>
        <w:t xml:space="preserve"> </w:t>
      </w:r>
    </w:p>
  </w:footnote>
  <w:footnote w:id="5">
    <w:p w14:paraId="70FD20C7" w14:textId="77777777" w:rsidR="00527C5E" w:rsidRPr="00527C5E" w:rsidRDefault="00527C5E" w:rsidP="00527C5E">
      <w:pPr>
        <w:pStyle w:val="FootnoteText"/>
        <w:spacing w:line="360" w:lineRule="auto"/>
        <w:jc w:val="both"/>
        <w:rPr>
          <w:lang w:val="en-US"/>
        </w:rPr>
      </w:pPr>
      <w:r>
        <w:rPr>
          <w:rStyle w:val="FootnoteReference"/>
        </w:rPr>
        <w:footnoteRef/>
      </w:r>
      <w:r>
        <w:t xml:space="preserve"> </w:t>
      </w:r>
      <w:r>
        <w:rPr>
          <w:lang w:val="en-US"/>
        </w:rPr>
        <w:t xml:space="preserve">The </w:t>
      </w:r>
      <w:proofErr w:type="spellStart"/>
      <w:r>
        <w:rPr>
          <w:i/>
          <w:lang w:val="en-US"/>
        </w:rPr>
        <w:t>audi</w:t>
      </w:r>
      <w:proofErr w:type="spellEnd"/>
      <w:r>
        <w:rPr>
          <w:i/>
          <w:lang w:val="en-US"/>
        </w:rPr>
        <w:t xml:space="preserve"> alteram partem </w:t>
      </w:r>
      <w:r>
        <w:rPr>
          <w:lang w:val="en-US"/>
        </w:rPr>
        <w:t xml:space="preserve">complaint was raised for the first time on appeal. The complaint that new matter was impermissibly </w:t>
      </w:r>
      <w:r w:rsidR="00286979">
        <w:rPr>
          <w:lang w:val="en-US"/>
        </w:rPr>
        <w:t>included</w:t>
      </w:r>
      <w:r>
        <w:rPr>
          <w:lang w:val="en-US"/>
        </w:rPr>
        <w:t xml:space="preserve"> in the replying affidavit</w:t>
      </w:r>
      <w:r w:rsidR="00286979">
        <w:rPr>
          <w:lang w:val="en-US"/>
        </w:rPr>
        <w:t>,</w:t>
      </w:r>
      <w:r>
        <w:rPr>
          <w:lang w:val="en-US"/>
        </w:rPr>
        <w:t xml:space="preserve"> which allegedly prejudiced the respondents, was dealt with in paras 13</w:t>
      </w:r>
      <w:r w:rsidR="001C1655">
        <w:rPr>
          <w:lang w:val="en-US"/>
        </w:rPr>
        <w:t>,</w:t>
      </w:r>
      <w:r>
        <w:rPr>
          <w:lang w:val="en-US"/>
        </w:rPr>
        <w:t xml:space="preserve"> 14 and 74 of the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7215"/>
      <w:docPartObj>
        <w:docPartGallery w:val="Page Numbers (Top of Page)"/>
        <w:docPartUnique/>
      </w:docPartObj>
    </w:sdtPr>
    <w:sdtEndPr>
      <w:rPr>
        <w:noProof/>
      </w:rPr>
    </w:sdtEndPr>
    <w:sdtContent>
      <w:p w14:paraId="5BE9E326" w14:textId="77777777" w:rsidR="00CC1279" w:rsidRDefault="00CC1279">
        <w:pPr>
          <w:pStyle w:val="Header"/>
          <w:jc w:val="right"/>
        </w:pPr>
        <w:r>
          <w:fldChar w:fldCharType="begin"/>
        </w:r>
        <w:r>
          <w:instrText xml:space="preserve"> PAGE   \* MERGEFORMAT </w:instrText>
        </w:r>
        <w:r>
          <w:fldChar w:fldCharType="separate"/>
        </w:r>
        <w:r w:rsidR="00933745">
          <w:rPr>
            <w:noProof/>
          </w:rPr>
          <w:t>4</w:t>
        </w:r>
        <w:r>
          <w:rPr>
            <w:noProof/>
          </w:rPr>
          <w:fldChar w:fldCharType="end"/>
        </w:r>
      </w:p>
    </w:sdtContent>
  </w:sdt>
  <w:p w14:paraId="36BBFE26" w14:textId="77777777" w:rsidR="00CA1046" w:rsidRDefault="00C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40101"/>
      <w:docPartObj>
        <w:docPartGallery w:val="Page Numbers (Top of Page)"/>
        <w:docPartUnique/>
      </w:docPartObj>
    </w:sdtPr>
    <w:sdtEndPr>
      <w:rPr>
        <w:noProof/>
      </w:rPr>
    </w:sdtEndPr>
    <w:sdtContent>
      <w:p w14:paraId="77009FFB" w14:textId="77777777" w:rsidR="00CA1046" w:rsidRDefault="00CA1046">
        <w:pPr>
          <w:pStyle w:val="Header"/>
          <w:jc w:val="right"/>
        </w:pPr>
        <w:r>
          <w:fldChar w:fldCharType="begin"/>
        </w:r>
        <w:r>
          <w:instrText xml:space="preserve"> PAGE   \* MERGEFORMAT </w:instrText>
        </w:r>
        <w:r>
          <w:fldChar w:fldCharType="separate"/>
        </w:r>
        <w:r w:rsidR="00933745">
          <w:rPr>
            <w:noProof/>
          </w:rPr>
          <w:t>1</w:t>
        </w:r>
        <w:r>
          <w:rPr>
            <w:noProof/>
          </w:rPr>
          <w:fldChar w:fldCharType="end"/>
        </w:r>
      </w:p>
    </w:sdtContent>
  </w:sdt>
  <w:p w14:paraId="6E0664A8" w14:textId="77777777" w:rsidR="00CA1046" w:rsidRDefault="00C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1B"/>
    <w:multiLevelType w:val="hybridMultilevel"/>
    <w:tmpl w:val="D89A2524"/>
    <w:lvl w:ilvl="0" w:tplc="D11A856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B561AB2"/>
    <w:multiLevelType w:val="hybridMultilevel"/>
    <w:tmpl w:val="504853FC"/>
    <w:lvl w:ilvl="0" w:tplc="E68043BE">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1E345EE1"/>
    <w:multiLevelType w:val="hybridMultilevel"/>
    <w:tmpl w:val="427C0E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4" w15:restartNumberingAfterBreak="0">
    <w:nsid w:val="4E6B1C91"/>
    <w:multiLevelType w:val="hybridMultilevel"/>
    <w:tmpl w:val="14DA4A8A"/>
    <w:lvl w:ilvl="0" w:tplc="88DAB214">
      <w:start w:val="1"/>
      <w:numFmt w:val="lowerLetter"/>
      <w:lvlText w:val="(%1)"/>
      <w:lvlJc w:val="left"/>
      <w:pPr>
        <w:ind w:left="3079" w:hanging="1050"/>
      </w:pPr>
      <w:rPr>
        <w:rFonts w:hint="default"/>
      </w:rPr>
    </w:lvl>
    <w:lvl w:ilvl="1" w:tplc="1C090019" w:tentative="1">
      <w:start w:val="1"/>
      <w:numFmt w:val="lowerLetter"/>
      <w:lvlText w:val="%2."/>
      <w:lvlJc w:val="left"/>
      <w:pPr>
        <w:ind w:left="3109" w:hanging="360"/>
      </w:pPr>
    </w:lvl>
    <w:lvl w:ilvl="2" w:tplc="1C09001B" w:tentative="1">
      <w:start w:val="1"/>
      <w:numFmt w:val="lowerRoman"/>
      <w:lvlText w:val="%3."/>
      <w:lvlJc w:val="right"/>
      <w:pPr>
        <w:ind w:left="3829" w:hanging="180"/>
      </w:pPr>
    </w:lvl>
    <w:lvl w:ilvl="3" w:tplc="1C09000F" w:tentative="1">
      <w:start w:val="1"/>
      <w:numFmt w:val="decimal"/>
      <w:lvlText w:val="%4."/>
      <w:lvlJc w:val="left"/>
      <w:pPr>
        <w:ind w:left="4549" w:hanging="360"/>
      </w:pPr>
    </w:lvl>
    <w:lvl w:ilvl="4" w:tplc="1C090019" w:tentative="1">
      <w:start w:val="1"/>
      <w:numFmt w:val="lowerLetter"/>
      <w:lvlText w:val="%5."/>
      <w:lvlJc w:val="left"/>
      <w:pPr>
        <w:ind w:left="5269" w:hanging="360"/>
      </w:pPr>
    </w:lvl>
    <w:lvl w:ilvl="5" w:tplc="1C09001B" w:tentative="1">
      <w:start w:val="1"/>
      <w:numFmt w:val="lowerRoman"/>
      <w:lvlText w:val="%6."/>
      <w:lvlJc w:val="right"/>
      <w:pPr>
        <w:ind w:left="5989" w:hanging="180"/>
      </w:pPr>
    </w:lvl>
    <w:lvl w:ilvl="6" w:tplc="1C09000F" w:tentative="1">
      <w:start w:val="1"/>
      <w:numFmt w:val="decimal"/>
      <w:lvlText w:val="%7."/>
      <w:lvlJc w:val="left"/>
      <w:pPr>
        <w:ind w:left="6709" w:hanging="360"/>
      </w:pPr>
    </w:lvl>
    <w:lvl w:ilvl="7" w:tplc="1C090019" w:tentative="1">
      <w:start w:val="1"/>
      <w:numFmt w:val="lowerLetter"/>
      <w:lvlText w:val="%8."/>
      <w:lvlJc w:val="left"/>
      <w:pPr>
        <w:ind w:left="7429" w:hanging="360"/>
      </w:pPr>
    </w:lvl>
    <w:lvl w:ilvl="8" w:tplc="1C09001B" w:tentative="1">
      <w:start w:val="1"/>
      <w:numFmt w:val="lowerRoman"/>
      <w:lvlText w:val="%9."/>
      <w:lvlJc w:val="right"/>
      <w:pPr>
        <w:ind w:left="8149" w:hanging="180"/>
      </w:pPr>
    </w:lvl>
  </w:abstractNum>
  <w:abstractNum w:abstractNumId="5" w15:restartNumberingAfterBreak="0">
    <w:nsid w:val="50F7650A"/>
    <w:multiLevelType w:val="multilevel"/>
    <w:tmpl w:val="FBFA6894"/>
    <w:numStyleLink w:val="Style3"/>
  </w:abstractNum>
  <w:abstractNum w:abstractNumId="6"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55560"/>
    <w:multiLevelType w:val="hybridMultilevel"/>
    <w:tmpl w:val="666E2334"/>
    <w:lvl w:ilvl="0" w:tplc="F202D43A">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515538791">
    <w:abstractNumId w:val="6"/>
  </w:num>
  <w:num w:numId="2" w16cid:durableId="432747803">
    <w:abstractNumId w:val="3"/>
  </w:num>
  <w:num w:numId="3" w16cid:durableId="87194254">
    <w:abstractNumId w:val="5"/>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16cid:durableId="1969163328">
    <w:abstractNumId w:val="1"/>
  </w:num>
  <w:num w:numId="5" w16cid:durableId="1361472373">
    <w:abstractNumId w:val="0"/>
  </w:num>
  <w:num w:numId="6" w16cid:durableId="2090467976">
    <w:abstractNumId w:val="5"/>
    <w:lvlOverride w:ilvl="0">
      <w:lvl w:ilvl="0">
        <w:start w:val="1"/>
        <w:numFmt w:val="decimal"/>
        <w:lvlText w:val="%1."/>
        <w:lvlJc w:val="left"/>
        <w:pPr>
          <w:ind w:left="851" w:hanging="851"/>
        </w:pPr>
        <w:rPr>
          <w:rFonts w:asciiTheme="minorHAnsi" w:hAnsiTheme="minorHAnsi" w:cs="Times New Roman" w:hint="default"/>
          <w:b w:val="0"/>
          <w:i w:val="0"/>
          <w:sz w:val="28"/>
          <w:szCs w:val="28"/>
        </w:rPr>
      </w:lvl>
    </w:lvlOverride>
    <w:lvlOverride w:ilvl="1">
      <w:lvl w:ilvl="1">
        <w:start w:val="1"/>
        <w:numFmt w:val="decimal"/>
        <w:lvlText w:val="%1.%2."/>
        <w:lvlJc w:val="left"/>
        <w:pPr>
          <w:ind w:left="1702" w:hanging="851"/>
        </w:pPr>
        <w:rPr>
          <w:rFonts w:asciiTheme="minorHAnsi" w:hAnsiTheme="minorHAnsi" w:cs="Times New Roman" w:hint="default"/>
          <w:b w:val="0"/>
          <w:sz w:val="28"/>
          <w:szCs w:val="28"/>
        </w:rPr>
      </w:lvl>
    </w:lvlOverride>
  </w:num>
  <w:num w:numId="7" w16cid:durableId="32852601">
    <w:abstractNumId w:val="2"/>
  </w:num>
  <w:num w:numId="8" w16cid:durableId="1232236037">
    <w:abstractNumId w:val="5"/>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1702" w:hanging="851"/>
        </w:pPr>
        <w:rPr>
          <w:rFonts w:hint="default"/>
        </w:rPr>
      </w:lvl>
    </w:lvlOverride>
    <w:lvlOverride w:ilvl="2">
      <w:lvl w:ilvl="2">
        <w:start w:val="1"/>
        <w:numFmt w:val="decimal"/>
        <w:lvlText w:val="%1.%2.%3."/>
        <w:lvlJc w:val="left"/>
        <w:pPr>
          <w:ind w:left="2553" w:hanging="851"/>
        </w:pPr>
        <w:rPr>
          <w:rFonts w:hint="default"/>
        </w:rPr>
      </w:lvl>
    </w:lvlOverride>
    <w:lvlOverride w:ilvl="3">
      <w:lvl w:ilvl="3">
        <w:start w:val="1"/>
        <w:numFmt w:val="decimal"/>
        <w:lvlText w:val="%1.%2.%3.%4."/>
        <w:lvlJc w:val="left"/>
        <w:pPr>
          <w:ind w:left="3404" w:hanging="851"/>
        </w:pPr>
        <w:rPr>
          <w:rFonts w:hint="default"/>
        </w:rPr>
      </w:lvl>
    </w:lvlOverride>
    <w:lvlOverride w:ilvl="4">
      <w:lvl w:ilvl="4">
        <w:start w:val="1"/>
        <w:numFmt w:val="decimal"/>
        <w:lvlText w:val="%1.%2.%3.%4.%5."/>
        <w:lvlJc w:val="left"/>
        <w:pPr>
          <w:ind w:left="4255" w:hanging="851"/>
        </w:pPr>
        <w:rPr>
          <w:rFonts w:hint="default"/>
        </w:rPr>
      </w:lvl>
    </w:lvlOverride>
    <w:lvlOverride w:ilvl="5">
      <w:lvl w:ilvl="5">
        <w:start w:val="1"/>
        <w:numFmt w:val="decimal"/>
        <w:lvlText w:val="%1.%2.%3.%4.%5.%6."/>
        <w:lvlJc w:val="left"/>
        <w:pPr>
          <w:ind w:left="5106" w:hanging="851"/>
        </w:pPr>
        <w:rPr>
          <w:rFonts w:hint="default"/>
        </w:rPr>
      </w:lvl>
    </w:lvlOverride>
    <w:lvlOverride w:ilvl="6">
      <w:lvl w:ilvl="6">
        <w:start w:val="1"/>
        <w:numFmt w:val="decimal"/>
        <w:lvlText w:val="%1.%2.%3.%4.%5.%6.%7."/>
        <w:lvlJc w:val="left"/>
        <w:pPr>
          <w:ind w:left="5957" w:hanging="851"/>
        </w:pPr>
        <w:rPr>
          <w:rFonts w:hint="default"/>
        </w:rPr>
      </w:lvl>
    </w:lvlOverride>
    <w:lvlOverride w:ilvl="7">
      <w:lvl w:ilvl="7">
        <w:start w:val="1"/>
        <w:numFmt w:val="decimal"/>
        <w:lvlText w:val="%1.%2.%3.%4.%5.%6.%7.%8."/>
        <w:lvlJc w:val="left"/>
        <w:pPr>
          <w:ind w:left="6808" w:hanging="851"/>
        </w:pPr>
        <w:rPr>
          <w:rFonts w:hint="default"/>
        </w:rPr>
      </w:lvl>
    </w:lvlOverride>
    <w:lvlOverride w:ilvl="8">
      <w:lvl w:ilvl="8">
        <w:start w:val="1"/>
        <w:numFmt w:val="decimal"/>
        <w:lvlText w:val="%1.%2.%3.%4.%5.%6.%7.%8.%9."/>
        <w:lvlJc w:val="left"/>
        <w:pPr>
          <w:ind w:left="7659" w:hanging="851"/>
        </w:pPr>
        <w:rPr>
          <w:rFonts w:hint="default"/>
        </w:rPr>
      </w:lvl>
    </w:lvlOverride>
  </w:num>
  <w:num w:numId="9" w16cid:durableId="763769068">
    <w:abstractNumId w:val="4"/>
  </w:num>
  <w:num w:numId="10" w16cid:durableId="894120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5E9"/>
    <w:rsid w:val="000574D5"/>
    <w:rsid w:val="00097643"/>
    <w:rsid w:val="0014697D"/>
    <w:rsid w:val="00154656"/>
    <w:rsid w:val="001C1655"/>
    <w:rsid w:val="00254B3F"/>
    <w:rsid w:val="00286979"/>
    <w:rsid w:val="00293ACD"/>
    <w:rsid w:val="00301DF8"/>
    <w:rsid w:val="0031742B"/>
    <w:rsid w:val="00350771"/>
    <w:rsid w:val="0037058E"/>
    <w:rsid w:val="00377967"/>
    <w:rsid w:val="003835AD"/>
    <w:rsid w:val="003B0991"/>
    <w:rsid w:val="003C4871"/>
    <w:rsid w:val="003F3336"/>
    <w:rsid w:val="00411013"/>
    <w:rsid w:val="00472D82"/>
    <w:rsid w:val="00514D13"/>
    <w:rsid w:val="00523C20"/>
    <w:rsid w:val="00527C5E"/>
    <w:rsid w:val="005457DB"/>
    <w:rsid w:val="00575981"/>
    <w:rsid w:val="006D0313"/>
    <w:rsid w:val="00741474"/>
    <w:rsid w:val="0077376D"/>
    <w:rsid w:val="00795595"/>
    <w:rsid w:val="007D4DEF"/>
    <w:rsid w:val="00842D7D"/>
    <w:rsid w:val="00872D45"/>
    <w:rsid w:val="008A27C8"/>
    <w:rsid w:val="008C4821"/>
    <w:rsid w:val="00933745"/>
    <w:rsid w:val="00946E07"/>
    <w:rsid w:val="00965E88"/>
    <w:rsid w:val="009C2DDD"/>
    <w:rsid w:val="009C36D9"/>
    <w:rsid w:val="00A5281C"/>
    <w:rsid w:val="00AD7B07"/>
    <w:rsid w:val="00AF719F"/>
    <w:rsid w:val="00B15812"/>
    <w:rsid w:val="00B54079"/>
    <w:rsid w:val="00B94414"/>
    <w:rsid w:val="00BE6D09"/>
    <w:rsid w:val="00BF35E9"/>
    <w:rsid w:val="00CA1046"/>
    <w:rsid w:val="00CC1279"/>
    <w:rsid w:val="00D17B52"/>
    <w:rsid w:val="00DD00E6"/>
    <w:rsid w:val="00EB7A27"/>
    <w:rsid w:val="00EE114F"/>
    <w:rsid w:val="00EE4F8D"/>
    <w:rsid w:val="00EE5D74"/>
    <w:rsid w:val="00F27A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7DEC"/>
  <w15:docId w15:val="{5A17808C-EFEB-4C4E-B227-C100BF95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E9"/>
    <w:pPr>
      <w:spacing w:after="0" w:line="240" w:lineRule="auto"/>
    </w:pPr>
    <w:rPr>
      <w:rFonts w:ascii="Verdana" w:eastAsia="Times New Roman" w:hAnsi="Verdana" w:cs="Times New Roman"/>
      <w:sz w:val="20"/>
      <w:szCs w:val="20"/>
      <w:lang w:val="en-GB" w:eastAsia="en-GB"/>
    </w:rPr>
  </w:style>
  <w:style w:type="paragraph" w:styleId="Heading2">
    <w:name w:val="heading 2"/>
    <w:basedOn w:val="Normal"/>
    <w:next w:val="Normal"/>
    <w:link w:val="Heading2Char"/>
    <w:uiPriority w:val="9"/>
    <w:semiHidden/>
    <w:unhideWhenUsed/>
    <w:qFormat/>
    <w:rsid w:val="00BF35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35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35E9"/>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BF35E9"/>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BF35E9"/>
    <w:pPr>
      <w:ind w:left="720"/>
      <w:contextualSpacing/>
    </w:pPr>
  </w:style>
  <w:style w:type="paragraph" w:styleId="FootnoteText">
    <w:name w:val="footnote text"/>
    <w:basedOn w:val="Normal"/>
    <w:link w:val="FootnoteTextChar"/>
    <w:uiPriority w:val="99"/>
    <w:unhideWhenUsed/>
    <w:rsid w:val="00BF35E9"/>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BF35E9"/>
    <w:rPr>
      <w:rFonts w:ascii="Arial" w:hAnsi="Arial" w:cs="Arial"/>
      <w:sz w:val="20"/>
      <w:szCs w:val="20"/>
      <w:lang w:val="en-GB"/>
    </w:rPr>
  </w:style>
  <w:style w:type="character" w:styleId="FootnoteReference">
    <w:name w:val="footnote reference"/>
    <w:basedOn w:val="DefaultParagraphFont"/>
    <w:uiPriority w:val="99"/>
    <w:semiHidden/>
    <w:unhideWhenUsed/>
    <w:rsid w:val="00BF35E9"/>
    <w:rPr>
      <w:vertAlign w:val="superscript"/>
    </w:rPr>
  </w:style>
  <w:style w:type="numbering" w:customStyle="1" w:styleId="Style3">
    <w:name w:val="Style3"/>
    <w:rsid w:val="00BF35E9"/>
    <w:pPr>
      <w:numPr>
        <w:numId w:val="2"/>
      </w:numPr>
    </w:pPr>
  </w:style>
  <w:style w:type="paragraph" w:styleId="NormalWeb">
    <w:name w:val="Normal (Web)"/>
    <w:basedOn w:val="Normal"/>
    <w:uiPriority w:val="99"/>
    <w:unhideWhenUsed/>
    <w:rsid w:val="00BF35E9"/>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BF35E9"/>
    <w:pPr>
      <w:tabs>
        <w:tab w:val="center" w:pos="4513"/>
        <w:tab w:val="right" w:pos="9026"/>
      </w:tabs>
    </w:pPr>
  </w:style>
  <w:style w:type="character" w:customStyle="1" w:styleId="HeaderChar">
    <w:name w:val="Header Char"/>
    <w:basedOn w:val="DefaultParagraphFont"/>
    <w:link w:val="Header"/>
    <w:uiPriority w:val="99"/>
    <w:rsid w:val="00BF35E9"/>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BF35E9"/>
    <w:rPr>
      <w:color w:val="0000FF"/>
      <w:u w:val="single"/>
    </w:rPr>
  </w:style>
  <w:style w:type="paragraph" w:styleId="BalloonText">
    <w:name w:val="Balloon Text"/>
    <w:basedOn w:val="Normal"/>
    <w:link w:val="BalloonTextChar"/>
    <w:uiPriority w:val="99"/>
    <w:semiHidden/>
    <w:unhideWhenUsed/>
    <w:rsid w:val="00BF35E9"/>
    <w:rPr>
      <w:rFonts w:ascii="Tahoma" w:hAnsi="Tahoma" w:cs="Tahoma"/>
      <w:sz w:val="16"/>
      <w:szCs w:val="16"/>
    </w:rPr>
  </w:style>
  <w:style w:type="character" w:customStyle="1" w:styleId="BalloonTextChar">
    <w:name w:val="Balloon Text Char"/>
    <w:basedOn w:val="DefaultParagraphFont"/>
    <w:link w:val="BalloonText"/>
    <w:uiPriority w:val="99"/>
    <w:semiHidden/>
    <w:rsid w:val="00BF35E9"/>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BF35E9"/>
    <w:pPr>
      <w:tabs>
        <w:tab w:val="center" w:pos="4513"/>
        <w:tab w:val="right" w:pos="9026"/>
      </w:tabs>
    </w:pPr>
  </w:style>
  <w:style w:type="character" w:customStyle="1" w:styleId="FooterChar">
    <w:name w:val="Footer Char"/>
    <w:basedOn w:val="DefaultParagraphFont"/>
    <w:link w:val="Footer"/>
    <w:uiPriority w:val="99"/>
    <w:rsid w:val="00BF35E9"/>
    <w:rPr>
      <w:rFonts w:ascii="Verdana" w:eastAsia="Times New Roman" w:hAnsi="Verdana" w:cs="Times New Roman"/>
      <w:sz w:val="20"/>
      <w:szCs w:val="20"/>
      <w:lang w:val="en-GB" w:eastAsia="en-GB"/>
    </w:rPr>
  </w:style>
  <w:style w:type="character" w:styleId="Emphasis">
    <w:name w:val="Emphasis"/>
    <w:basedOn w:val="DefaultParagraphFont"/>
    <w:uiPriority w:val="20"/>
    <w:qFormat/>
    <w:rsid w:val="00BF35E9"/>
    <w:rPr>
      <w:i/>
      <w:iCs/>
    </w:rPr>
  </w:style>
  <w:style w:type="paragraph" w:customStyle="1" w:styleId="western">
    <w:name w:val="western"/>
    <w:basedOn w:val="Normal"/>
    <w:rsid w:val="00BF35E9"/>
    <w:pPr>
      <w:spacing w:before="100" w:beforeAutospacing="1" w:after="100" w:afterAutospacing="1"/>
    </w:pPr>
    <w:rPr>
      <w:rFonts w:ascii="Times New Roman" w:hAnsi="Times New Roman"/>
      <w:sz w:val="24"/>
      <w:szCs w:val="24"/>
      <w:lang w:val="en-ZA" w:eastAsia="en-ZA"/>
    </w:rPr>
  </w:style>
  <w:style w:type="paragraph" w:customStyle="1" w:styleId="m">
    <w:name w:val="m"/>
    <w:basedOn w:val="Normal"/>
    <w:rsid w:val="00BF35E9"/>
    <w:pPr>
      <w:spacing w:before="60" w:after="6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E8D1-845B-4DE2-A015-E8440D6E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2024</Words>
  <Characters>10810</Characters>
  <Application>Microsoft Office Word</Application>
  <DocSecurity>0</DocSecurity>
  <Lines>1801</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Avrille</dc:creator>
  <cp:lastModifiedBy>Mariana Anguelov</cp:lastModifiedBy>
  <cp:revision>3</cp:revision>
  <cp:lastPrinted>2023-05-28T14:11:00Z</cp:lastPrinted>
  <dcterms:created xsi:type="dcterms:W3CDTF">2023-06-02T08:32:00Z</dcterms:created>
  <dcterms:modified xsi:type="dcterms:W3CDTF">2023-06-04T16:52:00Z</dcterms:modified>
</cp:coreProperties>
</file>