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D571" w14:textId="77777777" w:rsidR="001E2697" w:rsidRPr="002C3752" w:rsidRDefault="001E2697" w:rsidP="001E2697">
      <w:pPr>
        <w:spacing w:line="360" w:lineRule="auto"/>
        <w:ind w:leftChars="-38" w:left="-91"/>
        <w:jc w:val="center"/>
        <w:rPr>
          <w:rFonts w:cs="Arial"/>
          <w:b/>
        </w:rPr>
      </w:pPr>
    </w:p>
    <w:p w14:paraId="18EF350F" w14:textId="77777777" w:rsidR="001E2697" w:rsidRPr="002C3752" w:rsidRDefault="001E2697" w:rsidP="001E2697">
      <w:pPr>
        <w:spacing w:line="360" w:lineRule="auto"/>
        <w:ind w:leftChars="-38" w:left="-91"/>
        <w:jc w:val="center"/>
        <w:rPr>
          <w:rFonts w:cs="Arial"/>
          <w:b/>
        </w:rPr>
      </w:pPr>
      <w:r w:rsidRPr="002C3752">
        <w:rPr>
          <w:rFonts w:cs="Arial"/>
          <w:b/>
        </w:rPr>
        <w:t>REPUBLIC OF SOUTH AFRICA</w:t>
      </w:r>
    </w:p>
    <w:p w14:paraId="2BD32E3B" w14:textId="77777777" w:rsidR="001E2697" w:rsidRPr="002C3752" w:rsidRDefault="001E2697" w:rsidP="001E2697">
      <w:pPr>
        <w:spacing w:line="360" w:lineRule="auto"/>
        <w:ind w:leftChars="-38" w:left="-91"/>
        <w:jc w:val="center"/>
        <w:rPr>
          <w:rFonts w:cs="Arial"/>
          <w:b/>
        </w:rPr>
      </w:pPr>
      <w:r w:rsidRPr="002C3752">
        <w:rPr>
          <w:rFonts w:cs="Arial"/>
          <w:b/>
          <w:noProof/>
          <w:lang w:val="en-US" w:eastAsia="en-US"/>
        </w:rPr>
        <w:drawing>
          <wp:inline distT="0" distB="0" distL="0" distR="0" wp14:anchorId="50CA7734" wp14:editId="024BE80D">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FA16699" w14:textId="77777777" w:rsidR="001E2697" w:rsidRPr="002C3752" w:rsidRDefault="001E2697" w:rsidP="001E2697">
      <w:pPr>
        <w:spacing w:line="360" w:lineRule="auto"/>
        <w:ind w:leftChars="-38" w:left="-91"/>
        <w:jc w:val="center"/>
        <w:rPr>
          <w:rFonts w:cs="Arial"/>
          <w:b/>
        </w:rPr>
      </w:pPr>
      <w:r w:rsidRPr="002C3752">
        <w:rPr>
          <w:rFonts w:cs="Arial"/>
          <w:b/>
        </w:rPr>
        <w:t>IN THE HIGH COURT OF SOUTH AFRICA</w:t>
      </w:r>
    </w:p>
    <w:p w14:paraId="4DE9DB44" w14:textId="0619354B" w:rsidR="001E2697" w:rsidRPr="002C3752" w:rsidRDefault="001E2697" w:rsidP="001E2697">
      <w:pPr>
        <w:spacing w:line="360" w:lineRule="auto"/>
        <w:ind w:leftChars="-38" w:left="-91"/>
        <w:jc w:val="center"/>
        <w:rPr>
          <w:rFonts w:cs="Arial"/>
          <w:b/>
        </w:rPr>
      </w:pPr>
      <w:r w:rsidRPr="002C3752">
        <w:rPr>
          <w:rFonts w:cs="Arial"/>
          <w:b/>
        </w:rPr>
        <w:t>GAUTENG DIVISION, JOHANNESBURG</w:t>
      </w:r>
    </w:p>
    <w:p w14:paraId="1F8D97D2" w14:textId="77777777" w:rsidR="001E2697" w:rsidRPr="002C3752" w:rsidRDefault="001E2697" w:rsidP="001E2697">
      <w:pPr>
        <w:widowControl w:val="0"/>
        <w:jc w:val="center"/>
        <w:rPr>
          <w:rFonts w:cs="Arial"/>
        </w:rPr>
      </w:pPr>
    </w:p>
    <w:p w14:paraId="16061E25" w14:textId="77777777" w:rsidR="001E2697" w:rsidRPr="002C3752" w:rsidRDefault="001E2697" w:rsidP="001E2697">
      <w:pPr>
        <w:widowControl w:val="0"/>
        <w:jc w:val="center"/>
        <w:rPr>
          <w:rFonts w:cs="Arial"/>
        </w:rPr>
      </w:pPr>
    </w:p>
    <w:p w14:paraId="03BF3688" w14:textId="13088395" w:rsidR="001E2697" w:rsidRPr="002C3752" w:rsidRDefault="001E2697" w:rsidP="001E2697">
      <w:pPr>
        <w:tabs>
          <w:tab w:val="left" w:pos="-720"/>
        </w:tabs>
        <w:suppressAutoHyphens/>
        <w:jc w:val="right"/>
        <w:rPr>
          <w:rFonts w:cs="Arial"/>
          <w:b/>
          <w:bCs/>
          <w:spacing w:val="-3"/>
        </w:rPr>
      </w:pPr>
      <w:r w:rsidRPr="002C3752">
        <w:rPr>
          <w:rFonts w:cs="Arial"/>
          <w:b/>
          <w:bCs/>
          <w:spacing w:val="-3"/>
        </w:rPr>
        <w:t>CASE NUMBER:</w:t>
      </w:r>
      <w:r w:rsidRPr="002C3752">
        <w:rPr>
          <w:rFonts w:cs="Arial"/>
        </w:rPr>
        <w:t xml:space="preserve"> </w:t>
      </w:r>
      <w:r w:rsidR="00EC7CEF">
        <w:rPr>
          <w:rFonts w:cs="Arial"/>
          <w:b/>
        </w:rPr>
        <w:t>7916/2021</w:t>
      </w:r>
    </w:p>
    <w:p w14:paraId="599B9EA6" w14:textId="77777777" w:rsidR="001E2697" w:rsidRPr="002C3752" w:rsidRDefault="001E2697" w:rsidP="001E2697">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1E2697" w:rsidRPr="002C3752" w14:paraId="3ABF34AB" w14:textId="77777777" w:rsidTr="00157274">
        <w:trPr>
          <w:trHeight w:val="2528"/>
        </w:trPr>
        <w:tc>
          <w:tcPr>
            <w:tcW w:w="5812" w:type="dxa"/>
            <w:tcBorders>
              <w:top w:val="single" w:sz="4" w:space="0" w:color="auto"/>
              <w:left w:val="single" w:sz="4" w:space="0" w:color="auto"/>
              <w:bottom w:val="single" w:sz="4" w:space="0" w:color="auto"/>
              <w:right w:val="single" w:sz="4" w:space="0" w:color="auto"/>
            </w:tcBorders>
          </w:tcPr>
          <w:p w14:paraId="42223CB1" w14:textId="77777777" w:rsidR="001E2697" w:rsidRPr="002C3752" w:rsidRDefault="001E2697" w:rsidP="00157274">
            <w:pPr>
              <w:jc w:val="both"/>
              <w:rPr>
                <w:rFonts w:cs="Arial"/>
                <w:sz w:val="16"/>
                <w:szCs w:val="16"/>
              </w:rPr>
            </w:pPr>
          </w:p>
          <w:p w14:paraId="367F2BD7" w14:textId="77777777" w:rsidR="001E2697" w:rsidRPr="002C3752" w:rsidRDefault="001E2697" w:rsidP="00157274">
            <w:pPr>
              <w:ind w:left="180"/>
              <w:jc w:val="center"/>
              <w:rPr>
                <w:rFonts w:cs="Arial"/>
                <w:b/>
                <w:bCs/>
                <w:color w:val="FF0000"/>
                <w:sz w:val="18"/>
                <w:szCs w:val="18"/>
                <w:u w:val="single"/>
              </w:rPr>
            </w:pPr>
            <w:r w:rsidRPr="002C3752">
              <w:rPr>
                <w:rFonts w:cs="Arial"/>
                <w:b/>
                <w:bCs/>
                <w:color w:val="FF0000"/>
                <w:sz w:val="18"/>
                <w:szCs w:val="18"/>
                <w:u w:val="single"/>
              </w:rPr>
              <w:t>DELETE WHICHEVER IS NOT APPLICABLE</w:t>
            </w:r>
          </w:p>
          <w:p w14:paraId="47C1B344" w14:textId="77777777" w:rsidR="001E2697" w:rsidRPr="002C3752" w:rsidRDefault="001E2697" w:rsidP="00157274">
            <w:pPr>
              <w:ind w:left="180"/>
              <w:jc w:val="center"/>
              <w:rPr>
                <w:rFonts w:cs="Arial"/>
                <w:b/>
                <w:bCs/>
                <w:color w:val="FF0000"/>
                <w:sz w:val="18"/>
                <w:szCs w:val="18"/>
                <w:u w:val="single"/>
              </w:rPr>
            </w:pPr>
          </w:p>
          <w:p w14:paraId="6D072193" w14:textId="76B95DEA" w:rsidR="001E2697" w:rsidRPr="002C3752" w:rsidRDefault="001E2697" w:rsidP="00157274">
            <w:pPr>
              <w:spacing w:line="480" w:lineRule="auto"/>
              <w:ind w:left="180"/>
              <w:jc w:val="both"/>
              <w:rPr>
                <w:rFonts w:cs="Arial"/>
                <w:bCs/>
                <w:color w:val="FF0000"/>
                <w:sz w:val="18"/>
                <w:szCs w:val="18"/>
              </w:rPr>
            </w:pPr>
            <w:r w:rsidRPr="002C3752">
              <w:rPr>
                <w:rFonts w:cs="Arial"/>
                <w:bCs/>
                <w:color w:val="FF0000"/>
                <w:sz w:val="18"/>
                <w:szCs w:val="18"/>
              </w:rPr>
              <w:t xml:space="preserve">1.REPORTABLE: </w:t>
            </w:r>
            <w:r w:rsidR="00DC175A">
              <w:rPr>
                <w:rFonts w:cs="Arial"/>
                <w:bCs/>
                <w:color w:val="FF0000"/>
                <w:sz w:val="18"/>
                <w:szCs w:val="18"/>
              </w:rPr>
              <w:t>NO</w:t>
            </w:r>
            <w:r w:rsidRPr="002C3752">
              <w:rPr>
                <w:rFonts w:cs="Arial"/>
                <w:bCs/>
                <w:color w:val="FF0000"/>
                <w:sz w:val="18"/>
                <w:szCs w:val="18"/>
              </w:rPr>
              <w:t xml:space="preserve">                                                                  </w:t>
            </w:r>
          </w:p>
          <w:p w14:paraId="459FF77E" w14:textId="25665A69" w:rsidR="001E2697" w:rsidRPr="002C3752" w:rsidRDefault="001E2697" w:rsidP="00157274">
            <w:pPr>
              <w:spacing w:line="480" w:lineRule="auto"/>
              <w:ind w:left="180"/>
              <w:jc w:val="both"/>
              <w:rPr>
                <w:rFonts w:cs="Arial"/>
                <w:bCs/>
                <w:color w:val="FF0000"/>
                <w:sz w:val="18"/>
                <w:szCs w:val="18"/>
              </w:rPr>
            </w:pPr>
            <w:r w:rsidRPr="002C3752">
              <w:rPr>
                <w:rFonts w:cs="Arial"/>
                <w:bCs/>
                <w:color w:val="FF0000"/>
                <w:sz w:val="18"/>
                <w:szCs w:val="18"/>
              </w:rPr>
              <w:t xml:space="preserve">2.OF INTEREST TO OTHER JUDGES: </w:t>
            </w:r>
            <w:r w:rsidR="00DC175A">
              <w:rPr>
                <w:rFonts w:cs="Arial"/>
                <w:bCs/>
                <w:color w:val="FF0000"/>
                <w:sz w:val="18"/>
                <w:szCs w:val="18"/>
              </w:rPr>
              <w:t>NO</w:t>
            </w:r>
            <w:r w:rsidRPr="002C3752">
              <w:rPr>
                <w:rFonts w:cs="Arial"/>
                <w:bCs/>
                <w:color w:val="FF0000"/>
                <w:sz w:val="18"/>
                <w:szCs w:val="18"/>
              </w:rPr>
              <w:t xml:space="preserve">                               </w:t>
            </w:r>
          </w:p>
          <w:p w14:paraId="24E6769D" w14:textId="5809DEA2" w:rsidR="001E2697" w:rsidRPr="002C3752" w:rsidRDefault="00DC175A" w:rsidP="00157274">
            <w:pPr>
              <w:spacing w:line="480" w:lineRule="auto"/>
              <w:ind w:left="180"/>
              <w:jc w:val="both"/>
              <w:rPr>
                <w:rFonts w:cs="Arial"/>
                <w:bCs/>
                <w:color w:val="FF0000"/>
                <w:sz w:val="18"/>
                <w:szCs w:val="18"/>
              </w:rPr>
            </w:pPr>
            <w:r>
              <w:rPr>
                <w:rFonts w:cs="Arial"/>
                <w:bCs/>
                <w:color w:val="FF0000"/>
                <w:sz w:val="18"/>
                <w:szCs w:val="18"/>
              </w:rPr>
              <w:t>3.REVISED: NO</w:t>
            </w:r>
            <w:r w:rsidR="001E2697" w:rsidRPr="002C3752">
              <w:rPr>
                <w:rFonts w:cs="Arial"/>
                <w:bCs/>
                <w:color w:val="FF0000"/>
                <w:sz w:val="18"/>
                <w:szCs w:val="18"/>
              </w:rPr>
              <w:t xml:space="preserve">                                                                           </w:t>
            </w:r>
          </w:p>
          <w:p w14:paraId="386136B5" w14:textId="77777777" w:rsidR="001E2697" w:rsidRPr="002C3752" w:rsidRDefault="001E2697" w:rsidP="00157274">
            <w:pPr>
              <w:spacing w:line="360" w:lineRule="auto"/>
              <w:ind w:left="180"/>
              <w:jc w:val="both"/>
              <w:rPr>
                <w:rFonts w:cs="Arial"/>
                <w:bCs/>
                <w:color w:val="FF0000"/>
                <w:sz w:val="18"/>
                <w:szCs w:val="18"/>
              </w:rPr>
            </w:pPr>
          </w:p>
          <w:p w14:paraId="047C9726" w14:textId="77777777" w:rsidR="001E2697" w:rsidRPr="002C3752" w:rsidRDefault="001E2697" w:rsidP="00157274">
            <w:pPr>
              <w:spacing w:line="360" w:lineRule="auto"/>
              <w:ind w:left="180"/>
              <w:jc w:val="both"/>
              <w:rPr>
                <w:rFonts w:cs="Arial"/>
                <w:sz w:val="16"/>
                <w:szCs w:val="16"/>
              </w:rPr>
            </w:pPr>
            <w:r w:rsidRPr="002C3752">
              <w:rPr>
                <w:rFonts w:cs="Arial"/>
                <w:b/>
                <w:bCs/>
                <w:color w:val="FF0000"/>
                <w:sz w:val="18"/>
                <w:szCs w:val="18"/>
              </w:rPr>
              <w:t xml:space="preserve">                                                                   Judge Dippenaar</w:t>
            </w:r>
          </w:p>
        </w:tc>
      </w:tr>
    </w:tbl>
    <w:p w14:paraId="54544FDF" w14:textId="77777777" w:rsidR="001E2697" w:rsidRPr="002C3752" w:rsidRDefault="001E2697" w:rsidP="001E2697">
      <w:pPr>
        <w:tabs>
          <w:tab w:val="left" w:pos="-720"/>
        </w:tabs>
        <w:suppressAutoHyphens/>
        <w:rPr>
          <w:rFonts w:cs="Arial"/>
          <w:bCs/>
          <w:spacing w:val="-3"/>
        </w:rPr>
      </w:pPr>
    </w:p>
    <w:p w14:paraId="4189105A" w14:textId="77777777" w:rsidR="001E2697" w:rsidRPr="002C3752" w:rsidRDefault="001E2697" w:rsidP="001E2697">
      <w:pPr>
        <w:tabs>
          <w:tab w:val="left" w:pos="-720"/>
        </w:tabs>
        <w:suppressAutoHyphens/>
        <w:rPr>
          <w:rFonts w:cs="Arial"/>
          <w:bCs/>
          <w:spacing w:val="-3"/>
        </w:rPr>
      </w:pPr>
    </w:p>
    <w:p w14:paraId="42452D94" w14:textId="77777777" w:rsidR="001E2697" w:rsidRPr="002C3752" w:rsidRDefault="001E2697" w:rsidP="001E2697">
      <w:pPr>
        <w:tabs>
          <w:tab w:val="left" w:pos="-720"/>
        </w:tabs>
        <w:suppressAutoHyphens/>
        <w:rPr>
          <w:rFonts w:cs="Arial"/>
          <w:bCs/>
          <w:spacing w:val="-3"/>
        </w:rPr>
      </w:pPr>
    </w:p>
    <w:p w14:paraId="72F25B48" w14:textId="77777777" w:rsidR="001E2697" w:rsidRPr="002C3752" w:rsidRDefault="001E2697" w:rsidP="001E2697">
      <w:pPr>
        <w:tabs>
          <w:tab w:val="left" w:pos="-720"/>
        </w:tabs>
        <w:suppressAutoHyphens/>
        <w:rPr>
          <w:rFonts w:cs="Arial"/>
          <w:bCs/>
          <w:spacing w:val="-3"/>
        </w:rPr>
      </w:pPr>
      <w:r w:rsidRPr="002C3752">
        <w:rPr>
          <w:rFonts w:cs="Arial"/>
          <w:bCs/>
          <w:spacing w:val="-3"/>
        </w:rPr>
        <w:t>In the matter between:</w:t>
      </w:r>
    </w:p>
    <w:p w14:paraId="0C92776A" w14:textId="77777777" w:rsidR="001E2697" w:rsidRPr="002C3752" w:rsidRDefault="001E2697" w:rsidP="001E2697">
      <w:pPr>
        <w:widowControl w:val="0"/>
        <w:tabs>
          <w:tab w:val="right" w:pos="9356"/>
        </w:tabs>
        <w:jc w:val="both"/>
        <w:rPr>
          <w:rFonts w:cs="Arial"/>
          <w:b/>
        </w:rPr>
      </w:pPr>
    </w:p>
    <w:p w14:paraId="5A6579E2" w14:textId="2D6BEE19" w:rsidR="00582B78" w:rsidRPr="002C3752" w:rsidRDefault="00582B78" w:rsidP="00582B78">
      <w:pPr>
        <w:widowControl w:val="0"/>
        <w:tabs>
          <w:tab w:val="right" w:pos="9356"/>
        </w:tabs>
        <w:jc w:val="both"/>
        <w:rPr>
          <w:rFonts w:eastAsia="Calibri" w:cs="Arial"/>
          <w:b/>
          <w:bCs/>
          <w:lang w:val="en-US"/>
        </w:rPr>
      </w:pPr>
      <w:bookmarkStart w:id="0" w:name="_Hlk67557019"/>
      <w:r w:rsidRPr="002C3752">
        <w:rPr>
          <w:rFonts w:cs="Arial"/>
        </w:rPr>
        <w:tab/>
      </w:r>
      <w:r w:rsidR="00EC7CEF">
        <w:rPr>
          <w:rFonts w:eastAsia="Calibri" w:cs="Arial"/>
          <w:b/>
          <w:bCs/>
          <w:lang w:val="en-US"/>
        </w:rPr>
        <w:t>APPLICANT</w:t>
      </w:r>
    </w:p>
    <w:p w14:paraId="08950B1D" w14:textId="6D7AA8D2" w:rsidR="005A0267" w:rsidRPr="002C3752" w:rsidRDefault="00EC7CEF" w:rsidP="001E2697">
      <w:pPr>
        <w:widowControl w:val="0"/>
        <w:tabs>
          <w:tab w:val="right" w:pos="9356"/>
        </w:tabs>
        <w:jc w:val="both"/>
        <w:rPr>
          <w:rFonts w:eastAsia="Calibri" w:cs="Arial"/>
          <w:b/>
          <w:bCs/>
          <w:lang w:val="en-US"/>
        </w:rPr>
      </w:pPr>
      <w:r>
        <w:rPr>
          <w:rFonts w:eastAsia="Calibri" w:cs="Arial"/>
          <w:b/>
          <w:bCs/>
          <w:lang w:val="en-US"/>
        </w:rPr>
        <w:t>STANDARD BANK OF SOUTH AFRICA LTD</w:t>
      </w:r>
      <w:r w:rsidR="00582B78" w:rsidRPr="002C3752">
        <w:rPr>
          <w:rFonts w:eastAsia="Calibri" w:cs="Arial"/>
          <w:b/>
          <w:bCs/>
          <w:lang w:val="en-US"/>
        </w:rPr>
        <w:tab/>
      </w:r>
    </w:p>
    <w:p w14:paraId="2293F5A1" w14:textId="2142E753" w:rsidR="005A0267" w:rsidRPr="002C3752" w:rsidRDefault="005A0267" w:rsidP="001E2697">
      <w:pPr>
        <w:widowControl w:val="0"/>
        <w:tabs>
          <w:tab w:val="right" w:pos="9356"/>
        </w:tabs>
        <w:jc w:val="both"/>
        <w:rPr>
          <w:rFonts w:cs="Arial"/>
          <w:b/>
        </w:rPr>
      </w:pPr>
    </w:p>
    <w:p w14:paraId="39FAFA59" w14:textId="1F4F4F3C" w:rsidR="001E2697" w:rsidRPr="002C3752" w:rsidRDefault="005A0267" w:rsidP="001E2697">
      <w:pPr>
        <w:widowControl w:val="0"/>
        <w:tabs>
          <w:tab w:val="right" w:pos="9356"/>
        </w:tabs>
        <w:jc w:val="both"/>
        <w:rPr>
          <w:rFonts w:cs="Arial"/>
          <w:b/>
        </w:rPr>
      </w:pPr>
      <w:r w:rsidRPr="002C3752">
        <w:rPr>
          <w:rFonts w:cs="Arial"/>
          <w:b/>
        </w:rPr>
        <w:tab/>
      </w:r>
    </w:p>
    <w:p w14:paraId="6C62F3C8" w14:textId="77777777" w:rsidR="001E2697" w:rsidRPr="002C3752" w:rsidRDefault="001E2697" w:rsidP="001E2697">
      <w:pPr>
        <w:widowControl w:val="0"/>
        <w:tabs>
          <w:tab w:val="right" w:pos="9356"/>
        </w:tabs>
        <w:jc w:val="both"/>
        <w:rPr>
          <w:rFonts w:cs="Arial"/>
          <w:b/>
        </w:rPr>
      </w:pPr>
      <w:r w:rsidRPr="002C3752">
        <w:rPr>
          <w:rFonts w:cs="Arial"/>
          <w:b/>
        </w:rPr>
        <w:t>AND</w:t>
      </w:r>
    </w:p>
    <w:p w14:paraId="2B2F3C7D" w14:textId="77777777" w:rsidR="001E2697" w:rsidRPr="002C3752" w:rsidRDefault="001E2697" w:rsidP="001E2697">
      <w:pPr>
        <w:widowControl w:val="0"/>
        <w:tabs>
          <w:tab w:val="right" w:pos="9356"/>
        </w:tabs>
        <w:jc w:val="both"/>
        <w:rPr>
          <w:rFonts w:cs="Arial"/>
          <w:b/>
        </w:rPr>
      </w:pPr>
    </w:p>
    <w:p w14:paraId="3F8DA557" w14:textId="77777777" w:rsidR="0039420D" w:rsidRPr="002C3752" w:rsidRDefault="0039420D" w:rsidP="001E2697">
      <w:pPr>
        <w:widowControl w:val="0"/>
        <w:tabs>
          <w:tab w:val="right" w:pos="9356"/>
        </w:tabs>
        <w:jc w:val="both"/>
        <w:rPr>
          <w:rFonts w:cs="Arial"/>
          <w:b/>
        </w:rPr>
      </w:pPr>
    </w:p>
    <w:p w14:paraId="4CBF0E04" w14:textId="2D640D38" w:rsidR="009948E9" w:rsidRPr="002C3752" w:rsidRDefault="00EC7CEF" w:rsidP="009948E9">
      <w:pPr>
        <w:widowControl w:val="0"/>
        <w:tabs>
          <w:tab w:val="right" w:pos="9356"/>
        </w:tabs>
        <w:jc w:val="both"/>
        <w:rPr>
          <w:rFonts w:eastAsia="Calibri" w:cs="Arial"/>
          <w:b/>
          <w:bCs/>
          <w:lang w:val="en-US"/>
        </w:rPr>
      </w:pPr>
      <w:r>
        <w:rPr>
          <w:rFonts w:eastAsia="Calibri" w:cs="Arial"/>
          <w:b/>
          <w:bCs/>
          <w:lang w:val="en-US"/>
        </w:rPr>
        <w:t>INNOCENT GWASAI</w:t>
      </w:r>
      <w:r>
        <w:rPr>
          <w:rFonts w:eastAsia="Calibri" w:cs="Arial"/>
          <w:b/>
          <w:bCs/>
          <w:lang w:val="en-US"/>
        </w:rPr>
        <w:tab/>
        <w:t>FIRST RESPONDENT</w:t>
      </w:r>
    </w:p>
    <w:p w14:paraId="57321B6D" w14:textId="77777777" w:rsidR="00BE334B" w:rsidRPr="002C3752" w:rsidRDefault="00BE334B" w:rsidP="009948E9">
      <w:pPr>
        <w:widowControl w:val="0"/>
        <w:tabs>
          <w:tab w:val="right" w:pos="9356"/>
        </w:tabs>
        <w:jc w:val="both"/>
        <w:rPr>
          <w:rFonts w:eastAsia="Calibri" w:cs="Arial"/>
          <w:b/>
          <w:bCs/>
          <w:lang w:val="en-US"/>
        </w:rPr>
      </w:pPr>
    </w:p>
    <w:p w14:paraId="5274158E" w14:textId="08B96546" w:rsidR="001E2697" w:rsidRPr="002C3752" w:rsidRDefault="00EC7CEF" w:rsidP="009948E9">
      <w:pPr>
        <w:widowControl w:val="0"/>
        <w:tabs>
          <w:tab w:val="right" w:pos="9356"/>
        </w:tabs>
        <w:jc w:val="both"/>
        <w:rPr>
          <w:rFonts w:cs="Arial"/>
          <w:b/>
        </w:rPr>
      </w:pPr>
      <w:r>
        <w:rPr>
          <w:rFonts w:cs="Arial"/>
          <w:b/>
        </w:rPr>
        <w:t>NANDISA GSCHWARI</w:t>
      </w:r>
      <w:r w:rsidR="0039420D" w:rsidRPr="002C3752">
        <w:rPr>
          <w:rFonts w:cs="Arial"/>
          <w:b/>
        </w:rPr>
        <w:tab/>
      </w:r>
      <w:r>
        <w:rPr>
          <w:rFonts w:cs="Arial"/>
          <w:b/>
        </w:rPr>
        <w:t>SECOND RESPONDENT</w:t>
      </w:r>
    </w:p>
    <w:p w14:paraId="3BD5737E" w14:textId="74FD3CC1" w:rsidR="001E2697" w:rsidRPr="002C3752" w:rsidRDefault="001E2697" w:rsidP="001E2697">
      <w:pPr>
        <w:widowControl w:val="0"/>
        <w:tabs>
          <w:tab w:val="right" w:pos="9356"/>
        </w:tabs>
        <w:jc w:val="both"/>
        <w:rPr>
          <w:rFonts w:cs="Arial"/>
          <w:b/>
        </w:rPr>
      </w:pPr>
    </w:p>
    <w:p w14:paraId="5F4DABC6" w14:textId="20F912A5" w:rsidR="005A0267" w:rsidRPr="002C3752" w:rsidRDefault="005A0267" w:rsidP="001E2697">
      <w:pPr>
        <w:widowControl w:val="0"/>
        <w:tabs>
          <w:tab w:val="right" w:pos="9356"/>
        </w:tabs>
        <w:jc w:val="both"/>
        <w:rPr>
          <w:rFonts w:cs="Arial"/>
          <w:b/>
        </w:rPr>
      </w:pPr>
      <w:r w:rsidRPr="002C3752">
        <w:rPr>
          <w:rFonts w:cs="Arial"/>
          <w:b/>
        </w:rPr>
        <w:t xml:space="preserve"> </w:t>
      </w:r>
    </w:p>
    <w:p w14:paraId="7410BA02" w14:textId="6977BA2F" w:rsidR="004D55A8" w:rsidRPr="002C3752" w:rsidRDefault="00113EEB" w:rsidP="0039420D">
      <w:pPr>
        <w:widowControl w:val="0"/>
        <w:tabs>
          <w:tab w:val="right" w:pos="9356"/>
        </w:tabs>
        <w:jc w:val="both"/>
        <w:rPr>
          <w:rFonts w:cs="Arial"/>
          <w:b/>
        </w:rPr>
      </w:pPr>
      <w:r w:rsidRPr="002C3752">
        <w:rPr>
          <w:rFonts w:cs="Arial"/>
          <w:b/>
          <w:lang w:val="en-GB"/>
        </w:rPr>
        <w:tab/>
      </w:r>
      <w:bookmarkEnd w:id="0"/>
      <w:r w:rsidR="005A0267" w:rsidRPr="002C3752">
        <w:rPr>
          <w:rFonts w:cs="Arial"/>
          <w:b/>
        </w:rPr>
        <w:t xml:space="preserve"> </w:t>
      </w:r>
    </w:p>
    <w:p w14:paraId="4A6BBA1C" w14:textId="77777777" w:rsidR="001E2697" w:rsidRPr="002C3752" w:rsidRDefault="001E2697" w:rsidP="001E2697">
      <w:pPr>
        <w:widowControl w:val="0"/>
        <w:tabs>
          <w:tab w:val="right" w:pos="9356"/>
        </w:tabs>
        <w:jc w:val="both"/>
        <w:rPr>
          <w:rFonts w:cs="Arial"/>
          <w:b/>
        </w:rPr>
      </w:pPr>
    </w:p>
    <w:p w14:paraId="21CF8FA0" w14:textId="77777777" w:rsidR="001E2697" w:rsidRPr="002C3752" w:rsidRDefault="001E2697" w:rsidP="001E2697">
      <w:pPr>
        <w:widowControl w:val="0"/>
        <w:tabs>
          <w:tab w:val="right" w:pos="9356"/>
        </w:tabs>
        <w:jc w:val="both"/>
        <w:rPr>
          <w:rFonts w:cs="Arial"/>
          <w:b/>
        </w:rPr>
      </w:pPr>
      <w:r w:rsidRPr="002C3752">
        <w:rPr>
          <w:rFonts w:cs="Arial"/>
          <w:b/>
        </w:rPr>
        <w:lastRenderedPageBreak/>
        <w:tab/>
      </w:r>
      <w:r w:rsidRPr="002C3752">
        <w:rPr>
          <w:rFonts w:cs="Arial"/>
          <w:b/>
        </w:rPr>
        <w:tab/>
        <w:t xml:space="preserve">   </w:t>
      </w:r>
    </w:p>
    <w:p w14:paraId="32C5C398" w14:textId="3814087F" w:rsidR="001E2697" w:rsidRPr="002C3752" w:rsidRDefault="00113742" w:rsidP="001E2697">
      <w:pPr>
        <w:pStyle w:val="Tramlines"/>
        <w:rPr>
          <w:rFonts w:cs="Arial"/>
          <w:lang w:val="en-US"/>
        </w:rPr>
      </w:pPr>
      <w:r w:rsidRPr="002C3752">
        <w:rPr>
          <w:rFonts w:cs="Arial"/>
          <w:lang w:val="en-US"/>
        </w:rPr>
        <w:t xml:space="preserve">JUDGMENT </w:t>
      </w:r>
    </w:p>
    <w:p w14:paraId="67ED6938" w14:textId="77777777" w:rsidR="001E2697" w:rsidRPr="002C3752" w:rsidRDefault="001E2697" w:rsidP="001E2697">
      <w:pPr>
        <w:tabs>
          <w:tab w:val="left" w:pos="-720"/>
        </w:tabs>
        <w:suppressAutoHyphens/>
        <w:spacing w:line="360" w:lineRule="auto"/>
        <w:jc w:val="both"/>
        <w:rPr>
          <w:rFonts w:cs="Arial"/>
          <w:b/>
          <w:bCs/>
          <w:spacing w:val="-3"/>
        </w:rPr>
      </w:pPr>
    </w:p>
    <w:p w14:paraId="19EA82BB" w14:textId="19DD7F54" w:rsidR="001E2697" w:rsidRPr="002C3752" w:rsidRDefault="001E2697" w:rsidP="001E2697">
      <w:pPr>
        <w:ind w:left="1440" w:hanging="1440"/>
        <w:jc w:val="both"/>
        <w:rPr>
          <w:rFonts w:cs="Arial"/>
          <w:kern w:val="0"/>
          <w:lang w:eastAsia="en-US"/>
        </w:rPr>
      </w:pPr>
      <w:r w:rsidRPr="002C3752">
        <w:rPr>
          <w:rFonts w:cs="Arial"/>
          <w:b/>
        </w:rPr>
        <w:t>Delivered:</w:t>
      </w:r>
      <w:r w:rsidRPr="002C3752">
        <w:rPr>
          <w:rFonts w:cs="Arial"/>
          <w:b/>
        </w:rPr>
        <w:tab/>
      </w:r>
      <w:r w:rsidRPr="002C3752">
        <w:rPr>
          <w:rFonts w:cs="Arial"/>
        </w:rPr>
        <w:t xml:space="preserve">This judgment was handed down electronically by circulation to the parties’ legal representatives by e-mail. The date and time for hand-down is deemed to be 10h00 on the </w:t>
      </w:r>
      <w:r w:rsidR="00AD1D34">
        <w:rPr>
          <w:rFonts w:cs="Arial"/>
        </w:rPr>
        <w:t>27</w:t>
      </w:r>
      <w:r w:rsidR="0039420D" w:rsidRPr="002C3752">
        <w:rPr>
          <w:rFonts w:cs="Arial"/>
          <w:vertAlign w:val="superscript"/>
        </w:rPr>
        <w:t>th</w:t>
      </w:r>
      <w:r w:rsidR="00383D1C" w:rsidRPr="002C3752">
        <w:rPr>
          <w:rFonts w:cs="Arial"/>
        </w:rPr>
        <w:t xml:space="preserve"> </w:t>
      </w:r>
      <w:r w:rsidRPr="002C3752">
        <w:rPr>
          <w:rFonts w:cs="Arial"/>
        </w:rPr>
        <w:t xml:space="preserve">of </w:t>
      </w:r>
      <w:r w:rsidR="00AD1D34">
        <w:rPr>
          <w:rFonts w:cs="Arial"/>
        </w:rPr>
        <w:t>Jan</w:t>
      </w:r>
      <w:r w:rsidR="00EC7CEF">
        <w:rPr>
          <w:rFonts w:cs="Arial"/>
        </w:rPr>
        <w:t>uary</w:t>
      </w:r>
      <w:r w:rsidRPr="002C3752">
        <w:rPr>
          <w:rFonts w:cs="Arial"/>
        </w:rPr>
        <w:t xml:space="preserve"> 202</w:t>
      </w:r>
      <w:r w:rsidR="005A2434" w:rsidRPr="002C3752">
        <w:rPr>
          <w:rFonts w:cs="Arial"/>
        </w:rPr>
        <w:t>3</w:t>
      </w:r>
      <w:r w:rsidRPr="002C3752">
        <w:rPr>
          <w:rFonts w:cs="Arial"/>
        </w:rPr>
        <w:t>.</w:t>
      </w:r>
    </w:p>
    <w:p w14:paraId="54A5FD4D" w14:textId="77777777" w:rsidR="001E2697" w:rsidRPr="002C3752" w:rsidRDefault="001E2697" w:rsidP="001E2697">
      <w:pPr>
        <w:tabs>
          <w:tab w:val="left" w:pos="-720"/>
        </w:tabs>
        <w:suppressAutoHyphens/>
        <w:spacing w:line="360" w:lineRule="auto"/>
        <w:jc w:val="both"/>
        <w:rPr>
          <w:rFonts w:cs="Arial"/>
          <w:b/>
          <w:bCs/>
          <w:spacing w:val="-3"/>
          <w:u w:val="single"/>
        </w:rPr>
      </w:pPr>
    </w:p>
    <w:p w14:paraId="7EF343BE" w14:textId="77777777" w:rsidR="001E2697" w:rsidRPr="002C3752" w:rsidRDefault="001E2697" w:rsidP="001E2697">
      <w:pPr>
        <w:tabs>
          <w:tab w:val="left" w:pos="-720"/>
        </w:tabs>
        <w:suppressAutoHyphens/>
        <w:spacing w:line="360" w:lineRule="auto"/>
        <w:jc w:val="both"/>
        <w:rPr>
          <w:rFonts w:cs="Arial"/>
          <w:b/>
          <w:bCs/>
          <w:spacing w:val="-3"/>
          <w:u w:val="single"/>
        </w:rPr>
      </w:pPr>
    </w:p>
    <w:p w14:paraId="210BEE89" w14:textId="287968A7" w:rsidR="0039420D" w:rsidRDefault="001E2697" w:rsidP="00EC7CEF">
      <w:pPr>
        <w:tabs>
          <w:tab w:val="left" w:pos="-720"/>
        </w:tabs>
        <w:suppressAutoHyphens/>
        <w:spacing w:line="360" w:lineRule="auto"/>
        <w:jc w:val="both"/>
        <w:rPr>
          <w:rFonts w:cs="Arial"/>
          <w:b/>
          <w:bCs/>
          <w:spacing w:val="-3"/>
        </w:rPr>
      </w:pPr>
      <w:r w:rsidRPr="002C3752">
        <w:rPr>
          <w:rFonts w:cs="Arial"/>
          <w:b/>
          <w:bCs/>
          <w:spacing w:val="-3"/>
          <w:u w:val="single"/>
        </w:rPr>
        <w:t>DIPPENAAR J</w:t>
      </w:r>
      <w:r w:rsidRPr="002C3752">
        <w:rPr>
          <w:rFonts w:cs="Arial"/>
          <w:b/>
          <w:bCs/>
          <w:spacing w:val="-3"/>
        </w:rPr>
        <w:t>:</w:t>
      </w:r>
    </w:p>
    <w:p w14:paraId="54B0927A" w14:textId="77777777" w:rsidR="00EC7CEF" w:rsidRPr="00EC7CEF" w:rsidRDefault="00EC7CEF" w:rsidP="00EC7CEF">
      <w:pPr>
        <w:tabs>
          <w:tab w:val="left" w:pos="-720"/>
        </w:tabs>
        <w:suppressAutoHyphens/>
        <w:spacing w:line="360" w:lineRule="auto"/>
        <w:jc w:val="both"/>
        <w:rPr>
          <w:rFonts w:cs="Arial"/>
          <w:b/>
          <w:bCs/>
          <w:spacing w:val="-3"/>
        </w:rPr>
      </w:pPr>
    </w:p>
    <w:p w14:paraId="028D98EA" w14:textId="7FB56369" w:rsidR="007A7254" w:rsidRDefault="002172F9" w:rsidP="002172F9">
      <w:pPr>
        <w:pStyle w:val="level11"/>
        <w:numPr>
          <w:ilvl w:val="0"/>
          <w:numId w:val="0"/>
        </w:numPr>
        <w:spacing w:after="480" w:line="360" w:lineRule="auto"/>
        <w:jc w:val="both"/>
        <w:rPr>
          <w:rFonts w:cs="Arial"/>
          <w:lang w:val="en-US"/>
        </w:rPr>
      </w:pPr>
      <w:r>
        <w:rPr>
          <w:rFonts w:cs="Arial"/>
          <w:lang w:val="en-US"/>
        </w:rPr>
        <w:t>[1]</w:t>
      </w:r>
      <w:r>
        <w:rPr>
          <w:rFonts w:cs="Arial"/>
          <w:lang w:val="en-US"/>
        </w:rPr>
        <w:tab/>
      </w:r>
      <w:r w:rsidR="00BE334B" w:rsidRPr="002C3752">
        <w:rPr>
          <w:rFonts w:cs="Arial"/>
          <w:lang w:val="en-US"/>
        </w:rPr>
        <w:t>T</w:t>
      </w:r>
      <w:r w:rsidR="006A2B57">
        <w:rPr>
          <w:rFonts w:cs="Arial"/>
          <w:lang w:val="en-US"/>
        </w:rPr>
        <w:t xml:space="preserve">he applicant seeks </w:t>
      </w:r>
      <w:r w:rsidR="00514809">
        <w:rPr>
          <w:rFonts w:cs="Arial"/>
          <w:lang w:val="en-US"/>
        </w:rPr>
        <w:t xml:space="preserve">a monetary </w:t>
      </w:r>
      <w:r w:rsidR="006A2B57">
        <w:rPr>
          <w:rFonts w:cs="Arial"/>
          <w:lang w:val="en-US"/>
        </w:rPr>
        <w:t xml:space="preserve">judgment and an order declaring certain immovable property, being </w:t>
      </w:r>
      <w:r w:rsidR="00514809">
        <w:rPr>
          <w:rFonts w:cs="Arial"/>
          <w:lang w:val="en-US"/>
        </w:rPr>
        <w:t>Holding Number 147 Kyalami Agricultural Holdings (</w:t>
      </w:r>
      <w:r w:rsidR="00566A76">
        <w:rPr>
          <w:rFonts w:cs="Arial"/>
          <w:lang w:val="en-US"/>
        </w:rPr>
        <w:t>“</w:t>
      </w:r>
      <w:r w:rsidR="00514809">
        <w:rPr>
          <w:rFonts w:cs="Arial"/>
          <w:lang w:val="en-US"/>
        </w:rPr>
        <w:t>the property”)</w:t>
      </w:r>
      <w:r w:rsidR="006A2B57">
        <w:rPr>
          <w:rFonts w:cs="Arial"/>
          <w:lang w:val="en-US"/>
        </w:rPr>
        <w:t xml:space="preserve"> over which a mortgage bond is registered in its favour, specifically executable</w:t>
      </w:r>
      <w:r w:rsidR="00514809">
        <w:rPr>
          <w:rFonts w:cs="Arial"/>
          <w:lang w:val="en-US"/>
        </w:rPr>
        <w:t>, together with ancillary relief</w:t>
      </w:r>
      <w:r w:rsidR="006A2B57">
        <w:rPr>
          <w:rFonts w:cs="Arial"/>
          <w:lang w:val="en-US"/>
        </w:rPr>
        <w:t xml:space="preserve">. </w:t>
      </w:r>
    </w:p>
    <w:p w14:paraId="31757E89" w14:textId="72609EB4" w:rsidR="00C37EB8" w:rsidRPr="002C3752" w:rsidRDefault="002172F9" w:rsidP="002172F9">
      <w:pPr>
        <w:pStyle w:val="level11"/>
        <w:numPr>
          <w:ilvl w:val="0"/>
          <w:numId w:val="0"/>
        </w:numPr>
        <w:spacing w:after="480" w:line="360" w:lineRule="auto"/>
        <w:jc w:val="both"/>
        <w:rPr>
          <w:rFonts w:cs="Arial"/>
          <w:lang w:val="en-US"/>
        </w:rPr>
      </w:pPr>
      <w:r w:rsidRPr="002C3752">
        <w:rPr>
          <w:rFonts w:cs="Arial"/>
          <w:lang w:val="en-US"/>
        </w:rPr>
        <w:t>[2]</w:t>
      </w:r>
      <w:r w:rsidRPr="002C3752">
        <w:rPr>
          <w:rFonts w:cs="Arial"/>
          <w:lang w:val="en-US"/>
        </w:rPr>
        <w:tab/>
      </w:r>
      <w:r w:rsidR="00455044">
        <w:rPr>
          <w:rFonts w:cs="Arial"/>
          <w:lang w:val="en-US"/>
        </w:rPr>
        <w:t>T</w:t>
      </w:r>
      <w:r w:rsidR="00C37EB8">
        <w:rPr>
          <w:rFonts w:cs="Arial"/>
          <w:lang w:val="en-US"/>
        </w:rPr>
        <w:t>he first respondent filed a notice to abide, which was withdrawn shortly thereafter. However, the first respondent has not opposed the application, nor delivered any answering affidavit.</w:t>
      </w:r>
    </w:p>
    <w:p w14:paraId="56159443" w14:textId="5F73A3D2" w:rsidR="006616E5" w:rsidRPr="002C3752" w:rsidRDefault="002172F9" w:rsidP="002172F9">
      <w:pPr>
        <w:pStyle w:val="level11"/>
        <w:numPr>
          <w:ilvl w:val="0"/>
          <w:numId w:val="0"/>
        </w:numPr>
        <w:spacing w:after="480" w:line="360" w:lineRule="auto"/>
        <w:jc w:val="both"/>
        <w:rPr>
          <w:rFonts w:cs="Arial"/>
          <w:lang w:val="en-US"/>
        </w:rPr>
      </w:pPr>
      <w:r w:rsidRPr="002C3752">
        <w:rPr>
          <w:rFonts w:cs="Arial"/>
          <w:lang w:val="en-US"/>
        </w:rPr>
        <w:t>[3]</w:t>
      </w:r>
      <w:r w:rsidRPr="002C3752">
        <w:rPr>
          <w:rFonts w:cs="Arial"/>
          <w:lang w:val="en-US"/>
        </w:rPr>
        <w:tab/>
      </w:r>
      <w:r w:rsidR="006A2B57">
        <w:rPr>
          <w:rFonts w:cs="Arial"/>
          <w:lang w:val="en-US"/>
        </w:rPr>
        <w:t>The second respondent, who concluded various sale agreements with the first resp</w:t>
      </w:r>
      <w:bookmarkStart w:id="1" w:name="_GoBack"/>
      <w:bookmarkEnd w:id="1"/>
      <w:r w:rsidR="006A2B57">
        <w:rPr>
          <w:rFonts w:cs="Arial"/>
          <w:lang w:val="en-US"/>
        </w:rPr>
        <w:t xml:space="preserve">ondent </w:t>
      </w:r>
      <w:r w:rsidR="007A7254">
        <w:rPr>
          <w:rFonts w:cs="Arial"/>
          <w:lang w:val="en-US"/>
        </w:rPr>
        <w:t>pertaining to the property, opposes the application. She has also raised certain counter claims against both the applicant and the first respondent.</w:t>
      </w:r>
      <w:r w:rsidR="005F52D5">
        <w:rPr>
          <w:rFonts w:cs="Arial"/>
          <w:lang w:val="en-US"/>
        </w:rPr>
        <w:t xml:space="preserve"> </w:t>
      </w:r>
    </w:p>
    <w:p w14:paraId="24D73256" w14:textId="21629ED2" w:rsidR="006A2B57" w:rsidRPr="0073716C" w:rsidRDefault="002172F9" w:rsidP="002172F9">
      <w:pPr>
        <w:pStyle w:val="level11"/>
        <w:numPr>
          <w:ilvl w:val="0"/>
          <w:numId w:val="0"/>
        </w:numPr>
        <w:spacing w:after="480" w:line="360" w:lineRule="auto"/>
        <w:jc w:val="both"/>
        <w:rPr>
          <w:lang w:val="en-US"/>
        </w:rPr>
      </w:pPr>
      <w:r w:rsidRPr="0073716C">
        <w:rPr>
          <w:lang w:val="en-US"/>
        </w:rPr>
        <w:t>[4]</w:t>
      </w:r>
      <w:r w:rsidRPr="0073716C">
        <w:rPr>
          <w:lang w:val="en-US"/>
        </w:rPr>
        <w:tab/>
      </w:r>
      <w:r w:rsidR="006A2B57" w:rsidRPr="0073716C">
        <w:rPr>
          <w:lang w:val="en-US"/>
        </w:rPr>
        <w:t xml:space="preserve">The applicant seeks final relief. The matter is thus to be determined on the basis of the so called </w:t>
      </w:r>
      <w:r w:rsidR="006A2B57" w:rsidRPr="00514809">
        <w:rPr>
          <w:i/>
          <w:lang w:val="en-US"/>
        </w:rPr>
        <w:t>Plascon Evans</w:t>
      </w:r>
      <w:r w:rsidR="006A2B57" w:rsidRPr="0073716C">
        <w:rPr>
          <w:lang w:val="en-US"/>
        </w:rPr>
        <w:t xml:space="preserve"> test</w:t>
      </w:r>
      <w:r w:rsidR="006A2B57">
        <w:rPr>
          <w:rStyle w:val="FootnoteReference"/>
          <w:lang w:val="en-US"/>
        </w:rPr>
        <w:footnoteReference w:id="1"/>
      </w:r>
      <w:r w:rsidR="006A2B57" w:rsidRPr="0073716C">
        <w:rPr>
          <w:lang w:val="en-US"/>
        </w:rPr>
        <w:t>. It is well established that motion proceedings, unless concerned with interim relief, are about the resolution of legal issues based on common cause facts.</w:t>
      </w:r>
      <w:r w:rsidR="006A2B57">
        <w:rPr>
          <w:lang w:val="en-US"/>
        </w:rPr>
        <w:t xml:space="preserve"> </w:t>
      </w:r>
    </w:p>
    <w:p w14:paraId="06D7A6C5" w14:textId="5C32BBFC" w:rsidR="00407B14" w:rsidRPr="002C3752" w:rsidRDefault="002172F9" w:rsidP="002172F9">
      <w:pPr>
        <w:pStyle w:val="level11"/>
        <w:numPr>
          <w:ilvl w:val="0"/>
          <w:numId w:val="0"/>
        </w:numPr>
        <w:spacing w:after="480" w:line="360" w:lineRule="auto"/>
        <w:jc w:val="both"/>
        <w:rPr>
          <w:rFonts w:cs="Arial"/>
          <w:lang w:val="en-US"/>
        </w:rPr>
      </w:pPr>
      <w:r w:rsidRPr="002C3752">
        <w:rPr>
          <w:rFonts w:cs="Arial"/>
          <w:lang w:val="en-US"/>
        </w:rPr>
        <w:lastRenderedPageBreak/>
        <w:t>[5]</w:t>
      </w:r>
      <w:r w:rsidRPr="002C3752">
        <w:rPr>
          <w:rFonts w:cs="Arial"/>
          <w:lang w:val="en-US"/>
        </w:rPr>
        <w:tab/>
      </w:r>
      <w:r w:rsidR="00407B14" w:rsidRPr="002C3752">
        <w:rPr>
          <w:rFonts w:cs="Arial"/>
          <w:lang w:val="en-US"/>
        </w:rPr>
        <w:t>T</w:t>
      </w:r>
      <w:r w:rsidR="00407B14">
        <w:rPr>
          <w:rFonts w:cs="Arial"/>
          <w:lang w:val="en-US"/>
        </w:rPr>
        <w:t>he second respondent claims an interest in the subject matter of these proceedings, namely the property, arising from a suite of agreements pertaining to the sale of the property concluded between her and the first respondent during 2014 and 2015.</w:t>
      </w:r>
    </w:p>
    <w:p w14:paraId="1A258193" w14:textId="122979CF" w:rsidR="00407B14" w:rsidRDefault="002172F9" w:rsidP="002172F9">
      <w:pPr>
        <w:pStyle w:val="level11"/>
        <w:numPr>
          <w:ilvl w:val="0"/>
          <w:numId w:val="0"/>
        </w:numPr>
        <w:spacing w:after="480" w:line="360" w:lineRule="auto"/>
        <w:jc w:val="both"/>
        <w:rPr>
          <w:rFonts w:cs="Arial"/>
          <w:lang w:val="en-US"/>
        </w:rPr>
      </w:pPr>
      <w:r>
        <w:rPr>
          <w:rFonts w:cs="Arial"/>
          <w:lang w:val="en-US"/>
        </w:rPr>
        <w:t>[6]</w:t>
      </w:r>
      <w:r>
        <w:rPr>
          <w:rFonts w:cs="Arial"/>
          <w:lang w:val="en-US"/>
        </w:rPr>
        <w:tab/>
      </w:r>
      <w:r w:rsidR="00407B14">
        <w:rPr>
          <w:rFonts w:cs="Arial"/>
          <w:lang w:val="en-US"/>
        </w:rPr>
        <w:t>The second respondent filed four affidavits: (i) an affidavit opposing the application; (ii)</w:t>
      </w:r>
      <w:r w:rsidR="00407B14" w:rsidRPr="00C37EB8">
        <w:rPr>
          <w:rFonts w:cs="Arial"/>
          <w:lang w:val="en-US"/>
        </w:rPr>
        <w:t xml:space="preserve"> </w:t>
      </w:r>
      <w:r w:rsidR="00407B14">
        <w:rPr>
          <w:rFonts w:cs="Arial"/>
          <w:lang w:val="en-US"/>
        </w:rPr>
        <w:t>a further affidavit headed ‘counterclaim to the applicant’, in which the second respondent seeks payment from the applicant of damages in the aggregate sum of R14.79 million; (iii) a further affidavit headed ‘claim against the first respondent’, in which the second respondent seeks payment from the first respondent of damages in the sum of some R2.1 million; and (iv) a further affidavit in terms of which the second respondent seeks a final interdict (a) restraining the sale of the Property and (b) compelling the applicant to furnish ‘…</w:t>
      </w:r>
      <w:r w:rsidR="00407B14">
        <w:rPr>
          <w:rFonts w:cs="Arial"/>
          <w:i/>
          <w:lang w:val="en-US"/>
        </w:rPr>
        <w:t>all documentation required in regards the bond account…’.</w:t>
      </w:r>
    </w:p>
    <w:p w14:paraId="681A2BE1" w14:textId="16BAAA71" w:rsidR="00407B14" w:rsidRPr="005847D4" w:rsidRDefault="002172F9" w:rsidP="002172F9">
      <w:pPr>
        <w:pStyle w:val="level11"/>
        <w:numPr>
          <w:ilvl w:val="0"/>
          <w:numId w:val="0"/>
        </w:numPr>
        <w:spacing w:after="480" w:line="360" w:lineRule="auto"/>
        <w:jc w:val="both"/>
        <w:rPr>
          <w:rFonts w:cs="Arial"/>
          <w:lang w:val="en-US"/>
        </w:rPr>
      </w:pPr>
      <w:r w:rsidRPr="005847D4">
        <w:rPr>
          <w:rFonts w:cs="Arial"/>
          <w:lang w:val="en-US"/>
        </w:rPr>
        <w:t>[7]</w:t>
      </w:r>
      <w:r w:rsidRPr="005847D4">
        <w:rPr>
          <w:rFonts w:cs="Arial"/>
          <w:lang w:val="en-US"/>
        </w:rPr>
        <w:tab/>
      </w:r>
      <w:r w:rsidR="00407B14" w:rsidRPr="005847D4">
        <w:rPr>
          <w:rFonts w:cs="Arial"/>
          <w:lang w:val="en-US"/>
        </w:rPr>
        <w:t>The second respondent’s case in sum is that the applicant became party to the sale agreements concluded between her and the first respondent as they accepted the sale of the property and has colluded with the first respondent</w:t>
      </w:r>
      <w:r w:rsidR="005847D4" w:rsidRPr="005847D4">
        <w:rPr>
          <w:rFonts w:cs="Arial"/>
          <w:lang w:val="en-US"/>
        </w:rPr>
        <w:t xml:space="preserve"> to defraud her</w:t>
      </w:r>
      <w:r w:rsidR="00407B14" w:rsidRPr="005847D4">
        <w:rPr>
          <w:rFonts w:cs="Arial"/>
          <w:lang w:val="en-US"/>
        </w:rPr>
        <w:t xml:space="preserve">. </w:t>
      </w:r>
      <w:r w:rsidR="005847D4" w:rsidRPr="005847D4">
        <w:rPr>
          <w:rFonts w:cs="Arial"/>
          <w:lang w:val="en-US"/>
        </w:rPr>
        <w:t>She has paid a total of R5 475 493.96 that benefitted both the applicant and first respondent. The first respondent defrauded her and fled the country after she paid him and amount of R2 m</w:t>
      </w:r>
      <w:r w:rsidR="00566A76">
        <w:rPr>
          <w:rFonts w:cs="Arial"/>
          <w:lang w:val="en-US"/>
        </w:rPr>
        <w:t>illion</w:t>
      </w:r>
      <w:r w:rsidR="005847D4" w:rsidRPr="005847D4">
        <w:rPr>
          <w:rFonts w:cs="Arial"/>
          <w:lang w:val="en-US"/>
        </w:rPr>
        <w:t>. She accuses the applicant of intimidation</w:t>
      </w:r>
      <w:r w:rsidR="005847D4">
        <w:rPr>
          <w:rFonts w:cs="Arial"/>
          <w:lang w:val="en-US"/>
        </w:rPr>
        <w:t>,</w:t>
      </w:r>
      <w:r w:rsidR="00407B14" w:rsidRPr="005847D4">
        <w:rPr>
          <w:rFonts w:cs="Arial"/>
          <w:lang w:val="en-US"/>
        </w:rPr>
        <w:t xml:space="preserve"> of misleading the court in it</w:t>
      </w:r>
      <w:r w:rsidR="00566A76">
        <w:rPr>
          <w:rFonts w:cs="Arial"/>
          <w:lang w:val="en-US"/>
        </w:rPr>
        <w:t>s</w:t>
      </w:r>
      <w:r w:rsidR="00407B14" w:rsidRPr="005847D4">
        <w:rPr>
          <w:rFonts w:cs="Arial"/>
          <w:lang w:val="en-US"/>
        </w:rPr>
        <w:t xml:space="preserve"> papers and of causing damage to the property as it was vandalized and various items stolen. She argues that the plaintiff should not have launched the present proceedings but instead should have negotiated an amicable resolution to the issue with her as the purchaser of the property. </w:t>
      </w:r>
    </w:p>
    <w:p w14:paraId="4F1254D8" w14:textId="5748964B" w:rsidR="00407B14" w:rsidRDefault="002172F9" w:rsidP="002172F9">
      <w:pPr>
        <w:pStyle w:val="level11"/>
        <w:numPr>
          <w:ilvl w:val="0"/>
          <w:numId w:val="0"/>
        </w:numPr>
        <w:spacing w:after="480" w:line="360" w:lineRule="auto"/>
        <w:jc w:val="both"/>
        <w:rPr>
          <w:rFonts w:cs="Arial"/>
          <w:lang w:val="en-US"/>
        </w:rPr>
      </w:pPr>
      <w:r>
        <w:rPr>
          <w:rFonts w:cs="Arial"/>
          <w:lang w:val="en-US"/>
        </w:rPr>
        <w:t>[8]</w:t>
      </w:r>
      <w:r>
        <w:rPr>
          <w:rFonts w:cs="Arial"/>
          <w:lang w:val="en-US"/>
        </w:rPr>
        <w:tab/>
      </w:r>
      <w:r w:rsidR="005847D4">
        <w:rPr>
          <w:rFonts w:cs="Arial"/>
          <w:lang w:val="en-US"/>
        </w:rPr>
        <w:t>The second respondent</w:t>
      </w:r>
      <w:r w:rsidR="00407B14">
        <w:rPr>
          <w:rFonts w:cs="Arial"/>
          <w:lang w:val="en-US"/>
        </w:rPr>
        <w:t xml:space="preserve"> </w:t>
      </w:r>
      <w:r w:rsidR="005847D4">
        <w:rPr>
          <w:rFonts w:cs="Arial"/>
          <w:lang w:val="en-US"/>
        </w:rPr>
        <w:t xml:space="preserve">further </w:t>
      </w:r>
      <w:r w:rsidR="00407B14">
        <w:rPr>
          <w:rFonts w:cs="Arial"/>
          <w:lang w:val="en-US"/>
        </w:rPr>
        <w:t>contends that she was attempting to settle the balance with the applicant after the first respondent fled the country</w:t>
      </w:r>
      <w:r w:rsidR="005847D4">
        <w:rPr>
          <w:rFonts w:cs="Arial"/>
          <w:lang w:val="en-US"/>
        </w:rPr>
        <w:t xml:space="preserve"> </w:t>
      </w:r>
      <w:r w:rsidR="00407B14">
        <w:rPr>
          <w:rFonts w:cs="Arial"/>
          <w:lang w:val="en-US"/>
        </w:rPr>
        <w:t>and that the first respondent abandoned his rights of ownership in terms of the sale agreements.</w:t>
      </w:r>
      <w:r w:rsidR="00407B14" w:rsidRPr="00F86189">
        <w:rPr>
          <w:rFonts w:cs="Arial"/>
          <w:lang w:val="en-US"/>
        </w:rPr>
        <w:t xml:space="preserve"> </w:t>
      </w:r>
      <w:r w:rsidR="00407B14">
        <w:rPr>
          <w:rFonts w:cs="Arial"/>
          <w:lang w:val="en-US"/>
        </w:rPr>
        <w:t xml:space="preserve">She claims not to know the outstanding amount </w:t>
      </w:r>
      <w:r w:rsidR="005847D4">
        <w:rPr>
          <w:rFonts w:cs="Arial"/>
          <w:lang w:val="en-US"/>
        </w:rPr>
        <w:t xml:space="preserve">due under the bond as the applicant refused to disclose </w:t>
      </w:r>
      <w:r w:rsidR="00407B14">
        <w:rPr>
          <w:rFonts w:cs="Arial"/>
          <w:lang w:val="en-US"/>
        </w:rPr>
        <w:t xml:space="preserve">the financial information requested by her, thus preventing her from settling the outstanding amount due. </w:t>
      </w:r>
    </w:p>
    <w:p w14:paraId="2F3C29C0" w14:textId="135C4ED2" w:rsidR="006616E5" w:rsidRPr="002C3752" w:rsidRDefault="002172F9" w:rsidP="002172F9">
      <w:pPr>
        <w:pStyle w:val="level11"/>
        <w:numPr>
          <w:ilvl w:val="0"/>
          <w:numId w:val="0"/>
        </w:numPr>
        <w:spacing w:after="480" w:line="360" w:lineRule="auto"/>
        <w:jc w:val="both"/>
        <w:rPr>
          <w:rFonts w:cs="Arial"/>
          <w:lang w:val="en-US"/>
        </w:rPr>
      </w:pPr>
      <w:r w:rsidRPr="002C3752">
        <w:rPr>
          <w:rFonts w:cs="Arial"/>
          <w:lang w:val="en-US"/>
        </w:rPr>
        <w:lastRenderedPageBreak/>
        <w:t>[9]</w:t>
      </w:r>
      <w:r w:rsidRPr="002C3752">
        <w:rPr>
          <w:rFonts w:cs="Arial"/>
          <w:lang w:val="en-US"/>
        </w:rPr>
        <w:tab/>
      </w:r>
      <w:r w:rsidR="00030F7F">
        <w:rPr>
          <w:rFonts w:cs="Arial"/>
          <w:lang w:val="en-US"/>
        </w:rPr>
        <w:t xml:space="preserve">The </w:t>
      </w:r>
      <w:r w:rsidR="00C37EB8">
        <w:rPr>
          <w:rFonts w:cs="Arial"/>
          <w:lang w:val="en-US"/>
        </w:rPr>
        <w:t xml:space="preserve">relevant </w:t>
      </w:r>
      <w:r w:rsidR="00514809">
        <w:rPr>
          <w:rFonts w:cs="Arial"/>
          <w:lang w:val="en-US"/>
        </w:rPr>
        <w:t xml:space="preserve">facts are </w:t>
      </w:r>
      <w:r w:rsidR="00407B14">
        <w:rPr>
          <w:rFonts w:cs="Arial"/>
          <w:lang w:val="en-US"/>
        </w:rPr>
        <w:t xml:space="preserve">by and large </w:t>
      </w:r>
      <w:r w:rsidR="00514809">
        <w:rPr>
          <w:rFonts w:cs="Arial"/>
          <w:lang w:val="en-US"/>
        </w:rPr>
        <w:t xml:space="preserve">common cause. The </w:t>
      </w:r>
      <w:r w:rsidR="00030F7F">
        <w:rPr>
          <w:rFonts w:cs="Arial"/>
          <w:lang w:val="en-US"/>
        </w:rPr>
        <w:t xml:space="preserve">first </w:t>
      </w:r>
      <w:r w:rsidR="008B76C3">
        <w:rPr>
          <w:rFonts w:cs="Arial"/>
          <w:lang w:val="en-US"/>
        </w:rPr>
        <w:t>r</w:t>
      </w:r>
      <w:r w:rsidR="00030F7F">
        <w:rPr>
          <w:rFonts w:cs="Arial"/>
          <w:lang w:val="en-US"/>
        </w:rPr>
        <w:t xml:space="preserve">espondent is the registered owner of </w:t>
      </w:r>
      <w:r w:rsidR="00514809">
        <w:rPr>
          <w:rFonts w:cs="Arial"/>
          <w:lang w:val="en-US"/>
        </w:rPr>
        <w:t>the pro</w:t>
      </w:r>
      <w:r w:rsidR="00030F7F">
        <w:rPr>
          <w:rFonts w:cs="Arial"/>
          <w:lang w:val="en-US"/>
        </w:rPr>
        <w:t>perty</w:t>
      </w:r>
      <w:r w:rsidR="00514809">
        <w:rPr>
          <w:rFonts w:cs="Arial"/>
          <w:lang w:val="en-US"/>
        </w:rPr>
        <w:t>.</w:t>
      </w:r>
      <w:r w:rsidR="00A15CDE">
        <w:rPr>
          <w:rFonts w:cs="Arial"/>
          <w:lang w:val="en-US"/>
        </w:rPr>
        <w:t xml:space="preserve"> The applicant holds a mortgage bond over the </w:t>
      </w:r>
      <w:r w:rsidR="00514809">
        <w:rPr>
          <w:rFonts w:cs="Arial"/>
          <w:lang w:val="en-US"/>
        </w:rPr>
        <w:t>p</w:t>
      </w:r>
      <w:r w:rsidR="00A15CDE">
        <w:rPr>
          <w:rFonts w:cs="Arial"/>
          <w:lang w:val="en-US"/>
        </w:rPr>
        <w:t xml:space="preserve">roperty as security for </w:t>
      </w:r>
      <w:r w:rsidR="00514809">
        <w:rPr>
          <w:rFonts w:cs="Arial"/>
          <w:lang w:val="en-US"/>
        </w:rPr>
        <w:t xml:space="preserve">the first respondent’s </w:t>
      </w:r>
      <w:r w:rsidR="00A15CDE">
        <w:rPr>
          <w:rFonts w:cs="Arial"/>
          <w:lang w:val="en-US"/>
        </w:rPr>
        <w:t xml:space="preserve">indebtedness to </w:t>
      </w:r>
      <w:r w:rsidR="00514809">
        <w:rPr>
          <w:rFonts w:cs="Arial"/>
          <w:lang w:val="en-US"/>
        </w:rPr>
        <w:t>it</w:t>
      </w:r>
      <w:r w:rsidR="00A15CDE">
        <w:rPr>
          <w:rFonts w:cs="Arial"/>
          <w:lang w:val="en-US"/>
        </w:rPr>
        <w:t xml:space="preserve"> in terms of a home loan agreement </w:t>
      </w:r>
      <w:r w:rsidR="00C37EB8">
        <w:rPr>
          <w:rFonts w:cs="Arial"/>
          <w:lang w:val="en-US"/>
        </w:rPr>
        <w:t xml:space="preserve">for R5.25 million, </w:t>
      </w:r>
      <w:r w:rsidR="00A15CDE">
        <w:rPr>
          <w:rFonts w:cs="Arial"/>
          <w:lang w:val="en-US"/>
        </w:rPr>
        <w:t xml:space="preserve">concluded between </w:t>
      </w:r>
      <w:r w:rsidR="00514809">
        <w:rPr>
          <w:rFonts w:cs="Arial"/>
          <w:lang w:val="en-US"/>
        </w:rPr>
        <w:t>the applicant and first respondent</w:t>
      </w:r>
      <w:r w:rsidR="00A15CDE">
        <w:rPr>
          <w:rFonts w:cs="Arial"/>
          <w:lang w:val="en-US"/>
        </w:rPr>
        <w:t xml:space="preserve"> on 23 February 2007.</w:t>
      </w:r>
      <w:r w:rsidR="00514809">
        <w:rPr>
          <w:rFonts w:cs="Arial"/>
          <w:lang w:val="en-US"/>
        </w:rPr>
        <w:t xml:space="preserve"> </w:t>
      </w:r>
    </w:p>
    <w:p w14:paraId="534E0D5D" w14:textId="35803ACB" w:rsidR="006616E5" w:rsidRPr="00C37EB8" w:rsidRDefault="002172F9" w:rsidP="002172F9">
      <w:pPr>
        <w:pStyle w:val="level11"/>
        <w:numPr>
          <w:ilvl w:val="0"/>
          <w:numId w:val="0"/>
        </w:numPr>
        <w:spacing w:after="480" w:line="360" w:lineRule="auto"/>
        <w:jc w:val="both"/>
        <w:rPr>
          <w:rFonts w:cs="Arial"/>
          <w:lang w:val="en-US"/>
        </w:rPr>
      </w:pPr>
      <w:r w:rsidRPr="00C37EB8">
        <w:rPr>
          <w:rFonts w:cs="Arial"/>
          <w:lang w:val="en-US"/>
        </w:rPr>
        <w:t>[10]</w:t>
      </w:r>
      <w:r w:rsidRPr="00C37EB8">
        <w:rPr>
          <w:rFonts w:cs="Arial"/>
          <w:lang w:val="en-US"/>
        </w:rPr>
        <w:tab/>
      </w:r>
      <w:r w:rsidR="00C37EB8" w:rsidRPr="00C37EB8">
        <w:rPr>
          <w:rFonts w:cs="Arial"/>
          <w:lang w:val="en-US"/>
        </w:rPr>
        <w:t xml:space="preserve">The first respondent breached the agreement resulting in the applicant </w:t>
      </w:r>
      <w:r w:rsidR="00EA68E0" w:rsidRPr="00C37EB8">
        <w:rPr>
          <w:rFonts w:cs="Arial"/>
          <w:lang w:val="en-US"/>
        </w:rPr>
        <w:t>obtaining an order of foreclosure against him on 22 August 2013.</w:t>
      </w:r>
      <w:r w:rsidR="00C37EB8">
        <w:rPr>
          <w:rFonts w:cs="Arial"/>
          <w:lang w:val="en-US"/>
        </w:rPr>
        <w:t xml:space="preserve"> It was undisputed that the agreement was later </w:t>
      </w:r>
      <w:r w:rsidR="00EA68E0" w:rsidRPr="00C37EB8">
        <w:rPr>
          <w:rFonts w:cs="Arial"/>
          <w:lang w:val="en-US"/>
        </w:rPr>
        <w:t>reinstated in terms of section 129(3) of the N</w:t>
      </w:r>
      <w:r w:rsidR="00C37EB8">
        <w:rPr>
          <w:rFonts w:cs="Arial"/>
          <w:lang w:val="en-US"/>
        </w:rPr>
        <w:t xml:space="preserve">ational </w:t>
      </w:r>
      <w:r w:rsidR="00EA68E0" w:rsidRPr="00C37EB8">
        <w:rPr>
          <w:rFonts w:cs="Arial"/>
          <w:lang w:val="en-US"/>
        </w:rPr>
        <w:t>C</w:t>
      </w:r>
      <w:r w:rsidR="00C37EB8">
        <w:rPr>
          <w:rFonts w:cs="Arial"/>
          <w:lang w:val="en-US"/>
        </w:rPr>
        <w:t>redit Act</w:t>
      </w:r>
      <w:r w:rsidR="00C37EB8">
        <w:rPr>
          <w:rStyle w:val="FootnoteReference"/>
          <w:rFonts w:cs="Arial"/>
          <w:lang w:val="en-US"/>
        </w:rPr>
        <w:footnoteReference w:id="2"/>
      </w:r>
      <w:r w:rsidR="009057E4">
        <w:rPr>
          <w:rFonts w:cs="Arial"/>
          <w:lang w:val="en-US"/>
        </w:rPr>
        <w:t xml:space="preserve"> (the “NCA”)</w:t>
      </w:r>
      <w:r w:rsidR="00EA68E0" w:rsidRPr="00C37EB8">
        <w:rPr>
          <w:rFonts w:cs="Arial"/>
          <w:lang w:val="en-US"/>
        </w:rPr>
        <w:t xml:space="preserve"> </w:t>
      </w:r>
      <w:r w:rsidR="009057E4">
        <w:rPr>
          <w:rFonts w:cs="Arial"/>
          <w:lang w:val="en-US"/>
        </w:rPr>
        <w:t>pursuant to a</w:t>
      </w:r>
      <w:r w:rsidR="00EA68E0" w:rsidRPr="00C37EB8">
        <w:rPr>
          <w:rFonts w:cs="Arial"/>
          <w:lang w:val="en-US"/>
        </w:rPr>
        <w:t xml:space="preserve"> rescission application</w:t>
      </w:r>
      <w:r w:rsidR="009057E4">
        <w:rPr>
          <w:rFonts w:cs="Arial"/>
          <w:lang w:val="en-US"/>
        </w:rPr>
        <w:t xml:space="preserve"> launched by the first respondent</w:t>
      </w:r>
      <w:r w:rsidR="00EA68E0" w:rsidRPr="00C37EB8">
        <w:rPr>
          <w:rFonts w:cs="Arial"/>
          <w:lang w:val="en-US"/>
        </w:rPr>
        <w:t>.  As a result, the foreclosure order obtained on 22 August 2013 lapsed and is invalid.</w:t>
      </w:r>
      <w:r w:rsidR="008A64BC">
        <w:rPr>
          <w:rStyle w:val="FootnoteReference"/>
          <w:rFonts w:cs="Arial"/>
          <w:lang w:val="en-US"/>
        </w:rPr>
        <w:footnoteReference w:id="3"/>
      </w:r>
    </w:p>
    <w:p w14:paraId="6A2C0266" w14:textId="2442E60D" w:rsidR="009057E4" w:rsidRDefault="002172F9" w:rsidP="002172F9">
      <w:pPr>
        <w:pStyle w:val="level11"/>
        <w:numPr>
          <w:ilvl w:val="0"/>
          <w:numId w:val="0"/>
        </w:numPr>
        <w:spacing w:after="480" w:line="360" w:lineRule="auto"/>
        <w:jc w:val="both"/>
        <w:rPr>
          <w:rFonts w:cs="Arial"/>
          <w:lang w:val="en-US"/>
        </w:rPr>
      </w:pPr>
      <w:r>
        <w:rPr>
          <w:rFonts w:cs="Arial"/>
          <w:lang w:val="en-US"/>
        </w:rPr>
        <w:t>[11]</w:t>
      </w:r>
      <w:r>
        <w:rPr>
          <w:rFonts w:cs="Arial"/>
          <w:lang w:val="en-US"/>
        </w:rPr>
        <w:tab/>
      </w:r>
      <w:r w:rsidR="009057E4">
        <w:rPr>
          <w:rFonts w:cs="Arial"/>
          <w:lang w:val="en-US"/>
        </w:rPr>
        <w:t>The sale agreement pertaining to the property was concluded between the first and second respondents o</w:t>
      </w:r>
      <w:r w:rsidR="00EA68E0">
        <w:rPr>
          <w:rFonts w:cs="Arial"/>
          <w:lang w:val="en-US"/>
        </w:rPr>
        <w:t>n 10 July 2014</w:t>
      </w:r>
      <w:r w:rsidR="009057E4">
        <w:rPr>
          <w:rFonts w:cs="Arial"/>
          <w:lang w:val="en-US"/>
        </w:rPr>
        <w:t>. Subsequent thereto, b</w:t>
      </w:r>
      <w:r w:rsidR="00EA68E0">
        <w:rPr>
          <w:rFonts w:cs="Arial"/>
          <w:lang w:val="en-US"/>
        </w:rPr>
        <w:t>etween July 2014</w:t>
      </w:r>
      <w:r w:rsidR="009057E4">
        <w:rPr>
          <w:rFonts w:cs="Arial"/>
          <w:lang w:val="en-US"/>
        </w:rPr>
        <w:t xml:space="preserve"> and</w:t>
      </w:r>
      <w:r w:rsidR="00EA68E0">
        <w:rPr>
          <w:rFonts w:cs="Arial"/>
          <w:lang w:val="en-US"/>
        </w:rPr>
        <w:t xml:space="preserve"> March 2015, </w:t>
      </w:r>
      <w:r w:rsidR="009057E4">
        <w:rPr>
          <w:rFonts w:cs="Arial"/>
          <w:lang w:val="en-US"/>
        </w:rPr>
        <w:t>they</w:t>
      </w:r>
      <w:r w:rsidR="00EA68E0">
        <w:rPr>
          <w:rFonts w:cs="Arial"/>
          <w:lang w:val="en-US"/>
        </w:rPr>
        <w:t xml:space="preserve"> concluded various deeds of amendment and an addendum to the aforesaid sale agreement. </w:t>
      </w:r>
      <w:r w:rsidR="009057E4">
        <w:rPr>
          <w:rFonts w:cs="Arial"/>
          <w:lang w:val="en-US"/>
        </w:rPr>
        <w:t>The applicant was not a party</w:t>
      </w:r>
      <w:r w:rsidR="00EA68E0">
        <w:rPr>
          <w:rFonts w:cs="Arial"/>
          <w:lang w:val="en-US"/>
        </w:rPr>
        <w:t xml:space="preserve"> </w:t>
      </w:r>
      <w:r w:rsidR="009057E4">
        <w:rPr>
          <w:rFonts w:cs="Arial"/>
          <w:lang w:val="en-US"/>
        </w:rPr>
        <w:t>to the written agreements, although the second respondent contends that the applicant became a party to the agreements by accepting the sale agreements.</w:t>
      </w:r>
      <w:r w:rsidR="00EA68E0">
        <w:rPr>
          <w:rFonts w:cs="Arial"/>
          <w:lang w:val="en-US"/>
        </w:rPr>
        <w:t xml:space="preserve"> </w:t>
      </w:r>
    </w:p>
    <w:p w14:paraId="39D7DBD3" w14:textId="721ED79F" w:rsidR="00BE334B" w:rsidRPr="002C3752" w:rsidRDefault="002172F9" w:rsidP="002172F9">
      <w:pPr>
        <w:pStyle w:val="level11"/>
        <w:numPr>
          <w:ilvl w:val="0"/>
          <w:numId w:val="0"/>
        </w:numPr>
        <w:spacing w:after="480" w:line="360" w:lineRule="auto"/>
        <w:jc w:val="both"/>
        <w:rPr>
          <w:rFonts w:cs="Arial"/>
          <w:lang w:val="en-US"/>
        </w:rPr>
      </w:pPr>
      <w:r w:rsidRPr="002C3752">
        <w:rPr>
          <w:rFonts w:cs="Arial"/>
          <w:lang w:val="en-US"/>
        </w:rPr>
        <w:t>[12]</w:t>
      </w:r>
      <w:r w:rsidRPr="002C3752">
        <w:rPr>
          <w:rFonts w:cs="Arial"/>
          <w:lang w:val="en-US"/>
        </w:rPr>
        <w:tab/>
      </w:r>
      <w:r w:rsidR="009057E4">
        <w:rPr>
          <w:rFonts w:cs="Arial"/>
          <w:lang w:val="en-US"/>
        </w:rPr>
        <w:t>Ultimately</w:t>
      </w:r>
      <w:r w:rsidR="00EA68E0">
        <w:rPr>
          <w:rFonts w:cs="Arial"/>
          <w:lang w:val="en-US"/>
        </w:rPr>
        <w:t xml:space="preserve">, the </w:t>
      </w:r>
      <w:r w:rsidR="005847D4">
        <w:rPr>
          <w:rFonts w:cs="Arial"/>
          <w:lang w:val="en-US"/>
        </w:rPr>
        <w:t xml:space="preserve">sale </w:t>
      </w:r>
      <w:r w:rsidR="00EA68E0">
        <w:rPr>
          <w:rFonts w:cs="Arial"/>
          <w:lang w:val="en-US"/>
        </w:rPr>
        <w:t xml:space="preserve">agreement was not acceptable to </w:t>
      </w:r>
      <w:r w:rsidR="009057E4">
        <w:rPr>
          <w:rFonts w:cs="Arial"/>
          <w:lang w:val="en-US"/>
        </w:rPr>
        <w:t xml:space="preserve">the applicant as </w:t>
      </w:r>
      <w:r w:rsidR="00EA68E0">
        <w:rPr>
          <w:rFonts w:cs="Arial"/>
          <w:lang w:val="en-US"/>
        </w:rPr>
        <w:t>mortgagee.</w:t>
      </w:r>
      <w:r w:rsidR="009057E4">
        <w:rPr>
          <w:rFonts w:cs="Arial"/>
          <w:lang w:val="en-US"/>
        </w:rPr>
        <w:t xml:space="preserve"> It was not disputed that the second respondent, as</w:t>
      </w:r>
      <w:r w:rsidR="00EA68E0">
        <w:rPr>
          <w:rFonts w:cs="Arial"/>
          <w:lang w:val="en-US"/>
        </w:rPr>
        <w:t xml:space="preserve"> purchaser </w:t>
      </w:r>
      <w:r w:rsidR="009057E4">
        <w:rPr>
          <w:rFonts w:cs="Arial"/>
          <w:lang w:val="en-US"/>
        </w:rPr>
        <w:t>of the property</w:t>
      </w:r>
      <w:r w:rsidR="000225BB">
        <w:rPr>
          <w:rFonts w:cs="Arial"/>
          <w:lang w:val="en-US"/>
        </w:rPr>
        <w:t>,</w:t>
      </w:r>
      <w:r w:rsidR="00EA68E0">
        <w:rPr>
          <w:rFonts w:cs="Arial"/>
          <w:lang w:val="en-US"/>
        </w:rPr>
        <w:t xml:space="preserve"> </w:t>
      </w:r>
      <w:r w:rsidR="00C84472">
        <w:rPr>
          <w:rFonts w:cs="Arial"/>
          <w:lang w:val="en-US"/>
        </w:rPr>
        <w:t>failed from time to time to make certain payments provided for in the sale agreement, as amended</w:t>
      </w:r>
      <w:r w:rsidR="000225BB">
        <w:rPr>
          <w:rFonts w:cs="Arial"/>
          <w:lang w:val="en-US"/>
        </w:rPr>
        <w:t xml:space="preserve"> and that she breached the terms of the sale agreement concluded between her and the first respondent and never made payment of the full purchase price reflected therein</w:t>
      </w:r>
      <w:r w:rsidR="00C508DD">
        <w:rPr>
          <w:rFonts w:cs="Arial"/>
          <w:lang w:val="en-US"/>
        </w:rPr>
        <w:t xml:space="preserve"> either timeously or at all</w:t>
      </w:r>
      <w:r w:rsidR="00C84472">
        <w:rPr>
          <w:rFonts w:cs="Arial"/>
          <w:lang w:val="en-US"/>
        </w:rPr>
        <w:t>.</w:t>
      </w:r>
    </w:p>
    <w:p w14:paraId="5A1B042C" w14:textId="3553FD07" w:rsidR="009057E4" w:rsidRDefault="002172F9" w:rsidP="002172F9">
      <w:pPr>
        <w:pStyle w:val="level11"/>
        <w:numPr>
          <w:ilvl w:val="0"/>
          <w:numId w:val="0"/>
        </w:numPr>
        <w:spacing w:after="480" w:line="360" w:lineRule="auto"/>
        <w:jc w:val="both"/>
        <w:rPr>
          <w:rFonts w:cs="Arial"/>
          <w:lang w:val="en-US"/>
        </w:rPr>
      </w:pPr>
      <w:r>
        <w:rPr>
          <w:rFonts w:cs="Arial"/>
          <w:lang w:val="en-US"/>
        </w:rPr>
        <w:lastRenderedPageBreak/>
        <w:t>[13]</w:t>
      </w:r>
      <w:r>
        <w:rPr>
          <w:rFonts w:cs="Arial"/>
          <w:lang w:val="en-US"/>
        </w:rPr>
        <w:tab/>
      </w:r>
      <w:r w:rsidR="000225BB">
        <w:rPr>
          <w:rFonts w:cs="Arial"/>
          <w:lang w:val="en-US"/>
        </w:rPr>
        <w:t>It was common cause that t</w:t>
      </w:r>
      <w:r w:rsidR="009057E4">
        <w:rPr>
          <w:rFonts w:cs="Arial"/>
          <w:lang w:val="en-US"/>
        </w:rPr>
        <w:t>he second respondent made certain</w:t>
      </w:r>
      <w:r w:rsidR="00C84472">
        <w:rPr>
          <w:rFonts w:cs="Arial"/>
          <w:lang w:val="en-US"/>
        </w:rPr>
        <w:t xml:space="preserve"> sporadic payments directly into </w:t>
      </w:r>
      <w:r w:rsidR="009057E4">
        <w:rPr>
          <w:rFonts w:cs="Arial"/>
          <w:lang w:val="en-US"/>
        </w:rPr>
        <w:t>the first respondent’</w:t>
      </w:r>
      <w:r w:rsidR="00C84472">
        <w:rPr>
          <w:rFonts w:cs="Arial"/>
          <w:lang w:val="en-US"/>
        </w:rPr>
        <w:t xml:space="preserve">s home loan account, and in the aggregate sum of </w:t>
      </w:r>
      <w:r w:rsidR="009057E4">
        <w:rPr>
          <w:rFonts w:cs="Arial"/>
          <w:lang w:val="en-US"/>
        </w:rPr>
        <w:t xml:space="preserve">some </w:t>
      </w:r>
      <w:r w:rsidR="00C84472">
        <w:rPr>
          <w:rFonts w:cs="Arial"/>
          <w:lang w:val="en-US"/>
        </w:rPr>
        <w:t>R</w:t>
      </w:r>
      <w:r w:rsidR="009057E4">
        <w:rPr>
          <w:rFonts w:cs="Arial"/>
          <w:lang w:val="en-US"/>
        </w:rPr>
        <w:t>3</w:t>
      </w:r>
      <w:r w:rsidR="00C84472">
        <w:rPr>
          <w:rFonts w:cs="Arial"/>
          <w:lang w:val="en-US"/>
        </w:rPr>
        <w:t>.4 million.</w:t>
      </w:r>
      <w:r w:rsidR="00C508DD">
        <w:rPr>
          <w:rFonts w:cs="Arial"/>
          <w:lang w:val="en-US"/>
        </w:rPr>
        <w:t xml:space="preserve"> After 2015, no further payments were made.</w:t>
      </w:r>
      <w:r w:rsidR="00C84472">
        <w:rPr>
          <w:rFonts w:cs="Arial"/>
          <w:lang w:val="en-US"/>
        </w:rPr>
        <w:t xml:space="preserve">  </w:t>
      </w:r>
    </w:p>
    <w:p w14:paraId="11D54600" w14:textId="21863961" w:rsidR="006616E5" w:rsidRPr="002C3752" w:rsidRDefault="002172F9" w:rsidP="002172F9">
      <w:pPr>
        <w:pStyle w:val="level11"/>
        <w:numPr>
          <w:ilvl w:val="0"/>
          <w:numId w:val="0"/>
        </w:numPr>
        <w:spacing w:after="480" w:line="360" w:lineRule="auto"/>
        <w:jc w:val="both"/>
        <w:rPr>
          <w:rFonts w:cs="Arial"/>
          <w:lang w:val="en-US"/>
        </w:rPr>
      </w:pPr>
      <w:r w:rsidRPr="002C3752">
        <w:rPr>
          <w:rFonts w:cs="Arial"/>
          <w:lang w:val="en-US"/>
        </w:rPr>
        <w:t>[14]</w:t>
      </w:r>
      <w:r w:rsidRPr="002C3752">
        <w:rPr>
          <w:rFonts w:cs="Arial"/>
          <w:lang w:val="en-US"/>
        </w:rPr>
        <w:tab/>
      </w:r>
      <w:r w:rsidR="009057E4">
        <w:rPr>
          <w:rFonts w:cs="Arial"/>
          <w:lang w:val="en-US"/>
        </w:rPr>
        <w:t>The applicant’s undisputed version is that it</w:t>
      </w:r>
      <w:r w:rsidR="00C84472">
        <w:rPr>
          <w:rFonts w:cs="Arial"/>
          <w:lang w:val="en-US"/>
        </w:rPr>
        <w:t xml:space="preserve"> elected to treat the payments as advance instalments payable under the </w:t>
      </w:r>
      <w:r w:rsidR="009057E4">
        <w:rPr>
          <w:rFonts w:cs="Arial"/>
          <w:lang w:val="en-US"/>
        </w:rPr>
        <w:t>a</w:t>
      </w:r>
      <w:r w:rsidR="00C84472">
        <w:rPr>
          <w:rFonts w:cs="Arial"/>
          <w:lang w:val="en-US"/>
        </w:rPr>
        <w:t>greement</w:t>
      </w:r>
      <w:r w:rsidR="009057E4" w:rsidRPr="009057E4">
        <w:rPr>
          <w:rFonts w:cs="Arial"/>
          <w:lang w:val="en-US"/>
        </w:rPr>
        <w:t xml:space="preserve"> </w:t>
      </w:r>
      <w:r w:rsidR="009057E4">
        <w:rPr>
          <w:rFonts w:cs="Arial"/>
          <w:lang w:val="en-US"/>
        </w:rPr>
        <w:t>without prejudice to any of its rights under the agreement</w:t>
      </w:r>
      <w:r w:rsidR="00C84472">
        <w:rPr>
          <w:rFonts w:cs="Arial"/>
          <w:lang w:val="en-US"/>
        </w:rPr>
        <w:t xml:space="preserve">.  </w:t>
      </w:r>
      <w:r w:rsidR="009057E4">
        <w:rPr>
          <w:rFonts w:cs="Arial"/>
          <w:lang w:val="en-US"/>
        </w:rPr>
        <w:t>Those</w:t>
      </w:r>
      <w:r w:rsidR="00C84472">
        <w:rPr>
          <w:rFonts w:cs="Arial"/>
          <w:lang w:val="en-US"/>
        </w:rPr>
        <w:t xml:space="preserve"> payments had the effect of servicing the home loan until August 2015 and settling the arrears, </w:t>
      </w:r>
      <w:r w:rsidR="009057E4">
        <w:rPr>
          <w:rFonts w:cs="Arial"/>
          <w:lang w:val="en-US"/>
        </w:rPr>
        <w:t>resulting in</w:t>
      </w:r>
      <w:r w:rsidR="00C84472">
        <w:rPr>
          <w:rFonts w:cs="Arial"/>
          <w:lang w:val="en-US"/>
        </w:rPr>
        <w:t xml:space="preserve"> the reinstatement </w:t>
      </w:r>
      <w:r w:rsidR="009057E4">
        <w:rPr>
          <w:rFonts w:cs="Arial"/>
          <w:lang w:val="en-US"/>
        </w:rPr>
        <w:t>already referred</w:t>
      </w:r>
      <w:r w:rsidR="00C84472">
        <w:rPr>
          <w:rFonts w:cs="Arial"/>
          <w:lang w:val="en-US"/>
        </w:rPr>
        <w:t xml:space="preserve"> to</w:t>
      </w:r>
      <w:r w:rsidR="009057E4">
        <w:rPr>
          <w:rFonts w:cs="Arial"/>
          <w:lang w:val="en-US"/>
        </w:rPr>
        <w:t>.</w:t>
      </w:r>
    </w:p>
    <w:p w14:paraId="41E08D63" w14:textId="12A365D4" w:rsidR="001E2697" w:rsidRPr="009E66B0" w:rsidRDefault="002172F9" w:rsidP="002172F9">
      <w:pPr>
        <w:pStyle w:val="level11"/>
        <w:numPr>
          <w:ilvl w:val="0"/>
          <w:numId w:val="0"/>
        </w:numPr>
        <w:spacing w:after="480" w:line="360" w:lineRule="auto"/>
        <w:jc w:val="both"/>
        <w:rPr>
          <w:rFonts w:cs="Arial"/>
          <w:lang w:val="en-US"/>
        </w:rPr>
      </w:pPr>
      <w:r w:rsidRPr="009E66B0">
        <w:rPr>
          <w:rFonts w:cs="Arial"/>
          <w:lang w:val="en-US"/>
        </w:rPr>
        <w:t>[15]</w:t>
      </w:r>
      <w:r w:rsidRPr="009E66B0">
        <w:rPr>
          <w:rFonts w:cs="Arial"/>
          <w:lang w:val="en-US"/>
        </w:rPr>
        <w:tab/>
      </w:r>
      <w:r w:rsidR="00407B14">
        <w:rPr>
          <w:rFonts w:cs="Arial"/>
          <w:lang w:val="en-US"/>
        </w:rPr>
        <w:t xml:space="preserve">It is further undisputed that </w:t>
      </w:r>
      <w:r w:rsidR="009E66B0" w:rsidRPr="009E66B0">
        <w:rPr>
          <w:rFonts w:cs="Arial"/>
          <w:lang w:val="en-US"/>
        </w:rPr>
        <w:t>n</w:t>
      </w:r>
      <w:r w:rsidR="00674000" w:rsidRPr="009E66B0">
        <w:rPr>
          <w:rFonts w:cs="Arial"/>
          <w:lang w:val="en-US"/>
        </w:rPr>
        <w:t xml:space="preserve">otwithstanding </w:t>
      </w:r>
      <w:r w:rsidR="009E66B0" w:rsidRPr="009E66B0">
        <w:rPr>
          <w:rFonts w:cs="Arial"/>
          <w:lang w:val="en-US"/>
        </w:rPr>
        <w:t xml:space="preserve">the </w:t>
      </w:r>
      <w:r w:rsidR="00674000" w:rsidRPr="009E66B0">
        <w:rPr>
          <w:rFonts w:cs="Arial"/>
          <w:lang w:val="en-US"/>
        </w:rPr>
        <w:t xml:space="preserve">payments </w:t>
      </w:r>
      <w:r w:rsidR="009E66B0" w:rsidRPr="009E66B0">
        <w:rPr>
          <w:rFonts w:cs="Arial"/>
          <w:lang w:val="en-US"/>
        </w:rPr>
        <w:t xml:space="preserve">made by the second respondent </w:t>
      </w:r>
      <w:r w:rsidR="00674000" w:rsidRPr="009E66B0">
        <w:rPr>
          <w:rFonts w:cs="Arial"/>
          <w:lang w:val="en-US"/>
        </w:rPr>
        <w:t xml:space="preserve">in terms of the sale agreement, </w:t>
      </w:r>
      <w:r w:rsidR="009E66B0" w:rsidRPr="009E66B0">
        <w:rPr>
          <w:rFonts w:cs="Arial"/>
          <w:lang w:val="en-US"/>
        </w:rPr>
        <w:t>the first respondent w</w:t>
      </w:r>
      <w:r w:rsidR="00674000" w:rsidRPr="009E66B0">
        <w:rPr>
          <w:rFonts w:cs="Arial"/>
          <w:lang w:val="en-US"/>
        </w:rPr>
        <w:t>as, as at 18 January 2021, in arrears in the aggregate sum of R917 000.00.</w:t>
      </w:r>
      <w:r w:rsidR="009E66B0">
        <w:rPr>
          <w:rFonts w:cs="Arial"/>
          <w:lang w:val="en-US"/>
        </w:rPr>
        <w:t xml:space="preserve"> After complying with the relevant requirements of ss 120, 129, and 130 of the NCA, the applicant cancelled the loan agreement by giving notice in its founding papers in th</w:t>
      </w:r>
      <w:r w:rsidR="00802E3B">
        <w:rPr>
          <w:rFonts w:cs="Arial"/>
          <w:lang w:val="en-US"/>
        </w:rPr>
        <w:t>e</w:t>
      </w:r>
      <w:r w:rsidR="009E66B0">
        <w:rPr>
          <w:rFonts w:cs="Arial"/>
          <w:lang w:val="en-US"/>
        </w:rPr>
        <w:t xml:space="preserve"> </w:t>
      </w:r>
      <w:r w:rsidR="00802E3B">
        <w:rPr>
          <w:rFonts w:cs="Arial"/>
          <w:lang w:val="en-US"/>
        </w:rPr>
        <w:t>present proceedings</w:t>
      </w:r>
      <w:r w:rsidR="00570B9A">
        <w:rPr>
          <w:rStyle w:val="FootnoteReference"/>
          <w:rFonts w:cs="Arial"/>
          <w:lang w:val="en-US"/>
        </w:rPr>
        <w:footnoteReference w:id="4"/>
      </w:r>
      <w:r w:rsidR="009E66B0">
        <w:rPr>
          <w:rFonts w:cs="Arial"/>
          <w:lang w:val="en-US"/>
        </w:rPr>
        <w:t>, which</w:t>
      </w:r>
      <w:r w:rsidR="00335FBF" w:rsidRPr="009E66B0">
        <w:rPr>
          <w:rFonts w:cs="Arial"/>
          <w:lang w:val="en-US"/>
        </w:rPr>
        <w:t xml:space="preserve"> were instituted during February 2021</w:t>
      </w:r>
      <w:r w:rsidR="00802E3B">
        <w:rPr>
          <w:rFonts w:cs="Arial"/>
          <w:lang w:val="en-US"/>
        </w:rPr>
        <w:t>.</w:t>
      </w:r>
      <w:r w:rsidR="00DB1541" w:rsidRPr="009E66B0">
        <w:rPr>
          <w:rFonts w:cs="Arial"/>
          <w:lang w:val="en-US"/>
        </w:rPr>
        <w:t xml:space="preserve"> </w:t>
      </w:r>
      <w:r w:rsidR="00802E3B">
        <w:rPr>
          <w:rFonts w:cs="Arial"/>
          <w:lang w:val="en-US"/>
        </w:rPr>
        <w:t>It is well established that a</w:t>
      </w:r>
      <w:r w:rsidR="00DB1541" w:rsidRPr="009E66B0">
        <w:rPr>
          <w:rFonts w:cs="Arial"/>
          <w:lang w:val="en-US"/>
        </w:rPr>
        <w:t xml:space="preserve">n innocent party </w:t>
      </w:r>
      <w:r w:rsidR="00802E3B">
        <w:rPr>
          <w:rFonts w:cs="Arial"/>
          <w:lang w:val="en-US"/>
        </w:rPr>
        <w:t xml:space="preserve">such as the applicant </w:t>
      </w:r>
      <w:r w:rsidR="00DB1541" w:rsidRPr="009E66B0">
        <w:rPr>
          <w:rFonts w:cs="Arial"/>
          <w:lang w:val="en-US"/>
        </w:rPr>
        <w:t>is entitled to give notice of cancellation in its application itself</w:t>
      </w:r>
      <w:r w:rsidR="00DB1541">
        <w:rPr>
          <w:rStyle w:val="FootnoteReference"/>
          <w:rFonts w:cs="Arial"/>
          <w:lang w:val="en-US"/>
        </w:rPr>
        <w:footnoteReference w:id="5"/>
      </w:r>
      <w:r w:rsidR="00802E3B">
        <w:rPr>
          <w:rFonts w:cs="Arial"/>
          <w:lang w:val="en-US"/>
        </w:rPr>
        <w:t xml:space="preserve">. </w:t>
      </w:r>
    </w:p>
    <w:p w14:paraId="3F0D0433" w14:textId="77ABBDF5" w:rsidR="00C508DD" w:rsidRDefault="002172F9" w:rsidP="002172F9">
      <w:pPr>
        <w:pStyle w:val="level11"/>
        <w:numPr>
          <w:ilvl w:val="0"/>
          <w:numId w:val="0"/>
        </w:numPr>
        <w:spacing w:after="480" w:line="360" w:lineRule="auto"/>
        <w:jc w:val="both"/>
        <w:rPr>
          <w:rFonts w:cs="Arial"/>
          <w:lang w:val="en-US"/>
        </w:rPr>
      </w:pPr>
      <w:r>
        <w:rPr>
          <w:rFonts w:cs="Arial"/>
          <w:lang w:val="en-US"/>
        </w:rPr>
        <w:t>[16]</w:t>
      </w:r>
      <w:r>
        <w:rPr>
          <w:rFonts w:cs="Arial"/>
          <w:lang w:val="en-US"/>
        </w:rPr>
        <w:tab/>
      </w:r>
      <w:r w:rsidR="00C508DD">
        <w:rPr>
          <w:rFonts w:cs="Arial"/>
          <w:lang w:val="en-US"/>
        </w:rPr>
        <w:t xml:space="preserve">Importantly, no cogent admissible evidence was presented by the second respondent casting any doubt of the veracity of the </w:t>
      </w:r>
      <w:r w:rsidR="00C508DD" w:rsidRPr="00802E3B">
        <w:rPr>
          <w:rFonts w:cs="Arial"/>
          <w:lang w:val="en-US"/>
        </w:rPr>
        <w:t>applicant’s c</w:t>
      </w:r>
      <w:r w:rsidR="00C508DD">
        <w:rPr>
          <w:rFonts w:cs="Arial"/>
          <w:lang w:val="en-US"/>
        </w:rPr>
        <w:t>laim</w:t>
      </w:r>
      <w:r w:rsidR="00C508DD" w:rsidRPr="00802E3B">
        <w:rPr>
          <w:rFonts w:cs="Arial"/>
          <w:lang w:val="en-US"/>
        </w:rPr>
        <w:t xml:space="preserve"> as illustrated by its certificate of balance </w:t>
      </w:r>
      <w:r w:rsidR="00C508DD">
        <w:rPr>
          <w:rFonts w:cs="Arial"/>
          <w:lang w:val="en-US"/>
        </w:rPr>
        <w:t xml:space="preserve">and </w:t>
      </w:r>
      <w:r w:rsidR="00C508DD" w:rsidRPr="00802E3B">
        <w:rPr>
          <w:rFonts w:cs="Arial"/>
          <w:lang w:val="en-US"/>
        </w:rPr>
        <w:t xml:space="preserve">remains uncontroverted. The high water mark </w:t>
      </w:r>
      <w:r w:rsidR="00C508DD">
        <w:rPr>
          <w:rFonts w:cs="Arial"/>
          <w:lang w:val="en-US"/>
        </w:rPr>
        <w:t xml:space="preserve">of her case </w:t>
      </w:r>
      <w:r w:rsidR="00C508DD" w:rsidRPr="00802E3B">
        <w:rPr>
          <w:rFonts w:cs="Arial"/>
          <w:lang w:val="en-US"/>
        </w:rPr>
        <w:t>is that second respondent wants to get an expert involved.</w:t>
      </w:r>
    </w:p>
    <w:p w14:paraId="7166F835" w14:textId="21634070" w:rsidR="00C508DD" w:rsidRDefault="002172F9" w:rsidP="002172F9">
      <w:pPr>
        <w:pStyle w:val="level11"/>
        <w:numPr>
          <w:ilvl w:val="0"/>
          <w:numId w:val="0"/>
        </w:numPr>
        <w:spacing w:after="480" w:line="360" w:lineRule="auto"/>
        <w:jc w:val="both"/>
        <w:rPr>
          <w:rFonts w:cs="Arial"/>
          <w:lang w:val="en-US"/>
        </w:rPr>
      </w:pPr>
      <w:r>
        <w:rPr>
          <w:rFonts w:cs="Arial"/>
          <w:lang w:val="en-US"/>
        </w:rPr>
        <w:t>[17]</w:t>
      </w:r>
      <w:r>
        <w:rPr>
          <w:rFonts w:cs="Arial"/>
          <w:lang w:val="en-US"/>
        </w:rPr>
        <w:tab/>
      </w:r>
      <w:r w:rsidR="00C508DD">
        <w:rPr>
          <w:rFonts w:cs="Arial"/>
          <w:lang w:val="en-US"/>
        </w:rPr>
        <w:t xml:space="preserve">The contention that the applicant became a party to the agreements concluded between her and the first respondent lacks legal merit. It is clear from the agreements that the applicant was not a party thereto. Having been aware of the agreements does </w:t>
      </w:r>
      <w:r w:rsidR="00C508DD">
        <w:rPr>
          <w:rFonts w:cs="Arial"/>
          <w:lang w:val="en-US"/>
        </w:rPr>
        <w:lastRenderedPageBreak/>
        <w:t>not make the applicant party to the agreements and it was undisputed that the applicant at all times negotiated with the second respondent with full reservation of its rights.</w:t>
      </w:r>
    </w:p>
    <w:p w14:paraId="6CDC9223" w14:textId="5FA393A0" w:rsidR="000225BB" w:rsidRDefault="002172F9" w:rsidP="002172F9">
      <w:pPr>
        <w:pStyle w:val="level11"/>
        <w:numPr>
          <w:ilvl w:val="0"/>
          <w:numId w:val="0"/>
        </w:numPr>
        <w:spacing w:after="480" w:line="360" w:lineRule="auto"/>
        <w:jc w:val="both"/>
        <w:rPr>
          <w:rFonts w:cs="Arial"/>
          <w:lang w:val="en-US"/>
        </w:rPr>
      </w:pPr>
      <w:r>
        <w:rPr>
          <w:rFonts w:cs="Arial"/>
          <w:lang w:val="en-US"/>
        </w:rPr>
        <w:t>[18]</w:t>
      </w:r>
      <w:r>
        <w:rPr>
          <w:rFonts w:cs="Arial"/>
          <w:lang w:val="en-US"/>
        </w:rPr>
        <w:tab/>
      </w:r>
      <w:r w:rsidR="000225BB">
        <w:rPr>
          <w:rFonts w:cs="Arial"/>
          <w:lang w:val="en-US"/>
        </w:rPr>
        <w:t xml:space="preserve">Importantly, it was common cause that the mortgage bond was never cancelled and that ownership of the property was never transferred to the second respondent. </w:t>
      </w:r>
      <w:r w:rsidR="00C508DD">
        <w:rPr>
          <w:rFonts w:cs="Arial"/>
          <w:lang w:val="en-US"/>
        </w:rPr>
        <w:t xml:space="preserve">That, together with the second respondent’s breaches of the sale agreement concluded between her and the first respondent, is fatal to her case. Simply put, the second respondent has not illustrated any legal standing to oppose the application.  </w:t>
      </w:r>
    </w:p>
    <w:p w14:paraId="1953EDD6" w14:textId="371C9C43" w:rsidR="00C508DD" w:rsidRDefault="002172F9" w:rsidP="002172F9">
      <w:pPr>
        <w:pStyle w:val="level11"/>
        <w:numPr>
          <w:ilvl w:val="0"/>
          <w:numId w:val="0"/>
        </w:numPr>
        <w:spacing w:after="480" w:line="360" w:lineRule="auto"/>
        <w:jc w:val="both"/>
        <w:rPr>
          <w:rFonts w:cs="Arial"/>
          <w:lang w:val="en-US"/>
        </w:rPr>
      </w:pPr>
      <w:r>
        <w:rPr>
          <w:rFonts w:cs="Arial"/>
          <w:lang w:val="en-US"/>
        </w:rPr>
        <w:t>[19]</w:t>
      </w:r>
      <w:r>
        <w:rPr>
          <w:rFonts w:cs="Arial"/>
          <w:lang w:val="en-US"/>
        </w:rPr>
        <w:tab/>
      </w:r>
      <w:r w:rsidR="00C508DD">
        <w:rPr>
          <w:rFonts w:cs="Arial"/>
          <w:lang w:val="en-US"/>
        </w:rPr>
        <w:t>The second respondent is an adult woman who freely and voluntarily concluded the sale agreement with the first respondent on the unconventional terms agreed to between them. As such, she is the author of her own misfortune and the applicant cannot be held accountable for her conduct.</w:t>
      </w:r>
      <w:r w:rsidR="00FD47B7">
        <w:rPr>
          <w:rFonts w:cs="Arial"/>
          <w:lang w:val="en-US"/>
        </w:rPr>
        <w:t xml:space="preserve"> </w:t>
      </w:r>
      <w:r w:rsidR="00C508DD">
        <w:rPr>
          <w:rFonts w:cs="Arial"/>
          <w:lang w:val="en-US"/>
        </w:rPr>
        <w:t xml:space="preserve"> </w:t>
      </w:r>
      <w:r w:rsidR="00802E3B">
        <w:rPr>
          <w:rFonts w:cs="Arial"/>
          <w:lang w:val="en-US"/>
        </w:rPr>
        <w:t xml:space="preserve"> </w:t>
      </w:r>
    </w:p>
    <w:p w14:paraId="21772883" w14:textId="253D2E0E" w:rsidR="00802E3B" w:rsidRDefault="002172F9" w:rsidP="002172F9">
      <w:pPr>
        <w:pStyle w:val="level11"/>
        <w:numPr>
          <w:ilvl w:val="0"/>
          <w:numId w:val="0"/>
        </w:numPr>
        <w:spacing w:after="480" w:line="360" w:lineRule="auto"/>
        <w:jc w:val="both"/>
        <w:rPr>
          <w:rFonts w:cs="Arial"/>
          <w:lang w:val="en-US"/>
        </w:rPr>
      </w:pPr>
      <w:r>
        <w:rPr>
          <w:rFonts w:cs="Arial"/>
          <w:lang w:val="en-US"/>
        </w:rPr>
        <w:t>[20]</w:t>
      </w:r>
      <w:r>
        <w:rPr>
          <w:rFonts w:cs="Arial"/>
          <w:lang w:val="en-US"/>
        </w:rPr>
        <w:tab/>
      </w:r>
      <w:r w:rsidR="00C508DD">
        <w:rPr>
          <w:rFonts w:cs="Arial"/>
          <w:lang w:val="en-US"/>
        </w:rPr>
        <w:t>In my view, the applicant has made out a proper case for the relief sought and conclude that it is entitled to judgment.</w:t>
      </w:r>
    </w:p>
    <w:p w14:paraId="1A20E392" w14:textId="14769BA1" w:rsidR="007A7254" w:rsidRPr="000C120F" w:rsidRDefault="002172F9" w:rsidP="002172F9">
      <w:pPr>
        <w:pStyle w:val="level11"/>
        <w:numPr>
          <w:ilvl w:val="0"/>
          <w:numId w:val="0"/>
        </w:numPr>
        <w:spacing w:after="480" w:line="360" w:lineRule="auto"/>
        <w:jc w:val="both"/>
        <w:rPr>
          <w:rFonts w:cs="Arial"/>
          <w:lang w:val="en-US"/>
        </w:rPr>
      </w:pPr>
      <w:r w:rsidRPr="000C120F">
        <w:rPr>
          <w:rFonts w:cs="Arial"/>
          <w:lang w:val="en-US"/>
        </w:rPr>
        <w:t>[21]</w:t>
      </w:r>
      <w:r w:rsidRPr="000C120F">
        <w:rPr>
          <w:rFonts w:cs="Arial"/>
          <w:lang w:val="en-US"/>
        </w:rPr>
        <w:tab/>
      </w:r>
      <w:r w:rsidR="000C120F" w:rsidRPr="000C120F">
        <w:rPr>
          <w:rFonts w:cs="Arial"/>
          <w:lang w:val="en-US"/>
        </w:rPr>
        <w:t>What must be considered next is whether a reserve price should be set.</w:t>
      </w:r>
      <w:r w:rsidR="000C120F">
        <w:rPr>
          <w:rFonts w:cs="Arial"/>
          <w:lang w:val="en-US"/>
        </w:rPr>
        <w:t xml:space="preserve"> </w:t>
      </w:r>
      <w:r w:rsidR="007A7254" w:rsidRPr="000C120F">
        <w:rPr>
          <w:rFonts w:cs="Arial"/>
          <w:lang w:val="en-US"/>
        </w:rPr>
        <w:t>The second respondent avers that she resides on the property</w:t>
      </w:r>
      <w:r w:rsidR="000C120F">
        <w:rPr>
          <w:rFonts w:cs="Arial"/>
          <w:lang w:val="en-US"/>
        </w:rPr>
        <w:t xml:space="preserve"> and has done so </w:t>
      </w:r>
      <w:r w:rsidR="007A7254" w:rsidRPr="000C120F">
        <w:rPr>
          <w:rFonts w:cs="Arial"/>
          <w:lang w:val="en-US"/>
        </w:rPr>
        <w:t xml:space="preserve">since 2021. </w:t>
      </w:r>
      <w:r w:rsidR="003E5E85" w:rsidRPr="000C120F">
        <w:rPr>
          <w:rFonts w:cs="Arial"/>
          <w:lang w:val="en-US"/>
        </w:rPr>
        <w:t>It is further undisputed that despite all rental income in respect of the property being ceded to the applicant under the mortgage bond, no rental payments received by the second respondent were paid over to the applicant.</w:t>
      </w:r>
    </w:p>
    <w:p w14:paraId="0DE43D23" w14:textId="4844DA46" w:rsidR="003E5E85" w:rsidRDefault="002172F9" w:rsidP="002172F9">
      <w:pPr>
        <w:pStyle w:val="level11"/>
        <w:numPr>
          <w:ilvl w:val="0"/>
          <w:numId w:val="0"/>
        </w:numPr>
        <w:spacing w:after="480" w:line="360" w:lineRule="auto"/>
        <w:jc w:val="both"/>
        <w:rPr>
          <w:rFonts w:cs="Arial"/>
          <w:lang w:val="en-US"/>
        </w:rPr>
      </w:pPr>
      <w:r>
        <w:rPr>
          <w:rFonts w:cs="Arial"/>
          <w:lang w:val="en-US"/>
        </w:rPr>
        <w:t>[22]</w:t>
      </w:r>
      <w:r>
        <w:rPr>
          <w:rFonts w:cs="Arial"/>
          <w:lang w:val="en-US"/>
        </w:rPr>
        <w:tab/>
      </w:r>
      <w:r w:rsidR="003E5E85">
        <w:rPr>
          <w:rFonts w:cs="Arial"/>
          <w:lang w:val="en-US"/>
        </w:rPr>
        <w:t>According to the</w:t>
      </w:r>
      <w:r w:rsidR="00455044">
        <w:rPr>
          <w:rFonts w:cs="Arial"/>
          <w:lang w:val="en-US"/>
        </w:rPr>
        <w:t xml:space="preserve"> second </w:t>
      </w:r>
      <w:r w:rsidR="00FD47B7">
        <w:rPr>
          <w:rFonts w:cs="Arial"/>
          <w:lang w:val="en-US"/>
        </w:rPr>
        <w:t>respondent</w:t>
      </w:r>
      <w:r w:rsidR="003E5E85">
        <w:rPr>
          <w:rFonts w:cs="Arial"/>
          <w:lang w:val="en-US"/>
        </w:rPr>
        <w:t>, she had a tenant on the property from whom she was receiving R70 000 per month</w:t>
      </w:r>
      <w:r w:rsidR="00FD47B7">
        <w:rPr>
          <w:rFonts w:cs="Arial"/>
          <w:lang w:val="en-US"/>
        </w:rPr>
        <w:t xml:space="preserve"> until November 2019</w:t>
      </w:r>
      <w:r w:rsidR="003E5E85">
        <w:rPr>
          <w:rFonts w:cs="Arial"/>
          <w:lang w:val="en-US"/>
        </w:rPr>
        <w:t xml:space="preserve">, which tenant was </w:t>
      </w:r>
      <w:r w:rsidR="00C508DD">
        <w:rPr>
          <w:rFonts w:cs="Arial"/>
          <w:lang w:val="en-US"/>
        </w:rPr>
        <w:t>“</w:t>
      </w:r>
      <w:r w:rsidR="003E5E85">
        <w:rPr>
          <w:rFonts w:cs="Arial"/>
          <w:lang w:val="en-US"/>
        </w:rPr>
        <w:t>scared off</w:t>
      </w:r>
      <w:r w:rsidR="00C508DD">
        <w:rPr>
          <w:rFonts w:cs="Arial"/>
          <w:lang w:val="en-US"/>
        </w:rPr>
        <w:t>”</w:t>
      </w:r>
      <w:r w:rsidR="003E5E85">
        <w:rPr>
          <w:rFonts w:cs="Arial"/>
          <w:lang w:val="en-US"/>
        </w:rPr>
        <w:t xml:space="preserve"> by the applicant’s representatives attending the property</w:t>
      </w:r>
      <w:r w:rsidR="00A91483">
        <w:rPr>
          <w:rFonts w:cs="Arial"/>
          <w:lang w:val="en-US"/>
        </w:rPr>
        <w:t xml:space="preserve">. She lost </w:t>
      </w:r>
      <w:r w:rsidR="000C120F">
        <w:rPr>
          <w:rFonts w:cs="Arial"/>
          <w:lang w:val="en-US"/>
        </w:rPr>
        <w:t xml:space="preserve">her </w:t>
      </w:r>
      <w:r w:rsidR="00A91483">
        <w:rPr>
          <w:rFonts w:cs="Arial"/>
          <w:lang w:val="en-US"/>
        </w:rPr>
        <w:t xml:space="preserve">tenant in November 2019 </w:t>
      </w:r>
      <w:r w:rsidR="000C120F">
        <w:rPr>
          <w:rFonts w:cs="Arial"/>
          <w:lang w:val="en-US"/>
        </w:rPr>
        <w:t xml:space="preserve">allegedly </w:t>
      </w:r>
      <w:r w:rsidR="00A91483">
        <w:rPr>
          <w:rFonts w:cs="Arial"/>
          <w:lang w:val="en-US"/>
        </w:rPr>
        <w:t xml:space="preserve">due to continued threats by the applicant to the tenant. </w:t>
      </w:r>
      <w:r w:rsidR="000C120F">
        <w:rPr>
          <w:rFonts w:cs="Arial"/>
          <w:lang w:val="en-US"/>
        </w:rPr>
        <w:t xml:space="preserve">The second respondent’s allegations regarding the alleged threats are untenable and unsubstantiated. Moreover, substantial </w:t>
      </w:r>
      <w:r w:rsidR="000C120F" w:rsidRPr="00455044">
        <w:rPr>
          <w:rFonts w:cs="Arial"/>
          <w:i/>
          <w:lang w:val="en-US"/>
        </w:rPr>
        <w:t xml:space="preserve">bona fide </w:t>
      </w:r>
      <w:r w:rsidR="00C508DD">
        <w:rPr>
          <w:rFonts w:cs="Arial"/>
          <w:i/>
          <w:lang w:val="en-US"/>
        </w:rPr>
        <w:t xml:space="preserve">factual </w:t>
      </w:r>
      <w:r w:rsidR="000C120F">
        <w:rPr>
          <w:rFonts w:cs="Arial"/>
          <w:lang w:val="en-US"/>
        </w:rPr>
        <w:t>disputes exist on this issue.</w:t>
      </w:r>
      <w:r w:rsidR="003E5E85">
        <w:rPr>
          <w:rFonts w:cs="Arial"/>
          <w:lang w:val="en-US"/>
        </w:rPr>
        <w:t xml:space="preserve"> </w:t>
      </w:r>
    </w:p>
    <w:p w14:paraId="5A7956E7" w14:textId="1D8667B2" w:rsidR="003E5E85" w:rsidRDefault="002172F9" w:rsidP="002172F9">
      <w:pPr>
        <w:pStyle w:val="level11"/>
        <w:numPr>
          <w:ilvl w:val="0"/>
          <w:numId w:val="0"/>
        </w:numPr>
        <w:spacing w:after="480" w:line="360" w:lineRule="auto"/>
        <w:jc w:val="both"/>
        <w:rPr>
          <w:rFonts w:cs="Arial"/>
          <w:lang w:val="en-US"/>
        </w:rPr>
      </w:pPr>
      <w:r>
        <w:rPr>
          <w:rFonts w:cs="Arial"/>
          <w:lang w:val="en-US"/>
        </w:rPr>
        <w:lastRenderedPageBreak/>
        <w:t>[23]</w:t>
      </w:r>
      <w:r>
        <w:rPr>
          <w:rFonts w:cs="Arial"/>
          <w:lang w:val="en-US"/>
        </w:rPr>
        <w:tab/>
      </w:r>
      <w:r w:rsidR="003E5E85">
        <w:rPr>
          <w:rFonts w:cs="Arial"/>
          <w:lang w:val="en-US"/>
        </w:rPr>
        <w:t>Thus</w:t>
      </w:r>
      <w:r w:rsidR="00C508DD">
        <w:rPr>
          <w:rFonts w:cs="Arial"/>
          <w:lang w:val="en-US"/>
        </w:rPr>
        <w:t>,</w:t>
      </w:r>
      <w:r w:rsidR="003E5E85">
        <w:rPr>
          <w:rFonts w:cs="Arial"/>
          <w:lang w:val="en-US"/>
        </w:rPr>
        <w:t xml:space="preserve"> whilst the second respondent paid the applicant an </w:t>
      </w:r>
      <w:r w:rsidR="00FD47B7">
        <w:rPr>
          <w:rFonts w:cs="Arial"/>
          <w:lang w:val="en-US"/>
        </w:rPr>
        <w:t>a</w:t>
      </w:r>
      <w:r w:rsidR="003E5E85">
        <w:rPr>
          <w:rFonts w:cs="Arial"/>
          <w:lang w:val="en-US"/>
        </w:rPr>
        <w:t xml:space="preserve">mount of </w:t>
      </w:r>
      <w:r w:rsidR="000C120F">
        <w:rPr>
          <w:rFonts w:cs="Arial"/>
          <w:lang w:val="en-US"/>
        </w:rPr>
        <w:t>R</w:t>
      </w:r>
      <w:r w:rsidR="003E5E85">
        <w:rPr>
          <w:rFonts w:cs="Arial"/>
          <w:lang w:val="en-US"/>
        </w:rPr>
        <w:t xml:space="preserve">3.4 million in respect of the first respondent’s liability, the second respondent has not accounted for any rental income </w:t>
      </w:r>
      <w:r w:rsidR="00455044">
        <w:rPr>
          <w:rFonts w:cs="Arial"/>
          <w:lang w:val="en-US"/>
        </w:rPr>
        <w:t>o</w:t>
      </w:r>
      <w:r w:rsidR="003E5E85">
        <w:rPr>
          <w:rFonts w:cs="Arial"/>
          <w:lang w:val="en-US"/>
        </w:rPr>
        <w:t>n the property. Moreover, no payments have been made in respect of the municipal services account. As of January 2021, the outstanding amount exceeded R352 000.</w:t>
      </w:r>
    </w:p>
    <w:p w14:paraId="72BA0536" w14:textId="6057A5F4" w:rsidR="003E5E85" w:rsidRDefault="002172F9" w:rsidP="002172F9">
      <w:pPr>
        <w:pStyle w:val="level11"/>
        <w:numPr>
          <w:ilvl w:val="0"/>
          <w:numId w:val="0"/>
        </w:numPr>
        <w:spacing w:after="480" w:line="360" w:lineRule="auto"/>
        <w:jc w:val="both"/>
        <w:rPr>
          <w:rFonts w:cs="Arial"/>
          <w:lang w:val="en-US"/>
        </w:rPr>
      </w:pPr>
      <w:r>
        <w:rPr>
          <w:rFonts w:cs="Arial"/>
          <w:lang w:val="en-US"/>
        </w:rPr>
        <w:t>[24]</w:t>
      </w:r>
      <w:r>
        <w:rPr>
          <w:rFonts w:cs="Arial"/>
          <w:lang w:val="en-US"/>
        </w:rPr>
        <w:tab/>
      </w:r>
      <w:r w:rsidR="003E5E85">
        <w:rPr>
          <w:rFonts w:cs="Arial"/>
          <w:lang w:val="en-US"/>
        </w:rPr>
        <w:t xml:space="preserve">According to the latest available valuation report obtained by the applicant, the property is in a severe state of neglect and its value has been negatively impacted by the fact that the interior has been converted to multiple rental units.  The amount outstanding to the applicant is some R3.6 million, the forced sale value is R2.4 million. </w:t>
      </w:r>
    </w:p>
    <w:p w14:paraId="4E0DA8EC" w14:textId="0BD75EAC" w:rsidR="00335FBF" w:rsidRDefault="002172F9" w:rsidP="002172F9">
      <w:pPr>
        <w:pStyle w:val="level11"/>
        <w:numPr>
          <w:ilvl w:val="0"/>
          <w:numId w:val="0"/>
        </w:numPr>
        <w:spacing w:after="480" w:line="360" w:lineRule="auto"/>
        <w:jc w:val="both"/>
        <w:rPr>
          <w:rFonts w:cs="Arial"/>
          <w:lang w:val="en-US"/>
        </w:rPr>
      </w:pPr>
      <w:r>
        <w:rPr>
          <w:rFonts w:cs="Arial"/>
          <w:lang w:val="en-US"/>
        </w:rPr>
        <w:t>[25]</w:t>
      </w:r>
      <w:r>
        <w:rPr>
          <w:rFonts w:cs="Arial"/>
          <w:lang w:val="en-US"/>
        </w:rPr>
        <w:tab/>
      </w:r>
      <w:r w:rsidR="003E5E85">
        <w:rPr>
          <w:rFonts w:cs="Arial"/>
          <w:lang w:val="en-US"/>
        </w:rPr>
        <w:t xml:space="preserve">There is thus a negative equity in the property, taking into account the liability and relevant charges. In those circumstances, I am persuaded that it would not be appropriate to set a reserve price, considering all the relevant factors envisaged by r 46A (9). </w:t>
      </w:r>
    </w:p>
    <w:p w14:paraId="164ECEE1" w14:textId="36C70353" w:rsidR="003E5E85" w:rsidRPr="002C3752" w:rsidRDefault="002172F9" w:rsidP="002172F9">
      <w:pPr>
        <w:pStyle w:val="level11"/>
        <w:numPr>
          <w:ilvl w:val="0"/>
          <w:numId w:val="0"/>
        </w:numPr>
        <w:spacing w:after="480" w:line="360" w:lineRule="auto"/>
        <w:jc w:val="both"/>
        <w:rPr>
          <w:rFonts w:cs="Arial"/>
          <w:lang w:val="en-US"/>
        </w:rPr>
      </w:pPr>
      <w:r w:rsidRPr="002C3752">
        <w:rPr>
          <w:rFonts w:cs="Arial"/>
          <w:lang w:val="en-US"/>
        </w:rPr>
        <w:t>[26]</w:t>
      </w:r>
      <w:r w:rsidRPr="002C3752">
        <w:rPr>
          <w:rFonts w:cs="Arial"/>
          <w:lang w:val="en-US"/>
        </w:rPr>
        <w:tab/>
      </w:r>
      <w:r w:rsidR="003E5E85">
        <w:rPr>
          <w:rFonts w:cs="Arial"/>
          <w:lang w:val="en-US"/>
        </w:rPr>
        <w:t xml:space="preserve">I am fortified in this view by the </w:t>
      </w:r>
      <w:r w:rsidR="00335FBF">
        <w:rPr>
          <w:rFonts w:cs="Arial"/>
          <w:lang w:val="en-US"/>
        </w:rPr>
        <w:t xml:space="preserve">unusual circumstances of this case and the </w:t>
      </w:r>
      <w:r w:rsidR="003E5E85">
        <w:rPr>
          <w:rFonts w:cs="Arial"/>
          <w:lang w:val="en-US"/>
        </w:rPr>
        <w:t xml:space="preserve">fact that the second respondent is not </w:t>
      </w:r>
      <w:r w:rsidR="00335FBF">
        <w:rPr>
          <w:rFonts w:cs="Arial"/>
          <w:lang w:val="en-US"/>
        </w:rPr>
        <w:t>the judgment debtor, but a third party who has not made out any case on her papers that she will be rendered homeless if an order is granted.</w:t>
      </w:r>
      <w:r w:rsidR="003E5E85">
        <w:rPr>
          <w:rFonts w:cs="Arial"/>
          <w:lang w:val="en-US"/>
        </w:rPr>
        <w:t xml:space="preserve"> </w:t>
      </w:r>
    </w:p>
    <w:p w14:paraId="24CBACC6" w14:textId="1FBD287D" w:rsidR="005F52D5" w:rsidRPr="002C3752" w:rsidRDefault="002172F9" w:rsidP="002172F9">
      <w:pPr>
        <w:pStyle w:val="level11"/>
        <w:numPr>
          <w:ilvl w:val="0"/>
          <w:numId w:val="0"/>
        </w:numPr>
        <w:spacing w:after="480" w:line="360" w:lineRule="auto"/>
        <w:jc w:val="both"/>
        <w:rPr>
          <w:rFonts w:cs="Arial"/>
          <w:lang w:val="en-US"/>
        </w:rPr>
      </w:pPr>
      <w:r w:rsidRPr="002C3752">
        <w:rPr>
          <w:rFonts w:cs="Arial"/>
          <w:lang w:val="en-US"/>
        </w:rPr>
        <w:t>[27]</w:t>
      </w:r>
      <w:r w:rsidRPr="002C3752">
        <w:rPr>
          <w:rFonts w:cs="Arial"/>
          <w:lang w:val="en-US"/>
        </w:rPr>
        <w:tab/>
      </w:r>
      <w:r w:rsidR="005F52D5">
        <w:rPr>
          <w:rFonts w:cs="Arial"/>
          <w:lang w:val="en-US"/>
        </w:rPr>
        <w:t>I</w:t>
      </w:r>
      <w:r w:rsidR="00FD47B7">
        <w:rPr>
          <w:rFonts w:cs="Arial"/>
          <w:lang w:val="en-US"/>
        </w:rPr>
        <w:t xml:space="preserve"> urn to consider the counterclaims raised by the second respondent. These appear simply from the affidavits filed and no notices of motion accompanied the affidavits. I</w:t>
      </w:r>
      <w:r w:rsidR="005F52D5">
        <w:rPr>
          <w:rFonts w:cs="Arial"/>
          <w:lang w:val="en-US"/>
        </w:rPr>
        <w:t xml:space="preserve">t does not appear from the papers filed of record that the claims against the first respondent were served on him.  It follows that such claims cannot succeed </w:t>
      </w:r>
      <w:r w:rsidR="00FD47B7">
        <w:rPr>
          <w:rFonts w:cs="Arial"/>
          <w:lang w:val="en-US"/>
        </w:rPr>
        <w:t xml:space="preserve">and it is </w:t>
      </w:r>
      <w:r w:rsidR="005F52D5">
        <w:rPr>
          <w:rFonts w:cs="Arial"/>
          <w:lang w:val="en-US"/>
        </w:rPr>
        <w:t>no</w:t>
      </w:r>
      <w:r w:rsidR="00FD47B7">
        <w:rPr>
          <w:rFonts w:cs="Arial"/>
          <w:lang w:val="en-US"/>
        </w:rPr>
        <w:t>t</w:t>
      </w:r>
      <w:r w:rsidR="005F52D5">
        <w:rPr>
          <w:rFonts w:cs="Arial"/>
          <w:lang w:val="en-US"/>
        </w:rPr>
        <w:t xml:space="preserve"> necessary to deal with them</w:t>
      </w:r>
      <w:r w:rsidR="00FD47B7">
        <w:rPr>
          <w:rFonts w:cs="Arial"/>
          <w:lang w:val="en-US"/>
        </w:rPr>
        <w:t xml:space="preserve"> in detail</w:t>
      </w:r>
      <w:r w:rsidR="005F52D5">
        <w:rPr>
          <w:rFonts w:cs="Arial"/>
          <w:lang w:val="en-US"/>
        </w:rPr>
        <w:t xml:space="preserve">. The second respondent is at liberty to pursue any claims she may wish to institute in appropriate legal proceedings properly served on the first respondent. </w:t>
      </w:r>
    </w:p>
    <w:p w14:paraId="39B60B46" w14:textId="14B285A1" w:rsidR="00BE334B" w:rsidRDefault="002172F9" w:rsidP="002172F9">
      <w:pPr>
        <w:pStyle w:val="level11"/>
        <w:numPr>
          <w:ilvl w:val="0"/>
          <w:numId w:val="0"/>
        </w:numPr>
        <w:spacing w:after="480" w:line="360" w:lineRule="auto"/>
        <w:jc w:val="both"/>
        <w:rPr>
          <w:rFonts w:cs="Arial"/>
          <w:lang w:val="en-US"/>
        </w:rPr>
      </w:pPr>
      <w:r>
        <w:rPr>
          <w:rFonts w:cs="Arial"/>
          <w:lang w:val="en-US"/>
        </w:rPr>
        <w:t>[28]</w:t>
      </w:r>
      <w:r>
        <w:rPr>
          <w:rFonts w:cs="Arial"/>
          <w:lang w:val="en-US"/>
        </w:rPr>
        <w:tab/>
      </w:r>
      <w:r w:rsidR="00633D33">
        <w:rPr>
          <w:rFonts w:cs="Arial"/>
          <w:lang w:val="en-US"/>
        </w:rPr>
        <w:t>The second respondent’s counterclaim</w:t>
      </w:r>
      <w:r w:rsidR="00FD47B7">
        <w:rPr>
          <w:rFonts w:cs="Arial"/>
          <w:lang w:val="en-US"/>
        </w:rPr>
        <w:t xml:space="preserve"> against the applicant</w:t>
      </w:r>
      <w:r w:rsidR="00633D33">
        <w:rPr>
          <w:rFonts w:cs="Arial"/>
          <w:lang w:val="en-US"/>
        </w:rPr>
        <w:t xml:space="preserve"> pertains to</w:t>
      </w:r>
      <w:r w:rsidR="0057571A">
        <w:rPr>
          <w:rFonts w:cs="Arial"/>
          <w:lang w:val="en-US"/>
        </w:rPr>
        <w:t xml:space="preserve"> damages</w:t>
      </w:r>
      <w:r w:rsidR="00633D33" w:rsidRPr="00633D33">
        <w:rPr>
          <w:rFonts w:cs="Arial"/>
          <w:lang w:val="en-US"/>
        </w:rPr>
        <w:t xml:space="preserve"> </w:t>
      </w:r>
      <w:r w:rsidR="00633D33">
        <w:rPr>
          <w:rFonts w:cs="Arial"/>
          <w:lang w:val="en-US"/>
        </w:rPr>
        <w:t>of R14.79 million</w:t>
      </w:r>
      <w:r w:rsidR="0057571A">
        <w:rPr>
          <w:rFonts w:cs="Arial"/>
          <w:lang w:val="en-US"/>
        </w:rPr>
        <w:t xml:space="preserve"> allegedly suffered at the hands of </w:t>
      </w:r>
      <w:r w:rsidR="00633D33">
        <w:rPr>
          <w:rFonts w:cs="Arial"/>
          <w:lang w:val="en-US"/>
        </w:rPr>
        <w:t>the applicant. Such damages pertain to stolen curtains, legal fees, lost rentals, “renewal rental” and rehabilitation costs.</w:t>
      </w:r>
    </w:p>
    <w:p w14:paraId="00429A4D" w14:textId="0511BDFF" w:rsidR="00FD47B7" w:rsidRDefault="002172F9" w:rsidP="002172F9">
      <w:pPr>
        <w:pStyle w:val="level11"/>
        <w:numPr>
          <w:ilvl w:val="0"/>
          <w:numId w:val="0"/>
        </w:numPr>
        <w:spacing w:after="480" w:line="360" w:lineRule="auto"/>
        <w:jc w:val="both"/>
        <w:rPr>
          <w:rFonts w:cs="Arial"/>
          <w:lang w:val="en-US"/>
        </w:rPr>
      </w:pPr>
      <w:r>
        <w:rPr>
          <w:rFonts w:cs="Arial"/>
          <w:lang w:val="en-US"/>
        </w:rPr>
        <w:lastRenderedPageBreak/>
        <w:t>[29]</w:t>
      </w:r>
      <w:r>
        <w:rPr>
          <w:rFonts w:cs="Arial"/>
          <w:lang w:val="en-US"/>
        </w:rPr>
        <w:tab/>
      </w:r>
      <w:r w:rsidR="00633D33">
        <w:rPr>
          <w:rFonts w:cs="Arial"/>
          <w:lang w:val="en-US"/>
        </w:rPr>
        <w:t>It is trite that in motion proceedings, the application papers constitute both the pleadings and the evidence</w:t>
      </w:r>
      <w:r w:rsidR="00633D33">
        <w:rPr>
          <w:rStyle w:val="FootnoteReference"/>
          <w:rFonts w:cs="Arial"/>
          <w:lang w:val="en-US"/>
        </w:rPr>
        <w:footnoteReference w:id="6"/>
      </w:r>
      <w:r w:rsidR="00633D33">
        <w:rPr>
          <w:rFonts w:cs="Arial"/>
          <w:lang w:val="en-US"/>
        </w:rPr>
        <w:t>.</w:t>
      </w:r>
      <w:r w:rsidR="00454262">
        <w:rPr>
          <w:rFonts w:cs="Arial"/>
          <w:lang w:val="en-US"/>
        </w:rPr>
        <w:t xml:space="preserve"> Whilst I have sympathy for the fact that the second respondent has no legal representation, her claim must be adjudicated based on the relevant applicable principles. The counterclaim is pleaded in vague and excipiable terms, does not identify whether the claim is based in delict and does not </w:t>
      </w:r>
      <w:r w:rsidR="00FD47B7">
        <w:rPr>
          <w:rFonts w:cs="Arial"/>
          <w:lang w:val="en-US"/>
        </w:rPr>
        <w:t>contain</w:t>
      </w:r>
      <w:r w:rsidR="00454262">
        <w:rPr>
          <w:rFonts w:cs="Arial"/>
          <w:lang w:val="en-US"/>
        </w:rPr>
        <w:t xml:space="preserve"> the </w:t>
      </w:r>
      <w:r w:rsidR="00FD47B7">
        <w:rPr>
          <w:rFonts w:cs="Arial"/>
          <w:lang w:val="en-US"/>
        </w:rPr>
        <w:t>necessary</w:t>
      </w:r>
      <w:r w:rsidR="00454262">
        <w:rPr>
          <w:rFonts w:cs="Arial"/>
          <w:lang w:val="en-US"/>
        </w:rPr>
        <w:t xml:space="preserve"> averments</w:t>
      </w:r>
      <w:r w:rsidR="00FD47B7">
        <w:rPr>
          <w:rFonts w:cs="Arial"/>
          <w:lang w:val="en-US"/>
        </w:rPr>
        <w:t xml:space="preserve"> or facts</w:t>
      </w:r>
      <w:r w:rsidR="00454262">
        <w:rPr>
          <w:rFonts w:cs="Arial"/>
          <w:lang w:val="en-US"/>
        </w:rPr>
        <w:t xml:space="preserve">. </w:t>
      </w:r>
      <w:r w:rsidR="00FD47B7">
        <w:rPr>
          <w:rFonts w:cs="Arial"/>
          <w:lang w:val="en-US"/>
        </w:rPr>
        <w:t>The second respondent elected not to deliver any replying affidavit and the factual averments of the applicant stand uncontroverted. The applicant’s version in its answering papers cannot be rejected as palpably false and untenable</w:t>
      </w:r>
      <w:r w:rsidR="00FD47B7">
        <w:rPr>
          <w:rStyle w:val="FootnoteReference"/>
          <w:lang w:val="en-US"/>
        </w:rPr>
        <w:footnoteReference w:id="7"/>
      </w:r>
      <w:r w:rsidR="00FD47B7">
        <w:rPr>
          <w:rFonts w:cs="Arial"/>
          <w:lang w:val="en-US"/>
        </w:rPr>
        <w:t xml:space="preserve">. On the papers there are numerous </w:t>
      </w:r>
      <w:r w:rsidR="00FD47B7" w:rsidRPr="00455044">
        <w:rPr>
          <w:rFonts w:cs="Arial"/>
          <w:i/>
          <w:lang w:val="en-US"/>
        </w:rPr>
        <w:t>bona fide</w:t>
      </w:r>
      <w:r w:rsidR="00FD47B7">
        <w:rPr>
          <w:rFonts w:cs="Arial"/>
          <w:lang w:val="en-US"/>
        </w:rPr>
        <w:t xml:space="preserve"> factual disputes which cannot be resolved. The second respondent did not seek a referral to trial or oral evidence.</w:t>
      </w:r>
    </w:p>
    <w:p w14:paraId="2AF390E0" w14:textId="771F411C" w:rsidR="00633D33" w:rsidRPr="00566777" w:rsidRDefault="002172F9" w:rsidP="002172F9">
      <w:pPr>
        <w:pStyle w:val="level11"/>
        <w:numPr>
          <w:ilvl w:val="0"/>
          <w:numId w:val="0"/>
        </w:numPr>
        <w:spacing w:after="480" w:line="360" w:lineRule="auto"/>
        <w:jc w:val="both"/>
        <w:rPr>
          <w:rFonts w:cs="Arial"/>
          <w:lang w:val="en-US"/>
        </w:rPr>
      </w:pPr>
      <w:r w:rsidRPr="00566777">
        <w:rPr>
          <w:rFonts w:cs="Arial"/>
          <w:lang w:val="en-US"/>
        </w:rPr>
        <w:t>[30]</w:t>
      </w:r>
      <w:r w:rsidRPr="00566777">
        <w:rPr>
          <w:rFonts w:cs="Arial"/>
          <w:lang w:val="en-US"/>
        </w:rPr>
        <w:tab/>
      </w:r>
      <w:r w:rsidR="00FD47B7" w:rsidRPr="00566777">
        <w:rPr>
          <w:rFonts w:cs="Arial"/>
          <w:lang w:val="en-US"/>
        </w:rPr>
        <w:t xml:space="preserve">Simply put, the second respondent has not made out any case for relief in the application papers. For these reasons, the </w:t>
      </w:r>
      <w:r w:rsidR="00566777">
        <w:rPr>
          <w:rFonts w:cs="Arial"/>
          <w:lang w:val="en-US"/>
        </w:rPr>
        <w:t xml:space="preserve">second respondent’s damages </w:t>
      </w:r>
      <w:r w:rsidR="00FD47B7" w:rsidRPr="00566777">
        <w:rPr>
          <w:rFonts w:cs="Arial"/>
          <w:lang w:val="en-US"/>
        </w:rPr>
        <w:t>claim</w:t>
      </w:r>
      <w:r w:rsidR="00454262" w:rsidRPr="00566777">
        <w:rPr>
          <w:rFonts w:cs="Arial"/>
          <w:lang w:val="en-US"/>
        </w:rPr>
        <w:t xml:space="preserve"> is doomed to failure.  </w:t>
      </w:r>
    </w:p>
    <w:p w14:paraId="48002B6C" w14:textId="6EF9903C" w:rsidR="0074233A" w:rsidRDefault="002172F9" w:rsidP="002172F9">
      <w:pPr>
        <w:pStyle w:val="level11"/>
        <w:numPr>
          <w:ilvl w:val="0"/>
          <w:numId w:val="0"/>
        </w:numPr>
        <w:spacing w:after="480" w:line="360" w:lineRule="auto"/>
        <w:jc w:val="both"/>
        <w:rPr>
          <w:rFonts w:cs="Arial"/>
          <w:lang w:val="en-US"/>
        </w:rPr>
      </w:pPr>
      <w:r>
        <w:rPr>
          <w:rFonts w:cs="Arial"/>
          <w:lang w:val="en-US"/>
        </w:rPr>
        <w:t>[31]</w:t>
      </w:r>
      <w:r>
        <w:rPr>
          <w:rFonts w:cs="Arial"/>
          <w:lang w:val="en-US"/>
        </w:rPr>
        <w:tab/>
      </w:r>
      <w:r w:rsidR="00D22024">
        <w:rPr>
          <w:rFonts w:cs="Arial"/>
          <w:lang w:val="en-US"/>
        </w:rPr>
        <w:t xml:space="preserve">As far as </w:t>
      </w:r>
      <w:r w:rsidR="00D93AAA">
        <w:rPr>
          <w:rFonts w:cs="Arial"/>
          <w:lang w:val="en-US"/>
        </w:rPr>
        <w:t xml:space="preserve">the second respondent’s </w:t>
      </w:r>
      <w:r w:rsidR="00D22024">
        <w:rPr>
          <w:rFonts w:cs="Arial"/>
          <w:lang w:val="en-US"/>
        </w:rPr>
        <w:t xml:space="preserve">claim for a </w:t>
      </w:r>
      <w:r w:rsidR="00D22024" w:rsidRPr="008A64BC">
        <w:rPr>
          <w:rFonts w:cs="Arial"/>
          <w:lang w:val="en-US"/>
        </w:rPr>
        <w:t xml:space="preserve">final </w:t>
      </w:r>
      <w:r w:rsidR="00D22024">
        <w:rPr>
          <w:rFonts w:cs="Arial"/>
          <w:lang w:val="en-US"/>
        </w:rPr>
        <w:t>interdict is concerned</w:t>
      </w:r>
      <w:r w:rsidR="00D22024">
        <w:rPr>
          <w:rStyle w:val="FootnoteReference"/>
          <w:rFonts w:cs="Arial"/>
          <w:lang w:val="en-US"/>
        </w:rPr>
        <w:footnoteReference w:id="8"/>
      </w:r>
      <w:r w:rsidR="00D93AAA">
        <w:rPr>
          <w:rFonts w:cs="Arial"/>
          <w:lang w:val="en-US"/>
        </w:rPr>
        <w:t>, she has failed to overcome the first hurdle</w:t>
      </w:r>
      <w:r w:rsidR="00455044">
        <w:rPr>
          <w:rFonts w:cs="Arial"/>
          <w:lang w:val="en-US"/>
        </w:rPr>
        <w:t>;</w:t>
      </w:r>
      <w:r w:rsidR="00D93AAA">
        <w:rPr>
          <w:rFonts w:cs="Arial"/>
          <w:lang w:val="en-US"/>
        </w:rPr>
        <w:t xml:space="preserve"> being to illustrate a clear right</w:t>
      </w:r>
      <w:r w:rsidR="00566777">
        <w:rPr>
          <w:rFonts w:cs="Arial"/>
          <w:lang w:val="en-US"/>
        </w:rPr>
        <w:t xml:space="preserve"> to such relief</w:t>
      </w:r>
      <w:r w:rsidR="00D93AAA">
        <w:rPr>
          <w:rFonts w:cs="Arial"/>
          <w:lang w:val="en-US"/>
        </w:rPr>
        <w:t>. In addition the second respondent has alternative suitable remedies at her disposal to protect her interests, notably appropriate legal proceedings against the first respondent for damages, which in the present circumstances would constitute adequate redress</w:t>
      </w:r>
      <w:r w:rsidR="00D93AAA">
        <w:rPr>
          <w:rStyle w:val="FootnoteReference"/>
          <w:rFonts w:cs="Arial"/>
          <w:lang w:val="en-US"/>
        </w:rPr>
        <w:footnoteReference w:id="9"/>
      </w:r>
      <w:r w:rsidR="00D93AAA">
        <w:rPr>
          <w:rFonts w:cs="Arial"/>
          <w:lang w:val="en-US"/>
        </w:rPr>
        <w:t>.</w:t>
      </w:r>
    </w:p>
    <w:p w14:paraId="243730EF" w14:textId="39C1E2FB" w:rsidR="00D93AAA" w:rsidRDefault="002172F9" w:rsidP="002172F9">
      <w:pPr>
        <w:pStyle w:val="level11"/>
        <w:numPr>
          <w:ilvl w:val="0"/>
          <w:numId w:val="0"/>
        </w:numPr>
        <w:spacing w:after="480" w:line="360" w:lineRule="auto"/>
        <w:jc w:val="both"/>
        <w:rPr>
          <w:rFonts w:cs="Arial"/>
          <w:lang w:val="en-US"/>
        </w:rPr>
      </w:pPr>
      <w:r>
        <w:rPr>
          <w:rFonts w:cs="Arial"/>
          <w:lang w:val="en-US"/>
        </w:rPr>
        <w:t>[32]</w:t>
      </w:r>
      <w:r>
        <w:rPr>
          <w:rFonts w:cs="Arial"/>
          <w:lang w:val="en-US"/>
        </w:rPr>
        <w:tab/>
      </w:r>
      <w:r w:rsidR="00D93AAA">
        <w:rPr>
          <w:rFonts w:cs="Arial"/>
          <w:lang w:val="en-US"/>
        </w:rPr>
        <w:t>It follows that th</w:t>
      </w:r>
      <w:r w:rsidR="00566777">
        <w:rPr>
          <w:rFonts w:cs="Arial"/>
          <w:lang w:val="en-US"/>
        </w:rPr>
        <w:t>is</w:t>
      </w:r>
      <w:r w:rsidR="00D93AAA">
        <w:rPr>
          <w:rFonts w:cs="Arial"/>
          <w:lang w:val="en-US"/>
        </w:rPr>
        <w:t xml:space="preserve"> claim</w:t>
      </w:r>
      <w:r w:rsidR="00566777">
        <w:rPr>
          <w:rFonts w:cs="Arial"/>
          <w:lang w:val="en-US"/>
        </w:rPr>
        <w:t xml:space="preserve"> too</w:t>
      </w:r>
      <w:r w:rsidR="00D93AAA">
        <w:rPr>
          <w:rFonts w:cs="Arial"/>
          <w:lang w:val="en-US"/>
        </w:rPr>
        <w:t xml:space="preserve"> must fail.  </w:t>
      </w:r>
    </w:p>
    <w:p w14:paraId="54EBCA7C" w14:textId="6A19A429" w:rsidR="0074233A" w:rsidRDefault="0074233A" w:rsidP="000C120F">
      <w:pPr>
        <w:pStyle w:val="level11"/>
        <w:numPr>
          <w:ilvl w:val="0"/>
          <w:numId w:val="0"/>
        </w:numPr>
        <w:spacing w:line="360" w:lineRule="auto"/>
        <w:ind w:left="709" w:hanging="709"/>
        <w:rPr>
          <w:rFonts w:cs="Arial"/>
          <w:lang w:val="en-US"/>
        </w:rPr>
      </w:pPr>
      <w:r>
        <w:rPr>
          <w:lang w:val="en-US"/>
        </w:rPr>
        <w:lastRenderedPageBreak/>
        <w:t xml:space="preserve">  </w:t>
      </w:r>
    </w:p>
    <w:p w14:paraId="3A0C8B89" w14:textId="2A19C5B1" w:rsidR="0074233A" w:rsidRDefault="002172F9" w:rsidP="002172F9">
      <w:pPr>
        <w:pStyle w:val="level11"/>
        <w:numPr>
          <w:ilvl w:val="0"/>
          <w:numId w:val="0"/>
        </w:numPr>
        <w:spacing w:after="480" w:line="360" w:lineRule="auto"/>
        <w:jc w:val="both"/>
        <w:rPr>
          <w:rFonts w:cs="Arial"/>
          <w:lang w:val="en-US"/>
        </w:rPr>
      </w:pPr>
      <w:r>
        <w:rPr>
          <w:rFonts w:cs="Arial"/>
          <w:lang w:val="en-US"/>
        </w:rPr>
        <w:t>[33]</w:t>
      </w:r>
      <w:r>
        <w:rPr>
          <w:rFonts w:cs="Arial"/>
          <w:lang w:val="en-US"/>
        </w:rPr>
        <w:tab/>
      </w:r>
      <w:r w:rsidR="0074233A">
        <w:rPr>
          <w:rFonts w:cs="Arial"/>
          <w:lang w:val="en-US"/>
        </w:rPr>
        <w:t>T</w:t>
      </w:r>
      <w:r w:rsidR="008B76C3">
        <w:rPr>
          <w:rFonts w:cs="Arial"/>
          <w:lang w:val="en-US"/>
        </w:rPr>
        <w:t xml:space="preserve">here is no reason to deviate from the normal principle that costs follow the result. Costs were sought against the second respondent </w:t>
      </w:r>
      <w:r w:rsidR="00566777">
        <w:rPr>
          <w:rFonts w:cs="Arial"/>
          <w:lang w:val="en-US"/>
        </w:rPr>
        <w:t xml:space="preserve">only </w:t>
      </w:r>
      <w:r w:rsidR="008B76C3">
        <w:rPr>
          <w:rFonts w:cs="Arial"/>
          <w:lang w:val="en-US"/>
        </w:rPr>
        <w:t xml:space="preserve">in the event she opposed the application. Counsel, correctly so in my view, did not persist </w:t>
      </w:r>
      <w:r w:rsidR="00566777">
        <w:rPr>
          <w:rFonts w:cs="Arial"/>
          <w:lang w:val="en-US"/>
        </w:rPr>
        <w:t>in</w:t>
      </w:r>
      <w:r w:rsidR="008B76C3">
        <w:rPr>
          <w:rFonts w:cs="Arial"/>
          <w:lang w:val="en-US"/>
        </w:rPr>
        <w:t xml:space="preserve"> seek</w:t>
      </w:r>
      <w:r w:rsidR="00566777">
        <w:rPr>
          <w:rFonts w:cs="Arial"/>
          <w:lang w:val="en-US"/>
        </w:rPr>
        <w:t>ing</w:t>
      </w:r>
      <w:r w:rsidR="008B76C3">
        <w:rPr>
          <w:rFonts w:cs="Arial"/>
          <w:lang w:val="en-US"/>
        </w:rPr>
        <w:t xml:space="preserve"> costs on a punitive scale. </w:t>
      </w:r>
    </w:p>
    <w:p w14:paraId="2FDBA9B0" w14:textId="0A779EF5" w:rsidR="00D306B3" w:rsidRDefault="002172F9" w:rsidP="002172F9">
      <w:pPr>
        <w:pStyle w:val="level11"/>
        <w:numPr>
          <w:ilvl w:val="0"/>
          <w:numId w:val="0"/>
        </w:numPr>
        <w:spacing w:after="480" w:line="360" w:lineRule="auto"/>
        <w:jc w:val="both"/>
        <w:rPr>
          <w:rFonts w:cs="Arial"/>
          <w:lang w:val="en-US"/>
        </w:rPr>
      </w:pPr>
      <w:r>
        <w:rPr>
          <w:rFonts w:cs="Arial"/>
          <w:lang w:val="en-US"/>
        </w:rPr>
        <w:t>[34]</w:t>
      </w:r>
      <w:r>
        <w:rPr>
          <w:rFonts w:cs="Arial"/>
          <w:lang w:val="en-US"/>
        </w:rPr>
        <w:tab/>
      </w:r>
      <w:r w:rsidR="00D306B3">
        <w:rPr>
          <w:rFonts w:cs="Arial"/>
          <w:lang w:val="en-US"/>
        </w:rPr>
        <w:t>I grant the following order:</w:t>
      </w:r>
    </w:p>
    <w:p w14:paraId="717CB85D" w14:textId="279B014E" w:rsidR="0074233A" w:rsidRDefault="00D306B3" w:rsidP="00633D33">
      <w:pPr>
        <w:pStyle w:val="level11"/>
        <w:numPr>
          <w:ilvl w:val="0"/>
          <w:numId w:val="0"/>
        </w:numPr>
        <w:spacing w:after="480" w:line="360" w:lineRule="auto"/>
        <w:ind w:left="360"/>
        <w:jc w:val="both"/>
        <w:rPr>
          <w:rFonts w:cs="Arial"/>
          <w:lang w:val="en-US"/>
        </w:rPr>
      </w:pPr>
      <w:r>
        <w:rPr>
          <w:rFonts w:cs="Arial"/>
          <w:lang w:val="en-US"/>
        </w:rPr>
        <w:t>[1] Judgment is granted against the first respondent for:</w:t>
      </w:r>
    </w:p>
    <w:p w14:paraId="26E88E2C" w14:textId="3FBB9A30" w:rsidR="00D306B3" w:rsidRDefault="00D306B3" w:rsidP="00633D33">
      <w:pPr>
        <w:pStyle w:val="level11"/>
        <w:numPr>
          <w:ilvl w:val="0"/>
          <w:numId w:val="0"/>
        </w:numPr>
        <w:spacing w:after="480" w:line="360" w:lineRule="auto"/>
        <w:ind w:left="360"/>
        <w:jc w:val="both"/>
        <w:rPr>
          <w:rFonts w:cs="Arial"/>
          <w:lang w:val="en-US"/>
        </w:rPr>
      </w:pPr>
      <w:r>
        <w:rPr>
          <w:rFonts w:cs="Arial"/>
          <w:lang w:val="en-US"/>
        </w:rPr>
        <w:t>[1.1] Payment of the sum of R3 680 976.31;</w:t>
      </w:r>
    </w:p>
    <w:p w14:paraId="1B16F51D" w14:textId="11BC399D" w:rsidR="00D306B3" w:rsidRDefault="00D306B3" w:rsidP="00633D33">
      <w:pPr>
        <w:pStyle w:val="level11"/>
        <w:numPr>
          <w:ilvl w:val="0"/>
          <w:numId w:val="0"/>
        </w:numPr>
        <w:spacing w:after="480" w:line="360" w:lineRule="auto"/>
        <w:ind w:left="360"/>
        <w:jc w:val="both"/>
        <w:rPr>
          <w:rFonts w:cs="Arial"/>
          <w:lang w:val="en-US"/>
        </w:rPr>
      </w:pPr>
      <w:r>
        <w:rPr>
          <w:rFonts w:cs="Arial"/>
          <w:lang w:val="en-US"/>
        </w:rPr>
        <w:t>[1.2] Payment of interest on the sum of R3 680 976.31 at the rate of 8.450% per annum, calculated daily and compounded monthly in arrears from 31 December 2022 to date of payment, together with monthly insurance premiums of R5 367.12;</w:t>
      </w:r>
    </w:p>
    <w:p w14:paraId="141B59C8" w14:textId="4B4E0874" w:rsidR="008B76C3" w:rsidRDefault="00D306B3" w:rsidP="008C1487">
      <w:pPr>
        <w:pStyle w:val="level11"/>
        <w:numPr>
          <w:ilvl w:val="0"/>
          <w:numId w:val="0"/>
        </w:numPr>
        <w:spacing w:after="480" w:line="360" w:lineRule="auto"/>
        <w:ind w:left="360"/>
        <w:jc w:val="both"/>
        <w:rPr>
          <w:rFonts w:cs="Arial"/>
          <w:lang w:val="en-US"/>
        </w:rPr>
      </w:pPr>
      <w:r w:rsidRPr="00D306B3">
        <w:rPr>
          <w:rFonts w:cs="Arial"/>
          <w:lang w:val="en-US"/>
        </w:rPr>
        <w:t>[2] The immovable property, Holding Number 147 Kyalami Agricultural Holdings, Extension 1, District of the City of Johannesburg, Gauteng Province, measuring 2</w:t>
      </w:r>
      <w:r w:rsidR="008B76C3">
        <w:rPr>
          <w:rFonts w:cs="Arial"/>
          <w:lang w:val="en-US"/>
        </w:rPr>
        <w:t>,</w:t>
      </w:r>
      <w:r w:rsidRPr="00D306B3">
        <w:rPr>
          <w:rFonts w:cs="Arial"/>
          <w:lang w:val="en-US"/>
        </w:rPr>
        <w:t xml:space="preserve"> 4409 </w:t>
      </w:r>
      <w:r w:rsidR="008B76C3">
        <w:rPr>
          <w:rFonts w:cs="Arial"/>
          <w:lang w:val="en-US"/>
        </w:rPr>
        <w:t>h</w:t>
      </w:r>
      <w:r w:rsidRPr="00D306B3">
        <w:rPr>
          <w:rFonts w:cs="Arial"/>
          <w:lang w:val="en-US"/>
        </w:rPr>
        <w:t>ectares and held by Deed of Transfer T056336/07</w:t>
      </w:r>
      <w:r w:rsidR="008B76C3">
        <w:rPr>
          <w:rFonts w:cs="Arial"/>
          <w:lang w:val="en-US"/>
        </w:rPr>
        <w:t>, is declared specially executable;</w:t>
      </w:r>
    </w:p>
    <w:p w14:paraId="0BA7378A" w14:textId="64692EAC" w:rsidR="00633D33" w:rsidRDefault="00633D33" w:rsidP="008C1487">
      <w:pPr>
        <w:pStyle w:val="level11"/>
        <w:numPr>
          <w:ilvl w:val="0"/>
          <w:numId w:val="0"/>
        </w:numPr>
        <w:spacing w:after="480" w:line="360" w:lineRule="auto"/>
        <w:ind w:left="360"/>
        <w:jc w:val="both"/>
        <w:rPr>
          <w:rFonts w:cs="Arial"/>
          <w:lang w:val="en-US"/>
        </w:rPr>
      </w:pPr>
      <w:r>
        <w:rPr>
          <w:rFonts w:cs="Arial"/>
          <w:lang w:val="en-US"/>
        </w:rPr>
        <w:t>[3] The Registrar of the High Court is authorised to issue a Warrant of Execution against the property referred to in [2] above;</w:t>
      </w:r>
    </w:p>
    <w:p w14:paraId="397DBD11" w14:textId="6348136E" w:rsidR="00D306B3" w:rsidRDefault="00D306B3" w:rsidP="008C1487">
      <w:pPr>
        <w:pStyle w:val="level11"/>
        <w:numPr>
          <w:ilvl w:val="0"/>
          <w:numId w:val="0"/>
        </w:numPr>
        <w:spacing w:after="480" w:line="360" w:lineRule="auto"/>
        <w:ind w:left="360"/>
        <w:jc w:val="both"/>
        <w:rPr>
          <w:rFonts w:cs="Arial"/>
          <w:lang w:val="en-US"/>
        </w:rPr>
      </w:pPr>
      <w:r w:rsidRPr="00D306B3">
        <w:rPr>
          <w:rFonts w:cs="Arial"/>
          <w:lang w:val="en-US"/>
        </w:rPr>
        <w:t>[</w:t>
      </w:r>
      <w:r w:rsidR="00633D33">
        <w:rPr>
          <w:rFonts w:cs="Arial"/>
          <w:lang w:val="en-US"/>
        </w:rPr>
        <w:t>4</w:t>
      </w:r>
      <w:r w:rsidRPr="00D306B3">
        <w:rPr>
          <w:rFonts w:cs="Arial"/>
          <w:lang w:val="en-US"/>
        </w:rPr>
        <w:t>] The second respondent’s counterclaim</w:t>
      </w:r>
      <w:r w:rsidR="00566777">
        <w:rPr>
          <w:rFonts w:cs="Arial"/>
          <w:lang w:val="en-US"/>
        </w:rPr>
        <w:t xml:space="preserve"> for damages and the claim for an interdict </w:t>
      </w:r>
      <w:r w:rsidRPr="00D306B3">
        <w:rPr>
          <w:rFonts w:cs="Arial"/>
          <w:lang w:val="en-US"/>
        </w:rPr>
        <w:t xml:space="preserve">against the applicant </w:t>
      </w:r>
      <w:r w:rsidR="009C580C">
        <w:rPr>
          <w:rFonts w:cs="Arial"/>
          <w:lang w:val="en-US"/>
        </w:rPr>
        <w:t>are</w:t>
      </w:r>
      <w:r w:rsidRPr="00D306B3">
        <w:rPr>
          <w:rFonts w:cs="Arial"/>
          <w:lang w:val="en-US"/>
        </w:rPr>
        <w:t xml:space="preserve"> dismissed</w:t>
      </w:r>
      <w:r w:rsidR="00455044">
        <w:rPr>
          <w:rFonts w:cs="Arial"/>
          <w:lang w:val="en-US"/>
        </w:rPr>
        <w:t xml:space="preserve"> with costs</w:t>
      </w:r>
      <w:r w:rsidRPr="00D306B3">
        <w:rPr>
          <w:rFonts w:cs="Arial"/>
          <w:lang w:val="en-US"/>
        </w:rPr>
        <w:t>;</w:t>
      </w:r>
    </w:p>
    <w:p w14:paraId="55214C60" w14:textId="777D67B6" w:rsidR="00566777" w:rsidRPr="00D306B3" w:rsidRDefault="00566777" w:rsidP="008C1487">
      <w:pPr>
        <w:pStyle w:val="level11"/>
        <w:numPr>
          <w:ilvl w:val="0"/>
          <w:numId w:val="0"/>
        </w:numPr>
        <w:spacing w:after="480" w:line="360" w:lineRule="auto"/>
        <w:ind w:left="360"/>
        <w:jc w:val="both"/>
        <w:rPr>
          <w:rFonts w:cs="Arial"/>
          <w:lang w:val="en-US"/>
        </w:rPr>
      </w:pPr>
      <w:r>
        <w:rPr>
          <w:rFonts w:cs="Arial"/>
          <w:lang w:val="en-US"/>
        </w:rPr>
        <w:t>[5] The second respondent’s counterclaim against the first respondent is dismissed;</w:t>
      </w:r>
    </w:p>
    <w:p w14:paraId="7CFAFDE5" w14:textId="6A65499F" w:rsidR="00D306B3" w:rsidRDefault="00D306B3" w:rsidP="00633D33">
      <w:pPr>
        <w:pStyle w:val="level11"/>
        <w:numPr>
          <w:ilvl w:val="0"/>
          <w:numId w:val="0"/>
        </w:numPr>
        <w:spacing w:after="480" w:line="360" w:lineRule="auto"/>
        <w:ind w:left="360"/>
        <w:jc w:val="both"/>
        <w:rPr>
          <w:rFonts w:cs="Arial"/>
          <w:lang w:val="en-US"/>
        </w:rPr>
      </w:pPr>
      <w:r>
        <w:rPr>
          <w:rFonts w:cs="Arial"/>
          <w:lang w:val="en-US"/>
        </w:rPr>
        <w:lastRenderedPageBreak/>
        <w:t>[</w:t>
      </w:r>
      <w:r w:rsidR="00633D33">
        <w:rPr>
          <w:rFonts w:cs="Arial"/>
          <w:lang w:val="en-US"/>
        </w:rPr>
        <w:t>6</w:t>
      </w:r>
      <w:r>
        <w:rPr>
          <w:rFonts w:cs="Arial"/>
          <w:lang w:val="en-US"/>
        </w:rPr>
        <w:t xml:space="preserve">] </w:t>
      </w:r>
      <w:r w:rsidR="00633D33">
        <w:rPr>
          <w:rFonts w:cs="Arial"/>
          <w:lang w:val="en-US"/>
        </w:rPr>
        <w:t>T</w:t>
      </w:r>
      <w:r>
        <w:rPr>
          <w:rFonts w:cs="Arial"/>
          <w:lang w:val="en-US"/>
        </w:rPr>
        <w:t xml:space="preserve">he </w:t>
      </w:r>
      <w:r w:rsidR="00633D33">
        <w:rPr>
          <w:rFonts w:cs="Arial"/>
          <w:lang w:val="en-US"/>
        </w:rPr>
        <w:t xml:space="preserve">first and </w:t>
      </w:r>
      <w:r>
        <w:rPr>
          <w:rFonts w:cs="Arial"/>
          <w:lang w:val="en-US"/>
        </w:rPr>
        <w:t xml:space="preserve">second respondents </w:t>
      </w:r>
      <w:r w:rsidR="00633D33">
        <w:rPr>
          <w:rFonts w:cs="Arial"/>
          <w:lang w:val="en-US"/>
        </w:rPr>
        <w:t>are directed to p</w:t>
      </w:r>
      <w:r>
        <w:rPr>
          <w:rFonts w:cs="Arial"/>
          <w:lang w:val="en-US"/>
        </w:rPr>
        <w:t>ay the costs of the application</w:t>
      </w:r>
      <w:r w:rsidR="00633D33">
        <w:rPr>
          <w:rFonts w:cs="Arial"/>
          <w:lang w:val="en-US"/>
        </w:rPr>
        <w:t>, jointly and severally, the one paying, the other to be absolved</w:t>
      </w:r>
      <w:r>
        <w:rPr>
          <w:rFonts w:cs="Arial"/>
          <w:lang w:val="en-US"/>
        </w:rPr>
        <w:t xml:space="preserve">. </w:t>
      </w:r>
    </w:p>
    <w:p w14:paraId="230608F2" w14:textId="3CBA0A08" w:rsidR="0074233A" w:rsidRDefault="0074233A" w:rsidP="008A64BC">
      <w:pPr>
        <w:pStyle w:val="level11"/>
        <w:numPr>
          <w:ilvl w:val="0"/>
          <w:numId w:val="0"/>
        </w:numPr>
        <w:spacing w:after="480" w:line="360" w:lineRule="auto"/>
        <w:jc w:val="both"/>
        <w:rPr>
          <w:rFonts w:cs="Arial"/>
          <w:lang w:val="en-US"/>
        </w:rPr>
      </w:pPr>
    </w:p>
    <w:p w14:paraId="383AFE0B" w14:textId="77777777" w:rsidR="001E2697" w:rsidRPr="002C3752" w:rsidRDefault="001E2697" w:rsidP="001E2697">
      <w:pPr>
        <w:spacing w:line="360" w:lineRule="auto"/>
        <w:ind w:left="2880" w:firstLine="720"/>
        <w:rPr>
          <w:rFonts w:cs="Arial"/>
        </w:rPr>
      </w:pPr>
      <w:r w:rsidRPr="002C3752">
        <w:rPr>
          <w:rFonts w:cs="Arial"/>
        </w:rPr>
        <w:tab/>
        <w:t>_____________________________________</w:t>
      </w:r>
    </w:p>
    <w:p w14:paraId="4A30BEF1" w14:textId="77777777" w:rsidR="001E2697" w:rsidRPr="002C3752" w:rsidRDefault="001E2697" w:rsidP="001E2697">
      <w:pPr>
        <w:ind w:left="4395"/>
        <w:rPr>
          <w:rFonts w:cs="Arial"/>
          <w:b/>
        </w:rPr>
      </w:pPr>
      <w:r w:rsidRPr="002C3752">
        <w:rPr>
          <w:rFonts w:cs="Arial"/>
          <w:b/>
        </w:rPr>
        <w:t>EF DIPPENAAR</w:t>
      </w:r>
      <w:r w:rsidRPr="002C3752">
        <w:rPr>
          <w:rFonts w:cs="Arial"/>
        </w:rPr>
        <w:t xml:space="preserve">                        </w:t>
      </w:r>
    </w:p>
    <w:p w14:paraId="4B1A0050" w14:textId="77777777" w:rsidR="001E2697" w:rsidRPr="002C3752" w:rsidRDefault="001E2697" w:rsidP="001E2697">
      <w:pPr>
        <w:ind w:left="4395"/>
        <w:rPr>
          <w:rFonts w:cs="Arial"/>
          <w:b/>
        </w:rPr>
      </w:pPr>
      <w:r w:rsidRPr="002C3752">
        <w:rPr>
          <w:rFonts w:cs="Arial"/>
          <w:b/>
        </w:rPr>
        <w:t>JUDGE OF THE HIGH COURT JOHANNESBURG</w:t>
      </w:r>
    </w:p>
    <w:p w14:paraId="3F8AD1F5" w14:textId="044A1692" w:rsidR="001E2697" w:rsidRPr="002C3752" w:rsidRDefault="001E2697" w:rsidP="001E2697">
      <w:pPr>
        <w:rPr>
          <w:rFonts w:cs="Arial"/>
          <w:b/>
          <w:u w:val="single"/>
        </w:rPr>
      </w:pPr>
    </w:p>
    <w:p w14:paraId="2950822F" w14:textId="7B71B23C" w:rsidR="00BE334B" w:rsidRPr="002C3752" w:rsidRDefault="00BE334B" w:rsidP="001E2697">
      <w:pPr>
        <w:rPr>
          <w:rFonts w:cs="Arial"/>
          <w:b/>
          <w:u w:val="single"/>
        </w:rPr>
      </w:pPr>
    </w:p>
    <w:p w14:paraId="53CF8FDF" w14:textId="77777777" w:rsidR="00BE334B" w:rsidRPr="002C3752" w:rsidRDefault="00BE334B" w:rsidP="001E2697">
      <w:pPr>
        <w:rPr>
          <w:rFonts w:cs="Arial"/>
          <w:b/>
          <w:u w:val="single"/>
        </w:rPr>
      </w:pPr>
    </w:p>
    <w:p w14:paraId="61375C0E" w14:textId="77777777" w:rsidR="00113EEB" w:rsidRPr="002C3752" w:rsidRDefault="00113EEB" w:rsidP="001E2697">
      <w:pPr>
        <w:rPr>
          <w:rFonts w:cs="Arial"/>
          <w:b/>
          <w:u w:val="single"/>
        </w:rPr>
      </w:pPr>
    </w:p>
    <w:p w14:paraId="25B18677" w14:textId="0DFDEB45" w:rsidR="001E2697" w:rsidRPr="002C3752" w:rsidRDefault="001E2697" w:rsidP="001E2697">
      <w:pPr>
        <w:rPr>
          <w:rFonts w:cs="Arial"/>
          <w:b/>
          <w:u w:val="single"/>
        </w:rPr>
      </w:pPr>
      <w:r w:rsidRPr="002C3752">
        <w:rPr>
          <w:rFonts w:cs="Arial"/>
          <w:b/>
          <w:u w:val="single"/>
        </w:rPr>
        <w:t xml:space="preserve">APPEARANCES </w:t>
      </w:r>
    </w:p>
    <w:p w14:paraId="268038BB" w14:textId="77777777" w:rsidR="001E2697" w:rsidRPr="002C3752" w:rsidRDefault="001E2697" w:rsidP="001E2697">
      <w:pPr>
        <w:pStyle w:val="ListParagraph"/>
        <w:spacing w:after="0" w:line="240" w:lineRule="auto"/>
        <w:ind w:left="0"/>
        <w:rPr>
          <w:rFonts w:cs="Arial"/>
        </w:rPr>
      </w:pPr>
    </w:p>
    <w:p w14:paraId="200D2BF0" w14:textId="720ED85D" w:rsidR="001E2697" w:rsidRPr="002C3752" w:rsidRDefault="001E2697" w:rsidP="001E2697">
      <w:pPr>
        <w:rPr>
          <w:rFonts w:cs="Arial"/>
        </w:rPr>
      </w:pPr>
      <w:r w:rsidRPr="002C3752">
        <w:rPr>
          <w:rFonts w:cs="Arial"/>
          <w:b/>
        </w:rPr>
        <w:t>DATE OF HEARING</w:t>
      </w:r>
      <w:r w:rsidRPr="002C3752">
        <w:rPr>
          <w:rFonts w:cs="Arial"/>
          <w:b/>
        </w:rPr>
        <w:tab/>
        <w:t xml:space="preserve"> </w:t>
      </w:r>
      <w:r w:rsidRPr="002C3752">
        <w:rPr>
          <w:rFonts w:cs="Arial"/>
          <w:b/>
        </w:rPr>
        <w:tab/>
      </w:r>
      <w:r w:rsidRPr="002C3752">
        <w:rPr>
          <w:rFonts w:cs="Arial"/>
          <w:b/>
        </w:rPr>
        <w:tab/>
        <w:t xml:space="preserve"> </w:t>
      </w:r>
      <w:r w:rsidRPr="002C3752">
        <w:rPr>
          <w:rFonts w:cs="Arial"/>
          <w:b/>
        </w:rPr>
        <w:tab/>
      </w:r>
      <w:r w:rsidRPr="002C3752">
        <w:rPr>
          <w:rFonts w:cs="Arial"/>
        </w:rPr>
        <w:t xml:space="preserve">: </w:t>
      </w:r>
      <w:r w:rsidR="0039420D" w:rsidRPr="002C3752">
        <w:rPr>
          <w:rFonts w:cs="Arial"/>
        </w:rPr>
        <w:t xml:space="preserve"> </w:t>
      </w:r>
      <w:r w:rsidR="00EC7CEF">
        <w:rPr>
          <w:rFonts w:cs="Arial"/>
        </w:rPr>
        <w:t>24 January 2023</w:t>
      </w:r>
    </w:p>
    <w:p w14:paraId="345B4D09" w14:textId="77777777" w:rsidR="001E2697" w:rsidRPr="002C3752" w:rsidRDefault="001E2697" w:rsidP="001E2697">
      <w:pPr>
        <w:rPr>
          <w:rFonts w:cs="Arial"/>
          <w:b/>
        </w:rPr>
      </w:pPr>
    </w:p>
    <w:p w14:paraId="2DA72A9D" w14:textId="00435F65" w:rsidR="001E2697" w:rsidRPr="002C3752" w:rsidRDefault="001E2697" w:rsidP="001E2697">
      <w:pPr>
        <w:rPr>
          <w:rFonts w:cs="Arial"/>
          <w:b/>
        </w:rPr>
      </w:pPr>
      <w:r w:rsidRPr="002C3752">
        <w:rPr>
          <w:rFonts w:cs="Arial"/>
          <w:b/>
        </w:rPr>
        <w:t xml:space="preserve">DATE OF JUDGMENT </w:t>
      </w:r>
      <w:r w:rsidRPr="002C3752">
        <w:rPr>
          <w:rFonts w:cs="Arial"/>
          <w:b/>
        </w:rPr>
        <w:tab/>
      </w:r>
      <w:r w:rsidRPr="002C3752">
        <w:rPr>
          <w:rFonts w:cs="Arial"/>
          <w:b/>
        </w:rPr>
        <w:tab/>
      </w:r>
      <w:r w:rsidRPr="002C3752">
        <w:rPr>
          <w:rFonts w:cs="Arial"/>
          <w:b/>
        </w:rPr>
        <w:tab/>
        <w:t xml:space="preserve"> </w:t>
      </w:r>
      <w:r w:rsidRPr="002C3752">
        <w:rPr>
          <w:rFonts w:cs="Arial"/>
          <w:b/>
        </w:rPr>
        <w:tab/>
      </w:r>
      <w:r w:rsidRPr="002C3752">
        <w:rPr>
          <w:rFonts w:cs="Arial"/>
        </w:rPr>
        <w:t xml:space="preserve">: </w:t>
      </w:r>
      <w:r w:rsidR="00646EBC">
        <w:rPr>
          <w:rFonts w:cs="Arial"/>
        </w:rPr>
        <w:t xml:space="preserve"> </w:t>
      </w:r>
      <w:r w:rsidR="00AD1D34">
        <w:rPr>
          <w:rFonts w:cs="Arial"/>
        </w:rPr>
        <w:t>27 Jan</w:t>
      </w:r>
      <w:r w:rsidR="00EC7CEF">
        <w:rPr>
          <w:rFonts w:cs="Arial"/>
        </w:rPr>
        <w:t>uary</w:t>
      </w:r>
      <w:r w:rsidR="000513BF" w:rsidRPr="002C3752">
        <w:rPr>
          <w:rFonts w:cs="Arial"/>
        </w:rPr>
        <w:t xml:space="preserve"> 2023</w:t>
      </w:r>
    </w:p>
    <w:p w14:paraId="011A826F" w14:textId="77777777" w:rsidR="001E2697" w:rsidRPr="002C3752" w:rsidRDefault="001E2697" w:rsidP="001E2697">
      <w:pPr>
        <w:rPr>
          <w:rFonts w:cs="Arial"/>
          <w:b/>
        </w:rPr>
      </w:pPr>
      <w:r w:rsidRPr="002C3752">
        <w:rPr>
          <w:rFonts w:cs="Arial"/>
          <w:b/>
        </w:rPr>
        <w:tab/>
      </w:r>
      <w:r w:rsidRPr="002C3752">
        <w:rPr>
          <w:rFonts w:cs="Arial"/>
          <w:b/>
        </w:rPr>
        <w:tab/>
      </w:r>
      <w:r w:rsidRPr="002C3752">
        <w:rPr>
          <w:rFonts w:cs="Arial"/>
          <w:b/>
        </w:rPr>
        <w:tab/>
      </w:r>
      <w:r w:rsidRPr="002C3752">
        <w:rPr>
          <w:rFonts w:cs="Arial"/>
          <w:b/>
        </w:rPr>
        <w:tab/>
      </w:r>
    </w:p>
    <w:p w14:paraId="1DFCDF2D" w14:textId="0056FFEE" w:rsidR="009948E9" w:rsidRPr="002C3752" w:rsidRDefault="00EC7CEF" w:rsidP="009948E9">
      <w:pPr>
        <w:spacing w:after="200"/>
        <w:contextualSpacing/>
        <w:rPr>
          <w:rFonts w:eastAsia="Calibri" w:cs="Arial"/>
        </w:rPr>
      </w:pPr>
      <w:bookmarkStart w:id="2" w:name="_Hlk67555944"/>
      <w:r>
        <w:rPr>
          <w:rFonts w:eastAsia="Calibri" w:cs="Arial"/>
          <w:b/>
        </w:rPr>
        <w:t>APPLICANT’S</w:t>
      </w:r>
      <w:r w:rsidR="009948E9" w:rsidRPr="002C3752">
        <w:rPr>
          <w:rFonts w:eastAsia="Calibri" w:cs="Arial"/>
          <w:b/>
        </w:rPr>
        <w:t xml:space="preserve"> COUNSEL</w:t>
      </w:r>
      <w:r w:rsidR="009948E9" w:rsidRPr="002C3752">
        <w:rPr>
          <w:rFonts w:eastAsia="Calibri" w:cs="Arial"/>
          <w:b/>
        </w:rPr>
        <w:tab/>
      </w:r>
      <w:r w:rsidR="009948E9" w:rsidRPr="002C3752">
        <w:rPr>
          <w:rFonts w:eastAsia="Calibri" w:cs="Arial"/>
          <w:b/>
        </w:rPr>
        <w:tab/>
      </w:r>
      <w:r w:rsidR="009948E9" w:rsidRPr="002C3752">
        <w:rPr>
          <w:rFonts w:eastAsia="Calibri" w:cs="Arial"/>
          <w:b/>
        </w:rPr>
        <w:tab/>
      </w:r>
      <w:r w:rsidR="009948E9" w:rsidRPr="002C3752">
        <w:rPr>
          <w:rFonts w:eastAsia="Calibri" w:cs="Arial"/>
          <w:b/>
        </w:rPr>
        <w:tab/>
      </w:r>
      <w:r w:rsidR="009948E9" w:rsidRPr="002C3752">
        <w:rPr>
          <w:rFonts w:eastAsia="Calibri" w:cs="Arial"/>
        </w:rPr>
        <w:t xml:space="preserve">:  </w:t>
      </w:r>
      <w:r>
        <w:rPr>
          <w:rFonts w:eastAsia="Calibri" w:cs="Arial"/>
        </w:rPr>
        <w:t>Adv M de Oliveira</w:t>
      </w:r>
    </w:p>
    <w:p w14:paraId="090A719B" w14:textId="77777777" w:rsidR="009948E9" w:rsidRPr="002C3752" w:rsidRDefault="009948E9" w:rsidP="009948E9">
      <w:pPr>
        <w:spacing w:after="200"/>
        <w:contextualSpacing/>
        <w:rPr>
          <w:rFonts w:eastAsia="Calibri" w:cs="Arial"/>
          <w:b/>
          <w:bCs/>
        </w:rPr>
      </w:pPr>
    </w:p>
    <w:p w14:paraId="70B4F9E2" w14:textId="6C0E0406" w:rsidR="009948E9" w:rsidRPr="002C3752" w:rsidRDefault="00EC7CEF" w:rsidP="009948E9">
      <w:pPr>
        <w:spacing w:after="200"/>
        <w:contextualSpacing/>
        <w:rPr>
          <w:rFonts w:eastAsia="Calibri" w:cs="Arial"/>
        </w:rPr>
      </w:pPr>
      <w:r>
        <w:rPr>
          <w:rFonts w:eastAsia="Calibri" w:cs="Arial"/>
          <w:b/>
          <w:bCs/>
        </w:rPr>
        <w:t>APPLICANT’S</w:t>
      </w:r>
      <w:r w:rsidR="009948E9" w:rsidRPr="002C3752">
        <w:rPr>
          <w:rFonts w:eastAsia="Calibri" w:cs="Arial"/>
          <w:b/>
          <w:bCs/>
        </w:rPr>
        <w:t xml:space="preserve"> ATTORNEYS</w:t>
      </w:r>
      <w:r w:rsidR="009948E9" w:rsidRPr="002C3752">
        <w:rPr>
          <w:rFonts w:eastAsia="Calibri" w:cs="Arial"/>
        </w:rPr>
        <w:tab/>
      </w:r>
      <w:r w:rsidR="009948E9" w:rsidRPr="002C3752">
        <w:rPr>
          <w:rFonts w:eastAsia="Calibri" w:cs="Arial"/>
        </w:rPr>
        <w:tab/>
      </w:r>
      <w:r w:rsidR="009948E9" w:rsidRPr="002C3752">
        <w:rPr>
          <w:rFonts w:eastAsia="Calibri" w:cs="Arial"/>
        </w:rPr>
        <w:tab/>
        <w:t xml:space="preserve">:  </w:t>
      </w:r>
      <w:r>
        <w:rPr>
          <w:rFonts w:eastAsia="Calibri" w:cs="Arial"/>
        </w:rPr>
        <w:t>Jason Michael Smith Incorporated</w:t>
      </w:r>
    </w:p>
    <w:p w14:paraId="69E3443E" w14:textId="77777777" w:rsidR="009948E9" w:rsidRPr="002C3752" w:rsidRDefault="009948E9" w:rsidP="009948E9">
      <w:pPr>
        <w:spacing w:after="200"/>
        <w:contextualSpacing/>
        <w:rPr>
          <w:rFonts w:eastAsia="Calibri" w:cs="Arial"/>
        </w:rPr>
      </w:pPr>
      <w:r w:rsidRPr="002C3752">
        <w:rPr>
          <w:rFonts w:eastAsia="Calibri" w:cs="Arial"/>
        </w:rPr>
        <w:tab/>
      </w:r>
      <w:r w:rsidRPr="002C3752">
        <w:rPr>
          <w:rFonts w:eastAsia="Calibri" w:cs="Arial"/>
        </w:rPr>
        <w:tab/>
      </w:r>
      <w:r w:rsidRPr="002C3752">
        <w:rPr>
          <w:rFonts w:eastAsia="Calibri" w:cs="Arial"/>
        </w:rPr>
        <w:tab/>
      </w:r>
      <w:r w:rsidRPr="002C3752">
        <w:rPr>
          <w:rFonts w:eastAsia="Calibri" w:cs="Arial"/>
        </w:rPr>
        <w:tab/>
      </w:r>
      <w:r w:rsidRPr="002C3752">
        <w:rPr>
          <w:rFonts w:eastAsia="Calibri" w:cs="Arial"/>
        </w:rPr>
        <w:tab/>
      </w:r>
      <w:r w:rsidRPr="002C3752">
        <w:rPr>
          <w:rFonts w:eastAsia="Calibri" w:cs="Arial"/>
        </w:rPr>
        <w:tab/>
      </w:r>
      <w:r w:rsidRPr="002C3752">
        <w:rPr>
          <w:rFonts w:eastAsia="Calibri" w:cs="Arial"/>
        </w:rPr>
        <w:tab/>
        <w:t xml:space="preserve">  </w:t>
      </w:r>
      <w:bookmarkStart w:id="3" w:name="_Hlk44520146"/>
    </w:p>
    <w:bookmarkEnd w:id="3"/>
    <w:p w14:paraId="4EBDE327" w14:textId="7873C6AC" w:rsidR="009948E9" w:rsidRPr="002C3752" w:rsidRDefault="00AD1D34" w:rsidP="009948E9">
      <w:pPr>
        <w:spacing w:after="200"/>
        <w:contextualSpacing/>
        <w:rPr>
          <w:rFonts w:eastAsia="Calibri" w:cs="Arial"/>
        </w:rPr>
      </w:pPr>
      <w:r>
        <w:rPr>
          <w:rFonts w:eastAsia="Calibri" w:cs="Arial"/>
          <w:b/>
        </w:rPr>
        <w:t xml:space="preserve">SECOND </w:t>
      </w:r>
      <w:r w:rsidR="00EC7CEF">
        <w:rPr>
          <w:rFonts w:eastAsia="Calibri" w:cs="Arial"/>
          <w:b/>
        </w:rPr>
        <w:t>RESPONDENT</w:t>
      </w:r>
      <w:r>
        <w:rPr>
          <w:rFonts w:eastAsia="Calibri" w:cs="Arial"/>
          <w:b/>
        </w:rPr>
        <w:tab/>
      </w:r>
      <w:r w:rsidR="009948E9" w:rsidRPr="002C3752">
        <w:rPr>
          <w:rFonts w:eastAsia="Calibri" w:cs="Arial"/>
          <w:b/>
        </w:rPr>
        <w:tab/>
      </w:r>
      <w:r w:rsidR="009948E9" w:rsidRPr="002C3752">
        <w:rPr>
          <w:rFonts w:eastAsia="Calibri" w:cs="Arial"/>
          <w:b/>
        </w:rPr>
        <w:tab/>
      </w:r>
      <w:r w:rsidR="009948E9" w:rsidRPr="002C3752">
        <w:rPr>
          <w:rFonts w:eastAsia="Calibri" w:cs="Arial"/>
          <w:b/>
        </w:rPr>
        <w:tab/>
      </w:r>
      <w:r w:rsidR="009948E9" w:rsidRPr="002C3752">
        <w:rPr>
          <w:rFonts w:eastAsia="Calibri" w:cs="Arial"/>
        </w:rPr>
        <w:t>:</w:t>
      </w:r>
      <w:r>
        <w:rPr>
          <w:rFonts w:eastAsia="Calibri" w:cs="Arial"/>
        </w:rPr>
        <w:t xml:space="preserve"> In person</w:t>
      </w:r>
      <w:r w:rsidR="009948E9" w:rsidRPr="002C3752">
        <w:rPr>
          <w:rFonts w:eastAsia="Calibri" w:cs="Arial"/>
        </w:rPr>
        <w:t xml:space="preserve"> </w:t>
      </w:r>
    </w:p>
    <w:p w14:paraId="65C026D5" w14:textId="77777777" w:rsidR="009948E9" w:rsidRPr="002C3752" w:rsidRDefault="009948E9" w:rsidP="009948E9">
      <w:pPr>
        <w:spacing w:after="200"/>
        <w:contextualSpacing/>
        <w:rPr>
          <w:rFonts w:eastAsia="Calibri" w:cs="Arial"/>
          <w:bCs/>
        </w:rPr>
      </w:pPr>
    </w:p>
    <w:p w14:paraId="0442C34B" w14:textId="77777777" w:rsidR="005A0267" w:rsidRPr="002C3752" w:rsidRDefault="005A0267" w:rsidP="005A0267">
      <w:pPr>
        <w:pStyle w:val="ListParagraph"/>
        <w:spacing w:line="240" w:lineRule="auto"/>
        <w:ind w:left="0"/>
        <w:rPr>
          <w:rFonts w:cs="Arial"/>
        </w:rPr>
      </w:pPr>
    </w:p>
    <w:p w14:paraId="1E563EBC" w14:textId="5BE58D27" w:rsidR="004E41B6" w:rsidRPr="002C3752" w:rsidRDefault="001E2697" w:rsidP="00A326BA">
      <w:pPr>
        <w:pStyle w:val="ListParagraph"/>
        <w:spacing w:line="240" w:lineRule="auto"/>
        <w:ind w:left="0"/>
        <w:rPr>
          <w:rFonts w:cs="Arial"/>
        </w:rPr>
      </w:pPr>
      <w:r w:rsidRPr="002C3752">
        <w:rPr>
          <w:rFonts w:cs="Arial"/>
        </w:rPr>
        <w:tab/>
      </w:r>
      <w:r w:rsidRPr="002C3752">
        <w:rPr>
          <w:rFonts w:cs="Arial"/>
        </w:rPr>
        <w:tab/>
      </w:r>
      <w:r w:rsidRPr="002C3752">
        <w:rPr>
          <w:rFonts w:cs="Arial"/>
        </w:rPr>
        <w:tab/>
      </w:r>
      <w:r w:rsidRPr="002C3752">
        <w:rPr>
          <w:rFonts w:cs="Arial"/>
        </w:rPr>
        <w:tab/>
      </w:r>
      <w:r w:rsidRPr="002C3752">
        <w:rPr>
          <w:rFonts w:cs="Arial"/>
        </w:rPr>
        <w:tab/>
      </w:r>
      <w:bookmarkEnd w:id="2"/>
    </w:p>
    <w:sectPr w:rsidR="004E41B6" w:rsidRPr="002C3752" w:rsidSect="00157274">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B94D4" w14:textId="77777777" w:rsidR="005008E4" w:rsidRDefault="005008E4">
      <w:r>
        <w:separator/>
      </w:r>
    </w:p>
  </w:endnote>
  <w:endnote w:type="continuationSeparator" w:id="0">
    <w:p w14:paraId="5CA68DFC" w14:textId="77777777" w:rsidR="005008E4" w:rsidRDefault="0050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WenQuanYi Micro Hei">
    <w:altName w:val="Times New Roman"/>
    <w:charset w:val="00"/>
    <w:family w:val="auto"/>
    <w:pitch w:val="variable"/>
  </w:font>
  <w:font w:name="Lohit Hindi">
    <w:altName w:val="Times New Roman"/>
    <w:charset w:val="00"/>
    <w:family w:val="auto"/>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69EDE" w14:textId="77777777" w:rsidR="005008E4" w:rsidRDefault="005008E4">
      <w:r>
        <w:separator/>
      </w:r>
    </w:p>
  </w:footnote>
  <w:footnote w:type="continuationSeparator" w:id="0">
    <w:p w14:paraId="0A7B05CC" w14:textId="77777777" w:rsidR="005008E4" w:rsidRDefault="005008E4">
      <w:r>
        <w:continuationSeparator/>
      </w:r>
    </w:p>
  </w:footnote>
  <w:footnote w:id="1">
    <w:p w14:paraId="6EB2C942" w14:textId="77777777" w:rsidR="006A2B57" w:rsidRDefault="006A2B57" w:rsidP="006A2B57">
      <w:pPr>
        <w:pStyle w:val="FootnoteText"/>
        <w:rPr>
          <w:lang w:val="en-US"/>
        </w:rPr>
      </w:pPr>
      <w:r>
        <w:rPr>
          <w:rStyle w:val="FootnoteReference"/>
        </w:rPr>
        <w:footnoteRef/>
      </w:r>
      <w:r>
        <w:t xml:space="preserve"> </w:t>
      </w:r>
      <w:r w:rsidRPr="002D0469">
        <w:t>Plascon-Evans Paints Ltd v Van Riebeeck Paints (Pty) Ltd, 1984 (3) SA 623 (A) at 634E to 635C</w:t>
      </w:r>
      <w:r>
        <w:rPr>
          <w:lang w:val="en-US"/>
        </w:rPr>
        <w:t xml:space="preserve">; </w:t>
      </w:r>
    </w:p>
    <w:p w14:paraId="5BDFD5C5" w14:textId="77777777" w:rsidR="006A2B57" w:rsidRPr="00BD4B24" w:rsidRDefault="006A2B57" w:rsidP="006A2B57">
      <w:pPr>
        <w:pStyle w:val="FootnoteText"/>
        <w:rPr>
          <w:lang w:val="en-US"/>
        </w:rPr>
      </w:pPr>
      <w:r>
        <w:rPr>
          <w:lang w:val="en-US"/>
        </w:rPr>
        <w:t xml:space="preserve">National Director of Public Prosecutions v Zuma 2009 (2) SA 277 (SCA) para [26] </w:t>
      </w:r>
    </w:p>
  </w:footnote>
  <w:footnote w:id="2">
    <w:p w14:paraId="2F3B8473" w14:textId="4749C325" w:rsidR="00C37EB8" w:rsidRDefault="00C37EB8">
      <w:pPr>
        <w:pStyle w:val="FootnoteText"/>
      </w:pPr>
      <w:r>
        <w:rPr>
          <w:rStyle w:val="FootnoteReference"/>
        </w:rPr>
        <w:footnoteRef/>
      </w:r>
      <w:r>
        <w:t xml:space="preserve"> </w:t>
      </w:r>
      <w:r w:rsidR="009057E4">
        <w:t>34 of 2005</w:t>
      </w:r>
    </w:p>
  </w:footnote>
  <w:footnote w:id="3">
    <w:p w14:paraId="101594D1" w14:textId="66E8B3F2" w:rsidR="008A64BC" w:rsidRPr="008A64BC" w:rsidRDefault="008A64BC">
      <w:pPr>
        <w:pStyle w:val="FootnoteText"/>
        <w:rPr>
          <w:lang w:val="en-GB"/>
        </w:rPr>
      </w:pPr>
      <w:r>
        <w:rPr>
          <w:rStyle w:val="FootnoteReference"/>
        </w:rPr>
        <w:footnoteRef/>
      </w:r>
      <w:r>
        <w:t xml:space="preserve"> </w:t>
      </w:r>
      <w:r>
        <w:rPr>
          <w:lang w:val="en-GB"/>
        </w:rPr>
        <w:t>Nkata v Firstrand Bank Ltd 2016 (4) SA 257 (CC).</w:t>
      </w:r>
    </w:p>
  </w:footnote>
  <w:footnote w:id="4">
    <w:p w14:paraId="65F9047C" w14:textId="10535535" w:rsidR="00157274" w:rsidRPr="00570B9A" w:rsidRDefault="00157274">
      <w:pPr>
        <w:pStyle w:val="FootnoteText"/>
        <w:rPr>
          <w:lang w:val="en-GB"/>
        </w:rPr>
      </w:pPr>
      <w:r>
        <w:rPr>
          <w:rStyle w:val="FootnoteReference"/>
        </w:rPr>
        <w:footnoteRef/>
      </w:r>
      <w:r>
        <w:t xml:space="preserve"> </w:t>
      </w:r>
      <w:r w:rsidR="00802E3B">
        <w:t>A</w:t>
      </w:r>
      <w:r>
        <w:rPr>
          <w:lang w:val="en-GB"/>
        </w:rPr>
        <w:t xml:space="preserve"> credit provider must still comply with Part C of Chapter 6 of the NCA if it wishes to invoke the more serious remedy of cancellation in terms of section 123</w:t>
      </w:r>
      <w:r w:rsidR="00802E3B">
        <w:rPr>
          <w:lang w:val="en-GB"/>
        </w:rPr>
        <w:t xml:space="preserve">. </w:t>
      </w:r>
      <w:r>
        <w:rPr>
          <w:lang w:val="en-GB"/>
        </w:rPr>
        <w:t xml:space="preserve"> Absa Bank Ltd v De Villiers and Another 2009 (5) SA 40 (C) at [12] and [13]; see also CM van Heerden &amp; JM Otto ‘Debt Enforcement in Terms of the National Credit Act’ 2007 </w:t>
      </w:r>
      <w:r>
        <w:rPr>
          <w:i/>
          <w:lang w:val="en-GB"/>
        </w:rPr>
        <w:t xml:space="preserve">TSAR </w:t>
      </w:r>
      <w:r>
        <w:rPr>
          <w:lang w:val="en-GB"/>
        </w:rPr>
        <w:t>655; Nedbank Ltd and Others v National Credit Regulator and Another 2011 (3) SA 581 (SCA) at [12]; Naidoo v Absa Ltd 2010 (4) SA 597 (SCA) at [8].</w:t>
      </w:r>
    </w:p>
  </w:footnote>
  <w:footnote w:id="5">
    <w:p w14:paraId="1549A98D" w14:textId="0A62BACD" w:rsidR="00157274" w:rsidRPr="00DB1541" w:rsidRDefault="00157274">
      <w:pPr>
        <w:pStyle w:val="FootnoteText"/>
        <w:rPr>
          <w:lang w:val="en-GB"/>
        </w:rPr>
      </w:pPr>
      <w:r>
        <w:rPr>
          <w:rStyle w:val="FootnoteReference"/>
        </w:rPr>
        <w:footnoteRef/>
      </w:r>
      <w:r>
        <w:t xml:space="preserve"> </w:t>
      </w:r>
      <w:r>
        <w:rPr>
          <w:lang w:val="en-GB"/>
        </w:rPr>
        <w:t>Noble v Laubscher 1905 TS 125 at 126; Alpha Properties (Pty) Ltd v Export Import Union (Pty) Ltd 1946 WLD 518 at 519 – 520; Thelma Court Flats (Pty) Ltd v McSwigin 1954 (3) SA 457 (C) at 462 C – D; Swart v Vosloo 1965 (1) SA 100 (A) at 105H; Truter v Smith 1971 (1) SA 453 (E).</w:t>
      </w:r>
    </w:p>
  </w:footnote>
  <w:footnote w:id="6">
    <w:p w14:paraId="4A3AC965" w14:textId="17C574C7" w:rsidR="00633D33" w:rsidRDefault="00633D33">
      <w:pPr>
        <w:pStyle w:val="FootnoteText"/>
      </w:pPr>
      <w:r>
        <w:rPr>
          <w:rStyle w:val="FootnoteReference"/>
        </w:rPr>
        <w:footnoteRef/>
      </w:r>
      <w:r>
        <w:t xml:space="preserve"> Hart v Pinetown Drive</w:t>
      </w:r>
      <w:r w:rsidR="00454262">
        <w:t>-</w:t>
      </w:r>
      <w:r>
        <w:t>In Cinema</w:t>
      </w:r>
      <w:r w:rsidR="00454262">
        <w:t xml:space="preserve"> (Pty) Ltd 1972 (1) SA 464(D)</w:t>
      </w:r>
    </w:p>
  </w:footnote>
  <w:footnote w:id="7">
    <w:p w14:paraId="16263645" w14:textId="77777777" w:rsidR="00FD47B7" w:rsidRPr="006B2043" w:rsidRDefault="00FD47B7" w:rsidP="00FD47B7">
      <w:pPr>
        <w:pStyle w:val="FootnoteText"/>
        <w:rPr>
          <w:lang w:val="en-US"/>
        </w:rPr>
      </w:pPr>
      <w:r>
        <w:rPr>
          <w:rStyle w:val="FootnoteReference"/>
        </w:rPr>
        <w:footnoteRef/>
      </w:r>
      <w:r>
        <w:t xml:space="preserve"> Wightman t/a </w:t>
      </w:r>
      <w:r w:rsidRPr="00BB0F29">
        <w:rPr>
          <w:lang w:val="af-ZA"/>
        </w:rPr>
        <w:t xml:space="preserve">J W </w:t>
      </w:r>
      <w:r>
        <w:rPr>
          <w:lang w:val="af-ZA"/>
        </w:rPr>
        <w:t>Construction</w:t>
      </w:r>
      <w:r w:rsidRPr="00BB0F29">
        <w:rPr>
          <w:lang w:val="af-ZA"/>
        </w:rPr>
        <w:t xml:space="preserve"> v Headfour (Pty) Ltd </w:t>
      </w:r>
      <w:r>
        <w:rPr>
          <w:lang w:val="af-ZA"/>
        </w:rPr>
        <w:t xml:space="preserve">and Another </w:t>
      </w:r>
      <w:r w:rsidRPr="00BB0F29">
        <w:rPr>
          <w:lang w:val="af-ZA"/>
        </w:rPr>
        <w:t>2008 (3) SA 371(SCA)</w:t>
      </w:r>
      <w:r>
        <w:rPr>
          <w:lang w:val="en-US"/>
        </w:rPr>
        <w:t xml:space="preserve"> para [12]-[13]</w:t>
      </w:r>
    </w:p>
  </w:footnote>
  <w:footnote w:id="8">
    <w:p w14:paraId="698686D8" w14:textId="1867B8B7" w:rsidR="00D22024" w:rsidRDefault="00D22024">
      <w:pPr>
        <w:pStyle w:val="FootnoteText"/>
        <w:rPr>
          <w:lang w:val="en-GB"/>
        </w:rPr>
      </w:pPr>
      <w:r>
        <w:rPr>
          <w:rStyle w:val="FootnoteReference"/>
        </w:rPr>
        <w:footnoteRef/>
      </w:r>
      <w:r>
        <w:t xml:space="preserve"> </w:t>
      </w:r>
      <w:r>
        <w:rPr>
          <w:lang w:val="en-GB"/>
        </w:rPr>
        <w:t xml:space="preserve">It is trite to state that the requirements for a final interdict are as follows (see in this regard D E Van Loggerenberg </w:t>
      </w:r>
      <w:r>
        <w:rPr>
          <w:i/>
          <w:lang w:val="en-GB"/>
        </w:rPr>
        <w:t xml:space="preserve">Erasmus:  Superior Court Practice </w:t>
      </w:r>
      <w:r>
        <w:rPr>
          <w:lang w:val="en-GB"/>
        </w:rPr>
        <w:t>(E – Publication) Appendix D6 at RS16, 2021, D6 – 13):</w:t>
      </w:r>
    </w:p>
    <w:p w14:paraId="5E260D3C" w14:textId="77777777" w:rsidR="00545308" w:rsidRDefault="00545308">
      <w:pPr>
        <w:pStyle w:val="FootnoteText"/>
        <w:rPr>
          <w:lang w:val="en-GB"/>
        </w:rPr>
      </w:pPr>
    </w:p>
    <w:p w14:paraId="0DA7B5F1" w14:textId="767287A2" w:rsidR="00D22024" w:rsidRDefault="002172F9" w:rsidP="002172F9">
      <w:pPr>
        <w:pStyle w:val="FootnoteText"/>
        <w:spacing w:line="360" w:lineRule="auto"/>
        <w:ind w:left="720" w:hanging="720"/>
        <w:rPr>
          <w:lang w:val="en-GB"/>
        </w:rPr>
      </w:pPr>
      <w:r>
        <w:rPr>
          <w:lang w:val="en-GB"/>
        </w:rPr>
        <w:t>a)</w:t>
      </w:r>
      <w:r>
        <w:rPr>
          <w:lang w:val="en-GB"/>
        </w:rPr>
        <w:tab/>
      </w:r>
      <w:r w:rsidR="00D22024">
        <w:rPr>
          <w:lang w:val="en-GB"/>
        </w:rPr>
        <w:t>A clear right on the part of the applicant.</w:t>
      </w:r>
    </w:p>
    <w:p w14:paraId="50011DDA" w14:textId="4544AB75" w:rsidR="00D22024" w:rsidRDefault="002172F9" w:rsidP="002172F9">
      <w:pPr>
        <w:pStyle w:val="FootnoteText"/>
        <w:spacing w:line="360" w:lineRule="auto"/>
        <w:ind w:left="720" w:hanging="720"/>
        <w:rPr>
          <w:lang w:val="en-GB"/>
        </w:rPr>
      </w:pPr>
      <w:r>
        <w:rPr>
          <w:lang w:val="en-GB"/>
        </w:rPr>
        <w:t>b)</w:t>
      </w:r>
      <w:r>
        <w:rPr>
          <w:lang w:val="en-GB"/>
        </w:rPr>
        <w:tab/>
      </w:r>
      <w:r w:rsidR="00D22024">
        <w:rPr>
          <w:lang w:val="en-GB"/>
        </w:rPr>
        <w:t>An injury actually committed or reasonably apprehended.</w:t>
      </w:r>
    </w:p>
    <w:p w14:paraId="77555843" w14:textId="6CB3B571" w:rsidR="00D22024" w:rsidRPr="00D22024" w:rsidRDefault="002172F9" w:rsidP="002172F9">
      <w:pPr>
        <w:pStyle w:val="FootnoteText"/>
        <w:spacing w:line="360" w:lineRule="auto"/>
        <w:ind w:left="720" w:hanging="720"/>
        <w:rPr>
          <w:lang w:val="en-GB"/>
        </w:rPr>
      </w:pPr>
      <w:r w:rsidRPr="00D22024">
        <w:rPr>
          <w:lang w:val="en-GB"/>
        </w:rPr>
        <w:t>c)</w:t>
      </w:r>
      <w:r w:rsidRPr="00D22024">
        <w:rPr>
          <w:lang w:val="en-GB"/>
        </w:rPr>
        <w:tab/>
      </w:r>
      <w:r w:rsidR="00D22024">
        <w:rPr>
          <w:lang w:val="en-GB"/>
        </w:rPr>
        <w:t>The absence of any other</w:t>
      </w:r>
      <w:r w:rsidR="00545308">
        <w:rPr>
          <w:lang w:val="en-GB"/>
        </w:rPr>
        <w:t xml:space="preserve"> satisfactory remedy. </w:t>
      </w:r>
    </w:p>
  </w:footnote>
  <w:footnote w:id="9">
    <w:p w14:paraId="247F76BC" w14:textId="77777777" w:rsidR="00D93AAA" w:rsidRPr="00545308" w:rsidRDefault="00D93AAA" w:rsidP="00D93AAA">
      <w:pPr>
        <w:pStyle w:val="FootnoteText"/>
        <w:rPr>
          <w:lang w:val="en-GB"/>
        </w:rPr>
      </w:pPr>
      <w:r>
        <w:rPr>
          <w:rStyle w:val="FootnoteReference"/>
        </w:rPr>
        <w:footnoteRef/>
      </w:r>
      <w:r>
        <w:t xml:space="preserve"> </w:t>
      </w:r>
      <w:r>
        <w:rPr>
          <w:lang w:val="en-GB"/>
        </w:rPr>
        <w:t xml:space="preserve">Erasmus v Afrikander Propriety Mines Ltd 1976 (1) SA 950 (W); UDC Bank Ltd v Seacat Leasing and Finance Co (Pty) Ltd 1979 (4) SA 682 (T) at 695 D – 696 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EC40" w14:textId="0D5274E2" w:rsidR="00157274" w:rsidRDefault="00157274">
    <w:pPr>
      <w:pStyle w:val="Header"/>
      <w:jc w:val="right"/>
    </w:pPr>
    <w:r>
      <w:t xml:space="preserve">Page </w:t>
    </w:r>
    <w:r>
      <w:fldChar w:fldCharType="begin"/>
    </w:r>
    <w:r>
      <w:instrText xml:space="preserve"> PAGE   \* MERGEFORMAT </w:instrText>
    </w:r>
    <w:r>
      <w:fldChar w:fldCharType="separate"/>
    </w:r>
    <w:r w:rsidR="002172F9">
      <w:rPr>
        <w:noProof/>
      </w:rPr>
      <w:t>2</w:t>
    </w:r>
    <w:r>
      <w:rPr>
        <w:noProof/>
      </w:rPr>
      <w:fldChar w:fldCharType="end"/>
    </w:r>
  </w:p>
  <w:p w14:paraId="0BA12F91" w14:textId="77777777" w:rsidR="00157274" w:rsidRDefault="00157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4A851AE"/>
    <w:lvl w:ilvl="0">
      <w:start w:val="1"/>
      <w:numFmt w:val="decimal"/>
      <w:pStyle w:val="Heading1"/>
      <w:lvlText w:val="%1."/>
      <w:lvlJc w:val="left"/>
      <w:pPr>
        <w:tabs>
          <w:tab w:val="num" w:pos="0"/>
        </w:tabs>
        <w:ind w:left="720" w:hanging="720"/>
      </w:pPr>
      <w:rPr>
        <w:rFonts w:ascii="Arial" w:hAnsi="Arial" w:hint="default"/>
        <w:b w:val="0"/>
        <w:i w:val="0"/>
        <w:sz w:val="24"/>
        <w:szCs w:val="24"/>
      </w:rPr>
    </w:lvl>
    <w:lvl w:ilvl="1">
      <w:start w:val="1"/>
      <w:numFmt w:val="decimal"/>
      <w:pStyle w:val="Heading2"/>
      <w:lvlText w:val="%1.%2"/>
      <w:lvlJc w:val="left"/>
      <w:pPr>
        <w:tabs>
          <w:tab w:val="num" w:pos="1644"/>
        </w:tabs>
        <w:ind w:left="1644" w:hanging="924"/>
      </w:pPr>
      <w:rPr>
        <w:rFonts w:ascii="Arial" w:hAnsi="Arial" w:hint="default"/>
        <w:b w:val="0"/>
        <w:i w:val="0"/>
        <w:sz w:val="24"/>
        <w:szCs w:val="24"/>
      </w:rPr>
    </w:lvl>
    <w:lvl w:ilvl="2">
      <w:start w:val="1"/>
      <w:numFmt w:val="decimal"/>
      <w:pStyle w:val="Heading3"/>
      <w:lvlText w:val="%1.%2.%3"/>
      <w:lvlJc w:val="left"/>
      <w:pPr>
        <w:tabs>
          <w:tab w:val="num" w:pos="2608"/>
        </w:tabs>
        <w:ind w:left="2608" w:hanging="1020"/>
      </w:pPr>
      <w:rPr>
        <w:rFonts w:ascii="Arial" w:hAnsi="Arial" w:hint="default"/>
        <w:b w:val="0"/>
        <w:i w:val="0"/>
        <w:sz w:val="24"/>
        <w:szCs w:val="24"/>
      </w:rPr>
    </w:lvl>
    <w:lvl w:ilvl="3">
      <w:start w:val="1"/>
      <w:numFmt w:val="decimal"/>
      <w:pStyle w:val="Heading4"/>
      <w:lvlText w:val="%1.%2.%3.%4"/>
      <w:lvlJc w:val="left"/>
      <w:pPr>
        <w:tabs>
          <w:tab w:val="num" w:pos="3402"/>
        </w:tabs>
        <w:ind w:left="3402" w:hanging="850"/>
      </w:pPr>
      <w:rPr>
        <w:rFonts w:ascii="Arial" w:hAnsi="Arial" w:hint="default"/>
        <w:b w:val="0"/>
        <w:i w:val="0"/>
        <w:sz w:val="24"/>
        <w:szCs w:val="24"/>
      </w:rPr>
    </w:lvl>
    <w:lvl w:ilvl="4">
      <w:start w:val="1"/>
      <w:numFmt w:val="decimal"/>
      <w:pStyle w:val="Heading5"/>
      <w:lvlText w:val="%1.%2.%3.%4.%5"/>
      <w:lvlJc w:val="left"/>
      <w:pPr>
        <w:tabs>
          <w:tab w:val="num" w:pos="3969"/>
        </w:tabs>
        <w:ind w:left="3969" w:hanging="567"/>
      </w:pPr>
      <w:rPr>
        <w:rFonts w:ascii="Arial" w:hAnsi="Arial" w:hint="default"/>
        <w:b w:val="0"/>
        <w:i w:val="0"/>
        <w:sz w:val="24"/>
        <w:szCs w:val="24"/>
      </w:rPr>
    </w:lvl>
    <w:lvl w:ilvl="5">
      <w:start w:val="1"/>
      <w:numFmt w:val="decimal"/>
      <w:lvlText w:val="%1.%2.%3.%4.%5.%6"/>
      <w:lvlJc w:val="left"/>
      <w:pPr>
        <w:tabs>
          <w:tab w:val="num" w:pos="1152"/>
        </w:tabs>
        <w:ind w:left="1152" w:hanging="1152"/>
      </w:pPr>
      <w:rPr>
        <w:rFonts w:ascii="Arial" w:hAnsi="Arial" w:hint="default"/>
        <w:b w:val="0"/>
        <w:i w:val="0"/>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09769C"/>
    <w:multiLevelType w:val="multilevel"/>
    <w:tmpl w:val="079AF4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5C2C20"/>
    <w:multiLevelType w:val="multilevel"/>
    <w:tmpl w:val="8978462E"/>
    <w:lvl w:ilvl="0">
      <w:start w:val="1"/>
      <w:numFmt w:val="decimal"/>
      <w:pStyle w:val="Level1"/>
      <w:lvlText w:val="%1."/>
      <w:lvlJc w:val="left"/>
      <w:pPr>
        <w:ind w:left="567" w:hanging="567"/>
      </w:pPr>
      <w:rPr>
        <w:rFonts w:asciiTheme="majorHAnsi" w:hAnsiTheme="majorHAnsi" w:cstheme="majorHAnsi" w:hint="default"/>
        <w:b w:val="0"/>
        <w:i w:val="0"/>
        <w:sz w:val="26"/>
        <w:szCs w:val="26"/>
      </w:rPr>
    </w:lvl>
    <w:lvl w:ilvl="1">
      <w:start w:val="1"/>
      <w:numFmt w:val="decimal"/>
      <w:pStyle w:val="Level2"/>
      <w:lvlText w:val="%1.%2."/>
      <w:lvlJc w:val="left"/>
      <w:pPr>
        <w:ind w:left="1134" w:hanging="1134"/>
      </w:pPr>
      <w:rPr>
        <w:rFonts w:asciiTheme="majorHAnsi" w:hAnsiTheme="majorHAnsi" w:cstheme="majorHAnsi" w:hint="default"/>
        <w:b w:val="0"/>
        <w:sz w:val="26"/>
        <w:szCs w:val="26"/>
      </w:rPr>
    </w:lvl>
    <w:lvl w:ilvl="2">
      <w:start w:val="1"/>
      <w:numFmt w:val="decimal"/>
      <w:pStyle w:val="Level3"/>
      <w:lvlText w:val="%1.%2.%3."/>
      <w:lvlJc w:val="left"/>
      <w:pPr>
        <w:ind w:left="1701" w:hanging="1701"/>
      </w:pPr>
      <w:rPr>
        <w:b w:val="0"/>
        <w:i w:val="0"/>
        <w:sz w:val="20"/>
        <w:szCs w:val="20"/>
      </w:rPr>
    </w:lvl>
    <w:lvl w:ilvl="3">
      <w:start w:val="1"/>
      <w:numFmt w:val="decimal"/>
      <w:pStyle w:val="Level4"/>
      <w:lvlText w:val="%1.%2.%3.%4."/>
      <w:lvlJc w:val="left"/>
      <w:pPr>
        <w:ind w:left="1440" w:hanging="1080"/>
      </w:pPr>
      <w:rPr>
        <w:sz w:val="20"/>
        <w:szCs w:val="20"/>
      </w:rPr>
    </w:lvl>
    <w:lvl w:ilvl="4">
      <w:start w:val="1"/>
      <w:numFmt w:val="lowerLetter"/>
      <w:lvlText w:val="%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nsid w:val="0C193B46"/>
    <w:multiLevelType w:val="hybridMultilevel"/>
    <w:tmpl w:val="47CE306E"/>
    <w:lvl w:ilvl="0" w:tplc="FAD0B4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0B6DFB"/>
    <w:multiLevelType w:val="hybridMultilevel"/>
    <w:tmpl w:val="2DC67F4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FCE666A"/>
    <w:multiLevelType w:val="multilevel"/>
    <w:tmpl w:val="9FAE4E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EC32EAB"/>
    <w:multiLevelType w:val="multilevel"/>
    <w:tmpl w:val="C9BCDF2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247"/>
        </w:tabs>
        <w:ind w:left="1247" w:hanging="680"/>
      </w:pPr>
      <w:rPr>
        <w:rFonts w:hint="default"/>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7C532D5"/>
    <w:multiLevelType w:val="multilevel"/>
    <w:tmpl w:val="98440AF0"/>
    <w:lvl w:ilvl="0">
      <w:start w:val="1"/>
      <w:numFmt w:val="decimal"/>
      <w:lvlText w:val="%1."/>
      <w:lvlJc w:val="left"/>
      <w:pPr>
        <w:ind w:left="360" w:hanging="360"/>
      </w:pPr>
      <w:rPr>
        <w:i w:val="0"/>
        <w:iCs w:val="0"/>
      </w:rPr>
    </w:lvl>
    <w:lvl w:ilvl="1">
      <w:start w:val="1"/>
      <w:numFmt w:val="decimal"/>
      <w:pStyle w:val="level20"/>
      <w:lvlText w:val="%1.%2."/>
      <w:lvlJc w:val="left"/>
      <w:pPr>
        <w:ind w:left="792" w:hanging="432"/>
      </w:pPr>
      <w:rPr>
        <w:b w:val="0"/>
        <w:i w:val="0"/>
        <w:iCs w:val="0"/>
      </w:rPr>
    </w:lvl>
    <w:lvl w:ilvl="2">
      <w:start w:val="1"/>
      <w:numFmt w:val="decimal"/>
      <w:pStyle w:val="level40"/>
      <w:lvlText w:val="%1.%2.%3."/>
      <w:lvlJc w:val="left"/>
      <w:pPr>
        <w:ind w:left="1224" w:hanging="504"/>
      </w:pPr>
      <w:rPr>
        <w:b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05276C"/>
    <w:multiLevelType w:val="multilevel"/>
    <w:tmpl w:val="5E2C49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02873D5"/>
    <w:multiLevelType w:val="multilevel"/>
    <w:tmpl w:val="253E1CB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447462E1"/>
    <w:multiLevelType w:val="multilevel"/>
    <w:tmpl w:val="D64806E2"/>
    <w:lvl w:ilvl="0">
      <w:start w:val="1"/>
      <w:numFmt w:val="decimal"/>
      <w:lvlText w:val="%1"/>
      <w:lvlJc w:val="left"/>
      <w:pPr>
        <w:tabs>
          <w:tab w:val="num" w:pos="2970"/>
        </w:tabs>
        <w:ind w:left="3679" w:hanging="709"/>
      </w:pPr>
      <w:rPr>
        <w:rFonts w:hint="default"/>
      </w:rPr>
    </w:lvl>
    <w:lvl w:ilvl="1">
      <w:start w:val="1"/>
      <w:numFmt w:val="decimal"/>
      <w:lvlText w:val="%1.%2"/>
      <w:lvlJc w:val="left"/>
      <w:pPr>
        <w:tabs>
          <w:tab w:val="num" w:pos="4388"/>
        </w:tabs>
        <w:ind w:left="4388" w:hanging="709"/>
      </w:pPr>
      <w:rPr>
        <w:rFonts w:hint="default"/>
      </w:rPr>
    </w:lvl>
    <w:lvl w:ilvl="2">
      <w:start w:val="1"/>
      <w:numFmt w:val="decimal"/>
      <w:lvlText w:val="%1.%2.%3"/>
      <w:lvlJc w:val="left"/>
      <w:pPr>
        <w:tabs>
          <w:tab w:val="num" w:pos="5097"/>
        </w:tabs>
        <w:ind w:left="5097" w:hanging="709"/>
      </w:pPr>
      <w:rPr>
        <w:rFonts w:hint="default"/>
      </w:rPr>
    </w:lvl>
    <w:lvl w:ilvl="3">
      <w:start w:val="1"/>
      <w:numFmt w:val="decimal"/>
      <w:lvlText w:val="%4.1.1.1"/>
      <w:lvlJc w:val="left"/>
      <w:pPr>
        <w:tabs>
          <w:tab w:val="num" w:pos="6177"/>
        </w:tabs>
        <w:ind w:left="5806" w:hanging="709"/>
      </w:pPr>
      <w:rPr>
        <w:rFonts w:hint="default"/>
      </w:rPr>
    </w:lvl>
    <w:lvl w:ilvl="4">
      <w:start w:val="1"/>
      <w:numFmt w:val="none"/>
      <w:lvlText w:val="("/>
      <w:lvlJc w:val="left"/>
      <w:pPr>
        <w:tabs>
          <w:tab w:val="num" w:pos="6515"/>
        </w:tabs>
        <w:ind w:left="6515" w:hanging="709"/>
      </w:pPr>
      <w:rPr>
        <w:rFonts w:hint="default"/>
      </w:rPr>
    </w:lvl>
    <w:lvl w:ilvl="5">
      <w:start w:val="1"/>
      <w:numFmt w:val="none"/>
      <w:lvlText w:val=""/>
      <w:lvlJc w:val="left"/>
      <w:pPr>
        <w:tabs>
          <w:tab w:val="num" w:pos="7224"/>
        </w:tabs>
        <w:ind w:left="7224" w:hanging="709"/>
      </w:pPr>
      <w:rPr>
        <w:rFonts w:hint="default"/>
      </w:rPr>
    </w:lvl>
    <w:lvl w:ilvl="6">
      <w:start w:val="1"/>
      <w:numFmt w:val="none"/>
      <w:lvlText w:val=""/>
      <w:lvlJc w:val="left"/>
      <w:pPr>
        <w:tabs>
          <w:tab w:val="num" w:pos="7933"/>
        </w:tabs>
        <w:ind w:left="7933" w:hanging="709"/>
      </w:pPr>
      <w:rPr>
        <w:rFonts w:hint="default"/>
      </w:rPr>
    </w:lvl>
    <w:lvl w:ilvl="7">
      <w:start w:val="1"/>
      <w:numFmt w:val="none"/>
      <w:lvlText w:val=""/>
      <w:lvlJc w:val="left"/>
      <w:pPr>
        <w:tabs>
          <w:tab w:val="num" w:pos="8642"/>
        </w:tabs>
        <w:ind w:left="8642" w:hanging="709"/>
      </w:pPr>
      <w:rPr>
        <w:rFonts w:hint="default"/>
      </w:rPr>
    </w:lvl>
    <w:lvl w:ilvl="8">
      <w:start w:val="1"/>
      <w:numFmt w:val="none"/>
      <w:lvlText w:val=""/>
      <w:lvlJc w:val="left"/>
      <w:pPr>
        <w:tabs>
          <w:tab w:val="num" w:pos="9362"/>
        </w:tabs>
        <w:ind w:left="9362" w:hanging="720"/>
      </w:pPr>
      <w:rPr>
        <w:rFonts w:hint="default"/>
      </w:rPr>
    </w:lvl>
  </w:abstractNum>
  <w:abstractNum w:abstractNumId="11">
    <w:nsid w:val="58A73A84"/>
    <w:multiLevelType w:val="multilevel"/>
    <w:tmpl w:val="D99844A6"/>
    <w:lvl w:ilvl="0">
      <w:start w:val="1"/>
      <w:numFmt w:val="decimal"/>
      <w:pStyle w:val="level10"/>
      <w:lvlText w:val="%1."/>
      <w:lvlJc w:val="left"/>
      <w:pPr>
        <w:tabs>
          <w:tab w:val="num" w:pos="720"/>
        </w:tabs>
        <w:ind w:left="720" w:hanging="720"/>
      </w:pPr>
    </w:lvl>
    <w:lvl w:ilvl="1">
      <w:start w:val="1"/>
      <w:numFmt w:val="decimal"/>
      <w:lvlText w:val="%1.%2"/>
      <w:lvlJc w:val="left"/>
      <w:pPr>
        <w:tabs>
          <w:tab w:val="num" w:pos="1440"/>
        </w:tabs>
        <w:ind w:left="1440" w:hanging="1440"/>
      </w:pPr>
    </w:lvl>
    <w:lvl w:ilvl="2">
      <w:start w:val="1"/>
      <w:numFmt w:val="decimal"/>
      <w:pStyle w:val="level30"/>
      <w:lvlText w:val="%1.%2.%3"/>
      <w:lvlJc w:val="left"/>
      <w:pPr>
        <w:tabs>
          <w:tab w:val="num" w:pos="2160"/>
        </w:tabs>
        <w:ind w:left="2160" w:hanging="2160"/>
      </w:pPr>
    </w:lvl>
    <w:lvl w:ilvl="3">
      <w:start w:val="1"/>
      <w:numFmt w:val="decimal"/>
      <w:lvlText w:val="%1.%2.%3.%4"/>
      <w:lvlJc w:val="left"/>
      <w:pPr>
        <w:tabs>
          <w:tab w:val="num" w:pos="2880"/>
        </w:tabs>
        <w:ind w:left="2880" w:hanging="2880"/>
      </w:pPr>
    </w:lvl>
    <w:lvl w:ilvl="4">
      <w:start w:val="1"/>
      <w:numFmt w:val="decimal"/>
      <w:pStyle w:val="level5"/>
      <w:lvlText w:val="%1.%2.%3.%4.%5"/>
      <w:lvlJc w:val="left"/>
      <w:pPr>
        <w:tabs>
          <w:tab w:val="num" w:pos="3600"/>
        </w:tabs>
        <w:ind w:left="3600" w:hanging="3600"/>
      </w:pPr>
    </w:lvl>
    <w:lvl w:ilvl="5">
      <w:start w:val="1"/>
      <w:numFmt w:val="decimal"/>
      <w:pStyle w:val="level6"/>
      <w:lvlText w:val="%1.%2.%3.%4.%5.%6"/>
      <w:lvlJc w:val="left"/>
      <w:pPr>
        <w:tabs>
          <w:tab w:val="num" w:pos="4320"/>
        </w:tabs>
        <w:ind w:left="4320" w:hanging="4320"/>
      </w:pPr>
    </w:lvl>
    <w:lvl w:ilvl="6">
      <w:start w:val="1"/>
      <w:numFmt w:val="decimal"/>
      <w:pStyle w:val="level7"/>
      <w:lvlText w:val="%1.%2.%3.%4.%5.%6.%7"/>
      <w:lvlJc w:val="left"/>
      <w:pPr>
        <w:tabs>
          <w:tab w:val="num" w:pos="5040"/>
        </w:tabs>
        <w:ind w:left="5040" w:hanging="5040"/>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584"/>
        </w:tabs>
        <w:ind w:left="1584" w:hanging="1584"/>
      </w:pPr>
    </w:lvl>
  </w:abstractNum>
  <w:abstractNum w:abstractNumId="12">
    <w:nsid w:val="5E077CF7"/>
    <w:multiLevelType w:val="hybridMultilevel"/>
    <w:tmpl w:val="D5F813FA"/>
    <w:lvl w:ilvl="0" w:tplc="826CEC10">
      <w:start w:val="1"/>
      <w:numFmt w:val="upperLetter"/>
      <w:pStyle w:val="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A61A9B"/>
    <w:multiLevelType w:val="multilevel"/>
    <w:tmpl w:val="EE40C358"/>
    <w:lvl w:ilvl="0">
      <w:start w:val="1"/>
      <w:numFmt w:val="upperLetter"/>
      <w:lvlText w:val="%1."/>
      <w:lvlJc w:val="left"/>
      <w:pPr>
        <w:tabs>
          <w:tab w:val="num" w:pos="720"/>
        </w:tabs>
        <w:ind w:left="720" w:hanging="720"/>
      </w:pPr>
      <w:rPr>
        <w:rFonts w:ascii="Univers" w:hAnsi="Univers" w:hint="default"/>
        <w:b w:val="0"/>
        <w:i w:val="0"/>
        <w:sz w:val="24"/>
      </w:rPr>
    </w:lvl>
    <w:lvl w:ilvl="1">
      <w:start w:val="1"/>
      <w:numFmt w:val="decimal"/>
      <w:lvlText w:val="%1.%2"/>
      <w:lvlJc w:val="left"/>
      <w:pPr>
        <w:tabs>
          <w:tab w:val="num" w:pos="1440"/>
        </w:tabs>
        <w:ind w:left="1440" w:hanging="1440"/>
      </w:pPr>
    </w:lvl>
    <w:lvl w:ilvl="2">
      <w:start w:val="1"/>
      <w:numFmt w:val="decimal"/>
      <w:pStyle w:val="Clause4"/>
      <w:lvlText w:val="%1.%2.%3"/>
      <w:lvlJc w:val="left"/>
      <w:pPr>
        <w:tabs>
          <w:tab w:val="num" w:pos="2160"/>
        </w:tabs>
        <w:ind w:left="2160" w:hanging="2160"/>
      </w:pPr>
    </w:lvl>
    <w:lvl w:ilvl="3">
      <w:start w:val="1"/>
      <w:numFmt w:val="decimal"/>
      <w:pStyle w:val="Clause4"/>
      <w:lvlText w:val="%1.%2.%3.%4"/>
      <w:lvlJc w:val="left"/>
      <w:pPr>
        <w:tabs>
          <w:tab w:val="num" w:pos="2880"/>
        </w:tabs>
        <w:ind w:left="2880" w:hanging="2880"/>
      </w:pPr>
      <w:rPr>
        <w:rFonts w:ascii="Univers" w:hAnsi="Univer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3600" w:hanging="3600"/>
      </w:pPr>
    </w:lvl>
    <w:lvl w:ilvl="5">
      <w:start w:val="1"/>
      <w:numFmt w:val="decimal"/>
      <w:lvlText w:val="%1.%2.%3.%4.%5.%6"/>
      <w:lvlJc w:val="left"/>
      <w:pPr>
        <w:tabs>
          <w:tab w:val="num" w:pos="4320"/>
        </w:tabs>
        <w:ind w:left="4320" w:hanging="4320"/>
      </w:pPr>
    </w:lvl>
    <w:lvl w:ilvl="6">
      <w:start w:val="1"/>
      <w:numFmt w:val="decimal"/>
      <w:lvlText w:val="%1.%2.%3.%4.%5.%6.%7"/>
      <w:lvlJc w:val="left"/>
      <w:pPr>
        <w:tabs>
          <w:tab w:val="num" w:pos="5040"/>
        </w:tabs>
        <w:ind w:left="5040" w:hanging="5040"/>
      </w:pPr>
    </w:lvl>
    <w:lvl w:ilvl="7">
      <w:start w:val="1"/>
      <w:numFmt w:val="decimal"/>
      <w:lvlText w:val="%1.%2.%3.%4.%5.%6.%7.%8"/>
      <w:lvlJc w:val="left"/>
      <w:pPr>
        <w:tabs>
          <w:tab w:val="num" w:pos="5760"/>
        </w:tabs>
        <w:ind w:left="5760" w:hanging="5760"/>
      </w:pPr>
    </w:lvl>
    <w:lvl w:ilvl="8">
      <w:start w:val="1"/>
      <w:numFmt w:val="decimal"/>
      <w:lvlText w:val="%1.%2.%3.%4.%5.%6.%7.%8.%9"/>
      <w:lvlJc w:val="left"/>
      <w:pPr>
        <w:tabs>
          <w:tab w:val="num" w:pos="6480"/>
        </w:tabs>
        <w:ind w:left="6480" w:hanging="6480"/>
      </w:pPr>
    </w:lvl>
  </w:abstractNum>
  <w:abstractNum w:abstractNumId="14">
    <w:nsid w:val="64A61304"/>
    <w:multiLevelType w:val="multilevel"/>
    <w:tmpl w:val="104A3CB6"/>
    <w:lvl w:ilvl="0">
      <w:start w:val="1"/>
      <w:numFmt w:val="decimal"/>
      <w:pStyle w:val="WLGLevel1"/>
      <w:lvlText w:val="%1."/>
      <w:lvlJc w:val="left"/>
      <w:pPr>
        <w:tabs>
          <w:tab w:val="num" w:pos="648"/>
        </w:tabs>
        <w:ind w:left="648" w:hanging="648"/>
      </w:pPr>
      <w:rPr>
        <w:rFonts w:hint="default"/>
        <w:b w:val="0"/>
        <w:i w:val="0"/>
      </w:rPr>
    </w:lvl>
    <w:lvl w:ilvl="1">
      <w:start w:val="1"/>
      <w:numFmt w:val="decimal"/>
      <w:pStyle w:val="WLGLevel2"/>
      <w:lvlText w:val="%1.%2"/>
      <w:lvlJc w:val="left"/>
      <w:pPr>
        <w:tabs>
          <w:tab w:val="num" w:pos="1584"/>
        </w:tabs>
        <w:ind w:left="1584" w:hanging="936"/>
      </w:pPr>
      <w:rPr>
        <w:rFonts w:hint="default"/>
        <w:b w:val="0"/>
        <w:i w:val="0"/>
      </w:rPr>
    </w:lvl>
    <w:lvl w:ilvl="2">
      <w:start w:val="1"/>
      <w:numFmt w:val="decimal"/>
      <w:pStyle w:val="WLGLevel3"/>
      <w:lvlText w:val="%1.%2.%3"/>
      <w:lvlJc w:val="left"/>
      <w:pPr>
        <w:tabs>
          <w:tab w:val="num" w:pos="2664"/>
        </w:tabs>
        <w:ind w:left="2664" w:hanging="108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5">
    <w:nsid w:val="69AF1D25"/>
    <w:multiLevelType w:val="hybridMultilevel"/>
    <w:tmpl w:val="EA94C50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BD17F80"/>
    <w:multiLevelType w:val="hybridMultilevel"/>
    <w:tmpl w:val="48A8BF86"/>
    <w:lvl w:ilvl="0" w:tplc="605ABA1C">
      <w:start w:val="1"/>
      <w:numFmt w:val="decimal"/>
      <w:pStyle w:val="level1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1203586"/>
    <w:multiLevelType w:val="multilevel"/>
    <w:tmpl w:val="32B24A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4EC46C3"/>
    <w:multiLevelType w:val="multilevel"/>
    <w:tmpl w:val="DFB4A732"/>
    <w:lvl w:ilvl="0">
      <w:start w:val="1"/>
      <w:numFmt w:val="decimal"/>
      <w:lvlText w:val="%1."/>
      <w:lvlJc w:val="left"/>
      <w:pPr>
        <w:tabs>
          <w:tab w:val="num" w:pos="1021"/>
        </w:tabs>
        <w:ind w:left="1021" w:hanging="1021"/>
      </w:pPr>
      <w:rPr>
        <w:rFonts w:ascii="Arial" w:hAnsi="Arial" w:hint="default"/>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64C0496"/>
    <w:multiLevelType w:val="multilevel"/>
    <w:tmpl w:val="D6E00B6E"/>
    <w:lvl w:ilvl="0">
      <w:start w:val="1"/>
      <w:numFmt w:val="decimal"/>
      <w:pStyle w:val="ParaLv1"/>
      <w:lvlText w:val="%1."/>
      <w:lvlJc w:val="left"/>
      <w:pPr>
        <w:ind w:left="360" w:hanging="360"/>
      </w:pPr>
      <w:rPr>
        <w:b w:val="0"/>
      </w:rPr>
    </w:lvl>
    <w:lvl w:ilvl="1">
      <w:start w:val="1"/>
      <w:numFmt w:val="decimal"/>
      <w:pStyle w:val="ParaLv2"/>
      <w:lvlText w:val="%1.%2."/>
      <w:lvlJc w:val="left"/>
      <w:pPr>
        <w:ind w:left="792" w:hanging="432"/>
      </w:pPr>
    </w:lvl>
    <w:lvl w:ilvl="2">
      <w:start w:val="1"/>
      <w:numFmt w:val="decimal"/>
      <w:pStyle w:val="ParaL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8"/>
  </w:num>
  <w:num w:numId="3">
    <w:abstractNumId w:val="1"/>
  </w:num>
  <w:num w:numId="4">
    <w:abstractNumId w:val="10"/>
  </w:num>
  <w:num w:numId="5">
    <w:abstractNumId w:val="18"/>
  </w:num>
  <w:num w:numId="6">
    <w:abstractNumId w:val="9"/>
  </w:num>
  <w:num w:numId="7">
    <w:abstractNumId w:val="5"/>
  </w:num>
  <w:num w:numId="8">
    <w:abstractNumId w:val="17"/>
  </w:num>
  <w:num w:numId="9">
    <w:abstractNumId w:val="0"/>
  </w:num>
  <w:num w:numId="10">
    <w:abstractNumId w:val="13"/>
  </w:num>
  <w:num w:numId="11">
    <w:abstractNumId w:val="11"/>
  </w:num>
  <w:num w:numId="12">
    <w:abstractNumId w:val="6"/>
  </w:num>
  <w:num w:numId="13">
    <w:abstractNumId w:val="14"/>
  </w:num>
  <w:num w:numId="14">
    <w:abstractNumId w:val="7"/>
  </w:num>
  <w:num w:numId="15">
    <w:abstractNumId w:val="2"/>
  </w:num>
  <w:num w:numId="16">
    <w:abstractNumId w:val="12"/>
  </w:num>
  <w:num w:numId="17">
    <w:abstractNumId w:val="19"/>
  </w:num>
  <w:num w:numId="18">
    <w:abstractNumId w:val="15"/>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97"/>
    <w:rsid w:val="000225BB"/>
    <w:rsid w:val="00030F7F"/>
    <w:rsid w:val="00045763"/>
    <w:rsid w:val="000464BE"/>
    <w:rsid w:val="000513BF"/>
    <w:rsid w:val="000B66AC"/>
    <w:rsid w:val="000C120F"/>
    <w:rsid w:val="00113742"/>
    <w:rsid w:val="00113EEB"/>
    <w:rsid w:val="00157274"/>
    <w:rsid w:val="00167A0B"/>
    <w:rsid w:val="001E2697"/>
    <w:rsid w:val="002172F9"/>
    <w:rsid w:val="002339C6"/>
    <w:rsid w:val="00237065"/>
    <w:rsid w:val="00245037"/>
    <w:rsid w:val="002C3752"/>
    <w:rsid w:val="002D7454"/>
    <w:rsid w:val="002F5BC6"/>
    <w:rsid w:val="00323F4C"/>
    <w:rsid w:val="00335FBF"/>
    <w:rsid w:val="00345397"/>
    <w:rsid w:val="00366B13"/>
    <w:rsid w:val="00383D1C"/>
    <w:rsid w:val="0039420D"/>
    <w:rsid w:val="003E5E85"/>
    <w:rsid w:val="00407B14"/>
    <w:rsid w:val="0044622C"/>
    <w:rsid w:val="00454262"/>
    <w:rsid w:val="00455044"/>
    <w:rsid w:val="00456FA9"/>
    <w:rsid w:val="004D55A8"/>
    <w:rsid w:val="004E41B6"/>
    <w:rsid w:val="004E44ED"/>
    <w:rsid w:val="005008E4"/>
    <w:rsid w:val="00503815"/>
    <w:rsid w:val="00514809"/>
    <w:rsid w:val="00545308"/>
    <w:rsid w:val="00566777"/>
    <w:rsid w:val="00566A76"/>
    <w:rsid w:val="00570B9A"/>
    <w:rsid w:val="0057571A"/>
    <w:rsid w:val="00582B78"/>
    <w:rsid w:val="005847D4"/>
    <w:rsid w:val="00595286"/>
    <w:rsid w:val="005A0267"/>
    <w:rsid w:val="005A2434"/>
    <w:rsid w:val="005A2E08"/>
    <w:rsid w:val="005F52D5"/>
    <w:rsid w:val="006224E5"/>
    <w:rsid w:val="00633D33"/>
    <w:rsid w:val="00640CBD"/>
    <w:rsid w:val="00646EBC"/>
    <w:rsid w:val="006616E5"/>
    <w:rsid w:val="00674000"/>
    <w:rsid w:val="00675F19"/>
    <w:rsid w:val="006A2B57"/>
    <w:rsid w:val="00732694"/>
    <w:rsid w:val="0074233A"/>
    <w:rsid w:val="007703BA"/>
    <w:rsid w:val="00772D6C"/>
    <w:rsid w:val="00784EEB"/>
    <w:rsid w:val="007A7254"/>
    <w:rsid w:val="007B1DB7"/>
    <w:rsid w:val="00802E3B"/>
    <w:rsid w:val="00880CB2"/>
    <w:rsid w:val="008A64BC"/>
    <w:rsid w:val="008B76C3"/>
    <w:rsid w:val="008C2A94"/>
    <w:rsid w:val="008E322F"/>
    <w:rsid w:val="00900064"/>
    <w:rsid w:val="009057E4"/>
    <w:rsid w:val="00951327"/>
    <w:rsid w:val="009845B6"/>
    <w:rsid w:val="009948E9"/>
    <w:rsid w:val="009B4A5F"/>
    <w:rsid w:val="009C580C"/>
    <w:rsid w:val="009E11DF"/>
    <w:rsid w:val="009E5EA6"/>
    <w:rsid w:val="009E66B0"/>
    <w:rsid w:val="00A15CDE"/>
    <w:rsid w:val="00A326BA"/>
    <w:rsid w:val="00A91483"/>
    <w:rsid w:val="00AD1D34"/>
    <w:rsid w:val="00AF401B"/>
    <w:rsid w:val="00B2770A"/>
    <w:rsid w:val="00B40203"/>
    <w:rsid w:val="00B56867"/>
    <w:rsid w:val="00B767A4"/>
    <w:rsid w:val="00B948AF"/>
    <w:rsid w:val="00BA26F8"/>
    <w:rsid w:val="00BD0626"/>
    <w:rsid w:val="00BD17F1"/>
    <w:rsid w:val="00BE334B"/>
    <w:rsid w:val="00BE3AA8"/>
    <w:rsid w:val="00C03CD3"/>
    <w:rsid w:val="00C15987"/>
    <w:rsid w:val="00C37EB8"/>
    <w:rsid w:val="00C508DD"/>
    <w:rsid w:val="00C83782"/>
    <w:rsid w:val="00C84472"/>
    <w:rsid w:val="00C853FE"/>
    <w:rsid w:val="00C94A13"/>
    <w:rsid w:val="00CF40C4"/>
    <w:rsid w:val="00D06735"/>
    <w:rsid w:val="00D172EA"/>
    <w:rsid w:val="00D22024"/>
    <w:rsid w:val="00D306B3"/>
    <w:rsid w:val="00D5427D"/>
    <w:rsid w:val="00D5483A"/>
    <w:rsid w:val="00D9312E"/>
    <w:rsid w:val="00D93AAA"/>
    <w:rsid w:val="00DB1541"/>
    <w:rsid w:val="00DC175A"/>
    <w:rsid w:val="00DD3104"/>
    <w:rsid w:val="00E003AE"/>
    <w:rsid w:val="00E0336F"/>
    <w:rsid w:val="00E35A5B"/>
    <w:rsid w:val="00E36A52"/>
    <w:rsid w:val="00EA68E0"/>
    <w:rsid w:val="00EC7CEF"/>
    <w:rsid w:val="00ED2AC9"/>
    <w:rsid w:val="00F44AF4"/>
    <w:rsid w:val="00F86189"/>
    <w:rsid w:val="00FB11C7"/>
    <w:rsid w:val="00FD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F172"/>
  <w15:chartTrackingRefBased/>
  <w15:docId w15:val="{524ABE92-806E-43CA-BCB0-5264B30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97"/>
    <w:pPr>
      <w:spacing w:after="0" w:line="240" w:lineRule="auto"/>
    </w:pPr>
    <w:rPr>
      <w:rFonts w:ascii="Arial" w:eastAsia="Times New Roman" w:hAnsi="Arial" w:cs="Times New Roman"/>
      <w:kern w:val="28"/>
      <w:sz w:val="24"/>
      <w:szCs w:val="24"/>
      <w:lang w:val="en-ZA" w:eastAsia="en-GB"/>
    </w:rPr>
  </w:style>
  <w:style w:type="paragraph" w:styleId="Heading1">
    <w:name w:val="heading 1"/>
    <w:basedOn w:val="Normal"/>
    <w:next w:val="Heading2"/>
    <w:link w:val="Heading1Char"/>
    <w:qFormat/>
    <w:rsid w:val="002C3752"/>
    <w:pPr>
      <w:numPr>
        <w:numId w:val="9"/>
      </w:numPr>
      <w:spacing w:before="240" w:after="240" w:line="480" w:lineRule="auto"/>
      <w:jc w:val="both"/>
      <w:outlineLvl w:val="0"/>
    </w:pPr>
    <w:rPr>
      <w:szCs w:val="20"/>
      <w:lang w:val="en-GB" w:eastAsia="en-US"/>
    </w:rPr>
  </w:style>
  <w:style w:type="paragraph" w:styleId="Heading2">
    <w:name w:val="heading 2"/>
    <w:basedOn w:val="Normal"/>
    <w:link w:val="Heading2Char"/>
    <w:qFormat/>
    <w:rsid w:val="002C3752"/>
    <w:pPr>
      <w:numPr>
        <w:ilvl w:val="1"/>
        <w:numId w:val="9"/>
      </w:numPr>
      <w:spacing w:before="240" w:after="240" w:line="480" w:lineRule="auto"/>
      <w:jc w:val="both"/>
      <w:outlineLvl w:val="1"/>
    </w:pPr>
    <w:rPr>
      <w:kern w:val="0"/>
      <w:szCs w:val="20"/>
      <w:lang w:eastAsia="en-US"/>
    </w:rPr>
  </w:style>
  <w:style w:type="paragraph" w:styleId="Heading3">
    <w:name w:val="heading 3"/>
    <w:basedOn w:val="Normal"/>
    <w:link w:val="Heading3Char"/>
    <w:qFormat/>
    <w:rsid w:val="002C3752"/>
    <w:pPr>
      <w:numPr>
        <w:ilvl w:val="2"/>
        <w:numId w:val="9"/>
      </w:numPr>
      <w:spacing w:before="240" w:after="240" w:line="480" w:lineRule="auto"/>
      <w:jc w:val="both"/>
      <w:outlineLvl w:val="2"/>
    </w:pPr>
    <w:rPr>
      <w:kern w:val="0"/>
      <w:szCs w:val="20"/>
      <w:lang w:val="en-GB" w:eastAsia="en-US"/>
    </w:rPr>
  </w:style>
  <w:style w:type="paragraph" w:styleId="Heading4">
    <w:name w:val="heading 4"/>
    <w:basedOn w:val="Normal"/>
    <w:link w:val="Heading4Char"/>
    <w:qFormat/>
    <w:rsid w:val="002C3752"/>
    <w:pPr>
      <w:numPr>
        <w:ilvl w:val="3"/>
        <w:numId w:val="9"/>
      </w:numPr>
      <w:spacing w:before="240" w:after="240" w:line="480" w:lineRule="auto"/>
      <w:jc w:val="both"/>
      <w:outlineLvl w:val="3"/>
    </w:pPr>
    <w:rPr>
      <w:kern w:val="0"/>
      <w:szCs w:val="20"/>
      <w:lang w:val="en-GB" w:eastAsia="en-US"/>
    </w:rPr>
  </w:style>
  <w:style w:type="paragraph" w:styleId="Heading5">
    <w:name w:val="heading 5"/>
    <w:basedOn w:val="Normal"/>
    <w:link w:val="Heading5Char"/>
    <w:qFormat/>
    <w:rsid w:val="002C3752"/>
    <w:pPr>
      <w:numPr>
        <w:ilvl w:val="4"/>
        <w:numId w:val="9"/>
      </w:numPr>
      <w:spacing w:before="240" w:after="240" w:line="480" w:lineRule="auto"/>
      <w:jc w:val="both"/>
      <w:outlineLvl w:val="4"/>
    </w:pPr>
    <w:rPr>
      <w:kern w:val="0"/>
      <w:szCs w:val="20"/>
      <w:lang w:val="en-GB" w:eastAsia="en-US"/>
    </w:rPr>
  </w:style>
  <w:style w:type="paragraph" w:styleId="Heading6">
    <w:name w:val="heading 6"/>
    <w:basedOn w:val="Normal"/>
    <w:link w:val="Heading6Char"/>
    <w:qFormat/>
    <w:rsid w:val="002C3752"/>
    <w:pPr>
      <w:spacing w:before="240" w:after="60" w:line="480" w:lineRule="auto"/>
      <w:jc w:val="both"/>
      <w:outlineLvl w:val="5"/>
    </w:pPr>
    <w:rPr>
      <w:i/>
      <w:kern w:val="0"/>
      <w:szCs w:val="20"/>
      <w:lang w:val="en-GB" w:eastAsia="en-US"/>
    </w:rPr>
  </w:style>
  <w:style w:type="paragraph" w:styleId="Heading7">
    <w:name w:val="heading 7"/>
    <w:basedOn w:val="Normal"/>
    <w:link w:val="Heading7Char"/>
    <w:qFormat/>
    <w:rsid w:val="002C3752"/>
    <w:pPr>
      <w:spacing w:before="240" w:after="60" w:line="480" w:lineRule="auto"/>
      <w:jc w:val="both"/>
      <w:outlineLvl w:val="6"/>
    </w:pPr>
    <w:rPr>
      <w:kern w:val="0"/>
      <w:szCs w:val="20"/>
      <w:lang w:val="en-GB" w:eastAsia="en-US"/>
    </w:rPr>
  </w:style>
  <w:style w:type="paragraph" w:styleId="Heading8">
    <w:name w:val="heading 8"/>
    <w:basedOn w:val="Normal"/>
    <w:link w:val="Heading8Char"/>
    <w:qFormat/>
    <w:rsid w:val="002C3752"/>
    <w:pPr>
      <w:spacing w:before="240" w:after="60" w:line="480" w:lineRule="auto"/>
      <w:jc w:val="both"/>
      <w:outlineLvl w:val="7"/>
    </w:pPr>
    <w:rPr>
      <w:i/>
      <w:kern w:val="0"/>
      <w:szCs w:val="20"/>
      <w:lang w:val="en-GB" w:eastAsia="en-US"/>
    </w:rPr>
  </w:style>
  <w:style w:type="paragraph" w:styleId="Heading9">
    <w:name w:val="heading 9"/>
    <w:basedOn w:val="Normal"/>
    <w:next w:val="Normal"/>
    <w:link w:val="Heading9Char"/>
    <w:qFormat/>
    <w:rsid w:val="002C3752"/>
    <w:pPr>
      <w:spacing w:before="240" w:after="60" w:line="480" w:lineRule="auto"/>
      <w:jc w:val="both"/>
      <w:outlineLvl w:val="8"/>
    </w:pPr>
    <w:rPr>
      <w:i/>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2697"/>
    <w:pPr>
      <w:tabs>
        <w:tab w:val="center" w:pos="4680"/>
        <w:tab w:val="right" w:pos="9360"/>
      </w:tabs>
    </w:pPr>
  </w:style>
  <w:style w:type="character" w:customStyle="1" w:styleId="HeaderChar">
    <w:name w:val="Header Char"/>
    <w:basedOn w:val="DefaultParagraphFont"/>
    <w:link w:val="Header"/>
    <w:rsid w:val="001E2697"/>
    <w:rPr>
      <w:rFonts w:ascii="Arial" w:eastAsia="Times New Roman" w:hAnsi="Arial" w:cs="Times New Roman"/>
      <w:kern w:val="28"/>
      <w:sz w:val="24"/>
      <w:szCs w:val="24"/>
      <w:lang w:val="en-ZA" w:eastAsia="en-GB"/>
    </w:rPr>
  </w:style>
  <w:style w:type="paragraph" w:customStyle="1" w:styleId="Tramlines">
    <w:name w:val="Tramlines"/>
    <w:basedOn w:val="Normal"/>
    <w:next w:val="Normal"/>
    <w:rsid w:val="001E2697"/>
    <w:pPr>
      <w:widowControl w:val="0"/>
      <w:pBdr>
        <w:top w:val="single" w:sz="4" w:space="12" w:color="auto"/>
        <w:bottom w:val="single" w:sz="4" w:space="12" w:color="auto"/>
      </w:pBdr>
      <w:jc w:val="center"/>
    </w:pPr>
    <w:rPr>
      <w:b/>
      <w:kern w:val="0"/>
      <w:lang w:eastAsia="en-US"/>
    </w:rPr>
  </w:style>
  <w:style w:type="paragraph" w:styleId="ListParagraph">
    <w:name w:val="List Paragraph"/>
    <w:basedOn w:val="Normal"/>
    <w:link w:val="ListParagraphChar"/>
    <w:uiPriority w:val="34"/>
    <w:qFormat/>
    <w:rsid w:val="001E2697"/>
    <w:pPr>
      <w:spacing w:after="200" w:line="276" w:lineRule="auto"/>
      <w:ind w:left="720"/>
      <w:contextualSpacing/>
    </w:pPr>
    <w:rPr>
      <w:rFonts w:eastAsia="Calibri"/>
      <w:kern w:val="0"/>
      <w:szCs w:val="22"/>
      <w:lang w:eastAsia="en-US"/>
    </w:rPr>
  </w:style>
  <w:style w:type="paragraph" w:customStyle="1" w:styleId="level11">
    <w:name w:val="level1"/>
    <w:basedOn w:val="Normal"/>
    <w:rsid w:val="001E2697"/>
    <w:pPr>
      <w:numPr>
        <w:numId w:val="1"/>
      </w:numPr>
    </w:p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Footnote Text Char Char1 Char,fn,Char"/>
    <w:basedOn w:val="Normal"/>
    <w:link w:val="FootnoteTextChar"/>
    <w:unhideWhenUsed/>
    <w:qFormat/>
    <w:rsid w:val="00383D1C"/>
    <w:rPr>
      <w:sz w:val="20"/>
      <w:szCs w:val="20"/>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Char Char"/>
    <w:basedOn w:val="DefaultParagraphFont"/>
    <w:link w:val="FootnoteText"/>
    <w:rsid w:val="00383D1C"/>
    <w:rPr>
      <w:rFonts w:ascii="Arial" w:eastAsia="Times New Roman" w:hAnsi="Arial" w:cs="Times New Roman"/>
      <w:kern w:val="28"/>
      <w:sz w:val="20"/>
      <w:szCs w:val="20"/>
      <w:lang w:val="en-ZA" w:eastAsia="en-GB"/>
    </w:rPr>
  </w:style>
  <w:style w:type="character" w:styleId="FootnoteReference">
    <w:name w:val="footnote reference"/>
    <w:aliases w:val="Ref,de nota al pie,註腳內容,Footnotes refss,(NECG) Footnote Reference,Bow_Footnote Reference,BL_Footnote Reference,Appel note de bas de page,Footnote Reference + Superscript"/>
    <w:basedOn w:val="DefaultParagraphFont"/>
    <w:unhideWhenUsed/>
    <w:rsid w:val="00383D1C"/>
    <w:rPr>
      <w:vertAlign w:val="superscript"/>
    </w:rPr>
  </w:style>
  <w:style w:type="character" w:customStyle="1" w:styleId="ListParagraphChar">
    <w:name w:val="List Paragraph Char"/>
    <w:basedOn w:val="DefaultParagraphFont"/>
    <w:link w:val="ListParagraph"/>
    <w:uiPriority w:val="34"/>
    <w:rsid w:val="009E5EA6"/>
    <w:rPr>
      <w:rFonts w:ascii="Arial" w:eastAsia="Calibri" w:hAnsi="Arial" w:cs="Times New Roman"/>
      <w:sz w:val="24"/>
      <w:lang w:val="en-ZA"/>
    </w:rPr>
  </w:style>
  <w:style w:type="paragraph" w:customStyle="1" w:styleId="Myown">
    <w:name w:val="My own"/>
    <w:basedOn w:val="Normal"/>
    <w:rsid w:val="00880CB2"/>
    <w:pPr>
      <w:tabs>
        <w:tab w:val="num" w:pos="2970"/>
      </w:tabs>
      <w:spacing w:before="360" w:after="360" w:line="480" w:lineRule="auto"/>
      <w:ind w:left="706" w:hanging="706"/>
      <w:jc w:val="both"/>
    </w:pPr>
    <w:rPr>
      <w:rFonts w:ascii="Times New Roman" w:hAnsi="Times New Roman"/>
      <w:kern w:val="0"/>
      <w:lang w:eastAsia="en-US"/>
    </w:rPr>
  </w:style>
  <w:style w:type="character" w:customStyle="1" w:styleId="Heading1Char">
    <w:name w:val="Heading 1 Char"/>
    <w:basedOn w:val="DefaultParagraphFont"/>
    <w:link w:val="Heading1"/>
    <w:rsid w:val="002C3752"/>
    <w:rPr>
      <w:rFonts w:ascii="Arial" w:eastAsia="Times New Roman" w:hAnsi="Arial" w:cs="Times New Roman"/>
      <w:kern w:val="28"/>
      <w:sz w:val="24"/>
      <w:szCs w:val="20"/>
    </w:rPr>
  </w:style>
  <w:style w:type="character" w:customStyle="1" w:styleId="Heading2Char">
    <w:name w:val="Heading 2 Char"/>
    <w:basedOn w:val="DefaultParagraphFont"/>
    <w:link w:val="Heading2"/>
    <w:rsid w:val="002C3752"/>
    <w:rPr>
      <w:rFonts w:ascii="Arial" w:eastAsia="Times New Roman" w:hAnsi="Arial" w:cs="Times New Roman"/>
      <w:sz w:val="24"/>
      <w:szCs w:val="20"/>
      <w:lang w:val="en-ZA"/>
    </w:rPr>
  </w:style>
  <w:style w:type="character" w:customStyle="1" w:styleId="Heading3Char">
    <w:name w:val="Heading 3 Char"/>
    <w:basedOn w:val="DefaultParagraphFont"/>
    <w:link w:val="Heading3"/>
    <w:rsid w:val="002C3752"/>
    <w:rPr>
      <w:rFonts w:ascii="Arial" w:eastAsia="Times New Roman" w:hAnsi="Arial" w:cs="Times New Roman"/>
      <w:sz w:val="24"/>
      <w:szCs w:val="20"/>
    </w:rPr>
  </w:style>
  <w:style w:type="character" w:customStyle="1" w:styleId="Heading4Char">
    <w:name w:val="Heading 4 Char"/>
    <w:basedOn w:val="DefaultParagraphFont"/>
    <w:link w:val="Heading4"/>
    <w:rsid w:val="002C3752"/>
    <w:rPr>
      <w:rFonts w:ascii="Arial" w:eastAsia="Times New Roman" w:hAnsi="Arial" w:cs="Times New Roman"/>
      <w:sz w:val="24"/>
      <w:szCs w:val="20"/>
    </w:rPr>
  </w:style>
  <w:style w:type="character" w:customStyle="1" w:styleId="Heading5Char">
    <w:name w:val="Heading 5 Char"/>
    <w:basedOn w:val="DefaultParagraphFont"/>
    <w:link w:val="Heading5"/>
    <w:rsid w:val="002C3752"/>
    <w:rPr>
      <w:rFonts w:ascii="Arial" w:eastAsia="Times New Roman" w:hAnsi="Arial" w:cs="Times New Roman"/>
      <w:sz w:val="24"/>
      <w:szCs w:val="20"/>
    </w:rPr>
  </w:style>
  <w:style w:type="character" w:customStyle="1" w:styleId="Heading6Char">
    <w:name w:val="Heading 6 Char"/>
    <w:basedOn w:val="DefaultParagraphFont"/>
    <w:link w:val="Heading6"/>
    <w:rsid w:val="002C3752"/>
    <w:rPr>
      <w:rFonts w:ascii="Arial" w:eastAsia="Times New Roman" w:hAnsi="Arial" w:cs="Times New Roman"/>
      <w:i/>
      <w:sz w:val="24"/>
      <w:szCs w:val="20"/>
    </w:rPr>
  </w:style>
  <w:style w:type="character" w:customStyle="1" w:styleId="Heading7Char">
    <w:name w:val="Heading 7 Char"/>
    <w:basedOn w:val="DefaultParagraphFont"/>
    <w:link w:val="Heading7"/>
    <w:rsid w:val="002C3752"/>
    <w:rPr>
      <w:rFonts w:ascii="Arial" w:eastAsia="Times New Roman" w:hAnsi="Arial" w:cs="Times New Roman"/>
      <w:sz w:val="24"/>
      <w:szCs w:val="20"/>
    </w:rPr>
  </w:style>
  <w:style w:type="character" w:customStyle="1" w:styleId="Heading8Char">
    <w:name w:val="Heading 8 Char"/>
    <w:basedOn w:val="DefaultParagraphFont"/>
    <w:link w:val="Heading8"/>
    <w:rsid w:val="002C3752"/>
    <w:rPr>
      <w:rFonts w:ascii="Arial" w:eastAsia="Times New Roman" w:hAnsi="Arial" w:cs="Times New Roman"/>
      <w:i/>
      <w:sz w:val="24"/>
      <w:szCs w:val="20"/>
    </w:rPr>
  </w:style>
  <w:style w:type="character" w:customStyle="1" w:styleId="Heading9Char">
    <w:name w:val="Heading 9 Char"/>
    <w:basedOn w:val="DefaultParagraphFont"/>
    <w:link w:val="Heading9"/>
    <w:rsid w:val="002C3752"/>
    <w:rPr>
      <w:rFonts w:ascii="Arial" w:eastAsia="Times New Roman" w:hAnsi="Arial" w:cs="Times New Roman"/>
      <w:i/>
      <w:sz w:val="24"/>
      <w:szCs w:val="20"/>
    </w:rPr>
  </w:style>
  <w:style w:type="paragraph" w:customStyle="1" w:styleId="MainHead">
    <w:name w:val="Main Head"/>
    <w:basedOn w:val="Normal"/>
    <w:next w:val="Normal"/>
    <w:rsid w:val="002C3752"/>
    <w:pPr>
      <w:spacing w:before="240" w:after="240" w:line="480" w:lineRule="auto"/>
      <w:jc w:val="center"/>
    </w:pPr>
    <w:rPr>
      <w:b/>
      <w:caps/>
      <w:kern w:val="0"/>
      <w:szCs w:val="20"/>
      <w:u w:val="single"/>
      <w:lang w:val="en-GB" w:eastAsia="en-US"/>
    </w:rPr>
  </w:style>
  <w:style w:type="paragraph" w:customStyle="1" w:styleId="TramHead">
    <w:name w:val="Tram Head"/>
    <w:basedOn w:val="Normal"/>
    <w:rsid w:val="002C3752"/>
    <w:pPr>
      <w:keepNext/>
      <w:pBdr>
        <w:top w:val="single" w:sz="6" w:space="18" w:color="auto"/>
        <w:bottom w:val="single" w:sz="6" w:space="18" w:color="auto"/>
      </w:pBdr>
      <w:spacing w:before="240" w:after="480"/>
      <w:jc w:val="center"/>
    </w:pPr>
    <w:rPr>
      <w:b/>
      <w:caps/>
      <w:szCs w:val="20"/>
      <w:lang w:val="en-GB" w:eastAsia="en-US"/>
    </w:rPr>
  </w:style>
  <w:style w:type="paragraph" w:styleId="Footer">
    <w:name w:val="footer"/>
    <w:basedOn w:val="Normal"/>
    <w:link w:val="FooterChar"/>
    <w:rsid w:val="002C3752"/>
    <w:pPr>
      <w:tabs>
        <w:tab w:val="center" w:pos="4320"/>
        <w:tab w:val="right" w:pos="8640"/>
      </w:tabs>
      <w:spacing w:before="240" w:after="240" w:line="480" w:lineRule="auto"/>
      <w:jc w:val="both"/>
    </w:pPr>
    <w:rPr>
      <w:kern w:val="0"/>
      <w:szCs w:val="20"/>
      <w:lang w:val="en-GB" w:eastAsia="en-US"/>
    </w:rPr>
  </w:style>
  <w:style w:type="character" w:customStyle="1" w:styleId="FooterChar">
    <w:name w:val="Footer Char"/>
    <w:basedOn w:val="DefaultParagraphFont"/>
    <w:link w:val="Footer"/>
    <w:rsid w:val="002C3752"/>
    <w:rPr>
      <w:rFonts w:ascii="Arial" w:eastAsia="Times New Roman" w:hAnsi="Arial" w:cs="Times New Roman"/>
      <w:sz w:val="24"/>
      <w:szCs w:val="20"/>
    </w:rPr>
  </w:style>
  <w:style w:type="character" w:styleId="PageNumber">
    <w:name w:val="page number"/>
    <w:rsid w:val="002C3752"/>
    <w:rPr>
      <w:rFonts w:ascii="Times New Roman" w:hAnsi="Times New Roman"/>
      <w:i/>
      <w:smallCaps/>
      <w:sz w:val="22"/>
    </w:rPr>
  </w:style>
  <w:style w:type="paragraph" w:customStyle="1" w:styleId="Normal1">
    <w:name w:val="Normal1"/>
    <w:basedOn w:val="Normal"/>
    <w:rsid w:val="002C3752"/>
    <w:pPr>
      <w:spacing w:before="720" w:after="240" w:line="480" w:lineRule="auto"/>
    </w:pPr>
    <w:rPr>
      <w:kern w:val="0"/>
      <w:szCs w:val="20"/>
      <w:lang w:val="en-GB" w:eastAsia="en-US"/>
    </w:rPr>
  </w:style>
  <w:style w:type="paragraph" w:styleId="BodyTextIndent">
    <w:name w:val="Body Text Indent"/>
    <w:basedOn w:val="Normal"/>
    <w:link w:val="BodyTextIndentChar"/>
    <w:rsid w:val="002C3752"/>
    <w:pPr>
      <w:pBdr>
        <w:top w:val="single" w:sz="4" w:space="1" w:color="auto"/>
      </w:pBdr>
      <w:spacing w:before="240" w:after="240" w:line="480" w:lineRule="auto"/>
      <w:ind w:left="4254"/>
    </w:pPr>
    <w:rPr>
      <w:b/>
      <w:kern w:val="0"/>
      <w:szCs w:val="20"/>
      <w:lang w:val="en-GB" w:eastAsia="en-US"/>
    </w:rPr>
  </w:style>
  <w:style w:type="character" w:customStyle="1" w:styleId="BodyTextIndentChar">
    <w:name w:val="Body Text Indent Char"/>
    <w:basedOn w:val="DefaultParagraphFont"/>
    <w:link w:val="BodyTextIndent"/>
    <w:rsid w:val="002C3752"/>
    <w:rPr>
      <w:rFonts w:ascii="Arial" w:eastAsia="Times New Roman" w:hAnsi="Arial" w:cs="Times New Roman"/>
      <w:b/>
      <w:sz w:val="24"/>
      <w:szCs w:val="20"/>
    </w:rPr>
  </w:style>
  <w:style w:type="paragraph" w:customStyle="1" w:styleId="Style1">
    <w:name w:val="Style1"/>
    <w:basedOn w:val="Normal"/>
    <w:rsid w:val="002C3752"/>
    <w:pPr>
      <w:spacing w:before="240" w:after="240" w:line="480" w:lineRule="auto"/>
      <w:jc w:val="both"/>
    </w:pPr>
    <w:rPr>
      <w:kern w:val="0"/>
      <w:szCs w:val="20"/>
      <w:lang w:val="en-GB" w:eastAsia="en-US"/>
    </w:rPr>
  </w:style>
  <w:style w:type="paragraph" w:styleId="Title">
    <w:name w:val="Title"/>
    <w:basedOn w:val="Normal"/>
    <w:link w:val="TitleChar"/>
    <w:qFormat/>
    <w:rsid w:val="002C3752"/>
    <w:pPr>
      <w:jc w:val="center"/>
    </w:pPr>
    <w:rPr>
      <w:rFonts w:ascii="Univers" w:hAnsi="Univers"/>
      <w:b/>
      <w:bCs/>
      <w:kern w:val="0"/>
      <w:sz w:val="28"/>
      <w:lang w:val="en-GB" w:eastAsia="en-US"/>
    </w:rPr>
  </w:style>
  <w:style w:type="character" w:customStyle="1" w:styleId="TitleChar">
    <w:name w:val="Title Char"/>
    <w:basedOn w:val="DefaultParagraphFont"/>
    <w:link w:val="Title"/>
    <w:rsid w:val="002C3752"/>
    <w:rPr>
      <w:rFonts w:ascii="Univers" w:eastAsia="Times New Roman" w:hAnsi="Univers" w:cs="Times New Roman"/>
      <w:b/>
      <w:bCs/>
      <w:sz w:val="28"/>
      <w:szCs w:val="24"/>
    </w:rPr>
  </w:style>
  <w:style w:type="paragraph" w:customStyle="1" w:styleId="level10">
    <w:name w:val="level 1"/>
    <w:basedOn w:val="Normal"/>
    <w:next w:val="Normal"/>
    <w:rsid w:val="002C3752"/>
    <w:pPr>
      <w:widowControl w:val="0"/>
      <w:numPr>
        <w:numId w:val="11"/>
      </w:numPr>
      <w:tabs>
        <w:tab w:val="left" w:pos="1440"/>
        <w:tab w:val="left" w:pos="2160"/>
        <w:tab w:val="left" w:pos="2880"/>
        <w:tab w:val="left" w:pos="3600"/>
        <w:tab w:val="left" w:pos="4320"/>
        <w:tab w:val="left" w:pos="5040"/>
        <w:tab w:val="left" w:pos="5760"/>
        <w:tab w:val="right" w:pos="8640"/>
      </w:tabs>
      <w:spacing w:before="360" w:line="360" w:lineRule="auto"/>
      <w:ind w:right="-43"/>
      <w:jc w:val="both"/>
    </w:pPr>
    <w:rPr>
      <w:rFonts w:ascii="Univers" w:hAnsi="Univers"/>
      <w:kern w:val="0"/>
      <w:szCs w:val="20"/>
      <w:lang w:val="en-GB" w:eastAsia="en-US"/>
    </w:rPr>
  </w:style>
  <w:style w:type="paragraph" w:customStyle="1" w:styleId="level20">
    <w:name w:val="level2"/>
    <w:basedOn w:val="Heading4"/>
    <w:next w:val="Normal"/>
    <w:rsid w:val="002C3752"/>
    <w:pPr>
      <w:numPr>
        <w:ilvl w:val="1"/>
        <w:numId w:val="14"/>
      </w:numPr>
      <w:spacing w:after="60"/>
    </w:pPr>
    <w:rPr>
      <w:rFonts w:cs="Arial"/>
      <w:szCs w:val="24"/>
    </w:rPr>
  </w:style>
  <w:style w:type="paragraph" w:customStyle="1" w:styleId="level30">
    <w:name w:val="level3"/>
    <w:basedOn w:val="Heading3"/>
    <w:next w:val="Normal"/>
    <w:rsid w:val="002C3752"/>
    <w:pPr>
      <w:widowControl w:val="0"/>
      <w:numPr>
        <w:numId w:val="11"/>
      </w:numPr>
      <w:tabs>
        <w:tab w:val="right" w:pos="9000"/>
      </w:tabs>
      <w:spacing w:after="0" w:line="360" w:lineRule="auto"/>
    </w:pPr>
    <w:rPr>
      <w:rFonts w:ascii="Univers" w:hAnsi="Univers"/>
    </w:rPr>
  </w:style>
  <w:style w:type="paragraph" w:customStyle="1" w:styleId="level40">
    <w:name w:val="level4"/>
    <w:basedOn w:val="level20"/>
    <w:next w:val="Normal"/>
    <w:rsid w:val="002C3752"/>
    <w:pPr>
      <w:numPr>
        <w:ilvl w:val="2"/>
      </w:numPr>
      <w:spacing w:after="240"/>
    </w:pPr>
  </w:style>
  <w:style w:type="paragraph" w:customStyle="1" w:styleId="level5">
    <w:name w:val="level5"/>
    <w:basedOn w:val="Heading5"/>
    <w:next w:val="Normal"/>
    <w:rsid w:val="002C3752"/>
    <w:pPr>
      <w:keepNext/>
      <w:widowControl w:val="0"/>
      <w:numPr>
        <w:numId w:val="11"/>
      </w:numPr>
      <w:tabs>
        <w:tab w:val="left" w:pos="4320"/>
        <w:tab w:val="left" w:pos="5040"/>
        <w:tab w:val="left" w:pos="5760"/>
      </w:tabs>
      <w:spacing w:after="0" w:line="360" w:lineRule="auto"/>
    </w:pPr>
    <w:rPr>
      <w:rFonts w:ascii="Univers" w:hAnsi="Univers"/>
    </w:rPr>
  </w:style>
  <w:style w:type="paragraph" w:customStyle="1" w:styleId="level6">
    <w:name w:val="level6"/>
    <w:basedOn w:val="Heading6"/>
    <w:next w:val="Normal"/>
    <w:rsid w:val="002C3752"/>
    <w:pPr>
      <w:widowControl w:val="0"/>
      <w:numPr>
        <w:ilvl w:val="5"/>
        <w:numId w:val="11"/>
      </w:numPr>
      <w:tabs>
        <w:tab w:val="left" w:pos="5040"/>
        <w:tab w:val="left" w:pos="5760"/>
      </w:tabs>
      <w:spacing w:after="0" w:line="360" w:lineRule="auto"/>
    </w:pPr>
    <w:rPr>
      <w:rFonts w:ascii="Univers" w:hAnsi="Univers"/>
      <w:i w:val="0"/>
    </w:rPr>
  </w:style>
  <w:style w:type="paragraph" w:customStyle="1" w:styleId="level7">
    <w:name w:val="level7"/>
    <w:basedOn w:val="Heading7"/>
    <w:next w:val="Normal"/>
    <w:rsid w:val="002C3752"/>
    <w:pPr>
      <w:widowControl w:val="0"/>
      <w:numPr>
        <w:ilvl w:val="6"/>
        <w:numId w:val="11"/>
      </w:numPr>
      <w:tabs>
        <w:tab w:val="left" w:pos="5760"/>
      </w:tabs>
      <w:spacing w:after="0" w:line="360" w:lineRule="auto"/>
    </w:pPr>
    <w:rPr>
      <w:rFonts w:ascii="Univers" w:hAnsi="Univers"/>
    </w:rPr>
  </w:style>
  <w:style w:type="paragraph" w:customStyle="1" w:styleId="Clause4">
    <w:name w:val="Clause 4"/>
    <w:basedOn w:val="level40"/>
    <w:autoRedefine/>
    <w:rsid w:val="002C3752"/>
    <w:pPr>
      <w:numPr>
        <w:ilvl w:val="3"/>
        <w:numId w:val="10"/>
      </w:numPr>
      <w:tabs>
        <w:tab w:val="clear" w:pos="2880"/>
        <w:tab w:val="num" w:pos="2160"/>
      </w:tabs>
      <w:ind w:left="2160" w:hanging="2160"/>
    </w:pPr>
  </w:style>
  <w:style w:type="paragraph" w:styleId="BodyText2">
    <w:name w:val="Body Text 2"/>
    <w:basedOn w:val="Normal"/>
    <w:link w:val="BodyText2Char"/>
    <w:rsid w:val="002C3752"/>
    <w:pPr>
      <w:spacing w:before="240" w:after="120" w:line="480" w:lineRule="auto"/>
      <w:jc w:val="both"/>
    </w:pPr>
    <w:rPr>
      <w:kern w:val="0"/>
      <w:szCs w:val="20"/>
      <w:lang w:eastAsia="en-US"/>
    </w:rPr>
  </w:style>
  <w:style w:type="character" w:customStyle="1" w:styleId="BodyText2Char">
    <w:name w:val="Body Text 2 Char"/>
    <w:basedOn w:val="DefaultParagraphFont"/>
    <w:link w:val="BodyText2"/>
    <w:rsid w:val="002C3752"/>
    <w:rPr>
      <w:rFonts w:ascii="Arial" w:eastAsia="Times New Roman" w:hAnsi="Arial" w:cs="Times New Roman"/>
      <w:sz w:val="24"/>
      <w:szCs w:val="20"/>
      <w:lang w:val="en-ZA"/>
    </w:rPr>
  </w:style>
  <w:style w:type="paragraph" w:styleId="DocumentMap">
    <w:name w:val="Document Map"/>
    <w:basedOn w:val="Normal"/>
    <w:link w:val="DocumentMapChar"/>
    <w:semiHidden/>
    <w:rsid w:val="002C3752"/>
    <w:pPr>
      <w:shd w:val="clear" w:color="auto" w:fill="000080"/>
      <w:spacing w:before="240" w:after="240" w:line="480" w:lineRule="auto"/>
      <w:jc w:val="both"/>
    </w:pPr>
    <w:rPr>
      <w:rFonts w:ascii="Tahoma" w:hAnsi="Tahoma" w:cs="Tahoma"/>
      <w:kern w:val="0"/>
      <w:sz w:val="20"/>
      <w:szCs w:val="20"/>
      <w:lang w:val="en-GB" w:eastAsia="en-US"/>
    </w:rPr>
  </w:style>
  <w:style w:type="character" w:customStyle="1" w:styleId="DocumentMapChar">
    <w:name w:val="Document Map Char"/>
    <w:basedOn w:val="DefaultParagraphFont"/>
    <w:link w:val="DocumentMap"/>
    <w:semiHidden/>
    <w:rsid w:val="002C3752"/>
    <w:rPr>
      <w:rFonts w:ascii="Tahoma" w:eastAsia="Times New Roman" w:hAnsi="Tahoma" w:cs="Tahoma"/>
      <w:sz w:val="20"/>
      <w:szCs w:val="20"/>
      <w:shd w:val="clear" w:color="auto" w:fill="000080"/>
    </w:rPr>
  </w:style>
  <w:style w:type="paragraph" w:styleId="BodyText">
    <w:name w:val="Body Text"/>
    <w:basedOn w:val="Normal"/>
    <w:link w:val="BodyTextChar"/>
    <w:rsid w:val="002C3752"/>
    <w:pPr>
      <w:jc w:val="center"/>
    </w:pPr>
    <w:rPr>
      <w:rFonts w:ascii="Times New Roman" w:hAnsi="Times New Roman"/>
      <w:b/>
      <w:bCs/>
      <w:kern w:val="0"/>
      <w:lang w:val="en-GB" w:eastAsia="en-US"/>
    </w:rPr>
  </w:style>
  <w:style w:type="character" w:customStyle="1" w:styleId="BodyTextChar">
    <w:name w:val="Body Text Char"/>
    <w:basedOn w:val="DefaultParagraphFont"/>
    <w:link w:val="BodyText"/>
    <w:rsid w:val="002C3752"/>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2C3752"/>
    <w:pPr>
      <w:spacing w:before="240" w:after="240" w:line="480" w:lineRule="auto"/>
      <w:ind w:left="1440"/>
      <w:jc w:val="both"/>
    </w:pPr>
    <w:rPr>
      <w:rFonts w:cs="Arial"/>
      <w:b/>
      <w:bCs/>
      <w:kern w:val="0"/>
      <w:szCs w:val="20"/>
      <w:lang w:val="en-GB" w:eastAsia="en-US"/>
    </w:rPr>
  </w:style>
  <w:style w:type="character" w:customStyle="1" w:styleId="BodyTextIndent2Char">
    <w:name w:val="Body Text Indent 2 Char"/>
    <w:basedOn w:val="DefaultParagraphFont"/>
    <w:link w:val="BodyTextIndent2"/>
    <w:rsid w:val="002C3752"/>
    <w:rPr>
      <w:rFonts w:ascii="Arial" w:eastAsia="Times New Roman" w:hAnsi="Arial" w:cs="Arial"/>
      <w:b/>
      <w:bCs/>
      <w:sz w:val="24"/>
      <w:szCs w:val="20"/>
    </w:rPr>
  </w:style>
  <w:style w:type="character" w:styleId="CommentReference">
    <w:name w:val="annotation reference"/>
    <w:semiHidden/>
    <w:rsid w:val="002C3752"/>
    <w:rPr>
      <w:sz w:val="16"/>
      <w:szCs w:val="16"/>
    </w:rPr>
  </w:style>
  <w:style w:type="paragraph" w:styleId="CommentText">
    <w:name w:val="annotation text"/>
    <w:basedOn w:val="Normal"/>
    <w:link w:val="CommentTextChar"/>
    <w:semiHidden/>
    <w:rsid w:val="002C3752"/>
    <w:pPr>
      <w:spacing w:before="240" w:after="240" w:line="480" w:lineRule="auto"/>
      <w:jc w:val="both"/>
    </w:pPr>
    <w:rPr>
      <w:kern w:val="0"/>
      <w:sz w:val="20"/>
      <w:szCs w:val="20"/>
      <w:lang w:eastAsia="en-US"/>
    </w:rPr>
  </w:style>
  <w:style w:type="character" w:customStyle="1" w:styleId="CommentTextChar">
    <w:name w:val="Comment Text Char"/>
    <w:basedOn w:val="DefaultParagraphFont"/>
    <w:link w:val="CommentText"/>
    <w:semiHidden/>
    <w:rsid w:val="002C3752"/>
    <w:rPr>
      <w:rFonts w:ascii="Arial" w:eastAsia="Times New Roman" w:hAnsi="Arial" w:cs="Times New Roman"/>
      <w:sz w:val="20"/>
      <w:szCs w:val="20"/>
      <w:lang w:val="en-ZA"/>
    </w:rPr>
  </w:style>
  <w:style w:type="paragraph" w:styleId="CommentSubject">
    <w:name w:val="annotation subject"/>
    <w:basedOn w:val="CommentText"/>
    <w:next w:val="CommentText"/>
    <w:link w:val="CommentSubjectChar"/>
    <w:semiHidden/>
    <w:rsid w:val="002C3752"/>
    <w:rPr>
      <w:b/>
      <w:bCs/>
    </w:rPr>
  </w:style>
  <w:style w:type="character" w:customStyle="1" w:styleId="CommentSubjectChar">
    <w:name w:val="Comment Subject Char"/>
    <w:basedOn w:val="CommentTextChar"/>
    <w:link w:val="CommentSubject"/>
    <w:semiHidden/>
    <w:rsid w:val="002C3752"/>
    <w:rPr>
      <w:rFonts w:ascii="Arial" w:eastAsia="Times New Roman" w:hAnsi="Arial" w:cs="Times New Roman"/>
      <w:b/>
      <w:bCs/>
      <w:sz w:val="20"/>
      <w:szCs w:val="20"/>
      <w:lang w:val="en-ZA"/>
    </w:rPr>
  </w:style>
  <w:style w:type="paragraph" w:styleId="BalloonText">
    <w:name w:val="Balloon Text"/>
    <w:basedOn w:val="Normal"/>
    <w:link w:val="BalloonTextChar"/>
    <w:semiHidden/>
    <w:rsid w:val="002C3752"/>
    <w:pPr>
      <w:spacing w:before="240" w:after="240" w:line="480" w:lineRule="auto"/>
      <w:jc w:val="both"/>
    </w:pPr>
    <w:rPr>
      <w:rFonts w:ascii="Tahoma" w:hAnsi="Tahoma" w:cs="Tahoma"/>
      <w:kern w:val="0"/>
      <w:sz w:val="16"/>
      <w:szCs w:val="16"/>
      <w:lang w:val="en-GB" w:eastAsia="en-US"/>
    </w:rPr>
  </w:style>
  <w:style w:type="character" w:customStyle="1" w:styleId="BalloonTextChar">
    <w:name w:val="Balloon Text Char"/>
    <w:basedOn w:val="DefaultParagraphFont"/>
    <w:link w:val="BalloonText"/>
    <w:semiHidden/>
    <w:rsid w:val="002C3752"/>
    <w:rPr>
      <w:rFonts w:ascii="Tahoma" w:eastAsia="Times New Roman" w:hAnsi="Tahoma" w:cs="Tahoma"/>
      <w:sz w:val="16"/>
      <w:szCs w:val="16"/>
    </w:rPr>
  </w:style>
  <w:style w:type="character" w:styleId="Hyperlink">
    <w:name w:val="Hyperlink"/>
    <w:rsid w:val="002C3752"/>
    <w:rPr>
      <w:color w:val="0000FF"/>
      <w:u w:val="single"/>
    </w:rPr>
  </w:style>
  <w:style w:type="paragraph" w:styleId="NoSpacing">
    <w:name w:val="No Spacing"/>
    <w:uiPriority w:val="1"/>
    <w:qFormat/>
    <w:rsid w:val="002C3752"/>
    <w:pPr>
      <w:spacing w:after="0" w:line="240" w:lineRule="auto"/>
    </w:pPr>
    <w:rPr>
      <w:rFonts w:ascii="Times New Roman" w:eastAsia="PMingLiU" w:hAnsi="Times New Roman" w:cs="Times New Roman"/>
      <w:lang w:val="en-US"/>
    </w:rPr>
  </w:style>
  <w:style w:type="paragraph" w:customStyle="1" w:styleId="1">
    <w:name w:val="1"/>
    <w:basedOn w:val="Normal"/>
    <w:qFormat/>
    <w:rsid w:val="002C3752"/>
    <w:pPr>
      <w:widowControl w:val="0"/>
      <w:numPr>
        <w:numId w:val="12"/>
      </w:numPr>
      <w:suppressAutoHyphens/>
      <w:autoSpaceDN w:val="0"/>
      <w:spacing w:before="480" w:line="480" w:lineRule="auto"/>
      <w:jc w:val="both"/>
      <w:textAlignment w:val="baseline"/>
    </w:pPr>
    <w:rPr>
      <w:rFonts w:eastAsia="WenQuanYi Micro Hei" w:cs="Lohit Hindi"/>
      <w:iCs/>
      <w:kern w:val="0"/>
      <w:szCs w:val="22"/>
      <w:lang w:val="en-GB" w:eastAsia="zh-CN" w:bidi="hi-IN"/>
    </w:rPr>
  </w:style>
  <w:style w:type="paragraph" w:customStyle="1" w:styleId="2">
    <w:name w:val="2"/>
    <w:basedOn w:val="1"/>
    <w:qFormat/>
    <w:rsid w:val="002C3752"/>
    <w:pPr>
      <w:numPr>
        <w:ilvl w:val="1"/>
      </w:numPr>
      <w:spacing w:before="240"/>
    </w:pPr>
  </w:style>
  <w:style w:type="paragraph" w:customStyle="1" w:styleId="3">
    <w:name w:val="3"/>
    <w:basedOn w:val="Normal"/>
    <w:qFormat/>
    <w:rsid w:val="002C3752"/>
    <w:pPr>
      <w:numPr>
        <w:ilvl w:val="2"/>
        <w:numId w:val="12"/>
      </w:numPr>
      <w:spacing w:before="240" w:line="480" w:lineRule="auto"/>
      <w:jc w:val="both"/>
    </w:pPr>
    <w:rPr>
      <w:kern w:val="0"/>
      <w:szCs w:val="16"/>
      <w:lang w:val="en-GB" w:eastAsia="en-ZA"/>
    </w:rPr>
  </w:style>
  <w:style w:type="paragraph" w:customStyle="1" w:styleId="4">
    <w:name w:val="4"/>
    <w:basedOn w:val="Normal"/>
    <w:qFormat/>
    <w:rsid w:val="002C3752"/>
    <w:pPr>
      <w:numPr>
        <w:ilvl w:val="3"/>
        <w:numId w:val="12"/>
      </w:numPr>
      <w:spacing w:before="240" w:line="480" w:lineRule="auto"/>
      <w:jc w:val="both"/>
    </w:pPr>
    <w:rPr>
      <w:iCs/>
      <w:color w:val="000000"/>
      <w:kern w:val="0"/>
      <w:szCs w:val="16"/>
      <w:lang w:val="en-GB" w:eastAsia="en-ZA"/>
    </w:rPr>
  </w:style>
  <w:style w:type="paragraph" w:customStyle="1" w:styleId="5">
    <w:name w:val="5"/>
    <w:basedOn w:val="4"/>
    <w:qFormat/>
    <w:rsid w:val="002C3752"/>
    <w:pPr>
      <w:numPr>
        <w:ilvl w:val="4"/>
      </w:numPr>
    </w:pPr>
  </w:style>
  <w:style w:type="paragraph" w:customStyle="1" w:styleId="WLGLevel1">
    <w:name w:val="WLGLevel1"/>
    <w:basedOn w:val="Normal"/>
    <w:qFormat/>
    <w:rsid w:val="002C3752"/>
    <w:pPr>
      <w:numPr>
        <w:numId w:val="13"/>
      </w:numPr>
      <w:suppressAutoHyphens/>
      <w:spacing w:before="320" w:after="320" w:line="480" w:lineRule="auto"/>
      <w:jc w:val="both"/>
      <w:outlineLvl w:val="0"/>
    </w:pPr>
    <w:rPr>
      <w:kern w:val="0"/>
      <w:szCs w:val="20"/>
      <w:lang w:eastAsia="en-US"/>
    </w:rPr>
  </w:style>
  <w:style w:type="paragraph" w:customStyle="1" w:styleId="WLGLevel2">
    <w:name w:val="WLGLevel2"/>
    <w:basedOn w:val="Normal"/>
    <w:qFormat/>
    <w:rsid w:val="002C3752"/>
    <w:pPr>
      <w:numPr>
        <w:ilvl w:val="1"/>
        <w:numId w:val="13"/>
      </w:numPr>
      <w:suppressAutoHyphens/>
      <w:spacing w:after="320" w:line="480" w:lineRule="auto"/>
      <w:jc w:val="both"/>
      <w:outlineLvl w:val="1"/>
    </w:pPr>
    <w:rPr>
      <w:kern w:val="0"/>
      <w:szCs w:val="20"/>
      <w:lang w:eastAsia="en-US"/>
    </w:rPr>
  </w:style>
  <w:style w:type="paragraph" w:customStyle="1" w:styleId="WLGLevel3">
    <w:name w:val="WLGLevel3"/>
    <w:basedOn w:val="Normal"/>
    <w:qFormat/>
    <w:rsid w:val="002C3752"/>
    <w:pPr>
      <w:numPr>
        <w:ilvl w:val="2"/>
        <w:numId w:val="13"/>
      </w:numPr>
      <w:suppressAutoHyphens/>
      <w:spacing w:after="320" w:line="480" w:lineRule="auto"/>
      <w:jc w:val="both"/>
      <w:outlineLvl w:val="2"/>
    </w:pPr>
    <w:rPr>
      <w:kern w:val="0"/>
      <w:szCs w:val="20"/>
      <w:lang w:eastAsia="en-US"/>
    </w:rPr>
  </w:style>
  <w:style w:type="paragraph" w:customStyle="1" w:styleId="WLGLevel4">
    <w:name w:val="WLGLevel4"/>
    <w:basedOn w:val="Normal"/>
    <w:qFormat/>
    <w:rsid w:val="002C3752"/>
    <w:pPr>
      <w:numPr>
        <w:ilvl w:val="3"/>
        <w:numId w:val="13"/>
      </w:numPr>
      <w:suppressAutoHyphens/>
      <w:spacing w:after="320" w:line="480" w:lineRule="auto"/>
      <w:jc w:val="both"/>
      <w:outlineLvl w:val="3"/>
    </w:pPr>
    <w:rPr>
      <w:kern w:val="0"/>
      <w:szCs w:val="20"/>
      <w:lang w:eastAsia="en-US"/>
    </w:rPr>
  </w:style>
  <w:style w:type="paragraph" w:customStyle="1" w:styleId="WLGLevel5">
    <w:name w:val="WLGLevel5"/>
    <w:basedOn w:val="Normal"/>
    <w:qFormat/>
    <w:rsid w:val="002C3752"/>
    <w:pPr>
      <w:numPr>
        <w:ilvl w:val="4"/>
        <w:numId w:val="13"/>
      </w:numPr>
      <w:suppressAutoHyphens/>
      <w:spacing w:after="320" w:line="480" w:lineRule="auto"/>
      <w:jc w:val="both"/>
      <w:outlineLvl w:val="4"/>
    </w:pPr>
    <w:rPr>
      <w:kern w:val="0"/>
      <w:szCs w:val="20"/>
      <w:lang w:eastAsia="en-US"/>
    </w:rPr>
  </w:style>
  <w:style w:type="character" w:customStyle="1" w:styleId="UnresolvedMention1">
    <w:name w:val="Unresolved Mention1"/>
    <w:basedOn w:val="DefaultParagraphFont"/>
    <w:uiPriority w:val="99"/>
    <w:semiHidden/>
    <w:unhideWhenUsed/>
    <w:rsid w:val="002C3752"/>
    <w:rPr>
      <w:color w:val="605E5C"/>
      <w:shd w:val="clear" w:color="auto" w:fill="E1DFDD"/>
    </w:rPr>
  </w:style>
  <w:style w:type="table" w:customStyle="1" w:styleId="TableGrid1">
    <w:name w:val="Table Grid1"/>
    <w:basedOn w:val="TableNormal"/>
    <w:next w:val="TableGrid"/>
    <w:uiPriority w:val="59"/>
    <w:rsid w:val="002C375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2C375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C3752"/>
    <w:pPr>
      <w:spacing w:before="100" w:beforeAutospacing="1" w:after="100" w:afterAutospacing="1"/>
    </w:pPr>
    <w:rPr>
      <w:rFonts w:ascii="Times New Roman" w:eastAsiaTheme="minorEastAsia" w:hAnsi="Times New Roman"/>
      <w:kern w:val="0"/>
      <w:lang w:eastAsia="en-US"/>
    </w:rPr>
  </w:style>
  <w:style w:type="paragraph" w:styleId="Quote">
    <w:name w:val="Quote"/>
    <w:basedOn w:val="Normal"/>
    <w:link w:val="QuoteChar"/>
    <w:uiPriority w:val="29"/>
    <w:qFormat/>
    <w:rsid w:val="002C3752"/>
    <w:pPr>
      <w:widowControl w:val="0"/>
      <w:spacing w:before="120"/>
      <w:ind w:left="1134"/>
      <w:jc w:val="both"/>
    </w:pPr>
    <w:rPr>
      <w:rFonts w:ascii="Century Schoolbook" w:hAnsi="Century Schoolbook"/>
      <w:iCs/>
      <w:color w:val="000000"/>
      <w:kern w:val="0"/>
      <w:szCs w:val="20"/>
      <w:lang w:eastAsia="en-US"/>
    </w:rPr>
  </w:style>
  <w:style w:type="character" w:customStyle="1" w:styleId="QuoteChar">
    <w:name w:val="Quote Char"/>
    <w:basedOn w:val="DefaultParagraphFont"/>
    <w:link w:val="Quote"/>
    <w:uiPriority w:val="29"/>
    <w:rsid w:val="002C3752"/>
    <w:rPr>
      <w:rFonts w:ascii="Century Schoolbook" w:eastAsia="Times New Roman" w:hAnsi="Century Schoolbook" w:cs="Times New Roman"/>
      <w:iCs/>
      <w:color w:val="000000"/>
      <w:sz w:val="24"/>
      <w:szCs w:val="20"/>
      <w:lang w:val="en-ZA"/>
    </w:rPr>
  </w:style>
  <w:style w:type="paragraph" w:customStyle="1" w:styleId="Level1">
    <w:name w:val="Level1"/>
    <w:basedOn w:val="Normal"/>
    <w:link w:val="Level1Char"/>
    <w:qFormat/>
    <w:rsid w:val="002C3752"/>
    <w:pPr>
      <w:numPr>
        <w:numId w:val="15"/>
      </w:numPr>
      <w:suppressAutoHyphens/>
      <w:spacing w:before="360" w:line="480" w:lineRule="auto"/>
      <w:jc w:val="both"/>
    </w:pPr>
    <w:rPr>
      <w:rFonts w:ascii="Century Schoolbook" w:hAnsi="Century Schoolbook"/>
      <w:kern w:val="0"/>
      <w:szCs w:val="20"/>
      <w:lang w:eastAsia="en-US"/>
    </w:rPr>
  </w:style>
  <w:style w:type="character" w:customStyle="1" w:styleId="Level1Char">
    <w:name w:val="Level1 Char"/>
    <w:basedOn w:val="DefaultParagraphFont"/>
    <w:link w:val="Level1"/>
    <w:rsid w:val="002C3752"/>
    <w:rPr>
      <w:rFonts w:ascii="Century Schoolbook" w:eastAsia="Times New Roman" w:hAnsi="Century Schoolbook" w:cs="Times New Roman"/>
      <w:sz w:val="24"/>
      <w:szCs w:val="20"/>
      <w:lang w:val="en-ZA"/>
    </w:rPr>
  </w:style>
  <w:style w:type="paragraph" w:customStyle="1" w:styleId="Level2">
    <w:name w:val="Level2"/>
    <w:basedOn w:val="Normal"/>
    <w:qFormat/>
    <w:rsid w:val="002C3752"/>
    <w:pPr>
      <w:numPr>
        <w:ilvl w:val="1"/>
        <w:numId w:val="15"/>
      </w:numPr>
      <w:suppressAutoHyphens/>
      <w:spacing w:before="360" w:line="480" w:lineRule="auto"/>
      <w:jc w:val="both"/>
    </w:pPr>
    <w:rPr>
      <w:rFonts w:ascii="Century Schoolbook" w:hAnsi="Century Schoolbook"/>
      <w:kern w:val="0"/>
      <w:szCs w:val="20"/>
      <w:lang w:eastAsia="en-US"/>
    </w:rPr>
  </w:style>
  <w:style w:type="paragraph" w:customStyle="1" w:styleId="Level3">
    <w:name w:val="Level3"/>
    <w:basedOn w:val="Level2"/>
    <w:qFormat/>
    <w:rsid w:val="002C3752"/>
    <w:pPr>
      <w:numPr>
        <w:ilvl w:val="2"/>
      </w:numPr>
    </w:pPr>
  </w:style>
  <w:style w:type="paragraph" w:customStyle="1" w:styleId="Heading">
    <w:name w:val="Heading"/>
    <w:basedOn w:val="Normal"/>
    <w:qFormat/>
    <w:rsid w:val="002C3752"/>
    <w:pPr>
      <w:numPr>
        <w:numId w:val="16"/>
      </w:numPr>
      <w:suppressAutoHyphens/>
      <w:spacing w:before="360" w:after="360" w:line="480" w:lineRule="auto"/>
      <w:ind w:left="567" w:hanging="567"/>
      <w:jc w:val="both"/>
    </w:pPr>
    <w:rPr>
      <w:b/>
      <w:caps/>
      <w:kern w:val="0"/>
      <w:szCs w:val="20"/>
      <w:lang w:eastAsia="en-US"/>
    </w:rPr>
  </w:style>
  <w:style w:type="paragraph" w:customStyle="1" w:styleId="Level4">
    <w:name w:val="Level4"/>
    <w:basedOn w:val="Level3"/>
    <w:qFormat/>
    <w:rsid w:val="002C3752"/>
    <w:pPr>
      <w:numPr>
        <w:ilvl w:val="3"/>
      </w:numPr>
      <w:ind w:left="2268" w:hanging="2268"/>
    </w:pPr>
  </w:style>
  <w:style w:type="paragraph" w:customStyle="1" w:styleId="ParaLv1">
    <w:name w:val="Para Lv1"/>
    <w:basedOn w:val="ListParagraph"/>
    <w:qFormat/>
    <w:rsid w:val="002C3752"/>
    <w:pPr>
      <w:numPr>
        <w:numId w:val="17"/>
      </w:numPr>
      <w:tabs>
        <w:tab w:val="left" w:pos="709"/>
      </w:tabs>
      <w:spacing w:before="240" w:after="240" w:line="480" w:lineRule="auto"/>
      <w:contextualSpacing w:val="0"/>
      <w:jc w:val="both"/>
    </w:pPr>
    <w:rPr>
      <w:rFonts w:eastAsiaTheme="minorHAnsi" w:cs="Arial"/>
      <w:szCs w:val="24"/>
      <w:lang w:val="en-GB"/>
    </w:rPr>
  </w:style>
  <w:style w:type="paragraph" w:customStyle="1" w:styleId="ParaLv2">
    <w:name w:val="Para Lv2"/>
    <w:basedOn w:val="ParaLv1"/>
    <w:qFormat/>
    <w:rsid w:val="002C3752"/>
    <w:pPr>
      <w:numPr>
        <w:ilvl w:val="1"/>
      </w:numPr>
      <w:tabs>
        <w:tab w:val="clear" w:pos="709"/>
        <w:tab w:val="left" w:pos="1701"/>
      </w:tabs>
    </w:pPr>
  </w:style>
  <w:style w:type="paragraph" w:customStyle="1" w:styleId="ParaLv3">
    <w:name w:val="Para Lv3"/>
    <w:basedOn w:val="ParaLv1"/>
    <w:qFormat/>
    <w:rsid w:val="002C3752"/>
    <w:pPr>
      <w:numPr>
        <w:ilvl w:val="2"/>
      </w:numPr>
      <w:tabs>
        <w:tab w:val="clear" w:pos="709"/>
        <w:tab w:val="left" w:pos="2835"/>
      </w:tabs>
      <w:ind w:left="1985" w:hanging="851"/>
    </w:pPr>
  </w:style>
  <w:style w:type="paragraph" w:styleId="Revision">
    <w:name w:val="Revision"/>
    <w:hidden/>
    <w:uiPriority w:val="99"/>
    <w:semiHidden/>
    <w:rsid w:val="002C3752"/>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7AEBA-76F2-481F-A88A-F849ADE2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Mokone</cp:lastModifiedBy>
  <cp:revision>3</cp:revision>
  <dcterms:created xsi:type="dcterms:W3CDTF">2023-01-30T12:30:00Z</dcterms:created>
  <dcterms:modified xsi:type="dcterms:W3CDTF">2023-01-30T12:32:00Z</dcterms:modified>
</cp:coreProperties>
</file>