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C4BA" w14:textId="77777777" w:rsidR="00300B4C" w:rsidRPr="00DB2A06" w:rsidRDefault="00300B4C" w:rsidP="00300B4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CDF80E7" w14:textId="77777777" w:rsidR="00300B4C" w:rsidRDefault="00300B4C" w:rsidP="006C43D7">
      <w:pPr>
        <w:spacing w:after="120" w:line="360" w:lineRule="auto"/>
        <w:jc w:val="center"/>
        <w:rPr>
          <w:rFonts w:cs="Arial"/>
          <w:b/>
          <w:bCs/>
          <w:noProof/>
          <w:szCs w:val="22"/>
          <w:lang w:val="en-US"/>
        </w:rPr>
      </w:pPr>
    </w:p>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566C4D1B" w14:textId="77777777" w:rsidR="006C43D7" w:rsidRPr="0009745A" w:rsidRDefault="006C43D7" w:rsidP="006C43D7">
      <w:pPr>
        <w:jc w:val="center"/>
        <w:rPr>
          <w:rFonts w:cs="Arial"/>
          <w:b/>
          <w:szCs w:val="22"/>
        </w:rPr>
      </w:pPr>
      <w:r w:rsidRPr="0009745A">
        <w:rPr>
          <w:rFonts w:cs="Arial"/>
          <w:b/>
          <w:szCs w:val="22"/>
        </w:rPr>
        <w:t>GAUTENG DIVISION, JOHANNESBURG</w:t>
      </w:r>
    </w:p>
    <w:p w14:paraId="13D6E83E" w14:textId="77777777" w:rsidR="006C43D7" w:rsidRPr="0009745A" w:rsidRDefault="006C43D7" w:rsidP="006C43D7">
      <w:pPr>
        <w:jc w:val="both"/>
        <w:rPr>
          <w:rFonts w:cs="Arial"/>
          <w:b/>
          <w:szCs w:val="22"/>
        </w:rPr>
      </w:pPr>
    </w:p>
    <w:p w14:paraId="3698476C" w14:textId="238F21FB" w:rsidR="006C43D7" w:rsidRPr="0009745A" w:rsidRDefault="006C43D7" w:rsidP="006C43D7">
      <w:pPr>
        <w:spacing w:line="360" w:lineRule="auto"/>
        <w:jc w:val="right"/>
        <w:rPr>
          <w:rFonts w:cs="Arial"/>
          <w:b/>
          <w:szCs w:val="22"/>
        </w:rPr>
      </w:pPr>
      <w:r w:rsidRPr="0009745A">
        <w:rPr>
          <w:rFonts w:cs="Arial"/>
          <w:b/>
          <w:szCs w:val="22"/>
        </w:rPr>
        <w:t xml:space="preserve">CASE NO: </w:t>
      </w:r>
      <w:r w:rsidR="00F2485C">
        <w:rPr>
          <w:rFonts w:cs="Arial"/>
          <w:b/>
          <w:szCs w:val="22"/>
        </w:rPr>
        <w:t>2017/30005</w:t>
      </w:r>
    </w:p>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3FE50858" w:rsidR="009165D0" w:rsidRDefault="00671515" w:rsidP="0067151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323AD0">
                              <w:rPr>
                                <w:rFonts w:ascii="Century Gothic" w:hAnsi="Century Gothic"/>
                                <w:sz w:val="20"/>
                                <w:szCs w:val="20"/>
                              </w:rPr>
                              <w:t>No</w:t>
                            </w:r>
                          </w:p>
                          <w:p w14:paraId="3A4C7296" w14:textId="63F81907" w:rsidR="009165D0" w:rsidRPr="001D3CC2" w:rsidRDefault="00671515" w:rsidP="00671515">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323AD0">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3FE50858" w:rsidR="009165D0" w:rsidRDefault="00671515" w:rsidP="0067151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323AD0">
                        <w:rPr>
                          <w:rFonts w:ascii="Century Gothic" w:hAnsi="Century Gothic"/>
                          <w:sz w:val="20"/>
                          <w:szCs w:val="20"/>
                        </w:rPr>
                        <w:t>No</w:t>
                      </w:r>
                    </w:p>
                    <w:p w14:paraId="3A4C7296" w14:textId="63F81907" w:rsidR="009165D0" w:rsidRPr="001D3CC2" w:rsidRDefault="00671515" w:rsidP="00671515">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323AD0">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04919B1B" w14:textId="18AF742C" w:rsidR="001D3CC2" w:rsidRDefault="001D3CC2" w:rsidP="006C43D7">
      <w:pPr>
        <w:spacing w:line="480" w:lineRule="auto"/>
        <w:jc w:val="both"/>
        <w:rPr>
          <w:rFonts w:cs="Arial"/>
          <w:szCs w:val="22"/>
        </w:rPr>
      </w:pPr>
    </w:p>
    <w:p w14:paraId="2A3E8EC7" w14:textId="35BFF3B1" w:rsidR="00CC48E3" w:rsidRPr="0009745A" w:rsidRDefault="00CC48E3" w:rsidP="00CC48E3">
      <w:pPr>
        <w:rPr>
          <w:rFonts w:cs="Arial"/>
          <w:szCs w:val="22"/>
        </w:rPr>
      </w:pPr>
    </w:p>
    <w:p w14:paraId="3CF828F5" w14:textId="08ADA014" w:rsidR="00CC48E3" w:rsidRDefault="00CC48E3" w:rsidP="00CC48E3">
      <w:pPr>
        <w:rPr>
          <w:rFonts w:cs="Arial"/>
          <w:szCs w:val="22"/>
        </w:rPr>
      </w:pPr>
      <w:r w:rsidRPr="0009745A">
        <w:rPr>
          <w:rFonts w:cs="Arial"/>
          <w:szCs w:val="22"/>
        </w:rPr>
        <w:t>In the matter between –</w:t>
      </w:r>
    </w:p>
    <w:p w14:paraId="684CF908" w14:textId="6BFAA436" w:rsidR="002369D8" w:rsidRDefault="002369D8" w:rsidP="00CC48E3">
      <w:pPr>
        <w:rPr>
          <w:rFonts w:cs="Arial"/>
          <w:szCs w:val="22"/>
        </w:rPr>
      </w:pPr>
    </w:p>
    <w:p w14:paraId="5CA8F57B" w14:textId="3A5CECEB" w:rsidR="006C43D7" w:rsidRPr="0009745A" w:rsidRDefault="006C43D7" w:rsidP="00016C5A">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C35C76" w:rsidRPr="0009745A" w14:paraId="3F391BAE" w14:textId="77777777" w:rsidTr="00870ECF">
        <w:tc>
          <w:tcPr>
            <w:tcW w:w="6379" w:type="dxa"/>
          </w:tcPr>
          <w:p w14:paraId="14A5291F" w14:textId="28A3F304" w:rsidR="00C35C76" w:rsidRPr="0009745A" w:rsidRDefault="00106EB5" w:rsidP="00B7031E">
            <w:pPr>
              <w:autoSpaceDE w:val="0"/>
              <w:autoSpaceDN w:val="0"/>
              <w:adjustRightInd w:val="0"/>
              <w:spacing w:before="120" w:after="120"/>
              <w:rPr>
                <w:rFonts w:cs="Arial"/>
                <w:b/>
                <w:bCs/>
                <w:szCs w:val="22"/>
              </w:rPr>
            </w:pPr>
            <w:r>
              <w:rPr>
                <w:rFonts w:cs="Arial"/>
                <w:b/>
                <w:bCs/>
                <w:szCs w:val="22"/>
              </w:rPr>
              <w:t>M, S L</w:t>
            </w:r>
          </w:p>
        </w:tc>
        <w:tc>
          <w:tcPr>
            <w:tcW w:w="2637" w:type="dxa"/>
          </w:tcPr>
          <w:p w14:paraId="1F273C18" w14:textId="031AE901" w:rsidR="00C35C76" w:rsidRPr="0009745A" w:rsidRDefault="002369D8" w:rsidP="00B7031E">
            <w:pPr>
              <w:spacing w:before="120" w:after="120"/>
              <w:jc w:val="both"/>
              <w:rPr>
                <w:rFonts w:cs="Arial"/>
                <w:szCs w:val="22"/>
              </w:rPr>
            </w:pPr>
            <w:r>
              <w:rPr>
                <w:rFonts w:cs="Arial"/>
                <w:szCs w:val="22"/>
              </w:rPr>
              <w:t>PLAINTIFF</w:t>
            </w:r>
          </w:p>
        </w:tc>
      </w:tr>
      <w:tr w:rsidR="00C35C76" w:rsidRPr="0009745A" w14:paraId="4FC5C5F1" w14:textId="77777777" w:rsidTr="00870ECF">
        <w:tc>
          <w:tcPr>
            <w:tcW w:w="6379" w:type="dxa"/>
          </w:tcPr>
          <w:p w14:paraId="66607EB5" w14:textId="77777777" w:rsidR="00B7031E" w:rsidRPr="0009745A" w:rsidRDefault="00B7031E" w:rsidP="00B7031E">
            <w:pPr>
              <w:autoSpaceDE w:val="0"/>
              <w:autoSpaceDN w:val="0"/>
              <w:adjustRightInd w:val="0"/>
              <w:spacing w:before="120" w:after="120"/>
              <w:rPr>
                <w:rFonts w:cs="Arial"/>
                <w:szCs w:val="22"/>
              </w:rPr>
            </w:pPr>
          </w:p>
          <w:p w14:paraId="7FC1C32A" w14:textId="6C968B07" w:rsidR="00C35C76" w:rsidRPr="0009745A" w:rsidRDefault="00C35C76" w:rsidP="00B7031E">
            <w:pPr>
              <w:autoSpaceDE w:val="0"/>
              <w:autoSpaceDN w:val="0"/>
              <w:adjustRightInd w:val="0"/>
              <w:spacing w:before="120" w:after="120"/>
              <w:rPr>
                <w:rFonts w:cs="Arial"/>
                <w:szCs w:val="22"/>
              </w:rPr>
            </w:pPr>
            <w:r w:rsidRPr="0009745A">
              <w:rPr>
                <w:rFonts w:cs="Arial"/>
                <w:szCs w:val="22"/>
              </w:rPr>
              <w:t>AND</w:t>
            </w:r>
          </w:p>
          <w:p w14:paraId="0CE7B1D3" w14:textId="77777777" w:rsidR="00C35C76" w:rsidRPr="0009745A" w:rsidRDefault="00C35C76" w:rsidP="00B7031E">
            <w:pPr>
              <w:spacing w:before="120" w:after="120"/>
              <w:jc w:val="both"/>
              <w:rPr>
                <w:rFonts w:cs="Arial"/>
                <w:szCs w:val="22"/>
              </w:rPr>
            </w:pPr>
          </w:p>
        </w:tc>
        <w:tc>
          <w:tcPr>
            <w:tcW w:w="2637" w:type="dxa"/>
          </w:tcPr>
          <w:p w14:paraId="2F9DB216" w14:textId="77777777" w:rsidR="00C35C76" w:rsidRPr="0009745A" w:rsidRDefault="00C35C76" w:rsidP="00B7031E">
            <w:pPr>
              <w:spacing w:before="120" w:after="120"/>
              <w:jc w:val="both"/>
              <w:rPr>
                <w:rFonts w:cs="Arial"/>
                <w:szCs w:val="22"/>
              </w:rPr>
            </w:pPr>
          </w:p>
        </w:tc>
      </w:tr>
      <w:tr w:rsidR="00C35C76" w:rsidRPr="0009745A" w14:paraId="049E5813" w14:textId="77777777" w:rsidTr="00870ECF">
        <w:tc>
          <w:tcPr>
            <w:tcW w:w="6379" w:type="dxa"/>
          </w:tcPr>
          <w:p w14:paraId="7147811E" w14:textId="29661C3A" w:rsidR="00C35C76" w:rsidRPr="0009745A" w:rsidRDefault="00106EB5" w:rsidP="00B7031E">
            <w:pPr>
              <w:spacing w:before="120" w:after="120"/>
              <w:jc w:val="both"/>
              <w:rPr>
                <w:rFonts w:cs="Arial"/>
                <w:szCs w:val="22"/>
              </w:rPr>
            </w:pPr>
            <w:r>
              <w:rPr>
                <w:rFonts w:cs="Arial"/>
                <w:b/>
                <w:bCs/>
                <w:szCs w:val="22"/>
              </w:rPr>
              <w:t>M, B</w:t>
            </w:r>
          </w:p>
        </w:tc>
        <w:tc>
          <w:tcPr>
            <w:tcW w:w="2637" w:type="dxa"/>
          </w:tcPr>
          <w:p w14:paraId="5F31628B" w14:textId="218BC330" w:rsidR="00C35C76" w:rsidRPr="0009745A" w:rsidRDefault="002369D8" w:rsidP="003C3AC6">
            <w:pPr>
              <w:autoSpaceDE w:val="0"/>
              <w:autoSpaceDN w:val="0"/>
              <w:adjustRightInd w:val="0"/>
              <w:spacing w:before="120" w:after="120"/>
              <w:rPr>
                <w:rFonts w:cs="Arial"/>
                <w:szCs w:val="22"/>
              </w:rPr>
            </w:pPr>
            <w:r>
              <w:rPr>
                <w:rFonts w:cs="Arial"/>
                <w:szCs w:val="22"/>
              </w:rPr>
              <w:t>DEFENDANT</w:t>
            </w:r>
          </w:p>
        </w:tc>
      </w:tr>
    </w:tbl>
    <w:p w14:paraId="388C59CF" w14:textId="77777777" w:rsidR="005C13D7" w:rsidRDefault="005C13D7" w:rsidP="00F2485C">
      <w:pPr>
        <w:spacing w:line="360" w:lineRule="auto"/>
        <w:jc w:val="both"/>
        <w:rPr>
          <w:b/>
        </w:rPr>
      </w:pPr>
    </w:p>
    <w:p w14:paraId="40C8418C" w14:textId="64D3FD15" w:rsidR="00F2485C" w:rsidRPr="0009745A" w:rsidRDefault="00F2485C" w:rsidP="00F2485C">
      <w:pPr>
        <w:spacing w:line="360" w:lineRule="auto"/>
        <w:jc w:val="both"/>
        <w:rPr>
          <w:rFonts w:cs="Arial"/>
          <w:szCs w:val="22"/>
        </w:rPr>
      </w:pPr>
      <w:r w:rsidRPr="003A0BED">
        <w:rPr>
          <w:b/>
        </w:rPr>
        <w:t>Neutral Citation</w:t>
      </w:r>
      <w:r>
        <w:t xml:space="preserve">: </w:t>
      </w:r>
      <w:r w:rsidR="00106EB5">
        <w:rPr>
          <w:i/>
        </w:rPr>
        <w:t>M</w:t>
      </w:r>
      <w:r w:rsidRPr="003A0BED">
        <w:rPr>
          <w:i/>
        </w:rPr>
        <w:t xml:space="preserve"> v </w:t>
      </w:r>
      <w:r w:rsidR="00106EB5">
        <w:rPr>
          <w:i/>
        </w:rPr>
        <w:t>M</w:t>
      </w:r>
      <w:r w:rsidRPr="003A0BED">
        <w:rPr>
          <w:i/>
        </w:rPr>
        <w:t xml:space="preserve"> </w:t>
      </w:r>
      <w:r>
        <w:t>(Case No.</w:t>
      </w:r>
      <w:r w:rsidRPr="00F2485C">
        <w:rPr>
          <w:bCs/>
        </w:rPr>
        <w:t xml:space="preserve"> </w:t>
      </w:r>
      <w:r w:rsidRPr="00F2485C">
        <w:rPr>
          <w:rFonts w:cs="Arial"/>
          <w:bCs/>
          <w:szCs w:val="22"/>
        </w:rPr>
        <w:t>2017/30005</w:t>
      </w:r>
      <w:r>
        <w:t xml:space="preserve">) [2023] ZAGPJHC </w:t>
      </w:r>
      <w:r w:rsidR="004736CB">
        <w:rPr>
          <w:rFonts w:cs="Arial"/>
          <w:color w:val="000000"/>
          <w:lang w:eastAsia="en-ZA"/>
        </w:rPr>
        <w:t>546</w:t>
      </w:r>
      <w:r w:rsidR="004736CB">
        <w:t xml:space="preserve"> </w:t>
      </w:r>
      <w:r>
        <w:t>(</w:t>
      </w:r>
      <w:r w:rsidR="004736CB">
        <w:t>23 May 2023</w:t>
      </w:r>
      <w:r w:rsidR="00C060C4">
        <w:t>)</w:t>
      </w:r>
    </w:p>
    <w:p w14:paraId="387BBDD6" w14:textId="77777777" w:rsidR="00BF086D" w:rsidRDefault="00BF086D" w:rsidP="006C43D7">
      <w:pPr>
        <w:pBdr>
          <w:bottom w:val="single" w:sz="4" w:space="1" w:color="auto"/>
        </w:pBdr>
        <w:spacing w:line="360" w:lineRule="auto"/>
        <w:jc w:val="both"/>
        <w:rPr>
          <w:rFonts w:cs="Arial"/>
          <w:szCs w:val="22"/>
        </w:rPr>
      </w:pPr>
    </w:p>
    <w:p w14:paraId="0850DF1B" w14:textId="77777777" w:rsidR="00F2485C" w:rsidRPr="0009745A" w:rsidRDefault="00F2485C" w:rsidP="006C43D7">
      <w:pPr>
        <w:pBdr>
          <w:bottom w:val="single" w:sz="4" w:space="1" w:color="auto"/>
        </w:pBdr>
        <w:spacing w:line="360" w:lineRule="auto"/>
        <w:jc w:val="both"/>
        <w:rPr>
          <w:rFonts w:cs="Arial"/>
          <w:szCs w:val="22"/>
        </w:rPr>
      </w:pPr>
    </w:p>
    <w:p w14:paraId="58DE5549" w14:textId="77777777" w:rsidR="006C43D7" w:rsidRPr="0009745A" w:rsidRDefault="006C43D7" w:rsidP="006C43D7">
      <w:pPr>
        <w:spacing w:line="276" w:lineRule="auto"/>
        <w:jc w:val="both"/>
        <w:rPr>
          <w:rFonts w:cs="Arial"/>
          <w:szCs w:val="22"/>
        </w:rPr>
      </w:pPr>
    </w:p>
    <w:p w14:paraId="647AB70C" w14:textId="77777777" w:rsidR="006C43D7" w:rsidRPr="0009745A" w:rsidRDefault="006C43D7" w:rsidP="006C43D7">
      <w:pPr>
        <w:keepNext/>
        <w:spacing w:line="276" w:lineRule="auto"/>
        <w:jc w:val="center"/>
        <w:outlineLvl w:val="1"/>
        <w:rPr>
          <w:rFonts w:cs="Arial"/>
          <w:b/>
          <w:bCs/>
          <w:szCs w:val="22"/>
        </w:rPr>
      </w:pPr>
      <w:r w:rsidRPr="0009745A">
        <w:rPr>
          <w:rFonts w:cs="Arial"/>
          <w:b/>
          <w:bCs/>
          <w:szCs w:val="22"/>
        </w:rPr>
        <w:t>JUDGMENT</w:t>
      </w:r>
    </w:p>
    <w:p w14:paraId="52CD25EB" w14:textId="77777777" w:rsidR="006C43D7" w:rsidRPr="0009745A" w:rsidRDefault="006C43D7" w:rsidP="006C43D7">
      <w:pPr>
        <w:pBdr>
          <w:bottom w:val="single" w:sz="4" w:space="1" w:color="auto"/>
        </w:pBdr>
        <w:jc w:val="both"/>
        <w:rPr>
          <w:rFonts w:cs="Arial"/>
          <w:szCs w:val="22"/>
        </w:rPr>
      </w:pPr>
    </w:p>
    <w:p w14:paraId="5BD82EFE" w14:textId="0F8FBF70" w:rsidR="00BE6AB8" w:rsidRPr="0009745A" w:rsidRDefault="00C676F3" w:rsidP="00250A46">
      <w:pPr>
        <w:widowControl w:val="0"/>
        <w:spacing w:after="480" w:line="480" w:lineRule="auto"/>
        <w:jc w:val="both"/>
        <w:rPr>
          <w:rFonts w:cs="Arial"/>
          <w:b/>
          <w:szCs w:val="22"/>
        </w:rPr>
      </w:pPr>
      <w:r w:rsidRPr="0009745A">
        <w:rPr>
          <w:rFonts w:cs="Arial"/>
          <w:b/>
          <w:szCs w:val="22"/>
        </w:rPr>
        <w:t>MOORCROFT</w:t>
      </w:r>
      <w:r w:rsidR="006C43D7" w:rsidRPr="0009745A">
        <w:rPr>
          <w:rFonts w:cs="Arial"/>
          <w:b/>
          <w:szCs w:val="22"/>
        </w:rPr>
        <w:t xml:space="preserve"> AJ:</w:t>
      </w:r>
    </w:p>
    <w:p w14:paraId="10D6BD31" w14:textId="696957DB" w:rsidR="00131957" w:rsidRPr="0009745A" w:rsidRDefault="00131957" w:rsidP="00250A46">
      <w:pPr>
        <w:widowControl w:val="0"/>
        <w:spacing w:after="480" w:line="480" w:lineRule="auto"/>
        <w:jc w:val="both"/>
        <w:rPr>
          <w:rFonts w:cs="Arial"/>
          <w:bCs/>
          <w:i/>
          <w:iCs/>
          <w:szCs w:val="22"/>
          <w:u w:val="single"/>
        </w:rPr>
      </w:pPr>
      <w:r w:rsidRPr="0009745A">
        <w:rPr>
          <w:rFonts w:cs="Arial"/>
          <w:bCs/>
          <w:i/>
          <w:iCs/>
          <w:szCs w:val="22"/>
          <w:u w:val="single"/>
        </w:rPr>
        <w:lastRenderedPageBreak/>
        <w:t>Summary</w:t>
      </w:r>
    </w:p>
    <w:p w14:paraId="7CA20046" w14:textId="63073843" w:rsidR="00ED1795" w:rsidRDefault="00416605" w:rsidP="00250A46">
      <w:pPr>
        <w:widowControl w:val="0"/>
        <w:spacing w:after="480" w:line="480" w:lineRule="auto"/>
        <w:jc w:val="both"/>
        <w:rPr>
          <w:rFonts w:cs="Arial"/>
          <w:bCs/>
          <w:i/>
          <w:iCs/>
          <w:szCs w:val="22"/>
        </w:rPr>
      </w:pPr>
      <w:r>
        <w:rPr>
          <w:rFonts w:cs="Arial"/>
          <w:bCs/>
          <w:i/>
          <w:iCs/>
          <w:szCs w:val="22"/>
        </w:rPr>
        <w:t>Freedom to contract - Settlement agreement in divorce action – maintenance obligation undertaken until death of the defendant</w:t>
      </w:r>
      <w:r w:rsidR="004A51A4">
        <w:rPr>
          <w:rFonts w:cs="Arial"/>
          <w:bCs/>
          <w:i/>
          <w:iCs/>
          <w:szCs w:val="22"/>
        </w:rPr>
        <w:t xml:space="preserve"> – section 7(1) of Divorce Act, 70 of 1979</w:t>
      </w:r>
    </w:p>
    <w:p w14:paraId="36B6BE7C" w14:textId="0856F4E9" w:rsidR="00ED1795" w:rsidRDefault="00ED1795" w:rsidP="00250A46">
      <w:pPr>
        <w:widowControl w:val="0"/>
        <w:spacing w:after="480" w:line="480" w:lineRule="auto"/>
        <w:jc w:val="both"/>
        <w:rPr>
          <w:rFonts w:cs="Arial"/>
          <w:bCs/>
          <w:i/>
          <w:iCs/>
          <w:szCs w:val="22"/>
        </w:rPr>
      </w:pPr>
      <w:r>
        <w:rPr>
          <w:rFonts w:cs="Arial"/>
          <w:bCs/>
          <w:i/>
          <w:iCs/>
          <w:szCs w:val="22"/>
        </w:rPr>
        <w:t>Tacit and implied terms distinguished –</w:t>
      </w:r>
      <w:r w:rsidR="00D47766">
        <w:rPr>
          <w:rFonts w:cs="Arial"/>
          <w:bCs/>
          <w:i/>
          <w:iCs/>
          <w:szCs w:val="22"/>
        </w:rPr>
        <w:t xml:space="preserve">a </w:t>
      </w:r>
      <w:r>
        <w:rPr>
          <w:rFonts w:cs="Arial"/>
          <w:bCs/>
          <w:i/>
          <w:iCs/>
          <w:szCs w:val="22"/>
        </w:rPr>
        <w:t xml:space="preserve"> tacit term</w:t>
      </w:r>
      <w:r w:rsidR="00D47766">
        <w:rPr>
          <w:rFonts w:cs="Arial"/>
          <w:bCs/>
          <w:i/>
          <w:iCs/>
          <w:szCs w:val="22"/>
        </w:rPr>
        <w:t xml:space="preserve"> is a term</w:t>
      </w:r>
      <w:r>
        <w:rPr>
          <w:rFonts w:cs="Arial"/>
          <w:bCs/>
          <w:i/>
          <w:iCs/>
          <w:szCs w:val="22"/>
        </w:rPr>
        <w:t xml:space="preserve"> agreed to by parties</w:t>
      </w:r>
      <w:r w:rsidR="00D47766">
        <w:rPr>
          <w:rFonts w:cs="Arial"/>
          <w:bCs/>
          <w:i/>
          <w:iCs/>
          <w:szCs w:val="22"/>
        </w:rPr>
        <w:t xml:space="preserve"> tacitly</w:t>
      </w:r>
      <w:r>
        <w:rPr>
          <w:rFonts w:cs="Arial"/>
          <w:bCs/>
          <w:i/>
          <w:iCs/>
          <w:szCs w:val="22"/>
        </w:rPr>
        <w:t xml:space="preserve"> but not reduced to writing –</w:t>
      </w:r>
      <w:r w:rsidR="00D47766">
        <w:rPr>
          <w:rFonts w:cs="Arial"/>
          <w:bCs/>
          <w:i/>
          <w:iCs/>
          <w:szCs w:val="22"/>
        </w:rPr>
        <w:t xml:space="preserve"> an</w:t>
      </w:r>
      <w:r>
        <w:rPr>
          <w:rFonts w:cs="Arial"/>
          <w:bCs/>
          <w:i/>
          <w:iCs/>
          <w:szCs w:val="22"/>
        </w:rPr>
        <w:t xml:space="preserve"> implied term </w:t>
      </w:r>
      <w:r w:rsidR="00D47766">
        <w:rPr>
          <w:rFonts w:cs="Arial"/>
          <w:bCs/>
          <w:i/>
          <w:iCs/>
          <w:szCs w:val="22"/>
        </w:rPr>
        <w:t xml:space="preserve">is a term </w:t>
      </w:r>
      <w:r>
        <w:rPr>
          <w:rFonts w:cs="Arial"/>
          <w:bCs/>
          <w:i/>
          <w:iCs/>
          <w:szCs w:val="22"/>
        </w:rPr>
        <w:t xml:space="preserve">implied by law </w:t>
      </w:r>
    </w:p>
    <w:p w14:paraId="710772CC" w14:textId="77777777" w:rsidR="004A51A4" w:rsidRDefault="00ED1795" w:rsidP="00250A46">
      <w:pPr>
        <w:widowControl w:val="0"/>
        <w:spacing w:after="480" w:line="480" w:lineRule="auto"/>
        <w:jc w:val="both"/>
        <w:rPr>
          <w:rFonts w:cs="Arial"/>
          <w:bCs/>
          <w:i/>
          <w:iCs/>
          <w:szCs w:val="22"/>
        </w:rPr>
      </w:pPr>
      <w:r>
        <w:rPr>
          <w:rFonts w:cs="Arial"/>
          <w:bCs/>
          <w:i/>
          <w:iCs/>
          <w:szCs w:val="22"/>
        </w:rPr>
        <w:t>N</w:t>
      </w:r>
      <w:r w:rsidR="00416605">
        <w:rPr>
          <w:rFonts w:cs="Arial"/>
          <w:bCs/>
          <w:i/>
          <w:iCs/>
          <w:szCs w:val="22"/>
        </w:rPr>
        <w:t xml:space="preserve">o case made out for a tacit or implied term that obligation ceases upon remarriage </w:t>
      </w:r>
    </w:p>
    <w:p w14:paraId="3C907970" w14:textId="77777777" w:rsidR="00D47766" w:rsidRDefault="004A51A4" w:rsidP="00250A46">
      <w:pPr>
        <w:widowControl w:val="0"/>
        <w:spacing w:after="480" w:line="480" w:lineRule="auto"/>
        <w:jc w:val="both"/>
        <w:rPr>
          <w:rFonts w:cs="Arial"/>
          <w:bCs/>
          <w:i/>
          <w:iCs/>
          <w:szCs w:val="22"/>
        </w:rPr>
      </w:pPr>
      <w:r>
        <w:rPr>
          <w:rFonts w:cs="Arial"/>
          <w:bCs/>
          <w:i/>
          <w:iCs/>
          <w:szCs w:val="22"/>
        </w:rPr>
        <w:t xml:space="preserve">Rescission </w:t>
      </w:r>
      <w:r w:rsidR="00416605">
        <w:rPr>
          <w:rFonts w:cs="Arial"/>
          <w:bCs/>
          <w:i/>
          <w:iCs/>
          <w:szCs w:val="22"/>
        </w:rPr>
        <w:t>–</w:t>
      </w:r>
      <w:r>
        <w:rPr>
          <w:rFonts w:cs="Arial"/>
          <w:bCs/>
          <w:i/>
          <w:iCs/>
          <w:szCs w:val="22"/>
        </w:rPr>
        <w:t xml:space="preserve"> section 8 of Divorce Act -</w:t>
      </w:r>
      <w:r w:rsidR="00D47766">
        <w:rPr>
          <w:rFonts w:cs="Arial"/>
          <w:bCs/>
          <w:i/>
          <w:iCs/>
          <w:szCs w:val="22"/>
        </w:rPr>
        <w:t xml:space="preserve"> </w:t>
      </w:r>
      <w:r>
        <w:rPr>
          <w:rFonts w:cs="Arial"/>
          <w:bCs/>
          <w:i/>
          <w:iCs/>
          <w:szCs w:val="22"/>
        </w:rPr>
        <w:t>good reason or good cause</w:t>
      </w:r>
      <w:r w:rsidR="00D47766">
        <w:rPr>
          <w:rFonts w:cs="Arial"/>
          <w:bCs/>
          <w:i/>
          <w:iCs/>
          <w:szCs w:val="22"/>
        </w:rPr>
        <w:t xml:space="preserve"> -</w:t>
      </w:r>
      <w:r w:rsidR="00416605">
        <w:rPr>
          <w:rFonts w:cs="Arial"/>
          <w:bCs/>
          <w:i/>
          <w:iCs/>
          <w:szCs w:val="22"/>
        </w:rPr>
        <w:t xml:space="preserve"> no justification for rescinding clause dealing with maintenance obligation</w:t>
      </w:r>
    </w:p>
    <w:p w14:paraId="293368FE" w14:textId="55D228F3" w:rsidR="004E34C1" w:rsidRDefault="00D47766" w:rsidP="00250A46">
      <w:pPr>
        <w:widowControl w:val="0"/>
        <w:spacing w:after="480" w:line="480" w:lineRule="auto"/>
        <w:jc w:val="both"/>
        <w:rPr>
          <w:rFonts w:cs="Arial"/>
          <w:bCs/>
          <w:i/>
          <w:iCs/>
          <w:szCs w:val="22"/>
        </w:rPr>
      </w:pPr>
      <w:r>
        <w:rPr>
          <w:rFonts w:cs="Arial"/>
          <w:bCs/>
          <w:i/>
          <w:iCs/>
          <w:szCs w:val="22"/>
        </w:rPr>
        <w:t>N</w:t>
      </w:r>
      <w:r w:rsidR="00416605">
        <w:rPr>
          <w:rFonts w:cs="Arial"/>
          <w:bCs/>
          <w:i/>
          <w:iCs/>
          <w:szCs w:val="22"/>
        </w:rPr>
        <w:t>o justification for holding that divorce order granted by consent was incompetent because the maintenance obligation was not terminable by remarriage or cohabitation</w:t>
      </w:r>
    </w:p>
    <w:p w14:paraId="6F2E03D0" w14:textId="77777777" w:rsidR="0009745A" w:rsidRDefault="0009745A" w:rsidP="00250A46">
      <w:pPr>
        <w:widowControl w:val="0"/>
        <w:spacing w:after="480" w:line="480" w:lineRule="auto"/>
        <w:jc w:val="both"/>
        <w:rPr>
          <w:rFonts w:cs="Arial"/>
          <w:bCs/>
          <w:szCs w:val="22"/>
          <w:u w:val="single"/>
        </w:rPr>
      </w:pPr>
    </w:p>
    <w:p w14:paraId="32DA3C2C" w14:textId="152CB525" w:rsidR="003A6F23" w:rsidRPr="0009745A" w:rsidRDefault="003A6F23" w:rsidP="00250A46">
      <w:pPr>
        <w:widowControl w:val="0"/>
        <w:spacing w:after="480" w:line="480" w:lineRule="auto"/>
        <w:jc w:val="both"/>
        <w:rPr>
          <w:rFonts w:cs="Arial"/>
          <w:bCs/>
          <w:szCs w:val="22"/>
          <w:u w:val="single"/>
        </w:rPr>
      </w:pPr>
      <w:r w:rsidRPr="0009745A">
        <w:rPr>
          <w:rFonts w:cs="Arial"/>
          <w:bCs/>
          <w:szCs w:val="22"/>
          <w:u w:val="single"/>
        </w:rPr>
        <w:t>Order</w:t>
      </w:r>
    </w:p>
    <w:p w14:paraId="794327A4" w14:textId="34135030" w:rsidR="003A6F23" w:rsidRDefault="00671515" w:rsidP="00671515">
      <w:pPr>
        <w:widowControl w:val="0"/>
        <w:tabs>
          <w:tab w:val="left" w:pos="567"/>
        </w:tabs>
        <w:spacing w:after="480" w:line="480" w:lineRule="auto"/>
        <w:jc w:val="both"/>
        <w:rPr>
          <w:rFonts w:cs="Arial"/>
          <w:bCs/>
          <w:szCs w:val="22"/>
        </w:rPr>
      </w:pPr>
      <w:r>
        <w:rPr>
          <w:rFonts w:cs="Arial"/>
          <w:bCs/>
          <w:szCs w:val="22"/>
        </w:rPr>
        <w:t>[1]</w:t>
      </w:r>
      <w:r>
        <w:rPr>
          <w:rFonts w:cs="Arial"/>
          <w:bCs/>
          <w:szCs w:val="22"/>
        </w:rPr>
        <w:tab/>
      </w:r>
      <w:r w:rsidR="00B87B26" w:rsidRPr="0009745A">
        <w:rPr>
          <w:rFonts w:cs="Arial"/>
          <w:bCs/>
          <w:szCs w:val="22"/>
        </w:rPr>
        <w:t>I ma</w:t>
      </w:r>
      <w:r w:rsidR="00FA2987" w:rsidRPr="0009745A">
        <w:rPr>
          <w:rFonts w:cs="Arial"/>
          <w:bCs/>
          <w:szCs w:val="22"/>
        </w:rPr>
        <w:t>k</w:t>
      </w:r>
      <w:r w:rsidR="00B87B26" w:rsidRPr="0009745A">
        <w:rPr>
          <w:rFonts w:cs="Arial"/>
          <w:bCs/>
          <w:szCs w:val="22"/>
        </w:rPr>
        <w:t>e the following order</w:t>
      </w:r>
      <w:r w:rsidR="005A27EF" w:rsidRPr="0009745A">
        <w:rPr>
          <w:rFonts w:cs="Arial"/>
          <w:bCs/>
          <w:szCs w:val="22"/>
        </w:rPr>
        <w:t>:</w:t>
      </w:r>
    </w:p>
    <w:p w14:paraId="3F3B9F71" w14:textId="408471EC" w:rsidR="00B2726B" w:rsidRDefault="00671515" w:rsidP="00671515">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1.</w:t>
      </w:r>
      <w:r>
        <w:rPr>
          <w:rFonts w:ascii="Arial" w:hAnsi="Arial" w:cs="Arial"/>
          <w:i/>
          <w:sz w:val="22"/>
          <w:szCs w:val="22"/>
          <w:lang w:val="en-GB"/>
        </w:rPr>
        <w:tab/>
      </w:r>
      <w:r w:rsidR="00323AD0">
        <w:rPr>
          <w:rFonts w:ascii="Arial" w:hAnsi="Arial" w:cs="Arial"/>
          <w:i/>
          <w:sz w:val="22"/>
          <w:szCs w:val="22"/>
          <w:lang w:val="en-GB"/>
        </w:rPr>
        <w:t>The action dismissed;</w:t>
      </w:r>
    </w:p>
    <w:p w14:paraId="2BFD5A56" w14:textId="5674238B" w:rsidR="00B2726B" w:rsidRDefault="00671515" w:rsidP="00671515">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2.</w:t>
      </w:r>
      <w:r>
        <w:rPr>
          <w:rFonts w:ascii="Arial" w:hAnsi="Arial" w:cs="Arial"/>
          <w:i/>
          <w:sz w:val="22"/>
          <w:szCs w:val="22"/>
          <w:lang w:val="en-GB"/>
        </w:rPr>
        <w:tab/>
      </w:r>
      <w:r w:rsidR="00323AD0">
        <w:rPr>
          <w:rFonts w:ascii="Arial" w:hAnsi="Arial" w:cs="Arial"/>
          <w:i/>
          <w:sz w:val="22"/>
          <w:szCs w:val="22"/>
          <w:lang w:val="en-GB"/>
        </w:rPr>
        <w:t xml:space="preserve">The plaintiff is ordered to pay the </w:t>
      </w:r>
      <w:r w:rsidR="00416605">
        <w:rPr>
          <w:rFonts w:ascii="Arial" w:hAnsi="Arial" w:cs="Arial"/>
          <w:i/>
          <w:sz w:val="22"/>
          <w:szCs w:val="22"/>
          <w:lang w:val="en-GB"/>
        </w:rPr>
        <w:t xml:space="preserve">defendant’s </w:t>
      </w:r>
      <w:r w:rsidR="00323AD0">
        <w:rPr>
          <w:rFonts w:ascii="Arial" w:hAnsi="Arial" w:cs="Arial"/>
          <w:i/>
          <w:sz w:val="22"/>
          <w:szCs w:val="22"/>
          <w:lang w:val="en-GB"/>
        </w:rPr>
        <w:t>costs, such costs to include the costs reserved on 25 May 2022.</w:t>
      </w:r>
    </w:p>
    <w:p w14:paraId="19E04392" w14:textId="340F9FD9" w:rsidR="00A72651" w:rsidRPr="0009745A" w:rsidRDefault="00671515" w:rsidP="00671515">
      <w:pPr>
        <w:widowControl w:val="0"/>
        <w:tabs>
          <w:tab w:val="left" w:pos="567"/>
        </w:tabs>
        <w:spacing w:before="480" w:after="480" w:line="360" w:lineRule="auto"/>
        <w:jc w:val="both"/>
        <w:rPr>
          <w:rFonts w:cs="Arial"/>
          <w:bCs/>
          <w:szCs w:val="22"/>
        </w:rPr>
      </w:pPr>
      <w:r w:rsidRPr="0009745A">
        <w:rPr>
          <w:rFonts w:cs="Arial"/>
          <w:bCs/>
          <w:szCs w:val="22"/>
        </w:rPr>
        <w:t>[2]</w:t>
      </w:r>
      <w:r w:rsidRPr="0009745A">
        <w:rPr>
          <w:rFonts w:cs="Arial"/>
          <w:bCs/>
          <w:szCs w:val="22"/>
        </w:rPr>
        <w:tab/>
      </w:r>
      <w:r w:rsidR="003A6F23" w:rsidRPr="0009745A">
        <w:rPr>
          <w:rFonts w:cs="Arial"/>
          <w:bCs/>
          <w:szCs w:val="22"/>
        </w:rPr>
        <w:t xml:space="preserve">The reasons for the order </w:t>
      </w:r>
      <w:r w:rsidR="006145CE" w:rsidRPr="0009745A">
        <w:rPr>
          <w:rFonts w:cs="Arial"/>
          <w:bCs/>
          <w:szCs w:val="22"/>
        </w:rPr>
        <w:t>follow</w:t>
      </w:r>
      <w:r w:rsidR="003A6F23" w:rsidRPr="0009745A">
        <w:rPr>
          <w:rFonts w:cs="Arial"/>
          <w:bCs/>
          <w:szCs w:val="22"/>
        </w:rPr>
        <w:t xml:space="preserve"> below.</w:t>
      </w:r>
    </w:p>
    <w:p w14:paraId="64AAFB5F" w14:textId="77777777" w:rsidR="00246429" w:rsidRDefault="00246429" w:rsidP="007133AE">
      <w:pPr>
        <w:keepNext/>
        <w:widowControl w:val="0"/>
        <w:spacing w:before="480" w:after="480" w:line="360" w:lineRule="auto"/>
        <w:jc w:val="both"/>
        <w:rPr>
          <w:rFonts w:cs="Arial"/>
          <w:bCs/>
          <w:szCs w:val="22"/>
          <w:u w:val="single"/>
        </w:rPr>
      </w:pPr>
    </w:p>
    <w:p w14:paraId="4C8D7BAB" w14:textId="39FAC6D7" w:rsidR="003A6F23" w:rsidRPr="0009745A" w:rsidRDefault="003A6F23" w:rsidP="007133AE">
      <w:pPr>
        <w:keepNext/>
        <w:widowControl w:val="0"/>
        <w:spacing w:before="480" w:after="480" w:line="360" w:lineRule="auto"/>
        <w:jc w:val="both"/>
        <w:rPr>
          <w:rFonts w:cs="Arial"/>
          <w:bCs/>
          <w:szCs w:val="22"/>
          <w:u w:val="single"/>
        </w:rPr>
      </w:pPr>
      <w:r w:rsidRPr="0009745A">
        <w:rPr>
          <w:rFonts w:cs="Arial"/>
          <w:bCs/>
          <w:szCs w:val="22"/>
          <w:u w:val="single"/>
        </w:rPr>
        <w:t>Introduction</w:t>
      </w:r>
    </w:p>
    <w:p w14:paraId="33F0D385" w14:textId="6A4D5701" w:rsidR="00ED5C69" w:rsidRDefault="00671515" w:rsidP="00671515">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ED5C69">
        <w:rPr>
          <w:rFonts w:cs="Arial"/>
          <w:bCs/>
          <w:szCs w:val="22"/>
        </w:rPr>
        <w:t>The litigation had its origins in an application launched in 20</w:t>
      </w:r>
      <w:r w:rsidR="00AE5BB7">
        <w:rPr>
          <w:rFonts w:cs="Arial"/>
          <w:bCs/>
          <w:szCs w:val="22"/>
        </w:rPr>
        <w:t>21</w:t>
      </w:r>
      <w:r w:rsidR="00ED5C69">
        <w:rPr>
          <w:rFonts w:cs="Arial"/>
          <w:bCs/>
          <w:szCs w:val="22"/>
        </w:rPr>
        <w:t xml:space="preserve"> in terms of which the applicant, now the plaintiff, sought an order that paragraph 2 of an order granted by Vorster AJ on 2</w:t>
      </w:r>
      <w:r w:rsidR="00323AD0">
        <w:rPr>
          <w:rFonts w:cs="Arial"/>
          <w:bCs/>
          <w:szCs w:val="22"/>
        </w:rPr>
        <w:t>0</w:t>
      </w:r>
      <w:r w:rsidR="00ED5C69">
        <w:rPr>
          <w:rFonts w:cs="Arial"/>
          <w:bCs/>
          <w:szCs w:val="22"/>
        </w:rPr>
        <w:t> October 2017, in terms of which a settlement agreement in a divorce action between the parties was made an order of Court</w:t>
      </w:r>
      <w:r w:rsidR="00323AD0">
        <w:rPr>
          <w:rFonts w:cs="Arial"/>
          <w:bCs/>
          <w:szCs w:val="22"/>
        </w:rPr>
        <w:t xml:space="preserve"> by consent</w:t>
      </w:r>
      <w:r w:rsidR="00ED5C69">
        <w:rPr>
          <w:rFonts w:cs="Arial"/>
          <w:bCs/>
          <w:szCs w:val="22"/>
        </w:rPr>
        <w:t xml:space="preserve">, be rescinded and set aside in terms of Uniform Rule 42, alternatively in terms of the common law, and alternatively in terms of </w:t>
      </w:r>
      <w:r w:rsidR="006F08A1">
        <w:rPr>
          <w:rFonts w:cs="Arial"/>
          <w:bCs/>
          <w:szCs w:val="22"/>
        </w:rPr>
        <w:t>s</w:t>
      </w:r>
      <w:r w:rsidR="00ED5C69">
        <w:rPr>
          <w:rFonts w:cs="Arial"/>
          <w:bCs/>
          <w:szCs w:val="22"/>
        </w:rPr>
        <w:t>ection 8 of the Divorce Act, 70 of 1979. In the alternative the plaintiff sought an order that the maintenance order as per the settlement agreement be discharged and/or varied.</w:t>
      </w:r>
    </w:p>
    <w:p w14:paraId="7BFC6874" w14:textId="7E8909E3" w:rsidR="00ED5C69" w:rsidRDefault="00671515" w:rsidP="00671515">
      <w:pPr>
        <w:widowControl w:val="0"/>
        <w:tabs>
          <w:tab w:val="left" w:pos="567"/>
        </w:tabs>
        <w:spacing w:before="480" w:after="480" w:line="360" w:lineRule="auto"/>
        <w:jc w:val="both"/>
        <w:rPr>
          <w:rFonts w:cs="Arial"/>
          <w:bCs/>
          <w:szCs w:val="22"/>
        </w:rPr>
      </w:pPr>
      <w:r>
        <w:rPr>
          <w:rFonts w:cs="Arial"/>
          <w:bCs/>
          <w:szCs w:val="22"/>
        </w:rPr>
        <w:t>[4]</w:t>
      </w:r>
      <w:r>
        <w:rPr>
          <w:rFonts w:cs="Arial"/>
          <w:bCs/>
          <w:szCs w:val="22"/>
        </w:rPr>
        <w:tab/>
      </w:r>
      <w:r w:rsidR="00323AD0">
        <w:rPr>
          <w:rFonts w:cs="Arial"/>
          <w:bCs/>
          <w:szCs w:val="22"/>
        </w:rPr>
        <w:t xml:space="preserve">The application came before Wright J. There were numerous disputes of fact on the papers that could not be resolved on application, and the matter was referred to trial. </w:t>
      </w:r>
      <w:r w:rsidR="00ED5C69">
        <w:rPr>
          <w:rFonts w:cs="Arial"/>
          <w:bCs/>
          <w:szCs w:val="22"/>
        </w:rPr>
        <w:t>In terms of the order by Wright J, the notice of motion was to stand as a simple summons, the notice to oppose as a notice of intention to defend, and the applicant was to deliver a declaration by 30 June 2022 after which the matter was to proceed as a trial action. The costs were reserved for determination by the Trial Court.</w:t>
      </w:r>
    </w:p>
    <w:p w14:paraId="39D5CF8B" w14:textId="49C7515C" w:rsidR="00E36F2A" w:rsidRPr="00E36F2A" w:rsidRDefault="00671515" w:rsidP="00671515">
      <w:pPr>
        <w:widowControl w:val="0"/>
        <w:tabs>
          <w:tab w:val="left" w:pos="567"/>
        </w:tabs>
        <w:spacing w:before="480" w:after="480" w:line="360" w:lineRule="auto"/>
        <w:jc w:val="both"/>
        <w:rPr>
          <w:rFonts w:cs="Arial"/>
          <w:bCs/>
          <w:szCs w:val="22"/>
        </w:rPr>
      </w:pPr>
      <w:r w:rsidRPr="00E36F2A">
        <w:rPr>
          <w:rFonts w:cs="Arial"/>
          <w:bCs/>
          <w:szCs w:val="22"/>
        </w:rPr>
        <w:t>[5]</w:t>
      </w:r>
      <w:r w:rsidRPr="00E36F2A">
        <w:rPr>
          <w:rFonts w:cs="Arial"/>
          <w:bCs/>
          <w:szCs w:val="22"/>
        </w:rPr>
        <w:tab/>
      </w:r>
      <w:r w:rsidR="00ED5C69" w:rsidRPr="00E36F2A">
        <w:rPr>
          <w:rFonts w:cs="Arial"/>
          <w:bCs/>
          <w:szCs w:val="22"/>
        </w:rPr>
        <w:t xml:space="preserve">The plaintiff thereafter filed a </w:t>
      </w:r>
      <w:r w:rsidR="00323AD0" w:rsidRPr="00E36F2A">
        <w:rPr>
          <w:rFonts w:cs="Arial"/>
          <w:bCs/>
          <w:szCs w:val="22"/>
        </w:rPr>
        <w:t>declaration</w:t>
      </w:r>
      <w:r w:rsidR="00ED5C69" w:rsidRPr="00E36F2A">
        <w:rPr>
          <w:rFonts w:cs="Arial"/>
          <w:bCs/>
          <w:szCs w:val="22"/>
        </w:rPr>
        <w:t xml:space="preserve"> that departed from the relief sought in the notice of motion</w:t>
      </w:r>
      <w:r w:rsidR="00D732C0" w:rsidRPr="00E36F2A">
        <w:rPr>
          <w:rFonts w:cs="Arial"/>
          <w:bCs/>
          <w:szCs w:val="22"/>
        </w:rPr>
        <w:t xml:space="preserve"> that stood as a simple summons</w:t>
      </w:r>
      <w:r w:rsidR="00ED5C69" w:rsidRPr="00E36F2A">
        <w:rPr>
          <w:rFonts w:cs="Arial"/>
          <w:bCs/>
          <w:szCs w:val="22"/>
        </w:rPr>
        <w:t xml:space="preserve"> </w:t>
      </w:r>
      <w:r w:rsidR="00416605" w:rsidRPr="00E36F2A">
        <w:rPr>
          <w:rFonts w:cs="Arial"/>
          <w:bCs/>
          <w:szCs w:val="22"/>
        </w:rPr>
        <w:t>and</w:t>
      </w:r>
      <w:r w:rsidR="00ED5C69" w:rsidRPr="00E36F2A">
        <w:rPr>
          <w:rFonts w:cs="Arial"/>
          <w:bCs/>
          <w:szCs w:val="22"/>
        </w:rPr>
        <w:t xml:space="preserve"> the defendant</w:t>
      </w:r>
      <w:r w:rsidR="00416605" w:rsidRPr="00E36F2A">
        <w:rPr>
          <w:rFonts w:cs="Arial"/>
          <w:bCs/>
          <w:szCs w:val="22"/>
        </w:rPr>
        <w:t xml:space="preserve"> filed a plea</w:t>
      </w:r>
      <w:r w:rsidR="00ED5C69" w:rsidRPr="00E36F2A">
        <w:rPr>
          <w:rFonts w:cs="Arial"/>
          <w:bCs/>
          <w:szCs w:val="22"/>
        </w:rPr>
        <w:t xml:space="preserve">. In the declaration the plaintiff now sought an order </w:t>
      </w:r>
    </w:p>
    <w:p w14:paraId="3C7686C2" w14:textId="2875C9B1" w:rsidR="00E36F2A" w:rsidRDefault="00671515" w:rsidP="00671515">
      <w:pPr>
        <w:widowControl w:val="0"/>
        <w:tabs>
          <w:tab w:val="left" w:pos="1418"/>
        </w:tabs>
        <w:spacing w:before="480" w:after="480" w:line="360" w:lineRule="auto"/>
        <w:ind w:left="1418" w:hanging="851"/>
        <w:jc w:val="both"/>
        <w:rPr>
          <w:rFonts w:cs="Arial"/>
          <w:bCs/>
          <w:szCs w:val="22"/>
        </w:rPr>
      </w:pPr>
      <w:r>
        <w:rPr>
          <w:rFonts w:cs="Arial"/>
          <w:bCs/>
          <w:szCs w:val="22"/>
        </w:rPr>
        <w:t>5.1</w:t>
      </w:r>
      <w:r>
        <w:rPr>
          <w:rFonts w:cs="Arial"/>
          <w:bCs/>
          <w:szCs w:val="22"/>
        </w:rPr>
        <w:tab/>
      </w:r>
      <w:r w:rsidR="00ED5C69">
        <w:rPr>
          <w:rFonts w:cs="Arial"/>
          <w:bCs/>
          <w:szCs w:val="22"/>
        </w:rPr>
        <w:t xml:space="preserve">declaring that the settlement agreement between the parties made an order by Vorster AJ contains a tacit, alternatively an implied term that maintenance is terminable </w:t>
      </w:r>
      <w:r w:rsidR="00D732C0">
        <w:rPr>
          <w:rFonts w:cs="Arial"/>
          <w:bCs/>
          <w:szCs w:val="22"/>
        </w:rPr>
        <w:t xml:space="preserve">also </w:t>
      </w:r>
      <w:r w:rsidR="00ED5C69">
        <w:rPr>
          <w:rFonts w:cs="Arial"/>
          <w:bCs/>
          <w:szCs w:val="22"/>
        </w:rPr>
        <w:t xml:space="preserve">upon the remarriage of the defendant, </w:t>
      </w:r>
    </w:p>
    <w:p w14:paraId="23EEE2E8" w14:textId="7B87EC01" w:rsidR="00E36F2A" w:rsidRDefault="00671515" w:rsidP="00671515">
      <w:pPr>
        <w:widowControl w:val="0"/>
        <w:tabs>
          <w:tab w:val="left" w:pos="1418"/>
        </w:tabs>
        <w:spacing w:before="480" w:after="480" w:line="360" w:lineRule="auto"/>
        <w:ind w:left="1418" w:hanging="851"/>
        <w:jc w:val="both"/>
        <w:rPr>
          <w:rFonts w:cs="Arial"/>
          <w:bCs/>
          <w:szCs w:val="22"/>
        </w:rPr>
      </w:pPr>
      <w:r>
        <w:rPr>
          <w:rFonts w:cs="Arial"/>
          <w:bCs/>
          <w:szCs w:val="22"/>
        </w:rPr>
        <w:t>5.2</w:t>
      </w:r>
      <w:r>
        <w:rPr>
          <w:rFonts w:cs="Arial"/>
          <w:bCs/>
          <w:szCs w:val="22"/>
        </w:rPr>
        <w:tab/>
      </w:r>
      <w:r w:rsidR="00ED5C69">
        <w:rPr>
          <w:rFonts w:cs="Arial"/>
          <w:bCs/>
          <w:szCs w:val="22"/>
        </w:rPr>
        <w:t xml:space="preserve">that the plaintiff was discharged from paying maintenance in favour of the defendant, </w:t>
      </w:r>
    </w:p>
    <w:p w14:paraId="2C5A628A" w14:textId="5BB9A1FA" w:rsidR="00ED5C69" w:rsidRDefault="00671515" w:rsidP="00671515">
      <w:pPr>
        <w:widowControl w:val="0"/>
        <w:tabs>
          <w:tab w:val="left" w:pos="1418"/>
        </w:tabs>
        <w:spacing w:before="480" w:after="480" w:line="360" w:lineRule="auto"/>
        <w:ind w:left="1418" w:hanging="851"/>
        <w:jc w:val="both"/>
        <w:rPr>
          <w:rFonts w:cs="Arial"/>
          <w:bCs/>
          <w:szCs w:val="22"/>
        </w:rPr>
      </w:pPr>
      <w:r>
        <w:rPr>
          <w:rFonts w:cs="Arial"/>
          <w:bCs/>
          <w:szCs w:val="22"/>
        </w:rPr>
        <w:t>5.3</w:t>
      </w:r>
      <w:r>
        <w:rPr>
          <w:rFonts w:cs="Arial"/>
          <w:bCs/>
          <w:szCs w:val="22"/>
        </w:rPr>
        <w:tab/>
      </w:r>
      <w:r w:rsidR="00ED5C69">
        <w:rPr>
          <w:rFonts w:cs="Arial"/>
          <w:bCs/>
          <w:szCs w:val="22"/>
        </w:rPr>
        <w:t>and alternatively an order declaring that the consent order made by Vorster AJ was an incompetent order and should be rescinded or varied.</w:t>
      </w:r>
    </w:p>
    <w:p w14:paraId="3C6A98E1" w14:textId="77777777" w:rsidR="006F08A1" w:rsidRDefault="006F08A1" w:rsidP="006F08A1">
      <w:pPr>
        <w:widowControl w:val="0"/>
        <w:spacing w:before="480" w:after="480" w:line="360" w:lineRule="auto"/>
        <w:jc w:val="both"/>
        <w:rPr>
          <w:rFonts w:cs="Arial"/>
          <w:bCs/>
          <w:szCs w:val="22"/>
          <w:u w:val="single"/>
        </w:rPr>
      </w:pPr>
    </w:p>
    <w:p w14:paraId="07F2FC6F" w14:textId="34C6745B" w:rsidR="006F08A1" w:rsidRPr="006F08A1" w:rsidRDefault="006F08A1" w:rsidP="006F08A1">
      <w:pPr>
        <w:widowControl w:val="0"/>
        <w:spacing w:before="480" w:after="480" w:line="360" w:lineRule="auto"/>
        <w:jc w:val="both"/>
        <w:rPr>
          <w:rFonts w:cs="Arial"/>
          <w:bCs/>
          <w:szCs w:val="22"/>
          <w:u w:val="single"/>
        </w:rPr>
      </w:pPr>
      <w:r w:rsidRPr="006F08A1">
        <w:rPr>
          <w:rFonts w:cs="Arial"/>
          <w:bCs/>
          <w:szCs w:val="22"/>
          <w:u w:val="single"/>
        </w:rPr>
        <w:lastRenderedPageBreak/>
        <w:t>The evidence</w:t>
      </w:r>
    </w:p>
    <w:p w14:paraId="77CC854B" w14:textId="681A8051" w:rsidR="00A13760" w:rsidRDefault="00671515" w:rsidP="00671515">
      <w:pPr>
        <w:widowControl w:val="0"/>
        <w:tabs>
          <w:tab w:val="left" w:pos="567"/>
        </w:tabs>
        <w:spacing w:before="480" w:after="480" w:line="360" w:lineRule="auto"/>
        <w:jc w:val="both"/>
        <w:rPr>
          <w:rFonts w:cs="Arial"/>
          <w:bCs/>
          <w:szCs w:val="22"/>
        </w:rPr>
      </w:pPr>
      <w:r>
        <w:rPr>
          <w:rFonts w:cs="Arial"/>
          <w:bCs/>
          <w:szCs w:val="22"/>
        </w:rPr>
        <w:t>[6]</w:t>
      </w:r>
      <w:r>
        <w:rPr>
          <w:rFonts w:cs="Arial"/>
          <w:bCs/>
          <w:szCs w:val="22"/>
        </w:rPr>
        <w:tab/>
      </w:r>
      <w:r w:rsidR="00A13760">
        <w:rPr>
          <w:rFonts w:cs="Arial"/>
          <w:bCs/>
          <w:szCs w:val="22"/>
        </w:rPr>
        <w:t>The plaintiff and the defendant were married in 2004 and they were married out of community of property. The were divorced in 2017 and a written settlement agreement</w:t>
      </w:r>
      <w:r w:rsidR="00A13760">
        <w:rPr>
          <w:rStyle w:val="FootnoteReference"/>
          <w:rFonts w:cs="Arial"/>
          <w:bCs/>
          <w:szCs w:val="22"/>
        </w:rPr>
        <w:footnoteReference w:id="1"/>
      </w:r>
      <w:r w:rsidR="00A13760">
        <w:rPr>
          <w:rFonts w:cs="Arial"/>
          <w:bCs/>
          <w:szCs w:val="22"/>
        </w:rPr>
        <w:t xml:space="preserve"> was made an order of court. The document is common cause. It deals with proprietary matters as well as maintenance and other issues.</w:t>
      </w:r>
    </w:p>
    <w:p w14:paraId="1A7440A3" w14:textId="2D2463EF" w:rsidR="002668DC" w:rsidRDefault="00671515" w:rsidP="00671515">
      <w:pPr>
        <w:widowControl w:val="0"/>
        <w:tabs>
          <w:tab w:val="left" w:pos="567"/>
        </w:tabs>
        <w:spacing w:before="480" w:after="480" w:line="360" w:lineRule="auto"/>
        <w:jc w:val="both"/>
        <w:rPr>
          <w:rFonts w:cs="Arial"/>
          <w:bCs/>
          <w:szCs w:val="22"/>
        </w:rPr>
      </w:pPr>
      <w:r>
        <w:rPr>
          <w:rFonts w:cs="Arial"/>
          <w:bCs/>
          <w:szCs w:val="22"/>
        </w:rPr>
        <w:t>[7]</w:t>
      </w:r>
      <w:r>
        <w:rPr>
          <w:rFonts w:cs="Arial"/>
          <w:bCs/>
          <w:szCs w:val="22"/>
        </w:rPr>
        <w:tab/>
      </w:r>
      <w:r w:rsidR="006F08A1">
        <w:rPr>
          <w:rFonts w:cs="Arial"/>
          <w:bCs/>
          <w:szCs w:val="22"/>
        </w:rPr>
        <w:t>The plaintiff and the former domestic worker who worked for the defendant testified for the plaintiff. The plaintiff testified that the defendant</w:t>
      </w:r>
      <w:r w:rsidR="00A03D0B">
        <w:rPr>
          <w:rFonts w:cs="Arial"/>
          <w:bCs/>
          <w:szCs w:val="22"/>
        </w:rPr>
        <w:t xml:space="preserve"> did not remarry but that she</w:t>
      </w:r>
      <w:r w:rsidR="006F08A1">
        <w:rPr>
          <w:rFonts w:cs="Arial"/>
          <w:bCs/>
          <w:szCs w:val="22"/>
        </w:rPr>
        <w:t xml:space="preserve"> lived with </w:t>
      </w:r>
      <w:r w:rsidR="00A03D0B">
        <w:rPr>
          <w:rFonts w:cs="Arial"/>
          <w:bCs/>
          <w:szCs w:val="22"/>
        </w:rPr>
        <w:t>a man named Bill</w:t>
      </w:r>
      <w:r w:rsidR="00A13760">
        <w:rPr>
          <w:rStyle w:val="FootnoteReference"/>
          <w:rFonts w:cs="Arial"/>
          <w:bCs/>
          <w:szCs w:val="22"/>
        </w:rPr>
        <w:footnoteReference w:id="2"/>
      </w:r>
      <w:r w:rsidR="006F08A1">
        <w:rPr>
          <w:rFonts w:cs="Arial"/>
          <w:bCs/>
          <w:szCs w:val="22"/>
        </w:rPr>
        <w:t xml:space="preserve"> at the former matrimonial home in Craigavon in Fourways</w:t>
      </w:r>
      <w:r w:rsidR="00A03D0B">
        <w:rPr>
          <w:rFonts w:cs="Arial"/>
          <w:bCs/>
          <w:szCs w:val="22"/>
        </w:rPr>
        <w:t>. In cross-examination he conceded that h</w:t>
      </w:r>
      <w:r w:rsidR="00D47766">
        <w:rPr>
          <w:rFonts w:cs="Arial"/>
          <w:bCs/>
          <w:szCs w:val="22"/>
        </w:rPr>
        <w:t>a</w:t>
      </w:r>
      <w:r w:rsidR="002668DC">
        <w:rPr>
          <w:rFonts w:cs="Arial"/>
          <w:bCs/>
          <w:szCs w:val="22"/>
        </w:rPr>
        <w:t>d not know</w:t>
      </w:r>
      <w:r w:rsidR="00D47766">
        <w:rPr>
          <w:rFonts w:cs="Arial"/>
          <w:bCs/>
          <w:szCs w:val="22"/>
        </w:rPr>
        <w:t>n</w:t>
      </w:r>
      <w:r w:rsidR="002668DC">
        <w:rPr>
          <w:rFonts w:cs="Arial"/>
          <w:bCs/>
          <w:szCs w:val="22"/>
        </w:rPr>
        <w:t xml:space="preserve"> that she had vacated the property</w:t>
      </w:r>
      <w:r w:rsidR="00D47766">
        <w:rPr>
          <w:rFonts w:cs="Arial"/>
          <w:bCs/>
          <w:szCs w:val="22"/>
        </w:rPr>
        <w:t xml:space="preserve"> already</w:t>
      </w:r>
      <w:r w:rsidR="002B6C81">
        <w:rPr>
          <w:rFonts w:cs="Arial"/>
          <w:bCs/>
          <w:szCs w:val="22"/>
        </w:rPr>
        <w:t xml:space="preserve"> in 2021</w:t>
      </w:r>
      <w:r w:rsidR="002668DC">
        <w:rPr>
          <w:rFonts w:cs="Arial"/>
          <w:bCs/>
          <w:szCs w:val="22"/>
        </w:rPr>
        <w:t>.</w:t>
      </w:r>
      <w:r w:rsidR="006F08A1">
        <w:rPr>
          <w:rFonts w:cs="Arial"/>
          <w:bCs/>
          <w:szCs w:val="22"/>
        </w:rPr>
        <w:t xml:space="preserve"> </w:t>
      </w:r>
    </w:p>
    <w:p w14:paraId="6077D710" w14:textId="22C9A750" w:rsidR="006F08A1" w:rsidRDefault="00671515" w:rsidP="00671515">
      <w:pPr>
        <w:widowControl w:val="0"/>
        <w:tabs>
          <w:tab w:val="left" w:pos="567"/>
        </w:tabs>
        <w:spacing w:before="480" w:after="480" w:line="360" w:lineRule="auto"/>
        <w:jc w:val="both"/>
        <w:rPr>
          <w:rFonts w:cs="Arial"/>
          <w:bCs/>
          <w:szCs w:val="22"/>
        </w:rPr>
      </w:pPr>
      <w:r>
        <w:rPr>
          <w:rFonts w:cs="Arial"/>
          <w:bCs/>
          <w:szCs w:val="22"/>
        </w:rPr>
        <w:t>[8]</w:t>
      </w:r>
      <w:r>
        <w:rPr>
          <w:rFonts w:cs="Arial"/>
          <w:bCs/>
          <w:szCs w:val="22"/>
        </w:rPr>
        <w:tab/>
      </w:r>
      <w:r w:rsidR="006F08A1">
        <w:rPr>
          <w:rFonts w:cs="Arial"/>
          <w:bCs/>
          <w:szCs w:val="22"/>
        </w:rPr>
        <w:t xml:space="preserve">The source of his information relating to the cohabitation is his discussions with the children, primarily it would seem </w:t>
      </w:r>
      <w:r w:rsidR="00E36F2A">
        <w:rPr>
          <w:rFonts w:cs="Arial"/>
          <w:bCs/>
          <w:szCs w:val="22"/>
        </w:rPr>
        <w:t>the</w:t>
      </w:r>
      <w:r w:rsidR="006F08A1">
        <w:rPr>
          <w:rFonts w:cs="Arial"/>
          <w:bCs/>
          <w:szCs w:val="22"/>
        </w:rPr>
        <w:t xml:space="preserve"> daughter born of the marriage between the plaintiff and the defendant.</w:t>
      </w:r>
      <w:r w:rsidR="002B6C81">
        <w:rPr>
          <w:rFonts w:cs="Arial"/>
          <w:bCs/>
          <w:szCs w:val="22"/>
        </w:rPr>
        <w:t xml:space="preserve"> He knew that Bill was the father of the minor </w:t>
      </w:r>
      <w:r w:rsidR="00E36F2A">
        <w:rPr>
          <w:rFonts w:cs="Arial"/>
          <w:bCs/>
          <w:szCs w:val="22"/>
        </w:rPr>
        <w:t xml:space="preserve">male </w:t>
      </w:r>
      <w:r w:rsidR="002B6C81">
        <w:rPr>
          <w:rFonts w:cs="Arial"/>
          <w:bCs/>
          <w:szCs w:val="22"/>
        </w:rPr>
        <w:t xml:space="preserve">child born in 2012 during the subsistence of the marriage and </w:t>
      </w:r>
      <w:r w:rsidR="00D47766">
        <w:rPr>
          <w:rFonts w:cs="Arial"/>
          <w:bCs/>
          <w:szCs w:val="22"/>
        </w:rPr>
        <w:t xml:space="preserve">was in possession of </w:t>
      </w:r>
      <w:r w:rsidR="002B6C81">
        <w:rPr>
          <w:rFonts w:cs="Arial"/>
          <w:bCs/>
          <w:szCs w:val="22"/>
        </w:rPr>
        <w:t>a paternity test that showed that he was not the biological father</w:t>
      </w:r>
    </w:p>
    <w:p w14:paraId="31E02A3B" w14:textId="3EBE3A26" w:rsidR="002668DC" w:rsidRDefault="00671515" w:rsidP="00671515">
      <w:pPr>
        <w:widowControl w:val="0"/>
        <w:tabs>
          <w:tab w:val="left" w:pos="567"/>
        </w:tabs>
        <w:spacing w:before="480" w:after="480" w:line="360" w:lineRule="auto"/>
        <w:jc w:val="both"/>
        <w:rPr>
          <w:rFonts w:cs="Arial"/>
          <w:bCs/>
          <w:szCs w:val="22"/>
        </w:rPr>
      </w:pPr>
      <w:r>
        <w:rPr>
          <w:rFonts w:cs="Arial"/>
          <w:bCs/>
          <w:szCs w:val="22"/>
        </w:rPr>
        <w:t>[9]</w:t>
      </w:r>
      <w:r>
        <w:rPr>
          <w:rFonts w:cs="Arial"/>
          <w:bCs/>
          <w:szCs w:val="22"/>
        </w:rPr>
        <w:tab/>
      </w:r>
      <w:r w:rsidR="002668DC">
        <w:rPr>
          <w:rFonts w:cs="Arial"/>
          <w:bCs/>
          <w:szCs w:val="22"/>
        </w:rPr>
        <w:t>He testified that he never really meant to pay maintenance of  R100 000 per month indefinitely, but conceded that the draft agreement</w:t>
      </w:r>
      <w:r w:rsidR="002668DC">
        <w:rPr>
          <w:rStyle w:val="FootnoteReference"/>
          <w:rFonts w:cs="Arial"/>
          <w:bCs/>
          <w:szCs w:val="22"/>
        </w:rPr>
        <w:footnoteReference w:id="3"/>
      </w:r>
      <w:r w:rsidR="002668DC">
        <w:rPr>
          <w:rFonts w:cs="Arial"/>
          <w:bCs/>
          <w:szCs w:val="22"/>
        </w:rPr>
        <w:t xml:space="preserve"> formed the subject of a discussion between him, the defendant, and the defendant’s attorney. In the discussion he pointed out the clauses that he was not satisfied with and wished to have deleted from the agreement. Those clauses were identified in the draft as clause 2.2</w:t>
      </w:r>
      <w:r w:rsidR="00D47766">
        <w:rPr>
          <w:rFonts w:cs="Arial"/>
          <w:bCs/>
          <w:szCs w:val="22"/>
        </w:rPr>
        <w:t xml:space="preserve"> and clause 4.5. In respect of</w:t>
      </w:r>
      <w:r w:rsidR="002668DC">
        <w:rPr>
          <w:rFonts w:cs="Arial"/>
          <w:bCs/>
          <w:szCs w:val="22"/>
        </w:rPr>
        <w:t xml:space="preserve"> clause 2.4 he demanded that a monetary limit be included to cap the value of the motor vehicle to be purchased. He was then satisfied with the agreement as it stood. He testified that at the time he just wanted the divorce to be finalised.</w:t>
      </w:r>
      <w:r w:rsidR="002668DC" w:rsidRPr="002668DC">
        <w:rPr>
          <w:rFonts w:cs="Arial"/>
          <w:bCs/>
          <w:szCs w:val="22"/>
        </w:rPr>
        <w:t xml:space="preserve"> </w:t>
      </w:r>
    </w:p>
    <w:p w14:paraId="7A6585E9" w14:textId="3C525CC8" w:rsidR="002668DC" w:rsidRDefault="00671515" w:rsidP="00671515">
      <w:pPr>
        <w:widowControl w:val="0"/>
        <w:tabs>
          <w:tab w:val="left" w:pos="567"/>
        </w:tabs>
        <w:spacing w:before="480" w:after="480" w:line="360" w:lineRule="auto"/>
        <w:jc w:val="both"/>
        <w:rPr>
          <w:rFonts w:cs="Arial"/>
          <w:bCs/>
          <w:szCs w:val="22"/>
        </w:rPr>
      </w:pPr>
      <w:r>
        <w:rPr>
          <w:rFonts w:cs="Arial"/>
          <w:bCs/>
          <w:szCs w:val="22"/>
        </w:rPr>
        <w:t>[10]</w:t>
      </w:r>
      <w:r>
        <w:rPr>
          <w:rFonts w:cs="Arial"/>
          <w:bCs/>
          <w:szCs w:val="22"/>
        </w:rPr>
        <w:tab/>
      </w:r>
      <w:r w:rsidR="002668DC">
        <w:rPr>
          <w:rFonts w:cs="Arial"/>
          <w:bCs/>
          <w:szCs w:val="22"/>
        </w:rPr>
        <w:t xml:space="preserve">The plaintiff was not represented by attorneys when these discussions took place. The plaintiff is a successful businessman </w:t>
      </w:r>
      <w:r w:rsidR="00D47766">
        <w:rPr>
          <w:rFonts w:cs="Arial"/>
          <w:bCs/>
          <w:szCs w:val="22"/>
        </w:rPr>
        <w:t>who operates a restaurant and a panel</w:t>
      </w:r>
      <w:r w:rsidR="004757B4">
        <w:rPr>
          <w:rFonts w:cs="Arial"/>
          <w:bCs/>
          <w:szCs w:val="22"/>
        </w:rPr>
        <w:t>-</w:t>
      </w:r>
      <w:r w:rsidR="00D47766">
        <w:rPr>
          <w:rFonts w:cs="Arial"/>
          <w:bCs/>
          <w:szCs w:val="22"/>
        </w:rPr>
        <w:t xml:space="preserve">beating business, </w:t>
      </w:r>
      <w:r w:rsidR="002668DC">
        <w:rPr>
          <w:rFonts w:cs="Arial"/>
          <w:bCs/>
          <w:szCs w:val="22"/>
        </w:rPr>
        <w:t xml:space="preserve">and his decision to negotiate with his wife and her attorney without his own attorney being </w:t>
      </w:r>
      <w:r w:rsidR="002668DC">
        <w:rPr>
          <w:rFonts w:cs="Arial"/>
          <w:bCs/>
          <w:szCs w:val="22"/>
        </w:rPr>
        <w:lastRenderedPageBreak/>
        <w:t>involved to protect his rights, was not one based on economic constraints.</w:t>
      </w:r>
    </w:p>
    <w:p w14:paraId="70826D28" w14:textId="13BC5D42" w:rsidR="006F08A1" w:rsidRDefault="00671515" w:rsidP="00671515">
      <w:pPr>
        <w:widowControl w:val="0"/>
        <w:tabs>
          <w:tab w:val="left" w:pos="567"/>
        </w:tabs>
        <w:spacing w:before="480" w:after="480" w:line="360" w:lineRule="auto"/>
        <w:jc w:val="both"/>
        <w:rPr>
          <w:rFonts w:cs="Arial"/>
          <w:bCs/>
          <w:szCs w:val="22"/>
        </w:rPr>
      </w:pPr>
      <w:r>
        <w:rPr>
          <w:rFonts w:cs="Arial"/>
          <w:bCs/>
          <w:szCs w:val="22"/>
        </w:rPr>
        <w:t>[11]</w:t>
      </w:r>
      <w:r>
        <w:rPr>
          <w:rFonts w:cs="Arial"/>
          <w:bCs/>
          <w:szCs w:val="22"/>
        </w:rPr>
        <w:tab/>
      </w:r>
      <w:r w:rsidR="006F08A1">
        <w:rPr>
          <w:rFonts w:cs="Arial"/>
          <w:bCs/>
          <w:szCs w:val="22"/>
        </w:rPr>
        <w:t xml:space="preserve">The plaintiff also called Ms Moyo who testified that she worked for the defendant at various times over the last </w:t>
      </w:r>
      <w:r w:rsidR="00A13760">
        <w:rPr>
          <w:rFonts w:cs="Arial"/>
          <w:bCs/>
          <w:szCs w:val="22"/>
        </w:rPr>
        <w:t>seven</w:t>
      </w:r>
      <w:r w:rsidR="006F08A1">
        <w:rPr>
          <w:rFonts w:cs="Arial"/>
          <w:bCs/>
          <w:szCs w:val="22"/>
        </w:rPr>
        <w:t xml:space="preserve"> years</w:t>
      </w:r>
      <w:r w:rsidR="00877686">
        <w:rPr>
          <w:rFonts w:cs="Arial"/>
          <w:bCs/>
          <w:szCs w:val="22"/>
        </w:rPr>
        <w:t xml:space="preserve"> until January 2023</w:t>
      </w:r>
      <w:r w:rsidR="006F08A1">
        <w:rPr>
          <w:rFonts w:cs="Arial"/>
          <w:bCs/>
          <w:szCs w:val="22"/>
        </w:rPr>
        <w:t xml:space="preserve">. She testified that </w:t>
      </w:r>
      <w:r w:rsidR="00A13760">
        <w:rPr>
          <w:rFonts w:cs="Arial"/>
          <w:bCs/>
          <w:szCs w:val="22"/>
        </w:rPr>
        <w:t>Bill’s</w:t>
      </w:r>
      <w:r w:rsidR="006F08A1">
        <w:rPr>
          <w:rFonts w:cs="Arial"/>
          <w:bCs/>
          <w:szCs w:val="22"/>
        </w:rPr>
        <w:t xml:space="preserve"> clothes were in the</w:t>
      </w:r>
      <w:r w:rsidR="00A13760">
        <w:rPr>
          <w:rFonts w:cs="Arial"/>
          <w:bCs/>
          <w:szCs w:val="22"/>
        </w:rPr>
        <w:t xml:space="preserve"> defendant’s house</w:t>
      </w:r>
      <w:r w:rsidR="006F08A1">
        <w:rPr>
          <w:rFonts w:cs="Arial"/>
          <w:bCs/>
          <w:szCs w:val="22"/>
        </w:rPr>
        <w:t xml:space="preserve"> </w:t>
      </w:r>
      <w:r w:rsidR="00140176">
        <w:rPr>
          <w:rFonts w:cs="Arial"/>
          <w:bCs/>
          <w:szCs w:val="22"/>
        </w:rPr>
        <w:t>on a permanent basis</w:t>
      </w:r>
      <w:r w:rsidR="006F08A1">
        <w:rPr>
          <w:rFonts w:cs="Arial"/>
          <w:bCs/>
          <w:szCs w:val="22"/>
        </w:rPr>
        <w:t xml:space="preserve"> which would indicate some kind of live-in arrangement, but that he would only be at the house intermittently</w:t>
      </w:r>
      <w:r w:rsidR="00A13760">
        <w:rPr>
          <w:rFonts w:cs="Arial"/>
          <w:bCs/>
          <w:szCs w:val="22"/>
        </w:rPr>
        <w:t xml:space="preserve"> He came and went</w:t>
      </w:r>
      <w:r w:rsidR="00140176">
        <w:rPr>
          <w:rFonts w:cs="Arial"/>
          <w:bCs/>
          <w:szCs w:val="22"/>
        </w:rPr>
        <w:t>,</w:t>
      </w:r>
      <w:r w:rsidR="00877686">
        <w:rPr>
          <w:rFonts w:cs="Arial"/>
          <w:bCs/>
          <w:szCs w:val="22"/>
        </w:rPr>
        <w:t xml:space="preserve"> and would leave for a few days after staying over for two or three weeks.</w:t>
      </w:r>
    </w:p>
    <w:p w14:paraId="56A28A65" w14:textId="2069BE75" w:rsidR="006F08A1" w:rsidRDefault="00671515" w:rsidP="00671515">
      <w:pPr>
        <w:widowControl w:val="0"/>
        <w:tabs>
          <w:tab w:val="left" w:pos="567"/>
        </w:tabs>
        <w:spacing w:before="480" w:after="480" w:line="360" w:lineRule="auto"/>
        <w:jc w:val="both"/>
        <w:rPr>
          <w:rFonts w:cs="Arial"/>
          <w:bCs/>
          <w:szCs w:val="22"/>
        </w:rPr>
      </w:pPr>
      <w:r>
        <w:rPr>
          <w:rFonts w:cs="Arial"/>
          <w:bCs/>
          <w:szCs w:val="22"/>
        </w:rPr>
        <w:t>[12]</w:t>
      </w:r>
      <w:r>
        <w:rPr>
          <w:rFonts w:cs="Arial"/>
          <w:bCs/>
          <w:szCs w:val="22"/>
        </w:rPr>
        <w:tab/>
      </w:r>
      <w:r w:rsidR="006F08A1">
        <w:rPr>
          <w:rFonts w:cs="Arial"/>
          <w:bCs/>
          <w:szCs w:val="22"/>
        </w:rPr>
        <w:t xml:space="preserve">The defendant testified on her own behalf. She confirmed that she was involved in an </w:t>
      </w:r>
      <w:r w:rsidR="006F08A1" w:rsidRPr="00AC72F1">
        <w:rPr>
          <w:rFonts w:cs="Arial"/>
          <w:bCs/>
          <w:i/>
          <w:iCs/>
          <w:szCs w:val="22"/>
        </w:rPr>
        <w:t>“on and off”</w:t>
      </w:r>
      <w:r w:rsidR="006F08A1">
        <w:rPr>
          <w:rFonts w:cs="Arial"/>
          <w:bCs/>
          <w:szCs w:val="22"/>
        </w:rPr>
        <w:t xml:space="preserve"> romantic relationship with </w:t>
      </w:r>
      <w:r w:rsidR="00A13760">
        <w:rPr>
          <w:rFonts w:cs="Arial"/>
          <w:bCs/>
          <w:szCs w:val="22"/>
        </w:rPr>
        <w:t>Bill</w:t>
      </w:r>
      <w:r w:rsidR="006F08A1">
        <w:rPr>
          <w:rFonts w:cs="Arial"/>
          <w:bCs/>
          <w:szCs w:val="22"/>
        </w:rPr>
        <w:t xml:space="preserve"> and that he would visit for days at a time before returning to his own residence in Houghton.</w:t>
      </w:r>
      <w:r w:rsidR="006F08A1" w:rsidRPr="00A847CA">
        <w:rPr>
          <w:rFonts w:cs="Arial"/>
          <w:bCs/>
          <w:szCs w:val="22"/>
        </w:rPr>
        <w:t xml:space="preserve"> </w:t>
      </w:r>
      <w:r w:rsidR="006F08A1">
        <w:rPr>
          <w:rFonts w:cs="Arial"/>
          <w:bCs/>
          <w:szCs w:val="22"/>
        </w:rPr>
        <w:t>The defendant and the third party have an intermittent romantic relationship but they are not married, nor was l</w:t>
      </w:r>
      <w:r w:rsidR="00140176">
        <w:rPr>
          <w:rFonts w:cs="Arial"/>
          <w:bCs/>
          <w:szCs w:val="22"/>
        </w:rPr>
        <w:t>o</w:t>
      </w:r>
      <w:r w:rsidR="006F08A1">
        <w:rPr>
          <w:rFonts w:cs="Arial"/>
          <w:bCs/>
          <w:szCs w:val="22"/>
        </w:rPr>
        <w:t>bola ever paid. She never considered entering into a marriage with him. They had the child together in 2012 and then reconnected in 2021 on a romantic basis. They then separated again in November 2022 and rekindled their relationship in February 2023.</w:t>
      </w:r>
    </w:p>
    <w:p w14:paraId="2EE2B615" w14:textId="7D938BDE" w:rsidR="002D3318" w:rsidRDefault="00671515" w:rsidP="00671515">
      <w:pPr>
        <w:widowControl w:val="0"/>
        <w:tabs>
          <w:tab w:val="left" w:pos="567"/>
        </w:tabs>
        <w:spacing w:before="480" w:after="480" w:line="360" w:lineRule="auto"/>
        <w:jc w:val="both"/>
        <w:rPr>
          <w:rFonts w:cs="Arial"/>
          <w:bCs/>
          <w:szCs w:val="22"/>
        </w:rPr>
      </w:pPr>
      <w:r>
        <w:rPr>
          <w:rFonts w:cs="Arial"/>
          <w:bCs/>
          <w:szCs w:val="22"/>
        </w:rPr>
        <w:t>[13]</w:t>
      </w:r>
      <w:r>
        <w:rPr>
          <w:rFonts w:cs="Arial"/>
          <w:bCs/>
          <w:szCs w:val="22"/>
        </w:rPr>
        <w:tab/>
      </w:r>
      <w:r w:rsidR="002D3318">
        <w:rPr>
          <w:rFonts w:cs="Arial"/>
          <w:bCs/>
          <w:szCs w:val="22"/>
        </w:rPr>
        <w:t>She testified that her son lives with her and during 2021 to January 2023 her daughter born of the marriage between the plaintiff and the defendant also lived at the house.</w:t>
      </w:r>
    </w:p>
    <w:p w14:paraId="3F434BAF" w14:textId="77777777" w:rsidR="00877686" w:rsidRDefault="00877686" w:rsidP="00877686">
      <w:pPr>
        <w:widowControl w:val="0"/>
        <w:spacing w:before="480" w:after="480" w:line="360" w:lineRule="auto"/>
        <w:jc w:val="both"/>
        <w:rPr>
          <w:rFonts w:cs="Arial"/>
          <w:bCs/>
          <w:szCs w:val="22"/>
          <w:u w:val="single"/>
        </w:rPr>
      </w:pPr>
    </w:p>
    <w:p w14:paraId="1333A096" w14:textId="2FC54DB8" w:rsidR="00877686" w:rsidRPr="00877686" w:rsidRDefault="00877686" w:rsidP="00877686">
      <w:pPr>
        <w:widowControl w:val="0"/>
        <w:spacing w:before="480" w:after="480" w:line="360" w:lineRule="auto"/>
        <w:jc w:val="both"/>
        <w:rPr>
          <w:rFonts w:cs="Arial"/>
          <w:bCs/>
          <w:szCs w:val="22"/>
          <w:u w:val="single"/>
        </w:rPr>
      </w:pPr>
      <w:r w:rsidRPr="00877686">
        <w:rPr>
          <w:rFonts w:cs="Arial"/>
          <w:bCs/>
          <w:szCs w:val="22"/>
          <w:u w:val="single"/>
        </w:rPr>
        <w:t>Analysis</w:t>
      </w:r>
    </w:p>
    <w:p w14:paraId="17B39D65" w14:textId="38B11C32" w:rsidR="003D0824" w:rsidRDefault="00671515" w:rsidP="00671515">
      <w:pPr>
        <w:widowControl w:val="0"/>
        <w:tabs>
          <w:tab w:val="left" w:pos="567"/>
        </w:tabs>
        <w:spacing w:before="480" w:after="480" w:line="360" w:lineRule="auto"/>
        <w:jc w:val="both"/>
        <w:rPr>
          <w:rFonts w:cs="Arial"/>
          <w:bCs/>
          <w:szCs w:val="22"/>
        </w:rPr>
      </w:pPr>
      <w:r>
        <w:rPr>
          <w:rFonts w:cs="Arial"/>
          <w:bCs/>
          <w:szCs w:val="22"/>
        </w:rPr>
        <w:t>[14]</w:t>
      </w:r>
      <w:r>
        <w:rPr>
          <w:rFonts w:cs="Arial"/>
          <w:bCs/>
          <w:szCs w:val="22"/>
        </w:rPr>
        <w:tab/>
      </w:r>
      <w:r w:rsidR="003D0824">
        <w:rPr>
          <w:rFonts w:cs="Arial"/>
          <w:bCs/>
          <w:szCs w:val="22"/>
        </w:rPr>
        <w:t xml:space="preserve">A tacit term </w:t>
      </w:r>
      <w:r w:rsidR="00140176">
        <w:rPr>
          <w:rFonts w:cs="Arial"/>
          <w:bCs/>
          <w:szCs w:val="22"/>
        </w:rPr>
        <w:t>-</w:t>
      </w:r>
    </w:p>
    <w:p w14:paraId="3CA58FF2" w14:textId="5210753F" w:rsidR="003D0824" w:rsidRPr="003D0824" w:rsidRDefault="003D0824" w:rsidP="003D0824">
      <w:pPr>
        <w:widowControl w:val="0"/>
        <w:spacing w:before="480" w:after="480" w:line="360" w:lineRule="auto"/>
        <w:ind w:left="1440"/>
        <w:jc w:val="both"/>
        <w:rPr>
          <w:rFonts w:cs="Arial"/>
          <w:bCs/>
          <w:szCs w:val="22"/>
        </w:rPr>
      </w:pPr>
      <w:r w:rsidRPr="003D0824">
        <w:rPr>
          <w:i/>
          <w:iCs/>
        </w:rPr>
        <w:t>“…is an unspoken provision of the contract. It is one to which the parties agree, though without saying so explicitly. The test for inferring a tacit term is whether the parties, if asked whether their agreement contained the term, would immediately say, “Yes, of course that’s what we agreed.” Before a court can infer a tacit term, it must be satisfied that there is a necessary implication that they intended to contract on that basis.”</w:t>
      </w:r>
      <w:r>
        <w:rPr>
          <w:rStyle w:val="FootnoteReference"/>
          <w:i/>
          <w:iCs/>
        </w:rPr>
        <w:footnoteReference w:id="4"/>
      </w:r>
    </w:p>
    <w:p w14:paraId="3392929B" w14:textId="638677DC" w:rsidR="003D0824" w:rsidRPr="00420E9A" w:rsidRDefault="00671515" w:rsidP="00671515">
      <w:pPr>
        <w:widowControl w:val="0"/>
        <w:tabs>
          <w:tab w:val="left" w:pos="567"/>
        </w:tabs>
        <w:spacing w:before="480" w:after="480" w:line="360" w:lineRule="auto"/>
        <w:jc w:val="both"/>
        <w:rPr>
          <w:rFonts w:cs="Arial"/>
          <w:bCs/>
          <w:szCs w:val="22"/>
        </w:rPr>
      </w:pPr>
      <w:r w:rsidRPr="00420E9A">
        <w:rPr>
          <w:rFonts w:cs="Arial"/>
          <w:bCs/>
          <w:szCs w:val="22"/>
        </w:rPr>
        <w:t>[15]</w:t>
      </w:r>
      <w:r w:rsidRPr="00420E9A">
        <w:rPr>
          <w:rFonts w:cs="Arial"/>
          <w:bCs/>
          <w:szCs w:val="22"/>
        </w:rPr>
        <w:tab/>
      </w:r>
      <w:r w:rsidR="003D0824">
        <w:rPr>
          <w:rFonts w:cs="Arial"/>
          <w:bCs/>
          <w:szCs w:val="22"/>
        </w:rPr>
        <w:t xml:space="preserve">An implied term is a term implied by law (which is why Rule 18(7) does not require </w:t>
      </w:r>
      <w:r w:rsidR="00420E9A">
        <w:t xml:space="preserve">a </w:t>
      </w:r>
      <w:r w:rsidR="00420E9A">
        <w:lastRenderedPageBreak/>
        <w:t>pleader to state the circumstances from which an implied term is to be inferred)  but unfortunately the phrase is often used to describe a tacit term.</w:t>
      </w:r>
      <w:r w:rsidR="00420E9A">
        <w:rPr>
          <w:rStyle w:val="FootnoteReference"/>
        </w:rPr>
        <w:footnoteReference w:id="5"/>
      </w:r>
      <w:r w:rsidR="00140176">
        <w:t xml:space="preserve"> When reading case law referring to a tacit term, one must analyse the judgment to determine whether the term is used with reference to a term implied by law, or a term impliedly (i.e. tacitly) incorporated by the parties.</w:t>
      </w:r>
    </w:p>
    <w:p w14:paraId="60C43961" w14:textId="1FCF01D8" w:rsidR="00420E9A" w:rsidRDefault="00671515" w:rsidP="00671515">
      <w:pPr>
        <w:widowControl w:val="0"/>
        <w:tabs>
          <w:tab w:val="left" w:pos="567"/>
        </w:tabs>
        <w:spacing w:before="480" w:after="480" w:line="360" w:lineRule="auto"/>
        <w:jc w:val="both"/>
        <w:rPr>
          <w:rFonts w:cs="Arial"/>
          <w:bCs/>
          <w:szCs w:val="22"/>
        </w:rPr>
      </w:pPr>
      <w:r>
        <w:rPr>
          <w:rFonts w:cs="Arial"/>
          <w:bCs/>
          <w:szCs w:val="22"/>
        </w:rPr>
        <w:t>[16]</w:t>
      </w:r>
      <w:r>
        <w:rPr>
          <w:rFonts w:cs="Arial"/>
          <w:bCs/>
          <w:szCs w:val="22"/>
        </w:rPr>
        <w:tab/>
      </w:r>
      <w:r w:rsidR="00420E9A">
        <w:rPr>
          <w:rFonts w:cs="Arial"/>
          <w:bCs/>
          <w:szCs w:val="22"/>
        </w:rPr>
        <w:t>A party who relies on a tacit contract is required to plead and prove the unequivocal conduct from which the tacit contract can be deduced.</w:t>
      </w:r>
      <w:r w:rsidR="00420E9A">
        <w:rPr>
          <w:rStyle w:val="FootnoteReference"/>
          <w:rFonts w:cs="Arial"/>
          <w:bCs/>
          <w:szCs w:val="22"/>
        </w:rPr>
        <w:footnoteReference w:id="6"/>
      </w:r>
      <w:r w:rsidR="00420E9A">
        <w:rPr>
          <w:rFonts w:cs="Arial"/>
          <w:bCs/>
          <w:szCs w:val="22"/>
        </w:rPr>
        <w:t xml:space="preserve"> A party relying on a tacit term must prove that there was no express agreement reached on the aspect in question</w:t>
      </w:r>
      <w:r w:rsidR="00420E9A">
        <w:rPr>
          <w:rStyle w:val="FootnoteReference"/>
          <w:rFonts w:cs="Arial"/>
          <w:bCs/>
          <w:szCs w:val="22"/>
        </w:rPr>
        <w:footnoteReference w:id="7"/>
      </w:r>
      <w:r w:rsidR="00420E9A">
        <w:rPr>
          <w:rFonts w:cs="Arial"/>
          <w:bCs/>
          <w:szCs w:val="22"/>
        </w:rPr>
        <w:t xml:space="preserve"> and when a party contends for a construction that departs from the </w:t>
      </w:r>
      <w:r w:rsidR="00420E9A" w:rsidRPr="00BB715D">
        <w:rPr>
          <w:rFonts w:cs="Arial"/>
          <w:bCs/>
          <w:i/>
          <w:iCs/>
          <w:szCs w:val="22"/>
        </w:rPr>
        <w:t>prima facie</w:t>
      </w:r>
      <w:r w:rsidR="00420E9A">
        <w:rPr>
          <w:rFonts w:cs="Arial"/>
          <w:bCs/>
          <w:szCs w:val="22"/>
        </w:rPr>
        <w:t xml:space="preserve"> meaning of the text, the circumstances relied upon for the interpretation must be pleaded.</w:t>
      </w:r>
      <w:r w:rsidR="00420E9A">
        <w:rPr>
          <w:rStyle w:val="FootnoteReference"/>
          <w:rFonts w:cs="Arial"/>
          <w:bCs/>
          <w:szCs w:val="22"/>
        </w:rPr>
        <w:footnoteReference w:id="8"/>
      </w:r>
      <w:r w:rsidR="00420E9A">
        <w:rPr>
          <w:rFonts w:cs="Arial"/>
          <w:bCs/>
          <w:szCs w:val="22"/>
        </w:rPr>
        <w:t xml:space="preserve"> </w:t>
      </w:r>
      <w:r w:rsidR="00567926">
        <w:rPr>
          <w:rFonts w:cs="Arial"/>
          <w:bCs/>
          <w:szCs w:val="22"/>
        </w:rPr>
        <w:t>This the plaintiff did not do.</w:t>
      </w:r>
    </w:p>
    <w:p w14:paraId="0FC67F14" w14:textId="23B2DCD8" w:rsidR="001B1229" w:rsidRDefault="00671515" w:rsidP="00671515">
      <w:pPr>
        <w:widowControl w:val="0"/>
        <w:tabs>
          <w:tab w:val="left" w:pos="567"/>
        </w:tabs>
        <w:spacing w:before="480" w:after="480" w:line="360" w:lineRule="auto"/>
        <w:jc w:val="both"/>
        <w:rPr>
          <w:rFonts w:cs="Arial"/>
          <w:bCs/>
          <w:szCs w:val="22"/>
        </w:rPr>
      </w:pPr>
      <w:r>
        <w:rPr>
          <w:rFonts w:cs="Arial"/>
          <w:bCs/>
          <w:szCs w:val="22"/>
        </w:rPr>
        <w:t>[17]</w:t>
      </w:r>
      <w:r>
        <w:rPr>
          <w:rFonts w:cs="Arial"/>
          <w:bCs/>
          <w:szCs w:val="22"/>
        </w:rPr>
        <w:tab/>
      </w:r>
      <w:r w:rsidR="001B1229">
        <w:rPr>
          <w:rFonts w:cs="Arial"/>
          <w:bCs/>
          <w:szCs w:val="22"/>
        </w:rPr>
        <w:t xml:space="preserve">In the particulars of claim there are bald statements to the effect that the settlement agreement contained a tacit, alternatively an implied term to the effect that the spousal maintenance was terminable upon the defendant’s death or remarriage, that the defendant is involved in a romantic relationship with a third party – the biological father of the child born during the marriage of the plaintiff and the defendant – and that the relationship amounts to or is akin to a marriage and/or permanent life partnership and/or cohabitation, that the defendant’s relationship with the third party gives rise to the circumstances upon which the spousal maintenance is to be terminable, and consequently it is not just and equitable in the circumstances for the maintenance order to continue to exist, and the plaintiff should be discharged therefrom. </w:t>
      </w:r>
    </w:p>
    <w:p w14:paraId="693355C0" w14:textId="57D8654B" w:rsidR="00E36F2A" w:rsidRDefault="00671515" w:rsidP="00671515">
      <w:pPr>
        <w:widowControl w:val="0"/>
        <w:tabs>
          <w:tab w:val="left" w:pos="567"/>
        </w:tabs>
        <w:spacing w:before="480" w:after="480" w:line="360" w:lineRule="auto"/>
        <w:jc w:val="both"/>
        <w:rPr>
          <w:rFonts w:cs="Arial"/>
          <w:bCs/>
          <w:szCs w:val="22"/>
        </w:rPr>
      </w:pPr>
      <w:r>
        <w:rPr>
          <w:rFonts w:cs="Arial"/>
          <w:bCs/>
          <w:szCs w:val="22"/>
        </w:rPr>
        <w:t>[1</w:t>
      </w:r>
      <w:bookmarkStart w:id="0" w:name="_GoBack"/>
      <w:bookmarkEnd w:id="0"/>
      <w:r>
        <w:rPr>
          <w:rFonts w:cs="Arial"/>
          <w:bCs/>
          <w:szCs w:val="22"/>
        </w:rPr>
        <w:t>8]</w:t>
      </w:r>
      <w:r>
        <w:rPr>
          <w:rFonts w:cs="Arial"/>
          <w:bCs/>
          <w:szCs w:val="22"/>
        </w:rPr>
        <w:tab/>
      </w:r>
      <w:r w:rsidR="00877686" w:rsidRPr="00E36F2A">
        <w:rPr>
          <w:rFonts w:cs="Arial"/>
          <w:bCs/>
          <w:szCs w:val="22"/>
        </w:rPr>
        <w:t xml:space="preserve">Clause 2.4 of the settlement agreement provides that the plaintiff shall buy a motor vehicle for the defendant every five years until </w:t>
      </w:r>
      <w:r w:rsidR="00877686" w:rsidRPr="00E36F2A">
        <w:rPr>
          <w:rFonts w:cs="Arial"/>
          <w:bCs/>
          <w:i/>
          <w:iCs/>
          <w:szCs w:val="22"/>
        </w:rPr>
        <w:t>“the death or remarriage of”</w:t>
      </w:r>
      <w:r w:rsidR="00877686" w:rsidRPr="00E36F2A">
        <w:rPr>
          <w:rFonts w:cs="Arial"/>
          <w:bCs/>
          <w:szCs w:val="22"/>
        </w:rPr>
        <w:t xml:space="preserve"> the defendant (then the plaintiff).</w:t>
      </w:r>
      <w:r w:rsidR="00E36F2A" w:rsidRPr="00E36F2A">
        <w:rPr>
          <w:rFonts w:cs="Arial"/>
          <w:bCs/>
          <w:szCs w:val="22"/>
        </w:rPr>
        <w:t xml:space="preserve"> Clause 4 provides for maintenance of R100 000 per month </w:t>
      </w:r>
      <w:r w:rsidR="00E36F2A" w:rsidRPr="00E36F2A">
        <w:rPr>
          <w:rFonts w:cs="Arial"/>
          <w:bCs/>
          <w:i/>
          <w:iCs/>
          <w:szCs w:val="22"/>
        </w:rPr>
        <w:t>“until the</w:t>
      </w:r>
      <w:r w:rsidR="00E36F2A" w:rsidRPr="00E36F2A">
        <w:rPr>
          <w:rFonts w:cs="Arial"/>
          <w:bCs/>
          <w:szCs w:val="22"/>
        </w:rPr>
        <w:t xml:space="preserve"> [defendant’s] </w:t>
      </w:r>
      <w:r w:rsidR="00E36F2A" w:rsidRPr="00E36F2A">
        <w:rPr>
          <w:rFonts w:cs="Arial"/>
          <w:bCs/>
          <w:i/>
          <w:iCs/>
          <w:szCs w:val="22"/>
        </w:rPr>
        <w:t xml:space="preserve">death.” </w:t>
      </w:r>
      <w:r w:rsidR="00E36F2A" w:rsidRPr="00E36F2A">
        <w:rPr>
          <w:rFonts w:cs="Arial"/>
          <w:bCs/>
          <w:szCs w:val="22"/>
        </w:rPr>
        <w:t xml:space="preserve">The </w:t>
      </w:r>
      <w:r w:rsidR="00E36F2A">
        <w:rPr>
          <w:rFonts w:cs="Arial"/>
          <w:bCs/>
          <w:szCs w:val="22"/>
        </w:rPr>
        <w:t>plaintiff now seeks an order that clause 4 be read to contain a tacit or implied term that maintenance is terminable upon the defendant’s death or remarriage, and (although there is no prayer to such effect in the prayers</w:t>
      </w:r>
      <w:r w:rsidR="00140176">
        <w:rPr>
          <w:rFonts w:cs="Arial"/>
          <w:bCs/>
          <w:szCs w:val="22"/>
        </w:rPr>
        <w:t>)</w:t>
      </w:r>
      <w:r w:rsidR="00E36F2A">
        <w:rPr>
          <w:rFonts w:cs="Arial"/>
          <w:bCs/>
          <w:szCs w:val="22"/>
        </w:rPr>
        <w:t xml:space="preserve"> that </w:t>
      </w:r>
      <w:r w:rsidR="00E36F2A" w:rsidRPr="00E36F2A">
        <w:rPr>
          <w:rFonts w:cs="Arial"/>
          <w:bCs/>
          <w:i/>
          <w:iCs/>
          <w:szCs w:val="22"/>
        </w:rPr>
        <w:t>“remarriage”</w:t>
      </w:r>
      <w:r w:rsidR="00E36F2A">
        <w:rPr>
          <w:rFonts w:cs="Arial"/>
          <w:bCs/>
          <w:szCs w:val="22"/>
        </w:rPr>
        <w:t xml:space="preserve"> includes a cohabitation arrangement.</w:t>
      </w:r>
    </w:p>
    <w:p w14:paraId="4ECC21F9" w14:textId="1860E25A" w:rsidR="00416605" w:rsidRDefault="00671515" w:rsidP="00671515">
      <w:pPr>
        <w:widowControl w:val="0"/>
        <w:tabs>
          <w:tab w:val="left" w:pos="567"/>
        </w:tabs>
        <w:spacing w:before="480" w:after="480" w:line="360" w:lineRule="auto"/>
        <w:jc w:val="both"/>
        <w:rPr>
          <w:rFonts w:cs="Arial"/>
          <w:bCs/>
          <w:szCs w:val="22"/>
        </w:rPr>
      </w:pPr>
      <w:r>
        <w:rPr>
          <w:rFonts w:cs="Arial"/>
          <w:bCs/>
          <w:szCs w:val="22"/>
        </w:rPr>
        <w:lastRenderedPageBreak/>
        <w:t>[19]</w:t>
      </w:r>
      <w:r>
        <w:rPr>
          <w:rFonts w:cs="Arial"/>
          <w:bCs/>
          <w:szCs w:val="22"/>
        </w:rPr>
        <w:tab/>
      </w:r>
      <w:r w:rsidR="00E74A19" w:rsidRPr="00E36F2A">
        <w:rPr>
          <w:rFonts w:cs="Arial"/>
          <w:bCs/>
          <w:szCs w:val="22"/>
        </w:rPr>
        <w:t xml:space="preserve">Clause 6 of the settlement agreement provides that the agreement </w:t>
      </w:r>
      <w:r w:rsidR="00E74A19" w:rsidRPr="00E36F2A">
        <w:rPr>
          <w:rFonts w:cs="Arial"/>
          <w:bCs/>
          <w:i/>
          <w:iCs/>
          <w:szCs w:val="22"/>
        </w:rPr>
        <w:t>“constitutes the whole agreement”</w:t>
      </w:r>
      <w:r w:rsidR="00E74A19" w:rsidRPr="00E36F2A">
        <w:rPr>
          <w:rFonts w:cs="Arial"/>
          <w:bCs/>
          <w:szCs w:val="22"/>
        </w:rPr>
        <w:t xml:space="preserve"> and there is nothing in the </w:t>
      </w:r>
      <w:r w:rsidR="00877686" w:rsidRPr="00E36F2A">
        <w:rPr>
          <w:rFonts w:cs="Arial"/>
          <w:bCs/>
          <w:szCs w:val="22"/>
        </w:rPr>
        <w:t xml:space="preserve">evidence, the </w:t>
      </w:r>
      <w:r w:rsidR="00E74A19" w:rsidRPr="00E36F2A">
        <w:rPr>
          <w:rFonts w:cs="Arial"/>
          <w:bCs/>
          <w:szCs w:val="22"/>
        </w:rPr>
        <w:t xml:space="preserve">conduct </w:t>
      </w:r>
      <w:r w:rsidR="00877686" w:rsidRPr="00E36F2A">
        <w:rPr>
          <w:rFonts w:cs="Arial"/>
          <w:bCs/>
          <w:szCs w:val="22"/>
        </w:rPr>
        <w:t xml:space="preserve">of the parties, </w:t>
      </w:r>
      <w:r w:rsidR="00E74A19" w:rsidRPr="00E36F2A">
        <w:rPr>
          <w:rFonts w:cs="Arial"/>
          <w:bCs/>
          <w:szCs w:val="22"/>
        </w:rPr>
        <w:t>and the circumstances of the matter that merits the inference that a tacit</w:t>
      </w:r>
      <w:r w:rsidR="00416605" w:rsidRPr="00E36F2A">
        <w:rPr>
          <w:rFonts w:cs="Arial"/>
          <w:bCs/>
          <w:szCs w:val="22"/>
        </w:rPr>
        <w:t xml:space="preserve"> </w:t>
      </w:r>
      <w:r w:rsidR="00E74A19" w:rsidRPr="00E36F2A">
        <w:rPr>
          <w:rFonts w:cs="Arial"/>
          <w:bCs/>
          <w:szCs w:val="22"/>
        </w:rPr>
        <w:t xml:space="preserve">term </w:t>
      </w:r>
      <w:r w:rsidR="00416605" w:rsidRPr="00E36F2A">
        <w:rPr>
          <w:rFonts w:cs="Arial"/>
          <w:bCs/>
          <w:szCs w:val="22"/>
        </w:rPr>
        <w:t xml:space="preserve">such as contended for by the plaintiff, </w:t>
      </w:r>
      <w:r w:rsidR="00E74A19" w:rsidRPr="00E36F2A">
        <w:rPr>
          <w:rFonts w:cs="Arial"/>
          <w:bCs/>
          <w:szCs w:val="22"/>
        </w:rPr>
        <w:t xml:space="preserve">was agreed upon. It is also not so that reading the tacit term into the settlement agreement is the only reasonable interpretation of the agreement. </w:t>
      </w:r>
    </w:p>
    <w:p w14:paraId="067818DD" w14:textId="4F30A619" w:rsidR="00140176" w:rsidRDefault="00671515" w:rsidP="00671515">
      <w:pPr>
        <w:widowControl w:val="0"/>
        <w:tabs>
          <w:tab w:val="left" w:pos="567"/>
        </w:tabs>
        <w:spacing w:before="480" w:after="480" w:line="360" w:lineRule="auto"/>
        <w:jc w:val="both"/>
        <w:rPr>
          <w:rFonts w:cs="Arial"/>
          <w:bCs/>
          <w:szCs w:val="22"/>
        </w:rPr>
      </w:pPr>
      <w:r>
        <w:rPr>
          <w:rFonts w:cs="Arial"/>
          <w:bCs/>
          <w:szCs w:val="22"/>
        </w:rPr>
        <w:t>[20]</w:t>
      </w:r>
      <w:r>
        <w:rPr>
          <w:rFonts w:cs="Arial"/>
          <w:bCs/>
          <w:szCs w:val="22"/>
        </w:rPr>
        <w:tab/>
      </w:r>
      <w:r w:rsidR="00140176">
        <w:rPr>
          <w:rFonts w:cs="Arial"/>
          <w:bCs/>
          <w:szCs w:val="22"/>
        </w:rPr>
        <w:t>Importing a tacit term that the maintenance liability should cease upon remarriage (or cohabitation) would be in conflict with the express wording of clause 4 of the agreement.</w:t>
      </w:r>
      <w:r w:rsidR="00140176">
        <w:rPr>
          <w:rStyle w:val="FootnoteReference"/>
          <w:rFonts w:cs="Arial"/>
          <w:bCs/>
          <w:szCs w:val="22"/>
        </w:rPr>
        <w:footnoteReference w:id="9"/>
      </w:r>
    </w:p>
    <w:p w14:paraId="44EF056B" w14:textId="5176A1F9" w:rsidR="00E74A19" w:rsidRDefault="00671515" w:rsidP="00671515">
      <w:pPr>
        <w:widowControl w:val="0"/>
        <w:tabs>
          <w:tab w:val="left" w:pos="567"/>
        </w:tabs>
        <w:spacing w:before="480" w:after="480" w:line="360" w:lineRule="auto"/>
        <w:jc w:val="both"/>
        <w:rPr>
          <w:rFonts w:cs="Arial"/>
          <w:bCs/>
          <w:szCs w:val="22"/>
        </w:rPr>
      </w:pPr>
      <w:r>
        <w:rPr>
          <w:rFonts w:cs="Arial"/>
          <w:bCs/>
          <w:szCs w:val="22"/>
        </w:rPr>
        <w:t>[21]</w:t>
      </w:r>
      <w:r>
        <w:rPr>
          <w:rFonts w:cs="Arial"/>
          <w:bCs/>
          <w:szCs w:val="22"/>
        </w:rPr>
        <w:tab/>
      </w:r>
      <w:r w:rsidR="00B9652B">
        <w:rPr>
          <w:rFonts w:cs="Arial"/>
          <w:bCs/>
          <w:szCs w:val="22"/>
        </w:rPr>
        <w:t>The term</w:t>
      </w:r>
      <w:r w:rsidR="006F08A1">
        <w:rPr>
          <w:rFonts w:cs="Arial"/>
          <w:bCs/>
          <w:szCs w:val="22"/>
        </w:rPr>
        <w:t xml:space="preserve"> contended for</w:t>
      </w:r>
      <w:r w:rsidR="00B9652B">
        <w:rPr>
          <w:rFonts w:cs="Arial"/>
          <w:bCs/>
          <w:szCs w:val="22"/>
        </w:rPr>
        <w:t xml:space="preserve"> is</w:t>
      </w:r>
      <w:r w:rsidR="00140176">
        <w:rPr>
          <w:rFonts w:cs="Arial"/>
          <w:bCs/>
          <w:szCs w:val="22"/>
        </w:rPr>
        <w:t xml:space="preserve"> also</w:t>
      </w:r>
      <w:r w:rsidR="00B9652B">
        <w:rPr>
          <w:rFonts w:cs="Arial"/>
          <w:bCs/>
          <w:szCs w:val="22"/>
        </w:rPr>
        <w:t xml:space="preserve"> not implied by law and</w:t>
      </w:r>
      <w:r w:rsidR="00E74A19">
        <w:rPr>
          <w:rFonts w:cs="Arial"/>
          <w:bCs/>
          <w:szCs w:val="22"/>
        </w:rPr>
        <w:t xml:space="preserve"> there is no such </w:t>
      </w:r>
      <w:r w:rsidR="00B9652B">
        <w:rPr>
          <w:rFonts w:cs="Arial"/>
          <w:bCs/>
          <w:szCs w:val="22"/>
        </w:rPr>
        <w:t>statutory limitation on the freedom of contract</w:t>
      </w:r>
      <w:r w:rsidR="00E74A19">
        <w:rPr>
          <w:rFonts w:cs="Arial"/>
          <w:bCs/>
          <w:szCs w:val="22"/>
        </w:rPr>
        <w:t xml:space="preserve"> </w:t>
      </w:r>
      <w:r w:rsidR="00B9652B">
        <w:rPr>
          <w:rFonts w:cs="Arial"/>
          <w:bCs/>
          <w:szCs w:val="22"/>
        </w:rPr>
        <w:t xml:space="preserve">in </w:t>
      </w:r>
      <w:r w:rsidR="00E74A19">
        <w:rPr>
          <w:rFonts w:cs="Arial"/>
          <w:bCs/>
          <w:szCs w:val="22"/>
        </w:rPr>
        <w:t>s</w:t>
      </w:r>
      <w:r w:rsidR="00B9652B">
        <w:rPr>
          <w:rFonts w:cs="Arial"/>
          <w:bCs/>
          <w:szCs w:val="22"/>
        </w:rPr>
        <w:t>ection 7(</w:t>
      </w:r>
      <w:r w:rsidR="00E74A19">
        <w:rPr>
          <w:rFonts w:cs="Arial"/>
          <w:bCs/>
          <w:szCs w:val="22"/>
        </w:rPr>
        <w:t>1</w:t>
      </w:r>
      <w:r w:rsidR="00B9652B">
        <w:rPr>
          <w:rFonts w:cs="Arial"/>
          <w:bCs/>
          <w:szCs w:val="22"/>
        </w:rPr>
        <w:t xml:space="preserve">) of the Divorce Act, 70 of 1979. In terms of </w:t>
      </w:r>
      <w:r w:rsidR="00E74A19">
        <w:rPr>
          <w:rFonts w:cs="Arial"/>
          <w:bCs/>
          <w:szCs w:val="22"/>
        </w:rPr>
        <w:t>s</w:t>
      </w:r>
      <w:r w:rsidR="00B9652B">
        <w:rPr>
          <w:rFonts w:cs="Arial"/>
          <w:bCs/>
          <w:szCs w:val="22"/>
        </w:rPr>
        <w:t xml:space="preserve">ection 7(1) a Court granting a decree of divorce may in accordance with a written agreement between the parties make an order with regard to the division of the assets of the parties or the payment of maintenance by one party to the other. </w:t>
      </w:r>
    </w:p>
    <w:p w14:paraId="2D0B0C39" w14:textId="73F6786B" w:rsidR="00B9652B" w:rsidRDefault="00671515" w:rsidP="00671515">
      <w:pPr>
        <w:widowControl w:val="0"/>
        <w:tabs>
          <w:tab w:val="left" w:pos="567"/>
        </w:tabs>
        <w:spacing w:before="480" w:after="480" w:line="360" w:lineRule="auto"/>
        <w:jc w:val="both"/>
        <w:rPr>
          <w:rFonts w:cs="Arial"/>
          <w:bCs/>
          <w:szCs w:val="22"/>
        </w:rPr>
      </w:pPr>
      <w:r>
        <w:rPr>
          <w:rFonts w:cs="Arial"/>
          <w:bCs/>
          <w:szCs w:val="22"/>
        </w:rPr>
        <w:t>[22]</w:t>
      </w:r>
      <w:r>
        <w:rPr>
          <w:rFonts w:cs="Arial"/>
          <w:bCs/>
          <w:szCs w:val="22"/>
        </w:rPr>
        <w:tab/>
      </w:r>
      <w:r w:rsidR="00B9652B">
        <w:rPr>
          <w:rFonts w:cs="Arial"/>
          <w:bCs/>
          <w:szCs w:val="22"/>
        </w:rPr>
        <w:t xml:space="preserve">It is only in the absence of a settlement agreement that </w:t>
      </w:r>
      <w:r w:rsidR="00E74A19">
        <w:rPr>
          <w:rFonts w:cs="Arial"/>
          <w:bCs/>
          <w:szCs w:val="22"/>
        </w:rPr>
        <w:t>s</w:t>
      </w:r>
      <w:r w:rsidR="00B9652B">
        <w:rPr>
          <w:rFonts w:cs="Arial"/>
          <w:bCs/>
          <w:szCs w:val="22"/>
        </w:rPr>
        <w:t xml:space="preserve">ection 7(2) applies. The Court then has the power to order payment of maintenance until the death or remarriage of the party in whose favour the order is given. The limitation is not found in </w:t>
      </w:r>
      <w:r w:rsidR="00416605">
        <w:rPr>
          <w:rFonts w:cs="Arial"/>
          <w:bCs/>
          <w:szCs w:val="22"/>
        </w:rPr>
        <w:t>s</w:t>
      </w:r>
      <w:r w:rsidR="00B9652B">
        <w:rPr>
          <w:rFonts w:cs="Arial"/>
          <w:bCs/>
          <w:szCs w:val="22"/>
        </w:rPr>
        <w:t>ubsection (1)</w:t>
      </w:r>
      <w:r w:rsidR="00E74A19">
        <w:rPr>
          <w:rFonts w:cs="Arial"/>
          <w:bCs/>
          <w:szCs w:val="22"/>
        </w:rPr>
        <w:t xml:space="preserve"> and the legislature made a clear distinction in this regard.</w:t>
      </w:r>
    </w:p>
    <w:p w14:paraId="159A24F6" w14:textId="6D0856CA" w:rsidR="004757B4" w:rsidRDefault="00671515" w:rsidP="00671515">
      <w:pPr>
        <w:widowControl w:val="0"/>
        <w:tabs>
          <w:tab w:val="left" w:pos="567"/>
        </w:tabs>
        <w:spacing w:before="480" w:after="480" w:line="360" w:lineRule="auto"/>
        <w:jc w:val="both"/>
        <w:rPr>
          <w:rFonts w:cs="Arial"/>
          <w:bCs/>
          <w:szCs w:val="22"/>
        </w:rPr>
      </w:pPr>
      <w:r>
        <w:rPr>
          <w:rFonts w:cs="Arial"/>
          <w:bCs/>
          <w:szCs w:val="22"/>
        </w:rPr>
        <w:t>[23]</w:t>
      </w:r>
      <w:r>
        <w:rPr>
          <w:rFonts w:cs="Arial"/>
          <w:bCs/>
          <w:szCs w:val="22"/>
        </w:rPr>
        <w:tab/>
      </w:r>
      <w:r w:rsidR="001B1229">
        <w:rPr>
          <w:rFonts w:cs="Arial"/>
          <w:bCs/>
          <w:szCs w:val="22"/>
        </w:rPr>
        <w:t>A reference to cohabitation in clause 4 of the settlement agreement is therefore neither a term implied by law nor a term tacit</w:t>
      </w:r>
      <w:r w:rsidR="00140176">
        <w:rPr>
          <w:rFonts w:cs="Arial"/>
          <w:bCs/>
          <w:szCs w:val="22"/>
        </w:rPr>
        <w:t>ly</w:t>
      </w:r>
      <w:r w:rsidR="001B1229">
        <w:rPr>
          <w:rFonts w:cs="Arial"/>
          <w:bCs/>
          <w:szCs w:val="22"/>
        </w:rPr>
        <w:t xml:space="preserve"> agreed upon by the parties.</w:t>
      </w:r>
      <w:r w:rsidR="004757B4" w:rsidRPr="004757B4">
        <w:rPr>
          <w:rFonts w:cs="Arial"/>
          <w:bCs/>
          <w:szCs w:val="22"/>
        </w:rPr>
        <w:t xml:space="preserve"> </w:t>
      </w:r>
      <w:r w:rsidR="004757B4">
        <w:rPr>
          <w:rFonts w:cs="Arial"/>
          <w:bCs/>
          <w:szCs w:val="22"/>
        </w:rPr>
        <w:t xml:space="preserve">If it had been the intention of the parties to include cohabitation in clause 2.4 of the agreement, there is no reason why they would not have said so. The parties expressly chose to refer to </w:t>
      </w:r>
      <w:r w:rsidR="004757B4" w:rsidRPr="0094474D">
        <w:rPr>
          <w:rFonts w:cs="Arial"/>
          <w:bCs/>
          <w:i/>
          <w:iCs/>
          <w:szCs w:val="22"/>
        </w:rPr>
        <w:t>“death or remarriage”</w:t>
      </w:r>
      <w:r w:rsidR="004757B4">
        <w:rPr>
          <w:rFonts w:cs="Arial"/>
          <w:bCs/>
          <w:szCs w:val="22"/>
        </w:rPr>
        <w:t xml:space="preserve"> in clause 2.4 and to </w:t>
      </w:r>
      <w:r w:rsidR="004757B4" w:rsidRPr="00EB56E5">
        <w:rPr>
          <w:rFonts w:cs="Arial"/>
          <w:bCs/>
          <w:i/>
          <w:iCs/>
          <w:szCs w:val="22"/>
        </w:rPr>
        <w:t>“death”</w:t>
      </w:r>
      <w:r w:rsidR="004757B4">
        <w:rPr>
          <w:rFonts w:cs="Arial"/>
          <w:bCs/>
          <w:szCs w:val="22"/>
        </w:rPr>
        <w:t xml:space="preserve"> in clause 4. The plaintiff argues that the phrase </w:t>
      </w:r>
      <w:r w:rsidR="004757B4" w:rsidRPr="0094474D">
        <w:rPr>
          <w:rFonts w:cs="Arial"/>
          <w:bCs/>
          <w:i/>
          <w:iCs/>
          <w:szCs w:val="22"/>
        </w:rPr>
        <w:t xml:space="preserve">“until the </w:t>
      </w:r>
      <w:r w:rsidR="004757B4">
        <w:rPr>
          <w:rFonts w:cs="Arial"/>
          <w:bCs/>
          <w:i/>
          <w:iCs/>
          <w:szCs w:val="22"/>
        </w:rPr>
        <w:t>P</w:t>
      </w:r>
      <w:r w:rsidR="004757B4" w:rsidRPr="0094474D">
        <w:rPr>
          <w:rFonts w:cs="Arial"/>
          <w:bCs/>
          <w:i/>
          <w:iCs/>
          <w:szCs w:val="22"/>
        </w:rPr>
        <w:t>laintiff’s death”</w:t>
      </w:r>
      <w:r w:rsidR="004757B4">
        <w:rPr>
          <w:rFonts w:cs="Arial"/>
          <w:bCs/>
          <w:szCs w:val="22"/>
        </w:rPr>
        <w:t xml:space="preserve"> in clause 4 included a tacit reference to remarriage but there is no logical reason why firstly a tacit or implied term that maintenance is terminable upon death </w:t>
      </w:r>
      <w:r w:rsidR="004757B4" w:rsidRPr="001B30C7">
        <w:rPr>
          <w:rFonts w:cs="Arial"/>
          <w:bCs/>
          <w:i/>
          <w:iCs/>
          <w:szCs w:val="22"/>
        </w:rPr>
        <w:t>or remarriage</w:t>
      </w:r>
      <w:r w:rsidR="004757B4">
        <w:rPr>
          <w:rFonts w:cs="Arial"/>
          <w:bCs/>
          <w:szCs w:val="22"/>
        </w:rPr>
        <w:t xml:space="preserve"> must be read into the contract, and then secondly that the well-known word </w:t>
      </w:r>
      <w:r w:rsidR="004757B4" w:rsidRPr="00EB56E5">
        <w:rPr>
          <w:rFonts w:cs="Arial"/>
          <w:bCs/>
          <w:i/>
          <w:iCs/>
          <w:szCs w:val="22"/>
        </w:rPr>
        <w:t>“remarriage”</w:t>
      </w:r>
      <w:r w:rsidR="004757B4">
        <w:rPr>
          <w:rFonts w:cs="Arial"/>
          <w:bCs/>
          <w:szCs w:val="22"/>
        </w:rPr>
        <w:t xml:space="preserve"> must be interpreted to include something that is not a marriage but a cohabitation. No argument can be made out to explain why they tacitly agreed that remarriage be included in clause 4 when it was expressly included in clause 2.4 and excluded in clause 4,  and that it was then also tacitly agreed that cohabitation be included in the concept of remarriage. </w:t>
      </w:r>
    </w:p>
    <w:p w14:paraId="5E95F642" w14:textId="0073942E" w:rsidR="00B9652B" w:rsidRDefault="00671515" w:rsidP="00671515">
      <w:pPr>
        <w:widowControl w:val="0"/>
        <w:tabs>
          <w:tab w:val="left" w:pos="567"/>
        </w:tabs>
        <w:spacing w:before="480" w:after="480" w:line="360" w:lineRule="auto"/>
        <w:jc w:val="both"/>
        <w:rPr>
          <w:rFonts w:cs="Arial"/>
          <w:bCs/>
          <w:szCs w:val="22"/>
        </w:rPr>
      </w:pPr>
      <w:r>
        <w:rPr>
          <w:rFonts w:cs="Arial"/>
          <w:bCs/>
          <w:szCs w:val="22"/>
        </w:rPr>
        <w:lastRenderedPageBreak/>
        <w:t>[24]</w:t>
      </w:r>
      <w:r>
        <w:rPr>
          <w:rFonts w:cs="Arial"/>
          <w:bCs/>
          <w:szCs w:val="22"/>
        </w:rPr>
        <w:tab/>
      </w:r>
      <w:r w:rsidR="00B9652B">
        <w:rPr>
          <w:rFonts w:cs="Arial"/>
          <w:bCs/>
          <w:szCs w:val="22"/>
        </w:rPr>
        <w:t>For the sake of completeness it is important to note also that the plaintiff does not rely on rectification. This is not a matter where the parties had agreed that maintenance would cease upon remarriage but that due to a common error, the reference to remarriage was not included in clause 4.1 of the agreement.</w:t>
      </w:r>
      <w:r w:rsidR="00416605">
        <w:rPr>
          <w:rFonts w:cs="Arial"/>
          <w:bCs/>
          <w:szCs w:val="22"/>
        </w:rPr>
        <w:t xml:space="preserve"> The plaintiff expressly avowed reliance on the remedy of rectification.</w:t>
      </w:r>
    </w:p>
    <w:p w14:paraId="5D0367AD" w14:textId="76D264D7" w:rsidR="00416605" w:rsidRDefault="00671515" w:rsidP="00671515">
      <w:pPr>
        <w:widowControl w:val="0"/>
        <w:tabs>
          <w:tab w:val="left" w:pos="567"/>
        </w:tabs>
        <w:spacing w:before="480" w:after="480" w:line="360" w:lineRule="auto"/>
        <w:jc w:val="both"/>
        <w:rPr>
          <w:rFonts w:cs="Arial"/>
          <w:bCs/>
          <w:szCs w:val="22"/>
        </w:rPr>
      </w:pPr>
      <w:r>
        <w:rPr>
          <w:rFonts w:cs="Arial"/>
          <w:bCs/>
          <w:szCs w:val="22"/>
        </w:rPr>
        <w:t>[25]</w:t>
      </w:r>
      <w:r>
        <w:rPr>
          <w:rFonts w:cs="Arial"/>
          <w:bCs/>
          <w:szCs w:val="22"/>
        </w:rPr>
        <w:tab/>
      </w:r>
      <w:r w:rsidR="00B9652B">
        <w:rPr>
          <w:rFonts w:cs="Arial"/>
          <w:bCs/>
          <w:szCs w:val="22"/>
        </w:rPr>
        <w:t>The order that was made by Vorster AJ was an order by consent between the parties and there is no indication</w:t>
      </w:r>
      <w:r w:rsidR="00567926">
        <w:rPr>
          <w:rFonts w:cs="Arial"/>
          <w:bCs/>
          <w:szCs w:val="22"/>
        </w:rPr>
        <w:t xml:space="preserve"> in the pleadings or the evidence</w:t>
      </w:r>
      <w:r w:rsidR="00B9652B">
        <w:rPr>
          <w:rFonts w:cs="Arial"/>
          <w:bCs/>
          <w:szCs w:val="22"/>
        </w:rPr>
        <w:t xml:space="preserve"> as to why the order would be </w:t>
      </w:r>
      <w:r w:rsidR="00B9652B" w:rsidRPr="00567926">
        <w:rPr>
          <w:rFonts w:cs="Arial"/>
          <w:bCs/>
          <w:i/>
          <w:iCs/>
          <w:szCs w:val="22"/>
        </w:rPr>
        <w:t>“incompetent</w:t>
      </w:r>
      <w:r w:rsidR="00567926">
        <w:rPr>
          <w:rFonts w:cs="Arial"/>
          <w:bCs/>
          <w:i/>
          <w:iCs/>
          <w:szCs w:val="22"/>
        </w:rPr>
        <w:t>.</w:t>
      </w:r>
      <w:r w:rsidR="00B9652B" w:rsidRPr="00567926">
        <w:rPr>
          <w:rFonts w:cs="Arial"/>
          <w:bCs/>
          <w:i/>
          <w:iCs/>
          <w:szCs w:val="22"/>
        </w:rPr>
        <w:t>”</w:t>
      </w:r>
      <w:r w:rsidR="00B9652B">
        <w:rPr>
          <w:rFonts w:cs="Arial"/>
          <w:bCs/>
          <w:szCs w:val="22"/>
        </w:rPr>
        <w:t xml:space="preserve"> </w:t>
      </w:r>
      <w:r w:rsidR="001B1229">
        <w:rPr>
          <w:rFonts w:cs="Arial"/>
          <w:bCs/>
          <w:szCs w:val="22"/>
        </w:rPr>
        <w:t xml:space="preserve">The averments relating to </w:t>
      </w:r>
      <w:r w:rsidR="001B1229" w:rsidRPr="00EB56E5">
        <w:rPr>
          <w:rFonts w:cs="Arial"/>
          <w:bCs/>
          <w:i/>
          <w:iCs/>
          <w:szCs w:val="22"/>
        </w:rPr>
        <w:t>“incompetence”</w:t>
      </w:r>
      <w:r w:rsidR="001B1229">
        <w:rPr>
          <w:rFonts w:cs="Arial"/>
          <w:bCs/>
          <w:szCs w:val="22"/>
        </w:rPr>
        <w:t xml:space="preserve"> found in the particulars of claim seem to relate to </w:t>
      </w:r>
      <w:r w:rsidR="00EB56E5">
        <w:rPr>
          <w:rFonts w:cs="Arial"/>
          <w:bCs/>
          <w:szCs w:val="22"/>
        </w:rPr>
        <w:t>the</w:t>
      </w:r>
      <w:r w:rsidR="00140176">
        <w:rPr>
          <w:rFonts w:cs="Arial"/>
          <w:bCs/>
          <w:szCs w:val="22"/>
        </w:rPr>
        <w:t xml:space="preserve"> incorrect</w:t>
      </w:r>
      <w:r w:rsidR="00EB56E5">
        <w:rPr>
          <w:rFonts w:cs="Arial"/>
          <w:bCs/>
          <w:szCs w:val="22"/>
        </w:rPr>
        <w:t xml:space="preserve"> stance</w:t>
      </w:r>
      <w:r w:rsidR="001B1229">
        <w:rPr>
          <w:rFonts w:cs="Arial"/>
          <w:bCs/>
          <w:szCs w:val="22"/>
        </w:rPr>
        <w:t xml:space="preserve"> </w:t>
      </w:r>
      <w:r w:rsidR="00EB56E5">
        <w:rPr>
          <w:rFonts w:cs="Arial"/>
          <w:bCs/>
          <w:szCs w:val="22"/>
        </w:rPr>
        <w:t xml:space="preserve">adopted by the plaintiff </w:t>
      </w:r>
      <w:r w:rsidR="001B1229">
        <w:rPr>
          <w:rFonts w:cs="Arial"/>
          <w:bCs/>
          <w:szCs w:val="22"/>
        </w:rPr>
        <w:t xml:space="preserve">that </w:t>
      </w:r>
      <w:r w:rsidR="004757B4">
        <w:rPr>
          <w:rFonts w:cs="Arial"/>
          <w:bCs/>
          <w:szCs w:val="22"/>
        </w:rPr>
        <w:t xml:space="preserve">a </w:t>
      </w:r>
      <w:r w:rsidR="00EB56E5">
        <w:rPr>
          <w:rFonts w:cs="Arial"/>
          <w:bCs/>
          <w:szCs w:val="22"/>
        </w:rPr>
        <w:t xml:space="preserve">maintenance </w:t>
      </w:r>
      <w:r w:rsidR="00140176">
        <w:rPr>
          <w:rFonts w:cs="Arial"/>
          <w:bCs/>
          <w:szCs w:val="22"/>
        </w:rPr>
        <w:t>liability</w:t>
      </w:r>
      <w:r w:rsidR="004757B4">
        <w:rPr>
          <w:rFonts w:cs="Arial"/>
          <w:bCs/>
          <w:szCs w:val="22"/>
        </w:rPr>
        <w:t xml:space="preserve"> terminable only by</w:t>
      </w:r>
      <w:r w:rsidR="00EB56E5">
        <w:rPr>
          <w:rFonts w:cs="Arial"/>
          <w:bCs/>
          <w:szCs w:val="22"/>
        </w:rPr>
        <w:t xml:space="preserve"> death is not to be recognised in the law (particularly section 7(1) of the Divorce Act)</w:t>
      </w:r>
      <w:r w:rsidR="004757B4">
        <w:rPr>
          <w:rFonts w:cs="Arial"/>
          <w:bCs/>
          <w:szCs w:val="22"/>
        </w:rPr>
        <w:t>.</w:t>
      </w:r>
    </w:p>
    <w:p w14:paraId="1D09972E" w14:textId="40FE4CBA" w:rsidR="00E74A19" w:rsidRDefault="00671515" w:rsidP="00671515">
      <w:pPr>
        <w:widowControl w:val="0"/>
        <w:tabs>
          <w:tab w:val="left" w:pos="567"/>
        </w:tabs>
        <w:spacing w:before="480" w:after="480" w:line="360" w:lineRule="auto"/>
        <w:jc w:val="both"/>
        <w:rPr>
          <w:rFonts w:cs="Arial"/>
          <w:bCs/>
          <w:szCs w:val="22"/>
        </w:rPr>
      </w:pPr>
      <w:r>
        <w:rPr>
          <w:rFonts w:cs="Arial"/>
          <w:bCs/>
          <w:szCs w:val="22"/>
        </w:rPr>
        <w:t>[26]</w:t>
      </w:r>
      <w:r>
        <w:rPr>
          <w:rFonts w:cs="Arial"/>
          <w:bCs/>
          <w:szCs w:val="22"/>
        </w:rPr>
        <w:tab/>
      </w:r>
      <w:r w:rsidR="00E74A19">
        <w:rPr>
          <w:rFonts w:cs="Arial"/>
          <w:bCs/>
          <w:szCs w:val="22"/>
        </w:rPr>
        <w:t>R</w:t>
      </w:r>
      <w:r w:rsidR="00B9652B">
        <w:rPr>
          <w:rFonts w:cs="Arial"/>
          <w:bCs/>
          <w:szCs w:val="22"/>
        </w:rPr>
        <w:t>escission</w:t>
      </w:r>
      <w:r w:rsidR="00567926">
        <w:rPr>
          <w:rFonts w:cs="Arial"/>
          <w:bCs/>
          <w:szCs w:val="22"/>
        </w:rPr>
        <w:t xml:space="preserve"> and variation</w:t>
      </w:r>
      <w:r w:rsidR="00B9652B">
        <w:rPr>
          <w:rFonts w:cs="Arial"/>
          <w:bCs/>
          <w:szCs w:val="22"/>
        </w:rPr>
        <w:t xml:space="preserve"> of a</w:t>
      </w:r>
      <w:r w:rsidR="00EB56E5">
        <w:rPr>
          <w:rFonts w:cs="Arial"/>
          <w:bCs/>
          <w:szCs w:val="22"/>
        </w:rPr>
        <w:t xml:space="preserve"> court</w:t>
      </w:r>
      <w:r w:rsidR="00567926">
        <w:rPr>
          <w:rFonts w:cs="Arial"/>
          <w:bCs/>
          <w:szCs w:val="22"/>
        </w:rPr>
        <w:t xml:space="preserve"> order</w:t>
      </w:r>
      <w:r w:rsidR="00B9652B">
        <w:rPr>
          <w:rFonts w:cs="Arial"/>
          <w:bCs/>
          <w:szCs w:val="22"/>
        </w:rPr>
        <w:t xml:space="preserve"> </w:t>
      </w:r>
      <w:r w:rsidR="00E74A19">
        <w:rPr>
          <w:rFonts w:cs="Arial"/>
          <w:bCs/>
          <w:szCs w:val="22"/>
        </w:rPr>
        <w:t>is</w:t>
      </w:r>
      <w:r w:rsidR="00B9652B">
        <w:rPr>
          <w:rFonts w:cs="Arial"/>
          <w:bCs/>
          <w:szCs w:val="22"/>
        </w:rPr>
        <w:t xml:space="preserve"> dealt with in Rule 42 of the Rules of Court</w:t>
      </w:r>
      <w:r w:rsidR="00E74A19">
        <w:rPr>
          <w:rFonts w:cs="Arial"/>
          <w:bCs/>
          <w:szCs w:val="22"/>
        </w:rPr>
        <w:t>,</w:t>
      </w:r>
      <w:r w:rsidR="00B9652B">
        <w:rPr>
          <w:rFonts w:cs="Arial"/>
          <w:bCs/>
          <w:szCs w:val="22"/>
        </w:rPr>
        <w:t xml:space="preserve"> in the common law, and </w:t>
      </w:r>
      <w:r w:rsidR="00E74A19">
        <w:rPr>
          <w:rFonts w:cs="Arial"/>
          <w:bCs/>
          <w:szCs w:val="22"/>
        </w:rPr>
        <w:t>in section 8 of the Divorce Act.</w:t>
      </w:r>
      <w:r w:rsidR="00A2481C">
        <w:rPr>
          <w:rFonts w:cs="Arial"/>
          <w:bCs/>
          <w:szCs w:val="22"/>
        </w:rPr>
        <w:t xml:space="preserve"> In argument the plaintiff’s counsel </w:t>
      </w:r>
      <w:r w:rsidR="00871D76">
        <w:rPr>
          <w:rFonts w:cs="Arial"/>
          <w:bCs/>
          <w:szCs w:val="22"/>
        </w:rPr>
        <w:t xml:space="preserve">quite correctly </w:t>
      </w:r>
      <w:r w:rsidR="00A2481C">
        <w:rPr>
          <w:rFonts w:cs="Arial"/>
          <w:bCs/>
          <w:szCs w:val="22"/>
        </w:rPr>
        <w:t>did not</w:t>
      </w:r>
      <w:r w:rsidR="00567926">
        <w:rPr>
          <w:rFonts w:cs="Arial"/>
          <w:bCs/>
          <w:szCs w:val="22"/>
        </w:rPr>
        <w:t xml:space="preserve"> seem to</w:t>
      </w:r>
      <w:r w:rsidR="00A2481C">
        <w:rPr>
          <w:rFonts w:cs="Arial"/>
          <w:bCs/>
          <w:szCs w:val="22"/>
        </w:rPr>
        <w:t xml:space="preserve"> rely on</w:t>
      </w:r>
      <w:r w:rsidR="00773840">
        <w:rPr>
          <w:rFonts w:cs="Arial"/>
          <w:bCs/>
          <w:szCs w:val="22"/>
        </w:rPr>
        <w:t xml:space="preserve"> the common law or on</w:t>
      </w:r>
      <w:r w:rsidR="00A2481C">
        <w:rPr>
          <w:rFonts w:cs="Arial"/>
          <w:bCs/>
          <w:szCs w:val="22"/>
        </w:rPr>
        <w:t xml:space="preserve"> Rule 42, the rule that applies to a</w:t>
      </w:r>
      <w:r w:rsidR="00567926">
        <w:rPr>
          <w:rFonts w:cs="Arial"/>
          <w:bCs/>
          <w:szCs w:val="22"/>
        </w:rPr>
        <w:t>n order</w:t>
      </w:r>
      <w:r w:rsidR="00A2481C">
        <w:rPr>
          <w:rFonts w:cs="Arial"/>
          <w:bCs/>
          <w:szCs w:val="22"/>
        </w:rPr>
        <w:t xml:space="preserve"> sought or granted erroneously, </w:t>
      </w:r>
      <w:r w:rsidR="00871D76">
        <w:rPr>
          <w:rFonts w:cs="Arial"/>
          <w:bCs/>
          <w:szCs w:val="22"/>
        </w:rPr>
        <w:t xml:space="preserve">or </w:t>
      </w:r>
      <w:r w:rsidR="00567926">
        <w:rPr>
          <w:rFonts w:cs="Arial"/>
          <w:bCs/>
          <w:szCs w:val="22"/>
        </w:rPr>
        <w:t>granted</w:t>
      </w:r>
      <w:r w:rsidR="00871D76">
        <w:rPr>
          <w:rFonts w:cs="Arial"/>
          <w:bCs/>
          <w:szCs w:val="22"/>
        </w:rPr>
        <w:t xml:space="preserve"> because of </w:t>
      </w:r>
      <w:r w:rsidR="00A2481C">
        <w:rPr>
          <w:rFonts w:cs="Arial"/>
          <w:bCs/>
          <w:szCs w:val="22"/>
        </w:rPr>
        <w:t xml:space="preserve">an ambiguity or </w:t>
      </w:r>
      <w:r w:rsidR="00567926">
        <w:rPr>
          <w:rFonts w:cs="Arial"/>
          <w:bCs/>
          <w:szCs w:val="22"/>
        </w:rPr>
        <w:t xml:space="preserve">because of </w:t>
      </w:r>
      <w:r w:rsidR="00A2481C">
        <w:rPr>
          <w:rFonts w:cs="Arial"/>
          <w:bCs/>
          <w:szCs w:val="22"/>
        </w:rPr>
        <w:t>a mistake common to the parties.</w:t>
      </w:r>
    </w:p>
    <w:p w14:paraId="351DE7C8" w14:textId="74356F5E" w:rsidR="001B30C7" w:rsidRPr="001B30C7" w:rsidRDefault="00671515" w:rsidP="00671515">
      <w:pPr>
        <w:widowControl w:val="0"/>
        <w:tabs>
          <w:tab w:val="left" w:pos="567"/>
        </w:tabs>
        <w:spacing w:before="480" w:after="480" w:line="360" w:lineRule="auto"/>
        <w:jc w:val="both"/>
        <w:rPr>
          <w:rFonts w:cs="Arial"/>
          <w:bCs/>
          <w:szCs w:val="22"/>
        </w:rPr>
      </w:pPr>
      <w:r w:rsidRPr="001B30C7">
        <w:rPr>
          <w:rFonts w:cs="Arial"/>
          <w:bCs/>
          <w:szCs w:val="22"/>
        </w:rPr>
        <w:t>[27]</w:t>
      </w:r>
      <w:r w:rsidRPr="001B30C7">
        <w:rPr>
          <w:rFonts w:cs="Arial"/>
          <w:bCs/>
          <w:szCs w:val="22"/>
        </w:rPr>
        <w:tab/>
      </w:r>
      <w:r w:rsidR="00B9652B">
        <w:rPr>
          <w:rFonts w:cs="Arial"/>
          <w:bCs/>
          <w:szCs w:val="22"/>
        </w:rPr>
        <w:t>Section 8 of the Divorce Act provides for the rescission</w:t>
      </w:r>
      <w:r w:rsidR="00D3442C">
        <w:rPr>
          <w:rFonts w:cs="Arial"/>
          <w:bCs/>
          <w:szCs w:val="22"/>
        </w:rPr>
        <w:t>,</w:t>
      </w:r>
      <w:r w:rsidR="00B9652B">
        <w:rPr>
          <w:rFonts w:cs="Arial"/>
          <w:bCs/>
          <w:szCs w:val="22"/>
        </w:rPr>
        <w:t xml:space="preserve"> variation </w:t>
      </w:r>
      <w:r w:rsidR="00D3442C">
        <w:rPr>
          <w:rFonts w:cs="Arial"/>
          <w:bCs/>
          <w:szCs w:val="22"/>
        </w:rPr>
        <w:t xml:space="preserve">or suspension </w:t>
      </w:r>
      <w:r w:rsidR="00B9652B">
        <w:rPr>
          <w:rFonts w:cs="Arial"/>
          <w:bCs/>
          <w:szCs w:val="22"/>
        </w:rPr>
        <w:t>of</w:t>
      </w:r>
      <w:r w:rsidR="00D3442C">
        <w:rPr>
          <w:rFonts w:cs="Arial"/>
          <w:bCs/>
          <w:szCs w:val="22"/>
        </w:rPr>
        <w:t xml:space="preserve"> </w:t>
      </w:r>
      <w:r w:rsidR="00B9652B">
        <w:rPr>
          <w:rFonts w:cs="Arial"/>
          <w:bCs/>
          <w:szCs w:val="22"/>
        </w:rPr>
        <w:t>maintenance</w:t>
      </w:r>
      <w:r w:rsidR="00D3442C" w:rsidRPr="00D3442C">
        <w:rPr>
          <w:rFonts w:cs="Arial"/>
          <w:bCs/>
          <w:szCs w:val="22"/>
        </w:rPr>
        <w:t xml:space="preserve"> </w:t>
      </w:r>
      <w:r w:rsidR="00D3442C">
        <w:rPr>
          <w:rFonts w:cs="Arial"/>
          <w:bCs/>
          <w:szCs w:val="22"/>
        </w:rPr>
        <w:t xml:space="preserve">orders </w:t>
      </w:r>
      <w:r w:rsidR="00D3442C" w:rsidRPr="00D3442C">
        <w:rPr>
          <w:rFonts w:cs="Arial"/>
          <w:bCs/>
          <w:i/>
          <w:iCs/>
          <w:szCs w:val="22"/>
        </w:rPr>
        <w:t>“i</w:t>
      </w:r>
      <w:r w:rsidR="00D3442C" w:rsidRPr="00D3442C">
        <w:rPr>
          <w:i/>
          <w:iCs/>
        </w:rPr>
        <w:t>f the court finds that there is sufficient reason therefor.”</w:t>
      </w:r>
      <w:r w:rsidR="00D3442C">
        <w:rPr>
          <w:i/>
          <w:iCs/>
        </w:rPr>
        <w:t xml:space="preserve"> </w:t>
      </w:r>
      <w:r w:rsidR="00D3442C">
        <w:t>The corresponding phrase in the previous legislation</w:t>
      </w:r>
      <w:r w:rsidR="00D3442C">
        <w:rPr>
          <w:rStyle w:val="FootnoteReference"/>
        </w:rPr>
        <w:footnoteReference w:id="10"/>
      </w:r>
      <w:r w:rsidR="00D3442C">
        <w:t xml:space="preserve"> was </w:t>
      </w:r>
      <w:r w:rsidR="00D3442C" w:rsidRPr="003D2BB6">
        <w:rPr>
          <w:i/>
          <w:iCs/>
        </w:rPr>
        <w:t>“good cause”</w:t>
      </w:r>
      <w:r w:rsidR="00D3442C">
        <w:t xml:space="preserve"> and the two phrases</w:t>
      </w:r>
      <w:r w:rsidR="00D3442C">
        <w:rPr>
          <w:rStyle w:val="FootnoteReference"/>
        </w:rPr>
        <w:footnoteReference w:id="11"/>
      </w:r>
      <w:r w:rsidR="00D3442C">
        <w:t xml:space="preserve"> </w:t>
      </w:r>
      <w:r w:rsidR="00567926">
        <w:t>have the same meaning</w:t>
      </w:r>
      <w:r w:rsidR="00D3442C">
        <w:t>.</w:t>
      </w:r>
      <w:r w:rsidR="003D2BB6">
        <w:rPr>
          <w:rStyle w:val="FootnoteReference"/>
        </w:rPr>
        <w:footnoteReference w:id="12"/>
      </w:r>
      <w:r w:rsidR="003D2BB6">
        <w:t xml:space="preserve"> </w:t>
      </w:r>
    </w:p>
    <w:p w14:paraId="55AD0AFC" w14:textId="61BB944E" w:rsidR="003D2BB6" w:rsidRPr="001B30C7" w:rsidRDefault="00671515" w:rsidP="00671515">
      <w:pPr>
        <w:widowControl w:val="0"/>
        <w:tabs>
          <w:tab w:val="left" w:pos="567"/>
        </w:tabs>
        <w:spacing w:before="480" w:after="480" w:line="360" w:lineRule="auto"/>
        <w:jc w:val="both"/>
        <w:rPr>
          <w:rFonts w:cs="Arial"/>
          <w:bCs/>
          <w:szCs w:val="22"/>
        </w:rPr>
      </w:pPr>
      <w:r w:rsidRPr="001B30C7">
        <w:rPr>
          <w:rFonts w:cs="Arial"/>
          <w:bCs/>
          <w:szCs w:val="22"/>
        </w:rPr>
        <w:t>[28]</w:t>
      </w:r>
      <w:r w:rsidRPr="001B30C7">
        <w:rPr>
          <w:rFonts w:cs="Arial"/>
          <w:bCs/>
          <w:szCs w:val="22"/>
        </w:rPr>
        <w:tab/>
      </w:r>
      <w:r w:rsidR="003D2BB6">
        <w:t xml:space="preserve">The Courts have, for </w:t>
      </w:r>
      <w:r w:rsidR="004757B4">
        <w:t>obvious</w:t>
      </w:r>
      <w:r w:rsidR="003D2BB6">
        <w:t xml:space="preserve"> reason</w:t>
      </w:r>
      <w:r w:rsidR="004757B4">
        <w:t>s</w:t>
      </w:r>
      <w:r w:rsidR="003D2BB6">
        <w:t xml:space="preserve">, refrained from an exhaustive definition of </w:t>
      </w:r>
      <w:r w:rsidR="003D2BB6" w:rsidRPr="001B30C7">
        <w:rPr>
          <w:i/>
          <w:iCs/>
        </w:rPr>
        <w:t>“sufficient reason”</w:t>
      </w:r>
      <w:r w:rsidR="003D2BB6">
        <w:t xml:space="preserve">  or </w:t>
      </w:r>
      <w:r w:rsidR="003D2BB6" w:rsidRPr="001B30C7">
        <w:rPr>
          <w:i/>
          <w:iCs/>
        </w:rPr>
        <w:t>“good cause.”</w:t>
      </w:r>
      <w:r w:rsidR="003D2BB6">
        <w:t xml:space="preserve">  In the absence of a change of circumstances a Court is not likely to interfere</w:t>
      </w:r>
      <w:r w:rsidR="003D2BB6">
        <w:rPr>
          <w:rStyle w:val="FootnoteReference"/>
        </w:rPr>
        <w:footnoteReference w:id="13"/>
      </w:r>
      <w:r w:rsidR="003D2BB6">
        <w:t xml:space="preserve"> but </w:t>
      </w:r>
      <w:r w:rsidR="006362D8">
        <w:t>a change of circumstances</w:t>
      </w:r>
      <w:r w:rsidR="003D2BB6">
        <w:t xml:space="preserve"> is not a statutory requirement. The particular circumstances of each case must be considered</w:t>
      </w:r>
      <w:r w:rsidR="006362D8">
        <w:t xml:space="preserve"> and the Court may vary an ill-considered agreement</w:t>
      </w:r>
      <w:r w:rsidR="00F95973">
        <w:t xml:space="preserve"> when it is  </w:t>
      </w:r>
      <w:r w:rsidR="00F95973" w:rsidRPr="001B30C7">
        <w:rPr>
          <w:i/>
          <w:iCs/>
        </w:rPr>
        <w:t>contra bonos mores</w:t>
      </w:r>
      <w:r w:rsidR="003D2BB6">
        <w:t>.</w:t>
      </w:r>
      <w:r w:rsidR="006362D8">
        <w:t xml:space="preserve"> In </w:t>
      </w:r>
      <w:r w:rsidR="006362D8" w:rsidRPr="001B30C7">
        <w:rPr>
          <w:i/>
          <w:iCs/>
        </w:rPr>
        <w:t>Baart v Malan</w:t>
      </w:r>
      <w:r w:rsidR="006362D8">
        <w:rPr>
          <w:rStyle w:val="FootnoteReference"/>
          <w:i/>
          <w:iCs/>
        </w:rPr>
        <w:footnoteReference w:id="14"/>
      </w:r>
      <w:r w:rsidR="006362D8" w:rsidRPr="00AB7068">
        <w:t xml:space="preserve"> </w:t>
      </w:r>
      <w:r w:rsidR="006362D8">
        <w:t xml:space="preserve">the Court deleted maintenance provisions from a settlement agreement on the basis that the provisions whereby the applicant undertook to pay her whole income to the respondent as maintenance for their </w:t>
      </w:r>
      <w:r w:rsidR="006362D8">
        <w:lastRenderedPageBreak/>
        <w:t xml:space="preserve">children, were </w:t>
      </w:r>
      <w:r w:rsidR="006362D8" w:rsidRPr="001B30C7">
        <w:rPr>
          <w:i/>
          <w:iCs/>
        </w:rPr>
        <w:t>contra bonos mores</w:t>
      </w:r>
      <w:r w:rsidR="006362D8">
        <w:t>.</w:t>
      </w:r>
      <w:r w:rsidR="00D72A06">
        <w:rPr>
          <w:rStyle w:val="FootnoteReference"/>
        </w:rPr>
        <w:footnoteReference w:id="15"/>
      </w:r>
      <w:r w:rsidR="00D72A06">
        <w:t xml:space="preserve"> However, an unjust</w:t>
      </w:r>
      <w:r w:rsidR="00D72A06">
        <w:rPr>
          <w:rStyle w:val="FootnoteReference"/>
        </w:rPr>
        <w:footnoteReference w:id="16"/>
      </w:r>
      <w:r w:rsidR="00D72A06">
        <w:t xml:space="preserve"> settlement is not necessarily </w:t>
      </w:r>
      <w:r w:rsidR="00D72A06" w:rsidRPr="001B30C7">
        <w:rPr>
          <w:i/>
          <w:iCs/>
        </w:rPr>
        <w:t>contra bonos mores</w:t>
      </w:r>
      <w:r w:rsidR="00D72A06">
        <w:t>.</w:t>
      </w:r>
      <w:r w:rsidR="00F95973">
        <w:t xml:space="preserve"> </w:t>
      </w:r>
      <w:r w:rsidR="00F628AA">
        <w:t xml:space="preserve">Parties have freedom of contract and it is not for the </w:t>
      </w:r>
      <w:r w:rsidR="006F08A1">
        <w:t>C</w:t>
      </w:r>
      <w:r w:rsidR="00F628AA">
        <w:t>ourt to make a contract for the parties.</w:t>
      </w:r>
    </w:p>
    <w:p w14:paraId="77BEB07F" w14:textId="4637B22F" w:rsidR="0094474D" w:rsidRDefault="00671515" w:rsidP="00671515">
      <w:pPr>
        <w:widowControl w:val="0"/>
        <w:tabs>
          <w:tab w:val="left" w:pos="567"/>
        </w:tabs>
        <w:spacing w:before="480" w:after="480" w:line="360" w:lineRule="auto"/>
        <w:jc w:val="both"/>
        <w:rPr>
          <w:rFonts w:cs="Arial"/>
          <w:bCs/>
          <w:szCs w:val="22"/>
        </w:rPr>
      </w:pPr>
      <w:r>
        <w:rPr>
          <w:rFonts w:cs="Arial"/>
          <w:bCs/>
          <w:szCs w:val="22"/>
        </w:rPr>
        <w:t>[29]</w:t>
      </w:r>
      <w:r>
        <w:rPr>
          <w:rFonts w:cs="Arial"/>
          <w:bCs/>
          <w:szCs w:val="22"/>
        </w:rPr>
        <w:tab/>
      </w:r>
      <w:r w:rsidR="0094474D">
        <w:rPr>
          <w:rFonts w:cs="Arial"/>
          <w:bCs/>
          <w:szCs w:val="22"/>
        </w:rPr>
        <w:t>Remarriage may possibly constitute sufficient reason for the rescission or variation of a maintenance order in terms of section 8 of the Divorce Act, but there is no room for an implied term to effect automatic termination of maintenance upon remarriage.</w:t>
      </w:r>
      <w:r w:rsidR="0094474D">
        <w:rPr>
          <w:rStyle w:val="FootnoteReference"/>
          <w:rFonts w:cs="Arial"/>
          <w:bCs/>
          <w:szCs w:val="22"/>
        </w:rPr>
        <w:footnoteReference w:id="17"/>
      </w:r>
      <w:r w:rsidR="0094474D">
        <w:rPr>
          <w:rFonts w:cs="Arial"/>
          <w:bCs/>
          <w:szCs w:val="22"/>
        </w:rPr>
        <w:t xml:space="preserve"> </w:t>
      </w:r>
    </w:p>
    <w:p w14:paraId="7C71684E" w14:textId="56C45D2F" w:rsidR="00EB56E5" w:rsidRDefault="00671515" w:rsidP="00671515">
      <w:pPr>
        <w:widowControl w:val="0"/>
        <w:tabs>
          <w:tab w:val="left" w:pos="567"/>
        </w:tabs>
        <w:spacing w:before="480" w:after="480" w:line="360" w:lineRule="auto"/>
        <w:jc w:val="both"/>
        <w:rPr>
          <w:rFonts w:cs="Arial"/>
          <w:bCs/>
          <w:szCs w:val="22"/>
        </w:rPr>
      </w:pPr>
      <w:r>
        <w:rPr>
          <w:rFonts w:cs="Arial"/>
          <w:bCs/>
          <w:szCs w:val="22"/>
        </w:rPr>
        <w:t>[30]</w:t>
      </w:r>
      <w:r>
        <w:rPr>
          <w:rFonts w:cs="Arial"/>
          <w:bCs/>
          <w:szCs w:val="22"/>
        </w:rPr>
        <w:tab/>
      </w:r>
      <w:r w:rsidR="00EB56E5">
        <w:rPr>
          <w:rFonts w:cs="Arial"/>
          <w:bCs/>
          <w:szCs w:val="22"/>
        </w:rPr>
        <w:t>The evidence falls short of confirming a permanent cohabitation arrangement</w:t>
      </w:r>
      <w:r w:rsidR="002D3318">
        <w:rPr>
          <w:rFonts w:cs="Arial"/>
          <w:bCs/>
          <w:szCs w:val="22"/>
        </w:rPr>
        <w:t>, and no case is made out for a variation or rescission of clause 4 of the settlement agreement in terms of section 8 of the Divorce Act.</w:t>
      </w:r>
    </w:p>
    <w:p w14:paraId="32ABD17F" w14:textId="77777777" w:rsidR="00EB56E5" w:rsidRDefault="00EB56E5" w:rsidP="00EB56E5">
      <w:pPr>
        <w:widowControl w:val="0"/>
        <w:spacing w:before="480" w:after="480" w:line="360" w:lineRule="auto"/>
        <w:jc w:val="both"/>
        <w:rPr>
          <w:rFonts w:cs="Arial"/>
          <w:bCs/>
          <w:i/>
          <w:iCs/>
          <w:szCs w:val="22"/>
          <w:u w:val="single"/>
        </w:rPr>
      </w:pPr>
    </w:p>
    <w:p w14:paraId="0F8A686C" w14:textId="2EEC19F0" w:rsidR="008C6E22" w:rsidRPr="00EB56E5" w:rsidRDefault="00EB56E5" w:rsidP="00EB56E5">
      <w:pPr>
        <w:widowControl w:val="0"/>
        <w:spacing w:before="480" w:after="480" w:line="360" w:lineRule="auto"/>
        <w:jc w:val="both"/>
        <w:rPr>
          <w:rFonts w:cs="Arial"/>
          <w:bCs/>
          <w:i/>
          <w:iCs/>
          <w:szCs w:val="22"/>
          <w:u w:val="single"/>
        </w:rPr>
      </w:pPr>
      <w:r w:rsidRPr="00EB56E5">
        <w:rPr>
          <w:rFonts w:cs="Arial"/>
          <w:bCs/>
          <w:i/>
          <w:iCs/>
          <w:szCs w:val="22"/>
          <w:u w:val="single"/>
        </w:rPr>
        <w:t>Contra preferentem</w:t>
      </w:r>
    </w:p>
    <w:p w14:paraId="4605D163" w14:textId="588DE62E" w:rsidR="00486910" w:rsidRDefault="00671515" w:rsidP="00671515">
      <w:pPr>
        <w:widowControl w:val="0"/>
        <w:tabs>
          <w:tab w:val="left" w:pos="567"/>
        </w:tabs>
        <w:spacing w:before="480" w:after="480" w:line="360" w:lineRule="auto"/>
        <w:jc w:val="both"/>
        <w:rPr>
          <w:rFonts w:cs="Arial"/>
          <w:bCs/>
          <w:szCs w:val="22"/>
        </w:rPr>
      </w:pPr>
      <w:r>
        <w:rPr>
          <w:rFonts w:cs="Arial"/>
          <w:bCs/>
          <w:szCs w:val="22"/>
        </w:rPr>
        <w:t>[31]</w:t>
      </w:r>
      <w:r>
        <w:rPr>
          <w:rFonts w:cs="Arial"/>
          <w:bCs/>
          <w:szCs w:val="22"/>
        </w:rPr>
        <w:tab/>
      </w:r>
      <w:r w:rsidR="000D2B83">
        <w:rPr>
          <w:rFonts w:cs="Arial"/>
          <w:bCs/>
          <w:szCs w:val="22"/>
        </w:rPr>
        <w:t xml:space="preserve">The agreement was drafted by the defendant’s attorney and the plaintiff’s counsel argued that the agreement ought to be interpreted </w:t>
      </w:r>
      <w:r w:rsidR="000D2B83" w:rsidRPr="000D2B83">
        <w:rPr>
          <w:rFonts w:cs="Arial"/>
          <w:bCs/>
          <w:i/>
          <w:iCs/>
          <w:szCs w:val="22"/>
        </w:rPr>
        <w:t>contra preferentem</w:t>
      </w:r>
      <w:r w:rsidR="000D2B83">
        <w:rPr>
          <w:rFonts w:cs="Arial"/>
          <w:bCs/>
          <w:szCs w:val="22"/>
        </w:rPr>
        <w:t>.</w:t>
      </w:r>
      <w:r w:rsidR="00AC72F1">
        <w:rPr>
          <w:rStyle w:val="FootnoteReference"/>
          <w:rFonts w:cs="Arial"/>
          <w:bCs/>
          <w:szCs w:val="22"/>
        </w:rPr>
        <w:footnoteReference w:id="18"/>
      </w:r>
      <w:r w:rsidR="000D2B83">
        <w:rPr>
          <w:rFonts w:cs="Arial"/>
          <w:bCs/>
          <w:szCs w:val="22"/>
        </w:rPr>
        <w:t xml:space="preserve"> </w:t>
      </w:r>
      <w:r w:rsidR="00AC72F1">
        <w:rPr>
          <w:rFonts w:cs="Arial"/>
          <w:bCs/>
          <w:szCs w:val="22"/>
        </w:rPr>
        <w:t>The rule is a rule of last resort, to be applied when all other methods to ascertain the intention of contracting parties have failed. In the present matter there is no ambiguity and no room for application of the rule.</w:t>
      </w:r>
    </w:p>
    <w:p w14:paraId="11D3DEC4" w14:textId="77777777" w:rsidR="002D3318" w:rsidRDefault="002D3318" w:rsidP="002D3318">
      <w:pPr>
        <w:widowControl w:val="0"/>
        <w:spacing w:before="480" w:after="480" w:line="360" w:lineRule="auto"/>
        <w:jc w:val="both"/>
        <w:rPr>
          <w:rFonts w:cs="Arial"/>
          <w:bCs/>
          <w:szCs w:val="22"/>
          <w:u w:val="single"/>
        </w:rPr>
      </w:pPr>
    </w:p>
    <w:p w14:paraId="7A91DFCF" w14:textId="72FC3A12" w:rsidR="001C4695" w:rsidRPr="002D3318" w:rsidRDefault="002D3318" w:rsidP="002D3318">
      <w:pPr>
        <w:widowControl w:val="0"/>
        <w:spacing w:before="480" w:after="480" w:line="360" w:lineRule="auto"/>
        <w:jc w:val="both"/>
        <w:rPr>
          <w:rFonts w:cs="Arial"/>
          <w:bCs/>
          <w:szCs w:val="22"/>
          <w:u w:val="single"/>
        </w:rPr>
      </w:pPr>
      <w:r w:rsidRPr="002D3318">
        <w:rPr>
          <w:rFonts w:cs="Arial"/>
          <w:bCs/>
          <w:szCs w:val="22"/>
          <w:u w:val="single"/>
        </w:rPr>
        <w:t>Contract</w:t>
      </w:r>
      <w:r w:rsidR="004757B4">
        <w:rPr>
          <w:rFonts w:cs="Arial"/>
          <w:bCs/>
          <w:szCs w:val="22"/>
          <w:u w:val="single"/>
        </w:rPr>
        <w:t>s</w:t>
      </w:r>
      <w:r w:rsidRPr="002D3318">
        <w:rPr>
          <w:rFonts w:cs="Arial"/>
          <w:bCs/>
          <w:szCs w:val="22"/>
          <w:u w:val="single"/>
        </w:rPr>
        <w:t xml:space="preserve"> of unspecified duration</w:t>
      </w:r>
    </w:p>
    <w:p w14:paraId="2CED5AC2" w14:textId="48D96F41" w:rsidR="002D3318" w:rsidRDefault="00671515" w:rsidP="00671515">
      <w:pPr>
        <w:widowControl w:val="0"/>
        <w:tabs>
          <w:tab w:val="left" w:pos="567"/>
        </w:tabs>
        <w:spacing w:before="480" w:after="480" w:line="360" w:lineRule="auto"/>
        <w:jc w:val="both"/>
        <w:rPr>
          <w:rFonts w:cs="Arial"/>
          <w:bCs/>
          <w:szCs w:val="22"/>
        </w:rPr>
      </w:pPr>
      <w:r>
        <w:rPr>
          <w:rFonts w:cs="Arial"/>
          <w:bCs/>
          <w:szCs w:val="22"/>
        </w:rPr>
        <w:t>[32]</w:t>
      </w:r>
      <w:r>
        <w:rPr>
          <w:rFonts w:cs="Arial"/>
          <w:bCs/>
          <w:szCs w:val="22"/>
        </w:rPr>
        <w:tab/>
      </w:r>
      <w:r w:rsidR="007660AF">
        <w:rPr>
          <w:rFonts w:cs="Arial"/>
          <w:bCs/>
          <w:szCs w:val="22"/>
        </w:rPr>
        <w:t xml:space="preserve">In argument the plaintiff’s counsel relied also on </w:t>
      </w:r>
      <w:r w:rsidR="00A847CA" w:rsidRPr="0025303E">
        <w:rPr>
          <w:i/>
          <w:iCs/>
        </w:rPr>
        <w:t>Plaaskem (Pty) Ltd v Nippon Africa Chemicals (Pty) Ltd</w:t>
      </w:r>
      <w:r w:rsidR="00A847CA">
        <w:rPr>
          <w:rStyle w:val="FootnoteReference"/>
          <w:i/>
          <w:iCs/>
        </w:rPr>
        <w:footnoteReference w:id="19"/>
      </w:r>
      <w:r w:rsidR="00A847CA">
        <w:t xml:space="preserve"> </w:t>
      </w:r>
      <w:r w:rsidR="007660AF">
        <w:rPr>
          <w:rFonts w:cs="Arial"/>
          <w:bCs/>
          <w:szCs w:val="22"/>
        </w:rPr>
        <w:t xml:space="preserve">where </w:t>
      </w:r>
      <w:r w:rsidR="004B230E">
        <w:rPr>
          <w:rFonts w:cs="Arial"/>
          <w:bCs/>
          <w:szCs w:val="22"/>
        </w:rPr>
        <w:t>the Court interpreted a specific contract and</w:t>
      </w:r>
      <w:r w:rsidR="000D2B83">
        <w:rPr>
          <w:rFonts w:cs="Arial"/>
          <w:bCs/>
          <w:szCs w:val="22"/>
        </w:rPr>
        <w:t xml:space="preserve"> </w:t>
      </w:r>
      <w:r w:rsidR="004B230E">
        <w:rPr>
          <w:rFonts w:cs="Arial"/>
          <w:bCs/>
          <w:szCs w:val="22"/>
        </w:rPr>
        <w:t xml:space="preserve">recognised a tacit term allowing for termination </w:t>
      </w:r>
      <w:r w:rsidR="000D2B83">
        <w:rPr>
          <w:rFonts w:cs="Arial"/>
          <w:bCs/>
          <w:szCs w:val="22"/>
        </w:rPr>
        <w:t xml:space="preserve">of a commercial co-operation agreement of unspecified duration </w:t>
      </w:r>
      <w:r w:rsidR="004B230E">
        <w:rPr>
          <w:rFonts w:cs="Arial"/>
          <w:bCs/>
          <w:szCs w:val="22"/>
        </w:rPr>
        <w:t>on reasonable notice.</w:t>
      </w:r>
      <w:r w:rsidR="007660AF">
        <w:rPr>
          <w:rFonts w:cs="Arial"/>
          <w:bCs/>
          <w:szCs w:val="22"/>
        </w:rPr>
        <w:t xml:space="preserve"> </w:t>
      </w:r>
      <w:r w:rsidR="000D2B83" w:rsidRPr="000D2B83">
        <w:rPr>
          <w:rFonts w:cs="Arial"/>
          <w:bCs/>
          <w:szCs w:val="22"/>
        </w:rPr>
        <w:t xml:space="preserve">There was no </w:t>
      </w:r>
      <w:r w:rsidR="000D2B83" w:rsidRPr="000D2B83">
        <w:rPr>
          <w:rFonts w:cs="Arial"/>
          <w:szCs w:val="22"/>
        </w:rPr>
        <w:t xml:space="preserve">express term dealing with the duration of the agreement </w:t>
      </w:r>
      <w:r w:rsidR="000D2B83" w:rsidRPr="000D2B83">
        <w:rPr>
          <w:rFonts w:cs="Arial"/>
          <w:szCs w:val="22"/>
        </w:rPr>
        <w:lastRenderedPageBreak/>
        <w:t>nor any indication that the parties intended to be bound in perpetuity</w:t>
      </w:r>
      <w:r w:rsidR="002D3318">
        <w:rPr>
          <w:rFonts w:cs="Arial"/>
          <w:szCs w:val="22"/>
        </w:rPr>
        <w:t>.</w:t>
      </w:r>
      <w:r w:rsidR="000D2B83" w:rsidRPr="000D2B83">
        <w:rPr>
          <w:rFonts w:cs="Arial"/>
          <w:bCs/>
          <w:szCs w:val="22"/>
        </w:rPr>
        <w:t xml:space="preserve"> </w:t>
      </w:r>
    </w:p>
    <w:p w14:paraId="442D39FE" w14:textId="467670FD" w:rsidR="007660AF" w:rsidRPr="000D2B83" w:rsidRDefault="00671515" w:rsidP="00671515">
      <w:pPr>
        <w:widowControl w:val="0"/>
        <w:tabs>
          <w:tab w:val="left" w:pos="567"/>
        </w:tabs>
        <w:spacing w:before="480" w:after="480" w:line="360" w:lineRule="auto"/>
        <w:jc w:val="both"/>
        <w:rPr>
          <w:rFonts w:cs="Arial"/>
          <w:bCs/>
          <w:szCs w:val="22"/>
        </w:rPr>
      </w:pPr>
      <w:r w:rsidRPr="000D2B83">
        <w:rPr>
          <w:rFonts w:cs="Arial"/>
          <w:bCs/>
          <w:szCs w:val="22"/>
        </w:rPr>
        <w:t>[33]</w:t>
      </w:r>
      <w:r w:rsidRPr="000D2B83">
        <w:rPr>
          <w:rFonts w:cs="Arial"/>
          <w:bCs/>
          <w:szCs w:val="22"/>
        </w:rPr>
        <w:tab/>
      </w:r>
      <w:r w:rsidR="007660AF" w:rsidRPr="000D2B83">
        <w:rPr>
          <w:rFonts w:cs="Arial"/>
          <w:bCs/>
          <w:szCs w:val="22"/>
        </w:rPr>
        <w:t xml:space="preserve">The present matter is </w:t>
      </w:r>
      <w:r w:rsidR="002D3318">
        <w:rPr>
          <w:rFonts w:cs="Arial"/>
          <w:bCs/>
          <w:szCs w:val="22"/>
        </w:rPr>
        <w:t xml:space="preserve">of course </w:t>
      </w:r>
      <w:r w:rsidR="007660AF" w:rsidRPr="000D2B83">
        <w:rPr>
          <w:rFonts w:cs="Arial"/>
          <w:bCs/>
          <w:szCs w:val="22"/>
        </w:rPr>
        <w:t>distinguishable on the facts</w:t>
      </w:r>
      <w:r w:rsidR="000D2B83">
        <w:rPr>
          <w:rFonts w:cs="Arial"/>
          <w:bCs/>
          <w:szCs w:val="22"/>
        </w:rPr>
        <w:t>:</w:t>
      </w:r>
      <w:r w:rsidR="007660AF" w:rsidRPr="000D2B83">
        <w:rPr>
          <w:rFonts w:cs="Arial"/>
          <w:bCs/>
          <w:szCs w:val="22"/>
        </w:rPr>
        <w:t xml:space="preserve"> The duration of the maintenance obligation is specified in the </w:t>
      </w:r>
      <w:r w:rsidR="000D2B83" w:rsidRPr="000D2B83">
        <w:rPr>
          <w:rFonts w:cs="Arial"/>
          <w:bCs/>
          <w:szCs w:val="22"/>
        </w:rPr>
        <w:t xml:space="preserve">settlement </w:t>
      </w:r>
      <w:r w:rsidR="007660AF" w:rsidRPr="000D2B83">
        <w:rPr>
          <w:rFonts w:cs="Arial"/>
          <w:bCs/>
          <w:szCs w:val="22"/>
        </w:rPr>
        <w:t>agreement</w:t>
      </w:r>
      <w:r w:rsidR="006F08A1">
        <w:rPr>
          <w:rFonts w:cs="Arial"/>
          <w:bCs/>
          <w:szCs w:val="22"/>
        </w:rPr>
        <w:t xml:space="preserve"> and it is perfectly acceptable to agree to </w:t>
      </w:r>
      <w:r w:rsidR="002D3318">
        <w:rPr>
          <w:rFonts w:cs="Arial"/>
          <w:bCs/>
          <w:szCs w:val="22"/>
        </w:rPr>
        <w:t xml:space="preserve">pay </w:t>
      </w:r>
      <w:r w:rsidR="006F08A1">
        <w:rPr>
          <w:rFonts w:cs="Arial"/>
          <w:bCs/>
          <w:szCs w:val="22"/>
        </w:rPr>
        <w:t>maintenance until death.</w:t>
      </w:r>
    </w:p>
    <w:p w14:paraId="2AF32D73" w14:textId="77777777" w:rsidR="002D3318" w:rsidRDefault="002D3318" w:rsidP="002D3318">
      <w:pPr>
        <w:widowControl w:val="0"/>
        <w:spacing w:before="480" w:after="480" w:line="360" w:lineRule="auto"/>
        <w:jc w:val="both"/>
        <w:rPr>
          <w:rFonts w:cs="Arial"/>
          <w:bCs/>
          <w:szCs w:val="22"/>
          <w:u w:val="single"/>
        </w:rPr>
      </w:pPr>
    </w:p>
    <w:p w14:paraId="2F9C09E6" w14:textId="0FE3A30F" w:rsidR="002D3318" w:rsidRPr="002D3318" w:rsidRDefault="002D3318" w:rsidP="002D3318">
      <w:pPr>
        <w:widowControl w:val="0"/>
        <w:spacing w:before="480" w:after="480" w:line="360" w:lineRule="auto"/>
        <w:jc w:val="both"/>
        <w:rPr>
          <w:rFonts w:cs="Arial"/>
          <w:bCs/>
          <w:szCs w:val="22"/>
          <w:u w:val="single"/>
        </w:rPr>
      </w:pPr>
      <w:r w:rsidRPr="002D3318">
        <w:rPr>
          <w:rFonts w:cs="Arial"/>
          <w:bCs/>
          <w:szCs w:val="22"/>
          <w:u w:val="single"/>
        </w:rPr>
        <w:t>The recognition of relationships other than marriage</w:t>
      </w:r>
    </w:p>
    <w:p w14:paraId="3C74E1D1" w14:textId="18F6931D" w:rsidR="002D3318" w:rsidRDefault="00671515" w:rsidP="00671515">
      <w:pPr>
        <w:widowControl w:val="0"/>
        <w:tabs>
          <w:tab w:val="left" w:pos="567"/>
        </w:tabs>
        <w:spacing w:before="480" w:after="480" w:line="360" w:lineRule="auto"/>
        <w:jc w:val="both"/>
        <w:rPr>
          <w:rFonts w:cs="Arial"/>
          <w:bCs/>
          <w:szCs w:val="22"/>
        </w:rPr>
      </w:pPr>
      <w:r>
        <w:rPr>
          <w:rFonts w:cs="Arial"/>
          <w:bCs/>
          <w:szCs w:val="22"/>
        </w:rPr>
        <w:t>[34]</w:t>
      </w:r>
      <w:r>
        <w:rPr>
          <w:rFonts w:cs="Arial"/>
          <w:bCs/>
          <w:szCs w:val="22"/>
        </w:rPr>
        <w:tab/>
      </w:r>
      <w:r w:rsidR="00AC72F1">
        <w:rPr>
          <w:rFonts w:cs="Arial"/>
          <w:bCs/>
          <w:szCs w:val="22"/>
        </w:rPr>
        <w:t>It was argued on behalf of the plaintiff that the recognition</w:t>
      </w:r>
      <w:r w:rsidR="00AC72F1">
        <w:rPr>
          <w:rStyle w:val="FootnoteReference"/>
          <w:rFonts w:cs="Arial"/>
          <w:bCs/>
          <w:szCs w:val="22"/>
        </w:rPr>
        <w:footnoteReference w:id="20"/>
      </w:r>
      <w:r w:rsidR="00AC72F1">
        <w:rPr>
          <w:rFonts w:cs="Arial"/>
          <w:bCs/>
          <w:szCs w:val="22"/>
        </w:rPr>
        <w:t xml:space="preserve"> of same-sex relationships and permanent life-partnerships between people merited the recognition of co-habitation as a </w:t>
      </w:r>
      <w:r w:rsidR="00AC72F1" w:rsidRPr="002D3318">
        <w:rPr>
          <w:rFonts w:cs="Arial"/>
          <w:bCs/>
          <w:i/>
          <w:iCs/>
          <w:szCs w:val="22"/>
        </w:rPr>
        <w:t>‘marriage’</w:t>
      </w:r>
      <w:r w:rsidR="00AC72F1">
        <w:rPr>
          <w:rFonts w:cs="Arial"/>
          <w:bCs/>
          <w:szCs w:val="22"/>
        </w:rPr>
        <w:t xml:space="preserve"> and therefore that the </w:t>
      </w:r>
      <w:r w:rsidR="004757B4">
        <w:rPr>
          <w:rFonts w:cs="Arial"/>
          <w:bCs/>
          <w:szCs w:val="22"/>
        </w:rPr>
        <w:t xml:space="preserve">alleged </w:t>
      </w:r>
      <w:r w:rsidR="00AC72F1">
        <w:rPr>
          <w:rFonts w:cs="Arial"/>
          <w:bCs/>
          <w:szCs w:val="22"/>
        </w:rPr>
        <w:t xml:space="preserve">cohabitation between the defendant and the third party meant that the duty to maintain in paragraph 4 of the settlement agreement was </w:t>
      </w:r>
      <w:r w:rsidR="004757B4">
        <w:rPr>
          <w:rFonts w:cs="Arial"/>
          <w:bCs/>
          <w:szCs w:val="22"/>
        </w:rPr>
        <w:t>terminable</w:t>
      </w:r>
      <w:r w:rsidR="00AC72F1">
        <w:rPr>
          <w:rFonts w:cs="Arial"/>
          <w:bCs/>
          <w:szCs w:val="22"/>
        </w:rPr>
        <w:t>.</w:t>
      </w:r>
      <w:r w:rsidR="00474BCD">
        <w:rPr>
          <w:rFonts w:cs="Arial"/>
          <w:bCs/>
          <w:szCs w:val="22"/>
        </w:rPr>
        <w:t xml:space="preserve"> There is no merit in the argument.</w:t>
      </w:r>
      <w:r w:rsidR="00EA0374">
        <w:rPr>
          <w:rFonts w:cs="Arial"/>
          <w:bCs/>
          <w:szCs w:val="22"/>
        </w:rPr>
        <w:t xml:space="preserve"> </w:t>
      </w:r>
    </w:p>
    <w:p w14:paraId="27B74B70" w14:textId="3E25E0F5" w:rsidR="007660AF" w:rsidRDefault="00671515" w:rsidP="00671515">
      <w:pPr>
        <w:widowControl w:val="0"/>
        <w:tabs>
          <w:tab w:val="left" w:pos="567"/>
        </w:tabs>
        <w:spacing w:before="480" w:after="480" w:line="360" w:lineRule="auto"/>
        <w:jc w:val="both"/>
        <w:rPr>
          <w:rFonts w:cs="Arial"/>
          <w:bCs/>
          <w:szCs w:val="22"/>
        </w:rPr>
      </w:pPr>
      <w:r>
        <w:rPr>
          <w:rFonts w:cs="Arial"/>
          <w:bCs/>
          <w:szCs w:val="22"/>
        </w:rPr>
        <w:t>[35]</w:t>
      </w:r>
      <w:r>
        <w:rPr>
          <w:rFonts w:cs="Arial"/>
          <w:bCs/>
          <w:szCs w:val="22"/>
        </w:rPr>
        <w:tab/>
      </w:r>
      <w:r w:rsidR="00EA0374">
        <w:rPr>
          <w:rFonts w:cs="Arial"/>
          <w:bCs/>
          <w:szCs w:val="22"/>
        </w:rPr>
        <w:t xml:space="preserve">The fact that the law now recognises other relationships as akin to marriage and the parties to such relationships equally deserving of the protection of the law, does not mean that in the settlement agreement now before Court the word </w:t>
      </w:r>
      <w:r w:rsidR="00EA0374" w:rsidRPr="002D3318">
        <w:rPr>
          <w:rFonts w:cs="Arial"/>
          <w:bCs/>
          <w:i/>
          <w:iCs/>
          <w:szCs w:val="22"/>
        </w:rPr>
        <w:t>‘marriage’</w:t>
      </w:r>
      <w:r w:rsidR="00EA0374">
        <w:rPr>
          <w:rFonts w:cs="Arial"/>
          <w:bCs/>
          <w:szCs w:val="22"/>
        </w:rPr>
        <w:t xml:space="preserve"> should be given an extended definition</w:t>
      </w:r>
      <w:r w:rsidR="004757B4">
        <w:rPr>
          <w:rFonts w:cs="Arial"/>
          <w:bCs/>
          <w:szCs w:val="22"/>
        </w:rPr>
        <w:t xml:space="preserve"> never intended by the parties</w:t>
      </w:r>
      <w:r w:rsidR="00EA0374">
        <w:rPr>
          <w:rFonts w:cs="Arial"/>
          <w:bCs/>
          <w:szCs w:val="22"/>
        </w:rPr>
        <w:t>.</w:t>
      </w:r>
    </w:p>
    <w:p w14:paraId="573944DA" w14:textId="77777777" w:rsidR="004757B4" w:rsidRDefault="004757B4" w:rsidP="004757B4">
      <w:pPr>
        <w:widowControl w:val="0"/>
        <w:spacing w:before="480" w:after="480" w:line="360" w:lineRule="auto"/>
        <w:jc w:val="both"/>
        <w:rPr>
          <w:rFonts w:cs="Arial"/>
          <w:bCs/>
          <w:szCs w:val="22"/>
          <w:u w:val="single"/>
        </w:rPr>
      </w:pPr>
    </w:p>
    <w:p w14:paraId="47CD7BB5" w14:textId="24E3EE4A" w:rsidR="004757B4" w:rsidRPr="004757B4" w:rsidRDefault="004757B4" w:rsidP="004757B4">
      <w:pPr>
        <w:widowControl w:val="0"/>
        <w:spacing w:before="480" w:after="480" w:line="360" w:lineRule="auto"/>
        <w:jc w:val="both"/>
        <w:rPr>
          <w:rFonts w:cs="Arial"/>
          <w:bCs/>
          <w:szCs w:val="22"/>
          <w:u w:val="single"/>
        </w:rPr>
      </w:pPr>
      <w:r w:rsidRPr="004757B4">
        <w:rPr>
          <w:rFonts w:cs="Arial"/>
          <w:bCs/>
          <w:szCs w:val="22"/>
          <w:u w:val="single"/>
        </w:rPr>
        <w:t>Conclusion</w:t>
      </w:r>
    </w:p>
    <w:p w14:paraId="27744C03" w14:textId="6B1C779E" w:rsidR="007660AF" w:rsidRDefault="00671515" w:rsidP="00671515">
      <w:pPr>
        <w:widowControl w:val="0"/>
        <w:tabs>
          <w:tab w:val="left" w:pos="567"/>
        </w:tabs>
        <w:spacing w:before="480" w:after="480" w:line="360" w:lineRule="auto"/>
        <w:jc w:val="both"/>
        <w:rPr>
          <w:rFonts w:cs="Arial"/>
          <w:bCs/>
          <w:szCs w:val="22"/>
        </w:rPr>
      </w:pPr>
      <w:r>
        <w:rPr>
          <w:rFonts w:cs="Arial"/>
          <w:bCs/>
          <w:szCs w:val="22"/>
        </w:rPr>
        <w:t>[36]</w:t>
      </w:r>
      <w:r>
        <w:rPr>
          <w:rFonts w:cs="Arial"/>
          <w:bCs/>
          <w:szCs w:val="22"/>
        </w:rPr>
        <w:tab/>
      </w:r>
      <w:r w:rsidR="007660AF">
        <w:rPr>
          <w:rFonts w:cs="Arial"/>
          <w:bCs/>
          <w:szCs w:val="22"/>
        </w:rPr>
        <w:t>For all the reasons set out above, I make the order in paragraph 1.</w:t>
      </w:r>
    </w:p>
    <w:p w14:paraId="57B05A6B" w14:textId="77777777" w:rsidR="007C6DF0" w:rsidRPr="0009745A" w:rsidRDefault="007C6DF0" w:rsidP="005E09BA">
      <w:pPr>
        <w:widowControl w:val="0"/>
        <w:tabs>
          <w:tab w:val="right" w:pos="0"/>
        </w:tabs>
        <w:spacing w:line="360" w:lineRule="auto"/>
        <w:contextualSpacing/>
        <w:jc w:val="both"/>
        <w:rPr>
          <w:rFonts w:cs="Arial"/>
          <w:b/>
          <w:szCs w:val="22"/>
        </w:rPr>
      </w:pPr>
    </w:p>
    <w:p w14:paraId="740EAE43" w14:textId="77777777" w:rsidR="007C6DF0" w:rsidRDefault="007C6DF0" w:rsidP="005E09BA">
      <w:pPr>
        <w:widowControl w:val="0"/>
        <w:tabs>
          <w:tab w:val="right" w:pos="0"/>
        </w:tabs>
        <w:spacing w:line="360" w:lineRule="auto"/>
        <w:contextualSpacing/>
        <w:jc w:val="both"/>
        <w:rPr>
          <w:rFonts w:cs="Arial"/>
          <w:b/>
          <w:szCs w:val="22"/>
        </w:rPr>
      </w:pPr>
    </w:p>
    <w:p w14:paraId="5D6EC3F4" w14:textId="77777777" w:rsidR="000837AC" w:rsidRPr="0009745A" w:rsidRDefault="000837AC" w:rsidP="005E09BA">
      <w:pPr>
        <w:widowControl w:val="0"/>
        <w:tabs>
          <w:tab w:val="right" w:pos="0"/>
        </w:tabs>
        <w:spacing w:line="360" w:lineRule="auto"/>
        <w:contextualSpacing/>
        <w:jc w:val="both"/>
        <w:rPr>
          <w:rFonts w:cs="Arial"/>
          <w:b/>
          <w:szCs w:val="22"/>
        </w:rPr>
      </w:pPr>
    </w:p>
    <w:p w14:paraId="162481B2" w14:textId="3E18B653" w:rsidR="00581C59" w:rsidRPr="0009745A" w:rsidRDefault="00581C59" w:rsidP="005E09BA">
      <w:pPr>
        <w:widowControl w:val="0"/>
        <w:tabs>
          <w:tab w:val="right" w:pos="0"/>
        </w:tabs>
        <w:spacing w:line="360" w:lineRule="auto"/>
        <w:contextualSpacing/>
        <w:jc w:val="right"/>
        <w:rPr>
          <w:rFonts w:cs="Arial"/>
          <w:b/>
          <w:szCs w:val="22"/>
        </w:rPr>
      </w:pPr>
      <w:r w:rsidRPr="0009745A">
        <w:rPr>
          <w:rFonts w:cs="Arial"/>
          <w:b/>
          <w:szCs w:val="22"/>
        </w:rPr>
        <w:lastRenderedPageBreak/>
        <w:t>_____________</w:t>
      </w:r>
    </w:p>
    <w:p w14:paraId="0CCB9BFE" w14:textId="2B9BE171" w:rsidR="006C43D7" w:rsidRPr="0009745A" w:rsidRDefault="00C676F3" w:rsidP="005E09BA">
      <w:pPr>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5E09BA">
      <w:pPr>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p w14:paraId="077C2590" w14:textId="7C2C605F"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326B529B"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p>
    <w:p w14:paraId="5A4CC56C" w14:textId="051C4E22" w:rsidR="006C43D7" w:rsidRPr="0009745A" w:rsidRDefault="006C43D7" w:rsidP="005E09BA">
      <w:pPr>
        <w:widowControl w:val="0"/>
        <w:spacing w:after="200" w:line="480" w:lineRule="auto"/>
        <w:contextualSpacing/>
        <w:jc w:val="right"/>
        <w:rPr>
          <w:rFonts w:cs="Arial"/>
          <w:b/>
          <w:i/>
          <w:iCs/>
          <w:szCs w:val="22"/>
        </w:rPr>
      </w:pPr>
      <w:r w:rsidRPr="0009745A">
        <w:rPr>
          <w:rFonts w:cs="Arial"/>
          <w:b/>
          <w:i/>
          <w:iCs/>
          <w:szCs w:val="22"/>
        </w:rPr>
        <w:t>Electronically submitted</w:t>
      </w:r>
    </w:p>
    <w:p w14:paraId="51C686CA" w14:textId="762307D0" w:rsidR="006C43D7" w:rsidRPr="0009745A" w:rsidRDefault="006C43D7" w:rsidP="00250A46">
      <w:pPr>
        <w:widowControl w:val="0"/>
        <w:spacing w:after="200" w:line="360" w:lineRule="auto"/>
        <w:contextualSpacing/>
        <w:jc w:val="both"/>
        <w:rPr>
          <w:rFonts w:eastAsia="Arial Unicode MS" w:cs="Arial"/>
          <w:bCs/>
          <w:szCs w:val="22"/>
        </w:rPr>
      </w:pPr>
      <w:r w:rsidRPr="0009745A">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w:t>
      </w:r>
      <w:r w:rsidR="000C1421" w:rsidRPr="0009745A">
        <w:rPr>
          <w:rFonts w:eastAsia="Arial Unicode MS" w:cs="Arial"/>
          <w:bCs/>
          <w:szCs w:val="22"/>
        </w:rPr>
        <w:t>L</w:t>
      </w:r>
      <w:r w:rsidRPr="0009745A">
        <w:rPr>
          <w:rFonts w:eastAsia="Arial Unicode MS" w:cs="Arial"/>
          <w:bCs/>
          <w:szCs w:val="22"/>
        </w:rPr>
        <w:t>ines. The date of the judgment is deemed to be</w:t>
      </w:r>
      <w:r w:rsidR="00357D35" w:rsidRPr="0009745A">
        <w:rPr>
          <w:rFonts w:eastAsia="Arial Unicode MS" w:cs="Arial"/>
          <w:bCs/>
          <w:szCs w:val="22"/>
        </w:rPr>
        <w:t xml:space="preserve"> </w:t>
      </w:r>
      <w:r w:rsidR="000837AC">
        <w:rPr>
          <w:rFonts w:eastAsia="Arial Unicode MS" w:cs="Arial"/>
          <w:b/>
          <w:bCs/>
          <w:szCs w:val="22"/>
        </w:rPr>
        <w:t>23</w:t>
      </w:r>
      <w:r w:rsidR="00C905EB">
        <w:rPr>
          <w:rFonts w:eastAsia="Arial Unicode MS" w:cs="Arial"/>
          <w:b/>
          <w:bCs/>
          <w:szCs w:val="22"/>
        </w:rPr>
        <w:t xml:space="preserve"> </w:t>
      </w:r>
      <w:r w:rsidR="00B2726B">
        <w:rPr>
          <w:rFonts w:eastAsia="Arial Unicode MS" w:cs="Arial"/>
          <w:b/>
          <w:bCs/>
          <w:szCs w:val="22"/>
        </w:rPr>
        <w:t>MAY</w:t>
      </w:r>
      <w:r w:rsidR="00991B1A" w:rsidRPr="0009745A">
        <w:rPr>
          <w:rFonts w:eastAsia="Arial Unicode MS" w:cs="Arial"/>
          <w:b/>
          <w:bCs/>
          <w:szCs w:val="22"/>
        </w:rPr>
        <w:t xml:space="preserve"> 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62F7" w:rsidRPr="0009745A" w14:paraId="6CDD4926" w14:textId="77777777" w:rsidTr="0098739F">
        <w:tc>
          <w:tcPr>
            <w:tcW w:w="4508" w:type="dxa"/>
          </w:tcPr>
          <w:p w14:paraId="0F4C5124" w14:textId="3CE1CC8C"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COUNSEL FOR THE </w:t>
            </w:r>
            <w:r w:rsidR="00502CBC">
              <w:rPr>
                <w:rFonts w:cs="Arial"/>
                <w:szCs w:val="22"/>
              </w:rPr>
              <w:t>PLAINTIF</w:t>
            </w:r>
            <w:r w:rsidR="00FE090E">
              <w:rPr>
                <w:rFonts w:cs="Arial"/>
                <w:szCs w:val="22"/>
              </w:rPr>
              <w:t>F</w:t>
            </w:r>
            <w:r w:rsidRPr="0009745A">
              <w:rPr>
                <w:rFonts w:cs="Arial"/>
                <w:szCs w:val="22"/>
              </w:rPr>
              <w:t>:</w:t>
            </w:r>
          </w:p>
        </w:tc>
        <w:tc>
          <w:tcPr>
            <w:tcW w:w="4508" w:type="dxa"/>
          </w:tcPr>
          <w:p w14:paraId="7DD198BB" w14:textId="36FA8515" w:rsidR="009B62F7" w:rsidRPr="00C905EB" w:rsidRDefault="00F2485C" w:rsidP="0098739F">
            <w:pPr>
              <w:widowControl w:val="0"/>
              <w:spacing w:before="120" w:after="120"/>
              <w:jc w:val="right"/>
              <w:rPr>
                <w:rFonts w:eastAsia="Arial Unicode MS" w:cs="Arial"/>
                <w:szCs w:val="22"/>
              </w:rPr>
            </w:pPr>
            <w:r>
              <w:rPr>
                <w:rFonts w:eastAsia="Arial Unicode MS" w:cs="Arial"/>
                <w:szCs w:val="22"/>
              </w:rPr>
              <w:t>K KABINDE</w:t>
            </w:r>
          </w:p>
        </w:tc>
      </w:tr>
      <w:tr w:rsidR="009B62F7" w:rsidRPr="0009745A" w14:paraId="6B458BBE" w14:textId="77777777" w:rsidTr="0098739F">
        <w:tc>
          <w:tcPr>
            <w:tcW w:w="4508" w:type="dxa"/>
          </w:tcPr>
          <w:p w14:paraId="004C2388" w14:textId="4D252395"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INSTRUCTED BY: </w:t>
            </w:r>
          </w:p>
        </w:tc>
        <w:tc>
          <w:tcPr>
            <w:tcW w:w="4508" w:type="dxa"/>
          </w:tcPr>
          <w:p w14:paraId="03FBBB1A" w14:textId="5BD29865" w:rsidR="009B62F7" w:rsidRPr="00C905EB" w:rsidRDefault="00F2485C" w:rsidP="0098739F">
            <w:pPr>
              <w:widowControl w:val="0"/>
              <w:spacing w:before="120" w:after="120"/>
              <w:jc w:val="right"/>
              <w:rPr>
                <w:rFonts w:eastAsia="Arial Unicode MS" w:cs="Arial"/>
                <w:szCs w:val="22"/>
              </w:rPr>
            </w:pPr>
            <w:r>
              <w:rPr>
                <w:rFonts w:eastAsia="Arial Unicode MS" w:cs="Arial"/>
                <w:szCs w:val="22"/>
              </w:rPr>
              <w:t>LETHAGE ATTORNEYS</w:t>
            </w:r>
          </w:p>
        </w:tc>
      </w:tr>
      <w:tr w:rsidR="009B62F7" w:rsidRPr="0009745A" w14:paraId="2094B6A6" w14:textId="77777777" w:rsidTr="0098739F">
        <w:tc>
          <w:tcPr>
            <w:tcW w:w="4508" w:type="dxa"/>
          </w:tcPr>
          <w:p w14:paraId="660EE22E" w14:textId="28F3E58B" w:rsidR="009B62F7" w:rsidRPr="0009745A" w:rsidRDefault="009B62F7" w:rsidP="0098739F">
            <w:pPr>
              <w:widowControl w:val="0"/>
              <w:spacing w:before="120" w:after="120"/>
              <w:jc w:val="both"/>
              <w:rPr>
                <w:rFonts w:eastAsia="Arial Unicode MS" w:cs="Arial"/>
                <w:b/>
                <w:bCs/>
                <w:szCs w:val="22"/>
              </w:rPr>
            </w:pPr>
            <w:r w:rsidRPr="0009745A">
              <w:rPr>
                <w:rFonts w:cs="Arial"/>
                <w:szCs w:val="22"/>
              </w:rPr>
              <w:t>COUNSEL FOR TH</w:t>
            </w:r>
            <w:r w:rsidR="00870ECF">
              <w:rPr>
                <w:rFonts w:cs="Arial"/>
                <w:szCs w:val="22"/>
              </w:rPr>
              <w:t xml:space="preserve">E </w:t>
            </w:r>
            <w:r w:rsidR="00502CBC" w:rsidRPr="00502CBC">
              <w:rPr>
                <w:rFonts w:eastAsia="Arial Unicode MS" w:cs="Arial"/>
                <w:szCs w:val="22"/>
              </w:rPr>
              <w:t>DEFENDANT:</w:t>
            </w:r>
          </w:p>
        </w:tc>
        <w:tc>
          <w:tcPr>
            <w:tcW w:w="4508" w:type="dxa"/>
          </w:tcPr>
          <w:p w14:paraId="6407F6D2" w14:textId="49938864" w:rsidR="009B62F7" w:rsidRPr="00C905EB" w:rsidRDefault="00F2485C" w:rsidP="0098739F">
            <w:pPr>
              <w:autoSpaceDE w:val="0"/>
              <w:autoSpaceDN w:val="0"/>
              <w:adjustRightInd w:val="0"/>
              <w:spacing w:before="120" w:after="120"/>
              <w:jc w:val="right"/>
              <w:rPr>
                <w:rFonts w:eastAsia="Arial Unicode MS" w:cs="Arial"/>
                <w:szCs w:val="22"/>
              </w:rPr>
            </w:pPr>
            <w:r>
              <w:rPr>
                <w:rFonts w:eastAsia="Arial Unicode MS" w:cs="Arial"/>
                <w:szCs w:val="22"/>
              </w:rPr>
              <w:t>P MARX</w:t>
            </w:r>
          </w:p>
        </w:tc>
      </w:tr>
      <w:tr w:rsidR="009B62F7" w:rsidRPr="0009745A" w14:paraId="78D0B5E2" w14:textId="77777777" w:rsidTr="0098739F">
        <w:tc>
          <w:tcPr>
            <w:tcW w:w="4508" w:type="dxa"/>
          </w:tcPr>
          <w:p w14:paraId="042FC86A" w14:textId="24C629D6" w:rsidR="009B62F7" w:rsidRPr="0009745A" w:rsidRDefault="009B62F7" w:rsidP="0098739F">
            <w:pPr>
              <w:widowControl w:val="0"/>
              <w:spacing w:before="120" w:after="120"/>
              <w:jc w:val="both"/>
              <w:rPr>
                <w:rFonts w:eastAsia="Arial Unicode MS" w:cs="Arial"/>
                <w:b/>
                <w:bCs/>
                <w:szCs w:val="22"/>
              </w:rPr>
            </w:pPr>
            <w:r w:rsidRPr="0009745A">
              <w:rPr>
                <w:rFonts w:cs="Arial"/>
                <w:szCs w:val="22"/>
              </w:rPr>
              <w:t>INSTRUCTED BY:</w:t>
            </w:r>
          </w:p>
        </w:tc>
        <w:tc>
          <w:tcPr>
            <w:tcW w:w="4508" w:type="dxa"/>
          </w:tcPr>
          <w:p w14:paraId="38283046" w14:textId="6985D221" w:rsidR="009B62F7" w:rsidRPr="00C905EB" w:rsidRDefault="00F2485C" w:rsidP="0098739F">
            <w:pPr>
              <w:widowControl w:val="0"/>
              <w:spacing w:before="120" w:after="120"/>
              <w:jc w:val="right"/>
              <w:rPr>
                <w:rFonts w:eastAsia="Arial Unicode MS" w:cs="Arial"/>
                <w:szCs w:val="22"/>
              </w:rPr>
            </w:pPr>
            <w:r>
              <w:rPr>
                <w:rFonts w:eastAsia="Arial Unicode MS" w:cs="Arial"/>
                <w:szCs w:val="22"/>
              </w:rPr>
              <w:t>TRACY SISCHY ATTORNEYS</w:t>
            </w:r>
          </w:p>
        </w:tc>
      </w:tr>
      <w:tr w:rsidR="009B62F7" w:rsidRPr="0009745A" w14:paraId="4AAB18B9" w14:textId="77777777" w:rsidTr="0098739F">
        <w:tc>
          <w:tcPr>
            <w:tcW w:w="4508" w:type="dxa"/>
          </w:tcPr>
          <w:p w14:paraId="79DE91BD" w14:textId="2E42E4A5" w:rsidR="009B62F7" w:rsidRPr="0009745A" w:rsidRDefault="0098739F" w:rsidP="0098739F">
            <w:pPr>
              <w:widowControl w:val="0"/>
              <w:spacing w:before="120" w:after="120"/>
              <w:jc w:val="both"/>
              <w:rPr>
                <w:rFonts w:eastAsia="Arial Unicode MS" w:cs="Arial"/>
                <w:b/>
                <w:bCs/>
                <w:szCs w:val="22"/>
              </w:rPr>
            </w:pPr>
            <w:r w:rsidRPr="0009745A">
              <w:rPr>
                <w:rFonts w:cs="Arial"/>
                <w:szCs w:val="22"/>
              </w:rPr>
              <w:t>DATE OF THE HEARING:</w:t>
            </w:r>
          </w:p>
        </w:tc>
        <w:tc>
          <w:tcPr>
            <w:tcW w:w="4508" w:type="dxa"/>
          </w:tcPr>
          <w:p w14:paraId="6A89FC90" w14:textId="0347EDFC" w:rsidR="009B62F7" w:rsidRPr="00C905EB" w:rsidRDefault="00F2485C" w:rsidP="0098739F">
            <w:pPr>
              <w:widowControl w:val="0"/>
              <w:spacing w:before="120" w:after="120"/>
              <w:jc w:val="right"/>
              <w:rPr>
                <w:rFonts w:eastAsia="Arial Unicode MS" w:cs="Arial"/>
                <w:szCs w:val="22"/>
              </w:rPr>
            </w:pPr>
            <w:r>
              <w:rPr>
                <w:rFonts w:eastAsia="Arial Unicode MS" w:cs="Arial"/>
                <w:szCs w:val="22"/>
              </w:rPr>
              <w:t>15 &amp; 16 MAY 2023</w:t>
            </w:r>
          </w:p>
        </w:tc>
      </w:tr>
      <w:tr w:rsidR="0098739F" w:rsidRPr="0009745A" w14:paraId="32221BF2" w14:textId="77777777" w:rsidTr="0098739F">
        <w:tc>
          <w:tcPr>
            <w:tcW w:w="4508" w:type="dxa"/>
          </w:tcPr>
          <w:p w14:paraId="0EFD4A3E" w14:textId="0FD2ACFD" w:rsidR="0098739F" w:rsidRPr="0009745A" w:rsidRDefault="0098739F" w:rsidP="0098739F">
            <w:pPr>
              <w:widowControl w:val="0"/>
              <w:spacing w:before="120" w:after="120"/>
              <w:jc w:val="both"/>
              <w:rPr>
                <w:rFonts w:cs="Arial"/>
                <w:szCs w:val="22"/>
              </w:rPr>
            </w:pPr>
            <w:r w:rsidRPr="0009745A">
              <w:rPr>
                <w:rFonts w:cs="Arial"/>
                <w:szCs w:val="22"/>
              </w:rPr>
              <w:t>DATE OF JUDGMENT:</w:t>
            </w:r>
          </w:p>
        </w:tc>
        <w:tc>
          <w:tcPr>
            <w:tcW w:w="4508" w:type="dxa"/>
          </w:tcPr>
          <w:p w14:paraId="2615EC97" w14:textId="3266DA27" w:rsidR="0098739F" w:rsidRPr="00C905EB" w:rsidRDefault="000837AC" w:rsidP="0098739F">
            <w:pPr>
              <w:widowControl w:val="0"/>
              <w:spacing w:before="120" w:after="120"/>
              <w:jc w:val="right"/>
              <w:rPr>
                <w:rFonts w:cs="Arial"/>
                <w:szCs w:val="22"/>
              </w:rPr>
            </w:pPr>
            <w:r>
              <w:rPr>
                <w:rFonts w:cs="Arial"/>
                <w:szCs w:val="22"/>
              </w:rPr>
              <w:t xml:space="preserve">23 </w:t>
            </w:r>
            <w:r w:rsidR="00F2485C">
              <w:rPr>
                <w:rFonts w:cs="Arial"/>
                <w:szCs w:val="22"/>
              </w:rPr>
              <w:t xml:space="preserve"> MAY 2023</w:t>
            </w:r>
          </w:p>
        </w:tc>
      </w:tr>
    </w:tbl>
    <w:p w14:paraId="6D7F3969" w14:textId="76A86C9F" w:rsidR="00A675FB" w:rsidRPr="0009745A" w:rsidRDefault="00A675FB" w:rsidP="00B9328E">
      <w:pPr>
        <w:widowControl w:val="0"/>
        <w:spacing w:after="200" w:line="360" w:lineRule="auto"/>
        <w:contextualSpacing/>
        <w:jc w:val="both"/>
        <w:rPr>
          <w:rFonts w:cs="Arial"/>
          <w:szCs w:val="22"/>
        </w:rPr>
      </w:pPr>
    </w:p>
    <w:sectPr w:rsidR="00A675FB" w:rsidRPr="0009745A" w:rsidSect="00A675FB">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8268" w14:textId="77777777" w:rsidR="00AB545E" w:rsidRDefault="00AB545E">
      <w:r>
        <w:separator/>
      </w:r>
    </w:p>
  </w:endnote>
  <w:endnote w:type="continuationSeparator" w:id="0">
    <w:p w14:paraId="39D52FA0" w14:textId="77777777" w:rsidR="00AB545E" w:rsidRDefault="00AB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3E624" w14:textId="77777777" w:rsidR="00AB545E" w:rsidRDefault="00AB545E">
      <w:r>
        <w:separator/>
      </w:r>
    </w:p>
  </w:footnote>
  <w:footnote w:type="continuationSeparator" w:id="0">
    <w:p w14:paraId="3A6E71C6" w14:textId="77777777" w:rsidR="00AB545E" w:rsidRDefault="00AB545E">
      <w:r>
        <w:continuationSeparator/>
      </w:r>
    </w:p>
  </w:footnote>
  <w:footnote w:id="1">
    <w:p w14:paraId="2FE2BDA4" w14:textId="20A76189" w:rsidR="00A13760" w:rsidRDefault="00A13760">
      <w:pPr>
        <w:pStyle w:val="FootnoteText"/>
      </w:pPr>
      <w:r>
        <w:rPr>
          <w:rStyle w:val="FootnoteReference"/>
        </w:rPr>
        <w:footnoteRef/>
      </w:r>
      <w:r>
        <w:t xml:space="preserve"> </w:t>
      </w:r>
      <w:r>
        <w:tab/>
        <w:t>CaseLines 001-A-19.</w:t>
      </w:r>
    </w:p>
  </w:footnote>
  <w:footnote w:id="2">
    <w:p w14:paraId="43D6487F" w14:textId="11BEB9C3" w:rsidR="00A13760" w:rsidRDefault="00A13760">
      <w:pPr>
        <w:pStyle w:val="FootnoteText"/>
      </w:pPr>
      <w:r>
        <w:rPr>
          <w:rStyle w:val="FootnoteReference"/>
        </w:rPr>
        <w:footnoteRef/>
      </w:r>
      <w:r>
        <w:t xml:space="preserve"> </w:t>
      </w:r>
      <w:r>
        <w:tab/>
        <w:t>Mr Bill Nzeocha, referred to as “Bill.”</w:t>
      </w:r>
    </w:p>
  </w:footnote>
  <w:footnote w:id="3">
    <w:p w14:paraId="568223D7" w14:textId="1DFD157E" w:rsidR="002668DC" w:rsidRDefault="002668DC">
      <w:pPr>
        <w:pStyle w:val="FootnoteText"/>
      </w:pPr>
      <w:r>
        <w:rPr>
          <w:rStyle w:val="FootnoteReference"/>
        </w:rPr>
        <w:footnoteRef/>
      </w:r>
      <w:r>
        <w:t xml:space="preserve"> </w:t>
      </w:r>
      <w:r>
        <w:tab/>
        <w:t>CaseLines 001-F-166.</w:t>
      </w:r>
    </w:p>
  </w:footnote>
  <w:footnote w:id="4">
    <w:p w14:paraId="5C6EE4AD" w14:textId="02518B60" w:rsidR="003D0824" w:rsidRDefault="003D0824">
      <w:pPr>
        <w:pStyle w:val="FootnoteText"/>
      </w:pPr>
      <w:r>
        <w:rPr>
          <w:rStyle w:val="FootnoteReference"/>
        </w:rPr>
        <w:footnoteRef/>
      </w:r>
      <w:r>
        <w:t xml:space="preserve"> </w:t>
      </w:r>
      <w:r>
        <w:tab/>
      </w:r>
      <w:r w:rsidRPr="006312B0">
        <w:rPr>
          <w:i/>
          <w:iCs/>
          <w:color w:val="000000" w:themeColor="text1"/>
        </w:rPr>
        <w:t>Food and Allied Workers Union v Ngcobo NO</w:t>
      </w:r>
      <w:r w:rsidRPr="006312B0">
        <w:rPr>
          <w:color w:val="000000" w:themeColor="text1"/>
        </w:rPr>
        <w:t>  </w:t>
      </w:r>
      <w:hyperlink r:id="rId1" w:anchor="y2014v1SApg32" w:history="1">
        <w:r w:rsidRPr="006312B0">
          <w:rPr>
            <w:rStyle w:val="Hyperlink"/>
            <w:color w:val="000000" w:themeColor="text1"/>
            <w:u w:val="none"/>
          </w:rPr>
          <w:t>2014 (1) SA 32 (CC)</w:t>
        </w:r>
      </w:hyperlink>
      <w:r w:rsidRPr="006312B0">
        <w:rPr>
          <w:color w:val="000000" w:themeColor="text1"/>
        </w:rPr>
        <w:t> para 37</w:t>
      </w:r>
      <w:r>
        <w:rPr>
          <w:color w:val="000000" w:themeColor="text1"/>
        </w:rPr>
        <w:t>.</w:t>
      </w:r>
    </w:p>
  </w:footnote>
  <w:footnote w:id="5">
    <w:p w14:paraId="45B2A153" w14:textId="4A637D17" w:rsidR="00420E9A" w:rsidRDefault="00420E9A">
      <w:pPr>
        <w:pStyle w:val="FootnoteText"/>
      </w:pPr>
      <w:r>
        <w:rPr>
          <w:rStyle w:val="FootnoteReference"/>
        </w:rPr>
        <w:footnoteRef/>
      </w:r>
      <w:r>
        <w:t xml:space="preserve"> </w:t>
      </w:r>
      <w:r>
        <w:tab/>
      </w:r>
      <w:r w:rsidRPr="00601A0A">
        <w:t xml:space="preserve">Van Loggerenberg DE and Bertelsmann E </w:t>
      </w:r>
      <w:r w:rsidRPr="00601A0A">
        <w:rPr>
          <w:i/>
          <w:iCs/>
        </w:rPr>
        <w:t>Erasmus: Superior Court Practice</w:t>
      </w:r>
      <w:r w:rsidRPr="00601A0A">
        <w:t xml:space="preserve"> RS 18, 2022, D1-241</w:t>
      </w:r>
      <w:r>
        <w:t>.</w:t>
      </w:r>
    </w:p>
  </w:footnote>
  <w:footnote w:id="6">
    <w:p w14:paraId="6901ED93" w14:textId="268D0194" w:rsidR="00420E9A" w:rsidRDefault="00420E9A" w:rsidP="00420E9A">
      <w:pPr>
        <w:pStyle w:val="FootnoteText"/>
      </w:pPr>
      <w:r>
        <w:rPr>
          <w:rStyle w:val="FootnoteReference"/>
        </w:rPr>
        <w:footnoteRef/>
      </w:r>
      <w:r>
        <w:t xml:space="preserve"> </w:t>
      </w:r>
      <w:r>
        <w:tab/>
        <w:t xml:space="preserve">See </w:t>
      </w:r>
      <w:r w:rsidRPr="006312B0">
        <w:rPr>
          <w:i/>
          <w:iCs/>
        </w:rPr>
        <w:t>Roberts Construction Co Ltd v Dominion Earth-Works (Pty) Ltd and Another</w:t>
      </w:r>
      <w:r w:rsidR="00140176">
        <w:rPr>
          <w:i/>
          <w:iCs/>
        </w:rPr>
        <w:t xml:space="preserve"> </w:t>
      </w:r>
      <w:r w:rsidRPr="006312B0">
        <w:t>1968 (3) SA 255 (A)</w:t>
      </w:r>
      <w:r>
        <w:t>.</w:t>
      </w:r>
    </w:p>
  </w:footnote>
  <w:footnote w:id="7">
    <w:p w14:paraId="0A041465" w14:textId="77777777" w:rsidR="00420E9A" w:rsidRDefault="00420E9A" w:rsidP="00420E9A">
      <w:pPr>
        <w:pStyle w:val="FootnoteText"/>
      </w:pPr>
      <w:r>
        <w:rPr>
          <w:rStyle w:val="FootnoteReference"/>
        </w:rPr>
        <w:footnoteRef/>
      </w:r>
      <w:r>
        <w:t xml:space="preserve"> </w:t>
      </w:r>
      <w:r>
        <w:tab/>
        <w:t xml:space="preserve">See </w:t>
      </w:r>
      <w:r w:rsidRPr="006312B0">
        <w:rPr>
          <w:i/>
          <w:iCs/>
        </w:rPr>
        <w:t>Nel v Nelspruit Motors (Edms) Bpk</w:t>
      </w:r>
      <w:r>
        <w:t xml:space="preserve"> </w:t>
      </w:r>
      <w:r w:rsidRPr="006312B0">
        <w:t>1961 (1) SA 582 (A)</w:t>
      </w:r>
      <w:r>
        <w:t>.</w:t>
      </w:r>
    </w:p>
  </w:footnote>
  <w:footnote w:id="8">
    <w:p w14:paraId="598F210F" w14:textId="77777777" w:rsidR="00420E9A" w:rsidRDefault="00420E9A" w:rsidP="00420E9A">
      <w:pPr>
        <w:pStyle w:val="FootnoteText"/>
      </w:pPr>
      <w:r>
        <w:rPr>
          <w:rStyle w:val="FootnoteReference"/>
        </w:rPr>
        <w:footnoteRef/>
      </w:r>
      <w:r>
        <w:t xml:space="preserve"> </w:t>
      </w:r>
      <w:r>
        <w:tab/>
      </w:r>
      <w:r w:rsidRPr="006312B0">
        <w:rPr>
          <w:i/>
          <w:iCs/>
        </w:rPr>
        <w:t>SociÉTé Commerciale De Moteurs v Ackermann</w:t>
      </w:r>
      <w:r>
        <w:t xml:space="preserve"> </w:t>
      </w:r>
      <w:r w:rsidRPr="006312B0">
        <w:t>1981 (3) SA 422 (A)</w:t>
      </w:r>
      <w:r>
        <w:t>.</w:t>
      </w:r>
    </w:p>
  </w:footnote>
  <w:footnote w:id="9">
    <w:p w14:paraId="485E929A" w14:textId="77777777" w:rsidR="00140176" w:rsidRDefault="00140176" w:rsidP="00140176">
      <w:pPr>
        <w:pStyle w:val="FootnoteText"/>
      </w:pPr>
      <w:r>
        <w:rPr>
          <w:rStyle w:val="FootnoteReference"/>
        </w:rPr>
        <w:footnoteRef/>
      </w:r>
      <w:r>
        <w:t xml:space="preserve"> </w:t>
      </w:r>
      <w:r>
        <w:tab/>
        <w:t xml:space="preserve">Compare </w:t>
      </w:r>
      <w:r w:rsidRPr="00FA38A2">
        <w:rPr>
          <w:i/>
          <w:iCs/>
        </w:rPr>
        <w:t>Odgers v De Gersigny</w:t>
      </w:r>
      <w:r w:rsidRPr="00FA38A2">
        <w:t xml:space="preserve"> 2007 (2) SA 305 (SCA)</w:t>
      </w:r>
      <w:r>
        <w:t xml:space="preserve"> para 10.</w:t>
      </w:r>
    </w:p>
  </w:footnote>
  <w:footnote w:id="10">
    <w:p w14:paraId="310FEC20" w14:textId="004BF2F3" w:rsidR="00D3442C" w:rsidRDefault="00D3442C">
      <w:pPr>
        <w:pStyle w:val="FootnoteText"/>
      </w:pPr>
      <w:r>
        <w:rPr>
          <w:rStyle w:val="FootnoteReference"/>
        </w:rPr>
        <w:footnoteRef/>
      </w:r>
      <w:r>
        <w:t xml:space="preserve"> </w:t>
      </w:r>
      <w:r>
        <w:tab/>
        <w:t>Section 10 of the Matrimonial Affairs Act, 37 of 1953.</w:t>
      </w:r>
    </w:p>
  </w:footnote>
  <w:footnote w:id="11">
    <w:p w14:paraId="79726601" w14:textId="77777777" w:rsidR="00D3442C" w:rsidRDefault="00D3442C" w:rsidP="00D3442C">
      <w:pPr>
        <w:pStyle w:val="FootnoteText"/>
      </w:pPr>
      <w:r>
        <w:rPr>
          <w:rStyle w:val="FootnoteReference"/>
        </w:rPr>
        <w:footnoteRef/>
      </w:r>
      <w:r>
        <w:t xml:space="preserve"> </w:t>
      </w:r>
      <w:r>
        <w:tab/>
        <w:t xml:space="preserve">The Afrikaans text in both the old and the new Act referred to </w:t>
      </w:r>
      <w:r w:rsidRPr="00D3442C">
        <w:rPr>
          <w:i/>
          <w:iCs/>
        </w:rPr>
        <w:t>“voldoende rede.”</w:t>
      </w:r>
    </w:p>
  </w:footnote>
  <w:footnote w:id="12">
    <w:p w14:paraId="735E951B" w14:textId="15BD03C3" w:rsidR="003D2BB6" w:rsidRDefault="003D2BB6">
      <w:pPr>
        <w:pStyle w:val="FootnoteText"/>
      </w:pPr>
      <w:r>
        <w:rPr>
          <w:rStyle w:val="FootnoteReference"/>
        </w:rPr>
        <w:footnoteRef/>
      </w:r>
      <w:r>
        <w:t xml:space="preserve"> </w:t>
      </w:r>
      <w:r>
        <w:tab/>
      </w:r>
      <w:r w:rsidRPr="003D2BB6">
        <w:rPr>
          <w:i/>
          <w:iCs/>
        </w:rPr>
        <w:t>Levin v Levin</w:t>
      </w:r>
      <w:r>
        <w:t xml:space="preserve"> </w:t>
      </w:r>
      <w:r w:rsidRPr="00BF4B86">
        <w:t>1984 (2) SA 298 (C)</w:t>
      </w:r>
      <w:r>
        <w:t>.</w:t>
      </w:r>
    </w:p>
  </w:footnote>
  <w:footnote w:id="13">
    <w:p w14:paraId="46E4765C" w14:textId="182E0BA5" w:rsidR="003D2BB6" w:rsidRDefault="003D2BB6">
      <w:pPr>
        <w:pStyle w:val="FootnoteText"/>
      </w:pPr>
      <w:r>
        <w:rPr>
          <w:rStyle w:val="FootnoteReference"/>
        </w:rPr>
        <w:footnoteRef/>
      </w:r>
      <w:r>
        <w:t xml:space="preserve"> </w:t>
      </w:r>
      <w:r>
        <w:tab/>
      </w:r>
      <w:r w:rsidRPr="003D2BB6">
        <w:rPr>
          <w:i/>
          <w:iCs/>
        </w:rPr>
        <w:t>Havenga v Havenga</w:t>
      </w:r>
      <w:r>
        <w:t xml:space="preserve"> </w:t>
      </w:r>
      <w:r w:rsidRPr="00BF4B86">
        <w:rPr>
          <w:lang w:eastAsia="en-ZA"/>
        </w:rPr>
        <w:t>1988 (2) SA 438 (T)</w:t>
      </w:r>
      <w:r>
        <w:rPr>
          <w:lang w:eastAsia="en-ZA"/>
        </w:rPr>
        <w:t xml:space="preserve"> 445.</w:t>
      </w:r>
    </w:p>
  </w:footnote>
  <w:footnote w:id="14">
    <w:p w14:paraId="4A39E93C" w14:textId="43FED946" w:rsidR="006362D8" w:rsidRDefault="006362D8">
      <w:pPr>
        <w:pStyle w:val="FootnoteText"/>
      </w:pPr>
      <w:r>
        <w:rPr>
          <w:rStyle w:val="FootnoteReference"/>
        </w:rPr>
        <w:footnoteRef/>
      </w:r>
      <w:r>
        <w:t xml:space="preserve"> </w:t>
      </w:r>
      <w:r>
        <w:tab/>
      </w:r>
      <w:r w:rsidRPr="00AB7068">
        <w:rPr>
          <w:i/>
          <w:iCs/>
        </w:rPr>
        <w:t>Baart v Malan</w:t>
      </w:r>
      <w:r w:rsidRPr="00AB7068">
        <w:t xml:space="preserve"> 1990 (2) SA 862 (E)</w:t>
      </w:r>
      <w:r>
        <w:t>.</w:t>
      </w:r>
    </w:p>
  </w:footnote>
  <w:footnote w:id="15">
    <w:p w14:paraId="61FF9C98" w14:textId="30019C76" w:rsidR="00D72A06" w:rsidRDefault="00D72A06">
      <w:pPr>
        <w:pStyle w:val="FootnoteText"/>
      </w:pPr>
      <w:r>
        <w:rPr>
          <w:rStyle w:val="FootnoteReference"/>
        </w:rPr>
        <w:footnoteRef/>
      </w:r>
      <w:r>
        <w:t xml:space="preserve"> </w:t>
      </w:r>
      <w:r>
        <w:tab/>
        <w:t>The l</w:t>
      </w:r>
      <w:r w:rsidRPr="00D72A06">
        <w:rPr>
          <w:i/>
          <w:iCs/>
        </w:rPr>
        <w:t>ocus classicus</w:t>
      </w:r>
      <w:r>
        <w:t xml:space="preserve"> is </w:t>
      </w:r>
      <w:r w:rsidRPr="00901FBA">
        <w:rPr>
          <w:i/>
          <w:iCs/>
        </w:rPr>
        <w:t>Sasfin (Pty) Ltd v Beukes</w:t>
      </w:r>
      <w:r>
        <w:t xml:space="preserve"> </w:t>
      </w:r>
      <w:r w:rsidRPr="00901FBA">
        <w:t>1989 (1) SA 1 (A)</w:t>
      </w:r>
    </w:p>
  </w:footnote>
  <w:footnote w:id="16">
    <w:p w14:paraId="0A11DC83" w14:textId="6B0B4910" w:rsidR="00D72A06" w:rsidRDefault="00D72A06">
      <w:pPr>
        <w:pStyle w:val="FootnoteText"/>
      </w:pPr>
      <w:r>
        <w:rPr>
          <w:rStyle w:val="FootnoteReference"/>
        </w:rPr>
        <w:footnoteRef/>
      </w:r>
      <w:r>
        <w:t xml:space="preserve"> </w:t>
      </w:r>
      <w:r>
        <w:tab/>
      </w:r>
      <w:r w:rsidRPr="00901FBA">
        <w:rPr>
          <w:i/>
          <w:iCs/>
        </w:rPr>
        <w:t>Reid v Reid</w:t>
      </w:r>
      <w:r w:rsidRPr="00901FBA">
        <w:t xml:space="preserve"> 1992 (1) SA 443 (E)</w:t>
      </w:r>
      <w:r>
        <w:t>.</w:t>
      </w:r>
    </w:p>
  </w:footnote>
  <w:footnote w:id="17">
    <w:p w14:paraId="6985EBD3" w14:textId="77777777" w:rsidR="0094474D" w:rsidRDefault="0094474D" w:rsidP="0094474D">
      <w:pPr>
        <w:pStyle w:val="FootnoteText"/>
      </w:pPr>
      <w:r>
        <w:rPr>
          <w:rStyle w:val="FootnoteReference"/>
        </w:rPr>
        <w:footnoteRef/>
      </w:r>
      <w:r>
        <w:t xml:space="preserve"> </w:t>
      </w:r>
      <w:r>
        <w:tab/>
      </w:r>
      <w:r w:rsidRPr="00042214">
        <w:rPr>
          <w:i/>
          <w:iCs/>
        </w:rPr>
        <w:t>Welgemoed v Mennell</w:t>
      </w:r>
      <w:r w:rsidRPr="00042214">
        <w:t xml:space="preserve"> 2007 (4) SA 446 (SE)</w:t>
      </w:r>
      <w:r>
        <w:t xml:space="preserve"> 450E – 451B.</w:t>
      </w:r>
    </w:p>
  </w:footnote>
  <w:footnote w:id="18">
    <w:p w14:paraId="7B2CED1A" w14:textId="0377306F" w:rsidR="00AC72F1" w:rsidRDefault="00AC72F1">
      <w:pPr>
        <w:pStyle w:val="FootnoteText"/>
      </w:pPr>
      <w:r>
        <w:rPr>
          <w:rStyle w:val="FootnoteReference"/>
        </w:rPr>
        <w:footnoteRef/>
      </w:r>
      <w:r>
        <w:t xml:space="preserve"> </w:t>
      </w:r>
      <w:r>
        <w:tab/>
        <w:t xml:space="preserve">Compare </w:t>
      </w:r>
      <w:r w:rsidRPr="009F0DEB">
        <w:rPr>
          <w:i/>
          <w:iCs/>
        </w:rPr>
        <w:t>Cairns (Pty) Ltd v Playdon &amp; Co Ltd</w:t>
      </w:r>
      <w:r>
        <w:t xml:space="preserve"> </w:t>
      </w:r>
      <w:r w:rsidRPr="009F0DEB">
        <w:t>1948 (3) SA 99 (A)</w:t>
      </w:r>
      <w:r>
        <w:t>.</w:t>
      </w:r>
    </w:p>
  </w:footnote>
  <w:footnote w:id="19">
    <w:p w14:paraId="4C378CFE" w14:textId="4550BC71" w:rsidR="00A847CA" w:rsidRDefault="00A847CA">
      <w:pPr>
        <w:pStyle w:val="FootnoteText"/>
      </w:pPr>
      <w:r>
        <w:rPr>
          <w:rStyle w:val="FootnoteReference"/>
        </w:rPr>
        <w:footnoteRef/>
      </w:r>
      <w:r>
        <w:t xml:space="preserve"> </w:t>
      </w:r>
      <w:r>
        <w:tab/>
      </w:r>
      <w:r w:rsidRPr="0025303E">
        <w:rPr>
          <w:i/>
          <w:iCs/>
        </w:rPr>
        <w:t>Plaaskem (Pty) Ltd v Nippon Africa Chemicals (Pty) Ltd</w:t>
      </w:r>
      <w:r>
        <w:t xml:space="preserve"> </w:t>
      </w:r>
      <w:r w:rsidRPr="0025303E">
        <w:t>2014 (5) SA 287 (SCA</w:t>
      </w:r>
      <w:r>
        <w:t>).</w:t>
      </w:r>
    </w:p>
  </w:footnote>
  <w:footnote w:id="20">
    <w:p w14:paraId="2FFBD58C" w14:textId="100DA85F" w:rsidR="00AC72F1" w:rsidRDefault="00AC72F1">
      <w:pPr>
        <w:pStyle w:val="FootnoteText"/>
      </w:pPr>
      <w:r>
        <w:rPr>
          <w:rStyle w:val="FootnoteReference"/>
        </w:rPr>
        <w:footnoteRef/>
      </w:r>
      <w:r>
        <w:t xml:space="preserve"> </w:t>
      </w:r>
      <w:r>
        <w:tab/>
      </w:r>
      <w:r w:rsidR="00474BCD">
        <w:t xml:space="preserve">See </w:t>
      </w:r>
      <w:r w:rsidR="00474BCD" w:rsidRPr="00BA10D9">
        <w:rPr>
          <w:i/>
          <w:iCs/>
        </w:rPr>
        <w:t>Bwanya v the Master of the High Court and Others</w:t>
      </w:r>
      <w:r w:rsidR="00474BCD" w:rsidRPr="00BA10D9">
        <w:t xml:space="preserve"> 2022 (3) SA 250 (CC),</w:t>
      </w:r>
      <w:r w:rsidR="00474BCD" w:rsidRPr="00BA10D9">
        <w:rPr>
          <w:i/>
          <w:iCs/>
        </w:rPr>
        <w:t xml:space="preserve"> J and Another v Director General, Department of Home Affairs, and Others</w:t>
      </w:r>
      <w:r w:rsidR="00474BCD" w:rsidRPr="00BA10D9">
        <w:t xml:space="preserve"> 2003 (5) SA 621 (CC), </w:t>
      </w:r>
      <w:r w:rsidR="00474BCD" w:rsidRPr="00BA10D9">
        <w:rPr>
          <w:i/>
          <w:iCs/>
        </w:rPr>
        <w:t>National Coalition for Gay and Lesbian Equality and Others v Minister of Home Affairs and Others</w:t>
      </w:r>
      <w:r w:rsidR="00474BCD" w:rsidRPr="00BA10D9">
        <w:t xml:space="preserve"> 2000 (2) SA 1 (CC), </w:t>
      </w:r>
      <w:r w:rsidR="00474BCD" w:rsidRPr="00BA10D9">
        <w:rPr>
          <w:i/>
          <w:iCs/>
        </w:rPr>
        <w:t>Pillay v Naidoo</w:t>
      </w:r>
      <w:r w:rsidR="00474BCD" w:rsidRPr="00BA10D9">
        <w:t xml:space="preserve"> 2022 JDR 0445 (GJ), and </w:t>
      </w:r>
      <w:r w:rsidR="00474BCD" w:rsidRPr="00BA10D9">
        <w:rPr>
          <w:i/>
          <w:iCs/>
        </w:rPr>
        <w:t>Ripoll-Dausa v Middleton NO and Others</w:t>
      </w:r>
      <w:r w:rsidR="00474BCD" w:rsidRPr="00BA10D9">
        <w:t xml:space="preserve"> 2005 (3) SA 141 (C)</w:t>
      </w:r>
      <w:r w:rsidR="00474BC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0BE9F49E"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671515">
      <w:rPr>
        <w:rFonts w:cs="Arial"/>
        <w:noProof/>
        <w:sz w:val="20"/>
        <w:szCs w:val="20"/>
        <w:lang w:val="en-GB"/>
      </w:rPr>
      <w:t>6</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057022D"/>
    <w:multiLevelType w:val="multilevel"/>
    <w:tmpl w:val="92E03ED2"/>
    <w:lvl w:ilvl="0">
      <w:start w:val="1"/>
      <w:numFmt w:val="decimal"/>
      <w:pStyle w:val="Indent"/>
      <w:lvlText w:val="[%1]"/>
      <w:lvlJc w:val="left"/>
      <w:pPr>
        <w:ind w:left="0" w:firstLine="0"/>
      </w:pPr>
      <w:rPr>
        <w:rFonts w:ascii="Arial" w:hAnsi="Arial" w:hint="default"/>
        <w:i w:val="0"/>
        <w:sz w:val="25"/>
        <w:szCs w:val="25"/>
      </w:rPr>
    </w:lvl>
    <w:lvl w:ilvl="1">
      <w:start w:val="1"/>
      <w:numFmt w:val="decimal"/>
      <w:lvlText w:val="(%1.%2)"/>
      <w:lvlJc w:val="left"/>
      <w:pPr>
        <w:ind w:left="680" w:hanging="680"/>
      </w:pPr>
      <w:rPr>
        <w:rFonts w:ascii="Arial" w:hAnsi="Arial" w:hint="default"/>
        <w:i w:val="0"/>
        <w:sz w:val="25"/>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3">
    <w:nsid w:val="11B74B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nsid w:val="405F452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6"/>
  </w:num>
  <w:num w:numId="2">
    <w:abstractNumId w:val="1"/>
  </w:num>
  <w:num w:numId="3">
    <w:abstractNumId w:val="14"/>
  </w:num>
  <w:num w:numId="4">
    <w:abstractNumId w:val="7"/>
  </w:num>
  <w:num w:numId="5">
    <w:abstractNumId w:val="13"/>
  </w:num>
  <w:num w:numId="6">
    <w:abstractNumId w:val="10"/>
  </w:num>
  <w:num w:numId="7">
    <w:abstractNumId w:val="0"/>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1"/>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07CC6"/>
    <w:rsid w:val="0001111B"/>
    <w:rsid w:val="0001140A"/>
    <w:rsid w:val="00012B49"/>
    <w:rsid w:val="00013B7F"/>
    <w:rsid w:val="000153E9"/>
    <w:rsid w:val="00015C47"/>
    <w:rsid w:val="00016C5A"/>
    <w:rsid w:val="000207F6"/>
    <w:rsid w:val="000248F1"/>
    <w:rsid w:val="00024A29"/>
    <w:rsid w:val="000313F7"/>
    <w:rsid w:val="000318DA"/>
    <w:rsid w:val="00034AE8"/>
    <w:rsid w:val="00047055"/>
    <w:rsid w:val="00047AA2"/>
    <w:rsid w:val="00050086"/>
    <w:rsid w:val="000504F1"/>
    <w:rsid w:val="0005465E"/>
    <w:rsid w:val="00054804"/>
    <w:rsid w:val="00060508"/>
    <w:rsid w:val="0006312B"/>
    <w:rsid w:val="00063F7B"/>
    <w:rsid w:val="000737E1"/>
    <w:rsid w:val="00073D6B"/>
    <w:rsid w:val="00073E30"/>
    <w:rsid w:val="00075AA1"/>
    <w:rsid w:val="00080688"/>
    <w:rsid w:val="00083242"/>
    <w:rsid w:val="000833BB"/>
    <w:rsid w:val="000837AC"/>
    <w:rsid w:val="0008526A"/>
    <w:rsid w:val="00085A94"/>
    <w:rsid w:val="00091FAD"/>
    <w:rsid w:val="00093F79"/>
    <w:rsid w:val="0009488C"/>
    <w:rsid w:val="0009745A"/>
    <w:rsid w:val="0009787A"/>
    <w:rsid w:val="00097968"/>
    <w:rsid w:val="00097AD1"/>
    <w:rsid w:val="000A1CEC"/>
    <w:rsid w:val="000A2D03"/>
    <w:rsid w:val="000A6AD8"/>
    <w:rsid w:val="000B03EB"/>
    <w:rsid w:val="000B580F"/>
    <w:rsid w:val="000C1421"/>
    <w:rsid w:val="000D10C0"/>
    <w:rsid w:val="000D2B83"/>
    <w:rsid w:val="000D45F0"/>
    <w:rsid w:val="000D7D6A"/>
    <w:rsid w:val="000E1813"/>
    <w:rsid w:val="000E254E"/>
    <w:rsid w:val="000E2767"/>
    <w:rsid w:val="000E34DF"/>
    <w:rsid w:val="000F0BBE"/>
    <w:rsid w:val="000F23B3"/>
    <w:rsid w:val="000F39F6"/>
    <w:rsid w:val="000F59F8"/>
    <w:rsid w:val="000F6007"/>
    <w:rsid w:val="000F71C2"/>
    <w:rsid w:val="0010288A"/>
    <w:rsid w:val="00104142"/>
    <w:rsid w:val="00106EB5"/>
    <w:rsid w:val="00111EFC"/>
    <w:rsid w:val="00112301"/>
    <w:rsid w:val="001135E7"/>
    <w:rsid w:val="00114E52"/>
    <w:rsid w:val="001166D4"/>
    <w:rsid w:val="00120FB1"/>
    <w:rsid w:val="0012741F"/>
    <w:rsid w:val="00131957"/>
    <w:rsid w:val="001330D2"/>
    <w:rsid w:val="00140176"/>
    <w:rsid w:val="001410DC"/>
    <w:rsid w:val="00147BD7"/>
    <w:rsid w:val="00147FF5"/>
    <w:rsid w:val="0015788C"/>
    <w:rsid w:val="00160147"/>
    <w:rsid w:val="00162F4F"/>
    <w:rsid w:val="00170A22"/>
    <w:rsid w:val="00177D8F"/>
    <w:rsid w:val="001801C1"/>
    <w:rsid w:val="00185ACF"/>
    <w:rsid w:val="00190579"/>
    <w:rsid w:val="00196215"/>
    <w:rsid w:val="00196E14"/>
    <w:rsid w:val="001A1819"/>
    <w:rsid w:val="001A1A55"/>
    <w:rsid w:val="001A464D"/>
    <w:rsid w:val="001A522A"/>
    <w:rsid w:val="001B1229"/>
    <w:rsid w:val="001B1D39"/>
    <w:rsid w:val="001B30C7"/>
    <w:rsid w:val="001B4217"/>
    <w:rsid w:val="001B5D3E"/>
    <w:rsid w:val="001B606B"/>
    <w:rsid w:val="001B62D3"/>
    <w:rsid w:val="001B6FFC"/>
    <w:rsid w:val="001C01DF"/>
    <w:rsid w:val="001C0B5A"/>
    <w:rsid w:val="001C4695"/>
    <w:rsid w:val="001C5D18"/>
    <w:rsid w:val="001D12D9"/>
    <w:rsid w:val="001D3CC2"/>
    <w:rsid w:val="001D68D9"/>
    <w:rsid w:val="001E14CF"/>
    <w:rsid w:val="001E2EED"/>
    <w:rsid w:val="001F0A29"/>
    <w:rsid w:val="001F11EA"/>
    <w:rsid w:val="001F2072"/>
    <w:rsid w:val="001F2C31"/>
    <w:rsid w:val="001F3DBD"/>
    <w:rsid w:val="001F45CB"/>
    <w:rsid w:val="001F648A"/>
    <w:rsid w:val="001F6E8E"/>
    <w:rsid w:val="002014D0"/>
    <w:rsid w:val="00201620"/>
    <w:rsid w:val="0020571A"/>
    <w:rsid w:val="00210971"/>
    <w:rsid w:val="002133DC"/>
    <w:rsid w:val="00215824"/>
    <w:rsid w:val="00216BC8"/>
    <w:rsid w:val="0022218D"/>
    <w:rsid w:val="00224EF0"/>
    <w:rsid w:val="00226926"/>
    <w:rsid w:val="00232528"/>
    <w:rsid w:val="002369D8"/>
    <w:rsid w:val="00237FF9"/>
    <w:rsid w:val="00246429"/>
    <w:rsid w:val="00250A46"/>
    <w:rsid w:val="00253D24"/>
    <w:rsid w:val="00256719"/>
    <w:rsid w:val="00262819"/>
    <w:rsid w:val="002668DC"/>
    <w:rsid w:val="00273C93"/>
    <w:rsid w:val="0027753C"/>
    <w:rsid w:val="00281213"/>
    <w:rsid w:val="00285040"/>
    <w:rsid w:val="00285062"/>
    <w:rsid w:val="00285DE9"/>
    <w:rsid w:val="00287BC8"/>
    <w:rsid w:val="00290B89"/>
    <w:rsid w:val="00294B84"/>
    <w:rsid w:val="00294ED8"/>
    <w:rsid w:val="0029606F"/>
    <w:rsid w:val="002A0160"/>
    <w:rsid w:val="002A2AE7"/>
    <w:rsid w:val="002A3998"/>
    <w:rsid w:val="002A4F68"/>
    <w:rsid w:val="002A5EEA"/>
    <w:rsid w:val="002A7485"/>
    <w:rsid w:val="002B6C81"/>
    <w:rsid w:val="002B7824"/>
    <w:rsid w:val="002C05F2"/>
    <w:rsid w:val="002C115B"/>
    <w:rsid w:val="002C15AC"/>
    <w:rsid w:val="002C3500"/>
    <w:rsid w:val="002C364B"/>
    <w:rsid w:val="002C4638"/>
    <w:rsid w:val="002C4687"/>
    <w:rsid w:val="002C481E"/>
    <w:rsid w:val="002D10E4"/>
    <w:rsid w:val="002D3318"/>
    <w:rsid w:val="002D5C85"/>
    <w:rsid w:val="002D77CC"/>
    <w:rsid w:val="002E1342"/>
    <w:rsid w:val="002E4B98"/>
    <w:rsid w:val="002E5B57"/>
    <w:rsid w:val="002E6CD7"/>
    <w:rsid w:val="002E77C4"/>
    <w:rsid w:val="002F3010"/>
    <w:rsid w:val="002F4134"/>
    <w:rsid w:val="002F465B"/>
    <w:rsid w:val="002F4CCC"/>
    <w:rsid w:val="002F6D39"/>
    <w:rsid w:val="003005DF"/>
    <w:rsid w:val="00300B4C"/>
    <w:rsid w:val="003016BE"/>
    <w:rsid w:val="00302290"/>
    <w:rsid w:val="00302C31"/>
    <w:rsid w:val="00303A63"/>
    <w:rsid w:val="0030653F"/>
    <w:rsid w:val="00307471"/>
    <w:rsid w:val="0031024B"/>
    <w:rsid w:val="00310A3B"/>
    <w:rsid w:val="0031117B"/>
    <w:rsid w:val="0031170D"/>
    <w:rsid w:val="00311B1E"/>
    <w:rsid w:val="00312EBC"/>
    <w:rsid w:val="00313056"/>
    <w:rsid w:val="00320DD8"/>
    <w:rsid w:val="00321F7F"/>
    <w:rsid w:val="00323AD0"/>
    <w:rsid w:val="00323DD7"/>
    <w:rsid w:val="0033376C"/>
    <w:rsid w:val="00337135"/>
    <w:rsid w:val="00341086"/>
    <w:rsid w:val="0034147B"/>
    <w:rsid w:val="00345211"/>
    <w:rsid w:val="003463D6"/>
    <w:rsid w:val="003469B6"/>
    <w:rsid w:val="00346D31"/>
    <w:rsid w:val="00346DE6"/>
    <w:rsid w:val="003518A3"/>
    <w:rsid w:val="00351ABE"/>
    <w:rsid w:val="003543C5"/>
    <w:rsid w:val="00354EF2"/>
    <w:rsid w:val="00357081"/>
    <w:rsid w:val="00357D35"/>
    <w:rsid w:val="00357E01"/>
    <w:rsid w:val="00357F9E"/>
    <w:rsid w:val="003605A3"/>
    <w:rsid w:val="0036353E"/>
    <w:rsid w:val="00363FCD"/>
    <w:rsid w:val="00364C43"/>
    <w:rsid w:val="00365492"/>
    <w:rsid w:val="00367720"/>
    <w:rsid w:val="0037029D"/>
    <w:rsid w:val="0037153E"/>
    <w:rsid w:val="00381213"/>
    <w:rsid w:val="003840EC"/>
    <w:rsid w:val="00387F78"/>
    <w:rsid w:val="00390C3F"/>
    <w:rsid w:val="003A5210"/>
    <w:rsid w:val="003A6B8E"/>
    <w:rsid w:val="003A6F23"/>
    <w:rsid w:val="003A7864"/>
    <w:rsid w:val="003B080A"/>
    <w:rsid w:val="003B142D"/>
    <w:rsid w:val="003B323E"/>
    <w:rsid w:val="003B4100"/>
    <w:rsid w:val="003C1A16"/>
    <w:rsid w:val="003C1E91"/>
    <w:rsid w:val="003C3AC6"/>
    <w:rsid w:val="003C69FB"/>
    <w:rsid w:val="003D0824"/>
    <w:rsid w:val="003D2BB6"/>
    <w:rsid w:val="003D5739"/>
    <w:rsid w:val="003E1423"/>
    <w:rsid w:val="003E1436"/>
    <w:rsid w:val="003E3B27"/>
    <w:rsid w:val="003E5A19"/>
    <w:rsid w:val="003F30AE"/>
    <w:rsid w:val="003F5560"/>
    <w:rsid w:val="004026CF"/>
    <w:rsid w:val="0040795A"/>
    <w:rsid w:val="00407F28"/>
    <w:rsid w:val="00410C15"/>
    <w:rsid w:val="004131C5"/>
    <w:rsid w:val="00416605"/>
    <w:rsid w:val="00417D72"/>
    <w:rsid w:val="00420E9A"/>
    <w:rsid w:val="00422DDD"/>
    <w:rsid w:val="004239DA"/>
    <w:rsid w:val="0042423E"/>
    <w:rsid w:val="00431DD4"/>
    <w:rsid w:val="0043256C"/>
    <w:rsid w:val="004339E6"/>
    <w:rsid w:val="0043683A"/>
    <w:rsid w:val="0044085B"/>
    <w:rsid w:val="00441422"/>
    <w:rsid w:val="00441869"/>
    <w:rsid w:val="004450BD"/>
    <w:rsid w:val="004459CF"/>
    <w:rsid w:val="00445DCB"/>
    <w:rsid w:val="004460B9"/>
    <w:rsid w:val="00446853"/>
    <w:rsid w:val="004518EF"/>
    <w:rsid w:val="004531BF"/>
    <w:rsid w:val="0045354F"/>
    <w:rsid w:val="00456542"/>
    <w:rsid w:val="004630B6"/>
    <w:rsid w:val="00467D30"/>
    <w:rsid w:val="004709C9"/>
    <w:rsid w:val="004736CB"/>
    <w:rsid w:val="00474607"/>
    <w:rsid w:val="00474910"/>
    <w:rsid w:val="004749AF"/>
    <w:rsid w:val="00474BCD"/>
    <w:rsid w:val="004757B4"/>
    <w:rsid w:val="004766B3"/>
    <w:rsid w:val="00476754"/>
    <w:rsid w:val="00483E40"/>
    <w:rsid w:val="00484116"/>
    <w:rsid w:val="0048424E"/>
    <w:rsid w:val="0048507B"/>
    <w:rsid w:val="00486910"/>
    <w:rsid w:val="00486F42"/>
    <w:rsid w:val="00487D14"/>
    <w:rsid w:val="00487FAD"/>
    <w:rsid w:val="00492289"/>
    <w:rsid w:val="004941FC"/>
    <w:rsid w:val="004956CA"/>
    <w:rsid w:val="00497938"/>
    <w:rsid w:val="00497FF4"/>
    <w:rsid w:val="004A2C7E"/>
    <w:rsid w:val="004A33EC"/>
    <w:rsid w:val="004A51A4"/>
    <w:rsid w:val="004A6FEA"/>
    <w:rsid w:val="004A7B29"/>
    <w:rsid w:val="004A7DFE"/>
    <w:rsid w:val="004B21D9"/>
    <w:rsid w:val="004B230E"/>
    <w:rsid w:val="004B294A"/>
    <w:rsid w:val="004B4621"/>
    <w:rsid w:val="004C368B"/>
    <w:rsid w:val="004C5250"/>
    <w:rsid w:val="004C6492"/>
    <w:rsid w:val="004D262A"/>
    <w:rsid w:val="004D2C6F"/>
    <w:rsid w:val="004D2E01"/>
    <w:rsid w:val="004D7AE9"/>
    <w:rsid w:val="004E173B"/>
    <w:rsid w:val="004E34C1"/>
    <w:rsid w:val="004E568C"/>
    <w:rsid w:val="004E5AD8"/>
    <w:rsid w:val="004F12D8"/>
    <w:rsid w:val="004F22A6"/>
    <w:rsid w:val="004F5A08"/>
    <w:rsid w:val="004F5E43"/>
    <w:rsid w:val="004F6B7A"/>
    <w:rsid w:val="00502CBC"/>
    <w:rsid w:val="00504B53"/>
    <w:rsid w:val="00506B31"/>
    <w:rsid w:val="00507D49"/>
    <w:rsid w:val="0051015D"/>
    <w:rsid w:val="0051292D"/>
    <w:rsid w:val="0051622D"/>
    <w:rsid w:val="00516C44"/>
    <w:rsid w:val="0052009A"/>
    <w:rsid w:val="0052179E"/>
    <w:rsid w:val="005262C2"/>
    <w:rsid w:val="0052705A"/>
    <w:rsid w:val="00530C50"/>
    <w:rsid w:val="005316EE"/>
    <w:rsid w:val="005363ED"/>
    <w:rsid w:val="00537A72"/>
    <w:rsid w:val="005429E9"/>
    <w:rsid w:val="00545A74"/>
    <w:rsid w:val="00545B01"/>
    <w:rsid w:val="00546A0D"/>
    <w:rsid w:val="005503CC"/>
    <w:rsid w:val="00551687"/>
    <w:rsid w:val="00553AC4"/>
    <w:rsid w:val="0055729D"/>
    <w:rsid w:val="00567926"/>
    <w:rsid w:val="00571E13"/>
    <w:rsid w:val="00573759"/>
    <w:rsid w:val="00581C59"/>
    <w:rsid w:val="00587B78"/>
    <w:rsid w:val="0059024D"/>
    <w:rsid w:val="00596509"/>
    <w:rsid w:val="00597E64"/>
    <w:rsid w:val="005A27EF"/>
    <w:rsid w:val="005A313A"/>
    <w:rsid w:val="005A637B"/>
    <w:rsid w:val="005A680F"/>
    <w:rsid w:val="005A75D7"/>
    <w:rsid w:val="005B53B0"/>
    <w:rsid w:val="005B62A6"/>
    <w:rsid w:val="005B6D81"/>
    <w:rsid w:val="005B7DD3"/>
    <w:rsid w:val="005C13D7"/>
    <w:rsid w:val="005C657D"/>
    <w:rsid w:val="005C7FC2"/>
    <w:rsid w:val="005D2408"/>
    <w:rsid w:val="005D4FE0"/>
    <w:rsid w:val="005D6122"/>
    <w:rsid w:val="005D6E80"/>
    <w:rsid w:val="005E004E"/>
    <w:rsid w:val="005E035E"/>
    <w:rsid w:val="005E09BA"/>
    <w:rsid w:val="005E2F7B"/>
    <w:rsid w:val="005E5C01"/>
    <w:rsid w:val="005E7118"/>
    <w:rsid w:val="005F03F7"/>
    <w:rsid w:val="005F2C91"/>
    <w:rsid w:val="005F37A4"/>
    <w:rsid w:val="005F62CB"/>
    <w:rsid w:val="006000D8"/>
    <w:rsid w:val="0060139C"/>
    <w:rsid w:val="00603CD1"/>
    <w:rsid w:val="006041A4"/>
    <w:rsid w:val="0061089B"/>
    <w:rsid w:val="00613721"/>
    <w:rsid w:val="006145CE"/>
    <w:rsid w:val="006165CB"/>
    <w:rsid w:val="006169ED"/>
    <w:rsid w:val="00617D90"/>
    <w:rsid w:val="00617F98"/>
    <w:rsid w:val="00622ED5"/>
    <w:rsid w:val="00623C9B"/>
    <w:rsid w:val="00626F12"/>
    <w:rsid w:val="0062754A"/>
    <w:rsid w:val="006275B4"/>
    <w:rsid w:val="00627B0C"/>
    <w:rsid w:val="00630DD5"/>
    <w:rsid w:val="006362D8"/>
    <w:rsid w:val="00645D60"/>
    <w:rsid w:val="00647DDD"/>
    <w:rsid w:val="00653BA4"/>
    <w:rsid w:val="00654654"/>
    <w:rsid w:val="00654D4B"/>
    <w:rsid w:val="00657EDA"/>
    <w:rsid w:val="00660C84"/>
    <w:rsid w:val="0066194B"/>
    <w:rsid w:val="00666D4D"/>
    <w:rsid w:val="00671515"/>
    <w:rsid w:val="00671C76"/>
    <w:rsid w:val="006858DA"/>
    <w:rsid w:val="0068621A"/>
    <w:rsid w:val="006902F1"/>
    <w:rsid w:val="006918E9"/>
    <w:rsid w:val="006924FA"/>
    <w:rsid w:val="00694C71"/>
    <w:rsid w:val="006951CE"/>
    <w:rsid w:val="006A0C2E"/>
    <w:rsid w:val="006A1756"/>
    <w:rsid w:val="006A5418"/>
    <w:rsid w:val="006C3A24"/>
    <w:rsid w:val="006C4213"/>
    <w:rsid w:val="006C43D7"/>
    <w:rsid w:val="006C5694"/>
    <w:rsid w:val="006D797F"/>
    <w:rsid w:val="006D7CD4"/>
    <w:rsid w:val="006E2346"/>
    <w:rsid w:val="006E323B"/>
    <w:rsid w:val="006E32B4"/>
    <w:rsid w:val="006E38D7"/>
    <w:rsid w:val="006E68E6"/>
    <w:rsid w:val="006F08A1"/>
    <w:rsid w:val="006F0BB6"/>
    <w:rsid w:val="006F25E5"/>
    <w:rsid w:val="006F2FCE"/>
    <w:rsid w:val="006F415C"/>
    <w:rsid w:val="006F72F0"/>
    <w:rsid w:val="00700C8E"/>
    <w:rsid w:val="00701BBE"/>
    <w:rsid w:val="007046F8"/>
    <w:rsid w:val="00706D06"/>
    <w:rsid w:val="00710D76"/>
    <w:rsid w:val="0071137C"/>
    <w:rsid w:val="0071253E"/>
    <w:rsid w:val="007133AE"/>
    <w:rsid w:val="007148A5"/>
    <w:rsid w:val="00716088"/>
    <w:rsid w:val="00720436"/>
    <w:rsid w:val="007241D4"/>
    <w:rsid w:val="0073191E"/>
    <w:rsid w:val="00732130"/>
    <w:rsid w:val="00732A6F"/>
    <w:rsid w:val="007349CA"/>
    <w:rsid w:val="007404AE"/>
    <w:rsid w:val="007407CE"/>
    <w:rsid w:val="00742764"/>
    <w:rsid w:val="00746338"/>
    <w:rsid w:val="0075156A"/>
    <w:rsid w:val="00751F90"/>
    <w:rsid w:val="00752759"/>
    <w:rsid w:val="00756E65"/>
    <w:rsid w:val="00761C35"/>
    <w:rsid w:val="00762FCF"/>
    <w:rsid w:val="00764B50"/>
    <w:rsid w:val="007659FB"/>
    <w:rsid w:val="00766026"/>
    <w:rsid w:val="007660AF"/>
    <w:rsid w:val="00772B54"/>
    <w:rsid w:val="00773840"/>
    <w:rsid w:val="00781AA0"/>
    <w:rsid w:val="00783072"/>
    <w:rsid w:val="00785746"/>
    <w:rsid w:val="00792386"/>
    <w:rsid w:val="007A3A09"/>
    <w:rsid w:val="007B0648"/>
    <w:rsid w:val="007B13BB"/>
    <w:rsid w:val="007B165A"/>
    <w:rsid w:val="007B3410"/>
    <w:rsid w:val="007B6964"/>
    <w:rsid w:val="007B78C2"/>
    <w:rsid w:val="007C5008"/>
    <w:rsid w:val="007C5673"/>
    <w:rsid w:val="007C6DF0"/>
    <w:rsid w:val="007D0E56"/>
    <w:rsid w:val="007D1E79"/>
    <w:rsid w:val="007D27CF"/>
    <w:rsid w:val="007D31A3"/>
    <w:rsid w:val="007D5CB5"/>
    <w:rsid w:val="007D710C"/>
    <w:rsid w:val="007D7528"/>
    <w:rsid w:val="007E1D3C"/>
    <w:rsid w:val="007E3AB4"/>
    <w:rsid w:val="007E468A"/>
    <w:rsid w:val="007E58FC"/>
    <w:rsid w:val="007E6D02"/>
    <w:rsid w:val="007F0228"/>
    <w:rsid w:val="007F207F"/>
    <w:rsid w:val="007F7E0A"/>
    <w:rsid w:val="00802357"/>
    <w:rsid w:val="00803CEC"/>
    <w:rsid w:val="00807ECB"/>
    <w:rsid w:val="00812F92"/>
    <w:rsid w:val="008135EC"/>
    <w:rsid w:val="0081475E"/>
    <w:rsid w:val="00815C5A"/>
    <w:rsid w:val="00822050"/>
    <w:rsid w:val="008246E5"/>
    <w:rsid w:val="00825D3F"/>
    <w:rsid w:val="00825F6C"/>
    <w:rsid w:val="00830952"/>
    <w:rsid w:val="00831234"/>
    <w:rsid w:val="008443A9"/>
    <w:rsid w:val="008459FB"/>
    <w:rsid w:val="00846EF4"/>
    <w:rsid w:val="0085548F"/>
    <w:rsid w:val="00856289"/>
    <w:rsid w:val="00860576"/>
    <w:rsid w:val="00861FA9"/>
    <w:rsid w:val="00862564"/>
    <w:rsid w:val="0086345E"/>
    <w:rsid w:val="008674AA"/>
    <w:rsid w:val="00867E6F"/>
    <w:rsid w:val="00870ECF"/>
    <w:rsid w:val="00871D76"/>
    <w:rsid w:val="008761FC"/>
    <w:rsid w:val="00877686"/>
    <w:rsid w:val="0088094C"/>
    <w:rsid w:val="00881004"/>
    <w:rsid w:val="00882C40"/>
    <w:rsid w:val="008972E2"/>
    <w:rsid w:val="0089779E"/>
    <w:rsid w:val="008A082A"/>
    <w:rsid w:val="008A4152"/>
    <w:rsid w:val="008A4DF4"/>
    <w:rsid w:val="008A6783"/>
    <w:rsid w:val="008A7E58"/>
    <w:rsid w:val="008B0DB3"/>
    <w:rsid w:val="008B1BB7"/>
    <w:rsid w:val="008B1DA9"/>
    <w:rsid w:val="008B21EB"/>
    <w:rsid w:val="008B526B"/>
    <w:rsid w:val="008B7FFC"/>
    <w:rsid w:val="008C6E22"/>
    <w:rsid w:val="008D33A3"/>
    <w:rsid w:val="008D4715"/>
    <w:rsid w:val="008E03F7"/>
    <w:rsid w:val="008E0638"/>
    <w:rsid w:val="008F189C"/>
    <w:rsid w:val="008F1BBC"/>
    <w:rsid w:val="008F1FE1"/>
    <w:rsid w:val="008F281D"/>
    <w:rsid w:val="008F4486"/>
    <w:rsid w:val="008F4FC6"/>
    <w:rsid w:val="008F559B"/>
    <w:rsid w:val="008F5A82"/>
    <w:rsid w:val="008F6BD3"/>
    <w:rsid w:val="00903F5D"/>
    <w:rsid w:val="009055B0"/>
    <w:rsid w:val="009108D0"/>
    <w:rsid w:val="0091544C"/>
    <w:rsid w:val="00916368"/>
    <w:rsid w:val="009165D0"/>
    <w:rsid w:val="00920D43"/>
    <w:rsid w:val="00927FD9"/>
    <w:rsid w:val="00933065"/>
    <w:rsid w:val="00933569"/>
    <w:rsid w:val="0093799C"/>
    <w:rsid w:val="00942835"/>
    <w:rsid w:val="00944003"/>
    <w:rsid w:val="0094474D"/>
    <w:rsid w:val="00944804"/>
    <w:rsid w:val="009473D8"/>
    <w:rsid w:val="0095427F"/>
    <w:rsid w:val="00960ADF"/>
    <w:rsid w:val="00962B21"/>
    <w:rsid w:val="00963A0C"/>
    <w:rsid w:val="00964367"/>
    <w:rsid w:val="00964A4A"/>
    <w:rsid w:val="009653C0"/>
    <w:rsid w:val="00974A92"/>
    <w:rsid w:val="00974AB5"/>
    <w:rsid w:val="00976BB2"/>
    <w:rsid w:val="0097721C"/>
    <w:rsid w:val="009773E8"/>
    <w:rsid w:val="00980CE6"/>
    <w:rsid w:val="009835E3"/>
    <w:rsid w:val="00986050"/>
    <w:rsid w:val="00986455"/>
    <w:rsid w:val="0098739F"/>
    <w:rsid w:val="00987CDB"/>
    <w:rsid w:val="00991B1A"/>
    <w:rsid w:val="00994C5C"/>
    <w:rsid w:val="00994D8A"/>
    <w:rsid w:val="0099709D"/>
    <w:rsid w:val="009A1034"/>
    <w:rsid w:val="009A30E0"/>
    <w:rsid w:val="009A3619"/>
    <w:rsid w:val="009A524B"/>
    <w:rsid w:val="009A6493"/>
    <w:rsid w:val="009B08AF"/>
    <w:rsid w:val="009B241C"/>
    <w:rsid w:val="009B2FB6"/>
    <w:rsid w:val="009B3DFC"/>
    <w:rsid w:val="009B62F7"/>
    <w:rsid w:val="009B7A7B"/>
    <w:rsid w:val="009C28AC"/>
    <w:rsid w:val="009C37B9"/>
    <w:rsid w:val="009C38E7"/>
    <w:rsid w:val="009C5BEF"/>
    <w:rsid w:val="009D32BD"/>
    <w:rsid w:val="009D4486"/>
    <w:rsid w:val="009D5DAE"/>
    <w:rsid w:val="009E124A"/>
    <w:rsid w:val="009E140F"/>
    <w:rsid w:val="009E6F69"/>
    <w:rsid w:val="009F211E"/>
    <w:rsid w:val="009F294E"/>
    <w:rsid w:val="009F30F1"/>
    <w:rsid w:val="009F37C7"/>
    <w:rsid w:val="009F50AB"/>
    <w:rsid w:val="009F5FBB"/>
    <w:rsid w:val="00A000A9"/>
    <w:rsid w:val="00A005F6"/>
    <w:rsid w:val="00A010F7"/>
    <w:rsid w:val="00A03D0B"/>
    <w:rsid w:val="00A0424F"/>
    <w:rsid w:val="00A048C6"/>
    <w:rsid w:val="00A06D09"/>
    <w:rsid w:val="00A11958"/>
    <w:rsid w:val="00A130D6"/>
    <w:rsid w:val="00A13760"/>
    <w:rsid w:val="00A1488A"/>
    <w:rsid w:val="00A17A3E"/>
    <w:rsid w:val="00A2193F"/>
    <w:rsid w:val="00A225EE"/>
    <w:rsid w:val="00A2481C"/>
    <w:rsid w:val="00A3133F"/>
    <w:rsid w:val="00A3693F"/>
    <w:rsid w:val="00A36AAB"/>
    <w:rsid w:val="00A3775F"/>
    <w:rsid w:val="00A37BA4"/>
    <w:rsid w:val="00A40357"/>
    <w:rsid w:val="00A43739"/>
    <w:rsid w:val="00A46BED"/>
    <w:rsid w:val="00A51666"/>
    <w:rsid w:val="00A533E3"/>
    <w:rsid w:val="00A539CB"/>
    <w:rsid w:val="00A63078"/>
    <w:rsid w:val="00A649AA"/>
    <w:rsid w:val="00A64A98"/>
    <w:rsid w:val="00A65124"/>
    <w:rsid w:val="00A660AF"/>
    <w:rsid w:val="00A675FB"/>
    <w:rsid w:val="00A70A95"/>
    <w:rsid w:val="00A72651"/>
    <w:rsid w:val="00A73821"/>
    <w:rsid w:val="00A74923"/>
    <w:rsid w:val="00A77EE7"/>
    <w:rsid w:val="00A809F0"/>
    <w:rsid w:val="00A847CA"/>
    <w:rsid w:val="00A93351"/>
    <w:rsid w:val="00A93A39"/>
    <w:rsid w:val="00A97CE6"/>
    <w:rsid w:val="00AA36D1"/>
    <w:rsid w:val="00AA6E8C"/>
    <w:rsid w:val="00AA6F19"/>
    <w:rsid w:val="00AA7A76"/>
    <w:rsid w:val="00AB03EF"/>
    <w:rsid w:val="00AB50EE"/>
    <w:rsid w:val="00AB545E"/>
    <w:rsid w:val="00AC72F1"/>
    <w:rsid w:val="00AD2631"/>
    <w:rsid w:val="00AD58C5"/>
    <w:rsid w:val="00AE3320"/>
    <w:rsid w:val="00AE5BB7"/>
    <w:rsid w:val="00AE63BD"/>
    <w:rsid w:val="00AE70A9"/>
    <w:rsid w:val="00AE7682"/>
    <w:rsid w:val="00AF0711"/>
    <w:rsid w:val="00AF0B2B"/>
    <w:rsid w:val="00AF0FA7"/>
    <w:rsid w:val="00AF2914"/>
    <w:rsid w:val="00AF3136"/>
    <w:rsid w:val="00AF363F"/>
    <w:rsid w:val="00AF3A71"/>
    <w:rsid w:val="00AF3E4F"/>
    <w:rsid w:val="00AF6144"/>
    <w:rsid w:val="00B044CA"/>
    <w:rsid w:val="00B05438"/>
    <w:rsid w:val="00B071FF"/>
    <w:rsid w:val="00B11505"/>
    <w:rsid w:val="00B11DC2"/>
    <w:rsid w:val="00B121D2"/>
    <w:rsid w:val="00B15CAA"/>
    <w:rsid w:val="00B1673B"/>
    <w:rsid w:val="00B17897"/>
    <w:rsid w:val="00B201A8"/>
    <w:rsid w:val="00B20ABA"/>
    <w:rsid w:val="00B20C42"/>
    <w:rsid w:val="00B22CE8"/>
    <w:rsid w:val="00B2726B"/>
    <w:rsid w:val="00B27C5D"/>
    <w:rsid w:val="00B304D4"/>
    <w:rsid w:val="00B3585E"/>
    <w:rsid w:val="00B37BB0"/>
    <w:rsid w:val="00B40CD3"/>
    <w:rsid w:val="00B41247"/>
    <w:rsid w:val="00B42024"/>
    <w:rsid w:val="00B42807"/>
    <w:rsid w:val="00B428A6"/>
    <w:rsid w:val="00B53913"/>
    <w:rsid w:val="00B54E42"/>
    <w:rsid w:val="00B56906"/>
    <w:rsid w:val="00B57FCC"/>
    <w:rsid w:val="00B61782"/>
    <w:rsid w:val="00B63D44"/>
    <w:rsid w:val="00B65AF6"/>
    <w:rsid w:val="00B7031E"/>
    <w:rsid w:val="00B72922"/>
    <w:rsid w:val="00B72A13"/>
    <w:rsid w:val="00B73FCD"/>
    <w:rsid w:val="00B75196"/>
    <w:rsid w:val="00B824C4"/>
    <w:rsid w:val="00B84DD5"/>
    <w:rsid w:val="00B87538"/>
    <w:rsid w:val="00B87B26"/>
    <w:rsid w:val="00B91EA6"/>
    <w:rsid w:val="00B9328E"/>
    <w:rsid w:val="00B94CAA"/>
    <w:rsid w:val="00B95910"/>
    <w:rsid w:val="00B9652B"/>
    <w:rsid w:val="00B97F7D"/>
    <w:rsid w:val="00BA0249"/>
    <w:rsid w:val="00BA0B86"/>
    <w:rsid w:val="00BA24FC"/>
    <w:rsid w:val="00BA394B"/>
    <w:rsid w:val="00BA3A4C"/>
    <w:rsid w:val="00BB0F20"/>
    <w:rsid w:val="00BB715D"/>
    <w:rsid w:val="00BC3B5C"/>
    <w:rsid w:val="00BD2CDE"/>
    <w:rsid w:val="00BD41CF"/>
    <w:rsid w:val="00BD7CC1"/>
    <w:rsid w:val="00BE0164"/>
    <w:rsid w:val="00BE0251"/>
    <w:rsid w:val="00BE12BD"/>
    <w:rsid w:val="00BE2554"/>
    <w:rsid w:val="00BE2ED7"/>
    <w:rsid w:val="00BE464D"/>
    <w:rsid w:val="00BE6AB8"/>
    <w:rsid w:val="00BF086D"/>
    <w:rsid w:val="00BF2167"/>
    <w:rsid w:val="00BF2774"/>
    <w:rsid w:val="00BF4013"/>
    <w:rsid w:val="00C02D96"/>
    <w:rsid w:val="00C0551D"/>
    <w:rsid w:val="00C060C4"/>
    <w:rsid w:val="00C12767"/>
    <w:rsid w:val="00C12883"/>
    <w:rsid w:val="00C12D49"/>
    <w:rsid w:val="00C20A22"/>
    <w:rsid w:val="00C213DA"/>
    <w:rsid w:val="00C21632"/>
    <w:rsid w:val="00C221AE"/>
    <w:rsid w:val="00C24256"/>
    <w:rsid w:val="00C2444F"/>
    <w:rsid w:val="00C25581"/>
    <w:rsid w:val="00C264E3"/>
    <w:rsid w:val="00C2788D"/>
    <w:rsid w:val="00C313A9"/>
    <w:rsid w:val="00C34803"/>
    <w:rsid w:val="00C35C76"/>
    <w:rsid w:val="00C361F6"/>
    <w:rsid w:val="00C3669A"/>
    <w:rsid w:val="00C423E3"/>
    <w:rsid w:val="00C44428"/>
    <w:rsid w:val="00C458AF"/>
    <w:rsid w:val="00C50A80"/>
    <w:rsid w:val="00C52051"/>
    <w:rsid w:val="00C52D48"/>
    <w:rsid w:val="00C54642"/>
    <w:rsid w:val="00C63B9F"/>
    <w:rsid w:val="00C676F3"/>
    <w:rsid w:val="00C72A4C"/>
    <w:rsid w:val="00C72C0C"/>
    <w:rsid w:val="00C731BF"/>
    <w:rsid w:val="00C77EFD"/>
    <w:rsid w:val="00C8009F"/>
    <w:rsid w:val="00C82759"/>
    <w:rsid w:val="00C829DF"/>
    <w:rsid w:val="00C84021"/>
    <w:rsid w:val="00C84EB7"/>
    <w:rsid w:val="00C85FCF"/>
    <w:rsid w:val="00C86C26"/>
    <w:rsid w:val="00C875AE"/>
    <w:rsid w:val="00C905EB"/>
    <w:rsid w:val="00C91188"/>
    <w:rsid w:val="00C9208E"/>
    <w:rsid w:val="00C92700"/>
    <w:rsid w:val="00C92A2F"/>
    <w:rsid w:val="00C9634D"/>
    <w:rsid w:val="00CA28E0"/>
    <w:rsid w:val="00CA762C"/>
    <w:rsid w:val="00CA7B11"/>
    <w:rsid w:val="00CB4F4C"/>
    <w:rsid w:val="00CB5DEF"/>
    <w:rsid w:val="00CB5E49"/>
    <w:rsid w:val="00CC0C54"/>
    <w:rsid w:val="00CC1016"/>
    <w:rsid w:val="00CC48E3"/>
    <w:rsid w:val="00CD09A5"/>
    <w:rsid w:val="00CD0E32"/>
    <w:rsid w:val="00CD39E9"/>
    <w:rsid w:val="00CD4424"/>
    <w:rsid w:val="00CE1966"/>
    <w:rsid w:val="00CE2983"/>
    <w:rsid w:val="00CE392C"/>
    <w:rsid w:val="00CE6764"/>
    <w:rsid w:val="00CF171D"/>
    <w:rsid w:val="00CF2008"/>
    <w:rsid w:val="00CF40D1"/>
    <w:rsid w:val="00CF4188"/>
    <w:rsid w:val="00CF42BA"/>
    <w:rsid w:val="00CF563C"/>
    <w:rsid w:val="00D06213"/>
    <w:rsid w:val="00D07D6A"/>
    <w:rsid w:val="00D139A2"/>
    <w:rsid w:val="00D24425"/>
    <w:rsid w:val="00D2585F"/>
    <w:rsid w:val="00D277A3"/>
    <w:rsid w:val="00D277C2"/>
    <w:rsid w:val="00D31882"/>
    <w:rsid w:val="00D31BAB"/>
    <w:rsid w:val="00D327FF"/>
    <w:rsid w:val="00D3442C"/>
    <w:rsid w:val="00D34F24"/>
    <w:rsid w:val="00D35A03"/>
    <w:rsid w:val="00D37358"/>
    <w:rsid w:val="00D37377"/>
    <w:rsid w:val="00D457F9"/>
    <w:rsid w:val="00D45B09"/>
    <w:rsid w:val="00D45B8C"/>
    <w:rsid w:val="00D46729"/>
    <w:rsid w:val="00D47766"/>
    <w:rsid w:val="00D5107C"/>
    <w:rsid w:val="00D51538"/>
    <w:rsid w:val="00D532F2"/>
    <w:rsid w:val="00D5375D"/>
    <w:rsid w:val="00D567E0"/>
    <w:rsid w:val="00D5756F"/>
    <w:rsid w:val="00D578D9"/>
    <w:rsid w:val="00D630DE"/>
    <w:rsid w:val="00D63E46"/>
    <w:rsid w:val="00D664AD"/>
    <w:rsid w:val="00D71B57"/>
    <w:rsid w:val="00D72A06"/>
    <w:rsid w:val="00D72C82"/>
    <w:rsid w:val="00D7327A"/>
    <w:rsid w:val="00D732C0"/>
    <w:rsid w:val="00D75AA5"/>
    <w:rsid w:val="00D80A1D"/>
    <w:rsid w:val="00D87625"/>
    <w:rsid w:val="00D92504"/>
    <w:rsid w:val="00D94745"/>
    <w:rsid w:val="00DA41B2"/>
    <w:rsid w:val="00DA4EE5"/>
    <w:rsid w:val="00DA508B"/>
    <w:rsid w:val="00DA5D06"/>
    <w:rsid w:val="00DA7B20"/>
    <w:rsid w:val="00DB0D4D"/>
    <w:rsid w:val="00DB2CE4"/>
    <w:rsid w:val="00DB2E02"/>
    <w:rsid w:val="00DB37CF"/>
    <w:rsid w:val="00DB407F"/>
    <w:rsid w:val="00DC6A98"/>
    <w:rsid w:val="00DC7016"/>
    <w:rsid w:val="00DC7245"/>
    <w:rsid w:val="00DC730A"/>
    <w:rsid w:val="00DD12FC"/>
    <w:rsid w:val="00DD296E"/>
    <w:rsid w:val="00DD2E95"/>
    <w:rsid w:val="00DE0E3B"/>
    <w:rsid w:val="00DE130A"/>
    <w:rsid w:val="00DE38B2"/>
    <w:rsid w:val="00DE4148"/>
    <w:rsid w:val="00DE44F5"/>
    <w:rsid w:val="00DE5957"/>
    <w:rsid w:val="00E00F46"/>
    <w:rsid w:val="00E0623A"/>
    <w:rsid w:val="00E07822"/>
    <w:rsid w:val="00E1008B"/>
    <w:rsid w:val="00E12D6B"/>
    <w:rsid w:val="00E1303E"/>
    <w:rsid w:val="00E145ED"/>
    <w:rsid w:val="00E15596"/>
    <w:rsid w:val="00E166FD"/>
    <w:rsid w:val="00E17247"/>
    <w:rsid w:val="00E24560"/>
    <w:rsid w:val="00E264BB"/>
    <w:rsid w:val="00E26CE0"/>
    <w:rsid w:val="00E276DF"/>
    <w:rsid w:val="00E3040F"/>
    <w:rsid w:val="00E31C2F"/>
    <w:rsid w:val="00E3664B"/>
    <w:rsid w:val="00E36F2A"/>
    <w:rsid w:val="00E37870"/>
    <w:rsid w:val="00E4050D"/>
    <w:rsid w:val="00E420BE"/>
    <w:rsid w:val="00E427C7"/>
    <w:rsid w:val="00E45E6A"/>
    <w:rsid w:val="00E50A42"/>
    <w:rsid w:val="00E51043"/>
    <w:rsid w:val="00E537FA"/>
    <w:rsid w:val="00E549A2"/>
    <w:rsid w:val="00E55311"/>
    <w:rsid w:val="00E5663F"/>
    <w:rsid w:val="00E56D64"/>
    <w:rsid w:val="00E611CC"/>
    <w:rsid w:val="00E63EE0"/>
    <w:rsid w:val="00E65F64"/>
    <w:rsid w:val="00E66A30"/>
    <w:rsid w:val="00E712B1"/>
    <w:rsid w:val="00E74A19"/>
    <w:rsid w:val="00E75DDF"/>
    <w:rsid w:val="00E76641"/>
    <w:rsid w:val="00E80193"/>
    <w:rsid w:val="00E81B17"/>
    <w:rsid w:val="00E82722"/>
    <w:rsid w:val="00E85BF7"/>
    <w:rsid w:val="00E87A28"/>
    <w:rsid w:val="00E93114"/>
    <w:rsid w:val="00E941E6"/>
    <w:rsid w:val="00E95AB3"/>
    <w:rsid w:val="00EA0374"/>
    <w:rsid w:val="00EA2187"/>
    <w:rsid w:val="00EA5E2D"/>
    <w:rsid w:val="00EA5E85"/>
    <w:rsid w:val="00EB5058"/>
    <w:rsid w:val="00EB56E5"/>
    <w:rsid w:val="00EB7EB6"/>
    <w:rsid w:val="00EC194E"/>
    <w:rsid w:val="00EC496C"/>
    <w:rsid w:val="00EC5057"/>
    <w:rsid w:val="00EC70BC"/>
    <w:rsid w:val="00ED018E"/>
    <w:rsid w:val="00ED1795"/>
    <w:rsid w:val="00ED1A67"/>
    <w:rsid w:val="00ED3283"/>
    <w:rsid w:val="00ED5C69"/>
    <w:rsid w:val="00ED77CF"/>
    <w:rsid w:val="00EE55F9"/>
    <w:rsid w:val="00EE62A5"/>
    <w:rsid w:val="00EF0734"/>
    <w:rsid w:val="00EF32C4"/>
    <w:rsid w:val="00EF39AD"/>
    <w:rsid w:val="00EF4195"/>
    <w:rsid w:val="00EF5F63"/>
    <w:rsid w:val="00F05C27"/>
    <w:rsid w:val="00F11454"/>
    <w:rsid w:val="00F125DA"/>
    <w:rsid w:val="00F15575"/>
    <w:rsid w:val="00F1782F"/>
    <w:rsid w:val="00F20A42"/>
    <w:rsid w:val="00F221FC"/>
    <w:rsid w:val="00F2269C"/>
    <w:rsid w:val="00F2485C"/>
    <w:rsid w:val="00F24F1B"/>
    <w:rsid w:val="00F26820"/>
    <w:rsid w:val="00F31B79"/>
    <w:rsid w:val="00F33859"/>
    <w:rsid w:val="00F35448"/>
    <w:rsid w:val="00F35614"/>
    <w:rsid w:val="00F43BDB"/>
    <w:rsid w:val="00F46C28"/>
    <w:rsid w:val="00F53254"/>
    <w:rsid w:val="00F53D7C"/>
    <w:rsid w:val="00F627E4"/>
    <w:rsid w:val="00F628AA"/>
    <w:rsid w:val="00F6377B"/>
    <w:rsid w:val="00F65D8E"/>
    <w:rsid w:val="00F665A8"/>
    <w:rsid w:val="00F669B9"/>
    <w:rsid w:val="00F72573"/>
    <w:rsid w:val="00F853F2"/>
    <w:rsid w:val="00F86BC7"/>
    <w:rsid w:val="00F901AD"/>
    <w:rsid w:val="00F95973"/>
    <w:rsid w:val="00FA0D89"/>
    <w:rsid w:val="00FA1EE6"/>
    <w:rsid w:val="00FA2987"/>
    <w:rsid w:val="00FA584E"/>
    <w:rsid w:val="00FA6D24"/>
    <w:rsid w:val="00FB3ABD"/>
    <w:rsid w:val="00FB59A0"/>
    <w:rsid w:val="00FB6596"/>
    <w:rsid w:val="00FC42BD"/>
    <w:rsid w:val="00FC62D7"/>
    <w:rsid w:val="00FD2E9B"/>
    <w:rsid w:val="00FD3552"/>
    <w:rsid w:val="00FD3D6E"/>
    <w:rsid w:val="00FE008D"/>
    <w:rsid w:val="00FE065B"/>
    <w:rsid w:val="00FE090E"/>
    <w:rsid w:val="00FE0E9D"/>
    <w:rsid w:val="00FE11E5"/>
    <w:rsid w:val="00FE2BBF"/>
    <w:rsid w:val="00FE50EB"/>
    <w:rsid w:val="00FE703A"/>
    <w:rsid w:val="00FE7A4D"/>
    <w:rsid w:val="00FF1F53"/>
    <w:rsid w:val="00FF59F3"/>
    <w:rsid w:val="00FF6D2A"/>
    <w:rsid w:val="00FF7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1F7720AE-FC97-4971-9584-DEC9F096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paragraph" w:styleId="Heading3">
    <w:name w:val="heading 3"/>
    <w:basedOn w:val="Normal"/>
    <w:next w:val="Normal"/>
    <w:link w:val="Heading3Char"/>
    <w:uiPriority w:val="9"/>
    <w:semiHidden/>
    <w:unhideWhenUsed/>
    <w:qFormat/>
    <w:rsid w:val="00D4672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character" w:customStyle="1" w:styleId="italic">
    <w:name w:val="italic"/>
    <w:basedOn w:val="DefaultParagraphFont"/>
    <w:rsid w:val="00A64A98"/>
  </w:style>
  <w:style w:type="paragraph" w:customStyle="1" w:styleId="Quote1">
    <w:name w:val="Quote1"/>
    <w:basedOn w:val="Normal"/>
    <w:rsid w:val="00B54E42"/>
    <w:pPr>
      <w:adjustRightInd w:val="0"/>
      <w:spacing w:before="120"/>
      <w:ind w:left="567" w:right="567"/>
      <w:jc w:val="both"/>
    </w:pPr>
    <w:rPr>
      <w:rFonts w:ascii="Verdana" w:hAnsi="Verdana"/>
      <w:sz w:val="16"/>
      <w:szCs w:val="20"/>
      <w:lang w:val="en-US" w:eastAsia="en-ZA"/>
    </w:rPr>
  </w:style>
  <w:style w:type="character" w:customStyle="1" w:styleId="Heading3Char">
    <w:name w:val="Heading 3 Char"/>
    <w:basedOn w:val="DefaultParagraphFont"/>
    <w:link w:val="Heading3"/>
    <w:uiPriority w:val="9"/>
    <w:semiHidden/>
    <w:rsid w:val="00D46729"/>
    <w:rPr>
      <w:rFonts w:asciiTheme="majorHAnsi" w:eastAsiaTheme="majorEastAsia" w:hAnsiTheme="majorHAnsi" w:cstheme="majorBidi"/>
      <w:color w:val="243F60" w:themeColor="accent1" w:themeShade="7F"/>
      <w:sz w:val="24"/>
      <w:szCs w:val="24"/>
      <w:lang w:eastAsia="en-US"/>
    </w:rPr>
  </w:style>
  <w:style w:type="paragraph" w:customStyle="1" w:styleId="Indent">
    <w:name w:val="Indent"/>
    <w:basedOn w:val="Normal"/>
    <w:rsid w:val="00622ED5"/>
    <w:pPr>
      <w:numPr>
        <w:numId w:val="15"/>
      </w:numPr>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76204756">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06355583">
      <w:bodyDiv w:val="1"/>
      <w:marLeft w:val="0"/>
      <w:marRight w:val="0"/>
      <w:marTop w:val="0"/>
      <w:marBottom w:val="0"/>
      <w:divBdr>
        <w:top w:val="none" w:sz="0" w:space="0" w:color="auto"/>
        <w:left w:val="none" w:sz="0" w:space="0" w:color="auto"/>
        <w:bottom w:val="none" w:sz="0" w:space="0" w:color="auto"/>
        <w:right w:val="none" w:sz="0" w:space="0" w:color="auto"/>
      </w:divBdr>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366829353">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833179417">
      <w:bodyDiv w:val="1"/>
      <w:marLeft w:val="0"/>
      <w:marRight w:val="0"/>
      <w:marTop w:val="0"/>
      <w:marBottom w:val="0"/>
      <w:divBdr>
        <w:top w:val="none" w:sz="0" w:space="0" w:color="auto"/>
        <w:left w:val="none" w:sz="0" w:space="0" w:color="auto"/>
        <w:bottom w:val="none" w:sz="0" w:space="0" w:color="auto"/>
        <w:right w:val="none" w:sz="0" w:space="0" w:color="auto"/>
      </w:divBdr>
      <w:divsChild>
        <w:div w:id="28145141">
          <w:marLeft w:val="0"/>
          <w:marRight w:val="0"/>
          <w:marTop w:val="240"/>
          <w:marBottom w:val="0"/>
          <w:divBdr>
            <w:top w:val="none" w:sz="0" w:space="0" w:color="auto"/>
            <w:left w:val="none" w:sz="0" w:space="0" w:color="auto"/>
            <w:bottom w:val="none" w:sz="0" w:space="0" w:color="auto"/>
            <w:right w:val="none" w:sz="0" w:space="0" w:color="auto"/>
          </w:divBdr>
        </w:div>
        <w:div w:id="1470047754">
          <w:marLeft w:val="0"/>
          <w:marRight w:val="0"/>
          <w:marTop w:val="120"/>
          <w:marBottom w:val="0"/>
          <w:divBdr>
            <w:top w:val="none" w:sz="0" w:space="0" w:color="auto"/>
            <w:left w:val="none" w:sz="0" w:space="0" w:color="auto"/>
            <w:bottom w:val="none" w:sz="0" w:space="0" w:color="auto"/>
            <w:right w:val="none" w:sz="0" w:space="0" w:color="auto"/>
          </w:divBdr>
        </w:div>
      </w:divsChild>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2014v1SApg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6CD64-7E97-445D-B5D1-4D5917D1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3</TotalTime>
  <Pages>11</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5</cp:revision>
  <cp:lastPrinted>2023-05-21T11:23:00Z</cp:lastPrinted>
  <dcterms:created xsi:type="dcterms:W3CDTF">2023-05-25T10:31:00Z</dcterms:created>
  <dcterms:modified xsi:type="dcterms:W3CDTF">2023-05-25T10:34:00Z</dcterms:modified>
</cp:coreProperties>
</file>