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97F48" w14:textId="77777777" w:rsidR="00D202C2" w:rsidRPr="00671349" w:rsidRDefault="007D51E5" w:rsidP="00B928FE">
      <w:pPr>
        <w:spacing w:before="240" w:after="120" w:line="360" w:lineRule="auto"/>
        <w:jc w:val="center"/>
        <w:rPr>
          <w:rFonts w:ascii="Arial" w:hAnsi="Arial" w:cs="Arial"/>
          <w:sz w:val="24"/>
          <w:szCs w:val="24"/>
        </w:rPr>
      </w:pPr>
      <w:bookmarkStart w:id="0" w:name="_GoBack"/>
      <w:bookmarkEnd w:id="0"/>
      <w:r w:rsidRPr="00671349">
        <w:rPr>
          <w:rFonts w:ascii="Arial" w:hAnsi="Arial" w:cs="Arial"/>
          <w:noProof/>
          <w:sz w:val="24"/>
          <w:szCs w:val="24"/>
          <w:lang w:val="en-US"/>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5CF6F078" w:rsidR="00D202C2" w:rsidRDefault="00D202C2" w:rsidP="00B928FE">
      <w:pPr>
        <w:autoSpaceDE w:val="0"/>
        <w:autoSpaceDN w:val="0"/>
        <w:adjustRightInd w:val="0"/>
        <w:spacing w:before="240" w:after="120" w:line="360" w:lineRule="auto"/>
        <w:ind w:left="720"/>
        <w:jc w:val="right"/>
        <w:rPr>
          <w:rFonts w:ascii="Arial" w:hAnsi="Arial" w:cs="Arial"/>
          <w:sz w:val="24"/>
          <w:szCs w:val="24"/>
        </w:rPr>
      </w:pPr>
      <w:r w:rsidRPr="00671349">
        <w:rPr>
          <w:rFonts w:ascii="Arial" w:hAnsi="Arial" w:cs="Arial"/>
          <w:sz w:val="24"/>
          <w:szCs w:val="24"/>
        </w:rPr>
        <w:t xml:space="preserve">Case no: </w:t>
      </w:r>
      <w:r w:rsidR="00D478DC">
        <w:rPr>
          <w:rFonts w:ascii="Arial" w:hAnsi="Arial" w:cs="Arial"/>
          <w:sz w:val="24"/>
          <w:szCs w:val="24"/>
        </w:rPr>
        <w:t>A3066</w:t>
      </w:r>
      <w:r w:rsidR="00155545">
        <w:rPr>
          <w:rFonts w:ascii="Arial" w:hAnsi="Arial" w:cs="Arial"/>
          <w:sz w:val="24"/>
          <w:szCs w:val="24"/>
        </w:rPr>
        <w:t>/</w:t>
      </w:r>
      <w:r w:rsidR="002A5F1F">
        <w:rPr>
          <w:rFonts w:ascii="Arial" w:hAnsi="Arial" w:cs="Arial"/>
          <w:sz w:val="24"/>
          <w:szCs w:val="24"/>
        </w:rPr>
        <w:t>202</w:t>
      </w:r>
      <w:r w:rsidR="00D478DC">
        <w:rPr>
          <w:rFonts w:ascii="Arial" w:hAnsi="Arial" w:cs="Arial"/>
          <w:sz w:val="24"/>
          <w:szCs w:val="24"/>
        </w:rPr>
        <w:t>1</w:t>
      </w:r>
    </w:p>
    <w:p w14:paraId="50821842" w14:textId="77777777" w:rsidR="007D51E5" w:rsidRPr="00671349" w:rsidRDefault="007D51E5"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noProof/>
          <w:sz w:val="24"/>
          <w:szCs w:val="24"/>
          <w:lang w:val="en-US"/>
        </w:rPr>
        <mc:AlternateContent>
          <mc:Choice Requires="wps">
            <w:drawing>
              <wp:inline distT="0" distB="0" distL="0" distR="0" wp14:anchorId="354FFED0" wp14:editId="4E369F36">
                <wp:extent cx="3314700" cy="1377538"/>
                <wp:effectExtent l="0" t="0" r="1905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7538"/>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6BA478A3"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REPORTABLE:  </w:t>
                            </w:r>
                            <w:r w:rsidR="00683640">
                              <w:rPr>
                                <w:rFonts w:ascii="Century Gothic" w:hAnsi="Century Gothic"/>
                                <w:sz w:val="20"/>
                                <w:szCs w:val="20"/>
                              </w:rPr>
                              <w:t>YES / NO</w:t>
                            </w:r>
                          </w:p>
                          <w:p w14:paraId="3BA0F62E" w14:textId="6EABB35C"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00E9557D">
                              <w:rPr>
                                <w:rFonts w:ascii="Century Gothic" w:hAnsi="Century Gothic"/>
                                <w:sz w:val="20"/>
                                <w:szCs w:val="20"/>
                              </w:rPr>
                              <w:t>YES / NO</w:t>
                            </w:r>
                          </w:p>
                          <w:p w14:paraId="29110CF7" w14:textId="77777777"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186300D5" w14:textId="51BD3DF0" w:rsidR="00EF5B40" w:rsidRDefault="00FC0780" w:rsidP="00EF5B40">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EF5B40" w:rsidRPr="00FE508D">
                              <w:rPr>
                                <w:rFonts w:ascii="Century Gothic" w:hAnsi="Century Gothic"/>
                                <w:b/>
                                <w:sz w:val="18"/>
                                <w:szCs w:val="18"/>
                              </w:rPr>
                              <w:t xml:space="preserve">Date: </w:t>
                            </w:r>
                            <w:r w:rsidR="00EF5B40">
                              <w:rPr>
                                <w:rFonts w:ascii="Century Gothic" w:hAnsi="Century Gothic"/>
                                <w:b/>
                                <w:sz w:val="18"/>
                                <w:szCs w:val="18"/>
                              </w:rPr>
                              <w:t>2</w:t>
                            </w:r>
                            <w:r w:rsidR="00662AF1">
                              <w:rPr>
                                <w:rFonts w:ascii="Century Gothic" w:hAnsi="Century Gothic"/>
                                <w:b/>
                                <w:sz w:val="18"/>
                                <w:szCs w:val="18"/>
                              </w:rPr>
                              <w:t>3</w:t>
                            </w:r>
                            <w:r w:rsidR="00EF5B40">
                              <w:rPr>
                                <w:rFonts w:ascii="Century Gothic" w:hAnsi="Century Gothic"/>
                                <w:b/>
                                <w:sz w:val="18"/>
                                <w:szCs w:val="18"/>
                              </w:rPr>
                              <w:t xml:space="preserve"> May </w:t>
                            </w:r>
                            <w:r w:rsidR="00EF5B40" w:rsidRPr="00FE508D">
                              <w:rPr>
                                <w:rFonts w:ascii="Century Gothic" w:hAnsi="Century Gothic"/>
                                <w:b/>
                                <w:sz w:val="18"/>
                                <w:szCs w:val="18"/>
                              </w:rPr>
                              <w:t>202</w:t>
                            </w:r>
                            <w:r w:rsidR="00683640">
                              <w:rPr>
                                <w:rFonts w:ascii="Century Gothic" w:hAnsi="Century Gothic"/>
                                <w:b/>
                                <w:sz w:val="18"/>
                                <w:szCs w:val="18"/>
                              </w:rPr>
                              <w:t>3</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54FFED0" id="_x0000_t202" coordsize="21600,21600" o:spt="202" path="m,l,21600r21600,l21600,xe">
                <v:stroke joinstyle="miter"/>
                <v:path gradientshapeok="t" o:connecttype="rect"/>
              </v:shapetype>
              <v:shape id="Text Box 1" o:spid="_x0000_s1026" type="#_x0000_t202" style="width:261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">
                <v:textbox>
                  <w:txbxContent>
                    <w:p w14:paraId="56016463" w14:textId="77777777" w:rsidR="00FC0780" w:rsidRDefault="00FC0780" w:rsidP="007D51E5">
                      <w:pPr>
                        <w:jc w:val="center"/>
                        <w:rPr>
                          <w:rFonts w:ascii="Century Gothic" w:hAnsi="Century Gothic"/>
                          <w:b/>
                          <w:sz w:val="20"/>
                          <w:szCs w:val="20"/>
                        </w:rPr>
                      </w:pPr>
                    </w:p>
                    <w:p w14:paraId="0E750DD9" w14:textId="6BA478A3"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REPORTABLE:  </w:t>
                      </w:r>
                      <w:r w:rsidR="00683640">
                        <w:rPr>
                          <w:rFonts w:ascii="Century Gothic" w:hAnsi="Century Gothic"/>
                          <w:sz w:val="20"/>
                          <w:szCs w:val="20"/>
                        </w:rPr>
                        <w:t>YES / NO</w:t>
                      </w:r>
                    </w:p>
                    <w:p w14:paraId="3BA0F62E" w14:textId="6EABB35C"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OF INTEREST TO OTHER JUDGES: </w:t>
                      </w:r>
                      <w:r w:rsidR="00E9557D">
                        <w:rPr>
                          <w:rFonts w:ascii="Century Gothic" w:hAnsi="Century Gothic"/>
                          <w:sz w:val="20"/>
                          <w:szCs w:val="20"/>
                        </w:rPr>
                        <w:t>YES / NO</w:t>
                      </w:r>
                    </w:p>
                    <w:p w14:paraId="29110CF7" w14:textId="77777777" w:rsidR="00FC0780" w:rsidRDefault="00FC0780" w:rsidP="007D51E5">
                      <w:pPr>
                        <w:numPr>
                          <w:ilvl w:val="0"/>
                          <w:numId w:val="36"/>
                        </w:numPr>
                        <w:spacing w:line="240" w:lineRule="auto"/>
                        <w:jc w:val="left"/>
                        <w:rPr>
                          <w:rFonts w:ascii="Century Gothic" w:hAnsi="Century Gothic"/>
                          <w:sz w:val="20"/>
                          <w:szCs w:val="20"/>
                        </w:rPr>
                      </w:pPr>
                      <w:r>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186300D5" w14:textId="51BD3DF0" w:rsidR="00EF5B40" w:rsidRDefault="00FC0780" w:rsidP="00EF5B40">
                      <w:pPr>
                        <w:rPr>
                          <w:rFonts w:ascii="Century Gothic" w:hAnsi="Century Gothic"/>
                          <w:b/>
                          <w:sz w:val="18"/>
                          <w:szCs w:val="18"/>
                        </w:rPr>
                      </w:pPr>
                      <w:r>
                        <w:rPr>
                          <w:rFonts w:ascii="Century Gothic" w:hAnsi="Century Gothic"/>
                          <w:b/>
                          <w:sz w:val="18"/>
                          <w:szCs w:val="18"/>
                        </w:rPr>
                        <w:t xml:space="preserve"> </w:t>
                      </w:r>
                      <w:r w:rsidR="00BD1B12">
                        <w:rPr>
                          <w:rFonts w:ascii="Century Gothic" w:hAnsi="Century Gothic"/>
                          <w:b/>
                          <w:sz w:val="18"/>
                          <w:szCs w:val="18"/>
                        </w:rPr>
                        <w:t xml:space="preserve"> </w:t>
                      </w:r>
                      <w:r w:rsidR="00BD1B12" w:rsidRPr="00FE508D">
                        <w:rPr>
                          <w:rFonts w:ascii="Century Gothic" w:hAnsi="Century Gothic"/>
                          <w:b/>
                          <w:sz w:val="18"/>
                          <w:szCs w:val="18"/>
                        </w:rPr>
                        <w:t>Signed: …………………</w:t>
                      </w:r>
                      <w:r w:rsidR="00BD1B12">
                        <w:rPr>
                          <w:rFonts w:ascii="Century Gothic" w:hAnsi="Century Gothic"/>
                          <w:b/>
                          <w:sz w:val="18"/>
                          <w:szCs w:val="18"/>
                        </w:rPr>
                        <w:t xml:space="preserve">…..     </w:t>
                      </w:r>
                      <w:r w:rsidR="00EF5B40" w:rsidRPr="00FE508D">
                        <w:rPr>
                          <w:rFonts w:ascii="Century Gothic" w:hAnsi="Century Gothic"/>
                          <w:b/>
                          <w:sz w:val="18"/>
                          <w:szCs w:val="18"/>
                        </w:rPr>
                        <w:t xml:space="preserve">Date: </w:t>
                      </w:r>
                      <w:r w:rsidR="00EF5B40">
                        <w:rPr>
                          <w:rFonts w:ascii="Century Gothic" w:hAnsi="Century Gothic"/>
                          <w:b/>
                          <w:sz w:val="18"/>
                          <w:szCs w:val="18"/>
                        </w:rPr>
                        <w:t>2</w:t>
                      </w:r>
                      <w:r w:rsidR="00662AF1">
                        <w:rPr>
                          <w:rFonts w:ascii="Century Gothic" w:hAnsi="Century Gothic"/>
                          <w:b/>
                          <w:sz w:val="18"/>
                          <w:szCs w:val="18"/>
                        </w:rPr>
                        <w:t>3</w:t>
                      </w:r>
                      <w:r w:rsidR="00EF5B40">
                        <w:rPr>
                          <w:rFonts w:ascii="Century Gothic" w:hAnsi="Century Gothic"/>
                          <w:b/>
                          <w:sz w:val="18"/>
                          <w:szCs w:val="18"/>
                        </w:rPr>
                        <w:t xml:space="preserve"> May </w:t>
                      </w:r>
                      <w:r w:rsidR="00EF5B40" w:rsidRPr="00FE508D">
                        <w:rPr>
                          <w:rFonts w:ascii="Century Gothic" w:hAnsi="Century Gothic"/>
                          <w:b/>
                          <w:sz w:val="18"/>
                          <w:szCs w:val="18"/>
                        </w:rPr>
                        <w:t>202</w:t>
                      </w:r>
                      <w:r w:rsidR="00683640">
                        <w:rPr>
                          <w:rFonts w:ascii="Century Gothic" w:hAnsi="Century Gothic"/>
                          <w:b/>
                          <w:sz w:val="18"/>
                          <w:szCs w:val="18"/>
                        </w:rPr>
                        <w:t>3</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22C166E9" w:rsidR="00D202C2" w:rsidRPr="00671349" w:rsidRDefault="00331526" w:rsidP="00D22617">
      <w:pPr>
        <w:pStyle w:val="NoSpacing"/>
        <w:tabs>
          <w:tab w:val="left" w:pos="720"/>
          <w:tab w:val="left" w:pos="1440"/>
          <w:tab w:val="left" w:pos="2160"/>
          <w:tab w:val="right" w:pos="9050"/>
        </w:tabs>
        <w:spacing w:after="240" w:line="360" w:lineRule="auto"/>
        <w:rPr>
          <w:rFonts w:ascii="Arial" w:hAnsi="Arial"/>
          <w:b/>
          <w:bCs/>
          <w:sz w:val="24"/>
          <w:szCs w:val="24"/>
        </w:rPr>
      </w:pPr>
      <w:r>
        <w:rPr>
          <w:rFonts w:ascii="Arial" w:hAnsi="Arial"/>
          <w:b/>
          <w:sz w:val="24"/>
          <w:szCs w:val="24"/>
        </w:rPr>
        <w:t>DO IT ALL RENOVATORS CC</w:t>
      </w:r>
      <w:r w:rsidR="00E970E4">
        <w:rPr>
          <w:rFonts w:ascii="Arial" w:hAnsi="Arial"/>
          <w:b/>
          <w:sz w:val="24"/>
          <w:szCs w:val="24"/>
        </w:rPr>
        <w:tab/>
      </w:r>
      <w:r w:rsidR="00D478DC">
        <w:rPr>
          <w:rFonts w:ascii="Arial" w:hAnsi="Arial"/>
          <w:bCs/>
          <w:sz w:val="24"/>
          <w:szCs w:val="24"/>
        </w:rPr>
        <w:t>Appellant</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302B60B2" w:rsidR="00D202C2" w:rsidRDefault="00DF4039" w:rsidP="00D22617">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u w:val="single"/>
        </w:rPr>
        <w:t>KAPP</w:t>
      </w:r>
      <w:r w:rsidR="002A5F1F">
        <w:rPr>
          <w:rFonts w:ascii="Arial" w:hAnsi="Arial" w:cs="Arial"/>
          <w:b/>
          <w:sz w:val="24"/>
          <w:szCs w:val="24"/>
        </w:rPr>
        <w:t xml:space="preserve">, </w:t>
      </w:r>
      <w:r>
        <w:rPr>
          <w:rFonts w:ascii="Arial" w:hAnsi="Arial" w:cs="Arial"/>
          <w:b/>
          <w:sz w:val="24"/>
          <w:szCs w:val="24"/>
        </w:rPr>
        <w:t>MARTHINUS JOHANNES</w:t>
      </w:r>
      <w:r w:rsidR="00D202C2" w:rsidRPr="00671349">
        <w:rPr>
          <w:rFonts w:ascii="Arial" w:hAnsi="Arial" w:cs="Arial"/>
          <w:b/>
          <w:bCs/>
          <w:sz w:val="24"/>
          <w:szCs w:val="24"/>
        </w:rPr>
        <w:tab/>
      </w:r>
      <w:r w:rsidR="00D478DC">
        <w:rPr>
          <w:rFonts w:ascii="Arial" w:hAnsi="Arial" w:cs="Arial"/>
          <w:sz w:val="24"/>
          <w:szCs w:val="24"/>
        </w:rPr>
        <w:t>Respondent</w:t>
      </w:r>
    </w:p>
    <w:p w14:paraId="0B8E08EE" w14:textId="77777777" w:rsidR="00F774FF" w:rsidRDefault="00F774FF" w:rsidP="00F774FF">
      <w:pPr>
        <w:tabs>
          <w:tab w:val="left" w:pos="0"/>
          <w:tab w:val="right" w:pos="8505"/>
        </w:tabs>
        <w:autoSpaceDE w:val="0"/>
        <w:autoSpaceDN w:val="0"/>
        <w:adjustRightInd w:val="0"/>
        <w:spacing w:line="240" w:lineRule="auto"/>
        <w:rPr>
          <w:rFonts w:ascii="Arial" w:hAnsi="Arial"/>
          <w:b/>
          <w:bCs/>
          <w:sz w:val="24"/>
          <w:szCs w:val="24"/>
          <w:lang w:val="en-GB"/>
        </w:rPr>
      </w:pPr>
    </w:p>
    <w:p w14:paraId="0203B1A3" w14:textId="22ADB8DA" w:rsidR="00237B32" w:rsidRPr="00237B32" w:rsidRDefault="00237B32" w:rsidP="00F774FF">
      <w:pPr>
        <w:tabs>
          <w:tab w:val="left" w:pos="0"/>
          <w:tab w:val="right" w:pos="8505"/>
        </w:tabs>
        <w:autoSpaceDE w:val="0"/>
        <w:autoSpaceDN w:val="0"/>
        <w:adjustRightInd w:val="0"/>
        <w:spacing w:line="240" w:lineRule="auto"/>
        <w:rPr>
          <w:rFonts w:ascii="Arial" w:hAnsi="Arial"/>
          <w:b/>
          <w:bCs/>
          <w:sz w:val="24"/>
          <w:szCs w:val="24"/>
          <w:lang w:val="en-GB"/>
        </w:rPr>
      </w:pPr>
      <w:r w:rsidRPr="00237B32">
        <w:rPr>
          <w:rFonts w:ascii="Arial" w:hAnsi="Arial"/>
          <w:sz w:val="24"/>
          <w:szCs w:val="24"/>
          <w:u w:val="single"/>
          <w:lang w:val="en-GB"/>
        </w:rPr>
        <w:t>Coram</w:t>
      </w:r>
      <w:r w:rsidRPr="00237B32">
        <w:rPr>
          <w:rFonts w:ascii="Arial" w:hAnsi="Arial"/>
          <w:sz w:val="24"/>
          <w:szCs w:val="24"/>
          <w:lang w:val="en-GB"/>
        </w:rPr>
        <w:t xml:space="preserve">: Fisher J </w:t>
      </w:r>
      <w:r w:rsidRPr="00237B32">
        <w:rPr>
          <w:rFonts w:ascii="Arial" w:hAnsi="Arial"/>
          <w:i/>
          <w:iCs/>
          <w:sz w:val="24"/>
          <w:szCs w:val="24"/>
          <w:lang w:val="en-GB"/>
        </w:rPr>
        <w:t>et</w:t>
      </w:r>
      <w:r>
        <w:rPr>
          <w:rFonts w:ascii="Arial" w:hAnsi="Arial"/>
          <w:sz w:val="24"/>
          <w:szCs w:val="24"/>
          <w:lang w:val="en-GB"/>
        </w:rPr>
        <w:t xml:space="preserve"> </w:t>
      </w:r>
      <w:r w:rsidRPr="00237B32">
        <w:rPr>
          <w:rFonts w:ascii="Arial" w:hAnsi="Arial"/>
          <w:sz w:val="24"/>
          <w:szCs w:val="24"/>
          <w:lang w:val="en-GB"/>
        </w:rPr>
        <w:t>Moultrie AJ</w:t>
      </w:r>
    </w:p>
    <w:p w14:paraId="289BA188" w14:textId="77777777" w:rsidR="00237B32" w:rsidRDefault="00237B32" w:rsidP="00F774FF">
      <w:pPr>
        <w:tabs>
          <w:tab w:val="left" w:pos="0"/>
          <w:tab w:val="right" w:pos="8505"/>
        </w:tabs>
        <w:autoSpaceDE w:val="0"/>
        <w:autoSpaceDN w:val="0"/>
        <w:adjustRightInd w:val="0"/>
        <w:spacing w:line="240" w:lineRule="auto"/>
        <w:rPr>
          <w:rFonts w:ascii="Arial" w:hAnsi="Arial"/>
          <w:b/>
          <w:bCs/>
          <w:sz w:val="24"/>
          <w:szCs w:val="24"/>
          <w:lang w:val="en-GB"/>
        </w:rPr>
      </w:pPr>
    </w:p>
    <w:p w14:paraId="0A2328C6" w14:textId="37E38CD2" w:rsidR="00F774FF" w:rsidRPr="00342EB4" w:rsidRDefault="00F774FF" w:rsidP="00F774FF">
      <w:pPr>
        <w:tabs>
          <w:tab w:val="left" w:pos="0"/>
          <w:tab w:val="right" w:pos="8505"/>
        </w:tabs>
        <w:autoSpaceDE w:val="0"/>
        <w:autoSpaceDN w:val="0"/>
        <w:adjustRightInd w:val="0"/>
        <w:spacing w:line="240" w:lineRule="auto"/>
        <w:rPr>
          <w:rFonts w:ascii="Arial" w:hAnsi="Arial"/>
          <w:bCs/>
          <w:sz w:val="24"/>
          <w:szCs w:val="24"/>
          <w:lang w:val="en-GB"/>
        </w:rPr>
      </w:pPr>
      <w:r w:rsidRPr="00E25AFD">
        <w:rPr>
          <w:rFonts w:ascii="Arial" w:hAnsi="Arial"/>
          <w:b/>
          <w:bCs/>
          <w:sz w:val="24"/>
          <w:szCs w:val="24"/>
          <w:lang w:val="en-GB"/>
        </w:rPr>
        <w:t xml:space="preserve">NEUTRAL CITATION: </w:t>
      </w:r>
      <w:r w:rsidR="00D478DC">
        <w:rPr>
          <w:rFonts w:ascii="Arial" w:hAnsi="Arial"/>
          <w:bCs/>
          <w:i/>
          <w:sz w:val="24"/>
          <w:szCs w:val="24"/>
          <w:lang w:val="en-GB"/>
        </w:rPr>
        <w:t>Do it All Renovators</w:t>
      </w:r>
      <w:r w:rsidR="00727051">
        <w:rPr>
          <w:rFonts w:ascii="Arial" w:hAnsi="Arial"/>
          <w:bCs/>
          <w:i/>
          <w:sz w:val="24"/>
          <w:szCs w:val="24"/>
          <w:lang w:val="en-GB"/>
        </w:rPr>
        <w:t xml:space="preserve"> </w:t>
      </w:r>
      <w:r w:rsidRPr="00E25AFD">
        <w:rPr>
          <w:rFonts w:ascii="Arial" w:hAnsi="Arial"/>
          <w:bCs/>
          <w:i/>
          <w:sz w:val="24"/>
          <w:szCs w:val="24"/>
          <w:lang w:val="en-GB"/>
        </w:rPr>
        <w:t xml:space="preserve">v </w:t>
      </w:r>
      <w:r w:rsidR="00D478DC">
        <w:rPr>
          <w:rFonts w:ascii="Arial" w:hAnsi="Arial"/>
          <w:bCs/>
          <w:i/>
          <w:sz w:val="24"/>
          <w:szCs w:val="24"/>
          <w:lang w:val="en-GB"/>
        </w:rPr>
        <w:t xml:space="preserve">Kapp </w:t>
      </w:r>
      <w:r w:rsidRPr="00E25AFD">
        <w:rPr>
          <w:rFonts w:ascii="Arial" w:hAnsi="Arial"/>
          <w:bCs/>
          <w:sz w:val="24"/>
          <w:szCs w:val="24"/>
          <w:lang w:val="en-GB"/>
        </w:rPr>
        <w:t xml:space="preserve">(Case No: </w:t>
      </w:r>
      <w:r w:rsidR="00D478DC">
        <w:rPr>
          <w:rFonts w:ascii="Arial" w:hAnsi="Arial"/>
          <w:bCs/>
          <w:sz w:val="24"/>
          <w:szCs w:val="24"/>
          <w:lang w:val="en-GB"/>
        </w:rPr>
        <w:t>A3066</w:t>
      </w:r>
      <w:r>
        <w:rPr>
          <w:rFonts w:ascii="Arial" w:hAnsi="Arial"/>
          <w:bCs/>
          <w:sz w:val="24"/>
          <w:szCs w:val="24"/>
          <w:lang w:val="en-GB"/>
        </w:rPr>
        <w:t>/202</w:t>
      </w:r>
      <w:r w:rsidR="00D478DC">
        <w:rPr>
          <w:rFonts w:ascii="Arial" w:hAnsi="Arial"/>
          <w:bCs/>
          <w:sz w:val="24"/>
          <w:szCs w:val="24"/>
          <w:lang w:val="en-GB"/>
        </w:rPr>
        <w:t>2</w:t>
      </w:r>
      <w:r>
        <w:rPr>
          <w:rFonts w:ascii="Arial" w:hAnsi="Arial"/>
          <w:bCs/>
          <w:sz w:val="24"/>
          <w:szCs w:val="24"/>
          <w:lang w:val="en-GB"/>
        </w:rPr>
        <w:t xml:space="preserve">) [2023] ZAGP </w:t>
      </w:r>
      <w:r w:rsidRPr="00973771">
        <w:rPr>
          <w:rFonts w:ascii="Arial" w:hAnsi="Arial"/>
          <w:bCs/>
          <w:sz w:val="24"/>
          <w:szCs w:val="24"/>
          <w:lang w:val="en-GB"/>
        </w:rPr>
        <w:t>JHC</w:t>
      </w:r>
      <w:r w:rsidR="004070ED" w:rsidRPr="00973771">
        <w:t xml:space="preserve"> </w:t>
      </w:r>
      <w:r w:rsidR="004070ED" w:rsidRPr="00973771">
        <w:rPr>
          <w:rFonts w:ascii="Arial" w:hAnsi="Arial" w:cs="Arial"/>
          <w:sz w:val="24"/>
          <w:szCs w:val="24"/>
        </w:rPr>
        <w:t>548</w:t>
      </w:r>
      <w:r w:rsidR="004070ED" w:rsidRPr="00973771">
        <w:rPr>
          <w:rFonts w:ascii="Arial" w:hAnsi="Arial" w:cs="Arial"/>
          <w:bCs/>
          <w:sz w:val="24"/>
          <w:szCs w:val="24"/>
          <w:lang w:val="en-GB"/>
        </w:rPr>
        <w:t xml:space="preserve"> </w:t>
      </w:r>
      <w:r>
        <w:rPr>
          <w:rFonts w:ascii="Arial" w:hAnsi="Arial"/>
          <w:bCs/>
          <w:sz w:val="24"/>
          <w:szCs w:val="24"/>
          <w:lang w:val="en-GB"/>
        </w:rPr>
        <w:t>(</w:t>
      </w:r>
      <w:r w:rsidR="00EF5B40">
        <w:rPr>
          <w:rFonts w:ascii="Arial" w:hAnsi="Arial"/>
          <w:bCs/>
          <w:sz w:val="24"/>
          <w:szCs w:val="24"/>
          <w:lang w:val="en-GB"/>
        </w:rPr>
        <w:t>2</w:t>
      </w:r>
      <w:r w:rsidR="00662AF1">
        <w:rPr>
          <w:rFonts w:ascii="Arial" w:hAnsi="Arial"/>
          <w:bCs/>
          <w:sz w:val="24"/>
          <w:szCs w:val="24"/>
          <w:lang w:val="en-GB"/>
        </w:rPr>
        <w:t>3</w:t>
      </w:r>
      <w:r w:rsidRPr="00E25AFD">
        <w:rPr>
          <w:rFonts w:ascii="Arial" w:hAnsi="Arial"/>
          <w:bCs/>
          <w:sz w:val="24"/>
          <w:szCs w:val="24"/>
          <w:lang w:val="en-GB"/>
        </w:rPr>
        <w:t xml:space="preserve"> </w:t>
      </w:r>
      <w:r>
        <w:rPr>
          <w:rFonts w:ascii="Arial" w:hAnsi="Arial"/>
          <w:bCs/>
          <w:sz w:val="24"/>
          <w:szCs w:val="24"/>
          <w:lang w:val="en-GB"/>
        </w:rPr>
        <w:t xml:space="preserve">May </w:t>
      </w:r>
      <w:r w:rsidRPr="00E25AFD">
        <w:rPr>
          <w:rFonts w:ascii="Arial" w:hAnsi="Arial"/>
          <w:bCs/>
          <w:sz w:val="24"/>
          <w:szCs w:val="24"/>
          <w:lang w:val="en-GB"/>
        </w:rPr>
        <w:t>2023)</w:t>
      </w:r>
    </w:p>
    <w:p w14:paraId="6B75B693" w14:textId="77777777" w:rsidR="00B928FE" w:rsidRPr="00671349" w:rsidRDefault="00B928FE" w:rsidP="00B928FE">
      <w:pPr>
        <w:autoSpaceDE w:val="0"/>
        <w:autoSpaceDN w:val="0"/>
        <w:adjustRightInd w:val="0"/>
        <w:spacing w:before="240"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1DEA2455" w14:textId="5958F469" w:rsidR="00D202C2" w:rsidRPr="00671349" w:rsidRDefault="00D202C2" w:rsidP="00B928FE">
      <w:pPr>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77777777" w:rsidR="00B928FE" w:rsidRPr="00671349" w:rsidRDefault="00B928FE" w:rsidP="00001F4A">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___________________________________________________________________</w:t>
      </w:r>
    </w:p>
    <w:p w14:paraId="6976711F" w14:textId="0DAFE108" w:rsidR="00F774FF" w:rsidRPr="00E25AFD" w:rsidRDefault="00F774FF" w:rsidP="00F774FF">
      <w:pPr>
        <w:tabs>
          <w:tab w:val="left" w:pos="0"/>
          <w:tab w:val="right" w:pos="9070"/>
        </w:tabs>
        <w:autoSpaceDE w:val="0"/>
        <w:autoSpaceDN w:val="0"/>
        <w:adjustRightInd w:val="0"/>
        <w:spacing w:before="240" w:after="120" w:line="360" w:lineRule="auto"/>
        <w:rPr>
          <w:rFonts w:ascii="Arial" w:hAnsi="Arial" w:cs="Arial"/>
          <w:b/>
          <w:bCs/>
          <w:i/>
          <w:sz w:val="24"/>
          <w:szCs w:val="24"/>
          <w:lang w:val="en-GB"/>
        </w:rPr>
      </w:pPr>
      <w:r w:rsidRPr="00E25AFD">
        <w:rPr>
          <w:rFonts w:ascii="Arial" w:hAnsi="Arial" w:cs="Arial"/>
          <w:b/>
          <w:bCs/>
          <w:i/>
          <w:sz w:val="24"/>
          <w:szCs w:val="24"/>
          <w:u w:val="single"/>
          <w:lang w:val="en-GB"/>
        </w:rPr>
        <w:t>DELIVERED</w:t>
      </w:r>
      <w:r w:rsidRPr="00E25AFD">
        <w:rPr>
          <w:rFonts w:ascii="Arial" w:hAnsi="Arial" w:cs="Arial"/>
          <w:b/>
          <w:bCs/>
          <w:i/>
          <w:sz w:val="24"/>
          <w:szCs w:val="24"/>
          <w:lang w:val="en-GB"/>
        </w:rPr>
        <w:t xml:space="preserve">:  </w:t>
      </w:r>
      <w:r w:rsidRPr="002C68B1">
        <w:rPr>
          <w:rFonts w:ascii="Arial" w:hAnsi="Arial" w:cs="Arial"/>
          <w:i/>
          <w:sz w:val="24"/>
          <w:szCs w:val="24"/>
          <w:lang w:val="en-GB"/>
        </w:rPr>
        <w:t>This judgment was handed down electronically by circulation to the parties’ legal representatives by e</w:t>
      </w:r>
      <w:r w:rsidRPr="002C68B1">
        <w:rPr>
          <w:rFonts w:ascii="Arial" w:hAnsi="Arial" w:cs="Arial"/>
          <w:i/>
          <w:sz w:val="24"/>
          <w:szCs w:val="24"/>
          <w:lang w:val="en-GB"/>
        </w:rPr>
        <w:noBreakHyphen/>
        <w:t xml:space="preserve">mail and publication on CaseLines.  The date for hand-down is deemed to be </w:t>
      </w:r>
      <w:r w:rsidR="00054DB9">
        <w:rPr>
          <w:rFonts w:ascii="Arial" w:hAnsi="Arial" w:cs="Arial"/>
          <w:i/>
          <w:sz w:val="24"/>
          <w:szCs w:val="24"/>
          <w:lang w:val="en-GB"/>
        </w:rPr>
        <w:t xml:space="preserve">the </w:t>
      </w:r>
      <w:r w:rsidR="00D827ED">
        <w:rPr>
          <w:rFonts w:ascii="Arial" w:hAnsi="Arial" w:cs="Arial"/>
          <w:i/>
          <w:sz w:val="24"/>
          <w:szCs w:val="24"/>
          <w:lang w:val="en-GB"/>
        </w:rPr>
        <w:t>22</w:t>
      </w:r>
      <w:r w:rsidR="00727051">
        <w:rPr>
          <w:rFonts w:ascii="Arial" w:hAnsi="Arial" w:cs="Arial"/>
          <w:i/>
          <w:sz w:val="24"/>
          <w:szCs w:val="24"/>
          <w:lang w:val="en-GB"/>
        </w:rPr>
        <w:t xml:space="preserve"> </w:t>
      </w:r>
      <w:r>
        <w:rPr>
          <w:rFonts w:ascii="Arial" w:hAnsi="Arial" w:cs="Arial"/>
          <w:i/>
          <w:sz w:val="24"/>
          <w:szCs w:val="24"/>
          <w:lang w:val="en-GB"/>
        </w:rPr>
        <w:t xml:space="preserve">May </w:t>
      </w:r>
      <w:r w:rsidRPr="002C68B1">
        <w:rPr>
          <w:rFonts w:ascii="Arial" w:hAnsi="Arial" w:cs="Arial"/>
          <w:i/>
          <w:sz w:val="24"/>
          <w:szCs w:val="24"/>
          <w:lang w:val="en-GB"/>
        </w:rPr>
        <w:t>2023</w:t>
      </w:r>
      <w:r w:rsidRPr="00EF5B40">
        <w:rPr>
          <w:rFonts w:ascii="Arial" w:hAnsi="Arial" w:cs="Arial"/>
          <w:bCs/>
          <w:i/>
          <w:sz w:val="24"/>
          <w:szCs w:val="24"/>
          <w:lang w:val="en-GB"/>
        </w:rPr>
        <w:t>.</w:t>
      </w:r>
    </w:p>
    <w:p w14:paraId="736D3A2C" w14:textId="1E21DD24" w:rsidR="00D202C2" w:rsidRPr="00671349" w:rsidRDefault="003C4F1C" w:rsidP="00F774FF">
      <w:pPr>
        <w:keepNext/>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lastRenderedPageBreak/>
        <w:t>MOULTRIE</w:t>
      </w:r>
      <w:r w:rsidR="00D202C2" w:rsidRPr="00671349">
        <w:rPr>
          <w:rFonts w:ascii="Arial" w:hAnsi="Arial" w:cs="Arial"/>
          <w:b/>
          <w:sz w:val="24"/>
          <w:szCs w:val="24"/>
        </w:rPr>
        <w:t xml:space="preserve"> AJ</w:t>
      </w:r>
    </w:p>
    <w:p w14:paraId="10CC5FF3" w14:textId="4C0CB81F" w:rsidR="008727CA" w:rsidRPr="008727CA" w:rsidRDefault="00D478DC" w:rsidP="004C4A45">
      <w:pPr>
        <w:pStyle w:val="LC1"/>
        <w:rPr>
          <w:rFonts w:cs="Arial"/>
          <w:szCs w:val="24"/>
        </w:rPr>
      </w:pPr>
      <w:r w:rsidRPr="008727CA">
        <w:rPr>
          <w:rFonts w:cs="Arial"/>
          <w:szCs w:val="24"/>
        </w:rPr>
        <w:t xml:space="preserve">This is an appeal against </w:t>
      </w:r>
      <w:r w:rsidR="008727CA" w:rsidRPr="008727CA">
        <w:rPr>
          <w:rFonts w:cs="Arial"/>
          <w:szCs w:val="24"/>
        </w:rPr>
        <w:t xml:space="preserve">a decision of </w:t>
      </w:r>
      <w:r w:rsidRPr="008727CA">
        <w:rPr>
          <w:rFonts w:cs="Arial"/>
          <w:szCs w:val="24"/>
        </w:rPr>
        <w:t xml:space="preserve">the </w:t>
      </w:r>
      <w:r w:rsidR="00644946" w:rsidRPr="008727CA">
        <w:rPr>
          <w:rFonts w:cs="Arial"/>
          <w:szCs w:val="24"/>
        </w:rPr>
        <w:t xml:space="preserve">Regional </w:t>
      </w:r>
      <w:r w:rsidRPr="008727CA">
        <w:rPr>
          <w:rFonts w:cs="Arial"/>
          <w:szCs w:val="24"/>
        </w:rPr>
        <w:t>Magistrate</w:t>
      </w:r>
      <w:r w:rsidR="00E8410D">
        <w:rPr>
          <w:rFonts w:cs="Arial"/>
          <w:szCs w:val="24"/>
        </w:rPr>
        <w:t>,</w:t>
      </w:r>
      <w:r w:rsidR="00644946" w:rsidRPr="008727CA">
        <w:rPr>
          <w:rFonts w:cs="Arial"/>
          <w:szCs w:val="24"/>
        </w:rPr>
        <w:t xml:space="preserve"> </w:t>
      </w:r>
      <w:r w:rsidRPr="008727CA">
        <w:rPr>
          <w:rFonts w:cs="Arial"/>
          <w:szCs w:val="24"/>
        </w:rPr>
        <w:t>Roodepoort</w:t>
      </w:r>
      <w:r w:rsidR="00644946" w:rsidRPr="008727CA">
        <w:rPr>
          <w:rFonts w:cs="Arial"/>
          <w:szCs w:val="24"/>
        </w:rPr>
        <w:t xml:space="preserve"> </w:t>
      </w:r>
      <w:r w:rsidR="008727CA" w:rsidRPr="008727CA">
        <w:rPr>
          <w:rFonts w:cs="Arial"/>
          <w:szCs w:val="24"/>
        </w:rPr>
        <w:t xml:space="preserve">absolving the </w:t>
      </w:r>
      <w:r w:rsidR="00B26416">
        <w:rPr>
          <w:rFonts w:cs="Arial"/>
          <w:szCs w:val="24"/>
        </w:rPr>
        <w:t xml:space="preserve">respondent </w:t>
      </w:r>
      <w:r w:rsidR="008727CA" w:rsidRPr="008727CA">
        <w:rPr>
          <w:rFonts w:cs="Arial"/>
          <w:szCs w:val="24"/>
        </w:rPr>
        <w:t xml:space="preserve">from the instance </w:t>
      </w:r>
      <w:r w:rsidR="00644946" w:rsidRPr="008727CA">
        <w:rPr>
          <w:rFonts w:cs="Arial"/>
          <w:szCs w:val="24"/>
        </w:rPr>
        <w:t xml:space="preserve">in an action </w:t>
      </w:r>
      <w:r w:rsidR="00B26416">
        <w:rPr>
          <w:rFonts w:cs="Arial"/>
          <w:szCs w:val="24"/>
        </w:rPr>
        <w:t xml:space="preserve">instituted by the appellant </w:t>
      </w:r>
      <w:r w:rsidR="00644946" w:rsidRPr="008727CA">
        <w:rPr>
          <w:rFonts w:cs="Arial"/>
          <w:szCs w:val="24"/>
        </w:rPr>
        <w:t xml:space="preserve">for </w:t>
      </w:r>
      <w:r w:rsidR="00B26416">
        <w:rPr>
          <w:rFonts w:cs="Arial"/>
          <w:szCs w:val="24"/>
        </w:rPr>
        <w:t xml:space="preserve">payment of the sum of R369,147.58 </w:t>
      </w:r>
      <w:r w:rsidR="00E8410D">
        <w:rPr>
          <w:rFonts w:cs="Arial"/>
          <w:szCs w:val="24"/>
        </w:rPr>
        <w:t xml:space="preserve">which </w:t>
      </w:r>
      <w:r w:rsidR="00B26416">
        <w:rPr>
          <w:rFonts w:cs="Arial"/>
          <w:szCs w:val="24"/>
        </w:rPr>
        <w:t xml:space="preserve">the appellant claims to be </w:t>
      </w:r>
      <w:r w:rsidR="00364B2B">
        <w:rPr>
          <w:rFonts w:cs="Arial"/>
          <w:szCs w:val="24"/>
        </w:rPr>
        <w:t xml:space="preserve">owing for </w:t>
      </w:r>
      <w:r w:rsidR="000B1029">
        <w:rPr>
          <w:rFonts w:cs="Arial"/>
          <w:szCs w:val="24"/>
        </w:rPr>
        <w:t xml:space="preserve">certain building work performed by it in terms of </w:t>
      </w:r>
      <w:r w:rsidR="00B26416">
        <w:rPr>
          <w:rFonts w:cs="Arial"/>
          <w:szCs w:val="24"/>
        </w:rPr>
        <w:t xml:space="preserve">a contract </w:t>
      </w:r>
      <w:r w:rsidR="000B1029">
        <w:rPr>
          <w:rFonts w:cs="Arial"/>
          <w:szCs w:val="24"/>
        </w:rPr>
        <w:t xml:space="preserve">concluded with </w:t>
      </w:r>
      <w:r w:rsidR="00B26416">
        <w:rPr>
          <w:rFonts w:cs="Arial"/>
          <w:szCs w:val="24"/>
        </w:rPr>
        <w:t>the respondent</w:t>
      </w:r>
      <w:r w:rsidR="00E9254D">
        <w:rPr>
          <w:rFonts w:cs="Arial"/>
          <w:szCs w:val="24"/>
        </w:rPr>
        <w:t>.</w:t>
      </w:r>
      <w:r w:rsidR="008727CA" w:rsidRPr="008727CA">
        <w:rPr>
          <w:rFonts w:cs="Arial"/>
          <w:szCs w:val="24"/>
        </w:rPr>
        <w:t xml:space="preserve"> </w:t>
      </w:r>
      <w:r w:rsidR="00433D8B">
        <w:rPr>
          <w:rFonts w:cs="Arial"/>
          <w:szCs w:val="24"/>
        </w:rPr>
        <w:t>At the commencement of the trial, t</w:t>
      </w:r>
      <w:r w:rsidR="00433D8B" w:rsidRPr="008727CA">
        <w:rPr>
          <w:rFonts w:cs="Arial"/>
          <w:szCs w:val="24"/>
        </w:rPr>
        <w:t xml:space="preserve">he merits of the </w:t>
      </w:r>
      <w:r w:rsidR="00433D8B">
        <w:rPr>
          <w:rFonts w:cs="Arial"/>
          <w:szCs w:val="24"/>
        </w:rPr>
        <w:t xml:space="preserve">appellant’s </w:t>
      </w:r>
      <w:r w:rsidR="00433D8B" w:rsidRPr="008727CA">
        <w:rPr>
          <w:rFonts w:cs="Arial"/>
          <w:szCs w:val="24"/>
        </w:rPr>
        <w:t xml:space="preserve">action </w:t>
      </w:r>
      <w:r w:rsidR="00433D8B">
        <w:rPr>
          <w:rFonts w:cs="Arial"/>
          <w:szCs w:val="24"/>
        </w:rPr>
        <w:t xml:space="preserve">were separated </w:t>
      </w:r>
      <w:r w:rsidR="00433D8B" w:rsidRPr="008727CA">
        <w:rPr>
          <w:rFonts w:cs="Arial"/>
          <w:szCs w:val="24"/>
        </w:rPr>
        <w:t xml:space="preserve">from </w:t>
      </w:r>
      <w:r w:rsidR="00433D8B">
        <w:rPr>
          <w:rFonts w:cs="Arial"/>
          <w:szCs w:val="24"/>
        </w:rPr>
        <w:t xml:space="preserve">the issue of </w:t>
      </w:r>
      <w:r w:rsidR="00433D8B" w:rsidRPr="008727CA">
        <w:rPr>
          <w:rFonts w:cs="Arial"/>
          <w:szCs w:val="24"/>
        </w:rPr>
        <w:t>quantum</w:t>
      </w:r>
      <w:r w:rsidR="00433D8B">
        <w:rPr>
          <w:rFonts w:cs="Arial"/>
          <w:szCs w:val="24"/>
        </w:rPr>
        <w:t xml:space="preserve">, as </w:t>
      </w:r>
      <w:r w:rsidR="00E8410D">
        <w:rPr>
          <w:rFonts w:cs="Arial"/>
          <w:szCs w:val="24"/>
        </w:rPr>
        <w:t xml:space="preserve">was </w:t>
      </w:r>
      <w:r w:rsidR="00433D8B">
        <w:rPr>
          <w:rFonts w:cs="Arial"/>
          <w:szCs w:val="24"/>
        </w:rPr>
        <w:t xml:space="preserve">the respondent’s </w:t>
      </w:r>
      <w:r w:rsidR="008727CA" w:rsidRPr="008727CA">
        <w:rPr>
          <w:rFonts w:cs="Arial"/>
          <w:szCs w:val="24"/>
        </w:rPr>
        <w:t>counterclaim</w:t>
      </w:r>
      <w:r w:rsidR="008727CA">
        <w:rPr>
          <w:rFonts w:cs="Arial"/>
          <w:szCs w:val="24"/>
        </w:rPr>
        <w:t>.</w:t>
      </w:r>
    </w:p>
    <w:p w14:paraId="5CBEA64C" w14:textId="5E492C90" w:rsidR="00ED6258" w:rsidRPr="009B6191" w:rsidRDefault="007E008C" w:rsidP="00547685">
      <w:pPr>
        <w:pStyle w:val="LC1"/>
        <w:spacing w:after="120"/>
        <w:rPr>
          <w:rFonts w:cs="Arial"/>
          <w:szCs w:val="24"/>
        </w:rPr>
      </w:pPr>
      <w:r>
        <w:rPr>
          <w:rFonts w:cs="Arial"/>
          <w:szCs w:val="24"/>
        </w:rPr>
        <w:t xml:space="preserve">It is common cause </w:t>
      </w:r>
      <w:r w:rsidR="009B6191" w:rsidRPr="009B6191">
        <w:rPr>
          <w:rFonts w:cs="Arial"/>
          <w:szCs w:val="24"/>
        </w:rPr>
        <w:t xml:space="preserve">that </w:t>
      </w:r>
      <w:r w:rsidR="009B6191">
        <w:rPr>
          <w:rFonts w:cs="Arial"/>
          <w:szCs w:val="24"/>
        </w:rPr>
        <w:t>t</w:t>
      </w:r>
      <w:r w:rsidR="00E9254D" w:rsidRPr="009B6191">
        <w:rPr>
          <w:rFonts w:cs="Arial"/>
          <w:szCs w:val="24"/>
        </w:rPr>
        <w:t xml:space="preserve">he relationship between the parties arose </w:t>
      </w:r>
      <w:r w:rsidR="00B26416" w:rsidRPr="009B6191">
        <w:rPr>
          <w:rFonts w:cs="Arial"/>
          <w:szCs w:val="24"/>
        </w:rPr>
        <w:t xml:space="preserve">after </w:t>
      </w:r>
      <w:r w:rsidR="00E8410D" w:rsidRPr="009B6191">
        <w:rPr>
          <w:rFonts w:cs="Arial"/>
          <w:szCs w:val="24"/>
        </w:rPr>
        <w:t xml:space="preserve">a </w:t>
      </w:r>
      <w:r w:rsidR="00ED6258" w:rsidRPr="009B6191">
        <w:rPr>
          <w:rFonts w:cs="Arial"/>
          <w:szCs w:val="24"/>
        </w:rPr>
        <w:t xml:space="preserve">house </w:t>
      </w:r>
      <w:r w:rsidR="00E8410D" w:rsidRPr="009B6191">
        <w:rPr>
          <w:rFonts w:cs="Arial"/>
          <w:szCs w:val="24"/>
        </w:rPr>
        <w:t xml:space="preserve">that the </w:t>
      </w:r>
      <w:r w:rsidR="00017322" w:rsidRPr="009B6191">
        <w:rPr>
          <w:rFonts w:cs="Arial"/>
          <w:szCs w:val="24"/>
        </w:rPr>
        <w:t xml:space="preserve">respondent had purchased </w:t>
      </w:r>
      <w:r w:rsidR="00D27810">
        <w:rPr>
          <w:rFonts w:cs="Arial"/>
          <w:szCs w:val="24"/>
        </w:rPr>
        <w:t xml:space="preserve">and insured </w:t>
      </w:r>
      <w:r w:rsidR="00B34B60">
        <w:rPr>
          <w:rFonts w:cs="Arial"/>
          <w:szCs w:val="24"/>
        </w:rPr>
        <w:t xml:space="preserve">(but of which he had not yet taken transfer) </w:t>
      </w:r>
      <w:r w:rsidR="00E9254D" w:rsidRPr="009B6191">
        <w:rPr>
          <w:rFonts w:cs="Arial"/>
          <w:szCs w:val="24"/>
        </w:rPr>
        <w:t>in Noordhe</w:t>
      </w:r>
      <w:r w:rsidR="00B34B60">
        <w:rPr>
          <w:rFonts w:cs="Arial"/>
          <w:szCs w:val="24"/>
        </w:rPr>
        <w:t>u</w:t>
      </w:r>
      <w:r w:rsidR="00E9254D" w:rsidRPr="009B6191">
        <w:rPr>
          <w:rFonts w:cs="Arial"/>
          <w:szCs w:val="24"/>
        </w:rPr>
        <w:t>wel, Krugersdorp</w:t>
      </w:r>
      <w:r w:rsidR="00B26416" w:rsidRPr="009B6191">
        <w:rPr>
          <w:rFonts w:cs="Arial"/>
          <w:szCs w:val="24"/>
        </w:rPr>
        <w:t xml:space="preserve"> </w:t>
      </w:r>
      <w:r w:rsidR="00BE4E5C">
        <w:rPr>
          <w:rFonts w:cs="Arial"/>
          <w:szCs w:val="24"/>
        </w:rPr>
        <w:t xml:space="preserve">was </w:t>
      </w:r>
      <w:r w:rsidR="00E9254D" w:rsidRPr="009B6191">
        <w:rPr>
          <w:rFonts w:cs="Arial"/>
          <w:szCs w:val="24"/>
        </w:rPr>
        <w:t xml:space="preserve">severely damaged in a hailstorm on 28 November 2013. In seeking a </w:t>
      </w:r>
      <w:r w:rsidR="00B26416" w:rsidRPr="009B6191">
        <w:rPr>
          <w:rFonts w:cs="Arial"/>
          <w:szCs w:val="24"/>
        </w:rPr>
        <w:t xml:space="preserve">contractor </w:t>
      </w:r>
      <w:r w:rsidR="00E9254D" w:rsidRPr="009B6191">
        <w:rPr>
          <w:rFonts w:cs="Arial"/>
          <w:szCs w:val="24"/>
        </w:rPr>
        <w:t xml:space="preserve">to effect repairs, the respondent was </w:t>
      </w:r>
      <w:r w:rsidR="00433D8B" w:rsidRPr="009B6191">
        <w:rPr>
          <w:rFonts w:cs="Arial"/>
          <w:szCs w:val="24"/>
        </w:rPr>
        <w:t xml:space="preserve">introduced </w:t>
      </w:r>
      <w:r w:rsidR="00E9557D" w:rsidRPr="009B6191">
        <w:rPr>
          <w:rFonts w:cs="Arial"/>
          <w:szCs w:val="24"/>
        </w:rPr>
        <w:t xml:space="preserve">by a mutual acquaintance </w:t>
      </w:r>
      <w:r w:rsidR="00E9254D" w:rsidRPr="009B6191">
        <w:rPr>
          <w:rFonts w:cs="Arial"/>
          <w:szCs w:val="24"/>
        </w:rPr>
        <w:t xml:space="preserve">to </w:t>
      </w:r>
      <w:r>
        <w:rPr>
          <w:rFonts w:cs="Arial"/>
          <w:szCs w:val="24"/>
        </w:rPr>
        <w:t xml:space="preserve">Mr Engelbrecht, a representative of </w:t>
      </w:r>
      <w:r w:rsidR="00E9254D" w:rsidRPr="009B6191">
        <w:rPr>
          <w:rFonts w:cs="Arial"/>
          <w:szCs w:val="24"/>
        </w:rPr>
        <w:t xml:space="preserve">the appellant. </w:t>
      </w:r>
      <w:r w:rsidR="00E9254D" w:rsidRPr="009B6191">
        <w:rPr>
          <w:rFonts w:ascii="ArialMT" w:eastAsia="Cambria" w:hAnsi="ArialMT" w:cs="ArialMT"/>
        </w:rPr>
        <w:t>On the day after the storm, Engelbrecht</w:t>
      </w:r>
      <w:r w:rsidR="009B6191">
        <w:rPr>
          <w:rFonts w:ascii="ArialMT" w:eastAsia="Cambria" w:hAnsi="ArialMT" w:cs="ArialMT"/>
        </w:rPr>
        <w:t xml:space="preserve"> </w:t>
      </w:r>
      <w:r>
        <w:rPr>
          <w:rFonts w:ascii="ArialMT" w:eastAsia="Cambria" w:hAnsi="ArialMT" w:cs="ArialMT"/>
        </w:rPr>
        <w:t xml:space="preserve">and </w:t>
      </w:r>
      <w:r w:rsidR="009B6191">
        <w:rPr>
          <w:rFonts w:ascii="ArialMT" w:eastAsia="Cambria" w:hAnsi="ArialMT" w:cs="ArialMT"/>
        </w:rPr>
        <w:t xml:space="preserve">the respondent </w:t>
      </w:r>
      <w:r>
        <w:rPr>
          <w:rFonts w:ascii="ArialMT" w:eastAsia="Cambria" w:hAnsi="ArialMT" w:cs="ArialMT"/>
        </w:rPr>
        <w:t xml:space="preserve">met </w:t>
      </w:r>
      <w:r w:rsidR="00E9254D" w:rsidRPr="009B6191">
        <w:rPr>
          <w:rFonts w:ascii="ArialMT" w:eastAsia="Cambria" w:hAnsi="ArialMT" w:cs="ArialMT"/>
        </w:rPr>
        <w:t>at the property</w:t>
      </w:r>
      <w:r w:rsidR="00433D8B" w:rsidRPr="009B6191">
        <w:rPr>
          <w:rFonts w:ascii="ArialMT" w:eastAsia="Cambria" w:hAnsi="ArialMT" w:cs="ArialMT"/>
        </w:rPr>
        <w:t xml:space="preserve"> to discuss the repair work</w:t>
      </w:r>
      <w:r w:rsidR="00E9254D" w:rsidRPr="009B6191">
        <w:rPr>
          <w:rFonts w:ascii="ArialMT" w:eastAsia="Cambria" w:hAnsi="ArialMT" w:cs="ArialMT"/>
        </w:rPr>
        <w:t xml:space="preserve">. </w:t>
      </w:r>
      <w:r w:rsidR="00ED6258" w:rsidRPr="009B6191">
        <w:rPr>
          <w:rFonts w:ascii="ArialMT" w:eastAsia="Cambria" w:hAnsi="ArialMT" w:cs="ArialMT"/>
        </w:rPr>
        <w:t xml:space="preserve">The meeting was also attended by Mr De Kock, an </w:t>
      </w:r>
      <w:r>
        <w:rPr>
          <w:rFonts w:ascii="ArialMT" w:eastAsia="Cambria" w:hAnsi="ArialMT" w:cs="ArialMT"/>
        </w:rPr>
        <w:t xml:space="preserve">insurance </w:t>
      </w:r>
      <w:r w:rsidR="00ED6258" w:rsidRPr="009B6191">
        <w:rPr>
          <w:rFonts w:ascii="ArialMT" w:eastAsia="Cambria" w:hAnsi="ArialMT" w:cs="ArialMT"/>
        </w:rPr>
        <w:t xml:space="preserve">assessor </w:t>
      </w:r>
      <w:r w:rsidR="00092FEC">
        <w:rPr>
          <w:rFonts w:ascii="ArialMT" w:eastAsia="Cambria" w:hAnsi="ArialMT" w:cs="ArialMT"/>
        </w:rPr>
        <w:t>who</w:t>
      </w:r>
      <w:r w:rsidR="002267FB">
        <w:rPr>
          <w:rFonts w:ascii="ArialMT" w:eastAsia="Cambria" w:hAnsi="ArialMT" w:cs="ArialMT"/>
        </w:rPr>
        <w:t>m</w:t>
      </w:r>
      <w:r w:rsidR="00092FEC">
        <w:rPr>
          <w:rFonts w:ascii="ArialMT" w:eastAsia="Cambria" w:hAnsi="ArialMT" w:cs="ArialMT"/>
        </w:rPr>
        <w:t xml:space="preserve"> the parties </w:t>
      </w:r>
      <w:r w:rsidR="00BE4E5C">
        <w:rPr>
          <w:rFonts w:ascii="ArialMT" w:eastAsia="Cambria" w:hAnsi="ArialMT" w:cs="ArialMT"/>
        </w:rPr>
        <w:t xml:space="preserve">both </w:t>
      </w:r>
      <w:r w:rsidR="00092FEC">
        <w:rPr>
          <w:rFonts w:ascii="ArialMT" w:eastAsia="Cambria" w:hAnsi="ArialMT" w:cs="ArialMT"/>
        </w:rPr>
        <w:t xml:space="preserve">believed </w:t>
      </w:r>
      <w:r w:rsidR="00BE4E5C">
        <w:rPr>
          <w:rFonts w:ascii="ArialMT" w:eastAsia="Cambria" w:hAnsi="ArialMT" w:cs="ArialMT"/>
        </w:rPr>
        <w:t>(albeit incorrectly</w:t>
      </w:r>
      <w:r>
        <w:rPr>
          <w:rFonts w:ascii="ArialMT" w:eastAsia="Cambria" w:hAnsi="ArialMT" w:cs="ArialMT"/>
        </w:rPr>
        <w:t xml:space="preserve"> as</w:t>
      </w:r>
      <w:r w:rsidR="00D27810">
        <w:rPr>
          <w:rFonts w:ascii="ArialMT" w:eastAsia="Cambria" w:hAnsi="ArialMT" w:cs="ArialMT"/>
        </w:rPr>
        <w:t xml:space="preserve"> </w:t>
      </w:r>
      <w:r>
        <w:rPr>
          <w:rFonts w:ascii="ArialMT" w:eastAsia="Cambria" w:hAnsi="ArialMT" w:cs="ArialMT"/>
        </w:rPr>
        <w:t>it turned out</w:t>
      </w:r>
      <w:r w:rsidR="00BE4E5C">
        <w:rPr>
          <w:rFonts w:ascii="ArialMT" w:eastAsia="Cambria" w:hAnsi="ArialMT" w:cs="ArialMT"/>
        </w:rPr>
        <w:t xml:space="preserve">) </w:t>
      </w:r>
      <w:r w:rsidR="002267FB">
        <w:rPr>
          <w:rFonts w:ascii="ArialMT" w:eastAsia="Cambria" w:hAnsi="ArialMT" w:cs="ArialMT"/>
        </w:rPr>
        <w:t xml:space="preserve">had been </w:t>
      </w:r>
      <w:r w:rsidR="00BE4E5C">
        <w:rPr>
          <w:rFonts w:ascii="ArialMT" w:eastAsia="Cambria" w:hAnsi="ArialMT" w:cs="ArialMT"/>
        </w:rPr>
        <w:t xml:space="preserve">mandated </w:t>
      </w:r>
      <w:r w:rsidR="00E9557D">
        <w:rPr>
          <w:rFonts w:ascii="ArialMT" w:eastAsia="Cambria" w:hAnsi="ArialMT" w:cs="ArialMT"/>
        </w:rPr>
        <w:t xml:space="preserve">by the insurance company (by </w:t>
      </w:r>
      <w:r w:rsidR="00E9557D" w:rsidRPr="009B6191">
        <w:rPr>
          <w:rFonts w:ascii="ArialMT" w:eastAsia="Cambria" w:hAnsi="ArialMT" w:cs="ArialMT"/>
        </w:rPr>
        <w:t>Zurich Insurance Company South Africa Ltd</w:t>
      </w:r>
      <w:r w:rsidR="00E9557D">
        <w:rPr>
          <w:rFonts w:ascii="ArialMT" w:eastAsia="Cambria" w:hAnsi="ArialMT" w:cs="ArialMT"/>
        </w:rPr>
        <w:t xml:space="preserve">) </w:t>
      </w:r>
      <w:r w:rsidR="002A2C98">
        <w:rPr>
          <w:rFonts w:ascii="ArialMT" w:eastAsia="Cambria" w:hAnsi="ArialMT" w:cs="ArialMT"/>
        </w:rPr>
        <w:t xml:space="preserve">to approve the appellant’s appointment and </w:t>
      </w:r>
      <w:r w:rsidR="00AB7CDA">
        <w:rPr>
          <w:rFonts w:ascii="ArialMT" w:eastAsia="Cambria" w:hAnsi="ArialMT" w:cs="ArialMT"/>
        </w:rPr>
        <w:t xml:space="preserve">authorise </w:t>
      </w:r>
      <w:r w:rsidR="002A2C98">
        <w:rPr>
          <w:rFonts w:ascii="ArialMT" w:eastAsia="Cambria" w:hAnsi="ArialMT" w:cs="ArialMT"/>
        </w:rPr>
        <w:t xml:space="preserve">quotes to perform the repair work covered by </w:t>
      </w:r>
      <w:r w:rsidR="00D27810">
        <w:rPr>
          <w:rFonts w:ascii="ArialMT" w:eastAsia="Cambria" w:hAnsi="ArialMT" w:cs="ArialMT"/>
        </w:rPr>
        <w:t xml:space="preserve">the </w:t>
      </w:r>
      <w:r w:rsidR="002A2C98">
        <w:rPr>
          <w:rFonts w:ascii="ArialMT" w:eastAsia="Cambria" w:hAnsi="ArialMT" w:cs="ArialMT"/>
        </w:rPr>
        <w:t>policy</w:t>
      </w:r>
      <w:r w:rsidR="00ED6258" w:rsidRPr="009B6191">
        <w:rPr>
          <w:rFonts w:ascii="ArialMT" w:eastAsia="Cambria" w:hAnsi="ArialMT" w:cs="ArialMT"/>
        </w:rPr>
        <w:t>.</w:t>
      </w:r>
    </w:p>
    <w:p w14:paraId="20A69348" w14:textId="5217B1D6" w:rsidR="009B6191" w:rsidRPr="00DA31F6" w:rsidRDefault="00DA31F6" w:rsidP="00BC7EB7">
      <w:pPr>
        <w:pStyle w:val="LC1"/>
        <w:spacing w:after="120"/>
        <w:rPr>
          <w:rFonts w:cs="Arial"/>
          <w:szCs w:val="24"/>
        </w:rPr>
      </w:pPr>
      <w:r w:rsidRPr="00DA31F6">
        <w:rPr>
          <w:rFonts w:ascii="ArialMT" w:eastAsia="Cambria" w:hAnsi="ArialMT" w:cs="ArialMT"/>
        </w:rPr>
        <w:t>D</w:t>
      </w:r>
      <w:r w:rsidR="00ED6258" w:rsidRPr="00DA31F6">
        <w:rPr>
          <w:rFonts w:ascii="ArialMT" w:eastAsia="Cambria" w:hAnsi="ArialMT" w:cs="ArialMT"/>
        </w:rPr>
        <w:t xml:space="preserve">espite the fact that </w:t>
      </w:r>
      <w:r w:rsidR="00C16EC6">
        <w:rPr>
          <w:rFonts w:ascii="ArialMT" w:eastAsia="Cambria" w:hAnsi="ArialMT" w:cs="ArialMT"/>
        </w:rPr>
        <w:t xml:space="preserve">both parties were aware that </w:t>
      </w:r>
      <w:r w:rsidR="00ED6258" w:rsidRPr="00DA31F6">
        <w:rPr>
          <w:rFonts w:ascii="ArialMT" w:eastAsia="Cambria" w:hAnsi="ArialMT" w:cs="ArialMT"/>
        </w:rPr>
        <w:t xml:space="preserve">the appellant had not been appointed as an </w:t>
      </w:r>
      <w:r w:rsidR="00644946" w:rsidRPr="00DA31F6">
        <w:rPr>
          <w:rFonts w:eastAsia="Cambria"/>
        </w:rPr>
        <w:t>accredited service provider</w:t>
      </w:r>
      <w:r w:rsidR="00ED6258" w:rsidRPr="00DA31F6">
        <w:rPr>
          <w:rFonts w:eastAsia="Cambria"/>
        </w:rPr>
        <w:t xml:space="preserve"> to Zurich, </w:t>
      </w:r>
      <w:r w:rsidR="009B6191" w:rsidRPr="00DA31F6">
        <w:rPr>
          <w:rFonts w:eastAsia="Cambria"/>
        </w:rPr>
        <w:t xml:space="preserve">the </w:t>
      </w:r>
      <w:r w:rsidR="00C16EC6">
        <w:rPr>
          <w:rFonts w:eastAsia="Cambria"/>
        </w:rPr>
        <w:t xml:space="preserve">appellant was </w:t>
      </w:r>
      <w:r w:rsidRPr="00DA31F6">
        <w:rPr>
          <w:rFonts w:eastAsia="Cambria"/>
        </w:rPr>
        <w:t xml:space="preserve">engaged </w:t>
      </w:r>
      <w:r w:rsidR="00C16EC6">
        <w:rPr>
          <w:rFonts w:eastAsia="Cambria"/>
        </w:rPr>
        <w:t xml:space="preserve">(by whom is </w:t>
      </w:r>
      <w:r w:rsidR="00E9557D">
        <w:rPr>
          <w:rFonts w:eastAsia="Cambria"/>
        </w:rPr>
        <w:t xml:space="preserve">a key issue </w:t>
      </w:r>
      <w:r w:rsidR="00C16EC6">
        <w:rPr>
          <w:rFonts w:eastAsia="Cambria"/>
        </w:rPr>
        <w:t xml:space="preserve">in dispute) </w:t>
      </w:r>
      <w:r w:rsidRPr="00DA31F6">
        <w:rPr>
          <w:rFonts w:eastAsia="Cambria"/>
        </w:rPr>
        <w:t xml:space="preserve">to perform </w:t>
      </w:r>
      <w:r w:rsidR="002A2C98">
        <w:rPr>
          <w:rFonts w:eastAsia="Cambria"/>
        </w:rPr>
        <w:t xml:space="preserve">emergency </w:t>
      </w:r>
      <w:r w:rsidRPr="00DA31F6">
        <w:rPr>
          <w:rFonts w:eastAsia="Cambria"/>
        </w:rPr>
        <w:t>work that was immediately necessary at a cost of R34,770</w:t>
      </w:r>
      <w:r w:rsidR="002A2C98">
        <w:rPr>
          <w:rFonts w:eastAsia="Cambria"/>
        </w:rPr>
        <w:t xml:space="preserve"> </w:t>
      </w:r>
      <w:r>
        <w:rPr>
          <w:rFonts w:eastAsia="Cambria"/>
        </w:rPr>
        <w:t xml:space="preserve">and </w:t>
      </w:r>
      <w:r w:rsidR="00C16EC6">
        <w:rPr>
          <w:rFonts w:eastAsia="Cambria"/>
        </w:rPr>
        <w:t xml:space="preserve">was </w:t>
      </w:r>
      <w:r w:rsidR="002A2C98">
        <w:rPr>
          <w:rFonts w:eastAsia="Cambria"/>
        </w:rPr>
        <w:t xml:space="preserve">further </w:t>
      </w:r>
      <w:r w:rsidR="009B6191" w:rsidRPr="00DA31F6">
        <w:rPr>
          <w:rFonts w:eastAsia="Cambria"/>
        </w:rPr>
        <w:t>requested to prepare quotation</w:t>
      </w:r>
      <w:r w:rsidR="005E375F" w:rsidRPr="00DA31F6">
        <w:rPr>
          <w:rFonts w:eastAsia="Cambria"/>
        </w:rPr>
        <w:t>s</w:t>
      </w:r>
      <w:r w:rsidR="009B6191" w:rsidRPr="00DA31F6">
        <w:rPr>
          <w:rFonts w:eastAsia="Cambria"/>
        </w:rPr>
        <w:t xml:space="preserve"> </w:t>
      </w:r>
      <w:r w:rsidR="005E375F" w:rsidRPr="00DA31F6">
        <w:rPr>
          <w:rFonts w:eastAsia="Cambria"/>
        </w:rPr>
        <w:t xml:space="preserve">for the </w:t>
      </w:r>
      <w:r>
        <w:rPr>
          <w:rFonts w:eastAsia="Cambria"/>
        </w:rPr>
        <w:t xml:space="preserve">remaining repairs to address </w:t>
      </w:r>
      <w:r w:rsidR="009B6191" w:rsidRPr="00DA31F6">
        <w:rPr>
          <w:rFonts w:eastAsia="Cambria"/>
        </w:rPr>
        <w:t xml:space="preserve">the </w:t>
      </w:r>
      <w:r w:rsidR="00534695" w:rsidRPr="00DA31F6">
        <w:rPr>
          <w:rFonts w:eastAsia="Cambria"/>
        </w:rPr>
        <w:t xml:space="preserve">hail </w:t>
      </w:r>
      <w:r w:rsidR="00D009E7" w:rsidRPr="00DA31F6">
        <w:rPr>
          <w:rFonts w:eastAsia="Cambria"/>
        </w:rPr>
        <w:t xml:space="preserve">damage, </w:t>
      </w:r>
      <w:r w:rsidR="00D009E7" w:rsidRPr="00DA31F6">
        <w:rPr>
          <w:rFonts w:cs="Arial"/>
          <w:szCs w:val="24"/>
        </w:rPr>
        <w:t xml:space="preserve">the costs of which the parties both expected would in due course be covered by the Zurich insurance policy. In addition, </w:t>
      </w:r>
      <w:r w:rsidR="00C16EC6">
        <w:rPr>
          <w:rFonts w:cs="Arial"/>
          <w:szCs w:val="24"/>
        </w:rPr>
        <w:t xml:space="preserve">it is common cause that </w:t>
      </w:r>
      <w:r w:rsidR="00D009E7" w:rsidRPr="00DA31F6">
        <w:rPr>
          <w:rFonts w:cs="Arial"/>
          <w:szCs w:val="24"/>
        </w:rPr>
        <w:t xml:space="preserve">the respondent </w:t>
      </w:r>
      <w:r w:rsidR="00C16EC6">
        <w:rPr>
          <w:rFonts w:cs="Arial"/>
          <w:szCs w:val="24"/>
        </w:rPr>
        <w:t xml:space="preserve">engaged </w:t>
      </w:r>
      <w:r w:rsidR="00D009E7" w:rsidRPr="00DA31F6">
        <w:rPr>
          <w:rFonts w:cs="Arial"/>
          <w:szCs w:val="24"/>
        </w:rPr>
        <w:t xml:space="preserve">the appellant to </w:t>
      </w:r>
      <w:r w:rsidR="00C16EC6">
        <w:rPr>
          <w:rFonts w:cs="Arial"/>
          <w:szCs w:val="24"/>
        </w:rPr>
        <w:t xml:space="preserve">perform </w:t>
      </w:r>
      <w:r w:rsidR="009B6191" w:rsidRPr="00DA31F6">
        <w:rPr>
          <w:rFonts w:cs="Arial"/>
          <w:szCs w:val="24"/>
        </w:rPr>
        <w:t xml:space="preserve">certain </w:t>
      </w:r>
      <w:r w:rsidR="00E9557D">
        <w:rPr>
          <w:rFonts w:cs="Arial"/>
          <w:szCs w:val="24"/>
        </w:rPr>
        <w:t>‘</w:t>
      </w:r>
      <w:r w:rsidR="00996530">
        <w:rPr>
          <w:rFonts w:cs="Arial"/>
          <w:szCs w:val="24"/>
        </w:rPr>
        <w:t>personal</w:t>
      </w:r>
      <w:r w:rsidR="00E9557D">
        <w:rPr>
          <w:rFonts w:cs="Arial"/>
          <w:szCs w:val="24"/>
        </w:rPr>
        <w:t>’</w:t>
      </w:r>
      <w:r w:rsidR="008B570B">
        <w:rPr>
          <w:rFonts w:cs="Arial"/>
          <w:szCs w:val="24"/>
        </w:rPr>
        <w:t xml:space="preserve"> </w:t>
      </w:r>
      <w:r w:rsidR="009B6191" w:rsidRPr="00DA31F6">
        <w:rPr>
          <w:rFonts w:cs="Arial"/>
          <w:szCs w:val="24"/>
        </w:rPr>
        <w:t>work which both parties understood fell outside the scope of the insurance policy</w:t>
      </w:r>
      <w:r w:rsidR="005E375F" w:rsidRPr="00DA31F6">
        <w:rPr>
          <w:rFonts w:cs="Arial"/>
          <w:szCs w:val="24"/>
        </w:rPr>
        <w:t>, and which i</w:t>
      </w:r>
      <w:r w:rsidR="00BB7740" w:rsidRPr="00DA31F6">
        <w:rPr>
          <w:rFonts w:cs="Arial"/>
          <w:szCs w:val="24"/>
        </w:rPr>
        <w:t>s</w:t>
      </w:r>
      <w:r w:rsidR="005E375F" w:rsidRPr="00DA31F6">
        <w:rPr>
          <w:rFonts w:cs="Arial"/>
          <w:szCs w:val="24"/>
        </w:rPr>
        <w:t xml:space="preserve"> irrelevant for </w:t>
      </w:r>
      <w:r w:rsidR="00BB7740" w:rsidRPr="00DA31F6">
        <w:rPr>
          <w:rFonts w:cs="Arial"/>
          <w:szCs w:val="24"/>
        </w:rPr>
        <w:t xml:space="preserve">the </w:t>
      </w:r>
      <w:r w:rsidR="005E375F" w:rsidRPr="00DA31F6">
        <w:rPr>
          <w:rFonts w:cs="Arial"/>
          <w:szCs w:val="24"/>
        </w:rPr>
        <w:t>purposes</w:t>
      </w:r>
      <w:r w:rsidR="00BB7740" w:rsidRPr="00DA31F6">
        <w:rPr>
          <w:rFonts w:cs="Arial"/>
          <w:szCs w:val="24"/>
        </w:rPr>
        <w:t xml:space="preserve"> of the appellant’s claim</w:t>
      </w:r>
      <w:r w:rsidR="009B6191" w:rsidRPr="00DA31F6">
        <w:rPr>
          <w:rFonts w:cs="Arial"/>
          <w:szCs w:val="24"/>
        </w:rPr>
        <w:t>.</w:t>
      </w:r>
    </w:p>
    <w:p w14:paraId="3CE485FC" w14:textId="720E45D7" w:rsidR="009B6191" w:rsidRPr="00C16EC6" w:rsidRDefault="009B6191" w:rsidP="00BD0A72">
      <w:pPr>
        <w:pStyle w:val="LC1"/>
        <w:spacing w:after="120"/>
        <w:rPr>
          <w:rFonts w:cs="Arial"/>
          <w:szCs w:val="24"/>
        </w:rPr>
      </w:pPr>
      <w:r w:rsidRPr="00BB7740">
        <w:t xml:space="preserve">Engelbrecht </w:t>
      </w:r>
      <w:r w:rsidR="004B5DB2">
        <w:t xml:space="preserve">testified that he </w:t>
      </w:r>
      <w:r w:rsidRPr="00BB7740">
        <w:t xml:space="preserve">duly prepared quotes </w:t>
      </w:r>
      <w:r w:rsidR="00996530" w:rsidRPr="00C16EC6">
        <w:rPr>
          <w:rFonts w:cs="Arial"/>
          <w:szCs w:val="24"/>
        </w:rPr>
        <w:t xml:space="preserve">for the repair of </w:t>
      </w:r>
      <w:r w:rsidRPr="00C16EC6">
        <w:rPr>
          <w:rFonts w:cs="Arial"/>
          <w:szCs w:val="24"/>
        </w:rPr>
        <w:t>the hail damage</w:t>
      </w:r>
      <w:r w:rsidR="002A2C98" w:rsidRPr="00C16EC6">
        <w:rPr>
          <w:rFonts w:cs="Arial"/>
          <w:szCs w:val="24"/>
        </w:rPr>
        <w:t xml:space="preserve">, both of which </w:t>
      </w:r>
      <w:r w:rsidR="005E375F" w:rsidRPr="00C16EC6">
        <w:rPr>
          <w:rFonts w:cs="Arial"/>
          <w:szCs w:val="24"/>
        </w:rPr>
        <w:t>indicat</w:t>
      </w:r>
      <w:r w:rsidR="002A2C98" w:rsidRPr="00C16EC6">
        <w:rPr>
          <w:rFonts w:cs="Arial"/>
          <w:szCs w:val="24"/>
        </w:rPr>
        <w:t>ed</w:t>
      </w:r>
      <w:r w:rsidR="005E375F" w:rsidRPr="00C16EC6">
        <w:rPr>
          <w:rFonts w:cs="Arial"/>
          <w:szCs w:val="24"/>
        </w:rPr>
        <w:t xml:space="preserve"> </w:t>
      </w:r>
      <w:r w:rsidR="00534695" w:rsidRPr="00C16EC6">
        <w:rPr>
          <w:rFonts w:cs="Arial"/>
          <w:szCs w:val="24"/>
        </w:rPr>
        <w:t>that “</w:t>
      </w:r>
      <w:r w:rsidR="00534695" w:rsidRPr="00C16EC6">
        <w:rPr>
          <w:rFonts w:cs="Arial"/>
          <w:i/>
          <w:iCs/>
          <w:szCs w:val="24"/>
        </w:rPr>
        <w:t>all work [is] to be re-measured after completion for correct invoicing</w:t>
      </w:r>
      <w:r w:rsidR="00534695" w:rsidRPr="00C16EC6">
        <w:rPr>
          <w:rFonts w:cs="Arial"/>
          <w:szCs w:val="24"/>
        </w:rPr>
        <w:t>”</w:t>
      </w:r>
      <w:r w:rsidR="007C50E5" w:rsidRPr="00C16EC6">
        <w:rPr>
          <w:rFonts w:cs="Arial"/>
          <w:szCs w:val="24"/>
        </w:rPr>
        <w:t xml:space="preserve"> and that the “</w:t>
      </w:r>
      <w:r w:rsidR="007C50E5" w:rsidRPr="00C16EC6">
        <w:rPr>
          <w:rFonts w:cs="Arial"/>
          <w:i/>
          <w:iCs/>
          <w:szCs w:val="24"/>
        </w:rPr>
        <w:t>terms of payment</w:t>
      </w:r>
      <w:r w:rsidR="007C50E5" w:rsidRPr="00C16EC6">
        <w:rPr>
          <w:rFonts w:cs="Arial"/>
          <w:szCs w:val="24"/>
        </w:rPr>
        <w:t>” would be “</w:t>
      </w:r>
      <w:r w:rsidR="007C50E5" w:rsidRPr="00C16EC6">
        <w:rPr>
          <w:rFonts w:cs="Arial"/>
          <w:i/>
          <w:iCs/>
          <w:szCs w:val="24"/>
        </w:rPr>
        <w:t>Progress Payment</w:t>
      </w:r>
      <w:r w:rsidR="007C50E5" w:rsidRPr="00C16EC6">
        <w:rPr>
          <w:rFonts w:cs="Arial"/>
          <w:szCs w:val="24"/>
        </w:rPr>
        <w:t>”</w:t>
      </w:r>
      <w:r w:rsidR="00280630" w:rsidRPr="00C16EC6">
        <w:rPr>
          <w:rFonts w:cs="Arial"/>
          <w:szCs w:val="24"/>
        </w:rPr>
        <w:t xml:space="preserve">. </w:t>
      </w:r>
      <w:r w:rsidR="0080001F">
        <w:rPr>
          <w:rFonts w:cs="Arial"/>
          <w:szCs w:val="24"/>
        </w:rPr>
        <w:t xml:space="preserve">According to Engelbrecht, he </w:t>
      </w:r>
      <w:r w:rsidR="00C16EC6" w:rsidRPr="00C16EC6">
        <w:rPr>
          <w:rFonts w:cs="Arial"/>
          <w:szCs w:val="24"/>
        </w:rPr>
        <w:t xml:space="preserve">submitted </w:t>
      </w:r>
      <w:r w:rsidR="0080001F">
        <w:rPr>
          <w:rFonts w:cs="Arial"/>
          <w:szCs w:val="24"/>
        </w:rPr>
        <w:t xml:space="preserve">the quotes </w:t>
      </w:r>
      <w:r w:rsidR="00C16EC6" w:rsidRPr="00C16EC6">
        <w:rPr>
          <w:rFonts w:cs="Arial"/>
          <w:szCs w:val="24"/>
        </w:rPr>
        <w:t xml:space="preserve">to </w:t>
      </w:r>
      <w:r w:rsidR="00C16EC6">
        <w:t xml:space="preserve">the respondent, who </w:t>
      </w:r>
      <w:r w:rsidR="00C16EC6">
        <w:lastRenderedPageBreak/>
        <w:t xml:space="preserve">accepted them when he signed </w:t>
      </w:r>
      <w:r w:rsidR="00E9557D">
        <w:t xml:space="preserve">and returned </w:t>
      </w:r>
      <w:r w:rsidR="00C16EC6">
        <w:t>them</w:t>
      </w:r>
      <w:r w:rsidR="00D73B81">
        <w:t xml:space="preserve"> shortly after receiving them in December 2013</w:t>
      </w:r>
      <w:r w:rsidR="00C16EC6">
        <w:t xml:space="preserve">, </w:t>
      </w:r>
      <w:r w:rsidR="00280630" w:rsidRPr="00C16EC6">
        <w:rPr>
          <w:rFonts w:cs="Arial"/>
          <w:szCs w:val="24"/>
        </w:rPr>
        <w:t xml:space="preserve">and the </w:t>
      </w:r>
      <w:r w:rsidR="00534695" w:rsidRPr="00C16EC6">
        <w:rPr>
          <w:rFonts w:cs="Arial"/>
          <w:szCs w:val="24"/>
        </w:rPr>
        <w:t xml:space="preserve">appellant </w:t>
      </w:r>
      <w:r w:rsidR="007C50E5" w:rsidRPr="00C16EC6">
        <w:rPr>
          <w:rFonts w:cs="Arial"/>
          <w:szCs w:val="24"/>
        </w:rPr>
        <w:t xml:space="preserve">commenced </w:t>
      </w:r>
      <w:r w:rsidR="00534695" w:rsidRPr="00C16EC6">
        <w:rPr>
          <w:rFonts w:cs="Arial"/>
          <w:szCs w:val="24"/>
        </w:rPr>
        <w:t>the work</w:t>
      </w:r>
      <w:r w:rsidR="007C50E5" w:rsidRPr="00C16EC6">
        <w:rPr>
          <w:rFonts w:cs="Arial"/>
          <w:szCs w:val="24"/>
        </w:rPr>
        <w:t xml:space="preserve"> in January 2014</w:t>
      </w:r>
      <w:r w:rsidR="00534695" w:rsidRPr="00C16EC6">
        <w:rPr>
          <w:rFonts w:cs="Arial"/>
          <w:szCs w:val="24"/>
        </w:rPr>
        <w:t>.</w:t>
      </w:r>
      <w:r w:rsidR="00280630" w:rsidRPr="00C16EC6">
        <w:rPr>
          <w:rFonts w:cs="Arial"/>
          <w:szCs w:val="24"/>
        </w:rPr>
        <w:t xml:space="preserve"> T</w:t>
      </w:r>
      <w:r w:rsidR="004B5DB2" w:rsidRPr="00C16EC6">
        <w:rPr>
          <w:rFonts w:cs="Arial"/>
          <w:szCs w:val="24"/>
        </w:rPr>
        <w:t xml:space="preserve">he appellant </w:t>
      </w:r>
      <w:r w:rsidR="00280630" w:rsidRPr="00C16EC6">
        <w:rPr>
          <w:rFonts w:cs="Arial"/>
          <w:szCs w:val="24"/>
        </w:rPr>
        <w:t xml:space="preserve">identifies this </w:t>
      </w:r>
      <w:r w:rsidR="00AB7CDA" w:rsidRPr="00C16EC6">
        <w:rPr>
          <w:rFonts w:cs="Arial"/>
          <w:szCs w:val="24"/>
        </w:rPr>
        <w:t xml:space="preserve">in its pleadings as </w:t>
      </w:r>
      <w:r w:rsidR="00280630" w:rsidRPr="00C16EC6">
        <w:rPr>
          <w:rFonts w:cs="Arial"/>
          <w:szCs w:val="24"/>
        </w:rPr>
        <w:t xml:space="preserve">the </w:t>
      </w:r>
      <w:r w:rsidR="004B5DB2" w:rsidRPr="00C16EC6">
        <w:rPr>
          <w:rFonts w:cs="Arial"/>
          <w:szCs w:val="24"/>
        </w:rPr>
        <w:t>“</w:t>
      </w:r>
      <w:r w:rsidR="004B5DB2" w:rsidRPr="00C16EC6">
        <w:rPr>
          <w:rFonts w:cs="Arial"/>
          <w:i/>
          <w:iCs/>
          <w:szCs w:val="24"/>
        </w:rPr>
        <w:t>the first agreement</w:t>
      </w:r>
      <w:r w:rsidR="004B5DB2" w:rsidRPr="00C16EC6">
        <w:rPr>
          <w:rFonts w:cs="Arial"/>
          <w:szCs w:val="24"/>
        </w:rPr>
        <w:t>”.</w:t>
      </w:r>
      <w:r w:rsidR="00AB7CDA" w:rsidRPr="00C16EC6">
        <w:rPr>
          <w:rFonts w:cs="Arial"/>
          <w:szCs w:val="24"/>
        </w:rPr>
        <w:t xml:space="preserve"> </w:t>
      </w:r>
    </w:p>
    <w:p w14:paraId="42EC76F9" w14:textId="23206F69" w:rsidR="00631E1D" w:rsidRDefault="00631E1D" w:rsidP="00A7271F">
      <w:pPr>
        <w:pStyle w:val="LC1"/>
        <w:spacing w:after="120"/>
        <w:rPr>
          <w:rFonts w:cs="Arial"/>
          <w:szCs w:val="24"/>
        </w:rPr>
      </w:pPr>
      <w:r>
        <w:rPr>
          <w:rFonts w:cs="Arial"/>
          <w:szCs w:val="24"/>
        </w:rPr>
        <w:t xml:space="preserve">By March 2014, much of the work </w:t>
      </w:r>
      <w:r w:rsidR="00BB7740">
        <w:rPr>
          <w:rFonts w:cs="Arial"/>
          <w:szCs w:val="24"/>
        </w:rPr>
        <w:t xml:space="preserve">had been </w:t>
      </w:r>
      <w:r>
        <w:rPr>
          <w:rFonts w:cs="Arial"/>
          <w:szCs w:val="24"/>
        </w:rPr>
        <w:t>completed and the house was again habitable. The respondent was eager to move in</w:t>
      </w:r>
      <w:r w:rsidR="005E375F">
        <w:rPr>
          <w:rFonts w:cs="Arial"/>
          <w:szCs w:val="24"/>
        </w:rPr>
        <w:t>to the house</w:t>
      </w:r>
      <w:r>
        <w:rPr>
          <w:rFonts w:cs="Arial"/>
          <w:szCs w:val="24"/>
        </w:rPr>
        <w:t xml:space="preserve">, but the appellant was unwilling to hand over the keys without </w:t>
      </w:r>
      <w:r w:rsidR="00AB7CDA">
        <w:rPr>
          <w:rFonts w:cs="Arial"/>
          <w:szCs w:val="24"/>
        </w:rPr>
        <w:t xml:space="preserve">full </w:t>
      </w:r>
      <w:r>
        <w:rPr>
          <w:rFonts w:cs="Arial"/>
          <w:szCs w:val="24"/>
        </w:rPr>
        <w:t xml:space="preserve">payment </w:t>
      </w:r>
      <w:r w:rsidR="001478AF">
        <w:rPr>
          <w:rFonts w:cs="Arial"/>
          <w:szCs w:val="24"/>
        </w:rPr>
        <w:t>for the work that had been completed</w:t>
      </w:r>
      <w:r w:rsidR="00AB7CDA">
        <w:rPr>
          <w:rFonts w:cs="Arial"/>
          <w:szCs w:val="24"/>
        </w:rPr>
        <w:t xml:space="preserve"> pursuant to the first agreement</w:t>
      </w:r>
      <w:r w:rsidR="00996530">
        <w:rPr>
          <w:rFonts w:cs="Arial"/>
          <w:szCs w:val="24"/>
        </w:rPr>
        <w:t>.</w:t>
      </w:r>
      <w:r w:rsidR="001478AF">
        <w:rPr>
          <w:rFonts w:cs="Arial"/>
          <w:szCs w:val="24"/>
        </w:rPr>
        <w:t xml:space="preserve"> </w:t>
      </w:r>
      <w:r w:rsidR="00996530">
        <w:rPr>
          <w:rFonts w:cs="Arial"/>
          <w:szCs w:val="24"/>
        </w:rPr>
        <w:t xml:space="preserve">On the other hand, </w:t>
      </w:r>
      <w:r w:rsidR="001478AF">
        <w:rPr>
          <w:rFonts w:cs="Arial"/>
          <w:szCs w:val="24"/>
        </w:rPr>
        <w:t xml:space="preserve">the respondent was unwilling to pay the </w:t>
      </w:r>
      <w:r w:rsidR="00AB7CDA">
        <w:rPr>
          <w:rFonts w:cs="Arial"/>
          <w:szCs w:val="24"/>
        </w:rPr>
        <w:t xml:space="preserve">full </w:t>
      </w:r>
      <w:r w:rsidR="005E375F">
        <w:rPr>
          <w:rFonts w:cs="Arial"/>
          <w:szCs w:val="24"/>
        </w:rPr>
        <w:t>amount</w:t>
      </w:r>
      <w:r w:rsidR="00E656D1">
        <w:rPr>
          <w:rFonts w:cs="Arial"/>
          <w:szCs w:val="24"/>
        </w:rPr>
        <w:t xml:space="preserve"> and </w:t>
      </w:r>
      <w:r w:rsidR="00AB7CDA">
        <w:rPr>
          <w:rFonts w:cs="Arial"/>
          <w:szCs w:val="24"/>
        </w:rPr>
        <w:t xml:space="preserve">Zurich </w:t>
      </w:r>
      <w:r w:rsidR="001478AF">
        <w:rPr>
          <w:rFonts w:cs="Arial"/>
          <w:szCs w:val="24"/>
        </w:rPr>
        <w:t xml:space="preserve">was disputing </w:t>
      </w:r>
      <w:r w:rsidR="00E9557D">
        <w:rPr>
          <w:rFonts w:cs="Arial"/>
          <w:szCs w:val="24"/>
        </w:rPr>
        <w:t xml:space="preserve">the respondent’s </w:t>
      </w:r>
      <w:r w:rsidR="00092FEC">
        <w:rPr>
          <w:rFonts w:cs="Arial"/>
          <w:szCs w:val="24"/>
        </w:rPr>
        <w:t xml:space="preserve">claim submitted by the broker (Trustco / Rodel), </w:t>
      </w:r>
      <w:r w:rsidR="00B531D5">
        <w:rPr>
          <w:rFonts w:cs="Arial"/>
          <w:szCs w:val="24"/>
        </w:rPr>
        <w:t xml:space="preserve">on the basis that De Kock </w:t>
      </w:r>
      <w:r w:rsidR="00BE5BCB">
        <w:rPr>
          <w:rFonts w:cs="Arial"/>
          <w:szCs w:val="24"/>
        </w:rPr>
        <w:t xml:space="preserve">had acted outside of his </w:t>
      </w:r>
      <w:r w:rsidR="00B531D5">
        <w:rPr>
          <w:rFonts w:cs="Arial"/>
          <w:szCs w:val="24"/>
        </w:rPr>
        <w:t xml:space="preserve">mandate </w:t>
      </w:r>
      <w:r w:rsidR="00BE5BCB">
        <w:rPr>
          <w:rFonts w:cs="Arial"/>
          <w:szCs w:val="24"/>
        </w:rPr>
        <w:t xml:space="preserve">in purporting </w:t>
      </w:r>
      <w:r w:rsidR="00B531D5">
        <w:rPr>
          <w:rFonts w:cs="Arial"/>
          <w:szCs w:val="24"/>
        </w:rPr>
        <w:t xml:space="preserve">to approve the appointment of the appellant </w:t>
      </w:r>
      <w:r w:rsidR="00BE5BCB">
        <w:rPr>
          <w:rFonts w:cs="Arial"/>
          <w:szCs w:val="24"/>
        </w:rPr>
        <w:t xml:space="preserve">and </w:t>
      </w:r>
      <w:r w:rsidR="00AB7CDA">
        <w:rPr>
          <w:rFonts w:cs="Arial"/>
          <w:szCs w:val="24"/>
        </w:rPr>
        <w:t xml:space="preserve">authorising </w:t>
      </w:r>
      <w:r w:rsidR="00BE5BCB">
        <w:rPr>
          <w:rFonts w:cs="Arial"/>
          <w:szCs w:val="24"/>
        </w:rPr>
        <w:t xml:space="preserve">the </w:t>
      </w:r>
      <w:r w:rsidR="00AB7CDA">
        <w:rPr>
          <w:rFonts w:cs="Arial"/>
          <w:szCs w:val="24"/>
        </w:rPr>
        <w:t xml:space="preserve">appellant’s </w:t>
      </w:r>
      <w:r w:rsidR="00BE5BCB">
        <w:rPr>
          <w:rFonts w:cs="Arial"/>
          <w:szCs w:val="24"/>
        </w:rPr>
        <w:t>quotes</w:t>
      </w:r>
      <w:r w:rsidR="001478AF">
        <w:rPr>
          <w:rFonts w:cs="Arial"/>
          <w:szCs w:val="24"/>
        </w:rPr>
        <w:t xml:space="preserve">. </w:t>
      </w:r>
    </w:p>
    <w:p w14:paraId="7EE95C91" w14:textId="232EA8C2" w:rsidR="007C50E5" w:rsidRDefault="001478AF" w:rsidP="001478AF">
      <w:pPr>
        <w:pStyle w:val="LC1"/>
        <w:spacing w:after="120"/>
        <w:rPr>
          <w:rFonts w:cs="Arial"/>
          <w:szCs w:val="24"/>
        </w:rPr>
      </w:pPr>
      <w:r>
        <w:rPr>
          <w:rFonts w:cs="Arial"/>
          <w:szCs w:val="24"/>
        </w:rPr>
        <w:t xml:space="preserve">In </w:t>
      </w:r>
      <w:r w:rsidR="009318D5">
        <w:rPr>
          <w:rFonts w:cs="Arial"/>
          <w:szCs w:val="24"/>
        </w:rPr>
        <w:t xml:space="preserve">the context of </w:t>
      </w:r>
      <w:r w:rsidR="005F5E6E">
        <w:rPr>
          <w:rFonts w:cs="Arial"/>
          <w:szCs w:val="24"/>
        </w:rPr>
        <w:t xml:space="preserve">this </w:t>
      </w:r>
      <w:r>
        <w:rPr>
          <w:rFonts w:cs="Arial"/>
          <w:szCs w:val="24"/>
        </w:rPr>
        <w:t>deadlock</w:t>
      </w:r>
      <w:r w:rsidR="009318D5">
        <w:rPr>
          <w:rFonts w:cs="Arial"/>
          <w:szCs w:val="24"/>
        </w:rPr>
        <w:t>,</w:t>
      </w:r>
      <w:r>
        <w:rPr>
          <w:rFonts w:cs="Arial"/>
          <w:szCs w:val="24"/>
        </w:rPr>
        <w:t xml:space="preserve"> the parties </w:t>
      </w:r>
      <w:r w:rsidR="007C50E5" w:rsidRPr="001478AF">
        <w:rPr>
          <w:rFonts w:cs="Arial"/>
          <w:szCs w:val="24"/>
        </w:rPr>
        <w:t xml:space="preserve">signed a written memorandum of agreement </w:t>
      </w:r>
      <w:r w:rsidR="00981C8F">
        <w:rPr>
          <w:rFonts w:cs="Arial"/>
          <w:szCs w:val="24"/>
        </w:rPr>
        <w:t xml:space="preserve">(MOA) </w:t>
      </w:r>
      <w:r w:rsidR="00E474AA">
        <w:rPr>
          <w:rFonts w:cs="Arial"/>
          <w:szCs w:val="24"/>
        </w:rPr>
        <w:t xml:space="preserve">in early April </w:t>
      </w:r>
      <w:r w:rsidR="00981CF8">
        <w:rPr>
          <w:rFonts w:cs="Arial"/>
          <w:szCs w:val="24"/>
        </w:rPr>
        <w:t>2014</w:t>
      </w:r>
      <w:r w:rsidR="004F13B5">
        <w:rPr>
          <w:rFonts w:cs="Arial"/>
          <w:szCs w:val="24"/>
        </w:rPr>
        <w:t xml:space="preserve">. The MOA </w:t>
      </w:r>
      <w:r w:rsidR="00293FCA">
        <w:rPr>
          <w:rFonts w:cs="Arial"/>
          <w:szCs w:val="24"/>
        </w:rPr>
        <w:t>bears repetition in ful</w:t>
      </w:r>
      <w:r w:rsidR="00981CF8">
        <w:rPr>
          <w:rFonts w:cs="Arial"/>
          <w:szCs w:val="24"/>
        </w:rPr>
        <w:t>l</w:t>
      </w:r>
      <w:r>
        <w:rPr>
          <w:rFonts w:cs="Arial"/>
          <w:szCs w:val="24"/>
        </w:rPr>
        <w:t>:</w:t>
      </w:r>
    </w:p>
    <w:p w14:paraId="168BBBCE" w14:textId="77777777" w:rsidR="00092FEC" w:rsidRPr="007F2F6A" w:rsidRDefault="00092FEC" w:rsidP="005F5E6E">
      <w:pPr>
        <w:pStyle w:val="HeadsQuote"/>
        <w:keepNext w:val="0"/>
        <w:spacing w:before="0" w:line="240" w:lineRule="auto"/>
        <w:contextualSpacing w:val="0"/>
        <w:jc w:val="center"/>
        <w:rPr>
          <w:rFonts w:cs="Arial"/>
          <w:u w:val="single"/>
          <w:lang w:val="af-ZA"/>
        </w:rPr>
      </w:pPr>
    </w:p>
    <w:p w14:paraId="27C18757" w14:textId="53CDBAFF" w:rsidR="00293FCA" w:rsidRPr="005F5E6E" w:rsidRDefault="00293FCA" w:rsidP="005F5E6E">
      <w:pPr>
        <w:pStyle w:val="HeadsQuote"/>
        <w:keepNext w:val="0"/>
        <w:spacing w:before="240" w:after="240"/>
        <w:contextualSpacing w:val="0"/>
        <w:jc w:val="center"/>
        <w:rPr>
          <w:rFonts w:cs="Arial"/>
          <w:i w:val="0"/>
          <w:iCs w:val="0"/>
          <w:u w:val="single"/>
          <w:lang w:val="af-ZA"/>
        </w:rPr>
      </w:pPr>
      <w:r w:rsidRPr="005F5E6E">
        <w:rPr>
          <w:rFonts w:cs="Arial"/>
          <w:i w:val="0"/>
          <w:iCs w:val="0"/>
          <w:u w:val="single"/>
          <w:lang w:val="af-ZA"/>
        </w:rPr>
        <w:t>MEMORANDUM VAN OOREENKOMS</w:t>
      </w:r>
    </w:p>
    <w:p w14:paraId="4671EC59" w14:textId="7657F9F5" w:rsidR="00293FCA" w:rsidRPr="005F5E6E" w:rsidRDefault="00293FCA" w:rsidP="005F5E6E">
      <w:pPr>
        <w:pStyle w:val="HeadsQuote"/>
        <w:keepNext w:val="0"/>
        <w:spacing w:before="240" w:after="240"/>
        <w:contextualSpacing w:val="0"/>
        <w:rPr>
          <w:rFonts w:cs="Arial"/>
          <w:i w:val="0"/>
          <w:iCs w:val="0"/>
          <w:color w:val="999999"/>
          <w:lang w:val="af-ZA"/>
        </w:rPr>
      </w:pPr>
      <w:r w:rsidRPr="005F5E6E">
        <w:rPr>
          <w:rFonts w:cs="Arial"/>
          <w:i w:val="0"/>
          <w:iCs w:val="0"/>
          <w:lang w:val="af-ZA"/>
        </w:rPr>
        <w:t>aangegaan deur en tussen</w:t>
      </w:r>
      <w:r w:rsidRPr="005F5E6E">
        <w:rPr>
          <w:rFonts w:cs="Arial"/>
          <w:i w:val="0"/>
          <w:iCs w:val="0"/>
          <w:color w:val="999999"/>
          <w:lang w:val="af-ZA"/>
        </w:rPr>
        <w:t>:</w:t>
      </w:r>
    </w:p>
    <w:p w14:paraId="1B84E0B6" w14:textId="7F5E7FCB" w:rsidR="00293FCA" w:rsidRPr="005F5E6E" w:rsidRDefault="00293FCA" w:rsidP="002A2C98">
      <w:pPr>
        <w:pStyle w:val="HeadsQuote"/>
        <w:keepNext w:val="0"/>
        <w:spacing w:before="240" w:line="240" w:lineRule="auto"/>
        <w:contextualSpacing w:val="0"/>
        <w:jc w:val="center"/>
        <w:rPr>
          <w:rFonts w:cs="Arial"/>
          <w:b/>
          <w:bCs/>
          <w:i w:val="0"/>
          <w:iCs w:val="0"/>
          <w:lang w:val="af-ZA"/>
        </w:rPr>
      </w:pPr>
      <w:r w:rsidRPr="005F5E6E">
        <w:rPr>
          <w:rFonts w:cs="Arial"/>
          <w:b/>
          <w:bCs/>
          <w:i w:val="0"/>
          <w:iCs w:val="0"/>
          <w:lang w:val="af-ZA"/>
        </w:rPr>
        <w:t>DO IT ALL RENOVATORS cc</w:t>
      </w:r>
    </w:p>
    <w:p w14:paraId="53AD5971" w14:textId="77777777" w:rsidR="00293FCA" w:rsidRPr="005F5E6E" w:rsidRDefault="00293FCA" w:rsidP="002A2C98">
      <w:pPr>
        <w:pStyle w:val="HeadsQuote"/>
        <w:keepNext w:val="0"/>
        <w:spacing w:before="0" w:line="240" w:lineRule="auto"/>
        <w:contextualSpacing w:val="0"/>
        <w:jc w:val="center"/>
        <w:rPr>
          <w:rFonts w:cs="Arial"/>
          <w:i w:val="0"/>
          <w:iCs w:val="0"/>
          <w:lang w:val="af-ZA"/>
        </w:rPr>
      </w:pPr>
      <w:r w:rsidRPr="005F5E6E">
        <w:rPr>
          <w:rFonts w:cs="Arial"/>
          <w:i w:val="0"/>
          <w:iCs w:val="0"/>
          <w:lang w:val="af-ZA"/>
        </w:rPr>
        <w:t>Reg. No. 90/02482/23</w:t>
      </w:r>
    </w:p>
    <w:p w14:paraId="3C4D2E26" w14:textId="77777777" w:rsidR="00293FCA" w:rsidRPr="005F5E6E" w:rsidRDefault="00293FCA" w:rsidP="002A2C98">
      <w:pPr>
        <w:pStyle w:val="HeadsQuote"/>
        <w:keepNext w:val="0"/>
        <w:spacing w:before="0" w:after="240" w:line="240" w:lineRule="auto"/>
        <w:contextualSpacing w:val="0"/>
        <w:jc w:val="center"/>
        <w:rPr>
          <w:rFonts w:cs="Arial"/>
          <w:i w:val="0"/>
          <w:iCs w:val="0"/>
          <w:lang w:val="af-ZA"/>
        </w:rPr>
      </w:pPr>
      <w:r w:rsidRPr="005F5E6E">
        <w:rPr>
          <w:rFonts w:cs="Arial"/>
          <w:i w:val="0"/>
          <w:iCs w:val="0"/>
          <w:lang w:val="af-ZA"/>
        </w:rPr>
        <w:t>(Die Kontrakteur)</w:t>
      </w:r>
    </w:p>
    <w:p w14:paraId="77F0496F" w14:textId="6F191144" w:rsidR="00293FCA" w:rsidRPr="005F5E6E" w:rsidRDefault="00293FCA" w:rsidP="005F5E6E">
      <w:pPr>
        <w:pStyle w:val="HeadsQuote"/>
        <w:keepNext w:val="0"/>
        <w:spacing w:before="240" w:after="240" w:line="240" w:lineRule="auto"/>
        <w:contextualSpacing w:val="0"/>
        <w:jc w:val="center"/>
        <w:rPr>
          <w:rFonts w:cs="Arial"/>
          <w:i w:val="0"/>
          <w:iCs w:val="0"/>
          <w:lang w:val="af-ZA"/>
        </w:rPr>
      </w:pPr>
      <w:r w:rsidRPr="005F5E6E">
        <w:rPr>
          <w:rFonts w:cs="Arial"/>
          <w:i w:val="0"/>
          <w:iCs w:val="0"/>
          <w:lang w:val="af-ZA"/>
        </w:rPr>
        <w:t>en</w:t>
      </w:r>
    </w:p>
    <w:p w14:paraId="583E1B2A" w14:textId="4A993169" w:rsidR="00293FCA" w:rsidRPr="005F5E6E" w:rsidRDefault="00293FCA" w:rsidP="002A2C98">
      <w:pPr>
        <w:pStyle w:val="HeadsQuote"/>
        <w:keepNext w:val="0"/>
        <w:spacing w:before="240" w:line="240" w:lineRule="auto"/>
        <w:contextualSpacing w:val="0"/>
        <w:jc w:val="center"/>
        <w:rPr>
          <w:rFonts w:cs="Arial"/>
          <w:b/>
          <w:bCs/>
          <w:i w:val="0"/>
          <w:iCs w:val="0"/>
          <w:lang w:val="af-ZA"/>
        </w:rPr>
      </w:pPr>
      <w:r w:rsidRPr="005F5E6E">
        <w:rPr>
          <w:rFonts w:cs="Arial"/>
          <w:b/>
          <w:bCs/>
          <w:i w:val="0"/>
          <w:iCs w:val="0"/>
          <w:lang w:val="af-ZA"/>
        </w:rPr>
        <w:t>MARTHINUS JOHANNES KAPP</w:t>
      </w:r>
    </w:p>
    <w:p w14:paraId="61A4ED34" w14:textId="77777777" w:rsidR="00293FCA" w:rsidRPr="005F5E6E" w:rsidRDefault="00293FCA" w:rsidP="002A2C98">
      <w:pPr>
        <w:pStyle w:val="HeadsQuote"/>
        <w:keepNext w:val="0"/>
        <w:spacing w:before="0" w:line="240" w:lineRule="auto"/>
        <w:contextualSpacing w:val="0"/>
        <w:jc w:val="center"/>
        <w:rPr>
          <w:rFonts w:cs="Arial"/>
          <w:i w:val="0"/>
          <w:iCs w:val="0"/>
          <w:lang w:val="af-ZA"/>
        </w:rPr>
      </w:pPr>
      <w:r w:rsidRPr="005F5E6E">
        <w:rPr>
          <w:rFonts w:cs="Arial"/>
          <w:i w:val="0"/>
          <w:iCs w:val="0"/>
          <w:lang w:val="af-ZA"/>
        </w:rPr>
        <w:t>(ID No. 620605 5016 080)</w:t>
      </w:r>
    </w:p>
    <w:p w14:paraId="0F2CC0A8" w14:textId="77777777" w:rsidR="00293FCA" w:rsidRPr="005F5E6E" w:rsidRDefault="00293FCA" w:rsidP="002A2C98">
      <w:pPr>
        <w:pStyle w:val="HeadsQuote"/>
        <w:keepNext w:val="0"/>
        <w:spacing w:before="0" w:after="240" w:line="240" w:lineRule="auto"/>
        <w:contextualSpacing w:val="0"/>
        <w:jc w:val="center"/>
        <w:rPr>
          <w:rFonts w:cs="Arial"/>
          <w:i w:val="0"/>
          <w:iCs w:val="0"/>
          <w:lang w:val="af-ZA"/>
        </w:rPr>
      </w:pPr>
      <w:r w:rsidRPr="005F5E6E">
        <w:rPr>
          <w:rFonts w:cs="Arial"/>
          <w:i w:val="0"/>
          <w:iCs w:val="0"/>
          <w:lang w:val="af-ZA"/>
        </w:rPr>
        <w:t>(Die Eienaar)</w:t>
      </w:r>
    </w:p>
    <w:p w14:paraId="42E79B90" w14:textId="6DF34609"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 xml:space="preserve">NADEMAAL die Eienaar skade gely het weens </w:t>
      </w:r>
      <w:r w:rsidRPr="005F5E6E">
        <w:rPr>
          <w:rFonts w:cs="Arial"/>
          <w:i w:val="0"/>
          <w:iCs w:val="0"/>
          <w:color w:val="474747"/>
          <w:lang w:val="af-ZA"/>
        </w:rPr>
        <w:t xml:space="preserve">'n </w:t>
      </w:r>
      <w:r w:rsidRPr="005F5E6E">
        <w:rPr>
          <w:rFonts w:cs="Arial"/>
          <w:i w:val="0"/>
          <w:iCs w:val="0"/>
          <w:lang w:val="af-ZA"/>
        </w:rPr>
        <w:t>haelstorm op 28 November 2013</w:t>
      </w:r>
    </w:p>
    <w:p w14:paraId="4A47B56F" w14:textId="77777777"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en</w:t>
      </w:r>
    </w:p>
    <w:p w14:paraId="239240C2" w14:textId="54BBBDB2"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 xml:space="preserve">NADEMAAL die Kontrakteur die aanstelling van die Assessor, Mike De Kock namens die versekeraar bona </w:t>
      </w:r>
      <w:r w:rsidR="004C0A1A">
        <w:rPr>
          <w:rFonts w:cs="Arial"/>
          <w:i w:val="0"/>
          <w:iCs w:val="0"/>
          <w:lang w:val="af-ZA"/>
        </w:rPr>
        <w:t>f</w:t>
      </w:r>
      <w:r w:rsidRPr="005F5E6E">
        <w:rPr>
          <w:rFonts w:cs="Arial"/>
          <w:i w:val="0"/>
          <w:iCs w:val="0"/>
          <w:lang w:val="af-ZA"/>
        </w:rPr>
        <w:t>ide aanvaar het</w:t>
      </w:r>
    </w:p>
    <w:p w14:paraId="3CCB207A" w14:textId="77777777"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en</w:t>
      </w:r>
    </w:p>
    <w:p w14:paraId="270BCAC0" w14:textId="37BC5A5B" w:rsidR="00293FCA" w:rsidRPr="005F5E6E" w:rsidRDefault="00293FCA" w:rsidP="00270E8E">
      <w:pPr>
        <w:pStyle w:val="HeadsQuote"/>
        <w:keepNext w:val="0"/>
        <w:spacing w:before="240" w:after="240"/>
        <w:contextualSpacing w:val="0"/>
        <w:rPr>
          <w:rFonts w:cs="Arial"/>
          <w:i w:val="0"/>
          <w:iCs w:val="0"/>
          <w:lang w:val="af-ZA"/>
        </w:rPr>
      </w:pPr>
      <w:r w:rsidRPr="00131F4E">
        <w:rPr>
          <w:rFonts w:cs="Arial"/>
          <w:i w:val="0"/>
          <w:iCs w:val="0"/>
          <w:lang w:val="af-ZA"/>
        </w:rPr>
        <w:lastRenderedPageBreak/>
        <w:t>NADEMAAL bevind is dat die assessor buite sy magte opgetree het in die aanstelling van die Kontrakteur</w:t>
      </w:r>
    </w:p>
    <w:p w14:paraId="0A6DE126" w14:textId="77777777"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en</w:t>
      </w:r>
    </w:p>
    <w:p w14:paraId="5AF02CC6" w14:textId="28B3A9AA"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NADEMAAL die eis ten opsigte van die skade eers op 5 Maart 2014 deur Trustco / Rodel</w:t>
      </w:r>
      <w:r w:rsidRPr="00131F4E">
        <w:rPr>
          <w:rFonts w:cs="Arial"/>
          <w:i w:val="0"/>
          <w:iCs w:val="0"/>
        </w:rPr>
        <w:t xml:space="preserve"> Insurance Administrators</w:t>
      </w:r>
      <w:r w:rsidRPr="005F5E6E">
        <w:rPr>
          <w:rFonts w:cs="Arial"/>
          <w:i w:val="0"/>
          <w:iCs w:val="0"/>
          <w:lang w:val="af-ZA"/>
        </w:rPr>
        <w:t xml:space="preserve"> ingedien is by die versekeraar</w:t>
      </w:r>
      <w:r w:rsidRPr="005F5E6E">
        <w:rPr>
          <w:rFonts w:cs="Arial"/>
          <w:i w:val="0"/>
          <w:iCs w:val="0"/>
          <w:color w:val="565656"/>
          <w:lang w:val="af-ZA"/>
        </w:rPr>
        <w:t xml:space="preserve">, </w:t>
      </w:r>
      <w:r w:rsidRPr="005F5E6E">
        <w:rPr>
          <w:rFonts w:cs="Arial"/>
          <w:i w:val="0"/>
          <w:iCs w:val="0"/>
          <w:lang w:val="af-ZA"/>
        </w:rPr>
        <w:t>Zurich,</w:t>
      </w:r>
    </w:p>
    <w:p w14:paraId="4AF293C0" w14:textId="5B269C84" w:rsidR="00293FCA" w:rsidRPr="005F5E6E" w:rsidRDefault="00293FCA" w:rsidP="00270E8E">
      <w:pPr>
        <w:pStyle w:val="HeadsQuote"/>
        <w:keepNext w:val="0"/>
        <w:spacing w:before="240" w:after="240"/>
        <w:contextualSpacing w:val="0"/>
        <w:rPr>
          <w:rFonts w:cs="Arial"/>
          <w:i w:val="0"/>
          <w:iCs w:val="0"/>
          <w:lang w:val="af-ZA"/>
        </w:rPr>
      </w:pPr>
      <w:r w:rsidRPr="005F5E6E">
        <w:rPr>
          <w:rFonts w:cs="Arial"/>
          <w:i w:val="0"/>
          <w:iCs w:val="0"/>
          <w:lang w:val="af-ZA"/>
        </w:rPr>
        <w:t>KOM DIE PARTYE as v</w:t>
      </w:r>
      <w:r w:rsidRPr="00131F4E">
        <w:rPr>
          <w:rFonts w:cs="Arial"/>
          <w:i w:val="0"/>
          <w:iCs w:val="0"/>
          <w:lang w:val="af-ZA"/>
        </w:rPr>
        <w:t>olg ooreen ten opsigte van betaling aan die Kontrakteur:</w:t>
      </w:r>
    </w:p>
    <w:p w14:paraId="4A907C77" w14:textId="77777777" w:rsidR="00092FEC" w:rsidRPr="005F5E6E" w:rsidRDefault="00293FCA" w:rsidP="00270E8E">
      <w:pPr>
        <w:pStyle w:val="HeadsQuote"/>
        <w:keepNext w:val="0"/>
        <w:numPr>
          <w:ilvl w:val="0"/>
          <w:numId w:val="43"/>
        </w:numPr>
        <w:spacing w:before="240" w:after="240"/>
        <w:contextualSpacing w:val="0"/>
        <w:rPr>
          <w:rFonts w:cs="Arial"/>
          <w:i w:val="0"/>
          <w:iCs w:val="0"/>
          <w:lang w:val="af-ZA"/>
        </w:rPr>
      </w:pPr>
      <w:r w:rsidRPr="005F5E6E">
        <w:rPr>
          <w:rFonts w:cs="Arial"/>
          <w:i w:val="0"/>
          <w:iCs w:val="0"/>
          <w:lang w:val="af-ZA"/>
        </w:rPr>
        <w:t>Die Eienaar bevestig dat hy die Kontrakteur opdrag gegee het om werk te verrig</w:t>
      </w:r>
      <w:r w:rsidR="00092FEC" w:rsidRPr="005F5E6E">
        <w:rPr>
          <w:rFonts w:cs="Arial"/>
          <w:i w:val="0"/>
          <w:iCs w:val="0"/>
          <w:lang w:val="af-ZA"/>
        </w:rPr>
        <w:t xml:space="preserve"> </w:t>
      </w:r>
      <w:r w:rsidRPr="005F5E6E">
        <w:rPr>
          <w:rFonts w:cs="Arial"/>
          <w:i w:val="0"/>
          <w:iCs w:val="0"/>
          <w:lang w:val="af-ZA"/>
        </w:rPr>
        <w:t>wat buite die bestek van die versekeringseis val ten bedrae van R 229 771</w:t>
      </w:r>
      <w:r w:rsidRPr="005F5E6E">
        <w:rPr>
          <w:rFonts w:cs="Arial"/>
          <w:i w:val="0"/>
          <w:iCs w:val="0"/>
          <w:color w:val="565656"/>
          <w:lang w:val="af-ZA"/>
        </w:rPr>
        <w:t>.</w:t>
      </w:r>
      <w:r w:rsidRPr="005F5E6E">
        <w:rPr>
          <w:rFonts w:cs="Arial"/>
          <w:i w:val="0"/>
          <w:iCs w:val="0"/>
          <w:lang w:val="af-ZA"/>
        </w:rPr>
        <w:t>43 en</w:t>
      </w:r>
      <w:r w:rsidR="00092FEC" w:rsidRPr="005F5E6E">
        <w:rPr>
          <w:rFonts w:cs="Arial"/>
          <w:i w:val="0"/>
          <w:iCs w:val="0"/>
          <w:lang w:val="af-ZA"/>
        </w:rPr>
        <w:t xml:space="preserve"> </w:t>
      </w:r>
      <w:r w:rsidRPr="005F5E6E">
        <w:rPr>
          <w:rFonts w:cs="Arial"/>
          <w:i w:val="0"/>
          <w:iCs w:val="0"/>
          <w:lang w:val="af-ZA"/>
        </w:rPr>
        <w:t>dat die Kontrakteur faktuur 9014 gedateer 31 Maart 2014 aan die Eienaar</w:t>
      </w:r>
      <w:r w:rsidR="00092FEC" w:rsidRPr="005F5E6E">
        <w:rPr>
          <w:rFonts w:cs="Arial"/>
          <w:i w:val="0"/>
          <w:iCs w:val="0"/>
          <w:lang w:val="af-ZA"/>
        </w:rPr>
        <w:t xml:space="preserve"> </w:t>
      </w:r>
      <w:r w:rsidRPr="005F5E6E">
        <w:rPr>
          <w:rFonts w:cs="Arial"/>
          <w:i w:val="0"/>
          <w:iCs w:val="0"/>
          <w:lang w:val="af-ZA"/>
        </w:rPr>
        <w:t>oorhandig het.</w:t>
      </w:r>
    </w:p>
    <w:p w14:paraId="4A96FD3F" w14:textId="77777777" w:rsidR="00092FEC" w:rsidRPr="00D27810" w:rsidRDefault="00293FCA" w:rsidP="00270E8E">
      <w:pPr>
        <w:pStyle w:val="HeadsQuote"/>
        <w:keepNext w:val="0"/>
        <w:numPr>
          <w:ilvl w:val="0"/>
          <w:numId w:val="43"/>
        </w:numPr>
        <w:spacing w:before="240" w:after="240"/>
        <w:contextualSpacing w:val="0"/>
        <w:rPr>
          <w:rFonts w:cs="Arial"/>
          <w:i w:val="0"/>
          <w:iCs w:val="0"/>
          <w:lang w:val="af-ZA"/>
        </w:rPr>
      </w:pPr>
      <w:r w:rsidRPr="005F5E6E">
        <w:rPr>
          <w:rFonts w:cs="Arial"/>
          <w:i w:val="0"/>
          <w:iCs w:val="0"/>
          <w:lang w:val="af-ZA"/>
        </w:rPr>
        <w:t>Die Kontrakteur bevestig hiermee dat die eienaar die bedrag van R 229</w:t>
      </w:r>
      <w:r w:rsidR="00092FEC" w:rsidRPr="005F5E6E">
        <w:rPr>
          <w:rFonts w:cs="Arial"/>
          <w:i w:val="0"/>
          <w:iCs w:val="0"/>
          <w:lang w:val="af-ZA"/>
        </w:rPr>
        <w:t xml:space="preserve"> </w:t>
      </w:r>
      <w:r w:rsidRPr="005F5E6E">
        <w:rPr>
          <w:rFonts w:cs="Arial"/>
          <w:i w:val="0"/>
          <w:iCs w:val="0"/>
          <w:lang w:val="af-ZA"/>
        </w:rPr>
        <w:t>7</w:t>
      </w:r>
      <w:r w:rsidRPr="00D27810">
        <w:rPr>
          <w:rFonts w:cs="Arial"/>
          <w:i w:val="0"/>
          <w:iCs w:val="0"/>
          <w:lang w:val="af-ZA"/>
        </w:rPr>
        <w:t>71.43</w:t>
      </w:r>
      <w:r w:rsidR="00092FEC" w:rsidRPr="00D27810">
        <w:rPr>
          <w:rFonts w:cs="Arial"/>
          <w:i w:val="0"/>
          <w:iCs w:val="0"/>
          <w:lang w:val="af-ZA"/>
        </w:rPr>
        <w:t xml:space="preserve"> </w:t>
      </w:r>
      <w:r w:rsidRPr="00D27810">
        <w:rPr>
          <w:rFonts w:cs="Arial"/>
          <w:i w:val="0"/>
          <w:iCs w:val="0"/>
          <w:lang w:val="af-ZA"/>
        </w:rPr>
        <w:t>oor die verloop van tyd, maar spesifiek op 3 April 2014 ten volle vereffen het.</w:t>
      </w:r>
    </w:p>
    <w:p w14:paraId="099DE648" w14:textId="77777777" w:rsidR="00092FEC" w:rsidRPr="00D27810"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t>Die Kontrakteur bevestig voorts dat die Assessor, Mike De Kock (De Kock), die balans van die werk direk aan verteenwoordigers van die Kontrakteur gemagtig het en dat kwotasies ten bedrae van:</w:t>
      </w:r>
    </w:p>
    <w:p w14:paraId="78B0A6C6" w14:textId="57A059F4" w:rsidR="00092FEC" w:rsidRPr="005F5E6E" w:rsidRDefault="00092FEC" w:rsidP="00BE4E5C">
      <w:pPr>
        <w:pStyle w:val="HeadsQuote"/>
        <w:keepNext w:val="0"/>
        <w:numPr>
          <w:ilvl w:val="1"/>
          <w:numId w:val="44"/>
        </w:numPr>
        <w:spacing w:before="240" w:after="240"/>
        <w:ind w:left="2835" w:hanging="1035"/>
        <w:contextualSpacing w:val="0"/>
        <w:rPr>
          <w:rFonts w:cs="Arial"/>
          <w:i w:val="0"/>
          <w:iCs w:val="0"/>
          <w:lang w:val="af-ZA"/>
        </w:rPr>
      </w:pPr>
      <w:r w:rsidRPr="00D27810">
        <w:rPr>
          <w:rFonts w:cs="Arial"/>
          <w:i w:val="0"/>
          <w:iCs w:val="0"/>
          <w:lang w:val="af-ZA"/>
        </w:rPr>
        <w:t>kwotasie 13</w:t>
      </w:r>
      <w:r w:rsidRPr="005F5E6E">
        <w:rPr>
          <w:rFonts w:cs="Arial"/>
          <w:i w:val="0"/>
          <w:iCs w:val="0"/>
          <w:lang w:val="af-ZA"/>
        </w:rPr>
        <w:t xml:space="preserve">181 vir 'n bedrag van </w:t>
      </w:r>
      <w:bookmarkStart w:id="1" w:name="_Hlk135226124"/>
      <w:r w:rsidRPr="005F5E6E">
        <w:rPr>
          <w:rFonts w:cs="Arial"/>
          <w:i w:val="0"/>
          <w:iCs w:val="0"/>
          <w:lang w:val="af-ZA"/>
        </w:rPr>
        <w:t>R 386 073.78;</w:t>
      </w:r>
    </w:p>
    <w:p w14:paraId="60443414" w14:textId="7144E4C8" w:rsidR="00092FEC" w:rsidRPr="00D27810" w:rsidRDefault="00092FEC" w:rsidP="00270E8E">
      <w:pPr>
        <w:pStyle w:val="HeadsQuote"/>
        <w:keepNext w:val="0"/>
        <w:numPr>
          <w:ilvl w:val="1"/>
          <w:numId w:val="44"/>
        </w:numPr>
        <w:spacing w:before="240" w:after="240"/>
        <w:ind w:left="2835" w:hanging="1035"/>
        <w:contextualSpacing w:val="0"/>
        <w:rPr>
          <w:rFonts w:cs="Arial"/>
          <w:i w:val="0"/>
          <w:iCs w:val="0"/>
          <w:lang w:val="af-ZA"/>
        </w:rPr>
      </w:pPr>
      <w:r w:rsidRPr="00D27810">
        <w:rPr>
          <w:rFonts w:cs="Arial"/>
          <w:i w:val="0"/>
          <w:iCs w:val="0"/>
          <w:lang w:val="af-ZA"/>
        </w:rPr>
        <w:t>kwotasie 13180B vir 'n bedrag van R 508 584.61</w:t>
      </w:r>
    </w:p>
    <w:bookmarkEnd w:id="1"/>
    <w:p w14:paraId="1392A916" w14:textId="00C11F04" w:rsidR="00092FEC" w:rsidRPr="00D27810" w:rsidRDefault="00092FEC" w:rsidP="00270E8E">
      <w:pPr>
        <w:pStyle w:val="HeadsQuote"/>
        <w:keepNext w:val="0"/>
        <w:numPr>
          <w:ilvl w:val="1"/>
          <w:numId w:val="44"/>
        </w:numPr>
        <w:spacing w:before="240" w:after="240"/>
        <w:ind w:left="2835" w:hanging="1035"/>
        <w:contextualSpacing w:val="0"/>
        <w:rPr>
          <w:rFonts w:cs="Arial"/>
          <w:i w:val="0"/>
          <w:iCs w:val="0"/>
          <w:lang w:val="af-ZA"/>
        </w:rPr>
      </w:pPr>
      <w:r w:rsidRPr="00D27810">
        <w:rPr>
          <w:rFonts w:cs="Arial"/>
          <w:i w:val="0"/>
          <w:iCs w:val="0"/>
          <w:lang w:val="af-ZA"/>
        </w:rPr>
        <w:t>noodwerk gedoen gedurende Desember 2013 teen 'n bedrag van R 34 770.00</w:t>
      </w:r>
    </w:p>
    <w:p w14:paraId="7C6D6E48" w14:textId="4540298F" w:rsidR="00092FEC" w:rsidRPr="00D27810" w:rsidRDefault="00092FEC" w:rsidP="00270E8E">
      <w:pPr>
        <w:pStyle w:val="HeadsQuote"/>
        <w:keepNext w:val="0"/>
        <w:spacing w:before="240" w:after="240"/>
        <w:ind w:left="1800"/>
        <w:contextualSpacing w:val="0"/>
        <w:rPr>
          <w:rFonts w:cs="Arial"/>
          <w:i w:val="0"/>
          <w:iCs w:val="0"/>
          <w:lang w:val="af-ZA"/>
        </w:rPr>
      </w:pPr>
      <w:r w:rsidRPr="00D27810">
        <w:rPr>
          <w:rFonts w:cs="Arial"/>
          <w:i w:val="0"/>
          <w:iCs w:val="0"/>
          <w:lang w:val="af-ZA"/>
        </w:rPr>
        <w:t>uitstaande deur die versekeraar Zurich.</w:t>
      </w:r>
    </w:p>
    <w:p w14:paraId="067536D9" w14:textId="70CDE3CA" w:rsidR="00092FEC" w:rsidRPr="00D27810"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t>Die partye bevestig dat die Eienaar en Kontrakteur op 1 April 2014 Zurich besoek het om die betaling van die Kontrakteur te bespreek.</w:t>
      </w:r>
    </w:p>
    <w:p w14:paraId="16A43BE6" w14:textId="4AFB5974" w:rsidR="00092FEC" w:rsidRPr="00D27810"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t xml:space="preserve">Die partye is eens dat Zurich skriftelik aanspreeklikheid ten opsigte van </w:t>
      </w:r>
      <w:r w:rsidR="002B4011" w:rsidRPr="00D27810">
        <w:rPr>
          <w:rFonts w:cs="Arial"/>
          <w:i w:val="0"/>
          <w:iCs w:val="0"/>
          <w:lang w:val="af-ZA"/>
        </w:rPr>
        <w:t xml:space="preserve">verskuldigheid </w:t>
      </w:r>
      <w:r w:rsidRPr="00D27810">
        <w:rPr>
          <w:rFonts w:cs="Arial"/>
          <w:i w:val="0"/>
          <w:iCs w:val="0"/>
          <w:lang w:val="af-ZA"/>
        </w:rPr>
        <w:t>teenoor die Eienaar aanvaar het as versekerde</w:t>
      </w:r>
      <w:r w:rsidR="005D3948" w:rsidRPr="00D27810">
        <w:rPr>
          <w:rFonts w:cs="Arial"/>
          <w:i w:val="0"/>
          <w:iCs w:val="0"/>
          <w:lang w:val="af-ZA"/>
        </w:rPr>
        <w:t>.</w:t>
      </w:r>
    </w:p>
    <w:p w14:paraId="08BA8392" w14:textId="28C9E824" w:rsidR="00092FEC" w:rsidRPr="00D27810"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lastRenderedPageBreak/>
        <w:t>Zurich het ter goeder trou en op skrif op 3 Maart 2014 'n interim betaling van R 200 000.00 aan die Eienaar getender, welke betaling in oorleg met die</w:t>
      </w:r>
      <w:r w:rsidR="005D3948" w:rsidRPr="00D27810">
        <w:rPr>
          <w:rFonts w:cs="Arial"/>
          <w:i w:val="0"/>
          <w:iCs w:val="0"/>
          <w:lang w:val="af-ZA"/>
        </w:rPr>
        <w:t xml:space="preserve"> </w:t>
      </w:r>
      <w:r w:rsidRPr="00D27810">
        <w:rPr>
          <w:rFonts w:cs="Arial"/>
          <w:i w:val="0"/>
          <w:iCs w:val="0"/>
          <w:lang w:val="af-ZA"/>
        </w:rPr>
        <w:t>Kontrakteur aanvaar word.</w:t>
      </w:r>
    </w:p>
    <w:p w14:paraId="63F28B90" w14:textId="13CF4D5C" w:rsidR="00092FEC" w:rsidRPr="00D27810"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t>Zurich het 'n gemagtigde assessor, Brian Wright (Wright) aangestel om die</w:t>
      </w:r>
      <w:r w:rsidR="005D3948" w:rsidRPr="00D27810">
        <w:rPr>
          <w:rFonts w:cs="Arial"/>
          <w:i w:val="0"/>
          <w:iCs w:val="0"/>
          <w:lang w:val="af-ZA"/>
        </w:rPr>
        <w:t xml:space="preserve"> </w:t>
      </w:r>
      <w:r w:rsidRPr="00D27810">
        <w:rPr>
          <w:rFonts w:cs="Arial"/>
          <w:i w:val="0"/>
          <w:iCs w:val="0"/>
          <w:lang w:val="af-ZA"/>
        </w:rPr>
        <w:t>optrede van die assessor, Mike De Kock te ondersoek.</w:t>
      </w:r>
    </w:p>
    <w:p w14:paraId="066B53C7" w14:textId="108A18B2" w:rsidR="00092FEC" w:rsidRPr="005F5E6E" w:rsidRDefault="00092FEC" w:rsidP="00270E8E">
      <w:pPr>
        <w:pStyle w:val="HeadsQuote"/>
        <w:keepNext w:val="0"/>
        <w:numPr>
          <w:ilvl w:val="0"/>
          <w:numId w:val="43"/>
        </w:numPr>
        <w:spacing w:before="240" w:after="240"/>
        <w:contextualSpacing w:val="0"/>
        <w:rPr>
          <w:rFonts w:cs="Arial"/>
          <w:i w:val="0"/>
          <w:iCs w:val="0"/>
          <w:lang w:val="af-ZA"/>
        </w:rPr>
      </w:pPr>
      <w:r w:rsidRPr="00D27810">
        <w:rPr>
          <w:rFonts w:cs="Arial"/>
          <w:i w:val="0"/>
          <w:iCs w:val="0"/>
          <w:lang w:val="af-ZA"/>
        </w:rPr>
        <w:t>Een van die vereistes van die interim betaling aa</w:t>
      </w:r>
      <w:r w:rsidR="005D3948" w:rsidRPr="00D27810">
        <w:rPr>
          <w:rFonts w:cs="Arial"/>
          <w:i w:val="0"/>
          <w:iCs w:val="0"/>
          <w:lang w:val="af-ZA"/>
        </w:rPr>
        <w:t>n die Eie</w:t>
      </w:r>
      <w:r w:rsidR="005D3948" w:rsidRPr="005F5E6E">
        <w:rPr>
          <w:rFonts w:cs="Arial"/>
          <w:i w:val="0"/>
          <w:iCs w:val="0"/>
          <w:lang w:val="af-ZA"/>
        </w:rPr>
        <w:t>naar [</w:t>
      </w:r>
      <w:r w:rsidR="005F5E6E" w:rsidRPr="005F5E6E">
        <w:rPr>
          <w:rFonts w:cs="Arial"/>
          <w:i w:val="0"/>
          <w:iCs w:val="0"/>
          <w:lang w:val="af-ZA"/>
        </w:rPr>
        <w:t>was dat</w:t>
      </w:r>
      <w:r w:rsidR="005D3948" w:rsidRPr="005F5E6E">
        <w:rPr>
          <w:rFonts w:cs="Arial"/>
          <w:i w:val="0"/>
          <w:iCs w:val="0"/>
          <w:lang w:val="af-ZA"/>
        </w:rPr>
        <w:t xml:space="preserve">] </w:t>
      </w:r>
      <w:r w:rsidRPr="005F5E6E">
        <w:rPr>
          <w:rFonts w:cs="Arial"/>
          <w:i w:val="0"/>
          <w:iCs w:val="0"/>
          <w:lang w:val="af-ZA"/>
        </w:rPr>
        <w:t xml:space="preserve">die Eienaar en die Kontrakteur die </w:t>
      </w:r>
      <w:r w:rsidR="005D3948" w:rsidRPr="005F5E6E">
        <w:rPr>
          <w:rFonts w:cs="Arial"/>
          <w:i w:val="0"/>
          <w:iCs w:val="0"/>
          <w:lang w:val="af-ZA"/>
        </w:rPr>
        <w:t xml:space="preserve">volle besonderhede van onderhandelinge met </w:t>
      </w:r>
      <w:r w:rsidRPr="005F5E6E">
        <w:rPr>
          <w:rFonts w:cs="Arial"/>
          <w:i w:val="0"/>
          <w:iCs w:val="0"/>
          <w:lang w:val="af-ZA"/>
        </w:rPr>
        <w:t>De Kock aan Wright sal openbaar.</w:t>
      </w:r>
    </w:p>
    <w:p w14:paraId="53B821C7" w14:textId="5B98AA08" w:rsidR="005D3948" w:rsidRPr="00D27810" w:rsidRDefault="005D3948" w:rsidP="00270E8E">
      <w:pPr>
        <w:pStyle w:val="HeadsQuote"/>
        <w:keepNext w:val="0"/>
        <w:numPr>
          <w:ilvl w:val="0"/>
          <w:numId w:val="43"/>
        </w:numPr>
        <w:spacing w:before="240" w:after="240"/>
        <w:contextualSpacing w:val="0"/>
        <w:rPr>
          <w:rFonts w:cs="Arial"/>
          <w:i w:val="0"/>
          <w:iCs w:val="0"/>
          <w:lang w:val="af-ZA"/>
        </w:rPr>
      </w:pPr>
      <w:r w:rsidRPr="005F5E6E">
        <w:rPr>
          <w:rFonts w:cs="Arial"/>
          <w:i w:val="0"/>
          <w:iCs w:val="0"/>
          <w:lang w:val="af-ZA"/>
        </w:rPr>
        <w:t>Die Eien</w:t>
      </w:r>
      <w:r w:rsidRPr="00D27810">
        <w:rPr>
          <w:rFonts w:cs="Arial"/>
          <w:i w:val="0"/>
          <w:iCs w:val="0"/>
          <w:lang w:val="af-ZA"/>
        </w:rPr>
        <w:t>aar onderneem om:</w:t>
      </w:r>
    </w:p>
    <w:p w14:paraId="63AF7647" w14:textId="651D0FF2" w:rsidR="00092FEC" w:rsidRPr="00D27810" w:rsidRDefault="00A54AD9" w:rsidP="00270E8E">
      <w:pPr>
        <w:pStyle w:val="HeadsQuote"/>
        <w:keepNext w:val="0"/>
        <w:numPr>
          <w:ilvl w:val="1"/>
          <w:numId w:val="45"/>
        </w:numPr>
        <w:spacing w:before="240" w:after="240"/>
        <w:ind w:left="2835" w:hanging="1035"/>
        <w:contextualSpacing w:val="0"/>
        <w:rPr>
          <w:rFonts w:cs="Arial"/>
          <w:i w:val="0"/>
          <w:iCs w:val="0"/>
          <w:lang w:val="af-ZA"/>
        </w:rPr>
      </w:pPr>
      <w:r w:rsidRPr="00D27810">
        <w:rPr>
          <w:rFonts w:cs="Arial"/>
          <w:i w:val="0"/>
          <w:iCs w:val="0"/>
          <w:lang w:val="af-ZA"/>
        </w:rPr>
        <w:t>a</w:t>
      </w:r>
      <w:r w:rsidR="00104DA9" w:rsidRPr="00D27810">
        <w:rPr>
          <w:rFonts w:cs="Arial"/>
          <w:i w:val="0"/>
          <w:iCs w:val="0"/>
          <w:lang w:val="af-ZA"/>
        </w:rPr>
        <w:t xml:space="preserve">anspreeklikheid teenoor die Kontrakteur te aanvaar </w:t>
      </w:r>
      <w:r w:rsidRPr="00D27810">
        <w:rPr>
          <w:rFonts w:cs="Arial"/>
          <w:i w:val="0"/>
          <w:iCs w:val="0"/>
          <w:lang w:val="af-ZA"/>
        </w:rPr>
        <w:t xml:space="preserve">en wel tot en met die </w:t>
      </w:r>
      <w:r w:rsidR="00092FEC" w:rsidRPr="00D27810">
        <w:rPr>
          <w:rFonts w:cs="Arial"/>
          <w:i w:val="0"/>
          <w:iCs w:val="0"/>
          <w:lang w:val="af-ZA"/>
        </w:rPr>
        <w:t>vereffening van die uitstaa</w:t>
      </w:r>
      <w:r w:rsidR="005D3948" w:rsidRPr="00D27810">
        <w:rPr>
          <w:rFonts w:cs="Arial"/>
          <w:i w:val="0"/>
          <w:iCs w:val="0"/>
          <w:lang w:val="af-ZA"/>
        </w:rPr>
        <w:t xml:space="preserve">nde bedrag verskuldig deur </w:t>
      </w:r>
      <w:r w:rsidR="00092FEC" w:rsidRPr="00D27810">
        <w:rPr>
          <w:rFonts w:cs="Arial"/>
          <w:i w:val="0"/>
          <w:iCs w:val="0"/>
          <w:lang w:val="af-ZA"/>
        </w:rPr>
        <w:t>Zurich</w:t>
      </w:r>
      <w:r w:rsidR="005D3948" w:rsidRPr="00D27810">
        <w:rPr>
          <w:rFonts w:cs="Arial"/>
          <w:i w:val="0"/>
          <w:iCs w:val="0"/>
          <w:lang w:val="af-ZA"/>
        </w:rPr>
        <w:t>;</w:t>
      </w:r>
    </w:p>
    <w:p w14:paraId="712F5F4F" w14:textId="647D8FBD" w:rsidR="005D3948" w:rsidRPr="00D27810" w:rsidRDefault="005D3948" w:rsidP="00270E8E">
      <w:pPr>
        <w:pStyle w:val="HeadsQuote"/>
        <w:keepNext w:val="0"/>
        <w:numPr>
          <w:ilvl w:val="1"/>
          <w:numId w:val="45"/>
        </w:numPr>
        <w:spacing w:before="240" w:after="240"/>
        <w:ind w:left="2835" w:hanging="1035"/>
        <w:contextualSpacing w:val="0"/>
        <w:rPr>
          <w:rFonts w:cs="Arial"/>
          <w:i w:val="0"/>
          <w:iCs w:val="0"/>
          <w:lang w:val="af-ZA"/>
        </w:rPr>
      </w:pPr>
      <w:r w:rsidRPr="00D27810">
        <w:rPr>
          <w:rFonts w:cs="Arial"/>
          <w:i w:val="0"/>
          <w:iCs w:val="0"/>
          <w:lang w:val="af-ZA"/>
        </w:rPr>
        <w:t>alles in sy vermo</w:t>
      </w:r>
      <w:r w:rsidR="002B4011" w:rsidRPr="00D27810">
        <w:rPr>
          <w:rFonts w:cs="Arial"/>
          <w:i w:val="0"/>
          <w:iCs w:val="0"/>
          <w:lang w:val="af-ZA"/>
        </w:rPr>
        <w:t>ë</w:t>
      </w:r>
      <w:r w:rsidRPr="00D27810">
        <w:rPr>
          <w:rFonts w:cs="Arial"/>
          <w:i w:val="0"/>
          <w:iCs w:val="0"/>
          <w:lang w:val="af-ZA"/>
        </w:rPr>
        <w:t xml:space="preserve">ns te doen om toe te sien dat die eis gefinaliseer word binne 'n tydperk van 3 maande met ingang vanaf 1 April 2014; </w:t>
      </w:r>
    </w:p>
    <w:p w14:paraId="111AEC74" w14:textId="09737A9B" w:rsidR="005D3948" w:rsidRPr="00D27810" w:rsidRDefault="005D3948" w:rsidP="00270E8E">
      <w:pPr>
        <w:pStyle w:val="HeadsQuote"/>
        <w:keepNext w:val="0"/>
        <w:numPr>
          <w:ilvl w:val="1"/>
          <w:numId w:val="45"/>
        </w:numPr>
        <w:spacing w:before="240" w:after="240"/>
        <w:ind w:left="2835" w:hanging="1035"/>
        <w:contextualSpacing w:val="0"/>
        <w:rPr>
          <w:rFonts w:cs="Arial"/>
          <w:i w:val="0"/>
          <w:iCs w:val="0"/>
          <w:lang w:val="af-ZA"/>
        </w:rPr>
      </w:pPr>
      <w:r w:rsidRPr="00D27810">
        <w:rPr>
          <w:rFonts w:cs="Arial"/>
          <w:i w:val="0"/>
          <w:iCs w:val="0"/>
          <w:lang w:val="af-ZA"/>
        </w:rPr>
        <w:t>onderneem om indien die eis nie teen 1 Julie 2014 afgehandel is nie en of Zurich nog nie die beta</w:t>
      </w:r>
      <w:r w:rsidR="002B4011" w:rsidRPr="00D27810">
        <w:rPr>
          <w:rFonts w:cs="Arial"/>
          <w:i w:val="0"/>
          <w:iCs w:val="0"/>
          <w:lang w:val="af-ZA"/>
        </w:rPr>
        <w:t>l</w:t>
      </w:r>
      <w:r w:rsidRPr="00D27810">
        <w:rPr>
          <w:rFonts w:cs="Arial"/>
          <w:i w:val="0"/>
          <w:iCs w:val="0"/>
          <w:lang w:val="af-ZA"/>
        </w:rPr>
        <w:t xml:space="preserve">ing aan die Eienaar </w:t>
      </w:r>
      <w:r w:rsidR="00EB2388" w:rsidRPr="00D27810">
        <w:rPr>
          <w:rFonts w:cs="Arial"/>
          <w:i w:val="0"/>
          <w:iCs w:val="0"/>
          <w:lang w:val="af-ZA"/>
        </w:rPr>
        <w:t xml:space="preserve">/ Kontrakteur </w:t>
      </w:r>
      <w:r w:rsidRPr="00D27810">
        <w:rPr>
          <w:rFonts w:cs="Arial"/>
          <w:i w:val="0"/>
          <w:iCs w:val="0"/>
          <w:lang w:val="af-ZA"/>
        </w:rPr>
        <w:t>gem</w:t>
      </w:r>
      <w:r w:rsidR="00EB2388" w:rsidRPr="00D27810">
        <w:rPr>
          <w:rFonts w:cs="Arial"/>
          <w:i w:val="0"/>
          <w:iCs w:val="0"/>
          <w:lang w:val="af-ZA"/>
        </w:rPr>
        <w:t>a</w:t>
      </w:r>
      <w:r w:rsidRPr="00D27810">
        <w:rPr>
          <w:rFonts w:cs="Arial"/>
          <w:i w:val="0"/>
          <w:iCs w:val="0"/>
          <w:lang w:val="af-ZA"/>
        </w:rPr>
        <w:t>ak het nie, rente aan die Kontrakteur te betaal op die uitstaande bedrag soos op daardie datum tot en met datum van finale vereffening teen 'n koers van 15.5% per jaar.</w:t>
      </w:r>
    </w:p>
    <w:p w14:paraId="7D62D1D5" w14:textId="77777777" w:rsidR="005D3948" w:rsidRPr="00D27810" w:rsidRDefault="005D3948" w:rsidP="00270E8E">
      <w:pPr>
        <w:pStyle w:val="HeadsQuote"/>
        <w:keepNext w:val="0"/>
        <w:numPr>
          <w:ilvl w:val="0"/>
          <w:numId w:val="45"/>
        </w:numPr>
        <w:spacing w:before="240" w:after="240"/>
        <w:ind w:left="1843" w:hanging="425"/>
        <w:contextualSpacing w:val="0"/>
        <w:rPr>
          <w:rFonts w:cs="Arial"/>
          <w:i w:val="0"/>
          <w:iCs w:val="0"/>
          <w:lang w:val="af-ZA"/>
        </w:rPr>
      </w:pPr>
      <w:r w:rsidRPr="00D27810">
        <w:rPr>
          <w:rFonts w:cs="Arial"/>
          <w:i w:val="0"/>
          <w:iCs w:val="0"/>
          <w:lang w:val="af-ZA"/>
        </w:rPr>
        <w:t>Die Kontrakteur onderneem om nie met Zurich 'n skikking aan te gaan ten opsigte van die uitstaande bedrag waar Zurich vir 'n verminderde bedrag wil skik tensy nie vooraf beraadslaag is met die Eienaar nie.</w:t>
      </w:r>
    </w:p>
    <w:p w14:paraId="045B9C11" w14:textId="77777777" w:rsidR="005D3948" w:rsidRPr="005F5E6E" w:rsidRDefault="005D3948" w:rsidP="00270E8E">
      <w:pPr>
        <w:pStyle w:val="HeadsQuote"/>
        <w:keepNext w:val="0"/>
        <w:numPr>
          <w:ilvl w:val="0"/>
          <w:numId w:val="45"/>
        </w:numPr>
        <w:spacing w:before="240" w:after="240"/>
        <w:ind w:left="1843" w:hanging="425"/>
        <w:contextualSpacing w:val="0"/>
        <w:rPr>
          <w:rFonts w:cs="Arial"/>
          <w:i w:val="0"/>
          <w:iCs w:val="0"/>
          <w:lang w:val="af-ZA"/>
        </w:rPr>
      </w:pPr>
      <w:r w:rsidRPr="00D27810">
        <w:rPr>
          <w:rFonts w:cs="Arial"/>
          <w:i w:val="0"/>
          <w:iCs w:val="0"/>
          <w:lang w:val="af-ZA"/>
        </w:rPr>
        <w:t>Die Eienaar onderneem om elke Vryd</w:t>
      </w:r>
      <w:r w:rsidRPr="005F5E6E">
        <w:rPr>
          <w:rFonts w:cs="Arial"/>
          <w:i w:val="0"/>
          <w:iCs w:val="0"/>
          <w:lang w:val="af-ZA"/>
        </w:rPr>
        <w:t>ag voor sluit van besigheid 'n vorderingsverslag aan die Kontrakteur deur te gee oor vordering en afhandeling van die eis teen Zurich.</w:t>
      </w:r>
    </w:p>
    <w:p w14:paraId="067A77A7" w14:textId="24F367C7" w:rsidR="005D3948" w:rsidRPr="00D27810" w:rsidRDefault="005D3948" w:rsidP="00270E8E">
      <w:pPr>
        <w:pStyle w:val="HeadsQuote"/>
        <w:keepNext w:val="0"/>
        <w:numPr>
          <w:ilvl w:val="0"/>
          <w:numId w:val="45"/>
        </w:numPr>
        <w:spacing w:before="240" w:after="240"/>
        <w:ind w:left="1843" w:hanging="425"/>
        <w:contextualSpacing w:val="0"/>
        <w:rPr>
          <w:rFonts w:cs="Arial"/>
          <w:i w:val="0"/>
          <w:iCs w:val="0"/>
          <w:lang w:val="af-ZA"/>
        </w:rPr>
      </w:pPr>
      <w:r w:rsidRPr="005F5E6E">
        <w:rPr>
          <w:rFonts w:cs="Arial"/>
          <w:i w:val="0"/>
          <w:iCs w:val="0"/>
          <w:lang w:val="af-ZA"/>
        </w:rPr>
        <w:t>Die Eienaar ondernee</w:t>
      </w:r>
      <w:r w:rsidRPr="00D27810">
        <w:rPr>
          <w:rFonts w:cs="Arial"/>
          <w:i w:val="0"/>
          <w:iCs w:val="0"/>
          <w:lang w:val="af-ZA"/>
        </w:rPr>
        <w:t>m om o</w:t>
      </w:r>
      <w:r w:rsidR="002B4011" w:rsidRPr="00D27810">
        <w:rPr>
          <w:rFonts w:cs="Arial"/>
          <w:i w:val="0"/>
          <w:iCs w:val="0"/>
          <w:lang w:val="af-ZA"/>
        </w:rPr>
        <w:t>o</w:t>
      </w:r>
      <w:r w:rsidRPr="00D27810">
        <w:rPr>
          <w:rFonts w:cs="Arial"/>
          <w:i w:val="0"/>
          <w:iCs w:val="0"/>
          <w:lang w:val="af-ZA"/>
        </w:rPr>
        <w:t xml:space="preserve">k finansiering te bekom binne die tydperk van 3 maande, soos bo vermeld, ten einde die Kontrakteur skadeloos </w:t>
      </w:r>
      <w:r w:rsidRPr="00D27810">
        <w:rPr>
          <w:rFonts w:cs="Arial"/>
          <w:i w:val="0"/>
          <w:iCs w:val="0"/>
          <w:lang w:val="af-ZA"/>
        </w:rPr>
        <w:lastRenderedPageBreak/>
        <w:t>te stel ten opsigte van die bedrag verskuldig deur Zurich.</w:t>
      </w:r>
    </w:p>
    <w:p w14:paraId="01EE58DA" w14:textId="62867B87" w:rsidR="001478AF" w:rsidRPr="005F5E6E" w:rsidRDefault="005D3948" w:rsidP="00270E8E">
      <w:pPr>
        <w:pStyle w:val="HeadsQuote"/>
        <w:keepNext w:val="0"/>
        <w:numPr>
          <w:ilvl w:val="0"/>
          <w:numId w:val="45"/>
        </w:numPr>
        <w:spacing w:before="240" w:after="240"/>
        <w:ind w:left="1843" w:hanging="425"/>
        <w:contextualSpacing w:val="0"/>
        <w:rPr>
          <w:rFonts w:cs="Arial"/>
          <w:i w:val="0"/>
          <w:iCs w:val="0"/>
          <w:lang w:val="af-ZA"/>
        </w:rPr>
      </w:pPr>
      <w:r w:rsidRPr="00D27810">
        <w:rPr>
          <w:rFonts w:cs="Arial"/>
          <w:i w:val="0"/>
          <w:iCs w:val="0"/>
          <w:lang w:val="af-ZA"/>
        </w:rPr>
        <w:t>Die partye kom verder ooreen dat hulle alles in hul vermo</w:t>
      </w:r>
      <w:r w:rsidR="007F2F6A" w:rsidRPr="00D27810">
        <w:rPr>
          <w:rFonts w:cs="Arial"/>
          <w:i w:val="0"/>
          <w:iCs w:val="0"/>
          <w:lang w:val="af-ZA"/>
        </w:rPr>
        <w:t>ë</w:t>
      </w:r>
      <w:r w:rsidRPr="00D27810">
        <w:rPr>
          <w:rFonts w:cs="Arial"/>
          <w:i w:val="0"/>
          <w:iCs w:val="0"/>
          <w:lang w:val="af-ZA"/>
        </w:rPr>
        <w:t xml:space="preserve"> sal</w:t>
      </w:r>
      <w:r w:rsidRPr="005F5E6E">
        <w:rPr>
          <w:rFonts w:cs="Arial"/>
          <w:i w:val="0"/>
          <w:iCs w:val="0"/>
          <w:lang w:val="af-ZA"/>
        </w:rPr>
        <w:t xml:space="preserve"> doen om die</w:t>
      </w:r>
      <w:r w:rsidR="007F2F6A" w:rsidRPr="005F5E6E">
        <w:rPr>
          <w:rFonts w:cs="Arial"/>
          <w:i w:val="0"/>
          <w:iCs w:val="0"/>
          <w:lang w:val="af-ZA"/>
        </w:rPr>
        <w:t xml:space="preserve"> </w:t>
      </w:r>
      <w:r w:rsidRPr="005F5E6E">
        <w:rPr>
          <w:rFonts w:cs="Arial"/>
          <w:i w:val="0"/>
          <w:iCs w:val="0"/>
          <w:lang w:val="af-ZA"/>
        </w:rPr>
        <w:t>uitstaande bedrag verskuldig aan die Kontrakteur te vereffen binne die vermelde</w:t>
      </w:r>
      <w:r w:rsidR="007F2F6A" w:rsidRPr="005F5E6E">
        <w:rPr>
          <w:rFonts w:cs="Arial"/>
          <w:i w:val="0"/>
          <w:iCs w:val="0"/>
          <w:lang w:val="af-ZA"/>
        </w:rPr>
        <w:t xml:space="preserve"> </w:t>
      </w:r>
      <w:r w:rsidRPr="005F5E6E">
        <w:rPr>
          <w:rFonts w:cs="Arial"/>
          <w:i w:val="0"/>
          <w:iCs w:val="0"/>
          <w:lang w:val="af-ZA"/>
        </w:rPr>
        <w:t>tydperk van 3 maande.</w:t>
      </w:r>
    </w:p>
    <w:p w14:paraId="5B1992F9" w14:textId="3AADEA6B" w:rsidR="008B570B" w:rsidRDefault="005F5E6E" w:rsidP="00260676">
      <w:pPr>
        <w:pStyle w:val="LC1"/>
        <w:spacing w:after="120"/>
        <w:rPr>
          <w:rFonts w:cs="Arial"/>
          <w:szCs w:val="24"/>
        </w:rPr>
      </w:pPr>
      <w:r w:rsidRPr="008B570B">
        <w:rPr>
          <w:rFonts w:cs="Arial"/>
          <w:szCs w:val="24"/>
        </w:rPr>
        <w:t>The appellant then returned the keys to the respondent</w:t>
      </w:r>
      <w:r w:rsidR="00981CF8" w:rsidRPr="008B570B">
        <w:rPr>
          <w:rFonts w:cs="Arial"/>
          <w:szCs w:val="24"/>
        </w:rPr>
        <w:t>, who occupied the house</w:t>
      </w:r>
      <w:r w:rsidR="00786A71" w:rsidRPr="008B570B">
        <w:rPr>
          <w:rFonts w:cs="Arial"/>
          <w:szCs w:val="24"/>
        </w:rPr>
        <w:t>.</w:t>
      </w:r>
      <w:r w:rsidR="00981CF8" w:rsidRPr="008B570B">
        <w:rPr>
          <w:rFonts w:cs="Arial"/>
          <w:szCs w:val="24"/>
        </w:rPr>
        <w:t xml:space="preserve"> Although the parties </w:t>
      </w:r>
      <w:r w:rsidR="00E474AA">
        <w:rPr>
          <w:rFonts w:cs="Arial"/>
          <w:szCs w:val="24"/>
        </w:rPr>
        <w:t xml:space="preserve">continued to </w:t>
      </w:r>
      <w:r w:rsidR="00981CF8" w:rsidRPr="008B570B">
        <w:rPr>
          <w:rFonts w:cs="Arial"/>
          <w:szCs w:val="24"/>
        </w:rPr>
        <w:t xml:space="preserve">co-operate in an attempt to prevail upon Zurich to pay the </w:t>
      </w:r>
      <w:r w:rsidR="001E2297" w:rsidRPr="008B570B">
        <w:rPr>
          <w:rFonts w:cs="Arial"/>
          <w:szCs w:val="24"/>
        </w:rPr>
        <w:t>“</w:t>
      </w:r>
      <w:r w:rsidR="001E2297" w:rsidRPr="00D27810">
        <w:rPr>
          <w:rFonts w:cs="Arial"/>
          <w:i/>
          <w:iCs/>
          <w:szCs w:val="24"/>
          <w:lang w:val="af-ZA"/>
        </w:rPr>
        <w:t xml:space="preserve">bedrae </w:t>
      </w:r>
      <w:r w:rsidR="002135AF" w:rsidRPr="00D27810">
        <w:rPr>
          <w:rFonts w:cs="Arial"/>
          <w:i/>
          <w:iCs/>
          <w:szCs w:val="24"/>
          <w:lang w:val="af-ZA"/>
        </w:rPr>
        <w:t xml:space="preserve">… </w:t>
      </w:r>
      <w:r w:rsidR="001E2297" w:rsidRPr="00D27810">
        <w:rPr>
          <w:rFonts w:cs="Arial"/>
          <w:i/>
          <w:iCs/>
          <w:szCs w:val="24"/>
          <w:lang w:val="af-ZA"/>
        </w:rPr>
        <w:t>uits</w:t>
      </w:r>
      <w:r w:rsidR="002135AF" w:rsidRPr="00D27810">
        <w:rPr>
          <w:rFonts w:cs="Arial"/>
          <w:i/>
          <w:iCs/>
          <w:szCs w:val="24"/>
          <w:lang w:val="af-ZA"/>
        </w:rPr>
        <w:t>t</w:t>
      </w:r>
      <w:r w:rsidR="001E2297" w:rsidRPr="00D27810">
        <w:rPr>
          <w:rFonts w:cs="Arial"/>
          <w:i/>
          <w:iCs/>
          <w:szCs w:val="24"/>
          <w:lang w:val="af-ZA"/>
        </w:rPr>
        <w:t>aande</w:t>
      </w:r>
      <w:r w:rsidR="001E2297" w:rsidRPr="008B570B">
        <w:rPr>
          <w:rFonts w:cs="Arial"/>
          <w:szCs w:val="24"/>
        </w:rPr>
        <w:t xml:space="preserve">” referred to in clause 3 of the MOA </w:t>
      </w:r>
      <w:r w:rsidR="002135AF">
        <w:rPr>
          <w:rFonts w:cs="Arial"/>
          <w:szCs w:val="24"/>
        </w:rPr>
        <w:t xml:space="preserve">(which comprised the full amount of the quotations and the emergency work) </w:t>
      </w:r>
      <w:r w:rsidR="001E2297" w:rsidRPr="008B570B">
        <w:rPr>
          <w:rFonts w:cs="Arial"/>
          <w:szCs w:val="24"/>
        </w:rPr>
        <w:t xml:space="preserve">in satisfaction of the </w:t>
      </w:r>
      <w:r w:rsidR="00981CF8" w:rsidRPr="008B570B">
        <w:rPr>
          <w:rFonts w:cs="Arial"/>
          <w:szCs w:val="24"/>
        </w:rPr>
        <w:t>respondent’s insurance claim</w:t>
      </w:r>
      <w:r w:rsidR="008B570B" w:rsidRPr="008B570B">
        <w:rPr>
          <w:rFonts w:cs="Arial"/>
          <w:szCs w:val="24"/>
        </w:rPr>
        <w:t xml:space="preserve">, this attempt was unsuccessful. Engelbrecht conceded during his evidence that the respondent </w:t>
      </w:r>
      <w:r w:rsidR="00AB7CDA">
        <w:rPr>
          <w:rFonts w:cs="Arial"/>
          <w:szCs w:val="24"/>
        </w:rPr>
        <w:t xml:space="preserve">ultimately </w:t>
      </w:r>
      <w:r w:rsidR="008B570B" w:rsidRPr="008B570B">
        <w:rPr>
          <w:rFonts w:cs="Arial"/>
          <w:szCs w:val="24"/>
        </w:rPr>
        <w:t xml:space="preserve">paid the </w:t>
      </w:r>
      <w:r w:rsidR="00E474AA">
        <w:rPr>
          <w:rFonts w:cs="Arial"/>
          <w:szCs w:val="24"/>
        </w:rPr>
        <w:t xml:space="preserve">lesser </w:t>
      </w:r>
      <w:r w:rsidR="008B570B" w:rsidRPr="008B570B">
        <w:rPr>
          <w:rFonts w:cs="Arial"/>
          <w:szCs w:val="24"/>
        </w:rPr>
        <w:t xml:space="preserve">amount received from </w:t>
      </w:r>
      <w:r w:rsidR="008B570B">
        <w:rPr>
          <w:rFonts w:cs="Arial"/>
          <w:szCs w:val="24"/>
        </w:rPr>
        <w:t>Zurich</w:t>
      </w:r>
      <w:r w:rsidR="002135AF">
        <w:rPr>
          <w:rFonts w:cs="Arial"/>
          <w:szCs w:val="24"/>
        </w:rPr>
        <w:t xml:space="preserve"> </w:t>
      </w:r>
      <w:r w:rsidR="00E474AA">
        <w:rPr>
          <w:rFonts w:cs="Arial"/>
          <w:szCs w:val="24"/>
        </w:rPr>
        <w:t xml:space="preserve">(amounting to approximately R500, 000) </w:t>
      </w:r>
      <w:r w:rsidR="002135AF">
        <w:rPr>
          <w:rFonts w:cs="Arial"/>
          <w:szCs w:val="24"/>
        </w:rPr>
        <w:t xml:space="preserve">over to the </w:t>
      </w:r>
      <w:r w:rsidR="002135AF" w:rsidRPr="008B570B">
        <w:rPr>
          <w:rFonts w:cs="Arial"/>
          <w:szCs w:val="24"/>
        </w:rPr>
        <w:t>appellant</w:t>
      </w:r>
      <w:r w:rsidR="008B570B" w:rsidRPr="008B570B">
        <w:rPr>
          <w:rFonts w:cs="Arial"/>
          <w:szCs w:val="24"/>
        </w:rPr>
        <w:t>.</w:t>
      </w:r>
    </w:p>
    <w:p w14:paraId="0690E114" w14:textId="3C28E03C" w:rsidR="000B0BF2" w:rsidRPr="000B0BF2" w:rsidRDefault="000B0BF2" w:rsidP="00331526">
      <w:pPr>
        <w:pStyle w:val="LC1"/>
        <w:keepNext/>
        <w:numPr>
          <w:ilvl w:val="0"/>
          <w:numId w:val="0"/>
        </w:numPr>
        <w:rPr>
          <w:u w:val="single"/>
        </w:rPr>
      </w:pPr>
      <w:r w:rsidRPr="000B0BF2">
        <w:rPr>
          <w:u w:val="single"/>
        </w:rPr>
        <w:t xml:space="preserve">The Magistrate’s </w:t>
      </w:r>
      <w:r>
        <w:rPr>
          <w:u w:val="single"/>
        </w:rPr>
        <w:t>judgment granting absolution from the instance</w:t>
      </w:r>
    </w:p>
    <w:p w14:paraId="29D61339" w14:textId="0D2E583A" w:rsidR="00E9557D" w:rsidRDefault="00E9557D" w:rsidP="002E7366">
      <w:pPr>
        <w:pStyle w:val="LC1"/>
      </w:pPr>
      <w:r>
        <w:rPr>
          <w:rFonts w:cs="Arial"/>
          <w:szCs w:val="24"/>
        </w:rPr>
        <w:t xml:space="preserve">The </w:t>
      </w:r>
      <w:r w:rsidRPr="000B1029">
        <w:rPr>
          <w:rFonts w:cs="Arial"/>
          <w:szCs w:val="24"/>
        </w:rPr>
        <w:t xml:space="preserve">appellant </w:t>
      </w:r>
      <w:r>
        <w:rPr>
          <w:rFonts w:cs="Arial"/>
          <w:szCs w:val="24"/>
        </w:rPr>
        <w:t xml:space="preserve">alleges in paragraph 12 of its particulars of claim </w:t>
      </w:r>
      <w:r w:rsidRPr="000B1029">
        <w:rPr>
          <w:rFonts w:cs="Arial"/>
          <w:szCs w:val="24"/>
        </w:rPr>
        <w:t xml:space="preserve">that </w:t>
      </w:r>
      <w:r>
        <w:rPr>
          <w:rFonts w:cs="Arial"/>
          <w:szCs w:val="24"/>
        </w:rPr>
        <w:t xml:space="preserve">in terms of </w:t>
      </w:r>
      <w:r w:rsidRPr="000B1029">
        <w:rPr>
          <w:rFonts w:eastAsia="Cambria"/>
        </w:rPr>
        <w:t>the material express, tacit or implied terms of the MOA</w:t>
      </w:r>
      <w:r>
        <w:rPr>
          <w:rFonts w:eastAsia="Cambria"/>
        </w:rPr>
        <w:t>,</w:t>
      </w:r>
      <w:r w:rsidRPr="000B1029">
        <w:rPr>
          <w:rFonts w:eastAsia="Cambria"/>
        </w:rPr>
        <w:t xml:space="preserve"> </w:t>
      </w:r>
      <w:r w:rsidRPr="008B570B">
        <w:rPr>
          <w:rFonts w:eastAsia="Cambria"/>
        </w:rPr>
        <w:t>alternatively</w:t>
      </w:r>
      <w:r w:rsidRPr="000B1029">
        <w:rPr>
          <w:rFonts w:eastAsia="Cambria"/>
          <w:i/>
          <w:iCs/>
        </w:rPr>
        <w:t xml:space="preserve"> </w:t>
      </w:r>
      <w:r>
        <w:rPr>
          <w:rFonts w:eastAsia="Cambria"/>
        </w:rPr>
        <w:t xml:space="preserve">in </w:t>
      </w:r>
      <w:r w:rsidRPr="000B1029">
        <w:rPr>
          <w:rFonts w:eastAsia="Cambria"/>
        </w:rPr>
        <w:t>terms of the MOA properly construed</w:t>
      </w:r>
      <w:r>
        <w:rPr>
          <w:rFonts w:eastAsia="Cambria"/>
        </w:rPr>
        <w:t>,</w:t>
      </w:r>
      <w:r w:rsidRPr="000B1029">
        <w:rPr>
          <w:rFonts w:eastAsia="Cambria"/>
        </w:rPr>
        <w:t xml:space="preserve"> </w:t>
      </w:r>
      <w:r>
        <w:rPr>
          <w:rFonts w:eastAsia="Cambria"/>
        </w:rPr>
        <w:t>the respondent “</w:t>
      </w:r>
      <w:r w:rsidRPr="008B570B">
        <w:rPr>
          <w:rFonts w:eastAsia="Cambria"/>
          <w:i/>
          <w:iCs/>
        </w:rPr>
        <w:t>accepted liability</w:t>
      </w:r>
      <w:r>
        <w:rPr>
          <w:rFonts w:eastAsia="Cambria"/>
        </w:rPr>
        <w:t>”</w:t>
      </w:r>
      <w:r w:rsidRPr="000B1029">
        <w:rPr>
          <w:rFonts w:eastAsia="Cambria"/>
        </w:rPr>
        <w:t xml:space="preserve"> to the </w:t>
      </w:r>
      <w:r>
        <w:rPr>
          <w:rFonts w:eastAsia="Cambria"/>
        </w:rPr>
        <w:t>appellant “</w:t>
      </w:r>
      <w:r w:rsidRPr="002135AF">
        <w:rPr>
          <w:rFonts w:eastAsia="Cambria"/>
          <w:i/>
          <w:iCs/>
        </w:rPr>
        <w:t>for inter alia payment of the aggregate amount</w:t>
      </w:r>
      <w:r>
        <w:rPr>
          <w:rFonts w:eastAsia="Cambria"/>
        </w:rPr>
        <w:t>” of the quotations.</w:t>
      </w:r>
    </w:p>
    <w:p w14:paraId="2133FD10" w14:textId="4CFFD537" w:rsidR="008158A3" w:rsidRDefault="003B0CEB" w:rsidP="002E7366">
      <w:pPr>
        <w:pStyle w:val="LC1"/>
      </w:pPr>
      <w:r w:rsidRPr="00375ECF">
        <w:t>The issue</w:t>
      </w:r>
      <w:r w:rsidR="00695818" w:rsidRPr="00375ECF">
        <w:t xml:space="preserve"> for current determination</w:t>
      </w:r>
      <w:r w:rsidRPr="00375ECF">
        <w:t xml:space="preserve"> arises from the </w:t>
      </w:r>
      <w:r w:rsidR="00695818" w:rsidRPr="00375ECF">
        <w:t xml:space="preserve">Magistrate’s </w:t>
      </w:r>
      <w:r w:rsidR="000B0BF2">
        <w:t xml:space="preserve">grant of absolution, which was based on her finding </w:t>
      </w:r>
      <w:r w:rsidR="003A0C66" w:rsidRPr="00375ECF">
        <w:t xml:space="preserve">that the </w:t>
      </w:r>
      <w:r w:rsidRPr="00375ECF">
        <w:t xml:space="preserve">true </w:t>
      </w:r>
      <w:r w:rsidR="003A0C66" w:rsidRPr="00375ECF">
        <w:t xml:space="preserve">effect of the MOA </w:t>
      </w:r>
      <w:r w:rsidR="00997798">
        <w:t xml:space="preserve">is </w:t>
      </w:r>
      <w:r w:rsidRPr="00375ECF">
        <w:t xml:space="preserve">that </w:t>
      </w:r>
      <w:r w:rsidR="00375ECF">
        <w:t xml:space="preserve">the respondent </w:t>
      </w:r>
      <w:r w:rsidR="000B0BF2">
        <w:t xml:space="preserve">is </w:t>
      </w:r>
      <w:r w:rsidR="008B570B" w:rsidRPr="00375ECF">
        <w:t xml:space="preserve">not </w:t>
      </w:r>
      <w:r w:rsidRPr="00375ECF">
        <w:t xml:space="preserve">liable to pay </w:t>
      </w:r>
      <w:r w:rsidR="008158A3">
        <w:t xml:space="preserve">any outstanding </w:t>
      </w:r>
      <w:r w:rsidRPr="00375ECF">
        <w:t>amount</w:t>
      </w:r>
      <w:r w:rsidR="008158A3">
        <w:t xml:space="preserve"> because “</w:t>
      </w:r>
      <w:r w:rsidR="008158A3" w:rsidRPr="002F2F4F">
        <w:rPr>
          <w:i/>
          <w:iCs/>
        </w:rPr>
        <w:t xml:space="preserve">objectively assessed, the clear terms of [the MOA] proves that the [respondent] did not contract to be personally liable to the </w:t>
      </w:r>
      <w:r w:rsidR="002F2F4F" w:rsidRPr="002F2F4F">
        <w:rPr>
          <w:i/>
          <w:iCs/>
        </w:rPr>
        <w:t xml:space="preserve">[appellant] </w:t>
      </w:r>
      <w:r w:rsidR="008158A3" w:rsidRPr="002F2F4F">
        <w:rPr>
          <w:i/>
          <w:iCs/>
        </w:rPr>
        <w:t>for the work falling within the scope of the insurance claim, more so not, if payment was made by Zurich</w:t>
      </w:r>
      <w:r w:rsidR="002F2F4F">
        <w:t>”.</w:t>
      </w:r>
      <w:r w:rsidR="00E474AA">
        <w:rPr>
          <w:rStyle w:val="FootnoteReference"/>
        </w:rPr>
        <w:footnoteReference w:id="1"/>
      </w:r>
      <w:r w:rsidR="008158A3">
        <w:t xml:space="preserve"> </w:t>
      </w:r>
    </w:p>
    <w:p w14:paraId="333B4D3B" w14:textId="5154D8B2" w:rsidR="005F5E6E" w:rsidRPr="004B5DB2" w:rsidRDefault="006800D5" w:rsidP="00DF4840">
      <w:pPr>
        <w:pStyle w:val="LC1"/>
        <w:spacing w:after="120"/>
        <w:rPr>
          <w:rFonts w:cs="Arial"/>
          <w:szCs w:val="24"/>
        </w:rPr>
      </w:pPr>
      <w:r w:rsidRPr="004B5DB2">
        <w:rPr>
          <w:rFonts w:cs="Arial"/>
          <w:szCs w:val="24"/>
        </w:rPr>
        <w:t>After correctly identifying the test for absolution</w:t>
      </w:r>
      <w:r w:rsidR="004B5DB2">
        <w:t>,</w:t>
      </w:r>
      <w:r w:rsidRPr="00E9254D">
        <w:rPr>
          <w:rStyle w:val="FootnoteReference"/>
        </w:rPr>
        <w:footnoteReference w:id="2"/>
      </w:r>
      <w:r w:rsidR="004B5DB2">
        <w:t xml:space="preserve"> </w:t>
      </w:r>
      <w:r w:rsidR="00695818">
        <w:t xml:space="preserve">the Magistrate </w:t>
      </w:r>
      <w:r w:rsidR="003A0C66" w:rsidRPr="004B5DB2">
        <w:rPr>
          <w:rFonts w:cs="Arial"/>
          <w:szCs w:val="24"/>
        </w:rPr>
        <w:t>found that the appellant</w:t>
      </w:r>
      <w:r w:rsidR="004B5DB2">
        <w:rPr>
          <w:rFonts w:cs="Arial"/>
          <w:szCs w:val="24"/>
        </w:rPr>
        <w:t xml:space="preserve"> </w:t>
      </w:r>
      <w:r w:rsidR="003A0C66" w:rsidRPr="004B5DB2">
        <w:rPr>
          <w:rFonts w:cs="Arial"/>
          <w:szCs w:val="24"/>
        </w:rPr>
        <w:t xml:space="preserve">had not made out a </w:t>
      </w:r>
      <w:r w:rsidR="003A0C66" w:rsidRPr="004B5DB2">
        <w:rPr>
          <w:rFonts w:cs="Arial"/>
          <w:i/>
          <w:iCs/>
          <w:szCs w:val="24"/>
        </w:rPr>
        <w:t>prima facie</w:t>
      </w:r>
      <w:r w:rsidR="003A0C66" w:rsidRPr="004B5DB2">
        <w:rPr>
          <w:rFonts w:cs="Arial"/>
          <w:szCs w:val="24"/>
        </w:rPr>
        <w:t xml:space="preserve"> case </w:t>
      </w:r>
      <w:r w:rsidR="006501DF" w:rsidRPr="004B5DB2">
        <w:rPr>
          <w:rFonts w:cs="Arial"/>
          <w:szCs w:val="24"/>
        </w:rPr>
        <w:t xml:space="preserve">that the respondent </w:t>
      </w:r>
      <w:r w:rsidR="0071369A" w:rsidRPr="004B5DB2">
        <w:rPr>
          <w:rFonts w:cs="Arial"/>
          <w:szCs w:val="24"/>
        </w:rPr>
        <w:t xml:space="preserve">is </w:t>
      </w:r>
      <w:r w:rsidR="006501DF" w:rsidRPr="004B5DB2">
        <w:rPr>
          <w:rFonts w:cs="Arial"/>
          <w:szCs w:val="24"/>
        </w:rPr>
        <w:t>contractually liable for the work done</w:t>
      </w:r>
      <w:r w:rsidR="002F2F4F">
        <w:rPr>
          <w:rFonts w:cs="Arial"/>
          <w:szCs w:val="24"/>
        </w:rPr>
        <w:t xml:space="preserve"> by the appellant</w:t>
      </w:r>
      <w:r w:rsidR="006501DF" w:rsidRPr="004B5DB2">
        <w:rPr>
          <w:rFonts w:cs="Arial"/>
          <w:szCs w:val="24"/>
        </w:rPr>
        <w:t xml:space="preserve">. </w:t>
      </w:r>
      <w:r w:rsidR="000B0BF2">
        <w:rPr>
          <w:rFonts w:cs="Arial"/>
          <w:szCs w:val="24"/>
        </w:rPr>
        <w:t>In summary, t</w:t>
      </w:r>
      <w:r w:rsidR="006501DF" w:rsidRPr="004B5DB2">
        <w:rPr>
          <w:rFonts w:cs="Arial"/>
          <w:szCs w:val="24"/>
        </w:rPr>
        <w:t xml:space="preserve">he Magistrate’s reasoning </w:t>
      </w:r>
      <w:r w:rsidR="006501DF" w:rsidRPr="004B5DB2">
        <w:rPr>
          <w:rFonts w:cs="Arial"/>
          <w:szCs w:val="24"/>
        </w:rPr>
        <w:lastRenderedPageBreak/>
        <w:t>was as follows:</w:t>
      </w:r>
    </w:p>
    <w:p w14:paraId="4B672E4D" w14:textId="3FE426CC" w:rsidR="00E474AA" w:rsidRDefault="00E474AA" w:rsidP="00E474AA">
      <w:pPr>
        <w:pStyle w:val="LC2"/>
      </w:pPr>
      <w:r>
        <w:t>Since the MOA is a written document, the parol evidence rule requires that its express content “</w:t>
      </w:r>
      <w:r w:rsidRPr="0071369A">
        <w:rPr>
          <w:i/>
          <w:iCs/>
        </w:rPr>
        <w:t>stands as the only evidence of the terms of the contract and a contracting party is not allowed to submit evidence in the form of agreements reached before or simultaneously with the conclusion of the integrated written agreement, which contradict, alter or add to the terms of the written agreement</w:t>
      </w:r>
      <w:r>
        <w:t xml:space="preserve">”. As such the Magistrate held that Engelbrecht’s evidence regarding the conclusion of the first agreement between the parties </w:t>
      </w:r>
      <w:r w:rsidR="00002741">
        <w:t xml:space="preserve">is </w:t>
      </w:r>
      <w:r>
        <w:t>“</w:t>
      </w:r>
      <w:r w:rsidRPr="002F2F4F">
        <w:rPr>
          <w:i/>
          <w:iCs/>
        </w:rPr>
        <w:t>of no consequence</w:t>
      </w:r>
      <w:r>
        <w:t>”.</w:t>
      </w:r>
      <w:r>
        <w:rPr>
          <w:rStyle w:val="FootnoteReference"/>
        </w:rPr>
        <w:footnoteReference w:id="3"/>
      </w:r>
    </w:p>
    <w:p w14:paraId="201F5C23" w14:textId="640FF35E" w:rsidR="00A03DD0" w:rsidRDefault="00A03DD0" w:rsidP="00E474AA">
      <w:pPr>
        <w:pStyle w:val="LC2"/>
      </w:pPr>
      <w:r>
        <w:t>The terms of the MOA are “</w:t>
      </w:r>
      <w:r w:rsidRPr="00A03DD0">
        <w:rPr>
          <w:i/>
          <w:iCs/>
        </w:rPr>
        <w:t>clear and unambiguous</w:t>
      </w:r>
      <w:r>
        <w:t>” to the effect that:</w:t>
      </w:r>
      <w:r w:rsidR="000B0BF2">
        <w:rPr>
          <w:rStyle w:val="FootnoteReference"/>
        </w:rPr>
        <w:footnoteReference w:id="4"/>
      </w:r>
    </w:p>
    <w:p w14:paraId="14720B7F" w14:textId="46FE3F9B" w:rsidR="00A03DD0" w:rsidRDefault="002F2F4F" w:rsidP="00A03DD0">
      <w:pPr>
        <w:pStyle w:val="LC2"/>
        <w:numPr>
          <w:ilvl w:val="2"/>
          <w:numId w:val="35"/>
        </w:numPr>
      </w:pPr>
      <w:r>
        <w:t xml:space="preserve">the appellant confirmed that </w:t>
      </w:r>
      <w:r w:rsidR="00A03DD0">
        <w:t>De Kock authorised the work “</w:t>
      </w:r>
      <w:r w:rsidR="00A03DD0" w:rsidRPr="00981CF8">
        <w:rPr>
          <w:i/>
          <w:iCs/>
        </w:rPr>
        <w:t xml:space="preserve">directly to </w:t>
      </w:r>
      <w:r w:rsidR="00981CF8" w:rsidRPr="00981CF8">
        <w:rPr>
          <w:i/>
          <w:iCs/>
        </w:rPr>
        <w:t>the representative of the [appellant</w:t>
      </w:r>
      <w:r w:rsidR="00981CF8">
        <w:t xml:space="preserve">]” (i.e. Engelbrecht); </w:t>
      </w:r>
    </w:p>
    <w:p w14:paraId="2829A5B5" w14:textId="40BBCC55" w:rsidR="00981CF8" w:rsidRDefault="00981CF8" w:rsidP="003E5B44">
      <w:pPr>
        <w:pStyle w:val="LC2"/>
        <w:numPr>
          <w:ilvl w:val="2"/>
          <w:numId w:val="35"/>
        </w:numPr>
      </w:pPr>
      <w:r>
        <w:t>“</w:t>
      </w:r>
      <w:r w:rsidRPr="00981CF8">
        <w:rPr>
          <w:i/>
          <w:iCs/>
        </w:rPr>
        <w:t>the amounts referred to in paragraph 3 of the [MOA are] outstanding by the insurer Zurich</w:t>
      </w:r>
      <w:r>
        <w:t>”</w:t>
      </w:r>
      <w:r w:rsidR="004B5DB2">
        <w:t>;</w:t>
      </w:r>
      <w:r w:rsidR="00EB2388">
        <w:t xml:space="preserve"> </w:t>
      </w:r>
    </w:p>
    <w:p w14:paraId="0C0DDBFF" w14:textId="6DBF1157" w:rsidR="002F2F4F" w:rsidRDefault="002F2F4F" w:rsidP="006740B5">
      <w:pPr>
        <w:pStyle w:val="LC2"/>
        <w:numPr>
          <w:ilvl w:val="2"/>
          <w:numId w:val="35"/>
        </w:numPr>
      </w:pPr>
      <w:r>
        <w:t>in terms of paragraph 5</w:t>
      </w:r>
      <w:r w:rsidR="00E474AA">
        <w:t xml:space="preserve"> of the MOA</w:t>
      </w:r>
      <w:r>
        <w:t>, “</w:t>
      </w:r>
      <w:r>
        <w:rPr>
          <w:i/>
          <w:iCs/>
        </w:rPr>
        <w:t>t</w:t>
      </w:r>
      <w:r w:rsidRPr="002F2F4F">
        <w:rPr>
          <w:i/>
          <w:iCs/>
        </w:rPr>
        <w:t xml:space="preserve">he parties agreed that </w:t>
      </w:r>
      <w:r w:rsidR="00EB2388" w:rsidRPr="002F2F4F">
        <w:rPr>
          <w:i/>
          <w:iCs/>
        </w:rPr>
        <w:t xml:space="preserve">Zurich </w:t>
      </w:r>
      <w:r w:rsidRPr="002F2F4F">
        <w:rPr>
          <w:i/>
          <w:iCs/>
        </w:rPr>
        <w:t>…</w:t>
      </w:r>
      <w:r>
        <w:t xml:space="preserve"> </w:t>
      </w:r>
      <w:r w:rsidR="00EB2388" w:rsidRPr="002F2F4F">
        <w:rPr>
          <w:i/>
          <w:iCs/>
        </w:rPr>
        <w:t>accepted liability for indebtedness to the [respondent] as the insured, i</w:t>
      </w:r>
      <w:r w:rsidR="00E474AA">
        <w:rPr>
          <w:i/>
          <w:iCs/>
        </w:rPr>
        <w:t>.</w:t>
      </w:r>
      <w:r w:rsidR="00EB2388" w:rsidRPr="002F2F4F">
        <w:rPr>
          <w:i/>
          <w:iCs/>
        </w:rPr>
        <w:t>e</w:t>
      </w:r>
      <w:r w:rsidR="00E474AA">
        <w:rPr>
          <w:i/>
          <w:iCs/>
        </w:rPr>
        <w:t xml:space="preserve">. </w:t>
      </w:r>
      <w:r w:rsidR="00EB2388" w:rsidRPr="002F2F4F">
        <w:rPr>
          <w:i/>
          <w:iCs/>
        </w:rPr>
        <w:t>his claim was in principle approved</w:t>
      </w:r>
      <w:r w:rsidR="00EB2388">
        <w:t>”</w:t>
      </w:r>
      <w:r>
        <w:t>;</w:t>
      </w:r>
      <w:r w:rsidR="00EB2388">
        <w:t xml:space="preserve"> </w:t>
      </w:r>
    </w:p>
    <w:p w14:paraId="07754464" w14:textId="3F0A0B05" w:rsidR="00EB2388" w:rsidRDefault="002F2F4F" w:rsidP="006740B5">
      <w:pPr>
        <w:pStyle w:val="LC2"/>
        <w:numPr>
          <w:ilvl w:val="2"/>
          <w:numId w:val="35"/>
        </w:numPr>
      </w:pPr>
      <w:r>
        <w:t xml:space="preserve">because the appellant was not an accredited service provider to Zurich, its </w:t>
      </w:r>
      <w:r w:rsidR="00EB2388">
        <w:t>“</w:t>
      </w:r>
      <w:r w:rsidR="00EB2388" w:rsidRPr="002F2F4F">
        <w:rPr>
          <w:i/>
          <w:iCs/>
        </w:rPr>
        <w:t>payments towards the work done [were] to be made to the [respondent] and not the [appellant] directly</w:t>
      </w:r>
      <w:r w:rsidRPr="002F2F4F">
        <w:rPr>
          <w:i/>
          <w:iCs/>
        </w:rPr>
        <w:t xml:space="preserve"> albeit that … De Kock representing Zurich instructed Engelbrecht</w:t>
      </w:r>
      <w:r w:rsidR="00E474AA">
        <w:rPr>
          <w:i/>
          <w:iCs/>
        </w:rPr>
        <w:t xml:space="preserve"> </w:t>
      </w:r>
      <w:r w:rsidRPr="002F2F4F">
        <w:rPr>
          <w:i/>
          <w:iCs/>
        </w:rPr>
        <w:t>directly to do the work within the scope of the insurance claim</w:t>
      </w:r>
      <w:r w:rsidR="00EB2388">
        <w:t>”;</w:t>
      </w:r>
      <w:r w:rsidR="00E474AA">
        <w:t xml:space="preserve"> and</w:t>
      </w:r>
    </w:p>
    <w:p w14:paraId="5324AADD" w14:textId="1513EA71" w:rsidR="00EB2388" w:rsidRDefault="002F2F4F" w:rsidP="00DA1C36">
      <w:pPr>
        <w:pStyle w:val="LC2"/>
        <w:numPr>
          <w:ilvl w:val="2"/>
          <w:numId w:val="35"/>
        </w:numPr>
      </w:pPr>
      <w:r>
        <w:t>in terms of paragraph 9</w:t>
      </w:r>
      <w:r w:rsidR="00E474AA">
        <w:t xml:space="preserve"> of the MOA,</w:t>
      </w:r>
      <w:r>
        <w:t xml:space="preserve"> </w:t>
      </w:r>
      <w:r w:rsidR="004D00ED">
        <w:t>(which “</w:t>
      </w:r>
      <w:r w:rsidR="004D00ED" w:rsidRPr="004D00ED">
        <w:rPr>
          <w:i/>
          <w:iCs/>
        </w:rPr>
        <w:t>is resolutive in nature</w:t>
      </w:r>
      <w:r w:rsidR="004D00ED">
        <w:t>”)</w:t>
      </w:r>
      <w:r>
        <w:t xml:space="preserve">, </w:t>
      </w:r>
      <w:r w:rsidR="00EB2388">
        <w:t>the respondent only “</w:t>
      </w:r>
      <w:r w:rsidR="00EB2388" w:rsidRPr="00EB2388">
        <w:rPr>
          <w:i/>
          <w:iCs/>
        </w:rPr>
        <w:t xml:space="preserve">accepted liability </w:t>
      </w:r>
      <w:r w:rsidR="00EB2388" w:rsidRPr="007F0029">
        <w:rPr>
          <w:i/>
          <w:iCs/>
        </w:rPr>
        <w:t>to the [appellant]</w:t>
      </w:r>
      <w:r w:rsidR="00EB2388" w:rsidRPr="00EB2388">
        <w:rPr>
          <w:i/>
          <w:iCs/>
        </w:rPr>
        <w:t xml:space="preserve"> </w:t>
      </w:r>
      <w:r w:rsidR="00EB2388" w:rsidRPr="00EB2388">
        <w:rPr>
          <w:i/>
          <w:iCs/>
          <w:u w:val="single"/>
        </w:rPr>
        <w:t>up and until</w:t>
      </w:r>
      <w:r w:rsidR="00EB2388" w:rsidRPr="00EB2388">
        <w:rPr>
          <w:i/>
          <w:iCs/>
        </w:rPr>
        <w:t xml:space="preserve"> the outstanding amount owed by Zurich is paid</w:t>
      </w:r>
      <w:r w:rsidR="004D00ED">
        <w:t xml:space="preserve"> </w:t>
      </w:r>
      <w:r w:rsidR="004D00ED" w:rsidRPr="004D00ED">
        <w:rPr>
          <w:i/>
          <w:iCs/>
        </w:rPr>
        <w:t>and for him</w:t>
      </w:r>
      <w:r w:rsidR="004D00ED">
        <w:t xml:space="preserve"> </w:t>
      </w:r>
      <w:r w:rsidRPr="004D00ED">
        <w:rPr>
          <w:i/>
          <w:iCs/>
        </w:rPr>
        <w:t xml:space="preserve">to pay interest on the outstanding amount in the event that it is not </w:t>
      </w:r>
      <w:r w:rsidR="004D00ED" w:rsidRPr="004D00ED">
        <w:rPr>
          <w:i/>
          <w:iCs/>
        </w:rPr>
        <w:t xml:space="preserve">paid </w:t>
      </w:r>
      <w:r w:rsidRPr="004D00ED">
        <w:rPr>
          <w:i/>
          <w:iCs/>
        </w:rPr>
        <w:t>by 1 July 2014</w:t>
      </w:r>
      <w:r w:rsidR="004D00ED">
        <w:t>”.</w:t>
      </w:r>
    </w:p>
    <w:p w14:paraId="533436B4" w14:textId="1AC60783" w:rsidR="00A03DD0" w:rsidRDefault="00A03DD0" w:rsidP="0071369A">
      <w:pPr>
        <w:pStyle w:val="LC1"/>
      </w:pPr>
      <w:r>
        <w:lastRenderedPageBreak/>
        <w:t xml:space="preserve">I disagree with the </w:t>
      </w:r>
      <w:r w:rsidR="00D27810">
        <w:t xml:space="preserve">Magistrate’s reasoning and the </w:t>
      </w:r>
      <w:r>
        <w:t xml:space="preserve">conclusion </w:t>
      </w:r>
      <w:r w:rsidR="00981CF8">
        <w:t>that</w:t>
      </w:r>
      <w:r w:rsidR="005241F9">
        <w:t xml:space="preserve"> </w:t>
      </w:r>
      <w:r w:rsidR="00D27810">
        <w:t xml:space="preserve">she </w:t>
      </w:r>
      <w:r w:rsidR="00981CF8">
        <w:t>reached in relation to the respondent’s application for absolution from the instance</w:t>
      </w:r>
      <w:r w:rsidR="002F5E85">
        <w:t>. This is</w:t>
      </w:r>
      <w:r w:rsidR="00D27810">
        <w:t xml:space="preserve"> for four separate and independent reasons.</w:t>
      </w:r>
    </w:p>
    <w:p w14:paraId="6A6A4326" w14:textId="23068597" w:rsidR="00D27810" w:rsidRPr="00D27810" w:rsidRDefault="00D27810" w:rsidP="00331526">
      <w:pPr>
        <w:pStyle w:val="LC1"/>
        <w:keepNext/>
        <w:numPr>
          <w:ilvl w:val="0"/>
          <w:numId w:val="0"/>
        </w:numPr>
        <w:rPr>
          <w:u w:val="single"/>
        </w:rPr>
      </w:pPr>
      <w:r w:rsidRPr="00D27810">
        <w:rPr>
          <w:u w:val="single"/>
        </w:rPr>
        <w:t xml:space="preserve">There </w:t>
      </w:r>
      <w:r w:rsidR="00002741">
        <w:rPr>
          <w:u w:val="single"/>
        </w:rPr>
        <w:t xml:space="preserve">is </w:t>
      </w:r>
      <w:r w:rsidRPr="00D27810">
        <w:rPr>
          <w:u w:val="single"/>
        </w:rPr>
        <w:t xml:space="preserve">no dispute on the pleadings that the respondent </w:t>
      </w:r>
      <w:r w:rsidR="00002741">
        <w:rPr>
          <w:u w:val="single"/>
        </w:rPr>
        <w:t xml:space="preserve">is </w:t>
      </w:r>
      <w:r w:rsidRPr="00D27810">
        <w:rPr>
          <w:u w:val="single"/>
        </w:rPr>
        <w:t>liable under the MOA</w:t>
      </w:r>
    </w:p>
    <w:p w14:paraId="43D9FEFA" w14:textId="0E4FB1CD" w:rsidR="004D00ED" w:rsidRDefault="00D27810" w:rsidP="004D00ED">
      <w:pPr>
        <w:pStyle w:val="LC1"/>
      </w:pPr>
      <w:r>
        <w:t>In the first place</w:t>
      </w:r>
      <w:r w:rsidR="004D00ED">
        <w:t xml:space="preserve">, the Magistrate’s conclusion with regard to the effect of the MOA </w:t>
      </w:r>
      <w:r>
        <w:t xml:space="preserve">is </w:t>
      </w:r>
      <w:r w:rsidR="004D00ED">
        <w:t xml:space="preserve">in conflict with the </w:t>
      </w:r>
      <w:r w:rsidR="004D00ED" w:rsidRPr="00375ECF">
        <w:t xml:space="preserve">respondent’s </w:t>
      </w:r>
      <w:r w:rsidR="004D00ED">
        <w:t xml:space="preserve">own </w:t>
      </w:r>
      <w:r w:rsidR="004D00ED" w:rsidRPr="00375ECF">
        <w:t xml:space="preserve">pleaded case. The case pleaded by the respondent </w:t>
      </w:r>
      <w:r w:rsidR="00002741">
        <w:t xml:space="preserve">is </w:t>
      </w:r>
      <w:r w:rsidR="00E91294">
        <w:t xml:space="preserve">effectively one of confession and avoidance, namely </w:t>
      </w:r>
      <w:r w:rsidR="004D00ED" w:rsidRPr="00375ECF">
        <w:t xml:space="preserve">that the MOA </w:t>
      </w:r>
      <w:r w:rsidR="004D00ED">
        <w:t xml:space="preserve">did indeed </w:t>
      </w:r>
      <w:r w:rsidR="004D00ED" w:rsidRPr="00375ECF">
        <w:t xml:space="preserve">provide that the respondent </w:t>
      </w:r>
      <w:r w:rsidR="004D00ED">
        <w:t>“</w:t>
      </w:r>
      <w:r w:rsidR="004D00ED" w:rsidRPr="002F2F4F">
        <w:rPr>
          <w:i/>
          <w:iCs/>
        </w:rPr>
        <w:t xml:space="preserve">will accept liability towards the [appellant] should Zurich repudiate the claim or refuses to make payment of the claim by the </w:t>
      </w:r>
      <w:r w:rsidR="00237B32">
        <w:rPr>
          <w:i/>
          <w:iCs/>
        </w:rPr>
        <w:t>[appellant]</w:t>
      </w:r>
      <w:r w:rsidR="004D00ED">
        <w:t>” but that “</w:t>
      </w:r>
      <w:r w:rsidR="004D00ED" w:rsidRPr="008158A3">
        <w:rPr>
          <w:i/>
          <w:iCs/>
        </w:rPr>
        <w:t xml:space="preserve">Zurich appointed a Quantity Surveyor to assess the claim of the [appellant], which claim had been settled with the [appellant] … [and the respondent] paid the [appellant] the amount settled with Zurich, as agreed with the [appellant] in full. The </w:t>
      </w:r>
      <w:r w:rsidR="00237B32">
        <w:rPr>
          <w:i/>
          <w:iCs/>
        </w:rPr>
        <w:t xml:space="preserve">[appellant’s] </w:t>
      </w:r>
      <w:r w:rsidR="004D00ED" w:rsidRPr="008158A3">
        <w:rPr>
          <w:i/>
          <w:iCs/>
        </w:rPr>
        <w:t>claim against the Defendant had been extinguished on payment of the amount settled with Zurich</w:t>
      </w:r>
      <w:r w:rsidR="004D00ED">
        <w:t>”.</w:t>
      </w:r>
      <w:r w:rsidR="004D00ED">
        <w:rPr>
          <w:rStyle w:val="FootnoteReference"/>
          <w:rFonts w:cs="Arial"/>
          <w:szCs w:val="24"/>
        </w:rPr>
        <w:footnoteReference w:id="5"/>
      </w:r>
    </w:p>
    <w:p w14:paraId="4BB638D1" w14:textId="77777777" w:rsidR="000B497A" w:rsidRDefault="004D00ED" w:rsidP="00304198">
      <w:pPr>
        <w:pStyle w:val="LC1"/>
      </w:pPr>
      <w:r>
        <w:t xml:space="preserve">In view of this plea, the relevant disputed issue between the parties </w:t>
      </w:r>
      <w:r w:rsidR="00655868">
        <w:t xml:space="preserve">is </w:t>
      </w:r>
      <w:r>
        <w:t xml:space="preserve">not whether </w:t>
      </w:r>
      <w:r w:rsidR="00E91294">
        <w:t xml:space="preserve">or not the appellant can prove that </w:t>
      </w:r>
      <w:r>
        <w:t xml:space="preserve">the respondent </w:t>
      </w:r>
      <w:r w:rsidR="00002741">
        <w:t xml:space="preserve">is </w:t>
      </w:r>
      <w:r>
        <w:t xml:space="preserve">liable to the appellant under the MOA (this is common cause), but rather whether the </w:t>
      </w:r>
      <w:r w:rsidR="00E91294">
        <w:t xml:space="preserve">respondent can prove that the </w:t>
      </w:r>
      <w:r>
        <w:t>appellant subsequently agreed to compromise its claim against the respondent by accepting the amount offered by Zuric</w:t>
      </w:r>
    </w:p>
    <w:p w14:paraId="042F0A98" w14:textId="77777777" w:rsidR="000B497A" w:rsidRDefault="000B497A" w:rsidP="00304198">
      <w:pPr>
        <w:pStyle w:val="LC1"/>
      </w:pPr>
    </w:p>
    <w:p w14:paraId="607E6656" w14:textId="039848D7" w:rsidR="004D00ED" w:rsidRDefault="004D00ED" w:rsidP="00304198">
      <w:pPr>
        <w:pStyle w:val="LC1"/>
      </w:pPr>
      <w:r>
        <w:t xml:space="preserve">h as full payment for the work performed. It is beyond comprehension that a </w:t>
      </w:r>
      <w:r w:rsidR="006E5E21">
        <w:t xml:space="preserve">defendant </w:t>
      </w:r>
      <w:r>
        <w:t xml:space="preserve">could be granted absolution from the instance on the basis </w:t>
      </w:r>
      <w:r w:rsidR="006E5E21">
        <w:t>that the plaintiff had failed to establish a fact that is admitted in its pleading.</w:t>
      </w:r>
    </w:p>
    <w:p w14:paraId="10332933" w14:textId="68C634EE" w:rsidR="000B0BF2" w:rsidRPr="000B0BF2" w:rsidRDefault="000B0BF2" w:rsidP="00331526">
      <w:pPr>
        <w:pStyle w:val="LC1"/>
        <w:keepNext/>
        <w:numPr>
          <w:ilvl w:val="0"/>
          <w:numId w:val="0"/>
        </w:numPr>
        <w:rPr>
          <w:u w:val="single"/>
        </w:rPr>
      </w:pPr>
      <w:r w:rsidRPr="000B0BF2">
        <w:rPr>
          <w:u w:val="single"/>
        </w:rPr>
        <w:t>A</w:t>
      </w:r>
      <w:r w:rsidR="006E34EF">
        <w:rPr>
          <w:u w:val="single"/>
        </w:rPr>
        <w:t xml:space="preserve"> court could or might find </w:t>
      </w:r>
      <w:r w:rsidR="00BA471E">
        <w:rPr>
          <w:u w:val="single"/>
        </w:rPr>
        <w:t>the respondent liable on a proper interpretation of the MOA</w:t>
      </w:r>
    </w:p>
    <w:p w14:paraId="42EC5BBB" w14:textId="7F558DF0" w:rsidR="00304198" w:rsidRPr="00D11BBE" w:rsidRDefault="004D00ED" w:rsidP="00304198">
      <w:pPr>
        <w:pStyle w:val="LC1"/>
      </w:pPr>
      <w:r>
        <w:t>Secondly</w:t>
      </w:r>
      <w:r w:rsidR="00090360">
        <w:t xml:space="preserve">, </w:t>
      </w:r>
      <w:r w:rsidR="00B337EA">
        <w:t>the interpretative approach adopted by the Magistrate was incorrect.</w:t>
      </w:r>
      <w:r w:rsidR="00D34792">
        <w:t xml:space="preserve"> It is now clearly established by our highest courts that the </w:t>
      </w:r>
      <w:r w:rsidR="00304198">
        <w:t xml:space="preserve">proper </w:t>
      </w:r>
      <w:r w:rsidR="00D34792">
        <w:t xml:space="preserve">interpretation of </w:t>
      </w:r>
      <w:r w:rsidR="00D34792">
        <w:lastRenderedPageBreak/>
        <w:t xml:space="preserve">written </w:t>
      </w:r>
      <w:r w:rsidR="00304198">
        <w:t>contracts</w:t>
      </w:r>
      <w:r w:rsidR="00D34792">
        <w:t xml:space="preserve"> </w:t>
      </w:r>
      <w:r w:rsidR="00304198">
        <w:t>is a “</w:t>
      </w:r>
      <w:r w:rsidR="00304198" w:rsidRPr="00C631EF">
        <w:rPr>
          <w:i/>
          <w:iCs/>
        </w:rPr>
        <w:t>unitary exercise</w:t>
      </w:r>
      <w:r w:rsidR="00304198">
        <w:t>” involving the simultaneous consideration of text, context and purpose and that “</w:t>
      </w:r>
      <w:r w:rsidR="00304198" w:rsidRPr="00D62AD2">
        <w:rPr>
          <w:i/>
          <w:iCs/>
        </w:rPr>
        <w:t>one considers the context and the language together, with neither predominating over the other</w:t>
      </w:r>
      <w:r w:rsidR="00304198">
        <w:t>”.</w:t>
      </w:r>
      <w:r w:rsidR="004C4154">
        <w:rPr>
          <w:rStyle w:val="FootnoteReference"/>
        </w:rPr>
        <w:footnoteReference w:id="6"/>
      </w:r>
      <w:r w:rsidR="004C4154">
        <w:t xml:space="preserve"> As such,</w:t>
      </w:r>
      <w:r w:rsidR="00304198">
        <w:t xml:space="preserve"> “</w:t>
      </w:r>
      <w:r w:rsidR="004C4154" w:rsidRPr="004C4154">
        <w:rPr>
          <w:i/>
          <w:iCs/>
        </w:rPr>
        <w:t>[a]</w:t>
      </w:r>
      <w:r w:rsidR="00304198">
        <w:rPr>
          <w:i/>
          <w:iCs/>
        </w:rPr>
        <w:t xml:space="preserve"> </w:t>
      </w:r>
      <w:r w:rsidR="00304198" w:rsidRPr="00337B1B">
        <w:rPr>
          <w:i/>
          <w:iCs/>
        </w:rPr>
        <w:t>court interpreting a contract has to, from the onset, consider the contract</w:t>
      </w:r>
      <w:r w:rsidR="00304198">
        <w:rPr>
          <w:i/>
          <w:iCs/>
        </w:rPr>
        <w:t>’</w:t>
      </w:r>
      <w:r w:rsidR="00304198" w:rsidRPr="00337B1B">
        <w:rPr>
          <w:i/>
          <w:iCs/>
        </w:rPr>
        <w:t>s factual matrix, its purpose, the circumstances leading up to its conclusion, and the knowledge at the time of those who negotiated and produced the contract</w:t>
      </w:r>
      <w:r w:rsidR="00304198">
        <w:rPr>
          <w:i/>
          <w:iCs/>
        </w:rPr>
        <w:t>”</w:t>
      </w:r>
      <w:r w:rsidR="004C4154">
        <w:t>,</w:t>
      </w:r>
      <w:r w:rsidR="00304198" w:rsidRPr="00304198">
        <w:rPr>
          <w:rStyle w:val="FootnoteReference"/>
        </w:rPr>
        <w:footnoteReference w:id="7"/>
      </w:r>
      <w:r w:rsidR="00304198">
        <w:t xml:space="preserve"> albeit that </w:t>
      </w:r>
      <w:r w:rsidR="004C4154">
        <w:t>“</w:t>
      </w:r>
      <w:r w:rsidR="004C4154">
        <w:rPr>
          <w:i/>
          <w:iCs/>
        </w:rPr>
        <w:t>i</w:t>
      </w:r>
      <w:r w:rsidR="00304198" w:rsidRPr="00F859DF">
        <w:rPr>
          <w:i/>
          <w:iCs/>
        </w:rPr>
        <w:t>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004C4154">
        <w:rPr>
          <w:i/>
          <w:iCs/>
        </w:rPr>
        <w:t>.</w:t>
      </w:r>
      <w:r w:rsidR="004C4154" w:rsidRPr="00D11BBE">
        <w:t>”</w:t>
      </w:r>
      <w:r w:rsidR="00304198" w:rsidRPr="00D11BBE">
        <w:rPr>
          <w:rStyle w:val="FootnoteReference"/>
        </w:rPr>
        <w:footnoteReference w:id="8"/>
      </w:r>
      <w:r w:rsidR="00304198" w:rsidRPr="00D11BBE">
        <w:t xml:space="preserve"> </w:t>
      </w:r>
    </w:p>
    <w:p w14:paraId="45644AB5" w14:textId="69440AB1" w:rsidR="00854BEE" w:rsidRDefault="00935BF4" w:rsidP="00BF6B89">
      <w:pPr>
        <w:pStyle w:val="LC1"/>
      </w:pPr>
      <w:r>
        <w:t xml:space="preserve">What is more, </w:t>
      </w:r>
      <w:r w:rsidR="002135AF">
        <w:t xml:space="preserve">the Magistrate erred in purporting to apply the parol evidence rule so as to exclude extrinsic evidence for the purposes of interpreting the MOA. In </w:t>
      </w:r>
      <w:r w:rsidR="004C4154" w:rsidRPr="00854BEE">
        <w:rPr>
          <w:i/>
          <w:iCs/>
        </w:rPr>
        <w:t>University of Johannesburg</w:t>
      </w:r>
      <w:r w:rsidR="004C4154">
        <w:t xml:space="preserve"> </w:t>
      </w:r>
      <w:r w:rsidR="00D11BBE">
        <w:t xml:space="preserve">the Constitutional Court </w:t>
      </w:r>
      <w:r w:rsidR="009E1D5C">
        <w:t xml:space="preserve">decisively </w:t>
      </w:r>
      <w:r w:rsidR="00B224A8">
        <w:t>limited the operation of the parol evidence rule to its “</w:t>
      </w:r>
      <w:r w:rsidR="00B224A8" w:rsidRPr="00854BEE">
        <w:rPr>
          <w:i/>
          <w:iCs/>
        </w:rPr>
        <w:t>integration facet</w:t>
      </w:r>
      <w:r w:rsidR="00B224A8">
        <w:t>”</w:t>
      </w:r>
      <w:r w:rsidR="00854BEE" w:rsidRPr="00B224A8">
        <w:rPr>
          <w:rStyle w:val="FootnoteReference"/>
        </w:rPr>
        <w:footnoteReference w:id="9"/>
      </w:r>
      <w:r w:rsidR="00854BEE">
        <w:t xml:space="preserve"> </w:t>
      </w:r>
      <w:r w:rsidR="00D27810">
        <w:t xml:space="preserve">and </w:t>
      </w:r>
      <w:r w:rsidR="00854BEE">
        <w:t xml:space="preserve">roundly rejected </w:t>
      </w:r>
      <w:r>
        <w:t>the “</w:t>
      </w:r>
      <w:r w:rsidRPr="00935BF4">
        <w:rPr>
          <w:i/>
          <w:iCs/>
        </w:rPr>
        <w:t>interpretation facet</w:t>
      </w:r>
      <w:r>
        <w:t>”</w:t>
      </w:r>
      <w:r w:rsidR="00BB5D95">
        <w:t xml:space="preserve"> of the rule</w:t>
      </w:r>
      <w:r w:rsidR="00D827ED">
        <w:t>.</w:t>
      </w:r>
      <w:r>
        <w:rPr>
          <w:rStyle w:val="FootnoteReference"/>
        </w:rPr>
        <w:footnoteReference w:id="10"/>
      </w:r>
      <w:r w:rsidR="00D827ED">
        <w:t xml:space="preserve"> </w:t>
      </w:r>
    </w:p>
    <w:p w14:paraId="79AA8B90" w14:textId="6931CA46" w:rsidR="00DB0B5F" w:rsidRDefault="00DB0B5F" w:rsidP="00131F4E">
      <w:pPr>
        <w:pStyle w:val="LC1"/>
      </w:pPr>
      <w:r>
        <w:t>The text of the MOA is not “</w:t>
      </w:r>
      <w:r w:rsidRPr="00D34792">
        <w:rPr>
          <w:i/>
          <w:iCs/>
        </w:rPr>
        <w:t>clear and ambiguous</w:t>
      </w:r>
      <w:r>
        <w:t xml:space="preserve">” that the respondent </w:t>
      </w:r>
      <w:r w:rsidR="00E91294">
        <w:t xml:space="preserve">is </w:t>
      </w:r>
      <w:r w:rsidR="00655868">
        <w:t xml:space="preserve">not </w:t>
      </w:r>
      <w:r>
        <w:t>liable to the appellant for the work done. It contains no such express stipulation. As noted above</w:t>
      </w:r>
      <w:r w:rsidR="00E91294">
        <w:t>,</w:t>
      </w:r>
      <w:r>
        <w:t xml:space="preserve"> even the respondent did not contend for this interpretation in its plea. </w:t>
      </w:r>
    </w:p>
    <w:p w14:paraId="4C22E15A" w14:textId="75FF49CD" w:rsidR="000B0BF2" w:rsidRDefault="000B0BF2" w:rsidP="00131F4E">
      <w:pPr>
        <w:pStyle w:val="LC1"/>
      </w:pPr>
      <w:r>
        <w:t xml:space="preserve">On the contrary, there are a number of textual indications in the MOA that the parties’ agreement was that the respondent </w:t>
      </w:r>
      <w:r w:rsidR="00002741">
        <w:t xml:space="preserve">is </w:t>
      </w:r>
      <w:r>
        <w:t xml:space="preserve">indeed liable to the </w:t>
      </w:r>
      <w:r w:rsidR="00B94176">
        <w:t>appellant:</w:t>
      </w:r>
    </w:p>
    <w:p w14:paraId="43B2B494" w14:textId="65C4C10F" w:rsidR="00556874" w:rsidRDefault="00556874" w:rsidP="00B94176">
      <w:pPr>
        <w:pStyle w:val="LC2"/>
      </w:pPr>
      <w:r>
        <w:t xml:space="preserve">The fifth recordal of the MOA identifies the scope of the agreement as </w:t>
      </w:r>
      <w:r>
        <w:lastRenderedPageBreak/>
        <w:t xml:space="preserve">relating </w:t>
      </w:r>
      <w:r w:rsidR="00E91294">
        <w:t xml:space="preserve">simply </w:t>
      </w:r>
      <w:r>
        <w:t>to the issue of “</w:t>
      </w:r>
      <w:r w:rsidRPr="00131F4E">
        <w:rPr>
          <w:i/>
          <w:iCs/>
          <w:lang w:val="af-ZA"/>
        </w:rPr>
        <w:t>betaling aan die kontrakteur</w:t>
      </w:r>
      <w:r>
        <w:t>” (i.e. payment</w:t>
      </w:r>
      <w:r w:rsidR="00DB0B5F">
        <w:t xml:space="preserve"> to the appellant</w:t>
      </w:r>
      <w:r>
        <w:t xml:space="preserve">), and not to the issue of </w:t>
      </w:r>
      <w:r w:rsidR="003263B6">
        <w:t xml:space="preserve">whether or not </w:t>
      </w:r>
      <w:r>
        <w:t>the respondent</w:t>
      </w:r>
      <w:r w:rsidR="003263B6">
        <w:t xml:space="preserve"> </w:t>
      </w:r>
      <w:r w:rsidR="00002741">
        <w:t xml:space="preserve">is </w:t>
      </w:r>
      <w:r w:rsidR="003263B6">
        <w:t>liable</w:t>
      </w:r>
      <w:r w:rsidR="00DB0B5F">
        <w:t xml:space="preserve"> to the appellant</w:t>
      </w:r>
      <w:r>
        <w:t>.</w:t>
      </w:r>
    </w:p>
    <w:p w14:paraId="265D0625" w14:textId="3F0286F1" w:rsidR="00040C6B" w:rsidRPr="00E91294" w:rsidRDefault="003263B6" w:rsidP="00B94176">
      <w:pPr>
        <w:pStyle w:val="LC2"/>
        <w:rPr>
          <w:lang w:val="af-ZA"/>
        </w:rPr>
      </w:pPr>
      <w:r w:rsidRPr="00E91294">
        <w:t xml:space="preserve">The </w:t>
      </w:r>
      <w:r w:rsidR="00040C6B" w:rsidRPr="00E91294">
        <w:t xml:space="preserve">appellant’s confirmation </w:t>
      </w:r>
      <w:r w:rsidRPr="00E91294">
        <w:t xml:space="preserve">in clause 3 </w:t>
      </w:r>
      <w:r w:rsidR="00471311">
        <w:t xml:space="preserve">of the MOA </w:t>
      </w:r>
      <w:r w:rsidR="00040C6B" w:rsidRPr="00E91294">
        <w:t xml:space="preserve">that De Kock had </w:t>
      </w:r>
      <w:r w:rsidR="00471311">
        <w:t xml:space="preserve">authorised </w:t>
      </w:r>
      <w:r w:rsidR="00040C6B" w:rsidRPr="00E91294">
        <w:t xml:space="preserve">the work covered by the insurance policy </w:t>
      </w:r>
      <w:r w:rsidR="00471311">
        <w:t xml:space="preserve">directly to </w:t>
      </w:r>
      <w:r w:rsidR="00040C6B" w:rsidRPr="00E91294">
        <w:t xml:space="preserve">the appellant cannot reasonably be read as constituting </w:t>
      </w:r>
      <w:r w:rsidR="00DB0B5F" w:rsidRPr="00E91294">
        <w:t xml:space="preserve">an agreement that the respondent </w:t>
      </w:r>
      <w:r w:rsidR="00002741">
        <w:t xml:space="preserve">is </w:t>
      </w:r>
      <w:r w:rsidR="00DB0B5F" w:rsidRPr="00E91294">
        <w:t xml:space="preserve">not contractually liable to pay for the work done, let alone </w:t>
      </w:r>
      <w:r w:rsidR="00131F4E">
        <w:t xml:space="preserve">constitute </w:t>
      </w:r>
      <w:r w:rsidR="00DB0B5F" w:rsidRPr="00E91294">
        <w:t xml:space="preserve">definitive </w:t>
      </w:r>
      <w:r w:rsidR="00E9557D">
        <w:t xml:space="preserve">proof </w:t>
      </w:r>
      <w:r w:rsidR="00131F4E">
        <w:t>(</w:t>
      </w:r>
      <w:r w:rsidR="00E9557D">
        <w:t xml:space="preserve">i.e. </w:t>
      </w:r>
      <w:r w:rsidR="00131F4E">
        <w:t xml:space="preserve">incapable of </w:t>
      </w:r>
      <w:r w:rsidR="00E9557D">
        <w:t xml:space="preserve">rebuttal by evidence of the true facts) </w:t>
      </w:r>
      <w:r w:rsidR="00040C6B" w:rsidRPr="00E91294">
        <w:t xml:space="preserve">that the appellant had concluded </w:t>
      </w:r>
      <w:r w:rsidR="00E91294" w:rsidRPr="00E91294">
        <w:t xml:space="preserve">the first agreement </w:t>
      </w:r>
      <w:r w:rsidR="00040C6B" w:rsidRPr="00E91294">
        <w:t>with Zurich</w:t>
      </w:r>
      <w:r w:rsidR="00E91294" w:rsidRPr="00E91294">
        <w:t xml:space="preserve">, as the Magistrate appears to have found. This is </w:t>
      </w:r>
      <w:r w:rsidR="00040C6B" w:rsidRPr="00E91294">
        <w:t>especially</w:t>
      </w:r>
      <w:r w:rsidR="00DB0B5F" w:rsidRPr="00E91294">
        <w:t xml:space="preserve"> </w:t>
      </w:r>
      <w:r w:rsidR="00E91294" w:rsidRPr="00E91294">
        <w:t xml:space="preserve">the case </w:t>
      </w:r>
      <w:r w:rsidR="00040C6B" w:rsidRPr="00E91294">
        <w:t>in view of the content of the third recordal, which expressly stated that De Kock had acted beyond his authority</w:t>
      </w:r>
      <w:r w:rsidR="00DB0B5F" w:rsidRPr="00E91294">
        <w:t xml:space="preserve"> in authorising the work. Given that </w:t>
      </w:r>
      <w:r w:rsidR="00040C6B" w:rsidRPr="00E91294">
        <w:t>Zurich was not a party to the MOA, it would be absurd to suggest that the parties’ conclusion of the MOA could have created a contractual relationship between the appellant and Zurich that had not previously existed.</w:t>
      </w:r>
    </w:p>
    <w:p w14:paraId="22B971D2" w14:textId="5C03E2D7" w:rsidR="00556874" w:rsidRPr="00B84F2D" w:rsidRDefault="00556874" w:rsidP="00B94176">
      <w:pPr>
        <w:pStyle w:val="LC2"/>
      </w:pPr>
      <w:r w:rsidRPr="00DB0B5F">
        <w:t>While the MOA clearly indicates that the parties believed</w:t>
      </w:r>
      <w:r w:rsidR="00DB0B5F">
        <w:t xml:space="preserve"> </w:t>
      </w:r>
      <w:r w:rsidRPr="00DB0B5F">
        <w:t xml:space="preserve">– </w:t>
      </w:r>
      <w:r w:rsidR="00DB0B5F">
        <w:t xml:space="preserve">and </w:t>
      </w:r>
      <w:r w:rsidRPr="00DB0B5F">
        <w:t xml:space="preserve">ineffectually </w:t>
      </w:r>
      <w:r w:rsidR="00DB0B5F">
        <w:t xml:space="preserve">purported to ‘agree’ on Zurich’s behalf </w:t>
      </w:r>
      <w:r w:rsidRPr="00DB0B5F">
        <w:t>–</w:t>
      </w:r>
      <w:r w:rsidR="00DB0B5F">
        <w:t xml:space="preserve"> </w:t>
      </w:r>
      <w:r w:rsidRPr="00DB0B5F">
        <w:t>that the “</w:t>
      </w:r>
      <w:r w:rsidR="001A521C" w:rsidRPr="00471311">
        <w:rPr>
          <w:rFonts w:cs="Arial"/>
          <w:i/>
          <w:iCs/>
          <w:szCs w:val="24"/>
          <w:lang w:val="af-ZA"/>
        </w:rPr>
        <w:t>bedrae … uitstaande</w:t>
      </w:r>
      <w:r w:rsidRPr="00DB0B5F">
        <w:t xml:space="preserve">” referred to in clause 3 (i.e. the </w:t>
      </w:r>
      <w:r w:rsidRPr="00DB0B5F">
        <w:rPr>
          <w:rFonts w:cs="Arial"/>
          <w:szCs w:val="24"/>
        </w:rPr>
        <w:t>full amount of the quotations and the emergency work</w:t>
      </w:r>
      <w:r w:rsidRPr="00DB0B5F">
        <w:t>) were due by Zurich, clause 5 expressly states that Zurich had acknowledged its “</w:t>
      </w:r>
      <w:r w:rsidRPr="00471311">
        <w:rPr>
          <w:i/>
          <w:iCs/>
          <w:lang w:val="af-ZA"/>
        </w:rPr>
        <w:t>aanspreeklikheid ten opsigte van verskuldigheid teenoor die Eienaar ... as versekerde</w:t>
      </w:r>
      <w:r w:rsidRPr="00DB0B5F">
        <w:t>”</w:t>
      </w:r>
      <w:r w:rsidR="00471311">
        <w:t xml:space="preserve">, </w:t>
      </w:r>
      <w:r w:rsidR="00DB0B5F">
        <w:t xml:space="preserve">i.e. </w:t>
      </w:r>
      <w:r w:rsidR="00471311">
        <w:t xml:space="preserve">Zurich’s </w:t>
      </w:r>
      <w:r w:rsidR="00DB0B5F">
        <w:t xml:space="preserve">liability </w:t>
      </w:r>
      <w:r w:rsidR="00471311">
        <w:t xml:space="preserve">was </w:t>
      </w:r>
      <w:r w:rsidR="00DB0B5F">
        <w:t>to the respondent</w:t>
      </w:r>
      <w:r w:rsidRPr="00DB0B5F">
        <w:t xml:space="preserve">. </w:t>
      </w:r>
      <w:r w:rsidR="003263B6" w:rsidRPr="00DB0B5F">
        <w:t xml:space="preserve">This is confirmed by the content of clause 6, which records that </w:t>
      </w:r>
      <w:r w:rsidR="00655868">
        <w:t xml:space="preserve">it was the </w:t>
      </w:r>
      <w:r w:rsidR="003263B6" w:rsidRPr="00655868">
        <w:t>respondent</w:t>
      </w:r>
      <w:r w:rsidR="003263B6" w:rsidRPr="00DB0B5F">
        <w:t xml:space="preserve"> </w:t>
      </w:r>
      <w:r w:rsidR="00471311">
        <w:t xml:space="preserve">himself (and not the </w:t>
      </w:r>
      <w:r w:rsidR="003263B6" w:rsidRPr="00DB0B5F">
        <w:t>appellant</w:t>
      </w:r>
      <w:r w:rsidR="00471311">
        <w:t>, who was merely consulted</w:t>
      </w:r>
      <w:r w:rsidR="003263B6" w:rsidRPr="00DB0B5F">
        <w:t>)</w:t>
      </w:r>
      <w:r w:rsidR="00471311">
        <w:t xml:space="preserve"> who</w:t>
      </w:r>
      <w:r w:rsidR="003263B6" w:rsidRPr="00DB0B5F">
        <w:t xml:space="preserve"> accepted an interim payment of R200,000. </w:t>
      </w:r>
      <w:r w:rsidRPr="00DB0B5F">
        <w:t xml:space="preserve">In other words, the MOA </w:t>
      </w:r>
      <w:r w:rsidR="003263B6" w:rsidRPr="00DB0B5F">
        <w:t xml:space="preserve">contemplated not only that </w:t>
      </w:r>
      <w:r w:rsidRPr="00DB0B5F">
        <w:t xml:space="preserve">Zurich </w:t>
      </w:r>
      <w:r w:rsidR="003263B6" w:rsidRPr="00DB0B5F">
        <w:t xml:space="preserve">was </w:t>
      </w:r>
      <w:r w:rsidRPr="00DB0B5F">
        <w:t>liable to the respondent</w:t>
      </w:r>
      <w:r w:rsidR="003263B6" w:rsidRPr="00DB0B5F">
        <w:t xml:space="preserve"> but that it was liable for the full amount</w:t>
      </w:r>
      <w:r w:rsidRPr="00DB0B5F">
        <w:t>.</w:t>
      </w:r>
      <w:r w:rsidR="00655868">
        <w:t xml:space="preserve"> </w:t>
      </w:r>
      <w:r w:rsidR="00A54AD9">
        <w:t xml:space="preserve">This militates against the </w:t>
      </w:r>
      <w:r w:rsidR="00655868">
        <w:t xml:space="preserve">conclusion that the plain text of the MOA indicates an agreement between the parties that the respondent </w:t>
      </w:r>
      <w:r w:rsidR="000A7D77">
        <w:t xml:space="preserve">would not be </w:t>
      </w:r>
      <w:r w:rsidR="00655868">
        <w:t>liable to the appellant</w:t>
      </w:r>
      <w:r w:rsidR="00471311">
        <w:t xml:space="preserve"> – it would be absurd to suggest that the parties agreed that the respondent could profit from the work performed by the appellant</w:t>
      </w:r>
      <w:r w:rsidR="00655868">
        <w:t>.</w:t>
      </w:r>
      <w:r w:rsidR="00655868" w:rsidRPr="00B84F2D">
        <w:t xml:space="preserve"> </w:t>
      </w:r>
    </w:p>
    <w:p w14:paraId="23171DFD" w14:textId="088C9336" w:rsidR="00471311" w:rsidRDefault="00A54AD9" w:rsidP="00B94176">
      <w:pPr>
        <w:pStyle w:val="LC2"/>
      </w:pPr>
      <w:r>
        <w:t>At best for the respondent, clause 9 of the MOA is ambiguous</w:t>
      </w:r>
      <w:r w:rsidR="00471311">
        <w:t>.</w:t>
      </w:r>
      <w:r w:rsidR="00B94176">
        <w:t xml:space="preserve"> Apart from </w:t>
      </w:r>
      <w:r w:rsidR="00B94176">
        <w:lastRenderedPageBreak/>
        <w:t>the fact that clause 9.1 expressly states that the respondent (at least initially) accepted “</w:t>
      </w:r>
      <w:r w:rsidR="00B94176" w:rsidRPr="00683640">
        <w:rPr>
          <w:i/>
          <w:iCs/>
          <w:lang w:val="af-ZA"/>
        </w:rPr>
        <w:t>aanspreeklikheid teenoor die kontrakteur</w:t>
      </w:r>
      <w:r w:rsidR="00B94176">
        <w:t>”,</w:t>
      </w:r>
      <w:r>
        <w:t xml:space="preserve"> </w:t>
      </w:r>
      <w:r w:rsidR="00B94176">
        <w:t>i</w:t>
      </w:r>
      <w:r>
        <w:t>ts effect depends on whether the phrase “</w:t>
      </w:r>
      <w:r w:rsidRPr="00471311">
        <w:rPr>
          <w:i/>
          <w:iCs/>
          <w:lang w:val="af-ZA"/>
        </w:rPr>
        <w:t>die uits</w:t>
      </w:r>
      <w:r w:rsidR="00471311">
        <w:rPr>
          <w:i/>
          <w:iCs/>
          <w:lang w:val="af-ZA"/>
        </w:rPr>
        <w:t>t</w:t>
      </w:r>
      <w:r w:rsidRPr="00471311">
        <w:rPr>
          <w:i/>
          <w:iCs/>
          <w:lang w:val="af-ZA"/>
        </w:rPr>
        <w:t>aande bedrag verskuldig deur Zurich</w:t>
      </w:r>
      <w:r>
        <w:t>” refers (i) to the same “</w:t>
      </w:r>
      <w:r w:rsidR="001A521C" w:rsidRPr="00471311">
        <w:rPr>
          <w:rFonts w:cs="Arial"/>
          <w:i/>
          <w:iCs/>
          <w:szCs w:val="24"/>
          <w:lang w:val="af-ZA"/>
        </w:rPr>
        <w:t>bedrae … uitstaande</w:t>
      </w:r>
      <w:r>
        <w:t xml:space="preserve">” referred to in clauses 3 and 5 for which (the MOA records) the parties’ considered Zurich to have acknowledged liability to the respondent; or (ii) to the amount for which Zurich might </w:t>
      </w:r>
      <w:r w:rsidR="000A7D77">
        <w:t xml:space="preserve">actually </w:t>
      </w:r>
      <w:r>
        <w:t>be liable</w:t>
      </w:r>
      <w:r w:rsidR="00D83351">
        <w:t xml:space="preserve"> to the respondent</w:t>
      </w:r>
      <w:r>
        <w:t xml:space="preserve">. In my view, </w:t>
      </w:r>
      <w:r w:rsidR="00D83351">
        <w:t>the former interpretation is to be preferred in light of the context in which the agreement was concluded, as it appears to have been the parties</w:t>
      </w:r>
      <w:r w:rsidR="000A7D77">
        <w:t>’</w:t>
      </w:r>
      <w:r w:rsidR="00D83351">
        <w:t xml:space="preserve"> common understanding that Zurich </w:t>
      </w:r>
      <w:r w:rsidR="000A7D77">
        <w:t xml:space="preserve">would pay </w:t>
      </w:r>
      <w:r w:rsidR="00D83351">
        <w:t xml:space="preserve">the full amount. </w:t>
      </w:r>
    </w:p>
    <w:p w14:paraId="374B6C48" w14:textId="6385E7B6" w:rsidR="00471311" w:rsidRDefault="00D83351" w:rsidP="00B94176">
      <w:pPr>
        <w:pStyle w:val="LC2"/>
      </w:pPr>
      <w:r>
        <w:t>Similarly, c</w:t>
      </w:r>
      <w:r w:rsidR="007F0029">
        <w:t xml:space="preserve">lause 9.3 </w:t>
      </w:r>
      <w:r w:rsidR="00556874">
        <w:t xml:space="preserve">simply </w:t>
      </w:r>
      <w:r w:rsidR="007F0029">
        <w:t xml:space="preserve">contemplates that Zurich might </w:t>
      </w:r>
      <w:r>
        <w:t xml:space="preserve">make </w:t>
      </w:r>
      <w:r w:rsidR="00556874">
        <w:t>pay</w:t>
      </w:r>
      <w:r>
        <w:t>ment</w:t>
      </w:r>
      <w:r w:rsidR="00556874">
        <w:t xml:space="preserve"> </w:t>
      </w:r>
      <w:r w:rsidR="007F0029" w:rsidRPr="00556874">
        <w:t>either</w:t>
      </w:r>
      <w:r w:rsidR="007F0029">
        <w:t xml:space="preserve"> to the respondent or the appellant. </w:t>
      </w:r>
      <w:r w:rsidR="00556874">
        <w:t xml:space="preserve">This in no way affects the </w:t>
      </w:r>
      <w:r w:rsidR="00CB32D3">
        <w:t xml:space="preserve">question whether </w:t>
      </w:r>
      <w:r w:rsidR="00556874">
        <w:t>the respondent is liable</w:t>
      </w:r>
      <w:r>
        <w:t xml:space="preserve"> to the appellant and </w:t>
      </w:r>
      <w:r w:rsidR="007F0029">
        <w:t xml:space="preserve">is </w:t>
      </w:r>
      <w:r w:rsidR="00556874">
        <w:t xml:space="preserve">equally </w:t>
      </w:r>
      <w:r w:rsidR="007F0029">
        <w:t xml:space="preserve">consistent with the meaning contended for by the appellant </w:t>
      </w:r>
      <w:r w:rsidR="00556874">
        <w:t xml:space="preserve">as </w:t>
      </w:r>
      <w:r w:rsidR="007F0029">
        <w:t>that contended for by the respondent.</w:t>
      </w:r>
      <w:r>
        <w:t xml:space="preserve"> </w:t>
      </w:r>
      <w:r w:rsidR="008254BF">
        <w:t>Furthermore, it would make little sense for the phrase “</w:t>
      </w:r>
      <w:r w:rsidR="008254BF" w:rsidRPr="00131F4E">
        <w:rPr>
          <w:i/>
          <w:iCs/>
          <w:lang w:val="af-ZA"/>
        </w:rPr>
        <w:t>die uitstaande bedrag</w:t>
      </w:r>
      <w:r w:rsidR="008254BF">
        <w:t>” in clause 9.3</w:t>
      </w:r>
      <w:r w:rsidR="001A521C">
        <w:t xml:space="preserve"> (or indeed the phrase “</w:t>
      </w:r>
      <w:r w:rsidR="001A521C" w:rsidRPr="00131F4E">
        <w:rPr>
          <w:i/>
          <w:iCs/>
          <w:lang w:val="af-ZA"/>
        </w:rPr>
        <w:t>die bedrag verskuldig deur Zurich</w:t>
      </w:r>
      <w:r w:rsidR="00131F4E">
        <w:t>”</w:t>
      </w:r>
      <w:r w:rsidR="001A521C">
        <w:t xml:space="preserve"> in clause 12) </w:t>
      </w:r>
      <w:r w:rsidR="008254BF">
        <w:t>to refer to the amount for which Zurich might ultimately actually be liable</w:t>
      </w:r>
      <w:r w:rsidR="00471311">
        <w:t>.</w:t>
      </w:r>
      <w:r w:rsidR="008254BF">
        <w:t xml:space="preserve"> </w:t>
      </w:r>
      <w:r w:rsidR="00471311">
        <w:t>T</w:t>
      </w:r>
      <w:r w:rsidR="008254BF">
        <w:t>he amount of the interest due with effect from 1 July 2014</w:t>
      </w:r>
      <w:r w:rsidR="00471311">
        <w:t xml:space="preserve"> (as also </w:t>
      </w:r>
      <w:r w:rsidR="001A521C">
        <w:t xml:space="preserve">the amount in respect of which the </w:t>
      </w:r>
      <w:r w:rsidR="00E5787F">
        <w:t xml:space="preserve">respondent would be required to obtain financing) </w:t>
      </w:r>
      <w:r w:rsidR="008254BF">
        <w:t xml:space="preserve">would on that interpretation not be ascertainable until such time as Zurich’s liability was ultimately determined, which would </w:t>
      </w:r>
      <w:r w:rsidR="008254BF" w:rsidRPr="008254BF">
        <w:rPr>
          <w:i/>
          <w:iCs/>
        </w:rPr>
        <w:t>ex hypothesi</w:t>
      </w:r>
      <w:r w:rsidR="008254BF">
        <w:t xml:space="preserve"> only be </w:t>
      </w:r>
      <w:r w:rsidR="008254BF" w:rsidRPr="00683640">
        <w:t>after</w:t>
      </w:r>
      <w:r w:rsidR="008254BF">
        <w:t xml:space="preserve"> </w:t>
      </w:r>
      <w:r w:rsidR="00E5787F">
        <w:t>1 July 2014</w:t>
      </w:r>
      <w:r w:rsidR="008254BF">
        <w:t xml:space="preserve">. </w:t>
      </w:r>
    </w:p>
    <w:p w14:paraId="5816F486" w14:textId="2C65AA6D" w:rsidR="00D83351" w:rsidRDefault="00471311" w:rsidP="00B94176">
      <w:pPr>
        <w:pStyle w:val="LC2"/>
      </w:pPr>
      <w:r>
        <w:t>T</w:t>
      </w:r>
      <w:r w:rsidR="00D83351">
        <w:t>he Magistrates’ reading of clause 9 as being “</w:t>
      </w:r>
      <w:r w:rsidR="00D83351" w:rsidRPr="00471311">
        <w:rPr>
          <w:i/>
          <w:iCs/>
        </w:rPr>
        <w:t>resolutive</w:t>
      </w:r>
      <w:r w:rsidR="00D83351">
        <w:t xml:space="preserve">” in nature can hardly be described as one which is </w:t>
      </w:r>
      <w:r w:rsidR="00B94176">
        <w:t>“</w:t>
      </w:r>
      <w:r w:rsidR="00B94176" w:rsidRPr="00B94176">
        <w:rPr>
          <w:i/>
          <w:iCs/>
        </w:rPr>
        <w:t>businesslike</w:t>
      </w:r>
      <w:r w:rsidR="00B94176">
        <w:t>”</w:t>
      </w:r>
      <w:r w:rsidR="008254BF">
        <w:t>,</w:t>
      </w:r>
      <w:r w:rsidR="00B94176">
        <w:rPr>
          <w:rStyle w:val="FootnoteReference"/>
        </w:rPr>
        <w:footnoteReference w:id="11"/>
      </w:r>
      <w:r w:rsidR="00D83351">
        <w:t xml:space="preserve"> as it give</w:t>
      </w:r>
      <w:r w:rsidR="000A7D77">
        <w:t>s</w:t>
      </w:r>
      <w:r w:rsidR="00D83351">
        <w:t xml:space="preserve"> rise to </w:t>
      </w:r>
      <w:r w:rsidR="000A7D77">
        <w:t xml:space="preserve">potentially </w:t>
      </w:r>
      <w:r w:rsidR="00D83351">
        <w:t>absurd results, with one party effectively being able to avoid its own acknowledged liability</w:t>
      </w:r>
      <w:r>
        <w:t xml:space="preserve"> by the simple expedient of delay</w:t>
      </w:r>
      <w:r w:rsidR="00D83351">
        <w:t xml:space="preserve">. </w:t>
      </w:r>
      <w:r w:rsidR="008254BF">
        <w:t>On the other hand, the phrase “</w:t>
      </w:r>
      <w:r w:rsidR="008254BF" w:rsidRPr="00131F4E">
        <w:rPr>
          <w:i/>
          <w:iCs/>
          <w:lang w:val="af-ZA"/>
        </w:rPr>
        <w:t>en wel tot en met die vereffening van die uitstaande bedrag verskuldig deur Zurich</w:t>
      </w:r>
      <w:r w:rsidR="008254BF">
        <w:t>” gives rise to no ambiguity at all if the “</w:t>
      </w:r>
      <w:r w:rsidR="008254BF" w:rsidRPr="00471311">
        <w:rPr>
          <w:i/>
          <w:iCs/>
          <w:lang w:val="af-ZA"/>
        </w:rPr>
        <w:t>uitstaande bedrag</w:t>
      </w:r>
      <w:r w:rsidR="008254BF">
        <w:t xml:space="preserve">” is understood as referring to the </w:t>
      </w:r>
      <w:r w:rsidR="00131F4E">
        <w:t xml:space="preserve">same </w:t>
      </w:r>
      <w:r w:rsidR="008254BF">
        <w:t>“</w:t>
      </w:r>
      <w:r w:rsidR="008254BF" w:rsidRPr="00471311">
        <w:rPr>
          <w:i/>
          <w:iCs/>
          <w:lang w:val="af-ZA"/>
        </w:rPr>
        <w:t>bedrae</w:t>
      </w:r>
      <w:r w:rsidR="008254BF" w:rsidRPr="00471311">
        <w:rPr>
          <w:lang w:val="af-ZA"/>
        </w:rPr>
        <w:t xml:space="preserve"> … </w:t>
      </w:r>
      <w:r w:rsidR="008254BF" w:rsidRPr="00471311">
        <w:rPr>
          <w:i/>
          <w:iCs/>
          <w:lang w:val="af-ZA"/>
        </w:rPr>
        <w:t>uitstaande</w:t>
      </w:r>
      <w:r w:rsidR="008254BF">
        <w:t>” in clause 3</w:t>
      </w:r>
      <w:r w:rsidR="001A521C">
        <w:t>.</w:t>
      </w:r>
    </w:p>
    <w:p w14:paraId="2315C6C9" w14:textId="10BF7440" w:rsidR="00E5787F" w:rsidRDefault="00E5787F" w:rsidP="00B94176">
      <w:pPr>
        <w:pStyle w:val="LC2"/>
      </w:pPr>
      <w:r>
        <w:lastRenderedPageBreak/>
        <w:t>Clause 10 of the MOA favours the appellant’s interpretation</w:t>
      </w:r>
      <w:r w:rsidR="00131F4E">
        <w:t>.</w:t>
      </w:r>
      <w:r>
        <w:t xml:space="preserve"> </w:t>
      </w:r>
      <w:r w:rsidR="00131F4E">
        <w:t>N</w:t>
      </w:r>
      <w:r>
        <w:t>ot only does it differentiate the “</w:t>
      </w:r>
      <w:r w:rsidRPr="00471311">
        <w:rPr>
          <w:i/>
          <w:iCs/>
          <w:lang w:val="af-ZA"/>
        </w:rPr>
        <w:t>uitstaande bedrag</w:t>
      </w:r>
      <w:r>
        <w:t>” from a “</w:t>
      </w:r>
      <w:r w:rsidRPr="00471311">
        <w:rPr>
          <w:i/>
          <w:iCs/>
          <w:lang w:val="af-ZA"/>
        </w:rPr>
        <w:t>verminderde bedrag</w:t>
      </w:r>
      <w:r>
        <w:t xml:space="preserve">” </w:t>
      </w:r>
      <w:r w:rsidR="00BB4C2D">
        <w:t xml:space="preserve">that may be agreed </w:t>
      </w:r>
      <w:r>
        <w:t>with Zurich</w:t>
      </w:r>
      <w:r w:rsidR="00131F4E">
        <w:t xml:space="preserve"> (which would suggest that the term is used throughout the MOA to denote the amounts set out in clause 3)</w:t>
      </w:r>
      <w:r>
        <w:t xml:space="preserve">, if the respondent is indeed not liable to the appellant (or </w:t>
      </w:r>
      <w:r w:rsidR="00BB4C2D">
        <w:t xml:space="preserve">is </w:t>
      </w:r>
      <w:r>
        <w:t>only liable up to the amount actually paid by Zurich), the respondent would have no interest in the “</w:t>
      </w:r>
      <w:r w:rsidRPr="00471311">
        <w:rPr>
          <w:i/>
          <w:iCs/>
          <w:lang w:val="af-ZA"/>
        </w:rPr>
        <w:t>verminderde</w:t>
      </w:r>
      <w:r>
        <w:t>” amount, and there would be no reason for the MOA to preserve his rights to be consulted on the issue at all.</w:t>
      </w:r>
    </w:p>
    <w:p w14:paraId="78A3A5AA" w14:textId="49CEC674" w:rsidR="00E5787F" w:rsidRDefault="00BB4C2D" w:rsidP="00B94176">
      <w:pPr>
        <w:pStyle w:val="LC2"/>
      </w:pPr>
      <w:r>
        <w:t>C</w:t>
      </w:r>
      <w:r w:rsidR="00582E9C">
        <w:t xml:space="preserve">lause 12 of the MOA also </w:t>
      </w:r>
      <w:r>
        <w:t xml:space="preserve">militates against the respondent’s contentions that he is not </w:t>
      </w:r>
      <w:r w:rsidR="00582E9C">
        <w:t>liable to the appellant</w:t>
      </w:r>
      <w:r>
        <w:t xml:space="preserve"> (or is only liable up to the amount actually paid by Zurich)</w:t>
      </w:r>
      <w:r w:rsidR="00582E9C">
        <w:t>. If this were the case, there would be no reason for him to have to obtain financing to indemnify the appellant for any amount</w:t>
      </w:r>
      <w:r>
        <w:t xml:space="preserve"> at all</w:t>
      </w:r>
      <w:r w:rsidR="00582E9C">
        <w:t xml:space="preserve">.  </w:t>
      </w:r>
    </w:p>
    <w:p w14:paraId="6BD78F82" w14:textId="07B8E1E0" w:rsidR="00582C2A" w:rsidRDefault="00F06ECC" w:rsidP="00582C2A">
      <w:pPr>
        <w:pStyle w:val="LC1"/>
        <w:rPr>
          <w:rFonts w:cs="Arial"/>
        </w:rPr>
      </w:pPr>
      <w:r w:rsidRPr="0004111E">
        <w:rPr>
          <w:rFonts w:cs="Arial"/>
        </w:rPr>
        <w:t>The Supreme Court of Appeal has held that the contextual setting for interpretation also includes evidence of subsequent conduct of the parties which indicates a common understanding of the terms of the agreement provided that it does not alter the meaning of the words used and is used as conservatively as possible.</w:t>
      </w:r>
      <w:r w:rsidRPr="0004111E">
        <w:rPr>
          <w:rStyle w:val="FootnoteReference"/>
          <w:rFonts w:cs="Arial"/>
        </w:rPr>
        <w:footnoteReference w:id="12"/>
      </w:r>
      <w:r w:rsidRPr="0004111E">
        <w:rPr>
          <w:rFonts w:cs="Arial"/>
        </w:rPr>
        <w:t xml:space="preserve"> </w:t>
      </w:r>
    </w:p>
    <w:p w14:paraId="54756ED0" w14:textId="7D9A83DC" w:rsidR="00F06ECC" w:rsidRPr="00582C2A" w:rsidRDefault="00F06ECC" w:rsidP="00582C2A">
      <w:pPr>
        <w:pStyle w:val="LC1"/>
        <w:rPr>
          <w:rFonts w:cs="Arial"/>
        </w:rPr>
      </w:pPr>
      <w:r w:rsidRPr="0004111E">
        <w:rPr>
          <w:rFonts w:cs="Arial"/>
        </w:rPr>
        <w:t>Of significance in this regard are the emails that the appellant’s second witness (Scharper) testified he exchanged with the respondent during October 2014,</w:t>
      </w:r>
      <w:r w:rsidRPr="0004111E">
        <w:rPr>
          <w:rStyle w:val="FootnoteReference"/>
          <w:rFonts w:cs="Arial"/>
        </w:rPr>
        <w:footnoteReference w:id="13"/>
      </w:r>
      <w:r w:rsidRPr="0004111E">
        <w:rPr>
          <w:rFonts w:cs="Arial"/>
        </w:rPr>
        <w:t xml:space="preserve"> while the parties were still seeking to prevail upon Zurich to pay the full amount of the insurance claim. On 27 October 2014, Scharper raised concerns about delays in finalising the insurance claim</w:t>
      </w:r>
      <w:r w:rsidR="0004111E">
        <w:rPr>
          <w:rFonts w:cs="Arial"/>
        </w:rPr>
        <w:t>, an outstanding report from a quantity surveyor,</w:t>
      </w:r>
      <w:r w:rsidRPr="0004111E">
        <w:rPr>
          <w:rFonts w:cs="Arial"/>
        </w:rPr>
        <w:t xml:space="preserve"> and discussions that </w:t>
      </w:r>
      <w:r w:rsidR="0004111E" w:rsidRPr="0004111E">
        <w:rPr>
          <w:rFonts w:cs="Arial"/>
        </w:rPr>
        <w:t>were being held with the bondholder, ABSA Bank.</w:t>
      </w:r>
      <w:r w:rsidRPr="0004111E">
        <w:rPr>
          <w:rFonts w:cs="Arial"/>
        </w:rPr>
        <w:t xml:space="preserve"> </w:t>
      </w:r>
      <w:r w:rsidR="0004111E" w:rsidRPr="0004111E">
        <w:rPr>
          <w:rFonts w:cs="Arial"/>
        </w:rPr>
        <w:t xml:space="preserve">He </w:t>
      </w:r>
      <w:r w:rsidRPr="0004111E">
        <w:rPr>
          <w:rFonts w:cs="Arial"/>
        </w:rPr>
        <w:t xml:space="preserve">concluded </w:t>
      </w:r>
      <w:r w:rsidR="0004111E" w:rsidRPr="0004111E">
        <w:rPr>
          <w:rFonts w:cs="Arial"/>
        </w:rPr>
        <w:t xml:space="preserve">his email </w:t>
      </w:r>
      <w:r w:rsidRPr="0004111E">
        <w:rPr>
          <w:rFonts w:cs="Arial"/>
        </w:rPr>
        <w:t>as follows “</w:t>
      </w:r>
      <w:r w:rsidRPr="0004111E">
        <w:rPr>
          <w:rFonts w:cs="Arial"/>
          <w:i/>
          <w:iCs/>
          <w:lang w:val="af-ZA"/>
        </w:rPr>
        <w:t>[v]olgens ons getekende ooreenkoms het jy onderneem om die uitsta</w:t>
      </w:r>
      <w:r w:rsidR="0004111E" w:rsidRPr="0004111E">
        <w:rPr>
          <w:rFonts w:cs="Arial"/>
          <w:i/>
          <w:iCs/>
          <w:lang w:val="af-ZA"/>
        </w:rPr>
        <w:t>a</w:t>
      </w:r>
      <w:r w:rsidRPr="0004111E">
        <w:rPr>
          <w:rFonts w:cs="Arial"/>
          <w:i/>
          <w:iCs/>
          <w:lang w:val="af-ZA"/>
        </w:rPr>
        <w:t>nde</w:t>
      </w:r>
      <w:r w:rsidR="0004111E" w:rsidRPr="0004111E">
        <w:rPr>
          <w:rFonts w:cs="Arial"/>
          <w:i/>
          <w:iCs/>
          <w:lang w:val="af-ZA"/>
        </w:rPr>
        <w:t xml:space="preserve"> </w:t>
      </w:r>
      <w:r w:rsidRPr="0004111E">
        <w:rPr>
          <w:rFonts w:cs="Arial"/>
          <w:i/>
          <w:iCs/>
          <w:lang w:val="af-ZA"/>
        </w:rPr>
        <w:t xml:space="preserve">bedrag aan ons te betaal en is daar nie genome van enige </w:t>
      </w:r>
      <w:r w:rsidR="0004111E" w:rsidRPr="0004111E">
        <w:rPr>
          <w:rFonts w:cs="Arial"/>
          <w:i/>
          <w:iCs/>
          <w:lang w:val="af-ZA"/>
        </w:rPr>
        <w:t xml:space="preserve">verslae en Absa nie. Ons het </w:t>
      </w:r>
      <w:r w:rsidR="0004111E" w:rsidRPr="0004111E">
        <w:rPr>
          <w:rFonts w:eastAsia="Cambria" w:cs="Arial"/>
          <w:i/>
          <w:iCs/>
          <w:lang w:val="af-ZA"/>
        </w:rPr>
        <w:t>jou ook op verskeie kere gevra vir die lys van items wat jy nie meer tevrede is nie en elke keer het jy gesê jy stuur dit die volgende dag. Ons het nag niks gekry nie en neem ons dus aan dat alles reg is. Kan ons asseblief vergader om die uitstaande betaling te kan bespreek</w:t>
      </w:r>
      <w:r w:rsidR="000A7D77">
        <w:rPr>
          <w:rFonts w:eastAsia="Cambria" w:cs="Arial"/>
          <w:i/>
          <w:iCs/>
          <w:lang w:val="af-ZA"/>
        </w:rPr>
        <w:t>[?].</w:t>
      </w:r>
      <w:r w:rsidR="0004111E">
        <w:rPr>
          <w:rFonts w:eastAsia="Cambria" w:cs="Arial"/>
        </w:rPr>
        <w:t xml:space="preserve">” </w:t>
      </w:r>
      <w:r w:rsidR="0004111E">
        <w:rPr>
          <w:rFonts w:eastAsia="Cambria" w:cs="Arial"/>
        </w:rPr>
        <w:lastRenderedPageBreak/>
        <w:t xml:space="preserve">Tellingly, the respondent did not dispute </w:t>
      </w:r>
      <w:r w:rsidR="000A7D77">
        <w:rPr>
          <w:rFonts w:eastAsia="Cambria" w:cs="Arial"/>
        </w:rPr>
        <w:t xml:space="preserve">the </w:t>
      </w:r>
      <w:r w:rsidR="0004111E">
        <w:rPr>
          <w:rFonts w:eastAsia="Cambria" w:cs="Arial"/>
        </w:rPr>
        <w:t xml:space="preserve">statement </w:t>
      </w:r>
      <w:r w:rsidR="000A7D77">
        <w:rPr>
          <w:rFonts w:eastAsia="Cambria" w:cs="Arial"/>
        </w:rPr>
        <w:t>regarding his liability for the “</w:t>
      </w:r>
      <w:r w:rsidR="000A7D77" w:rsidRPr="000A7D77">
        <w:rPr>
          <w:rFonts w:eastAsia="Cambria" w:cs="Arial"/>
          <w:i/>
          <w:iCs/>
        </w:rPr>
        <w:t>uitstaande bedrag</w:t>
      </w:r>
      <w:r w:rsidR="000A7D77">
        <w:rPr>
          <w:rFonts w:eastAsia="Cambria" w:cs="Arial"/>
        </w:rPr>
        <w:t>”,</w:t>
      </w:r>
      <w:r w:rsidR="0004111E">
        <w:rPr>
          <w:rFonts w:eastAsia="Cambria" w:cs="Arial"/>
        </w:rPr>
        <w:t xml:space="preserve"> and instead </w:t>
      </w:r>
      <w:r w:rsidR="000A7D77">
        <w:rPr>
          <w:rFonts w:eastAsia="Cambria" w:cs="Arial"/>
        </w:rPr>
        <w:t xml:space="preserve">responded </w:t>
      </w:r>
      <w:r w:rsidR="0004111E">
        <w:rPr>
          <w:rFonts w:eastAsia="Cambria" w:cs="Arial"/>
        </w:rPr>
        <w:t xml:space="preserve">as follows: </w:t>
      </w:r>
      <w:r w:rsidR="0004111E" w:rsidRPr="00582C2A">
        <w:rPr>
          <w:rFonts w:eastAsia="Cambria" w:cs="Arial"/>
        </w:rPr>
        <w:t>“</w:t>
      </w:r>
      <w:r w:rsidR="0004111E" w:rsidRPr="00582C2A">
        <w:rPr>
          <w:rFonts w:eastAsia="Cambria" w:cs="Arial"/>
          <w:i/>
          <w:iCs/>
          <w:lang w:val="af-ZA"/>
        </w:rPr>
        <w:t xml:space="preserve">Julle verwag tog nie betaling vir wat nie billik en regverdig is nie. </w:t>
      </w:r>
      <w:r w:rsidR="0004111E" w:rsidRPr="00582C2A">
        <w:rPr>
          <w:rFonts w:eastAsia="Cambria" w:cs="Arial"/>
          <w:i/>
          <w:iCs/>
          <w:u w:val="single"/>
          <w:lang w:val="af-ZA"/>
        </w:rPr>
        <w:t>Aanvaarding van verskuldigheid is een ding en moet die bedrag verskuldig tog aanvaar word van wat gedoen is</w:t>
      </w:r>
      <w:r w:rsidR="0004111E" w:rsidRPr="00582C2A">
        <w:rPr>
          <w:rFonts w:eastAsia="Cambria" w:cs="Arial"/>
          <w:i/>
          <w:iCs/>
          <w:lang w:val="af-ZA"/>
        </w:rPr>
        <w:t xml:space="preserve">. Omrede Zurich se verslag nie gekry was nie is die QS versoek on sy verslag te bespoedig. </w:t>
      </w:r>
      <w:r w:rsidR="0004111E" w:rsidRPr="00582C2A">
        <w:rPr>
          <w:rFonts w:cs="Arial"/>
          <w:i/>
          <w:iCs/>
          <w:lang w:val="af-ZA"/>
        </w:rPr>
        <w:t xml:space="preserve"> </w:t>
      </w:r>
      <w:r w:rsidR="00582C2A" w:rsidRPr="00582C2A">
        <w:rPr>
          <w:rFonts w:cs="Arial"/>
          <w:i/>
          <w:iCs/>
          <w:lang w:val="af-ZA"/>
        </w:rPr>
        <w:t>Julle moet tog net betaal word wat reg en billik is vir wat julle gedoen het</w:t>
      </w:r>
      <w:r w:rsidR="00582C2A">
        <w:rPr>
          <w:rFonts w:cs="Arial"/>
          <w:i/>
          <w:iCs/>
          <w:lang w:val="af-ZA"/>
        </w:rPr>
        <w:t>.</w:t>
      </w:r>
      <w:r w:rsidR="00582C2A" w:rsidRPr="00582C2A">
        <w:rPr>
          <w:rFonts w:cs="Arial"/>
          <w:i/>
          <w:iCs/>
          <w:lang w:val="af-ZA"/>
        </w:rPr>
        <w:t xml:space="preserve"> </w:t>
      </w:r>
      <w:r w:rsidR="00582C2A" w:rsidRPr="00582C2A">
        <w:rPr>
          <w:rFonts w:cs="Arial"/>
          <w:i/>
          <w:iCs/>
          <w:u w:val="single"/>
          <w:lang w:val="af-ZA"/>
        </w:rPr>
        <w:t>Ek gaan net betaal vir wat regverdig en billik verskuldig is</w:t>
      </w:r>
      <w:r w:rsidR="00582C2A">
        <w:rPr>
          <w:rFonts w:cs="Arial"/>
        </w:rPr>
        <w:t>”.</w:t>
      </w:r>
    </w:p>
    <w:p w14:paraId="60ADD2A2" w14:textId="59344CC0" w:rsidR="00F06ECC" w:rsidRDefault="00582C2A" w:rsidP="00582C2A">
      <w:pPr>
        <w:pStyle w:val="LC1"/>
      </w:pPr>
      <w:r>
        <w:t>This evidence suggests that, even as late as October 2014 (i.e. after 1 July 2014), both parties considered the respondent to be liable to the appellant in terms of the MOA related to “</w:t>
      </w:r>
      <w:r w:rsidRPr="00582C2A">
        <w:rPr>
          <w:i/>
          <w:iCs/>
        </w:rPr>
        <w:t>what was done</w:t>
      </w:r>
      <w:r>
        <w:t>”</w:t>
      </w:r>
      <w:r w:rsidR="000A7D77">
        <w:t>, even if the respondent only conceded liability for “</w:t>
      </w:r>
      <w:r w:rsidR="000A7D77" w:rsidRPr="00054DB9">
        <w:rPr>
          <w:i/>
          <w:iCs/>
          <w:lang w:val="af-ZA"/>
        </w:rPr>
        <w:t>wat reg</w:t>
      </w:r>
      <w:r w:rsidR="00A168F5" w:rsidRPr="00054DB9">
        <w:rPr>
          <w:i/>
          <w:iCs/>
          <w:lang w:val="af-ZA"/>
        </w:rPr>
        <w:t>verdig</w:t>
      </w:r>
      <w:r w:rsidR="000A7D77" w:rsidRPr="00054DB9">
        <w:rPr>
          <w:i/>
          <w:iCs/>
          <w:lang w:val="af-ZA"/>
        </w:rPr>
        <w:t xml:space="preserve"> </w:t>
      </w:r>
      <w:r w:rsidR="00A168F5" w:rsidRPr="00054DB9">
        <w:rPr>
          <w:i/>
          <w:iCs/>
          <w:lang w:val="af-ZA"/>
        </w:rPr>
        <w:t>e</w:t>
      </w:r>
      <w:r w:rsidR="000A7D77" w:rsidRPr="00054DB9">
        <w:rPr>
          <w:i/>
          <w:iCs/>
          <w:lang w:val="af-ZA"/>
        </w:rPr>
        <w:t xml:space="preserve">n billik </w:t>
      </w:r>
      <w:r w:rsidR="00A168F5" w:rsidRPr="00054DB9">
        <w:rPr>
          <w:i/>
          <w:iCs/>
          <w:lang w:val="af-ZA"/>
        </w:rPr>
        <w:t xml:space="preserve">verskuldig </w:t>
      </w:r>
      <w:r w:rsidR="000A7D77" w:rsidRPr="00054DB9">
        <w:rPr>
          <w:i/>
          <w:iCs/>
          <w:lang w:val="af-ZA"/>
        </w:rPr>
        <w:t>is</w:t>
      </w:r>
      <w:r w:rsidR="000A7D77">
        <w:t>”</w:t>
      </w:r>
      <w:r>
        <w:t>. It is evidence upon which a court could or might find in the appellant’s favour</w:t>
      </w:r>
      <w:r w:rsidR="000A7D77">
        <w:t xml:space="preserve"> on the question of liability</w:t>
      </w:r>
      <w:r>
        <w:t>.</w:t>
      </w:r>
    </w:p>
    <w:p w14:paraId="3332C9D5" w14:textId="433C93AA" w:rsidR="00F376A9" w:rsidRDefault="00582C2A" w:rsidP="00471311">
      <w:pPr>
        <w:pStyle w:val="LC1"/>
      </w:pPr>
      <w:r>
        <w:t>On the other hand, t</w:t>
      </w:r>
      <w:r w:rsidR="008451BE">
        <w:t xml:space="preserve">he </w:t>
      </w:r>
      <w:r w:rsidR="00F376A9">
        <w:t xml:space="preserve">evidence </w:t>
      </w:r>
      <w:r w:rsidR="00471311">
        <w:t xml:space="preserve">sought to be </w:t>
      </w:r>
      <w:r w:rsidR="00A92AC8">
        <w:t xml:space="preserve">relied upon by the respondent </w:t>
      </w:r>
      <w:r w:rsidR="00655868">
        <w:t xml:space="preserve">in argument </w:t>
      </w:r>
      <w:r w:rsidR="00CB32D3">
        <w:t xml:space="preserve">in the appeal to the effect </w:t>
      </w:r>
      <w:r w:rsidR="008451BE">
        <w:t>that</w:t>
      </w:r>
      <w:r w:rsidR="00F376A9">
        <w:t>:</w:t>
      </w:r>
      <w:r w:rsidR="008451BE">
        <w:t xml:space="preserve"> </w:t>
      </w:r>
    </w:p>
    <w:p w14:paraId="3BF0E4BB" w14:textId="544BF272" w:rsidR="00F376A9" w:rsidRDefault="008451BE" w:rsidP="00471311">
      <w:pPr>
        <w:pStyle w:val="LC2"/>
      </w:pPr>
      <w:r>
        <w:t xml:space="preserve">the appellant </w:t>
      </w:r>
      <w:r w:rsidR="00F376A9">
        <w:t xml:space="preserve">independently sought </w:t>
      </w:r>
      <w:r>
        <w:t xml:space="preserve">to prevail upon Zurich to make payment </w:t>
      </w:r>
      <w:r w:rsidR="00F376A9">
        <w:t xml:space="preserve">of the respondent’s insurance claim </w:t>
      </w:r>
      <w:r>
        <w:t>in full</w:t>
      </w:r>
      <w:r w:rsidR="00471311">
        <w:t>,</w:t>
      </w:r>
      <w:r w:rsidR="00A92AC8">
        <w:t xml:space="preserve"> and </w:t>
      </w:r>
      <w:r w:rsidR="00F376A9">
        <w:t>sought to encourage the respondent to do likewise because it was facing difficulties with its creditors;</w:t>
      </w:r>
    </w:p>
    <w:p w14:paraId="2B9B8046" w14:textId="6C9D4B76" w:rsidR="00A92AC8" w:rsidRDefault="00A92AC8" w:rsidP="00471311">
      <w:pPr>
        <w:pStyle w:val="LC2"/>
      </w:pPr>
      <w:r>
        <w:t>the respondent assisted the appellant in seeking to obtain payment from Zurich;</w:t>
      </w:r>
    </w:p>
    <w:p w14:paraId="373741AA" w14:textId="0CD8890F" w:rsidR="00FC0D00" w:rsidRDefault="00FC0D00" w:rsidP="00471311">
      <w:pPr>
        <w:pStyle w:val="LC2"/>
      </w:pPr>
      <w:r>
        <w:t>the “</w:t>
      </w:r>
      <w:r w:rsidRPr="00B94176">
        <w:rPr>
          <w:i/>
          <w:iCs/>
          <w:lang w:val="af-ZA"/>
        </w:rPr>
        <w:t>uitstaande bedrag</w:t>
      </w:r>
      <w:r>
        <w:t xml:space="preserve">” referred to in the MOA was not yet finalized by Zurich at the time of signature and </w:t>
      </w:r>
      <w:r w:rsidR="00CB32D3">
        <w:t xml:space="preserve">a </w:t>
      </w:r>
      <w:r>
        <w:t>costing still needed to be done;</w:t>
      </w:r>
      <w:r>
        <w:rPr>
          <w:rStyle w:val="FootnoteReference"/>
        </w:rPr>
        <w:footnoteReference w:id="14"/>
      </w:r>
    </w:p>
    <w:p w14:paraId="023B8F29" w14:textId="66C53962" w:rsidR="00F376A9" w:rsidRDefault="00F376A9" w:rsidP="00471311">
      <w:pPr>
        <w:pStyle w:val="LC2"/>
      </w:pPr>
      <w:r>
        <w:t>if the appellant had received a document indicating that Zurich’s quantity surveyor assessed the value of the work to be lower than the amount it had quoted and charged, it would have disputed that assessment;</w:t>
      </w:r>
    </w:p>
    <w:p w14:paraId="4E31803A" w14:textId="1E813E7C" w:rsidR="00D900CC" w:rsidRDefault="00D900CC" w:rsidP="00471311">
      <w:pPr>
        <w:pStyle w:val="LC2"/>
      </w:pPr>
      <w:r>
        <w:t>the MOA provides that the respondent is liable for interest at 15,5% on the outstanding amount should it not be paid by 1 July 2014;</w:t>
      </w:r>
    </w:p>
    <w:p w14:paraId="3407C973" w14:textId="5E415BE3" w:rsidR="00D900CC" w:rsidRDefault="00D900CC" w:rsidP="00471311">
      <w:pPr>
        <w:pStyle w:val="LC2"/>
      </w:pPr>
      <w:r>
        <w:lastRenderedPageBreak/>
        <w:t>the appellant’s quotes were subject to remeasurement;</w:t>
      </w:r>
    </w:p>
    <w:p w14:paraId="714BB40C" w14:textId="0D0AB70E" w:rsidR="00D900CC" w:rsidRDefault="009E06B5" w:rsidP="00471311">
      <w:pPr>
        <w:pStyle w:val="LC2"/>
      </w:pPr>
      <w:r>
        <w:t xml:space="preserve">the respondent </w:t>
      </w:r>
      <w:r w:rsidR="00933664">
        <w:t xml:space="preserve">was required to, and did, pay </w:t>
      </w:r>
      <w:r>
        <w:t xml:space="preserve">the </w:t>
      </w:r>
      <w:r w:rsidR="00FC0D00">
        <w:t>appellant the full amount received from Zurich (an amount of approximately R500,011</w:t>
      </w:r>
      <w:r w:rsidR="00933664">
        <w:t xml:space="preserve">, although </w:t>
      </w:r>
      <w:r w:rsidR="00655868">
        <w:t xml:space="preserve">the relevant witness </w:t>
      </w:r>
      <w:r w:rsidR="00933664">
        <w:t>did not know the precise figure</w:t>
      </w:r>
      <w:r w:rsidR="00FC0D00">
        <w:t>) to the appellant after the signature of the MOA;</w:t>
      </w:r>
      <w:r w:rsidR="00655868">
        <w:t xml:space="preserve"> and</w:t>
      </w:r>
    </w:p>
    <w:p w14:paraId="793B7FBA" w14:textId="035283C8" w:rsidR="00933664" w:rsidRDefault="00933664" w:rsidP="00471311">
      <w:pPr>
        <w:pStyle w:val="LC2"/>
      </w:pPr>
      <w:r>
        <w:t>the respondent received no money from Zurich over and above what he paid to the appellant;</w:t>
      </w:r>
    </w:p>
    <w:p w14:paraId="1AA68047" w14:textId="54A5AF68" w:rsidR="008451BE" w:rsidRDefault="00A92AC8" w:rsidP="00471311">
      <w:pPr>
        <w:pStyle w:val="LC1"/>
        <w:numPr>
          <w:ilvl w:val="0"/>
          <w:numId w:val="0"/>
        </w:numPr>
        <w:ind w:left="720"/>
      </w:pPr>
      <w:r>
        <w:t>is not inconsistent with the appellant’s contention</w:t>
      </w:r>
      <w:r w:rsidR="00876ED4">
        <w:t xml:space="preserve"> regarding the respondent’s liability</w:t>
      </w:r>
      <w:r>
        <w:t>.</w:t>
      </w:r>
    </w:p>
    <w:p w14:paraId="3B781128" w14:textId="0412DE7C" w:rsidR="00A92AC8" w:rsidRDefault="00A92AC8" w:rsidP="000D64E6">
      <w:pPr>
        <w:pStyle w:val="LC1"/>
      </w:pPr>
      <w:r w:rsidRPr="00786D35">
        <w:t xml:space="preserve">It is </w:t>
      </w:r>
      <w:r w:rsidR="00651AF7" w:rsidRPr="00786D35">
        <w:t xml:space="preserve">furthermore </w:t>
      </w:r>
      <w:r w:rsidRPr="00CF6817">
        <w:t>not</w:t>
      </w:r>
      <w:r w:rsidRPr="00786D35">
        <w:t xml:space="preserve"> correct </w:t>
      </w:r>
      <w:r w:rsidR="00B11515" w:rsidRPr="00786D35">
        <w:t>(as the respondent submit</w:t>
      </w:r>
      <w:r w:rsidR="00B84F2D" w:rsidRPr="00786D35">
        <w:t>s on appeal</w:t>
      </w:r>
      <w:r w:rsidR="00B11515" w:rsidRPr="00786D35">
        <w:t xml:space="preserve">) </w:t>
      </w:r>
      <w:r w:rsidR="00114F8D">
        <w:t xml:space="preserve">that </w:t>
      </w:r>
      <w:r w:rsidRPr="00786D35">
        <w:t xml:space="preserve">Engelbrecht testified that without </w:t>
      </w:r>
      <w:r w:rsidR="00B94176">
        <w:t xml:space="preserve">an assessment from </w:t>
      </w:r>
      <w:r w:rsidRPr="00786D35">
        <w:t xml:space="preserve">Zurich’s </w:t>
      </w:r>
      <w:r w:rsidR="00786D35">
        <w:t>quantity surveyor</w:t>
      </w:r>
      <w:r w:rsidR="00B94176">
        <w:t xml:space="preserve"> </w:t>
      </w:r>
      <w:r w:rsidRPr="00786D35">
        <w:t xml:space="preserve">there is no claim against the </w:t>
      </w:r>
      <w:r w:rsidR="00237B32">
        <w:t xml:space="preserve">respondent </w:t>
      </w:r>
      <w:r w:rsidR="00786D35">
        <w:t xml:space="preserve">and that </w:t>
      </w:r>
      <w:r w:rsidR="00786D35" w:rsidRPr="00002741">
        <w:rPr>
          <w:rFonts w:eastAsia="Cambria"/>
        </w:rPr>
        <w:t>the amount assessed by Zurich would constitute the amount owed to the appellant</w:t>
      </w:r>
      <w:r w:rsidRPr="00786D35">
        <w:t>.</w:t>
      </w:r>
      <w:r w:rsidR="00B11515" w:rsidRPr="00786D35">
        <w:t xml:space="preserve"> </w:t>
      </w:r>
      <w:r w:rsidR="00786D35">
        <w:t xml:space="preserve">It is </w:t>
      </w:r>
      <w:r w:rsidR="000B0BF2">
        <w:t xml:space="preserve">apparent </w:t>
      </w:r>
      <w:r w:rsidR="00786D35">
        <w:t xml:space="preserve">from the relevant </w:t>
      </w:r>
      <w:r w:rsidR="00B84F2D" w:rsidRPr="00786D35">
        <w:t xml:space="preserve">portion of his </w:t>
      </w:r>
      <w:r w:rsidR="00786D35">
        <w:t xml:space="preserve">cross examination </w:t>
      </w:r>
      <w:r w:rsidR="00B84F2D" w:rsidRPr="00786D35">
        <w:t>relied upon</w:t>
      </w:r>
      <w:r w:rsidRPr="00786D35">
        <w:rPr>
          <w:rStyle w:val="FootnoteReference"/>
        </w:rPr>
        <w:footnoteReference w:id="15"/>
      </w:r>
      <w:r w:rsidR="00786D35">
        <w:t xml:space="preserve"> that Engelbrecht did not understand the legal proposition that was put to him. In his very next answer, he clarified his </w:t>
      </w:r>
      <w:r w:rsidR="00B94176">
        <w:t xml:space="preserve">evidence </w:t>
      </w:r>
      <w:r w:rsidR="00786D35">
        <w:t>as follows “</w:t>
      </w:r>
      <w:r w:rsidR="00786D35" w:rsidRPr="00002741">
        <w:rPr>
          <w:i/>
          <w:iCs/>
        </w:rPr>
        <w:t>Sir, according to the quotations the amount was owed from Mr Kapp and not Zurich to me</w:t>
      </w:r>
      <w:r w:rsidR="00786D35">
        <w:t xml:space="preserve">”. </w:t>
      </w:r>
      <w:r w:rsidR="0003279B">
        <w:t xml:space="preserve">It is also not correct that Engelbrecht conceded that the MOA provides that if the insurance claim was not finalized or </w:t>
      </w:r>
      <w:r w:rsidR="00B94176">
        <w:t xml:space="preserve">if </w:t>
      </w:r>
      <w:r w:rsidR="0003279B">
        <w:t xml:space="preserve">Zurich did not make payment, the respondent’s liability towards the appellant is limited to interest and not the capital amount. The relevant portion of the transcript indicates that Engelbrecht merely conceded that clause 9.3 of the MOA </w:t>
      </w:r>
      <w:r w:rsidR="00B94176">
        <w:t xml:space="preserve">(unlike clause 9.1) </w:t>
      </w:r>
      <w:r w:rsidR="0003279B">
        <w:t xml:space="preserve">does not expressly stipulate that the respondent </w:t>
      </w:r>
      <w:r w:rsidR="00B94176">
        <w:t xml:space="preserve">is </w:t>
      </w:r>
      <w:r w:rsidR="0003279B">
        <w:t>liable for the capital amount.</w:t>
      </w:r>
      <w:r w:rsidR="0003279B">
        <w:rPr>
          <w:rStyle w:val="FootnoteReference"/>
        </w:rPr>
        <w:footnoteReference w:id="16"/>
      </w:r>
      <w:r w:rsidR="0003279B">
        <w:t xml:space="preserve"> This is a far cry from the concession contended for.</w:t>
      </w:r>
      <w:r w:rsidR="00114F8D">
        <w:t xml:space="preserve"> </w:t>
      </w:r>
      <w:r w:rsidR="00D73B81">
        <w:t>In any event</w:t>
      </w:r>
      <w:r w:rsidR="0003279B">
        <w:t xml:space="preserve"> “</w:t>
      </w:r>
      <w:r w:rsidR="0003279B" w:rsidRPr="00002741">
        <w:rPr>
          <w:i/>
          <w:iCs/>
        </w:rPr>
        <w:t>interpretation is a matter for the court and not for witnesses</w:t>
      </w:r>
      <w:r w:rsidR="0003279B">
        <w:t>”,</w:t>
      </w:r>
      <w:r w:rsidR="0003279B">
        <w:rPr>
          <w:rStyle w:val="FootnoteReference"/>
        </w:rPr>
        <w:footnoteReference w:id="17"/>
      </w:r>
      <w:r w:rsidR="0003279B">
        <w:t xml:space="preserve"> and</w:t>
      </w:r>
      <w:r w:rsidR="00D73B81">
        <w:t xml:space="preserve"> </w:t>
      </w:r>
      <w:r w:rsidR="0003279B">
        <w:t xml:space="preserve">neither </w:t>
      </w:r>
      <w:r w:rsidR="00D73B81">
        <w:t xml:space="preserve">Engelbrecht’s </w:t>
      </w:r>
      <w:r w:rsidR="0003279B">
        <w:t xml:space="preserve">nor any other witness’s </w:t>
      </w:r>
      <w:r w:rsidR="00D73B81">
        <w:t>view of the meaning of the contract is admissible evidence</w:t>
      </w:r>
      <w:r w:rsidR="0003279B">
        <w:t>.</w:t>
      </w:r>
    </w:p>
    <w:p w14:paraId="3E3F7E66" w14:textId="5C2F447F" w:rsidR="0031012F" w:rsidRDefault="00114F8D" w:rsidP="0031012F">
      <w:pPr>
        <w:pStyle w:val="LC1"/>
      </w:pPr>
      <w:r>
        <w:t xml:space="preserve">Finally, </w:t>
      </w:r>
      <w:r w:rsidR="0031012F">
        <w:t>even if the evidence of S</w:t>
      </w:r>
      <w:r w:rsidR="00A168F5">
        <w:t>c</w:t>
      </w:r>
      <w:r w:rsidR="0031012F">
        <w:t>harper relating to a meeting at which he was not present</w:t>
      </w:r>
      <w:r w:rsidR="00002741">
        <w:t>,</w:t>
      </w:r>
      <w:r w:rsidR="0031012F">
        <w:t xml:space="preserve"> and which was allegedly held between Engelbrecht and the respondent </w:t>
      </w:r>
      <w:r w:rsidR="0031012F">
        <w:lastRenderedPageBreak/>
        <w:t>in mid-July 2014</w:t>
      </w:r>
      <w:r w:rsidR="00002741">
        <w:t>,</w:t>
      </w:r>
      <w:r w:rsidR="0031012F">
        <w:t xml:space="preserve"> was not hearsay and could be accepted (it can’t), the proposition actually put to </w:t>
      </w:r>
      <w:r w:rsidR="00002741">
        <w:t xml:space="preserve">Scharper </w:t>
      </w:r>
      <w:r w:rsidR="0031012F">
        <w:t xml:space="preserve">and which he did not dispute was simply that the respondent would testify </w:t>
      </w:r>
      <w:r w:rsidR="00002741">
        <w:t xml:space="preserve">at the trial </w:t>
      </w:r>
      <w:r w:rsidR="0031012F">
        <w:t xml:space="preserve">that Zurich had offered </w:t>
      </w:r>
      <w:r w:rsidR="00002741">
        <w:t xml:space="preserve">the respondent </w:t>
      </w:r>
      <w:r w:rsidR="0031012F">
        <w:t xml:space="preserve">a further R2000 000 to settle </w:t>
      </w:r>
      <w:r w:rsidR="00002741">
        <w:t xml:space="preserve">his </w:t>
      </w:r>
      <w:r w:rsidR="0031012F">
        <w:t>insurance claim</w:t>
      </w:r>
      <w:r w:rsidR="00002741">
        <w:t>,</w:t>
      </w:r>
      <w:r w:rsidR="0031012F">
        <w:t xml:space="preserve"> and that Engelbrecht had said “</w:t>
      </w:r>
      <w:r w:rsidR="0031012F" w:rsidRPr="0031012F">
        <w:rPr>
          <w:i/>
          <w:iCs/>
        </w:rPr>
        <w:t>we need the money</w:t>
      </w:r>
      <w:r w:rsidR="0031012F">
        <w:t>” and suggested that the respondent should “</w:t>
      </w:r>
      <w:r w:rsidR="0031012F" w:rsidRPr="0031012F">
        <w:rPr>
          <w:i/>
          <w:iCs/>
        </w:rPr>
        <w:t>take it</w:t>
      </w:r>
      <w:r w:rsidR="0031012F">
        <w:t>”.</w:t>
      </w:r>
      <w:r w:rsidR="0031012F">
        <w:rPr>
          <w:rStyle w:val="FootnoteReference"/>
        </w:rPr>
        <w:footnoteReference w:id="18"/>
      </w:r>
      <w:r w:rsidR="0031012F">
        <w:t xml:space="preserve"> Scharper did not concede that </w:t>
      </w:r>
      <w:r w:rsidR="00002741">
        <w:t xml:space="preserve">it was </w:t>
      </w:r>
      <w:r w:rsidR="0031012F">
        <w:t xml:space="preserve">Engelbrecht </w:t>
      </w:r>
      <w:r w:rsidR="00002741">
        <w:t xml:space="preserve">who </w:t>
      </w:r>
      <w:r w:rsidR="0031012F">
        <w:t>accepted this offer</w:t>
      </w:r>
      <w:r w:rsidR="00002741">
        <w:t xml:space="preserve">, nor could his response have </w:t>
      </w:r>
      <w:r w:rsidR="0031012F">
        <w:t>effectively compromised the respondent’s claim against the respondent</w:t>
      </w:r>
      <w:r w:rsidR="00002741">
        <w:t xml:space="preserve"> as the respondent seems to argue on appeal.</w:t>
      </w:r>
      <w:r w:rsidR="0031012F">
        <w:t xml:space="preserve"> </w:t>
      </w:r>
    </w:p>
    <w:p w14:paraId="0D5FB67A" w14:textId="691C0CA1" w:rsidR="00002741" w:rsidRDefault="00582C2A" w:rsidP="00002741">
      <w:pPr>
        <w:pStyle w:val="LC1"/>
      </w:pPr>
      <w:r>
        <w:t xml:space="preserve">To conclude on this aspect, I am of the view that </w:t>
      </w:r>
      <w:r w:rsidR="00002741">
        <w:t xml:space="preserve">a court </w:t>
      </w:r>
      <w:r w:rsidR="009D512F">
        <w:t xml:space="preserve">undertaking a proper interpretation of the MOA following the unitary approach and applying its mind reasonably to the evidence before the Magistrate </w:t>
      </w:r>
      <w:r w:rsidR="00002741" w:rsidRPr="006E34EF">
        <w:t>could or might</w:t>
      </w:r>
      <w:r w:rsidR="00002741">
        <w:t xml:space="preserve"> find that the respondent is indeed contractually liable to the appellant for the balance owing in respect of the work that it had contracted to do. </w:t>
      </w:r>
    </w:p>
    <w:p w14:paraId="7EE633F0" w14:textId="32285F06" w:rsidR="00CF6817" w:rsidRPr="00CF6817" w:rsidRDefault="006E34EF" w:rsidP="0031012F">
      <w:pPr>
        <w:pStyle w:val="LC1"/>
        <w:keepNext/>
        <w:numPr>
          <w:ilvl w:val="0"/>
          <w:numId w:val="0"/>
        </w:numPr>
        <w:rPr>
          <w:u w:val="single"/>
        </w:rPr>
      </w:pPr>
      <w:r>
        <w:rPr>
          <w:u w:val="single"/>
        </w:rPr>
        <w:t>A</w:t>
      </w:r>
      <w:r w:rsidR="00CF6817" w:rsidRPr="00CF6817">
        <w:rPr>
          <w:u w:val="single"/>
        </w:rPr>
        <w:t xml:space="preserve"> court could </w:t>
      </w:r>
      <w:r>
        <w:rPr>
          <w:u w:val="single"/>
        </w:rPr>
        <w:t xml:space="preserve">or might </w:t>
      </w:r>
      <w:r w:rsidR="00CF6817" w:rsidRPr="00CF6817">
        <w:rPr>
          <w:u w:val="single"/>
        </w:rPr>
        <w:t xml:space="preserve">find </w:t>
      </w:r>
      <w:r w:rsidR="00BA471E">
        <w:rPr>
          <w:u w:val="single"/>
        </w:rPr>
        <w:t xml:space="preserve">the respondent liable on basis of the pleaded </w:t>
      </w:r>
      <w:r>
        <w:rPr>
          <w:u w:val="single"/>
        </w:rPr>
        <w:t xml:space="preserve">tacit term </w:t>
      </w:r>
    </w:p>
    <w:p w14:paraId="60EBD79F" w14:textId="1C63B2FA" w:rsidR="00CF6817" w:rsidRDefault="006E5E21" w:rsidP="00A3200D">
      <w:pPr>
        <w:pStyle w:val="LC1"/>
      </w:pPr>
      <w:r>
        <w:t>Thirdly</w:t>
      </w:r>
      <w:r w:rsidR="00090360">
        <w:t xml:space="preserve">, the Magistrate appears to have </w:t>
      </w:r>
      <w:r w:rsidR="00D11BBE">
        <w:t xml:space="preserve">overlooked </w:t>
      </w:r>
      <w:r w:rsidR="00090360">
        <w:t xml:space="preserve">the fact that the appellant does not rely only on an interpretation of the express provisions of the MOA, but </w:t>
      </w:r>
      <w:r w:rsidR="00D11BBE">
        <w:t xml:space="preserve">also </w:t>
      </w:r>
      <w:r w:rsidR="006E34EF">
        <w:t xml:space="preserve">alleges </w:t>
      </w:r>
      <w:r w:rsidR="00090360">
        <w:t>the existence of a tacit term</w:t>
      </w:r>
      <w:r w:rsidR="00CF6817">
        <w:t xml:space="preserve"> to the effect that the respondent accepted liability to the </w:t>
      </w:r>
      <w:r w:rsidR="00237B32">
        <w:t xml:space="preserve">appellant </w:t>
      </w:r>
      <w:r w:rsidR="00CF6817">
        <w:t>for payment</w:t>
      </w:r>
      <w:r w:rsidR="006E34EF">
        <w:t xml:space="preserve">. </w:t>
      </w:r>
    </w:p>
    <w:p w14:paraId="6535B1FD" w14:textId="3DB71A3C" w:rsidR="00CF6817" w:rsidRDefault="00CF6817" w:rsidP="00CF6817">
      <w:pPr>
        <w:pStyle w:val="LC1"/>
      </w:pPr>
      <w:r w:rsidRPr="00DB0B5F">
        <w:t xml:space="preserve">Although the respondent contends in paragraph 26.2 of its plea that the </w:t>
      </w:r>
      <w:r>
        <w:t xml:space="preserve">first agreement </w:t>
      </w:r>
      <w:r w:rsidRPr="00DB0B5F">
        <w:t xml:space="preserve">had not </w:t>
      </w:r>
      <w:r>
        <w:t xml:space="preserve">been </w:t>
      </w:r>
      <w:r w:rsidRPr="00DB0B5F">
        <w:t>with him but with the broker</w:t>
      </w:r>
      <w:r>
        <w:t xml:space="preserve"> (</w:t>
      </w:r>
      <w:r w:rsidRPr="00DB0B5F">
        <w:t>alternatively Zurich</w:t>
      </w:r>
      <w:r>
        <w:t>)</w:t>
      </w:r>
      <w:r w:rsidRPr="00DB0B5F">
        <w:t xml:space="preserve">, Engelbrecht’s evidence was that the appellant’s quotes were submitted to and </w:t>
      </w:r>
      <w:r>
        <w:t xml:space="preserve">accepted </w:t>
      </w:r>
      <w:r w:rsidRPr="00DB0B5F">
        <w:t>by the respondent</w:t>
      </w:r>
      <w:r>
        <w:t xml:space="preserve"> when he signed them in December 2013.</w:t>
      </w:r>
      <w:r>
        <w:rPr>
          <w:rStyle w:val="FootnoteReference"/>
        </w:rPr>
        <w:footnoteReference w:id="19"/>
      </w:r>
      <w:r>
        <w:t xml:space="preserve"> In her judgment, t</w:t>
      </w:r>
      <w:r w:rsidRPr="00DB0B5F">
        <w:t xml:space="preserve">he Magistrate did not reject this evidence as untrue, but </w:t>
      </w:r>
      <w:r>
        <w:t xml:space="preserve">instead disregarded </w:t>
      </w:r>
      <w:r w:rsidRPr="00DB0B5F">
        <w:t>it on the basis of the parol evidence rule.</w:t>
      </w:r>
      <w:r w:rsidR="006462EE">
        <w:t xml:space="preserve"> This was incorrect: even assuming that the appellant relies upon the MOA as the sole memorial of the contractual relationship between the parties (as to which, see below), evidence in support of an alleged tacit term is a recognised exception to the operation of the </w:t>
      </w:r>
      <w:r w:rsidR="006462EE">
        <w:lastRenderedPageBreak/>
        <w:t>integration rule.</w:t>
      </w:r>
      <w:r w:rsidR="006462EE">
        <w:rPr>
          <w:rStyle w:val="FootnoteReference"/>
        </w:rPr>
        <w:footnoteReference w:id="20"/>
      </w:r>
      <w:r w:rsidR="006462EE">
        <w:t xml:space="preserve"> </w:t>
      </w:r>
      <w:r w:rsidRPr="00DB0B5F">
        <w:t xml:space="preserve"> </w:t>
      </w:r>
    </w:p>
    <w:p w14:paraId="57FA36BD" w14:textId="070881B8" w:rsidR="00CF6817" w:rsidRDefault="00CF6817" w:rsidP="00CF6817">
      <w:pPr>
        <w:pStyle w:val="LC1"/>
      </w:pPr>
      <w:r>
        <w:t>T</w:t>
      </w:r>
      <w:r w:rsidRPr="00DB0B5F">
        <w:t xml:space="preserve">he portions of the cross-examination relied upon by the respondent in this regard cannot realistically be characterised as a concession by </w:t>
      </w:r>
      <w:r>
        <w:t xml:space="preserve">the appellant’s witnesses that the first agreement was concluded </w:t>
      </w:r>
      <w:r w:rsidRPr="007E008C">
        <w:t>with Zurich</w:t>
      </w:r>
      <w:r w:rsidR="006462EE">
        <w:t>, as the respondent pleads</w:t>
      </w:r>
      <w:r w:rsidRPr="007E008C">
        <w:t>.</w:t>
      </w:r>
      <w:r>
        <w:t xml:space="preserve"> Engelbrecht did not concede under cross examination (as the respondent argued on appeal) that the quotations were generated at the same time as the meeting with Zurich. It is clear from the relevant portion of Engelbrecht’s evidence that he resolutely disputed this.</w:t>
      </w:r>
      <w:r>
        <w:rPr>
          <w:rStyle w:val="FootnoteReference"/>
        </w:rPr>
        <w:footnoteReference w:id="21"/>
      </w:r>
      <w:r>
        <w:t xml:space="preserve"> At best</w:t>
      </w:r>
      <w:r w:rsidR="006E34EF">
        <w:t xml:space="preserve"> for the respondent</w:t>
      </w:r>
      <w:r>
        <w:t xml:space="preserve">, Engelbrecht conceded that </w:t>
      </w:r>
      <w:r w:rsidRPr="00DB0B5F">
        <w:t xml:space="preserve">De Kock </w:t>
      </w:r>
      <w:r w:rsidR="006462EE">
        <w:t xml:space="preserve">(who was not authorised by Zurich) </w:t>
      </w:r>
      <w:r>
        <w:t>“</w:t>
      </w:r>
      <w:r w:rsidRPr="00B84F2D">
        <w:rPr>
          <w:i/>
          <w:iCs/>
        </w:rPr>
        <w:t>gave instructions</w:t>
      </w:r>
      <w:r>
        <w:t>”</w:t>
      </w:r>
      <w:r w:rsidRPr="00DB0B5F">
        <w:t xml:space="preserve"> to the appellant</w:t>
      </w:r>
      <w:r>
        <w:t xml:space="preserve"> in the presence of the respondent with regard to nature of the work to be done</w:t>
      </w:r>
      <w:r w:rsidRPr="00DB0B5F">
        <w:rPr>
          <w:rStyle w:val="FootnoteReference"/>
        </w:rPr>
        <w:footnoteReference w:id="22"/>
      </w:r>
      <w:r>
        <w:t xml:space="preserve"> and Scharper stated that his understanding (seemingly on the basis of hearsay) was that De Kock “</w:t>
      </w:r>
      <w:r w:rsidRPr="00B84F2D">
        <w:rPr>
          <w:i/>
          <w:iCs/>
        </w:rPr>
        <w:t>gave an instruction to proceed with the quotations</w:t>
      </w:r>
      <w:r>
        <w:t>” listed in clause 3 of the MOA,</w:t>
      </w:r>
      <w:r>
        <w:rPr>
          <w:rStyle w:val="FootnoteReference"/>
        </w:rPr>
        <w:footnoteReference w:id="23"/>
      </w:r>
      <w:r>
        <w:t xml:space="preserve"> but he did not state to whom that instruction was given</w:t>
      </w:r>
      <w:r w:rsidR="006462EE">
        <w:t xml:space="preserve"> (i.e. to the appellant or the respondent)</w:t>
      </w:r>
      <w:r>
        <w:t xml:space="preserve">. </w:t>
      </w:r>
    </w:p>
    <w:p w14:paraId="3512C5DB" w14:textId="0AEE61CF" w:rsidR="00CF6817" w:rsidRPr="00DB0B5F" w:rsidRDefault="00CF6817" w:rsidP="00CF6817">
      <w:pPr>
        <w:pStyle w:val="LC1"/>
      </w:pPr>
      <w:r>
        <w:t xml:space="preserve">In addition, I note that the passages </w:t>
      </w:r>
      <w:r w:rsidR="006462EE">
        <w:t xml:space="preserve">of the transcript </w:t>
      </w:r>
      <w:r>
        <w:t xml:space="preserve">relied upon by the respondent </w:t>
      </w:r>
      <w:r w:rsidR="006E34EF">
        <w:t xml:space="preserve">in this regard </w:t>
      </w:r>
      <w:r w:rsidR="006462EE">
        <w:t xml:space="preserve">show that </w:t>
      </w:r>
      <w:r>
        <w:t>the questioning of the appellant’s witnesses was unfair.</w:t>
      </w:r>
      <w:r w:rsidR="006462EE">
        <w:rPr>
          <w:rStyle w:val="FootnoteReference"/>
        </w:rPr>
        <w:t xml:space="preserve"> </w:t>
      </w:r>
      <w:r>
        <w:t>For example, both the respondent’s counsel and the Magistrate put to Engelbrecht the patently incorrect statement that the second recordal in the agreement expressly stipulates “</w:t>
      </w:r>
      <w:r w:rsidRPr="00D670E4">
        <w:rPr>
          <w:i/>
          <w:iCs/>
        </w:rPr>
        <w:t>that the kontrakteur … accepted appointment through Mr Mike de Kok and accepted that appointment bona fides</w:t>
      </w:r>
      <w:r>
        <w:t xml:space="preserve">”. The true content of the second recordal </w:t>
      </w:r>
      <w:r w:rsidR="006462EE">
        <w:t xml:space="preserve">in the MOA </w:t>
      </w:r>
      <w:r>
        <w:t>is set out above, and my reading thereof is that the appellant had in good faith accepted that De Kock had been appointed on behalf of the insurer. Engelbrecht’s responses (“</w:t>
      </w:r>
      <w:r w:rsidRPr="00D670E4">
        <w:rPr>
          <w:i/>
          <w:iCs/>
        </w:rPr>
        <w:t>Yes, through Mr Kapp</w:t>
      </w:r>
      <w:r>
        <w:t>” and “</w:t>
      </w:r>
      <w:r>
        <w:rPr>
          <w:i/>
          <w:iCs/>
        </w:rPr>
        <w:t>Y</w:t>
      </w:r>
      <w:r w:rsidRPr="00D670E4">
        <w:rPr>
          <w:i/>
          <w:iCs/>
        </w:rPr>
        <w:t>es ma’am… That is why I signed there</w:t>
      </w:r>
      <w:r>
        <w:t>”)</w:t>
      </w:r>
      <w:r>
        <w:rPr>
          <w:rStyle w:val="FootnoteReference"/>
        </w:rPr>
        <w:footnoteReference w:id="24"/>
      </w:r>
      <w:r>
        <w:t xml:space="preserve"> </w:t>
      </w:r>
      <w:r w:rsidR="007A30D9">
        <w:t xml:space="preserve">indicate that he </w:t>
      </w:r>
      <w:r>
        <w:t>resisted the suggestion that the first agreement had been concluded with De Kock or Zurich</w:t>
      </w:r>
      <w:r w:rsidR="007A30D9">
        <w:t>. A</w:t>
      </w:r>
      <w:r>
        <w:t>ll Engelbrecht was prepared to concede was the words contained in the MOA and his signature thereof.</w:t>
      </w:r>
    </w:p>
    <w:p w14:paraId="24016969" w14:textId="0D5FC1C7" w:rsidR="00CF6817" w:rsidRDefault="006E34EF" w:rsidP="0071369A">
      <w:pPr>
        <w:pStyle w:val="LC1"/>
      </w:pPr>
      <w:r>
        <w:lastRenderedPageBreak/>
        <w:t xml:space="preserve">In the circumstances, I am of the view that there is indeed </w:t>
      </w:r>
      <w:r w:rsidRPr="006800D5">
        <w:t>evidence upon which a Court</w:t>
      </w:r>
      <w:r>
        <w:t xml:space="preserve"> </w:t>
      </w:r>
      <w:r w:rsidRPr="006800D5">
        <w:t xml:space="preserve">could or might find </w:t>
      </w:r>
      <w:r>
        <w:t>that that the MOA contained the tacit term contended for by the appellant.</w:t>
      </w:r>
    </w:p>
    <w:p w14:paraId="3BF38554" w14:textId="45B4462C" w:rsidR="00CF6817" w:rsidRPr="006E34EF" w:rsidRDefault="006E34EF" w:rsidP="0005430C">
      <w:pPr>
        <w:pStyle w:val="LC1"/>
        <w:keepNext/>
        <w:numPr>
          <w:ilvl w:val="0"/>
          <w:numId w:val="0"/>
        </w:numPr>
        <w:rPr>
          <w:u w:val="single"/>
        </w:rPr>
      </w:pPr>
      <w:r w:rsidRPr="006E34EF">
        <w:rPr>
          <w:u w:val="single"/>
        </w:rPr>
        <w:t xml:space="preserve">A court could or might find that the </w:t>
      </w:r>
      <w:r w:rsidR="00BA471E">
        <w:rPr>
          <w:u w:val="single"/>
        </w:rPr>
        <w:t xml:space="preserve">respondent’s liability under the </w:t>
      </w:r>
      <w:r w:rsidRPr="006E34EF">
        <w:rPr>
          <w:u w:val="single"/>
        </w:rPr>
        <w:t xml:space="preserve">first agreement </w:t>
      </w:r>
      <w:r w:rsidR="00BA471E">
        <w:rPr>
          <w:u w:val="single"/>
        </w:rPr>
        <w:t xml:space="preserve">was not amended by the </w:t>
      </w:r>
      <w:r w:rsidR="00BA471E" w:rsidRPr="006E34EF">
        <w:rPr>
          <w:u w:val="single"/>
        </w:rPr>
        <w:t xml:space="preserve">MOA </w:t>
      </w:r>
    </w:p>
    <w:p w14:paraId="3DBEFA01" w14:textId="2E6B5E53" w:rsidR="00683640" w:rsidRDefault="006E5E21" w:rsidP="00C002DF">
      <w:pPr>
        <w:pStyle w:val="LC1"/>
      </w:pPr>
      <w:r>
        <w:t>Fourthly</w:t>
      </w:r>
      <w:r w:rsidR="005241F9">
        <w:t xml:space="preserve">, it appears that the Magistrate failed to recognise </w:t>
      </w:r>
      <w:r w:rsidR="00D827ED">
        <w:t xml:space="preserve">that the appellant’s pleaded case </w:t>
      </w:r>
      <w:r w:rsidR="007A30D9">
        <w:t xml:space="preserve">does not limit </w:t>
      </w:r>
      <w:r w:rsidR="00D827ED">
        <w:t xml:space="preserve">the contractual relationship between the parties to the content of the MOA. </w:t>
      </w:r>
    </w:p>
    <w:p w14:paraId="419DA352" w14:textId="2A859D7A" w:rsidR="00683640" w:rsidRPr="000B1029" w:rsidRDefault="00683640" w:rsidP="00683640">
      <w:pPr>
        <w:pStyle w:val="LC1"/>
        <w:spacing w:after="120"/>
        <w:rPr>
          <w:rFonts w:cs="Arial"/>
          <w:szCs w:val="24"/>
        </w:rPr>
      </w:pPr>
      <w:r>
        <w:rPr>
          <w:rFonts w:cs="Arial"/>
          <w:szCs w:val="24"/>
        </w:rPr>
        <w:t xml:space="preserve">Although </w:t>
      </w:r>
      <w:r w:rsidRPr="000B1029">
        <w:rPr>
          <w:rFonts w:cs="Arial"/>
          <w:szCs w:val="24"/>
        </w:rPr>
        <w:t xml:space="preserve">the appellant </w:t>
      </w:r>
      <w:r>
        <w:rPr>
          <w:rFonts w:cs="Arial"/>
          <w:szCs w:val="24"/>
        </w:rPr>
        <w:t xml:space="preserve">places significant emphasis on </w:t>
      </w:r>
      <w:r w:rsidRPr="000B1029">
        <w:rPr>
          <w:rFonts w:eastAsia="Cambria"/>
        </w:rPr>
        <w:t>the MOA</w:t>
      </w:r>
      <w:r>
        <w:rPr>
          <w:rFonts w:eastAsia="Cambria"/>
        </w:rPr>
        <w:t xml:space="preserve"> (this was clear from its counsel’s opening statement in the court </w:t>
      </w:r>
      <w:r w:rsidRPr="00683640">
        <w:rPr>
          <w:rFonts w:eastAsia="Cambria"/>
          <w:i/>
          <w:iCs/>
        </w:rPr>
        <w:t>a quo</w:t>
      </w:r>
      <w:r>
        <w:rPr>
          <w:rFonts w:eastAsia="Cambria"/>
        </w:rPr>
        <w:t xml:space="preserve">), </w:t>
      </w:r>
      <w:r>
        <w:rPr>
          <w:rFonts w:cs="Arial"/>
          <w:szCs w:val="24"/>
        </w:rPr>
        <w:t>my reading of t</w:t>
      </w:r>
      <w:r w:rsidRPr="000B1029">
        <w:rPr>
          <w:rFonts w:cs="Arial"/>
          <w:szCs w:val="24"/>
        </w:rPr>
        <w:t xml:space="preserve">he appellant’s claim </w:t>
      </w:r>
      <w:r>
        <w:rPr>
          <w:rFonts w:cs="Arial"/>
          <w:szCs w:val="24"/>
        </w:rPr>
        <w:t xml:space="preserve">as pleaded is that it is based </w:t>
      </w:r>
      <w:r w:rsidRPr="000B1029">
        <w:rPr>
          <w:rFonts w:cs="Arial"/>
          <w:szCs w:val="24"/>
        </w:rPr>
        <w:t xml:space="preserve">on </w:t>
      </w:r>
      <w:r>
        <w:rPr>
          <w:rFonts w:cs="Arial"/>
          <w:szCs w:val="24"/>
        </w:rPr>
        <w:t xml:space="preserve">both the first agreement </w:t>
      </w:r>
      <w:r w:rsidRPr="00683640">
        <w:rPr>
          <w:rFonts w:cs="Arial"/>
          <w:szCs w:val="24"/>
        </w:rPr>
        <w:t>and</w:t>
      </w:r>
      <w:r>
        <w:rPr>
          <w:rFonts w:cs="Arial"/>
          <w:szCs w:val="24"/>
        </w:rPr>
        <w:t xml:space="preserve"> the </w:t>
      </w:r>
      <w:r w:rsidRPr="000B1029">
        <w:rPr>
          <w:rFonts w:cs="Arial"/>
          <w:szCs w:val="24"/>
        </w:rPr>
        <w:t>MOA</w:t>
      </w:r>
      <w:r>
        <w:rPr>
          <w:rFonts w:cs="Arial"/>
          <w:szCs w:val="24"/>
        </w:rPr>
        <w:t>, which it alleges “</w:t>
      </w:r>
      <w:r w:rsidRPr="00280630">
        <w:rPr>
          <w:rFonts w:cs="Arial"/>
          <w:i/>
          <w:iCs/>
          <w:szCs w:val="24"/>
        </w:rPr>
        <w:t>amended the terms of the first agreement</w:t>
      </w:r>
      <w:r>
        <w:rPr>
          <w:rFonts w:cs="Arial"/>
          <w:szCs w:val="24"/>
        </w:rPr>
        <w:t xml:space="preserve">”. This is confirmed by </w:t>
      </w:r>
      <w:r>
        <w:rPr>
          <w:rFonts w:eastAsia="Cambria"/>
        </w:rPr>
        <w:t>the quantification of the claim in paragraph 15</w:t>
      </w:r>
      <w:r w:rsidR="007A30D9">
        <w:rPr>
          <w:rFonts w:eastAsia="Cambria"/>
        </w:rPr>
        <w:t xml:space="preserve"> of the particulars of claim</w:t>
      </w:r>
      <w:r>
        <w:rPr>
          <w:rFonts w:eastAsia="Cambria"/>
        </w:rPr>
        <w:t xml:space="preserve">, which is based on the outstanding amount due in terms of the pleaded first agreement, </w:t>
      </w:r>
      <w:r>
        <w:rPr>
          <w:rFonts w:cs="Arial"/>
          <w:szCs w:val="24"/>
        </w:rPr>
        <w:t>reduced by (i) the value of certain quoted work that the respondent asked the appellant not to undertake; (ii) a partial payment of R465,241.20 received from the respondent; (iii) and the reasonable costs to complete certain quoted work that the appellant tendered to perform, but which the respondent prevented it from performing</w:t>
      </w:r>
      <w:r>
        <w:rPr>
          <w:rFonts w:eastAsia="Cambria"/>
        </w:rPr>
        <w:t>.</w:t>
      </w:r>
      <w:r w:rsidRPr="000B1029">
        <w:rPr>
          <w:rFonts w:eastAsia="Cambria"/>
        </w:rPr>
        <w:t xml:space="preserve"> </w:t>
      </w:r>
    </w:p>
    <w:p w14:paraId="4B80BAEB" w14:textId="51E39FF6" w:rsidR="0005430C" w:rsidRDefault="00683640" w:rsidP="00C002DF">
      <w:pPr>
        <w:pStyle w:val="LC1"/>
      </w:pPr>
      <w:r>
        <w:t xml:space="preserve">In other words, </w:t>
      </w:r>
      <w:r w:rsidR="00BA471E">
        <w:t xml:space="preserve">it </w:t>
      </w:r>
      <w:r w:rsidR="00D827ED">
        <w:t xml:space="preserve">is not the appellant’s </w:t>
      </w:r>
      <w:r>
        <w:t xml:space="preserve">pleaded </w:t>
      </w:r>
      <w:r w:rsidR="00D827ED">
        <w:t>contention that the MOA is the sole memorial of the contractual relationship between the parties</w:t>
      </w:r>
      <w:r w:rsidR="00104DA9">
        <w:t>.</w:t>
      </w:r>
      <w:r w:rsidR="00D827ED">
        <w:rPr>
          <w:rStyle w:val="FootnoteReference"/>
        </w:rPr>
        <w:footnoteReference w:id="25"/>
      </w:r>
      <w:r w:rsidR="00104DA9">
        <w:t xml:space="preserve"> </w:t>
      </w:r>
    </w:p>
    <w:p w14:paraId="20032F92" w14:textId="72C10859" w:rsidR="007A30D9" w:rsidRDefault="0005430C" w:rsidP="0035367D">
      <w:pPr>
        <w:pStyle w:val="LC1"/>
      </w:pPr>
      <w:r>
        <w:t xml:space="preserve">I am of the view that a court could or might well find on the basis of </w:t>
      </w:r>
      <w:r w:rsidR="002B1648">
        <w:t xml:space="preserve">the appellant’s </w:t>
      </w:r>
      <w:r>
        <w:t xml:space="preserve">evidence that the respondent </w:t>
      </w:r>
      <w:r w:rsidR="00002741">
        <w:t xml:space="preserve">is </w:t>
      </w:r>
      <w:r>
        <w:t>liable to the appellant in terms of the first agreement</w:t>
      </w:r>
      <w:r w:rsidR="007A30D9">
        <w:t xml:space="preserve"> and that the </w:t>
      </w:r>
      <w:r w:rsidR="00104DA9">
        <w:t>MOA</w:t>
      </w:r>
      <w:r>
        <w:t xml:space="preserve"> </w:t>
      </w:r>
      <w:r w:rsidR="00104DA9">
        <w:t>only purports to address the question of payment</w:t>
      </w:r>
      <w:r w:rsidR="00D827ED">
        <w:t xml:space="preserve"> </w:t>
      </w:r>
      <w:r w:rsidR="00104DA9">
        <w:t xml:space="preserve">(and interest) </w:t>
      </w:r>
      <w:r w:rsidR="007A30D9">
        <w:t xml:space="preserve">but </w:t>
      </w:r>
      <w:r w:rsidR="006E34EF">
        <w:t xml:space="preserve">does not unambiguously amend the </w:t>
      </w:r>
      <w:r>
        <w:t xml:space="preserve">first agreement in relation to the question of the respondent’s liability. Indeed, clause 9.1 </w:t>
      </w:r>
      <w:r w:rsidR="002B1648">
        <w:t xml:space="preserve">of the MOA </w:t>
      </w:r>
      <w:r>
        <w:t>appears to confirm the first agreement.</w:t>
      </w:r>
      <w:r w:rsidR="007A30D9">
        <w:t xml:space="preserve"> </w:t>
      </w:r>
      <w:r>
        <w:t>At best for the respondent, th</w:t>
      </w:r>
      <w:r w:rsidR="00104DA9">
        <w:t xml:space="preserve">e MOA </w:t>
      </w:r>
      <w:r>
        <w:t xml:space="preserve">is </w:t>
      </w:r>
      <w:r w:rsidR="00104DA9">
        <w:t xml:space="preserve">ambiguous </w:t>
      </w:r>
      <w:r w:rsidR="00104DA9">
        <w:lastRenderedPageBreak/>
        <w:t xml:space="preserve">as to whether it </w:t>
      </w:r>
      <w:r w:rsidR="00E5787F">
        <w:t xml:space="preserve">amended the first agreement with regard to </w:t>
      </w:r>
      <w:r w:rsidR="00104DA9">
        <w:t xml:space="preserve">the </w:t>
      </w:r>
      <w:r>
        <w:t xml:space="preserve">question of the </w:t>
      </w:r>
      <w:r w:rsidR="00104DA9">
        <w:t>respondent’s liability</w:t>
      </w:r>
      <w:r>
        <w:t xml:space="preserve">. </w:t>
      </w:r>
    </w:p>
    <w:p w14:paraId="67FDD508" w14:textId="3DF5F6A0" w:rsidR="00D827ED" w:rsidRDefault="0005430C" w:rsidP="0035367D">
      <w:pPr>
        <w:pStyle w:val="LC1"/>
      </w:pPr>
      <w:r>
        <w:t xml:space="preserve">In those circumstances, </w:t>
      </w:r>
      <w:r w:rsidR="00E5787F">
        <w:t>the evidence led by the appellant</w:t>
      </w:r>
      <w:r w:rsidR="00104DA9">
        <w:t xml:space="preserve"> was more than sufficient to overcome the </w:t>
      </w:r>
      <w:r>
        <w:t xml:space="preserve">respondent’s </w:t>
      </w:r>
      <w:r w:rsidR="00104DA9">
        <w:t xml:space="preserve">application for absolution from the instance. </w:t>
      </w:r>
    </w:p>
    <w:p w14:paraId="5EC933C1" w14:textId="276733CA" w:rsidR="0005430C" w:rsidRPr="0005430C" w:rsidRDefault="0005430C" w:rsidP="0005430C">
      <w:pPr>
        <w:pStyle w:val="LC1"/>
        <w:keepNext/>
        <w:numPr>
          <w:ilvl w:val="0"/>
          <w:numId w:val="0"/>
        </w:numPr>
        <w:spacing w:after="120"/>
        <w:rPr>
          <w:rFonts w:cs="Arial"/>
          <w:szCs w:val="24"/>
          <w:u w:val="single"/>
        </w:rPr>
      </w:pPr>
      <w:r w:rsidRPr="0005430C">
        <w:rPr>
          <w:rFonts w:cs="Arial"/>
          <w:szCs w:val="24"/>
          <w:u w:val="single"/>
        </w:rPr>
        <w:t>Condonation</w:t>
      </w:r>
      <w:r w:rsidR="00331526">
        <w:rPr>
          <w:rFonts w:cs="Arial"/>
          <w:szCs w:val="24"/>
          <w:u w:val="single"/>
        </w:rPr>
        <w:t xml:space="preserve"> applications</w:t>
      </w:r>
      <w:r w:rsidR="00BA471E">
        <w:rPr>
          <w:rFonts w:cs="Arial"/>
          <w:szCs w:val="24"/>
          <w:u w:val="single"/>
        </w:rPr>
        <w:t>,</w:t>
      </w:r>
      <w:r w:rsidRPr="0005430C">
        <w:rPr>
          <w:rFonts w:cs="Arial"/>
          <w:szCs w:val="24"/>
          <w:u w:val="single"/>
        </w:rPr>
        <w:t xml:space="preserve"> </w:t>
      </w:r>
      <w:r w:rsidR="00BA471E">
        <w:rPr>
          <w:rFonts w:cs="Arial"/>
          <w:szCs w:val="24"/>
          <w:u w:val="single"/>
        </w:rPr>
        <w:t>c</w:t>
      </w:r>
      <w:r w:rsidRPr="0005430C">
        <w:rPr>
          <w:rFonts w:cs="Arial"/>
          <w:szCs w:val="24"/>
          <w:u w:val="single"/>
        </w:rPr>
        <w:t>osts</w:t>
      </w:r>
      <w:r w:rsidR="00BA471E">
        <w:rPr>
          <w:rFonts w:cs="Arial"/>
          <w:szCs w:val="24"/>
          <w:u w:val="single"/>
        </w:rPr>
        <w:t xml:space="preserve"> and order</w:t>
      </w:r>
    </w:p>
    <w:p w14:paraId="525F53C9" w14:textId="77777777" w:rsidR="003044E5" w:rsidRDefault="007A30D9" w:rsidP="00DE32F5">
      <w:pPr>
        <w:pStyle w:val="LC1"/>
        <w:spacing w:after="120"/>
        <w:rPr>
          <w:rFonts w:cs="Arial"/>
          <w:szCs w:val="24"/>
        </w:rPr>
      </w:pPr>
      <w:r>
        <w:rPr>
          <w:rFonts w:cs="Arial"/>
          <w:szCs w:val="24"/>
        </w:rPr>
        <w:t xml:space="preserve">Before concluding, there are two </w:t>
      </w:r>
      <w:r w:rsidR="005076B7">
        <w:rPr>
          <w:rFonts w:cs="Arial"/>
          <w:szCs w:val="24"/>
        </w:rPr>
        <w:t>further matter</w:t>
      </w:r>
      <w:r>
        <w:rPr>
          <w:rFonts w:cs="Arial"/>
          <w:szCs w:val="24"/>
        </w:rPr>
        <w:t>s</w:t>
      </w:r>
      <w:r w:rsidR="005076B7">
        <w:rPr>
          <w:rFonts w:cs="Arial"/>
          <w:szCs w:val="24"/>
        </w:rPr>
        <w:t xml:space="preserve"> that require our attention</w:t>
      </w:r>
      <w:r w:rsidR="00DE32F5">
        <w:rPr>
          <w:rFonts w:cs="Arial"/>
          <w:szCs w:val="24"/>
        </w:rPr>
        <w:t>.</w:t>
      </w:r>
      <w:r>
        <w:rPr>
          <w:rFonts w:cs="Arial"/>
          <w:szCs w:val="24"/>
        </w:rPr>
        <w:t xml:space="preserve"> </w:t>
      </w:r>
    </w:p>
    <w:p w14:paraId="4CE8E071" w14:textId="65497FA9" w:rsidR="00DE32F5" w:rsidRDefault="007A30D9" w:rsidP="00DE32F5">
      <w:pPr>
        <w:pStyle w:val="LC1"/>
        <w:spacing w:after="120"/>
        <w:rPr>
          <w:rFonts w:cs="Arial"/>
          <w:szCs w:val="24"/>
        </w:rPr>
      </w:pPr>
      <w:r>
        <w:rPr>
          <w:rFonts w:cs="Arial"/>
          <w:szCs w:val="24"/>
        </w:rPr>
        <w:t xml:space="preserve">I am satisfied that the appellant </w:t>
      </w:r>
      <w:r w:rsidR="003044E5">
        <w:rPr>
          <w:rFonts w:cs="Arial"/>
          <w:szCs w:val="24"/>
        </w:rPr>
        <w:t xml:space="preserve">has </w:t>
      </w:r>
      <w:r>
        <w:rPr>
          <w:rFonts w:cs="Arial"/>
          <w:szCs w:val="24"/>
        </w:rPr>
        <w:t>demonstrated good cause for the grant of condonation for various non-compliances with the</w:t>
      </w:r>
      <w:r w:rsidR="00DE32F5" w:rsidRPr="006E7462">
        <w:rPr>
          <w:rFonts w:cs="Arial"/>
          <w:szCs w:val="24"/>
        </w:rPr>
        <w:t xml:space="preserve"> </w:t>
      </w:r>
      <w:r>
        <w:rPr>
          <w:rFonts w:cs="Arial"/>
          <w:szCs w:val="24"/>
        </w:rPr>
        <w:t xml:space="preserve">Magistrates Court rules, the Uniform </w:t>
      </w:r>
      <w:r w:rsidR="00331526">
        <w:rPr>
          <w:rFonts w:cs="Arial"/>
          <w:szCs w:val="24"/>
        </w:rPr>
        <w:t>R</w:t>
      </w:r>
      <w:r>
        <w:rPr>
          <w:rFonts w:cs="Arial"/>
          <w:szCs w:val="24"/>
        </w:rPr>
        <w:t>ules of Court</w:t>
      </w:r>
      <w:r w:rsidR="00331526">
        <w:rPr>
          <w:rFonts w:cs="Arial"/>
          <w:szCs w:val="24"/>
        </w:rPr>
        <w:t xml:space="preserve"> and </w:t>
      </w:r>
      <w:r>
        <w:rPr>
          <w:rFonts w:cs="Arial"/>
          <w:szCs w:val="24"/>
        </w:rPr>
        <w:t xml:space="preserve">the </w:t>
      </w:r>
      <w:r w:rsidR="00331526">
        <w:rPr>
          <w:rFonts w:cs="Arial"/>
          <w:szCs w:val="24"/>
        </w:rPr>
        <w:t>r</w:t>
      </w:r>
      <w:r>
        <w:rPr>
          <w:rFonts w:cs="Arial"/>
          <w:szCs w:val="24"/>
        </w:rPr>
        <w:t>ules of this Division</w:t>
      </w:r>
      <w:r w:rsidR="00997149">
        <w:rPr>
          <w:rFonts w:cs="Arial"/>
          <w:szCs w:val="24"/>
        </w:rPr>
        <w:t>,</w:t>
      </w:r>
      <w:r>
        <w:rPr>
          <w:rFonts w:cs="Arial"/>
          <w:szCs w:val="24"/>
        </w:rPr>
        <w:t xml:space="preserve"> </w:t>
      </w:r>
      <w:r w:rsidR="00A5181E">
        <w:rPr>
          <w:rFonts w:cs="Arial"/>
          <w:szCs w:val="24"/>
        </w:rPr>
        <w:t>and for the reinstatement of the appeal which had technically lapsed</w:t>
      </w:r>
      <w:r w:rsidR="003044E5">
        <w:rPr>
          <w:rFonts w:cs="Arial"/>
          <w:szCs w:val="24"/>
        </w:rPr>
        <w:t xml:space="preserve">. Apart from the appellant’s prospects of success which are apparent from the findings above, the delays and extent of non-compliance in each instance were </w:t>
      </w:r>
      <w:r w:rsidR="00612486">
        <w:rPr>
          <w:rFonts w:cs="Arial"/>
          <w:szCs w:val="24"/>
        </w:rPr>
        <w:t>not unduly extensive</w:t>
      </w:r>
      <w:r w:rsidR="003044E5">
        <w:rPr>
          <w:rFonts w:cs="Arial"/>
          <w:szCs w:val="24"/>
        </w:rPr>
        <w:t xml:space="preserve">, and there has been </w:t>
      </w:r>
      <w:r w:rsidR="00A5181E">
        <w:rPr>
          <w:rFonts w:cs="Arial"/>
          <w:szCs w:val="24"/>
        </w:rPr>
        <w:t xml:space="preserve">little </w:t>
      </w:r>
      <w:r w:rsidR="003044E5">
        <w:rPr>
          <w:rFonts w:cs="Arial"/>
          <w:szCs w:val="24"/>
        </w:rPr>
        <w:t xml:space="preserve">prejudice to the respondent. </w:t>
      </w:r>
      <w:r w:rsidR="00A5181E">
        <w:rPr>
          <w:rFonts w:cs="Arial"/>
          <w:szCs w:val="24"/>
        </w:rPr>
        <w:t xml:space="preserve">However, given that the appellant only sought an order of costs in the event of opposition and since the </w:t>
      </w:r>
      <w:r w:rsidR="003044E5">
        <w:rPr>
          <w:rFonts w:cs="Arial"/>
          <w:szCs w:val="24"/>
        </w:rPr>
        <w:t xml:space="preserve">respondent </w:t>
      </w:r>
      <w:r w:rsidR="00A5181E">
        <w:rPr>
          <w:rFonts w:cs="Arial"/>
          <w:szCs w:val="24"/>
        </w:rPr>
        <w:t xml:space="preserve">did not </w:t>
      </w:r>
      <w:r w:rsidR="00612486">
        <w:rPr>
          <w:rFonts w:cs="Arial"/>
          <w:szCs w:val="24"/>
        </w:rPr>
        <w:t>file any answering papers</w:t>
      </w:r>
      <w:r w:rsidR="003044E5">
        <w:rPr>
          <w:rFonts w:cs="Arial"/>
          <w:szCs w:val="24"/>
        </w:rPr>
        <w:t>, it would be inappropriate to award the appellant its costs in relation thereto.</w:t>
      </w:r>
    </w:p>
    <w:p w14:paraId="079D39BB" w14:textId="0EA86071" w:rsidR="00237B32" w:rsidRDefault="00A5181E" w:rsidP="00296AB6">
      <w:pPr>
        <w:pStyle w:val="LC1"/>
      </w:pPr>
      <w:r>
        <w:t xml:space="preserve">On </w:t>
      </w:r>
      <w:r w:rsidR="00997149">
        <w:t xml:space="preserve">a </w:t>
      </w:r>
      <w:r>
        <w:t>previous occasion when matter was set down for hearing, the respondent was ordered to apply for condonation and file heads of argument and a practice note within 15 days</w:t>
      </w:r>
      <w:r w:rsidR="00612486">
        <w:t xml:space="preserve">. This was despite the fact that the appeal should not have been set down on </w:t>
      </w:r>
      <w:r w:rsidR="00997149">
        <w:t xml:space="preserve">that </w:t>
      </w:r>
      <w:r w:rsidR="00612486">
        <w:t xml:space="preserve">occasion by the appellant in view of the absence of an application to compel the respondent to deliver his heads of argument. Furthermore, since the respondent’s heads of argument were delivered more than 10 days before the hearing of the appeal (as required by High Court Rule 50(9)), I am of the view that they were not delivered late, and that it is thus not necessary for us to </w:t>
      </w:r>
      <w:r w:rsidR="00F10093">
        <w:t xml:space="preserve">make an order </w:t>
      </w:r>
      <w:r w:rsidR="00612486">
        <w:t>condon</w:t>
      </w:r>
      <w:r w:rsidR="00F10093">
        <w:t>ing</w:t>
      </w:r>
      <w:r w:rsidR="00612486">
        <w:t xml:space="preserve"> </w:t>
      </w:r>
      <w:r w:rsidR="00F10093">
        <w:t>their late delivery</w:t>
      </w:r>
      <w:r w:rsidR="00612486">
        <w:t>. Unfortunately, however, that is not the end of the matter. The condonation application was “</w:t>
      </w:r>
      <w:r w:rsidR="00612486" w:rsidRPr="00612486">
        <w:rPr>
          <w:i/>
          <w:iCs/>
        </w:rPr>
        <w:t>reluctantly</w:t>
      </w:r>
      <w:r w:rsidR="00612486">
        <w:t>” opposed by the appellant on the narrow basis that the founding affidavit of the respondent</w:t>
      </w:r>
      <w:r w:rsidR="00997149">
        <w:t xml:space="preserve"> (</w:t>
      </w:r>
      <w:r w:rsidR="00612486">
        <w:t>who is an admitted and practising attorney</w:t>
      </w:r>
      <w:r w:rsidR="00997149">
        <w:t>)</w:t>
      </w:r>
      <w:r w:rsidR="00612486">
        <w:t xml:space="preserve">, allegedly contains false statements </w:t>
      </w:r>
      <w:r w:rsidR="008D0BA7">
        <w:t xml:space="preserve">under oath in relation to the reasons for his non-compliance with the time period provided for in this court’s practice directive. In particular, Mr Muyambi (the appellant’s attorney) alleges in the answering affidavit that the respondent </w:t>
      </w:r>
      <w:r w:rsidR="00237B32">
        <w:lastRenderedPageBreak/>
        <w:t xml:space="preserve">improperly </w:t>
      </w:r>
      <w:r w:rsidR="008D0BA7">
        <w:t xml:space="preserve">laid the blame for the late delivery of his heads of argument at the feet of his erstwhile attorney, Mr Badenhorst. Despite the fact that </w:t>
      </w:r>
      <w:r w:rsidR="00135C38">
        <w:t xml:space="preserve">the answering </w:t>
      </w:r>
      <w:r w:rsidR="008D0BA7">
        <w:t xml:space="preserve">affidavit </w:t>
      </w:r>
      <w:r w:rsidR="00135C38">
        <w:t xml:space="preserve">(which is supported by an affidavit deposed to by Badenhorst) </w:t>
      </w:r>
      <w:r w:rsidR="008D0BA7">
        <w:t>contains cogent evidence in support of this allegation</w:t>
      </w:r>
      <w:r w:rsidR="002E45E4">
        <w:t>,</w:t>
      </w:r>
      <w:r w:rsidR="00237B32">
        <w:t xml:space="preserve"> and seeks an order that the papers in the respondent’s condonation application “</w:t>
      </w:r>
      <w:r w:rsidR="00237B32" w:rsidRPr="00054DB9">
        <w:rPr>
          <w:i/>
          <w:iCs/>
        </w:rPr>
        <w:t>be referred to the Legal Practice Council for consideration and possible further action</w:t>
      </w:r>
      <w:r w:rsidR="00237B32">
        <w:t>”</w:t>
      </w:r>
      <w:r w:rsidR="008D0BA7">
        <w:t xml:space="preserve">, the respondent has not seen fit to deliver a replying affidavit seeking to rebut </w:t>
      </w:r>
      <w:r w:rsidR="00BB2911">
        <w:t>the evidence of impropriety or oppose the referral to the Legal Practice Council</w:t>
      </w:r>
      <w:r w:rsidR="008D0BA7">
        <w:t xml:space="preserve">. </w:t>
      </w:r>
      <w:r w:rsidR="00F10093">
        <w:t xml:space="preserve">In addition, the respondent’s counsel declined our invitation to address the court on the issue at the hearing of the appeal. </w:t>
      </w:r>
      <w:r w:rsidR="00237B32">
        <w:rPr>
          <w:lang w:eastAsia="en-ZA"/>
        </w:rPr>
        <w:t xml:space="preserve">I am therefore satisfied that the respondent </w:t>
      </w:r>
      <w:r w:rsidR="00F10093">
        <w:rPr>
          <w:lang w:eastAsia="en-ZA"/>
        </w:rPr>
        <w:t xml:space="preserve">has been </w:t>
      </w:r>
      <w:r w:rsidR="00237B32">
        <w:rPr>
          <w:lang w:eastAsia="en-ZA"/>
        </w:rPr>
        <w:t>given an opportunity to state his case</w:t>
      </w:r>
      <w:r w:rsidR="00F10093">
        <w:rPr>
          <w:lang w:eastAsia="en-ZA"/>
        </w:rPr>
        <w:t xml:space="preserve"> in relation to the allegations against him.</w:t>
      </w:r>
      <w:r w:rsidR="00F10093">
        <w:rPr>
          <w:rStyle w:val="FootnoteReference"/>
          <w:lang w:eastAsia="en-ZA"/>
        </w:rPr>
        <w:footnoteReference w:id="26"/>
      </w:r>
    </w:p>
    <w:p w14:paraId="083DABFF" w14:textId="6CD34A0D" w:rsidR="00A5181E" w:rsidRDefault="00E21BD0" w:rsidP="00296AB6">
      <w:pPr>
        <w:pStyle w:val="LC1"/>
      </w:pPr>
      <w:r>
        <w:t xml:space="preserve">While </w:t>
      </w:r>
      <w:r w:rsidR="008D0BA7">
        <w:t xml:space="preserve">I do not consider that either party should be awarded their costs in relation to the </w:t>
      </w:r>
      <w:r w:rsidR="00F10093">
        <w:t xml:space="preserve">respondent’s condonation </w:t>
      </w:r>
      <w:r w:rsidR="008D0BA7">
        <w:t>application</w:t>
      </w:r>
      <w:r>
        <w:t xml:space="preserve"> (</w:t>
      </w:r>
      <w:r w:rsidR="008D0BA7">
        <w:t xml:space="preserve">particularly since </w:t>
      </w:r>
      <w:r w:rsidR="00135C38">
        <w:t xml:space="preserve">Muyambi observes </w:t>
      </w:r>
      <w:r w:rsidR="00F10093">
        <w:t xml:space="preserve">– correctly in my view – </w:t>
      </w:r>
      <w:r w:rsidR="00135C38">
        <w:t>that</w:t>
      </w:r>
      <w:r w:rsidR="00F10093">
        <w:t xml:space="preserve"> </w:t>
      </w:r>
      <w:r w:rsidR="00997149">
        <w:t xml:space="preserve">he only delivered the </w:t>
      </w:r>
      <w:r w:rsidR="00135C38">
        <w:t>answering affidavit because he was duty bound as a legal practitioner and officer of the court to do so</w:t>
      </w:r>
      <w:r>
        <w:t>)</w:t>
      </w:r>
      <w:r w:rsidR="00135C38">
        <w:t xml:space="preserve">, I </w:t>
      </w:r>
      <w:r>
        <w:t xml:space="preserve">am of the view </w:t>
      </w:r>
      <w:r w:rsidR="00135C38">
        <w:t xml:space="preserve">that it would be appropriate to </w:t>
      </w:r>
      <w:r w:rsidR="00BB2911">
        <w:t xml:space="preserve">refer the matter </w:t>
      </w:r>
      <w:r w:rsidR="00135C38">
        <w:t>to the Legal Practice Council</w:t>
      </w:r>
      <w:r w:rsidR="00BB2911">
        <w:t xml:space="preserve"> as prayed for by the appellant</w:t>
      </w:r>
      <w:r w:rsidR="00135C38">
        <w:t xml:space="preserve">. </w:t>
      </w:r>
      <w:r w:rsidR="004526BD">
        <w:t>I note in this regard that Article 16</w:t>
      </w:r>
      <w:r w:rsidR="00542A3A">
        <w:t>(</w:t>
      </w:r>
      <w:r w:rsidR="004526BD">
        <w:t>1</w:t>
      </w:r>
      <w:r w:rsidR="00542A3A">
        <w:t>)</w:t>
      </w:r>
      <w:r w:rsidR="004526BD">
        <w:t xml:space="preserve"> of the Code of Judicial Conduct</w:t>
      </w:r>
      <w:r w:rsidR="004526BD">
        <w:rPr>
          <w:rStyle w:val="FootnoteReference"/>
        </w:rPr>
        <w:footnoteReference w:id="27"/>
      </w:r>
      <w:r w:rsidR="004526BD">
        <w:t xml:space="preserve"> </w:t>
      </w:r>
      <w:r w:rsidR="00997149">
        <w:rPr>
          <w:lang w:eastAsia="en-ZA"/>
        </w:rPr>
        <w:t xml:space="preserve">obliges </w:t>
      </w:r>
      <w:r w:rsidR="00542A3A">
        <w:rPr>
          <w:lang w:eastAsia="en-ZA"/>
        </w:rPr>
        <w:t>a judge with clear and reliable evidence of serious professional misconduct on the part of a legal practitioner to inform the relevant professional body of such misconduct. The appellant’s attorneys will be ordered to deliver this judgment and the relevant documents to the Legal Practice Council.</w:t>
      </w:r>
    </w:p>
    <w:p w14:paraId="5573E430" w14:textId="1AD6F1F4" w:rsidR="003044E5" w:rsidRPr="003044E5" w:rsidRDefault="003044E5" w:rsidP="003044E5">
      <w:pPr>
        <w:pStyle w:val="LC1"/>
      </w:pPr>
      <w:r w:rsidRPr="003044E5">
        <w:t xml:space="preserve">The usual rule is that the successful party should be awarded their costs. The </w:t>
      </w:r>
      <w:r>
        <w:t xml:space="preserve">appellant </w:t>
      </w:r>
      <w:r w:rsidRPr="003044E5">
        <w:t xml:space="preserve">has been substantially successful, and I see no reason to depart from that </w:t>
      </w:r>
      <w:r>
        <w:t xml:space="preserve">approach, both in relation to the appeal </w:t>
      </w:r>
      <w:r w:rsidR="00E178CB">
        <w:t xml:space="preserve">(excluding the two condonation applications) </w:t>
      </w:r>
      <w:r>
        <w:t xml:space="preserve">and the costs of the application for </w:t>
      </w:r>
      <w:r w:rsidR="00A5181E">
        <w:t xml:space="preserve">absolution from the instance in the court </w:t>
      </w:r>
      <w:r w:rsidR="00A5181E" w:rsidRPr="00A5181E">
        <w:rPr>
          <w:i/>
          <w:iCs/>
        </w:rPr>
        <w:t>a quo</w:t>
      </w:r>
      <w:r w:rsidR="00E178CB">
        <w:t>.</w:t>
      </w:r>
    </w:p>
    <w:p w14:paraId="6901CD37" w14:textId="2E1E24BB" w:rsidR="00E20ADE" w:rsidRDefault="005076B7" w:rsidP="00424B50">
      <w:pPr>
        <w:pStyle w:val="LC1"/>
        <w:spacing w:after="120"/>
        <w:rPr>
          <w:rFonts w:cs="Arial"/>
          <w:szCs w:val="24"/>
        </w:rPr>
      </w:pPr>
      <w:r>
        <w:rPr>
          <w:rFonts w:cs="Arial"/>
        </w:rPr>
        <w:t>In the circumstances, the following order is made</w:t>
      </w:r>
      <w:r w:rsidR="0035628C">
        <w:rPr>
          <w:rFonts w:cs="Arial"/>
          <w:szCs w:val="24"/>
        </w:rPr>
        <w:t>:</w:t>
      </w:r>
    </w:p>
    <w:p w14:paraId="648A7616" w14:textId="02B1BCFF" w:rsidR="007A30D9" w:rsidRDefault="007A30D9" w:rsidP="007A30D9">
      <w:pPr>
        <w:pStyle w:val="LCOrder"/>
      </w:pPr>
      <w:r>
        <w:t xml:space="preserve">The appellant’s </w:t>
      </w:r>
      <w:r w:rsidR="003044E5">
        <w:t xml:space="preserve">non-compliance </w:t>
      </w:r>
      <w:r>
        <w:t xml:space="preserve">with rule 51(4) of the Magistrates' Courts </w:t>
      </w:r>
      <w:r>
        <w:lastRenderedPageBreak/>
        <w:t xml:space="preserve">Rules, as well as </w:t>
      </w:r>
      <w:r w:rsidR="003044E5">
        <w:t xml:space="preserve">its </w:t>
      </w:r>
      <w:r>
        <w:t xml:space="preserve">non-compliance with rule 50 of the Uniform Rules of Court read together with rules </w:t>
      </w:r>
      <w:r w:rsidR="003044E5">
        <w:t xml:space="preserve">of this </w:t>
      </w:r>
      <w:r w:rsidR="00E178CB">
        <w:t>D</w:t>
      </w:r>
      <w:r w:rsidR="003044E5">
        <w:t>ivision</w:t>
      </w:r>
      <w:r>
        <w:t xml:space="preserve"> is condoned</w:t>
      </w:r>
      <w:r w:rsidR="00E178CB">
        <w:t>,</w:t>
      </w:r>
      <w:r>
        <w:t xml:space="preserve"> and</w:t>
      </w:r>
      <w:r w:rsidR="003044E5">
        <w:t xml:space="preserve"> </w:t>
      </w:r>
      <w:r>
        <w:t xml:space="preserve">the appeal is </w:t>
      </w:r>
      <w:r w:rsidR="00612486">
        <w:t>reinstated.</w:t>
      </w:r>
      <w:r>
        <w:t xml:space="preserve"> </w:t>
      </w:r>
    </w:p>
    <w:p w14:paraId="591DC203" w14:textId="0F460726" w:rsidR="00E8410D" w:rsidRDefault="00D478DC" w:rsidP="00E8410D">
      <w:pPr>
        <w:pStyle w:val="LCOrder"/>
      </w:pPr>
      <w:r>
        <w:t>The appeal is upheld with costs</w:t>
      </w:r>
      <w:r w:rsidR="003044E5">
        <w:t xml:space="preserve">, excluding the costs of the </w:t>
      </w:r>
      <w:r w:rsidR="008D0BA7">
        <w:t xml:space="preserve">parties’ respective </w:t>
      </w:r>
      <w:r w:rsidR="003044E5">
        <w:t>application</w:t>
      </w:r>
      <w:r w:rsidR="008D0BA7">
        <w:t>s</w:t>
      </w:r>
      <w:r w:rsidR="003044E5">
        <w:t xml:space="preserve"> for condonation</w:t>
      </w:r>
      <w:r w:rsidR="00E178CB">
        <w:t>,</w:t>
      </w:r>
      <w:r w:rsidR="008D0BA7">
        <w:t xml:space="preserve"> in relation to which no order</w:t>
      </w:r>
      <w:r w:rsidR="00997149">
        <w:t>s</w:t>
      </w:r>
      <w:r w:rsidR="008D0BA7">
        <w:t xml:space="preserve"> </w:t>
      </w:r>
      <w:r w:rsidR="00997149">
        <w:t xml:space="preserve">are </w:t>
      </w:r>
      <w:r w:rsidR="008D0BA7">
        <w:t>made as to costs.</w:t>
      </w:r>
    </w:p>
    <w:p w14:paraId="73F3DBB1" w14:textId="77777777" w:rsidR="00135C38" w:rsidRPr="00E8410D" w:rsidRDefault="00135C38" w:rsidP="00135C38">
      <w:pPr>
        <w:pStyle w:val="LCOrder"/>
      </w:pPr>
      <w:r w:rsidRPr="00E8410D">
        <w:rPr>
          <w:lang w:eastAsia="en-ZA"/>
        </w:rPr>
        <w:t xml:space="preserve">The order of the Court </w:t>
      </w:r>
      <w:r w:rsidRPr="00E8410D">
        <w:rPr>
          <w:i/>
          <w:iCs/>
          <w:lang w:eastAsia="en-ZA"/>
        </w:rPr>
        <w:t>a quo</w:t>
      </w:r>
      <w:r w:rsidRPr="00E8410D">
        <w:rPr>
          <w:lang w:eastAsia="en-ZA"/>
        </w:rPr>
        <w:t xml:space="preserve"> granting</w:t>
      </w:r>
      <w:r>
        <w:rPr>
          <w:lang w:eastAsia="en-ZA"/>
        </w:rPr>
        <w:t xml:space="preserve"> absolution </w:t>
      </w:r>
      <w:r w:rsidRPr="00E8410D">
        <w:rPr>
          <w:lang w:eastAsia="en-ZA"/>
        </w:rPr>
        <w:t>from the instance is set aside and the following is substituted in its place:</w:t>
      </w:r>
    </w:p>
    <w:p w14:paraId="6D400AA3" w14:textId="77777777" w:rsidR="00135C38" w:rsidRDefault="00135C38" w:rsidP="00135C38">
      <w:pPr>
        <w:pStyle w:val="LC1"/>
        <w:numPr>
          <w:ilvl w:val="0"/>
          <w:numId w:val="0"/>
        </w:numPr>
        <w:ind w:left="2138"/>
        <w:rPr>
          <w:lang w:eastAsia="en-ZA"/>
        </w:rPr>
      </w:pPr>
      <w:r>
        <w:rPr>
          <w:lang w:eastAsia="en-ZA"/>
        </w:rPr>
        <w:t>“</w:t>
      </w:r>
      <w:r w:rsidRPr="00E8410D">
        <w:rPr>
          <w:lang w:eastAsia="en-ZA"/>
        </w:rPr>
        <w:t xml:space="preserve">The application for </w:t>
      </w:r>
      <w:r>
        <w:rPr>
          <w:lang w:eastAsia="en-ZA"/>
        </w:rPr>
        <w:t xml:space="preserve">absolution </w:t>
      </w:r>
      <w:r w:rsidRPr="00E8410D">
        <w:rPr>
          <w:lang w:eastAsia="en-ZA"/>
        </w:rPr>
        <w:t>from the instance is dismissed with costs including the costs of counsel</w:t>
      </w:r>
      <w:r>
        <w:rPr>
          <w:lang w:eastAsia="en-ZA"/>
        </w:rPr>
        <w:t>.”</w:t>
      </w:r>
    </w:p>
    <w:p w14:paraId="6D163AE2" w14:textId="00CCCFE9" w:rsidR="00B30AB7" w:rsidRDefault="00542A3A" w:rsidP="00E21BD0">
      <w:pPr>
        <w:pStyle w:val="LCOrder"/>
        <w:rPr>
          <w:lang w:eastAsia="en-ZA"/>
        </w:rPr>
      </w:pPr>
      <w:r>
        <w:t xml:space="preserve">The </w:t>
      </w:r>
      <w:r w:rsidR="00135C38">
        <w:t>alleged mis</w:t>
      </w:r>
      <w:r w:rsidR="00135C38">
        <w:rPr>
          <w:lang w:eastAsia="en-ZA"/>
        </w:rPr>
        <w:t xml:space="preserve">conduct of Mr MJ Kapp </w:t>
      </w:r>
      <w:r w:rsidR="00E178CB">
        <w:rPr>
          <w:lang w:eastAsia="en-ZA"/>
        </w:rPr>
        <w:t>(</w:t>
      </w:r>
      <w:r w:rsidR="00135C38">
        <w:rPr>
          <w:lang w:eastAsia="en-ZA"/>
        </w:rPr>
        <w:t xml:space="preserve">as described in the </w:t>
      </w:r>
      <w:r w:rsidR="00E21BD0">
        <w:rPr>
          <w:lang w:eastAsia="en-ZA"/>
        </w:rPr>
        <w:t xml:space="preserve">appellant’s </w:t>
      </w:r>
      <w:r w:rsidR="00135C38">
        <w:rPr>
          <w:lang w:eastAsia="en-ZA"/>
        </w:rPr>
        <w:t xml:space="preserve">answering affidavit to the respondent’s </w:t>
      </w:r>
      <w:r w:rsidR="00E178CB">
        <w:rPr>
          <w:lang w:eastAsia="en-ZA"/>
        </w:rPr>
        <w:t xml:space="preserve">condonation </w:t>
      </w:r>
      <w:r w:rsidR="00135C38">
        <w:rPr>
          <w:lang w:eastAsia="en-ZA"/>
        </w:rPr>
        <w:t>application</w:t>
      </w:r>
      <w:r w:rsidR="00E178CB">
        <w:rPr>
          <w:lang w:eastAsia="en-ZA"/>
        </w:rPr>
        <w:t>)</w:t>
      </w:r>
      <w:r w:rsidR="00135C38">
        <w:rPr>
          <w:lang w:eastAsia="en-ZA"/>
        </w:rPr>
        <w:t xml:space="preserve"> </w:t>
      </w:r>
      <w:r>
        <w:rPr>
          <w:lang w:eastAsia="en-ZA"/>
        </w:rPr>
        <w:t xml:space="preserve">is hereby </w:t>
      </w:r>
      <w:r w:rsidR="00BB2911">
        <w:rPr>
          <w:lang w:eastAsia="en-ZA"/>
        </w:rPr>
        <w:t xml:space="preserve">referred </w:t>
      </w:r>
      <w:r w:rsidR="00135C38">
        <w:rPr>
          <w:lang w:eastAsia="en-ZA"/>
        </w:rPr>
        <w:t>to the Legal Practice Council, Gauteng</w:t>
      </w:r>
      <w:r w:rsidR="00BB2911">
        <w:rPr>
          <w:lang w:eastAsia="en-ZA"/>
        </w:rPr>
        <w:t xml:space="preserve"> for consideration and possible further action</w:t>
      </w:r>
      <w:r>
        <w:rPr>
          <w:lang w:eastAsia="en-ZA"/>
        </w:rPr>
        <w:t xml:space="preserve">. The appellant’s attorneys are ordered to </w:t>
      </w:r>
      <w:r w:rsidR="00E21BD0">
        <w:rPr>
          <w:lang w:eastAsia="en-ZA"/>
        </w:rPr>
        <w:t xml:space="preserve">furnish </w:t>
      </w:r>
      <w:r>
        <w:rPr>
          <w:lang w:eastAsia="en-ZA"/>
        </w:rPr>
        <w:t xml:space="preserve">a copy of this judgment to </w:t>
      </w:r>
      <w:r w:rsidR="00E21BD0">
        <w:rPr>
          <w:lang w:eastAsia="en-ZA"/>
        </w:rPr>
        <w:t>the Legal Practice Council</w:t>
      </w:r>
      <w:r>
        <w:rPr>
          <w:lang w:eastAsia="en-ZA"/>
        </w:rPr>
        <w:t xml:space="preserve">, Gauteng, together with </w:t>
      </w:r>
      <w:r w:rsidR="00E21BD0">
        <w:rPr>
          <w:lang w:eastAsia="en-ZA"/>
        </w:rPr>
        <w:t xml:space="preserve">a copy of the </w:t>
      </w:r>
      <w:r w:rsidR="00331526">
        <w:rPr>
          <w:lang w:eastAsia="en-ZA"/>
        </w:rPr>
        <w:t xml:space="preserve">affidavits </w:t>
      </w:r>
      <w:r w:rsidR="00E21BD0">
        <w:rPr>
          <w:lang w:eastAsia="en-ZA"/>
        </w:rPr>
        <w:t>delivered by both parties in the said condonation application</w:t>
      </w:r>
      <w:r>
        <w:rPr>
          <w:lang w:eastAsia="en-ZA"/>
        </w:rPr>
        <w:t xml:space="preserve"> which may be found at pages 045-1 to 046-89 of the Caselines bundle herein</w:t>
      </w:r>
      <w:r w:rsidR="00E21BD0">
        <w:rPr>
          <w:lang w:eastAsia="en-ZA"/>
        </w:rPr>
        <w:t>.</w:t>
      </w:r>
    </w:p>
    <w:p w14:paraId="6C2C1694" w14:textId="77777777" w:rsidR="009F45E3" w:rsidRDefault="009F45E3" w:rsidP="00BD1B12">
      <w:pPr>
        <w:keepNext/>
        <w:spacing w:after="120" w:line="360" w:lineRule="auto"/>
        <w:jc w:val="left"/>
        <w:rPr>
          <w:rFonts w:ascii="Arial" w:hAnsi="Arial" w:cs="Arial"/>
          <w:sz w:val="24"/>
          <w:szCs w:val="24"/>
          <w:u w:val="single"/>
        </w:rPr>
      </w:pPr>
    </w:p>
    <w:p w14:paraId="6B30BE77" w14:textId="77777777" w:rsidR="00936070" w:rsidRDefault="00936070" w:rsidP="00BD1B12">
      <w:pPr>
        <w:keepNext/>
        <w:spacing w:after="120" w:line="360" w:lineRule="auto"/>
        <w:jc w:val="left"/>
        <w:rPr>
          <w:rFonts w:ascii="Arial" w:hAnsi="Arial" w:cs="Arial"/>
          <w:sz w:val="24"/>
          <w:szCs w:val="24"/>
          <w:u w:val="single"/>
        </w:rPr>
      </w:pPr>
    </w:p>
    <w:p w14:paraId="52ACCD6E" w14:textId="3429E84D" w:rsidR="00D202C2" w:rsidRPr="00671349" w:rsidRDefault="00B928FE" w:rsidP="00BD1B12">
      <w:pPr>
        <w:keepNext/>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552C7F62" w:rsidR="00D202C2" w:rsidRPr="00671349" w:rsidRDefault="003C4F1C" w:rsidP="00BD1B1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BD1B12">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651CF837" w14:textId="62B5062A" w:rsidR="00D478DC" w:rsidRPr="00D478DC" w:rsidRDefault="00D478DC" w:rsidP="00D478DC">
      <w:pPr>
        <w:keepNext/>
        <w:spacing w:before="240" w:after="120" w:line="360" w:lineRule="auto"/>
        <w:jc w:val="left"/>
        <w:rPr>
          <w:rFonts w:ascii="Arial" w:hAnsi="Arial" w:cs="Arial"/>
          <w:sz w:val="24"/>
          <w:szCs w:val="24"/>
        </w:rPr>
      </w:pPr>
      <w:r w:rsidRPr="00D478DC">
        <w:rPr>
          <w:rFonts w:ascii="Arial" w:hAnsi="Arial" w:cs="Arial"/>
          <w:sz w:val="24"/>
          <w:szCs w:val="24"/>
        </w:rPr>
        <w:lastRenderedPageBreak/>
        <w:t>I agree</w:t>
      </w:r>
      <w:r>
        <w:rPr>
          <w:rFonts w:ascii="Arial" w:hAnsi="Arial" w:cs="Arial"/>
          <w:sz w:val="24"/>
          <w:szCs w:val="24"/>
        </w:rPr>
        <w:t>.</w:t>
      </w:r>
    </w:p>
    <w:p w14:paraId="66E7857A" w14:textId="77777777" w:rsidR="00D478DC" w:rsidRDefault="00D478DC" w:rsidP="00D478DC">
      <w:pPr>
        <w:keepNext/>
        <w:spacing w:before="240" w:after="120" w:line="360" w:lineRule="auto"/>
        <w:jc w:val="left"/>
        <w:rPr>
          <w:rFonts w:ascii="Arial" w:hAnsi="Arial" w:cs="Arial"/>
          <w:sz w:val="24"/>
          <w:szCs w:val="24"/>
          <w:u w:val="single"/>
        </w:rPr>
      </w:pPr>
    </w:p>
    <w:p w14:paraId="3A36F808" w14:textId="77777777" w:rsidR="00D478DC" w:rsidRPr="00671349" w:rsidRDefault="00D478DC" w:rsidP="00D478DC">
      <w:pPr>
        <w:keepNext/>
        <w:spacing w:after="120" w:line="360" w:lineRule="auto"/>
        <w:jc w:val="left"/>
        <w:rPr>
          <w:rFonts w:ascii="Arial" w:hAnsi="Arial" w:cs="Arial"/>
          <w:sz w:val="24"/>
          <w:szCs w:val="24"/>
          <w:u w:val="single"/>
        </w:rPr>
      </w:pPr>
      <w:r w:rsidRPr="00671349">
        <w:rPr>
          <w:rFonts w:ascii="Arial" w:hAnsi="Arial" w:cs="Arial"/>
          <w:sz w:val="24"/>
          <w:szCs w:val="24"/>
          <w:u w:val="single"/>
        </w:rPr>
        <w:t>_______________________</w:t>
      </w:r>
    </w:p>
    <w:p w14:paraId="69D60EF0" w14:textId="64CE30A1" w:rsidR="00D478DC" w:rsidRPr="00671349" w:rsidRDefault="00D478DC" w:rsidP="00D478DC">
      <w:pPr>
        <w:keepNext/>
        <w:autoSpaceDE w:val="0"/>
        <w:autoSpaceDN w:val="0"/>
        <w:adjustRightInd w:val="0"/>
        <w:spacing w:after="120" w:line="360" w:lineRule="auto"/>
        <w:jc w:val="left"/>
        <w:rPr>
          <w:rFonts w:ascii="Arial" w:hAnsi="Arial" w:cs="Arial"/>
          <w:sz w:val="24"/>
          <w:szCs w:val="24"/>
        </w:rPr>
      </w:pPr>
      <w:r>
        <w:rPr>
          <w:rFonts w:ascii="Arial" w:hAnsi="Arial" w:cs="Arial"/>
          <w:sz w:val="24"/>
          <w:szCs w:val="24"/>
        </w:rPr>
        <w:t xml:space="preserve">Fisher </w:t>
      </w:r>
      <w:r w:rsidRPr="00671349">
        <w:rPr>
          <w:rFonts w:ascii="Arial" w:hAnsi="Arial" w:cs="Arial"/>
          <w:sz w:val="24"/>
          <w:szCs w:val="24"/>
        </w:rPr>
        <w:t>J</w:t>
      </w:r>
    </w:p>
    <w:p w14:paraId="54080AB1" w14:textId="271FA5D9" w:rsidR="00D478DC" w:rsidRPr="00671349" w:rsidRDefault="00D478DC" w:rsidP="00D478DC">
      <w:pPr>
        <w:keepNext/>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Judge of the High Court </w:t>
      </w:r>
    </w:p>
    <w:p w14:paraId="538F0BA8" w14:textId="77777777" w:rsidR="00D478DC" w:rsidRPr="00671349" w:rsidRDefault="00D478DC" w:rsidP="00D478DC">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Pr>
          <w:rFonts w:ascii="Arial" w:hAnsi="Arial" w:cs="Arial"/>
          <w:sz w:val="24"/>
          <w:szCs w:val="24"/>
        </w:rPr>
        <w:t>Johannesburg</w:t>
      </w:r>
    </w:p>
    <w:p w14:paraId="4A18B9F1" w14:textId="77777777" w:rsidR="00331526" w:rsidRDefault="00331526" w:rsidP="00331526">
      <w:pPr>
        <w:spacing w:before="240" w:line="360" w:lineRule="auto"/>
        <w:jc w:val="left"/>
        <w:rPr>
          <w:rFonts w:ascii="Arial" w:hAnsi="Arial" w:cs="Arial"/>
          <w:sz w:val="24"/>
          <w:szCs w:val="24"/>
        </w:rPr>
      </w:pPr>
    </w:p>
    <w:p w14:paraId="38FCBFB2" w14:textId="655A0904" w:rsidR="00001F4A" w:rsidRPr="00001F4A" w:rsidRDefault="00001F4A" w:rsidP="00331526">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00D478DC">
        <w:rPr>
          <w:rFonts w:ascii="Arial" w:hAnsi="Arial" w:cs="Arial"/>
          <w:sz w:val="24"/>
          <w:szCs w:val="24"/>
        </w:rPr>
        <w:t>2</w:t>
      </w:r>
      <w:r w:rsidR="00D827ED">
        <w:rPr>
          <w:rFonts w:ascii="Arial" w:hAnsi="Arial" w:cs="Arial"/>
          <w:sz w:val="24"/>
          <w:szCs w:val="24"/>
        </w:rPr>
        <w:t>3</w:t>
      </w:r>
      <w:r w:rsidR="00D478DC">
        <w:rPr>
          <w:rFonts w:ascii="Arial" w:hAnsi="Arial" w:cs="Arial"/>
          <w:sz w:val="24"/>
          <w:szCs w:val="24"/>
        </w:rPr>
        <w:t xml:space="preserve"> February </w:t>
      </w:r>
      <w:r w:rsidR="004D60BE">
        <w:rPr>
          <w:rFonts w:ascii="Arial" w:hAnsi="Arial" w:cs="Arial"/>
          <w:sz w:val="24"/>
          <w:szCs w:val="24"/>
        </w:rPr>
        <w:t>2</w:t>
      </w:r>
      <w:r>
        <w:rPr>
          <w:rFonts w:ascii="Arial" w:hAnsi="Arial" w:cs="Arial"/>
          <w:sz w:val="24"/>
          <w:szCs w:val="24"/>
        </w:rPr>
        <w:t>02</w:t>
      </w:r>
      <w:r w:rsidR="00AE38D8">
        <w:rPr>
          <w:rFonts w:ascii="Arial" w:hAnsi="Arial" w:cs="Arial"/>
          <w:sz w:val="24"/>
          <w:szCs w:val="24"/>
        </w:rPr>
        <w:t>3</w:t>
      </w:r>
    </w:p>
    <w:p w14:paraId="5352ECA6" w14:textId="3DC0F046" w:rsidR="00001F4A" w:rsidRPr="00001F4A" w:rsidRDefault="00001F4A" w:rsidP="00331526">
      <w:pPr>
        <w:spacing w:after="120" w:line="360" w:lineRule="auto"/>
        <w:jc w:val="left"/>
        <w:rPr>
          <w:rFonts w:ascii="Arial" w:hAnsi="Arial" w:cs="Arial"/>
          <w:sz w:val="24"/>
          <w:szCs w:val="24"/>
        </w:rPr>
      </w:pPr>
      <w:r w:rsidRPr="00001F4A">
        <w:rPr>
          <w:rFonts w:ascii="Arial" w:hAnsi="Arial" w:cs="Arial"/>
          <w:sz w:val="24"/>
          <w:szCs w:val="24"/>
        </w:rPr>
        <w:t>JUDGMENT:</w:t>
      </w:r>
      <w:r w:rsidRPr="00001F4A">
        <w:rPr>
          <w:rFonts w:ascii="Arial" w:hAnsi="Arial" w:cs="Arial"/>
          <w:sz w:val="24"/>
          <w:szCs w:val="24"/>
        </w:rPr>
        <w:tab/>
      </w:r>
      <w:r w:rsidR="00AE38D8">
        <w:rPr>
          <w:rFonts w:ascii="Arial" w:hAnsi="Arial" w:cs="Arial"/>
          <w:sz w:val="24"/>
          <w:szCs w:val="24"/>
        </w:rPr>
        <w:tab/>
      </w:r>
      <w:r w:rsidR="00AE38D8">
        <w:rPr>
          <w:rFonts w:ascii="Arial" w:hAnsi="Arial" w:cs="Arial"/>
          <w:sz w:val="24"/>
          <w:szCs w:val="24"/>
        </w:rPr>
        <w:tab/>
      </w:r>
      <w:r w:rsidR="00662AF1">
        <w:rPr>
          <w:rFonts w:ascii="Arial" w:hAnsi="Arial" w:cs="Arial"/>
          <w:sz w:val="24"/>
          <w:szCs w:val="24"/>
        </w:rPr>
        <w:t>23</w:t>
      </w:r>
      <w:r w:rsidR="00727051">
        <w:rPr>
          <w:rFonts w:ascii="Arial" w:hAnsi="Arial" w:cs="Arial"/>
          <w:sz w:val="24"/>
          <w:szCs w:val="24"/>
        </w:rPr>
        <w:t xml:space="preserve"> </w:t>
      </w:r>
      <w:r w:rsidR="00F774FF">
        <w:rPr>
          <w:rFonts w:ascii="Arial" w:hAnsi="Arial" w:cs="Arial"/>
          <w:sz w:val="24"/>
          <w:szCs w:val="24"/>
        </w:rPr>
        <w:t xml:space="preserve">May </w:t>
      </w:r>
      <w:r w:rsidRPr="00001F4A">
        <w:rPr>
          <w:rFonts w:ascii="Arial" w:hAnsi="Arial" w:cs="Arial"/>
          <w:sz w:val="24"/>
          <w:szCs w:val="24"/>
        </w:rPr>
        <w:t>20</w:t>
      </w:r>
      <w:r>
        <w:rPr>
          <w:rFonts w:ascii="Arial" w:hAnsi="Arial" w:cs="Arial"/>
          <w:sz w:val="24"/>
          <w:szCs w:val="24"/>
        </w:rPr>
        <w:t>2</w:t>
      </w:r>
      <w:r w:rsidR="00AE38D8">
        <w:rPr>
          <w:rFonts w:ascii="Arial" w:hAnsi="Arial" w:cs="Arial"/>
          <w:sz w:val="24"/>
          <w:szCs w:val="24"/>
        </w:rPr>
        <w:t>3</w:t>
      </w:r>
    </w:p>
    <w:p w14:paraId="39051139" w14:textId="5358031A" w:rsidR="00C06B16" w:rsidRDefault="00C06B16" w:rsidP="00331526">
      <w:pPr>
        <w:spacing w:after="160" w:line="259" w:lineRule="auto"/>
        <w:jc w:val="left"/>
        <w:rPr>
          <w:rFonts w:ascii="Arial" w:hAnsi="Arial" w:cs="Arial"/>
          <w:sz w:val="24"/>
          <w:szCs w:val="24"/>
          <w:u w:val="single"/>
        </w:rPr>
      </w:pPr>
    </w:p>
    <w:p w14:paraId="127291A0" w14:textId="77777777" w:rsidR="00D202C2" w:rsidRPr="00671349" w:rsidRDefault="00D202C2" w:rsidP="00BD1B12">
      <w:pPr>
        <w:keepNext/>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745B3923" w:rsidR="00D202C2" w:rsidRPr="00671349" w:rsidRDefault="00D202C2" w:rsidP="00936070">
      <w:pPr>
        <w:keepNext/>
        <w:autoSpaceDE w:val="0"/>
        <w:autoSpaceDN w:val="0"/>
        <w:adjustRightInd w:val="0"/>
        <w:spacing w:before="240" w:line="240" w:lineRule="auto"/>
        <w:rPr>
          <w:rFonts w:ascii="Arial" w:hAnsi="Arial" w:cs="Arial"/>
          <w:sz w:val="24"/>
          <w:szCs w:val="24"/>
        </w:rPr>
      </w:pPr>
      <w:r w:rsidRPr="00671349">
        <w:rPr>
          <w:rFonts w:ascii="Arial" w:hAnsi="Arial" w:cs="Arial"/>
          <w:sz w:val="24"/>
          <w:szCs w:val="24"/>
        </w:rPr>
        <w:t xml:space="preserve">For the </w:t>
      </w:r>
      <w:r w:rsidR="008727CA">
        <w:rPr>
          <w:rFonts w:ascii="Arial" w:hAnsi="Arial" w:cs="Arial"/>
          <w:sz w:val="24"/>
          <w:szCs w:val="24"/>
        </w:rPr>
        <w:t>Appellant</w:t>
      </w:r>
      <w:r w:rsidRPr="00671349">
        <w:rPr>
          <w:rFonts w:ascii="Arial" w:hAnsi="Arial" w:cs="Arial"/>
          <w:sz w:val="24"/>
          <w:szCs w:val="24"/>
        </w:rPr>
        <w:t>:</w:t>
      </w:r>
      <w:r w:rsidR="00C31238">
        <w:rPr>
          <w:rFonts w:ascii="Arial" w:hAnsi="Arial" w:cs="Arial"/>
          <w:sz w:val="24"/>
          <w:szCs w:val="24"/>
        </w:rPr>
        <w:tab/>
      </w:r>
      <w:r w:rsidR="00C31238">
        <w:rPr>
          <w:rFonts w:ascii="Arial" w:hAnsi="Arial" w:cs="Arial"/>
          <w:sz w:val="24"/>
          <w:szCs w:val="24"/>
        </w:rPr>
        <w:tab/>
      </w:r>
      <w:r w:rsidR="00D478DC">
        <w:rPr>
          <w:rFonts w:ascii="Arial" w:hAnsi="Arial" w:cs="Arial"/>
          <w:sz w:val="24"/>
          <w:szCs w:val="24"/>
        </w:rPr>
        <w:t>RS Willis</w:t>
      </w:r>
      <w:r w:rsidR="00476A10">
        <w:rPr>
          <w:rFonts w:ascii="Arial" w:hAnsi="Arial" w:cs="Arial"/>
          <w:sz w:val="24"/>
          <w:szCs w:val="24"/>
        </w:rPr>
        <w:t xml:space="preserve">, instructed by </w:t>
      </w:r>
      <w:r w:rsidR="00D478DC">
        <w:rPr>
          <w:rFonts w:ascii="Arial" w:hAnsi="Arial" w:cs="Arial"/>
          <w:sz w:val="24"/>
          <w:szCs w:val="24"/>
        </w:rPr>
        <w:t>Wynand du Plessis Attorneys</w:t>
      </w:r>
      <w:r w:rsidR="00727051">
        <w:rPr>
          <w:rFonts w:ascii="Arial" w:hAnsi="Arial" w:cs="Arial"/>
          <w:sz w:val="24"/>
          <w:szCs w:val="24"/>
        </w:rPr>
        <w:t xml:space="preserve"> </w:t>
      </w:r>
    </w:p>
    <w:p w14:paraId="3DCFC38A" w14:textId="04BC0CCB" w:rsidR="00D202C2" w:rsidRPr="00671349" w:rsidRDefault="00D202C2" w:rsidP="00936070">
      <w:pPr>
        <w:autoSpaceDE w:val="0"/>
        <w:autoSpaceDN w:val="0"/>
        <w:adjustRightInd w:val="0"/>
        <w:spacing w:before="240" w:line="240" w:lineRule="auto"/>
        <w:rPr>
          <w:rFonts w:ascii="Arial" w:hAnsi="Arial" w:cs="Arial"/>
          <w:sz w:val="24"/>
          <w:szCs w:val="24"/>
        </w:rPr>
      </w:pPr>
      <w:r w:rsidRPr="00671349">
        <w:rPr>
          <w:rFonts w:ascii="Arial" w:hAnsi="Arial" w:cs="Arial"/>
          <w:sz w:val="24"/>
          <w:szCs w:val="24"/>
        </w:rPr>
        <w:t xml:space="preserve">For the </w:t>
      </w:r>
      <w:r w:rsidR="008727CA">
        <w:rPr>
          <w:rFonts w:ascii="Arial" w:hAnsi="Arial" w:cs="Arial"/>
          <w:sz w:val="24"/>
          <w:szCs w:val="24"/>
        </w:rPr>
        <w:t>Respondent</w:t>
      </w:r>
      <w:r w:rsidRPr="00671349">
        <w:rPr>
          <w:rFonts w:ascii="Arial" w:hAnsi="Arial" w:cs="Arial"/>
          <w:sz w:val="24"/>
          <w:szCs w:val="24"/>
        </w:rPr>
        <w:t>:</w:t>
      </w:r>
      <w:r w:rsidR="007D51E5" w:rsidRPr="00671349">
        <w:rPr>
          <w:rFonts w:ascii="Arial" w:hAnsi="Arial" w:cs="Arial"/>
          <w:sz w:val="24"/>
          <w:szCs w:val="24"/>
        </w:rPr>
        <w:tab/>
      </w:r>
      <w:r w:rsidR="00D478DC">
        <w:rPr>
          <w:rFonts w:ascii="Arial" w:hAnsi="Arial" w:cs="Arial"/>
          <w:sz w:val="24"/>
          <w:szCs w:val="24"/>
        </w:rPr>
        <w:t>FDW Keet, instructed by JJ Badenhorst &amp; Associates</w:t>
      </w:r>
    </w:p>
    <w:sectPr w:rsidR="00D202C2" w:rsidRPr="00671349" w:rsidSect="009F45E3">
      <w:headerReference w:type="default" r:id="rId10"/>
      <w:pgSz w:w="11906" w:h="16838"/>
      <w:pgMar w:top="1276" w:right="1274" w:bottom="1440" w:left="1276"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4AA7" w14:textId="77777777" w:rsidR="00DF33EA" w:rsidRDefault="00DF33EA" w:rsidP="00D202C2">
      <w:pPr>
        <w:spacing w:line="240" w:lineRule="auto"/>
      </w:pPr>
      <w:r>
        <w:separator/>
      </w:r>
    </w:p>
  </w:endnote>
  <w:endnote w:type="continuationSeparator" w:id="0">
    <w:p w14:paraId="11143F33" w14:textId="77777777" w:rsidR="00DF33EA" w:rsidRDefault="00DF33EA"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9DB9" w14:textId="77777777" w:rsidR="00DF33EA" w:rsidRDefault="00DF33EA" w:rsidP="00D202C2">
      <w:pPr>
        <w:spacing w:line="240" w:lineRule="auto"/>
      </w:pPr>
      <w:r>
        <w:separator/>
      </w:r>
    </w:p>
  </w:footnote>
  <w:footnote w:type="continuationSeparator" w:id="0">
    <w:p w14:paraId="27B27270" w14:textId="77777777" w:rsidR="00DF33EA" w:rsidRDefault="00DF33EA" w:rsidP="00D202C2">
      <w:pPr>
        <w:spacing w:line="240" w:lineRule="auto"/>
      </w:pPr>
      <w:r>
        <w:continuationSeparator/>
      </w:r>
    </w:p>
  </w:footnote>
  <w:footnote w:id="1">
    <w:p w14:paraId="31CE5B49" w14:textId="53AA0251" w:rsidR="00E474AA" w:rsidRDefault="00E474AA">
      <w:pPr>
        <w:pStyle w:val="FootnoteText"/>
      </w:pPr>
      <w:r>
        <w:rPr>
          <w:rStyle w:val="FootnoteReference"/>
        </w:rPr>
        <w:footnoteRef/>
      </w:r>
      <w:r>
        <w:t xml:space="preserve"> Magistrate’s judgment, para 24.</w:t>
      </w:r>
    </w:p>
  </w:footnote>
  <w:footnote w:id="2">
    <w:p w14:paraId="50FBC457" w14:textId="67D1E24C" w:rsidR="006800D5" w:rsidRDefault="006800D5" w:rsidP="006800D5">
      <w:pPr>
        <w:pStyle w:val="FootnoteText"/>
      </w:pPr>
      <w:r>
        <w:rPr>
          <w:rStyle w:val="FootnoteReference"/>
        </w:rPr>
        <w:footnoteRef/>
      </w:r>
      <w:r>
        <w:t xml:space="preserve"> The test is “</w:t>
      </w:r>
      <w:r w:rsidRPr="006800D5">
        <w:rPr>
          <w:i/>
          <w:iCs/>
        </w:rPr>
        <w:t>not whether the evidence led by the plaintiff establishes what would finally be required to be established, but whether there is evidence upon which a Court, applying its mind reasonably to such evidence, could or might (not should or ought to) find for the plaintiff</w:t>
      </w:r>
      <w:r>
        <w:t>” see</w:t>
      </w:r>
      <w:r>
        <w:rPr>
          <w:i/>
          <w:iCs/>
        </w:rPr>
        <w:t xml:space="preserve"> Claude Neon Lights (SA) Ltd v Daniel</w:t>
      </w:r>
      <w:r>
        <w:t> </w:t>
      </w:r>
      <w:r w:rsidRPr="008727CA">
        <w:t>1976 (4) SA 403 (A)</w:t>
      </w:r>
      <w:r>
        <w:t xml:space="preserve"> </w:t>
      </w:r>
      <w:r w:rsidR="00683640">
        <w:t xml:space="preserve">at </w:t>
      </w:r>
      <w:r>
        <w:t>409G–H.</w:t>
      </w:r>
    </w:p>
  </w:footnote>
  <w:footnote w:id="3">
    <w:p w14:paraId="42A22A08" w14:textId="7C3A4FAF" w:rsidR="00E474AA" w:rsidRDefault="00E474AA">
      <w:pPr>
        <w:pStyle w:val="FootnoteText"/>
      </w:pPr>
      <w:r>
        <w:rPr>
          <w:rStyle w:val="FootnoteReference"/>
        </w:rPr>
        <w:footnoteRef/>
      </w:r>
      <w:r>
        <w:t xml:space="preserve"> Magistrate’s judgment, paras </w:t>
      </w:r>
      <w:r w:rsidR="000B0BF2">
        <w:t>18, 19 and 21.</w:t>
      </w:r>
    </w:p>
  </w:footnote>
  <w:footnote w:id="4">
    <w:p w14:paraId="52F854A9" w14:textId="1B586A95" w:rsidR="000B0BF2" w:rsidRDefault="000B0BF2">
      <w:pPr>
        <w:pStyle w:val="FootnoteText"/>
      </w:pPr>
      <w:r>
        <w:rPr>
          <w:rStyle w:val="FootnoteReference"/>
        </w:rPr>
        <w:footnoteRef/>
      </w:r>
      <w:r>
        <w:t xml:space="preserve"> Magistrate’s judgment, paras 20, 22 and 23.</w:t>
      </w:r>
    </w:p>
  </w:footnote>
  <w:footnote w:id="5">
    <w:p w14:paraId="2BA87254" w14:textId="53597552" w:rsidR="004D00ED" w:rsidRDefault="004D00ED" w:rsidP="004D00ED">
      <w:pPr>
        <w:pStyle w:val="FootnoteText"/>
      </w:pPr>
      <w:r>
        <w:rPr>
          <w:rStyle w:val="FootnoteReference"/>
        </w:rPr>
        <w:footnoteRef/>
      </w:r>
      <w:r>
        <w:t xml:space="preserve"> Respondent’s plea, paras 33.1.5, 33.2 and 33.3. The respondent’s heads of argument in the appeal advance </w:t>
      </w:r>
      <w:r w:rsidR="00CB32D3">
        <w:t xml:space="preserve">different </w:t>
      </w:r>
      <w:r>
        <w:t>contention, namely that “</w:t>
      </w:r>
      <w:r w:rsidRPr="009318D5">
        <w:rPr>
          <w:i/>
          <w:iCs/>
        </w:rPr>
        <w:t>the liability of the [respondent] is limited to interest on the amount owing by Zurich in the event that final payment was not made by Zurich by 1 July 2014</w:t>
      </w:r>
      <w:r>
        <w:t>”.</w:t>
      </w:r>
      <w:r w:rsidR="00CB32D3">
        <w:t xml:space="preserve"> At the hearing of the appeal itself, the respondent’s counsel sought to persuade us of </w:t>
      </w:r>
      <w:r w:rsidR="000B0BF2">
        <w:t xml:space="preserve">yet another </w:t>
      </w:r>
      <w:r w:rsidR="00CB32D3">
        <w:t xml:space="preserve">contention, namely that the effect of the MOA </w:t>
      </w:r>
      <w:r w:rsidR="00002741">
        <w:t xml:space="preserve">is </w:t>
      </w:r>
      <w:r w:rsidR="00CB32D3">
        <w:t>to limit the respondent’s liability to the amount received from Zurich.</w:t>
      </w:r>
    </w:p>
  </w:footnote>
  <w:footnote w:id="6">
    <w:p w14:paraId="540D12D1" w14:textId="2A440176" w:rsidR="004C4154" w:rsidRDefault="004C4154">
      <w:pPr>
        <w:pStyle w:val="FootnoteText"/>
      </w:pPr>
      <w:r>
        <w:rPr>
          <w:rStyle w:val="FootnoteReference"/>
        </w:rPr>
        <w:footnoteRef/>
      </w:r>
      <w:r>
        <w:t xml:space="preserve"> </w:t>
      </w:r>
      <w:r w:rsidRPr="00CF0C1B">
        <w:rPr>
          <w:i/>
          <w:iCs/>
        </w:rPr>
        <w:t>Natal Joint Municipal Pension Fund v Endumeni Municipality</w:t>
      </w:r>
      <w:r w:rsidRPr="005E5030">
        <w:t xml:space="preserve"> 2012 (4) SA 593 (SCA)</w:t>
      </w:r>
      <w:r>
        <w:t xml:space="preserve"> para 19, approved in </w:t>
      </w:r>
      <w:r w:rsidRPr="00D62AD2">
        <w:rPr>
          <w:i/>
          <w:iCs/>
        </w:rPr>
        <w:t xml:space="preserve">University of Johannesburg v Auckland Park Theological Seminary </w:t>
      </w:r>
      <w:r w:rsidR="00683640">
        <w:rPr>
          <w:i/>
          <w:iCs/>
        </w:rPr>
        <w:t>2</w:t>
      </w:r>
      <w:r w:rsidRPr="00D62AD2">
        <w:rPr>
          <w:rFonts w:cs="Arial"/>
        </w:rPr>
        <w:t>021 (6) SA 1</w:t>
      </w:r>
      <w:r>
        <w:t xml:space="preserve"> (CC) para 65.</w:t>
      </w:r>
    </w:p>
  </w:footnote>
  <w:footnote w:id="7">
    <w:p w14:paraId="09A85758" w14:textId="7A44EF6C" w:rsidR="00304198" w:rsidRDefault="00304198" w:rsidP="00304198">
      <w:pPr>
        <w:pStyle w:val="FootnoteText"/>
      </w:pPr>
      <w:r>
        <w:rPr>
          <w:rStyle w:val="FootnoteReference"/>
        </w:rPr>
        <w:footnoteRef/>
      </w:r>
      <w:r>
        <w:t xml:space="preserve"> </w:t>
      </w:r>
      <w:r w:rsidRPr="00D62AD2">
        <w:rPr>
          <w:i/>
          <w:iCs/>
        </w:rPr>
        <w:t xml:space="preserve">University of Johannesburg </w:t>
      </w:r>
      <w:r>
        <w:t>(</w:t>
      </w:r>
      <w:r w:rsidR="004C4154">
        <w:t>above</w:t>
      </w:r>
      <w:r>
        <w:t>) para 66.</w:t>
      </w:r>
    </w:p>
  </w:footnote>
  <w:footnote w:id="8">
    <w:p w14:paraId="79A6762F" w14:textId="749F9EB5" w:rsidR="00304198" w:rsidRDefault="00304198" w:rsidP="00304198">
      <w:pPr>
        <w:pStyle w:val="FootnoteText"/>
      </w:pPr>
      <w:r>
        <w:rPr>
          <w:rStyle w:val="FootnoteReference"/>
        </w:rPr>
        <w:footnoteRef/>
      </w:r>
      <w:r>
        <w:t xml:space="preserve"> </w:t>
      </w:r>
      <w:r w:rsidR="004C4154" w:rsidRPr="00F859DF">
        <w:rPr>
          <w:i/>
          <w:iCs/>
        </w:rPr>
        <w:t>Capitec Bank Holdings Ltd and Another v Coral Lagoon Investments 194 (Pty) Ltd and Others</w:t>
      </w:r>
      <w:r w:rsidR="004C4154">
        <w:t xml:space="preserve"> 2022 (1) SA 100 (SCA) </w:t>
      </w:r>
      <w:r>
        <w:t xml:space="preserve">para 51. </w:t>
      </w:r>
    </w:p>
  </w:footnote>
  <w:footnote w:id="9">
    <w:p w14:paraId="2565F64B" w14:textId="4863C1F2" w:rsidR="00854BEE" w:rsidRDefault="00854BEE" w:rsidP="00854BEE">
      <w:pPr>
        <w:pStyle w:val="FootnoteText"/>
      </w:pPr>
      <w:r>
        <w:rPr>
          <w:rStyle w:val="FootnoteReference"/>
        </w:rPr>
        <w:footnoteRef/>
      </w:r>
      <w:r>
        <w:t xml:space="preserve"> </w:t>
      </w:r>
      <w:r w:rsidRPr="00D62AD2">
        <w:rPr>
          <w:i/>
          <w:iCs/>
        </w:rPr>
        <w:t xml:space="preserve">University of Johannesburg </w:t>
      </w:r>
      <w:r>
        <w:t>(above) para 92.</w:t>
      </w:r>
      <w:r w:rsidR="00935BF4">
        <w:t xml:space="preserve"> </w:t>
      </w:r>
      <w:r w:rsidR="00D27810">
        <w:t>The integration rule excludes extrinsic evidence that “</w:t>
      </w:r>
      <w:r w:rsidR="00D27810" w:rsidRPr="00854BEE">
        <w:rPr>
          <w:i/>
          <w:iCs/>
        </w:rPr>
        <w:t>seeks to vary, contradict or add to (as opposed to assist the court to interpret) the terms of the agreement</w:t>
      </w:r>
      <w:r w:rsidR="00D27810">
        <w:rPr>
          <w:i/>
          <w:iCs/>
        </w:rPr>
        <w:t>”</w:t>
      </w:r>
      <w:r w:rsidR="00D27810">
        <w:t xml:space="preserve">. </w:t>
      </w:r>
      <w:r w:rsidR="00935BF4">
        <w:t xml:space="preserve">In </w:t>
      </w:r>
      <w:r w:rsidR="00935BF4" w:rsidRPr="00935BF4">
        <w:rPr>
          <w:i/>
          <w:iCs/>
        </w:rPr>
        <w:t xml:space="preserve">KPMG </w:t>
      </w:r>
      <w:r w:rsidR="00935BF4">
        <w:rPr>
          <w:i/>
          <w:iCs/>
        </w:rPr>
        <w:t xml:space="preserve">Chartered Accountants (SA) </w:t>
      </w:r>
      <w:r w:rsidR="00935BF4" w:rsidRPr="00935BF4">
        <w:rPr>
          <w:i/>
          <w:iCs/>
        </w:rPr>
        <w:t>v Securefin</w:t>
      </w:r>
      <w:r w:rsidR="00935BF4" w:rsidRPr="00935BF4">
        <w:t xml:space="preserve"> </w:t>
      </w:r>
      <w:r w:rsidR="00935BF4" w:rsidRPr="00935BF4">
        <w:rPr>
          <w:i/>
          <w:iCs/>
        </w:rPr>
        <w:t>Ltd and Another</w:t>
      </w:r>
      <w:r w:rsidR="00935BF4">
        <w:t xml:space="preserve"> </w:t>
      </w:r>
      <w:r w:rsidR="00935BF4" w:rsidRPr="00935BF4">
        <w:t>2009 (4) SA 399 (SCA)</w:t>
      </w:r>
      <w:r w:rsidR="00935BF4">
        <w:t xml:space="preserve"> para 39, the court equated the parol evidence rule solely with the integration rule. </w:t>
      </w:r>
      <w:r w:rsidR="00E91294">
        <w:t xml:space="preserve">Even in </w:t>
      </w:r>
      <w:r w:rsidR="00E91294" w:rsidRPr="00935BF4">
        <w:rPr>
          <w:i/>
          <w:iCs/>
        </w:rPr>
        <w:t>Johnstone v Leal</w:t>
      </w:r>
      <w:r w:rsidR="00E91294" w:rsidRPr="00935BF4">
        <w:t xml:space="preserve"> 1980 (3) SA 927 (A) </w:t>
      </w:r>
      <w:r w:rsidR="00E91294">
        <w:t xml:space="preserve">at 938E and </w:t>
      </w:r>
      <w:r w:rsidR="00E91294" w:rsidRPr="00935BF4">
        <w:t>942-3</w:t>
      </w:r>
      <w:r w:rsidR="00E91294">
        <w:t>, when Corbett JA posited that the parol evidence rule “</w:t>
      </w:r>
      <w:r w:rsidR="00E91294" w:rsidRPr="009E1D5C">
        <w:rPr>
          <w:i/>
          <w:iCs/>
        </w:rPr>
        <w:t>branches into two independent rules</w:t>
      </w:r>
      <w:r w:rsidR="00E91294">
        <w:rPr>
          <w:i/>
          <w:iCs/>
        </w:rPr>
        <w:t>, or sets of rules</w:t>
      </w:r>
      <w:r w:rsidR="00E91294">
        <w:t>”, he was careful to indicate that he referred to the interpretation “</w:t>
      </w:r>
      <w:r w:rsidR="00E91294" w:rsidRPr="009E1D5C">
        <w:rPr>
          <w:i/>
          <w:iCs/>
        </w:rPr>
        <w:t>rule</w:t>
      </w:r>
      <w:r w:rsidR="00E91294">
        <w:t>” only for convenience, and made no clear statement that it was a rule of our law.</w:t>
      </w:r>
    </w:p>
  </w:footnote>
  <w:footnote w:id="10">
    <w:p w14:paraId="4F5F7CE5" w14:textId="51D0A6B7" w:rsidR="00935BF4" w:rsidRDefault="00935BF4">
      <w:pPr>
        <w:pStyle w:val="FootnoteText"/>
      </w:pPr>
      <w:r>
        <w:rPr>
          <w:rStyle w:val="FootnoteReference"/>
        </w:rPr>
        <w:footnoteRef/>
      </w:r>
      <w:r>
        <w:t xml:space="preserve"> </w:t>
      </w:r>
      <w:r w:rsidR="007F0029" w:rsidRPr="00D62AD2">
        <w:rPr>
          <w:i/>
          <w:iCs/>
        </w:rPr>
        <w:t xml:space="preserve">University of Johannesburg </w:t>
      </w:r>
      <w:r w:rsidR="007F0029">
        <w:t xml:space="preserve">(above) paras 67 – 69. </w:t>
      </w:r>
    </w:p>
  </w:footnote>
  <w:footnote w:id="11">
    <w:p w14:paraId="754BA45C" w14:textId="57742A19" w:rsidR="00B94176" w:rsidRDefault="00B94176">
      <w:pPr>
        <w:pStyle w:val="FootnoteText"/>
      </w:pPr>
      <w:r>
        <w:rPr>
          <w:rStyle w:val="FootnoteReference"/>
        </w:rPr>
        <w:footnoteRef/>
      </w:r>
      <w:r>
        <w:t xml:space="preserve"> </w:t>
      </w:r>
      <w:r w:rsidRPr="00B94176">
        <w:rPr>
          <w:i/>
          <w:iCs/>
        </w:rPr>
        <w:t>Endumeni</w:t>
      </w:r>
      <w:r>
        <w:t xml:space="preserve"> (above), para 50, confirmed in </w:t>
      </w:r>
      <w:r w:rsidRPr="00B94176">
        <w:rPr>
          <w:i/>
          <w:iCs/>
        </w:rPr>
        <w:t>University of Johannesburg</w:t>
      </w:r>
      <w:r>
        <w:t xml:space="preserve"> (above) para 64.</w:t>
      </w:r>
    </w:p>
  </w:footnote>
  <w:footnote w:id="12">
    <w:p w14:paraId="580038FE" w14:textId="484396ED" w:rsidR="00F06ECC" w:rsidRDefault="00F06ECC">
      <w:pPr>
        <w:pStyle w:val="FootnoteText"/>
      </w:pPr>
      <w:r>
        <w:rPr>
          <w:rStyle w:val="FootnoteReference"/>
        </w:rPr>
        <w:footnoteRef/>
      </w:r>
      <w:r>
        <w:t xml:space="preserve"> </w:t>
      </w:r>
      <w:r w:rsidRPr="00F06ECC">
        <w:rPr>
          <w:i/>
          <w:iCs/>
        </w:rPr>
        <w:t>Iveco South Africa (Pty) Ltd v Centurion Bus Manufacturers (Pty) Ltd</w:t>
      </w:r>
      <w:r w:rsidRPr="00F06ECC">
        <w:t xml:space="preserve"> 2020 JDR 0911 (SCA) para 7</w:t>
      </w:r>
      <w:r>
        <w:t>;</w:t>
      </w:r>
      <w:r w:rsidRPr="00F06ECC">
        <w:t xml:space="preserve"> </w:t>
      </w:r>
      <w:r w:rsidRPr="00F06ECC">
        <w:rPr>
          <w:i/>
          <w:iCs/>
        </w:rPr>
        <w:t>Urban Hip Hotels (Pty) Ltd v Kcarrim Commercial Properties (Pty) Ltd</w:t>
      </w:r>
      <w:r w:rsidRPr="00F06ECC">
        <w:t xml:space="preserve"> 2016 JDR 2213 (SCA) para 21</w:t>
      </w:r>
      <w:r>
        <w:t>.</w:t>
      </w:r>
    </w:p>
  </w:footnote>
  <w:footnote w:id="13">
    <w:p w14:paraId="164DD043" w14:textId="4C50C26F" w:rsidR="00F06ECC" w:rsidRDefault="00F06ECC">
      <w:pPr>
        <w:pStyle w:val="FootnoteText"/>
      </w:pPr>
      <w:r>
        <w:rPr>
          <w:rStyle w:val="FootnoteReference"/>
        </w:rPr>
        <w:footnoteRef/>
      </w:r>
      <w:r>
        <w:t xml:space="preserve"> Transcript, 19 February 2021, p95 line 20 to p97, line 13; Caselines, 030-40 to 030-41.</w:t>
      </w:r>
    </w:p>
  </w:footnote>
  <w:footnote w:id="14">
    <w:p w14:paraId="08659C06" w14:textId="6E6066BE" w:rsidR="00FC0D00" w:rsidRDefault="00FC0D00">
      <w:pPr>
        <w:pStyle w:val="FootnoteText"/>
      </w:pPr>
      <w:r>
        <w:rPr>
          <w:rStyle w:val="FootnoteReference"/>
        </w:rPr>
        <w:footnoteRef/>
      </w:r>
      <w:r>
        <w:t xml:space="preserve"> </w:t>
      </w:r>
      <w:r w:rsidR="001A521C">
        <w:t xml:space="preserve">As noted above, if this is indeed a reference to the amount for which Zurich would ultimately be liable (as opposed to the full amount of the </w:t>
      </w:r>
      <w:r w:rsidR="00131F4E">
        <w:t>“</w:t>
      </w:r>
      <w:r w:rsidR="001A521C" w:rsidRPr="00B94176">
        <w:rPr>
          <w:rFonts w:cs="Arial"/>
          <w:i/>
          <w:iCs/>
          <w:lang w:val="af-ZA"/>
        </w:rPr>
        <w:t>bedrae … uitstaande</w:t>
      </w:r>
      <w:r w:rsidR="00131F4E">
        <w:rPr>
          <w:rFonts w:cs="Arial"/>
          <w:i/>
          <w:iCs/>
        </w:rPr>
        <w:t xml:space="preserve">” </w:t>
      </w:r>
      <w:r w:rsidR="00131F4E" w:rsidRPr="00131F4E">
        <w:rPr>
          <w:rFonts w:cs="Arial"/>
        </w:rPr>
        <w:t>referred to in clause 3 of the MOA</w:t>
      </w:r>
      <w:r w:rsidR="001A521C">
        <w:rPr>
          <w:rFonts w:cs="Arial"/>
        </w:rPr>
        <w:t>)</w:t>
      </w:r>
      <w:r w:rsidR="001A521C">
        <w:t xml:space="preserve">, then the provision made in the agreement for both interest and </w:t>
      </w:r>
      <w:r w:rsidR="00B94176">
        <w:t xml:space="preserve">finance </w:t>
      </w:r>
      <w:r w:rsidR="001A521C">
        <w:t>would make little sense.</w:t>
      </w:r>
    </w:p>
  </w:footnote>
  <w:footnote w:id="15">
    <w:p w14:paraId="3FBF373D" w14:textId="1EE49A1C" w:rsidR="00A92AC8" w:rsidRDefault="00A92AC8" w:rsidP="00A92AC8">
      <w:pPr>
        <w:pStyle w:val="FootnoteText"/>
      </w:pPr>
      <w:r>
        <w:rPr>
          <w:rStyle w:val="FootnoteReference"/>
        </w:rPr>
        <w:footnoteRef/>
      </w:r>
      <w:r>
        <w:t xml:space="preserve"> </w:t>
      </w:r>
      <w:r w:rsidR="00B84F2D">
        <w:t>Transcript,</w:t>
      </w:r>
      <w:r w:rsidR="00786D35">
        <w:t xml:space="preserve"> 18 Feb 2021, </w:t>
      </w:r>
      <w:r w:rsidR="00D73B81">
        <w:t>p37</w:t>
      </w:r>
      <w:r w:rsidR="0003279B">
        <w:t xml:space="preserve"> line 21 to </w:t>
      </w:r>
      <w:r w:rsidR="00786D35">
        <w:t>p41 line 15.</w:t>
      </w:r>
    </w:p>
  </w:footnote>
  <w:footnote w:id="16">
    <w:p w14:paraId="7265A09A" w14:textId="46599150" w:rsidR="0003279B" w:rsidRDefault="0003279B" w:rsidP="0003279B">
      <w:pPr>
        <w:pStyle w:val="FootnoteText"/>
      </w:pPr>
      <w:r>
        <w:rPr>
          <w:rStyle w:val="FootnoteReference"/>
        </w:rPr>
        <w:footnoteRef/>
      </w:r>
      <w:r>
        <w:t xml:space="preserve"> Transcript, 18 Feb 2021, p31 lines 10 to 21.</w:t>
      </w:r>
    </w:p>
  </w:footnote>
  <w:footnote w:id="17">
    <w:p w14:paraId="744A22FC" w14:textId="77777777" w:rsidR="0003279B" w:rsidRDefault="0003279B" w:rsidP="0003279B">
      <w:pPr>
        <w:pStyle w:val="FootnoteText"/>
      </w:pPr>
      <w:r>
        <w:rPr>
          <w:rStyle w:val="FootnoteReference"/>
        </w:rPr>
        <w:footnoteRef/>
      </w:r>
      <w:r>
        <w:t xml:space="preserve"> </w:t>
      </w:r>
      <w:r w:rsidRPr="0003279B">
        <w:rPr>
          <w:i/>
          <w:iCs/>
        </w:rPr>
        <w:t>University of Johannesburg</w:t>
      </w:r>
      <w:r>
        <w:t xml:space="preserve"> (above) para 68.</w:t>
      </w:r>
    </w:p>
  </w:footnote>
  <w:footnote w:id="18">
    <w:p w14:paraId="44B04989" w14:textId="4E229AAA" w:rsidR="0031012F" w:rsidRDefault="0031012F">
      <w:pPr>
        <w:pStyle w:val="FootnoteText"/>
      </w:pPr>
      <w:r>
        <w:rPr>
          <w:rStyle w:val="FootnoteReference"/>
        </w:rPr>
        <w:footnoteRef/>
      </w:r>
      <w:r>
        <w:t xml:space="preserve"> Transcript, 18 Feb 2021, p155 line 25 to p157 line 9.</w:t>
      </w:r>
    </w:p>
  </w:footnote>
  <w:footnote w:id="19">
    <w:p w14:paraId="2C3D2A31" w14:textId="099016A7" w:rsidR="00CF6817" w:rsidRDefault="00CF6817" w:rsidP="00CF6817">
      <w:pPr>
        <w:pStyle w:val="FootnoteText"/>
      </w:pPr>
      <w:r>
        <w:rPr>
          <w:rStyle w:val="FootnoteReference"/>
        </w:rPr>
        <w:footnoteRef/>
      </w:r>
      <w:r>
        <w:t xml:space="preserve"> Transcript, 17 Feb 2021, p36 line 23 to p37 line 4; p39 lines 6 – 10; Transcript 19 Feb 2021, </w:t>
      </w:r>
      <w:r w:rsidR="00640F5F">
        <w:t>p</w:t>
      </w:r>
      <w:r>
        <w:t xml:space="preserve">66 line 19 to p67 line 19. </w:t>
      </w:r>
    </w:p>
  </w:footnote>
  <w:footnote w:id="20">
    <w:p w14:paraId="2644E791" w14:textId="77777777" w:rsidR="006462EE" w:rsidRDefault="006462EE" w:rsidP="006462EE">
      <w:pPr>
        <w:pStyle w:val="FootnoteText"/>
      </w:pPr>
      <w:r>
        <w:rPr>
          <w:rStyle w:val="FootnoteReference"/>
        </w:rPr>
        <w:footnoteRef/>
      </w:r>
      <w:r>
        <w:t xml:space="preserve"> </w:t>
      </w:r>
      <w:r w:rsidRPr="00D11BBE">
        <w:rPr>
          <w:i/>
          <w:iCs/>
        </w:rPr>
        <w:t>Wilkins NO v Voges</w:t>
      </w:r>
      <w:r>
        <w:t xml:space="preserve"> 1994 (3) SA 130 (SCA) at 144C-D.</w:t>
      </w:r>
    </w:p>
  </w:footnote>
  <w:footnote w:id="21">
    <w:p w14:paraId="41886627" w14:textId="77777777" w:rsidR="00CF6817" w:rsidRDefault="00CF6817" w:rsidP="00CF6817">
      <w:pPr>
        <w:pStyle w:val="FootnoteText"/>
      </w:pPr>
      <w:r>
        <w:rPr>
          <w:rStyle w:val="FootnoteReference"/>
        </w:rPr>
        <w:footnoteRef/>
      </w:r>
      <w:r>
        <w:t xml:space="preserve"> Transcript, 18 Feb 2021, p50, line 18 to p52, line 20.</w:t>
      </w:r>
    </w:p>
  </w:footnote>
  <w:footnote w:id="22">
    <w:p w14:paraId="28C3C388" w14:textId="77777777" w:rsidR="00CF6817" w:rsidRDefault="00CF6817" w:rsidP="00CF6817">
      <w:pPr>
        <w:pStyle w:val="FootnoteText"/>
      </w:pPr>
      <w:r>
        <w:rPr>
          <w:rStyle w:val="FootnoteReference"/>
        </w:rPr>
        <w:footnoteRef/>
      </w:r>
      <w:r>
        <w:t xml:space="preserve"> Transcript, 18 Feb 2021, p53 lines 1 – 16.</w:t>
      </w:r>
    </w:p>
  </w:footnote>
  <w:footnote w:id="23">
    <w:p w14:paraId="7930F851" w14:textId="77777777" w:rsidR="00CF6817" w:rsidRDefault="00CF6817" w:rsidP="00CF6817">
      <w:pPr>
        <w:pStyle w:val="FootnoteText"/>
      </w:pPr>
      <w:r>
        <w:rPr>
          <w:rStyle w:val="FootnoteReference"/>
        </w:rPr>
        <w:footnoteRef/>
      </w:r>
      <w:r>
        <w:t xml:space="preserve"> Transcript, 19 Feb 2021, p86 lines 16 – 20.</w:t>
      </w:r>
    </w:p>
  </w:footnote>
  <w:footnote w:id="24">
    <w:p w14:paraId="66B3394E" w14:textId="77777777" w:rsidR="00CF6817" w:rsidRDefault="00CF6817" w:rsidP="00CF6817">
      <w:pPr>
        <w:pStyle w:val="FootnoteText"/>
      </w:pPr>
      <w:r>
        <w:rPr>
          <w:rStyle w:val="FootnoteReference"/>
        </w:rPr>
        <w:footnoteRef/>
      </w:r>
      <w:r>
        <w:t xml:space="preserve"> Transcript 19 Feb 2021, p12 line 14 to p13 line 22.</w:t>
      </w:r>
    </w:p>
  </w:footnote>
  <w:footnote w:id="25">
    <w:p w14:paraId="6A59BAAB" w14:textId="69F2B1DF" w:rsidR="00D827ED" w:rsidRDefault="00D827ED">
      <w:pPr>
        <w:pStyle w:val="FootnoteText"/>
      </w:pPr>
      <w:r>
        <w:rPr>
          <w:rStyle w:val="FootnoteReference"/>
        </w:rPr>
        <w:footnoteRef/>
      </w:r>
      <w:r>
        <w:t xml:space="preserve"> In </w:t>
      </w:r>
      <w:r w:rsidRPr="00935BF4">
        <w:rPr>
          <w:i/>
          <w:iCs/>
        </w:rPr>
        <w:t>Union Government v Vianini Ferro-Concrete Pipes</w:t>
      </w:r>
      <w:r w:rsidRPr="00935BF4">
        <w:t xml:space="preserve"> 1941 AD 43</w:t>
      </w:r>
      <w:r>
        <w:t xml:space="preserve">, the Appellate Division described the parol evidence rule </w:t>
      </w:r>
      <w:r w:rsidRPr="00935BF4">
        <w:t>at 47</w:t>
      </w:r>
      <w:r>
        <w:t xml:space="preserve"> as being “</w:t>
      </w:r>
      <w:r w:rsidRPr="00935BF4">
        <w:rPr>
          <w:i/>
          <w:iCs/>
        </w:rPr>
        <w:t>when a contract has been reduced to writing, the writing is, in general, regarded as the sole memorial of the transaction and in a suit between the parties no evidence to prove its terms may be given save the document or secondary evidence of its contents, nor may the contents of such document be contradicted, altered, added to or varied by parol evidence</w:t>
      </w:r>
      <w:r>
        <w:t>”.</w:t>
      </w:r>
    </w:p>
  </w:footnote>
  <w:footnote w:id="26">
    <w:p w14:paraId="1E0D4315" w14:textId="4894F814" w:rsidR="00F10093" w:rsidRDefault="00F10093">
      <w:pPr>
        <w:pStyle w:val="FootnoteText"/>
      </w:pPr>
      <w:r>
        <w:rPr>
          <w:rStyle w:val="FootnoteReference"/>
        </w:rPr>
        <w:footnoteRef/>
      </w:r>
      <w:r>
        <w:t xml:space="preserve"> </w:t>
      </w:r>
      <w:r w:rsidRPr="00F10093">
        <w:rPr>
          <w:i/>
          <w:iCs/>
        </w:rPr>
        <w:t>Road Accident Fund v Taylor and other matters</w:t>
      </w:r>
      <w:r w:rsidRPr="00F10093">
        <w:t xml:space="preserve"> [2023] ZASCA 64 (8 May 2023)</w:t>
      </w:r>
      <w:r>
        <w:t xml:space="preserve"> paras 33 and 34.</w:t>
      </w:r>
    </w:p>
  </w:footnote>
  <w:footnote w:id="27">
    <w:p w14:paraId="5006FAE9" w14:textId="1AEA9FC4" w:rsidR="004526BD" w:rsidRDefault="004526BD">
      <w:pPr>
        <w:pStyle w:val="FootnoteText"/>
      </w:pPr>
      <w:r>
        <w:rPr>
          <w:rStyle w:val="FootnoteReference"/>
        </w:rPr>
        <w:footnoteRef/>
      </w:r>
      <w:r>
        <w:t xml:space="preserve"> Code of Judicial Conduct adopted in terms of Section 12 of the Judicial Service Commission Act, 9 of 1994 (</w:t>
      </w:r>
      <w:r>
        <w:rPr>
          <w:lang w:eastAsia="en-ZA"/>
        </w:rPr>
        <w:t xml:space="preserve">GNR865 published in </w:t>
      </w:r>
      <w:r w:rsidRPr="00E178CB">
        <w:rPr>
          <w:i/>
          <w:iCs/>
          <w:lang w:eastAsia="en-ZA"/>
        </w:rPr>
        <w:t>Government Gazette</w:t>
      </w:r>
      <w:r>
        <w:rPr>
          <w:lang w:eastAsia="en-ZA"/>
        </w:rPr>
        <w:t xml:space="preserve"> 35802 of 18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6B26" w14:textId="6B9309F9"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120CDB">
      <w:rPr>
        <w:rFonts w:ascii="Arial" w:hAnsi="Arial" w:cs="Arial"/>
        <w:noProof/>
        <w:sz w:val="24"/>
        <w:szCs w:val="24"/>
      </w:rPr>
      <w:t>2</w:t>
    </w:r>
    <w:r w:rsidRPr="007405CA">
      <w:rPr>
        <w:rFonts w:ascii="Arial" w:hAnsi="Arial" w:cs="Arial"/>
        <w:sz w:val="24"/>
        <w:szCs w:val="24"/>
      </w:rPr>
      <w:fldChar w:fldCharType="end"/>
    </w:r>
  </w:p>
  <w:p w14:paraId="07BA724A" w14:textId="77777777" w:rsidR="00FC0780" w:rsidRDefault="00F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B452A0"/>
    <w:multiLevelType w:val="hybridMultilevel"/>
    <w:tmpl w:val="D9D0C344"/>
    <w:lvl w:ilvl="0" w:tplc="9D7051BA">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5A0693F"/>
    <w:multiLevelType w:val="hybridMultilevel"/>
    <w:tmpl w:val="BA18C066"/>
    <w:lvl w:ilvl="0" w:tplc="1C09001B">
      <w:start w:val="1"/>
      <w:numFmt w:val="lowerRoman"/>
      <w:lvlText w:val="%1."/>
      <w:lvlJc w:val="right"/>
      <w:pPr>
        <w:ind w:left="2340" w:hanging="360"/>
      </w:p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19B09B3"/>
    <w:multiLevelType w:val="hybridMultilevel"/>
    <w:tmpl w:val="93B282AA"/>
    <w:lvl w:ilvl="0" w:tplc="7C58C6CA">
      <w:start w:val="1"/>
      <w:numFmt w:val="decimal"/>
      <w:pStyle w:val="LC1"/>
      <w:lvlText w:val="[%1]"/>
      <w:lvlJc w:val="left"/>
      <w:pPr>
        <w:ind w:left="720" w:hanging="360"/>
      </w:pPr>
      <w:rPr>
        <w:rFonts w:ascii="Arial" w:hAnsi="Arial" w:cs="Arial" w:hint="default"/>
        <w:b w:val="0"/>
        <w:sz w:val="24"/>
        <w:szCs w:val="24"/>
      </w:rPr>
    </w:lvl>
    <w:lvl w:ilvl="1" w:tplc="372E5512">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0A1E654C">
      <w:start w:val="1"/>
      <w:numFmt w:val="decimal"/>
      <w:pStyle w:val="LCOrder"/>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7">
    <w:nsid w:val="29C76D15"/>
    <w:multiLevelType w:val="multilevel"/>
    <w:tmpl w:val="0B6A4CD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1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72255387"/>
    <w:multiLevelType w:val="multilevel"/>
    <w:tmpl w:val="61B0148C"/>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nsid w:val="74344829"/>
    <w:multiLevelType w:val="hybridMultilevel"/>
    <w:tmpl w:val="3818560C"/>
    <w:lvl w:ilvl="0" w:tplc="1C09001B">
      <w:start w:val="1"/>
      <w:numFmt w:val="lowerRoman"/>
      <w:lvlText w:val="%1."/>
      <w:lvlJc w:val="right"/>
      <w:pPr>
        <w:ind w:left="2160" w:hanging="18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9"/>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
  </w:num>
  <w:num w:numId="39">
    <w:abstractNumId w:val="8"/>
  </w:num>
  <w:num w:numId="40">
    <w:abstractNumId w:val="12"/>
  </w:num>
  <w:num w:numId="41">
    <w:abstractNumId w:val="11"/>
  </w:num>
  <w:num w:numId="42">
    <w:abstractNumId w:val="5"/>
    <w:lvlOverride w:ilvl="0">
      <w:startOverride w:val="1"/>
    </w:lvlOverride>
  </w:num>
  <w:num w:numId="43">
    <w:abstractNumId w:val="1"/>
  </w:num>
  <w:num w:numId="44">
    <w:abstractNumId w:val="7"/>
  </w:num>
  <w:num w:numId="45">
    <w:abstractNumId w:val="13"/>
  </w:num>
  <w:num w:numId="46">
    <w:abstractNumId w:val="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1C"/>
    <w:rsid w:val="000012A6"/>
    <w:rsid w:val="000017F7"/>
    <w:rsid w:val="00001F4A"/>
    <w:rsid w:val="00002741"/>
    <w:rsid w:val="00003782"/>
    <w:rsid w:val="00003803"/>
    <w:rsid w:val="00004549"/>
    <w:rsid w:val="00004D23"/>
    <w:rsid w:val="0000706E"/>
    <w:rsid w:val="000073C9"/>
    <w:rsid w:val="0001167B"/>
    <w:rsid w:val="0001502E"/>
    <w:rsid w:val="00017322"/>
    <w:rsid w:val="00020864"/>
    <w:rsid w:val="0002226B"/>
    <w:rsid w:val="00022F6D"/>
    <w:rsid w:val="0002435C"/>
    <w:rsid w:val="0002662D"/>
    <w:rsid w:val="00031365"/>
    <w:rsid w:val="00031BDD"/>
    <w:rsid w:val="0003279B"/>
    <w:rsid w:val="000332BD"/>
    <w:rsid w:val="00034E66"/>
    <w:rsid w:val="000351B2"/>
    <w:rsid w:val="00036D1E"/>
    <w:rsid w:val="00040C6B"/>
    <w:rsid w:val="0004111E"/>
    <w:rsid w:val="00044A38"/>
    <w:rsid w:val="00045FEF"/>
    <w:rsid w:val="000510E6"/>
    <w:rsid w:val="000520DA"/>
    <w:rsid w:val="0005430C"/>
    <w:rsid w:val="00054DB9"/>
    <w:rsid w:val="0006394C"/>
    <w:rsid w:val="00064401"/>
    <w:rsid w:val="00065E5C"/>
    <w:rsid w:val="00070100"/>
    <w:rsid w:val="00070375"/>
    <w:rsid w:val="00070A7B"/>
    <w:rsid w:val="000716A9"/>
    <w:rsid w:val="00072AB8"/>
    <w:rsid w:val="00077868"/>
    <w:rsid w:val="00081BA6"/>
    <w:rsid w:val="000824F1"/>
    <w:rsid w:val="00082F4A"/>
    <w:rsid w:val="000831B3"/>
    <w:rsid w:val="000833AD"/>
    <w:rsid w:val="000851D1"/>
    <w:rsid w:val="00085E78"/>
    <w:rsid w:val="00090360"/>
    <w:rsid w:val="00092FEC"/>
    <w:rsid w:val="00094012"/>
    <w:rsid w:val="00094DFD"/>
    <w:rsid w:val="000A2519"/>
    <w:rsid w:val="000A6817"/>
    <w:rsid w:val="000A7D77"/>
    <w:rsid w:val="000B0BF2"/>
    <w:rsid w:val="000B1029"/>
    <w:rsid w:val="000B1421"/>
    <w:rsid w:val="000B1630"/>
    <w:rsid w:val="000B3E04"/>
    <w:rsid w:val="000B497A"/>
    <w:rsid w:val="000B670C"/>
    <w:rsid w:val="000C0393"/>
    <w:rsid w:val="000C5455"/>
    <w:rsid w:val="000C6122"/>
    <w:rsid w:val="000C785F"/>
    <w:rsid w:val="000C7D79"/>
    <w:rsid w:val="000D0102"/>
    <w:rsid w:val="000D011D"/>
    <w:rsid w:val="000D2F2C"/>
    <w:rsid w:val="000D3349"/>
    <w:rsid w:val="000D67C6"/>
    <w:rsid w:val="000D6B38"/>
    <w:rsid w:val="000D7FC7"/>
    <w:rsid w:val="000E2737"/>
    <w:rsid w:val="000E2745"/>
    <w:rsid w:val="000E3458"/>
    <w:rsid w:val="000E37F3"/>
    <w:rsid w:val="000E3FA9"/>
    <w:rsid w:val="000E6595"/>
    <w:rsid w:val="000E6B70"/>
    <w:rsid w:val="000E6CBA"/>
    <w:rsid w:val="000E77CD"/>
    <w:rsid w:val="000F20C7"/>
    <w:rsid w:val="000F2126"/>
    <w:rsid w:val="000F2377"/>
    <w:rsid w:val="000F6A68"/>
    <w:rsid w:val="00100D7D"/>
    <w:rsid w:val="00104DA9"/>
    <w:rsid w:val="00110166"/>
    <w:rsid w:val="00111F99"/>
    <w:rsid w:val="001129AE"/>
    <w:rsid w:val="00113C31"/>
    <w:rsid w:val="0011497C"/>
    <w:rsid w:val="00114F8D"/>
    <w:rsid w:val="00117061"/>
    <w:rsid w:val="00120CDB"/>
    <w:rsid w:val="00120EB1"/>
    <w:rsid w:val="00121D64"/>
    <w:rsid w:val="00122E7C"/>
    <w:rsid w:val="001317DB"/>
    <w:rsid w:val="00131F4E"/>
    <w:rsid w:val="00133185"/>
    <w:rsid w:val="0013376C"/>
    <w:rsid w:val="0013396B"/>
    <w:rsid w:val="00134416"/>
    <w:rsid w:val="0013446D"/>
    <w:rsid w:val="00135C38"/>
    <w:rsid w:val="00140004"/>
    <w:rsid w:val="00143153"/>
    <w:rsid w:val="00144C74"/>
    <w:rsid w:val="00144D8F"/>
    <w:rsid w:val="001478AF"/>
    <w:rsid w:val="001525A0"/>
    <w:rsid w:val="00153263"/>
    <w:rsid w:val="00155545"/>
    <w:rsid w:val="00161742"/>
    <w:rsid w:val="00161768"/>
    <w:rsid w:val="0017488E"/>
    <w:rsid w:val="001748B8"/>
    <w:rsid w:val="00175605"/>
    <w:rsid w:val="001772D1"/>
    <w:rsid w:val="00177A2D"/>
    <w:rsid w:val="00182764"/>
    <w:rsid w:val="00185305"/>
    <w:rsid w:val="00185D04"/>
    <w:rsid w:val="001869B1"/>
    <w:rsid w:val="0018761E"/>
    <w:rsid w:val="00190F5B"/>
    <w:rsid w:val="001913F8"/>
    <w:rsid w:val="0019412F"/>
    <w:rsid w:val="001941AE"/>
    <w:rsid w:val="00194624"/>
    <w:rsid w:val="00195948"/>
    <w:rsid w:val="001A03F9"/>
    <w:rsid w:val="001A066C"/>
    <w:rsid w:val="001A2909"/>
    <w:rsid w:val="001A3E66"/>
    <w:rsid w:val="001A42D3"/>
    <w:rsid w:val="001A521C"/>
    <w:rsid w:val="001A55DB"/>
    <w:rsid w:val="001A66FF"/>
    <w:rsid w:val="001B05F3"/>
    <w:rsid w:val="001B3AFC"/>
    <w:rsid w:val="001B5CB4"/>
    <w:rsid w:val="001B66D5"/>
    <w:rsid w:val="001B7FDB"/>
    <w:rsid w:val="001C0EBD"/>
    <w:rsid w:val="001C338F"/>
    <w:rsid w:val="001D2FCD"/>
    <w:rsid w:val="001D32B6"/>
    <w:rsid w:val="001D3CAA"/>
    <w:rsid w:val="001D3DE1"/>
    <w:rsid w:val="001D73D1"/>
    <w:rsid w:val="001E1934"/>
    <w:rsid w:val="001E2297"/>
    <w:rsid w:val="001E2746"/>
    <w:rsid w:val="001E3C4A"/>
    <w:rsid w:val="001E6505"/>
    <w:rsid w:val="001F3346"/>
    <w:rsid w:val="001F40A2"/>
    <w:rsid w:val="001F41FC"/>
    <w:rsid w:val="001F6AAC"/>
    <w:rsid w:val="0020038A"/>
    <w:rsid w:val="002011CA"/>
    <w:rsid w:val="00201D94"/>
    <w:rsid w:val="0020470F"/>
    <w:rsid w:val="002079F3"/>
    <w:rsid w:val="002131B0"/>
    <w:rsid w:val="002135AF"/>
    <w:rsid w:val="00214702"/>
    <w:rsid w:val="002153EB"/>
    <w:rsid w:val="0021615D"/>
    <w:rsid w:val="002204D4"/>
    <w:rsid w:val="0022201A"/>
    <w:rsid w:val="00223659"/>
    <w:rsid w:val="00225C87"/>
    <w:rsid w:val="002267FB"/>
    <w:rsid w:val="0022691E"/>
    <w:rsid w:val="002307DC"/>
    <w:rsid w:val="00231758"/>
    <w:rsid w:val="00232AAA"/>
    <w:rsid w:val="002354C7"/>
    <w:rsid w:val="0023710F"/>
    <w:rsid w:val="00237B32"/>
    <w:rsid w:val="00243FFB"/>
    <w:rsid w:val="002458DA"/>
    <w:rsid w:val="00247065"/>
    <w:rsid w:val="002507E7"/>
    <w:rsid w:val="00250CA2"/>
    <w:rsid w:val="00252EA0"/>
    <w:rsid w:val="00254A2A"/>
    <w:rsid w:val="002568A5"/>
    <w:rsid w:val="0025751F"/>
    <w:rsid w:val="00257F71"/>
    <w:rsid w:val="00260FC5"/>
    <w:rsid w:val="00261518"/>
    <w:rsid w:val="00262145"/>
    <w:rsid w:val="00264164"/>
    <w:rsid w:val="00264DBD"/>
    <w:rsid w:val="00266E7E"/>
    <w:rsid w:val="00270E8E"/>
    <w:rsid w:val="00272CC9"/>
    <w:rsid w:val="002738F6"/>
    <w:rsid w:val="0027476A"/>
    <w:rsid w:val="00275348"/>
    <w:rsid w:val="00280630"/>
    <w:rsid w:val="00281AA5"/>
    <w:rsid w:val="00283AE9"/>
    <w:rsid w:val="00284935"/>
    <w:rsid w:val="0028506A"/>
    <w:rsid w:val="00287983"/>
    <w:rsid w:val="002904E8"/>
    <w:rsid w:val="00293FCA"/>
    <w:rsid w:val="002943CC"/>
    <w:rsid w:val="00294703"/>
    <w:rsid w:val="002951E4"/>
    <w:rsid w:val="002A0C34"/>
    <w:rsid w:val="002A263A"/>
    <w:rsid w:val="002A2834"/>
    <w:rsid w:val="002A2C98"/>
    <w:rsid w:val="002A5354"/>
    <w:rsid w:val="002A5F1F"/>
    <w:rsid w:val="002A6A82"/>
    <w:rsid w:val="002B074C"/>
    <w:rsid w:val="002B09AC"/>
    <w:rsid w:val="002B1648"/>
    <w:rsid w:val="002B29E2"/>
    <w:rsid w:val="002B4011"/>
    <w:rsid w:val="002B4682"/>
    <w:rsid w:val="002C05F3"/>
    <w:rsid w:val="002C28F4"/>
    <w:rsid w:val="002C4033"/>
    <w:rsid w:val="002C4D66"/>
    <w:rsid w:val="002D16ED"/>
    <w:rsid w:val="002D425A"/>
    <w:rsid w:val="002D5D07"/>
    <w:rsid w:val="002E3F6F"/>
    <w:rsid w:val="002E45E4"/>
    <w:rsid w:val="002E534E"/>
    <w:rsid w:val="002F1953"/>
    <w:rsid w:val="002F2F4F"/>
    <w:rsid w:val="002F5E85"/>
    <w:rsid w:val="002F7EA9"/>
    <w:rsid w:val="00300C56"/>
    <w:rsid w:val="00302B56"/>
    <w:rsid w:val="003031DE"/>
    <w:rsid w:val="00303C39"/>
    <w:rsid w:val="00304198"/>
    <w:rsid w:val="003044E5"/>
    <w:rsid w:val="0030632A"/>
    <w:rsid w:val="00306A29"/>
    <w:rsid w:val="0030779C"/>
    <w:rsid w:val="0031012F"/>
    <w:rsid w:val="00311B83"/>
    <w:rsid w:val="00313B0E"/>
    <w:rsid w:val="00316134"/>
    <w:rsid w:val="00316A03"/>
    <w:rsid w:val="00316BB4"/>
    <w:rsid w:val="00316EB2"/>
    <w:rsid w:val="00323262"/>
    <w:rsid w:val="00323CEC"/>
    <w:rsid w:val="00325BFD"/>
    <w:rsid w:val="003263B6"/>
    <w:rsid w:val="00331526"/>
    <w:rsid w:val="00333F6D"/>
    <w:rsid w:val="00334249"/>
    <w:rsid w:val="003370D2"/>
    <w:rsid w:val="0034240A"/>
    <w:rsid w:val="00342CE8"/>
    <w:rsid w:val="00343523"/>
    <w:rsid w:val="003438A1"/>
    <w:rsid w:val="00344610"/>
    <w:rsid w:val="0035628C"/>
    <w:rsid w:val="0035787D"/>
    <w:rsid w:val="00361822"/>
    <w:rsid w:val="00364B2B"/>
    <w:rsid w:val="00366EC7"/>
    <w:rsid w:val="00367FE4"/>
    <w:rsid w:val="00371EAC"/>
    <w:rsid w:val="00374424"/>
    <w:rsid w:val="00375189"/>
    <w:rsid w:val="00375ECF"/>
    <w:rsid w:val="00383DE0"/>
    <w:rsid w:val="003843A1"/>
    <w:rsid w:val="003844CD"/>
    <w:rsid w:val="00387D95"/>
    <w:rsid w:val="00387E2B"/>
    <w:rsid w:val="00393CFC"/>
    <w:rsid w:val="00394257"/>
    <w:rsid w:val="00394A38"/>
    <w:rsid w:val="0039695C"/>
    <w:rsid w:val="003A0C66"/>
    <w:rsid w:val="003A1345"/>
    <w:rsid w:val="003A18A9"/>
    <w:rsid w:val="003A1E5C"/>
    <w:rsid w:val="003A25F7"/>
    <w:rsid w:val="003A2784"/>
    <w:rsid w:val="003A40B7"/>
    <w:rsid w:val="003B03B4"/>
    <w:rsid w:val="003B0CEB"/>
    <w:rsid w:val="003B1C0D"/>
    <w:rsid w:val="003B39F8"/>
    <w:rsid w:val="003B5ACF"/>
    <w:rsid w:val="003B7448"/>
    <w:rsid w:val="003C0FEE"/>
    <w:rsid w:val="003C133F"/>
    <w:rsid w:val="003C327B"/>
    <w:rsid w:val="003C39BB"/>
    <w:rsid w:val="003C4F1C"/>
    <w:rsid w:val="003D2AD1"/>
    <w:rsid w:val="003D6B4C"/>
    <w:rsid w:val="003D736C"/>
    <w:rsid w:val="003E4340"/>
    <w:rsid w:val="003E5CCD"/>
    <w:rsid w:val="003E6F2D"/>
    <w:rsid w:val="003F0485"/>
    <w:rsid w:val="003F0A4D"/>
    <w:rsid w:val="003F1021"/>
    <w:rsid w:val="003F1406"/>
    <w:rsid w:val="003F7818"/>
    <w:rsid w:val="003F7CBD"/>
    <w:rsid w:val="004005B6"/>
    <w:rsid w:val="00400C5A"/>
    <w:rsid w:val="00401C97"/>
    <w:rsid w:val="00406476"/>
    <w:rsid w:val="004070ED"/>
    <w:rsid w:val="004071E9"/>
    <w:rsid w:val="0041228E"/>
    <w:rsid w:val="004134ED"/>
    <w:rsid w:val="004209D8"/>
    <w:rsid w:val="004229C3"/>
    <w:rsid w:val="00424B50"/>
    <w:rsid w:val="004268B9"/>
    <w:rsid w:val="00427C68"/>
    <w:rsid w:val="00433D8B"/>
    <w:rsid w:val="004341D0"/>
    <w:rsid w:val="0043517E"/>
    <w:rsid w:val="00437E7E"/>
    <w:rsid w:val="0044008C"/>
    <w:rsid w:val="0044726A"/>
    <w:rsid w:val="0044794A"/>
    <w:rsid w:val="00450395"/>
    <w:rsid w:val="004526BD"/>
    <w:rsid w:val="004574CF"/>
    <w:rsid w:val="00457C05"/>
    <w:rsid w:val="00461C58"/>
    <w:rsid w:val="004631CF"/>
    <w:rsid w:val="00467FAE"/>
    <w:rsid w:val="00470CB2"/>
    <w:rsid w:val="00471311"/>
    <w:rsid w:val="00476A10"/>
    <w:rsid w:val="00480923"/>
    <w:rsid w:val="004836EE"/>
    <w:rsid w:val="00485082"/>
    <w:rsid w:val="00485183"/>
    <w:rsid w:val="00485A06"/>
    <w:rsid w:val="00485BE2"/>
    <w:rsid w:val="00485D51"/>
    <w:rsid w:val="00486E26"/>
    <w:rsid w:val="004871E9"/>
    <w:rsid w:val="0049213A"/>
    <w:rsid w:val="00493927"/>
    <w:rsid w:val="0049403D"/>
    <w:rsid w:val="004A482E"/>
    <w:rsid w:val="004A61E8"/>
    <w:rsid w:val="004A72C3"/>
    <w:rsid w:val="004B1046"/>
    <w:rsid w:val="004B3172"/>
    <w:rsid w:val="004B5DB2"/>
    <w:rsid w:val="004B70F3"/>
    <w:rsid w:val="004B7CF9"/>
    <w:rsid w:val="004C01A3"/>
    <w:rsid w:val="004C0A1A"/>
    <w:rsid w:val="004C1163"/>
    <w:rsid w:val="004C209D"/>
    <w:rsid w:val="004C4154"/>
    <w:rsid w:val="004D00ED"/>
    <w:rsid w:val="004D059C"/>
    <w:rsid w:val="004D2CC7"/>
    <w:rsid w:val="004D4A30"/>
    <w:rsid w:val="004D60BE"/>
    <w:rsid w:val="004D7420"/>
    <w:rsid w:val="004E2571"/>
    <w:rsid w:val="004E2B12"/>
    <w:rsid w:val="004E3832"/>
    <w:rsid w:val="004E3B4E"/>
    <w:rsid w:val="004E4A55"/>
    <w:rsid w:val="004E6DBC"/>
    <w:rsid w:val="004F13B5"/>
    <w:rsid w:val="004F239B"/>
    <w:rsid w:val="004F4CC1"/>
    <w:rsid w:val="004F4D7E"/>
    <w:rsid w:val="00502C6E"/>
    <w:rsid w:val="00504B76"/>
    <w:rsid w:val="00505F2B"/>
    <w:rsid w:val="00506722"/>
    <w:rsid w:val="0050762B"/>
    <w:rsid w:val="005076B7"/>
    <w:rsid w:val="0051292F"/>
    <w:rsid w:val="00516A81"/>
    <w:rsid w:val="0052082C"/>
    <w:rsid w:val="00522F8E"/>
    <w:rsid w:val="005241F9"/>
    <w:rsid w:val="0053116B"/>
    <w:rsid w:val="00531A72"/>
    <w:rsid w:val="00534695"/>
    <w:rsid w:val="00534B47"/>
    <w:rsid w:val="00535053"/>
    <w:rsid w:val="005357A4"/>
    <w:rsid w:val="00536906"/>
    <w:rsid w:val="005374AC"/>
    <w:rsid w:val="00537A9C"/>
    <w:rsid w:val="00542A3A"/>
    <w:rsid w:val="0055113E"/>
    <w:rsid w:val="00554368"/>
    <w:rsid w:val="00555228"/>
    <w:rsid w:val="00556874"/>
    <w:rsid w:val="0055724B"/>
    <w:rsid w:val="00560305"/>
    <w:rsid w:val="00560AE9"/>
    <w:rsid w:val="00560C0B"/>
    <w:rsid w:val="00560CB2"/>
    <w:rsid w:val="00564164"/>
    <w:rsid w:val="00564B8A"/>
    <w:rsid w:val="0056687A"/>
    <w:rsid w:val="00566A8C"/>
    <w:rsid w:val="00567801"/>
    <w:rsid w:val="005708F6"/>
    <w:rsid w:val="00573912"/>
    <w:rsid w:val="0057634C"/>
    <w:rsid w:val="005768A7"/>
    <w:rsid w:val="00576DC0"/>
    <w:rsid w:val="00582C2A"/>
    <w:rsid w:val="00582E9C"/>
    <w:rsid w:val="0058318E"/>
    <w:rsid w:val="00583873"/>
    <w:rsid w:val="00584B23"/>
    <w:rsid w:val="00586825"/>
    <w:rsid w:val="00590502"/>
    <w:rsid w:val="005906DB"/>
    <w:rsid w:val="005938AC"/>
    <w:rsid w:val="0059397B"/>
    <w:rsid w:val="005953FD"/>
    <w:rsid w:val="00596448"/>
    <w:rsid w:val="005A3E6A"/>
    <w:rsid w:val="005A502D"/>
    <w:rsid w:val="005B1663"/>
    <w:rsid w:val="005B32F4"/>
    <w:rsid w:val="005B3C6E"/>
    <w:rsid w:val="005B42E1"/>
    <w:rsid w:val="005B68C9"/>
    <w:rsid w:val="005B7174"/>
    <w:rsid w:val="005C740A"/>
    <w:rsid w:val="005D13CE"/>
    <w:rsid w:val="005D1628"/>
    <w:rsid w:val="005D3948"/>
    <w:rsid w:val="005D6850"/>
    <w:rsid w:val="005E375F"/>
    <w:rsid w:val="005E4F44"/>
    <w:rsid w:val="005E52B8"/>
    <w:rsid w:val="005F1181"/>
    <w:rsid w:val="005F514C"/>
    <w:rsid w:val="005F5E6E"/>
    <w:rsid w:val="005F7C9A"/>
    <w:rsid w:val="00600DC8"/>
    <w:rsid w:val="00602402"/>
    <w:rsid w:val="00604476"/>
    <w:rsid w:val="00610740"/>
    <w:rsid w:val="00612486"/>
    <w:rsid w:val="00612618"/>
    <w:rsid w:val="00615C8B"/>
    <w:rsid w:val="00620527"/>
    <w:rsid w:val="0062053B"/>
    <w:rsid w:val="00620927"/>
    <w:rsid w:val="00620A35"/>
    <w:rsid w:val="00620C55"/>
    <w:rsid w:val="00620C69"/>
    <w:rsid w:val="0062116D"/>
    <w:rsid w:val="00623306"/>
    <w:rsid w:val="00626354"/>
    <w:rsid w:val="00631A43"/>
    <w:rsid w:val="00631E1D"/>
    <w:rsid w:val="00635E5A"/>
    <w:rsid w:val="00640F5F"/>
    <w:rsid w:val="00644946"/>
    <w:rsid w:val="006462EE"/>
    <w:rsid w:val="0064691B"/>
    <w:rsid w:val="00650039"/>
    <w:rsid w:val="006501DF"/>
    <w:rsid w:val="00650965"/>
    <w:rsid w:val="00650C12"/>
    <w:rsid w:val="0065101B"/>
    <w:rsid w:val="00651AF7"/>
    <w:rsid w:val="00652EF0"/>
    <w:rsid w:val="00655868"/>
    <w:rsid w:val="00656630"/>
    <w:rsid w:val="00660038"/>
    <w:rsid w:val="00660D19"/>
    <w:rsid w:val="00661972"/>
    <w:rsid w:val="00662878"/>
    <w:rsid w:val="00662AF1"/>
    <w:rsid w:val="00663206"/>
    <w:rsid w:val="00664551"/>
    <w:rsid w:val="00665B87"/>
    <w:rsid w:val="00671349"/>
    <w:rsid w:val="00671E88"/>
    <w:rsid w:val="00672E25"/>
    <w:rsid w:val="00673672"/>
    <w:rsid w:val="00675086"/>
    <w:rsid w:val="00675D4C"/>
    <w:rsid w:val="00675FDD"/>
    <w:rsid w:val="00677B48"/>
    <w:rsid w:val="006800D5"/>
    <w:rsid w:val="0068156F"/>
    <w:rsid w:val="00681DB6"/>
    <w:rsid w:val="00683640"/>
    <w:rsid w:val="00685BFC"/>
    <w:rsid w:val="00685F17"/>
    <w:rsid w:val="006910D5"/>
    <w:rsid w:val="00691BB1"/>
    <w:rsid w:val="00693017"/>
    <w:rsid w:val="00694EDB"/>
    <w:rsid w:val="00695818"/>
    <w:rsid w:val="006A19A2"/>
    <w:rsid w:val="006A1C79"/>
    <w:rsid w:val="006A5165"/>
    <w:rsid w:val="006A62B2"/>
    <w:rsid w:val="006B005F"/>
    <w:rsid w:val="006B00FC"/>
    <w:rsid w:val="006B1C26"/>
    <w:rsid w:val="006B3770"/>
    <w:rsid w:val="006B612E"/>
    <w:rsid w:val="006C49A0"/>
    <w:rsid w:val="006C50B9"/>
    <w:rsid w:val="006C7710"/>
    <w:rsid w:val="006C790B"/>
    <w:rsid w:val="006C7A09"/>
    <w:rsid w:val="006D0194"/>
    <w:rsid w:val="006D05EB"/>
    <w:rsid w:val="006D1DEE"/>
    <w:rsid w:val="006D562E"/>
    <w:rsid w:val="006E19FB"/>
    <w:rsid w:val="006E34EF"/>
    <w:rsid w:val="006E50DF"/>
    <w:rsid w:val="006E5E21"/>
    <w:rsid w:val="006E637D"/>
    <w:rsid w:val="006E7462"/>
    <w:rsid w:val="006F25F4"/>
    <w:rsid w:val="006F3C07"/>
    <w:rsid w:val="006F471F"/>
    <w:rsid w:val="007046ED"/>
    <w:rsid w:val="00706851"/>
    <w:rsid w:val="00706DEF"/>
    <w:rsid w:val="0071369A"/>
    <w:rsid w:val="00717608"/>
    <w:rsid w:val="00723B13"/>
    <w:rsid w:val="0072490A"/>
    <w:rsid w:val="00727051"/>
    <w:rsid w:val="00730BAC"/>
    <w:rsid w:val="00731CD4"/>
    <w:rsid w:val="0073729E"/>
    <w:rsid w:val="00745C12"/>
    <w:rsid w:val="0074639A"/>
    <w:rsid w:val="0075147D"/>
    <w:rsid w:val="007532D7"/>
    <w:rsid w:val="007539E6"/>
    <w:rsid w:val="00753D4C"/>
    <w:rsid w:val="00760412"/>
    <w:rsid w:val="00760602"/>
    <w:rsid w:val="007613D7"/>
    <w:rsid w:val="00763359"/>
    <w:rsid w:val="007742F0"/>
    <w:rsid w:val="00776390"/>
    <w:rsid w:val="007779D1"/>
    <w:rsid w:val="00781AF9"/>
    <w:rsid w:val="00785DCD"/>
    <w:rsid w:val="00786A71"/>
    <w:rsid w:val="00786D35"/>
    <w:rsid w:val="0079152D"/>
    <w:rsid w:val="007917EC"/>
    <w:rsid w:val="00792BFA"/>
    <w:rsid w:val="00792E9F"/>
    <w:rsid w:val="00796A89"/>
    <w:rsid w:val="007A30D9"/>
    <w:rsid w:val="007A5A73"/>
    <w:rsid w:val="007A5DD7"/>
    <w:rsid w:val="007A5E17"/>
    <w:rsid w:val="007A6630"/>
    <w:rsid w:val="007A6C9B"/>
    <w:rsid w:val="007B07F7"/>
    <w:rsid w:val="007B42C5"/>
    <w:rsid w:val="007B6259"/>
    <w:rsid w:val="007B70A2"/>
    <w:rsid w:val="007B798F"/>
    <w:rsid w:val="007C03FB"/>
    <w:rsid w:val="007C207B"/>
    <w:rsid w:val="007C280E"/>
    <w:rsid w:val="007C2DD4"/>
    <w:rsid w:val="007C3650"/>
    <w:rsid w:val="007C4413"/>
    <w:rsid w:val="007C50E5"/>
    <w:rsid w:val="007C54A7"/>
    <w:rsid w:val="007D0658"/>
    <w:rsid w:val="007D3888"/>
    <w:rsid w:val="007D42D7"/>
    <w:rsid w:val="007D51E5"/>
    <w:rsid w:val="007D71FD"/>
    <w:rsid w:val="007D736B"/>
    <w:rsid w:val="007E008C"/>
    <w:rsid w:val="007E0C74"/>
    <w:rsid w:val="007E2A9E"/>
    <w:rsid w:val="007E3918"/>
    <w:rsid w:val="007E686C"/>
    <w:rsid w:val="007E6AAD"/>
    <w:rsid w:val="007F0029"/>
    <w:rsid w:val="007F2F6A"/>
    <w:rsid w:val="0080001F"/>
    <w:rsid w:val="0080031B"/>
    <w:rsid w:val="00801B76"/>
    <w:rsid w:val="00802253"/>
    <w:rsid w:val="0080454C"/>
    <w:rsid w:val="00807B64"/>
    <w:rsid w:val="0081091C"/>
    <w:rsid w:val="00811056"/>
    <w:rsid w:val="008140DD"/>
    <w:rsid w:val="008158A3"/>
    <w:rsid w:val="00817F18"/>
    <w:rsid w:val="008219AD"/>
    <w:rsid w:val="008254BF"/>
    <w:rsid w:val="008254FE"/>
    <w:rsid w:val="0082557F"/>
    <w:rsid w:val="00826605"/>
    <w:rsid w:val="00830C9E"/>
    <w:rsid w:val="00831041"/>
    <w:rsid w:val="008337E9"/>
    <w:rsid w:val="00833CEF"/>
    <w:rsid w:val="00833FC0"/>
    <w:rsid w:val="0083515A"/>
    <w:rsid w:val="00835906"/>
    <w:rsid w:val="008435C3"/>
    <w:rsid w:val="008436FD"/>
    <w:rsid w:val="0084389A"/>
    <w:rsid w:val="0084518E"/>
    <w:rsid w:val="008451BE"/>
    <w:rsid w:val="00851F01"/>
    <w:rsid w:val="00854BEE"/>
    <w:rsid w:val="00857B95"/>
    <w:rsid w:val="00857BA7"/>
    <w:rsid w:val="00860E3A"/>
    <w:rsid w:val="00870882"/>
    <w:rsid w:val="008727CA"/>
    <w:rsid w:val="00872FB8"/>
    <w:rsid w:val="00874D3C"/>
    <w:rsid w:val="0087624D"/>
    <w:rsid w:val="00876ED4"/>
    <w:rsid w:val="008775CD"/>
    <w:rsid w:val="00880050"/>
    <w:rsid w:val="008837AE"/>
    <w:rsid w:val="008921E9"/>
    <w:rsid w:val="00892C1F"/>
    <w:rsid w:val="008945BF"/>
    <w:rsid w:val="00896AB7"/>
    <w:rsid w:val="00897805"/>
    <w:rsid w:val="00897BC9"/>
    <w:rsid w:val="008A0969"/>
    <w:rsid w:val="008A0D0F"/>
    <w:rsid w:val="008A4C2C"/>
    <w:rsid w:val="008A686A"/>
    <w:rsid w:val="008A6D65"/>
    <w:rsid w:val="008B0530"/>
    <w:rsid w:val="008B1866"/>
    <w:rsid w:val="008B20F6"/>
    <w:rsid w:val="008B4FC4"/>
    <w:rsid w:val="008B570B"/>
    <w:rsid w:val="008C4D76"/>
    <w:rsid w:val="008C5790"/>
    <w:rsid w:val="008C6FA5"/>
    <w:rsid w:val="008C7EC0"/>
    <w:rsid w:val="008D0BA7"/>
    <w:rsid w:val="008D231D"/>
    <w:rsid w:val="008D4038"/>
    <w:rsid w:val="008D7429"/>
    <w:rsid w:val="008E1C4F"/>
    <w:rsid w:val="008E3B6A"/>
    <w:rsid w:val="008E5F6E"/>
    <w:rsid w:val="008E7216"/>
    <w:rsid w:val="008F0CFF"/>
    <w:rsid w:val="008F1BE6"/>
    <w:rsid w:val="008F52E7"/>
    <w:rsid w:val="00900684"/>
    <w:rsid w:val="00901B1F"/>
    <w:rsid w:val="00906D03"/>
    <w:rsid w:val="00910B04"/>
    <w:rsid w:val="0091431D"/>
    <w:rsid w:val="00914D9D"/>
    <w:rsid w:val="00923D42"/>
    <w:rsid w:val="009243BB"/>
    <w:rsid w:val="00924EAF"/>
    <w:rsid w:val="009318D5"/>
    <w:rsid w:val="00931C18"/>
    <w:rsid w:val="00931C25"/>
    <w:rsid w:val="00933664"/>
    <w:rsid w:val="00935BF4"/>
    <w:rsid w:val="00936070"/>
    <w:rsid w:val="009441CD"/>
    <w:rsid w:val="009460C8"/>
    <w:rsid w:val="009523E2"/>
    <w:rsid w:val="0095634A"/>
    <w:rsid w:val="00956E98"/>
    <w:rsid w:val="00960664"/>
    <w:rsid w:val="00963D63"/>
    <w:rsid w:val="00964EF7"/>
    <w:rsid w:val="00964FA1"/>
    <w:rsid w:val="009657F8"/>
    <w:rsid w:val="00966980"/>
    <w:rsid w:val="009727AC"/>
    <w:rsid w:val="00973771"/>
    <w:rsid w:val="009757B1"/>
    <w:rsid w:val="009801D2"/>
    <w:rsid w:val="00981C8F"/>
    <w:rsid w:val="00981CF8"/>
    <w:rsid w:val="00985105"/>
    <w:rsid w:val="00985E6C"/>
    <w:rsid w:val="00987BBD"/>
    <w:rsid w:val="009907D3"/>
    <w:rsid w:val="00991799"/>
    <w:rsid w:val="00991FF4"/>
    <w:rsid w:val="00996530"/>
    <w:rsid w:val="00997149"/>
    <w:rsid w:val="00997798"/>
    <w:rsid w:val="00997901"/>
    <w:rsid w:val="009A09F7"/>
    <w:rsid w:val="009A1C92"/>
    <w:rsid w:val="009A1E3B"/>
    <w:rsid w:val="009A52F7"/>
    <w:rsid w:val="009B2079"/>
    <w:rsid w:val="009B5C15"/>
    <w:rsid w:val="009B6191"/>
    <w:rsid w:val="009C124F"/>
    <w:rsid w:val="009C2EC7"/>
    <w:rsid w:val="009C45C5"/>
    <w:rsid w:val="009C47A0"/>
    <w:rsid w:val="009C7076"/>
    <w:rsid w:val="009C7F7B"/>
    <w:rsid w:val="009D512F"/>
    <w:rsid w:val="009D70E7"/>
    <w:rsid w:val="009D788E"/>
    <w:rsid w:val="009D7BD8"/>
    <w:rsid w:val="009D7CF6"/>
    <w:rsid w:val="009E06B5"/>
    <w:rsid w:val="009E13F7"/>
    <w:rsid w:val="009E1D5C"/>
    <w:rsid w:val="009F10AD"/>
    <w:rsid w:val="009F1D04"/>
    <w:rsid w:val="009F1D47"/>
    <w:rsid w:val="009F45E3"/>
    <w:rsid w:val="009F620C"/>
    <w:rsid w:val="009F7AA8"/>
    <w:rsid w:val="00A03DD0"/>
    <w:rsid w:val="00A0725F"/>
    <w:rsid w:val="00A078DF"/>
    <w:rsid w:val="00A10787"/>
    <w:rsid w:val="00A11B68"/>
    <w:rsid w:val="00A11D0C"/>
    <w:rsid w:val="00A11E84"/>
    <w:rsid w:val="00A139A3"/>
    <w:rsid w:val="00A15981"/>
    <w:rsid w:val="00A168F5"/>
    <w:rsid w:val="00A20C8C"/>
    <w:rsid w:val="00A21420"/>
    <w:rsid w:val="00A21B35"/>
    <w:rsid w:val="00A310FB"/>
    <w:rsid w:val="00A3124C"/>
    <w:rsid w:val="00A31F5E"/>
    <w:rsid w:val="00A35B20"/>
    <w:rsid w:val="00A36F91"/>
    <w:rsid w:val="00A4041D"/>
    <w:rsid w:val="00A42CF6"/>
    <w:rsid w:val="00A45E00"/>
    <w:rsid w:val="00A47848"/>
    <w:rsid w:val="00A47A4D"/>
    <w:rsid w:val="00A5181E"/>
    <w:rsid w:val="00A52642"/>
    <w:rsid w:val="00A52923"/>
    <w:rsid w:val="00A53A13"/>
    <w:rsid w:val="00A54AD9"/>
    <w:rsid w:val="00A55D38"/>
    <w:rsid w:val="00A55E36"/>
    <w:rsid w:val="00A71443"/>
    <w:rsid w:val="00A714EC"/>
    <w:rsid w:val="00A746F8"/>
    <w:rsid w:val="00A7609F"/>
    <w:rsid w:val="00A80BD7"/>
    <w:rsid w:val="00A81E9D"/>
    <w:rsid w:val="00A82384"/>
    <w:rsid w:val="00A8464D"/>
    <w:rsid w:val="00A922DB"/>
    <w:rsid w:val="00A92AC8"/>
    <w:rsid w:val="00A935E0"/>
    <w:rsid w:val="00A938D8"/>
    <w:rsid w:val="00A96288"/>
    <w:rsid w:val="00AA2504"/>
    <w:rsid w:val="00AA2AC3"/>
    <w:rsid w:val="00AA445C"/>
    <w:rsid w:val="00AA49EA"/>
    <w:rsid w:val="00AA6804"/>
    <w:rsid w:val="00AB3AF8"/>
    <w:rsid w:val="00AB4A29"/>
    <w:rsid w:val="00AB5583"/>
    <w:rsid w:val="00AB71D3"/>
    <w:rsid w:val="00AB785C"/>
    <w:rsid w:val="00AB7CDA"/>
    <w:rsid w:val="00AC2651"/>
    <w:rsid w:val="00AC67C4"/>
    <w:rsid w:val="00AD0267"/>
    <w:rsid w:val="00AD3077"/>
    <w:rsid w:val="00AD3C04"/>
    <w:rsid w:val="00AD41E5"/>
    <w:rsid w:val="00AD4978"/>
    <w:rsid w:val="00AD4D36"/>
    <w:rsid w:val="00AE2AC9"/>
    <w:rsid w:val="00AE3126"/>
    <w:rsid w:val="00AE37A7"/>
    <w:rsid w:val="00AE38D8"/>
    <w:rsid w:val="00AE7C92"/>
    <w:rsid w:val="00AF77F5"/>
    <w:rsid w:val="00B01B99"/>
    <w:rsid w:val="00B10BEF"/>
    <w:rsid w:val="00B11515"/>
    <w:rsid w:val="00B14F5E"/>
    <w:rsid w:val="00B156C3"/>
    <w:rsid w:val="00B20D91"/>
    <w:rsid w:val="00B217BF"/>
    <w:rsid w:val="00B224A8"/>
    <w:rsid w:val="00B26416"/>
    <w:rsid w:val="00B278AE"/>
    <w:rsid w:val="00B27B3A"/>
    <w:rsid w:val="00B30AB7"/>
    <w:rsid w:val="00B3256D"/>
    <w:rsid w:val="00B326BB"/>
    <w:rsid w:val="00B327ED"/>
    <w:rsid w:val="00B337EA"/>
    <w:rsid w:val="00B34B60"/>
    <w:rsid w:val="00B37992"/>
    <w:rsid w:val="00B37BFF"/>
    <w:rsid w:val="00B415BA"/>
    <w:rsid w:val="00B51EEC"/>
    <w:rsid w:val="00B52A6C"/>
    <w:rsid w:val="00B531D5"/>
    <w:rsid w:val="00B53C1E"/>
    <w:rsid w:val="00B54AB3"/>
    <w:rsid w:val="00B56288"/>
    <w:rsid w:val="00B5665E"/>
    <w:rsid w:val="00B56C02"/>
    <w:rsid w:val="00B57413"/>
    <w:rsid w:val="00B57EFA"/>
    <w:rsid w:val="00B71D61"/>
    <w:rsid w:val="00B74B5C"/>
    <w:rsid w:val="00B76389"/>
    <w:rsid w:val="00B778A0"/>
    <w:rsid w:val="00B81055"/>
    <w:rsid w:val="00B83190"/>
    <w:rsid w:val="00B84F2D"/>
    <w:rsid w:val="00B8589B"/>
    <w:rsid w:val="00B928FE"/>
    <w:rsid w:val="00B94176"/>
    <w:rsid w:val="00B96118"/>
    <w:rsid w:val="00B964B2"/>
    <w:rsid w:val="00BA3743"/>
    <w:rsid w:val="00BA471E"/>
    <w:rsid w:val="00BA5033"/>
    <w:rsid w:val="00BA607E"/>
    <w:rsid w:val="00BA74AA"/>
    <w:rsid w:val="00BB094D"/>
    <w:rsid w:val="00BB0C4C"/>
    <w:rsid w:val="00BB2911"/>
    <w:rsid w:val="00BB2EE7"/>
    <w:rsid w:val="00BB4BC9"/>
    <w:rsid w:val="00BB4C2D"/>
    <w:rsid w:val="00BB4E90"/>
    <w:rsid w:val="00BB5382"/>
    <w:rsid w:val="00BB5D95"/>
    <w:rsid w:val="00BB6EC9"/>
    <w:rsid w:val="00BB7740"/>
    <w:rsid w:val="00BC06C9"/>
    <w:rsid w:val="00BC1D27"/>
    <w:rsid w:val="00BC1DA7"/>
    <w:rsid w:val="00BC7272"/>
    <w:rsid w:val="00BD1B12"/>
    <w:rsid w:val="00BD2C41"/>
    <w:rsid w:val="00BD31D0"/>
    <w:rsid w:val="00BD4082"/>
    <w:rsid w:val="00BD7CF0"/>
    <w:rsid w:val="00BE0F7F"/>
    <w:rsid w:val="00BE25CA"/>
    <w:rsid w:val="00BE4E5C"/>
    <w:rsid w:val="00BE5BCB"/>
    <w:rsid w:val="00BE7533"/>
    <w:rsid w:val="00BF1076"/>
    <w:rsid w:val="00BF2F61"/>
    <w:rsid w:val="00C01589"/>
    <w:rsid w:val="00C041C8"/>
    <w:rsid w:val="00C06B16"/>
    <w:rsid w:val="00C1151B"/>
    <w:rsid w:val="00C16299"/>
    <w:rsid w:val="00C16EC6"/>
    <w:rsid w:val="00C2381F"/>
    <w:rsid w:val="00C258FF"/>
    <w:rsid w:val="00C271ED"/>
    <w:rsid w:val="00C30077"/>
    <w:rsid w:val="00C31238"/>
    <w:rsid w:val="00C32C6F"/>
    <w:rsid w:val="00C32ED5"/>
    <w:rsid w:val="00C353BB"/>
    <w:rsid w:val="00C35D89"/>
    <w:rsid w:val="00C36071"/>
    <w:rsid w:val="00C368AB"/>
    <w:rsid w:val="00C371A1"/>
    <w:rsid w:val="00C404DA"/>
    <w:rsid w:val="00C43547"/>
    <w:rsid w:val="00C54027"/>
    <w:rsid w:val="00C64174"/>
    <w:rsid w:val="00C64C13"/>
    <w:rsid w:val="00C65E33"/>
    <w:rsid w:val="00C70E56"/>
    <w:rsid w:val="00C73765"/>
    <w:rsid w:val="00C800DC"/>
    <w:rsid w:val="00C8127A"/>
    <w:rsid w:val="00C82011"/>
    <w:rsid w:val="00C862AE"/>
    <w:rsid w:val="00C941B5"/>
    <w:rsid w:val="00C966DF"/>
    <w:rsid w:val="00CA0462"/>
    <w:rsid w:val="00CA095C"/>
    <w:rsid w:val="00CA0F01"/>
    <w:rsid w:val="00CA35DA"/>
    <w:rsid w:val="00CA37AB"/>
    <w:rsid w:val="00CA39A3"/>
    <w:rsid w:val="00CA430B"/>
    <w:rsid w:val="00CA4C56"/>
    <w:rsid w:val="00CB0291"/>
    <w:rsid w:val="00CB17E6"/>
    <w:rsid w:val="00CB32D3"/>
    <w:rsid w:val="00CB5E16"/>
    <w:rsid w:val="00CB69C5"/>
    <w:rsid w:val="00CC24A7"/>
    <w:rsid w:val="00CC2AFD"/>
    <w:rsid w:val="00CC45B5"/>
    <w:rsid w:val="00CC7C3D"/>
    <w:rsid w:val="00CD1EF6"/>
    <w:rsid w:val="00CD291C"/>
    <w:rsid w:val="00CD5EF8"/>
    <w:rsid w:val="00CE0DD0"/>
    <w:rsid w:val="00CF0561"/>
    <w:rsid w:val="00CF0F7A"/>
    <w:rsid w:val="00CF3ECB"/>
    <w:rsid w:val="00CF4DB6"/>
    <w:rsid w:val="00CF6791"/>
    <w:rsid w:val="00CF6817"/>
    <w:rsid w:val="00D009E7"/>
    <w:rsid w:val="00D01E65"/>
    <w:rsid w:val="00D0437E"/>
    <w:rsid w:val="00D057EE"/>
    <w:rsid w:val="00D068B3"/>
    <w:rsid w:val="00D06B97"/>
    <w:rsid w:val="00D11BBE"/>
    <w:rsid w:val="00D126A6"/>
    <w:rsid w:val="00D1418F"/>
    <w:rsid w:val="00D170CF"/>
    <w:rsid w:val="00D202C2"/>
    <w:rsid w:val="00D2110F"/>
    <w:rsid w:val="00D22617"/>
    <w:rsid w:val="00D273F4"/>
    <w:rsid w:val="00D27810"/>
    <w:rsid w:val="00D27A8F"/>
    <w:rsid w:val="00D30E33"/>
    <w:rsid w:val="00D34792"/>
    <w:rsid w:val="00D35415"/>
    <w:rsid w:val="00D41294"/>
    <w:rsid w:val="00D4408A"/>
    <w:rsid w:val="00D445CC"/>
    <w:rsid w:val="00D475B0"/>
    <w:rsid w:val="00D478DC"/>
    <w:rsid w:val="00D55AD5"/>
    <w:rsid w:val="00D563AD"/>
    <w:rsid w:val="00D60529"/>
    <w:rsid w:val="00D6411C"/>
    <w:rsid w:val="00D65E92"/>
    <w:rsid w:val="00D670E4"/>
    <w:rsid w:val="00D705C4"/>
    <w:rsid w:val="00D710B6"/>
    <w:rsid w:val="00D73B81"/>
    <w:rsid w:val="00D74F4C"/>
    <w:rsid w:val="00D809B6"/>
    <w:rsid w:val="00D827ED"/>
    <w:rsid w:val="00D83351"/>
    <w:rsid w:val="00D852CC"/>
    <w:rsid w:val="00D900CC"/>
    <w:rsid w:val="00D91DC4"/>
    <w:rsid w:val="00D93CC5"/>
    <w:rsid w:val="00D958BA"/>
    <w:rsid w:val="00D95C12"/>
    <w:rsid w:val="00DA31F6"/>
    <w:rsid w:val="00DA72C1"/>
    <w:rsid w:val="00DA7691"/>
    <w:rsid w:val="00DB09C1"/>
    <w:rsid w:val="00DB0B5F"/>
    <w:rsid w:val="00DB14B7"/>
    <w:rsid w:val="00DB2D11"/>
    <w:rsid w:val="00DB3C17"/>
    <w:rsid w:val="00DB6535"/>
    <w:rsid w:val="00DB6BEF"/>
    <w:rsid w:val="00DC14F1"/>
    <w:rsid w:val="00DC6200"/>
    <w:rsid w:val="00DD4565"/>
    <w:rsid w:val="00DD6D2F"/>
    <w:rsid w:val="00DD7668"/>
    <w:rsid w:val="00DE1A6C"/>
    <w:rsid w:val="00DE32F5"/>
    <w:rsid w:val="00DE3314"/>
    <w:rsid w:val="00DE416A"/>
    <w:rsid w:val="00DE7197"/>
    <w:rsid w:val="00DF33EA"/>
    <w:rsid w:val="00DF3662"/>
    <w:rsid w:val="00DF4039"/>
    <w:rsid w:val="00DF4404"/>
    <w:rsid w:val="00DF569F"/>
    <w:rsid w:val="00E0119F"/>
    <w:rsid w:val="00E0601A"/>
    <w:rsid w:val="00E07A85"/>
    <w:rsid w:val="00E1109A"/>
    <w:rsid w:val="00E12C78"/>
    <w:rsid w:val="00E154A6"/>
    <w:rsid w:val="00E15726"/>
    <w:rsid w:val="00E15990"/>
    <w:rsid w:val="00E15D50"/>
    <w:rsid w:val="00E1726B"/>
    <w:rsid w:val="00E178CB"/>
    <w:rsid w:val="00E20ADE"/>
    <w:rsid w:val="00E211DA"/>
    <w:rsid w:val="00E21BD0"/>
    <w:rsid w:val="00E235E6"/>
    <w:rsid w:val="00E255EC"/>
    <w:rsid w:val="00E26783"/>
    <w:rsid w:val="00E3256D"/>
    <w:rsid w:val="00E37B8A"/>
    <w:rsid w:val="00E42A07"/>
    <w:rsid w:val="00E42E15"/>
    <w:rsid w:val="00E4580E"/>
    <w:rsid w:val="00E4630C"/>
    <w:rsid w:val="00E474AA"/>
    <w:rsid w:val="00E478CE"/>
    <w:rsid w:val="00E479CF"/>
    <w:rsid w:val="00E47D84"/>
    <w:rsid w:val="00E52A36"/>
    <w:rsid w:val="00E52B41"/>
    <w:rsid w:val="00E549D8"/>
    <w:rsid w:val="00E568E8"/>
    <w:rsid w:val="00E5787F"/>
    <w:rsid w:val="00E57975"/>
    <w:rsid w:val="00E6258E"/>
    <w:rsid w:val="00E62CA0"/>
    <w:rsid w:val="00E64210"/>
    <w:rsid w:val="00E656D1"/>
    <w:rsid w:val="00E704B2"/>
    <w:rsid w:val="00E70BC0"/>
    <w:rsid w:val="00E7225B"/>
    <w:rsid w:val="00E75462"/>
    <w:rsid w:val="00E766DA"/>
    <w:rsid w:val="00E802AD"/>
    <w:rsid w:val="00E81838"/>
    <w:rsid w:val="00E8410D"/>
    <w:rsid w:val="00E8791E"/>
    <w:rsid w:val="00E91294"/>
    <w:rsid w:val="00E9254D"/>
    <w:rsid w:val="00E9557D"/>
    <w:rsid w:val="00E95C7B"/>
    <w:rsid w:val="00E966FC"/>
    <w:rsid w:val="00E970E4"/>
    <w:rsid w:val="00EA03A9"/>
    <w:rsid w:val="00EA13B0"/>
    <w:rsid w:val="00EA311A"/>
    <w:rsid w:val="00EA3F95"/>
    <w:rsid w:val="00EA68B5"/>
    <w:rsid w:val="00EB2388"/>
    <w:rsid w:val="00EB63A0"/>
    <w:rsid w:val="00EC0D3D"/>
    <w:rsid w:val="00EC5978"/>
    <w:rsid w:val="00EC64BC"/>
    <w:rsid w:val="00EC7D31"/>
    <w:rsid w:val="00ED21EB"/>
    <w:rsid w:val="00ED6258"/>
    <w:rsid w:val="00ED7D08"/>
    <w:rsid w:val="00EE0A65"/>
    <w:rsid w:val="00EE3019"/>
    <w:rsid w:val="00EE3990"/>
    <w:rsid w:val="00EE5601"/>
    <w:rsid w:val="00EF1D60"/>
    <w:rsid w:val="00EF3C04"/>
    <w:rsid w:val="00EF5B40"/>
    <w:rsid w:val="00EF5E15"/>
    <w:rsid w:val="00EF6106"/>
    <w:rsid w:val="00F02879"/>
    <w:rsid w:val="00F03456"/>
    <w:rsid w:val="00F03ACA"/>
    <w:rsid w:val="00F04643"/>
    <w:rsid w:val="00F0535E"/>
    <w:rsid w:val="00F053C9"/>
    <w:rsid w:val="00F06C40"/>
    <w:rsid w:val="00F06E42"/>
    <w:rsid w:val="00F06ECC"/>
    <w:rsid w:val="00F10093"/>
    <w:rsid w:val="00F206D6"/>
    <w:rsid w:val="00F222AD"/>
    <w:rsid w:val="00F23E10"/>
    <w:rsid w:val="00F25788"/>
    <w:rsid w:val="00F27254"/>
    <w:rsid w:val="00F31B2C"/>
    <w:rsid w:val="00F31B91"/>
    <w:rsid w:val="00F348DE"/>
    <w:rsid w:val="00F376A9"/>
    <w:rsid w:val="00F3780F"/>
    <w:rsid w:val="00F43177"/>
    <w:rsid w:val="00F45305"/>
    <w:rsid w:val="00F4730B"/>
    <w:rsid w:val="00F50F05"/>
    <w:rsid w:val="00F548D3"/>
    <w:rsid w:val="00F54CDB"/>
    <w:rsid w:val="00F63892"/>
    <w:rsid w:val="00F67D00"/>
    <w:rsid w:val="00F70037"/>
    <w:rsid w:val="00F728E8"/>
    <w:rsid w:val="00F774FF"/>
    <w:rsid w:val="00F80F95"/>
    <w:rsid w:val="00F837C4"/>
    <w:rsid w:val="00F90FDB"/>
    <w:rsid w:val="00F91645"/>
    <w:rsid w:val="00F91787"/>
    <w:rsid w:val="00F918C6"/>
    <w:rsid w:val="00FA191C"/>
    <w:rsid w:val="00FA2C32"/>
    <w:rsid w:val="00FA31D3"/>
    <w:rsid w:val="00FA40AC"/>
    <w:rsid w:val="00FA4FAB"/>
    <w:rsid w:val="00FA6D38"/>
    <w:rsid w:val="00FB5DE7"/>
    <w:rsid w:val="00FB7410"/>
    <w:rsid w:val="00FB7F6D"/>
    <w:rsid w:val="00FC008E"/>
    <w:rsid w:val="00FC0780"/>
    <w:rsid w:val="00FC0D00"/>
    <w:rsid w:val="00FC211D"/>
    <w:rsid w:val="00FC519F"/>
    <w:rsid w:val="00FC5EBE"/>
    <w:rsid w:val="00FD0316"/>
    <w:rsid w:val="00FE0474"/>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aliases w:val="Ref,de nota al pie,註腳內容,Footnote symbol,Style 12,(NECG) Footnote Reference,Footnote,Footnotes refss,Appel note de bas de page,Footnote Reference + Superscript"/>
    <w:uiPriority w:val="99"/>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4134ED"/>
    <w:pPr>
      <w:numPr>
        <w:ilvl w:val="1"/>
      </w:numPr>
      <w:ind w:left="1701" w:hanging="993"/>
    </w:pPr>
  </w:style>
  <w:style w:type="paragraph" w:customStyle="1" w:styleId="LCORder0">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4134ED"/>
    <w:rPr>
      <w:rFonts w:ascii="Arial" w:eastAsia="Times New Roman" w:hAnsi="Arial" w:cs="Times New Roman"/>
      <w:sz w:val="24"/>
      <w:szCs w:val="20"/>
    </w:rPr>
  </w:style>
  <w:style w:type="character" w:customStyle="1" w:styleId="LCORderChar">
    <w:name w:val="LC ORder Char"/>
    <w:basedOn w:val="LC1Char"/>
    <w:link w:val="LCORder0"/>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styleId="Revision">
    <w:name w:val="Revision"/>
    <w:hidden/>
    <w:uiPriority w:val="99"/>
    <w:semiHidden/>
    <w:rsid w:val="00650965"/>
    <w:pPr>
      <w:spacing w:after="0" w:line="240" w:lineRule="auto"/>
    </w:pPr>
    <w:rPr>
      <w:rFonts w:eastAsia="Times New Roman" w:cs="Times New Roman"/>
    </w:rPr>
  </w:style>
  <w:style w:type="paragraph" w:customStyle="1" w:styleId="LCOrder">
    <w:name w:val="LC Order"/>
    <w:basedOn w:val="LC1"/>
    <w:link w:val="LCOrderChar0"/>
    <w:qFormat/>
    <w:rsid w:val="0035628C"/>
    <w:pPr>
      <w:numPr>
        <w:ilvl w:val="3"/>
      </w:numPr>
      <w:ind w:left="1418" w:hanging="709"/>
    </w:pPr>
    <w:rPr>
      <w:lang w:val="en-GB"/>
    </w:rPr>
  </w:style>
  <w:style w:type="character" w:customStyle="1" w:styleId="LCOrderChar0">
    <w:name w:val="LC Order Char"/>
    <w:basedOn w:val="LC1Char"/>
    <w:link w:val="LCOrder"/>
    <w:rsid w:val="0035628C"/>
    <w:rPr>
      <w:rFonts w:ascii="Arial" w:eastAsia="Times New Roman" w:hAnsi="Arial" w:cs="Times New Roman"/>
      <w:sz w:val="24"/>
      <w:szCs w:val="20"/>
      <w:lang w:val="en-GB"/>
    </w:rPr>
  </w:style>
  <w:style w:type="paragraph" w:customStyle="1" w:styleId="Quotation">
    <w:name w:val="Quotation"/>
    <w:basedOn w:val="Heading2"/>
    <w:link w:val="QuotationChar"/>
    <w:qFormat/>
    <w:rsid w:val="00D34792"/>
    <w:pPr>
      <w:keepNext w:val="0"/>
      <w:keepLines w:val="0"/>
      <w:widowControl w:val="0"/>
      <w:tabs>
        <w:tab w:val="num" w:pos="1440"/>
      </w:tabs>
      <w:spacing w:before="120" w:after="120" w:line="360" w:lineRule="auto"/>
      <w:ind w:left="1440" w:firstLine="2"/>
    </w:pPr>
    <w:rPr>
      <w:rFonts w:ascii="Arial" w:eastAsia="Times New Roman" w:hAnsi="Arial" w:cs="Times New Roman"/>
      <w:i/>
      <w:iCs/>
      <w:color w:val="auto"/>
      <w:sz w:val="24"/>
      <w:szCs w:val="20"/>
      <w:lang w:eastAsia="en-GB"/>
    </w:rPr>
  </w:style>
  <w:style w:type="character" w:customStyle="1" w:styleId="QuotationChar">
    <w:name w:val="Quotation Char"/>
    <w:basedOn w:val="DefaultParagraphFont"/>
    <w:link w:val="Quotation"/>
    <w:rsid w:val="00D34792"/>
    <w:rPr>
      <w:rFonts w:ascii="Arial" w:eastAsia="Times New Roman" w:hAnsi="Arial" w:cs="Times New Roman"/>
      <w:i/>
      <w:i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337">
      <w:bodyDiv w:val="1"/>
      <w:marLeft w:val="0"/>
      <w:marRight w:val="0"/>
      <w:marTop w:val="0"/>
      <w:marBottom w:val="0"/>
      <w:divBdr>
        <w:top w:val="none" w:sz="0" w:space="0" w:color="auto"/>
        <w:left w:val="none" w:sz="0" w:space="0" w:color="auto"/>
        <w:bottom w:val="none" w:sz="0" w:space="0" w:color="auto"/>
        <w:right w:val="none" w:sz="0" w:space="0" w:color="auto"/>
      </w:divBdr>
      <w:divsChild>
        <w:div w:id="802121477">
          <w:marLeft w:val="0"/>
          <w:marRight w:val="0"/>
          <w:marTop w:val="0"/>
          <w:marBottom w:val="0"/>
          <w:divBdr>
            <w:top w:val="none" w:sz="0" w:space="0" w:color="auto"/>
            <w:left w:val="none" w:sz="0" w:space="0" w:color="auto"/>
            <w:bottom w:val="none" w:sz="0" w:space="0" w:color="auto"/>
            <w:right w:val="none" w:sz="0" w:space="0" w:color="auto"/>
          </w:divBdr>
        </w:div>
        <w:div w:id="1191603118">
          <w:marLeft w:val="0"/>
          <w:marRight w:val="0"/>
          <w:marTop w:val="0"/>
          <w:marBottom w:val="0"/>
          <w:divBdr>
            <w:top w:val="none" w:sz="0" w:space="0" w:color="auto"/>
            <w:left w:val="none" w:sz="0" w:space="0" w:color="auto"/>
            <w:bottom w:val="none" w:sz="0" w:space="0" w:color="auto"/>
            <w:right w:val="none" w:sz="0" w:space="0" w:color="auto"/>
          </w:divBdr>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5008">
      <w:bodyDiv w:val="1"/>
      <w:marLeft w:val="0"/>
      <w:marRight w:val="0"/>
      <w:marTop w:val="0"/>
      <w:marBottom w:val="0"/>
      <w:divBdr>
        <w:top w:val="none" w:sz="0" w:space="0" w:color="auto"/>
        <w:left w:val="none" w:sz="0" w:space="0" w:color="auto"/>
        <w:bottom w:val="none" w:sz="0" w:space="0" w:color="auto"/>
        <w:right w:val="none" w:sz="0" w:space="0" w:color="auto"/>
      </w:divBdr>
      <w:divsChild>
        <w:div w:id="1975744751">
          <w:marLeft w:val="0"/>
          <w:marRight w:val="0"/>
          <w:marTop w:val="0"/>
          <w:marBottom w:val="0"/>
          <w:divBdr>
            <w:top w:val="none" w:sz="0" w:space="0" w:color="auto"/>
            <w:left w:val="none" w:sz="0" w:space="0" w:color="auto"/>
            <w:bottom w:val="none" w:sz="0" w:space="0" w:color="auto"/>
            <w:right w:val="none" w:sz="0" w:space="0" w:color="auto"/>
          </w:divBdr>
        </w:div>
        <w:div w:id="453450387">
          <w:marLeft w:val="0"/>
          <w:marRight w:val="0"/>
          <w:marTop w:val="0"/>
          <w:marBottom w:val="0"/>
          <w:divBdr>
            <w:top w:val="none" w:sz="0" w:space="0" w:color="auto"/>
            <w:left w:val="none" w:sz="0" w:space="0" w:color="auto"/>
            <w:bottom w:val="none" w:sz="0" w:space="0" w:color="auto"/>
            <w:right w:val="none" w:sz="0" w:space="0" w:color="auto"/>
          </w:divBdr>
        </w:div>
        <w:div w:id="356084387">
          <w:marLeft w:val="0"/>
          <w:marRight w:val="0"/>
          <w:marTop w:val="0"/>
          <w:marBottom w:val="0"/>
          <w:divBdr>
            <w:top w:val="none" w:sz="0" w:space="0" w:color="auto"/>
            <w:left w:val="none" w:sz="0" w:space="0" w:color="auto"/>
            <w:bottom w:val="none" w:sz="0" w:space="0" w:color="auto"/>
            <w:right w:val="none" w:sz="0" w:space="0" w:color="auto"/>
          </w:divBdr>
        </w:div>
      </w:divsChild>
    </w:div>
    <w:div w:id="1739741806">
      <w:bodyDiv w:val="1"/>
      <w:marLeft w:val="0"/>
      <w:marRight w:val="0"/>
      <w:marTop w:val="0"/>
      <w:marBottom w:val="0"/>
      <w:divBdr>
        <w:top w:val="none" w:sz="0" w:space="0" w:color="auto"/>
        <w:left w:val="none" w:sz="0" w:space="0" w:color="auto"/>
        <w:bottom w:val="none" w:sz="0" w:space="0" w:color="auto"/>
        <w:right w:val="none" w:sz="0" w:space="0" w:color="auto"/>
      </w:divBdr>
      <w:divsChild>
        <w:div w:id="2051875038">
          <w:marLeft w:val="0"/>
          <w:marRight w:val="0"/>
          <w:marTop w:val="0"/>
          <w:marBottom w:val="0"/>
          <w:divBdr>
            <w:top w:val="none" w:sz="0" w:space="0" w:color="auto"/>
            <w:left w:val="none" w:sz="0" w:space="0" w:color="auto"/>
            <w:bottom w:val="none" w:sz="0" w:space="0" w:color="auto"/>
            <w:right w:val="none" w:sz="0" w:space="0" w:color="auto"/>
          </w:divBdr>
        </w:div>
        <w:div w:id="1892308315">
          <w:marLeft w:val="0"/>
          <w:marRight w:val="0"/>
          <w:marTop w:val="0"/>
          <w:marBottom w:val="0"/>
          <w:divBdr>
            <w:top w:val="none" w:sz="0" w:space="0" w:color="auto"/>
            <w:left w:val="none" w:sz="0" w:space="0" w:color="auto"/>
            <w:bottom w:val="none" w:sz="0" w:space="0" w:color="auto"/>
            <w:right w:val="none" w:sz="0" w:space="0" w:color="auto"/>
          </w:divBdr>
        </w:div>
        <w:div w:id="609512844">
          <w:marLeft w:val="0"/>
          <w:marRight w:val="0"/>
          <w:marTop w:val="0"/>
          <w:marBottom w:val="0"/>
          <w:divBdr>
            <w:top w:val="none" w:sz="0" w:space="0" w:color="auto"/>
            <w:left w:val="none" w:sz="0" w:space="0" w:color="auto"/>
            <w:bottom w:val="none" w:sz="0" w:space="0" w:color="auto"/>
            <w:right w:val="none" w:sz="0" w:space="0" w:color="auto"/>
          </w:divBdr>
        </w:div>
        <w:div w:id="712581271">
          <w:marLeft w:val="0"/>
          <w:marRight w:val="0"/>
          <w:marTop w:val="0"/>
          <w:marBottom w:val="0"/>
          <w:divBdr>
            <w:top w:val="none" w:sz="0" w:space="0" w:color="auto"/>
            <w:left w:val="none" w:sz="0" w:space="0" w:color="auto"/>
            <w:bottom w:val="none" w:sz="0" w:space="0" w:color="auto"/>
            <w:right w:val="none" w:sz="0" w:space="0" w:color="auto"/>
          </w:divBdr>
        </w:div>
        <w:div w:id="1273515110">
          <w:marLeft w:val="0"/>
          <w:marRight w:val="0"/>
          <w:marTop w:val="0"/>
          <w:marBottom w:val="0"/>
          <w:divBdr>
            <w:top w:val="none" w:sz="0" w:space="0" w:color="auto"/>
            <w:left w:val="none" w:sz="0" w:space="0" w:color="auto"/>
            <w:bottom w:val="none" w:sz="0" w:space="0" w:color="auto"/>
            <w:right w:val="none" w:sz="0" w:space="0" w:color="auto"/>
          </w:divBdr>
        </w:div>
        <w:div w:id="61029790">
          <w:marLeft w:val="0"/>
          <w:marRight w:val="0"/>
          <w:marTop w:val="0"/>
          <w:marBottom w:val="0"/>
          <w:divBdr>
            <w:top w:val="none" w:sz="0" w:space="0" w:color="auto"/>
            <w:left w:val="none" w:sz="0" w:space="0" w:color="auto"/>
            <w:bottom w:val="none" w:sz="0" w:space="0" w:color="auto"/>
            <w:right w:val="none" w:sz="0" w:space="0" w:color="auto"/>
          </w:divBdr>
        </w:div>
        <w:div w:id="1628272030">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 w:id="21049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2023-05-25T10:54:00Z</dcterms:created>
  <dcterms:modified xsi:type="dcterms:W3CDTF">2023-05-25T10:54:00Z</dcterms:modified>
</cp:coreProperties>
</file>