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80B6" w14:textId="77777777" w:rsidR="00F36DDD" w:rsidRPr="00F36DDD" w:rsidRDefault="00F36DDD" w:rsidP="00F36DDD">
      <w:pPr>
        <w:spacing w:line="480" w:lineRule="auto"/>
        <w:jc w:val="center"/>
        <w:rPr>
          <w:rFonts w:ascii="Arial" w:hAnsi="Arial" w:cs="Arial"/>
          <w:b/>
        </w:rPr>
      </w:pPr>
      <w:r w:rsidRPr="00F36DDD">
        <w:rPr>
          <w:rFonts w:ascii="Arial" w:hAnsi="Arial" w:cs="Arial"/>
          <w:b/>
        </w:rPr>
        <w:t>REPUBLIC OF SOUTH AFRICA</w:t>
      </w:r>
    </w:p>
    <w:p w14:paraId="2E8BC9D8" w14:textId="77777777" w:rsidR="00F36DDD" w:rsidRPr="00F36DDD" w:rsidRDefault="00F36DDD" w:rsidP="00F36DDD">
      <w:pPr>
        <w:spacing w:line="480" w:lineRule="auto"/>
        <w:jc w:val="center"/>
        <w:rPr>
          <w:rFonts w:ascii="Arial" w:hAnsi="Arial" w:cs="Arial"/>
          <w:b/>
        </w:rPr>
      </w:pPr>
      <w:r w:rsidRPr="00F36DDD">
        <w:rPr>
          <w:rFonts w:ascii="Arial" w:hAnsi="Arial" w:cs="Arial"/>
          <w:noProof/>
          <w:lang w:val="en-US"/>
        </w:rPr>
        <w:drawing>
          <wp:inline distT="0" distB="0" distL="0" distR="0" wp14:anchorId="56A4FFD3" wp14:editId="12F73858">
            <wp:extent cx="908050" cy="908050"/>
            <wp:effectExtent l="0" t="0" r="635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43CB2388" w14:textId="77777777" w:rsidR="00F36DDD" w:rsidRPr="00F36DDD" w:rsidRDefault="00F36DDD" w:rsidP="00F36DDD">
      <w:pPr>
        <w:spacing w:line="480" w:lineRule="auto"/>
        <w:jc w:val="center"/>
        <w:rPr>
          <w:rFonts w:ascii="Arial" w:hAnsi="Arial" w:cs="Arial"/>
          <w:b/>
        </w:rPr>
      </w:pPr>
      <w:r w:rsidRPr="00F36DDD">
        <w:rPr>
          <w:rFonts w:ascii="Arial" w:hAnsi="Arial" w:cs="Arial"/>
          <w:b/>
        </w:rPr>
        <w:t>IN THE HIGH COURT OF SOUTH AFRICA</w:t>
      </w:r>
    </w:p>
    <w:p w14:paraId="631EFDDB" w14:textId="77777777" w:rsidR="00F36DDD" w:rsidRPr="00F36DDD" w:rsidRDefault="00F36DDD" w:rsidP="00F36DDD">
      <w:pPr>
        <w:spacing w:line="480" w:lineRule="auto"/>
        <w:jc w:val="center"/>
        <w:rPr>
          <w:rFonts w:ascii="Arial" w:hAnsi="Arial" w:cs="Arial"/>
          <w:b/>
        </w:rPr>
      </w:pPr>
      <w:r w:rsidRPr="00F36DDD">
        <w:rPr>
          <w:rFonts w:ascii="Arial" w:hAnsi="Arial" w:cs="Arial"/>
          <w:b/>
        </w:rPr>
        <w:t>GAUTENG LOCAL DIVISION, JOHANNESBURG</w:t>
      </w:r>
    </w:p>
    <w:p w14:paraId="36FDB884" w14:textId="77777777" w:rsidR="00F36DDD" w:rsidRPr="00F36DDD" w:rsidRDefault="00F36DDD" w:rsidP="00F36DDD">
      <w:pPr>
        <w:spacing w:line="480" w:lineRule="auto"/>
        <w:jc w:val="center"/>
        <w:rPr>
          <w:rFonts w:ascii="Arial" w:hAnsi="Arial" w:cs="Arial"/>
          <w:lang w:val="en-GB"/>
        </w:rPr>
      </w:pPr>
      <w:r w:rsidRPr="00F36DDD">
        <w:rPr>
          <w:rFonts w:ascii="Arial" w:hAnsi="Arial" w:cs="Arial"/>
          <w:noProof/>
          <w:lang w:val="en-US"/>
        </w:rPr>
        <mc:AlternateContent>
          <mc:Choice Requires="wps">
            <w:drawing>
              <wp:anchor distT="0" distB="0" distL="114300" distR="114300" simplePos="0" relativeHeight="251659264" behindDoc="0" locked="0" layoutInCell="1" allowOverlap="1" wp14:anchorId="313930A8" wp14:editId="7A0C68B5">
                <wp:simplePos x="0" y="0"/>
                <wp:positionH relativeFrom="margin">
                  <wp:align>left</wp:align>
                </wp:positionH>
                <wp:positionV relativeFrom="paragraph">
                  <wp:posOffset>265430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498DB874" w14:textId="77777777" w:rsidR="00F36DDD" w:rsidRPr="004120A8" w:rsidRDefault="00F36DDD" w:rsidP="00F36DDD">
                            <w:pPr>
                              <w:jc w:val="center"/>
                              <w:rPr>
                                <w:rFonts w:ascii="Century Gothic" w:hAnsi="Century Gothic"/>
                                <w:b/>
                                <w:sz w:val="2"/>
                                <w:szCs w:val="18"/>
                              </w:rPr>
                            </w:pPr>
                          </w:p>
                          <w:p w14:paraId="5CEA2776" w14:textId="36098CB2" w:rsidR="00F36DDD" w:rsidRPr="004120A8" w:rsidRDefault="009F7549" w:rsidP="009F7549">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F36DDD">
                              <w:rPr>
                                <w:rFonts w:ascii="Century Gothic" w:hAnsi="Century Gothic"/>
                                <w:sz w:val="18"/>
                                <w:szCs w:val="18"/>
                              </w:rPr>
                              <w:t xml:space="preserve">REPORTABLE: </w:t>
                            </w:r>
                            <w:r w:rsidR="00F36DDD" w:rsidRPr="004120A8">
                              <w:rPr>
                                <w:rFonts w:ascii="Century Gothic" w:hAnsi="Century Gothic"/>
                                <w:sz w:val="18"/>
                                <w:szCs w:val="18"/>
                              </w:rPr>
                              <w:t>NO</w:t>
                            </w:r>
                            <w:r w:rsidR="00F36DDD">
                              <w:rPr>
                                <w:rFonts w:ascii="Century Gothic" w:hAnsi="Century Gothic"/>
                                <w:sz w:val="18"/>
                                <w:szCs w:val="18"/>
                              </w:rPr>
                              <w:t xml:space="preserve"> / YES</w:t>
                            </w:r>
                          </w:p>
                          <w:p w14:paraId="1DF8B43C" w14:textId="2B1A966D" w:rsidR="00F36DDD" w:rsidRPr="004120A8" w:rsidRDefault="009F7549" w:rsidP="009F7549">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F36DDD" w:rsidRPr="004120A8">
                              <w:rPr>
                                <w:rFonts w:ascii="Century Gothic" w:hAnsi="Century Gothic"/>
                                <w:sz w:val="18"/>
                                <w:szCs w:val="18"/>
                              </w:rPr>
                              <w:t>O</w:t>
                            </w:r>
                            <w:r w:rsidR="00F36DDD">
                              <w:rPr>
                                <w:rFonts w:ascii="Century Gothic" w:hAnsi="Century Gothic"/>
                                <w:sz w:val="18"/>
                                <w:szCs w:val="18"/>
                              </w:rPr>
                              <w:t xml:space="preserve">F INTEREST TO OTHER JUDGES: </w:t>
                            </w:r>
                            <w:r w:rsidR="00F36DDD" w:rsidRPr="004120A8">
                              <w:rPr>
                                <w:rFonts w:ascii="Century Gothic" w:hAnsi="Century Gothic"/>
                                <w:sz w:val="18"/>
                                <w:szCs w:val="18"/>
                              </w:rPr>
                              <w:t>NO</w:t>
                            </w:r>
                            <w:r w:rsidR="00F36DDD">
                              <w:rPr>
                                <w:rFonts w:ascii="Century Gothic" w:hAnsi="Century Gothic"/>
                                <w:sz w:val="18"/>
                                <w:szCs w:val="18"/>
                              </w:rPr>
                              <w:t xml:space="preserve"> / YES</w:t>
                            </w:r>
                          </w:p>
                          <w:p w14:paraId="69271785" w14:textId="0D0C475E" w:rsidR="00F36DDD" w:rsidRDefault="009F7549" w:rsidP="009F7549">
                            <w:pPr>
                              <w:tabs>
                                <w:tab w:val="left" w:pos="900"/>
                              </w:tabs>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F36DDD" w:rsidRPr="004120A8">
                              <w:rPr>
                                <w:rFonts w:ascii="Century Gothic" w:hAnsi="Century Gothic"/>
                                <w:sz w:val="18"/>
                                <w:szCs w:val="18"/>
                              </w:rPr>
                              <w:t xml:space="preserve">REVISED. </w:t>
                            </w:r>
                          </w:p>
                          <w:p w14:paraId="7CF9A612" w14:textId="77777777" w:rsidR="00F36DDD" w:rsidRPr="004120A8" w:rsidRDefault="00F36DDD" w:rsidP="00F36DDD">
                            <w:pPr>
                              <w:ind w:left="900"/>
                              <w:rPr>
                                <w:rFonts w:ascii="Century Gothic" w:hAnsi="Century Gothic"/>
                                <w:sz w:val="18"/>
                                <w:szCs w:val="18"/>
                              </w:rPr>
                            </w:pPr>
                          </w:p>
                          <w:p w14:paraId="1BBE2C39" w14:textId="77777777" w:rsidR="00F36DDD" w:rsidRPr="004120A8" w:rsidRDefault="00F36DDD" w:rsidP="00F36DDD">
                            <w:pPr>
                              <w:rPr>
                                <w:rFonts w:ascii="Century Gothic" w:hAnsi="Century Gothic"/>
                                <w:b/>
                                <w:sz w:val="18"/>
                                <w:szCs w:val="18"/>
                              </w:rPr>
                            </w:pPr>
                          </w:p>
                          <w:p w14:paraId="69B3578D" w14:textId="77777777" w:rsidR="00F36DDD" w:rsidRPr="004120A8" w:rsidRDefault="00F36DDD" w:rsidP="00F36DDD">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2032BC0D" w14:textId="77777777" w:rsidR="00F36DDD" w:rsidRPr="004120A8" w:rsidRDefault="00F36DDD" w:rsidP="00F36DDD">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56513EA" w14:textId="77777777" w:rsidR="00F36DDD" w:rsidRPr="004120A8" w:rsidRDefault="00F36DDD" w:rsidP="00F36DDD">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930A8" id="_x0000_t202" coordsize="21600,21600" o:spt="202" path="m,l,21600r21600,l21600,xe">
                <v:stroke joinstyle="miter"/>
                <v:path gradientshapeok="t" o:connecttype="rect"/>
              </v:shapetype>
              <v:shape id="Text Box 9" o:spid="_x0000_s1026" type="#_x0000_t202" style="position:absolute;left:0;text-align:left;margin-left:0;margin-top:20.9pt;width:261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">
                <v:textbox>
                  <w:txbxContent>
                    <w:p w14:paraId="498DB874" w14:textId="77777777" w:rsidR="00F36DDD" w:rsidRPr="004120A8" w:rsidRDefault="00F36DDD" w:rsidP="00F36DDD">
                      <w:pPr>
                        <w:jc w:val="center"/>
                        <w:rPr>
                          <w:rFonts w:ascii="Century Gothic" w:hAnsi="Century Gothic"/>
                          <w:b/>
                          <w:sz w:val="2"/>
                          <w:szCs w:val="18"/>
                        </w:rPr>
                      </w:pPr>
                    </w:p>
                    <w:p w14:paraId="5CEA2776" w14:textId="36098CB2" w:rsidR="00F36DDD" w:rsidRPr="004120A8" w:rsidRDefault="009F7549" w:rsidP="009F7549">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F36DDD">
                        <w:rPr>
                          <w:rFonts w:ascii="Century Gothic" w:hAnsi="Century Gothic"/>
                          <w:sz w:val="18"/>
                          <w:szCs w:val="18"/>
                        </w:rPr>
                        <w:t xml:space="preserve">REPORTABLE: </w:t>
                      </w:r>
                      <w:r w:rsidR="00F36DDD" w:rsidRPr="004120A8">
                        <w:rPr>
                          <w:rFonts w:ascii="Century Gothic" w:hAnsi="Century Gothic"/>
                          <w:sz w:val="18"/>
                          <w:szCs w:val="18"/>
                        </w:rPr>
                        <w:t>NO</w:t>
                      </w:r>
                      <w:r w:rsidR="00F36DDD">
                        <w:rPr>
                          <w:rFonts w:ascii="Century Gothic" w:hAnsi="Century Gothic"/>
                          <w:sz w:val="18"/>
                          <w:szCs w:val="18"/>
                        </w:rPr>
                        <w:t xml:space="preserve"> / YES</w:t>
                      </w:r>
                    </w:p>
                    <w:p w14:paraId="1DF8B43C" w14:textId="2B1A966D" w:rsidR="00F36DDD" w:rsidRPr="004120A8" w:rsidRDefault="009F7549" w:rsidP="009F7549">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F36DDD" w:rsidRPr="004120A8">
                        <w:rPr>
                          <w:rFonts w:ascii="Century Gothic" w:hAnsi="Century Gothic"/>
                          <w:sz w:val="18"/>
                          <w:szCs w:val="18"/>
                        </w:rPr>
                        <w:t>O</w:t>
                      </w:r>
                      <w:r w:rsidR="00F36DDD">
                        <w:rPr>
                          <w:rFonts w:ascii="Century Gothic" w:hAnsi="Century Gothic"/>
                          <w:sz w:val="18"/>
                          <w:szCs w:val="18"/>
                        </w:rPr>
                        <w:t xml:space="preserve">F INTEREST TO OTHER JUDGES: </w:t>
                      </w:r>
                      <w:r w:rsidR="00F36DDD" w:rsidRPr="004120A8">
                        <w:rPr>
                          <w:rFonts w:ascii="Century Gothic" w:hAnsi="Century Gothic"/>
                          <w:sz w:val="18"/>
                          <w:szCs w:val="18"/>
                        </w:rPr>
                        <w:t>NO</w:t>
                      </w:r>
                      <w:r w:rsidR="00F36DDD">
                        <w:rPr>
                          <w:rFonts w:ascii="Century Gothic" w:hAnsi="Century Gothic"/>
                          <w:sz w:val="18"/>
                          <w:szCs w:val="18"/>
                        </w:rPr>
                        <w:t xml:space="preserve"> / YES</w:t>
                      </w:r>
                    </w:p>
                    <w:p w14:paraId="69271785" w14:textId="0D0C475E" w:rsidR="00F36DDD" w:rsidRDefault="009F7549" w:rsidP="009F7549">
                      <w:pPr>
                        <w:tabs>
                          <w:tab w:val="left" w:pos="900"/>
                        </w:tabs>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F36DDD" w:rsidRPr="004120A8">
                        <w:rPr>
                          <w:rFonts w:ascii="Century Gothic" w:hAnsi="Century Gothic"/>
                          <w:sz w:val="18"/>
                          <w:szCs w:val="18"/>
                        </w:rPr>
                        <w:t xml:space="preserve">REVISED. </w:t>
                      </w:r>
                    </w:p>
                    <w:p w14:paraId="7CF9A612" w14:textId="77777777" w:rsidR="00F36DDD" w:rsidRPr="004120A8" w:rsidRDefault="00F36DDD" w:rsidP="00F36DDD">
                      <w:pPr>
                        <w:ind w:left="900"/>
                        <w:rPr>
                          <w:rFonts w:ascii="Century Gothic" w:hAnsi="Century Gothic"/>
                          <w:sz w:val="18"/>
                          <w:szCs w:val="18"/>
                        </w:rPr>
                      </w:pPr>
                    </w:p>
                    <w:p w14:paraId="1BBE2C39" w14:textId="77777777" w:rsidR="00F36DDD" w:rsidRPr="004120A8" w:rsidRDefault="00F36DDD" w:rsidP="00F36DDD">
                      <w:pPr>
                        <w:rPr>
                          <w:rFonts w:ascii="Century Gothic" w:hAnsi="Century Gothic"/>
                          <w:b/>
                          <w:sz w:val="18"/>
                          <w:szCs w:val="18"/>
                        </w:rPr>
                      </w:pPr>
                    </w:p>
                    <w:p w14:paraId="69B3578D" w14:textId="77777777" w:rsidR="00F36DDD" w:rsidRPr="004120A8" w:rsidRDefault="00F36DDD" w:rsidP="00F36DDD">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2032BC0D" w14:textId="77777777" w:rsidR="00F36DDD" w:rsidRPr="004120A8" w:rsidRDefault="00F36DDD" w:rsidP="00F36DDD">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56513EA" w14:textId="77777777" w:rsidR="00F36DDD" w:rsidRPr="004120A8" w:rsidRDefault="00F36DDD" w:rsidP="00F36DDD">
                      <w:pPr>
                        <w:rPr>
                          <w:rFonts w:ascii="Century Gothic" w:hAnsi="Century Gothic"/>
                          <w:b/>
                          <w:sz w:val="2"/>
                          <w:szCs w:val="18"/>
                        </w:rPr>
                      </w:pPr>
                    </w:p>
                  </w:txbxContent>
                </v:textbox>
                <w10:wrap anchorx="margin"/>
              </v:shape>
            </w:pict>
          </mc:Fallback>
        </mc:AlternateContent>
      </w:r>
    </w:p>
    <w:p w14:paraId="3E9C6064" w14:textId="77777777" w:rsidR="00F36DDD" w:rsidRPr="00F36DDD" w:rsidRDefault="00F36DDD" w:rsidP="00F36DDD">
      <w:pPr>
        <w:spacing w:line="480" w:lineRule="auto"/>
        <w:jc w:val="center"/>
        <w:rPr>
          <w:rFonts w:ascii="Arial" w:hAnsi="Arial" w:cs="Arial"/>
          <w:lang w:val="en-GB"/>
        </w:rPr>
      </w:pPr>
    </w:p>
    <w:p w14:paraId="102ABE43" w14:textId="77777777" w:rsidR="00F36DDD" w:rsidRPr="00F36DDD" w:rsidRDefault="00F36DDD" w:rsidP="00F36DDD">
      <w:pPr>
        <w:spacing w:line="480" w:lineRule="auto"/>
        <w:jc w:val="center"/>
        <w:rPr>
          <w:rFonts w:ascii="Arial" w:hAnsi="Arial" w:cs="Arial"/>
          <w:u w:val="single"/>
          <w:lang w:val="en-GB"/>
        </w:rPr>
      </w:pPr>
    </w:p>
    <w:p w14:paraId="52D1D353" w14:textId="77777777" w:rsidR="00F36DDD" w:rsidRPr="00F36DDD" w:rsidRDefault="00F36DDD" w:rsidP="00F36DDD">
      <w:pPr>
        <w:spacing w:line="480" w:lineRule="auto"/>
        <w:jc w:val="center"/>
        <w:rPr>
          <w:rFonts w:ascii="Arial" w:hAnsi="Arial" w:cs="Arial"/>
          <w:lang w:val="en-GB"/>
        </w:rPr>
      </w:pPr>
    </w:p>
    <w:p w14:paraId="184513F7" w14:textId="77777777" w:rsidR="00F36DDD" w:rsidRDefault="00F36DDD" w:rsidP="00F36DDD">
      <w:pPr>
        <w:spacing w:line="480" w:lineRule="auto"/>
        <w:jc w:val="center"/>
        <w:rPr>
          <w:rFonts w:ascii="Arial" w:hAnsi="Arial" w:cs="Arial"/>
          <w:lang w:val="en-GB"/>
        </w:rPr>
      </w:pPr>
    </w:p>
    <w:p w14:paraId="33849274" w14:textId="4D5A3236" w:rsidR="00E96279" w:rsidRPr="00E96279" w:rsidRDefault="00F36DDD" w:rsidP="00E96279">
      <w:pPr>
        <w:spacing w:line="480" w:lineRule="auto"/>
        <w:jc w:val="right"/>
        <w:rPr>
          <w:rFonts w:ascii="Arial" w:hAnsi="Arial" w:cs="Arial"/>
          <w:lang w:val="en-GB"/>
        </w:rPr>
      </w:pPr>
      <w:r>
        <w:rPr>
          <w:rFonts w:ascii="Arial" w:hAnsi="Arial" w:cs="Arial"/>
          <w:lang w:val="en-GB"/>
        </w:rPr>
        <w:t>CASE NO</w:t>
      </w:r>
      <w:r w:rsidR="00E96279" w:rsidRPr="00E96279">
        <w:rPr>
          <w:rFonts w:ascii="Arial" w:hAnsi="Arial" w:cs="Arial"/>
          <w:lang w:val="en-GB"/>
        </w:rPr>
        <w:t>: 20/27162</w:t>
      </w:r>
    </w:p>
    <w:p w14:paraId="7FF34680" w14:textId="77777777" w:rsidR="00E96279" w:rsidRPr="00E96279" w:rsidRDefault="00E96279" w:rsidP="00E96279">
      <w:pPr>
        <w:spacing w:line="480" w:lineRule="auto"/>
        <w:jc w:val="both"/>
        <w:rPr>
          <w:rFonts w:ascii="Arial" w:hAnsi="Arial" w:cs="Arial"/>
          <w:lang w:val="en-GB"/>
        </w:rPr>
      </w:pPr>
      <w:r w:rsidRPr="00E96279">
        <w:rPr>
          <w:rFonts w:ascii="Arial" w:hAnsi="Arial" w:cs="Arial"/>
          <w:lang w:val="en-GB"/>
        </w:rPr>
        <w:t>In the matter between:</w:t>
      </w:r>
    </w:p>
    <w:p w14:paraId="32E49EF4" w14:textId="5FDC4D2E" w:rsidR="00E96279" w:rsidRPr="00E96279" w:rsidRDefault="00E96279" w:rsidP="00E96279">
      <w:pPr>
        <w:spacing w:line="480" w:lineRule="auto"/>
        <w:jc w:val="both"/>
        <w:rPr>
          <w:rFonts w:ascii="Arial" w:hAnsi="Arial" w:cs="Arial"/>
          <w:lang w:val="en-GB"/>
        </w:rPr>
      </w:pPr>
      <w:r w:rsidRPr="00E96279">
        <w:rPr>
          <w:rFonts w:ascii="Arial" w:hAnsi="Arial" w:cs="Arial"/>
          <w:lang w:val="en-GB"/>
        </w:rPr>
        <w:t xml:space="preserve">TOOTHROCK INVESTMENTS CC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r w:rsidRPr="00E96279">
        <w:rPr>
          <w:rFonts w:ascii="Arial" w:hAnsi="Arial" w:cs="Arial"/>
          <w:lang w:val="en-GB"/>
        </w:rPr>
        <w:t>Applicant</w:t>
      </w:r>
    </w:p>
    <w:p w14:paraId="07B2B343" w14:textId="77777777" w:rsidR="00E96279" w:rsidRPr="00E96279" w:rsidRDefault="00E96279" w:rsidP="00E96279">
      <w:pPr>
        <w:spacing w:line="480" w:lineRule="auto"/>
        <w:jc w:val="both"/>
        <w:rPr>
          <w:rFonts w:ascii="Arial" w:hAnsi="Arial" w:cs="Arial"/>
          <w:lang w:val="en-GB"/>
        </w:rPr>
      </w:pPr>
      <w:r w:rsidRPr="00E96279">
        <w:rPr>
          <w:rFonts w:ascii="Arial" w:hAnsi="Arial" w:cs="Arial"/>
          <w:lang w:val="en-GB"/>
        </w:rPr>
        <w:t>and</w:t>
      </w:r>
    </w:p>
    <w:p w14:paraId="42AA3700" w14:textId="32A2D438" w:rsidR="00E96279" w:rsidRPr="00E96279" w:rsidRDefault="00E96279" w:rsidP="00E96279">
      <w:pPr>
        <w:spacing w:line="480" w:lineRule="auto"/>
        <w:jc w:val="both"/>
        <w:rPr>
          <w:rFonts w:ascii="Arial" w:hAnsi="Arial" w:cs="Arial"/>
          <w:lang w:val="en-GB"/>
        </w:rPr>
      </w:pPr>
      <w:r w:rsidRPr="00E96279">
        <w:rPr>
          <w:rFonts w:ascii="Arial" w:hAnsi="Arial" w:cs="Arial"/>
          <w:lang w:val="en-GB"/>
        </w:rPr>
        <w:t>DZOTHE PROPERTY INVESTMENTS</w:t>
      </w:r>
      <w:r w:rsidR="00F36DDD">
        <w:rPr>
          <w:rFonts w:ascii="Arial" w:hAnsi="Arial" w:cs="Arial"/>
          <w:lang w:val="en-GB"/>
        </w:rPr>
        <w:t xml:space="preserve"> (PTY) LTD</w:t>
      </w:r>
      <w:r>
        <w:rPr>
          <w:rFonts w:ascii="Arial" w:hAnsi="Arial" w:cs="Arial"/>
          <w:lang w:val="en-GB"/>
        </w:rPr>
        <w:tab/>
      </w:r>
      <w:r>
        <w:rPr>
          <w:rFonts w:ascii="Arial" w:hAnsi="Arial" w:cs="Arial"/>
          <w:lang w:val="en-GB"/>
        </w:rPr>
        <w:tab/>
      </w:r>
      <w:r>
        <w:rPr>
          <w:rFonts w:ascii="Arial" w:hAnsi="Arial" w:cs="Arial"/>
          <w:lang w:val="en-GB"/>
        </w:rPr>
        <w:tab/>
      </w:r>
      <w:r w:rsidRPr="00E96279">
        <w:rPr>
          <w:rFonts w:ascii="Arial" w:hAnsi="Arial" w:cs="Arial"/>
          <w:lang w:val="en-GB"/>
        </w:rPr>
        <w:t>First Respondent</w:t>
      </w:r>
    </w:p>
    <w:p w14:paraId="466A6AFC" w14:textId="761BE62C" w:rsidR="00F36DDD" w:rsidRDefault="00E96279" w:rsidP="00F36DDD">
      <w:pPr>
        <w:spacing w:line="360" w:lineRule="auto"/>
        <w:jc w:val="both"/>
        <w:rPr>
          <w:rFonts w:ascii="Arial" w:hAnsi="Arial" w:cs="Arial"/>
          <w:lang w:val="en-GB"/>
        </w:rPr>
      </w:pPr>
      <w:r w:rsidRPr="00E96279">
        <w:rPr>
          <w:rFonts w:ascii="Arial" w:hAnsi="Arial" w:cs="Arial"/>
          <w:lang w:val="en-GB"/>
        </w:rPr>
        <w:t>SILVER ANGEL INVESTMENTS (</w:t>
      </w:r>
      <w:r w:rsidR="00F36DDD">
        <w:rPr>
          <w:rFonts w:ascii="Arial" w:hAnsi="Arial" w:cs="Arial"/>
          <w:lang w:val="en-GB"/>
        </w:rPr>
        <w:t>PTY</w:t>
      </w:r>
      <w:r w:rsidRPr="00E96279">
        <w:rPr>
          <w:rFonts w:ascii="Arial" w:hAnsi="Arial" w:cs="Arial"/>
          <w:lang w:val="en-GB"/>
        </w:rPr>
        <w:t>)</w:t>
      </w:r>
      <w:r w:rsidR="00F36DDD">
        <w:rPr>
          <w:rFonts w:ascii="Arial" w:hAnsi="Arial" w:cs="Arial"/>
          <w:lang w:val="en-GB"/>
        </w:rPr>
        <w:t xml:space="preserve"> LTD</w:t>
      </w:r>
      <w:r w:rsidR="00F36DDD">
        <w:rPr>
          <w:rFonts w:ascii="Arial" w:hAnsi="Arial" w:cs="Arial"/>
          <w:lang w:val="en-GB"/>
        </w:rPr>
        <w:tab/>
      </w:r>
      <w:r w:rsidR="00F36DDD">
        <w:rPr>
          <w:rFonts w:ascii="Arial" w:hAnsi="Arial" w:cs="Arial"/>
          <w:lang w:val="en-GB"/>
        </w:rPr>
        <w:tab/>
      </w:r>
      <w:r w:rsidR="00F36DDD">
        <w:rPr>
          <w:rFonts w:ascii="Arial" w:hAnsi="Arial" w:cs="Arial"/>
          <w:lang w:val="en-GB"/>
        </w:rPr>
        <w:tab/>
        <w:t xml:space="preserve">     Second Respondent</w:t>
      </w:r>
    </w:p>
    <w:p w14:paraId="42B46F98" w14:textId="77777777" w:rsidR="00F36DDD" w:rsidRDefault="00F36DDD" w:rsidP="00F36DDD">
      <w:pPr>
        <w:spacing w:line="360" w:lineRule="auto"/>
        <w:jc w:val="both"/>
        <w:rPr>
          <w:rFonts w:ascii="Arial" w:hAnsi="Arial" w:cs="Arial"/>
          <w:lang w:val="en-GB"/>
        </w:rPr>
      </w:pPr>
    </w:p>
    <w:p w14:paraId="5C79B64C" w14:textId="0AEAF93B" w:rsidR="00F36DDD" w:rsidRPr="00F36DDD" w:rsidRDefault="00F36DDD" w:rsidP="00F36DDD">
      <w:pPr>
        <w:spacing w:line="360" w:lineRule="auto"/>
        <w:jc w:val="both"/>
        <w:rPr>
          <w:rFonts w:ascii="Arial" w:hAnsi="Arial" w:cs="Arial"/>
          <w:lang w:val="en-GB"/>
        </w:rPr>
      </w:pPr>
      <w:r w:rsidRPr="00F36DDD">
        <w:rPr>
          <w:rFonts w:ascii="Arial" w:hAnsi="Arial" w:cs="Arial"/>
          <w:lang w:val="en-GB"/>
        </w:rPr>
        <w:t>Neutral Citation:</w:t>
      </w:r>
      <w:r>
        <w:rPr>
          <w:rFonts w:ascii="Arial" w:hAnsi="Arial" w:cs="Arial"/>
          <w:lang w:val="en-GB"/>
        </w:rPr>
        <w:t xml:space="preserve"> </w:t>
      </w:r>
      <w:r w:rsidRPr="00F36DDD">
        <w:rPr>
          <w:rFonts w:ascii="Arial" w:hAnsi="Arial" w:cs="Arial"/>
          <w:i/>
          <w:lang w:val="en-GB"/>
        </w:rPr>
        <w:t>T</w:t>
      </w:r>
      <w:r w:rsidR="00B428C7">
        <w:rPr>
          <w:rFonts w:ascii="Arial" w:hAnsi="Arial" w:cs="Arial"/>
          <w:i/>
          <w:lang w:val="en-GB"/>
        </w:rPr>
        <w:t xml:space="preserve">oothrock Investments CC V Dzothe Property Investments PTY LTD and another </w:t>
      </w:r>
      <w:r>
        <w:rPr>
          <w:rFonts w:ascii="Arial" w:hAnsi="Arial" w:cs="Arial"/>
          <w:lang w:val="en-GB"/>
        </w:rPr>
        <w:t xml:space="preserve">(Case Number: </w:t>
      </w:r>
      <w:r w:rsidRPr="00F36DDD">
        <w:rPr>
          <w:rFonts w:ascii="Arial" w:hAnsi="Arial" w:cs="Arial"/>
          <w:lang w:val="en-GB"/>
        </w:rPr>
        <w:t>2020/27162</w:t>
      </w:r>
      <w:r>
        <w:rPr>
          <w:rFonts w:ascii="Arial" w:hAnsi="Arial" w:cs="Arial"/>
          <w:lang w:val="en-GB"/>
        </w:rPr>
        <w:t>) [2023] ZAGPJHC 562 (25</w:t>
      </w:r>
      <w:r w:rsidRPr="00F36DDD">
        <w:rPr>
          <w:rFonts w:ascii="Arial" w:hAnsi="Arial" w:cs="Arial"/>
          <w:lang w:val="en-GB"/>
        </w:rPr>
        <w:t xml:space="preserve"> March 2023)</w:t>
      </w:r>
    </w:p>
    <w:p w14:paraId="44536916" w14:textId="77777777" w:rsidR="00F36DDD" w:rsidRPr="00F36DDD" w:rsidRDefault="003F1073" w:rsidP="00F36DDD">
      <w:pPr>
        <w:spacing w:line="360" w:lineRule="auto"/>
        <w:jc w:val="both"/>
        <w:rPr>
          <w:rFonts w:ascii="Arial" w:hAnsi="Arial" w:cs="Arial"/>
          <w:b/>
          <w:lang w:val="en-GB"/>
        </w:rPr>
      </w:pPr>
      <w:r>
        <w:rPr>
          <w:rFonts w:ascii="Arial" w:hAnsi="Arial" w:cs="Arial"/>
          <w:b/>
          <w:lang w:val="en-GB"/>
        </w:rPr>
        <w:pict w14:anchorId="2A455CB2">
          <v:rect id="_x0000_i1025" style="width:0;height:1.5pt" o:hralign="center" o:hrstd="t" o:hr="t" fillcolor="#a0a0a0" stroked="f"/>
        </w:pict>
      </w:r>
    </w:p>
    <w:p w14:paraId="4EF344E9" w14:textId="77777777" w:rsidR="00F36DDD" w:rsidRPr="00F36DDD" w:rsidRDefault="00F36DDD" w:rsidP="00F36DDD">
      <w:pPr>
        <w:spacing w:line="360" w:lineRule="auto"/>
        <w:jc w:val="center"/>
        <w:rPr>
          <w:rFonts w:ascii="Arial" w:hAnsi="Arial" w:cs="Arial"/>
          <w:b/>
          <w:lang w:val="en-GB"/>
        </w:rPr>
      </w:pPr>
      <w:r w:rsidRPr="00F36DDD">
        <w:rPr>
          <w:rFonts w:ascii="Arial" w:hAnsi="Arial" w:cs="Arial"/>
          <w:b/>
          <w:lang w:val="en-GB"/>
        </w:rPr>
        <w:t>JUDGMENT</w:t>
      </w:r>
    </w:p>
    <w:p w14:paraId="65A78944" w14:textId="77777777" w:rsidR="00F36DDD" w:rsidRPr="00F36DDD" w:rsidRDefault="003F1073" w:rsidP="00F36DDD">
      <w:pPr>
        <w:spacing w:line="360" w:lineRule="auto"/>
        <w:jc w:val="both"/>
        <w:rPr>
          <w:rFonts w:ascii="Arial" w:hAnsi="Arial" w:cs="Arial"/>
          <w:lang w:val="en-GB"/>
        </w:rPr>
      </w:pPr>
      <w:r>
        <w:rPr>
          <w:rFonts w:ascii="Arial" w:hAnsi="Arial" w:cs="Arial"/>
          <w:b/>
          <w:lang w:val="en-GB"/>
        </w:rPr>
        <w:pict w14:anchorId="4201DCA0">
          <v:rect id="_x0000_i1026" style="width:0;height:1.5pt" o:hralign="center" o:hrstd="t" o:hr="t" fillcolor="#a0a0a0" stroked="f"/>
        </w:pict>
      </w:r>
    </w:p>
    <w:p w14:paraId="186659BF" w14:textId="722CA93F" w:rsidR="00F36DDD" w:rsidRDefault="00F36DDD" w:rsidP="00F36DDD">
      <w:pPr>
        <w:spacing w:line="360" w:lineRule="auto"/>
        <w:jc w:val="both"/>
        <w:rPr>
          <w:rFonts w:ascii="Arial" w:hAnsi="Arial" w:cs="Arial"/>
          <w:b/>
          <w:lang w:val="en-GB"/>
        </w:rPr>
      </w:pPr>
      <w:r w:rsidRPr="00F36DDD">
        <w:rPr>
          <w:rFonts w:ascii="Arial" w:hAnsi="Arial" w:cs="Arial"/>
          <w:b/>
          <w:lang w:val="en-GB"/>
        </w:rPr>
        <w:t>THOMPSON AJ</w:t>
      </w:r>
    </w:p>
    <w:p w14:paraId="3665DDA8" w14:textId="637D1642" w:rsidR="00B428C7" w:rsidRDefault="00B428C7" w:rsidP="00F36DDD">
      <w:pPr>
        <w:spacing w:line="360" w:lineRule="auto"/>
        <w:jc w:val="both"/>
        <w:rPr>
          <w:rFonts w:ascii="Arial" w:hAnsi="Arial" w:cs="Arial"/>
          <w:b/>
          <w:lang w:val="en-GB"/>
        </w:rPr>
      </w:pPr>
    </w:p>
    <w:p w14:paraId="50CBBC90" w14:textId="0D45983E" w:rsidR="00B428C7" w:rsidRDefault="00B428C7" w:rsidP="00F36DDD">
      <w:pPr>
        <w:spacing w:line="360" w:lineRule="auto"/>
        <w:jc w:val="both"/>
        <w:rPr>
          <w:rFonts w:ascii="Arial" w:hAnsi="Arial" w:cs="Arial"/>
          <w:b/>
          <w:lang w:val="en-GB"/>
        </w:rPr>
      </w:pPr>
    </w:p>
    <w:p w14:paraId="41EE2F68" w14:textId="77C12A2B" w:rsidR="00B428C7" w:rsidRDefault="00B428C7" w:rsidP="00F36DDD">
      <w:pPr>
        <w:spacing w:line="360" w:lineRule="auto"/>
        <w:jc w:val="both"/>
        <w:rPr>
          <w:rFonts w:ascii="Arial" w:hAnsi="Arial" w:cs="Arial"/>
          <w:b/>
          <w:lang w:val="en-GB"/>
        </w:rPr>
      </w:pPr>
    </w:p>
    <w:p w14:paraId="170CC615" w14:textId="6B59FD86" w:rsidR="00E96279" w:rsidRPr="00E96279" w:rsidRDefault="00F36DDD" w:rsidP="00F36DDD">
      <w:pPr>
        <w:spacing w:line="360" w:lineRule="auto"/>
        <w:jc w:val="both"/>
        <w:rPr>
          <w:rFonts w:ascii="Arial" w:hAnsi="Arial" w:cs="Arial"/>
          <w:lang w:val="en-GB"/>
        </w:rPr>
      </w:pPr>
      <w:r>
        <w:rPr>
          <w:rFonts w:ascii="Arial" w:hAnsi="Arial" w:cs="Arial"/>
          <w:lang w:val="en-GB"/>
        </w:rPr>
        <w:tab/>
      </w:r>
    </w:p>
    <w:p w14:paraId="585B1424" w14:textId="7166BA76" w:rsidR="00C632F1" w:rsidRPr="009F7549" w:rsidRDefault="009F7549" w:rsidP="009F7549">
      <w:pPr>
        <w:spacing w:line="480" w:lineRule="auto"/>
        <w:ind w:left="851" w:hanging="709"/>
        <w:jc w:val="both"/>
        <w:rPr>
          <w:rFonts w:ascii="Arial" w:hAnsi="Arial" w:cs="Arial"/>
          <w:lang w:val="en-GB"/>
        </w:rPr>
      </w:pPr>
      <w:r w:rsidRPr="00E96279">
        <w:rPr>
          <w:rFonts w:ascii="Arial" w:hAnsi="Arial" w:cs="Arial"/>
          <w:lang w:val="en-GB"/>
        </w:rPr>
        <w:lastRenderedPageBreak/>
        <w:t>[1</w:t>
      </w:r>
      <w:bookmarkStart w:id="0" w:name="_GoBack"/>
      <w:bookmarkEnd w:id="0"/>
      <w:r w:rsidRPr="00E96279">
        <w:rPr>
          <w:rFonts w:ascii="Arial" w:hAnsi="Arial" w:cs="Arial"/>
          <w:lang w:val="en-GB"/>
        </w:rPr>
        <w:t>]</w:t>
      </w:r>
      <w:r w:rsidRPr="00E96279">
        <w:rPr>
          <w:rFonts w:ascii="Arial" w:hAnsi="Arial" w:cs="Arial"/>
          <w:lang w:val="en-GB"/>
        </w:rPr>
        <w:tab/>
      </w:r>
      <w:r w:rsidR="00210A11" w:rsidRPr="009F7549">
        <w:rPr>
          <w:rFonts w:ascii="Arial" w:hAnsi="Arial" w:cs="Arial"/>
          <w:lang w:val="en-GB"/>
        </w:rPr>
        <w:t>The applicant’s case is squarely based on an out-and-out cession whereby the first respondent, as cedent, ceded all of its rights, title, interest and claims in and to all of the issued shares held by it in respect of the second respondent.  A brief background is necessary.</w:t>
      </w:r>
    </w:p>
    <w:p w14:paraId="3ED71FF0" w14:textId="14C7C819" w:rsidR="00210A11" w:rsidRPr="00443215" w:rsidRDefault="00210A11" w:rsidP="00487221">
      <w:pPr>
        <w:pStyle w:val="ListParagraph"/>
        <w:spacing w:line="480" w:lineRule="auto"/>
        <w:ind w:left="851"/>
        <w:jc w:val="both"/>
        <w:rPr>
          <w:rFonts w:ascii="Arial" w:hAnsi="Arial" w:cs="Arial"/>
          <w:lang w:val="en-GB"/>
        </w:rPr>
      </w:pPr>
    </w:p>
    <w:p w14:paraId="66DC0659" w14:textId="2C1F1B67" w:rsidR="00D04A54"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[2]</w:t>
      </w:r>
      <w:r w:rsidRPr="00443215">
        <w:rPr>
          <w:rFonts w:ascii="Arial" w:hAnsi="Arial" w:cs="Arial"/>
          <w:lang w:val="en-GB"/>
        </w:rPr>
        <w:tab/>
      </w:r>
      <w:r w:rsidR="00210A11" w:rsidRPr="009F7549">
        <w:rPr>
          <w:rFonts w:ascii="Arial" w:hAnsi="Arial" w:cs="Arial"/>
          <w:lang w:val="en-GB"/>
        </w:rPr>
        <w:t>The applicant, duly represented by Mr Jasper Smit (“Smit”), entered into a loan agreement (“the loan”) with Dzothe Invesments (Pty) Ltd (“DI”)</w:t>
      </w:r>
      <w:r w:rsidR="00D04A54" w:rsidRPr="009F7549">
        <w:rPr>
          <w:rFonts w:ascii="Arial" w:hAnsi="Arial" w:cs="Arial"/>
          <w:lang w:val="en-GB"/>
        </w:rPr>
        <w:t>, duly represented by Mr Paul Marais (“Marais”)</w:t>
      </w:r>
      <w:r w:rsidR="00210A11" w:rsidRPr="009F7549">
        <w:rPr>
          <w:rFonts w:ascii="Arial" w:hAnsi="Arial" w:cs="Arial"/>
          <w:lang w:val="en-GB"/>
        </w:rPr>
        <w:t xml:space="preserve">, whereby the applicant agreed to lend and advance to DI the sum of R500 000,00.  The loan was entered into on or about 2 June 2016 and was repayable, with a short turnaround time, by </w:t>
      </w:r>
      <w:r w:rsidR="00D04A54" w:rsidRPr="009F7549">
        <w:rPr>
          <w:rFonts w:ascii="Arial" w:hAnsi="Arial" w:cs="Arial"/>
          <w:lang w:val="en-GB"/>
        </w:rPr>
        <w:t xml:space="preserve">2 August 2016.  It was thus a severely short-term loan or, as </w:t>
      </w:r>
      <w:r w:rsidR="00D04A54" w:rsidRPr="009F7549">
        <w:rPr>
          <w:rFonts w:ascii="Arial" w:hAnsi="Arial" w:cs="Arial"/>
          <w:i/>
          <w:iCs/>
          <w:lang w:val="en-GB"/>
        </w:rPr>
        <w:t>Mr H B Marais SC</w:t>
      </w:r>
      <w:r w:rsidR="00D04A54" w:rsidRPr="00443215">
        <w:rPr>
          <w:rStyle w:val="FootnoteReference"/>
          <w:rFonts w:ascii="Arial" w:hAnsi="Arial" w:cs="Arial"/>
          <w:lang w:val="en-GB"/>
        </w:rPr>
        <w:footnoteReference w:id="1"/>
      </w:r>
      <w:r w:rsidR="00D04A54" w:rsidRPr="009F7549">
        <w:rPr>
          <w:rFonts w:ascii="Arial" w:hAnsi="Arial" w:cs="Arial"/>
          <w:lang w:val="en-GB"/>
        </w:rPr>
        <w:t xml:space="preserve"> appearing for the applicant termed it, a loan amounting to bridging finance.</w:t>
      </w:r>
    </w:p>
    <w:p w14:paraId="63E39125" w14:textId="77777777" w:rsidR="00D04A54" w:rsidRPr="00443215" w:rsidRDefault="00D04A54" w:rsidP="00487221">
      <w:pPr>
        <w:pStyle w:val="ListParagraph"/>
        <w:spacing w:line="480" w:lineRule="auto"/>
        <w:jc w:val="both"/>
        <w:rPr>
          <w:rFonts w:ascii="Arial" w:hAnsi="Arial" w:cs="Arial"/>
          <w:lang w:val="en-GB"/>
        </w:rPr>
      </w:pPr>
    </w:p>
    <w:p w14:paraId="6F7348A0" w14:textId="630E5420" w:rsidR="00C05E5D"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[3]</w:t>
      </w:r>
      <w:r w:rsidRPr="00443215">
        <w:rPr>
          <w:rFonts w:ascii="Arial" w:hAnsi="Arial" w:cs="Arial"/>
          <w:lang w:val="en-GB"/>
        </w:rPr>
        <w:tab/>
      </w:r>
      <w:r w:rsidR="00D04A54" w:rsidRPr="009F7549">
        <w:rPr>
          <w:rFonts w:ascii="Arial" w:hAnsi="Arial" w:cs="Arial"/>
          <w:lang w:val="en-GB"/>
        </w:rPr>
        <w:t>Simultaneously with the loan, the applicant entered into a</w:t>
      </w:r>
      <w:r w:rsidR="001D667C" w:rsidRPr="009F7549">
        <w:rPr>
          <w:rFonts w:ascii="Arial" w:hAnsi="Arial" w:cs="Arial"/>
          <w:lang w:val="en-GB"/>
        </w:rPr>
        <w:t xml:space="preserve"> Memorandum of an Agreement of Cession and Assignment of Shares (“the cession”), being the</w:t>
      </w:r>
      <w:r w:rsidR="00D04A54" w:rsidRPr="009F7549">
        <w:rPr>
          <w:rFonts w:ascii="Arial" w:hAnsi="Arial" w:cs="Arial"/>
          <w:lang w:val="en-GB"/>
        </w:rPr>
        <w:t xml:space="preserve"> outright cession with the first respondent as indicated in paragraph [1] hereof.</w:t>
      </w:r>
      <w:r w:rsidR="00C05E5D" w:rsidRPr="009F7549">
        <w:rPr>
          <w:rFonts w:ascii="Arial" w:hAnsi="Arial" w:cs="Arial"/>
          <w:lang w:val="en-GB"/>
        </w:rPr>
        <w:t xml:space="preserve">  In terms of the cession, the shares would by way of a reversionary cession, be ceded back to the first respondent if the total debt is repaid by DI to the applicant</w:t>
      </w:r>
      <w:r w:rsidR="00C41762" w:rsidRPr="009F7549">
        <w:rPr>
          <w:rFonts w:ascii="Arial" w:hAnsi="Arial" w:cs="Arial"/>
          <w:lang w:val="en-GB"/>
        </w:rPr>
        <w:t xml:space="preserve"> by the payment date</w:t>
      </w:r>
      <w:r w:rsidR="00C05E5D" w:rsidRPr="009F7549">
        <w:rPr>
          <w:rFonts w:ascii="Arial" w:hAnsi="Arial" w:cs="Arial"/>
          <w:lang w:val="en-GB"/>
        </w:rPr>
        <w:t>.</w:t>
      </w:r>
      <w:r w:rsidR="00F142BD" w:rsidRPr="009F7549">
        <w:rPr>
          <w:rFonts w:ascii="Arial" w:hAnsi="Arial" w:cs="Arial"/>
          <w:lang w:val="en-GB"/>
        </w:rPr>
        <w:t xml:space="preserve">  If the total debt is not repaid by the payment date, the right of the first respondent to the reversionary cession falls away.</w:t>
      </w:r>
      <w:r w:rsidR="00C05E5D" w:rsidRPr="009F7549">
        <w:rPr>
          <w:rFonts w:ascii="Arial" w:hAnsi="Arial" w:cs="Arial"/>
          <w:lang w:val="en-GB"/>
        </w:rPr>
        <w:t xml:space="preserve">  The payment date is 2 August 2016.</w:t>
      </w:r>
      <w:r w:rsidR="00D04A54" w:rsidRPr="009F7549">
        <w:rPr>
          <w:rFonts w:ascii="Arial" w:hAnsi="Arial" w:cs="Arial"/>
          <w:lang w:val="en-GB"/>
        </w:rPr>
        <w:t xml:space="preserve">  </w:t>
      </w:r>
    </w:p>
    <w:p w14:paraId="34B60C86" w14:textId="1B9958D6" w:rsidR="00C05E5D" w:rsidRDefault="00C05E5D" w:rsidP="00487221">
      <w:pPr>
        <w:pStyle w:val="ListParagraph"/>
        <w:spacing w:line="480" w:lineRule="auto"/>
        <w:jc w:val="both"/>
        <w:rPr>
          <w:rFonts w:ascii="Arial" w:hAnsi="Arial" w:cs="Arial"/>
          <w:lang w:val="en-GB"/>
        </w:rPr>
      </w:pPr>
    </w:p>
    <w:p w14:paraId="64F1CC34" w14:textId="05943B18" w:rsidR="00AA2FE6" w:rsidRPr="00443215" w:rsidRDefault="00AA2FE6" w:rsidP="00487221">
      <w:pPr>
        <w:pStyle w:val="ListParagraph"/>
        <w:spacing w:line="480" w:lineRule="auto"/>
        <w:jc w:val="both"/>
        <w:rPr>
          <w:rFonts w:ascii="Arial" w:hAnsi="Arial" w:cs="Arial"/>
          <w:lang w:val="en-GB"/>
        </w:rPr>
      </w:pPr>
    </w:p>
    <w:p w14:paraId="31EE1365" w14:textId="4101685D" w:rsidR="001D667C"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lastRenderedPageBreak/>
        <w:t>[4]</w:t>
      </w:r>
      <w:r w:rsidRPr="00443215">
        <w:rPr>
          <w:rFonts w:ascii="Arial" w:hAnsi="Arial" w:cs="Arial"/>
          <w:lang w:val="en-GB"/>
        </w:rPr>
        <w:tab/>
      </w:r>
      <w:r w:rsidR="001D667C" w:rsidRPr="009F7549">
        <w:rPr>
          <w:rFonts w:ascii="Arial" w:hAnsi="Arial" w:cs="Arial"/>
          <w:lang w:val="en-GB"/>
        </w:rPr>
        <w:t>Relevant to the respondent’s opposition of this matter:</w:t>
      </w:r>
    </w:p>
    <w:p w14:paraId="156AD6CC" w14:textId="77777777" w:rsidR="001D667C" w:rsidRPr="00443215" w:rsidRDefault="001D667C" w:rsidP="00487221">
      <w:pPr>
        <w:pStyle w:val="ListParagraph"/>
        <w:spacing w:line="480" w:lineRule="auto"/>
        <w:jc w:val="both"/>
        <w:rPr>
          <w:rFonts w:ascii="Arial" w:hAnsi="Arial" w:cs="Arial"/>
          <w:lang w:val="en-GB"/>
        </w:rPr>
      </w:pPr>
    </w:p>
    <w:p w14:paraId="7E225399" w14:textId="623D6B99" w:rsidR="001D667C" w:rsidRPr="00443215" w:rsidRDefault="001D667C" w:rsidP="00487221">
      <w:pPr>
        <w:pStyle w:val="ListParagraph"/>
        <w:spacing w:line="480" w:lineRule="auto"/>
        <w:ind w:left="1431" w:hanging="580"/>
        <w:jc w:val="both"/>
        <w:rPr>
          <w:rFonts w:ascii="Arial" w:hAnsi="Arial" w:cs="Arial"/>
          <w:lang w:val="en-GB"/>
        </w:rPr>
      </w:pPr>
      <w:r w:rsidRPr="00443215">
        <w:rPr>
          <w:rFonts w:ascii="Arial" w:hAnsi="Arial" w:cs="Arial"/>
          <w:lang w:val="en-GB"/>
        </w:rPr>
        <w:t>3.1</w:t>
      </w:r>
      <w:r w:rsidRPr="00443215">
        <w:rPr>
          <w:rFonts w:ascii="Arial" w:hAnsi="Arial" w:cs="Arial"/>
          <w:lang w:val="en-GB"/>
        </w:rPr>
        <w:tab/>
        <w:t>In the founding affidavit the following allegations were made in respect of the entering into of the cession:</w:t>
      </w:r>
    </w:p>
    <w:p w14:paraId="7304D237" w14:textId="1B01900E" w:rsidR="001D667C" w:rsidRPr="00443215" w:rsidRDefault="001D667C" w:rsidP="00487221">
      <w:pPr>
        <w:pStyle w:val="ListParagraph"/>
        <w:spacing w:line="480" w:lineRule="auto"/>
        <w:ind w:left="851"/>
        <w:jc w:val="both"/>
        <w:rPr>
          <w:rFonts w:ascii="Arial" w:hAnsi="Arial" w:cs="Arial"/>
          <w:lang w:val="en-GB"/>
        </w:rPr>
      </w:pPr>
    </w:p>
    <w:p w14:paraId="2600172B" w14:textId="70B420AE" w:rsidR="001D667C" w:rsidRPr="00443215" w:rsidRDefault="001D667C" w:rsidP="00487221">
      <w:pPr>
        <w:pStyle w:val="ListParagraph"/>
        <w:spacing w:line="480" w:lineRule="auto"/>
        <w:ind w:left="851"/>
        <w:jc w:val="both"/>
        <w:rPr>
          <w:rFonts w:ascii="Arial" w:hAnsi="Arial" w:cs="Arial"/>
          <w:i/>
          <w:iCs/>
          <w:lang w:val="en-GB"/>
        </w:rPr>
      </w:pPr>
      <w:r w:rsidRPr="00443215">
        <w:rPr>
          <w:rFonts w:ascii="Arial" w:hAnsi="Arial" w:cs="Arial"/>
          <w:lang w:val="en-GB"/>
        </w:rPr>
        <w:tab/>
        <w:t>“</w:t>
      </w:r>
      <w:r w:rsidRPr="00443215">
        <w:rPr>
          <w:rFonts w:ascii="Arial" w:hAnsi="Arial" w:cs="Arial"/>
          <w:i/>
          <w:iCs/>
          <w:lang w:val="en-GB"/>
        </w:rPr>
        <w:t>7.2</w:t>
      </w:r>
      <w:r w:rsidRPr="00443215">
        <w:rPr>
          <w:rFonts w:ascii="Arial" w:hAnsi="Arial" w:cs="Arial"/>
          <w:i/>
          <w:iCs/>
          <w:lang w:val="en-GB"/>
        </w:rPr>
        <w:tab/>
        <w:t>In concluding the cession:</w:t>
      </w:r>
    </w:p>
    <w:p w14:paraId="49569C2F" w14:textId="1AB2A359" w:rsidR="001D667C" w:rsidRPr="00443215" w:rsidRDefault="001D667C" w:rsidP="00487221">
      <w:pPr>
        <w:pStyle w:val="ListParagraph"/>
        <w:spacing w:line="480" w:lineRule="auto"/>
        <w:ind w:left="851"/>
        <w:jc w:val="both"/>
        <w:rPr>
          <w:rFonts w:ascii="Arial" w:hAnsi="Arial" w:cs="Arial"/>
          <w:i/>
          <w:iCs/>
          <w:lang w:val="en-GB"/>
        </w:rPr>
      </w:pPr>
    </w:p>
    <w:p w14:paraId="523152DD" w14:textId="39D44645" w:rsidR="001D667C" w:rsidRPr="00443215" w:rsidRDefault="001D667C" w:rsidP="00487221">
      <w:pPr>
        <w:pStyle w:val="ListParagraph"/>
        <w:spacing w:line="480" w:lineRule="auto"/>
        <w:ind w:left="851"/>
        <w:jc w:val="both"/>
        <w:rPr>
          <w:rFonts w:ascii="Arial" w:hAnsi="Arial" w:cs="Arial"/>
          <w:lang w:val="en-GB"/>
        </w:rPr>
      </w:pPr>
      <w:r w:rsidRPr="00443215">
        <w:rPr>
          <w:rFonts w:ascii="Arial" w:hAnsi="Arial" w:cs="Arial"/>
          <w:i/>
          <w:iCs/>
          <w:lang w:val="en-GB"/>
        </w:rPr>
        <w:tab/>
      </w:r>
      <w:r w:rsidRPr="00443215">
        <w:rPr>
          <w:rFonts w:ascii="Arial" w:hAnsi="Arial" w:cs="Arial"/>
          <w:i/>
          <w:iCs/>
          <w:lang w:val="en-GB"/>
        </w:rPr>
        <w:tab/>
        <w:t>7.2.1</w:t>
      </w:r>
      <w:r w:rsidRPr="00443215">
        <w:rPr>
          <w:rFonts w:ascii="Arial" w:hAnsi="Arial" w:cs="Arial"/>
          <w:i/>
          <w:iCs/>
          <w:lang w:val="en-GB"/>
        </w:rPr>
        <w:tab/>
        <w:t>I</w:t>
      </w:r>
      <w:r w:rsidRPr="00443215">
        <w:rPr>
          <w:rFonts w:ascii="Arial" w:hAnsi="Arial" w:cs="Arial"/>
          <w:lang w:val="en-GB"/>
        </w:rPr>
        <w:t xml:space="preserve"> [Smit] </w:t>
      </w:r>
      <w:r w:rsidRPr="00443215">
        <w:rPr>
          <w:rFonts w:ascii="Arial" w:hAnsi="Arial" w:cs="Arial"/>
          <w:i/>
          <w:iCs/>
          <w:lang w:val="en-GB"/>
        </w:rPr>
        <w:t>once more represented</w:t>
      </w:r>
      <w:r w:rsidRPr="00443215">
        <w:rPr>
          <w:rFonts w:ascii="Arial" w:hAnsi="Arial" w:cs="Arial"/>
          <w:lang w:val="en-GB"/>
        </w:rPr>
        <w:t xml:space="preserve"> [the applicant];</w:t>
      </w:r>
    </w:p>
    <w:p w14:paraId="1F9885F5" w14:textId="3957C705" w:rsidR="001D667C" w:rsidRPr="00443215" w:rsidRDefault="001D667C" w:rsidP="00487221">
      <w:pPr>
        <w:pStyle w:val="ListParagraph"/>
        <w:spacing w:line="480" w:lineRule="auto"/>
        <w:ind w:left="851"/>
        <w:jc w:val="both"/>
        <w:rPr>
          <w:rFonts w:ascii="Arial" w:hAnsi="Arial" w:cs="Arial"/>
          <w:i/>
          <w:iCs/>
          <w:lang w:val="en-GB"/>
        </w:rPr>
      </w:pPr>
    </w:p>
    <w:p w14:paraId="777ADB70" w14:textId="14B370C4" w:rsidR="001D667C" w:rsidRPr="00443215" w:rsidRDefault="001D667C" w:rsidP="00487221">
      <w:pPr>
        <w:pStyle w:val="ListParagraph"/>
        <w:spacing w:line="480" w:lineRule="auto"/>
        <w:ind w:left="851"/>
        <w:jc w:val="both"/>
        <w:rPr>
          <w:rFonts w:ascii="Arial" w:hAnsi="Arial" w:cs="Arial"/>
          <w:i/>
          <w:iCs/>
          <w:lang w:val="en-GB"/>
        </w:rPr>
      </w:pPr>
      <w:r w:rsidRPr="00443215">
        <w:rPr>
          <w:rFonts w:ascii="Arial" w:hAnsi="Arial" w:cs="Arial"/>
          <w:i/>
          <w:iCs/>
          <w:lang w:val="en-GB"/>
        </w:rPr>
        <w:tab/>
      </w:r>
      <w:r w:rsidRPr="00443215">
        <w:rPr>
          <w:rFonts w:ascii="Arial" w:hAnsi="Arial" w:cs="Arial"/>
          <w:i/>
          <w:iCs/>
          <w:lang w:val="en-GB"/>
        </w:rPr>
        <w:tab/>
        <w:t>7.2.2</w:t>
      </w:r>
      <w:r w:rsidRPr="00443215">
        <w:rPr>
          <w:rFonts w:ascii="Arial" w:hAnsi="Arial" w:cs="Arial"/>
          <w:i/>
          <w:iCs/>
          <w:lang w:val="en-GB"/>
        </w:rPr>
        <w:tab/>
        <w:t>both</w:t>
      </w:r>
    </w:p>
    <w:p w14:paraId="42F9C18E" w14:textId="028340D4" w:rsidR="001D667C" w:rsidRPr="00443215" w:rsidRDefault="001D667C" w:rsidP="00487221">
      <w:pPr>
        <w:pStyle w:val="ListParagraph"/>
        <w:spacing w:line="480" w:lineRule="auto"/>
        <w:ind w:left="851"/>
        <w:jc w:val="both"/>
        <w:rPr>
          <w:rFonts w:ascii="Arial" w:hAnsi="Arial" w:cs="Arial"/>
          <w:i/>
          <w:iCs/>
          <w:lang w:val="en-GB"/>
        </w:rPr>
      </w:pPr>
    </w:p>
    <w:p w14:paraId="005AA923" w14:textId="40BF055A" w:rsidR="001D667C" w:rsidRPr="009F7549" w:rsidRDefault="009F7549" w:rsidP="009F7549">
      <w:pPr>
        <w:spacing w:line="480" w:lineRule="auto"/>
        <w:ind w:left="3231" w:hanging="360"/>
        <w:jc w:val="both"/>
        <w:rPr>
          <w:rFonts w:ascii="Arial" w:hAnsi="Arial" w:cs="Arial"/>
          <w:i/>
          <w:iCs/>
          <w:lang w:val="en-GB"/>
        </w:rPr>
      </w:pPr>
      <w:r w:rsidRPr="00443215">
        <w:rPr>
          <w:rFonts w:ascii="Arial" w:hAnsi="Arial" w:cs="Arial"/>
          <w:i/>
          <w:iCs/>
          <w:lang w:val="en-GB"/>
        </w:rPr>
        <w:t>(a)</w:t>
      </w:r>
      <w:r w:rsidRPr="00443215">
        <w:rPr>
          <w:rFonts w:ascii="Arial" w:hAnsi="Arial" w:cs="Arial"/>
          <w:i/>
          <w:iCs/>
          <w:lang w:val="en-GB"/>
        </w:rPr>
        <w:tab/>
      </w:r>
      <w:r w:rsidR="001D667C" w:rsidRPr="009F7549">
        <w:rPr>
          <w:rFonts w:ascii="Arial" w:hAnsi="Arial" w:cs="Arial"/>
          <w:lang w:val="en-GB"/>
        </w:rPr>
        <w:t>[the first respondent];</w:t>
      </w:r>
    </w:p>
    <w:p w14:paraId="02CFB3AB" w14:textId="3D7DFF1F" w:rsidR="001D667C" w:rsidRPr="00443215" w:rsidRDefault="001D667C" w:rsidP="00487221">
      <w:pPr>
        <w:pStyle w:val="ListParagraph"/>
        <w:spacing w:line="480" w:lineRule="auto"/>
        <w:ind w:left="3231"/>
        <w:jc w:val="both"/>
        <w:rPr>
          <w:rFonts w:ascii="Arial" w:hAnsi="Arial" w:cs="Arial"/>
          <w:i/>
          <w:iCs/>
          <w:lang w:val="en-GB"/>
        </w:rPr>
      </w:pPr>
    </w:p>
    <w:p w14:paraId="7890FB04" w14:textId="77C88ED4" w:rsidR="001D667C" w:rsidRPr="009F7549" w:rsidRDefault="009F7549" w:rsidP="009F7549">
      <w:pPr>
        <w:spacing w:line="480" w:lineRule="auto"/>
        <w:ind w:left="3231" w:hanging="360"/>
        <w:jc w:val="both"/>
        <w:rPr>
          <w:rFonts w:ascii="Arial" w:hAnsi="Arial" w:cs="Arial"/>
          <w:i/>
          <w:iCs/>
          <w:lang w:val="en-GB"/>
        </w:rPr>
      </w:pPr>
      <w:r w:rsidRPr="00443215">
        <w:rPr>
          <w:rFonts w:ascii="Arial" w:hAnsi="Arial" w:cs="Arial"/>
          <w:i/>
          <w:iCs/>
          <w:lang w:val="en-GB"/>
        </w:rPr>
        <w:t>(b)</w:t>
      </w:r>
      <w:r w:rsidRPr="00443215">
        <w:rPr>
          <w:rFonts w:ascii="Arial" w:hAnsi="Arial" w:cs="Arial"/>
          <w:i/>
          <w:iCs/>
          <w:lang w:val="en-GB"/>
        </w:rPr>
        <w:tab/>
      </w:r>
      <w:r w:rsidR="001D667C" w:rsidRPr="009F7549">
        <w:rPr>
          <w:rFonts w:ascii="Arial" w:hAnsi="Arial" w:cs="Arial"/>
          <w:lang w:val="en-GB"/>
        </w:rPr>
        <w:t>[the second respondent];</w:t>
      </w:r>
    </w:p>
    <w:p w14:paraId="01FB0490" w14:textId="77777777" w:rsidR="001D667C" w:rsidRPr="00443215" w:rsidRDefault="001D667C" w:rsidP="00487221">
      <w:pPr>
        <w:pStyle w:val="ListParagraph"/>
        <w:spacing w:line="480" w:lineRule="auto"/>
        <w:jc w:val="both"/>
        <w:rPr>
          <w:rFonts w:ascii="Arial" w:hAnsi="Arial" w:cs="Arial"/>
          <w:i/>
          <w:iCs/>
          <w:lang w:val="en-GB"/>
        </w:rPr>
      </w:pPr>
    </w:p>
    <w:p w14:paraId="0CE9D773" w14:textId="108A60FE" w:rsidR="001D667C" w:rsidRPr="00443215" w:rsidRDefault="001D667C" w:rsidP="00487221">
      <w:pPr>
        <w:spacing w:line="480" w:lineRule="auto"/>
        <w:ind w:left="2871"/>
        <w:jc w:val="both"/>
        <w:rPr>
          <w:rFonts w:ascii="Arial" w:hAnsi="Arial" w:cs="Arial"/>
          <w:i/>
          <w:iCs/>
          <w:lang w:val="en-GB"/>
        </w:rPr>
      </w:pPr>
      <w:r w:rsidRPr="00443215">
        <w:rPr>
          <w:rFonts w:ascii="Arial" w:hAnsi="Arial" w:cs="Arial"/>
          <w:i/>
          <w:iCs/>
          <w:lang w:val="en-GB"/>
        </w:rPr>
        <w:t>were duly represented by:</w:t>
      </w:r>
    </w:p>
    <w:p w14:paraId="27B79B82" w14:textId="49D59CA6" w:rsidR="001D667C" w:rsidRPr="00443215" w:rsidRDefault="001D667C" w:rsidP="00487221">
      <w:pPr>
        <w:spacing w:line="480" w:lineRule="auto"/>
        <w:ind w:left="2871"/>
        <w:jc w:val="both"/>
        <w:rPr>
          <w:rFonts w:ascii="Arial" w:hAnsi="Arial" w:cs="Arial"/>
          <w:i/>
          <w:iCs/>
          <w:lang w:val="en-GB"/>
        </w:rPr>
      </w:pPr>
    </w:p>
    <w:p w14:paraId="22E75EA7" w14:textId="695D4A94" w:rsidR="001D667C" w:rsidRPr="00443215" w:rsidRDefault="001D667C" w:rsidP="00487221">
      <w:pPr>
        <w:spacing w:line="480" w:lineRule="auto"/>
        <w:ind w:left="2871"/>
        <w:jc w:val="both"/>
        <w:rPr>
          <w:rFonts w:ascii="Arial" w:hAnsi="Arial" w:cs="Arial"/>
          <w:i/>
          <w:iCs/>
          <w:lang w:val="en-GB"/>
        </w:rPr>
      </w:pPr>
      <w:r w:rsidRPr="00443215">
        <w:rPr>
          <w:rFonts w:ascii="Arial" w:hAnsi="Arial" w:cs="Arial"/>
          <w:i/>
          <w:iCs/>
          <w:lang w:val="en-GB"/>
        </w:rPr>
        <w:t>7.2.2.1</w:t>
      </w:r>
      <w:r w:rsidRPr="00443215">
        <w:rPr>
          <w:rFonts w:ascii="Arial" w:hAnsi="Arial" w:cs="Arial"/>
          <w:i/>
          <w:iCs/>
          <w:lang w:val="en-GB"/>
        </w:rPr>
        <w:tab/>
      </w:r>
      <w:r w:rsidRPr="00443215">
        <w:rPr>
          <w:rFonts w:ascii="Arial" w:hAnsi="Arial" w:cs="Arial"/>
          <w:i/>
          <w:iCs/>
          <w:lang w:val="en-GB"/>
        </w:rPr>
        <w:tab/>
        <w:t>Mr Marais; and</w:t>
      </w:r>
    </w:p>
    <w:p w14:paraId="2FD7FE7F" w14:textId="0C4B2A9A" w:rsidR="001D667C" w:rsidRPr="00443215" w:rsidRDefault="001D667C" w:rsidP="00487221">
      <w:pPr>
        <w:spacing w:line="480" w:lineRule="auto"/>
        <w:ind w:left="2871"/>
        <w:jc w:val="both"/>
        <w:rPr>
          <w:rFonts w:ascii="Arial" w:hAnsi="Arial" w:cs="Arial"/>
          <w:i/>
          <w:iCs/>
          <w:lang w:val="en-GB"/>
        </w:rPr>
      </w:pPr>
    </w:p>
    <w:p w14:paraId="3AAE0EF7" w14:textId="4D5FFE50" w:rsidR="001D667C" w:rsidRPr="00443215" w:rsidRDefault="001D667C" w:rsidP="00487221">
      <w:pPr>
        <w:spacing w:line="480" w:lineRule="auto"/>
        <w:ind w:left="2871"/>
        <w:jc w:val="both"/>
        <w:rPr>
          <w:rFonts w:ascii="Arial" w:hAnsi="Arial" w:cs="Arial"/>
          <w:i/>
          <w:iCs/>
          <w:lang w:val="en-GB"/>
        </w:rPr>
      </w:pPr>
      <w:r w:rsidRPr="00443215">
        <w:rPr>
          <w:rFonts w:ascii="Arial" w:hAnsi="Arial" w:cs="Arial"/>
          <w:i/>
          <w:iCs/>
          <w:lang w:val="en-GB"/>
        </w:rPr>
        <w:t>7.2.2.2</w:t>
      </w:r>
      <w:r w:rsidRPr="00443215">
        <w:rPr>
          <w:rFonts w:ascii="Arial" w:hAnsi="Arial" w:cs="Arial"/>
          <w:i/>
          <w:iCs/>
          <w:lang w:val="en-GB"/>
        </w:rPr>
        <w:tab/>
      </w:r>
      <w:r w:rsidRPr="00443215">
        <w:rPr>
          <w:rFonts w:ascii="Arial" w:hAnsi="Arial" w:cs="Arial"/>
          <w:i/>
          <w:iCs/>
          <w:lang w:val="en-GB"/>
        </w:rPr>
        <w:tab/>
        <w:t>Mr Paul Langa;</w:t>
      </w:r>
    </w:p>
    <w:p w14:paraId="76AC18DA" w14:textId="43426293" w:rsidR="001D667C" w:rsidRPr="00443215" w:rsidRDefault="001D667C" w:rsidP="00487221">
      <w:pPr>
        <w:spacing w:line="480" w:lineRule="auto"/>
        <w:jc w:val="both"/>
        <w:rPr>
          <w:rFonts w:ascii="Arial" w:hAnsi="Arial" w:cs="Arial"/>
          <w:i/>
          <w:iCs/>
          <w:lang w:val="en-GB"/>
        </w:rPr>
      </w:pPr>
    </w:p>
    <w:p w14:paraId="64CC7326" w14:textId="7E9B5A73" w:rsidR="001D667C" w:rsidRPr="00443215" w:rsidRDefault="001D667C" w:rsidP="00487221">
      <w:pPr>
        <w:spacing w:line="480" w:lineRule="auto"/>
        <w:jc w:val="both"/>
        <w:rPr>
          <w:rFonts w:ascii="Arial" w:hAnsi="Arial" w:cs="Arial"/>
          <w:lang w:val="en-GB"/>
        </w:rPr>
      </w:pPr>
      <w:r w:rsidRPr="00443215">
        <w:rPr>
          <w:rFonts w:ascii="Arial" w:hAnsi="Arial" w:cs="Arial"/>
          <w:i/>
          <w:iCs/>
          <w:lang w:val="en-GB"/>
        </w:rPr>
        <w:tab/>
      </w:r>
      <w:r w:rsidRPr="00443215">
        <w:rPr>
          <w:rFonts w:ascii="Arial" w:hAnsi="Arial" w:cs="Arial"/>
          <w:i/>
          <w:iCs/>
          <w:lang w:val="en-GB"/>
        </w:rPr>
        <w:tab/>
        <w:t>7.3</w:t>
      </w:r>
      <w:r w:rsidRPr="00443215">
        <w:rPr>
          <w:rFonts w:ascii="Arial" w:hAnsi="Arial" w:cs="Arial"/>
          <w:i/>
          <w:iCs/>
          <w:lang w:val="en-GB"/>
        </w:rPr>
        <w:tab/>
        <w:t xml:space="preserve">Mr Marais again represented </w:t>
      </w:r>
      <w:r w:rsidRPr="00443215">
        <w:rPr>
          <w:rFonts w:ascii="Arial" w:hAnsi="Arial" w:cs="Arial"/>
          <w:lang w:val="en-GB"/>
        </w:rPr>
        <w:t>[DI].”</w:t>
      </w:r>
    </w:p>
    <w:p w14:paraId="28E9FB95" w14:textId="3365407F" w:rsidR="001D667C" w:rsidRPr="00443215" w:rsidRDefault="001D667C" w:rsidP="00487221">
      <w:pPr>
        <w:spacing w:line="480" w:lineRule="auto"/>
        <w:jc w:val="both"/>
        <w:rPr>
          <w:rFonts w:ascii="Arial" w:hAnsi="Arial" w:cs="Arial"/>
          <w:lang w:val="en-GB"/>
        </w:rPr>
      </w:pPr>
    </w:p>
    <w:p w14:paraId="2039AC3A" w14:textId="5F910376" w:rsidR="00C05E5D" w:rsidRPr="00443215" w:rsidRDefault="001D667C" w:rsidP="00487221">
      <w:pPr>
        <w:spacing w:line="480" w:lineRule="auto"/>
        <w:ind w:left="1440" w:hanging="720"/>
        <w:jc w:val="both"/>
        <w:rPr>
          <w:rFonts w:ascii="Arial" w:hAnsi="Arial" w:cs="Arial"/>
          <w:lang w:val="en-GB"/>
        </w:rPr>
      </w:pPr>
      <w:r w:rsidRPr="00443215">
        <w:rPr>
          <w:rFonts w:ascii="Arial" w:hAnsi="Arial" w:cs="Arial"/>
          <w:lang w:val="en-GB"/>
        </w:rPr>
        <w:t>3.2</w:t>
      </w:r>
      <w:r w:rsidRPr="00443215">
        <w:rPr>
          <w:rFonts w:ascii="Arial" w:hAnsi="Arial" w:cs="Arial"/>
          <w:lang w:val="en-GB"/>
        </w:rPr>
        <w:tab/>
        <w:t xml:space="preserve">Whereas the cession annexed to the founding affidavit as annexure “JS4” indicates on the front page of the agreement where the parties’ </w:t>
      </w:r>
      <w:r w:rsidRPr="00443215">
        <w:rPr>
          <w:rFonts w:ascii="Arial" w:hAnsi="Arial" w:cs="Arial"/>
          <w:lang w:val="en-GB"/>
        </w:rPr>
        <w:lastRenderedPageBreak/>
        <w:t>identities are set out that the first respondent is represented (only) by Marais.  The description employed</w:t>
      </w:r>
      <w:r w:rsidR="00C05E5D" w:rsidRPr="00443215">
        <w:rPr>
          <w:rFonts w:ascii="Arial" w:hAnsi="Arial" w:cs="Arial"/>
          <w:lang w:val="en-GB"/>
        </w:rPr>
        <w:t xml:space="preserve"> on the front page is:</w:t>
      </w:r>
    </w:p>
    <w:p w14:paraId="4E6818E9" w14:textId="593EB044" w:rsidR="001D667C" w:rsidRPr="00443215" w:rsidRDefault="001D667C" w:rsidP="00487221">
      <w:pPr>
        <w:spacing w:line="480" w:lineRule="auto"/>
        <w:jc w:val="both"/>
        <w:rPr>
          <w:rFonts w:ascii="Arial" w:hAnsi="Arial" w:cs="Arial"/>
          <w:lang w:val="en-GB"/>
        </w:rPr>
      </w:pPr>
      <w:r w:rsidRPr="00443215">
        <w:rPr>
          <w:rFonts w:ascii="Arial" w:hAnsi="Arial" w:cs="Arial"/>
          <w:lang w:val="en-GB"/>
        </w:rPr>
        <w:t xml:space="preserve"> </w:t>
      </w:r>
    </w:p>
    <w:p w14:paraId="54FCF7D8" w14:textId="45E7D2DC" w:rsidR="00C05E5D" w:rsidRPr="00443215" w:rsidRDefault="00C05E5D" w:rsidP="00487221">
      <w:pPr>
        <w:spacing w:line="480" w:lineRule="auto"/>
        <w:jc w:val="both"/>
        <w:rPr>
          <w:rFonts w:ascii="Arial" w:hAnsi="Arial" w:cs="Arial"/>
          <w:b/>
          <w:bCs/>
          <w:i/>
          <w:iCs/>
          <w:lang w:val="en-GB"/>
        </w:rPr>
      </w:pPr>
      <w:r w:rsidRPr="00443215">
        <w:rPr>
          <w:rFonts w:ascii="Arial" w:hAnsi="Arial" w:cs="Arial"/>
          <w:lang w:val="en-GB"/>
        </w:rPr>
        <w:tab/>
      </w:r>
      <w:r w:rsidRPr="00443215">
        <w:rPr>
          <w:rFonts w:ascii="Arial" w:hAnsi="Arial" w:cs="Arial"/>
          <w:lang w:val="en-GB"/>
        </w:rPr>
        <w:tab/>
        <w:t>“</w:t>
      </w:r>
      <w:r w:rsidRPr="00443215">
        <w:rPr>
          <w:rFonts w:ascii="Arial" w:hAnsi="Arial" w:cs="Arial"/>
          <w:b/>
          <w:bCs/>
          <w:i/>
          <w:iCs/>
          <w:lang w:val="en-GB"/>
        </w:rPr>
        <w:t>DZOTHE PROPERTY INVESTMENTS (PTY) LTD</w:t>
      </w:r>
    </w:p>
    <w:p w14:paraId="69912A25" w14:textId="0645D98B" w:rsidR="00C05E5D" w:rsidRPr="00443215" w:rsidRDefault="00C05E5D" w:rsidP="00487221">
      <w:pPr>
        <w:spacing w:line="480" w:lineRule="auto"/>
        <w:jc w:val="both"/>
        <w:rPr>
          <w:rFonts w:ascii="Arial" w:hAnsi="Arial" w:cs="Arial"/>
          <w:i/>
          <w:iCs/>
          <w:lang w:val="en-GB"/>
        </w:rPr>
      </w:pPr>
      <w:r w:rsidRPr="00443215">
        <w:rPr>
          <w:rFonts w:ascii="Arial" w:hAnsi="Arial" w:cs="Arial"/>
          <w:b/>
          <w:bCs/>
          <w:i/>
          <w:iCs/>
          <w:lang w:val="en-GB"/>
        </w:rPr>
        <w:tab/>
      </w:r>
      <w:r w:rsidRPr="00443215">
        <w:rPr>
          <w:rFonts w:ascii="Arial" w:hAnsi="Arial" w:cs="Arial"/>
          <w:b/>
          <w:bCs/>
          <w:i/>
          <w:iCs/>
          <w:lang w:val="en-GB"/>
        </w:rPr>
        <w:tab/>
      </w:r>
      <w:r w:rsidRPr="00443215">
        <w:rPr>
          <w:rFonts w:ascii="Arial" w:hAnsi="Arial" w:cs="Arial"/>
          <w:i/>
          <w:iCs/>
          <w:lang w:val="en-GB"/>
        </w:rPr>
        <w:t>Registration Number: . . .</w:t>
      </w:r>
    </w:p>
    <w:p w14:paraId="40B7655D" w14:textId="5548B13E" w:rsidR="00C05E5D" w:rsidRPr="00443215" w:rsidRDefault="00C05E5D" w:rsidP="00487221">
      <w:pPr>
        <w:spacing w:line="480" w:lineRule="auto"/>
        <w:jc w:val="both"/>
        <w:rPr>
          <w:rFonts w:ascii="Arial" w:hAnsi="Arial" w:cs="Arial"/>
          <w:i/>
          <w:iCs/>
          <w:lang w:val="en-GB"/>
        </w:rPr>
      </w:pPr>
      <w:r w:rsidRPr="00443215">
        <w:rPr>
          <w:rFonts w:ascii="Arial" w:hAnsi="Arial" w:cs="Arial"/>
          <w:i/>
          <w:iCs/>
          <w:lang w:val="en-GB"/>
        </w:rPr>
        <w:tab/>
      </w:r>
      <w:r w:rsidRPr="00443215">
        <w:rPr>
          <w:rFonts w:ascii="Arial" w:hAnsi="Arial" w:cs="Arial"/>
          <w:i/>
          <w:iCs/>
          <w:lang w:val="en-GB"/>
        </w:rPr>
        <w:tab/>
        <w:t>(“the Cedent”)</w:t>
      </w:r>
    </w:p>
    <w:p w14:paraId="60C47016" w14:textId="426B2C57" w:rsidR="00C05E5D" w:rsidRPr="00443215" w:rsidRDefault="00C05E5D" w:rsidP="00487221">
      <w:pPr>
        <w:spacing w:line="480" w:lineRule="auto"/>
        <w:jc w:val="both"/>
        <w:rPr>
          <w:rFonts w:ascii="Arial" w:hAnsi="Arial" w:cs="Arial"/>
          <w:i/>
          <w:iCs/>
          <w:lang w:val="en-GB"/>
        </w:rPr>
      </w:pPr>
      <w:r w:rsidRPr="00443215">
        <w:rPr>
          <w:rFonts w:ascii="Arial" w:hAnsi="Arial" w:cs="Arial"/>
          <w:i/>
          <w:iCs/>
          <w:lang w:val="en-GB"/>
        </w:rPr>
        <w:tab/>
      </w:r>
      <w:r w:rsidRPr="00443215">
        <w:rPr>
          <w:rFonts w:ascii="Arial" w:hAnsi="Arial" w:cs="Arial"/>
          <w:i/>
          <w:iCs/>
          <w:lang w:val="en-GB"/>
        </w:rPr>
        <w:tab/>
        <w:t>herein represented by Paul Marais</w:t>
      </w:r>
    </w:p>
    <w:p w14:paraId="106C9E2C" w14:textId="2490E6A4" w:rsidR="001D667C" w:rsidRPr="00443215" w:rsidRDefault="001D667C" w:rsidP="00487221">
      <w:pPr>
        <w:pStyle w:val="ListParagraph"/>
        <w:spacing w:line="480" w:lineRule="auto"/>
        <w:jc w:val="both"/>
        <w:rPr>
          <w:rFonts w:ascii="Arial" w:hAnsi="Arial" w:cs="Arial"/>
          <w:i/>
          <w:iCs/>
          <w:lang w:val="en-GB"/>
        </w:rPr>
      </w:pPr>
    </w:p>
    <w:p w14:paraId="556DAADF" w14:textId="36A9E816" w:rsidR="00C05E5D" w:rsidRPr="00443215" w:rsidRDefault="00C05E5D" w:rsidP="00487221">
      <w:pPr>
        <w:pStyle w:val="ListParagraph"/>
        <w:spacing w:line="480" w:lineRule="auto"/>
        <w:jc w:val="both"/>
        <w:rPr>
          <w:rFonts w:ascii="Arial" w:hAnsi="Arial" w:cs="Arial"/>
          <w:i/>
          <w:iCs/>
          <w:lang w:val="en-GB"/>
        </w:rPr>
      </w:pPr>
      <w:r w:rsidRPr="00443215">
        <w:rPr>
          <w:rFonts w:ascii="Arial" w:hAnsi="Arial" w:cs="Arial"/>
          <w:i/>
          <w:iCs/>
          <w:lang w:val="en-GB"/>
        </w:rPr>
        <w:tab/>
        <w:t>duly authorised as a director</w:t>
      </w:r>
      <w:r w:rsidRPr="00443215">
        <w:rPr>
          <w:rFonts w:ascii="Arial" w:hAnsi="Arial" w:cs="Arial"/>
          <w:lang w:val="en-GB"/>
        </w:rPr>
        <w:t>”</w:t>
      </w:r>
    </w:p>
    <w:p w14:paraId="6D57FF21" w14:textId="4BEFF625" w:rsidR="00D04A54"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[5]</w:t>
      </w:r>
      <w:r w:rsidRPr="00443215">
        <w:rPr>
          <w:rFonts w:ascii="Arial" w:hAnsi="Arial" w:cs="Arial"/>
          <w:lang w:val="en-GB"/>
        </w:rPr>
        <w:tab/>
      </w:r>
      <w:r w:rsidR="00C05E5D" w:rsidRPr="009F7549">
        <w:rPr>
          <w:rFonts w:ascii="Arial" w:hAnsi="Arial" w:cs="Arial"/>
          <w:lang w:val="en-GB"/>
        </w:rPr>
        <w:t>The loan was advanced by the applicant to DI on 2 June 2016.  The loan was, however, not repaid by 2 August 2016.</w:t>
      </w:r>
      <w:r w:rsidR="00F142BD" w:rsidRPr="009F7549">
        <w:rPr>
          <w:rFonts w:ascii="Arial" w:hAnsi="Arial" w:cs="Arial"/>
          <w:lang w:val="en-GB"/>
        </w:rPr>
        <w:t xml:space="preserve">  Despite attempts by the applicant to have the first respondent complete the necessary share transfer forms as contemplated by Section 51(6)(a) of the Companies Act</w:t>
      </w:r>
      <w:r w:rsidR="00F142BD" w:rsidRPr="00443215">
        <w:rPr>
          <w:rStyle w:val="FootnoteReference"/>
          <w:rFonts w:ascii="Arial" w:hAnsi="Arial" w:cs="Arial"/>
          <w:lang w:val="en-GB"/>
        </w:rPr>
        <w:footnoteReference w:id="2"/>
      </w:r>
      <w:r w:rsidR="00F142BD" w:rsidRPr="009F7549">
        <w:rPr>
          <w:rFonts w:ascii="Arial" w:hAnsi="Arial" w:cs="Arial"/>
          <w:lang w:val="en-GB"/>
        </w:rPr>
        <w:t xml:space="preserve"> (“the Act”), the first respondent has not attended to same.  Hence this application.</w:t>
      </w:r>
    </w:p>
    <w:p w14:paraId="73D7116B" w14:textId="5EEB35F4" w:rsidR="00F142BD" w:rsidRPr="00443215" w:rsidRDefault="00F142BD" w:rsidP="00487221">
      <w:pPr>
        <w:pStyle w:val="ListParagraph"/>
        <w:spacing w:line="480" w:lineRule="auto"/>
        <w:ind w:left="851"/>
        <w:jc w:val="both"/>
        <w:rPr>
          <w:rFonts w:ascii="Arial" w:hAnsi="Arial" w:cs="Arial"/>
          <w:lang w:val="en-GB"/>
        </w:rPr>
      </w:pPr>
    </w:p>
    <w:p w14:paraId="73575610" w14:textId="001DAE3B" w:rsidR="00F142BD"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[6]</w:t>
      </w:r>
      <w:r w:rsidRPr="00443215">
        <w:rPr>
          <w:rFonts w:ascii="Arial" w:hAnsi="Arial" w:cs="Arial"/>
          <w:lang w:val="en-GB"/>
        </w:rPr>
        <w:tab/>
      </w:r>
      <w:r w:rsidR="00F142BD" w:rsidRPr="009F7549">
        <w:rPr>
          <w:rFonts w:ascii="Arial" w:hAnsi="Arial" w:cs="Arial"/>
          <w:lang w:val="en-GB"/>
        </w:rPr>
        <w:t>The first respondent opposed the application on the following grounds:</w:t>
      </w:r>
    </w:p>
    <w:p w14:paraId="550E382C" w14:textId="77777777" w:rsidR="00F142BD" w:rsidRPr="00443215" w:rsidRDefault="00F142BD" w:rsidP="00487221">
      <w:pPr>
        <w:pStyle w:val="ListParagraph"/>
        <w:spacing w:line="480" w:lineRule="auto"/>
        <w:jc w:val="both"/>
        <w:rPr>
          <w:rFonts w:ascii="Arial" w:hAnsi="Arial" w:cs="Arial"/>
          <w:lang w:val="en-GB"/>
        </w:rPr>
      </w:pPr>
    </w:p>
    <w:p w14:paraId="2D9C023A" w14:textId="2A95299E" w:rsidR="00F142BD" w:rsidRPr="00443215" w:rsidRDefault="00F142BD" w:rsidP="00487221">
      <w:pPr>
        <w:pStyle w:val="ListParagraph"/>
        <w:spacing w:line="480" w:lineRule="auto"/>
        <w:ind w:left="1431" w:hanging="580"/>
        <w:jc w:val="both"/>
        <w:rPr>
          <w:rFonts w:ascii="Arial" w:hAnsi="Arial" w:cs="Arial"/>
          <w:lang w:val="en-GB"/>
        </w:rPr>
      </w:pPr>
      <w:r w:rsidRPr="00443215">
        <w:rPr>
          <w:rFonts w:ascii="Arial" w:hAnsi="Arial" w:cs="Arial"/>
          <w:lang w:val="en-GB"/>
        </w:rPr>
        <w:t>6.1</w:t>
      </w:r>
      <w:r w:rsidRPr="00443215">
        <w:rPr>
          <w:rFonts w:ascii="Arial" w:hAnsi="Arial" w:cs="Arial"/>
          <w:lang w:val="en-GB"/>
        </w:rPr>
        <w:tab/>
        <w:t>The transfer of the shares constitutes a debt as contemplated by Section 10(1) of the Prescription Act</w:t>
      </w:r>
      <w:r w:rsidRPr="00443215">
        <w:rPr>
          <w:rStyle w:val="FootnoteReference"/>
          <w:rFonts w:ascii="Arial" w:hAnsi="Arial" w:cs="Arial"/>
          <w:lang w:val="en-GB"/>
        </w:rPr>
        <w:footnoteReference w:id="3"/>
      </w:r>
      <w:r w:rsidRPr="00443215">
        <w:rPr>
          <w:rFonts w:ascii="Arial" w:hAnsi="Arial" w:cs="Arial"/>
          <w:lang w:val="en-GB"/>
        </w:rPr>
        <w:t xml:space="preserve"> (“the Prescription Act”) to which the prescriptive period is 3 years as contemplated by Section 11(d) of the Prescription Act.  As the debt became due on 2 August 2016 and the application was only launched on </w:t>
      </w:r>
      <w:r w:rsidR="00C617AB" w:rsidRPr="00443215">
        <w:rPr>
          <w:rFonts w:ascii="Arial" w:hAnsi="Arial" w:cs="Arial"/>
          <w:lang w:val="en-GB"/>
        </w:rPr>
        <w:t xml:space="preserve">22 September 2020, more that 3 years have lapsed and accordingly the claim by the applicant became </w:t>
      </w:r>
      <w:r w:rsidR="00C617AB" w:rsidRPr="00443215">
        <w:rPr>
          <w:rFonts w:ascii="Arial" w:hAnsi="Arial" w:cs="Arial"/>
          <w:lang w:val="en-GB"/>
        </w:rPr>
        <w:lastRenderedPageBreak/>
        <w:t>unenforceable by way of prescription.  I will refer to this as “the prescription defence</w:t>
      </w:r>
      <w:r w:rsidR="009F0219" w:rsidRPr="00443215">
        <w:rPr>
          <w:rFonts w:ascii="Arial" w:hAnsi="Arial" w:cs="Arial"/>
          <w:lang w:val="en-GB"/>
        </w:rPr>
        <w:t>”</w:t>
      </w:r>
      <w:r w:rsidR="00C617AB" w:rsidRPr="00443215">
        <w:rPr>
          <w:rFonts w:ascii="Arial" w:hAnsi="Arial" w:cs="Arial"/>
          <w:lang w:val="en-GB"/>
        </w:rPr>
        <w:t>.</w:t>
      </w:r>
    </w:p>
    <w:p w14:paraId="0A704EA6" w14:textId="7B30DB93" w:rsidR="00C617AB" w:rsidRPr="00443215" w:rsidRDefault="00C617AB" w:rsidP="00487221">
      <w:pPr>
        <w:pStyle w:val="ListParagraph"/>
        <w:spacing w:line="480" w:lineRule="auto"/>
        <w:ind w:left="1431" w:hanging="580"/>
        <w:jc w:val="both"/>
        <w:rPr>
          <w:rFonts w:ascii="Arial" w:hAnsi="Arial" w:cs="Arial"/>
          <w:lang w:val="en-GB"/>
        </w:rPr>
      </w:pPr>
    </w:p>
    <w:p w14:paraId="1C6496AF" w14:textId="394BAAF0" w:rsidR="00C617AB" w:rsidRPr="00443215" w:rsidRDefault="00C617AB" w:rsidP="00487221">
      <w:pPr>
        <w:pStyle w:val="ListParagraph"/>
        <w:spacing w:line="480" w:lineRule="auto"/>
        <w:ind w:left="1431" w:hanging="580"/>
        <w:jc w:val="both"/>
        <w:rPr>
          <w:rFonts w:ascii="Arial" w:hAnsi="Arial" w:cs="Arial"/>
          <w:lang w:val="en-GB"/>
        </w:rPr>
      </w:pPr>
      <w:r w:rsidRPr="00443215">
        <w:rPr>
          <w:rFonts w:ascii="Arial" w:hAnsi="Arial" w:cs="Arial"/>
          <w:lang w:val="en-GB"/>
        </w:rPr>
        <w:t>6.2</w:t>
      </w:r>
      <w:r w:rsidRPr="00443215">
        <w:rPr>
          <w:rFonts w:ascii="Arial" w:hAnsi="Arial" w:cs="Arial"/>
          <w:lang w:val="en-GB"/>
        </w:rPr>
        <w:tab/>
        <w:t>The non-joinder of DI.  I will refer to this as “the non-joinder defence”.</w:t>
      </w:r>
    </w:p>
    <w:p w14:paraId="3D7CC146" w14:textId="760F7C48" w:rsidR="00C617AB" w:rsidRPr="00443215" w:rsidRDefault="00C617AB" w:rsidP="00487221">
      <w:pPr>
        <w:pStyle w:val="ListParagraph"/>
        <w:spacing w:line="480" w:lineRule="auto"/>
        <w:ind w:left="1431" w:hanging="580"/>
        <w:jc w:val="both"/>
        <w:rPr>
          <w:rFonts w:ascii="Arial" w:hAnsi="Arial" w:cs="Arial"/>
          <w:lang w:val="en-GB"/>
        </w:rPr>
      </w:pPr>
    </w:p>
    <w:p w14:paraId="4B1FDEE6" w14:textId="74446D20" w:rsidR="00C617AB" w:rsidRPr="00443215" w:rsidRDefault="00C617AB" w:rsidP="00487221">
      <w:pPr>
        <w:pStyle w:val="ListParagraph"/>
        <w:spacing w:line="480" w:lineRule="auto"/>
        <w:ind w:left="1431" w:hanging="580"/>
        <w:jc w:val="both"/>
        <w:rPr>
          <w:rFonts w:ascii="Arial" w:hAnsi="Arial" w:cs="Arial"/>
          <w:lang w:val="en-GB"/>
        </w:rPr>
      </w:pPr>
      <w:r w:rsidRPr="00443215">
        <w:rPr>
          <w:rFonts w:ascii="Arial" w:hAnsi="Arial" w:cs="Arial"/>
          <w:lang w:val="en-GB"/>
        </w:rPr>
        <w:t>6.3</w:t>
      </w:r>
      <w:r w:rsidRPr="00443215">
        <w:rPr>
          <w:rFonts w:ascii="Arial" w:hAnsi="Arial" w:cs="Arial"/>
          <w:lang w:val="en-GB"/>
        </w:rPr>
        <w:tab/>
        <w:t>The lack of authority on the part of Marais to have entered into the loan and the cession.  I will refer to this as “the authority defence”.</w:t>
      </w:r>
    </w:p>
    <w:p w14:paraId="02D7D2FD" w14:textId="77777777" w:rsidR="00F142BD" w:rsidRPr="00443215" w:rsidRDefault="00F142BD" w:rsidP="00487221">
      <w:pPr>
        <w:spacing w:line="480" w:lineRule="auto"/>
        <w:jc w:val="both"/>
        <w:rPr>
          <w:rFonts w:ascii="Arial" w:hAnsi="Arial" w:cs="Arial"/>
          <w:lang w:val="en-GB"/>
        </w:rPr>
      </w:pPr>
    </w:p>
    <w:p w14:paraId="747924CA" w14:textId="1C0ADAD1" w:rsidR="00F142BD"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[7]</w:t>
      </w:r>
      <w:r w:rsidRPr="00443215">
        <w:rPr>
          <w:rFonts w:ascii="Arial" w:hAnsi="Arial" w:cs="Arial"/>
          <w:lang w:val="en-GB"/>
        </w:rPr>
        <w:tab/>
      </w:r>
      <w:r w:rsidR="00C617AB" w:rsidRPr="009F7549">
        <w:rPr>
          <w:rFonts w:ascii="Arial" w:hAnsi="Arial" w:cs="Arial"/>
          <w:lang w:val="en-GB"/>
        </w:rPr>
        <w:t>The second of the three defences, namely the joinder defence, can swiftly be dealt with.  No relief is sought against DI.  DI is also, in no way, affected by the relief sought in this application.  It is not its shares which was ceded nor it was not the holder of the shares being ceded.  As no relief was sought, by way of a counterapplication by the first respondent in respect of the loan, DI’s involvement is simply not necessary.  Accordingly, there is no necessity</w:t>
      </w:r>
      <w:r w:rsidR="00C617AB" w:rsidRPr="00443215">
        <w:rPr>
          <w:rStyle w:val="FootnoteReference"/>
          <w:rFonts w:ascii="Arial" w:hAnsi="Arial" w:cs="Arial"/>
          <w:lang w:val="en-GB"/>
        </w:rPr>
        <w:footnoteReference w:id="4"/>
      </w:r>
      <w:r w:rsidR="00C617AB" w:rsidRPr="009F7549">
        <w:rPr>
          <w:rFonts w:ascii="Arial" w:hAnsi="Arial" w:cs="Arial"/>
          <w:lang w:val="en-GB"/>
        </w:rPr>
        <w:t xml:space="preserve"> to have DI joined to the proceedings.</w:t>
      </w:r>
    </w:p>
    <w:p w14:paraId="5981EFDE" w14:textId="69039CD8" w:rsidR="00C617AB" w:rsidRPr="00443215" w:rsidRDefault="00C617AB" w:rsidP="00487221">
      <w:pPr>
        <w:pStyle w:val="ListParagraph"/>
        <w:spacing w:line="480" w:lineRule="auto"/>
        <w:ind w:left="851"/>
        <w:jc w:val="both"/>
        <w:rPr>
          <w:rFonts w:ascii="Arial" w:hAnsi="Arial" w:cs="Arial"/>
          <w:lang w:val="en-GB"/>
        </w:rPr>
      </w:pPr>
    </w:p>
    <w:p w14:paraId="7B803EF1" w14:textId="7E7C3DB6" w:rsidR="00C617AB"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[8]</w:t>
      </w:r>
      <w:r w:rsidRPr="00443215">
        <w:rPr>
          <w:rFonts w:ascii="Arial" w:hAnsi="Arial" w:cs="Arial"/>
          <w:lang w:val="en-GB"/>
        </w:rPr>
        <w:tab/>
      </w:r>
      <w:r w:rsidR="00C617AB" w:rsidRPr="009F7549">
        <w:rPr>
          <w:rFonts w:ascii="Arial" w:hAnsi="Arial" w:cs="Arial"/>
          <w:lang w:val="en-GB"/>
        </w:rPr>
        <w:t>The prescription defence, at first blush, seems to be a good defence which is destructive of the applicant’s entire application.</w:t>
      </w:r>
      <w:r w:rsidR="00D11B51" w:rsidRPr="009F7549">
        <w:rPr>
          <w:rFonts w:ascii="Arial" w:hAnsi="Arial" w:cs="Arial"/>
          <w:lang w:val="en-GB"/>
        </w:rPr>
        <w:t xml:space="preserve">  Applying the Constitutional Court’s reasoning that the transfer of (immovable</w:t>
      </w:r>
      <w:r w:rsidR="00F42774" w:rsidRPr="009F7549">
        <w:rPr>
          <w:rFonts w:ascii="Arial" w:hAnsi="Arial" w:cs="Arial"/>
          <w:lang w:val="en-GB"/>
        </w:rPr>
        <w:t>)</w:t>
      </w:r>
      <w:r w:rsidR="00D11B51" w:rsidRPr="009F7549">
        <w:rPr>
          <w:rFonts w:ascii="Arial" w:hAnsi="Arial" w:cs="Arial"/>
          <w:lang w:val="en-GB"/>
        </w:rPr>
        <w:t xml:space="preserve"> property constitutes a debt,</w:t>
      </w:r>
      <w:r w:rsidR="00D11B51" w:rsidRPr="00443215">
        <w:rPr>
          <w:rStyle w:val="FootnoteReference"/>
          <w:rFonts w:ascii="Arial" w:hAnsi="Arial" w:cs="Arial"/>
          <w:lang w:val="en-GB"/>
        </w:rPr>
        <w:footnoteReference w:id="5"/>
      </w:r>
      <w:r w:rsidR="00D11B51" w:rsidRPr="009F7549">
        <w:rPr>
          <w:rFonts w:ascii="Arial" w:hAnsi="Arial" w:cs="Arial"/>
          <w:lang w:val="en-GB"/>
        </w:rPr>
        <w:t xml:space="preserve"> the transfer of shares according</w:t>
      </w:r>
      <w:r w:rsidR="00F42774" w:rsidRPr="009F7549">
        <w:rPr>
          <w:rFonts w:ascii="Arial" w:hAnsi="Arial" w:cs="Arial"/>
          <w:lang w:val="en-GB"/>
        </w:rPr>
        <w:t>ly</w:t>
      </w:r>
      <w:r w:rsidR="00D11B51" w:rsidRPr="009F7549">
        <w:rPr>
          <w:rFonts w:ascii="Arial" w:hAnsi="Arial" w:cs="Arial"/>
          <w:lang w:val="en-GB"/>
        </w:rPr>
        <w:t xml:space="preserve"> also constitutes a debt.  There is a fundamentally important aspect that must not be overlooked, namely what is being sought by the applicant is not a transfer of the shares.  The applicant seeks the respondent to take such actions necessary as contemplated by </w:t>
      </w:r>
      <w:r w:rsidR="00D11B51" w:rsidRPr="009F7549">
        <w:rPr>
          <w:rFonts w:ascii="Arial" w:hAnsi="Arial" w:cs="Arial"/>
          <w:lang w:val="en-GB"/>
        </w:rPr>
        <w:lastRenderedPageBreak/>
        <w:t xml:space="preserve">Section 51(5) and (6)(a) of the Companies Act to </w:t>
      </w:r>
      <w:r w:rsidR="00D11B51" w:rsidRPr="009F7549">
        <w:rPr>
          <w:rFonts w:ascii="Arial" w:hAnsi="Arial" w:cs="Arial"/>
          <w:i/>
          <w:iCs/>
          <w:lang w:val="en-GB"/>
        </w:rPr>
        <w:t>register</w:t>
      </w:r>
      <w:r w:rsidR="00D11B51" w:rsidRPr="009F7549">
        <w:rPr>
          <w:rFonts w:ascii="Arial" w:hAnsi="Arial" w:cs="Arial"/>
          <w:lang w:val="en-GB"/>
        </w:rPr>
        <w:t xml:space="preserve"> the transfer of the shares.</w:t>
      </w:r>
    </w:p>
    <w:p w14:paraId="21EC7DCB" w14:textId="17653150" w:rsidR="00D04A54" w:rsidRPr="00443215" w:rsidRDefault="00D04A54" w:rsidP="00487221">
      <w:pPr>
        <w:spacing w:line="480" w:lineRule="auto"/>
        <w:jc w:val="both"/>
        <w:rPr>
          <w:rFonts w:ascii="Arial" w:hAnsi="Arial" w:cs="Arial"/>
          <w:lang w:val="en-GB"/>
        </w:rPr>
      </w:pPr>
    </w:p>
    <w:p w14:paraId="30554C79" w14:textId="582E24B4" w:rsidR="0026195D"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[9]</w:t>
      </w:r>
      <w:r w:rsidRPr="00443215">
        <w:rPr>
          <w:rFonts w:ascii="Arial" w:hAnsi="Arial" w:cs="Arial"/>
          <w:lang w:val="en-GB"/>
        </w:rPr>
        <w:tab/>
      </w:r>
      <w:r w:rsidR="00F16949" w:rsidRPr="009F7549">
        <w:rPr>
          <w:rFonts w:ascii="Arial" w:hAnsi="Arial" w:cs="Arial"/>
          <w:lang w:val="en-GB"/>
        </w:rPr>
        <w:t xml:space="preserve">The applicant seeks no more than the preceding relief due to the </w:t>
      </w:r>
      <w:r w:rsidR="00064FB6" w:rsidRPr="009F7549">
        <w:rPr>
          <w:rFonts w:ascii="Arial" w:hAnsi="Arial" w:cs="Arial"/>
          <w:lang w:val="en-GB"/>
        </w:rPr>
        <w:t>effect</w:t>
      </w:r>
      <w:r w:rsidR="00F16949" w:rsidRPr="009F7549">
        <w:rPr>
          <w:rFonts w:ascii="Arial" w:hAnsi="Arial" w:cs="Arial"/>
          <w:lang w:val="en-GB"/>
        </w:rPr>
        <w:t xml:space="preserve"> of the outright cession.  </w:t>
      </w:r>
      <w:r w:rsidR="00E23549" w:rsidRPr="009F7549">
        <w:rPr>
          <w:rFonts w:ascii="Arial" w:hAnsi="Arial" w:cs="Arial"/>
          <w:lang w:val="en-GB"/>
        </w:rPr>
        <w:t xml:space="preserve">The </w:t>
      </w:r>
      <w:r w:rsidR="0026195D" w:rsidRPr="009F7549">
        <w:rPr>
          <w:rFonts w:ascii="Arial" w:hAnsi="Arial" w:cs="Arial"/>
          <w:lang w:val="en-GB"/>
        </w:rPr>
        <w:t xml:space="preserve">effect of an </w:t>
      </w:r>
      <w:r w:rsidR="00E23549" w:rsidRPr="009F7549">
        <w:rPr>
          <w:rFonts w:ascii="Arial" w:hAnsi="Arial" w:cs="Arial"/>
          <w:lang w:val="en-GB"/>
        </w:rPr>
        <w:t xml:space="preserve">outright cession </w:t>
      </w:r>
      <w:r w:rsidR="0026195D" w:rsidRPr="009F7549">
        <w:rPr>
          <w:rFonts w:ascii="Arial" w:hAnsi="Arial" w:cs="Arial"/>
          <w:lang w:val="en-GB"/>
        </w:rPr>
        <w:t>is trite.  The ownership of that which is ceded is transferred to the cessionary upon the cession being effected.</w:t>
      </w:r>
      <w:r w:rsidR="00155807" w:rsidRPr="00443215">
        <w:rPr>
          <w:rStyle w:val="FootnoteReference"/>
          <w:rFonts w:ascii="Arial" w:hAnsi="Arial" w:cs="Arial"/>
          <w:lang w:val="en-GB"/>
        </w:rPr>
        <w:footnoteReference w:id="6"/>
      </w:r>
      <w:r w:rsidR="0026195D" w:rsidRPr="009F7549">
        <w:rPr>
          <w:rFonts w:ascii="Arial" w:hAnsi="Arial" w:cs="Arial"/>
          <w:lang w:val="en-GB"/>
        </w:rPr>
        <w:t xml:space="preserve">  As such, the applicant became the owner of the shares upon the cession being effected.</w:t>
      </w:r>
    </w:p>
    <w:p w14:paraId="53638104" w14:textId="77777777" w:rsidR="0026195D" w:rsidRPr="00443215" w:rsidRDefault="0026195D" w:rsidP="00487221">
      <w:pPr>
        <w:pStyle w:val="ListParagraph"/>
        <w:spacing w:line="480" w:lineRule="auto"/>
        <w:jc w:val="both"/>
        <w:rPr>
          <w:rFonts w:ascii="Arial" w:hAnsi="Arial" w:cs="Arial"/>
          <w:lang w:val="en-GB"/>
        </w:rPr>
      </w:pPr>
    </w:p>
    <w:p w14:paraId="5FAF8C30" w14:textId="452A8A82" w:rsidR="00210A11"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[10]</w:t>
      </w:r>
      <w:r w:rsidRPr="00443215">
        <w:rPr>
          <w:rFonts w:ascii="Arial" w:hAnsi="Arial" w:cs="Arial"/>
          <w:lang w:val="en-GB"/>
        </w:rPr>
        <w:tab/>
      </w:r>
      <w:r w:rsidR="0026195D" w:rsidRPr="009F7549">
        <w:rPr>
          <w:rFonts w:ascii="Arial" w:hAnsi="Arial" w:cs="Arial"/>
          <w:lang w:val="en-GB"/>
        </w:rPr>
        <w:t>Although not dealt with during argument, I have had regard to the definition of “</w:t>
      </w:r>
      <w:r w:rsidR="0026195D" w:rsidRPr="009F7549">
        <w:rPr>
          <w:rFonts w:ascii="Arial" w:hAnsi="Arial" w:cs="Arial"/>
          <w:i/>
          <w:iCs/>
          <w:lang w:val="en-GB"/>
        </w:rPr>
        <w:t xml:space="preserve">shareholder” </w:t>
      </w:r>
      <w:r w:rsidR="0026195D" w:rsidRPr="009F7549">
        <w:rPr>
          <w:rFonts w:ascii="Arial" w:hAnsi="Arial" w:cs="Arial"/>
          <w:lang w:val="en-GB"/>
        </w:rPr>
        <w:t>in the Companies Act, which requires entry into the share register as a shareholder prior to being considered a shareholder.  In my view, this is not indicative of any intention on the part of the Legislature to add an additional requirement for the ownership of shares to be passed.  It does no more than denote a certain step that is required, namely the entering into of the required details into the share register, in order to exercise the statutory rights accorded to a holder of shares.</w:t>
      </w:r>
    </w:p>
    <w:p w14:paraId="2204C6A0" w14:textId="77777777" w:rsidR="00FA4EA5" w:rsidRPr="00443215" w:rsidRDefault="00FA4EA5" w:rsidP="00487221">
      <w:pPr>
        <w:pStyle w:val="ListParagraph"/>
        <w:spacing w:line="480" w:lineRule="auto"/>
        <w:jc w:val="both"/>
        <w:rPr>
          <w:rFonts w:ascii="Arial" w:hAnsi="Arial" w:cs="Arial"/>
          <w:lang w:val="en-GB"/>
        </w:rPr>
      </w:pPr>
    </w:p>
    <w:p w14:paraId="0CF805D7" w14:textId="5E6AC5DD" w:rsidR="00FA4EA5"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[11]</w:t>
      </w:r>
      <w:r w:rsidRPr="00443215">
        <w:rPr>
          <w:rFonts w:ascii="Arial" w:hAnsi="Arial" w:cs="Arial"/>
          <w:lang w:val="en-GB"/>
        </w:rPr>
        <w:tab/>
      </w:r>
      <w:r w:rsidR="00FA4EA5" w:rsidRPr="009F7549">
        <w:rPr>
          <w:rFonts w:ascii="Arial" w:hAnsi="Arial" w:cs="Arial"/>
          <w:lang w:val="en-GB"/>
        </w:rPr>
        <w:t xml:space="preserve">As the ownership of the shares have been transferred, in my view, to the applicant when the cession was </w:t>
      </w:r>
      <w:r w:rsidR="009A0678" w:rsidRPr="009F7549">
        <w:rPr>
          <w:rFonts w:ascii="Arial" w:hAnsi="Arial" w:cs="Arial"/>
          <w:lang w:val="en-GB"/>
        </w:rPr>
        <w:t>a</w:t>
      </w:r>
      <w:r w:rsidR="00FA4EA5" w:rsidRPr="009F7549">
        <w:rPr>
          <w:rFonts w:ascii="Arial" w:hAnsi="Arial" w:cs="Arial"/>
          <w:lang w:val="en-GB"/>
        </w:rPr>
        <w:t>ffected, there is no debt that can prescribe.  What the applicant seeks to enforce is no more than the administrative requirement of the second respondent to enter the transfer of the shares in its share transfer register.  Accordingly, the prescription defence must fail.</w:t>
      </w:r>
    </w:p>
    <w:p w14:paraId="5EE4C776" w14:textId="77777777" w:rsidR="00FA4EA5" w:rsidRPr="00443215" w:rsidRDefault="00FA4EA5" w:rsidP="00487221">
      <w:pPr>
        <w:pStyle w:val="ListParagraph"/>
        <w:spacing w:line="480" w:lineRule="auto"/>
        <w:jc w:val="both"/>
        <w:rPr>
          <w:rFonts w:ascii="Arial" w:hAnsi="Arial" w:cs="Arial"/>
          <w:lang w:val="en-GB"/>
        </w:rPr>
      </w:pPr>
    </w:p>
    <w:p w14:paraId="19021382" w14:textId="087EE0C1" w:rsidR="00287ADD"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lastRenderedPageBreak/>
        <w:t>[12]</w:t>
      </w:r>
      <w:r w:rsidRPr="00443215">
        <w:rPr>
          <w:rFonts w:ascii="Arial" w:hAnsi="Arial" w:cs="Arial"/>
          <w:lang w:val="en-GB"/>
        </w:rPr>
        <w:tab/>
      </w:r>
      <w:r w:rsidR="00FA4EA5" w:rsidRPr="009F7549">
        <w:rPr>
          <w:rFonts w:ascii="Arial" w:hAnsi="Arial" w:cs="Arial"/>
          <w:lang w:val="en-GB"/>
        </w:rPr>
        <w:t xml:space="preserve">This leaves the authority defence.  In this regard it must be remembered that </w:t>
      </w:r>
      <w:r w:rsidR="00287ADD" w:rsidRPr="009F7549">
        <w:rPr>
          <w:rFonts w:ascii="Arial" w:hAnsi="Arial" w:cs="Arial"/>
          <w:lang w:val="en-GB"/>
        </w:rPr>
        <w:t>it is alleged in the founding affidavit that the first respondent was duly represented by Marais and one Mr Paul Langa (“Langa”).  It must further be remembered that the cession</w:t>
      </w:r>
      <w:r w:rsidR="00D30BA9" w:rsidRPr="009F7549">
        <w:rPr>
          <w:rFonts w:ascii="Arial" w:hAnsi="Arial" w:cs="Arial"/>
          <w:lang w:val="en-GB"/>
        </w:rPr>
        <w:t>, contra to what is stated in the founding affidavit,</w:t>
      </w:r>
      <w:r w:rsidR="00287ADD" w:rsidRPr="009F7549">
        <w:rPr>
          <w:rFonts w:ascii="Arial" w:hAnsi="Arial" w:cs="Arial"/>
          <w:lang w:val="en-GB"/>
        </w:rPr>
        <w:t xml:space="preserve"> refers to the first respondent being represented by (only) Marais.  The first respondent, fixated on that which is contained </w:t>
      </w:r>
      <w:r w:rsidR="00064FB6" w:rsidRPr="009F7549">
        <w:rPr>
          <w:rFonts w:ascii="Arial" w:hAnsi="Arial" w:cs="Arial"/>
          <w:lang w:val="en-GB"/>
        </w:rPr>
        <w:t>on the front page of</w:t>
      </w:r>
      <w:r w:rsidR="00287ADD" w:rsidRPr="009F7549">
        <w:rPr>
          <w:rFonts w:ascii="Arial" w:hAnsi="Arial" w:cs="Arial"/>
          <w:lang w:val="en-GB"/>
        </w:rPr>
        <w:t xml:space="preserve"> the cession</w:t>
      </w:r>
      <w:r w:rsidR="00551C29" w:rsidRPr="009F7549">
        <w:rPr>
          <w:rFonts w:ascii="Arial" w:hAnsi="Arial" w:cs="Arial"/>
          <w:lang w:val="en-GB"/>
        </w:rPr>
        <w:t xml:space="preserve"> and disregarding the allegations in the founding affidavit</w:t>
      </w:r>
      <w:r w:rsidR="00287ADD" w:rsidRPr="009F7549">
        <w:rPr>
          <w:rFonts w:ascii="Arial" w:hAnsi="Arial" w:cs="Arial"/>
          <w:lang w:val="en-GB"/>
        </w:rPr>
        <w:t xml:space="preserve">, only dealt with the alleged lack of authority </w:t>
      </w:r>
      <w:r w:rsidR="00064FB6" w:rsidRPr="009F7549">
        <w:rPr>
          <w:rFonts w:ascii="Arial" w:hAnsi="Arial" w:cs="Arial"/>
          <w:lang w:val="en-GB"/>
        </w:rPr>
        <w:t>of</w:t>
      </w:r>
      <w:r w:rsidR="00287ADD" w:rsidRPr="009F7549">
        <w:rPr>
          <w:rFonts w:ascii="Arial" w:hAnsi="Arial" w:cs="Arial"/>
          <w:lang w:val="en-GB"/>
        </w:rPr>
        <w:t xml:space="preserve"> Marais to have entered into the loan and the cession in its answering affidavit.  It is within this context that the controversy relating to the alleged lack of authority must be decided in terms of the </w:t>
      </w:r>
      <w:r w:rsidR="00287ADD" w:rsidRPr="009F7549">
        <w:rPr>
          <w:rFonts w:ascii="Arial" w:hAnsi="Arial" w:cs="Arial"/>
          <w:i/>
          <w:iCs/>
          <w:lang w:val="en-GB"/>
        </w:rPr>
        <w:t>Plascon-Evans-</w:t>
      </w:r>
      <w:r w:rsidR="00287ADD" w:rsidRPr="009F7549">
        <w:rPr>
          <w:rFonts w:ascii="Arial" w:hAnsi="Arial" w:cs="Arial"/>
          <w:lang w:val="en-GB"/>
        </w:rPr>
        <w:t>rule, as interpreted over the years.</w:t>
      </w:r>
      <w:r w:rsidR="00155807" w:rsidRPr="00443215">
        <w:rPr>
          <w:rStyle w:val="FootnoteReference"/>
          <w:rFonts w:ascii="Arial" w:hAnsi="Arial" w:cs="Arial"/>
          <w:lang w:val="en-GB"/>
        </w:rPr>
        <w:footnoteReference w:id="7"/>
      </w:r>
    </w:p>
    <w:p w14:paraId="6E09D514" w14:textId="57CF0D27" w:rsidR="00287ADD"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lastRenderedPageBreak/>
        <w:t>[13]</w:t>
      </w:r>
      <w:r w:rsidRPr="00443215">
        <w:rPr>
          <w:rFonts w:ascii="Arial" w:hAnsi="Arial" w:cs="Arial"/>
          <w:lang w:val="en-GB"/>
        </w:rPr>
        <w:tab/>
      </w:r>
      <w:r w:rsidR="00287ADD" w:rsidRPr="009F7549">
        <w:rPr>
          <w:rFonts w:ascii="Arial" w:hAnsi="Arial" w:cs="Arial"/>
          <w:lang w:val="en-GB"/>
        </w:rPr>
        <w:t>In my view, the most convenient starting point is the alleged lack of authority in respect of the loan.  It is common cause that at the time of entering into the loan, DI’s sole director was Marais.  On what basis it can therefore be alleged that Marais did not have the authority to enter into the loan on behalf of DI escapes me.</w:t>
      </w:r>
    </w:p>
    <w:p w14:paraId="0A40523C" w14:textId="77777777" w:rsidR="00287ADD" w:rsidRPr="00443215" w:rsidRDefault="00287ADD" w:rsidP="00487221">
      <w:pPr>
        <w:pStyle w:val="ListParagraph"/>
        <w:spacing w:line="480" w:lineRule="auto"/>
        <w:jc w:val="both"/>
        <w:rPr>
          <w:rFonts w:ascii="Arial" w:hAnsi="Arial" w:cs="Arial"/>
          <w:lang w:val="en-GB"/>
        </w:rPr>
      </w:pPr>
    </w:p>
    <w:p w14:paraId="0D19835E" w14:textId="42705A29" w:rsidR="00250CE8"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[14]</w:t>
      </w:r>
      <w:r w:rsidRPr="00443215">
        <w:rPr>
          <w:rFonts w:ascii="Arial" w:hAnsi="Arial" w:cs="Arial"/>
          <w:lang w:val="en-GB"/>
        </w:rPr>
        <w:tab/>
      </w:r>
      <w:r w:rsidR="00287ADD" w:rsidRPr="009F7549">
        <w:rPr>
          <w:rFonts w:ascii="Arial" w:hAnsi="Arial" w:cs="Arial"/>
          <w:lang w:val="en-GB"/>
        </w:rPr>
        <w:t xml:space="preserve">The authority aspect relating to the cession must then be dealt with.  The argument by the first respondent is that Marais was not a director of the first respondent and could therefor not have represented the first respondent.  </w:t>
      </w:r>
      <w:r w:rsidR="00287ADD" w:rsidRPr="009F7549">
        <w:rPr>
          <w:rFonts w:ascii="Arial" w:hAnsi="Arial" w:cs="Arial"/>
          <w:i/>
          <w:iCs/>
          <w:lang w:val="en-GB"/>
        </w:rPr>
        <w:t>Ms Slabbert</w:t>
      </w:r>
      <w:r w:rsidR="00287ADD" w:rsidRPr="009F7549">
        <w:rPr>
          <w:rFonts w:ascii="Arial" w:hAnsi="Arial" w:cs="Arial"/>
          <w:lang w:val="en-GB"/>
        </w:rPr>
        <w:t>, appearing for the first respondent did accept during argument that any person may be authorised to act on behalf of the first respondent</w:t>
      </w:r>
      <w:r w:rsidR="00250CE8" w:rsidRPr="009F7549">
        <w:rPr>
          <w:rFonts w:ascii="Arial" w:hAnsi="Arial" w:cs="Arial"/>
          <w:lang w:val="en-GB"/>
        </w:rPr>
        <w:t xml:space="preserve"> and that </w:t>
      </w:r>
      <w:r w:rsidR="00250CE8" w:rsidRPr="009F7549">
        <w:rPr>
          <w:rFonts w:ascii="Arial" w:hAnsi="Arial" w:cs="Arial"/>
          <w:lang w:val="en-GB"/>
        </w:rPr>
        <w:lastRenderedPageBreak/>
        <w:t>a director may delegate certain responsibilities.  Nothing therefore turns on the point that Marais was not a director of the first respondent.</w:t>
      </w:r>
      <w:r w:rsidR="00287ADD" w:rsidRPr="009F7549">
        <w:rPr>
          <w:rFonts w:ascii="Arial" w:hAnsi="Arial" w:cs="Arial"/>
          <w:i/>
          <w:iCs/>
          <w:lang w:val="en-GB"/>
        </w:rPr>
        <w:t xml:space="preserve"> </w:t>
      </w:r>
    </w:p>
    <w:p w14:paraId="26D155B0" w14:textId="77777777" w:rsidR="00250CE8" w:rsidRPr="00443215" w:rsidRDefault="00250CE8" w:rsidP="00487221">
      <w:pPr>
        <w:pStyle w:val="ListParagraph"/>
        <w:spacing w:line="480" w:lineRule="auto"/>
        <w:jc w:val="both"/>
        <w:rPr>
          <w:rFonts w:ascii="Arial" w:hAnsi="Arial" w:cs="Arial"/>
          <w:lang w:val="en-GB"/>
        </w:rPr>
      </w:pPr>
    </w:p>
    <w:p w14:paraId="7517D646" w14:textId="1C718A9C" w:rsidR="00D11B51"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[15]</w:t>
      </w:r>
      <w:r w:rsidRPr="00443215">
        <w:rPr>
          <w:rFonts w:ascii="Arial" w:hAnsi="Arial" w:cs="Arial"/>
          <w:lang w:val="en-GB"/>
        </w:rPr>
        <w:tab/>
      </w:r>
      <w:r w:rsidR="00250CE8" w:rsidRPr="009F7549">
        <w:rPr>
          <w:rFonts w:ascii="Arial" w:hAnsi="Arial" w:cs="Arial"/>
          <w:lang w:val="en-GB"/>
        </w:rPr>
        <w:t xml:space="preserve">Of importance relating to the authority issue in respect of the cession, the first respondent at no stage alleges in its answering affidavit that </w:t>
      </w:r>
      <w:r w:rsidR="00287ADD" w:rsidRPr="009F7549">
        <w:rPr>
          <w:rFonts w:ascii="Arial" w:hAnsi="Arial" w:cs="Arial"/>
          <w:lang w:val="en-GB"/>
        </w:rPr>
        <w:t>for authority to have been properly exercised, there must have been two signatories to the cession, both of whom must be authorised to act on behalf of the first respondent</w:t>
      </w:r>
      <w:r w:rsidR="00250CE8" w:rsidRPr="009F7549">
        <w:rPr>
          <w:rFonts w:ascii="Arial" w:hAnsi="Arial" w:cs="Arial"/>
          <w:lang w:val="en-GB"/>
        </w:rPr>
        <w:t>.  The import hereof lies therein that, in terms of the founding affidavit, the first respondent was duly represented by Marais and Langa.  In the absence of an allegation that there must have been two authorised signatories to the cession, even if the authority of Marais fails, the authority of Langa remains</w:t>
      </w:r>
      <w:r w:rsidR="001E2F2C" w:rsidRPr="009F7549">
        <w:rPr>
          <w:rFonts w:ascii="Arial" w:hAnsi="Arial" w:cs="Arial"/>
          <w:lang w:val="en-GB"/>
        </w:rPr>
        <w:t xml:space="preserve"> unaffected</w:t>
      </w:r>
      <w:r w:rsidR="00250CE8" w:rsidRPr="009F7549">
        <w:rPr>
          <w:rFonts w:ascii="Arial" w:hAnsi="Arial" w:cs="Arial"/>
          <w:lang w:val="en-GB"/>
        </w:rPr>
        <w:t xml:space="preserve"> as it is unanswered to, save for a bald denial of the allegation that </w:t>
      </w:r>
      <w:r w:rsidR="00250CE8" w:rsidRPr="009F7549">
        <w:rPr>
          <w:rFonts w:ascii="Arial" w:hAnsi="Arial" w:cs="Arial"/>
          <w:i/>
          <w:iCs/>
          <w:lang w:val="en-GB"/>
        </w:rPr>
        <w:t>“both”</w:t>
      </w:r>
      <w:r w:rsidR="00250CE8" w:rsidRPr="009F7549">
        <w:rPr>
          <w:rFonts w:ascii="Arial" w:hAnsi="Arial" w:cs="Arial"/>
          <w:lang w:val="en-GB"/>
        </w:rPr>
        <w:t xml:space="preserve"> Marais and Langa duly represented the first respondent.</w:t>
      </w:r>
    </w:p>
    <w:p w14:paraId="557D4865" w14:textId="77777777" w:rsidR="00250CE8" w:rsidRPr="00443215" w:rsidRDefault="00250CE8" w:rsidP="00487221">
      <w:pPr>
        <w:pStyle w:val="ListParagraph"/>
        <w:spacing w:line="480" w:lineRule="auto"/>
        <w:jc w:val="both"/>
        <w:rPr>
          <w:rFonts w:ascii="Arial" w:hAnsi="Arial" w:cs="Arial"/>
          <w:lang w:val="en-GB"/>
        </w:rPr>
      </w:pPr>
    </w:p>
    <w:p w14:paraId="6B6D26FA" w14:textId="574A9B31" w:rsidR="00250CE8"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[16]</w:t>
      </w:r>
      <w:r w:rsidRPr="00443215">
        <w:rPr>
          <w:rFonts w:ascii="Arial" w:hAnsi="Arial" w:cs="Arial"/>
          <w:lang w:val="en-GB"/>
        </w:rPr>
        <w:tab/>
      </w:r>
      <w:r w:rsidR="00250CE8" w:rsidRPr="009F7549">
        <w:rPr>
          <w:rFonts w:ascii="Arial" w:hAnsi="Arial" w:cs="Arial"/>
          <w:lang w:val="en-GB"/>
        </w:rPr>
        <w:t>Prior to dealing with the authority point further, I must first interject to consider the effect of the allegation in the founding affidavit that the first respondent was duly represented by Marais and Langa whilst the cession stipulates only representation by Marais.  It is trite that extraneous evidence may not be used to alter the meaning of terms of an agreement.</w:t>
      </w:r>
      <w:r w:rsidR="00250CE8" w:rsidRPr="00443215">
        <w:rPr>
          <w:rStyle w:val="FootnoteReference"/>
          <w:rFonts w:ascii="Arial" w:hAnsi="Arial" w:cs="Arial"/>
          <w:lang w:val="en-GB"/>
        </w:rPr>
        <w:footnoteReference w:id="8"/>
      </w:r>
      <w:r w:rsidR="0006274F" w:rsidRPr="009F7549">
        <w:rPr>
          <w:rFonts w:ascii="Arial" w:hAnsi="Arial" w:cs="Arial"/>
          <w:lang w:val="en-GB"/>
        </w:rPr>
        <w:t xml:space="preserve">  The question thus arises what the status of the indication of Marais’ representation of the first respondent in the agreement is.  Is it indication of Marais’ representation a term of the agreement or is it no more than a recording of representation.  In my view, the recordal of Marais as the first respondent’s representative is not a term of the </w:t>
      </w:r>
      <w:r w:rsidR="0006274F" w:rsidRPr="009F7549">
        <w:rPr>
          <w:rFonts w:ascii="Arial" w:hAnsi="Arial" w:cs="Arial"/>
          <w:lang w:val="en-GB"/>
        </w:rPr>
        <w:lastRenderedPageBreak/>
        <w:t>agreement.</w:t>
      </w:r>
      <w:r w:rsidR="002C2854" w:rsidRPr="009F7549">
        <w:rPr>
          <w:rFonts w:ascii="Arial" w:hAnsi="Arial" w:cs="Arial"/>
          <w:lang w:val="en-GB"/>
        </w:rPr>
        <w:t xml:space="preserve">  In my view, it is nothing more than a recital</w:t>
      </w:r>
      <w:r w:rsidR="00D45B08" w:rsidRPr="009F7549">
        <w:rPr>
          <w:rFonts w:ascii="Arial" w:hAnsi="Arial" w:cs="Arial"/>
          <w:lang w:val="en-GB"/>
        </w:rPr>
        <w:t xml:space="preserve"> and was never intended to create any contractual obligation that the first respondent must and can only be represented by Marais.</w:t>
      </w:r>
      <w:r w:rsidR="00D45B08" w:rsidRPr="00443215">
        <w:rPr>
          <w:rStyle w:val="FootnoteReference"/>
          <w:rFonts w:ascii="Arial" w:hAnsi="Arial" w:cs="Arial"/>
          <w:lang w:val="en-GB"/>
        </w:rPr>
        <w:footnoteReference w:id="9"/>
      </w:r>
      <w:r w:rsidR="0006274F" w:rsidRPr="009F7549">
        <w:rPr>
          <w:rFonts w:ascii="Arial" w:hAnsi="Arial" w:cs="Arial"/>
          <w:lang w:val="en-GB"/>
        </w:rPr>
        <w:t xml:space="preserve">  The question comes to mind what would have occurred if, upon signature of the agreement, Marais was not available to sign the agreement (for example due to the fact that he was stuck in traffic occasioned by loadshedding), but another person who may validly represent the first respondent signed the agreement and no one bothered to change the recordal of representation.  Would this then invalidate the agreement?  Or would it preclude a party seeking to rely on the agreement for adducing evidence as to who signed the agreement on behalf of a particular party.  I think not.  Nothing therefore turns on the fact that the cession does not indicate that Langa would also, or in the absence of Marais, </w:t>
      </w:r>
      <w:r w:rsidR="000D4B5E" w:rsidRPr="009F7549">
        <w:rPr>
          <w:rFonts w:ascii="Arial" w:hAnsi="Arial" w:cs="Arial"/>
          <w:lang w:val="en-GB"/>
        </w:rPr>
        <w:t xml:space="preserve">represent </w:t>
      </w:r>
      <w:r w:rsidR="0006274F" w:rsidRPr="009F7549">
        <w:rPr>
          <w:rFonts w:ascii="Arial" w:hAnsi="Arial" w:cs="Arial"/>
          <w:lang w:val="en-GB"/>
        </w:rPr>
        <w:t xml:space="preserve">the first respondent.  </w:t>
      </w:r>
    </w:p>
    <w:p w14:paraId="1B86A87C" w14:textId="4EF3EB35" w:rsidR="0006274F" w:rsidRPr="00443215" w:rsidRDefault="0006274F" w:rsidP="00487221">
      <w:pPr>
        <w:pStyle w:val="ListParagraph"/>
        <w:spacing w:line="480" w:lineRule="auto"/>
        <w:ind w:left="851"/>
        <w:jc w:val="both"/>
        <w:rPr>
          <w:rFonts w:ascii="Arial" w:hAnsi="Arial" w:cs="Arial"/>
          <w:lang w:val="en-GB"/>
        </w:rPr>
      </w:pPr>
    </w:p>
    <w:p w14:paraId="47D63BB6" w14:textId="09CEC0E7" w:rsidR="00287ADD"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[17]</w:t>
      </w:r>
      <w:r w:rsidRPr="00443215">
        <w:rPr>
          <w:rFonts w:ascii="Arial" w:hAnsi="Arial" w:cs="Arial"/>
          <w:lang w:val="en-GB"/>
        </w:rPr>
        <w:tab/>
      </w:r>
      <w:r w:rsidR="0006274F" w:rsidRPr="009F7549">
        <w:rPr>
          <w:rFonts w:ascii="Arial" w:hAnsi="Arial" w:cs="Arial"/>
          <w:lang w:val="en-GB"/>
        </w:rPr>
        <w:t>The more substantive question to be posed is whether Langa had authority to sign the cession on behalf of the first respondent</w:t>
      </w:r>
      <w:r w:rsidR="00C606E5" w:rsidRPr="009F7549">
        <w:rPr>
          <w:rFonts w:ascii="Arial" w:hAnsi="Arial" w:cs="Arial"/>
          <w:lang w:val="en-GB"/>
        </w:rPr>
        <w:t>, as alleged by the applicant</w:t>
      </w:r>
      <w:r w:rsidR="0006274F" w:rsidRPr="009F7549">
        <w:rPr>
          <w:rFonts w:ascii="Arial" w:hAnsi="Arial" w:cs="Arial"/>
          <w:lang w:val="en-GB"/>
        </w:rPr>
        <w:t>.  The first respondent simply did not deal with Langa’s</w:t>
      </w:r>
      <w:r w:rsidR="0012270A" w:rsidRPr="009F7549">
        <w:rPr>
          <w:rFonts w:ascii="Arial" w:hAnsi="Arial" w:cs="Arial"/>
          <w:lang w:val="en-GB"/>
        </w:rPr>
        <w:t xml:space="preserve"> </w:t>
      </w:r>
      <w:r w:rsidR="0006274F" w:rsidRPr="009F7549">
        <w:rPr>
          <w:rFonts w:ascii="Arial" w:hAnsi="Arial" w:cs="Arial"/>
          <w:lang w:val="en-GB"/>
        </w:rPr>
        <w:t>authority save for a bald denial that</w:t>
      </w:r>
      <w:r w:rsidR="0066588B" w:rsidRPr="009F7549">
        <w:rPr>
          <w:rFonts w:ascii="Arial" w:hAnsi="Arial" w:cs="Arial"/>
          <w:lang w:val="en-GB"/>
        </w:rPr>
        <w:t xml:space="preserve"> Marais and Langa both duly represented the first respondent.  This denial can be construed in at least two ways, namely that Marais and Langa</w:t>
      </w:r>
      <w:r w:rsidR="002A131B" w:rsidRPr="009F7549">
        <w:rPr>
          <w:rFonts w:ascii="Arial" w:hAnsi="Arial" w:cs="Arial"/>
          <w:lang w:val="en-GB"/>
        </w:rPr>
        <w:t xml:space="preserve"> acting jointly,</w:t>
      </w:r>
      <w:r w:rsidR="0066588B" w:rsidRPr="009F7549">
        <w:rPr>
          <w:rFonts w:ascii="Arial" w:hAnsi="Arial" w:cs="Arial"/>
          <w:lang w:val="en-GB"/>
        </w:rPr>
        <w:t xml:space="preserve"> </w:t>
      </w:r>
      <w:r w:rsidR="00C606E5" w:rsidRPr="009F7549">
        <w:rPr>
          <w:rFonts w:ascii="Arial" w:hAnsi="Arial" w:cs="Arial"/>
          <w:lang w:val="en-GB"/>
        </w:rPr>
        <w:t xml:space="preserve">did not </w:t>
      </w:r>
      <w:r w:rsidR="0066588B" w:rsidRPr="009F7549">
        <w:rPr>
          <w:rFonts w:ascii="Arial" w:hAnsi="Arial" w:cs="Arial"/>
          <w:lang w:val="en-GB"/>
        </w:rPr>
        <w:t>duly represent the first respondent</w:t>
      </w:r>
      <w:r w:rsidR="002A131B" w:rsidRPr="009F7549">
        <w:rPr>
          <w:rFonts w:ascii="Arial" w:hAnsi="Arial" w:cs="Arial"/>
          <w:lang w:val="en-GB"/>
        </w:rPr>
        <w:t>,</w:t>
      </w:r>
      <w:r w:rsidR="0066588B" w:rsidRPr="009F7549">
        <w:rPr>
          <w:rFonts w:ascii="Arial" w:hAnsi="Arial" w:cs="Arial"/>
          <w:lang w:val="en-GB"/>
        </w:rPr>
        <w:t xml:space="preserve"> or that neither Langa nor Marais</w:t>
      </w:r>
      <w:r w:rsidR="00C606E5" w:rsidRPr="009F7549">
        <w:rPr>
          <w:rFonts w:ascii="Arial" w:hAnsi="Arial" w:cs="Arial"/>
          <w:lang w:val="en-GB"/>
        </w:rPr>
        <w:t xml:space="preserve"> individually,</w:t>
      </w:r>
      <w:r w:rsidR="0066588B" w:rsidRPr="009F7549">
        <w:rPr>
          <w:rFonts w:ascii="Arial" w:hAnsi="Arial" w:cs="Arial"/>
          <w:lang w:val="en-GB"/>
        </w:rPr>
        <w:t xml:space="preserve"> duly represented the first respondent.  Having regard to the attack on Marais’ authority</w:t>
      </w:r>
      <w:r w:rsidR="001F17CC" w:rsidRPr="009F7549">
        <w:rPr>
          <w:rFonts w:ascii="Arial" w:hAnsi="Arial" w:cs="Arial"/>
          <w:lang w:val="en-GB"/>
        </w:rPr>
        <w:t xml:space="preserve"> only</w:t>
      </w:r>
      <w:r w:rsidR="0066588B" w:rsidRPr="009F7549">
        <w:rPr>
          <w:rFonts w:ascii="Arial" w:hAnsi="Arial" w:cs="Arial"/>
          <w:lang w:val="en-GB"/>
        </w:rPr>
        <w:t xml:space="preserve">, the second construction is </w:t>
      </w:r>
      <w:r w:rsidR="001F17CC" w:rsidRPr="009F7549">
        <w:rPr>
          <w:rFonts w:ascii="Arial" w:hAnsi="Arial" w:cs="Arial"/>
          <w:lang w:val="en-GB"/>
        </w:rPr>
        <w:t>the</w:t>
      </w:r>
      <w:r w:rsidR="0066588B" w:rsidRPr="009F7549">
        <w:rPr>
          <w:rFonts w:ascii="Arial" w:hAnsi="Arial" w:cs="Arial"/>
          <w:lang w:val="en-GB"/>
        </w:rPr>
        <w:t xml:space="preserve"> more probable construction.</w:t>
      </w:r>
    </w:p>
    <w:p w14:paraId="3E2F8876" w14:textId="77777777" w:rsidR="0066588B" w:rsidRPr="00443215" w:rsidRDefault="0066588B" w:rsidP="00487221">
      <w:pPr>
        <w:pStyle w:val="ListParagraph"/>
        <w:spacing w:line="480" w:lineRule="auto"/>
        <w:jc w:val="both"/>
        <w:rPr>
          <w:rFonts w:ascii="Arial" w:hAnsi="Arial" w:cs="Arial"/>
          <w:lang w:val="en-GB"/>
        </w:rPr>
      </w:pPr>
    </w:p>
    <w:p w14:paraId="7696FC08" w14:textId="476664C5" w:rsidR="0066588B"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lastRenderedPageBreak/>
        <w:t>[18]</w:t>
      </w:r>
      <w:r w:rsidRPr="00443215">
        <w:rPr>
          <w:rFonts w:ascii="Arial" w:hAnsi="Arial" w:cs="Arial"/>
          <w:lang w:val="en-GB"/>
        </w:rPr>
        <w:tab/>
      </w:r>
      <w:r w:rsidR="0066588B" w:rsidRPr="009F7549">
        <w:rPr>
          <w:rFonts w:ascii="Arial" w:hAnsi="Arial" w:cs="Arial"/>
          <w:lang w:val="en-GB"/>
        </w:rPr>
        <w:t xml:space="preserve">During argument, </w:t>
      </w:r>
      <w:r w:rsidR="0066588B" w:rsidRPr="009F7549">
        <w:rPr>
          <w:rFonts w:ascii="Arial" w:hAnsi="Arial" w:cs="Arial"/>
          <w:i/>
          <w:iCs/>
          <w:lang w:val="en-GB"/>
        </w:rPr>
        <w:t>Ms Slabbert</w:t>
      </w:r>
      <w:r w:rsidR="0066588B" w:rsidRPr="009F7549">
        <w:rPr>
          <w:rFonts w:ascii="Arial" w:hAnsi="Arial" w:cs="Arial"/>
          <w:lang w:val="en-GB"/>
        </w:rPr>
        <w:t xml:space="preserve"> sought to rely thereon that the first respondent’s deponent, Mr Mmethi (“Mmethi”) who is also the director of the first respondent, alleges that neither the first nor the second respondent was aware of the existence of the cession, or for that matter, the loan.  The problem for the first respondent in this regard is that the second respondent has two directors, namely Mmethi and Langa and no confirmatory affidavit from Langa is provided to confirm that he was unaware of the existence of the cession.  There is also no disputing of the allegation by the applicant that Langa was duly authorised to act on behalf of the first respondent.</w:t>
      </w:r>
    </w:p>
    <w:p w14:paraId="60396F23" w14:textId="77777777" w:rsidR="0066588B" w:rsidRPr="00443215" w:rsidRDefault="0066588B" w:rsidP="00487221">
      <w:pPr>
        <w:pStyle w:val="ListParagraph"/>
        <w:spacing w:line="480" w:lineRule="auto"/>
        <w:jc w:val="both"/>
        <w:rPr>
          <w:rFonts w:ascii="Arial" w:hAnsi="Arial" w:cs="Arial"/>
          <w:lang w:val="en-GB"/>
        </w:rPr>
      </w:pPr>
    </w:p>
    <w:p w14:paraId="74401F9B" w14:textId="7B0CE4E6" w:rsidR="00DC2ED7"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[19]</w:t>
      </w:r>
      <w:r w:rsidRPr="00443215">
        <w:rPr>
          <w:rFonts w:ascii="Arial" w:hAnsi="Arial" w:cs="Arial"/>
          <w:lang w:val="en-GB"/>
        </w:rPr>
        <w:tab/>
      </w:r>
      <w:r w:rsidR="0066588B" w:rsidRPr="009F7549">
        <w:rPr>
          <w:rFonts w:ascii="Arial" w:hAnsi="Arial" w:cs="Arial"/>
          <w:lang w:val="en-GB"/>
        </w:rPr>
        <w:t xml:space="preserve">As Langa’s authority is not even dealt with by the first respondent, there </w:t>
      </w:r>
      <w:r w:rsidR="00DC2ED7" w:rsidRPr="009F7549">
        <w:rPr>
          <w:rFonts w:ascii="Arial" w:hAnsi="Arial" w:cs="Arial"/>
          <w:lang w:val="en-GB"/>
        </w:rPr>
        <w:t>is nothing to gainsay the applicant’s version and no factual dispute arises in respect of his authority to act on behalf of the first respondent.  Even if one is to rely on the general denial of the relevant allegations in the founding affidavit, the denial is bald and unsubstantiated.</w:t>
      </w:r>
    </w:p>
    <w:p w14:paraId="7BB42EF9" w14:textId="77777777" w:rsidR="009F5D0D" w:rsidRPr="00443215" w:rsidRDefault="009F5D0D" w:rsidP="00487221">
      <w:pPr>
        <w:pStyle w:val="ListParagraph"/>
        <w:spacing w:line="480" w:lineRule="auto"/>
        <w:ind w:left="851"/>
        <w:jc w:val="both"/>
        <w:rPr>
          <w:rFonts w:ascii="Arial" w:hAnsi="Arial" w:cs="Arial"/>
          <w:i/>
          <w:iCs/>
          <w:lang w:val="en-GB"/>
        </w:rPr>
      </w:pPr>
    </w:p>
    <w:p w14:paraId="734D1C7C" w14:textId="4EB20EC5" w:rsidR="006D1E7E" w:rsidRPr="009F7549" w:rsidRDefault="009F7549" w:rsidP="009F7549">
      <w:pPr>
        <w:spacing w:line="480" w:lineRule="auto"/>
        <w:ind w:left="851" w:hanging="709"/>
        <w:jc w:val="both"/>
        <w:rPr>
          <w:rFonts w:ascii="Arial" w:hAnsi="Arial" w:cs="Arial"/>
          <w:i/>
          <w:iCs/>
          <w:lang w:val="en-GB"/>
        </w:rPr>
      </w:pPr>
      <w:r w:rsidRPr="00443215">
        <w:rPr>
          <w:rFonts w:ascii="Arial" w:hAnsi="Arial" w:cs="Arial"/>
          <w:lang w:val="en-GB"/>
        </w:rPr>
        <w:t>[20]</w:t>
      </w:r>
      <w:r w:rsidRPr="00443215">
        <w:rPr>
          <w:rFonts w:ascii="Arial" w:hAnsi="Arial" w:cs="Arial"/>
          <w:lang w:val="en-GB"/>
        </w:rPr>
        <w:tab/>
      </w:r>
      <w:r w:rsidR="00DC2ED7" w:rsidRPr="009F7549">
        <w:rPr>
          <w:rFonts w:ascii="Arial" w:hAnsi="Arial" w:cs="Arial"/>
          <w:lang w:val="en-GB"/>
        </w:rPr>
        <w:t>It then gets demonstrably worse for the first respondent.  The first respondent alleges that there is no resolution authorising the entering into of the cession.  To this end the applicant put up, in reply, a resolution by the first respondent signed by Mmethi and Langa.  The resolution also contains, as witness, the signature of Marais.</w:t>
      </w:r>
      <w:r w:rsidR="006D1E7E" w:rsidRPr="009F7549">
        <w:rPr>
          <w:rFonts w:ascii="Arial" w:hAnsi="Arial" w:cs="Arial"/>
          <w:lang w:val="en-GB"/>
        </w:rPr>
        <w:t xml:space="preserve">  A resolution clearly exists, which leaves the version of the first respondent uncreditworthy.</w:t>
      </w:r>
    </w:p>
    <w:p w14:paraId="2C19FCE5" w14:textId="77777777" w:rsidR="006D1E7E" w:rsidRPr="00443215" w:rsidRDefault="006D1E7E" w:rsidP="00487221">
      <w:pPr>
        <w:pStyle w:val="ListParagraph"/>
        <w:spacing w:line="480" w:lineRule="auto"/>
        <w:jc w:val="both"/>
        <w:rPr>
          <w:rFonts w:ascii="Arial" w:hAnsi="Arial" w:cs="Arial"/>
          <w:i/>
          <w:iCs/>
          <w:lang w:val="en-GB"/>
        </w:rPr>
      </w:pPr>
    </w:p>
    <w:p w14:paraId="2803928D" w14:textId="45C50FAB" w:rsidR="006D1E7E" w:rsidRPr="009F7549" w:rsidRDefault="009F7549" w:rsidP="009F7549">
      <w:pPr>
        <w:spacing w:line="480" w:lineRule="auto"/>
        <w:ind w:left="851" w:hanging="709"/>
        <w:jc w:val="both"/>
        <w:rPr>
          <w:rFonts w:ascii="Arial" w:hAnsi="Arial" w:cs="Arial"/>
          <w:i/>
          <w:iCs/>
          <w:lang w:val="en-GB"/>
        </w:rPr>
      </w:pPr>
      <w:r w:rsidRPr="00443215">
        <w:rPr>
          <w:rFonts w:ascii="Arial" w:hAnsi="Arial" w:cs="Arial"/>
          <w:lang w:val="en-GB"/>
        </w:rPr>
        <w:t>[21]</w:t>
      </w:r>
      <w:r w:rsidRPr="00443215">
        <w:rPr>
          <w:rFonts w:ascii="Arial" w:hAnsi="Arial" w:cs="Arial"/>
          <w:lang w:val="en-GB"/>
        </w:rPr>
        <w:tab/>
      </w:r>
      <w:r w:rsidR="006D1E7E" w:rsidRPr="009F7549">
        <w:rPr>
          <w:rFonts w:ascii="Arial" w:hAnsi="Arial" w:cs="Arial"/>
          <w:i/>
          <w:iCs/>
          <w:lang w:val="en-GB"/>
        </w:rPr>
        <w:t>Ms Slabbert</w:t>
      </w:r>
      <w:r w:rsidR="006D1E7E" w:rsidRPr="009F7549">
        <w:rPr>
          <w:rFonts w:ascii="Arial" w:hAnsi="Arial" w:cs="Arial"/>
          <w:lang w:val="en-GB"/>
        </w:rPr>
        <w:t xml:space="preserve"> sought to argue that the applicant should have proved the authority of Marais and Langa in its founding papers and should have attached </w:t>
      </w:r>
      <w:r w:rsidR="006D1E7E" w:rsidRPr="009F7549">
        <w:rPr>
          <w:rFonts w:ascii="Arial" w:hAnsi="Arial" w:cs="Arial"/>
          <w:lang w:val="en-GB"/>
        </w:rPr>
        <w:lastRenderedPageBreak/>
        <w:t>the resolution to the founding papers.  The applicant alleged in the founding affidavit that Marais and Langa were duly representing the first respondent.  The use of the word denotes due, proper and lawful authorisation to act on behalf of the first respondent.  It was up to the first respondent to clearly and unambiguously dispute such authority, in which event the applicant would be entitled to adduce evidence to refute that which the respondent has said.</w:t>
      </w:r>
    </w:p>
    <w:p w14:paraId="704AC871" w14:textId="77777777" w:rsidR="006D1E7E" w:rsidRPr="00443215" w:rsidRDefault="006D1E7E" w:rsidP="00487221">
      <w:pPr>
        <w:pStyle w:val="ListParagraph"/>
        <w:spacing w:line="480" w:lineRule="auto"/>
        <w:jc w:val="both"/>
        <w:rPr>
          <w:rFonts w:ascii="Arial" w:hAnsi="Arial" w:cs="Arial"/>
          <w:lang w:val="en-GB"/>
        </w:rPr>
      </w:pPr>
    </w:p>
    <w:p w14:paraId="3AE109D6" w14:textId="201CA7D6" w:rsidR="00DC2ED7" w:rsidRPr="009F7549" w:rsidRDefault="009F7549" w:rsidP="009F7549">
      <w:pPr>
        <w:spacing w:line="480" w:lineRule="auto"/>
        <w:ind w:left="851" w:hanging="709"/>
        <w:jc w:val="both"/>
        <w:rPr>
          <w:rFonts w:ascii="Arial" w:hAnsi="Arial" w:cs="Arial"/>
          <w:i/>
          <w:iCs/>
          <w:lang w:val="en-GB"/>
        </w:rPr>
      </w:pPr>
      <w:r w:rsidRPr="00443215">
        <w:rPr>
          <w:rFonts w:ascii="Arial" w:hAnsi="Arial" w:cs="Arial"/>
          <w:lang w:val="en-GB"/>
        </w:rPr>
        <w:t>[22]</w:t>
      </w:r>
      <w:r w:rsidRPr="00443215">
        <w:rPr>
          <w:rFonts w:ascii="Arial" w:hAnsi="Arial" w:cs="Arial"/>
          <w:lang w:val="en-GB"/>
        </w:rPr>
        <w:tab/>
      </w:r>
      <w:r w:rsidR="006D1E7E" w:rsidRPr="009F7549">
        <w:rPr>
          <w:rFonts w:ascii="Arial" w:hAnsi="Arial" w:cs="Arial"/>
          <w:lang w:val="en-GB"/>
        </w:rPr>
        <w:t>The applicant has not, in my view, attempted to make out a new case in reply.  It alleged Marais and Langa were duly authorised</w:t>
      </w:r>
      <w:r w:rsidR="00795CFD" w:rsidRPr="009F7549">
        <w:rPr>
          <w:rFonts w:ascii="Arial" w:hAnsi="Arial" w:cs="Arial"/>
          <w:lang w:val="en-GB"/>
        </w:rPr>
        <w:t>, which is the fact the respondent was called upon to admit or deny,</w:t>
      </w:r>
      <w:r w:rsidR="00795CFD" w:rsidRPr="00443215">
        <w:rPr>
          <w:rStyle w:val="FootnoteReference"/>
          <w:rFonts w:ascii="Arial" w:hAnsi="Arial" w:cs="Arial"/>
          <w:lang w:val="en-GB"/>
        </w:rPr>
        <w:footnoteReference w:id="10"/>
      </w:r>
      <w:r w:rsidR="006D1E7E" w:rsidRPr="009F7549">
        <w:rPr>
          <w:rFonts w:ascii="Arial" w:hAnsi="Arial" w:cs="Arial"/>
          <w:lang w:val="en-GB"/>
        </w:rPr>
        <w:t xml:space="preserve"> </w:t>
      </w:r>
      <w:r w:rsidR="00795CFD" w:rsidRPr="009F7549">
        <w:rPr>
          <w:rFonts w:ascii="Arial" w:hAnsi="Arial" w:cs="Arial"/>
          <w:lang w:val="en-GB"/>
        </w:rPr>
        <w:t>and upon denying same to deal clearly and unambiguously with the dispute.</w:t>
      </w:r>
      <w:r w:rsidR="006D1E7E" w:rsidRPr="009F7549">
        <w:rPr>
          <w:rFonts w:ascii="Arial" w:hAnsi="Arial" w:cs="Arial"/>
          <w:lang w:val="en-GB"/>
        </w:rPr>
        <w:t xml:space="preserve"> </w:t>
      </w:r>
      <w:r w:rsidR="00795CFD" w:rsidRPr="009F7549">
        <w:rPr>
          <w:rFonts w:ascii="Arial" w:hAnsi="Arial" w:cs="Arial"/>
          <w:lang w:val="en-GB"/>
        </w:rPr>
        <w:t xml:space="preserve">  The applicant did not need to</w:t>
      </w:r>
      <w:r w:rsidR="006D1E7E" w:rsidRPr="009F7549">
        <w:rPr>
          <w:rFonts w:ascii="Arial" w:hAnsi="Arial" w:cs="Arial"/>
          <w:lang w:val="en-GB"/>
        </w:rPr>
        <w:t xml:space="preserve"> prove authority (actual or ostensible) until such time that authority was formally placed in dispute by the respondent.  To do so would be to expect an applicant to pre-empt any possible defence a respondent may raise and deal therewith in its founding affidavit, instead of </w:t>
      </w:r>
      <w:r w:rsidR="00795CFD" w:rsidRPr="009F7549">
        <w:rPr>
          <w:rFonts w:ascii="Arial" w:hAnsi="Arial" w:cs="Arial"/>
          <w:lang w:val="en-GB"/>
        </w:rPr>
        <w:t>making out the case upon which it relies.  To allege authority in the context of a juristic entity, without proferring evidence to prove same, does not in my view amount to a “</w:t>
      </w:r>
      <w:r w:rsidR="00795CFD" w:rsidRPr="009F7549">
        <w:rPr>
          <w:rFonts w:ascii="Arial" w:hAnsi="Arial" w:cs="Arial"/>
          <w:i/>
          <w:iCs/>
          <w:lang w:val="en-GB"/>
        </w:rPr>
        <w:t>mere skeleton</w:t>
      </w:r>
      <w:r w:rsidR="00795CFD" w:rsidRPr="009F7549">
        <w:rPr>
          <w:rFonts w:ascii="Arial" w:hAnsi="Arial" w:cs="Arial"/>
          <w:lang w:val="en-GB"/>
        </w:rPr>
        <w:t>” of a founding affidavit.</w:t>
      </w:r>
      <w:r w:rsidR="00795CFD" w:rsidRPr="00443215">
        <w:rPr>
          <w:rStyle w:val="FootnoteReference"/>
          <w:rFonts w:ascii="Arial" w:hAnsi="Arial" w:cs="Arial"/>
          <w:lang w:val="en-GB"/>
        </w:rPr>
        <w:footnoteReference w:id="11"/>
      </w:r>
      <w:r w:rsidR="00795CFD" w:rsidRPr="009F7549">
        <w:rPr>
          <w:rFonts w:ascii="Arial" w:hAnsi="Arial" w:cs="Arial"/>
          <w:lang w:val="en-GB"/>
        </w:rPr>
        <w:t xml:space="preserve">  Parties entering into agreements with juristic persons often assume authority without same being proved to such person and such authority is accepted as due.  It is only once the authority becomes disputed that it would be necessary to demonstrate why actual or ostensible authority is relied upon, depending on the nature of the challenge.</w:t>
      </w:r>
    </w:p>
    <w:p w14:paraId="194FB55F" w14:textId="77777777" w:rsidR="0066588B" w:rsidRPr="00443215" w:rsidRDefault="0066588B" w:rsidP="00487221">
      <w:pPr>
        <w:pStyle w:val="ListParagraph"/>
        <w:spacing w:line="480" w:lineRule="auto"/>
        <w:jc w:val="both"/>
        <w:rPr>
          <w:rFonts w:ascii="Arial" w:hAnsi="Arial" w:cs="Arial"/>
          <w:lang w:val="en-GB"/>
        </w:rPr>
      </w:pPr>
    </w:p>
    <w:p w14:paraId="2189CAA3" w14:textId="2048CCE0" w:rsidR="0066588B"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lastRenderedPageBreak/>
        <w:t>[23]</w:t>
      </w:r>
      <w:r w:rsidRPr="00443215">
        <w:rPr>
          <w:rFonts w:ascii="Arial" w:hAnsi="Arial" w:cs="Arial"/>
          <w:lang w:val="en-GB"/>
        </w:rPr>
        <w:tab/>
      </w:r>
      <w:r w:rsidR="0066588B" w:rsidRPr="009F7549">
        <w:rPr>
          <w:rFonts w:ascii="Arial" w:hAnsi="Arial" w:cs="Arial"/>
          <w:lang w:val="en-GB"/>
        </w:rPr>
        <w:t xml:space="preserve"> </w:t>
      </w:r>
      <w:r w:rsidR="00144D9C" w:rsidRPr="009F7549">
        <w:rPr>
          <w:rFonts w:ascii="Arial" w:hAnsi="Arial" w:cs="Arial"/>
          <w:lang w:val="en-GB"/>
        </w:rPr>
        <w:t xml:space="preserve">It must also be borne in mind that Langa’s authority was not raised in the replying affidavit for the first time.  It emanates from the founding affidavit already.  The first respondent did not deal therewith, whether by oversight or by design. </w:t>
      </w:r>
      <w:r w:rsidR="00217A14" w:rsidRPr="009F7549">
        <w:rPr>
          <w:rFonts w:ascii="Arial" w:hAnsi="Arial" w:cs="Arial"/>
          <w:lang w:val="en-GB"/>
        </w:rPr>
        <w:t xml:space="preserve"> </w:t>
      </w:r>
      <w:r w:rsidR="00144D9C" w:rsidRPr="009F7549">
        <w:rPr>
          <w:rFonts w:ascii="Arial" w:hAnsi="Arial" w:cs="Arial"/>
          <w:i/>
          <w:iCs/>
          <w:lang w:val="en-GB"/>
        </w:rPr>
        <w:t xml:space="preserve">Ms Slabbert </w:t>
      </w:r>
      <w:r w:rsidR="00144D9C" w:rsidRPr="009F7549">
        <w:rPr>
          <w:rFonts w:ascii="Arial" w:hAnsi="Arial" w:cs="Arial"/>
          <w:lang w:val="en-GB"/>
        </w:rPr>
        <w:t>contended the failure to deal with the authority of Langa arises from the wording of the founding affidavit as read with the cession.  It was contended that the manner in which the relevant paragraphs in the founding affidavit was structured (as repeated in paragraph [4]), as read with the cession, paragraph 7.2.2(a) [the first respondent] was read to refer to paragraph 7.2.2.1 [Marais] and paragraph 7.2.2(b) (the second respondent] was read to refer to paragraph 7.2.2.2 [Langa].</w:t>
      </w:r>
    </w:p>
    <w:p w14:paraId="5586945B" w14:textId="77777777" w:rsidR="00144D9C" w:rsidRPr="00443215" w:rsidRDefault="00144D9C" w:rsidP="00487221">
      <w:pPr>
        <w:pStyle w:val="ListParagraph"/>
        <w:spacing w:line="480" w:lineRule="auto"/>
        <w:jc w:val="both"/>
        <w:rPr>
          <w:rFonts w:ascii="Arial" w:hAnsi="Arial" w:cs="Arial"/>
          <w:lang w:val="en-GB"/>
        </w:rPr>
      </w:pPr>
    </w:p>
    <w:p w14:paraId="1D4E079B" w14:textId="00AA7B62" w:rsidR="00144D9C"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[24]</w:t>
      </w:r>
      <w:r w:rsidRPr="00443215">
        <w:rPr>
          <w:rFonts w:ascii="Arial" w:hAnsi="Arial" w:cs="Arial"/>
          <w:lang w:val="en-GB"/>
        </w:rPr>
        <w:tab/>
      </w:r>
      <w:r w:rsidR="00144D9C" w:rsidRPr="009F7549">
        <w:rPr>
          <w:rFonts w:ascii="Arial" w:hAnsi="Arial" w:cs="Arial"/>
          <w:lang w:val="en-GB"/>
        </w:rPr>
        <w:t>The error in this argument lies therein that the first part of paragraph 7.2.2 refers to “</w:t>
      </w:r>
      <w:r w:rsidR="00144D9C" w:rsidRPr="009F7549">
        <w:rPr>
          <w:rFonts w:ascii="Arial" w:hAnsi="Arial" w:cs="Arial"/>
          <w:i/>
          <w:iCs/>
          <w:lang w:val="en-GB"/>
        </w:rPr>
        <w:t>both”,</w:t>
      </w:r>
      <w:r w:rsidR="00144D9C" w:rsidRPr="009F7549">
        <w:rPr>
          <w:rFonts w:ascii="Arial" w:hAnsi="Arial" w:cs="Arial"/>
          <w:lang w:val="en-GB"/>
        </w:rPr>
        <w:t xml:space="preserve"> denoting that both the first and second respondents were represented by</w:t>
      </w:r>
      <w:r w:rsidR="00A32490" w:rsidRPr="009F7549">
        <w:rPr>
          <w:rFonts w:ascii="Arial" w:hAnsi="Arial" w:cs="Arial"/>
          <w:lang w:val="en-GB"/>
        </w:rPr>
        <w:t xml:space="preserve"> both</w:t>
      </w:r>
      <w:r w:rsidR="00144D9C" w:rsidRPr="009F7549">
        <w:rPr>
          <w:rFonts w:ascii="Arial" w:hAnsi="Arial" w:cs="Arial"/>
          <w:lang w:val="en-GB"/>
        </w:rPr>
        <w:t xml:space="preserve"> Marais and Langa.   </w:t>
      </w:r>
    </w:p>
    <w:p w14:paraId="297E05CC" w14:textId="77777777" w:rsidR="00520CA5" w:rsidRPr="00443215" w:rsidRDefault="00520CA5" w:rsidP="00487221">
      <w:pPr>
        <w:pStyle w:val="ListParagraph"/>
        <w:spacing w:line="480" w:lineRule="auto"/>
        <w:jc w:val="both"/>
        <w:rPr>
          <w:rFonts w:ascii="Arial" w:hAnsi="Arial" w:cs="Arial"/>
          <w:lang w:val="en-GB"/>
        </w:rPr>
      </w:pPr>
    </w:p>
    <w:p w14:paraId="49930D9C" w14:textId="07F051AF" w:rsidR="00520CA5"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[25]</w:t>
      </w:r>
      <w:r w:rsidRPr="00443215">
        <w:rPr>
          <w:rFonts w:ascii="Arial" w:hAnsi="Arial" w:cs="Arial"/>
          <w:lang w:val="en-GB"/>
        </w:rPr>
        <w:tab/>
      </w:r>
      <w:r w:rsidR="00520CA5" w:rsidRPr="009F7549">
        <w:rPr>
          <w:rFonts w:ascii="Arial" w:hAnsi="Arial" w:cs="Arial"/>
          <w:lang w:val="en-GB"/>
        </w:rPr>
        <w:t>The allegation in the founding affidavit relating to the representation of the first respondent is confirmed by the cession, which bears two signatures at the signature spaces for the cedent.  In the absence of a challenge that the second signature is that of Langa, I can do no more than, on the papers, accept that the second signature is that of Langa.</w:t>
      </w:r>
    </w:p>
    <w:p w14:paraId="5CBCC433" w14:textId="77777777" w:rsidR="00144D9C" w:rsidRPr="00443215" w:rsidRDefault="00144D9C" w:rsidP="00487221">
      <w:pPr>
        <w:pStyle w:val="ListParagraph"/>
        <w:spacing w:line="480" w:lineRule="auto"/>
        <w:jc w:val="both"/>
        <w:rPr>
          <w:rFonts w:ascii="Arial" w:hAnsi="Arial" w:cs="Arial"/>
          <w:lang w:val="en-GB"/>
        </w:rPr>
      </w:pPr>
    </w:p>
    <w:p w14:paraId="604F4952" w14:textId="448A0ADC" w:rsidR="00144D9C"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[26]</w:t>
      </w:r>
      <w:r w:rsidRPr="00443215">
        <w:rPr>
          <w:rFonts w:ascii="Arial" w:hAnsi="Arial" w:cs="Arial"/>
          <w:lang w:val="en-GB"/>
        </w:rPr>
        <w:tab/>
      </w:r>
      <w:r w:rsidR="00144D9C" w:rsidRPr="009F7549">
        <w:rPr>
          <w:rFonts w:ascii="Arial" w:hAnsi="Arial" w:cs="Arial"/>
          <w:i/>
          <w:iCs/>
          <w:lang w:val="en-GB"/>
        </w:rPr>
        <w:t>Ms Slabbert</w:t>
      </w:r>
      <w:r w:rsidR="00144D9C" w:rsidRPr="009F7549">
        <w:rPr>
          <w:rFonts w:ascii="Arial" w:hAnsi="Arial" w:cs="Arial"/>
          <w:lang w:val="en-GB"/>
        </w:rPr>
        <w:t xml:space="preserve"> indicated that it is possible for the first respondent to file an affidavit to deal with the authority of Langa.  When her attention was directed thereto that a substantive application would be necessary, she also indicated that it would be possible to bring such substantive application.  For reasons </w:t>
      </w:r>
      <w:r w:rsidR="00144D9C" w:rsidRPr="009F7549">
        <w:rPr>
          <w:rFonts w:ascii="Arial" w:hAnsi="Arial" w:cs="Arial"/>
          <w:lang w:val="en-GB"/>
        </w:rPr>
        <w:lastRenderedPageBreak/>
        <w:t xml:space="preserve">unknown, no application was made to have the matter postponed in order to seek such leave to file a further affidavit, nor was any application made to </w:t>
      </w:r>
      <w:r w:rsidR="00520CA5" w:rsidRPr="009F7549">
        <w:rPr>
          <w:rFonts w:ascii="Arial" w:hAnsi="Arial" w:cs="Arial"/>
          <w:lang w:val="en-GB"/>
        </w:rPr>
        <w:t>have the matter stand down to bring such substantive application to file a further affidavit.  In the absence of such application, the issue of Langa’s authority is undisputed on the papers before me.</w:t>
      </w:r>
    </w:p>
    <w:p w14:paraId="7A6007B2" w14:textId="77777777" w:rsidR="00520CA5" w:rsidRPr="00443215" w:rsidRDefault="00520CA5" w:rsidP="00487221">
      <w:pPr>
        <w:pStyle w:val="ListParagraph"/>
        <w:spacing w:line="480" w:lineRule="auto"/>
        <w:jc w:val="both"/>
        <w:rPr>
          <w:rFonts w:ascii="Arial" w:hAnsi="Arial" w:cs="Arial"/>
          <w:lang w:val="en-GB"/>
        </w:rPr>
      </w:pPr>
    </w:p>
    <w:p w14:paraId="03F57397" w14:textId="5E7B6ADA" w:rsidR="00520CA5"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[27]</w:t>
      </w:r>
      <w:r w:rsidRPr="00443215">
        <w:rPr>
          <w:rFonts w:ascii="Arial" w:hAnsi="Arial" w:cs="Arial"/>
          <w:lang w:val="en-GB"/>
        </w:rPr>
        <w:tab/>
      </w:r>
      <w:r w:rsidR="00520CA5" w:rsidRPr="009F7549">
        <w:rPr>
          <w:rFonts w:ascii="Arial" w:hAnsi="Arial" w:cs="Arial"/>
          <w:lang w:val="en-GB"/>
        </w:rPr>
        <w:t>As there is no contention by the first respondent that the cession would have had to be signed by two authorised representatives, the issue of Marais’ alleged lack of authority becomes moot as Langa’s authority is not disputed and, in so far it is denied, it is denied in bald, vague and unsubstantiated terms.  It also bears mentioning that Langa remains a director of the second respondent, together with Mmethi, who is also the director of the first respondent.  There can be no suggestion that Mmethi did not have access to Langa or that the relationship between Mmethi and Langa had soured to such an extent that Mmethi could not confront Langa and/or obtain a version from Langa as to the allegations by the applicant pertaining to Langa.</w:t>
      </w:r>
    </w:p>
    <w:p w14:paraId="702BA9C2" w14:textId="77777777" w:rsidR="00155807" w:rsidRPr="00443215" w:rsidRDefault="00155807" w:rsidP="00487221">
      <w:pPr>
        <w:spacing w:line="480" w:lineRule="auto"/>
        <w:jc w:val="both"/>
        <w:rPr>
          <w:rFonts w:ascii="Arial" w:hAnsi="Arial" w:cs="Arial"/>
          <w:lang w:val="en-GB"/>
        </w:rPr>
      </w:pPr>
    </w:p>
    <w:p w14:paraId="0AD03270" w14:textId="0BF6F2DA" w:rsidR="00155807"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[28]</w:t>
      </w:r>
      <w:r w:rsidRPr="00443215">
        <w:rPr>
          <w:rFonts w:ascii="Arial" w:hAnsi="Arial" w:cs="Arial"/>
          <w:lang w:val="en-GB"/>
        </w:rPr>
        <w:tab/>
      </w:r>
      <w:r w:rsidR="001F17CC" w:rsidRPr="009F7549">
        <w:rPr>
          <w:rFonts w:ascii="Arial" w:hAnsi="Arial" w:cs="Arial"/>
          <w:lang w:val="en-GB"/>
        </w:rPr>
        <w:t xml:space="preserve">In summary, the version of the applicant that Langa represented </w:t>
      </w:r>
      <w:r w:rsidR="00CE1080" w:rsidRPr="009F7549">
        <w:rPr>
          <w:rFonts w:ascii="Arial" w:hAnsi="Arial" w:cs="Arial"/>
          <w:lang w:val="en-GB"/>
        </w:rPr>
        <w:t xml:space="preserve">the first respondent is not seriously disputed other than a vague and bald denial of the allegation relating to representation of the first respondent in general.  As a result of the fact that the representation by Langa is only disputed in vague and bald terms, the first respondent has failed to clearly and unambiguously deal with the alleged lack of authority on the part of Langa.  </w:t>
      </w:r>
    </w:p>
    <w:p w14:paraId="545249DC" w14:textId="77777777" w:rsidR="00CE1080" w:rsidRPr="00443215" w:rsidRDefault="00CE1080" w:rsidP="00487221">
      <w:pPr>
        <w:pStyle w:val="ListParagraph"/>
        <w:spacing w:line="480" w:lineRule="auto"/>
        <w:jc w:val="both"/>
        <w:rPr>
          <w:rFonts w:ascii="Arial" w:hAnsi="Arial" w:cs="Arial"/>
          <w:lang w:val="en-GB"/>
        </w:rPr>
      </w:pPr>
    </w:p>
    <w:p w14:paraId="316394DA" w14:textId="465886DF" w:rsidR="00CE1080"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lastRenderedPageBreak/>
        <w:t>[29]</w:t>
      </w:r>
      <w:r w:rsidRPr="00443215">
        <w:rPr>
          <w:rFonts w:ascii="Arial" w:hAnsi="Arial" w:cs="Arial"/>
          <w:lang w:val="en-GB"/>
        </w:rPr>
        <w:tab/>
      </w:r>
      <w:r w:rsidR="00CE1080" w:rsidRPr="009F7549">
        <w:rPr>
          <w:rFonts w:ascii="Arial" w:hAnsi="Arial" w:cs="Arial"/>
          <w:lang w:val="en-GB"/>
        </w:rPr>
        <w:t>In closing I wish to make a remark that is not often found in judgments, other than a terse remark by the judge thanking counsel for their submissions and argument.</w:t>
      </w:r>
      <w:r w:rsidR="009F0219" w:rsidRPr="009F7549">
        <w:rPr>
          <w:rFonts w:ascii="Arial" w:hAnsi="Arial" w:cs="Arial"/>
          <w:lang w:val="en-GB"/>
        </w:rPr>
        <w:t xml:space="preserve">  Both counsel in this matter argued well, however it is the conduct of </w:t>
      </w:r>
      <w:r w:rsidR="009F0219" w:rsidRPr="009F7549">
        <w:rPr>
          <w:rFonts w:ascii="Arial" w:hAnsi="Arial" w:cs="Arial"/>
          <w:i/>
          <w:iCs/>
          <w:lang w:val="en-GB"/>
        </w:rPr>
        <w:t xml:space="preserve">Ms Slabbert </w:t>
      </w:r>
      <w:r w:rsidR="009F0219" w:rsidRPr="009F7549">
        <w:rPr>
          <w:rFonts w:ascii="Arial" w:hAnsi="Arial" w:cs="Arial"/>
          <w:lang w:val="en-GB"/>
        </w:rPr>
        <w:t>that stands out for me in this matter.  Her argument was well prepared and well presented.  Even with questions being fired at her in rapid succession to her by me, she stood her ground firmly, respectfully and competently.  As a matter of fact, it was during the firing off of questions to her that the manner of her preparedness for the case came to the fore.  She knew the papers like the back of her hand and was able to easily and without delay, page to the relevant page and refer me thereto during argument when she needed to substantiate a point she was attempting to carry across upon a question asked by me.  This is an advocacy attribute all counsel should aspire to.</w:t>
      </w:r>
    </w:p>
    <w:p w14:paraId="5B2E0089" w14:textId="77777777" w:rsidR="009F0219" w:rsidRPr="00443215" w:rsidRDefault="009F0219" w:rsidP="00487221">
      <w:pPr>
        <w:pStyle w:val="ListParagraph"/>
        <w:spacing w:line="480" w:lineRule="auto"/>
        <w:jc w:val="both"/>
        <w:rPr>
          <w:rFonts w:ascii="Arial" w:hAnsi="Arial" w:cs="Arial"/>
          <w:lang w:val="en-GB"/>
        </w:rPr>
      </w:pPr>
    </w:p>
    <w:p w14:paraId="4280C15D" w14:textId="6C40118A" w:rsidR="00D11B51"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[30]</w:t>
      </w:r>
      <w:r w:rsidRPr="00443215">
        <w:rPr>
          <w:rFonts w:ascii="Arial" w:hAnsi="Arial" w:cs="Arial"/>
          <w:lang w:val="en-GB"/>
        </w:rPr>
        <w:tab/>
      </w:r>
      <w:r w:rsidR="009F0219" w:rsidRPr="009F7549">
        <w:rPr>
          <w:rFonts w:ascii="Arial" w:hAnsi="Arial" w:cs="Arial"/>
          <w:lang w:val="en-GB"/>
        </w:rPr>
        <w:t xml:space="preserve">Both counsel were </w:t>
      </w:r>
      <w:r w:rsidR="009F0219" w:rsidRPr="009F7549">
        <w:rPr>
          <w:rFonts w:ascii="Arial" w:hAnsi="Arial" w:cs="Arial"/>
          <w:i/>
          <w:iCs/>
          <w:lang w:val="en-GB"/>
        </w:rPr>
        <w:t>ad idem</w:t>
      </w:r>
      <w:r w:rsidR="009F0219" w:rsidRPr="009F7549">
        <w:rPr>
          <w:rFonts w:ascii="Arial" w:hAnsi="Arial" w:cs="Arial"/>
          <w:lang w:val="en-GB"/>
        </w:rPr>
        <w:t xml:space="preserve"> that the costs should follow the result.</w:t>
      </w:r>
    </w:p>
    <w:p w14:paraId="503A9AAB" w14:textId="77777777" w:rsidR="00064FB6" w:rsidRPr="00443215" w:rsidRDefault="00064FB6" w:rsidP="00487221">
      <w:pPr>
        <w:pStyle w:val="ListParagraph"/>
        <w:spacing w:line="480" w:lineRule="auto"/>
        <w:rPr>
          <w:rFonts w:ascii="Arial" w:hAnsi="Arial" w:cs="Arial"/>
          <w:lang w:val="en-GB"/>
        </w:rPr>
      </w:pPr>
    </w:p>
    <w:p w14:paraId="4088D32D" w14:textId="7F8714A2" w:rsidR="00BE3087" w:rsidRPr="009F7549" w:rsidRDefault="009F7549" w:rsidP="009F7549">
      <w:pPr>
        <w:spacing w:line="480" w:lineRule="auto"/>
        <w:ind w:left="851" w:hanging="709"/>
        <w:jc w:val="both"/>
        <w:rPr>
          <w:rFonts w:ascii="Arial" w:hAnsi="Arial" w:cs="Arial"/>
          <w:lang w:val="en-GB"/>
        </w:rPr>
      </w:pPr>
      <w:r w:rsidRPr="00443215">
        <w:rPr>
          <w:rFonts w:ascii="Arial" w:hAnsi="Arial" w:cs="Arial"/>
          <w:lang w:val="en-GB"/>
        </w:rPr>
        <w:t>[31]</w:t>
      </w:r>
      <w:r w:rsidRPr="00443215">
        <w:rPr>
          <w:rFonts w:ascii="Arial" w:hAnsi="Arial" w:cs="Arial"/>
          <w:lang w:val="en-GB"/>
        </w:rPr>
        <w:tab/>
      </w:r>
      <w:r w:rsidR="00064FB6" w:rsidRPr="009F7549">
        <w:rPr>
          <w:rFonts w:ascii="Arial" w:hAnsi="Arial" w:cs="Arial"/>
          <w:lang w:val="en-GB"/>
        </w:rPr>
        <w:t>In the premises I make the following order</w:t>
      </w:r>
      <w:r w:rsidR="00BE3087" w:rsidRPr="009F7549">
        <w:rPr>
          <w:rFonts w:ascii="Arial" w:hAnsi="Arial" w:cs="Arial"/>
          <w:lang w:val="en-GB"/>
        </w:rPr>
        <w:t>:</w:t>
      </w:r>
    </w:p>
    <w:p w14:paraId="5C1A2C28" w14:textId="77777777" w:rsidR="00BE3087" w:rsidRPr="00443215" w:rsidRDefault="00BE3087" w:rsidP="00487221">
      <w:pPr>
        <w:pStyle w:val="ListParagraph"/>
        <w:spacing w:line="480" w:lineRule="auto"/>
        <w:rPr>
          <w:rFonts w:ascii="Arial" w:hAnsi="Arial" w:cs="Arial"/>
        </w:rPr>
      </w:pPr>
    </w:p>
    <w:p w14:paraId="70964962" w14:textId="4BF8441E" w:rsidR="00BE3087" w:rsidRPr="009F7549" w:rsidRDefault="009F7549" w:rsidP="009F7549">
      <w:pPr>
        <w:spacing w:line="480" w:lineRule="auto"/>
        <w:ind w:left="1701" w:hanging="850"/>
        <w:jc w:val="both"/>
        <w:rPr>
          <w:rFonts w:ascii="Arial" w:hAnsi="Arial" w:cs="Arial"/>
          <w:lang w:val="en-GB"/>
        </w:rPr>
      </w:pPr>
      <w:r w:rsidRPr="00443215">
        <w:rPr>
          <w:rFonts w:ascii="Arial" w:hAnsi="Arial" w:cstheme="minorHAnsi"/>
          <w:lang w:val="en-GB"/>
        </w:rPr>
        <w:t>1.</w:t>
      </w:r>
      <w:r w:rsidRPr="00443215">
        <w:rPr>
          <w:rFonts w:ascii="Arial" w:hAnsi="Arial" w:cstheme="minorHAnsi"/>
          <w:lang w:val="en-GB"/>
        </w:rPr>
        <w:tab/>
      </w:r>
      <w:r w:rsidR="00BE3087" w:rsidRPr="009F7549">
        <w:rPr>
          <w:rFonts w:ascii="Arial" w:hAnsi="Arial" w:cs="Arial"/>
        </w:rPr>
        <w:t>The Respondents are ordered and directed</w:t>
      </w:r>
      <w:r w:rsidR="00CB45C4" w:rsidRPr="009F7549">
        <w:rPr>
          <w:rFonts w:ascii="Arial" w:hAnsi="Arial" w:cs="Arial"/>
        </w:rPr>
        <w:t>, within 7 (SEVEN) days of the granting of this order, to</w:t>
      </w:r>
    </w:p>
    <w:p w14:paraId="7011F767" w14:textId="60B364FE" w:rsidR="00BE3087" w:rsidRPr="009F7549" w:rsidRDefault="009F7549" w:rsidP="009F7549">
      <w:pPr>
        <w:spacing w:line="480" w:lineRule="auto"/>
        <w:ind w:left="2552" w:hanging="851"/>
        <w:jc w:val="both"/>
        <w:rPr>
          <w:rFonts w:ascii="Arial" w:hAnsi="Arial" w:cs="Arial"/>
          <w:lang w:val="en-GB"/>
        </w:rPr>
      </w:pPr>
      <w:r w:rsidRPr="00443215">
        <w:rPr>
          <w:rFonts w:ascii="Arial" w:hAnsi="Arial" w:cstheme="minorHAnsi"/>
          <w:lang w:val="en-GB"/>
        </w:rPr>
        <w:t>1.1</w:t>
      </w:r>
      <w:r w:rsidRPr="00443215">
        <w:rPr>
          <w:rFonts w:ascii="Arial" w:hAnsi="Arial" w:cstheme="minorHAnsi"/>
          <w:lang w:val="en-GB"/>
        </w:rPr>
        <w:tab/>
      </w:r>
      <w:r w:rsidR="00BE3087" w:rsidRPr="009F7549">
        <w:rPr>
          <w:rFonts w:ascii="Arial" w:hAnsi="Arial" w:cs="Arial"/>
        </w:rPr>
        <w:t>take whatever steps;</w:t>
      </w:r>
      <w:r w:rsidR="0067708E" w:rsidRPr="009F7549">
        <w:rPr>
          <w:rFonts w:ascii="Arial" w:hAnsi="Arial" w:cs="Arial"/>
        </w:rPr>
        <w:t xml:space="preserve"> and</w:t>
      </w:r>
    </w:p>
    <w:p w14:paraId="6D72E8AA" w14:textId="7205B29B" w:rsidR="00BE3087" w:rsidRPr="009F7549" w:rsidRDefault="009F7549" w:rsidP="009F7549">
      <w:pPr>
        <w:spacing w:line="480" w:lineRule="auto"/>
        <w:ind w:left="2552" w:hanging="851"/>
        <w:jc w:val="both"/>
        <w:rPr>
          <w:rFonts w:ascii="Arial" w:hAnsi="Arial" w:cs="Arial"/>
          <w:lang w:val="en-GB"/>
        </w:rPr>
      </w:pPr>
      <w:r w:rsidRPr="00443215">
        <w:rPr>
          <w:rFonts w:ascii="Arial" w:hAnsi="Arial" w:cstheme="minorHAnsi"/>
          <w:lang w:val="en-GB"/>
        </w:rPr>
        <w:t>1.2</w:t>
      </w:r>
      <w:r w:rsidRPr="00443215">
        <w:rPr>
          <w:rFonts w:ascii="Arial" w:hAnsi="Arial" w:cstheme="minorHAnsi"/>
          <w:lang w:val="en-GB"/>
        </w:rPr>
        <w:tab/>
      </w:r>
      <w:r w:rsidR="00BE3087" w:rsidRPr="009F7549">
        <w:rPr>
          <w:rFonts w:ascii="Arial" w:hAnsi="Arial" w:cs="Arial"/>
        </w:rPr>
        <w:t>sign all documents,</w:t>
      </w:r>
    </w:p>
    <w:p w14:paraId="153D9859" w14:textId="77777777" w:rsidR="00247A5C" w:rsidRPr="00443215" w:rsidRDefault="00BE3087" w:rsidP="00487221">
      <w:pPr>
        <w:pStyle w:val="Indent"/>
        <w:numPr>
          <w:ilvl w:val="0"/>
          <w:numId w:val="0"/>
        </w:numPr>
        <w:spacing w:after="0" w:line="480" w:lineRule="auto"/>
        <w:ind w:left="1701"/>
        <w:rPr>
          <w:rFonts w:cs="Arial"/>
          <w:sz w:val="24"/>
          <w:szCs w:val="24"/>
        </w:rPr>
      </w:pPr>
      <w:r w:rsidRPr="00443215">
        <w:rPr>
          <w:rFonts w:cs="Arial"/>
          <w:sz w:val="24"/>
          <w:szCs w:val="24"/>
        </w:rPr>
        <w:t>as may be necessary to enter the transfer of all the issued shares in the Second Respondent</w:t>
      </w:r>
      <w:r w:rsidR="0067708E" w:rsidRPr="00443215">
        <w:rPr>
          <w:rFonts w:cs="Arial"/>
          <w:sz w:val="24"/>
          <w:szCs w:val="24"/>
        </w:rPr>
        <w:t xml:space="preserve"> </w:t>
      </w:r>
      <w:r w:rsidRPr="00443215">
        <w:rPr>
          <w:rFonts w:cs="Arial"/>
          <w:sz w:val="24"/>
          <w:szCs w:val="24"/>
        </w:rPr>
        <w:t>from the First Respondent</w:t>
      </w:r>
      <w:r w:rsidR="0067708E" w:rsidRPr="00443215">
        <w:rPr>
          <w:rFonts w:cs="Arial"/>
          <w:sz w:val="24"/>
          <w:szCs w:val="24"/>
        </w:rPr>
        <w:t xml:space="preserve"> </w:t>
      </w:r>
      <w:r w:rsidRPr="00443215">
        <w:rPr>
          <w:rFonts w:cs="Arial"/>
          <w:sz w:val="24"/>
          <w:szCs w:val="24"/>
        </w:rPr>
        <w:t>into the name of the Applicant,</w:t>
      </w:r>
      <w:r w:rsidR="00247A5C" w:rsidRPr="00443215">
        <w:rPr>
          <w:rFonts w:cs="Arial"/>
          <w:sz w:val="24"/>
          <w:szCs w:val="24"/>
        </w:rPr>
        <w:t xml:space="preserve"> </w:t>
      </w:r>
      <w:r w:rsidRPr="00443215">
        <w:rPr>
          <w:rFonts w:cs="Arial"/>
          <w:sz w:val="24"/>
          <w:szCs w:val="24"/>
        </w:rPr>
        <w:t xml:space="preserve">in accordance with the provisions of Section 51(6) of </w:t>
      </w:r>
      <w:r w:rsidRPr="00443215">
        <w:rPr>
          <w:rFonts w:cs="Arial"/>
          <w:sz w:val="24"/>
          <w:szCs w:val="24"/>
        </w:rPr>
        <w:lastRenderedPageBreak/>
        <w:t>the Companies Act</w:t>
      </w:r>
      <w:r w:rsidR="00247A5C" w:rsidRPr="00443215">
        <w:rPr>
          <w:rFonts w:cs="Arial"/>
          <w:sz w:val="24"/>
          <w:szCs w:val="24"/>
        </w:rPr>
        <w:t xml:space="preserve"> 71</w:t>
      </w:r>
      <w:r w:rsidRPr="00443215">
        <w:rPr>
          <w:rFonts w:cs="Arial"/>
          <w:sz w:val="24"/>
          <w:szCs w:val="24"/>
        </w:rPr>
        <w:t xml:space="preserve"> of 2008</w:t>
      </w:r>
      <w:r w:rsidR="00247A5C" w:rsidRPr="00443215">
        <w:rPr>
          <w:rFonts w:cs="Arial"/>
          <w:sz w:val="24"/>
          <w:szCs w:val="24"/>
        </w:rPr>
        <w:t>.</w:t>
      </w:r>
    </w:p>
    <w:p w14:paraId="611B01E5" w14:textId="77777777" w:rsidR="00247A5C" w:rsidRPr="00443215" w:rsidRDefault="00247A5C" w:rsidP="00487221">
      <w:pPr>
        <w:pStyle w:val="Indent"/>
        <w:numPr>
          <w:ilvl w:val="0"/>
          <w:numId w:val="0"/>
        </w:numPr>
        <w:spacing w:after="0" w:line="480" w:lineRule="auto"/>
        <w:ind w:left="851" w:hanging="851"/>
        <w:rPr>
          <w:rFonts w:cs="Arial"/>
          <w:sz w:val="24"/>
          <w:szCs w:val="24"/>
        </w:rPr>
      </w:pPr>
    </w:p>
    <w:p w14:paraId="61CBFD7D" w14:textId="3D2C773A" w:rsidR="00BE3087" w:rsidRPr="00443215" w:rsidRDefault="009F7549" w:rsidP="009F7549">
      <w:pPr>
        <w:pStyle w:val="Indent"/>
        <w:numPr>
          <w:ilvl w:val="0"/>
          <w:numId w:val="0"/>
        </w:numPr>
        <w:spacing w:after="0" w:line="480" w:lineRule="auto"/>
        <w:ind w:left="1701" w:hanging="850"/>
        <w:rPr>
          <w:rFonts w:cs="Arial"/>
          <w:sz w:val="24"/>
          <w:szCs w:val="24"/>
        </w:rPr>
      </w:pPr>
      <w:r w:rsidRPr="00443215">
        <w:rPr>
          <w:rFonts w:cstheme="minorHAnsi"/>
          <w:sz w:val="24"/>
          <w:szCs w:val="24"/>
        </w:rPr>
        <w:t>2.</w:t>
      </w:r>
      <w:r w:rsidRPr="00443215">
        <w:rPr>
          <w:rFonts w:cstheme="minorHAnsi"/>
          <w:sz w:val="24"/>
          <w:szCs w:val="24"/>
        </w:rPr>
        <w:tab/>
      </w:r>
      <w:r w:rsidR="00BE3087" w:rsidRPr="00443215">
        <w:rPr>
          <w:rFonts w:cs="Arial"/>
          <w:sz w:val="24"/>
          <w:szCs w:val="24"/>
        </w:rPr>
        <w:t>The First Respondent is to pay the costs of this application.</w:t>
      </w:r>
    </w:p>
    <w:p w14:paraId="73C81928" w14:textId="0F104762" w:rsidR="00BE3087" w:rsidRDefault="00BE3087" w:rsidP="00487221">
      <w:pPr>
        <w:spacing w:line="480" w:lineRule="auto"/>
        <w:jc w:val="both"/>
        <w:rPr>
          <w:rFonts w:ascii="Arial" w:hAnsi="Arial" w:cs="Arial"/>
          <w:lang w:val="en-GB"/>
        </w:rPr>
      </w:pPr>
    </w:p>
    <w:p w14:paraId="3E662746" w14:textId="77777777" w:rsidR="00F36DDD" w:rsidRPr="00F36DDD" w:rsidRDefault="00F36DDD" w:rsidP="00F36DDD">
      <w:pPr>
        <w:spacing w:line="480" w:lineRule="auto"/>
        <w:jc w:val="both"/>
        <w:rPr>
          <w:rFonts w:ascii="Arial" w:hAnsi="Arial" w:cs="Arial"/>
          <w:lang w:val="en-GB"/>
        </w:rPr>
      </w:pPr>
    </w:p>
    <w:p w14:paraId="6FFD86C3" w14:textId="77777777" w:rsidR="00F36DDD" w:rsidRPr="00F36DDD" w:rsidRDefault="00F36DDD" w:rsidP="00F36DDD">
      <w:pPr>
        <w:spacing w:line="480" w:lineRule="auto"/>
        <w:jc w:val="right"/>
        <w:rPr>
          <w:rFonts w:ascii="Arial" w:hAnsi="Arial" w:cs="Arial"/>
          <w:lang w:val="en-GB"/>
        </w:rPr>
      </w:pPr>
      <w:r w:rsidRPr="00F36DDD">
        <w:rPr>
          <w:rFonts w:ascii="Arial" w:hAnsi="Arial" w:cs="Arial"/>
          <w:lang w:val="en-GB"/>
        </w:rPr>
        <w:t xml:space="preserve">________________ </w:t>
      </w:r>
    </w:p>
    <w:p w14:paraId="6C27DAFA" w14:textId="77777777" w:rsidR="00F36DDD" w:rsidRPr="00F36DDD" w:rsidRDefault="00F36DDD" w:rsidP="00F36DDD">
      <w:pPr>
        <w:spacing w:line="480" w:lineRule="auto"/>
        <w:jc w:val="right"/>
        <w:rPr>
          <w:rFonts w:ascii="Arial" w:hAnsi="Arial" w:cs="Arial"/>
          <w:lang w:val="en-GB"/>
        </w:rPr>
      </w:pPr>
      <w:r w:rsidRPr="00F36DDD">
        <w:rPr>
          <w:rFonts w:ascii="Arial" w:hAnsi="Arial" w:cs="Arial"/>
          <w:lang w:val="en-GB"/>
        </w:rPr>
        <w:t>C.E THOMPSON</w:t>
      </w:r>
    </w:p>
    <w:p w14:paraId="500897A3" w14:textId="77777777" w:rsidR="00F36DDD" w:rsidRPr="00F36DDD" w:rsidRDefault="00F36DDD" w:rsidP="00F36DDD">
      <w:pPr>
        <w:spacing w:line="480" w:lineRule="auto"/>
        <w:jc w:val="right"/>
        <w:rPr>
          <w:rFonts w:ascii="Arial" w:hAnsi="Arial" w:cs="Arial"/>
          <w:lang w:val="en-GB"/>
        </w:rPr>
      </w:pPr>
      <w:r w:rsidRPr="00F36DDD">
        <w:rPr>
          <w:rFonts w:ascii="Arial" w:hAnsi="Arial" w:cs="Arial"/>
          <w:lang w:val="en-GB"/>
        </w:rPr>
        <w:t>ACTING JUDGE OF THE HIGH COURT</w:t>
      </w:r>
    </w:p>
    <w:p w14:paraId="74AE3AED" w14:textId="77777777" w:rsidR="00F36DDD" w:rsidRPr="00F36DDD" w:rsidRDefault="00F36DDD" w:rsidP="00F36DDD">
      <w:pPr>
        <w:spacing w:line="480" w:lineRule="auto"/>
        <w:jc w:val="right"/>
        <w:rPr>
          <w:rFonts w:ascii="Arial" w:hAnsi="Arial" w:cs="Arial"/>
          <w:lang w:val="en-GB"/>
        </w:rPr>
      </w:pPr>
      <w:r w:rsidRPr="00F36DDD">
        <w:rPr>
          <w:rFonts w:ascii="Arial" w:hAnsi="Arial" w:cs="Arial"/>
          <w:lang w:val="en-GB"/>
        </w:rPr>
        <w:t>GAUTENG LOCAL DIVISION, JOHANNESBURG</w:t>
      </w:r>
    </w:p>
    <w:p w14:paraId="5B1799D2" w14:textId="77777777" w:rsidR="00F36DDD" w:rsidRPr="00F36DDD" w:rsidRDefault="00F36DDD" w:rsidP="00F36DDD">
      <w:pPr>
        <w:spacing w:line="480" w:lineRule="auto"/>
        <w:jc w:val="both"/>
        <w:rPr>
          <w:rFonts w:ascii="Arial" w:hAnsi="Arial" w:cs="Arial"/>
          <w:lang w:val="en-GB"/>
        </w:rPr>
      </w:pPr>
    </w:p>
    <w:p w14:paraId="3374F3B8" w14:textId="028B0E65" w:rsidR="00F36DDD" w:rsidRPr="00F36DDD" w:rsidRDefault="00F36DDD" w:rsidP="00F36DDD">
      <w:pPr>
        <w:spacing w:line="480" w:lineRule="auto"/>
        <w:jc w:val="both"/>
        <w:rPr>
          <w:rFonts w:ascii="Arial" w:hAnsi="Arial" w:cs="Arial"/>
          <w:lang w:val="en-GB"/>
        </w:rPr>
      </w:pPr>
      <w:r w:rsidRPr="00F36DDD">
        <w:rPr>
          <w:rFonts w:ascii="Arial" w:hAnsi="Arial" w:cs="Arial"/>
          <w:lang w:val="en-GB"/>
        </w:rPr>
        <w:t xml:space="preserve">COUNSEL FOR THE APPLICANT: </w:t>
      </w:r>
      <w:r w:rsidRPr="00F36DDD">
        <w:rPr>
          <w:rFonts w:ascii="Arial" w:hAnsi="Arial" w:cs="Arial"/>
          <w:lang w:val="en-GB"/>
        </w:rPr>
        <w:tab/>
      </w:r>
      <w:r w:rsidR="00C95643">
        <w:rPr>
          <w:rFonts w:ascii="Arial" w:hAnsi="Arial" w:cs="Arial"/>
          <w:lang w:val="en-GB"/>
        </w:rPr>
        <w:t xml:space="preserve"> </w:t>
      </w:r>
      <w:r w:rsidR="0090439D">
        <w:rPr>
          <w:rFonts w:ascii="Arial" w:hAnsi="Arial" w:cs="Arial"/>
          <w:lang w:val="en-GB"/>
        </w:rPr>
        <w:t>ADV H.B MARAIS SC</w:t>
      </w:r>
      <w:r w:rsidRPr="00F36DDD">
        <w:rPr>
          <w:rFonts w:ascii="Arial" w:hAnsi="Arial" w:cs="Arial"/>
          <w:lang w:val="en-GB"/>
        </w:rPr>
        <w:tab/>
      </w:r>
      <w:r w:rsidRPr="00F36DDD">
        <w:rPr>
          <w:rFonts w:ascii="Arial" w:hAnsi="Arial" w:cs="Arial"/>
          <w:lang w:val="en-GB"/>
        </w:rPr>
        <w:tab/>
      </w:r>
    </w:p>
    <w:p w14:paraId="278D0A33" w14:textId="2C7DE27A" w:rsidR="0090439D" w:rsidRDefault="00F36DDD" w:rsidP="00F36DDD">
      <w:pPr>
        <w:spacing w:line="480" w:lineRule="auto"/>
        <w:jc w:val="both"/>
        <w:rPr>
          <w:rFonts w:ascii="Arial" w:hAnsi="Arial" w:cs="Arial"/>
          <w:lang w:val="en-GB"/>
        </w:rPr>
      </w:pPr>
      <w:r w:rsidRPr="00F36DDD">
        <w:rPr>
          <w:rFonts w:ascii="Arial" w:hAnsi="Arial" w:cs="Arial"/>
          <w:lang w:val="en-GB"/>
        </w:rPr>
        <w:t>APPLICANT’S ATTORNEYS:</w:t>
      </w:r>
      <w:r w:rsidRPr="00F36DDD">
        <w:rPr>
          <w:rFonts w:ascii="Arial" w:hAnsi="Arial" w:cs="Arial"/>
          <w:lang w:val="en-GB"/>
        </w:rPr>
        <w:tab/>
      </w:r>
      <w:r w:rsidRPr="00F36DDD">
        <w:rPr>
          <w:rFonts w:ascii="Arial" w:hAnsi="Arial" w:cs="Arial"/>
          <w:lang w:val="en-GB"/>
        </w:rPr>
        <w:tab/>
        <w:t xml:space="preserve"> </w:t>
      </w:r>
      <w:r w:rsidR="0090439D">
        <w:rPr>
          <w:rFonts w:ascii="Arial" w:hAnsi="Arial" w:cs="Arial"/>
          <w:lang w:val="en-GB"/>
        </w:rPr>
        <w:t>ADRIAN ENGELBRECHT</w:t>
      </w:r>
    </w:p>
    <w:p w14:paraId="0015E06B" w14:textId="7E62F3BC" w:rsidR="00F36DDD" w:rsidRPr="00F36DDD" w:rsidRDefault="00F36DDD" w:rsidP="00F36DDD">
      <w:pPr>
        <w:spacing w:line="480" w:lineRule="auto"/>
        <w:jc w:val="both"/>
        <w:rPr>
          <w:rFonts w:ascii="Arial" w:hAnsi="Arial" w:cs="Arial"/>
          <w:lang w:val="en-GB"/>
        </w:rPr>
      </w:pPr>
      <w:r w:rsidRPr="00F36DDD">
        <w:rPr>
          <w:rFonts w:ascii="Arial" w:hAnsi="Arial" w:cs="Arial"/>
          <w:lang w:val="en-GB"/>
        </w:rPr>
        <w:t xml:space="preserve">COUNSEL FOR THE RESPONDENTS: </w:t>
      </w:r>
      <w:r w:rsidRPr="00F36DDD">
        <w:rPr>
          <w:rFonts w:ascii="Arial" w:hAnsi="Arial" w:cs="Arial"/>
          <w:lang w:val="en-GB"/>
        </w:rPr>
        <w:tab/>
        <w:t xml:space="preserve"> AD</w:t>
      </w:r>
      <w:r w:rsidR="0090439D">
        <w:rPr>
          <w:rFonts w:ascii="Arial" w:hAnsi="Arial" w:cs="Arial"/>
          <w:lang w:val="en-GB"/>
        </w:rPr>
        <w:t>V K.A SLABBERT</w:t>
      </w:r>
    </w:p>
    <w:p w14:paraId="11F09DA3" w14:textId="3D041A84" w:rsidR="00F36DDD" w:rsidRPr="00F36DDD" w:rsidRDefault="00F36DDD" w:rsidP="00F36DDD">
      <w:pPr>
        <w:spacing w:line="480" w:lineRule="auto"/>
        <w:jc w:val="both"/>
        <w:rPr>
          <w:rFonts w:ascii="Arial" w:hAnsi="Arial" w:cs="Arial"/>
          <w:lang w:val="en-GB"/>
        </w:rPr>
      </w:pPr>
      <w:r w:rsidRPr="00F36DDD">
        <w:rPr>
          <w:rFonts w:ascii="Arial" w:hAnsi="Arial" w:cs="Arial"/>
          <w:lang w:val="en-GB"/>
        </w:rPr>
        <w:t>DATE OF HEARING:</w:t>
      </w:r>
      <w:r w:rsidRPr="00F36DDD">
        <w:rPr>
          <w:rFonts w:ascii="Arial" w:hAnsi="Arial" w:cs="Arial"/>
          <w:lang w:val="en-GB"/>
        </w:rPr>
        <w:tab/>
      </w:r>
      <w:r w:rsidRPr="00F36DDD">
        <w:rPr>
          <w:rFonts w:ascii="Arial" w:hAnsi="Arial" w:cs="Arial"/>
          <w:lang w:val="en-GB"/>
        </w:rPr>
        <w:tab/>
      </w:r>
      <w:r w:rsidRPr="00F36DDD">
        <w:rPr>
          <w:rFonts w:ascii="Arial" w:hAnsi="Arial" w:cs="Arial"/>
          <w:lang w:val="en-GB"/>
        </w:rPr>
        <w:tab/>
      </w:r>
      <w:r w:rsidR="00B428C7">
        <w:rPr>
          <w:rFonts w:ascii="Arial" w:hAnsi="Arial" w:cs="Arial"/>
          <w:lang w:val="en-GB"/>
        </w:rPr>
        <w:t xml:space="preserve"> </w:t>
      </w:r>
      <w:r w:rsidR="0090439D">
        <w:rPr>
          <w:rFonts w:ascii="Arial" w:hAnsi="Arial" w:cs="Arial"/>
          <w:lang w:val="en-GB"/>
        </w:rPr>
        <w:t xml:space="preserve">18 </w:t>
      </w:r>
      <w:r w:rsidRPr="00F36DDD">
        <w:rPr>
          <w:rFonts w:ascii="Arial" w:hAnsi="Arial" w:cs="Arial"/>
          <w:lang w:val="en-GB"/>
        </w:rPr>
        <w:t>MAY 2023</w:t>
      </w:r>
    </w:p>
    <w:p w14:paraId="7E8F3AA9" w14:textId="431233D8" w:rsidR="00F36DDD" w:rsidRPr="00443215" w:rsidRDefault="00F36DDD" w:rsidP="00F36DDD">
      <w:pPr>
        <w:spacing w:line="480" w:lineRule="auto"/>
        <w:jc w:val="both"/>
        <w:rPr>
          <w:rFonts w:ascii="Arial" w:hAnsi="Arial" w:cs="Arial"/>
          <w:lang w:val="en-GB"/>
        </w:rPr>
      </w:pPr>
      <w:r w:rsidRPr="00F36DDD">
        <w:rPr>
          <w:rFonts w:ascii="Arial" w:hAnsi="Arial" w:cs="Arial"/>
          <w:lang w:val="en-GB"/>
        </w:rPr>
        <w:t>DATE OF JUDGMENT:</w:t>
      </w:r>
      <w:r w:rsidRPr="00F36DDD">
        <w:rPr>
          <w:rFonts w:ascii="Arial" w:hAnsi="Arial" w:cs="Arial"/>
          <w:lang w:val="en-GB"/>
        </w:rPr>
        <w:tab/>
      </w:r>
      <w:r w:rsidRPr="00F36DDD">
        <w:rPr>
          <w:rFonts w:ascii="Arial" w:hAnsi="Arial" w:cs="Arial"/>
          <w:lang w:val="en-GB"/>
        </w:rPr>
        <w:tab/>
      </w:r>
      <w:r w:rsidRPr="00F36DDD">
        <w:rPr>
          <w:rFonts w:ascii="Arial" w:hAnsi="Arial" w:cs="Arial"/>
          <w:lang w:val="en-GB"/>
        </w:rPr>
        <w:tab/>
      </w:r>
      <w:r w:rsidR="00B428C7">
        <w:rPr>
          <w:rFonts w:ascii="Arial" w:hAnsi="Arial" w:cs="Arial"/>
          <w:lang w:val="en-GB"/>
        </w:rPr>
        <w:t xml:space="preserve">  </w:t>
      </w:r>
      <w:r w:rsidR="0090439D">
        <w:rPr>
          <w:rFonts w:ascii="Arial" w:hAnsi="Arial" w:cs="Arial"/>
          <w:lang w:val="en-GB"/>
        </w:rPr>
        <w:t>25</w:t>
      </w:r>
      <w:r w:rsidRPr="00F36DDD">
        <w:rPr>
          <w:rFonts w:ascii="Arial" w:hAnsi="Arial" w:cs="Arial"/>
          <w:lang w:val="en-GB"/>
        </w:rPr>
        <w:t xml:space="preserve"> MAY 2023</w:t>
      </w:r>
    </w:p>
    <w:sectPr w:rsidR="00F36DDD" w:rsidRPr="00443215" w:rsidSect="00487221">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024E5" w14:textId="77777777" w:rsidR="003F1073" w:rsidRDefault="003F1073" w:rsidP="00D04A54">
      <w:r>
        <w:separator/>
      </w:r>
    </w:p>
  </w:endnote>
  <w:endnote w:type="continuationSeparator" w:id="0">
    <w:p w14:paraId="74733431" w14:textId="77777777" w:rsidR="003F1073" w:rsidRDefault="003F1073" w:rsidP="00D0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C832" w14:textId="77777777" w:rsidR="003F1073" w:rsidRDefault="003F1073" w:rsidP="00D04A54">
      <w:r>
        <w:separator/>
      </w:r>
    </w:p>
  </w:footnote>
  <w:footnote w:type="continuationSeparator" w:id="0">
    <w:p w14:paraId="116E789D" w14:textId="77777777" w:rsidR="003F1073" w:rsidRDefault="003F1073" w:rsidP="00D04A54">
      <w:r>
        <w:continuationSeparator/>
      </w:r>
    </w:p>
  </w:footnote>
  <w:footnote w:id="1">
    <w:p w14:paraId="348EF166" w14:textId="45CB3ACB" w:rsidR="00D04A54" w:rsidRPr="00487221" w:rsidRDefault="00D04A54" w:rsidP="00487221">
      <w:pPr>
        <w:pStyle w:val="FootnoteText"/>
        <w:jc w:val="both"/>
        <w:rPr>
          <w:color w:val="000000" w:themeColor="text1"/>
          <w:lang w:val="en-US"/>
        </w:rPr>
      </w:pPr>
      <w:r w:rsidRPr="00487221">
        <w:rPr>
          <w:rStyle w:val="FootnoteReference"/>
          <w:color w:val="000000" w:themeColor="text1"/>
        </w:rPr>
        <w:footnoteRef/>
      </w:r>
      <w:r w:rsidRPr="00487221">
        <w:rPr>
          <w:color w:val="000000" w:themeColor="text1"/>
        </w:rPr>
        <w:t xml:space="preserve"> </w:t>
      </w:r>
      <w:r w:rsidRPr="00487221">
        <w:rPr>
          <w:color w:val="000000" w:themeColor="text1"/>
          <w:lang w:val="en-US"/>
        </w:rPr>
        <w:t xml:space="preserve">There is no relationship between Marais and counsel appearing for the applicant. </w:t>
      </w:r>
    </w:p>
  </w:footnote>
  <w:footnote w:id="2">
    <w:p w14:paraId="29A2FF0A" w14:textId="716BE4DE" w:rsidR="00F142BD" w:rsidRPr="00487221" w:rsidRDefault="00F142BD" w:rsidP="00487221">
      <w:pPr>
        <w:pStyle w:val="FootnoteText"/>
        <w:jc w:val="both"/>
        <w:rPr>
          <w:color w:val="000000" w:themeColor="text1"/>
          <w:lang w:val="en-US"/>
        </w:rPr>
      </w:pPr>
      <w:r w:rsidRPr="00487221">
        <w:rPr>
          <w:rStyle w:val="FootnoteReference"/>
          <w:color w:val="000000" w:themeColor="text1"/>
        </w:rPr>
        <w:footnoteRef/>
      </w:r>
      <w:r w:rsidRPr="00487221">
        <w:rPr>
          <w:color w:val="000000" w:themeColor="text1"/>
        </w:rPr>
        <w:t xml:space="preserve"> </w:t>
      </w:r>
      <w:r w:rsidRPr="00487221">
        <w:rPr>
          <w:color w:val="000000" w:themeColor="text1"/>
          <w:lang w:val="en-US"/>
        </w:rPr>
        <w:t>71 of 2008</w:t>
      </w:r>
    </w:p>
  </w:footnote>
  <w:footnote w:id="3">
    <w:p w14:paraId="166200A4" w14:textId="0ECCCF35" w:rsidR="00F142BD" w:rsidRPr="00487221" w:rsidRDefault="00F142BD" w:rsidP="00487221">
      <w:pPr>
        <w:pStyle w:val="FootnoteText"/>
        <w:jc w:val="both"/>
        <w:rPr>
          <w:color w:val="000000" w:themeColor="text1"/>
          <w:lang w:val="en-US"/>
        </w:rPr>
      </w:pPr>
      <w:r w:rsidRPr="00487221">
        <w:rPr>
          <w:rStyle w:val="FootnoteReference"/>
          <w:color w:val="000000" w:themeColor="text1"/>
        </w:rPr>
        <w:footnoteRef/>
      </w:r>
      <w:r w:rsidRPr="00487221">
        <w:rPr>
          <w:color w:val="000000" w:themeColor="text1"/>
        </w:rPr>
        <w:t xml:space="preserve"> </w:t>
      </w:r>
      <w:r w:rsidRPr="00487221">
        <w:rPr>
          <w:color w:val="000000" w:themeColor="text1"/>
          <w:lang w:val="en-US"/>
        </w:rPr>
        <w:t>68 of 1969</w:t>
      </w:r>
    </w:p>
  </w:footnote>
  <w:footnote w:id="4">
    <w:p w14:paraId="1F9D7411" w14:textId="20D40A6C" w:rsidR="00C617AB" w:rsidRPr="00487221" w:rsidRDefault="00C617AB" w:rsidP="00487221">
      <w:pPr>
        <w:pStyle w:val="FootnoteText"/>
        <w:jc w:val="both"/>
        <w:rPr>
          <w:color w:val="000000" w:themeColor="text1"/>
          <w:lang w:val="en-US"/>
        </w:rPr>
      </w:pPr>
      <w:r w:rsidRPr="00487221">
        <w:rPr>
          <w:rStyle w:val="FootnoteReference"/>
          <w:color w:val="000000" w:themeColor="text1"/>
        </w:rPr>
        <w:footnoteRef/>
      </w:r>
      <w:r w:rsidRPr="00487221">
        <w:rPr>
          <w:color w:val="000000" w:themeColor="text1"/>
        </w:rPr>
        <w:t xml:space="preserve"> </w:t>
      </w:r>
      <w:r w:rsidRPr="00487221">
        <w:rPr>
          <w:b/>
          <w:bCs/>
          <w:i/>
          <w:iCs/>
          <w:color w:val="000000" w:themeColor="text1"/>
          <w:lang w:val="en-US"/>
        </w:rPr>
        <w:t xml:space="preserve">Judicial Services Commission &amp; Another v Cape Bar Council &amp; Another </w:t>
      </w:r>
      <w:r w:rsidRPr="00487221">
        <w:rPr>
          <w:color w:val="000000" w:themeColor="text1"/>
          <w:lang w:val="en-US"/>
        </w:rPr>
        <w:t>2013 (1) SA 170 (SCA) at para [12]</w:t>
      </w:r>
    </w:p>
  </w:footnote>
  <w:footnote w:id="5">
    <w:p w14:paraId="6C5744CE" w14:textId="0B755D68" w:rsidR="00D11B51" w:rsidRPr="00487221" w:rsidRDefault="00D11B51" w:rsidP="00487221">
      <w:pPr>
        <w:pStyle w:val="FootnoteText"/>
        <w:jc w:val="both"/>
        <w:rPr>
          <w:color w:val="000000" w:themeColor="text1"/>
          <w:lang w:val="en-US"/>
        </w:rPr>
      </w:pPr>
      <w:r w:rsidRPr="00487221">
        <w:rPr>
          <w:rStyle w:val="FootnoteReference"/>
          <w:color w:val="000000" w:themeColor="text1"/>
        </w:rPr>
        <w:footnoteRef/>
      </w:r>
      <w:r w:rsidRPr="00487221">
        <w:rPr>
          <w:color w:val="000000" w:themeColor="text1"/>
        </w:rPr>
        <w:t xml:space="preserve"> </w:t>
      </w:r>
      <w:r w:rsidRPr="00487221">
        <w:rPr>
          <w:b/>
          <w:bCs/>
          <w:i/>
          <w:iCs/>
          <w:color w:val="000000" w:themeColor="text1"/>
          <w:lang w:val="en-US"/>
        </w:rPr>
        <w:t>eThekwini Municipality v Mounthaven (Pty) Ltd</w:t>
      </w:r>
      <w:r w:rsidRPr="00487221">
        <w:rPr>
          <w:color w:val="000000" w:themeColor="text1"/>
          <w:lang w:val="en-US"/>
        </w:rPr>
        <w:t xml:space="preserve"> (CCT05/18) [2018] ZACC 43;  2019 (2) BCLR 236 (CC);  2019 (4) SA 394 (CC) (31 October 2018) at para [8]</w:t>
      </w:r>
    </w:p>
  </w:footnote>
  <w:footnote w:id="6">
    <w:p w14:paraId="3A838583" w14:textId="2B18BE4D" w:rsidR="00155807" w:rsidRPr="00487221" w:rsidRDefault="00155807" w:rsidP="00487221">
      <w:pPr>
        <w:pStyle w:val="FootnoteText"/>
        <w:jc w:val="both"/>
        <w:rPr>
          <w:rFonts w:cstheme="minorHAnsi"/>
          <w:color w:val="000000" w:themeColor="text1"/>
          <w:lang w:val="en-US"/>
        </w:rPr>
      </w:pPr>
      <w:r w:rsidRPr="00487221">
        <w:rPr>
          <w:rStyle w:val="FootnoteReference"/>
          <w:color w:val="000000" w:themeColor="text1"/>
        </w:rPr>
        <w:footnoteRef/>
      </w:r>
      <w:r w:rsidRPr="00487221">
        <w:rPr>
          <w:color w:val="000000" w:themeColor="text1"/>
        </w:rPr>
        <w:t xml:space="preserve"> </w:t>
      </w:r>
      <w:r w:rsidRPr="00487221">
        <w:rPr>
          <w:rFonts w:eastAsia="Times New Roman" w:cstheme="minorHAnsi"/>
          <w:b/>
          <w:bCs/>
          <w:i/>
          <w:iCs/>
          <w:color w:val="000000" w:themeColor="text1"/>
          <w:lang w:eastAsia="en-ZA"/>
        </w:rPr>
        <w:t>Weiner v The Master (1)</w:t>
      </w:r>
      <w:r w:rsidRPr="00487221">
        <w:rPr>
          <w:rFonts w:eastAsia="Times New Roman" w:cstheme="minorHAnsi"/>
          <w:i/>
          <w:iCs/>
          <w:color w:val="000000" w:themeColor="text1"/>
          <w:lang w:eastAsia="en-ZA"/>
        </w:rPr>
        <w:t xml:space="preserve"> </w:t>
      </w:r>
      <w:r w:rsidRPr="00487221">
        <w:rPr>
          <w:rFonts w:eastAsia="Times New Roman" w:cstheme="minorHAnsi"/>
          <w:color w:val="000000" w:themeColor="text1"/>
          <w:lang w:eastAsia="en-ZA"/>
        </w:rPr>
        <w:t>1976 2 SA 830 (T) 842D</w:t>
      </w:r>
    </w:p>
  </w:footnote>
  <w:footnote w:id="7">
    <w:p w14:paraId="467DC586" w14:textId="77777777" w:rsidR="00155807" w:rsidRPr="00487221" w:rsidRDefault="00155807" w:rsidP="00487221">
      <w:pPr>
        <w:pStyle w:val="FootnoteText"/>
        <w:jc w:val="both"/>
        <w:rPr>
          <w:color w:val="000000" w:themeColor="text1"/>
          <w:lang w:val="en-US"/>
        </w:rPr>
      </w:pPr>
      <w:r w:rsidRPr="00487221">
        <w:rPr>
          <w:rStyle w:val="FootnoteReference"/>
          <w:color w:val="000000" w:themeColor="text1"/>
        </w:rPr>
        <w:footnoteRef/>
      </w:r>
      <w:r w:rsidRPr="00487221">
        <w:rPr>
          <w:color w:val="000000" w:themeColor="text1"/>
        </w:rPr>
        <w:t xml:space="preserve"> </w:t>
      </w:r>
      <w:r w:rsidRPr="00487221">
        <w:rPr>
          <w:b/>
          <w:bCs/>
          <w:i/>
          <w:iCs/>
          <w:color w:val="000000" w:themeColor="text1"/>
          <w:lang w:val="en-US"/>
        </w:rPr>
        <w:t>Plascon-Evans Paints Ltd v Van Riebeeck Paints (Pty) Ltd</w:t>
      </w:r>
      <w:r w:rsidRPr="00487221">
        <w:rPr>
          <w:color w:val="000000" w:themeColor="text1"/>
          <w:lang w:val="en-US"/>
        </w:rPr>
        <w:t xml:space="preserve"> 1984 (3) SA 623 (A) at 634E – 635C</w:t>
      </w:r>
    </w:p>
    <w:p w14:paraId="620F7866" w14:textId="77777777" w:rsidR="00155807" w:rsidRPr="00487221" w:rsidRDefault="00155807" w:rsidP="00487221">
      <w:pPr>
        <w:pStyle w:val="FootnoteText"/>
        <w:jc w:val="both"/>
        <w:rPr>
          <w:rFonts w:cstheme="minorHAnsi"/>
          <w:i/>
          <w:iCs/>
          <w:color w:val="000000" w:themeColor="text1"/>
        </w:rPr>
      </w:pPr>
      <w:r w:rsidRPr="00487221">
        <w:rPr>
          <w:rFonts w:cstheme="minorHAnsi"/>
          <w:i/>
          <w:iCs/>
          <w:color w:val="000000" w:themeColor="text1"/>
          <w:lang w:val="en-US"/>
        </w:rPr>
        <w:t>“</w:t>
      </w:r>
      <w:r w:rsidRPr="00487221">
        <w:rPr>
          <w:rFonts w:cstheme="minorHAnsi"/>
          <w:i/>
          <w:iCs/>
          <w:color w:val="000000" w:themeColor="text1"/>
        </w:rPr>
        <w:t>The</w:t>
      </w:r>
      <w:r w:rsidRPr="00487221">
        <w:rPr>
          <w:rStyle w:val="apple-converted-space"/>
          <w:rFonts w:cstheme="minorHAnsi"/>
          <w:i/>
          <w:iCs/>
          <w:color w:val="000000" w:themeColor="text1"/>
        </w:rPr>
        <w:t> </w:t>
      </w:r>
      <w:r w:rsidRPr="00487221">
        <w:rPr>
          <w:rFonts w:cstheme="minorHAnsi"/>
          <w:i/>
          <w:iCs/>
          <w:color w:val="000000" w:themeColor="text1"/>
        </w:rPr>
        <w:t>appellant nevertheless sought a final interdict, together with ancillary relief, on the papers and without resort to oral evidence. In such a case the general rule was stated by VAN WYK J (with whom DE VILLIERS JP and ROSENOW J concurred) in</w:t>
      </w:r>
      <w:r w:rsidRPr="00487221">
        <w:rPr>
          <w:rStyle w:val="apple-converted-space"/>
          <w:rFonts w:cstheme="minorHAnsi"/>
          <w:i/>
          <w:iCs/>
          <w:color w:val="000000" w:themeColor="text1"/>
        </w:rPr>
        <w:t> </w:t>
      </w:r>
      <w:r w:rsidRPr="00487221">
        <w:rPr>
          <w:rFonts w:cstheme="minorHAnsi"/>
          <w:i/>
          <w:iCs/>
          <w:color w:val="000000" w:themeColor="text1"/>
        </w:rPr>
        <w:t>Stellenbosch Farmers' Winery Ltd v Stellenvale Winery (Pty) Ltd </w:t>
      </w:r>
      <w:hyperlink r:id="rId1" w:history="1">
        <w:r w:rsidRPr="00487221">
          <w:rPr>
            <w:rStyle w:val="Hyperlink"/>
            <w:rFonts w:cstheme="minorHAnsi"/>
            <w:i/>
            <w:iCs/>
            <w:color w:val="000000" w:themeColor="text1"/>
            <w:u w:val="none"/>
          </w:rPr>
          <w:t>1957 (4) SA 234 (C)</w:t>
        </w:r>
      </w:hyperlink>
      <w:r w:rsidRPr="00487221">
        <w:rPr>
          <w:rStyle w:val="apple-converted-space"/>
          <w:rFonts w:cstheme="minorHAnsi"/>
          <w:i/>
          <w:iCs/>
          <w:color w:val="000000" w:themeColor="text1"/>
        </w:rPr>
        <w:t> </w:t>
      </w:r>
      <w:r w:rsidRPr="00487221">
        <w:rPr>
          <w:rFonts w:cstheme="minorHAnsi"/>
          <w:i/>
          <w:iCs/>
          <w:color w:val="000000" w:themeColor="text1"/>
        </w:rPr>
        <w:t>at 235E - G, to be:</w:t>
      </w:r>
    </w:p>
    <w:p w14:paraId="068ACF47" w14:textId="77777777" w:rsidR="00155807" w:rsidRPr="00487221" w:rsidRDefault="00155807" w:rsidP="00487221">
      <w:pPr>
        <w:pStyle w:val="FootnoteText"/>
        <w:ind w:left="720"/>
        <w:jc w:val="both"/>
        <w:rPr>
          <w:rFonts w:cstheme="minorHAnsi"/>
          <w:i/>
          <w:iCs/>
          <w:color w:val="000000" w:themeColor="text1"/>
        </w:rPr>
      </w:pPr>
      <w:r w:rsidRPr="00487221">
        <w:rPr>
          <w:rFonts w:cstheme="minorHAnsi"/>
          <w:i/>
          <w:iCs/>
          <w:color w:val="000000" w:themeColor="text1"/>
        </w:rPr>
        <w:t>"... where there is a dispute as to the facts a final</w:t>
      </w:r>
      <w:r w:rsidRPr="00487221">
        <w:rPr>
          <w:rStyle w:val="apple-converted-space"/>
          <w:rFonts w:cstheme="minorHAnsi"/>
          <w:i/>
          <w:iCs/>
          <w:color w:val="000000" w:themeColor="text1"/>
        </w:rPr>
        <w:t> </w:t>
      </w:r>
      <w:r w:rsidRPr="00487221">
        <w:rPr>
          <w:rFonts w:cstheme="minorHAnsi"/>
          <w:i/>
          <w:iCs/>
          <w:color w:val="000000" w:themeColor="text1"/>
        </w:rPr>
        <w:t>interdict should only be granted in notice of motion proceedings if the facts as stated by the respondents together with the admitted facts in the applicant's affidavits justify such an order... Where it is clear that facts, though not formally admitted, cannot be denied, they must be regarded as admitted."</w:t>
      </w:r>
    </w:p>
    <w:p w14:paraId="163E91B1" w14:textId="77777777" w:rsidR="00155807" w:rsidRPr="00487221" w:rsidRDefault="00155807" w:rsidP="00487221">
      <w:pPr>
        <w:pStyle w:val="FootnoteText"/>
        <w:jc w:val="both"/>
        <w:rPr>
          <w:rFonts w:cstheme="minorHAnsi"/>
          <w:i/>
          <w:iCs/>
          <w:color w:val="000000" w:themeColor="text1"/>
          <w:lang w:val="en-US"/>
        </w:rPr>
      </w:pPr>
      <w:r w:rsidRPr="00487221">
        <w:rPr>
          <w:rFonts w:cstheme="minorHAnsi"/>
          <w:i/>
          <w:iCs/>
          <w:color w:val="000000" w:themeColor="text1"/>
        </w:rPr>
        <w:t>This rule has been referred to several times by this Court (see</w:t>
      </w:r>
      <w:r w:rsidRPr="00487221">
        <w:rPr>
          <w:rStyle w:val="apple-converted-space"/>
          <w:rFonts w:cstheme="minorHAnsi"/>
          <w:i/>
          <w:iCs/>
          <w:color w:val="000000" w:themeColor="text1"/>
        </w:rPr>
        <w:t> </w:t>
      </w:r>
      <w:r w:rsidRPr="00487221">
        <w:rPr>
          <w:rFonts w:cstheme="minorHAnsi"/>
          <w:i/>
          <w:iCs/>
          <w:color w:val="000000" w:themeColor="text1"/>
        </w:rPr>
        <w:t>Burnkloof Caterers (Pty) Ltd v Horseshoe Caterers (Green Point)</w:t>
      </w:r>
      <w:r w:rsidRPr="00487221">
        <w:rPr>
          <w:rStyle w:val="apple-converted-space"/>
          <w:rFonts w:cstheme="minorHAnsi"/>
          <w:i/>
          <w:iCs/>
          <w:color w:val="000000" w:themeColor="text1"/>
        </w:rPr>
        <w:t xml:space="preserve"> </w:t>
      </w:r>
      <w:r w:rsidRPr="00487221">
        <w:rPr>
          <w:rFonts w:cstheme="minorHAnsi"/>
          <w:i/>
          <w:iCs/>
          <w:color w:val="000000" w:themeColor="text1"/>
        </w:rPr>
        <w:t>(Pty) Ltd </w:t>
      </w:r>
      <w:hyperlink r:id="rId2" w:history="1">
        <w:r w:rsidRPr="00487221">
          <w:rPr>
            <w:rStyle w:val="Hyperlink"/>
            <w:rFonts w:cstheme="minorHAnsi"/>
            <w:i/>
            <w:iCs/>
            <w:color w:val="000000" w:themeColor="text1"/>
            <w:u w:val="none"/>
          </w:rPr>
          <w:t>1976 (2) SA 930 (A)</w:t>
        </w:r>
      </w:hyperlink>
      <w:r w:rsidRPr="00487221">
        <w:rPr>
          <w:rStyle w:val="apple-converted-space"/>
          <w:rFonts w:cstheme="minorHAnsi"/>
          <w:i/>
          <w:iCs/>
          <w:color w:val="000000" w:themeColor="text1"/>
        </w:rPr>
        <w:t> </w:t>
      </w:r>
      <w:r w:rsidRPr="00487221">
        <w:rPr>
          <w:rFonts w:cstheme="minorHAnsi"/>
          <w:i/>
          <w:iCs/>
          <w:color w:val="000000" w:themeColor="text1"/>
        </w:rPr>
        <w:t>at 938A - B;</w:t>
      </w:r>
      <w:r w:rsidRPr="00487221">
        <w:rPr>
          <w:rStyle w:val="apple-converted-space"/>
          <w:rFonts w:cstheme="minorHAnsi"/>
          <w:i/>
          <w:iCs/>
          <w:color w:val="000000" w:themeColor="text1"/>
        </w:rPr>
        <w:t> </w:t>
      </w:r>
      <w:r w:rsidRPr="00487221">
        <w:rPr>
          <w:rFonts w:cstheme="minorHAnsi"/>
          <w:i/>
          <w:iCs/>
          <w:color w:val="000000" w:themeColor="text1"/>
        </w:rPr>
        <w:t>Tamarillo (Pty) Ltd v B N Aitkin (Pty) Ltd </w:t>
      </w:r>
      <w:hyperlink r:id="rId3" w:history="1">
        <w:r w:rsidRPr="00487221">
          <w:rPr>
            <w:rStyle w:val="Hyperlink"/>
            <w:rFonts w:cstheme="minorHAnsi"/>
            <w:i/>
            <w:iCs/>
            <w:color w:val="000000" w:themeColor="text1"/>
            <w:u w:val="none"/>
          </w:rPr>
          <w:t>1982 (1) SA 398 (A)</w:t>
        </w:r>
      </w:hyperlink>
      <w:r w:rsidRPr="00487221">
        <w:rPr>
          <w:rStyle w:val="apple-converted-space"/>
          <w:rFonts w:cstheme="minorHAnsi"/>
          <w:i/>
          <w:iCs/>
          <w:color w:val="000000" w:themeColor="text1"/>
        </w:rPr>
        <w:t> </w:t>
      </w:r>
      <w:r w:rsidRPr="00487221">
        <w:rPr>
          <w:rFonts w:cstheme="minorHAnsi"/>
          <w:i/>
          <w:iCs/>
          <w:color w:val="000000" w:themeColor="text1"/>
        </w:rPr>
        <w:t>at 430 - 1;</w:t>
      </w:r>
      <w:r w:rsidRPr="00487221">
        <w:rPr>
          <w:rStyle w:val="apple-converted-space"/>
          <w:rFonts w:cstheme="minorHAnsi"/>
          <w:i/>
          <w:iCs/>
          <w:color w:val="000000" w:themeColor="text1"/>
        </w:rPr>
        <w:t> </w:t>
      </w:r>
      <w:r w:rsidRPr="00487221">
        <w:rPr>
          <w:rFonts w:cstheme="minorHAnsi"/>
          <w:i/>
          <w:iCs/>
          <w:color w:val="000000" w:themeColor="text1"/>
        </w:rPr>
        <w:t>Associated South African Bakeries (Pty) Ltd v Oryx &amp; Vereinigte Bäckereien (Pty) Ltd en Andere </w:t>
      </w:r>
      <w:hyperlink r:id="rId4" w:history="1">
        <w:r w:rsidRPr="00487221">
          <w:rPr>
            <w:rStyle w:val="Hyperlink"/>
            <w:rFonts w:cstheme="minorHAnsi"/>
            <w:i/>
            <w:iCs/>
            <w:color w:val="000000" w:themeColor="text1"/>
            <w:u w:val="none"/>
          </w:rPr>
          <w:t>1982 (3) SA 893 (A)</w:t>
        </w:r>
      </w:hyperlink>
      <w:r w:rsidRPr="00487221">
        <w:rPr>
          <w:rStyle w:val="apple-converted-space"/>
          <w:rFonts w:cstheme="minorHAnsi"/>
          <w:i/>
          <w:iCs/>
          <w:color w:val="000000" w:themeColor="text1"/>
        </w:rPr>
        <w:t> </w:t>
      </w:r>
      <w:r w:rsidRPr="00487221">
        <w:rPr>
          <w:rFonts w:cstheme="minorHAnsi"/>
          <w:i/>
          <w:iCs/>
          <w:color w:val="000000" w:themeColor="text1"/>
        </w:rPr>
        <w:t>at 923G - 924D). It seems to me, however, that this formulation of the</w:t>
      </w:r>
      <w:r w:rsidRPr="00487221">
        <w:rPr>
          <w:rStyle w:val="apple-converted-space"/>
          <w:rFonts w:cstheme="minorHAnsi"/>
          <w:i/>
          <w:iCs/>
          <w:color w:val="000000" w:themeColor="text1"/>
        </w:rPr>
        <w:t> </w:t>
      </w:r>
      <w:r w:rsidRPr="00487221">
        <w:rPr>
          <w:rFonts w:cstheme="minorHAnsi"/>
          <w:i/>
          <w:iCs/>
          <w:color w:val="000000" w:themeColor="text1"/>
        </w:rPr>
        <w:t>general rule, and particularly the second sentence thereof, requires some clarification and, perhaps, qualification. 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w:t>
      </w:r>
      <w:r w:rsidRPr="00487221">
        <w:rPr>
          <w:rStyle w:val="apple-converted-space"/>
          <w:rFonts w:cstheme="minorHAnsi"/>
          <w:i/>
          <w:iCs/>
          <w:color w:val="000000" w:themeColor="text1"/>
        </w:rPr>
        <w:t> </w:t>
      </w:r>
      <w:r w:rsidRPr="00487221">
        <w:rPr>
          <w:rFonts w:cstheme="minorHAnsi"/>
          <w:i/>
          <w:iCs/>
          <w:color w:val="000000" w:themeColor="text1"/>
        </w:rPr>
        <w:t>alleged by the respondent, justify such an order. The power of the Court to give such final relief on the papers before it is, however, not confined to such a situation. In certain instances the denial by respondent of a fact alleged by the applicant may not be such as to raise a real, genuine or</w:t>
      </w:r>
      <w:r w:rsidRPr="00487221">
        <w:rPr>
          <w:rStyle w:val="apple-converted-space"/>
          <w:rFonts w:cstheme="minorHAnsi"/>
          <w:i/>
          <w:iCs/>
          <w:color w:val="000000" w:themeColor="text1"/>
        </w:rPr>
        <w:t> </w:t>
      </w:r>
      <w:r w:rsidRPr="00487221">
        <w:rPr>
          <w:rFonts w:cstheme="minorHAnsi"/>
          <w:i/>
          <w:iCs/>
          <w:color w:val="000000" w:themeColor="text1"/>
        </w:rPr>
        <w:t>bona fide</w:t>
      </w:r>
      <w:r w:rsidRPr="00487221">
        <w:rPr>
          <w:rStyle w:val="apple-converted-space"/>
          <w:rFonts w:cstheme="minorHAnsi"/>
          <w:i/>
          <w:iCs/>
          <w:color w:val="000000" w:themeColor="text1"/>
        </w:rPr>
        <w:t> </w:t>
      </w:r>
      <w:r w:rsidRPr="00487221">
        <w:rPr>
          <w:rFonts w:cstheme="minorHAnsi"/>
          <w:i/>
          <w:iCs/>
          <w:color w:val="000000" w:themeColor="text1"/>
        </w:rPr>
        <w:t>dispute of fact (see in this regard</w:t>
      </w:r>
      <w:r w:rsidRPr="00487221">
        <w:rPr>
          <w:rStyle w:val="apple-converted-space"/>
          <w:rFonts w:cstheme="minorHAnsi"/>
          <w:i/>
          <w:iCs/>
          <w:color w:val="000000" w:themeColor="text1"/>
        </w:rPr>
        <w:t> </w:t>
      </w:r>
      <w:r w:rsidRPr="00487221">
        <w:rPr>
          <w:rFonts w:cstheme="minorHAnsi"/>
          <w:i/>
          <w:iCs/>
          <w:color w:val="000000" w:themeColor="text1"/>
        </w:rPr>
        <w:t>Room Hire Co (Pty) Ltd v Jeppe Street Mansions (Pty) Ltd </w:t>
      </w:r>
      <w:hyperlink r:id="rId5" w:history="1">
        <w:r w:rsidRPr="00487221">
          <w:rPr>
            <w:rStyle w:val="Hyperlink"/>
            <w:rFonts w:cstheme="minorHAnsi"/>
            <w:i/>
            <w:iCs/>
            <w:color w:val="000000" w:themeColor="text1"/>
            <w:u w:val="none"/>
          </w:rPr>
          <w:t>1949 (3) SA 1155 (T)</w:t>
        </w:r>
      </w:hyperlink>
      <w:r w:rsidRPr="00487221">
        <w:rPr>
          <w:rStyle w:val="apple-converted-space"/>
          <w:rFonts w:cstheme="minorHAnsi"/>
          <w:i/>
          <w:iCs/>
          <w:color w:val="000000" w:themeColor="text1"/>
        </w:rPr>
        <w:t> </w:t>
      </w:r>
      <w:r w:rsidRPr="00487221">
        <w:rPr>
          <w:rFonts w:cstheme="minorHAnsi"/>
          <w:i/>
          <w:iCs/>
          <w:color w:val="000000" w:themeColor="text1"/>
        </w:rPr>
        <w:t>at 1163 - 5;</w:t>
      </w:r>
      <w:r w:rsidRPr="00487221">
        <w:rPr>
          <w:rStyle w:val="apple-converted-space"/>
          <w:rFonts w:cstheme="minorHAnsi"/>
          <w:i/>
          <w:iCs/>
          <w:color w:val="000000" w:themeColor="text1"/>
        </w:rPr>
        <w:t> </w:t>
      </w:r>
      <w:r w:rsidRPr="00487221">
        <w:rPr>
          <w:rFonts w:cstheme="minorHAnsi"/>
          <w:i/>
          <w:iCs/>
          <w:color w:val="000000" w:themeColor="text1"/>
        </w:rPr>
        <w:t>Da Mata v Otto NO</w:t>
      </w:r>
      <w:r w:rsidRPr="00487221">
        <w:rPr>
          <w:rStyle w:val="apple-converted-space"/>
          <w:rFonts w:cstheme="minorHAnsi"/>
          <w:i/>
          <w:iCs/>
          <w:color w:val="000000" w:themeColor="text1"/>
        </w:rPr>
        <w:t> </w:t>
      </w:r>
      <w:r w:rsidRPr="00487221">
        <w:rPr>
          <w:rFonts w:cstheme="minorHAnsi"/>
          <w:i/>
          <w:iCs/>
          <w:color w:val="000000" w:themeColor="text1"/>
        </w:rPr>
        <w:t>1972 (3) SA 858 (A) at 882D - H). If in such a case the respondent has not</w:t>
      </w:r>
      <w:r w:rsidRPr="00487221">
        <w:rPr>
          <w:rStyle w:val="apple-converted-space"/>
          <w:rFonts w:cstheme="minorHAnsi"/>
          <w:i/>
          <w:iCs/>
          <w:color w:val="000000" w:themeColor="text1"/>
        </w:rPr>
        <w:t> </w:t>
      </w:r>
      <w:r w:rsidRPr="00487221">
        <w:rPr>
          <w:rFonts w:cstheme="minorHAnsi"/>
          <w:i/>
          <w:iCs/>
          <w:color w:val="000000" w:themeColor="text1"/>
        </w:rPr>
        <w:t>availed himself of his right to apply for the deponents concerned to be called for cross-examination under Rule 6 (5)</w:t>
      </w:r>
      <w:r w:rsidRPr="00487221">
        <w:rPr>
          <w:rStyle w:val="apple-converted-space"/>
          <w:rFonts w:cstheme="minorHAnsi"/>
          <w:i/>
          <w:iCs/>
          <w:color w:val="000000" w:themeColor="text1"/>
        </w:rPr>
        <w:t> </w:t>
      </w:r>
      <w:r w:rsidRPr="00487221">
        <w:rPr>
          <w:rFonts w:cstheme="minorHAnsi"/>
          <w:i/>
          <w:iCs/>
          <w:color w:val="000000" w:themeColor="text1"/>
        </w:rPr>
        <w:t>(g)</w:t>
      </w:r>
      <w:r w:rsidRPr="00487221">
        <w:rPr>
          <w:rStyle w:val="apple-converted-space"/>
          <w:rFonts w:cstheme="minorHAnsi"/>
          <w:i/>
          <w:iCs/>
          <w:color w:val="000000" w:themeColor="text1"/>
        </w:rPr>
        <w:t> </w:t>
      </w:r>
      <w:r w:rsidRPr="00487221">
        <w:rPr>
          <w:rFonts w:cstheme="minorHAnsi"/>
          <w:i/>
          <w:iCs/>
          <w:color w:val="000000" w:themeColor="text1"/>
        </w:rPr>
        <w:t>of the Uniform Rules of Court (cf Petersen v Cuthbert &amp; Co Ltd</w:t>
      </w:r>
      <w:r w:rsidRPr="00487221">
        <w:rPr>
          <w:rStyle w:val="apple-converted-space"/>
          <w:rFonts w:cstheme="minorHAnsi"/>
          <w:i/>
          <w:iCs/>
          <w:color w:val="000000" w:themeColor="text1"/>
        </w:rPr>
        <w:t> </w:t>
      </w:r>
      <w:hyperlink r:id="rId6" w:history="1">
        <w:r w:rsidRPr="00487221">
          <w:rPr>
            <w:rStyle w:val="Hyperlink"/>
            <w:rFonts w:cstheme="minorHAnsi"/>
            <w:i/>
            <w:iCs/>
            <w:color w:val="000000" w:themeColor="text1"/>
            <w:u w:val="none"/>
          </w:rPr>
          <w:t>1945 AD 420</w:t>
        </w:r>
      </w:hyperlink>
      <w:r w:rsidRPr="00487221">
        <w:rPr>
          <w:rStyle w:val="apple-converted-space"/>
          <w:rFonts w:cstheme="minorHAnsi"/>
          <w:i/>
          <w:iCs/>
          <w:color w:val="000000" w:themeColor="text1"/>
        </w:rPr>
        <w:t> </w:t>
      </w:r>
      <w:r w:rsidRPr="00487221">
        <w:rPr>
          <w:rFonts w:cstheme="minorHAnsi"/>
          <w:i/>
          <w:iCs/>
          <w:color w:val="000000" w:themeColor="text1"/>
        </w:rPr>
        <w:t>at 428;</w:t>
      </w:r>
      <w:r w:rsidRPr="00487221">
        <w:rPr>
          <w:rStyle w:val="apple-converted-space"/>
          <w:rFonts w:cstheme="minorHAnsi"/>
          <w:i/>
          <w:iCs/>
          <w:color w:val="000000" w:themeColor="text1"/>
        </w:rPr>
        <w:t> </w:t>
      </w:r>
      <w:r w:rsidRPr="00487221">
        <w:rPr>
          <w:rFonts w:cstheme="minorHAnsi"/>
          <w:i/>
          <w:iCs/>
          <w:color w:val="000000" w:themeColor="text1"/>
        </w:rPr>
        <w:t>Room Hire</w:t>
      </w:r>
      <w:r w:rsidRPr="00487221">
        <w:rPr>
          <w:rStyle w:val="apple-converted-space"/>
          <w:rFonts w:cstheme="minorHAnsi"/>
          <w:i/>
          <w:iCs/>
          <w:color w:val="000000" w:themeColor="text1"/>
        </w:rPr>
        <w:t> </w:t>
      </w:r>
      <w:r w:rsidRPr="00487221">
        <w:rPr>
          <w:rFonts w:cstheme="minorHAnsi"/>
          <w:i/>
          <w:iCs/>
          <w:color w:val="000000" w:themeColor="text1"/>
        </w:rPr>
        <w:t>case</w:t>
      </w:r>
      <w:r w:rsidRPr="00487221">
        <w:rPr>
          <w:rStyle w:val="apple-converted-space"/>
          <w:rFonts w:cstheme="minorHAnsi"/>
          <w:i/>
          <w:iCs/>
          <w:color w:val="000000" w:themeColor="text1"/>
        </w:rPr>
        <w:t> </w:t>
      </w:r>
      <w:r w:rsidRPr="00487221">
        <w:rPr>
          <w:rFonts w:cstheme="minorHAnsi"/>
          <w:i/>
          <w:iCs/>
          <w:color w:val="000000" w:themeColor="text1"/>
        </w:rPr>
        <w:t>supra</w:t>
      </w:r>
      <w:r w:rsidRPr="00487221">
        <w:rPr>
          <w:rStyle w:val="apple-converted-space"/>
          <w:rFonts w:cstheme="minorHAnsi"/>
          <w:i/>
          <w:iCs/>
          <w:color w:val="000000" w:themeColor="text1"/>
        </w:rPr>
        <w:t> </w:t>
      </w:r>
      <w:r w:rsidRPr="00487221">
        <w:rPr>
          <w:rFonts w:cstheme="minorHAnsi"/>
          <w:i/>
          <w:iCs/>
          <w:color w:val="000000" w:themeColor="text1"/>
        </w:rPr>
        <w:t>at 1164) and the Court is satisfied as to the inherent credibility of the applicant's factual averment, it may proceed on the basis of the correctness thereof and include this fact among those upon</w:t>
      </w:r>
      <w:r w:rsidRPr="00487221">
        <w:rPr>
          <w:rStyle w:val="apple-converted-space"/>
          <w:rFonts w:cstheme="minorHAnsi"/>
          <w:i/>
          <w:iCs/>
          <w:color w:val="000000" w:themeColor="text1"/>
        </w:rPr>
        <w:t> </w:t>
      </w:r>
      <w:r w:rsidRPr="00487221">
        <w:rPr>
          <w:rFonts w:cstheme="minorHAnsi"/>
          <w:i/>
          <w:iCs/>
          <w:color w:val="000000" w:themeColor="text1"/>
        </w:rPr>
        <w:t>which it determines whether the applicant is entitled to the final relief which he seeks (see eg</w:t>
      </w:r>
      <w:r w:rsidRPr="00487221">
        <w:rPr>
          <w:rStyle w:val="apple-converted-space"/>
          <w:rFonts w:cstheme="minorHAnsi"/>
          <w:i/>
          <w:iCs/>
          <w:color w:val="000000" w:themeColor="text1"/>
        </w:rPr>
        <w:t> </w:t>
      </w:r>
      <w:r w:rsidRPr="00487221">
        <w:rPr>
          <w:rFonts w:cstheme="minorHAnsi"/>
          <w:i/>
          <w:iCs/>
          <w:color w:val="000000" w:themeColor="text1"/>
        </w:rPr>
        <w:t>Rikhoto v East Rand Administration Board and Another </w:t>
      </w:r>
      <w:hyperlink r:id="rId7" w:history="1">
        <w:r w:rsidRPr="00487221">
          <w:rPr>
            <w:rStyle w:val="Hyperlink"/>
            <w:rFonts w:cstheme="minorHAnsi"/>
            <w:i/>
            <w:iCs/>
            <w:color w:val="000000" w:themeColor="text1"/>
            <w:u w:val="none"/>
          </w:rPr>
          <w:t>1983 (4) SA 278 (W)</w:t>
        </w:r>
      </w:hyperlink>
      <w:r w:rsidRPr="00487221">
        <w:rPr>
          <w:rStyle w:val="apple-converted-space"/>
          <w:rFonts w:cstheme="minorHAnsi"/>
          <w:i/>
          <w:iCs/>
          <w:color w:val="000000" w:themeColor="text1"/>
        </w:rPr>
        <w:t> </w:t>
      </w:r>
      <w:r w:rsidRPr="00487221">
        <w:rPr>
          <w:rFonts w:cstheme="minorHAnsi"/>
          <w:i/>
          <w:iCs/>
          <w:color w:val="000000" w:themeColor="text1"/>
        </w:rPr>
        <w:t>at 283E - H). Moreover, there may be exceptions to this general rule, as, for example, where the allegations or denials of the respondent</w:t>
      </w:r>
      <w:r w:rsidRPr="00487221">
        <w:rPr>
          <w:rStyle w:val="apple-converted-space"/>
          <w:rFonts w:cstheme="minorHAnsi"/>
          <w:i/>
          <w:iCs/>
          <w:color w:val="000000" w:themeColor="text1"/>
        </w:rPr>
        <w:t> </w:t>
      </w:r>
      <w:r w:rsidRPr="00487221">
        <w:rPr>
          <w:rFonts w:cstheme="minorHAnsi"/>
          <w:i/>
          <w:iCs/>
          <w:color w:val="000000" w:themeColor="text1"/>
        </w:rPr>
        <w:t>are so far-fetched or clearly untenable that the Court is justified in rejecting them merely on the papers (see the remarks of BOTHA AJA in the</w:t>
      </w:r>
      <w:r w:rsidRPr="00487221">
        <w:rPr>
          <w:rStyle w:val="apple-converted-space"/>
          <w:rFonts w:cstheme="minorHAnsi"/>
          <w:i/>
          <w:iCs/>
          <w:color w:val="000000" w:themeColor="text1"/>
        </w:rPr>
        <w:t> </w:t>
      </w:r>
      <w:r w:rsidRPr="00487221">
        <w:rPr>
          <w:rFonts w:cstheme="minorHAnsi"/>
          <w:i/>
          <w:iCs/>
          <w:color w:val="000000" w:themeColor="text1"/>
        </w:rPr>
        <w:t>Associated South African Bakeries</w:t>
      </w:r>
      <w:r w:rsidRPr="00487221">
        <w:rPr>
          <w:rStyle w:val="apple-converted-space"/>
          <w:rFonts w:cstheme="minorHAnsi"/>
          <w:i/>
          <w:iCs/>
          <w:color w:val="000000" w:themeColor="text1"/>
        </w:rPr>
        <w:t> </w:t>
      </w:r>
      <w:r w:rsidRPr="00487221">
        <w:rPr>
          <w:rFonts w:cstheme="minorHAnsi"/>
          <w:i/>
          <w:iCs/>
          <w:color w:val="000000" w:themeColor="text1"/>
        </w:rPr>
        <w:t>case,</w:t>
      </w:r>
      <w:r w:rsidRPr="00487221">
        <w:rPr>
          <w:rStyle w:val="apple-converted-space"/>
          <w:rFonts w:cstheme="minorHAnsi"/>
          <w:i/>
          <w:iCs/>
          <w:color w:val="000000" w:themeColor="text1"/>
        </w:rPr>
        <w:t> </w:t>
      </w:r>
      <w:r w:rsidRPr="00487221">
        <w:rPr>
          <w:rFonts w:cstheme="minorHAnsi"/>
          <w:i/>
          <w:iCs/>
          <w:color w:val="000000" w:themeColor="text1"/>
        </w:rPr>
        <w:t>supra</w:t>
      </w:r>
      <w:r w:rsidRPr="00487221">
        <w:rPr>
          <w:rStyle w:val="apple-converted-space"/>
          <w:rFonts w:cstheme="minorHAnsi"/>
          <w:i/>
          <w:iCs/>
          <w:color w:val="000000" w:themeColor="text1"/>
        </w:rPr>
        <w:t> </w:t>
      </w:r>
      <w:r w:rsidRPr="00487221">
        <w:rPr>
          <w:rFonts w:cstheme="minorHAnsi"/>
          <w:i/>
          <w:iCs/>
          <w:color w:val="000000" w:themeColor="text1"/>
        </w:rPr>
        <w:t>at 924A).</w:t>
      </w:r>
    </w:p>
    <w:p w14:paraId="7967DDEF" w14:textId="77777777" w:rsidR="00155807" w:rsidRPr="00487221" w:rsidRDefault="00155807" w:rsidP="00487221">
      <w:pPr>
        <w:pStyle w:val="FootnoteText"/>
        <w:jc w:val="both"/>
        <w:rPr>
          <w:color w:val="000000" w:themeColor="text1"/>
          <w:lang w:val="en-US"/>
        </w:rPr>
      </w:pPr>
      <w:r w:rsidRPr="00487221">
        <w:rPr>
          <w:b/>
          <w:bCs/>
          <w:i/>
          <w:iCs/>
          <w:color w:val="000000" w:themeColor="text1"/>
          <w:lang w:val="en-US"/>
        </w:rPr>
        <w:t>National Director of Public Prosecutions v Zuma</w:t>
      </w:r>
      <w:r w:rsidRPr="00487221">
        <w:rPr>
          <w:color w:val="000000" w:themeColor="text1"/>
          <w:lang w:val="en-US"/>
        </w:rPr>
        <w:t xml:space="preserve"> 2009 (2) SA 277 (SCA) at para [26]</w:t>
      </w:r>
    </w:p>
    <w:p w14:paraId="20BA013A" w14:textId="77777777" w:rsidR="00155807" w:rsidRPr="00487221" w:rsidRDefault="00155807" w:rsidP="00487221">
      <w:pPr>
        <w:pStyle w:val="FootnoteText"/>
        <w:jc w:val="both"/>
        <w:rPr>
          <w:rFonts w:cstheme="minorHAnsi"/>
          <w:i/>
          <w:iCs/>
          <w:color w:val="000000" w:themeColor="text1"/>
          <w:lang w:val="en-US"/>
        </w:rPr>
      </w:pPr>
      <w:r w:rsidRPr="00487221">
        <w:rPr>
          <w:rFonts w:cstheme="minorHAnsi"/>
          <w:i/>
          <w:iCs/>
          <w:color w:val="000000" w:themeColor="text1"/>
        </w:rPr>
        <w:t>“Motion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w:t>
      </w:r>
      <w:r w:rsidRPr="00487221">
        <w:rPr>
          <w:rStyle w:val="apple-converted-space"/>
          <w:rFonts w:cstheme="minorHAnsi"/>
          <w:i/>
          <w:iCs/>
          <w:color w:val="000000" w:themeColor="text1"/>
        </w:rPr>
        <w:t> </w:t>
      </w:r>
      <w:r w:rsidRPr="00487221">
        <w:rPr>
          <w:rFonts w:cstheme="minorHAnsi"/>
          <w:i/>
          <w:iCs/>
          <w:color w:val="000000" w:themeColor="text1"/>
        </w:rPr>
        <w:t>Plascon-Evans</w:t>
      </w:r>
      <w:r w:rsidRPr="00487221">
        <w:rPr>
          <w:rStyle w:val="apple-converted-space"/>
          <w:rFonts w:cstheme="minorHAnsi"/>
          <w:i/>
          <w:iCs/>
          <w:color w:val="000000" w:themeColor="text1"/>
        </w:rPr>
        <w:t> </w:t>
      </w:r>
      <w:r w:rsidRPr="00487221">
        <w:rPr>
          <w:rFonts w:cstheme="minorHAnsi"/>
          <w:i/>
          <w:iCs/>
          <w:color w:val="000000" w:themeColor="text1"/>
        </w:rPr>
        <w:t>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w:t>
      </w:r>
      <w:r w:rsidRPr="00487221">
        <w:rPr>
          <w:rStyle w:val="apple-converted-space"/>
          <w:rFonts w:cstheme="minorHAnsi"/>
          <w:i/>
          <w:iCs/>
          <w:color w:val="000000" w:themeColor="text1"/>
        </w:rPr>
        <w:t> </w:t>
      </w:r>
      <w:r w:rsidRPr="00487221">
        <w:rPr>
          <w:rFonts w:cstheme="minorHAnsi"/>
          <w:i/>
          <w:iCs/>
          <w:color w:val="000000" w:themeColor="text1"/>
          <w:lang w:val="en-US"/>
        </w:rPr>
        <w:t>consists of bald or uncreditworthy denials, raises fictitious disputes of fact, is palpably implausible, far-fetched or so clearly untenable that the court is justified in rejecting them merely on the papers.”</w:t>
      </w:r>
    </w:p>
    <w:p w14:paraId="1ACDDB06" w14:textId="77777777" w:rsidR="00155807" w:rsidRPr="00487221" w:rsidRDefault="00155807" w:rsidP="00487221">
      <w:pPr>
        <w:pStyle w:val="FootnoteText"/>
        <w:jc w:val="both"/>
        <w:rPr>
          <w:color w:val="000000" w:themeColor="text1"/>
          <w:lang w:val="en-US"/>
        </w:rPr>
      </w:pPr>
      <w:r w:rsidRPr="00487221">
        <w:rPr>
          <w:b/>
          <w:bCs/>
          <w:i/>
          <w:iCs/>
          <w:color w:val="000000" w:themeColor="text1"/>
          <w:lang w:val="en-US"/>
        </w:rPr>
        <w:t>Wightman t/a JW Construction v Headfour (Pty) Ltd</w:t>
      </w:r>
      <w:r w:rsidRPr="00487221">
        <w:rPr>
          <w:color w:val="000000" w:themeColor="text1"/>
          <w:lang w:val="en-US"/>
        </w:rPr>
        <w:t xml:space="preserve"> 2008 (3) SA 371 (A) at para [13]</w:t>
      </w:r>
    </w:p>
    <w:p w14:paraId="66583D8F" w14:textId="77777777" w:rsidR="00155807" w:rsidRPr="00487221" w:rsidRDefault="00155807" w:rsidP="00487221">
      <w:pPr>
        <w:jc w:val="both"/>
        <w:rPr>
          <w:color w:val="000000" w:themeColor="text1"/>
          <w:sz w:val="20"/>
          <w:szCs w:val="20"/>
        </w:rPr>
      </w:pPr>
      <w:r w:rsidRPr="00487221">
        <w:rPr>
          <w:i/>
          <w:iCs/>
          <w:color w:val="000000" w:themeColor="text1"/>
          <w:sz w:val="20"/>
          <w:szCs w:val="20"/>
          <w:lang w:val="en-US"/>
        </w:rPr>
        <w:t>“</w:t>
      </w:r>
      <w:r w:rsidRPr="00487221">
        <w:rPr>
          <w:i/>
          <w:iCs/>
          <w:color w:val="000000" w:themeColor="text1"/>
          <w:sz w:val="20"/>
          <w:szCs w:val="20"/>
        </w:rPr>
        <w:t>A real, genuine and</w:t>
      </w:r>
      <w:r w:rsidRPr="00487221">
        <w:rPr>
          <w:rStyle w:val="apple-converted-space"/>
          <w:i/>
          <w:iCs/>
          <w:color w:val="000000" w:themeColor="text1"/>
          <w:sz w:val="20"/>
          <w:szCs w:val="20"/>
        </w:rPr>
        <w:t> </w:t>
      </w:r>
      <w:r w:rsidRPr="00487221">
        <w:rPr>
          <w:i/>
          <w:iCs/>
          <w:color w:val="000000" w:themeColor="text1"/>
          <w:sz w:val="20"/>
          <w:szCs w:val="20"/>
        </w:rPr>
        <w:t>bona fide</w:t>
      </w:r>
      <w:r w:rsidRPr="00487221">
        <w:rPr>
          <w:rStyle w:val="apple-converted-space"/>
          <w:i/>
          <w:iCs/>
          <w:color w:val="000000" w:themeColor="text1"/>
          <w:sz w:val="20"/>
          <w:szCs w:val="20"/>
        </w:rPr>
        <w:t> </w:t>
      </w:r>
      <w:r w:rsidRPr="00487221">
        <w:rPr>
          <w:i/>
          <w:iCs/>
          <w:color w:val="000000" w:themeColor="text1"/>
          <w:sz w:val="20"/>
          <w:szCs w:val="20"/>
        </w:rPr>
        <w:t>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p>
    <w:p w14:paraId="6377CDDA" w14:textId="623E829F" w:rsidR="00155807" w:rsidRPr="00487221" w:rsidRDefault="00155807" w:rsidP="00487221">
      <w:pPr>
        <w:pStyle w:val="FootnoteText"/>
        <w:jc w:val="both"/>
        <w:rPr>
          <w:color w:val="000000" w:themeColor="text1"/>
          <w:lang w:val="en-US"/>
        </w:rPr>
      </w:pPr>
    </w:p>
  </w:footnote>
  <w:footnote w:id="8">
    <w:p w14:paraId="5A202D89" w14:textId="4A311DFF" w:rsidR="00250CE8" w:rsidRPr="00487221" w:rsidRDefault="00250CE8" w:rsidP="00487221">
      <w:pPr>
        <w:pStyle w:val="FootnoteText"/>
        <w:jc w:val="both"/>
        <w:rPr>
          <w:color w:val="000000" w:themeColor="text1"/>
          <w:lang w:val="en-US"/>
        </w:rPr>
      </w:pPr>
      <w:r w:rsidRPr="00487221">
        <w:rPr>
          <w:rStyle w:val="FootnoteReference"/>
          <w:color w:val="000000" w:themeColor="text1"/>
        </w:rPr>
        <w:footnoteRef/>
      </w:r>
      <w:r w:rsidRPr="00487221">
        <w:rPr>
          <w:color w:val="000000" w:themeColor="text1"/>
        </w:rPr>
        <w:t xml:space="preserve"> </w:t>
      </w:r>
      <w:r w:rsidRPr="00487221">
        <w:rPr>
          <w:b/>
          <w:bCs/>
          <w:i/>
          <w:iCs/>
          <w:color w:val="000000" w:themeColor="text1"/>
        </w:rPr>
        <w:t>Capitec Bank Holdings Limited &amp; Another v Coral Lagoon Investments 194 (Pty) Ltd &amp; Others</w:t>
      </w:r>
      <w:r w:rsidRPr="00487221">
        <w:rPr>
          <w:color w:val="000000" w:themeColor="text1"/>
        </w:rPr>
        <w:t xml:space="preserve"> [2021] ZASCA 99; [2021] (3) All SA 647 (SCA) at para [38]</w:t>
      </w:r>
    </w:p>
  </w:footnote>
  <w:footnote w:id="9">
    <w:p w14:paraId="3EA1A8B7" w14:textId="3F352F2A" w:rsidR="00D45B08" w:rsidRPr="00487221" w:rsidRDefault="00D45B08" w:rsidP="00487221">
      <w:pPr>
        <w:pStyle w:val="FootnoteText"/>
        <w:jc w:val="both"/>
        <w:rPr>
          <w:color w:val="000000" w:themeColor="text1"/>
          <w:lang w:val="en-US"/>
        </w:rPr>
      </w:pPr>
      <w:r w:rsidRPr="00487221">
        <w:rPr>
          <w:rStyle w:val="FootnoteReference"/>
          <w:color w:val="000000" w:themeColor="text1"/>
        </w:rPr>
        <w:footnoteRef/>
      </w:r>
      <w:r w:rsidRPr="00487221">
        <w:rPr>
          <w:color w:val="000000" w:themeColor="text1"/>
        </w:rPr>
        <w:t xml:space="preserve"> </w:t>
      </w:r>
      <w:r w:rsidR="00DE173A" w:rsidRPr="00487221">
        <w:rPr>
          <w:b/>
          <w:bCs/>
          <w:i/>
          <w:iCs/>
          <w:color w:val="000000" w:themeColor="text1"/>
        </w:rPr>
        <w:t xml:space="preserve">ABSA Bank Limited v </w:t>
      </w:r>
      <w:r w:rsidR="0080497A" w:rsidRPr="00487221">
        <w:rPr>
          <w:b/>
          <w:bCs/>
          <w:i/>
          <w:iCs/>
          <w:color w:val="000000" w:themeColor="text1"/>
        </w:rPr>
        <w:t xml:space="preserve">Swanepoel </w:t>
      </w:r>
      <w:r w:rsidR="0080497A" w:rsidRPr="00487221">
        <w:rPr>
          <w:color w:val="000000" w:themeColor="text1"/>
        </w:rPr>
        <w:t>(246/03) [2004] ZASCA 60 (31 May 2004) at para [6] and [7]</w:t>
      </w:r>
    </w:p>
  </w:footnote>
  <w:footnote w:id="10">
    <w:p w14:paraId="1879A37F" w14:textId="6E5CF2BC" w:rsidR="00795CFD" w:rsidRPr="00487221" w:rsidRDefault="00795CFD" w:rsidP="00487221">
      <w:pPr>
        <w:pStyle w:val="FootnoteText"/>
        <w:jc w:val="both"/>
        <w:rPr>
          <w:rFonts w:cstheme="minorHAnsi"/>
          <w:color w:val="000000" w:themeColor="text1"/>
          <w:lang w:val="en-US"/>
        </w:rPr>
      </w:pPr>
      <w:r w:rsidRPr="00487221">
        <w:rPr>
          <w:rStyle w:val="FootnoteReference"/>
          <w:rFonts w:cstheme="minorHAnsi"/>
          <w:color w:val="000000" w:themeColor="text1"/>
        </w:rPr>
        <w:footnoteRef/>
      </w:r>
      <w:r w:rsidRPr="00487221">
        <w:rPr>
          <w:rFonts w:cstheme="minorHAnsi"/>
          <w:color w:val="000000" w:themeColor="text1"/>
        </w:rPr>
        <w:t xml:space="preserve"> </w:t>
      </w:r>
      <w:r w:rsidRPr="00487221">
        <w:rPr>
          <w:rFonts w:cstheme="minorHAnsi"/>
          <w:b/>
          <w:bCs/>
          <w:i/>
          <w:iCs/>
          <w:color w:val="000000" w:themeColor="text1"/>
        </w:rPr>
        <w:t>Director of Hospital Services v Mistry</w:t>
      </w:r>
      <w:r w:rsidRPr="00487221">
        <w:rPr>
          <w:rStyle w:val="apple-converted-space"/>
          <w:rFonts w:cstheme="minorHAnsi"/>
          <w:color w:val="000000" w:themeColor="text1"/>
          <w:shd w:val="clear" w:color="auto" w:fill="FFFFFF"/>
        </w:rPr>
        <w:t> </w:t>
      </w:r>
      <w:hyperlink r:id="rId8" w:tooltip="View LawCiteRecord" w:history="1">
        <w:r w:rsidRPr="00487221">
          <w:rPr>
            <w:rStyle w:val="Hyperlink"/>
            <w:rFonts w:cstheme="minorHAnsi"/>
            <w:color w:val="000000" w:themeColor="text1"/>
            <w:u w:val="none"/>
          </w:rPr>
          <w:t>1979 (1) SA 626</w:t>
        </w:r>
      </w:hyperlink>
      <w:r w:rsidRPr="00487221">
        <w:rPr>
          <w:rFonts w:cstheme="minorHAnsi"/>
          <w:color w:val="000000" w:themeColor="text1"/>
          <w:shd w:val="clear" w:color="auto" w:fill="FFFFFF"/>
        </w:rPr>
        <w:t xml:space="preserve"> (A), at 635H – 636B </w:t>
      </w:r>
    </w:p>
  </w:footnote>
  <w:footnote w:id="11">
    <w:p w14:paraId="0513F48A" w14:textId="6C06D522" w:rsidR="00795CFD" w:rsidRPr="00487221" w:rsidRDefault="00795CFD" w:rsidP="00487221">
      <w:pPr>
        <w:pStyle w:val="FootnoteText"/>
        <w:jc w:val="both"/>
        <w:rPr>
          <w:color w:val="000000" w:themeColor="text1"/>
          <w:lang w:val="en-US"/>
        </w:rPr>
      </w:pPr>
      <w:r w:rsidRPr="00487221">
        <w:rPr>
          <w:rStyle w:val="FootnoteReference"/>
          <w:color w:val="000000" w:themeColor="text1"/>
        </w:rPr>
        <w:footnoteRef/>
      </w:r>
      <w:r w:rsidRPr="00487221">
        <w:rPr>
          <w:color w:val="000000" w:themeColor="text1"/>
        </w:rPr>
        <w:t xml:space="preserve"> </w:t>
      </w:r>
      <w:r w:rsidRPr="00487221">
        <w:rPr>
          <w:b/>
          <w:bCs/>
          <w:i/>
          <w:iCs/>
          <w:color w:val="000000" w:themeColor="text1"/>
        </w:rPr>
        <w:t xml:space="preserve">Bowman N.O. v De Souza Raldao </w:t>
      </w:r>
      <w:r w:rsidRPr="00487221">
        <w:rPr>
          <w:color w:val="000000" w:themeColor="text1"/>
        </w:rPr>
        <w:t>1988 (4) SA 326 (TPD) at 327H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7887420"/>
      <w:docPartObj>
        <w:docPartGallery w:val="Page Numbers (Top of Page)"/>
        <w:docPartUnique/>
      </w:docPartObj>
    </w:sdtPr>
    <w:sdtEndPr>
      <w:rPr>
        <w:rStyle w:val="PageNumber"/>
      </w:rPr>
    </w:sdtEndPr>
    <w:sdtContent>
      <w:p w14:paraId="74749B44" w14:textId="0B37E162" w:rsidR="00487221" w:rsidRDefault="00487221" w:rsidP="005F0F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B406C5" w14:textId="77777777" w:rsidR="00487221" w:rsidRDefault="00487221" w:rsidP="004872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7652737"/>
      <w:docPartObj>
        <w:docPartGallery w:val="Page Numbers (Top of Page)"/>
        <w:docPartUnique/>
      </w:docPartObj>
    </w:sdtPr>
    <w:sdtEndPr>
      <w:rPr>
        <w:rStyle w:val="PageNumber"/>
      </w:rPr>
    </w:sdtEndPr>
    <w:sdtContent>
      <w:p w14:paraId="30266261" w14:textId="706CCFB8" w:rsidR="00487221" w:rsidRDefault="00487221" w:rsidP="005F0F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7549">
          <w:rPr>
            <w:rStyle w:val="PageNumber"/>
            <w:noProof/>
          </w:rPr>
          <w:t>2</w:t>
        </w:r>
        <w:r>
          <w:rPr>
            <w:rStyle w:val="PageNumber"/>
          </w:rPr>
          <w:fldChar w:fldCharType="end"/>
        </w:r>
      </w:p>
    </w:sdtContent>
  </w:sdt>
  <w:p w14:paraId="0DC3EB4B" w14:textId="77777777" w:rsidR="00487221" w:rsidRDefault="00487221" w:rsidP="004872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A1D1287"/>
    <w:multiLevelType w:val="multilevel"/>
    <w:tmpl w:val="70A878DE"/>
    <w:lvl w:ilvl="0">
      <w:start w:val="1"/>
      <w:numFmt w:val="decimal"/>
      <w:lvlText w:val="%1."/>
      <w:lvlJc w:val="left"/>
      <w:pPr>
        <w:ind w:left="1211" w:hanging="360"/>
      </w:pPr>
      <w:rPr>
        <w:rFonts w:cstheme="minorHAnsi" w:hint="default"/>
      </w:rPr>
    </w:lvl>
    <w:lvl w:ilvl="1">
      <w:start w:val="1"/>
      <w:numFmt w:val="decimal"/>
      <w:isLgl/>
      <w:lvlText w:val="%1.%2"/>
      <w:lvlJc w:val="left"/>
      <w:pPr>
        <w:ind w:left="1800" w:hanging="360"/>
      </w:pPr>
      <w:rPr>
        <w:rFonts w:cstheme="minorHAnsi" w:hint="default"/>
      </w:rPr>
    </w:lvl>
    <w:lvl w:ilvl="2">
      <w:start w:val="1"/>
      <w:numFmt w:val="decimal"/>
      <w:isLgl/>
      <w:lvlText w:val="%1.%2.%3"/>
      <w:lvlJc w:val="left"/>
      <w:pPr>
        <w:ind w:left="2749" w:hanging="720"/>
      </w:pPr>
      <w:rPr>
        <w:rFonts w:cstheme="minorHAnsi" w:hint="default"/>
      </w:rPr>
    </w:lvl>
    <w:lvl w:ilvl="3">
      <w:start w:val="1"/>
      <w:numFmt w:val="decimal"/>
      <w:isLgl/>
      <w:lvlText w:val="%1.%2.%3.%4"/>
      <w:lvlJc w:val="left"/>
      <w:pPr>
        <w:ind w:left="3698" w:hanging="1080"/>
      </w:pPr>
      <w:rPr>
        <w:rFonts w:cstheme="minorHAnsi" w:hint="default"/>
      </w:rPr>
    </w:lvl>
    <w:lvl w:ilvl="4">
      <w:start w:val="1"/>
      <w:numFmt w:val="decimal"/>
      <w:isLgl/>
      <w:lvlText w:val="%1.%2.%3.%4.%5"/>
      <w:lvlJc w:val="left"/>
      <w:pPr>
        <w:ind w:left="4287" w:hanging="1080"/>
      </w:pPr>
      <w:rPr>
        <w:rFonts w:cstheme="minorHAnsi" w:hint="default"/>
      </w:rPr>
    </w:lvl>
    <w:lvl w:ilvl="5">
      <w:start w:val="1"/>
      <w:numFmt w:val="decimal"/>
      <w:isLgl/>
      <w:lvlText w:val="%1.%2.%3.%4.%5.%6"/>
      <w:lvlJc w:val="left"/>
      <w:pPr>
        <w:ind w:left="5236" w:hanging="1440"/>
      </w:pPr>
      <w:rPr>
        <w:rFonts w:cstheme="minorHAnsi" w:hint="default"/>
      </w:rPr>
    </w:lvl>
    <w:lvl w:ilvl="6">
      <w:start w:val="1"/>
      <w:numFmt w:val="decimal"/>
      <w:isLgl/>
      <w:lvlText w:val="%1.%2.%3.%4.%5.%6.%7"/>
      <w:lvlJc w:val="left"/>
      <w:pPr>
        <w:ind w:left="5825" w:hanging="1440"/>
      </w:pPr>
      <w:rPr>
        <w:rFonts w:cstheme="minorHAnsi" w:hint="default"/>
      </w:rPr>
    </w:lvl>
    <w:lvl w:ilvl="7">
      <w:start w:val="1"/>
      <w:numFmt w:val="decimal"/>
      <w:isLgl/>
      <w:lvlText w:val="%1.%2.%3.%4.%5.%6.%7.%8"/>
      <w:lvlJc w:val="left"/>
      <w:pPr>
        <w:ind w:left="6774" w:hanging="1800"/>
      </w:pPr>
      <w:rPr>
        <w:rFonts w:cstheme="minorHAnsi" w:hint="default"/>
      </w:rPr>
    </w:lvl>
    <w:lvl w:ilvl="8">
      <w:start w:val="1"/>
      <w:numFmt w:val="decimal"/>
      <w:isLgl/>
      <w:lvlText w:val="%1.%2.%3.%4.%5.%6.%7.%8.%9"/>
      <w:lvlJc w:val="left"/>
      <w:pPr>
        <w:ind w:left="7723" w:hanging="2160"/>
      </w:pPr>
      <w:rPr>
        <w:rFonts w:cstheme="minorHAnsi" w:hint="default"/>
      </w:rPr>
    </w:lvl>
  </w:abstractNum>
  <w:abstractNum w:abstractNumId="2">
    <w:nsid w:val="3CEF60EF"/>
    <w:multiLevelType w:val="hybridMultilevel"/>
    <w:tmpl w:val="CA1A0236"/>
    <w:lvl w:ilvl="0" w:tplc="290CF99C">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1B6EBC"/>
    <w:multiLevelType w:val="hybridMultilevel"/>
    <w:tmpl w:val="7E3AF1D6"/>
    <w:lvl w:ilvl="0" w:tplc="AC386120">
      <w:start w:val="1"/>
      <w:numFmt w:val="lowerLetter"/>
      <w:lvlText w:val="(%1)"/>
      <w:lvlJc w:val="left"/>
      <w:pPr>
        <w:ind w:left="3231" w:hanging="360"/>
      </w:pPr>
      <w:rPr>
        <w:rFonts w:hint="default"/>
      </w:rPr>
    </w:lvl>
    <w:lvl w:ilvl="1" w:tplc="08090019" w:tentative="1">
      <w:start w:val="1"/>
      <w:numFmt w:val="lowerLetter"/>
      <w:lvlText w:val="%2."/>
      <w:lvlJc w:val="left"/>
      <w:pPr>
        <w:ind w:left="3951" w:hanging="360"/>
      </w:pPr>
    </w:lvl>
    <w:lvl w:ilvl="2" w:tplc="0809001B" w:tentative="1">
      <w:start w:val="1"/>
      <w:numFmt w:val="lowerRoman"/>
      <w:lvlText w:val="%3."/>
      <w:lvlJc w:val="right"/>
      <w:pPr>
        <w:ind w:left="4671" w:hanging="180"/>
      </w:pPr>
    </w:lvl>
    <w:lvl w:ilvl="3" w:tplc="0809000F" w:tentative="1">
      <w:start w:val="1"/>
      <w:numFmt w:val="decimal"/>
      <w:lvlText w:val="%4."/>
      <w:lvlJc w:val="left"/>
      <w:pPr>
        <w:ind w:left="5391" w:hanging="360"/>
      </w:pPr>
    </w:lvl>
    <w:lvl w:ilvl="4" w:tplc="08090019" w:tentative="1">
      <w:start w:val="1"/>
      <w:numFmt w:val="lowerLetter"/>
      <w:lvlText w:val="%5."/>
      <w:lvlJc w:val="left"/>
      <w:pPr>
        <w:ind w:left="6111" w:hanging="360"/>
      </w:pPr>
    </w:lvl>
    <w:lvl w:ilvl="5" w:tplc="0809001B" w:tentative="1">
      <w:start w:val="1"/>
      <w:numFmt w:val="lowerRoman"/>
      <w:lvlText w:val="%6."/>
      <w:lvlJc w:val="right"/>
      <w:pPr>
        <w:ind w:left="6831" w:hanging="180"/>
      </w:pPr>
    </w:lvl>
    <w:lvl w:ilvl="6" w:tplc="0809000F" w:tentative="1">
      <w:start w:val="1"/>
      <w:numFmt w:val="decimal"/>
      <w:lvlText w:val="%7."/>
      <w:lvlJc w:val="left"/>
      <w:pPr>
        <w:ind w:left="7551" w:hanging="360"/>
      </w:pPr>
    </w:lvl>
    <w:lvl w:ilvl="7" w:tplc="08090019" w:tentative="1">
      <w:start w:val="1"/>
      <w:numFmt w:val="lowerLetter"/>
      <w:lvlText w:val="%8."/>
      <w:lvlJc w:val="left"/>
      <w:pPr>
        <w:ind w:left="8271" w:hanging="360"/>
      </w:pPr>
    </w:lvl>
    <w:lvl w:ilvl="8" w:tplc="0809001B" w:tentative="1">
      <w:start w:val="1"/>
      <w:numFmt w:val="lowerRoman"/>
      <w:lvlText w:val="%9."/>
      <w:lvlJc w:val="right"/>
      <w:pPr>
        <w:ind w:left="8991" w:hanging="180"/>
      </w:pPr>
    </w:lvl>
  </w:abstractNum>
  <w:abstractNum w:abstractNumId="4">
    <w:nsid w:val="3D791675"/>
    <w:multiLevelType w:val="hybridMultilevel"/>
    <w:tmpl w:val="7E3AF1D6"/>
    <w:lvl w:ilvl="0" w:tplc="FFFFFFFF">
      <w:start w:val="1"/>
      <w:numFmt w:val="lowerLetter"/>
      <w:lvlText w:val="(%1)"/>
      <w:lvlJc w:val="left"/>
      <w:pPr>
        <w:ind w:left="3231" w:hanging="360"/>
      </w:pPr>
      <w:rPr>
        <w:rFonts w:hint="default"/>
      </w:rPr>
    </w:lvl>
    <w:lvl w:ilvl="1" w:tplc="FFFFFFFF" w:tentative="1">
      <w:start w:val="1"/>
      <w:numFmt w:val="lowerLetter"/>
      <w:lvlText w:val="%2."/>
      <w:lvlJc w:val="left"/>
      <w:pPr>
        <w:ind w:left="3951" w:hanging="360"/>
      </w:pPr>
    </w:lvl>
    <w:lvl w:ilvl="2" w:tplc="FFFFFFFF" w:tentative="1">
      <w:start w:val="1"/>
      <w:numFmt w:val="lowerRoman"/>
      <w:lvlText w:val="%3."/>
      <w:lvlJc w:val="right"/>
      <w:pPr>
        <w:ind w:left="4671" w:hanging="180"/>
      </w:pPr>
    </w:lvl>
    <w:lvl w:ilvl="3" w:tplc="FFFFFFFF" w:tentative="1">
      <w:start w:val="1"/>
      <w:numFmt w:val="decimal"/>
      <w:lvlText w:val="%4."/>
      <w:lvlJc w:val="left"/>
      <w:pPr>
        <w:ind w:left="5391" w:hanging="360"/>
      </w:pPr>
    </w:lvl>
    <w:lvl w:ilvl="4" w:tplc="FFFFFFFF" w:tentative="1">
      <w:start w:val="1"/>
      <w:numFmt w:val="lowerLetter"/>
      <w:lvlText w:val="%5."/>
      <w:lvlJc w:val="left"/>
      <w:pPr>
        <w:ind w:left="6111" w:hanging="360"/>
      </w:pPr>
    </w:lvl>
    <w:lvl w:ilvl="5" w:tplc="FFFFFFFF" w:tentative="1">
      <w:start w:val="1"/>
      <w:numFmt w:val="lowerRoman"/>
      <w:lvlText w:val="%6."/>
      <w:lvlJc w:val="right"/>
      <w:pPr>
        <w:ind w:left="6831" w:hanging="180"/>
      </w:pPr>
    </w:lvl>
    <w:lvl w:ilvl="6" w:tplc="FFFFFFFF" w:tentative="1">
      <w:start w:val="1"/>
      <w:numFmt w:val="decimal"/>
      <w:lvlText w:val="%7."/>
      <w:lvlJc w:val="left"/>
      <w:pPr>
        <w:ind w:left="7551" w:hanging="360"/>
      </w:pPr>
    </w:lvl>
    <w:lvl w:ilvl="7" w:tplc="FFFFFFFF" w:tentative="1">
      <w:start w:val="1"/>
      <w:numFmt w:val="lowerLetter"/>
      <w:lvlText w:val="%8."/>
      <w:lvlJc w:val="left"/>
      <w:pPr>
        <w:ind w:left="8271" w:hanging="360"/>
      </w:pPr>
    </w:lvl>
    <w:lvl w:ilvl="8" w:tplc="FFFFFFFF" w:tentative="1">
      <w:start w:val="1"/>
      <w:numFmt w:val="lowerRoman"/>
      <w:lvlText w:val="%9."/>
      <w:lvlJc w:val="right"/>
      <w:pPr>
        <w:ind w:left="8991" w:hanging="180"/>
      </w:pPr>
    </w:lvl>
  </w:abstractNum>
  <w:abstractNum w:abstractNumId="5">
    <w:nsid w:val="44343418"/>
    <w:multiLevelType w:val="multilevel"/>
    <w:tmpl w:val="2E7CCEA8"/>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36541C"/>
    <w:multiLevelType w:val="multilevel"/>
    <w:tmpl w:val="143EFD04"/>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7">
    <w:nsid w:val="74A11F2C"/>
    <w:multiLevelType w:val="multilevel"/>
    <w:tmpl w:val="20188A7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C6170B4"/>
    <w:multiLevelType w:val="hybridMultilevel"/>
    <w:tmpl w:val="F8462850"/>
    <w:lvl w:ilvl="0" w:tplc="73DC5D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
  </w:num>
  <w:num w:numId="2">
    <w:abstractNumId w:val="7"/>
  </w:num>
  <w:num w:numId="3">
    <w:abstractNumId w:val="5"/>
  </w:num>
  <w:num w:numId="4">
    <w:abstractNumId w:val="3"/>
  </w:num>
  <w:num w:numId="5">
    <w:abstractNumId w:val="4"/>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D9"/>
    <w:rsid w:val="0006274F"/>
    <w:rsid w:val="00064FB6"/>
    <w:rsid w:val="000D4B5E"/>
    <w:rsid w:val="0012270A"/>
    <w:rsid w:val="00144D9C"/>
    <w:rsid w:val="00155807"/>
    <w:rsid w:val="001D667C"/>
    <w:rsid w:val="001E2F2C"/>
    <w:rsid w:val="001F17CC"/>
    <w:rsid w:val="00210A11"/>
    <w:rsid w:val="00217A14"/>
    <w:rsid w:val="00247A5C"/>
    <w:rsid w:val="00250CE8"/>
    <w:rsid w:val="0026195D"/>
    <w:rsid w:val="00287ADD"/>
    <w:rsid w:val="002A131B"/>
    <w:rsid w:val="002C2854"/>
    <w:rsid w:val="003E57D9"/>
    <w:rsid w:val="003F1073"/>
    <w:rsid w:val="00426A56"/>
    <w:rsid w:val="00443215"/>
    <w:rsid w:val="0045036C"/>
    <w:rsid w:val="00453B4E"/>
    <w:rsid w:val="004660D8"/>
    <w:rsid w:val="00487221"/>
    <w:rsid w:val="00520CA5"/>
    <w:rsid w:val="00551C29"/>
    <w:rsid w:val="0066588B"/>
    <w:rsid w:val="0067708E"/>
    <w:rsid w:val="006D1E7E"/>
    <w:rsid w:val="00795CFD"/>
    <w:rsid w:val="007A6A9F"/>
    <w:rsid w:val="0080497A"/>
    <w:rsid w:val="00856951"/>
    <w:rsid w:val="008650E0"/>
    <w:rsid w:val="008F73F0"/>
    <w:rsid w:val="0090439D"/>
    <w:rsid w:val="009A0678"/>
    <w:rsid w:val="009F0219"/>
    <w:rsid w:val="009F5D0D"/>
    <w:rsid w:val="009F7549"/>
    <w:rsid w:val="00A30705"/>
    <w:rsid w:val="00A32490"/>
    <w:rsid w:val="00AA2FE6"/>
    <w:rsid w:val="00B428C7"/>
    <w:rsid w:val="00BE3087"/>
    <w:rsid w:val="00C05E5D"/>
    <w:rsid w:val="00C233A5"/>
    <w:rsid w:val="00C41762"/>
    <w:rsid w:val="00C606E5"/>
    <w:rsid w:val="00C617AB"/>
    <w:rsid w:val="00C632F1"/>
    <w:rsid w:val="00C90BE8"/>
    <w:rsid w:val="00C95643"/>
    <w:rsid w:val="00CB45C4"/>
    <w:rsid w:val="00CE1080"/>
    <w:rsid w:val="00D04A54"/>
    <w:rsid w:val="00D11B51"/>
    <w:rsid w:val="00D30BA9"/>
    <w:rsid w:val="00D45B08"/>
    <w:rsid w:val="00DC2ED7"/>
    <w:rsid w:val="00DE173A"/>
    <w:rsid w:val="00E02050"/>
    <w:rsid w:val="00E23549"/>
    <w:rsid w:val="00E96279"/>
    <w:rsid w:val="00F142BD"/>
    <w:rsid w:val="00F16949"/>
    <w:rsid w:val="00F36DDD"/>
    <w:rsid w:val="00F42774"/>
    <w:rsid w:val="00FA4EA5"/>
    <w:rsid w:val="00FE59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D535"/>
  <w15:chartTrackingRefBased/>
  <w15:docId w15:val="{3F437BA0-4C29-A24D-90C7-87B923DB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1B5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A11"/>
    <w:pPr>
      <w:ind w:left="720"/>
      <w:contextualSpacing/>
    </w:pPr>
  </w:style>
  <w:style w:type="numbering" w:customStyle="1" w:styleId="CurrentList1">
    <w:name w:val="Current List1"/>
    <w:uiPriority w:val="99"/>
    <w:rsid w:val="00210A11"/>
    <w:pPr>
      <w:numPr>
        <w:numId w:val="2"/>
      </w:numPr>
    </w:pPr>
  </w:style>
  <w:style w:type="numbering" w:customStyle="1" w:styleId="CurrentList2">
    <w:name w:val="Current List2"/>
    <w:uiPriority w:val="99"/>
    <w:rsid w:val="00210A11"/>
    <w:pPr>
      <w:numPr>
        <w:numId w:val="3"/>
      </w:numPr>
    </w:pPr>
  </w:style>
  <w:style w:type="paragraph" w:styleId="FootnoteText">
    <w:name w:val="footnote text"/>
    <w:basedOn w:val="Normal"/>
    <w:link w:val="FootnoteTextChar"/>
    <w:uiPriority w:val="99"/>
    <w:unhideWhenUsed/>
    <w:rsid w:val="00D04A54"/>
    <w:rPr>
      <w:sz w:val="20"/>
      <w:szCs w:val="20"/>
    </w:rPr>
  </w:style>
  <w:style w:type="character" w:customStyle="1" w:styleId="FootnoteTextChar">
    <w:name w:val="Footnote Text Char"/>
    <w:basedOn w:val="DefaultParagraphFont"/>
    <w:link w:val="FootnoteText"/>
    <w:uiPriority w:val="99"/>
    <w:rsid w:val="00D04A54"/>
    <w:rPr>
      <w:sz w:val="20"/>
      <w:szCs w:val="20"/>
    </w:rPr>
  </w:style>
  <w:style w:type="character" w:styleId="FootnoteReference">
    <w:name w:val="footnote reference"/>
    <w:basedOn w:val="DefaultParagraphFont"/>
    <w:uiPriority w:val="99"/>
    <w:semiHidden/>
    <w:unhideWhenUsed/>
    <w:rsid w:val="00D04A54"/>
    <w:rPr>
      <w:vertAlign w:val="superscript"/>
    </w:rPr>
  </w:style>
  <w:style w:type="character" w:customStyle="1" w:styleId="Heading2Char">
    <w:name w:val="Heading 2 Char"/>
    <w:basedOn w:val="DefaultParagraphFont"/>
    <w:link w:val="Heading2"/>
    <w:uiPriority w:val="9"/>
    <w:rsid w:val="00D11B5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50CE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95CFD"/>
  </w:style>
  <w:style w:type="character" w:styleId="Hyperlink">
    <w:name w:val="Hyperlink"/>
    <w:basedOn w:val="DefaultParagraphFont"/>
    <w:uiPriority w:val="99"/>
    <w:semiHidden/>
    <w:unhideWhenUsed/>
    <w:rsid w:val="00795CFD"/>
    <w:rPr>
      <w:color w:val="0000FF"/>
      <w:u w:val="single"/>
    </w:rPr>
  </w:style>
  <w:style w:type="paragraph" w:customStyle="1" w:styleId="Indent">
    <w:name w:val="Indent"/>
    <w:basedOn w:val="Normal"/>
    <w:rsid w:val="00BE3087"/>
    <w:pPr>
      <w:widowControl w:val="0"/>
      <w:numPr>
        <w:numId w:val="6"/>
      </w:numPr>
      <w:spacing w:after="240"/>
      <w:ind w:left="851" w:hanging="851"/>
      <w:jc w:val="both"/>
    </w:pPr>
    <w:rPr>
      <w:rFonts w:ascii="Arial" w:eastAsia="Times New Roman" w:hAnsi="Arial" w:cs="Times New Roman"/>
      <w:kern w:val="25"/>
      <w:sz w:val="25"/>
      <w:szCs w:val="20"/>
      <w:lang w:val="en-GB" w:eastAsia="en-GB"/>
    </w:rPr>
  </w:style>
  <w:style w:type="paragraph" w:styleId="Header">
    <w:name w:val="header"/>
    <w:basedOn w:val="Normal"/>
    <w:link w:val="HeaderChar"/>
    <w:uiPriority w:val="99"/>
    <w:unhideWhenUsed/>
    <w:rsid w:val="00487221"/>
    <w:pPr>
      <w:tabs>
        <w:tab w:val="center" w:pos="4513"/>
        <w:tab w:val="right" w:pos="9026"/>
      </w:tabs>
    </w:pPr>
  </w:style>
  <w:style w:type="character" w:customStyle="1" w:styleId="HeaderChar">
    <w:name w:val="Header Char"/>
    <w:basedOn w:val="DefaultParagraphFont"/>
    <w:link w:val="Header"/>
    <w:uiPriority w:val="99"/>
    <w:rsid w:val="00487221"/>
  </w:style>
  <w:style w:type="character" w:styleId="PageNumber">
    <w:name w:val="page number"/>
    <w:basedOn w:val="DefaultParagraphFont"/>
    <w:uiPriority w:val="99"/>
    <w:semiHidden/>
    <w:unhideWhenUsed/>
    <w:rsid w:val="00487221"/>
  </w:style>
  <w:style w:type="paragraph" w:styleId="BalloonText">
    <w:name w:val="Balloon Text"/>
    <w:basedOn w:val="Normal"/>
    <w:link w:val="BalloonTextChar"/>
    <w:uiPriority w:val="99"/>
    <w:semiHidden/>
    <w:unhideWhenUsed/>
    <w:rsid w:val="00B42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7004">
      <w:bodyDiv w:val="1"/>
      <w:marLeft w:val="0"/>
      <w:marRight w:val="0"/>
      <w:marTop w:val="0"/>
      <w:marBottom w:val="0"/>
      <w:divBdr>
        <w:top w:val="none" w:sz="0" w:space="0" w:color="auto"/>
        <w:left w:val="none" w:sz="0" w:space="0" w:color="auto"/>
        <w:bottom w:val="none" w:sz="0" w:space="0" w:color="auto"/>
        <w:right w:val="none" w:sz="0" w:space="0" w:color="auto"/>
      </w:divBdr>
      <w:divsChild>
        <w:div w:id="733895613">
          <w:marLeft w:val="0"/>
          <w:marRight w:val="0"/>
          <w:marTop w:val="0"/>
          <w:marBottom w:val="0"/>
          <w:divBdr>
            <w:top w:val="none" w:sz="0" w:space="0" w:color="auto"/>
            <w:left w:val="none" w:sz="0" w:space="0" w:color="auto"/>
            <w:bottom w:val="none" w:sz="0" w:space="0" w:color="auto"/>
            <w:right w:val="none" w:sz="0" w:space="0" w:color="auto"/>
          </w:divBdr>
          <w:divsChild>
            <w:div w:id="924417000">
              <w:marLeft w:val="0"/>
              <w:marRight w:val="0"/>
              <w:marTop w:val="0"/>
              <w:marBottom w:val="0"/>
              <w:divBdr>
                <w:top w:val="none" w:sz="0" w:space="0" w:color="auto"/>
                <w:left w:val="none" w:sz="0" w:space="0" w:color="auto"/>
                <w:bottom w:val="none" w:sz="0" w:space="0" w:color="auto"/>
                <w:right w:val="none" w:sz="0" w:space="0" w:color="auto"/>
              </w:divBdr>
              <w:divsChild>
                <w:div w:id="1557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072">
      <w:bodyDiv w:val="1"/>
      <w:marLeft w:val="0"/>
      <w:marRight w:val="0"/>
      <w:marTop w:val="0"/>
      <w:marBottom w:val="0"/>
      <w:divBdr>
        <w:top w:val="none" w:sz="0" w:space="0" w:color="auto"/>
        <w:left w:val="none" w:sz="0" w:space="0" w:color="auto"/>
        <w:bottom w:val="none" w:sz="0" w:space="0" w:color="auto"/>
        <w:right w:val="none" w:sz="0" w:space="0" w:color="auto"/>
      </w:divBdr>
      <w:divsChild>
        <w:div w:id="984746443">
          <w:marLeft w:val="0"/>
          <w:marRight w:val="0"/>
          <w:marTop w:val="0"/>
          <w:marBottom w:val="0"/>
          <w:divBdr>
            <w:top w:val="none" w:sz="0" w:space="0" w:color="auto"/>
            <w:left w:val="none" w:sz="0" w:space="0" w:color="auto"/>
            <w:bottom w:val="none" w:sz="0" w:space="0" w:color="auto"/>
            <w:right w:val="none" w:sz="0" w:space="0" w:color="auto"/>
          </w:divBdr>
          <w:divsChild>
            <w:div w:id="1759981563">
              <w:marLeft w:val="0"/>
              <w:marRight w:val="0"/>
              <w:marTop w:val="0"/>
              <w:marBottom w:val="0"/>
              <w:divBdr>
                <w:top w:val="none" w:sz="0" w:space="0" w:color="auto"/>
                <w:left w:val="none" w:sz="0" w:space="0" w:color="auto"/>
                <w:bottom w:val="none" w:sz="0" w:space="0" w:color="auto"/>
                <w:right w:val="none" w:sz="0" w:space="0" w:color="auto"/>
              </w:divBdr>
              <w:divsChild>
                <w:div w:id="11815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9699">
      <w:bodyDiv w:val="1"/>
      <w:marLeft w:val="0"/>
      <w:marRight w:val="0"/>
      <w:marTop w:val="0"/>
      <w:marBottom w:val="0"/>
      <w:divBdr>
        <w:top w:val="none" w:sz="0" w:space="0" w:color="auto"/>
        <w:left w:val="none" w:sz="0" w:space="0" w:color="auto"/>
        <w:bottom w:val="none" w:sz="0" w:space="0" w:color="auto"/>
        <w:right w:val="none" w:sz="0" w:space="0" w:color="auto"/>
      </w:divBdr>
    </w:div>
    <w:div w:id="1288009391">
      <w:bodyDiv w:val="1"/>
      <w:marLeft w:val="0"/>
      <w:marRight w:val="0"/>
      <w:marTop w:val="0"/>
      <w:marBottom w:val="0"/>
      <w:divBdr>
        <w:top w:val="none" w:sz="0" w:space="0" w:color="auto"/>
        <w:left w:val="none" w:sz="0" w:space="0" w:color="auto"/>
        <w:bottom w:val="none" w:sz="0" w:space="0" w:color="auto"/>
        <w:right w:val="none" w:sz="0" w:space="0" w:color="auto"/>
      </w:divBdr>
    </w:div>
    <w:div w:id="1841970521">
      <w:bodyDiv w:val="1"/>
      <w:marLeft w:val="0"/>
      <w:marRight w:val="0"/>
      <w:marTop w:val="0"/>
      <w:marBottom w:val="0"/>
      <w:divBdr>
        <w:top w:val="none" w:sz="0" w:space="0" w:color="auto"/>
        <w:left w:val="none" w:sz="0" w:space="0" w:color="auto"/>
        <w:bottom w:val="none" w:sz="0" w:space="0" w:color="auto"/>
        <w:right w:val="none" w:sz="0" w:space="0" w:color="auto"/>
      </w:divBdr>
      <w:divsChild>
        <w:div w:id="618343600">
          <w:marLeft w:val="0"/>
          <w:marRight w:val="0"/>
          <w:marTop w:val="0"/>
          <w:marBottom w:val="0"/>
          <w:divBdr>
            <w:top w:val="none" w:sz="0" w:space="0" w:color="auto"/>
            <w:left w:val="none" w:sz="0" w:space="0" w:color="auto"/>
            <w:bottom w:val="none" w:sz="0" w:space="0" w:color="auto"/>
            <w:right w:val="none" w:sz="0" w:space="0" w:color="auto"/>
          </w:divBdr>
          <w:divsChild>
            <w:div w:id="598685807">
              <w:marLeft w:val="0"/>
              <w:marRight w:val="0"/>
              <w:marTop w:val="0"/>
              <w:marBottom w:val="0"/>
              <w:divBdr>
                <w:top w:val="none" w:sz="0" w:space="0" w:color="auto"/>
                <w:left w:val="none" w:sz="0" w:space="0" w:color="auto"/>
                <w:bottom w:val="none" w:sz="0" w:space="0" w:color="auto"/>
                <w:right w:val="none" w:sz="0" w:space="0" w:color="auto"/>
              </w:divBdr>
              <w:divsChild>
                <w:div w:id="18382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12928">
      <w:bodyDiv w:val="1"/>
      <w:marLeft w:val="0"/>
      <w:marRight w:val="0"/>
      <w:marTop w:val="0"/>
      <w:marBottom w:val="0"/>
      <w:divBdr>
        <w:top w:val="none" w:sz="0" w:space="0" w:color="auto"/>
        <w:left w:val="none" w:sz="0" w:space="0" w:color="auto"/>
        <w:bottom w:val="none" w:sz="0" w:space="0" w:color="auto"/>
        <w:right w:val="none" w:sz="0" w:space="0" w:color="auto"/>
      </w:divBdr>
      <w:divsChild>
        <w:div w:id="749667101">
          <w:marLeft w:val="0"/>
          <w:marRight w:val="0"/>
          <w:marTop w:val="0"/>
          <w:marBottom w:val="0"/>
          <w:divBdr>
            <w:top w:val="none" w:sz="0" w:space="0" w:color="auto"/>
            <w:left w:val="none" w:sz="0" w:space="0" w:color="auto"/>
            <w:bottom w:val="none" w:sz="0" w:space="0" w:color="auto"/>
            <w:right w:val="none" w:sz="0" w:space="0" w:color="auto"/>
          </w:divBdr>
          <w:divsChild>
            <w:div w:id="1886790753">
              <w:marLeft w:val="0"/>
              <w:marRight w:val="0"/>
              <w:marTop w:val="0"/>
              <w:marBottom w:val="0"/>
              <w:divBdr>
                <w:top w:val="none" w:sz="0" w:space="0" w:color="auto"/>
                <w:left w:val="none" w:sz="0" w:space="0" w:color="auto"/>
                <w:bottom w:val="none" w:sz="0" w:space="0" w:color="auto"/>
                <w:right w:val="none" w:sz="0" w:space="0" w:color="auto"/>
              </w:divBdr>
              <w:divsChild>
                <w:div w:id="1615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aflii.org/cgi-bin/LawCite?cit=1979%20%281%29%20SA%20626" TargetMode="External"/><Relationship Id="rId3" Type="http://schemas.openxmlformats.org/officeDocument/2006/relationships/hyperlink" Target="https://app.jutastatevolve.co.za/researcher/y1982v1SApg398" TargetMode="External"/><Relationship Id="rId7" Type="http://schemas.openxmlformats.org/officeDocument/2006/relationships/hyperlink" Target="https://app.jutastatevolve.co.za/researcher/y1983v4SApg278" TargetMode="External"/><Relationship Id="rId2" Type="http://schemas.openxmlformats.org/officeDocument/2006/relationships/hyperlink" Target="https://app.jutastatevolve.co.za/researcher/y1976v2SApg930" TargetMode="External"/><Relationship Id="rId1" Type="http://schemas.openxmlformats.org/officeDocument/2006/relationships/hyperlink" Target="https://app.jutastatevolve.co.za/researcher/y1957v4SApg234" TargetMode="External"/><Relationship Id="rId6" Type="http://schemas.openxmlformats.org/officeDocument/2006/relationships/hyperlink" Target="https://app.jutastatevolve.co.za/researcher/y1945ADpg420" TargetMode="External"/><Relationship Id="rId5" Type="http://schemas.openxmlformats.org/officeDocument/2006/relationships/hyperlink" Target="https://app.jutastatevolve.co.za/researcher/y1949v3SApg1155" TargetMode="External"/><Relationship Id="rId4" Type="http://schemas.openxmlformats.org/officeDocument/2006/relationships/hyperlink" Target="https://app.jutastatevolve.co.za/researcher/y1982v3SApg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52AD-273C-41AA-9905-41407D37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Thompson</dc:creator>
  <cp:keywords/>
  <dc:description/>
  <cp:lastModifiedBy>Mokone</cp:lastModifiedBy>
  <cp:revision>3</cp:revision>
  <cp:lastPrinted>2023-05-25T10:27:00Z</cp:lastPrinted>
  <dcterms:created xsi:type="dcterms:W3CDTF">2023-06-06T13:48:00Z</dcterms:created>
  <dcterms:modified xsi:type="dcterms:W3CDTF">2023-06-06T13:48:00Z</dcterms:modified>
</cp:coreProperties>
</file>