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BB8362" w14:textId="77777777" w:rsidR="00F175C9" w:rsidRPr="001917A3" w:rsidRDefault="00F175C9" w:rsidP="00F175C9">
      <w:pPr>
        <w:shd w:val="clear" w:color="auto" w:fill="F5F5F5"/>
        <w:suppressAutoHyphens/>
        <w:spacing w:after="120" w:line="240" w:lineRule="auto"/>
        <w:jc w:val="center"/>
        <w:textAlignment w:val="top"/>
        <w:rPr>
          <w:rFonts w:ascii="Arial Unicode MS" w:eastAsia="Arial Unicode MS" w:hAnsi="Arial Unicode MS" w:cs="Arial Unicode MS"/>
          <w:b/>
          <w:color w:val="222222"/>
          <w:sz w:val="24"/>
          <w:szCs w:val="24"/>
          <w:lang w:val="af-ZA"/>
        </w:rPr>
      </w:pPr>
      <w:r w:rsidRPr="001917A3">
        <w:rPr>
          <w:rFonts w:ascii="Arial Unicode MS" w:eastAsia="Arial Unicode MS" w:hAnsi="Arial Unicode MS" w:cs="Arial Unicode MS"/>
          <w:noProof/>
          <w:sz w:val="24"/>
          <w:szCs w:val="20"/>
          <w:lang w:val="en-ZA" w:eastAsia="en-ZA"/>
        </w:rPr>
        <w:drawing>
          <wp:inline distT="0" distB="0" distL="0" distR="0" wp14:anchorId="3E6F06D0" wp14:editId="44653ECA">
            <wp:extent cx="972000" cy="972000"/>
            <wp:effectExtent l="0" t="0" r="0" b="0"/>
            <wp:docPr id="1" name="Picture 1" descr="Description: cid:image001.png@01D076AF.8E67B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id:image001.png@01D076AF.8E67B52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972000" cy="972000"/>
                    </a:xfrm>
                    <a:prstGeom prst="rect">
                      <a:avLst/>
                    </a:prstGeom>
                    <a:noFill/>
                    <a:ln>
                      <a:noFill/>
                    </a:ln>
                  </pic:spPr>
                </pic:pic>
              </a:graphicData>
            </a:graphic>
          </wp:inline>
        </w:drawing>
      </w:r>
    </w:p>
    <w:p w14:paraId="0DAC108F" w14:textId="77777777" w:rsidR="00F175C9" w:rsidRPr="00D2629A" w:rsidRDefault="00F175C9" w:rsidP="00F175C9">
      <w:pPr>
        <w:shd w:val="clear" w:color="auto" w:fill="F5F5F5"/>
        <w:suppressAutoHyphens/>
        <w:spacing w:after="0" w:line="240" w:lineRule="auto"/>
        <w:jc w:val="center"/>
        <w:textAlignment w:val="top"/>
        <w:rPr>
          <w:rFonts w:ascii="Arial Unicode MS" w:eastAsia="Arial Unicode MS" w:hAnsi="Arial Unicode MS" w:cs="Arial Unicode MS"/>
          <w:b/>
          <w:color w:val="222222"/>
          <w:sz w:val="24"/>
          <w:szCs w:val="20"/>
          <w:lang w:val="af-ZA"/>
        </w:rPr>
      </w:pPr>
      <w:r w:rsidRPr="001917A3">
        <w:rPr>
          <w:rFonts w:ascii="Arial Unicode MS" w:eastAsia="Arial Unicode MS" w:hAnsi="Arial Unicode MS" w:cs="Arial Unicode MS"/>
          <w:b/>
          <w:color w:val="222222"/>
          <w:sz w:val="24"/>
          <w:szCs w:val="20"/>
          <w:lang w:val="af-ZA"/>
        </w:rPr>
        <w:t>IN</w:t>
      </w:r>
      <w:r>
        <w:rPr>
          <w:rFonts w:ascii="Arial Unicode MS" w:eastAsia="Arial Unicode MS" w:hAnsi="Arial Unicode MS" w:cs="Arial Unicode MS"/>
          <w:b/>
          <w:color w:val="222222"/>
          <w:sz w:val="24"/>
          <w:szCs w:val="20"/>
          <w:lang w:val="af-ZA"/>
        </w:rPr>
        <w:t xml:space="preserve"> THE HIGH COURT OF SOUTH AFRICA</w:t>
      </w:r>
      <w:r w:rsidRPr="001917A3">
        <w:rPr>
          <w:rFonts w:ascii="Arial Unicode MS" w:eastAsia="Arial Unicode MS" w:hAnsi="Arial Unicode MS" w:cs="Arial Unicode MS"/>
          <w:b/>
          <w:color w:val="222222"/>
          <w:sz w:val="24"/>
          <w:szCs w:val="20"/>
          <w:lang w:val="af-ZA"/>
        </w:rPr>
        <w:br/>
        <w:t>(</w:t>
      </w:r>
      <w:r>
        <w:rPr>
          <w:rFonts w:ascii="Arial Unicode MS" w:eastAsia="Arial Unicode MS" w:hAnsi="Arial Unicode MS" w:cs="Arial Unicode MS"/>
          <w:b/>
          <w:color w:val="222222"/>
          <w:sz w:val="24"/>
          <w:szCs w:val="20"/>
          <w:lang w:val="af-ZA"/>
        </w:rPr>
        <w:t>GAUTENG DIVISION, JOHANNESBURG)</w:t>
      </w:r>
    </w:p>
    <w:p w14:paraId="1D03FC24" w14:textId="77777777" w:rsidR="00F175C9" w:rsidRDefault="00F175C9" w:rsidP="00F175C9">
      <w:pPr>
        <w:shd w:val="clear" w:color="auto" w:fill="F5F5F5"/>
        <w:suppressAutoHyphens/>
        <w:spacing w:after="0" w:line="240" w:lineRule="auto"/>
        <w:jc w:val="center"/>
        <w:textAlignment w:val="top"/>
        <w:rPr>
          <w:rFonts w:ascii="Arial Unicode MS" w:eastAsia="Arial Unicode MS" w:hAnsi="Arial Unicode MS" w:cs="Arial Unicode MS"/>
          <w:b/>
          <w:sz w:val="24"/>
          <w:szCs w:val="20"/>
          <w:lang w:val="en-ZA"/>
        </w:rPr>
      </w:pPr>
      <w:r w:rsidRPr="001917A3">
        <w:rPr>
          <w:rFonts w:ascii="Arial Unicode MS" w:eastAsia="Arial Unicode MS" w:hAnsi="Arial Unicode MS" w:cs="Arial Unicode MS"/>
          <w:b/>
          <w:sz w:val="24"/>
          <w:szCs w:val="20"/>
          <w:lang w:val="en-ZA"/>
        </w:rPr>
        <w:t>REPUBLIC OF SOUTH AFRICA</w:t>
      </w:r>
    </w:p>
    <w:p w14:paraId="3CECC1C7" w14:textId="77777777" w:rsidR="00F175C9" w:rsidRPr="001917A3" w:rsidRDefault="00F175C9" w:rsidP="00F175C9">
      <w:pPr>
        <w:shd w:val="clear" w:color="auto" w:fill="F5F5F5"/>
        <w:suppressAutoHyphens/>
        <w:spacing w:after="0" w:line="240" w:lineRule="auto"/>
        <w:jc w:val="center"/>
        <w:textAlignment w:val="top"/>
        <w:rPr>
          <w:rFonts w:ascii="Arial Unicode MS" w:eastAsia="Arial Unicode MS" w:hAnsi="Arial Unicode MS" w:cs="Arial Unicode MS"/>
          <w:b/>
          <w:color w:val="777777"/>
          <w:sz w:val="24"/>
          <w:szCs w:val="20"/>
          <w:lang w:val="en-ZA"/>
        </w:rPr>
      </w:pPr>
    </w:p>
    <w:p w14:paraId="61D2BAD2" w14:textId="4F65390B" w:rsidR="00F175C9" w:rsidRPr="001917A3" w:rsidRDefault="00F175C9" w:rsidP="00F175C9">
      <w:pPr>
        <w:suppressAutoHyphens/>
        <w:spacing w:after="0" w:line="480" w:lineRule="auto"/>
        <w:jc w:val="right"/>
        <w:rPr>
          <w:rFonts w:ascii="Arial" w:eastAsia="Times New Roman" w:hAnsi="Arial" w:cs="Times New Roman"/>
          <w:sz w:val="24"/>
          <w:szCs w:val="20"/>
          <w:lang w:val="en-ZA"/>
        </w:rPr>
      </w:pPr>
      <w:r w:rsidRPr="001917A3">
        <w:rPr>
          <w:rFonts w:ascii="Arial" w:eastAsia="Times New Roman" w:hAnsi="Arial" w:cs="Times New Roman"/>
          <w:b/>
          <w:bCs/>
          <w:sz w:val="24"/>
          <w:szCs w:val="20"/>
          <w:lang w:val="en-ZA"/>
        </w:rPr>
        <w:t>CASE NO</w:t>
      </w:r>
      <w:r>
        <w:rPr>
          <w:rFonts w:ascii="Arial" w:eastAsia="Times New Roman" w:hAnsi="Arial" w:cs="Times New Roman"/>
          <w:sz w:val="24"/>
          <w:szCs w:val="20"/>
          <w:lang w:val="en-ZA"/>
        </w:rPr>
        <w:t>:</w:t>
      </w:r>
      <w:r w:rsidR="005151BB" w:rsidRPr="005151BB">
        <w:rPr>
          <w:rFonts w:ascii="Arial" w:eastAsia="Times New Roman" w:hAnsi="Arial" w:cs="Times New Roman"/>
          <w:sz w:val="24"/>
          <w:szCs w:val="20"/>
          <w:lang w:val="en-ZA"/>
        </w:rPr>
        <w:t xml:space="preserve"> </w:t>
      </w:r>
      <w:r w:rsidR="005151BB">
        <w:rPr>
          <w:rFonts w:ascii="Arial" w:eastAsia="Times New Roman" w:hAnsi="Arial" w:cs="Times New Roman"/>
          <w:sz w:val="24"/>
          <w:szCs w:val="20"/>
          <w:lang w:val="en-ZA"/>
        </w:rPr>
        <w:t>36425/2021</w:t>
      </w:r>
      <w:r>
        <w:rPr>
          <w:rFonts w:ascii="Arial" w:eastAsia="Times New Roman" w:hAnsi="Arial" w:cs="Times New Roman"/>
          <w:sz w:val="24"/>
          <w:szCs w:val="20"/>
          <w:lang w:val="en-ZA"/>
        </w:rPr>
        <w:t xml:space="preserve"> </w:t>
      </w:r>
    </w:p>
    <w:p w14:paraId="6C55E7B9" w14:textId="77777777" w:rsidR="00F175C9" w:rsidRPr="001917A3" w:rsidRDefault="00F175C9" w:rsidP="00F175C9">
      <w:pPr>
        <w:suppressAutoHyphens/>
        <w:spacing w:after="0" w:line="480" w:lineRule="auto"/>
        <w:jc w:val="right"/>
        <w:rPr>
          <w:rFonts w:ascii="Arial" w:eastAsia="Times New Roman" w:hAnsi="Arial" w:cs="Times New Roman"/>
          <w:sz w:val="24"/>
          <w:szCs w:val="20"/>
          <w:lang w:val="en-Z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91"/>
      </w:tblGrid>
      <w:tr w:rsidR="00F175C9" w:rsidRPr="001917A3" w14:paraId="3B9F053C" w14:textId="77777777" w:rsidTr="00E6377A">
        <w:trPr>
          <w:trHeight w:val="2455"/>
        </w:trPr>
        <w:tc>
          <w:tcPr>
            <w:tcW w:w="5691" w:type="dxa"/>
          </w:tcPr>
          <w:p w14:paraId="36A79174" w14:textId="77777777" w:rsidR="00F175C9" w:rsidRPr="001917A3" w:rsidRDefault="00F175C9" w:rsidP="00E6377A">
            <w:pPr>
              <w:suppressAutoHyphens/>
              <w:spacing w:after="0" w:line="360" w:lineRule="auto"/>
              <w:jc w:val="both"/>
              <w:rPr>
                <w:rFonts w:ascii="Arial" w:eastAsia="Arial Unicode MS" w:hAnsi="Arial" w:cs="Arial"/>
                <w:b/>
                <w:sz w:val="16"/>
                <w:szCs w:val="16"/>
                <w:lang w:val="en-ZA"/>
              </w:rPr>
            </w:pPr>
          </w:p>
          <w:p w14:paraId="5583E2AF" w14:textId="77777777" w:rsidR="00F175C9" w:rsidRPr="001917A3" w:rsidRDefault="00F175C9" w:rsidP="00E6377A">
            <w:pPr>
              <w:suppressAutoHyphens/>
              <w:spacing w:after="0" w:line="480" w:lineRule="auto"/>
              <w:jc w:val="both"/>
              <w:rPr>
                <w:rFonts w:ascii="Arial" w:eastAsia="Arial Unicode MS" w:hAnsi="Arial" w:cs="Arial"/>
                <w:sz w:val="16"/>
                <w:szCs w:val="16"/>
                <w:lang w:val="en-ZA"/>
              </w:rPr>
            </w:pPr>
            <w:r w:rsidRPr="001917A3">
              <w:rPr>
                <w:rFonts w:ascii="Arial" w:eastAsia="Arial Unicode MS" w:hAnsi="Arial" w:cs="Arial"/>
                <w:sz w:val="16"/>
                <w:szCs w:val="16"/>
                <w:lang w:val="en-ZA"/>
              </w:rPr>
              <w:t>(1)</w:t>
            </w:r>
            <w:r w:rsidRPr="001917A3">
              <w:rPr>
                <w:rFonts w:ascii="Arial" w:eastAsia="Arial Unicode MS" w:hAnsi="Arial" w:cs="Arial"/>
                <w:sz w:val="16"/>
                <w:szCs w:val="16"/>
                <w:lang w:val="en-ZA"/>
              </w:rPr>
              <w:tab/>
              <w:t>REPORTABLE:  NO</w:t>
            </w:r>
          </w:p>
          <w:p w14:paraId="3F9C41B8" w14:textId="77777777" w:rsidR="00F175C9" w:rsidRPr="001917A3" w:rsidRDefault="00F175C9" w:rsidP="00E6377A">
            <w:pPr>
              <w:suppressAutoHyphens/>
              <w:spacing w:after="0" w:line="480" w:lineRule="auto"/>
              <w:jc w:val="both"/>
              <w:rPr>
                <w:rFonts w:ascii="Arial" w:eastAsia="Arial Unicode MS" w:hAnsi="Arial" w:cs="Arial"/>
                <w:sz w:val="16"/>
                <w:szCs w:val="16"/>
                <w:lang w:val="en-ZA"/>
              </w:rPr>
            </w:pPr>
            <w:r w:rsidRPr="001917A3">
              <w:rPr>
                <w:rFonts w:ascii="Arial" w:eastAsia="Arial Unicode MS" w:hAnsi="Arial" w:cs="Arial"/>
                <w:sz w:val="16"/>
                <w:szCs w:val="16"/>
                <w:lang w:val="en-ZA"/>
              </w:rPr>
              <w:t>(2)</w:t>
            </w:r>
            <w:r w:rsidRPr="001917A3">
              <w:rPr>
                <w:rFonts w:ascii="Arial" w:eastAsia="Arial Unicode MS" w:hAnsi="Arial" w:cs="Arial"/>
                <w:sz w:val="16"/>
                <w:szCs w:val="16"/>
                <w:lang w:val="en-ZA"/>
              </w:rPr>
              <w:tab/>
              <w:t>OF INTEREST TO OTHER JUDGES: NO</w:t>
            </w:r>
          </w:p>
          <w:p w14:paraId="68920A21" w14:textId="77777777" w:rsidR="00F175C9" w:rsidRPr="001917A3" w:rsidRDefault="00F175C9" w:rsidP="00E6377A">
            <w:pPr>
              <w:suppressAutoHyphens/>
              <w:spacing w:after="0" w:line="480" w:lineRule="auto"/>
              <w:jc w:val="both"/>
              <w:rPr>
                <w:rFonts w:ascii="Arial" w:eastAsia="Arial Unicode MS" w:hAnsi="Arial" w:cs="Arial"/>
                <w:sz w:val="16"/>
                <w:szCs w:val="16"/>
                <w:lang w:val="en-ZA"/>
              </w:rPr>
            </w:pPr>
            <w:r w:rsidRPr="001917A3">
              <w:rPr>
                <w:rFonts w:ascii="Arial" w:eastAsia="Arial Unicode MS" w:hAnsi="Arial" w:cs="Arial"/>
                <w:sz w:val="16"/>
                <w:szCs w:val="16"/>
                <w:lang w:val="en-ZA"/>
              </w:rPr>
              <w:t>(3)</w:t>
            </w:r>
            <w:r w:rsidRPr="001917A3">
              <w:rPr>
                <w:rFonts w:ascii="Arial" w:eastAsia="Arial Unicode MS" w:hAnsi="Arial" w:cs="Arial"/>
                <w:sz w:val="16"/>
                <w:szCs w:val="16"/>
                <w:lang w:val="en-ZA"/>
              </w:rPr>
              <w:tab/>
              <w:t xml:space="preserve">REVISED: </w:t>
            </w:r>
            <w:r>
              <w:rPr>
                <w:rFonts w:ascii="Arial" w:eastAsia="Arial Unicode MS" w:hAnsi="Arial" w:cs="Arial"/>
                <w:sz w:val="16"/>
                <w:szCs w:val="16"/>
                <w:lang w:val="en-ZA"/>
              </w:rPr>
              <w:t>NO</w:t>
            </w:r>
          </w:p>
          <w:p w14:paraId="459B8F78" w14:textId="30066F33" w:rsidR="00F175C9" w:rsidRPr="001917A3" w:rsidRDefault="00B2195C" w:rsidP="00E6377A">
            <w:pPr>
              <w:suppressAutoHyphens/>
              <w:spacing w:after="0" w:line="480" w:lineRule="auto"/>
              <w:jc w:val="both"/>
              <w:rPr>
                <w:rFonts w:ascii="Arial" w:eastAsia="Arial Unicode MS" w:hAnsi="Arial" w:cs="Arial"/>
                <w:b/>
                <w:sz w:val="16"/>
                <w:szCs w:val="16"/>
                <w:lang w:val="en-ZA"/>
              </w:rPr>
            </w:pPr>
            <w:r>
              <w:rPr>
                <w:rFonts w:ascii="Arial" w:eastAsia="Arial Unicode MS" w:hAnsi="Arial" w:cs="Arial"/>
                <w:sz w:val="16"/>
                <w:szCs w:val="16"/>
                <w:lang w:val="en-ZA"/>
              </w:rPr>
              <w:t>(4)</w:t>
            </w:r>
            <w:r w:rsidR="00F175C9">
              <w:rPr>
                <w:rFonts w:ascii="Arial" w:eastAsia="Arial Unicode MS" w:hAnsi="Arial" w:cs="Arial"/>
                <w:sz w:val="16"/>
                <w:szCs w:val="16"/>
                <w:lang w:val="en-ZA"/>
              </w:rPr>
              <w:tab/>
              <w:t>DATE:  2</w:t>
            </w:r>
            <w:r>
              <w:rPr>
                <w:rFonts w:ascii="Arial" w:eastAsia="Arial Unicode MS" w:hAnsi="Arial" w:cs="Arial"/>
                <w:sz w:val="16"/>
                <w:szCs w:val="16"/>
                <w:lang w:val="en-ZA"/>
              </w:rPr>
              <w:t>5</w:t>
            </w:r>
            <w:r w:rsidR="00F175C9">
              <w:rPr>
                <w:rFonts w:ascii="Arial" w:eastAsia="Arial Unicode MS" w:hAnsi="Arial" w:cs="Arial"/>
                <w:sz w:val="16"/>
                <w:szCs w:val="16"/>
                <w:lang w:val="en-ZA"/>
              </w:rPr>
              <w:t xml:space="preserve"> </w:t>
            </w:r>
            <w:r w:rsidR="00495AF5">
              <w:rPr>
                <w:rFonts w:ascii="Arial" w:eastAsia="Arial Unicode MS" w:hAnsi="Arial" w:cs="Arial"/>
                <w:sz w:val="16"/>
                <w:szCs w:val="16"/>
                <w:lang w:val="en-ZA"/>
              </w:rPr>
              <w:t>MAY</w:t>
            </w:r>
            <w:r w:rsidR="00F175C9">
              <w:rPr>
                <w:rFonts w:ascii="Arial" w:eastAsia="Arial Unicode MS" w:hAnsi="Arial" w:cs="Arial"/>
                <w:sz w:val="16"/>
                <w:szCs w:val="16"/>
                <w:lang w:val="en-ZA"/>
              </w:rPr>
              <w:t xml:space="preserve"> 2023</w:t>
            </w:r>
          </w:p>
          <w:p w14:paraId="7BDBD59E" w14:textId="51897F19" w:rsidR="00F175C9" w:rsidRPr="001917A3" w:rsidRDefault="00B2195C" w:rsidP="00E6377A">
            <w:pPr>
              <w:suppressAutoHyphens/>
              <w:spacing w:after="0" w:line="480" w:lineRule="auto"/>
              <w:jc w:val="both"/>
              <w:rPr>
                <w:rFonts w:ascii="Arial" w:eastAsia="Arial Unicode MS" w:hAnsi="Arial" w:cs="Arial"/>
                <w:sz w:val="16"/>
                <w:szCs w:val="16"/>
                <w:lang w:val="en-ZA"/>
              </w:rPr>
            </w:pPr>
            <w:r>
              <w:rPr>
                <w:rFonts w:ascii="Arial" w:eastAsia="Arial Unicode MS" w:hAnsi="Arial" w:cs="Arial"/>
                <w:sz w:val="16"/>
                <w:szCs w:val="16"/>
                <w:lang w:val="en-ZA"/>
              </w:rPr>
              <w:t>(5)</w:t>
            </w:r>
            <w:r w:rsidR="00F175C9" w:rsidRPr="001917A3">
              <w:rPr>
                <w:rFonts w:ascii="Arial" w:eastAsia="Arial Unicode MS" w:hAnsi="Arial" w:cs="Arial"/>
                <w:sz w:val="16"/>
                <w:szCs w:val="16"/>
                <w:lang w:val="en-ZA"/>
              </w:rPr>
              <w:tab/>
              <w:t xml:space="preserve">SIGNATURE: </w:t>
            </w:r>
            <w:r w:rsidR="00F175C9" w:rsidRPr="001917A3">
              <w:rPr>
                <w:rFonts w:ascii="Lucida Handwriting" w:eastAsia="Arial Unicode MS" w:hAnsi="Lucida Handwriting" w:cs="Arial"/>
                <w:b/>
                <w:i/>
                <w:sz w:val="16"/>
                <w:szCs w:val="16"/>
                <w:lang w:val="en-ZA"/>
              </w:rPr>
              <w:t>ML SENYATSI</w:t>
            </w:r>
          </w:p>
        </w:tc>
      </w:tr>
    </w:tbl>
    <w:p w14:paraId="5E98ABEE" w14:textId="77777777" w:rsidR="00F175C9" w:rsidRPr="001917A3" w:rsidRDefault="00F175C9" w:rsidP="00F175C9">
      <w:pPr>
        <w:suppressAutoHyphens/>
        <w:spacing w:after="0" w:line="480" w:lineRule="auto"/>
        <w:jc w:val="both"/>
        <w:rPr>
          <w:rFonts w:ascii="Arial" w:eastAsia="Times New Roman" w:hAnsi="Arial" w:cs="Times New Roman"/>
          <w:sz w:val="24"/>
          <w:szCs w:val="20"/>
          <w:lang w:val="en-ZA"/>
        </w:rPr>
      </w:pPr>
    </w:p>
    <w:p w14:paraId="2208C133" w14:textId="77777777" w:rsidR="00F175C9" w:rsidRPr="001917A3" w:rsidRDefault="00F175C9" w:rsidP="00F175C9">
      <w:pPr>
        <w:suppressAutoHyphens/>
        <w:spacing w:after="0" w:line="480" w:lineRule="auto"/>
        <w:rPr>
          <w:rFonts w:ascii="Arial" w:eastAsia="Times New Roman" w:hAnsi="Arial" w:cs="Times New Roman"/>
          <w:sz w:val="24"/>
          <w:szCs w:val="20"/>
          <w:lang w:val="en-ZA"/>
        </w:rPr>
      </w:pPr>
      <w:r w:rsidRPr="001917A3">
        <w:rPr>
          <w:rFonts w:ascii="Arial" w:eastAsia="Times New Roman" w:hAnsi="Arial" w:cs="Times New Roman"/>
          <w:sz w:val="24"/>
          <w:szCs w:val="20"/>
          <w:lang w:val="en-ZA"/>
        </w:rPr>
        <w:t>In the matter between:</w:t>
      </w:r>
    </w:p>
    <w:tbl>
      <w:tblPr>
        <w:tblW w:w="9639" w:type="dxa"/>
        <w:tblLayout w:type="fixed"/>
        <w:tblLook w:val="0000" w:firstRow="0" w:lastRow="0" w:firstColumn="0" w:lastColumn="0" w:noHBand="0" w:noVBand="0"/>
      </w:tblPr>
      <w:tblGrid>
        <w:gridCol w:w="6204"/>
        <w:gridCol w:w="3435"/>
      </w:tblGrid>
      <w:tr w:rsidR="00F175C9" w:rsidRPr="001917A3" w14:paraId="2AF78954" w14:textId="77777777" w:rsidTr="00E6377A">
        <w:tc>
          <w:tcPr>
            <w:tcW w:w="6204" w:type="dxa"/>
          </w:tcPr>
          <w:p w14:paraId="0636700A" w14:textId="77777777" w:rsidR="00F175C9" w:rsidRPr="001917A3" w:rsidRDefault="00F175C9" w:rsidP="00E6377A">
            <w:pPr>
              <w:widowControl w:val="0"/>
              <w:suppressAutoHyphens/>
              <w:spacing w:after="0" w:line="360" w:lineRule="auto"/>
              <w:jc w:val="both"/>
              <w:rPr>
                <w:rFonts w:ascii="Arial" w:eastAsia="Times New Roman" w:hAnsi="Arial" w:cs="Arial"/>
                <w:sz w:val="24"/>
                <w:szCs w:val="20"/>
                <w:lang w:val="en-ZA"/>
              </w:rPr>
            </w:pPr>
            <w:bookmarkStart w:id="0" w:name="_Hlk65827777"/>
          </w:p>
        </w:tc>
        <w:tc>
          <w:tcPr>
            <w:tcW w:w="3435" w:type="dxa"/>
          </w:tcPr>
          <w:p w14:paraId="7174DAB7" w14:textId="77777777" w:rsidR="00F175C9" w:rsidRPr="001917A3" w:rsidRDefault="00F175C9" w:rsidP="00E6377A">
            <w:pPr>
              <w:widowControl w:val="0"/>
              <w:suppressAutoHyphens/>
              <w:spacing w:after="0" w:line="360" w:lineRule="auto"/>
              <w:jc w:val="right"/>
              <w:rPr>
                <w:rFonts w:ascii="Arial" w:eastAsia="Times New Roman" w:hAnsi="Arial" w:cs="Arial"/>
                <w:sz w:val="24"/>
                <w:szCs w:val="20"/>
                <w:lang w:val="en-ZA"/>
              </w:rPr>
            </w:pPr>
          </w:p>
        </w:tc>
      </w:tr>
      <w:tr w:rsidR="00F175C9" w:rsidRPr="001917A3" w14:paraId="1043E0A1" w14:textId="77777777" w:rsidTr="00E6377A">
        <w:tc>
          <w:tcPr>
            <w:tcW w:w="6204" w:type="dxa"/>
          </w:tcPr>
          <w:p w14:paraId="755C3640" w14:textId="1BF87ADE" w:rsidR="00F175C9" w:rsidRPr="001917A3" w:rsidRDefault="00495AF5" w:rsidP="00E6377A">
            <w:pPr>
              <w:widowControl w:val="0"/>
              <w:suppressAutoHyphens/>
              <w:spacing w:after="120" w:line="480" w:lineRule="auto"/>
              <w:jc w:val="both"/>
              <w:rPr>
                <w:rFonts w:ascii="Arial" w:eastAsia="Times New Roman" w:hAnsi="Arial" w:cs="Arial"/>
                <w:b/>
                <w:sz w:val="24"/>
                <w:szCs w:val="20"/>
                <w:lang w:val="en-ZA"/>
              </w:rPr>
            </w:pPr>
            <w:r>
              <w:rPr>
                <w:rFonts w:ascii="Arial" w:eastAsia="Times New Roman" w:hAnsi="Arial" w:cs="Arial"/>
                <w:b/>
                <w:sz w:val="24"/>
                <w:szCs w:val="20"/>
              </w:rPr>
              <w:t xml:space="preserve"> </w:t>
            </w:r>
            <w:r w:rsidR="00F175C9">
              <w:rPr>
                <w:rFonts w:ascii="Arial" w:eastAsia="Times New Roman" w:hAnsi="Arial" w:cs="Arial"/>
                <w:b/>
                <w:sz w:val="24"/>
                <w:szCs w:val="20"/>
              </w:rPr>
              <w:t>COETZEE LAWRENCE OWEN</w:t>
            </w:r>
          </w:p>
        </w:tc>
        <w:tc>
          <w:tcPr>
            <w:tcW w:w="3435" w:type="dxa"/>
          </w:tcPr>
          <w:p w14:paraId="6D9A342D" w14:textId="4427C1B2" w:rsidR="00F175C9" w:rsidRPr="001917A3" w:rsidRDefault="00F175C9" w:rsidP="00E6377A">
            <w:pPr>
              <w:widowControl w:val="0"/>
              <w:suppressAutoHyphens/>
              <w:spacing w:after="0" w:line="360" w:lineRule="auto"/>
              <w:jc w:val="right"/>
              <w:rPr>
                <w:rFonts w:ascii="Arial" w:eastAsia="Times New Roman" w:hAnsi="Arial" w:cs="Arial"/>
                <w:sz w:val="24"/>
                <w:szCs w:val="20"/>
              </w:rPr>
            </w:pPr>
            <w:r w:rsidRPr="001917A3">
              <w:rPr>
                <w:rFonts w:ascii="Arial" w:eastAsia="Times New Roman" w:hAnsi="Arial" w:cs="Arial"/>
                <w:sz w:val="24"/>
                <w:szCs w:val="20"/>
              </w:rPr>
              <w:t xml:space="preserve">First </w:t>
            </w:r>
            <w:r w:rsidR="00495AF5">
              <w:rPr>
                <w:rFonts w:ascii="Arial" w:eastAsia="Times New Roman" w:hAnsi="Arial" w:cs="Arial"/>
                <w:sz w:val="24"/>
                <w:szCs w:val="20"/>
              </w:rPr>
              <w:t>Applican</w:t>
            </w:r>
            <w:r w:rsidRPr="001917A3">
              <w:rPr>
                <w:rFonts w:ascii="Arial" w:eastAsia="Times New Roman" w:hAnsi="Arial" w:cs="Arial"/>
                <w:sz w:val="24"/>
                <w:szCs w:val="20"/>
              </w:rPr>
              <w:t>t</w:t>
            </w:r>
          </w:p>
          <w:p w14:paraId="4FD09729" w14:textId="77777777" w:rsidR="00F175C9" w:rsidRPr="001917A3" w:rsidRDefault="00F175C9" w:rsidP="00E6377A">
            <w:pPr>
              <w:widowControl w:val="0"/>
              <w:suppressAutoHyphens/>
              <w:spacing w:after="0" w:line="360" w:lineRule="auto"/>
              <w:jc w:val="right"/>
              <w:rPr>
                <w:rFonts w:ascii="Arial" w:eastAsia="Times New Roman" w:hAnsi="Arial" w:cs="Arial"/>
                <w:i/>
                <w:iCs/>
                <w:sz w:val="24"/>
                <w:szCs w:val="20"/>
                <w:lang w:val="en-ZA"/>
              </w:rPr>
            </w:pPr>
          </w:p>
        </w:tc>
      </w:tr>
      <w:tr w:rsidR="00F175C9" w:rsidRPr="001917A3" w14:paraId="3DDF2B1A" w14:textId="77777777" w:rsidTr="00E6377A">
        <w:tc>
          <w:tcPr>
            <w:tcW w:w="6204" w:type="dxa"/>
          </w:tcPr>
          <w:p w14:paraId="170D4713" w14:textId="6EE6813A" w:rsidR="00F175C9" w:rsidRPr="001917A3" w:rsidRDefault="00495AF5" w:rsidP="00E6377A">
            <w:pPr>
              <w:widowControl w:val="0"/>
              <w:suppressAutoHyphens/>
              <w:spacing w:after="120" w:line="480" w:lineRule="auto"/>
              <w:jc w:val="both"/>
              <w:rPr>
                <w:rFonts w:ascii="Arial" w:eastAsia="Times New Roman" w:hAnsi="Arial" w:cs="Arial"/>
                <w:b/>
                <w:sz w:val="24"/>
                <w:szCs w:val="20"/>
              </w:rPr>
            </w:pPr>
            <w:bookmarkStart w:id="1" w:name="_Hlk69299431"/>
            <w:bookmarkEnd w:id="0"/>
            <w:r>
              <w:rPr>
                <w:rFonts w:ascii="Arial" w:eastAsia="Times New Roman" w:hAnsi="Arial" w:cs="Arial"/>
                <w:b/>
                <w:sz w:val="24"/>
                <w:szCs w:val="20"/>
              </w:rPr>
              <w:t xml:space="preserve"> </w:t>
            </w:r>
            <w:r w:rsidR="00F175C9">
              <w:rPr>
                <w:rFonts w:ascii="Arial" w:eastAsia="Times New Roman" w:hAnsi="Arial" w:cs="Arial"/>
                <w:b/>
                <w:sz w:val="24"/>
                <w:szCs w:val="20"/>
              </w:rPr>
              <w:t>COETZEE LYN OSWALD</w:t>
            </w:r>
          </w:p>
          <w:bookmarkEnd w:id="1"/>
          <w:p w14:paraId="736C5B6C" w14:textId="151F5AAE" w:rsidR="00F175C9" w:rsidRPr="001917A3" w:rsidRDefault="00495AF5" w:rsidP="00E6377A">
            <w:pPr>
              <w:widowControl w:val="0"/>
              <w:suppressAutoHyphens/>
              <w:spacing w:after="120" w:line="480" w:lineRule="auto"/>
              <w:jc w:val="both"/>
              <w:rPr>
                <w:rFonts w:ascii="Arial" w:eastAsia="Times New Roman" w:hAnsi="Arial" w:cs="Arial"/>
                <w:b/>
                <w:sz w:val="24"/>
                <w:szCs w:val="20"/>
              </w:rPr>
            </w:pPr>
            <w:r>
              <w:rPr>
                <w:rFonts w:ascii="Arial" w:eastAsia="Times New Roman" w:hAnsi="Arial" w:cs="Arial"/>
                <w:b/>
                <w:sz w:val="24"/>
                <w:szCs w:val="20"/>
              </w:rPr>
              <w:t xml:space="preserve"> </w:t>
            </w:r>
            <w:r w:rsidR="00F175C9">
              <w:rPr>
                <w:rFonts w:ascii="Arial" w:eastAsia="Times New Roman" w:hAnsi="Arial" w:cs="Arial"/>
                <w:b/>
                <w:sz w:val="24"/>
                <w:szCs w:val="20"/>
              </w:rPr>
              <w:t>COETZEE ANDRE LEANDER</w:t>
            </w:r>
          </w:p>
          <w:p w14:paraId="4C53D9E2" w14:textId="40F915B8" w:rsidR="00F175C9" w:rsidRPr="00495AF5" w:rsidRDefault="00F175C9" w:rsidP="00E6377A">
            <w:pPr>
              <w:widowControl w:val="0"/>
              <w:suppressAutoHyphens/>
              <w:spacing w:after="120" w:line="480" w:lineRule="auto"/>
              <w:jc w:val="both"/>
              <w:rPr>
                <w:rFonts w:ascii="Arial" w:eastAsia="Times New Roman" w:hAnsi="Arial" w:cs="Arial"/>
                <w:bCs/>
                <w:sz w:val="24"/>
                <w:szCs w:val="20"/>
              </w:rPr>
            </w:pPr>
            <w:r w:rsidRPr="001917A3">
              <w:rPr>
                <w:rFonts w:ascii="Arial" w:eastAsia="Times New Roman" w:hAnsi="Arial" w:cs="Arial"/>
                <w:b/>
                <w:sz w:val="24"/>
                <w:szCs w:val="20"/>
              </w:rPr>
              <w:t xml:space="preserve"> </w:t>
            </w:r>
            <w:r w:rsidRPr="00F175C9">
              <w:rPr>
                <w:rFonts w:ascii="Arial" w:eastAsia="Times New Roman" w:hAnsi="Arial" w:cs="Arial"/>
                <w:bCs/>
                <w:sz w:val="24"/>
                <w:szCs w:val="20"/>
              </w:rPr>
              <w:t>An</w:t>
            </w:r>
            <w:r w:rsidR="00495AF5">
              <w:rPr>
                <w:rFonts w:ascii="Arial" w:eastAsia="Times New Roman" w:hAnsi="Arial" w:cs="Arial"/>
                <w:bCs/>
                <w:sz w:val="24"/>
                <w:szCs w:val="20"/>
              </w:rPr>
              <w:t>d</w:t>
            </w:r>
            <w:r>
              <w:rPr>
                <w:rFonts w:ascii="Arial" w:eastAsia="Times New Roman" w:hAnsi="Arial" w:cs="Arial"/>
                <w:b/>
                <w:sz w:val="24"/>
                <w:szCs w:val="20"/>
              </w:rPr>
              <w:t xml:space="preserve">                 </w:t>
            </w:r>
            <w:r w:rsidR="00495AF5">
              <w:rPr>
                <w:rFonts w:ascii="Arial" w:eastAsia="Times New Roman" w:hAnsi="Arial" w:cs="Arial"/>
                <w:b/>
                <w:sz w:val="24"/>
                <w:szCs w:val="20"/>
              </w:rPr>
              <w:t xml:space="preserve">                 </w:t>
            </w:r>
            <w:r>
              <w:rPr>
                <w:rFonts w:ascii="Arial" w:eastAsia="Times New Roman" w:hAnsi="Arial" w:cs="Arial"/>
                <w:b/>
                <w:sz w:val="24"/>
                <w:szCs w:val="20"/>
              </w:rPr>
              <w:t xml:space="preserve">                                                                                  </w:t>
            </w:r>
          </w:p>
          <w:tbl>
            <w:tblPr>
              <w:tblW w:w="9639" w:type="dxa"/>
              <w:tblLayout w:type="fixed"/>
              <w:tblLook w:val="0000" w:firstRow="0" w:lastRow="0" w:firstColumn="0" w:lastColumn="0" w:noHBand="0" w:noVBand="0"/>
            </w:tblPr>
            <w:tblGrid>
              <w:gridCol w:w="6204"/>
              <w:gridCol w:w="3435"/>
            </w:tblGrid>
            <w:tr w:rsidR="00F175C9" w:rsidRPr="001917A3" w14:paraId="378205AF" w14:textId="77777777" w:rsidTr="00E6377A">
              <w:tc>
                <w:tcPr>
                  <w:tcW w:w="6204" w:type="dxa"/>
                </w:tcPr>
                <w:p w14:paraId="47DA9688" w14:textId="6140FC63" w:rsidR="00F175C9" w:rsidRPr="001917A3" w:rsidRDefault="00495AF5" w:rsidP="00F175C9">
                  <w:pPr>
                    <w:widowControl w:val="0"/>
                    <w:suppressAutoHyphens/>
                    <w:spacing w:after="120" w:line="480" w:lineRule="auto"/>
                    <w:jc w:val="both"/>
                    <w:rPr>
                      <w:rFonts w:ascii="Arial" w:eastAsia="Times New Roman" w:hAnsi="Arial" w:cs="Arial"/>
                      <w:b/>
                      <w:sz w:val="24"/>
                      <w:szCs w:val="20"/>
                      <w:lang w:val="en-ZA"/>
                    </w:rPr>
                  </w:pPr>
                  <w:r>
                    <w:rPr>
                      <w:rFonts w:ascii="Arial" w:eastAsia="Times New Roman" w:hAnsi="Arial" w:cs="Arial"/>
                      <w:b/>
                      <w:sz w:val="24"/>
                      <w:szCs w:val="20"/>
                      <w:lang w:val="en-ZA"/>
                    </w:rPr>
                    <w:t xml:space="preserve">                                                                             </w:t>
                  </w:r>
                  <w:r w:rsidR="00F175C9">
                    <w:rPr>
                      <w:rFonts w:ascii="Arial" w:eastAsia="Times New Roman" w:hAnsi="Arial" w:cs="Arial"/>
                      <w:b/>
                      <w:sz w:val="24"/>
                      <w:szCs w:val="20"/>
                      <w:lang w:val="en-ZA"/>
                    </w:rPr>
                    <w:t>NEDBANK LIMITED</w:t>
                  </w:r>
                </w:p>
              </w:tc>
              <w:tc>
                <w:tcPr>
                  <w:tcW w:w="3435" w:type="dxa"/>
                </w:tcPr>
                <w:p w14:paraId="27CDBAAC" w14:textId="77777777" w:rsidR="00F175C9" w:rsidRPr="001917A3" w:rsidRDefault="00F175C9" w:rsidP="00F175C9">
                  <w:pPr>
                    <w:widowControl w:val="0"/>
                    <w:suppressAutoHyphens/>
                    <w:spacing w:after="0" w:line="360" w:lineRule="auto"/>
                    <w:jc w:val="right"/>
                    <w:rPr>
                      <w:rFonts w:ascii="Arial" w:eastAsia="Times New Roman" w:hAnsi="Arial" w:cs="Arial"/>
                      <w:sz w:val="24"/>
                      <w:szCs w:val="20"/>
                    </w:rPr>
                  </w:pPr>
                  <w:r w:rsidRPr="001917A3">
                    <w:rPr>
                      <w:rFonts w:ascii="Arial" w:eastAsia="Times New Roman" w:hAnsi="Arial" w:cs="Arial"/>
                      <w:sz w:val="24"/>
                      <w:szCs w:val="20"/>
                    </w:rPr>
                    <w:t xml:space="preserve"> </w:t>
                  </w:r>
                  <w:r>
                    <w:rPr>
                      <w:rFonts w:ascii="Arial" w:eastAsia="Times New Roman" w:hAnsi="Arial" w:cs="Arial"/>
                      <w:sz w:val="24"/>
                      <w:szCs w:val="20"/>
                    </w:rPr>
                    <w:t>Respondent</w:t>
                  </w:r>
                </w:p>
                <w:p w14:paraId="1A7F151B" w14:textId="77777777" w:rsidR="00F175C9" w:rsidRPr="001917A3" w:rsidRDefault="00F175C9" w:rsidP="00F175C9">
                  <w:pPr>
                    <w:widowControl w:val="0"/>
                    <w:suppressAutoHyphens/>
                    <w:spacing w:after="0" w:line="360" w:lineRule="auto"/>
                    <w:jc w:val="right"/>
                    <w:rPr>
                      <w:rFonts w:ascii="Arial" w:eastAsia="Times New Roman" w:hAnsi="Arial" w:cs="Arial"/>
                      <w:sz w:val="24"/>
                      <w:szCs w:val="20"/>
                    </w:rPr>
                  </w:pPr>
                </w:p>
                <w:p w14:paraId="18595E44" w14:textId="77777777" w:rsidR="00F175C9" w:rsidRPr="001917A3" w:rsidRDefault="00F175C9" w:rsidP="00F175C9">
                  <w:pPr>
                    <w:widowControl w:val="0"/>
                    <w:suppressAutoHyphens/>
                    <w:spacing w:after="0" w:line="360" w:lineRule="auto"/>
                    <w:jc w:val="right"/>
                    <w:rPr>
                      <w:rFonts w:ascii="Arial" w:eastAsia="Times New Roman" w:hAnsi="Arial" w:cs="Arial"/>
                      <w:sz w:val="24"/>
                      <w:szCs w:val="20"/>
                      <w:lang w:val="en-ZA"/>
                    </w:rPr>
                  </w:pPr>
                </w:p>
              </w:tc>
            </w:tr>
          </w:tbl>
          <w:p w14:paraId="1EFC2EEE" w14:textId="7951A5D5" w:rsidR="00F175C9" w:rsidRPr="001917A3" w:rsidRDefault="00F175C9" w:rsidP="00E6377A">
            <w:pPr>
              <w:widowControl w:val="0"/>
              <w:suppressAutoHyphens/>
              <w:spacing w:after="120" w:line="480" w:lineRule="auto"/>
              <w:jc w:val="both"/>
              <w:rPr>
                <w:rFonts w:ascii="Arial" w:eastAsia="Times New Roman" w:hAnsi="Arial" w:cs="Arial"/>
                <w:b/>
                <w:sz w:val="24"/>
                <w:szCs w:val="20"/>
              </w:rPr>
            </w:pPr>
            <w:r w:rsidRPr="001917A3">
              <w:rPr>
                <w:rFonts w:ascii="Arial" w:eastAsia="Times New Roman" w:hAnsi="Arial" w:cs="Arial"/>
                <w:b/>
                <w:sz w:val="24"/>
                <w:szCs w:val="20"/>
              </w:rPr>
              <w:t xml:space="preserve">                                                      </w:t>
            </w:r>
          </w:p>
          <w:p w14:paraId="4BA11B21" w14:textId="3477CD37" w:rsidR="00F175C9" w:rsidRPr="001917A3" w:rsidRDefault="00F175C9" w:rsidP="00C11B75">
            <w:pPr>
              <w:spacing w:after="200" w:line="480" w:lineRule="auto"/>
              <w:rPr>
                <w:rFonts w:ascii="Arial" w:eastAsia="Times New Roman" w:hAnsi="Arial" w:cs="Arial"/>
                <w:b/>
                <w:sz w:val="24"/>
                <w:szCs w:val="20"/>
              </w:rPr>
            </w:pPr>
          </w:p>
        </w:tc>
        <w:tc>
          <w:tcPr>
            <w:tcW w:w="3435" w:type="dxa"/>
          </w:tcPr>
          <w:p w14:paraId="7E9AA371" w14:textId="35934651" w:rsidR="00F175C9" w:rsidRPr="001917A3" w:rsidRDefault="00F175C9" w:rsidP="00E6377A">
            <w:pPr>
              <w:widowControl w:val="0"/>
              <w:suppressAutoHyphens/>
              <w:spacing w:after="0" w:line="360" w:lineRule="auto"/>
              <w:jc w:val="right"/>
              <w:rPr>
                <w:rFonts w:ascii="Arial" w:eastAsia="Times New Roman" w:hAnsi="Arial" w:cs="Arial"/>
                <w:sz w:val="24"/>
                <w:szCs w:val="20"/>
              </w:rPr>
            </w:pPr>
            <w:r w:rsidRPr="001917A3">
              <w:rPr>
                <w:rFonts w:ascii="Arial" w:eastAsia="Times New Roman" w:hAnsi="Arial" w:cs="Arial"/>
                <w:sz w:val="24"/>
                <w:szCs w:val="20"/>
              </w:rPr>
              <w:t>Second</w:t>
            </w:r>
            <w:r w:rsidR="00495AF5">
              <w:rPr>
                <w:rFonts w:ascii="Arial" w:eastAsia="Times New Roman" w:hAnsi="Arial" w:cs="Arial"/>
                <w:sz w:val="24"/>
                <w:szCs w:val="20"/>
              </w:rPr>
              <w:t xml:space="preserve"> Applica</w:t>
            </w:r>
            <w:r w:rsidRPr="001917A3">
              <w:rPr>
                <w:rFonts w:ascii="Arial" w:eastAsia="Times New Roman" w:hAnsi="Arial" w:cs="Arial"/>
                <w:sz w:val="24"/>
                <w:szCs w:val="20"/>
              </w:rPr>
              <w:t xml:space="preserve">nt </w:t>
            </w:r>
          </w:p>
          <w:p w14:paraId="0D7D19D2" w14:textId="77777777" w:rsidR="00F175C9" w:rsidRPr="001917A3" w:rsidRDefault="00F175C9" w:rsidP="00E6377A">
            <w:pPr>
              <w:widowControl w:val="0"/>
              <w:suppressAutoHyphens/>
              <w:spacing w:after="0" w:line="360" w:lineRule="auto"/>
              <w:jc w:val="right"/>
              <w:rPr>
                <w:rFonts w:ascii="Arial" w:eastAsia="Times New Roman" w:hAnsi="Arial" w:cs="Arial"/>
                <w:sz w:val="24"/>
                <w:szCs w:val="20"/>
              </w:rPr>
            </w:pPr>
          </w:p>
          <w:p w14:paraId="135432D5" w14:textId="4F31D360" w:rsidR="00F175C9" w:rsidRDefault="00F175C9" w:rsidP="00E6377A">
            <w:pPr>
              <w:widowControl w:val="0"/>
              <w:suppressAutoHyphens/>
              <w:spacing w:after="0" w:line="480" w:lineRule="auto"/>
              <w:jc w:val="right"/>
              <w:rPr>
                <w:rFonts w:ascii="Arial" w:eastAsia="Times New Roman" w:hAnsi="Arial" w:cs="Arial"/>
                <w:sz w:val="24"/>
                <w:szCs w:val="20"/>
              </w:rPr>
            </w:pPr>
            <w:r w:rsidRPr="001917A3">
              <w:rPr>
                <w:rFonts w:ascii="Arial" w:eastAsia="Times New Roman" w:hAnsi="Arial" w:cs="Arial"/>
                <w:sz w:val="24"/>
                <w:szCs w:val="20"/>
              </w:rPr>
              <w:t>Third</w:t>
            </w:r>
            <w:r w:rsidR="00495AF5">
              <w:rPr>
                <w:rFonts w:ascii="Arial" w:eastAsia="Times New Roman" w:hAnsi="Arial" w:cs="Arial"/>
                <w:sz w:val="24"/>
                <w:szCs w:val="20"/>
              </w:rPr>
              <w:t xml:space="preserve"> Applicant</w:t>
            </w:r>
            <w:r w:rsidRPr="001917A3">
              <w:rPr>
                <w:rFonts w:ascii="Arial" w:eastAsia="Times New Roman" w:hAnsi="Arial" w:cs="Arial"/>
                <w:sz w:val="24"/>
                <w:szCs w:val="20"/>
              </w:rPr>
              <w:t xml:space="preserve"> </w:t>
            </w:r>
          </w:p>
          <w:p w14:paraId="679EB09C" w14:textId="77777777" w:rsidR="00F175C9" w:rsidRDefault="00F175C9" w:rsidP="00E6377A">
            <w:pPr>
              <w:widowControl w:val="0"/>
              <w:suppressAutoHyphens/>
              <w:spacing w:after="0" w:line="480" w:lineRule="auto"/>
              <w:jc w:val="right"/>
              <w:rPr>
                <w:rFonts w:ascii="Arial" w:eastAsia="Times New Roman" w:hAnsi="Arial" w:cs="Arial"/>
                <w:sz w:val="24"/>
                <w:szCs w:val="20"/>
              </w:rPr>
            </w:pPr>
          </w:p>
          <w:p w14:paraId="2F7886B5" w14:textId="77777777" w:rsidR="00F175C9" w:rsidRDefault="00F175C9" w:rsidP="00E6377A">
            <w:pPr>
              <w:widowControl w:val="0"/>
              <w:suppressAutoHyphens/>
              <w:spacing w:after="0" w:line="480" w:lineRule="auto"/>
              <w:jc w:val="right"/>
              <w:rPr>
                <w:rFonts w:ascii="Arial" w:eastAsia="Times New Roman" w:hAnsi="Arial" w:cs="Arial"/>
                <w:sz w:val="24"/>
                <w:szCs w:val="20"/>
              </w:rPr>
            </w:pPr>
          </w:p>
          <w:p w14:paraId="202EC8EF" w14:textId="4F51F87D" w:rsidR="00F175C9" w:rsidRPr="001917A3" w:rsidRDefault="00495AF5" w:rsidP="00495AF5">
            <w:pPr>
              <w:widowControl w:val="0"/>
              <w:suppressAutoHyphens/>
              <w:spacing w:after="0" w:line="480" w:lineRule="auto"/>
              <w:rPr>
                <w:rFonts w:ascii="Arial" w:eastAsia="Times New Roman" w:hAnsi="Arial" w:cs="Arial"/>
                <w:sz w:val="24"/>
                <w:szCs w:val="20"/>
              </w:rPr>
            </w:pPr>
            <w:r>
              <w:rPr>
                <w:rFonts w:ascii="Arial" w:eastAsia="Times New Roman" w:hAnsi="Arial" w:cs="Arial"/>
                <w:sz w:val="24"/>
                <w:szCs w:val="20"/>
              </w:rPr>
              <w:t xml:space="preserve">         </w:t>
            </w:r>
            <w:bookmarkStart w:id="2" w:name="_GoBack"/>
            <w:bookmarkEnd w:id="2"/>
            <w:r>
              <w:rPr>
                <w:rFonts w:ascii="Arial" w:eastAsia="Times New Roman" w:hAnsi="Arial" w:cs="Arial"/>
                <w:sz w:val="24"/>
                <w:szCs w:val="20"/>
              </w:rPr>
              <w:t xml:space="preserve">                   Respondent</w:t>
            </w:r>
          </w:p>
        </w:tc>
      </w:tr>
    </w:tbl>
    <w:p w14:paraId="1BB307D0" w14:textId="76E8A956" w:rsidR="00C11B75" w:rsidRDefault="00C11B75" w:rsidP="00C11B75">
      <w:pPr>
        <w:spacing w:after="200" w:line="480" w:lineRule="auto"/>
        <w:rPr>
          <w:rFonts w:ascii="Arial" w:hAnsi="Arial" w:cs="Arial"/>
          <w:bCs/>
          <w:sz w:val="24"/>
          <w:szCs w:val="24"/>
        </w:rPr>
      </w:pPr>
      <w:r w:rsidRPr="007064F4">
        <w:rPr>
          <w:rFonts w:ascii="Arial" w:hAnsi="Arial" w:cs="Arial"/>
          <w:b/>
          <w:sz w:val="24"/>
          <w:szCs w:val="24"/>
        </w:rPr>
        <w:lastRenderedPageBreak/>
        <w:t>Neutral Citation</w:t>
      </w:r>
      <w:r w:rsidRPr="005F2B01">
        <w:rPr>
          <w:rFonts w:ascii="Arial" w:hAnsi="Arial" w:cs="Arial"/>
          <w:bCs/>
          <w:sz w:val="24"/>
          <w:szCs w:val="24"/>
        </w:rPr>
        <w:t xml:space="preserve">: </w:t>
      </w:r>
      <w:r>
        <w:rPr>
          <w:rFonts w:ascii="Arial" w:hAnsi="Arial" w:cs="Arial"/>
          <w:bCs/>
          <w:i/>
          <w:iCs/>
          <w:sz w:val="24"/>
          <w:szCs w:val="24"/>
        </w:rPr>
        <w:t xml:space="preserve">Coetzee Lawrence Owen and Others (Pty) Ltd </w:t>
      </w:r>
      <w:r w:rsidRPr="00295E92">
        <w:rPr>
          <w:rFonts w:ascii="Arial" w:hAnsi="Arial" w:cs="Arial"/>
          <w:bCs/>
          <w:i/>
          <w:iCs/>
          <w:sz w:val="24"/>
          <w:szCs w:val="24"/>
        </w:rPr>
        <w:t xml:space="preserve">v </w:t>
      </w:r>
      <w:r>
        <w:rPr>
          <w:rFonts w:ascii="Arial" w:hAnsi="Arial" w:cs="Arial"/>
          <w:bCs/>
          <w:i/>
          <w:iCs/>
          <w:sz w:val="24"/>
          <w:szCs w:val="24"/>
        </w:rPr>
        <w:t>Nedbank Limited</w:t>
      </w:r>
      <w:r w:rsidRPr="00295E92">
        <w:rPr>
          <w:rFonts w:ascii="Arial" w:hAnsi="Arial" w:cs="Arial"/>
          <w:bCs/>
          <w:i/>
          <w:iCs/>
          <w:sz w:val="24"/>
          <w:szCs w:val="24"/>
        </w:rPr>
        <w:t xml:space="preserve"> </w:t>
      </w:r>
      <w:r w:rsidRPr="00295E92">
        <w:rPr>
          <w:rFonts w:ascii="Arial" w:hAnsi="Arial" w:cs="Arial"/>
          <w:bCs/>
          <w:sz w:val="24"/>
          <w:szCs w:val="24"/>
        </w:rPr>
        <w:t>(Case No:</w:t>
      </w:r>
      <w:r w:rsidR="00DF54D0" w:rsidRPr="00DF54D0">
        <w:rPr>
          <w:rFonts w:ascii="Arial" w:eastAsia="Times New Roman" w:hAnsi="Arial" w:cs="Times New Roman"/>
          <w:sz w:val="24"/>
          <w:szCs w:val="20"/>
          <w:lang w:val="en-ZA"/>
        </w:rPr>
        <w:t xml:space="preserve"> </w:t>
      </w:r>
      <w:r w:rsidR="005151BB">
        <w:rPr>
          <w:rFonts w:ascii="Arial" w:eastAsia="Times New Roman" w:hAnsi="Arial" w:cs="Times New Roman"/>
          <w:sz w:val="24"/>
          <w:szCs w:val="20"/>
          <w:lang w:val="en-ZA"/>
        </w:rPr>
        <w:t>36425/2021</w:t>
      </w:r>
      <w:r w:rsidRPr="00295E92">
        <w:rPr>
          <w:rFonts w:ascii="Arial" w:hAnsi="Arial" w:cs="Arial"/>
          <w:bCs/>
          <w:sz w:val="24"/>
          <w:szCs w:val="24"/>
        </w:rPr>
        <w:t>) [2023] ZAGPJHC</w:t>
      </w:r>
      <w:r w:rsidR="00A06F0C">
        <w:rPr>
          <w:rFonts w:ascii="Arial" w:hAnsi="Arial" w:cs="Arial"/>
          <w:bCs/>
          <w:sz w:val="24"/>
          <w:szCs w:val="24"/>
        </w:rPr>
        <w:t xml:space="preserve"> 565</w:t>
      </w:r>
      <w:r>
        <w:rPr>
          <w:rFonts w:ascii="Arial" w:hAnsi="Arial" w:cs="Arial"/>
          <w:bCs/>
          <w:sz w:val="24"/>
          <w:szCs w:val="24"/>
        </w:rPr>
        <w:t xml:space="preserve"> </w:t>
      </w:r>
      <w:r w:rsidRPr="00295E92">
        <w:rPr>
          <w:rFonts w:ascii="Arial" w:hAnsi="Arial" w:cs="Arial"/>
          <w:bCs/>
          <w:sz w:val="24"/>
          <w:szCs w:val="24"/>
        </w:rPr>
        <w:t xml:space="preserve"> (</w:t>
      </w:r>
      <w:r>
        <w:rPr>
          <w:rFonts w:ascii="Arial" w:hAnsi="Arial" w:cs="Arial"/>
          <w:bCs/>
          <w:sz w:val="24"/>
          <w:szCs w:val="24"/>
        </w:rPr>
        <w:t>2</w:t>
      </w:r>
      <w:r w:rsidR="00B2195C">
        <w:rPr>
          <w:rFonts w:ascii="Arial" w:hAnsi="Arial" w:cs="Arial"/>
          <w:bCs/>
          <w:sz w:val="24"/>
          <w:szCs w:val="24"/>
        </w:rPr>
        <w:t>5</w:t>
      </w:r>
      <w:r w:rsidRPr="00295E92">
        <w:rPr>
          <w:rFonts w:ascii="Arial" w:hAnsi="Arial" w:cs="Arial"/>
          <w:bCs/>
          <w:sz w:val="24"/>
          <w:szCs w:val="24"/>
        </w:rPr>
        <w:t>May 2023)</w:t>
      </w:r>
      <w:r>
        <w:rPr>
          <w:rFonts w:ascii="Arial" w:hAnsi="Arial" w:cs="Arial"/>
          <w:bCs/>
          <w:sz w:val="24"/>
          <w:szCs w:val="24"/>
        </w:rPr>
        <w:t>.</w:t>
      </w:r>
    </w:p>
    <w:p w14:paraId="084C853E" w14:textId="77777777" w:rsidR="00C11B75" w:rsidRDefault="00C11B75" w:rsidP="00C11B75">
      <w:pPr>
        <w:spacing w:after="200" w:line="480" w:lineRule="auto"/>
        <w:rPr>
          <w:rFonts w:ascii="Arial" w:hAnsi="Arial" w:cs="Arial"/>
          <w:bCs/>
          <w:sz w:val="24"/>
          <w:szCs w:val="24"/>
        </w:rPr>
      </w:pPr>
    </w:p>
    <w:p w14:paraId="183F6FE0" w14:textId="77777777" w:rsidR="00C11B75" w:rsidRPr="00C11B75" w:rsidRDefault="00C11B75" w:rsidP="00C11B75">
      <w:pPr>
        <w:spacing w:after="200" w:line="276" w:lineRule="auto"/>
        <w:rPr>
          <w:rFonts w:ascii="Arial" w:eastAsia="Arial Unicode MS" w:hAnsi="Arial" w:cs="Arial"/>
          <w:bCs/>
          <w:i/>
          <w:sz w:val="24"/>
          <w:szCs w:val="24"/>
          <w:lang w:val="en-GB" w:eastAsia="zh-CN"/>
        </w:rPr>
      </w:pPr>
      <w:r w:rsidRPr="00C11B75">
        <w:rPr>
          <w:rFonts w:ascii="Arial" w:eastAsia="Arial Unicode MS" w:hAnsi="Arial" w:cs="Arial"/>
          <w:b/>
          <w:bCs/>
          <w:i/>
          <w:sz w:val="24"/>
          <w:szCs w:val="24"/>
          <w:u w:val="single"/>
          <w:lang w:val="en-GB" w:eastAsia="zh-CN"/>
        </w:rPr>
        <w:t>Delivered:</w:t>
      </w:r>
      <w:r w:rsidRPr="00C11B75">
        <w:rPr>
          <w:rFonts w:ascii="Arial" w:eastAsia="Arial Unicode MS" w:hAnsi="Arial" w:cs="Arial"/>
          <w:bCs/>
          <w:i/>
          <w:sz w:val="24"/>
          <w:szCs w:val="24"/>
          <w:lang w:val="en-GB" w:eastAsia="zh-CN"/>
        </w:rPr>
        <w:t xml:space="preserve"> By transmission to the parties via email and uploading onto Case Lines</w:t>
      </w:r>
    </w:p>
    <w:p w14:paraId="09371379" w14:textId="20F2C953" w:rsidR="00C11B75" w:rsidRPr="00C11B75" w:rsidRDefault="00C11B75" w:rsidP="00C11B75">
      <w:pPr>
        <w:spacing w:after="200" w:line="276" w:lineRule="auto"/>
        <w:rPr>
          <w:rFonts w:ascii="Arial" w:eastAsia="Arial Unicode MS" w:hAnsi="Arial" w:cs="Arial"/>
          <w:bCs/>
          <w:i/>
          <w:sz w:val="24"/>
          <w:szCs w:val="24"/>
          <w:lang w:val="en-GB" w:eastAsia="zh-CN"/>
        </w:rPr>
      </w:pPr>
      <w:r w:rsidRPr="00C11B75">
        <w:rPr>
          <w:rFonts w:ascii="Arial" w:eastAsia="Arial Unicode MS" w:hAnsi="Arial" w:cs="Arial"/>
          <w:bCs/>
          <w:i/>
          <w:sz w:val="24"/>
          <w:szCs w:val="24"/>
          <w:lang w:val="en-GB" w:eastAsia="zh-CN"/>
        </w:rPr>
        <w:t xml:space="preserve">the Judgment is deemed to be delivered. </w:t>
      </w:r>
    </w:p>
    <w:p w14:paraId="6C6CFEA8" w14:textId="77777777" w:rsidR="00F175C9" w:rsidRPr="001917A3" w:rsidRDefault="00F175C9" w:rsidP="00F175C9">
      <w:pPr>
        <w:tabs>
          <w:tab w:val="right" w:pos="9072"/>
        </w:tabs>
        <w:suppressAutoHyphens/>
        <w:spacing w:after="0" w:line="240" w:lineRule="auto"/>
        <w:jc w:val="both"/>
        <w:rPr>
          <w:rFonts w:ascii="Arial" w:eastAsia="Times New Roman" w:hAnsi="Arial" w:cs="Times New Roman"/>
          <w:sz w:val="24"/>
          <w:szCs w:val="20"/>
          <w:lang w:val="en-ZA"/>
        </w:rPr>
      </w:pPr>
    </w:p>
    <w:p w14:paraId="2C7255CA" w14:textId="77777777" w:rsidR="00F175C9" w:rsidRDefault="00F175C9" w:rsidP="00F175C9">
      <w:pPr>
        <w:pBdr>
          <w:top w:val="single" w:sz="36" w:space="1" w:color="auto"/>
          <w:bottom w:val="single" w:sz="36" w:space="1" w:color="auto"/>
        </w:pBdr>
        <w:suppressAutoHyphens/>
        <w:spacing w:before="360" w:after="120" w:line="480" w:lineRule="auto"/>
        <w:jc w:val="center"/>
        <w:rPr>
          <w:rFonts w:ascii="Arial" w:eastAsia="Arial Unicode MS" w:hAnsi="Arial" w:cs="Arial"/>
          <w:b/>
          <w:sz w:val="24"/>
          <w:szCs w:val="24"/>
          <w:lang w:val="en-ZA"/>
        </w:rPr>
      </w:pPr>
      <w:r w:rsidRPr="001917A3">
        <w:rPr>
          <w:rFonts w:ascii="Arial" w:eastAsia="Arial Unicode MS" w:hAnsi="Arial" w:cs="Arial"/>
          <w:b/>
          <w:sz w:val="24"/>
          <w:szCs w:val="24"/>
          <w:lang w:val="en-ZA"/>
        </w:rPr>
        <w:t>JUDGMENT</w:t>
      </w:r>
    </w:p>
    <w:p w14:paraId="30F3EA78" w14:textId="3DB409BD" w:rsidR="00495AF5" w:rsidRPr="00495AF5" w:rsidRDefault="00495AF5" w:rsidP="00F175C9">
      <w:pPr>
        <w:pBdr>
          <w:top w:val="single" w:sz="36" w:space="1" w:color="auto"/>
          <w:bottom w:val="single" w:sz="36" w:space="1" w:color="auto"/>
        </w:pBdr>
        <w:suppressAutoHyphens/>
        <w:spacing w:before="360" w:after="120" w:line="480" w:lineRule="auto"/>
        <w:jc w:val="center"/>
        <w:rPr>
          <w:rFonts w:ascii="Arial" w:eastAsia="Arial Unicode MS" w:hAnsi="Arial" w:cs="Arial"/>
          <w:b/>
          <w:i/>
          <w:iCs/>
          <w:sz w:val="24"/>
          <w:szCs w:val="24"/>
          <w:lang w:val="en-ZA"/>
        </w:rPr>
      </w:pPr>
      <w:r>
        <w:rPr>
          <w:rFonts w:ascii="Arial" w:eastAsia="Arial Unicode MS" w:hAnsi="Arial" w:cs="Arial"/>
          <w:b/>
          <w:i/>
          <w:iCs/>
          <w:sz w:val="24"/>
          <w:szCs w:val="24"/>
          <w:lang w:val="en-ZA"/>
        </w:rPr>
        <w:t>(</w:t>
      </w:r>
      <w:r w:rsidRPr="00495AF5">
        <w:rPr>
          <w:rFonts w:ascii="Arial" w:eastAsia="Arial Unicode MS" w:hAnsi="Arial" w:cs="Arial"/>
          <w:b/>
          <w:i/>
          <w:iCs/>
          <w:sz w:val="24"/>
          <w:szCs w:val="24"/>
          <w:lang w:val="en-ZA"/>
        </w:rPr>
        <w:t>Leave to Appeal Application</w:t>
      </w:r>
      <w:r>
        <w:rPr>
          <w:rFonts w:ascii="Arial" w:eastAsia="Arial Unicode MS" w:hAnsi="Arial" w:cs="Arial"/>
          <w:b/>
          <w:i/>
          <w:iCs/>
          <w:sz w:val="24"/>
          <w:szCs w:val="24"/>
          <w:lang w:val="en-ZA"/>
        </w:rPr>
        <w:t>)</w:t>
      </w:r>
    </w:p>
    <w:p w14:paraId="3951E972" w14:textId="77777777" w:rsidR="00F175C9" w:rsidRPr="001917A3" w:rsidRDefault="00F175C9" w:rsidP="00F175C9">
      <w:pPr>
        <w:tabs>
          <w:tab w:val="right" w:pos="9072"/>
        </w:tabs>
        <w:suppressAutoHyphens/>
        <w:spacing w:after="0" w:line="240" w:lineRule="auto"/>
        <w:jc w:val="both"/>
        <w:rPr>
          <w:rFonts w:ascii="Arial" w:eastAsia="Times New Roman" w:hAnsi="Arial" w:cs="Times New Roman"/>
          <w:sz w:val="24"/>
          <w:szCs w:val="20"/>
          <w:lang w:val="en-ZA"/>
        </w:rPr>
      </w:pPr>
    </w:p>
    <w:p w14:paraId="515647C1" w14:textId="3EE67924" w:rsidR="00495AF5" w:rsidRPr="00495AF5" w:rsidRDefault="00F175C9" w:rsidP="00495AF5">
      <w:pPr>
        <w:suppressAutoHyphens/>
        <w:spacing w:before="320" w:after="320" w:line="480" w:lineRule="auto"/>
        <w:ind w:left="567" w:hanging="567"/>
        <w:jc w:val="both"/>
        <w:outlineLvl w:val="0"/>
        <w:rPr>
          <w:rFonts w:ascii="Arial" w:eastAsia="Times New Roman" w:hAnsi="Arial" w:cs="Times New Roman"/>
          <w:b/>
          <w:bCs/>
          <w:sz w:val="24"/>
          <w:szCs w:val="20"/>
          <w:u w:val="single"/>
          <w:lang w:val="en-ZA"/>
        </w:rPr>
      </w:pPr>
      <w:r w:rsidRPr="001917A3">
        <w:rPr>
          <w:rFonts w:ascii="Arial" w:eastAsia="Times New Roman" w:hAnsi="Arial" w:cs="Times New Roman"/>
          <w:b/>
          <w:bCs/>
          <w:sz w:val="24"/>
          <w:szCs w:val="20"/>
          <w:u w:val="single"/>
          <w:lang w:val="en-ZA"/>
        </w:rPr>
        <w:t>SENYATSI J:</w:t>
      </w:r>
    </w:p>
    <w:p w14:paraId="645B0E48" w14:textId="2210A54B" w:rsidR="00495AF5" w:rsidRPr="001A1298" w:rsidRDefault="00495AF5" w:rsidP="001A1298">
      <w:pPr>
        <w:spacing w:line="480" w:lineRule="auto"/>
        <w:ind w:left="567" w:hanging="567"/>
        <w:jc w:val="both"/>
        <w:rPr>
          <w:rFonts w:ascii="Arial" w:eastAsia="Calibri" w:hAnsi="Arial" w:cs="Arial"/>
          <w:sz w:val="24"/>
          <w:szCs w:val="24"/>
          <w:lang w:val="en-GB"/>
        </w:rPr>
      </w:pPr>
      <w:r w:rsidRPr="001A1298">
        <w:rPr>
          <w:rFonts w:ascii="Calibri" w:eastAsia="Calibri" w:hAnsi="Calibri" w:cs="Times New Roman"/>
          <w:sz w:val="24"/>
          <w:szCs w:val="24"/>
          <w:lang w:val="en-GB"/>
        </w:rPr>
        <w:t>[1</w:t>
      </w:r>
      <w:r w:rsidR="00C11B75" w:rsidRPr="001A1298">
        <w:rPr>
          <w:rFonts w:ascii="Calibri" w:eastAsia="Calibri" w:hAnsi="Calibri" w:cs="Times New Roman"/>
          <w:sz w:val="24"/>
          <w:szCs w:val="24"/>
          <w:lang w:val="en-GB"/>
        </w:rPr>
        <w:t>]</w:t>
      </w:r>
      <w:r w:rsidR="00C11B75" w:rsidRPr="001A1298">
        <w:rPr>
          <w:rFonts w:ascii="Calibri" w:eastAsia="Calibri" w:hAnsi="Calibri" w:cs="Times New Roman"/>
          <w:sz w:val="24"/>
          <w:szCs w:val="24"/>
          <w:lang w:val="en-GB"/>
        </w:rPr>
        <w:tab/>
      </w:r>
      <w:r w:rsidRPr="001A1298">
        <w:rPr>
          <w:rFonts w:ascii="Arial" w:eastAsia="Calibri" w:hAnsi="Arial" w:cs="Arial"/>
          <w:sz w:val="24"/>
          <w:szCs w:val="24"/>
          <w:lang w:val="en-GB"/>
        </w:rPr>
        <w:t>This is an application for leave to appeal the money judgment granted in favour of the respondent, Nedbank, on the 24</w:t>
      </w:r>
      <w:r w:rsidR="00C11B75" w:rsidRPr="001A1298">
        <w:rPr>
          <w:rFonts w:ascii="Arial" w:eastAsia="Calibri" w:hAnsi="Arial" w:cs="Arial"/>
          <w:sz w:val="24"/>
          <w:szCs w:val="24"/>
          <w:vertAlign w:val="superscript"/>
          <w:lang w:val="en-GB"/>
        </w:rPr>
        <w:t>th</w:t>
      </w:r>
      <w:r w:rsidR="00C11B75" w:rsidRPr="001A1298">
        <w:rPr>
          <w:rFonts w:ascii="Arial" w:eastAsia="Calibri" w:hAnsi="Arial" w:cs="Arial"/>
          <w:sz w:val="24"/>
          <w:szCs w:val="24"/>
          <w:lang w:val="en-GB"/>
        </w:rPr>
        <w:t xml:space="preserve"> of</w:t>
      </w:r>
      <w:r w:rsidRPr="001A1298">
        <w:rPr>
          <w:rFonts w:ascii="Arial" w:eastAsia="Calibri" w:hAnsi="Arial" w:cs="Arial"/>
          <w:sz w:val="24"/>
          <w:szCs w:val="24"/>
          <w:lang w:val="en-GB"/>
        </w:rPr>
        <w:t xml:space="preserve"> January 2023 wherein the court held that the respondent had successfully proved its case.</w:t>
      </w:r>
    </w:p>
    <w:p w14:paraId="143FBB92" w14:textId="194F1E11" w:rsidR="00495AF5" w:rsidRPr="001A1298" w:rsidRDefault="00495AF5" w:rsidP="001A1298">
      <w:pPr>
        <w:spacing w:line="480" w:lineRule="auto"/>
        <w:ind w:left="567" w:hanging="567"/>
        <w:jc w:val="both"/>
        <w:rPr>
          <w:rFonts w:ascii="Arial" w:eastAsia="Calibri" w:hAnsi="Arial" w:cs="Arial"/>
          <w:sz w:val="24"/>
          <w:szCs w:val="24"/>
          <w:lang w:val="en-GB"/>
        </w:rPr>
      </w:pPr>
      <w:r w:rsidRPr="001A1298">
        <w:rPr>
          <w:rFonts w:ascii="Arial" w:eastAsia="Calibri" w:hAnsi="Arial" w:cs="Arial"/>
          <w:sz w:val="24"/>
          <w:szCs w:val="24"/>
          <w:lang w:val="en-GB"/>
        </w:rPr>
        <w:t>[2]</w:t>
      </w:r>
      <w:r w:rsidR="00C11B75" w:rsidRPr="001A1298">
        <w:rPr>
          <w:rFonts w:ascii="Arial" w:eastAsia="Calibri" w:hAnsi="Arial" w:cs="Arial"/>
          <w:sz w:val="24"/>
          <w:szCs w:val="24"/>
          <w:lang w:val="en-GB"/>
        </w:rPr>
        <w:tab/>
      </w:r>
      <w:r w:rsidRPr="001A1298">
        <w:rPr>
          <w:rFonts w:ascii="Arial" w:eastAsia="Calibri" w:hAnsi="Arial" w:cs="Arial"/>
          <w:sz w:val="24"/>
          <w:szCs w:val="24"/>
          <w:lang w:val="en-GB"/>
        </w:rPr>
        <w:t xml:space="preserve">The applicants raised several grounds </w:t>
      </w:r>
      <w:r w:rsidR="00C11B75" w:rsidRPr="001A1298">
        <w:rPr>
          <w:rFonts w:ascii="Arial" w:eastAsia="Calibri" w:hAnsi="Arial" w:cs="Arial"/>
          <w:sz w:val="24"/>
          <w:szCs w:val="24"/>
          <w:lang w:val="en-GB"/>
        </w:rPr>
        <w:t>in support of appealing the</w:t>
      </w:r>
      <w:r w:rsidRPr="001A1298">
        <w:rPr>
          <w:rFonts w:ascii="Arial" w:eastAsia="Calibri" w:hAnsi="Arial" w:cs="Arial"/>
          <w:sz w:val="24"/>
          <w:szCs w:val="24"/>
          <w:lang w:val="en-GB"/>
        </w:rPr>
        <w:t xml:space="preserve"> judgment and contend that another court will come to a different conclusion.</w:t>
      </w:r>
    </w:p>
    <w:p w14:paraId="3F722BD6" w14:textId="404EBCFF" w:rsidR="00EC27CA" w:rsidRPr="00EC27CA" w:rsidRDefault="00495AF5" w:rsidP="00EC27CA">
      <w:pPr>
        <w:spacing w:line="480" w:lineRule="auto"/>
        <w:ind w:left="567" w:hanging="567"/>
        <w:jc w:val="both"/>
        <w:rPr>
          <w:rFonts w:ascii="Arial" w:eastAsia="Calibri" w:hAnsi="Arial" w:cs="Arial"/>
          <w:sz w:val="24"/>
          <w:szCs w:val="24"/>
          <w:u w:val="single"/>
          <w:lang w:val="en-GB"/>
        </w:rPr>
      </w:pPr>
      <w:r w:rsidRPr="001A1298">
        <w:rPr>
          <w:rFonts w:ascii="Arial" w:eastAsia="Calibri" w:hAnsi="Arial" w:cs="Arial"/>
          <w:sz w:val="24"/>
          <w:szCs w:val="24"/>
          <w:lang w:val="en-GB"/>
        </w:rPr>
        <w:t>[3</w:t>
      </w:r>
      <w:proofErr w:type="gramStart"/>
      <w:r w:rsidRPr="001A1298">
        <w:rPr>
          <w:rFonts w:ascii="Arial" w:eastAsia="Calibri" w:hAnsi="Arial" w:cs="Arial"/>
          <w:sz w:val="24"/>
          <w:szCs w:val="24"/>
          <w:lang w:val="en-GB"/>
        </w:rPr>
        <w:t xml:space="preserve">]  </w:t>
      </w:r>
      <w:r w:rsidR="00C11B75" w:rsidRPr="001A1298">
        <w:rPr>
          <w:rFonts w:ascii="Arial" w:eastAsia="Calibri" w:hAnsi="Arial" w:cs="Arial"/>
          <w:sz w:val="24"/>
          <w:szCs w:val="24"/>
          <w:lang w:val="en-GB"/>
        </w:rPr>
        <w:tab/>
      </w:r>
      <w:proofErr w:type="gramEnd"/>
      <w:r w:rsidRPr="001A1298">
        <w:rPr>
          <w:rFonts w:ascii="Arial" w:eastAsia="Calibri" w:hAnsi="Arial" w:cs="Arial"/>
          <w:sz w:val="24"/>
          <w:szCs w:val="24"/>
          <w:lang w:val="en-GB"/>
        </w:rPr>
        <w:t xml:space="preserve">The issue for determination is  the appeal would have a reasonable prospect of success in terms of s17 of the Superior Courts Act 10 of 2013(“the Act”). </w:t>
      </w:r>
      <w:r w:rsidRPr="001A1298">
        <w:rPr>
          <w:rFonts w:ascii="Arial" w:eastAsia="Calibri" w:hAnsi="Arial" w:cs="Arial"/>
          <w:b/>
          <w:bCs/>
          <w:sz w:val="24"/>
          <w:szCs w:val="24"/>
          <w:u w:val="single"/>
          <w:lang w:val="en-GB"/>
        </w:rPr>
        <w:t xml:space="preserve"> </w:t>
      </w:r>
      <w:r w:rsidR="00EC27CA" w:rsidRPr="00EC27CA">
        <w:rPr>
          <w:rFonts w:ascii="Arial" w:eastAsia="Calibri" w:hAnsi="Arial" w:cs="Arial"/>
          <w:sz w:val="24"/>
          <w:szCs w:val="24"/>
          <w:u w:val="single"/>
          <w:lang w:val="en-GB"/>
        </w:rPr>
        <w:t>If the answer</w:t>
      </w:r>
      <w:r w:rsidR="00EC27CA" w:rsidRPr="00EC27CA">
        <w:rPr>
          <w:rFonts w:ascii="Arial" w:eastAsia="Calibri" w:hAnsi="Arial" w:cs="Arial"/>
          <w:sz w:val="24"/>
          <w:szCs w:val="24"/>
          <w:lang w:val="en-GB"/>
        </w:rPr>
        <w:t xml:space="preserve"> is positive to this question, then leave to appeal should be granted, but if it is negative, application for leave to appeal must be refused.</w:t>
      </w:r>
    </w:p>
    <w:p w14:paraId="143688CC" w14:textId="1A0899CB" w:rsidR="00495AF5" w:rsidRPr="001A1298" w:rsidRDefault="00495AF5" w:rsidP="001A1298">
      <w:pPr>
        <w:spacing w:line="480" w:lineRule="auto"/>
        <w:ind w:left="567" w:hanging="567"/>
        <w:jc w:val="both"/>
        <w:rPr>
          <w:rFonts w:ascii="Arial" w:eastAsia="Calibri" w:hAnsi="Arial" w:cs="Arial"/>
          <w:sz w:val="24"/>
          <w:szCs w:val="24"/>
          <w:lang w:val="en-GB"/>
        </w:rPr>
      </w:pPr>
    </w:p>
    <w:p w14:paraId="0B2AA9FE" w14:textId="6AB79447" w:rsidR="00495AF5" w:rsidRPr="001A1298" w:rsidRDefault="00495AF5" w:rsidP="001A1298">
      <w:pPr>
        <w:spacing w:line="480" w:lineRule="auto"/>
        <w:ind w:left="567" w:hanging="567"/>
        <w:jc w:val="both"/>
        <w:rPr>
          <w:rFonts w:ascii="Arial" w:eastAsia="Calibri" w:hAnsi="Arial" w:cs="Arial"/>
          <w:sz w:val="24"/>
          <w:szCs w:val="24"/>
          <w:lang w:val="en-GB"/>
        </w:rPr>
      </w:pPr>
      <w:r w:rsidRPr="001A1298">
        <w:rPr>
          <w:rFonts w:ascii="Arial" w:eastAsia="Calibri" w:hAnsi="Arial" w:cs="Arial"/>
          <w:sz w:val="24"/>
          <w:szCs w:val="24"/>
          <w:lang w:val="en-GB"/>
        </w:rPr>
        <w:lastRenderedPageBreak/>
        <w:t>[4</w:t>
      </w:r>
      <w:r w:rsidR="001A1298" w:rsidRPr="001A1298">
        <w:rPr>
          <w:rFonts w:ascii="Arial" w:eastAsia="Calibri" w:hAnsi="Arial" w:cs="Arial"/>
          <w:sz w:val="24"/>
          <w:szCs w:val="24"/>
          <w:lang w:val="en-GB"/>
        </w:rPr>
        <w:t xml:space="preserve">] </w:t>
      </w:r>
      <w:r w:rsidR="001A1298" w:rsidRPr="001A1298">
        <w:rPr>
          <w:rFonts w:ascii="Arial" w:eastAsia="Calibri" w:hAnsi="Arial" w:cs="Arial"/>
          <w:sz w:val="24"/>
          <w:szCs w:val="24"/>
          <w:lang w:val="en-GB"/>
        </w:rPr>
        <w:tab/>
      </w:r>
      <w:r w:rsidRPr="001A1298">
        <w:rPr>
          <w:rFonts w:ascii="Arial" w:eastAsia="Calibri" w:hAnsi="Arial" w:cs="Arial"/>
          <w:sz w:val="24"/>
          <w:szCs w:val="24"/>
          <w:lang w:val="en-GB"/>
        </w:rPr>
        <w:t>The application for leave to appeal is regulated by s 17(1)(a) (</w:t>
      </w:r>
      <w:proofErr w:type="spellStart"/>
      <w:r w:rsidRPr="001A1298">
        <w:rPr>
          <w:rFonts w:ascii="Arial" w:eastAsia="Calibri" w:hAnsi="Arial" w:cs="Arial"/>
          <w:sz w:val="24"/>
          <w:szCs w:val="24"/>
          <w:lang w:val="en-GB"/>
        </w:rPr>
        <w:t>i</w:t>
      </w:r>
      <w:proofErr w:type="spellEnd"/>
      <w:r w:rsidRPr="001A1298">
        <w:rPr>
          <w:rFonts w:ascii="Arial" w:eastAsia="Calibri" w:hAnsi="Arial" w:cs="Arial"/>
          <w:sz w:val="24"/>
          <w:szCs w:val="24"/>
          <w:lang w:val="en-GB"/>
        </w:rPr>
        <w:t xml:space="preserve">) and (ii) of the </w:t>
      </w:r>
      <w:proofErr w:type="gramStart"/>
      <w:r w:rsidRPr="001A1298">
        <w:rPr>
          <w:rFonts w:ascii="Arial" w:eastAsia="Calibri" w:hAnsi="Arial" w:cs="Arial"/>
          <w:sz w:val="24"/>
          <w:szCs w:val="24"/>
          <w:lang w:val="en-GB"/>
        </w:rPr>
        <w:t>Act  which</w:t>
      </w:r>
      <w:proofErr w:type="gramEnd"/>
      <w:r w:rsidRPr="001A1298">
        <w:rPr>
          <w:rFonts w:ascii="Arial" w:eastAsia="Calibri" w:hAnsi="Arial" w:cs="Arial"/>
          <w:sz w:val="24"/>
          <w:szCs w:val="24"/>
          <w:lang w:val="en-GB"/>
        </w:rPr>
        <w:t xml:space="preserve"> states that :</w:t>
      </w:r>
    </w:p>
    <w:p w14:paraId="7EC82B5E" w14:textId="77777777" w:rsidR="00495AF5" w:rsidRPr="001A1298" w:rsidRDefault="00495AF5" w:rsidP="00B2195C">
      <w:pPr>
        <w:spacing w:line="480" w:lineRule="auto"/>
        <w:ind w:left="1440"/>
        <w:rPr>
          <w:rFonts w:ascii="Arial" w:eastAsia="Calibri" w:hAnsi="Arial" w:cs="Arial"/>
          <w:sz w:val="24"/>
          <w:szCs w:val="24"/>
          <w:lang w:val="en-GB"/>
        </w:rPr>
      </w:pPr>
      <w:r w:rsidRPr="001A1298">
        <w:rPr>
          <w:rFonts w:ascii="Arial" w:eastAsia="Calibri" w:hAnsi="Arial" w:cs="Arial"/>
          <w:sz w:val="24"/>
          <w:szCs w:val="24"/>
          <w:lang w:val="en-GB"/>
        </w:rPr>
        <w:t>“17. (1) leave to appeal may only be given where the judge or judges concerned are of the opinion that-</w:t>
      </w:r>
    </w:p>
    <w:p w14:paraId="6034BAE5" w14:textId="77777777" w:rsidR="00495AF5" w:rsidRPr="001A1298" w:rsidRDefault="00495AF5" w:rsidP="00B2195C">
      <w:pPr>
        <w:pStyle w:val="ListParagraph"/>
        <w:numPr>
          <w:ilvl w:val="0"/>
          <w:numId w:val="3"/>
        </w:numPr>
        <w:spacing w:line="480" w:lineRule="auto"/>
        <w:rPr>
          <w:rFonts w:ascii="Arial" w:eastAsia="Calibri" w:hAnsi="Arial" w:cs="Arial"/>
          <w:sz w:val="24"/>
          <w:szCs w:val="24"/>
          <w:lang w:val="en-GB"/>
        </w:rPr>
      </w:pPr>
      <w:r w:rsidRPr="001A1298">
        <w:rPr>
          <w:rFonts w:ascii="Arial" w:eastAsia="Calibri" w:hAnsi="Arial" w:cs="Arial"/>
          <w:sz w:val="24"/>
          <w:szCs w:val="24"/>
          <w:lang w:val="en-GB"/>
        </w:rPr>
        <w:t>(</w:t>
      </w:r>
      <w:proofErr w:type="spellStart"/>
      <w:r w:rsidRPr="001A1298">
        <w:rPr>
          <w:rFonts w:ascii="Arial" w:eastAsia="Calibri" w:hAnsi="Arial" w:cs="Arial"/>
          <w:sz w:val="24"/>
          <w:szCs w:val="24"/>
          <w:lang w:val="en-GB"/>
        </w:rPr>
        <w:t>i</w:t>
      </w:r>
      <w:proofErr w:type="spellEnd"/>
      <w:r w:rsidRPr="001A1298">
        <w:rPr>
          <w:rFonts w:ascii="Arial" w:eastAsia="Calibri" w:hAnsi="Arial" w:cs="Arial"/>
          <w:sz w:val="24"/>
          <w:szCs w:val="24"/>
          <w:lang w:val="en-GB"/>
        </w:rPr>
        <w:t>) the appeal would have a reasonable prospect of success; or</w:t>
      </w:r>
    </w:p>
    <w:p w14:paraId="61F2C5DF" w14:textId="77777777" w:rsidR="00495AF5" w:rsidRPr="001A1298" w:rsidRDefault="00495AF5" w:rsidP="00B2195C">
      <w:pPr>
        <w:spacing w:line="480" w:lineRule="auto"/>
        <w:ind w:left="2160"/>
        <w:rPr>
          <w:rFonts w:ascii="Arial" w:eastAsia="Calibri" w:hAnsi="Arial" w:cs="Arial"/>
          <w:sz w:val="24"/>
          <w:szCs w:val="24"/>
          <w:lang w:val="en-GB"/>
        </w:rPr>
      </w:pPr>
      <w:r w:rsidRPr="001A1298">
        <w:rPr>
          <w:rFonts w:ascii="Arial" w:eastAsia="Calibri" w:hAnsi="Arial" w:cs="Arial"/>
          <w:sz w:val="24"/>
          <w:szCs w:val="24"/>
          <w:lang w:val="en-GB"/>
        </w:rPr>
        <w:t>(ii) there is some other compelling reason why the appeal should be heard, including conflicting judgments on the matter under consideration;”</w:t>
      </w:r>
    </w:p>
    <w:p w14:paraId="399DDE51" w14:textId="77777777" w:rsidR="00495AF5" w:rsidRPr="001A1298" w:rsidRDefault="00495AF5" w:rsidP="00B2195C">
      <w:pPr>
        <w:spacing w:line="480" w:lineRule="auto"/>
        <w:ind w:left="890"/>
        <w:rPr>
          <w:rFonts w:ascii="Arial" w:eastAsia="Calibri" w:hAnsi="Arial" w:cs="Arial"/>
          <w:sz w:val="24"/>
          <w:szCs w:val="24"/>
          <w:lang w:val="en-GB"/>
        </w:rPr>
      </w:pPr>
    </w:p>
    <w:p w14:paraId="7866AF40" w14:textId="7A753C5C" w:rsidR="00495AF5" w:rsidRPr="001A1298" w:rsidRDefault="00495AF5" w:rsidP="00495AF5">
      <w:pPr>
        <w:suppressAutoHyphens/>
        <w:spacing w:before="320" w:after="320" w:line="480" w:lineRule="auto"/>
        <w:ind w:left="567" w:hanging="567"/>
        <w:jc w:val="both"/>
        <w:outlineLvl w:val="0"/>
        <w:rPr>
          <w:rFonts w:ascii="Arial" w:eastAsia="Times New Roman" w:hAnsi="Arial" w:cs="Arial"/>
          <w:bCs/>
          <w:sz w:val="24"/>
          <w:szCs w:val="20"/>
          <w:lang w:val="en-ZA"/>
        </w:rPr>
      </w:pPr>
      <w:r w:rsidRPr="001A1298">
        <w:rPr>
          <w:rFonts w:ascii="Arial" w:eastAsia="Times New Roman" w:hAnsi="Arial" w:cs="Arial"/>
          <w:bCs/>
          <w:sz w:val="24"/>
          <w:szCs w:val="20"/>
          <w:lang w:val="en-ZA"/>
        </w:rPr>
        <w:t xml:space="preserve">[5] </w:t>
      </w:r>
      <w:r w:rsidR="00C11B75" w:rsidRPr="001A1298">
        <w:rPr>
          <w:rFonts w:ascii="Arial" w:eastAsia="Times New Roman" w:hAnsi="Arial" w:cs="Arial"/>
          <w:bCs/>
          <w:sz w:val="24"/>
          <w:szCs w:val="20"/>
          <w:lang w:val="en-ZA"/>
        </w:rPr>
        <w:tab/>
      </w:r>
      <w:r w:rsidRPr="001A1298">
        <w:rPr>
          <w:rFonts w:ascii="Arial" w:eastAsia="Times New Roman" w:hAnsi="Arial" w:cs="Arial"/>
          <w:bCs/>
          <w:sz w:val="24"/>
          <w:szCs w:val="20"/>
          <w:lang w:val="en-ZA"/>
        </w:rPr>
        <w:t xml:space="preserve">Our courts have given the true meaning of what is sought to be proven as stated in section 17(1). In </w:t>
      </w:r>
      <w:r w:rsidRPr="001A1298">
        <w:rPr>
          <w:rFonts w:ascii="Arial" w:eastAsia="Times New Roman" w:hAnsi="Arial" w:cs="Arial"/>
          <w:sz w:val="24"/>
          <w:szCs w:val="20"/>
          <w:u w:val="single"/>
          <w:lang w:val="en-ZA"/>
        </w:rPr>
        <w:t>Acting National Director of Public Prosecutions and Others v Democratic Alliance v Acting National Director of Public Prosecutions and Others</w:t>
      </w:r>
      <w:r w:rsidRPr="001A1298">
        <w:rPr>
          <w:rFonts w:ascii="Arial" w:eastAsia="Times New Roman" w:hAnsi="Arial" w:cs="Arial"/>
          <w:bCs/>
          <w:sz w:val="24"/>
          <w:szCs w:val="20"/>
          <w:vertAlign w:val="superscript"/>
          <w:lang w:val="en-ZA"/>
        </w:rPr>
        <w:footnoteReference w:id="1"/>
      </w:r>
      <w:r w:rsidRPr="001A1298">
        <w:rPr>
          <w:rFonts w:ascii="Arial" w:eastAsia="Times New Roman" w:hAnsi="Arial" w:cs="Arial"/>
          <w:bCs/>
          <w:sz w:val="24"/>
          <w:szCs w:val="20"/>
          <w:lang w:val="en-ZA"/>
        </w:rPr>
        <w:t xml:space="preserve"> the court said the following:</w:t>
      </w:r>
    </w:p>
    <w:p w14:paraId="165E24B0" w14:textId="77777777" w:rsidR="00495AF5" w:rsidRPr="001A1298" w:rsidRDefault="00495AF5" w:rsidP="00495AF5">
      <w:pPr>
        <w:suppressAutoHyphens/>
        <w:spacing w:before="320" w:after="320" w:line="480" w:lineRule="auto"/>
        <w:ind w:left="720"/>
        <w:jc w:val="both"/>
        <w:outlineLvl w:val="0"/>
        <w:rPr>
          <w:rFonts w:ascii="Arial" w:eastAsia="Times New Roman" w:hAnsi="Arial" w:cs="Arial"/>
          <w:bCs/>
          <w:lang w:val="en-ZA"/>
        </w:rPr>
      </w:pPr>
      <w:r w:rsidRPr="001A1298">
        <w:rPr>
          <w:rFonts w:ascii="Arial" w:eastAsia="Times New Roman" w:hAnsi="Arial" w:cs="Arial"/>
          <w:bCs/>
          <w:lang w:val="en-ZA"/>
        </w:rPr>
        <w:t xml:space="preserve">“The Superior Court has raised the bar for granting leave to appeal in </w:t>
      </w:r>
      <w:r w:rsidRPr="001A1298">
        <w:rPr>
          <w:rFonts w:ascii="Arial" w:eastAsia="Times New Roman" w:hAnsi="Arial" w:cs="Arial"/>
          <w:u w:val="single"/>
          <w:lang w:val="en-ZA"/>
        </w:rPr>
        <w:t>The Mont Chevaux Trust (IT 201/28) v Tina Goosen &amp; 18 Others</w:t>
      </w:r>
      <w:r w:rsidRPr="001A1298">
        <w:rPr>
          <w:rFonts w:ascii="Arial" w:eastAsia="Times New Roman" w:hAnsi="Arial" w:cs="Arial"/>
          <w:bCs/>
          <w:lang w:val="en-ZA"/>
        </w:rPr>
        <w:t>, Bertelsmann J held as follows:</w:t>
      </w:r>
    </w:p>
    <w:p w14:paraId="307F6C1D" w14:textId="62816A27" w:rsidR="00495AF5" w:rsidRPr="001A1298" w:rsidRDefault="00495AF5" w:rsidP="00C11B75">
      <w:pPr>
        <w:suppressAutoHyphens/>
        <w:spacing w:before="320" w:after="320" w:line="480" w:lineRule="auto"/>
        <w:ind w:left="1440"/>
        <w:jc w:val="both"/>
        <w:outlineLvl w:val="0"/>
        <w:rPr>
          <w:rFonts w:ascii="Arial" w:eastAsia="Times New Roman" w:hAnsi="Arial" w:cs="Arial"/>
          <w:bCs/>
          <w:lang w:val="en-ZA"/>
        </w:rPr>
      </w:pPr>
      <w:r w:rsidRPr="001A1298">
        <w:rPr>
          <w:rFonts w:ascii="Arial" w:eastAsia="Times New Roman" w:hAnsi="Arial" w:cs="Arial"/>
          <w:bCs/>
          <w:lang w:val="en-ZA"/>
        </w:rPr>
        <w:t xml:space="preserve">‘It is clear that the threshold for granting leave to appeal against a judgment of a High Court has been raised in the new Act. The former test whether leave to appeal should be granted was a reasonable prospect that another court might come to a different conclusion see </w:t>
      </w:r>
      <w:r w:rsidRPr="001A1298">
        <w:rPr>
          <w:rFonts w:ascii="Arial" w:eastAsia="Times New Roman" w:hAnsi="Arial" w:cs="Arial"/>
          <w:i/>
          <w:u w:val="single"/>
          <w:lang w:val="en-ZA"/>
        </w:rPr>
        <w:t xml:space="preserve">Van </w:t>
      </w:r>
      <w:proofErr w:type="spellStart"/>
      <w:r w:rsidRPr="001A1298">
        <w:rPr>
          <w:rFonts w:ascii="Arial" w:eastAsia="Times New Roman" w:hAnsi="Arial" w:cs="Arial"/>
          <w:i/>
          <w:u w:val="single"/>
          <w:lang w:val="en-ZA"/>
        </w:rPr>
        <w:t>Heerden</w:t>
      </w:r>
      <w:proofErr w:type="spellEnd"/>
      <w:r w:rsidRPr="001A1298">
        <w:rPr>
          <w:rFonts w:ascii="Arial" w:eastAsia="Times New Roman" w:hAnsi="Arial" w:cs="Arial"/>
          <w:i/>
          <w:u w:val="single"/>
          <w:lang w:val="en-ZA"/>
        </w:rPr>
        <w:t xml:space="preserve"> v </w:t>
      </w:r>
      <w:proofErr w:type="spellStart"/>
      <w:r w:rsidRPr="001A1298">
        <w:rPr>
          <w:rFonts w:ascii="Arial" w:eastAsia="Times New Roman" w:hAnsi="Arial" w:cs="Arial"/>
          <w:i/>
          <w:u w:val="single"/>
          <w:lang w:val="en-ZA"/>
        </w:rPr>
        <w:t>Cronwright</w:t>
      </w:r>
      <w:proofErr w:type="spellEnd"/>
      <w:r w:rsidRPr="001A1298">
        <w:rPr>
          <w:rFonts w:ascii="Arial" w:eastAsia="Times New Roman" w:hAnsi="Arial" w:cs="Arial"/>
          <w:i/>
          <w:u w:val="single"/>
          <w:lang w:val="en-ZA"/>
        </w:rPr>
        <w:t xml:space="preserve"> &amp; Others </w:t>
      </w:r>
      <w:r w:rsidRPr="001A1298">
        <w:rPr>
          <w:rFonts w:ascii="Arial" w:eastAsia="Times New Roman" w:hAnsi="Arial" w:cs="Arial"/>
          <w:u w:val="single"/>
          <w:lang w:val="en-ZA"/>
        </w:rPr>
        <w:t>1985 (2) SA  342 (T) at 343H.</w:t>
      </w:r>
      <w:r w:rsidRPr="001A1298">
        <w:rPr>
          <w:rFonts w:ascii="Arial" w:eastAsia="Times New Roman" w:hAnsi="Arial" w:cs="Arial"/>
          <w:bCs/>
          <w:lang w:val="en-ZA"/>
        </w:rPr>
        <w:t xml:space="preserve"> The use of the word ‘would’ in the new statute indicates </w:t>
      </w:r>
      <w:r w:rsidRPr="001A1298">
        <w:rPr>
          <w:rFonts w:ascii="Arial" w:eastAsia="Times New Roman" w:hAnsi="Arial" w:cs="Arial"/>
          <w:bCs/>
          <w:lang w:val="en-ZA"/>
        </w:rPr>
        <w:lastRenderedPageBreak/>
        <w:t xml:space="preserve">a measure of certainty that another court will differ from the court whose judgment is sought to be appealed against.” </w:t>
      </w:r>
    </w:p>
    <w:p w14:paraId="23636409" w14:textId="19D24265" w:rsidR="00495AF5" w:rsidRPr="001A1298" w:rsidRDefault="00495AF5" w:rsidP="00495AF5">
      <w:pPr>
        <w:spacing w:after="200" w:line="480" w:lineRule="auto"/>
        <w:ind w:left="720" w:hanging="720"/>
        <w:jc w:val="both"/>
        <w:rPr>
          <w:rFonts w:ascii="Arial" w:eastAsia="MS Mincho" w:hAnsi="Arial" w:cs="Arial"/>
          <w:sz w:val="24"/>
          <w:szCs w:val="24"/>
          <w:lang w:val="en-GB" w:eastAsia="ja-JP"/>
        </w:rPr>
      </w:pPr>
      <w:r w:rsidRPr="001A1298">
        <w:rPr>
          <w:rFonts w:ascii="Arial" w:eastAsia="MS Mincho" w:hAnsi="Arial" w:cs="Arial"/>
          <w:sz w:val="24"/>
          <w:szCs w:val="24"/>
          <w:lang w:val="en-GB" w:eastAsia="ja-JP"/>
        </w:rPr>
        <w:t xml:space="preserve">[6] </w:t>
      </w:r>
      <w:r w:rsidR="00C11B75" w:rsidRPr="001A1298">
        <w:rPr>
          <w:rFonts w:ascii="Arial" w:eastAsia="MS Mincho" w:hAnsi="Arial" w:cs="Arial"/>
          <w:sz w:val="24"/>
          <w:szCs w:val="24"/>
          <w:lang w:val="en-GB" w:eastAsia="ja-JP"/>
        </w:rPr>
        <w:tab/>
      </w:r>
      <w:r w:rsidRPr="001A1298">
        <w:rPr>
          <w:rFonts w:ascii="Arial" w:eastAsia="MS Mincho" w:hAnsi="Arial" w:cs="Arial"/>
          <w:sz w:val="24"/>
          <w:szCs w:val="24"/>
          <w:lang w:val="en-GB" w:eastAsia="ja-JP"/>
        </w:rPr>
        <w:t xml:space="preserve">In </w:t>
      </w:r>
      <w:r w:rsidRPr="001A1298">
        <w:rPr>
          <w:rFonts w:ascii="Arial" w:eastAsia="MS Mincho" w:hAnsi="Arial" w:cs="Arial"/>
          <w:iCs/>
          <w:sz w:val="24"/>
          <w:szCs w:val="24"/>
          <w:u w:val="single"/>
          <w:lang w:val="en-GB" w:eastAsia="ja-JP"/>
        </w:rPr>
        <w:t xml:space="preserve">Mount </w:t>
      </w:r>
      <w:proofErr w:type="spellStart"/>
      <w:r w:rsidRPr="001A1298">
        <w:rPr>
          <w:rFonts w:ascii="Arial" w:eastAsia="MS Mincho" w:hAnsi="Arial" w:cs="Arial"/>
          <w:iCs/>
          <w:sz w:val="24"/>
          <w:szCs w:val="24"/>
          <w:u w:val="single"/>
          <w:lang w:val="en-GB" w:eastAsia="ja-JP"/>
        </w:rPr>
        <w:t>Chevaux</w:t>
      </w:r>
      <w:proofErr w:type="spellEnd"/>
      <w:r w:rsidRPr="001A1298">
        <w:rPr>
          <w:rFonts w:ascii="Arial" w:eastAsia="MS Mincho" w:hAnsi="Arial" w:cs="Arial"/>
          <w:iCs/>
          <w:sz w:val="24"/>
          <w:szCs w:val="24"/>
          <w:u w:val="single"/>
          <w:lang w:val="en-GB" w:eastAsia="ja-JP"/>
        </w:rPr>
        <w:t xml:space="preserve"> Trust v </w:t>
      </w:r>
      <w:proofErr w:type="spellStart"/>
      <w:r w:rsidRPr="001A1298">
        <w:rPr>
          <w:rFonts w:ascii="Arial" w:eastAsia="MS Mincho" w:hAnsi="Arial" w:cs="Arial"/>
          <w:iCs/>
          <w:sz w:val="24"/>
          <w:szCs w:val="24"/>
          <w:u w:val="single"/>
          <w:lang w:val="en-GB" w:eastAsia="ja-JP"/>
        </w:rPr>
        <w:t>Goosen</w:t>
      </w:r>
      <w:proofErr w:type="spellEnd"/>
      <w:r w:rsidRPr="001A1298">
        <w:rPr>
          <w:rStyle w:val="FootnoteReference"/>
          <w:rFonts w:ascii="Arial" w:eastAsia="MS Mincho" w:hAnsi="Arial" w:cs="Arial"/>
          <w:sz w:val="24"/>
          <w:szCs w:val="24"/>
          <w:lang w:val="en-GB" w:eastAsia="ja-JP"/>
        </w:rPr>
        <w:footnoteReference w:id="2"/>
      </w:r>
      <w:r w:rsidRPr="001A1298">
        <w:rPr>
          <w:rFonts w:ascii="Arial" w:eastAsia="MS Mincho" w:hAnsi="Arial" w:cs="Arial"/>
          <w:sz w:val="24"/>
          <w:szCs w:val="24"/>
          <w:lang w:val="en-GB" w:eastAsia="ja-JP"/>
        </w:rPr>
        <w:t>, the court explains the test as follows:</w:t>
      </w:r>
    </w:p>
    <w:p w14:paraId="37017C65" w14:textId="58924773" w:rsidR="00495AF5" w:rsidRPr="001A1298" w:rsidRDefault="00495AF5" w:rsidP="00C11B75">
      <w:pPr>
        <w:spacing w:after="200" w:line="480" w:lineRule="auto"/>
        <w:ind w:left="1440"/>
        <w:jc w:val="both"/>
        <w:rPr>
          <w:rFonts w:ascii="Arial" w:eastAsia="MS Mincho" w:hAnsi="Arial" w:cs="Arial"/>
          <w:iCs/>
          <w:lang w:val="en-GB" w:eastAsia="ja-JP"/>
        </w:rPr>
      </w:pPr>
      <w:r w:rsidRPr="001A1298">
        <w:rPr>
          <w:rFonts w:ascii="Arial" w:eastAsia="MS Mincho" w:hAnsi="Arial" w:cs="Arial"/>
          <w:i/>
          <w:iCs/>
          <w:sz w:val="24"/>
          <w:szCs w:val="24"/>
          <w:lang w:val="en-GB" w:eastAsia="ja-JP"/>
        </w:rPr>
        <w:t>“</w:t>
      </w:r>
      <w:r w:rsidRPr="001A1298">
        <w:rPr>
          <w:rFonts w:ascii="Arial" w:hAnsi="Arial" w:cs="Arial"/>
          <w:iCs/>
        </w:rPr>
        <w:t xml:space="preserve">[3] The principle to be adopted in applications for leave to appeal has been codified in section 17(1) of the Superior Courts Act 10 of 2013 (‘the new Act’) and is, inter alia, ‘whether the appeal would have a reasonable prospect of success’. Bertelsmann J, in The Mont </w:t>
      </w:r>
      <w:proofErr w:type="spellStart"/>
      <w:r w:rsidRPr="001A1298">
        <w:rPr>
          <w:rFonts w:ascii="Arial" w:hAnsi="Arial" w:cs="Arial"/>
          <w:iCs/>
        </w:rPr>
        <w:t>Chevaux</w:t>
      </w:r>
      <w:proofErr w:type="spellEnd"/>
      <w:r w:rsidRPr="001A1298">
        <w:rPr>
          <w:rFonts w:ascii="Arial" w:hAnsi="Arial" w:cs="Arial"/>
          <w:iCs/>
        </w:rPr>
        <w:t xml:space="preserve"> Trust (IT 2012/28) v Tina </w:t>
      </w:r>
      <w:proofErr w:type="spellStart"/>
      <w:r w:rsidRPr="001A1298">
        <w:rPr>
          <w:rFonts w:ascii="Arial" w:hAnsi="Arial" w:cs="Arial"/>
          <w:iCs/>
        </w:rPr>
        <w:t>Goosen</w:t>
      </w:r>
      <w:proofErr w:type="spellEnd"/>
      <w:r w:rsidRPr="001A1298">
        <w:rPr>
          <w:rFonts w:ascii="Arial" w:hAnsi="Arial" w:cs="Arial"/>
          <w:iCs/>
        </w:rPr>
        <w:t xml:space="preserve"> &amp; 18 Others LCC14R/2014, (an unreported judgment of this Court delivered on 3 November</w:t>
      </w:r>
      <w:r w:rsidRPr="001A1298">
        <w:rPr>
          <w:rFonts w:ascii="Arial" w:hAnsi="Arial" w:cs="Arial"/>
          <w:iCs/>
          <w:sz w:val="24"/>
          <w:szCs w:val="24"/>
        </w:rPr>
        <w:t xml:space="preserve"> 2014) in considering whether </w:t>
      </w:r>
      <w:r w:rsidRPr="001A1298">
        <w:rPr>
          <w:rFonts w:ascii="Arial" w:hAnsi="Arial" w:cs="Arial"/>
          <w:iCs/>
        </w:rPr>
        <w:t>leave to appeal ought to be granted in that matter, held that the threshold for granting leave to appeal had been raised in the new Act. Bertelsmann J found that the use of the word ‘would’ in the new Act indicated a measure of certainty that another Court will differ from the Court whose judgment is sought to be appealed against. Consequently, the bar set in the previous test, which required ‘a reasonable prospect that another Court might come to a different conclusion’, has been raised by the new Act and this then, is the test to be applied in this matter.”</w:t>
      </w:r>
    </w:p>
    <w:p w14:paraId="4F0E0156" w14:textId="4103E2F8" w:rsidR="00495AF5" w:rsidRPr="001A1298" w:rsidRDefault="00495AF5" w:rsidP="00495AF5">
      <w:pPr>
        <w:spacing w:after="200" w:line="480" w:lineRule="auto"/>
        <w:ind w:left="720" w:hanging="720"/>
        <w:jc w:val="both"/>
        <w:rPr>
          <w:rFonts w:ascii="Arial" w:eastAsia="MS Mincho" w:hAnsi="Arial" w:cs="Arial"/>
          <w:sz w:val="24"/>
          <w:szCs w:val="24"/>
          <w:lang w:val="en-GB" w:eastAsia="ja-JP"/>
        </w:rPr>
      </w:pPr>
      <w:r w:rsidRPr="001A1298">
        <w:rPr>
          <w:rFonts w:ascii="Arial" w:eastAsia="MS Mincho" w:hAnsi="Arial" w:cs="Arial"/>
          <w:sz w:val="24"/>
          <w:szCs w:val="24"/>
          <w:lang w:val="en-GB" w:eastAsia="ja-JP"/>
        </w:rPr>
        <w:t xml:space="preserve">[7] </w:t>
      </w:r>
      <w:r w:rsidR="00C11B75" w:rsidRPr="001A1298">
        <w:rPr>
          <w:rFonts w:ascii="Arial" w:eastAsia="MS Mincho" w:hAnsi="Arial" w:cs="Arial"/>
          <w:sz w:val="24"/>
          <w:szCs w:val="24"/>
          <w:lang w:val="en-GB" w:eastAsia="ja-JP"/>
        </w:rPr>
        <w:tab/>
      </w:r>
      <w:r w:rsidRPr="001A1298">
        <w:rPr>
          <w:rFonts w:ascii="Arial" w:eastAsia="MS Mincho" w:hAnsi="Arial" w:cs="Arial"/>
          <w:sz w:val="24"/>
          <w:szCs w:val="24"/>
          <w:lang w:val="en-GB" w:eastAsia="ja-JP"/>
        </w:rPr>
        <w:t xml:space="preserve">In </w:t>
      </w:r>
      <w:r w:rsidRPr="001A1298">
        <w:rPr>
          <w:rFonts w:ascii="Arial" w:eastAsia="MS Mincho" w:hAnsi="Arial" w:cs="Arial"/>
          <w:iCs/>
          <w:sz w:val="24"/>
          <w:szCs w:val="24"/>
          <w:u w:val="single"/>
          <w:lang w:val="en-GB" w:eastAsia="ja-JP"/>
        </w:rPr>
        <w:t>Matoto v Free State Gambling and Liquor Authority</w:t>
      </w:r>
      <w:r w:rsidRPr="001A1298">
        <w:rPr>
          <w:rStyle w:val="FootnoteReference"/>
          <w:rFonts w:ascii="Arial" w:eastAsia="MS Mincho" w:hAnsi="Arial" w:cs="Arial"/>
          <w:sz w:val="24"/>
          <w:szCs w:val="24"/>
          <w:lang w:val="en-GB" w:eastAsia="ja-JP"/>
        </w:rPr>
        <w:footnoteReference w:id="3"/>
      </w:r>
      <w:r w:rsidRPr="001A1298">
        <w:rPr>
          <w:rFonts w:ascii="Arial" w:eastAsia="MS Mincho" w:hAnsi="Arial" w:cs="Arial"/>
          <w:sz w:val="24"/>
          <w:szCs w:val="24"/>
          <w:lang w:val="en-GB" w:eastAsia="ja-JP"/>
        </w:rPr>
        <w:t xml:space="preserve">, the court referred to Mount </w:t>
      </w:r>
      <w:r w:rsidRPr="001A1298">
        <w:rPr>
          <w:rFonts w:ascii="Arial" w:eastAsia="MS Mincho" w:hAnsi="Arial" w:cs="Arial"/>
          <w:sz w:val="24"/>
          <w:szCs w:val="24"/>
          <w:u w:val="single"/>
          <w:lang w:val="en-GB" w:eastAsia="ja-JP"/>
        </w:rPr>
        <w:t>Chevaux Trust</w:t>
      </w:r>
      <w:r w:rsidRPr="001A1298">
        <w:rPr>
          <w:rFonts w:ascii="Arial" w:eastAsia="MS Mincho" w:hAnsi="Arial" w:cs="Arial"/>
          <w:sz w:val="24"/>
          <w:szCs w:val="24"/>
          <w:lang w:val="en-GB" w:eastAsia="ja-JP"/>
        </w:rPr>
        <w:t xml:space="preserve"> with approval and said that:</w:t>
      </w:r>
    </w:p>
    <w:p w14:paraId="6F35F226" w14:textId="7046F068" w:rsidR="00495AF5" w:rsidRPr="001A1298" w:rsidRDefault="00495AF5" w:rsidP="00C11B75">
      <w:pPr>
        <w:spacing w:after="200" w:line="480" w:lineRule="auto"/>
        <w:ind w:left="1440"/>
        <w:jc w:val="both"/>
        <w:rPr>
          <w:rFonts w:ascii="Arial" w:eastAsia="MS Mincho" w:hAnsi="Arial" w:cs="Arial"/>
          <w:iCs/>
          <w:lang w:val="en-GB" w:eastAsia="ja-JP"/>
        </w:rPr>
      </w:pPr>
      <w:r w:rsidRPr="001A1298">
        <w:rPr>
          <w:rFonts w:ascii="Arial" w:eastAsia="MS Mincho" w:hAnsi="Arial" w:cs="Arial"/>
          <w:i/>
          <w:lang w:val="en-GB" w:eastAsia="ja-JP"/>
        </w:rPr>
        <w:t>“…</w:t>
      </w:r>
      <w:r w:rsidRPr="001A1298">
        <w:rPr>
          <w:rFonts w:ascii="Arial" w:eastAsia="MS Mincho" w:hAnsi="Arial" w:cs="Arial"/>
          <w:iCs/>
          <w:lang w:val="en-GB" w:eastAsia="ja-JP"/>
        </w:rPr>
        <w:t xml:space="preserve">there can be no </w:t>
      </w:r>
      <w:r w:rsidR="00C11B75" w:rsidRPr="001A1298">
        <w:rPr>
          <w:rFonts w:ascii="Arial" w:eastAsia="MS Mincho" w:hAnsi="Arial" w:cs="Arial"/>
          <w:iCs/>
          <w:lang w:val="en-GB" w:eastAsia="ja-JP"/>
        </w:rPr>
        <w:t>doub</w:t>
      </w:r>
      <w:r w:rsidRPr="001A1298">
        <w:rPr>
          <w:rFonts w:ascii="Arial" w:eastAsia="MS Mincho" w:hAnsi="Arial" w:cs="Arial"/>
          <w:iCs/>
          <w:lang w:val="en-GB" w:eastAsia="ja-JP"/>
        </w:rPr>
        <w:t>t that the bar for granting leave to appeal has been raised. The use by the legislature of the word ‘only’ … is a further indication of a more stringent test.”</w:t>
      </w:r>
    </w:p>
    <w:p w14:paraId="039792CB" w14:textId="6C81C8AE" w:rsidR="00495AF5" w:rsidRPr="001A1298" w:rsidRDefault="00495AF5" w:rsidP="00C11B75">
      <w:pPr>
        <w:spacing w:after="200" w:line="480" w:lineRule="auto"/>
        <w:jc w:val="both"/>
        <w:rPr>
          <w:rFonts w:ascii="Arial" w:eastAsia="MS Mincho" w:hAnsi="Arial" w:cs="Arial"/>
          <w:sz w:val="24"/>
          <w:szCs w:val="24"/>
          <w:lang w:val="en-GB" w:eastAsia="ja-JP"/>
        </w:rPr>
      </w:pPr>
      <w:r w:rsidRPr="001A1298">
        <w:rPr>
          <w:rFonts w:ascii="Arial" w:eastAsia="MS Mincho" w:hAnsi="Arial" w:cs="Arial"/>
          <w:sz w:val="24"/>
          <w:szCs w:val="24"/>
          <w:lang w:val="en-GB" w:eastAsia="ja-JP"/>
        </w:rPr>
        <w:t xml:space="preserve">[8] </w:t>
      </w:r>
      <w:r w:rsidR="00C11B75" w:rsidRPr="001A1298">
        <w:rPr>
          <w:rFonts w:ascii="Arial" w:eastAsia="MS Mincho" w:hAnsi="Arial" w:cs="Arial"/>
          <w:sz w:val="24"/>
          <w:szCs w:val="24"/>
          <w:lang w:val="en-GB" w:eastAsia="ja-JP"/>
        </w:rPr>
        <w:tab/>
      </w:r>
      <w:r w:rsidRPr="001A1298">
        <w:rPr>
          <w:rFonts w:ascii="Arial" w:eastAsia="MS Mincho" w:hAnsi="Arial" w:cs="Arial"/>
          <w:sz w:val="24"/>
          <w:szCs w:val="24"/>
          <w:lang w:val="en-GB" w:eastAsia="ja-JP"/>
        </w:rPr>
        <w:t xml:space="preserve">In </w:t>
      </w:r>
      <w:r w:rsidRPr="001A1298">
        <w:rPr>
          <w:rFonts w:ascii="Arial" w:eastAsia="MS Mincho" w:hAnsi="Arial" w:cs="Arial"/>
          <w:iCs/>
          <w:sz w:val="24"/>
          <w:szCs w:val="24"/>
          <w:u w:val="single"/>
          <w:lang w:val="en-GB" w:eastAsia="ja-JP"/>
        </w:rPr>
        <w:t>S v Notshokovu</w:t>
      </w:r>
      <w:r w:rsidRPr="001A1298">
        <w:rPr>
          <w:rStyle w:val="FootnoteReference"/>
          <w:rFonts w:ascii="Arial" w:eastAsia="MS Mincho" w:hAnsi="Arial" w:cs="Arial"/>
          <w:sz w:val="24"/>
          <w:szCs w:val="24"/>
          <w:lang w:val="en-GB" w:eastAsia="ja-JP"/>
        </w:rPr>
        <w:footnoteReference w:id="4"/>
      </w:r>
      <w:r w:rsidRPr="001A1298">
        <w:rPr>
          <w:rFonts w:ascii="Arial" w:eastAsia="MS Mincho" w:hAnsi="Arial" w:cs="Arial"/>
          <w:sz w:val="24"/>
          <w:szCs w:val="24"/>
          <w:lang w:val="en-GB" w:eastAsia="ja-JP"/>
        </w:rPr>
        <w:t xml:space="preserve"> the Supreme Court of Appeal reaffirmed that:</w:t>
      </w:r>
    </w:p>
    <w:p w14:paraId="68E73A4E" w14:textId="77777777" w:rsidR="00495AF5" w:rsidRPr="001A1298" w:rsidRDefault="00495AF5" w:rsidP="00495AF5">
      <w:pPr>
        <w:spacing w:after="200" w:line="480" w:lineRule="auto"/>
        <w:ind w:left="1440"/>
        <w:jc w:val="both"/>
        <w:rPr>
          <w:rFonts w:ascii="Arial" w:eastAsia="MS Mincho" w:hAnsi="Arial" w:cs="Arial"/>
          <w:iCs/>
          <w:lang w:val="en-GB" w:eastAsia="ja-JP"/>
        </w:rPr>
      </w:pPr>
      <w:r w:rsidRPr="001A1298">
        <w:rPr>
          <w:rFonts w:ascii="Arial" w:eastAsia="MS Mincho" w:hAnsi="Arial" w:cs="Arial"/>
          <w:i/>
          <w:lang w:val="en-GB" w:eastAsia="ja-JP"/>
        </w:rPr>
        <w:lastRenderedPageBreak/>
        <w:t>“</w:t>
      </w:r>
      <w:r w:rsidRPr="001A1298">
        <w:rPr>
          <w:rFonts w:ascii="Arial" w:eastAsia="MS Mincho" w:hAnsi="Arial" w:cs="Arial"/>
          <w:iCs/>
          <w:lang w:val="en-GB" w:eastAsia="ja-JP"/>
        </w:rPr>
        <w:t>an appellant …faces a higher and stringent threshold in terms of the Act compared to the provisions of the repealed Supreme Court Act 59 of 1959”</w:t>
      </w:r>
    </w:p>
    <w:p w14:paraId="72004EB2" w14:textId="44665769" w:rsidR="00495AF5" w:rsidRPr="001A1298" w:rsidRDefault="00495AF5" w:rsidP="00C11B75">
      <w:pPr>
        <w:spacing w:after="200" w:line="480" w:lineRule="auto"/>
        <w:ind w:left="720" w:hanging="720"/>
        <w:jc w:val="both"/>
        <w:rPr>
          <w:rFonts w:ascii="Arial" w:eastAsia="MS Mincho" w:hAnsi="Arial" w:cs="Arial"/>
          <w:sz w:val="24"/>
          <w:szCs w:val="24"/>
          <w:lang w:val="en-GB" w:eastAsia="ja-JP"/>
        </w:rPr>
      </w:pPr>
      <w:r w:rsidRPr="001A1298">
        <w:rPr>
          <w:rFonts w:ascii="Arial" w:eastAsia="MS Mincho" w:hAnsi="Arial" w:cs="Arial"/>
          <w:sz w:val="24"/>
          <w:szCs w:val="24"/>
          <w:lang w:val="en-GB" w:eastAsia="ja-JP"/>
        </w:rPr>
        <w:t xml:space="preserve">[9] </w:t>
      </w:r>
      <w:r w:rsidR="00C11B75" w:rsidRPr="001A1298">
        <w:rPr>
          <w:rFonts w:ascii="Arial" w:eastAsia="MS Mincho" w:hAnsi="Arial" w:cs="Arial"/>
          <w:sz w:val="24"/>
          <w:szCs w:val="24"/>
          <w:lang w:val="en-GB" w:eastAsia="ja-JP"/>
        </w:rPr>
        <w:tab/>
      </w:r>
      <w:r w:rsidRPr="001A1298">
        <w:rPr>
          <w:rFonts w:ascii="Arial" w:eastAsia="MS Mincho" w:hAnsi="Arial" w:cs="Arial"/>
          <w:sz w:val="24"/>
          <w:szCs w:val="24"/>
          <w:lang w:val="en-GB" w:eastAsia="ja-JP"/>
        </w:rPr>
        <w:t xml:space="preserve">In </w:t>
      </w:r>
      <w:r w:rsidRPr="001A1298">
        <w:rPr>
          <w:rFonts w:ascii="Arial" w:eastAsia="MS Mincho" w:hAnsi="Arial" w:cs="Arial"/>
          <w:sz w:val="24"/>
          <w:szCs w:val="24"/>
          <w:u w:val="single"/>
          <w:lang w:val="en-GB" w:eastAsia="ja-JP"/>
        </w:rPr>
        <w:t>S v Smith</w:t>
      </w:r>
      <w:r w:rsidRPr="001A1298">
        <w:rPr>
          <w:rFonts w:ascii="Arial" w:eastAsia="MS Mincho" w:hAnsi="Arial" w:cs="Arial"/>
          <w:sz w:val="24"/>
          <w:szCs w:val="24"/>
          <w:lang w:val="en-GB" w:eastAsia="ja-JP"/>
        </w:rPr>
        <w:t xml:space="preserve"> Plasket</w:t>
      </w:r>
      <w:r w:rsidRPr="001A1298">
        <w:rPr>
          <w:rStyle w:val="FootnoteReference"/>
          <w:rFonts w:ascii="Arial" w:eastAsia="MS Mincho" w:hAnsi="Arial" w:cs="Arial"/>
          <w:sz w:val="24"/>
          <w:szCs w:val="24"/>
          <w:lang w:val="en-GB" w:eastAsia="ja-JP"/>
        </w:rPr>
        <w:footnoteReference w:id="5"/>
      </w:r>
      <w:r w:rsidRPr="001A1298">
        <w:rPr>
          <w:rFonts w:ascii="Arial" w:eastAsia="MS Mincho" w:hAnsi="Arial" w:cs="Arial"/>
          <w:sz w:val="24"/>
          <w:szCs w:val="24"/>
          <w:lang w:val="en-GB" w:eastAsia="ja-JP"/>
        </w:rPr>
        <w:t xml:space="preserve"> AJA explained the meaning of ‘a reasonable prospect of success’ as follows:</w:t>
      </w:r>
    </w:p>
    <w:p w14:paraId="4982B55D" w14:textId="53457BEF" w:rsidR="00495AF5" w:rsidRPr="001A1298" w:rsidRDefault="00495AF5" w:rsidP="00C11B75">
      <w:pPr>
        <w:spacing w:after="200" w:line="480" w:lineRule="auto"/>
        <w:ind w:left="1440"/>
        <w:jc w:val="both"/>
        <w:rPr>
          <w:rFonts w:ascii="Arial" w:eastAsia="MS Mincho" w:hAnsi="Arial" w:cs="Arial"/>
          <w:iCs/>
          <w:lang w:val="en-GB" w:eastAsia="ja-JP"/>
        </w:rPr>
      </w:pPr>
      <w:r w:rsidRPr="001A1298">
        <w:rPr>
          <w:rFonts w:ascii="Arial" w:eastAsia="MS Mincho" w:hAnsi="Arial" w:cs="Arial"/>
          <w:i/>
          <w:lang w:val="en-GB" w:eastAsia="ja-JP"/>
        </w:rPr>
        <w:t>“</w:t>
      </w:r>
      <w:r w:rsidRPr="001A1298">
        <w:rPr>
          <w:rFonts w:ascii="Arial" w:eastAsia="MS Mincho" w:hAnsi="Arial" w:cs="Arial"/>
          <w:iCs/>
          <w:lang w:val="en-GB" w:eastAsia="ja-JP"/>
        </w:rPr>
        <w:t xml:space="preserve">What the test of reasonable prospect of success postulates is a dispassionate decision, based on the facts and the law, that a court of appeal could reasonably arrive at a conclusion different to that of the trial court. In order to succeed, the appellant must convince this court on proper grounds that he has prospects of success on appeal and that these prospects are not </w:t>
      </w:r>
      <w:r w:rsidR="00C11B75" w:rsidRPr="001A1298">
        <w:rPr>
          <w:rFonts w:ascii="Arial" w:eastAsia="MS Mincho" w:hAnsi="Arial" w:cs="Arial"/>
          <w:iCs/>
          <w:lang w:val="en-GB" w:eastAsia="ja-JP"/>
        </w:rPr>
        <w:t>remote but</w:t>
      </w:r>
      <w:r w:rsidRPr="001A1298">
        <w:rPr>
          <w:rFonts w:ascii="Arial" w:eastAsia="MS Mincho" w:hAnsi="Arial" w:cs="Arial"/>
          <w:iCs/>
          <w:lang w:val="en-GB" w:eastAsia="ja-JP"/>
        </w:rPr>
        <w:t xml:space="preserve"> have a realistic chance of succeeding. More is required to be established than there is mere possibility of success, that</w:t>
      </w:r>
      <w:r w:rsidRPr="001A1298">
        <w:rPr>
          <w:rFonts w:ascii="Arial" w:eastAsia="MS Mincho" w:hAnsi="Arial" w:cs="Arial"/>
          <w:i/>
          <w:lang w:val="en-GB" w:eastAsia="ja-JP"/>
        </w:rPr>
        <w:t xml:space="preserve"> </w:t>
      </w:r>
      <w:r w:rsidRPr="001A1298">
        <w:rPr>
          <w:rFonts w:ascii="Arial" w:eastAsia="MS Mincho" w:hAnsi="Arial" w:cs="Arial"/>
          <w:iCs/>
          <w:lang w:val="en-GB" w:eastAsia="ja-JP"/>
        </w:rPr>
        <w:t>the case is arguable on appeal or that the case cannot be categorised as hopeless. There must, in other words, be a sound, rational basis for the conclusion that there are prospects of success on appeal.”</w:t>
      </w:r>
    </w:p>
    <w:p w14:paraId="36749172" w14:textId="429F54C9" w:rsidR="00495AF5" w:rsidRPr="001A1298" w:rsidRDefault="00495AF5" w:rsidP="00495AF5">
      <w:pPr>
        <w:spacing w:after="200" w:line="480" w:lineRule="auto"/>
        <w:ind w:left="720" w:hanging="720"/>
        <w:jc w:val="both"/>
        <w:rPr>
          <w:rFonts w:ascii="Arial" w:eastAsia="MS Mincho" w:hAnsi="Arial" w:cs="Arial"/>
          <w:sz w:val="24"/>
          <w:szCs w:val="24"/>
          <w:lang w:val="en-GB" w:eastAsia="ja-JP"/>
        </w:rPr>
      </w:pPr>
      <w:r w:rsidRPr="001A1298">
        <w:rPr>
          <w:rFonts w:ascii="Arial" w:eastAsia="MS Mincho" w:hAnsi="Arial" w:cs="Arial"/>
          <w:sz w:val="24"/>
          <w:szCs w:val="24"/>
          <w:lang w:val="en-GB" w:eastAsia="ja-JP"/>
        </w:rPr>
        <w:t xml:space="preserve">[10] </w:t>
      </w:r>
      <w:r w:rsidR="00C11B75" w:rsidRPr="001A1298">
        <w:rPr>
          <w:rFonts w:ascii="Arial" w:eastAsia="MS Mincho" w:hAnsi="Arial" w:cs="Arial"/>
          <w:sz w:val="24"/>
          <w:szCs w:val="24"/>
          <w:lang w:val="en-GB" w:eastAsia="ja-JP"/>
        </w:rPr>
        <w:tab/>
      </w:r>
      <w:r w:rsidRPr="001A1298">
        <w:rPr>
          <w:rFonts w:ascii="Arial" w:eastAsia="MS Mincho" w:hAnsi="Arial" w:cs="Arial"/>
          <w:sz w:val="24"/>
          <w:szCs w:val="24"/>
          <w:lang w:val="en-GB" w:eastAsia="ja-JP"/>
        </w:rPr>
        <w:t xml:space="preserve">In </w:t>
      </w:r>
      <w:r w:rsidRPr="001A1298">
        <w:rPr>
          <w:rFonts w:ascii="Arial" w:eastAsia="MS Mincho" w:hAnsi="Arial" w:cs="Arial"/>
          <w:iCs/>
          <w:sz w:val="24"/>
          <w:szCs w:val="24"/>
          <w:u w:val="single"/>
          <w:lang w:val="en-GB" w:eastAsia="ja-JP"/>
        </w:rPr>
        <w:t>Pretoria Society of Advocates and Others v Nthai</w:t>
      </w:r>
      <w:r w:rsidRPr="001A1298">
        <w:rPr>
          <w:rStyle w:val="FootnoteReference"/>
          <w:rFonts w:ascii="Arial" w:eastAsia="MS Mincho" w:hAnsi="Arial" w:cs="Arial"/>
          <w:i/>
          <w:sz w:val="24"/>
          <w:szCs w:val="24"/>
          <w:lang w:val="en-GB" w:eastAsia="ja-JP"/>
        </w:rPr>
        <w:footnoteReference w:id="6"/>
      </w:r>
      <w:r w:rsidRPr="001A1298">
        <w:rPr>
          <w:rFonts w:ascii="Arial" w:eastAsia="MS Mincho" w:hAnsi="Arial" w:cs="Arial"/>
          <w:sz w:val="24"/>
          <w:szCs w:val="24"/>
          <w:lang w:val="en-GB" w:eastAsia="ja-JP"/>
        </w:rPr>
        <w:t xml:space="preserve"> the court held that:</w:t>
      </w:r>
    </w:p>
    <w:p w14:paraId="30FC8208" w14:textId="77777777" w:rsidR="00495AF5" w:rsidRPr="001A1298" w:rsidRDefault="00495AF5" w:rsidP="00495AF5">
      <w:pPr>
        <w:spacing w:after="200" w:line="480" w:lineRule="auto"/>
        <w:ind w:left="1440"/>
        <w:jc w:val="both"/>
        <w:rPr>
          <w:rFonts w:ascii="Arial" w:eastAsia="MS Mincho" w:hAnsi="Arial" w:cs="Arial"/>
          <w:iCs/>
          <w:lang w:val="en-GB" w:eastAsia="ja-JP"/>
        </w:rPr>
      </w:pPr>
      <w:r w:rsidRPr="001A1298">
        <w:rPr>
          <w:rFonts w:ascii="Arial" w:eastAsia="MS Mincho" w:hAnsi="Arial" w:cs="Arial"/>
          <w:i/>
          <w:lang w:val="en-GB" w:eastAsia="ja-JP"/>
        </w:rPr>
        <w:t>“</w:t>
      </w:r>
      <w:r w:rsidRPr="001A1298">
        <w:rPr>
          <w:rFonts w:ascii="Arial" w:eastAsia="MS Mincho" w:hAnsi="Arial" w:cs="Arial"/>
          <w:iCs/>
          <w:lang w:val="en-GB" w:eastAsia="ja-JP"/>
        </w:rPr>
        <w:t>The enquiry as to whether leave should be granted is twofold. The first step that a court seized with such application should do is to investigate whether there are any reasonable prospects that another court seized with the same set of facts would reach a different conclusion. If the answer is in the positive</w:t>
      </w:r>
      <w:r w:rsidRPr="001A1298">
        <w:rPr>
          <w:rFonts w:ascii="Arial" w:eastAsia="MS Mincho" w:hAnsi="Arial" w:cs="Arial"/>
          <w:i/>
          <w:lang w:val="en-GB" w:eastAsia="ja-JP"/>
        </w:rPr>
        <w:t xml:space="preserve"> </w:t>
      </w:r>
      <w:r w:rsidRPr="001A1298">
        <w:rPr>
          <w:rFonts w:ascii="Arial" w:eastAsia="MS Mincho" w:hAnsi="Arial" w:cs="Arial"/>
          <w:iCs/>
          <w:lang w:val="en-GB" w:eastAsia="ja-JP"/>
        </w:rPr>
        <w:t>the court should grant leave to appeal. But if the answer is negative, the next step of the enquiry is to determine the existence of any compelling reason why the appeal should be heard.”</w:t>
      </w:r>
    </w:p>
    <w:p w14:paraId="60C1732D" w14:textId="39249D00" w:rsidR="00495AF5" w:rsidRPr="001A1298" w:rsidRDefault="00495AF5" w:rsidP="00C11B75">
      <w:pPr>
        <w:spacing w:after="200" w:line="480" w:lineRule="auto"/>
        <w:ind w:left="720" w:hanging="720"/>
        <w:jc w:val="both"/>
        <w:rPr>
          <w:rFonts w:ascii="Arial" w:eastAsia="MS Mincho" w:hAnsi="Arial" w:cs="Arial"/>
          <w:sz w:val="24"/>
          <w:szCs w:val="24"/>
          <w:lang w:val="en-GB" w:eastAsia="ja-JP"/>
        </w:rPr>
      </w:pPr>
      <w:r w:rsidRPr="001A1298">
        <w:rPr>
          <w:rFonts w:ascii="Arial" w:eastAsia="MS Mincho" w:hAnsi="Arial" w:cs="Arial"/>
          <w:sz w:val="24"/>
          <w:szCs w:val="24"/>
          <w:lang w:val="en-GB" w:eastAsia="ja-JP"/>
        </w:rPr>
        <w:lastRenderedPageBreak/>
        <w:tab/>
        <w:t xml:space="preserve">Based on the authorities referred to above it is apparent that our courts have been consistent in the application of the test on whether leave to appeal should be granted.  </w:t>
      </w:r>
    </w:p>
    <w:p w14:paraId="786C69E6" w14:textId="0A1E0E7C" w:rsidR="00495AF5" w:rsidRPr="001A1298" w:rsidRDefault="00495AF5" w:rsidP="00C11B75">
      <w:pPr>
        <w:suppressAutoHyphens/>
        <w:spacing w:before="320" w:after="320" w:line="480" w:lineRule="auto"/>
        <w:ind w:left="720" w:hanging="720"/>
        <w:jc w:val="both"/>
        <w:outlineLvl w:val="0"/>
        <w:rPr>
          <w:rFonts w:ascii="Arial" w:eastAsia="Times New Roman" w:hAnsi="Arial" w:cs="Arial"/>
          <w:bCs/>
          <w:sz w:val="24"/>
          <w:szCs w:val="20"/>
        </w:rPr>
      </w:pPr>
      <w:r w:rsidRPr="001A1298">
        <w:rPr>
          <w:rFonts w:ascii="Arial" w:eastAsia="Times New Roman" w:hAnsi="Arial" w:cs="Arial"/>
          <w:bCs/>
          <w:sz w:val="24"/>
          <w:szCs w:val="20"/>
        </w:rPr>
        <w:t xml:space="preserve">[11] </w:t>
      </w:r>
      <w:r w:rsidR="00C11B75" w:rsidRPr="001A1298">
        <w:rPr>
          <w:rFonts w:ascii="Arial" w:eastAsia="Times New Roman" w:hAnsi="Arial" w:cs="Arial"/>
          <w:bCs/>
          <w:sz w:val="24"/>
          <w:szCs w:val="20"/>
        </w:rPr>
        <w:tab/>
      </w:r>
      <w:r w:rsidRPr="001A1298">
        <w:rPr>
          <w:rFonts w:ascii="Arial" w:eastAsia="Times New Roman" w:hAnsi="Arial" w:cs="Arial"/>
          <w:bCs/>
          <w:sz w:val="24"/>
          <w:szCs w:val="20"/>
        </w:rPr>
        <w:t xml:space="preserve">The liberal approach to grant leave by courts is discouraged as being inconsistent with s17 of the Act. For </w:t>
      </w:r>
      <w:r w:rsidR="00C11B75" w:rsidRPr="001A1298">
        <w:rPr>
          <w:rFonts w:ascii="Arial" w:eastAsia="Times New Roman" w:hAnsi="Arial" w:cs="Arial"/>
          <w:bCs/>
          <w:sz w:val="24"/>
          <w:szCs w:val="20"/>
        </w:rPr>
        <w:t>instance,</w:t>
      </w:r>
      <w:r w:rsidRPr="001A1298">
        <w:rPr>
          <w:rFonts w:ascii="Arial" w:eastAsia="Times New Roman" w:hAnsi="Arial" w:cs="Arial"/>
          <w:bCs/>
          <w:sz w:val="24"/>
          <w:szCs w:val="20"/>
        </w:rPr>
        <w:t xml:space="preserve"> in </w:t>
      </w:r>
      <w:r w:rsidRPr="001A1298">
        <w:rPr>
          <w:rFonts w:ascii="Arial" w:eastAsia="Times New Roman" w:hAnsi="Arial" w:cs="Arial"/>
          <w:bCs/>
          <w:sz w:val="24"/>
          <w:szCs w:val="20"/>
          <w:u w:val="single"/>
        </w:rPr>
        <w:t>Mothule Inc Attorneys v The Law Society of the Northern Provinces and Another</w:t>
      </w:r>
      <w:r w:rsidRPr="001A1298">
        <w:rPr>
          <w:rFonts w:ascii="Arial" w:eastAsia="Times New Roman" w:hAnsi="Arial" w:cs="Arial"/>
          <w:bCs/>
          <w:sz w:val="24"/>
          <w:szCs w:val="20"/>
          <w:vertAlign w:val="superscript"/>
        </w:rPr>
        <w:footnoteReference w:id="7"/>
      </w:r>
      <w:r w:rsidRPr="001A1298">
        <w:rPr>
          <w:rFonts w:ascii="Arial" w:eastAsia="Times New Roman" w:hAnsi="Arial" w:cs="Arial"/>
          <w:bCs/>
          <w:sz w:val="24"/>
          <w:szCs w:val="20"/>
        </w:rPr>
        <w:t>, the Supreme Court of Appeal stated as follows regarding the trial court’s liberal approach on granting leave to appeal:</w:t>
      </w:r>
    </w:p>
    <w:p w14:paraId="7227939D" w14:textId="37557EE5" w:rsidR="00495AF5" w:rsidRPr="001A1298" w:rsidRDefault="00495AF5" w:rsidP="00C11B75">
      <w:pPr>
        <w:suppressAutoHyphens/>
        <w:spacing w:before="320" w:after="320" w:line="480" w:lineRule="auto"/>
        <w:ind w:left="1440"/>
        <w:jc w:val="both"/>
        <w:outlineLvl w:val="0"/>
        <w:rPr>
          <w:rFonts w:ascii="Arial" w:eastAsia="Times New Roman" w:hAnsi="Arial" w:cs="Arial"/>
          <w:bCs/>
        </w:rPr>
      </w:pPr>
      <w:r w:rsidRPr="001A1298">
        <w:rPr>
          <w:rFonts w:ascii="Arial" w:eastAsia="Times New Roman" w:hAnsi="Arial" w:cs="Arial"/>
          <w:bCs/>
        </w:rPr>
        <w:t>“It is important to mention my dissatisfaction with the court a quo’s granting of leave to appeal to this court. The test is simply whether there are any reasonably prospects of success in an appeal. It is not whether a litigant has an arguable case or mere possible of success.”</w:t>
      </w:r>
    </w:p>
    <w:p w14:paraId="66DC447A" w14:textId="47679A3D" w:rsidR="00495AF5" w:rsidRPr="00602A4B" w:rsidRDefault="00495AF5" w:rsidP="00602A4B">
      <w:pPr>
        <w:spacing w:line="480" w:lineRule="auto"/>
        <w:ind w:left="720" w:hanging="720"/>
        <w:jc w:val="both"/>
        <w:rPr>
          <w:rFonts w:ascii="Arial" w:hAnsi="Arial" w:cs="Arial"/>
          <w:sz w:val="24"/>
          <w:szCs w:val="24"/>
        </w:rPr>
      </w:pPr>
      <w:r w:rsidRPr="001A1298">
        <w:rPr>
          <w:rFonts w:ascii="Arial" w:hAnsi="Arial" w:cs="Arial"/>
          <w:sz w:val="24"/>
          <w:szCs w:val="24"/>
        </w:rPr>
        <w:t xml:space="preserve">[12] </w:t>
      </w:r>
      <w:r w:rsidR="00C11B75" w:rsidRPr="001A1298">
        <w:rPr>
          <w:rFonts w:ascii="Arial" w:hAnsi="Arial" w:cs="Arial"/>
          <w:sz w:val="24"/>
          <w:szCs w:val="24"/>
        </w:rPr>
        <w:tab/>
      </w:r>
      <w:r w:rsidRPr="001A1298">
        <w:rPr>
          <w:rFonts w:ascii="Arial" w:hAnsi="Arial" w:cs="Arial"/>
          <w:sz w:val="24"/>
          <w:szCs w:val="24"/>
        </w:rPr>
        <w:t>More importantly, the approach is now also developed that if the inquiry into whether the appeal would not have a reasonable prospect of success, the court must now also inquire whether it is in the interests of justice that the appeal should be heard.</w:t>
      </w:r>
    </w:p>
    <w:p w14:paraId="2B3BEC7D" w14:textId="25A41C8A" w:rsidR="00495AF5" w:rsidRPr="001A1298" w:rsidRDefault="00495AF5" w:rsidP="00C11B75">
      <w:pPr>
        <w:spacing w:line="480" w:lineRule="auto"/>
        <w:ind w:left="720" w:hanging="720"/>
        <w:jc w:val="both"/>
        <w:rPr>
          <w:rFonts w:ascii="Arial" w:eastAsia="Calibri" w:hAnsi="Arial" w:cs="Arial"/>
          <w:sz w:val="24"/>
          <w:szCs w:val="24"/>
          <w:lang w:val="en-GB"/>
        </w:rPr>
      </w:pPr>
      <w:r w:rsidRPr="001A1298">
        <w:rPr>
          <w:rFonts w:ascii="Arial" w:eastAsia="Calibri" w:hAnsi="Arial" w:cs="Arial"/>
          <w:sz w:val="24"/>
          <w:szCs w:val="24"/>
          <w:lang w:val="en-GB"/>
        </w:rPr>
        <w:t xml:space="preserve">[13] </w:t>
      </w:r>
      <w:r w:rsidR="00C11B75" w:rsidRPr="001A1298">
        <w:rPr>
          <w:rFonts w:ascii="Arial" w:eastAsia="Calibri" w:hAnsi="Arial" w:cs="Arial"/>
          <w:sz w:val="24"/>
          <w:szCs w:val="24"/>
          <w:lang w:val="en-GB"/>
        </w:rPr>
        <w:tab/>
      </w:r>
      <w:r w:rsidRPr="001A1298">
        <w:rPr>
          <w:rFonts w:ascii="Arial" w:eastAsia="Calibri" w:hAnsi="Arial" w:cs="Arial"/>
          <w:sz w:val="24"/>
          <w:szCs w:val="24"/>
          <w:lang w:val="en-GB"/>
        </w:rPr>
        <w:t xml:space="preserve">In the instant case, the Court considered all the papers before it and exercised its discretion judicially to come to its conclusion as it did. I am of the view that there is no prospect that the appeal would have a reasonable prospect of success. Accordingly, the requirements of s17 of the Act have not been met and application for leave to appeal must fail. I say so because there was never any denial that the funds were disbursed in terms of the agreement between </w:t>
      </w:r>
      <w:r w:rsidRPr="001A1298">
        <w:rPr>
          <w:rFonts w:ascii="Arial" w:eastAsia="Calibri" w:hAnsi="Arial" w:cs="Arial"/>
          <w:sz w:val="24"/>
          <w:szCs w:val="24"/>
          <w:lang w:val="en-GB"/>
        </w:rPr>
        <w:lastRenderedPageBreak/>
        <w:t>the parties and that the defence such as a non-fulment of the suspensive conditions as contended by the applicant was misplaced.</w:t>
      </w:r>
    </w:p>
    <w:p w14:paraId="34EC4E07" w14:textId="77777777" w:rsidR="00495AF5" w:rsidRPr="001A1298" w:rsidRDefault="00495AF5" w:rsidP="00495AF5">
      <w:pPr>
        <w:rPr>
          <w:rFonts w:ascii="Arial" w:hAnsi="Arial" w:cs="Arial"/>
          <w:color w:val="242121"/>
          <w:sz w:val="24"/>
          <w:szCs w:val="24"/>
          <w:shd w:val="clear" w:color="auto" w:fill="FFFFFF"/>
          <w:lang w:val="en-GB"/>
        </w:rPr>
      </w:pPr>
    </w:p>
    <w:p w14:paraId="687A3B7B" w14:textId="77777777" w:rsidR="00495AF5" w:rsidRPr="001A1298" w:rsidRDefault="00495AF5" w:rsidP="00C11B75">
      <w:pPr>
        <w:ind w:firstLine="720"/>
        <w:rPr>
          <w:rFonts w:ascii="Arial" w:hAnsi="Arial" w:cs="Arial"/>
          <w:b/>
          <w:bCs/>
          <w:color w:val="242121"/>
          <w:sz w:val="24"/>
          <w:szCs w:val="24"/>
          <w:shd w:val="clear" w:color="auto" w:fill="FFFFFF"/>
          <w:lang w:val="en-GB"/>
        </w:rPr>
      </w:pPr>
      <w:r w:rsidRPr="001A1298">
        <w:rPr>
          <w:rFonts w:ascii="Arial" w:hAnsi="Arial" w:cs="Arial"/>
          <w:b/>
          <w:bCs/>
          <w:color w:val="242121"/>
          <w:sz w:val="24"/>
          <w:szCs w:val="24"/>
          <w:shd w:val="clear" w:color="auto" w:fill="FFFFFF"/>
          <w:lang w:val="en-GB"/>
        </w:rPr>
        <w:t>F. ORDER</w:t>
      </w:r>
    </w:p>
    <w:p w14:paraId="3448CED4" w14:textId="77777777" w:rsidR="00495AF5" w:rsidRPr="001A1298" w:rsidRDefault="00495AF5" w:rsidP="00495AF5">
      <w:pPr>
        <w:rPr>
          <w:rFonts w:ascii="Arial" w:hAnsi="Arial" w:cs="Arial"/>
          <w:b/>
          <w:bCs/>
          <w:color w:val="242121"/>
          <w:sz w:val="24"/>
          <w:szCs w:val="24"/>
          <w:shd w:val="clear" w:color="auto" w:fill="FFFFFF"/>
          <w:lang w:val="en-GB"/>
        </w:rPr>
      </w:pPr>
    </w:p>
    <w:p w14:paraId="68335921" w14:textId="720AA47E" w:rsidR="00495AF5" w:rsidRPr="001A1298" w:rsidRDefault="00495AF5" w:rsidP="00495AF5">
      <w:pPr>
        <w:rPr>
          <w:rFonts w:ascii="Arial" w:hAnsi="Arial" w:cs="Arial"/>
          <w:color w:val="242121"/>
          <w:sz w:val="24"/>
          <w:szCs w:val="24"/>
          <w:shd w:val="clear" w:color="auto" w:fill="FFFFFF"/>
          <w:lang w:val="en-GB"/>
        </w:rPr>
      </w:pPr>
      <w:r w:rsidRPr="001A1298">
        <w:rPr>
          <w:rFonts w:ascii="Arial" w:hAnsi="Arial" w:cs="Arial"/>
          <w:color w:val="242121"/>
          <w:sz w:val="24"/>
          <w:szCs w:val="24"/>
          <w:shd w:val="clear" w:color="auto" w:fill="FFFFFF"/>
          <w:lang w:val="en-GB"/>
        </w:rPr>
        <w:t xml:space="preserve">[14] </w:t>
      </w:r>
      <w:r w:rsidR="00C11B75" w:rsidRPr="001A1298">
        <w:rPr>
          <w:rFonts w:ascii="Arial" w:hAnsi="Arial" w:cs="Arial"/>
          <w:color w:val="242121"/>
          <w:sz w:val="24"/>
          <w:szCs w:val="24"/>
          <w:shd w:val="clear" w:color="auto" w:fill="FFFFFF"/>
          <w:lang w:val="en-GB"/>
        </w:rPr>
        <w:tab/>
      </w:r>
      <w:r w:rsidRPr="001A1298">
        <w:rPr>
          <w:rFonts w:ascii="Arial" w:hAnsi="Arial" w:cs="Arial"/>
          <w:color w:val="242121"/>
          <w:sz w:val="24"/>
          <w:szCs w:val="24"/>
          <w:shd w:val="clear" w:color="auto" w:fill="FFFFFF"/>
          <w:lang w:val="en-GB"/>
        </w:rPr>
        <w:t>The following order is made:</w:t>
      </w:r>
    </w:p>
    <w:p w14:paraId="77AD3D31" w14:textId="77777777" w:rsidR="00C11B75" w:rsidRPr="001A1298" w:rsidRDefault="00C11B75" w:rsidP="00495AF5">
      <w:pPr>
        <w:rPr>
          <w:rFonts w:ascii="Arial" w:hAnsi="Arial" w:cs="Arial"/>
          <w:color w:val="242121"/>
          <w:sz w:val="24"/>
          <w:szCs w:val="24"/>
          <w:shd w:val="clear" w:color="auto" w:fill="FFFFFF"/>
          <w:lang w:val="en-GB"/>
        </w:rPr>
      </w:pPr>
    </w:p>
    <w:p w14:paraId="14EF3715" w14:textId="799148A3" w:rsidR="00495AF5" w:rsidRPr="001A1298" w:rsidRDefault="001A1298" w:rsidP="00C11B75">
      <w:pPr>
        <w:pStyle w:val="ListParagraph"/>
        <w:numPr>
          <w:ilvl w:val="0"/>
          <w:numId w:val="4"/>
        </w:numPr>
        <w:spacing w:line="480" w:lineRule="auto"/>
        <w:jc w:val="both"/>
        <w:rPr>
          <w:rFonts w:ascii="Arial" w:hAnsi="Arial" w:cs="Arial"/>
          <w:color w:val="242121"/>
          <w:sz w:val="24"/>
          <w:szCs w:val="24"/>
          <w:shd w:val="clear" w:color="auto" w:fill="FFFFFF"/>
          <w:lang w:val="en-GB"/>
        </w:rPr>
      </w:pPr>
      <w:r w:rsidRPr="001A1298">
        <w:rPr>
          <w:rFonts w:ascii="Arial" w:hAnsi="Arial" w:cs="Arial"/>
          <w:color w:val="242121"/>
          <w:sz w:val="24"/>
          <w:szCs w:val="24"/>
          <w:shd w:val="clear" w:color="auto" w:fill="FFFFFF"/>
          <w:lang w:val="en-GB"/>
        </w:rPr>
        <w:t>A</w:t>
      </w:r>
      <w:r w:rsidR="00495AF5" w:rsidRPr="001A1298">
        <w:rPr>
          <w:rFonts w:ascii="Arial" w:hAnsi="Arial" w:cs="Arial"/>
          <w:color w:val="242121"/>
          <w:sz w:val="24"/>
          <w:szCs w:val="24"/>
          <w:shd w:val="clear" w:color="auto" w:fill="FFFFFF"/>
          <w:lang w:val="en-GB"/>
        </w:rPr>
        <w:t>pplication for leave to appeal is refused and the applicants are ordered to pay the costs on an attorney and client scale.</w:t>
      </w:r>
    </w:p>
    <w:p w14:paraId="3820F047" w14:textId="77777777" w:rsidR="00495AF5" w:rsidRPr="001A1298" w:rsidRDefault="00495AF5" w:rsidP="00495AF5">
      <w:pPr>
        <w:rPr>
          <w:rFonts w:ascii="Arial" w:hAnsi="Arial" w:cs="Arial"/>
          <w:color w:val="242121"/>
          <w:sz w:val="24"/>
          <w:szCs w:val="24"/>
          <w:shd w:val="clear" w:color="auto" w:fill="FFFFFF"/>
          <w:lang w:val="en-GB"/>
        </w:rPr>
      </w:pPr>
    </w:p>
    <w:p w14:paraId="3B10D499" w14:textId="77777777" w:rsidR="00602A4B" w:rsidRDefault="00602A4B" w:rsidP="00495AF5">
      <w:pPr>
        <w:rPr>
          <w:rFonts w:ascii="Arial" w:hAnsi="Arial" w:cs="Arial"/>
          <w:b/>
          <w:bCs/>
          <w:color w:val="242121"/>
          <w:sz w:val="24"/>
          <w:szCs w:val="24"/>
          <w:shd w:val="clear" w:color="auto" w:fill="FFFFFF"/>
          <w:lang w:val="en-GB"/>
        </w:rPr>
      </w:pPr>
    </w:p>
    <w:p w14:paraId="3BC3298D" w14:textId="77777777" w:rsidR="00602A4B" w:rsidRPr="001A1298" w:rsidRDefault="00602A4B" w:rsidP="00495AF5">
      <w:pPr>
        <w:rPr>
          <w:rFonts w:ascii="Arial" w:hAnsi="Arial" w:cs="Arial"/>
          <w:b/>
          <w:bCs/>
          <w:color w:val="242121"/>
          <w:sz w:val="24"/>
          <w:szCs w:val="24"/>
          <w:shd w:val="clear" w:color="auto" w:fill="FFFFFF"/>
          <w:lang w:val="en-GB"/>
        </w:rPr>
      </w:pPr>
    </w:p>
    <w:p w14:paraId="6CE6032B" w14:textId="77777777" w:rsidR="001A1298" w:rsidRPr="001A1298" w:rsidRDefault="00F175C9" w:rsidP="001A1298">
      <w:pPr>
        <w:tabs>
          <w:tab w:val="left" w:pos="1905"/>
          <w:tab w:val="left" w:pos="3210"/>
        </w:tabs>
        <w:spacing w:after="200" w:line="480" w:lineRule="auto"/>
        <w:jc w:val="both"/>
        <w:rPr>
          <w:rFonts w:ascii="Arial" w:eastAsia="MS Mincho" w:hAnsi="Arial" w:cs="Arial"/>
          <w:color w:val="000000" w:themeColor="text1"/>
          <w:sz w:val="24"/>
          <w:szCs w:val="24"/>
          <w:lang w:val="en-GB" w:eastAsia="ja-JP"/>
        </w:rPr>
      </w:pPr>
      <w:r w:rsidRPr="001A1298">
        <w:rPr>
          <w:rFonts w:ascii="Arial" w:eastAsia="Arial" w:hAnsi="Arial" w:cs="Arial"/>
          <w:noProof/>
          <w:color w:val="000000" w:themeColor="text1"/>
          <w:sz w:val="24"/>
          <w:szCs w:val="24"/>
          <w:lang w:val="en-ZA" w:eastAsia="en-ZA"/>
        </w:rPr>
        <mc:AlternateContent>
          <mc:Choice Requires="wps">
            <w:drawing>
              <wp:anchor distT="0" distB="0" distL="0" distR="0" simplePos="0" relativeHeight="251659264" behindDoc="1" locked="0" layoutInCell="1" allowOverlap="1" wp14:anchorId="7B26B46E" wp14:editId="16E4D321">
                <wp:simplePos x="0" y="0"/>
                <wp:positionH relativeFrom="page">
                  <wp:posOffset>825500</wp:posOffset>
                </wp:positionH>
                <wp:positionV relativeFrom="paragraph">
                  <wp:posOffset>219075</wp:posOffset>
                </wp:positionV>
                <wp:extent cx="3436620" cy="1270"/>
                <wp:effectExtent l="0" t="0" r="0" b="0"/>
                <wp:wrapTopAndBottom/>
                <wp:docPr id="2" name="docshape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36620" cy="1270"/>
                        </a:xfrm>
                        <a:custGeom>
                          <a:avLst/>
                          <a:gdLst>
                            <a:gd name="T0" fmla="+- 0 1441 1441"/>
                            <a:gd name="T1" fmla="*/ T0 w 5412"/>
                            <a:gd name="T2" fmla="+- 0 6854 1441"/>
                            <a:gd name="T3" fmla="*/ T2 w 5412"/>
                          </a:gdLst>
                          <a:ahLst/>
                          <a:cxnLst>
                            <a:cxn ang="0">
                              <a:pos x="T1" y="0"/>
                            </a:cxn>
                            <a:cxn ang="0">
                              <a:pos x="T3" y="0"/>
                            </a:cxn>
                          </a:cxnLst>
                          <a:rect l="0" t="0" r="r" b="b"/>
                          <a:pathLst>
                            <a:path w="5412">
                              <a:moveTo>
                                <a:pt x="0" y="0"/>
                              </a:moveTo>
                              <a:lnTo>
                                <a:pt x="5413" y="0"/>
                              </a:lnTo>
                            </a:path>
                          </a:pathLst>
                        </a:custGeom>
                        <a:noFill/>
                        <a:ln w="1356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9A0EDF7" id="docshape9" o:spid="_x0000_s1026" style="position:absolute;margin-left:65pt;margin-top:17.25pt;width:270.6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41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" path="m,l5413,e" filled="f" strokeweight=".37678mm">
                <v:path arrowok="t" o:connecttype="custom" o:connectlocs="0,0;3437255,0" o:connectangles="0,0"/>
                <w10:wrap type="topAndBottom" anchorx="page"/>
              </v:shape>
            </w:pict>
          </mc:Fallback>
        </mc:AlternateContent>
      </w:r>
    </w:p>
    <w:p w14:paraId="6CAE9835" w14:textId="77777777" w:rsidR="001A1298" w:rsidRPr="001A1298" w:rsidRDefault="00F175C9" w:rsidP="001A1298">
      <w:pPr>
        <w:tabs>
          <w:tab w:val="left" w:pos="1905"/>
          <w:tab w:val="left" w:pos="3210"/>
        </w:tabs>
        <w:spacing w:after="200" w:line="240" w:lineRule="auto"/>
        <w:jc w:val="both"/>
        <w:rPr>
          <w:rFonts w:ascii="Arial" w:eastAsia="MS Mincho" w:hAnsi="Arial" w:cs="Arial"/>
          <w:color w:val="000000" w:themeColor="text1"/>
          <w:sz w:val="24"/>
          <w:szCs w:val="24"/>
          <w:lang w:val="en-GB" w:eastAsia="ja-JP"/>
        </w:rPr>
      </w:pPr>
      <w:r w:rsidRPr="001A1298">
        <w:rPr>
          <w:rFonts w:ascii="Arial" w:eastAsia="Arial" w:hAnsi="Arial" w:cs="Arial"/>
          <w:b/>
          <w:color w:val="000000" w:themeColor="text1"/>
          <w:sz w:val="24"/>
        </w:rPr>
        <w:t>ML SENYATSI</w:t>
      </w:r>
    </w:p>
    <w:p w14:paraId="6CF7E4D2" w14:textId="5D038FC0" w:rsidR="00F175C9" w:rsidRPr="001A1298" w:rsidRDefault="00F175C9" w:rsidP="001A1298">
      <w:pPr>
        <w:tabs>
          <w:tab w:val="left" w:pos="1905"/>
          <w:tab w:val="left" w:pos="3210"/>
        </w:tabs>
        <w:spacing w:after="200" w:line="240" w:lineRule="auto"/>
        <w:jc w:val="both"/>
        <w:rPr>
          <w:rFonts w:ascii="Arial" w:eastAsia="MS Mincho" w:hAnsi="Arial" w:cs="Arial"/>
          <w:color w:val="000000" w:themeColor="text1"/>
          <w:sz w:val="24"/>
          <w:szCs w:val="24"/>
          <w:lang w:val="en-GB" w:eastAsia="ja-JP"/>
        </w:rPr>
      </w:pPr>
      <w:r w:rsidRPr="001A1298">
        <w:rPr>
          <w:rFonts w:ascii="Arial" w:eastAsia="Arial" w:hAnsi="Arial" w:cs="Arial"/>
          <w:b/>
          <w:color w:val="000000" w:themeColor="text1"/>
          <w:sz w:val="24"/>
        </w:rPr>
        <w:t>JUDGE</w:t>
      </w:r>
      <w:r w:rsidRPr="001A1298">
        <w:rPr>
          <w:rFonts w:ascii="Arial" w:eastAsia="Arial" w:hAnsi="Arial" w:cs="Arial"/>
          <w:b/>
          <w:color w:val="000000" w:themeColor="text1"/>
          <w:spacing w:val="-3"/>
          <w:sz w:val="24"/>
        </w:rPr>
        <w:t xml:space="preserve"> </w:t>
      </w:r>
      <w:r w:rsidRPr="001A1298">
        <w:rPr>
          <w:rFonts w:ascii="Arial" w:eastAsia="Arial" w:hAnsi="Arial" w:cs="Arial"/>
          <w:b/>
          <w:color w:val="000000" w:themeColor="text1"/>
          <w:sz w:val="24"/>
        </w:rPr>
        <w:t>OF</w:t>
      </w:r>
      <w:r w:rsidRPr="001A1298">
        <w:rPr>
          <w:rFonts w:ascii="Arial" w:eastAsia="Arial" w:hAnsi="Arial" w:cs="Arial"/>
          <w:b/>
          <w:color w:val="000000" w:themeColor="text1"/>
          <w:spacing w:val="-1"/>
          <w:sz w:val="24"/>
        </w:rPr>
        <w:t xml:space="preserve"> </w:t>
      </w:r>
      <w:r w:rsidRPr="001A1298">
        <w:rPr>
          <w:rFonts w:ascii="Arial" w:eastAsia="Arial" w:hAnsi="Arial" w:cs="Arial"/>
          <w:b/>
          <w:color w:val="000000" w:themeColor="text1"/>
          <w:sz w:val="24"/>
        </w:rPr>
        <w:t>THE</w:t>
      </w:r>
      <w:r w:rsidRPr="001A1298">
        <w:rPr>
          <w:rFonts w:ascii="Arial" w:eastAsia="Arial" w:hAnsi="Arial" w:cs="Arial"/>
          <w:b/>
          <w:color w:val="000000" w:themeColor="text1"/>
          <w:spacing w:val="-13"/>
          <w:sz w:val="24"/>
        </w:rPr>
        <w:t xml:space="preserve"> </w:t>
      </w:r>
      <w:r w:rsidRPr="001A1298">
        <w:rPr>
          <w:rFonts w:ascii="Arial" w:eastAsia="Arial" w:hAnsi="Arial" w:cs="Arial"/>
          <w:b/>
          <w:color w:val="000000" w:themeColor="text1"/>
          <w:sz w:val="24"/>
        </w:rPr>
        <w:t>HIGH</w:t>
      </w:r>
      <w:r w:rsidRPr="001A1298">
        <w:rPr>
          <w:rFonts w:ascii="Arial" w:eastAsia="Arial" w:hAnsi="Arial" w:cs="Arial"/>
          <w:b/>
          <w:color w:val="000000" w:themeColor="text1"/>
          <w:spacing w:val="-4"/>
          <w:sz w:val="24"/>
        </w:rPr>
        <w:t xml:space="preserve"> </w:t>
      </w:r>
      <w:r w:rsidRPr="001A1298">
        <w:rPr>
          <w:rFonts w:ascii="Arial" w:eastAsia="Arial" w:hAnsi="Arial" w:cs="Arial"/>
          <w:b/>
          <w:color w:val="000000" w:themeColor="text1"/>
          <w:sz w:val="24"/>
        </w:rPr>
        <w:t>COURT</w:t>
      </w:r>
      <w:r w:rsidRPr="001A1298">
        <w:rPr>
          <w:rFonts w:ascii="Arial" w:eastAsia="Arial" w:hAnsi="Arial" w:cs="Arial"/>
          <w:b/>
          <w:color w:val="000000" w:themeColor="text1"/>
          <w:spacing w:val="-1"/>
          <w:sz w:val="24"/>
        </w:rPr>
        <w:t xml:space="preserve"> </w:t>
      </w:r>
      <w:r w:rsidRPr="001A1298">
        <w:rPr>
          <w:rFonts w:ascii="Arial" w:eastAsia="Arial" w:hAnsi="Arial" w:cs="Arial"/>
          <w:b/>
          <w:color w:val="000000" w:themeColor="text1"/>
          <w:sz w:val="24"/>
        </w:rPr>
        <w:t>OF</w:t>
      </w:r>
      <w:r w:rsidRPr="001A1298">
        <w:rPr>
          <w:rFonts w:ascii="Arial" w:eastAsia="Arial" w:hAnsi="Arial" w:cs="Arial"/>
          <w:b/>
          <w:color w:val="000000" w:themeColor="text1"/>
          <w:spacing w:val="-2"/>
          <w:sz w:val="24"/>
        </w:rPr>
        <w:t xml:space="preserve"> </w:t>
      </w:r>
      <w:r w:rsidRPr="001A1298">
        <w:rPr>
          <w:rFonts w:ascii="Arial" w:eastAsia="Arial" w:hAnsi="Arial" w:cs="Arial"/>
          <w:b/>
          <w:color w:val="000000" w:themeColor="text1"/>
          <w:sz w:val="24"/>
        </w:rPr>
        <w:t>SOUTH</w:t>
      </w:r>
      <w:r w:rsidRPr="001A1298">
        <w:rPr>
          <w:rFonts w:ascii="Arial" w:eastAsia="Arial" w:hAnsi="Arial" w:cs="Arial"/>
          <w:b/>
          <w:color w:val="000000" w:themeColor="text1"/>
          <w:spacing w:val="-14"/>
          <w:sz w:val="24"/>
        </w:rPr>
        <w:t xml:space="preserve"> </w:t>
      </w:r>
      <w:r w:rsidRPr="001A1298">
        <w:rPr>
          <w:rFonts w:ascii="Arial" w:eastAsia="Arial" w:hAnsi="Arial" w:cs="Arial"/>
          <w:b/>
          <w:color w:val="000000" w:themeColor="text1"/>
          <w:spacing w:val="-2"/>
          <w:sz w:val="24"/>
        </w:rPr>
        <w:t>AFRICA</w:t>
      </w:r>
    </w:p>
    <w:p w14:paraId="739E3D72" w14:textId="5AC0F6FB" w:rsidR="00F175C9" w:rsidRDefault="00F175C9" w:rsidP="001A1298">
      <w:pPr>
        <w:suppressAutoHyphens/>
        <w:spacing w:before="120" w:after="120" w:line="240" w:lineRule="auto"/>
        <w:ind w:left="720" w:hanging="720"/>
        <w:jc w:val="both"/>
        <w:rPr>
          <w:rFonts w:ascii="Arial" w:eastAsia="Arial" w:hAnsi="Arial" w:cs="Arial"/>
          <w:b/>
          <w:color w:val="000000" w:themeColor="text1"/>
          <w:spacing w:val="-2"/>
          <w:sz w:val="24"/>
        </w:rPr>
      </w:pPr>
      <w:r w:rsidRPr="001A1298">
        <w:rPr>
          <w:rFonts w:ascii="Arial" w:eastAsia="Arial" w:hAnsi="Arial" w:cs="Arial"/>
          <w:b/>
          <w:color w:val="000000" w:themeColor="text1"/>
          <w:spacing w:val="-2"/>
          <w:sz w:val="24"/>
        </w:rPr>
        <w:t>GAUTENG DIVISION, JOHANNESBURG</w:t>
      </w:r>
    </w:p>
    <w:p w14:paraId="773D6080" w14:textId="77777777" w:rsidR="00602A4B" w:rsidRPr="001A1298" w:rsidRDefault="00602A4B" w:rsidP="00B2195C">
      <w:pPr>
        <w:suppressAutoHyphens/>
        <w:spacing w:before="120" w:after="120" w:line="240" w:lineRule="auto"/>
        <w:jc w:val="both"/>
        <w:rPr>
          <w:rFonts w:ascii="Arial" w:eastAsia="Arial Unicode MS" w:hAnsi="Arial" w:cs="Arial"/>
          <w:b/>
          <w:sz w:val="24"/>
          <w:szCs w:val="24"/>
          <w:u w:val="single"/>
          <w:lang w:val="en-ZA"/>
        </w:rPr>
      </w:pPr>
    </w:p>
    <w:p w14:paraId="18A821D9" w14:textId="77777777" w:rsidR="00F175C9" w:rsidRPr="001A1298" w:rsidRDefault="00F175C9" w:rsidP="00F175C9">
      <w:pPr>
        <w:suppressAutoHyphens/>
        <w:spacing w:before="120" w:after="120" w:line="240" w:lineRule="exact"/>
        <w:jc w:val="both"/>
        <w:rPr>
          <w:rFonts w:ascii="Arial" w:eastAsia="Arial Unicode MS" w:hAnsi="Arial" w:cs="Arial"/>
          <w:b/>
          <w:sz w:val="24"/>
          <w:szCs w:val="24"/>
          <w:u w:val="single"/>
          <w:lang w:val="en-ZA"/>
        </w:rPr>
      </w:pPr>
    </w:p>
    <w:p w14:paraId="2871BDF9" w14:textId="711A8C24" w:rsidR="00F175C9" w:rsidRPr="001A1298" w:rsidRDefault="00F175C9" w:rsidP="001A1298">
      <w:pPr>
        <w:suppressAutoHyphens/>
        <w:spacing w:before="120" w:after="120" w:line="240" w:lineRule="auto"/>
        <w:ind w:left="720" w:hanging="720"/>
        <w:jc w:val="both"/>
        <w:rPr>
          <w:rFonts w:ascii="Arial" w:eastAsia="Arial Unicode MS" w:hAnsi="Arial" w:cs="Arial"/>
          <w:bCs/>
          <w:sz w:val="24"/>
          <w:szCs w:val="24"/>
          <w:lang w:val="en-ZA"/>
        </w:rPr>
      </w:pPr>
      <w:r w:rsidRPr="001A1298">
        <w:rPr>
          <w:rFonts w:ascii="Arial" w:eastAsia="Arial Unicode MS" w:hAnsi="Arial" w:cs="Arial"/>
          <w:b/>
          <w:sz w:val="24"/>
          <w:szCs w:val="24"/>
          <w:u w:val="single"/>
          <w:lang w:val="en-ZA"/>
        </w:rPr>
        <w:t>DATE LEAVE TO APPEAL JUDGMENT RESERVED</w:t>
      </w:r>
      <w:r w:rsidRPr="001A1298">
        <w:rPr>
          <w:rFonts w:ascii="Arial" w:eastAsia="Arial Unicode MS" w:hAnsi="Arial" w:cs="Arial"/>
          <w:bCs/>
          <w:sz w:val="24"/>
          <w:szCs w:val="24"/>
          <w:lang w:val="en-ZA"/>
        </w:rPr>
        <w:t>: 2</w:t>
      </w:r>
      <w:r w:rsidR="001A1298" w:rsidRPr="001A1298">
        <w:rPr>
          <w:rFonts w:ascii="Arial" w:eastAsia="Arial Unicode MS" w:hAnsi="Arial" w:cs="Arial"/>
          <w:bCs/>
          <w:sz w:val="24"/>
          <w:szCs w:val="24"/>
          <w:lang w:val="en-ZA"/>
        </w:rPr>
        <w:t>6</w:t>
      </w:r>
      <w:r w:rsidRPr="001A1298">
        <w:rPr>
          <w:rFonts w:ascii="Arial" w:eastAsia="Arial Unicode MS" w:hAnsi="Arial" w:cs="Arial"/>
          <w:bCs/>
          <w:sz w:val="24"/>
          <w:szCs w:val="24"/>
          <w:lang w:val="en-ZA"/>
        </w:rPr>
        <w:t xml:space="preserve"> April 2023</w:t>
      </w:r>
    </w:p>
    <w:p w14:paraId="2E91BA32" w14:textId="77777777" w:rsidR="00F175C9" w:rsidRPr="001A1298" w:rsidRDefault="00F175C9" w:rsidP="001A1298">
      <w:pPr>
        <w:suppressAutoHyphens/>
        <w:spacing w:before="120" w:after="120" w:line="240" w:lineRule="auto"/>
        <w:ind w:left="720" w:hanging="720"/>
        <w:jc w:val="both"/>
        <w:rPr>
          <w:rFonts w:ascii="Arial" w:eastAsia="Arial Unicode MS" w:hAnsi="Arial" w:cs="Arial"/>
          <w:b/>
          <w:sz w:val="24"/>
          <w:szCs w:val="24"/>
          <w:lang w:val="en-ZA"/>
        </w:rPr>
      </w:pPr>
    </w:p>
    <w:p w14:paraId="27A0E79B" w14:textId="13A9EB7C" w:rsidR="00F175C9" w:rsidRPr="001A1298" w:rsidRDefault="00F175C9" w:rsidP="001A1298">
      <w:pPr>
        <w:suppressAutoHyphens/>
        <w:spacing w:after="0" w:line="240" w:lineRule="auto"/>
        <w:jc w:val="both"/>
        <w:rPr>
          <w:rFonts w:ascii="Arial" w:eastAsia="Arial Unicode MS" w:hAnsi="Arial" w:cs="Arial"/>
          <w:sz w:val="24"/>
          <w:szCs w:val="24"/>
          <w:lang w:val="en-ZA"/>
        </w:rPr>
      </w:pPr>
      <w:r w:rsidRPr="001A1298">
        <w:rPr>
          <w:rFonts w:ascii="Arial" w:eastAsia="Arial Unicode MS" w:hAnsi="Arial" w:cs="Arial"/>
          <w:b/>
          <w:sz w:val="24"/>
          <w:szCs w:val="24"/>
          <w:u w:val="single"/>
          <w:lang w:val="en-ZA"/>
        </w:rPr>
        <w:t>DATE JUDGMENT DELIVERED:</w:t>
      </w:r>
      <w:r w:rsidRPr="001A1298">
        <w:rPr>
          <w:rFonts w:ascii="Arial" w:eastAsia="Arial Unicode MS" w:hAnsi="Arial" w:cs="Arial"/>
          <w:sz w:val="24"/>
          <w:szCs w:val="24"/>
          <w:lang w:val="en-ZA"/>
        </w:rPr>
        <w:t xml:space="preserve"> 2</w:t>
      </w:r>
      <w:r w:rsidR="00B2195C">
        <w:rPr>
          <w:rFonts w:ascii="Arial" w:eastAsia="Arial Unicode MS" w:hAnsi="Arial" w:cs="Arial"/>
          <w:sz w:val="24"/>
          <w:szCs w:val="24"/>
          <w:lang w:val="en-ZA"/>
        </w:rPr>
        <w:t>5</w:t>
      </w:r>
      <w:r w:rsidRPr="001A1298">
        <w:rPr>
          <w:rFonts w:ascii="Arial" w:eastAsia="Arial Unicode MS" w:hAnsi="Arial" w:cs="Arial"/>
          <w:sz w:val="24"/>
          <w:szCs w:val="24"/>
          <w:lang w:val="en-ZA"/>
        </w:rPr>
        <w:t xml:space="preserve"> May 2023</w:t>
      </w:r>
    </w:p>
    <w:p w14:paraId="62E1FE2C" w14:textId="77777777" w:rsidR="00F175C9" w:rsidRPr="001A1298" w:rsidRDefault="00F175C9" w:rsidP="001A1298">
      <w:pPr>
        <w:suppressAutoHyphens/>
        <w:spacing w:after="0" w:line="240" w:lineRule="auto"/>
        <w:jc w:val="both"/>
        <w:rPr>
          <w:rFonts w:ascii="Arial" w:eastAsia="Arial Unicode MS" w:hAnsi="Arial" w:cs="Arial"/>
          <w:sz w:val="24"/>
          <w:szCs w:val="24"/>
          <w:lang w:val="en-ZA"/>
        </w:rPr>
      </w:pPr>
    </w:p>
    <w:p w14:paraId="7A12F6EC" w14:textId="77777777" w:rsidR="00F175C9" w:rsidRPr="001A1298" w:rsidRDefault="00F175C9" w:rsidP="00F175C9">
      <w:pPr>
        <w:suppressAutoHyphens/>
        <w:spacing w:after="0" w:line="240" w:lineRule="auto"/>
        <w:jc w:val="both"/>
        <w:rPr>
          <w:rFonts w:ascii="Arial" w:eastAsia="Arial Unicode MS" w:hAnsi="Arial" w:cs="Arial"/>
          <w:b/>
          <w:sz w:val="24"/>
          <w:szCs w:val="24"/>
          <w:u w:val="single"/>
          <w:lang w:val="en-ZA"/>
        </w:rPr>
      </w:pPr>
    </w:p>
    <w:p w14:paraId="607D8D58" w14:textId="77777777" w:rsidR="00F175C9" w:rsidRPr="001A1298" w:rsidRDefault="00F175C9" w:rsidP="00F175C9">
      <w:pPr>
        <w:suppressAutoHyphens/>
        <w:spacing w:after="0" w:line="240" w:lineRule="auto"/>
        <w:jc w:val="both"/>
        <w:rPr>
          <w:rFonts w:ascii="Arial" w:eastAsia="Arial Unicode MS" w:hAnsi="Arial" w:cs="Arial"/>
          <w:b/>
          <w:sz w:val="24"/>
          <w:szCs w:val="24"/>
          <w:u w:val="single"/>
          <w:lang w:val="en-ZA"/>
        </w:rPr>
      </w:pPr>
      <w:r w:rsidRPr="001A1298">
        <w:rPr>
          <w:rFonts w:ascii="Arial" w:eastAsia="Arial Unicode MS" w:hAnsi="Arial" w:cs="Arial"/>
          <w:b/>
          <w:sz w:val="24"/>
          <w:szCs w:val="24"/>
          <w:u w:val="single"/>
          <w:lang w:val="en-ZA"/>
        </w:rPr>
        <w:t>APPEARANCES</w:t>
      </w:r>
    </w:p>
    <w:p w14:paraId="4BA44FEB" w14:textId="77777777" w:rsidR="00F175C9" w:rsidRPr="001A1298" w:rsidRDefault="00F175C9" w:rsidP="00F175C9">
      <w:pPr>
        <w:suppressAutoHyphens/>
        <w:spacing w:after="0" w:line="240" w:lineRule="auto"/>
        <w:jc w:val="both"/>
        <w:rPr>
          <w:rFonts w:ascii="Arial" w:eastAsia="Arial Unicode MS" w:hAnsi="Arial" w:cs="Arial"/>
          <w:sz w:val="24"/>
          <w:szCs w:val="24"/>
          <w:u w:val="single"/>
          <w:lang w:val="en-ZA"/>
        </w:rPr>
      </w:pPr>
    </w:p>
    <w:p w14:paraId="799ADA3C" w14:textId="77777777" w:rsidR="00F175C9" w:rsidRPr="001A1298" w:rsidRDefault="00F175C9" w:rsidP="00F175C9">
      <w:pPr>
        <w:suppressAutoHyphens/>
        <w:spacing w:after="0" w:line="240" w:lineRule="auto"/>
        <w:jc w:val="both"/>
        <w:rPr>
          <w:rFonts w:ascii="Arial" w:eastAsia="Arial Unicode MS" w:hAnsi="Arial" w:cs="Arial"/>
          <w:bCs/>
          <w:sz w:val="24"/>
          <w:szCs w:val="24"/>
          <w:shd w:val="clear" w:color="auto" w:fill="FFFFFF"/>
          <w:lang w:val="en-ZA"/>
        </w:rPr>
      </w:pPr>
      <w:r w:rsidRPr="001A1298">
        <w:rPr>
          <w:rFonts w:ascii="Arial" w:eastAsia="Arial Unicode MS" w:hAnsi="Arial" w:cs="Arial"/>
          <w:sz w:val="24"/>
          <w:szCs w:val="24"/>
          <w:lang w:val="en-ZA"/>
        </w:rPr>
        <w:t>Counsel for the Applicant:</w:t>
      </w:r>
      <w:r w:rsidRPr="001A1298">
        <w:rPr>
          <w:rFonts w:ascii="Arial" w:eastAsia="Arial Unicode MS" w:hAnsi="Arial" w:cs="Arial"/>
          <w:sz w:val="24"/>
          <w:szCs w:val="24"/>
          <w:lang w:val="en-ZA"/>
        </w:rPr>
        <w:tab/>
      </w:r>
      <w:r w:rsidRPr="001A1298">
        <w:rPr>
          <w:rFonts w:ascii="Arial" w:eastAsia="Arial Unicode MS" w:hAnsi="Arial" w:cs="Arial"/>
          <w:sz w:val="24"/>
          <w:szCs w:val="24"/>
          <w:lang w:val="en-ZA"/>
        </w:rPr>
        <w:tab/>
        <w:t>Adv M De Oliveira</w:t>
      </w:r>
      <w:r w:rsidRPr="001A1298">
        <w:rPr>
          <w:rFonts w:ascii="Arial" w:eastAsia="Arial Unicode MS" w:hAnsi="Arial" w:cs="Arial"/>
          <w:sz w:val="24"/>
          <w:szCs w:val="24"/>
          <w:lang w:val="en-ZA"/>
        </w:rPr>
        <w:tab/>
      </w:r>
      <w:r w:rsidRPr="001A1298">
        <w:rPr>
          <w:rFonts w:ascii="Arial" w:eastAsia="Arial Unicode MS" w:hAnsi="Arial" w:cs="Arial"/>
          <w:sz w:val="24"/>
          <w:szCs w:val="24"/>
          <w:lang w:val="en-ZA"/>
        </w:rPr>
        <w:tab/>
      </w:r>
    </w:p>
    <w:p w14:paraId="44B33744" w14:textId="77777777" w:rsidR="00F175C9" w:rsidRPr="001A1298" w:rsidRDefault="00F175C9" w:rsidP="00F175C9">
      <w:pPr>
        <w:suppressAutoHyphens/>
        <w:spacing w:after="0" w:line="240" w:lineRule="auto"/>
        <w:jc w:val="both"/>
        <w:rPr>
          <w:rFonts w:ascii="Arial" w:eastAsia="Arial Unicode MS" w:hAnsi="Arial" w:cs="Arial"/>
          <w:bCs/>
          <w:sz w:val="24"/>
          <w:szCs w:val="24"/>
          <w:shd w:val="clear" w:color="auto" w:fill="FFFFFF"/>
          <w:lang w:val="en-ZA"/>
        </w:rPr>
      </w:pPr>
    </w:p>
    <w:p w14:paraId="29A35C45" w14:textId="469696CE" w:rsidR="00F175C9" w:rsidRPr="001A1298" w:rsidRDefault="00F175C9" w:rsidP="00B2195C">
      <w:pPr>
        <w:suppressAutoHyphens/>
        <w:spacing w:after="0" w:line="240" w:lineRule="auto"/>
        <w:jc w:val="both"/>
        <w:rPr>
          <w:rFonts w:ascii="Arial" w:eastAsia="Arial Unicode MS" w:hAnsi="Arial" w:cs="Arial"/>
          <w:bCs/>
          <w:sz w:val="24"/>
          <w:szCs w:val="24"/>
          <w:shd w:val="clear" w:color="auto" w:fill="FFFFFF"/>
          <w:lang w:val="en-ZA"/>
        </w:rPr>
      </w:pPr>
      <w:r w:rsidRPr="001A1298">
        <w:rPr>
          <w:rFonts w:ascii="Arial" w:eastAsia="Arial Unicode MS" w:hAnsi="Arial" w:cs="Arial"/>
          <w:bCs/>
          <w:sz w:val="24"/>
          <w:szCs w:val="24"/>
          <w:shd w:val="clear" w:color="auto" w:fill="FFFFFF"/>
          <w:lang w:val="en-ZA"/>
        </w:rPr>
        <w:t>Instructed by:</w:t>
      </w:r>
      <w:r w:rsidRPr="001A1298">
        <w:rPr>
          <w:rFonts w:ascii="Arial" w:eastAsia="Arial Unicode MS" w:hAnsi="Arial" w:cs="Arial"/>
          <w:bCs/>
          <w:sz w:val="24"/>
          <w:szCs w:val="24"/>
          <w:shd w:val="clear" w:color="auto" w:fill="FFFFFF"/>
          <w:lang w:val="en-ZA"/>
        </w:rPr>
        <w:tab/>
      </w:r>
      <w:r w:rsidRPr="001A1298">
        <w:rPr>
          <w:rFonts w:ascii="Arial" w:eastAsia="Arial Unicode MS" w:hAnsi="Arial" w:cs="Arial"/>
          <w:bCs/>
          <w:sz w:val="24"/>
          <w:szCs w:val="24"/>
          <w:shd w:val="clear" w:color="auto" w:fill="FFFFFF"/>
          <w:lang w:val="en-ZA"/>
        </w:rPr>
        <w:tab/>
      </w:r>
      <w:r w:rsidRPr="001A1298">
        <w:rPr>
          <w:rFonts w:ascii="Arial" w:eastAsia="Arial Unicode MS" w:hAnsi="Arial" w:cs="Arial"/>
          <w:bCs/>
          <w:sz w:val="24"/>
          <w:szCs w:val="24"/>
          <w:shd w:val="clear" w:color="auto" w:fill="FFFFFF"/>
          <w:lang w:val="en-ZA"/>
        </w:rPr>
        <w:tab/>
        <w:t xml:space="preserve">KWA Attorneys </w:t>
      </w:r>
      <w:r w:rsidRPr="001A1298">
        <w:rPr>
          <w:rFonts w:ascii="Arial" w:eastAsia="Arial Unicode MS" w:hAnsi="Arial" w:cs="Arial"/>
          <w:bCs/>
          <w:sz w:val="24"/>
          <w:szCs w:val="24"/>
          <w:shd w:val="clear" w:color="auto" w:fill="FFFFFF"/>
          <w:lang w:val="en-ZA"/>
        </w:rPr>
        <w:tab/>
      </w:r>
      <w:r w:rsidRPr="001A1298">
        <w:rPr>
          <w:rFonts w:ascii="Arial" w:eastAsia="Arial Unicode MS" w:hAnsi="Arial" w:cs="Arial"/>
          <w:bCs/>
          <w:sz w:val="24"/>
          <w:szCs w:val="24"/>
          <w:shd w:val="clear" w:color="auto" w:fill="FFFFFF"/>
          <w:lang w:val="en-ZA"/>
        </w:rPr>
        <w:tab/>
      </w:r>
      <w:r w:rsidRPr="001A1298">
        <w:rPr>
          <w:rFonts w:ascii="Arial" w:eastAsia="Arial Unicode MS" w:hAnsi="Arial" w:cs="Arial"/>
          <w:bCs/>
          <w:sz w:val="24"/>
          <w:szCs w:val="24"/>
          <w:shd w:val="clear" w:color="auto" w:fill="FFFFFF"/>
          <w:lang w:val="en-ZA"/>
        </w:rPr>
        <w:tab/>
      </w:r>
      <w:r w:rsidRPr="001A1298">
        <w:rPr>
          <w:rFonts w:ascii="Arial" w:eastAsia="Arial Unicode MS" w:hAnsi="Arial" w:cs="Arial"/>
          <w:bCs/>
          <w:sz w:val="24"/>
          <w:szCs w:val="24"/>
          <w:shd w:val="clear" w:color="auto" w:fill="FFFFFF"/>
          <w:lang w:val="en-ZA"/>
        </w:rPr>
        <w:tab/>
      </w:r>
      <w:r w:rsidRPr="001A1298">
        <w:rPr>
          <w:rFonts w:ascii="Arial" w:eastAsia="Arial Unicode MS" w:hAnsi="Arial" w:cs="Arial"/>
          <w:b/>
          <w:bCs/>
          <w:sz w:val="24"/>
          <w:szCs w:val="24"/>
          <w:shd w:val="clear" w:color="auto" w:fill="FFFFFF"/>
          <w:lang w:val="en-ZA"/>
        </w:rPr>
        <w:tab/>
      </w:r>
      <w:r w:rsidRPr="001A1298">
        <w:rPr>
          <w:rFonts w:ascii="Arial" w:eastAsia="Arial Unicode MS" w:hAnsi="Arial" w:cs="Arial"/>
          <w:b/>
          <w:bCs/>
          <w:sz w:val="24"/>
          <w:szCs w:val="24"/>
          <w:shd w:val="clear" w:color="auto" w:fill="FFFFFF"/>
          <w:lang w:val="en-ZA"/>
        </w:rPr>
        <w:tab/>
      </w:r>
      <w:r w:rsidRPr="001A1298">
        <w:rPr>
          <w:rFonts w:ascii="Arial" w:eastAsia="Arial Unicode MS" w:hAnsi="Arial" w:cs="Arial"/>
          <w:b/>
          <w:bCs/>
          <w:sz w:val="24"/>
          <w:szCs w:val="24"/>
          <w:shd w:val="clear" w:color="auto" w:fill="FFFFFF"/>
          <w:lang w:val="en-ZA"/>
        </w:rPr>
        <w:tab/>
      </w:r>
      <w:r w:rsidRPr="001A1298">
        <w:rPr>
          <w:rFonts w:ascii="Arial" w:eastAsia="Arial Unicode MS" w:hAnsi="Arial" w:cs="Arial"/>
          <w:b/>
          <w:bCs/>
          <w:sz w:val="24"/>
          <w:szCs w:val="24"/>
          <w:shd w:val="clear" w:color="auto" w:fill="FFFFFF"/>
          <w:lang w:val="en-ZA"/>
        </w:rPr>
        <w:tab/>
      </w:r>
    </w:p>
    <w:p w14:paraId="7B178F44" w14:textId="77777777" w:rsidR="00F175C9" w:rsidRPr="001A1298" w:rsidRDefault="00F175C9" w:rsidP="00B2195C">
      <w:pPr>
        <w:suppressAutoHyphens/>
        <w:spacing w:after="0" w:line="240" w:lineRule="auto"/>
        <w:jc w:val="both"/>
        <w:rPr>
          <w:rFonts w:ascii="Arial" w:eastAsia="Arial Unicode MS" w:hAnsi="Arial" w:cs="Arial"/>
          <w:sz w:val="24"/>
          <w:szCs w:val="24"/>
          <w:lang w:val="en-ZA"/>
        </w:rPr>
      </w:pPr>
    </w:p>
    <w:p w14:paraId="51E0197D" w14:textId="77777777" w:rsidR="00F175C9" w:rsidRPr="001A1298" w:rsidRDefault="00F175C9" w:rsidP="00F175C9">
      <w:pPr>
        <w:suppressAutoHyphens/>
        <w:spacing w:after="0" w:line="240" w:lineRule="auto"/>
        <w:jc w:val="both"/>
        <w:rPr>
          <w:rFonts w:ascii="Arial" w:eastAsia="Arial Unicode MS" w:hAnsi="Arial" w:cs="Arial"/>
          <w:color w:val="000000"/>
          <w:sz w:val="24"/>
          <w:szCs w:val="24"/>
          <w:u w:color="000000"/>
        </w:rPr>
      </w:pPr>
      <w:r w:rsidRPr="001A1298">
        <w:rPr>
          <w:rFonts w:ascii="Arial" w:eastAsia="Arial Unicode MS" w:hAnsi="Arial" w:cs="Arial"/>
          <w:color w:val="000000"/>
          <w:sz w:val="24"/>
          <w:szCs w:val="24"/>
          <w:u w:color="000000"/>
        </w:rPr>
        <w:t xml:space="preserve">Counsel for the </w:t>
      </w:r>
    </w:p>
    <w:p w14:paraId="1D3EBEEF" w14:textId="77777777" w:rsidR="00F175C9" w:rsidRPr="001A1298" w:rsidRDefault="00F175C9" w:rsidP="00F175C9">
      <w:pPr>
        <w:suppressAutoHyphens/>
        <w:spacing w:after="0" w:line="240" w:lineRule="auto"/>
        <w:jc w:val="both"/>
        <w:rPr>
          <w:rFonts w:ascii="Arial" w:eastAsia="Arial Unicode MS" w:hAnsi="Arial" w:cs="Arial"/>
          <w:bCs/>
          <w:sz w:val="24"/>
          <w:szCs w:val="24"/>
          <w:u w:color="000000"/>
          <w:shd w:val="clear" w:color="auto" w:fill="FFFFFF"/>
        </w:rPr>
      </w:pPr>
      <w:r w:rsidRPr="001A1298">
        <w:rPr>
          <w:rFonts w:ascii="Arial" w:eastAsia="Arial Unicode MS" w:hAnsi="Arial" w:cs="Arial"/>
          <w:color w:val="000000"/>
          <w:sz w:val="24"/>
          <w:szCs w:val="24"/>
          <w:u w:color="000000"/>
        </w:rPr>
        <w:t>Respondents:</w:t>
      </w:r>
      <w:r w:rsidRPr="001A1298">
        <w:rPr>
          <w:rFonts w:ascii="Arial" w:eastAsia="Arial Unicode MS" w:hAnsi="Arial" w:cs="Arial"/>
          <w:color w:val="000000"/>
          <w:sz w:val="24"/>
          <w:szCs w:val="24"/>
          <w:u w:color="000000"/>
        </w:rPr>
        <w:tab/>
      </w:r>
      <w:r w:rsidRPr="001A1298">
        <w:rPr>
          <w:rFonts w:ascii="Arial" w:eastAsia="Arial Unicode MS" w:hAnsi="Arial" w:cs="Arial"/>
          <w:color w:val="000000"/>
          <w:sz w:val="24"/>
          <w:szCs w:val="24"/>
          <w:u w:color="000000"/>
        </w:rPr>
        <w:tab/>
      </w:r>
      <w:r w:rsidRPr="001A1298">
        <w:rPr>
          <w:rFonts w:ascii="Arial" w:eastAsia="Arial Unicode MS" w:hAnsi="Arial" w:cs="Arial"/>
          <w:color w:val="000000"/>
          <w:sz w:val="24"/>
          <w:szCs w:val="24"/>
          <w:u w:color="000000"/>
        </w:rPr>
        <w:tab/>
        <w:t>Adv AJ Venter</w:t>
      </w:r>
      <w:r w:rsidRPr="001A1298">
        <w:rPr>
          <w:rFonts w:ascii="Arial" w:eastAsia="Arial Unicode MS" w:hAnsi="Arial" w:cs="Arial"/>
          <w:color w:val="000000"/>
          <w:sz w:val="24"/>
          <w:szCs w:val="24"/>
          <w:u w:color="000000"/>
        </w:rPr>
        <w:tab/>
      </w:r>
      <w:r w:rsidRPr="001A1298">
        <w:rPr>
          <w:rFonts w:ascii="Arial" w:eastAsia="Arial Unicode MS" w:hAnsi="Arial" w:cs="Arial"/>
          <w:color w:val="000000"/>
          <w:sz w:val="24"/>
          <w:szCs w:val="24"/>
          <w:u w:color="000000"/>
        </w:rPr>
        <w:tab/>
      </w:r>
      <w:r w:rsidRPr="001A1298">
        <w:rPr>
          <w:rFonts w:ascii="Arial" w:eastAsia="Arial Unicode MS" w:hAnsi="Arial" w:cs="Arial"/>
          <w:color w:val="000000"/>
          <w:sz w:val="24"/>
          <w:szCs w:val="24"/>
          <w:u w:color="000000"/>
        </w:rPr>
        <w:tab/>
      </w:r>
      <w:r w:rsidRPr="001A1298">
        <w:rPr>
          <w:rFonts w:ascii="Arial" w:eastAsia="Arial Unicode MS" w:hAnsi="Arial" w:cs="Arial"/>
          <w:color w:val="000000"/>
          <w:sz w:val="24"/>
          <w:szCs w:val="24"/>
          <w:u w:color="000000"/>
        </w:rPr>
        <w:tab/>
      </w:r>
      <w:r w:rsidRPr="001A1298">
        <w:rPr>
          <w:rFonts w:ascii="Arial" w:eastAsia="Arial Unicode MS" w:hAnsi="Arial" w:cs="Arial"/>
          <w:bCs/>
          <w:sz w:val="24"/>
          <w:szCs w:val="24"/>
          <w:u w:color="000000"/>
          <w:shd w:val="clear" w:color="auto" w:fill="FFFFFF"/>
        </w:rPr>
        <w:tab/>
      </w:r>
      <w:r w:rsidRPr="001A1298">
        <w:rPr>
          <w:rFonts w:ascii="Arial" w:eastAsia="Arial Unicode MS" w:hAnsi="Arial" w:cs="Arial"/>
          <w:bCs/>
          <w:sz w:val="24"/>
          <w:szCs w:val="24"/>
          <w:u w:color="000000"/>
          <w:shd w:val="clear" w:color="auto" w:fill="FFFFFF"/>
        </w:rPr>
        <w:tab/>
      </w:r>
      <w:r w:rsidRPr="001A1298">
        <w:rPr>
          <w:rFonts w:ascii="Arial" w:eastAsia="Arial Unicode MS" w:hAnsi="Arial" w:cs="Arial"/>
          <w:bCs/>
          <w:sz w:val="24"/>
          <w:szCs w:val="24"/>
          <w:u w:color="000000"/>
          <w:shd w:val="clear" w:color="auto" w:fill="FFFFFF"/>
        </w:rPr>
        <w:tab/>
      </w:r>
      <w:r w:rsidRPr="001A1298">
        <w:rPr>
          <w:rFonts w:ascii="Arial" w:eastAsia="Arial Unicode MS" w:hAnsi="Arial" w:cs="Arial"/>
          <w:bCs/>
          <w:sz w:val="24"/>
          <w:szCs w:val="24"/>
          <w:u w:color="000000"/>
          <w:shd w:val="clear" w:color="auto" w:fill="FFFFFF"/>
        </w:rPr>
        <w:tab/>
      </w:r>
      <w:r w:rsidRPr="001A1298">
        <w:rPr>
          <w:rFonts w:ascii="Arial" w:eastAsia="Arial Unicode MS" w:hAnsi="Arial" w:cs="Arial"/>
          <w:bCs/>
          <w:sz w:val="24"/>
          <w:szCs w:val="24"/>
          <w:u w:color="000000"/>
          <w:shd w:val="clear" w:color="auto" w:fill="FFFFFF"/>
        </w:rPr>
        <w:tab/>
      </w:r>
      <w:r w:rsidRPr="001A1298">
        <w:rPr>
          <w:rFonts w:ascii="Arial" w:eastAsia="Arial Unicode MS" w:hAnsi="Arial" w:cs="Arial"/>
          <w:bCs/>
          <w:sz w:val="24"/>
          <w:szCs w:val="24"/>
          <w:u w:color="000000"/>
          <w:shd w:val="clear" w:color="auto" w:fill="FFFFFF"/>
        </w:rPr>
        <w:tab/>
      </w:r>
      <w:r w:rsidRPr="001A1298">
        <w:rPr>
          <w:rFonts w:ascii="Arial" w:eastAsia="Arial Unicode MS" w:hAnsi="Arial" w:cs="Arial"/>
          <w:bCs/>
          <w:sz w:val="24"/>
          <w:szCs w:val="24"/>
          <w:u w:color="000000"/>
          <w:shd w:val="clear" w:color="auto" w:fill="FFFFFF"/>
        </w:rPr>
        <w:tab/>
      </w:r>
    </w:p>
    <w:p w14:paraId="0B2F873B" w14:textId="77777777" w:rsidR="00F175C9" w:rsidRPr="001A1298" w:rsidRDefault="00F175C9" w:rsidP="00F175C9">
      <w:pPr>
        <w:suppressAutoHyphens/>
        <w:spacing w:after="0" w:line="240" w:lineRule="auto"/>
        <w:jc w:val="both"/>
        <w:rPr>
          <w:rFonts w:ascii="Arial" w:eastAsia="Times New Roman" w:hAnsi="Arial" w:cs="Arial"/>
          <w:sz w:val="24"/>
          <w:szCs w:val="20"/>
          <w:lang w:val="en-ZA"/>
        </w:rPr>
      </w:pPr>
      <w:r w:rsidRPr="001A1298">
        <w:rPr>
          <w:rFonts w:ascii="Arial" w:eastAsia="Arial Unicode MS" w:hAnsi="Arial" w:cs="Arial"/>
          <w:color w:val="000000"/>
          <w:sz w:val="24"/>
          <w:szCs w:val="24"/>
          <w:u w:color="000000"/>
        </w:rPr>
        <w:t>Instructed by:</w:t>
      </w:r>
      <w:r w:rsidRPr="001A1298">
        <w:rPr>
          <w:rFonts w:ascii="Arial" w:eastAsia="Arial Unicode MS" w:hAnsi="Arial" w:cs="Arial"/>
          <w:color w:val="000000"/>
          <w:sz w:val="24"/>
          <w:szCs w:val="24"/>
          <w:u w:color="000000"/>
        </w:rPr>
        <w:tab/>
      </w:r>
      <w:r w:rsidRPr="001A1298">
        <w:rPr>
          <w:rFonts w:ascii="Arial" w:eastAsia="Arial Unicode MS" w:hAnsi="Arial" w:cs="Arial"/>
          <w:color w:val="000000"/>
          <w:sz w:val="24"/>
          <w:szCs w:val="24"/>
          <w:u w:color="000000"/>
        </w:rPr>
        <w:tab/>
      </w:r>
      <w:r w:rsidRPr="001A1298">
        <w:rPr>
          <w:rFonts w:ascii="Arial" w:eastAsia="Arial Unicode MS" w:hAnsi="Arial" w:cs="Arial"/>
          <w:color w:val="000000"/>
          <w:sz w:val="24"/>
          <w:szCs w:val="24"/>
          <w:u w:color="000000"/>
        </w:rPr>
        <w:tab/>
      </w:r>
      <w:proofErr w:type="spellStart"/>
      <w:r w:rsidRPr="001A1298">
        <w:rPr>
          <w:rFonts w:ascii="Arial" w:eastAsia="Arial Unicode MS" w:hAnsi="Arial" w:cs="Arial"/>
          <w:color w:val="000000"/>
          <w:sz w:val="24"/>
          <w:szCs w:val="24"/>
          <w:u w:color="000000"/>
        </w:rPr>
        <w:t>Witz</w:t>
      </w:r>
      <w:proofErr w:type="spellEnd"/>
      <w:r w:rsidRPr="001A1298">
        <w:rPr>
          <w:rFonts w:ascii="Arial" w:eastAsia="Arial Unicode MS" w:hAnsi="Arial" w:cs="Arial"/>
          <w:color w:val="000000"/>
          <w:sz w:val="24"/>
          <w:szCs w:val="24"/>
          <w:u w:color="000000"/>
        </w:rPr>
        <w:t xml:space="preserve"> Incorporated</w:t>
      </w:r>
      <w:r w:rsidRPr="001A1298">
        <w:rPr>
          <w:rFonts w:ascii="Arial" w:eastAsia="Arial Unicode MS" w:hAnsi="Arial" w:cs="Arial"/>
          <w:color w:val="000000"/>
          <w:sz w:val="24"/>
          <w:szCs w:val="24"/>
          <w:u w:color="000000"/>
        </w:rPr>
        <w:tab/>
      </w:r>
      <w:r w:rsidRPr="001A1298">
        <w:rPr>
          <w:rFonts w:ascii="Arial" w:eastAsia="Arial Unicode MS" w:hAnsi="Arial" w:cs="Arial"/>
          <w:color w:val="000000"/>
          <w:sz w:val="24"/>
          <w:szCs w:val="24"/>
          <w:u w:color="000000"/>
        </w:rPr>
        <w:tab/>
      </w:r>
      <w:r w:rsidRPr="001A1298">
        <w:rPr>
          <w:rFonts w:ascii="Arial" w:eastAsia="Arial Unicode MS" w:hAnsi="Arial" w:cs="Arial"/>
          <w:color w:val="000000"/>
          <w:sz w:val="24"/>
          <w:szCs w:val="24"/>
          <w:u w:color="000000"/>
        </w:rPr>
        <w:tab/>
      </w:r>
      <w:r w:rsidRPr="001A1298">
        <w:rPr>
          <w:rFonts w:ascii="Arial" w:eastAsia="Arial Unicode MS" w:hAnsi="Arial" w:cs="Arial"/>
          <w:color w:val="000000"/>
          <w:sz w:val="24"/>
          <w:szCs w:val="24"/>
          <w:u w:color="000000"/>
        </w:rPr>
        <w:tab/>
      </w:r>
    </w:p>
    <w:p w14:paraId="69585CC2" w14:textId="77777777" w:rsidR="00D23781" w:rsidRPr="001A1298" w:rsidRDefault="005074B8">
      <w:pPr>
        <w:rPr>
          <w:rFonts w:ascii="Arial" w:hAnsi="Arial" w:cs="Arial"/>
        </w:rPr>
      </w:pPr>
    </w:p>
    <w:sectPr w:rsidR="00D23781" w:rsidRPr="001A1298">
      <w:headerReference w:type="even" r:id="rId10"/>
      <w:headerReference w:type="default" r:id="rId11"/>
      <w:pgSz w:w="11906" w:h="16838" w:code="9"/>
      <w:pgMar w:top="1440" w:right="1440" w:bottom="1440" w:left="1440"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4EBEBB" w14:textId="77777777" w:rsidR="005074B8" w:rsidRDefault="005074B8" w:rsidP="00F175C9">
      <w:pPr>
        <w:spacing w:after="0" w:line="240" w:lineRule="auto"/>
      </w:pPr>
      <w:r>
        <w:separator/>
      </w:r>
    </w:p>
  </w:endnote>
  <w:endnote w:type="continuationSeparator" w:id="0">
    <w:p w14:paraId="391FAFA3" w14:textId="77777777" w:rsidR="005074B8" w:rsidRDefault="005074B8" w:rsidP="00F175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altName w:val="Arial"/>
    <w:panose1 w:val="020B0604020202020204"/>
    <w:charset w:val="00"/>
    <w:family w:val="roman"/>
    <w:pitch w:val="default"/>
  </w:font>
  <w:font w:name="Lucida Handwriting">
    <w:panose1 w:val="03010101010101010101"/>
    <w:charset w:val="00"/>
    <w:family w:val="script"/>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539F1A" w14:textId="77777777" w:rsidR="005074B8" w:rsidRDefault="005074B8" w:rsidP="00F175C9">
      <w:pPr>
        <w:spacing w:after="0" w:line="240" w:lineRule="auto"/>
      </w:pPr>
      <w:r>
        <w:separator/>
      </w:r>
    </w:p>
  </w:footnote>
  <w:footnote w:type="continuationSeparator" w:id="0">
    <w:p w14:paraId="051FAF69" w14:textId="77777777" w:rsidR="005074B8" w:rsidRDefault="005074B8" w:rsidP="00F175C9">
      <w:pPr>
        <w:spacing w:after="0" w:line="240" w:lineRule="auto"/>
      </w:pPr>
      <w:r>
        <w:continuationSeparator/>
      </w:r>
    </w:p>
  </w:footnote>
  <w:footnote w:id="1">
    <w:p w14:paraId="3BF1BACE" w14:textId="77777777" w:rsidR="00495AF5" w:rsidRDefault="00495AF5" w:rsidP="00495AF5">
      <w:pPr>
        <w:pStyle w:val="FootnoteText"/>
        <w:rPr>
          <w:lang w:val="en-ZA"/>
        </w:rPr>
      </w:pPr>
      <w:r>
        <w:rPr>
          <w:rStyle w:val="FootnoteReference"/>
        </w:rPr>
        <w:footnoteRef/>
      </w:r>
      <w:r>
        <w:t xml:space="preserve"> (1957/09) [2016] ZAGPPHC 489 (24 June 2016)</w:t>
      </w:r>
    </w:p>
  </w:footnote>
  <w:footnote w:id="2">
    <w:p w14:paraId="439849DA" w14:textId="77777777" w:rsidR="00495AF5" w:rsidRDefault="00495AF5" w:rsidP="00495AF5">
      <w:pPr>
        <w:pStyle w:val="FootnoteText"/>
      </w:pPr>
      <w:r>
        <w:rPr>
          <w:rStyle w:val="FootnoteReference"/>
        </w:rPr>
        <w:footnoteRef/>
      </w:r>
      <w:r>
        <w:t xml:space="preserve"> 2014 JDR 2325 (LCC)</w:t>
      </w:r>
    </w:p>
  </w:footnote>
  <w:footnote w:id="3">
    <w:p w14:paraId="445601F1" w14:textId="77777777" w:rsidR="00495AF5" w:rsidRDefault="00495AF5" w:rsidP="00495AF5">
      <w:pPr>
        <w:pStyle w:val="FootnoteText"/>
      </w:pPr>
      <w:r>
        <w:rPr>
          <w:rStyle w:val="FootnoteReference"/>
        </w:rPr>
        <w:footnoteRef/>
      </w:r>
      <w:r>
        <w:t xml:space="preserve"> [2017] ZAFSHC 80 at para 5</w:t>
      </w:r>
    </w:p>
  </w:footnote>
  <w:footnote w:id="4">
    <w:p w14:paraId="32955AE9" w14:textId="77777777" w:rsidR="00495AF5" w:rsidRDefault="00495AF5" w:rsidP="00495AF5">
      <w:pPr>
        <w:pStyle w:val="FootnoteText"/>
      </w:pPr>
      <w:r>
        <w:rPr>
          <w:rStyle w:val="FootnoteReference"/>
        </w:rPr>
        <w:footnoteRef/>
      </w:r>
      <w:r>
        <w:t xml:space="preserve"> [2016] ZASCA 112 para 2</w:t>
      </w:r>
    </w:p>
  </w:footnote>
  <w:footnote w:id="5">
    <w:p w14:paraId="26CD66C0" w14:textId="77777777" w:rsidR="00495AF5" w:rsidRDefault="00495AF5" w:rsidP="00495AF5">
      <w:pPr>
        <w:pStyle w:val="FootnoteText"/>
      </w:pPr>
      <w:r>
        <w:rPr>
          <w:rStyle w:val="FootnoteReference"/>
        </w:rPr>
        <w:footnoteRef/>
      </w:r>
      <w:r>
        <w:t xml:space="preserve"> 2012 (1) SACR 567 (SCA) at para 7</w:t>
      </w:r>
    </w:p>
  </w:footnote>
  <w:footnote w:id="6">
    <w:p w14:paraId="30EB9FE1" w14:textId="77777777" w:rsidR="00495AF5" w:rsidRDefault="00495AF5" w:rsidP="00495AF5">
      <w:pPr>
        <w:pStyle w:val="FootnoteText"/>
      </w:pPr>
      <w:r>
        <w:rPr>
          <w:rStyle w:val="FootnoteReference"/>
        </w:rPr>
        <w:footnoteRef/>
      </w:r>
      <w:r>
        <w:t xml:space="preserve"> 2020 (1) SA 267 (LP) at [4]</w:t>
      </w:r>
    </w:p>
  </w:footnote>
  <w:footnote w:id="7">
    <w:p w14:paraId="5A614331" w14:textId="77777777" w:rsidR="00495AF5" w:rsidRDefault="00495AF5" w:rsidP="00495AF5">
      <w:pPr>
        <w:pStyle w:val="FootnoteText"/>
        <w:rPr>
          <w:lang w:val="en-ZA"/>
        </w:rPr>
      </w:pPr>
      <w:r>
        <w:rPr>
          <w:rStyle w:val="FootnoteReference"/>
        </w:rPr>
        <w:footnoteRef/>
      </w:r>
      <w:r>
        <w:t xml:space="preserve"> (213/16) [2017] ZASCA 17 (22 March 2017)</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11DEB8" w14:textId="77777777" w:rsidR="00483191" w:rsidRDefault="005074B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29A142E" w14:textId="77777777" w:rsidR="00483191" w:rsidRDefault="005074B8">
    <w:pPr>
      <w:pStyle w:val="Header"/>
      <w:ind w:right="360"/>
    </w:pPr>
  </w:p>
  <w:p w14:paraId="4C0512A9" w14:textId="77777777" w:rsidR="00483191" w:rsidRDefault="005074B8"/>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FB9512" w14:textId="3F81D9D9" w:rsidR="00483191" w:rsidRDefault="005074B8">
    <w:pPr>
      <w:pStyle w:val="Header"/>
    </w:pPr>
    <w:r>
      <w:t xml:space="preserve">Page </w:t>
    </w:r>
    <w:r>
      <w:rPr>
        <w:rStyle w:val="PageNumber"/>
      </w:rPr>
      <w:fldChar w:fldCharType="begin"/>
    </w:r>
    <w:r>
      <w:rPr>
        <w:rStyle w:val="PageNumber"/>
      </w:rPr>
      <w:instrText xml:space="preserve"> PAGE </w:instrText>
    </w:r>
    <w:r>
      <w:rPr>
        <w:rStyle w:val="PageNumber"/>
      </w:rPr>
      <w:fldChar w:fldCharType="separate"/>
    </w:r>
    <w:r w:rsidR="005508BD">
      <w:rPr>
        <w:rStyle w:val="PageNumber"/>
        <w:noProof/>
      </w:rPr>
      <w:t>7</w:t>
    </w:r>
    <w:r>
      <w:rPr>
        <w:rStyle w:val="PageNumber"/>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08294C"/>
    <w:multiLevelType w:val="hybridMultilevel"/>
    <w:tmpl w:val="9A60F4FA"/>
    <w:lvl w:ilvl="0" w:tplc="4C745D8E">
      <w:start w:val="1"/>
      <w:numFmt w:val="lowerLetter"/>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 w15:restartNumberingAfterBreak="0">
    <w:nsid w:val="6ADA6938"/>
    <w:multiLevelType w:val="hybridMultilevel"/>
    <w:tmpl w:val="E2AC75BE"/>
    <w:lvl w:ilvl="0" w:tplc="BFF6CB0A">
      <w:start w:val="1"/>
      <w:numFmt w:val="lowerLetter"/>
      <w:lvlText w:val="(%1)"/>
      <w:lvlJc w:val="left"/>
      <w:pPr>
        <w:ind w:left="2520" w:hanging="360"/>
      </w:pPr>
      <w:rPr>
        <w:rFonts w:hint="default"/>
      </w:rPr>
    </w:lvl>
    <w:lvl w:ilvl="1" w:tplc="1C090019" w:tentative="1">
      <w:start w:val="1"/>
      <w:numFmt w:val="lowerLetter"/>
      <w:lvlText w:val="%2."/>
      <w:lvlJc w:val="lef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num w:numId="1">
    <w:abstractNumId w:val="1"/>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5C9"/>
    <w:rsid w:val="001A1298"/>
    <w:rsid w:val="00495AF5"/>
    <w:rsid w:val="004A3EAB"/>
    <w:rsid w:val="005074B8"/>
    <w:rsid w:val="005151BB"/>
    <w:rsid w:val="005508BD"/>
    <w:rsid w:val="00602A4B"/>
    <w:rsid w:val="007C4194"/>
    <w:rsid w:val="00A04132"/>
    <w:rsid w:val="00A06F0C"/>
    <w:rsid w:val="00B2195C"/>
    <w:rsid w:val="00B7425B"/>
    <w:rsid w:val="00BB0CDE"/>
    <w:rsid w:val="00C11B75"/>
    <w:rsid w:val="00DF54D0"/>
    <w:rsid w:val="00EC27CA"/>
    <w:rsid w:val="00F175C9"/>
    <w:rsid w:val="00F802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8D34B6"/>
  <w15:chartTrackingRefBased/>
  <w15:docId w15:val="{C7277238-E30F-49CE-9B4F-74C7EE625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75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175C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175C9"/>
  </w:style>
  <w:style w:type="character" w:styleId="PageNumber">
    <w:name w:val="page number"/>
    <w:rsid w:val="00F175C9"/>
    <w:rPr>
      <w:rFonts w:ascii="Arial" w:hAnsi="Arial"/>
      <w:sz w:val="24"/>
    </w:rPr>
  </w:style>
  <w:style w:type="paragraph" w:styleId="FootnoteText">
    <w:name w:val="footnote text"/>
    <w:basedOn w:val="Normal"/>
    <w:link w:val="FootnoteTextChar"/>
    <w:uiPriority w:val="99"/>
    <w:semiHidden/>
    <w:unhideWhenUsed/>
    <w:rsid w:val="00F175C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175C9"/>
    <w:rPr>
      <w:sz w:val="20"/>
      <w:szCs w:val="20"/>
    </w:rPr>
  </w:style>
  <w:style w:type="character" w:styleId="FootnoteReference">
    <w:name w:val="footnote reference"/>
    <w:basedOn w:val="DefaultParagraphFont"/>
    <w:uiPriority w:val="99"/>
    <w:semiHidden/>
    <w:unhideWhenUsed/>
    <w:rsid w:val="00F175C9"/>
    <w:rPr>
      <w:vertAlign w:val="superscript"/>
    </w:rPr>
  </w:style>
  <w:style w:type="paragraph" w:styleId="ListParagraph">
    <w:name w:val="List Paragraph"/>
    <w:basedOn w:val="Normal"/>
    <w:uiPriority w:val="34"/>
    <w:qFormat/>
    <w:rsid w:val="00495AF5"/>
    <w:pPr>
      <w:spacing w:line="256" w:lineRule="auto"/>
      <w:ind w:left="720"/>
      <w:contextualSpacing/>
    </w:pPr>
  </w:style>
  <w:style w:type="paragraph" w:styleId="Revision">
    <w:name w:val="Revision"/>
    <w:hidden/>
    <w:uiPriority w:val="99"/>
    <w:semiHidden/>
    <w:rsid w:val="00EC27C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9614570">
      <w:bodyDiv w:val="1"/>
      <w:marLeft w:val="0"/>
      <w:marRight w:val="0"/>
      <w:marTop w:val="0"/>
      <w:marBottom w:val="0"/>
      <w:divBdr>
        <w:top w:val="none" w:sz="0" w:space="0" w:color="auto"/>
        <w:left w:val="none" w:sz="0" w:space="0" w:color="auto"/>
        <w:bottom w:val="none" w:sz="0" w:space="0" w:color="auto"/>
        <w:right w:val="none" w:sz="0" w:space="0" w:color="auto"/>
      </w:divBdr>
    </w:div>
    <w:div w:id="1848326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cid:image001.png@01D102A3.6AE5447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7B631B-B312-4CAA-A69B-C9F0EFE4CA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1237</Words>
  <Characters>7051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Nomfundo Khulu</dc:creator>
  <cp:keywords/>
  <dc:description/>
  <cp:lastModifiedBy>Godfrey Butjie</cp:lastModifiedBy>
  <cp:revision>2</cp:revision>
  <dcterms:created xsi:type="dcterms:W3CDTF">2023-05-26T15:26:00Z</dcterms:created>
  <dcterms:modified xsi:type="dcterms:W3CDTF">2023-05-26T15:26:00Z</dcterms:modified>
</cp:coreProperties>
</file>