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65700B16" w:rsidR="006C43D7" w:rsidRPr="0009745A" w:rsidRDefault="006C43D7" w:rsidP="006C43D7">
      <w:pPr>
        <w:spacing w:line="360" w:lineRule="auto"/>
        <w:jc w:val="right"/>
        <w:rPr>
          <w:rFonts w:cs="Arial"/>
          <w:b/>
          <w:szCs w:val="22"/>
        </w:rPr>
      </w:pPr>
      <w:r w:rsidRPr="0009745A">
        <w:rPr>
          <w:rFonts w:cs="Arial"/>
          <w:b/>
          <w:szCs w:val="22"/>
        </w:rPr>
        <w:t xml:space="preserve">CASE NO: </w:t>
      </w:r>
      <w:r w:rsidR="00F2485C">
        <w:rPr>
          <w:rFonts w:cs="Arial"/>
          <w:b/>
          <w:szCs w:val="22"/>
        </w:rPr>
        <w:t>20</w:t>
      </w:r>
      <w:r w:rsidR="00510B22">
        <w:rPr>
          <w:rFonts w:cs="Arial"/>
          <w:b/>
          <w:szCs w:val="22"/>
        </w:rPr>
        <w:t>22/23189</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42119D" w:rsidRPr="00913F95" w:rsidRDefault="0042119D" w:rsidP="006C43D7">
                            <w:pPr>
                              <w:jc w:val="center"/>
                              <w:rPr>
                                <w:rFonts w:ascii="Century Gothic" w:hAnsi="Century Gothic"/>
                                <w:b/>
                                <w:sz w:val="20"/>
                                <w:szCs w:val="20"/>
                              </w:rPr>
                            </w:pPr>
                          </w:p>
                          <w:p w14:paraId="01FDAE28" w14:textId="6010E760" w:rsidR="0042119D" w:rsidRDefault="00501D16" w:rsidP="00501D1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0131A4">
                              <w:rPr>
                                <w:rFonts w:ascii="Century Gothic" w:hAnsi="Century Gothic"/>
                                <w:sz w:val="20"/>
                                <w:szCs w:val="20"/>
                              </w:rPr>
                              <w:t>NO</w:t>
                            </w:r>
                          </w:p>
                          <w:p w14:paraId="3A4C7296" w14:textId="478BFA5F" w:rsidR="0042119D" w:rsidRPr="001D3CC2" w:rsidRDefault="00501D16" w:rsidP="00501D1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0131A4">
                              <w:rPr>
                                <w:rFonts w:ascii="Century Gothic" w:hAnsi="Century Gothic"/>
                                <w:sz w:val="20"/>
                                <w:szCs w:val="20"/>
                              </w:rPr>
                              <w:t>YES</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42119D" w:rsidRPr="00913F95" w:rsidRDefault="0042119D" w:rsidP="006C43D7">
                      <w:pPr>
                        <w:jc w:val="center"/>
                        <w:rPr>
                          <w:rFonts w:ascii="Century Gothic" w:hAnsi="Century Gothic"/>
                          <w:b/>
                          <w:sz w:val="20"/>
                          <w:szCs w:val="20"/>
                        </w:rPr>
                      </w:pPr>
                    </w:p>
                    <w:p w14:paraId="01FDAE28" w14:textId="6010E760" w:rsidR="0042119D" w:rsidRDefault="00501D16" w:rsidP="00501D1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0131A4">
                        <w:rPr>
                          <w:rFonts w:ascii="Century Gothic" w:hAnsi="Century Gothic"/>
                          <w:sz w:val="20"/>
                          <w:szCs w:val="20"/>
                        </w:rPr>
                        <w:t>NO</w:t>
                      </w:r>
                    </w:p>
                    <w:p w14:paraId="3A4C7296" w14:textId="478BFA5F" w:rsidR="0042119D" w:rsidRPr="001D3CC2" w:rsidRDefault="00501D16" w:rsidP="00501D1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0131A4">
                        <w:rPr>
                          <w:rFonts w:ascii="Century Gothic" w:hAnsi="Century Gothic"/>
                          <w:sz w:val="20"/>
                          <w:szCs w:val="20"/>
                        </w:rPr>
                        <w:t>YES</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278F2EEB" w14:textId="294C0F9F" w:rsidR="00970E3D" w:rsidRDefault="00970E3D" w:rsidP="00970E3D">
      <w:pPr>
        <w:autoSpaceDE w:val="0"/>
        <w:autoSpaceDN w:val="0"/>
        <w:adjustRightInd w:val="0"/>
        <w:rPr>
          <w:rFonts w:ascii="Century Gothic" w:hAnsi="Century Gothic" w:cs="Century Gothic"/>
          <w:sz w:val="24"/>
          <w:lang w:eastAsia="en-ZA"/>
        </w:rPr>
      </w:pPr>
    </w:p>
    <w:p w14:paraId="2A3E8EC7" w14:textId="35BFF3B1" w:rsidR="00CC48E3" w:rsidRPr="0009745A" w:rsidRDefault="00CC48E3" w:rsidP="00CC48E3">
      <w:pPr>
        <w:rPr>
          <w:rFonts w:cs="Arial"/>
          <w:szCs w:val="22"/>
        </w:rPr>
      </w:pPr>
    </w:p>
    <w:p w14:paraId="3CF828F5" w14:textId="08ADA014"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C35C76" w:rsidRPr="0009745A" w14:paraId="3F391BAE" w14:textId="77777777" w:rsidTr="00970E3D">
        <w:tc>
          <w:tcPr>
            <w:tcW w:w="5670" w:type="dxa"/>
          </w:tcPr>
          <w:p w14:paraId="14A5291F" w14:textId="66000972" w:rsidR="00C35C76" w:rsidRPr="00970E3D" w:rsidRDefault="00970E3D" w:rsidP="00B7031E">
            <w:pPr>
              <w:autoSpaceDE w:val="0"/>
              <w:autoSpaceDN w:val="0"/>
              <w:adjustRightInd w:val="0"/>
              <w:spacing w:before="120" w:after="120"/>
              <w:rPr>
                <w:rFonts w:cs="Arial"/>
                <w:b/>
                <w:bCs/>
                <w:szCs w:val="22"/>
              </w:rPr>
            </w:pPr>
            <w:r w:rsidRPr="00970E3D">
              <w:rPr>
                <w:rFonts w:cs="Arial"/>
                <w:b/>
                <w:bCs/>
                <w:szCs w:val="22"/>
                <w:lang w:eastAsia="en-ZA"/>
              </w:rPr>
              <w:t>FLEXI FUEL LOGISTICS (PTY) LTD</w:t>
            </w:r>
          </w:p>
        </w:tc>
        <w:tc>
          <w:tcPr>
            <w:tcW w:w="3346" w:type="dxa"/>
          </w:tcPr>
          <w:p w14:paraId="1F273C18" w14:textId="09D5D809" w:rsidR="00C35C76" w:rsidRPr="00970E3D" w:rsidRDefault="00970E3D" w:rsidP="00B7031E">
            <w:pPr>
              <w:spacing w:before="120" w:after="120"/>
              <w:jc w:val="both"/>
              <w:rPr>
                <w:rFonts w:cs="Arial"/>
                <w:b/>
                <w:bCs/>
                <w:szCs w:val="22"/>
              </w:rPr>
            </w:pPr>
            <w:r w:rsidRPr="00970E3D">
              <w:rPr>
                <w:rFonts w:cs="Arial"/>
                <w:b/>
                <w:bCs/>
                <w:szCs w:val="22"/>
              </w:rPr>
              <w:t>APPLICANT</w:t>
            </w:r>
          </w:p>
        </w:tc>
      </w:tr>
      <w:tr w:rsidR="00C35C76" w:rsidRPr="0009745A" w14:paraId="4FC5C5F1" w14:textId="77777777" w:rsidTr="00970E3D">
        <w:tc>
          <w:tcPr>
            <w:tcW w:w="5670" w:type="dxa"/>
          </w:tcPr>
          <w:p w14:paraId="66607EB5" w14:textId="77777777" w:rsidR="00B7031E" w:rsidRPr="00970E3D" w:rsidRDefault="00B7031E" w:rsidP="00B7031E">
            <w:pPr>
              <w:autoSpaceDE w:val="0"/>
              <w:autoSpaceDN w:val="0"/>
              <w:adjustRightInd w:val="0"/>
              <w:spacing w:before="120" w:after="120"/>
              <w:rPr>
                <w:rFonts w:cs="Arial"/>
                <w:b/>
                <w:bCs/>
                <w:szCs w:val="22"/>
              </w:rPr>
            </w:pPr>
          </w:p>
          <w:p w14:paraId="7FC1C32A" w14:textId="13ED275E" w:rsidR="00C35C76" w:rsidRPr="000E055C" w:rsidRDefault="000E055C" w:rsidP="00B7031E">
            <w:pPr>
              <w:autoSpaceDE w:val="0"/>
              <w:autoSpaceDN w:val="0"/>
              <w:adjustRightInd w:val="0"/>
              <w:spacing w:before="120" w:after="120"/>
              <w:rPr>
                <w:rFonts w:cs="Arial"/>
                <w:bCs/>
                <w:szCs w:val="22"/>
              </w:rPr>
            </w:pPr>
            <w:r>
              <w:rPr>
                <w:rFonts w:cs="Arial"/>
                <w:bCs/>
                <w:szCs w:val="22"/>
              </w:rPr>
              <w:t xml:space="preserve">and  </w:t>
            </w:r>
          </w:p>
          <w:p w14:paraId="0CE7B1D3" w14:textId="77777777" w:rsidR="00C35C76" w:rsidRPr="00970E3D" w:rsidRDefault="00C35C76" w:rsidP="00B7031E">
            <w:pPr>
              <w:spacing w:before="120" w:after="120"/>
              <w:jc w:val="both"/>
              <w:rPr>
                <w:rFonts w:cs="Arial"/>
                <w:b/>
                <w:bCs/>
                <w:szCs w:val="22"/>
              </w:rPr>
            </w:pPr>
          </w:p>
        </w:tc>
        <w:tc>
          <w:tcPr>
            <w:tcW w:w="3346" w:type="dxa"/>
          </w:tcPr>
          <w:p w14:paraId="2F9DB216" w14:textId="77777777" w:rsidR="00C35C76" w:rsidRPr="00970E3D" w:rsidRDefault="00C35C76" w:rsidP="00B7031E">
            <w:pPr>
              <w:spacing w:before="120" w:after="120"/>
              <w:jc w:val="both"/>
              <w:rPr>
                <w:rFonts w:cs="Arial"/>
                <w:b/>
                <w:bCs/>
                <w:szCs w:val="22"/>
              </w:rPr>
            </w:pPr>
          </w:p>
        </w:tc>
      </w:tr>
      <w:tr w:rsidR="00C35C76" w:rsidRPr="0009745A" w14:paraId="049E5813" w14:textId="77777777" w:rsidTr="00970E3D">
        <w:tc>
          <w:tcPr>
            <w:tcW w:w="5670" w:type="dxa"/>
          </w:tcPr>
          <w:p w14:paraId="7147811E" w14:textId="3556FE38" w:rsidR="00C35C76" w:rsidRPr="00970E3D" w:rsidRDefault="00970E3D" w:rsidP="00B7031E">
            <w:pPr>
              <w:spacing w:before="120" w:after="120"/>
              <w:jc w:val="both"/>
              <w:rPr>
                <w:rFonts w:cs="Arial"/>
                <w:b/>
                <w:bCs/>
                <w:szCs w:val="22"/>
              </w:rPr>
            </w:pPr>
            <w:r w:rsidRPr="00970E3D">
              <w:rPr>
                <w:rFonts w:cs="Arial"/>
                <w:b/>
                <w:bCs/>
                <w:szCs w:val="22"/>
                <w:lang w:eastAsia="en-ZA"/>
              </w:rPr>
              <w:t>NEDBANK LTD</w:t>
            </w:r>
          </w:p>
        </w:tc>
        <w:tc>
          <w:tcPr>
            <w:tcW w:w="3346" w:type="dxa"/>
          </w:tcPr>
          <w:p w14:paraId="5F31628B" w14:textId="7832D62B" w:rsidR="00C35C76" w:rsidRPr="00970E3D" w:rsidRDefault="00970E3D" w:rsidP="003C3AC6">
            <w:pPr>
              <w:autoSpaceDE w:val="0"/>
              <w:autoSpaceDN w:val="0"/>
              <w:adjustRightInd w:val="0"/>
              <w:spacing w:before="120" w:after="120"/>
              <w:rPr>
                <w:rFonts w:cs="Arial"/>
                <w:b/>
                <w:bCs/>
                <w:szCs w:val="22"/>
              </w:rPr>
            </w:pPr>
            <w:r w:rsidRPr="00970E3D">
              <w:rPr>
                <w:rFonts w:cs="Arial"/>
                <w:b/>
                <w:bCs/>
                <w:szCs w:val="22"/>
              </w:rPr>
              <w:t>FIRST RESPONDENT</w:t>
            </w:r>
          </w:p>
        </w:tc>
      </w:tr>
      <w:tr w:rsidR="00970E3D" w:rsidRPr="0009745A" w14:paraId="44892D22" w14:textId="77777777" w:rsidTr="00970E3D">
        <w:tc>
          <w:tcPr>
            <w:tcW w:w="5670" w:type="dxa"/>
          </w:tcPr>
          <w:p w14:paraId="0A17C6A7" w14:textId="2AE3A6CB" w:rsidR="00970E3D" w:rsidRPr="00970E3D" w:rsidRDefault="00970E3D" w:rsidP="00B7031E">
            <w:pPr>
              <w:spacing w:before="120" w:after="120"/>
              <w:jc w:val="both"/>
              <w:rPr>
                <w:rFonts w:cs="Arial"/>
                <w:b/>
                <w:bCs/>
                <w:szCs w:val="22"/>
                <w:lang w:eastAsia="en-ZA"/>
              </w:rPr>
            </w:pPr>
            <w:r w:rsidRPr="00970E3D">
              <w:rPr>
                <w:rFonts w:cs="Arial"/>
                <w:b/>
                <w:bCs/>
                <w:szCs w:val="22"/>
                <w:lang w:eastAsia="en-ZA"/>
              </w:rPr>
              <w:t>FIRSTRAND BANK LTD</w:t>
            </w:r>
          </w:p>
        </w:tc>
        <w:tc>
          <w:tcPr>
            <w:tcW w:w="3346" w:type="dxa"/>
          </w:tcPr>
          <w:p w14:paraId="4D2CA37F" w14:textId="6FDEC62B" w:rsidR="00970E3D" w:rsidRPr="00970E3D" w:rsidRDefault="00970E3D" w:rsidP="003C3AC6">
            <w:pPr>
              <w:autoSpaceDE w:val="0"/>
              <w:autoSpaceDN w:val="0"/>
              <w:adjustRightInd w:val="0"/>
              <w:spacing w:before="120" w:after="120"/>
              <w:rPr>
                <w:rFonts w:cs="Arial"/>
                <w:b/>
                <w:bCs/>
                <w:szCs w:val="22"/>
              </w:rPr>
            </w:pPr>
            <w:r w:rsidRPr="00970E3D">
              <w:rPr>
                <w:rFonts w:cs="Arial"/>
                <w:b/>
                <w:bCs/>
                <w:szCs w:val="22"/>
              </w:rPr>
              <w:t>SECOND RESPONDENT</w:t>
            </w:r>
          </w:p>
        </w:tc>
      </w:tr>
      <w:tr w:rsidR="00970E3D" w:rsidRPr="0009745A" w14:paraId="42D582FB" w14:textId="77777777" w:rsidTr="00970E3D">
        <w:tc>
          <w:tcPr>
            <w:tcW w:w="5670" w:type="dxa"/>
          </w:tcPr>
          <w:p w14:paraId="7E7744ED" w14:textId="3A8740DB" w:rsidR="00970E3D" w:rsidRPr="00970E3D" w:rsidRDefault="0062211A" w:rsidP="000E055C">
            <w:pPr>
              <w:spacing w:before="120" w:after="120"/>
              <w:jc w:val="both"/>
              <w:rPr>
                <w:rFonts w:cs="Arial"/>
                <w:b/>
                <w:bCs/>
                <w:szCs w:val="22"/>
                <w:lang w:eastAsia="en-ZA"/>
              </w:rPr>
            </w:pPr>
            <w:r>
              <w:rPr>
                <w:rFonts w:cs="Arial"/>
                <w:b/>
                <w:bCs/>
                <w:szCs w:val="22"/>
                <w:lang w:eastAsia="en-ZA"/>
              </w:rPr>
              <w:t>Y&amp;N</w:t>
            </w:r>
            <w:r w:rsidR="00970E3D" w:rsidRPr="00970E3D">
              <w:rPr>
                <w:rFonts w:cs="Arial"/>
                <w:b/>
                <w:bCs/>
                <w:szCs w:val="22"/>
                <w:lang w:eastAsia="en-ZA"/>
              </w:rPr>
              <w:t xml:space="preserve"> HOLDINGS (PTY) LTD</w:t>
            </w:r>
          </w:p>
        </w:tc>
        <w:tc>
          <w:tcPr>
            <w:tcW w:w="3346" w:type="dxa"/>
          </w:tcPr>
          <w:p w14:paraId="409C2F75" w14:textId="6D668BB4" w:rsidR="00970E3D" w:rsidRPr="00970E3D" w:rsidRDefault="00970E3D" w:rsidP="003C3AC6">
            <w:pPr>
              <w:autoSpaceDE w:val="0"/>
              <w:autoSpaceDN w:val="0"/>
              <w:adjustRightInd w:val="0"/>
              <w:spacing w:before="120" w:after="120"/>
              <w:rPr>
                <w:rFonts w:cs="Arial"/>
                <w:b/>
                <w:bCs/>
                <w:szCs w:val="22"/>
              </w:rPr>
            </w:pPr>
            <w:r w:rsidRPr="00970E3D">
              <w:rPr>
                <w:rFonts w:cs="Arial"/>
                <w:b/>
                <w:bCs/>
                <w:szCs w:val="22"/>
              </w:rPr>
              <w:t>THIRD RESPONDENT</w:t>
            </w:r>
          </w:p>
        </w:tc>
      </w:tr>
    </w:tbl>
    <w:p w14:paraId="6874877A" w14:textId="77777777" w:rsidR="00510B22" w:rsidRDefault="00510B22" w:rsidP="00F2485C">
      <w:pPr>
        <w:spacing w:line="360" w:lineRule="auto"/>
        <w:jc w:val="both"/>
        <w:rPr>
          <w:b/>
        </w:rPr>
      </w:pPr>
    </w:p>
    <w:p w14:paraId="40C8418C" w14:textId="2A5B4A25" w:rsidR="00F2485C" w:rsidRPr="0009745A" w:rsidRDefault="00F2485C" w:rsidP="00F2485C">
      <w:pPr>
        <w:spacing w:line="360" w:lineRule="auto"/>
        <w:jc w:val="both"/>
        <w:rPr>
          <w:rFonts w:cs="Arial"/>
          <w:szCs w:val="22"/>
        </w:rPr>
      </w:pPr>
      <w:r w:rsidRPr="003A0BED">
        <w:rPr>
          <w:b/>
        </w:rPr>
        <w:t>Neutral Citation</w:t>
      </w:r>
      <w:r>
        <w:t xml:space="preserve">: </w:t>
      </w:r>
      <w:r w:rsidR="00510B22" w:rsidRPr="00510B22">
        <w:rPr>
          <w:rFonts w:cs="Arial"/>
          <w:i/>
          <w:iCs/>
          <w:szCs w:val="22"/>
          <w:lang w:eastAsia="en-ZA"/>
        </w:rPr>
        <w:t>Flexi Fuel Logistics (Pty) Ltd v Nedbank Ltd and Others</w:t>
      </w:r>
      <w:r w:rsidR="00510B22">
        <w:t xml:space="preserve"> </w:t>
      </w:r>
      <w:r>
        <w:t>(Case No.</w:t>
      </w:r>
      <w:r w:rsidRPr="00F2485C">
        <w:rPr>
          <w:bCs/>
        </w:rPr>
        <w:t xml:space="preserve"> </w:t>
      </w:r>
      <w:r w:rsidR="00510B22" w:rsidRPr="00510B22">
        <w:rPr>
          <w:rFonts w:cs="Arial"/>
          <w:bCs/>
          <w:szCs w:val="22"/>
        </w:rPr>
        <w:t>2022/23189</w:t>
      </w:r>
      <w:r>
        <w:t xml:space="preserve">) [2023] ZAGPJHC </w:t>
      </w:r>
      <w:r w:rsidR="006A7715">
        <w:t>586</w:t>
      </w:r>
      <w:r>
        <w:t xml:space="preserve"> (</w:t>
      </w:r>
      <w:r w:rsidR="006A7715">
        <w:t>29 May</w:t>
      </w:r>
      <w:r>
        <w:t xml:space="preserve"> 2023)</w:t>
      </w:r>
    </w:p>
    <w:p w14:paraId="387BBDD6" w14:textId="77777777" w:rsidR="00BF086D" w:rsidRDefault="00BF086D" w:rsidP="006C43D7">
      <w:pPr>
        <w:pBdr>
          <w:bottom w:val="single" w:sz="4" w:space="1" w:color="auto"/>
        </w:pBdr>
        <w:spacing w:line="360" w:lineRule="auto"/>
        <w:jc w:val="both"/>
        <w:rPr>
          <w:rFonts w:cs="Arial"/>
          <w:szCs w:val="22"/>
        </w:rPr>
      </w:pPr>
    </w:p>
    <w:p w14:paraId="0850DF1B" w14:textId="77777777" w:rsidR="00F2485C" w:rsidRPr="0009745A" w:rsidRDefault="00F2485C"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lastRenderedPageBreak/>
        <w:t>MOORCROFT</w:t>
      </w:r>
      <w:r w:rsidR="006C43D7" w:rsidRPr="0009745A">
        <w:rPr>
          <w:rFonts w:cs="Arial"/>
          <w:b/>
          <w:szCs w:val="22"/>
        </w:rPr>
        <w:t xml:space="preserve"> AJ:</w:t>
      </w:r>
    </w:p>
    <w:p w14:paraId="10D6BD31" w14:textId="696957DB" w:rsidR="00131957" w:rsidRPr="0009745A" w:rsidRDefault="00131957" w:rsidP="00250A46">
      <w:pPr>
        <w:widowControl w:val="0"/>
        <w:spacing w:after="480" w:line="480" w:lineRule="auto"/>
        <w:jc w:val="both"/>
        <w:rPr>
          <w:rFonts w:cs="Arial"/>
          <w:bCs/>
          <w:i/>
          <w:iCs/>
          <w:szCs w:val="22"/>
          <w:u w:val="single"/>
        </w:rPr>
      </w:pPr>
      <w:r w:rsidRPr="0009745A">
        <w:rPr>
          <w:rFonts w:cs="Arial"/>
          <w:bCs/>
          <w:i/>
          <w:iCs/>
          <w:szCs w:val="22"/>
          <w:u w:val="single"/>
        </w:rPr>
        <w:t>Summary</w:t>
      </w:r>
    </w:p>
    <w:p w14:paraId="54F64660" w14:textId="02F33996" w:rsidR="0015037C" w:rsidRPr="0009745A" w:rsidRDefault="0015037C" w:rsidP="00250A46">
      <w:pPr>
        <w:widowControl w:val="0"/>
        <w:spacing w:after="480" w:line="480" w:lineRule="auto"/>
        <w:jc w:val="both"/>
        <w:rPr>
          <w:rFonts w:cs="Arial"/>
          <w:bCs/>
          <w:i/>
          <w:iCs/>
          <w:szCs w:val="22"/>
        </w:rPr>
      </w:pPr>
      <w:r>
        <w:rPr>
          <w:rFonts w:cs="Arial"/>
          <w:bCs/>
          <w:i/>
          <w:iCs/>
          <w:szCs w:val="22"/>
        </w:rPr>
        <w:t>Unjustified enrichment – bank not enriched when customer’s debtor pays a de</w:t>
      </w:r>
      <w:r w:rsidR="006E3A5B">
        <w:rPr>
          <w:rFonts w:cs="Arial"/>
          <w:bCs/>
          <w:i/>
          <w:iCs/>
          <w:szCs w:val="22"/>
        </w:rPr>
        <w:t>bt due to bank’s customer</w:t>
      </w:r>
      <w:r>
        <w:rPr>
          <w:rFonts w:cs="Arial"/>
          <w:bCs/>
          <w:i/>
          <w:iCs/>
          <w:szCs w:val="22"/>
        </w:rPr>
        <w:t xml:space="preserve"> into bank customer’s account and customer is credited with the payment. When the money received is set off against the bank’s claim against its customer, bank is similarly not enriched as its claim against its customer is reduced by the amount of the payment</w:t>
      </w:r>
    </w:p>
    <w:p w14:paraId="6F2E03D0" w14:textId="77777777" w:rsidR="0009745A" w:rsidRDefault="0009745A" w:rsidP="00250A46">
      <w:pPr>
        <w:widowControl w:val="0"/>
        <w:spacing w:after="480" w:line="480" w:lineRule="auto"/>
        <w:jc w:val="both"/>
        <w:rPr>
          <w:rFonts w:cs="Arial"/>
          <w:bCs/>
          <w:szCs w:val="22"/>
          <w:u w:val="single"/>
        </w:rPr>
      </w:pPr>
    </w:p>
    <w:p w14:paraId="32DA3C2C" w14:textId="152CB525"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3401E3C6" w:rsidR="003A6F23" w:rsidRDefault="00501D16" w:rsidP="00501D16">
      <w:pPr>
        <w:widowControl w:val="0"/>
        <w:tabs>
          <w:tab w:val="left" w:pos="567"/>
        </w:tabs>
        <w:spacing w:after="480" w:line="480" w:lineRule="auto"/>
        <w:jc w:val="both"/>
        <w:rPr>
          <w:rFonts w:cs="Arial"/>
          <w:bCs/>
          <w:szCs w:val="22"/>
        </w:rPr>
      </w:pPr>
      <w:r>
        <w:rPr>
          <w:rFonts w:cs="Arial"/>
          <w:bCs/>
          <w:szCs w:val="22"/>
        </w:rPr>
        <w:t>[1]</w:t>
      </w:r>
      <w:r>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w:t>
      </w:r>
      <w:bookmarkStart w:id="0" w:name="_GoBack"/>
      <w:bookmarkEnd w:id="0"/>
      <w:r w:rsidR="00B87B26" w:rsidRPr="0009745A">
        <w:rPr>
          <w:rFonts w:cs="Arial"/>
          <w:bCs/>
          <w:szCs w:val="22"/>
        </w:rPr>
        <w:t xml:space="preserve"> following order</w:t>
      </w:r>
      <w:r w:rsidR="005A27EF" w:rsidRPr="0009745A">
        <w:rPr>
          <w:rFonts w:cs="Arial"/>
          <w:bCs/>
          <w:szCs w:val="22"/>
        </w:rPr>
        <w:t>:</w:t>
      </w:r>
    </w:p>
    <w:p w14:paraId="3F3B9F71" w14:textId="37C24C9D" w:rsidR="00B2726B" w:rsidRDefault="00501D16" w:rsidP="00501D16">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1.</w:t>
      </w:r>
      <w:r>
        <w:rPr>
          <w:rFonts w:ascii="Arial" w:hAnsi="Arial" w:cs="Arial"/>
          <w:i/>
          <w:sz w:val="22"/>
          <w:szCs w:val="22"/>
          <w:lang w:val="en-GB"/>
        </w:rPr>
        <w:tab/>
      </w:r>
      <w:r w:rsidR="002953C0">
        <w:rPr>
          <w:rFonts w:ascii="Arial" w:hAnsi="Arial" w:cs="Arial"/>
          <w:i/>
          <w:sz w:val="22"/>
          <w:szCs w:val="22"/>
          <w:lang w:val="en-GB"/>
        </w:rPr>
        <w:t>The application is dismissed;</w:t>
      </w:r>
    </w:p>
    <w:p w14:paraId="20D2F0E5" w14:textId="24BB1285" w:rsidR="002953C0" w:rsidRDefault="00501D16" w:rsidP="00501D16">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2.</w:t>
      </w:r>
      <w:r>
        <w:rPr>
          <w:rFonts w:ascii="Arial" w:hAnsi="Arial" w:cs="Arial"/>
          <w:i/>
          <w:sz w:val="22"/>
          <w:szCs w:val="22"/>
          <w:lang w:val="en-GB"/>
        </w:rPr>
        <w:tab/>
      </w:r>
      <w:r w:rsidR="002953C0">
        <w:rPr>
          <w:rFonts w:ascii="Arial" w:hAnsi="Arial" w:cs="Arial"/>
          <w:i/>
          <w:sz w:val="22"/>
          <w:szCs w:val="22"/>
          <w:lang w:val="en-GB"/>
        </w:rPr>
        <w:t>The applicant is ordered to pay the costs.</w:t>
      </w:r>
    </w:p>
    <w:p w14:paraId="19E04392" w14:textId="34546533" w:rsidR="00A72651" w:rsidRPr="0009745A" w:rsidRDefault="00501D16" w:rsidP="00501D16">
      <w:pPr>
        <w:widowControl w:val="0"/>
        <w:tabs>
          <w:tab w:val="left" w:pos="567"/>
        </w:tabs>
        <w:spacing w:before="480" w:after="480" w:line="36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4C8D7BAB" w14:textId="39FAC6D7" w:rsidR="003A6F23" w:rsidRPr="0009745A" w:rsidRDefault="003A6F23" w:rsidP="007133AE">
      <w:pPr>
        <w:keepNext/>
        <w:widowControl w:val="0"/>
        <w:spacing w:before="480" w:after="480" w:line="360" w:lineRule="auto"/>
        <w:jc w:val="both"/>
        <w:rPr>
          <w:rFonts w:cs="Arial"/>
          <w:bCs/>
          <w:szCs w:val="22"/>
          <w:u w:val="single"/>
        </w:rPr>
      </w:pPr>
      <w:r w:rsidRPr="0009745A">
        <w:rPr>
          <w:rFonts w:cs="Arial"/>
          <w:bCs/>
          <w:szCs w:val="22"/>
          <w:u w:val="single"/>
        </w:rPr>
        <w:t>Introduction</w:t>
      </w:r>
    </w:p>
    <w:p w14:paraId="33A6EA07" w14:textId="5B6B0966" w:rsidR="00B2726B" w:rsidRDefault="00501D16" w:rsidP="00501D16">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C45125">
        <w:rPr>
          <w:rFonts w:cs="Arial"/>
          <w:bCs/>
          <w:szCs w:val="22"/>
        </w:rPr>
        <w:t xml:space="preserve">The applicant </w:t>
      </w:r>
      <w:r w:rsidR="0062211A">
        <w:rPr>
          <w:rFonts w:cs="Arial"/>
          <w:bCs/>
          <w:szCs w:val="22"/>
        </w:rPr>
        <w:t>purchased fuel and related products from the third respondent, Y&amp;N,</w:t>
      </w:r>
      <w:r w:rsidR="00C45125">
        <w:rPr>
          <w:rFonts w:cs="Arial"/>
          <w:bCs/>
          <w:szCs w:val="22"/>
        </w:rPr>
        <w:t xml:space="preserve"> over a number of years. </w:t>
      </w:r>
      <w:r w:rsidR="0062211A">
        <w:rPr>
          <w:rFonts w:cs="Arial"/>
          <w:bCs/>
          <w:szCs w:val="22"/>
        </w:rPr>
        <w:t xml:space="preserve">Until about 2019 when Y&amp;N furnished the applicant with new bank account details of a bank account at FNB </w:t>
      </w:r>
      <w:r w:rsidR="00C45125">
        <w:rPr>
          <w:rFonts w:cs="Arial"/>
          <w:bCs/>
          <w:szCs w:val="22"/>
        </w:rPr>
        <w:t xml:space="preserve">the applicant settled </w:t>
      </w:r>
      <w:r w:rsidR="0062211A">
        <w:rPr>
          <w:rFonts w:cs="Arial"/>
          <w:bCs/>
          <w:szCs w:val="22"/>
        </w:rPr>
        <w:t>Y&amp;N</w:t>
      </w:r>
      <w:r w:rsidR="00C45125">
        <w:rPr>
          <w:rFonts w:cs="Arial"/>
          <w:bCs/>
          <w:szCs w:val="22"/>
        </w:rPr>
        <w:t xml:space="preserve">’s invoices by transferring funds from its own bank account into </w:t>
      </w:r>
      <w:r w:rsidR="0062211A">
        <w:rPr>
          <w:rFonts w:cs="Arial"/>
          <w:bCs/>
          <w:szCs w:val="22"/>
        </w:rPr>
        <w:t>Y&amp;N</w:t>
      </w:r>
      <w:r w:rsidR="00C45125">
        <w:rPr>
          <w:rFonts w:cs="Arial"/>
          <w:bCs/>
          <w:szCs w:val="22"/>
        </w:rPr>
        <w:t xml:space="preserve">’s Nedbank account.. Both these bank accounts used by </w:t>
      </w:r>
      <w:r w:rsidR="0062211A">
        <w:rPr>
          <w:rFonts w:cs="Arial"/>
          <w:bCs/>
          <w:szCs w:val="22"/>
        </w:rPr>
        <w:t>Y&amp;N</w:t>
      </w:r>
      <w:r w:rsidR="00C45125">
        <w:rPr>
          <w:rFonts w:cs="Arial"/>
          <w:bCs/>
          <w:szCs w:val="22"/>
        </w:rPr>
        <w:t xml:space="preserve"> were loaded onto the </w:t>
      </w:r>
      <w:r w:rsidR="0062211A">
        <w:rPr>
          <w:rFonts w:cs="Arial"/>
          <w:bCs/>
          <w:szCs w:val="22"/>
        </w:rPr>
        <w:t xml:space="preserve">FNB </w:t>
      </w:r>
      <w:r w:rsidR="00C45125">
        <w:rPr>
          <w:rFonts w:cs="Arial"/>
          <w:bCs/>
          <w:szCs w:val="22"/>
        </w:rPr>
        <w:t>banking portal</w:t>
      </w:r>
      <w:r w:rsidR="0015037C">
        <w:rPr>
          <w:rFonts w:cs="Arial"/>
          <w:bCs/>
          <w:szCs w:val="22"/>
        </w:rPr>
        <w:t>s</w:t>
      </w:r>
      <w:r w:rsidR="00C45125">
        <w:rPr>
          <w:rFonts w:cs="Arial"/>
          <w:bCs/>
          <w:szCs w:val="22"/>
        </w:rPr>
        <w:t xml:space="preserve"> used by the applicant.</w:t>
      </w:r>
    </w:p>
    <w:p w14:paraId="2675D6AE" w14:textId="76ACBA11" w:rsidR="00C45125" w:rsidRDefault="00501D16" w:rsidP="00501D16">
      <w:pPr>
        <w:widowControl w:val="0"/>
        <w:tabs>
          <w:tab w:val="left" w:pos="567"/>
        </w:tabs>
        <w:spacing w:before="480" w:after="480" w:line="360" w:lineRule="auto"/>
        <w:jc w:val="both"/>
        <w:rPr>
          <w:rFonts w:cs="Arial"/>
          <w:bCs/>
          <w:szCs w:val="22"/>
        </w:rPr>
      </w:pPr>
      <w:r>
        <w:rPr>
          <w:rFonts w:cs="Arial"/>
          <w:bCs/>
          <w:szCs w:val="22"/>
        </w:rPr>
        <w:t>[4]</w:t>
      </w:r>
      <w:r>
        <w:rPr>
          <w:rFonts w:cs="Arial"/>
          <w:bCs/>
          <w:szCs w:val="22"/>
        </w:rPr>
        <w:tab/>
      </w:r>
      <w:r w:rsidR="00C45125">
        <w:rPr>
          <w:rFonts w:cs="Arial"/>
          <w:bCs/>
          <w:szCs w:val="22"/>
        </w:rPr>
        <w:t xml:space="preserve">On occasion </w:t>
      </w:r>
      <w:r w:rsidR="0062211A">
        <w:rPr>
          <w:rFonts w:cs="Arial"/>
          <w:bCs/>
          <w:szCs w:val="22"/>
        </w:rPr>
        <w:t>Y&amp;N</w:t>
      </w:r>
      <w:r w:rsidR="00C45125">
        <w:rPr>
          <w:rFonts w:cs="Arial"/>
          <w:bCs/>
          <w:szCs w:val="22"/>
        </w:rPr>
        <w:t xml:space="preserve"> would request the applicant to effect payment into its Nedbank account but in the recent past most payments were made into the FNB account.</w:t>
      </w:r>
    </w:p>
    <w:p w14:paraId="0C686E22" w14:textId="77777777" w:rsidR="00A60A90" w:rsidRDefault="00A60A90" w:rsidP="00A60A90">
      <w:pPr>
        <w:widowControl w:val="0"/>
        <w:spacing w:before="480" w:after="480" w:line="360" w:lineRule="auto"/>
        <w:jc w:val="both"/>
        <w:rPr>
          <w:rFonts w:cs="Arial"/>
          <w:bCs/>
          <w:szCs w:val="22"/>
          <w:u w:val="single"/>
        </w:rPr>
      </w:pPr>
    </w:p>
    <w:p w14:paraId="4888FA6F" w14:textId="278DF7CE" w:rsidR="00A60A90" w:rsidRPr="00A60A90" w:rsidRDefault="00A60A90" w:rsidP="00A60A90">
      <w:pPr>
        <w:widowControl w:val="0"/>
        <w:spacing w:before="480" w:after="480" w:line="360" w:lineRule="auto"/>
        <w:jc w:val="both"/>
        <w:rPr>
          <w:rFonts w:cs="Arial"/>
          <w:bCs/>
          <w:szCs w:val="22"/>
          <w:u w:val="single"/>
        </w:rPr>
      </w:pPr>
      <w:r w:rsidRPr="00A60A90">
        <w:rPr>
          <w:rFonts w:cs="Arial"/>
          <w:bCs/>
          <w:szCs w:val="22"/>
          <w:u w:val="single"/>
        </w:rPr>
        <w:t>The relevant payment</w:t>
      </w:r>
    </w:p>
    <w:p w14:paraId="036AA0B8" w14:textId="6C6B97D5" w:rsidR="00C45125" w:rsidRDefault="00501D16" w:rsidP="00501D16">
      <w:pPr>
        <w:widowControl w:val="0"/>
        <w:tabs>
          <w:tab w:val="left" w:pos="567"/>
        </w:tabs>
        <w:spacing w:before="480" w:after="480" w:line="360" w:lineRule="auto"/>
        <w:jc w:val="both"/>
        <w:rPr>
          <w:rFonts w:cs="Arial"/>
          <w:bCs/>
          <w:szCs w:val="22"/>
        </w:rPr>
      </w:pPr>
      <w:r>
        <w:rPr>
          <w:rFonts w:cs="Arial"/>
          <w:bCs/>
          <w:szCs w:val="22"/>
        </w:rPr>
        <w:t>[5]</w:t>
      </w:r>
      <w:r>
        <w:rPr>
          <w:rFonts w:cs="Arial"/>
          <w:bCs/>
          <w:szCs w:val="22"/>
        </w:rPr>
        <w:tab/>
      </w:r>
      <w:r w:rsidR="00C45125">
        <w:rPr>
          <w:rFonts w:cs="Arial"/>
          <w:bCs/>
          <w:szCs w:val="22"/>
        </w:rPr>
        <w:t xml:space="preserve">During March 2022 </w:t>
      </w:r>
      <w:r w:rsidR="0062211A">
        <w:rPr>
          <w:rFonts w:cs="Arial"/>
          <w:bCs/>
          <w:szCs w:val="22"/>
        </w:rPr>
        <w:t>Y&amp;N</w:t>
      </w:r>
      <w:r w:rsidR="00C45125">
        <w:rPr>
          <w:rFonts w:cs="Arial"/>
          <w:bCs/>
          <w:szCs w:val="22"/>
        </w:rPr>
        <w:t xml:space="preserve"> sold fuel to the applicant and issued two invoices reflecting the FNB bank account as the account for payment. When the deponent to the founding affidavit paid these invoices</w:t>
      </w:r>
      <w:r w:rsidR="00BC1F7E">
        <w:rPr>
          <w:rFonts w:cs="Arial"/>
          <w:bCs/>
          <w:szCs w:val="22"/>
        </w:rPr>
        <w:t xml:space="preserve"> using the FNB banking portal</w:t>
      </w:r>
      <w:r w:rsidR="00C45125">
        <w:rPr>
          <w:rFonts w:cs="Arial"/>
          <w:bCs/>
          <w:szCs w:val="22"/>
        </w:rPr>
        <w:t>, an amount was paid into the FNB account but the applicant had reached its daily limit for payments</w:t>
      </w:r>
      <w:r w:rsidR="00BC1F7E">
        <w:rPr>
          <w:rFonts w:cs="Arial"/>
          <w:bCs/>
          <w:szCs w:val="22"/>
        </w:rPr>
        <w:t xml:space="preserve"> on this portal</w:t>
      </w:r>
      <w:r w:rsidR="00C45125">
        <w:rPr>
          <w:rFonts w:cs="Arial"/>
          <w:bCs/>
          <w:szCs w:val="22"/>
        </w:rPr>
        <w:t xml:space="preserve">. She then logged </w:t>
      </w:r>
      <w:r w:rsidR="00594FE6">
        <w:rPr>
          <w:rFonts w:cs="Arial"/>
          <w:bCs/>
          <w:szCs w:val="22"/>
        </w:rPr>
        <w:t>onto</w:t>
      </w:r>
      <w:r w:rsidR="00C45125">
        <w:rPr>
          <w:rFonts w:cs="Arial"/>
          <w:bCs/>
          <w:szCs w:val="22"/>
        </w:rPr>
        <w:t xml:space="preserve">  the FNB</w:t>
      </w:r>
      <w:r w:rsidR="00BC1F7E">
        <w:rPr>
          <w:rFonts w:cs="Arial"/>
          <w:bCs/>
          <w:szCs w:val="22"/>
        </w:rPr>
        <w:t>’s Enterprise</w:t>
      </w:r>
      <w:r w:rsidR="00C45125">
        <w:rPr>
          <w:rFonts w:cs="Arial"/>
          <w:bCs/>
          <w:szCs w:val="22"/>
        </w:rPr>
        <w:t xml:space="preserve"> banking portal</w:t>
      </w:r>
      <w:r w:rsidR="00BC1F7E">
        <w:rPr>
          <w:rFonts w:cs="Arial"/>
          <w:bCs/>
          <w:szCs w:val="22"/>
        </w:rPr>
        <w:t xml:space="preserve"> that had no maximum limit in order </w:t>
      </w:r>
      <w:r w:rsidR="00C45125">
        <w:rPr>
          <w:rFonts w:cs="Arial"/>
          <w:bCs/>
          <w:szCs w:val="22"/>
        </w:rPr>
        <w:t xml:space="preserve"> to pay the balance due to </w:t>
      </w:r>
      <w:r w:rsidR="0062211A">
        <w:rPr>
          <w:rFonts w:cs="Arial"/>
          <w:bCs/>
          <w:szCs w:val="22"/>
        </w:rPr>
        <w:t>Y&amp;N</w:t>
      </w:r>
      <w:r w:rsidR="00C45125">
        <w:rPr>
          <w:rFonts w:cs="Arial"/>
          <w:bCs/>
          <w:szCs w:val="22"/>
        </w:rPr>
        <w:t xml:space="preserve">. She selected </w:t>
      </w:r>
      <w:r w:rsidR="0062211A">
        <w:rPr>
          <w:rFonts w:cs="Arial"/>
          <w:bCs/>
          <w:szCs w:val="22"/>
        </w:rPr>
        <w:t>Y&amp;N</w:t>
      </w:r>
      <w:r w:rsidR="00C45125">
        <w:rPr>
          <w:rFonts w:cs="Arial"/>
          <w:bCs/>
          <w:szCs w:val="22"/>
        </w:rPr>
        <w:t xml:space="preserve"> from the list of preloaded beneficiaries and paid over the amount of R1 117 649.60 to </w:t>
      </w:r>
      <w:r w:rsidR="0062211A">
        <w:rPr>
          <w:rFonts w:cs="Arial"/>
          <w:bCs/>
          <w:szCs w:val="22"/>
        </w:rPr>
        <w:t>Y&amp;N</w:t>
      </w:r>
      <w:r w:rsidR="00C45125">
        <w:rPr>
          <w:rFonts w:cs="Arial"/>
          <w:bCs/>
          <w:szCs w:val="22"/>
        </w:rPr>
        <w:t xml:space="preserve">. Without giving it any thought she selected the </w:t>
      </w:r>
      <w:r w:rsidR="0062211A">
        <w:rPr>
          <w:rFonts w:cs="Arial"/>
          <w:bCs/>
          <w:szCs w:val="22"/>
        </w:rPr>
        <w:t>Y&amp;N</w:t>
      </w:r>
      <w:r w:rsidR="00C45125">
        <w:rPr>
          <w:rFonts w:cs="Arial"/>
          <w:bCs/>
          <w:szCs w:val="22"/>
        </w:rPr>
        <w:t xml:space="preserve"> preloaded beneficiary with the Nedbank banking details as opposed to the one preloaded with the FNB banking details.</w:t>
      </w:r>
    </w:p>
    <w:p w14:paraId="012F914B" w14:textId="5C4F61E6" w:rsidR="00594FE6" w:rsidRDefault="00501D16" w:rsidP="00501D16">
      <w:pPr>
        <w:widowControl w:val="0"/>
        <w:tabs>
          <w:tab w:val="left" w:pos="567"/>
        </w:tabs>
        <w:spacing w:before="480" w:after="480" w:line="360" w:lineRule="auto"/>
        <w:jc w:val="both"/>
        <w:rPr>
          <w:rFonts w:cs="Arial"/>
          <w:bCs/>
          <w:szCs w:val="22"/>
        </w:rPr>
      </w:pPr>
      <w:r>
        <w:rPr>
          <w:rFonts w:cs="Arial"/>
          <w:bCs/>
          <w:szCs w:val="22"/>
        </w:rPr>
        <w:t>[6]</w:t>
      </w:r>
      <w:r>
        <w:rPr>
          <w:rFonts w:cs="Arial"/>
          <w:bCs/>
          <w:szCs w:val="22"/>
        </w:rPr>
        <w:tab/>
      </w:r>
      <w:r w:rsidR="00594FE6">
        <w:rPr>
          <w:rFonts w:cs="Arial"/>
          <w:bCs/>
          <w:szCs w:val="22"/>
        </w:rPr>
        <w:t xml:space="preserve">When the deponent </w:t>
      </w:r>
      <w:r w:rsidR="00AD4233">
        <w:rPr>
          <w:rFonts w:cs="Arial"/>
          <w:bCs/>
          <w:szCs w:val="22"/>
        </w:rPr>
        <w:t xml:space="preserve">gave the requisite instruction on the banking portal and </w:t>
      </w:r>
      <w:r w:rsidR="00594FE6">
        <w:rPr>
          <w:rFonts w:cs="Arial"/>
          <w:bCs/>
          <w:szCs w:val="22"/>
        </w:rPr>
        <w:t>made the payment to the preselected beneficiary, a number of things happened:</w:t>
      </w:r>
    </w:p>
    <w:p w14:paraId="18D1EB76" w14:textId="1DD054BC" w:rsidR="00AD4233" w:rsidRDefault="00501D16" w:rsidP="00501D16">
      <w:pPr>
        <w:widowControl w:val="0"/>
        <w:tabs>
          <w:tab w:val="left" w:pos="1418"/>
        </w:tabs>
        <w:spacing w:before="480" w:after="480" w:line="360" w:lineRule="auto"/>
        <w:ind w:left="1418" w:hanging="851"/>
        <w:jc w:val="both"/>
        <w:rPr>
          <w:rFonts w:cs="Arial"/>
          <w:bCs/>
          <w:szCs w:val="22"/>
        </w:rPr>
      </w:pPr>
      <w:r>
        <w:rPr>
          <w:rFonts w:cs="Arial"/>
          <w:bCs/>
          <w:szCs w:val="22"/>
        </w:rPr>
        <w:t>6.1</w:t>
      </w:r>
      <w:r>
        <w:rPr>
          <w:rFonts w:cs="Arial"/>
          <w:bCs/>
          <w:szCs w:val="22"/>
        </w:rPr>
        <w:tab/>
      </w:r>
      <w:r w:rsidR="00AD4233">
        <w:rPr>
          <w:rFonts w:cs="Arial"/>
          <w:bCs/>
          <w:szCs w:val="22"/>
        </w:rPr>
        <w:t>The applicant’s bank (which also happened to be FNB) accepted the instruction and paid the funds into the Y&amp;N Nedbank account. The applicant’s FNB account was debited with the equivalent amount.</w:t>
      </w:r>
    </w:p>
    <w:p w14:paraId="425C940C" w14:textId="5E527E9E" w:rsidR="00594FE6" w:rsidRDefault="00501D16" w:rsidP="00501D16">
      <w:pPr>
        <w:widowControl w:val="0"/>
        <w:tabs>
          <w:tab w:val="left" w:pos="1418"/>
        </w:tabs>
        <w:spacing w:before="480" w:after="480" w:line="360" w:lineRule="auto"/>
        <w:ind w:left="1418" w:hanging="851"/>
        <w:jc w:val="both"/>
        <w:rPr>
          <w:rFonts w:cs="Arial"/>
          <w:bCs/>
          <w:szCs w:val="22"/>
        </w:rPr>
      </w:pPr>
      <w:r>
        <w:rPr>
          <w:rFonts w:cs="Arial"/>
          <w:bCs/>
          <w:szCs w:val="22"/>
        </w:rPr>
        <w:t>6.2</w:t>
      </w:r>
      <w:r>
        <w:rPr>
          <w:rFonts w:cs="Arial"/>
          <w:bCs/>
          <w:szCs w:val="22"/>
        </w:rPr>
        <w:tab/>
      </w:r>
      <w:r w:rsidR="00594FE6">
        <w:rPr>
          <w:rFonts w:cs="Arial"/>
          <w:bCs/>
          <w:szCs w:val="22"/>
        </w:rPr>
        <w:t xml:space="preserve">Money is </w:t>
      </w:r>
      <w:r w:rsidR="00594FE6" w:rsidRPr="00594FE6">
        <w:rPr>
          <w:rFonts w:cs="Arial"/>
          <w:bCs/>
          <w:i/>
          <w:iCs/>
          <w:szCs w:val="22"/>
        </w:rPr>
        <w:t>res fungibiles</w:t>
      </w:r>
      <w:r w:rsidR="00594FE6">
        <w:rPr>
          <w:rFonts w:cs="Arial"/>
          <w:bCs/>
          <w:szCs w:val="22"/>
        </w:rPr>
        <w:t xml:space="preserve"> and ownership of the money passed to Nedbank by </w:t>
      </w:r>
      <w:r w:rsidR="00594FE6" w:rsidRPr="00A60A90">
        <w:rPr>
          <w:rFonts w:cs="Arial"/>
          <w:bCs/>
          <w:i/>
          <w:iCs/>
          <w:szCs w:val="22"/>
        </w:rPr>
        <w:t>commixtio</w:t>
      </w:r>
      <w:r w:rsidR="00594FE6">
        <w:rPr>
          <w:rFonts w:cs="Arial"/>
          <w:bCs/>
          <w:szCs w:val="22"/>
        </w:rPr>
        <w:t xml:space="preserve">. In </w:t>
      </w:r>
      <w:r w:rsidR="00594FE6" w:rsidRPr="00594FE6">
        <w:rPr>
          <w:i/>
          <w:iCs/>
        </w:rPr>
        <w:t>Trustees, Estate Whitehead v Dumas and Another</w:t>
      </w:r>
      <w:r w:rsidR="00594FE6">
        <w:rPr>
          <w:rStyle w:val="FootnoteReference"/>
          <w:i/>
          <w:iCs/>
        </w:rPr>
        <w:footnoteReference w:id="1"/>
      </w:r>
      <w:r w:rsidR="00594FE6">
        <w:rPr>
          <w:rFonts w:cs="Arial"/>
          <w:bCs/>
          <w:szCs w:val="22"/>
        </w:rPr>
        <w:t xml:space="preserve"> Cachalia JA put it thus:</w:t>
      </w:r>
    </w:p>
    <w:p w14:paraId="5157298F" w14:textId="1D55CF18" w:rsidR="00594FE6" w:rsidRDefault="00AD4233" w:rsidP="00AD4233">
      <w:pPr>
        <w:widowControl w:val="0"/>
        <w:spacing w:before="480" w:after="480" w:line="360" w:lineRule="auto"/>
        <w:ind w:left="720"/>
        <w:jc w:val="both"/>
        <w:rPr>
          <w:rFonts w:cs="Arial"/>
          <w:bCs/>
          <w:szCs w:val="22"/>
        </w:rPr>
      </w:pPr>
      <w:r w:rsidRPr="00AD4233">
        <w:rPr>
          <w:i/>
          <w:iCs/>
        </w:rPr>
        <w:t>“[13] Generally, where money is deposited into a bank account of an account-holder it mixes with other money and, by virtue of commixtio, becomes the property of the bank</w:t>
      </w:r>
      <w:r w:rsidR="00A60A90">
        <w:rPr>
          <w:i/>
          <w:iCs/>
        </w:rPr>
        <w:t xml:space="preserve"> </w:t>
      </w:r>
      <w:r w:rsidRPr="00AD4233">
        <w:rPr>
          <w:i/>
          <w:iCs/>
        </w:rPr>
        <w:t xml:space="preserve">regardless of the circumstances in which the deposit was made or by whom it was made. The account-holder has no real right of ownership of the money standing to his credit but acquires a personal right to payment of that amount from the bank, arising from their bank-customer relationship. This is also so where, as in this case, no money in its physical form is in issue, and the payment by one bank to another, on a client's instruction, is no more than an entry in the receiving bank's account.  The bank's </w:t>
      </w:r>
      <w:r w:rsidRPr="00AD4233">
        <w:rPr>
          <w:i/>
          <w:iCs/>
        </w:rPr>
        <w:lastRenderedPageBreak/>
        <w:t>obligation, as owner of the  funds credited to the customer's account, is to honour the customer's payment instructions. Where the depositor is not the account-holder he relinquishes any right to the money and cannot reverse the transfer without the account-holder's concurrence.”</w:t>
      </w:r>
      <w:r>
        <w:t xml:space="preserve"> [footnotes omitted]</w:t>
      </w:r>
    </w:p>
    <w:p w14:paraId="1479D30B" w14:textId="6AE13F9E" w:rsidR="00EB3A53" w:rsidRDefault="00501D16" w:rsidP="00501D16">
      <w:pPr>
        <w:widowControl w:val="0"/>
        <w:tabs>
          <w:tab w:val="left" w:pos="1418"/>
        </w:tabs>
        <w:spacing w:before="480" w:after="480" w:line="360" w:lineRule="auto"/>
        <w:ind w:left="1418" w:hanging="851"/>
        <w:jc w:val="both"/>
        <w:rPr>
          <w:rFonts w:cs="Arial"/>
          <w:bCs/>
          <w:szCs w:val="22"/>
        </w:rPr>
      </w:pPr>
      <w:r>
        <w:rPr>
          <w:rFonts w:cs="Arial"/>
          <w:bCs/>
          <w:szCs w:val="22"/>
        </w:rPr>
        <w:t>6.3</w:t>
      </w:r>
      <w:r>
        <w:rPr>
          <w:rFonts w:cs="Arial"/>
          <w:bCs/>
          <w:szCs w:val="22"/>
        </w:rPr>
        <w:tab/>
      </w:r>
      <w:r w:rsidR="00EB3A53">
        <w:rPr>
          <w:rFonts w:cs="Arial"/>
          <w:bCs/>
          <w:szCs w:val="22"/>
        </w:rPr>
        <w:t xml:space="preserve">The money paid into the account could therefore not be claimed with the </w:t>
      </w:r>
      <w:r w:rsidR="00EB3A53" w:rsidRPr="00EB3A53">
        <w:rPr>
          <w:rFonts w:cs="Arial"/>
          <w:bCs/>
          <w:i/>
          <w:iCs/>
          <w:szCs w:val="22"/>
        </w:rPr>
        <w:t>rei vindicatio</w:t>
      </w:r>
      <w:r w:rsidR="00EB3A53">
        <w:rPr>
          <w:rFonts w:cs="Arial"/>
          <w:bCs/>
          <w:szCs w:val="22"/>
        </w:rPr>
        <w:t>.</w:t>
      </w:r>
      <w:r w:rsidR="00EB3A53">
        <w:rPr>
          <w:rStyle w:val="FootnoteReference"/>
          <w:rFonts w:cs="Arial"/>
          <w:bCs/>
          <w:i/>
          <w:szCs w:val="22"/>
        </w:rPr>
        <w:footnoteReference w:id="2"/>
      </w:r>
    </w:p>
    <w:p w14:paraId="712B2274" w14:textId="6D4AD52E" w:rsidR="00C45125" w:rsidRDefault="00501D16" w:rsidP="00501D16">
      <w:pPr>
        <w:widowControl w:val="0"/>
        <w:tabs>
          <w:tab w:val="left" w:pos="1418"/>
        </w:tabs>
        <w:spacing w:before="480" w:after="480" w:line="360" w:lineRule="auto"/>
        <w:ind w:left="1418" w:hanging="851"/>
        <w:jc w:val="both"/>
        <w:rPr>
          <w:rFonts w:cs="Arial"/>
          <w:bCs/>
          <w:szCs w:val="22"/>
        </w:rPr>
      </w:pPr>
      <w:r>
        <w:rPr>
          <w:rFonts w:cs="Arial"/>
          <w:bCs/>
          <w:szCs w:val="22"/>
        </w:rPr>
        <w:t>6.4</w:t>
      </w:r>
      <w:r>
        <w:rPr>
          <w:rFonts w:cs="Arial"/>
          <w:bCs/>
          <w:szCs w:val="22"/>
        </w:rPr>
        <w:tab/>
      </w:r>
      <w:r w:rsidR="00AD4233">
        <w:rPr>
          <w:rFonts w:cs="Arial"/>
          <w:bCs/>
          <w:szCs w:val="22"/>
        </w:rPr>
        <w:t>Y&amp;N’s account with Nedbank was credited with the amount and therefore the payment benefitted Y&amp;N.</w:t>
      </w:r>
    </w:p>
    <w:p w14:paraId="2E54962C" w14:textId="16BD0A8F" w:rsidR="00AD4233" w:rsidRDefault="00501D16" w:rsidP="00501D16">
      <w:pPr>
        <w:widowControl w:val="0"/>
        <w:tabs>
          <w:tab w:val="left" w:pos="1418"/>
        </w:tabs>
        <w:spacing w:before="480" w:after="480" w:line="360" w:lineRule="auto"/>
        <w:ind w:left="1418" w:hanging="851"/>
        <w:jc w:val="both"/>
        <w:rPr>
          <w:rFonts w:cs="Arial"/>
          <w:bCs/>
          <w:szCs w:val="22"/>
        </w:rPr>
      </w:pPr>
      <w:r>
        <w:rPr>
          <w:rFonts w:cs="Arial"/>
          <w:bCs/>
          <w:szCs w:val="22"/>
        </w:rPr>
        <w:t>6.5</w:t>
      </w:r>
      <w:r>
        <w:rPr>
          <w:rFonts w:cs="Arial"/>
          <w:bCs/>
          <w:szCs w:val="22"/>
        </w:rPr>
        <w:tab/>
      </w:r>
      <w:r w:rsidR="00AD4233">
        <w:rPr>
          <w:rFonts w:cs="Arial"/>
          <w:bCs/>
          <w:szCs w:val="22"/>
        </w:rPr>
        <w:t>However, the account was overdrawn and set off was applied.</w:t>
      </w:r>
    </w:p>
    <w:p w14:paraId="4969DC69" w14:textId="26333D22" w:rsidR="0057408C" w:rsidRPr="0057408C" w:rsidRDefault="00501D16" w:rsidP="00501D16">
      <w:pPr>
        <w:widowControl w:val="0"/>
        <w:tabs>
          <w:tab w:val="left" w:pos="1418"/>
        </w:tabs>
        <w:spacing w:before="480" w:after="480" w:line="360" w:lineRule="auto"/>
        <w:ind w:left="1418" w:hanging="851"/>
        <w:jc w:val="both"/>
        <w:rPr>
          <w:rFonts w:cs="Arial"/>
          <w:bCs/>
          <w:szCs w:val="22"/>
        </w:rPr>
      </w:pPr>
      <w:r w:rsidRPr="0057408C">
        <w:rPr>
          <w:rFonts w:cs="Arial"/>
          <w:bCs/>
          <w:szCs w:val="22"/>
        </w:rPr>
        <w:t>6.6</w:t>
      </w:r>
      <w:r w:rsidRPr="0057408C">
        <w:rPr>
          <w:rFonts w:cs="Arial"/>
          <w:bCs/>
          <w:szCs w:val="22"/>
        </w:rPr>
        <w:tab/>
      </w:r>
      <w:r w:rsidR="00AD4233">
        <w:rPr>
          <w:rFonts w:cs="Arial"/>
          <w:bCs/>
          <w:szCs w:val="22"/>
        </w:rPr>
        <w:t>Nedbank became entitled to the amount and simultaneously its claim against Y&amp;N was diminished in the exact same amount.</w:t>
      </w:r>
    </w:p>
    <w:p w14:paraId="3580E528" w14:textId="5FDC6C4A" w:rsidR="003D5E47" w:rsidRDefault="00501D16" w:rsidP="00501D16">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AD4233">
        <w:rPr>
          <w:rFonts w:cs="Arial"/>
          <w:bCs/>
          <w:szCs w:val="22"/>
        </w:rPr>
        <w:t xml:space="preserve">Had the account been in credit Y&amp;N would have been able to </w:t>
      </w:r>
      <w:r w:rsidR="00A60A90">
        <w:rPr>
          <w:rFonts w:cs="Arial"/>
          <w:bCs/>
          <w:szCs w:val="22"/>
        </w:rPr>
        <w:t xml:space="preserve">exercise its personal right against Nedbank and could have instructed Nedbank to </w:t>
      </w:r>
      <w:r w:rsidR="00AD4233">
        <w:rPr>
          <w:rFonts w:cs="Arial"/>
          <w:bCs/>
          <w:szCs w:val="22"/>
        </w:rPr>
        <w:t xml:space="preserve">repay the </w:t>
      </w:r>
      <w:r w:rsidR="00A60A90">
        <w:rPr>
          <w:rFonts w:cs="Arial"/>
          <w:bCs/>
          <w:szCs w:val="22"/>
        </w:rPr>
        <w:t xml:space="preserve">same </w:t>
      </w:r>
      <w:r w:rsidR="00AD4233">
        <w:rPr>
          <w:rFonts w:cs="Arial"/>
          <w:bCs/>
          <w:szCs w:val="22"/>
        </w:rPr>
        <w:t>amount to the applicant, but because the account was overdrawn Y&amp;N could not do so.</w:t>
      </w:r>
      <w:r w:rsidR="003D5E47">
        <w:rPr>
          <w:rFonts w:cs="Arial"/>
          <w:bCs/>
          <w:szCs w:val="22"/>
        </w:rPr>
        <w:t xml:space="preserve"> A comparable situation arises when a thief (not a debtor as in the current situation) pays his own or someone else’s debt with stolen money. The debt is extinguished provided the creditor is innocent. Any amount that remains in credit can be claimed by the victim of the theft, and the victim has a claim against the thief.</w:t>
      </w:r>
      <w:r w:rsidR="003D5E47">
        <w:rPr>
          <w:rStyle w:val="FootnoteReference"/>
          <w:rFonts w:cs="Arial"/>
          <w:bCs/>
          <w:szCs w:val="22"/>
        </w:rPr>
        <w:footnoteReference w:id="3"/>
      </w:r>
    </w:p>
    <w:p w14:paraId="675D9AFC" w14:textId="19E42141" w:rsidR="00AD4233" w:rsidRDefault="00501D16" w:rsidP="00501D16">
      <w:pPr>
        <w:widowControl w:val="0"/>
        <w:tabs>
          <w:tab w:val="left" w:pos="567"/>
        </w:tabs>
        <w:spacing w:before="480" w:after="480" w:line="360" w:lineRule="auto"/>
        <w:jc w:val="both"/>
        <w:rPr>
          <w:rFonts w:cs="Arial"/>
          <w:bCs/>
          <w:szCs w:val="22"/>
        </w:rPr>
      </w:pPr>
      <w:r>
        <w:rPr>
          <w:rFonts w:cs="Arial"/>
          <w:bCs/>
          <w:szCs w:val="22"/>
        </w:rPr>
        <w:t>[8]</w:t>
      </w:r>
      <w:r>
        <w:rPr>
          <w:rFonts w:cs="Arial"/>
          <w:bCs/>
          <w:szCs w:val="22"/>
        </w:rPr>
        <w:tab/>
      </w:r>
      <w:r w:rsidR="00A60A90">
        <w:rPr>
          <w:rFonts w:cs="Arial"/>
          <w:bCs/>
          <w:szCs w:val="22"/>
        </w:rPr>
        <w:t>The most basic relationship between bank and customer is a debtor – creditor relationship</w:t>
      </w:r>
      <w:r w:rsidR="00DC75B5">
        <w:rPr>
          <w:rFonts w:cs="Arial"/>
          <w:bCs/>
          <w:szCs w:val="22"/>
        </w:rPr>
        <w:t>.</w:t>
      </w:r>
      <w:r w:rsidR="00A60A90">
        <w:rPr>
          <w:rStyle w:val="FootnoteReference"/>
          <w:rFonts w:cs="Arial"/>
          <w:bCs/>
          <w:szCs w:val="22"/>
        </w:rPr>
        <w:footnoteReference w:id="4"/>
      </w:r>
      <w:r w:rsidR="00A60A90">
        <w:rPr>
          <w:rFonts w:cs="Arial"/>
          <w:bCs/>
          <w:szCs w:val="22"/>
        </w:rPr>
        <w:t xml:space="preserve"> When the account is in credit the customer is the creditor and the bank is the debtor; when the account is overdrawn the bank is the creditor and the customer is the debtor. Because it was the debtor in the relationship Y&amp;N could not repay the money to the applicant.</w:t>
      </w:r>
    </w:p>
    <w:p w14:paraId="0C01CBD4" w14:textId="718F19F8" w:rsidR="0057408C" w:rsidRDefault="00501D16" w:rsidP="00501D16">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57408C">
        <w:rPr>
          <w:rFonts w:cs="Arial"/>
          <w:bCs/>
          <w:szCs w:val="22"/>
        </w:rPr>
        <w:t xml:space="preserve">The payment was not made </w:t>
      </w:r>
      <w:r w:rsidR="0057408C" w:rsidRPr="0057408C">
        <w:rPr>
          <w:rFonts w:cs="Arial"/>
          <w:bCs/>
          <w:i/>
          <w:iCs/>
          <w:szCs w:val="22"/>
        </w:rPr>
        <w:t>indebite</w:t>
      </w:r>
      <w:r w:rsidR="0057408C">
        <w:rPr>
          <w:rFonts w:cs="Arial"/>
          <w:bCs/>
          <w:szCs w:val="22"/>
        </w:rPr>
        <w:t xml:space="preserve">, nor was it made </w:t>
      </w:r>
      <w:r w:rsidR="0057408C" w:rsidRPr="0057408C">
        <w:rPr>
          <w:rFonts w:cs="Arial"/>
          <w:bCs/>
          <w:i/>
          <w:iCs/>
          <w:szCs w:val="22"/>
        </w:rPr>
        <w:t>sine causa</w:t>
      </w:r>
      <w:r w:rsidR="00A21FA2">
        <w:rPr>
          <w:rFonts w:cs="Arial"/>
          <w:bCs/>
          <w:i/>
          <w:iCs/>
          <w:szCs w:val="22"/>
        </w:rPr>
        <w:t xml:space="preserve">, </w:t>
      </w:r>
      <w:r w:rsidR="00A21FA2" w:rsidRPr="00A21FA2">
        <w:rPr>
          <w:rFonts w:cs="Arial"/>
          <w:bCs/>
          <w:szCs w:val="22"/>
        </w:rPr>
        <w:t>nor was Nedbank enriched</w:t>
      </w:r>
      <w:r w:rsidR="0057408C" w:rsidRPr="00A21FA2">
        <w:rPr>
          <w:rFonts w:cs="Arial"/>
          <w:bCs/>
          <w:szCs w:val="22"/>
        </w:rPr>
        <w:t>.</w:t>
      </w:r>
      <w:r w:rsidR="0057408C">
        <w:rPr>
          <w:rFonts w:cs="Arial"/>
          <w:bCs/>
          <w:szCs w:val="22"/>
        </w:rPr>
        <w:t xml:space="preserve"> The money was due to the recipient, Y&amp;N, and the </w:t>
      </w:r>
      <w:r w:rsidR="0057408C" w:rsidRPr="00A21FA2">
        <w:rPr>
          <w:rFonts w:cs="Arial"/>
          <w:bCs/>
          <w:i/>
          <w:iCs/>
          <w:szCs w:val="22"/>
        </w:rPr>
        <w:t>causa</w:t>
      </w:r>
      <w:r w:rsidR="0057408C">
        <w:rPr>
          <w:rFonts w:cs="Arial"/>
          <w:bCs/>
          <w:szCs w:val="22"/>
        </w:rPr>
        <w:t xml:space="preserve"> for the payment was the undisputed debt owed by the applicant to Y&amp;N.</w:t>
      </w:r>
      <w:r w:rsidR="00A21FA2">
        <w:rPr>
          <w:rFonts w:cs="Arial"/>
          <w:bCs/>
          <w:szCs w:val="22"/>
        </w:rPr>
        <w:t xml:space="preserve"> None of the </w:t>
      </w:r>
      <w:r w:rsidR="00A21FA2" w:rsidRPr="00A21FA2">
        <w:rPr>
          <w:rFonts w:cs="Arial"/>
          <w:bCs/>
          <w:i/>
          <w:iCs/>
          <w:szCs w:val="22"/>
        </w:rPr>
        <w:t>condictiones</w:t>
      </w:r>
      <w:r w:rsidR="00A21FA2">
        <w:rPr>
          <w:rFonts w:cs="Arial"/>
          <w:bCs/>
          <w:szCs w:val="22"/>
        </w:rPr>
        <w:t xml:space="preserve"> are applicable and </w:t>
      </w:r>
      <w:r w:rsidR="00A21FA2">
        <w:rPr>
          <w:rFonts w:cs="Arial"/>
          <w:bCs/>
          <w:szCs w:val="22"/>
        </w:rPr>
        <w:lastRenderedPageBreak/>
        <w:t xml:space="preserve">the question of which </w:t>
      </w:r>
      <w:r w:rsidR="00A21FA2" w:rsidRPr="00A21FA2">
        <w:rPr>
          <w:rFonts w:cs="Arial"/>
          <w:bCs/>
          <w:i/>
          <w:iCs/>
          <w:szCs w:val="22"/>
        </w:rPr>
        <w:t>condictio</w:t>
      </w:r>
      <w:r w:rsidR="00A21FA2">
        <w:rPr>
          <w:rFonts w:cs="Arial"/>
          <w:bCs/>
          <w:szCs w:val="22"/>
        </w:rPr>
        <w:t xml:space="preserve"> applies, does not arise for decision in this case.</w:t>
      </w:r>
    </w:p>
    <w:p w14:paraId="419D5A70" w14:textId="77777777" w:rsidR="00DC75B5" w:rsidRDefault="00DC75B5" w:rsidP="00DC75B5">
      <w:pPr>
        <w:widowControl w:val="0"/>
        <w:spacing w:before="480" w:after="480" w:line="360" w:lineRule="auto"/>
        <w:jc w:val="both"/>
        <w:rPr>
          <w:rFonts w:cs="Arial"/>
          <w:bCs/>
          <w:szCs w:val="22"/>
          <w:u w:val="single"/>
        </w:rPr>
      </w:pPr>
    </w:p>
    <w:p w14:paraId="0E962E28" w14:textId="2C1E7240" w:rsidR="00DC75B5" w:rsidRPr="00DC75B5" w:rsidRDefault="00A21FA2" w:rsidP="00DC75B5">
      <w:pPr>
        <w:widowControl w:val="0"/>
        <w:spacing w:before="480" w:after="480" w:line="360" w:lineRule="auto"/>
        <w:jc w:val="both"/>
        <w:rPr>
          <w:rFonts w:cs="Arial"/>
          <w:bCs/>
          <w:szCs w:val="22"/>
          <w:u w:val="single"/>
        </w:rPr>
      </w:pPr>
      <w:r>
        <w:rPr>
          <w:rFonts w:cs="Arial"/>
          <w:bCs/>
          <w:szCs w:val="22"/>
          <w:u w:val="single"/>
        </w:rPr>
        <w:t>E</w:t>
      </w:r>
      <w:r w:rsidR="00DC75B5" w:rsidRPr="00DC75B5">
        <w:rPr>
          <w:rFonts w:cs="Arial"/>
          <w:bCs/>
          <w:szCs w:val="22"/>
          <w:u w:val="single"/>
        </w:rPr>
        <w:t>vents</w:t>
      </w:r>
      <w:r>
        <w:rPr>
          <w:rFonts w:cs="Arial"/>
          <w:bCs/>
          <w:szCs w:val="22"/>
          <w:u w:val="single"/>
        </w:rPr>
        <w:t xml:space="preserve"> subsequent to the payment</w:t>
      </w:r>
    </w:p>
    <w:p w14:paraId="06D1289C" w14:textId="040FE9F5" w:rsidR="00C45125" w:rsidRDefault="00501D16" w:rsidP="00501D16">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A21FA2">
        <w:rPr>
          <w:rFonts w:cs="Arial"/>
          <w:bCs/>
          <w:szCs w:val="22"/>
        </w:rPr>
        <w:t>After making the payment</w:t>
      </w:r>
      <w:r w:rsidR="00C45125">
        <w:rPr>
          <w:rFonts w:cs="Arial"/>
          <w:bCs/>
          <w:szCs w:val="22"/>
        </w:rPr>
        <w:t xml:space="preserve"> </w:t>
      </w:r>
      <w:r w:rsidR="00AD4233">
        <w:rPr>
          <w:rFonts w:cs="Arial"/>
          <w:bCs/>
          <w:szCs w:val="22"/>
        </w:rPr>
        <w:t>the deponent</w:t>
      </w:r>
      <w:r w:rsidR="00C45125">
        <w:rPr>
          <w:rFonts w:cs="Arial"/>
          <w:bCs/>
          <w:szCs w:val="22"/>
        </w:rPr>
        <w:t xml:space="preserve"> received a telephone call from a Director of </w:t>
      </w:r>
      <w:r w:rsidR="0062211A">
        <w:rPr>
          <w:rFonts w:cs="Arial"/>
          <w:bCs/>
          <w:szCs w:val="22"/>
        </w:rPr>
        <w:t>Y&amp;N</w:t>
      </w:r>
      <w:r w:rsidR="000441E4">
        <w:rPr>
          <w:rFonts w:cs="Arial"/>
          <w:bCs/>
          <w:szCs w:val="22"/>
        </w:rPr>
        <w:t xml:space="preserve"> </w:t>
      </w:r>
      <w:r w:rsidR="000E055C">
        <w:rPr>
          <w:rFonts w:cs="Arial"/>
          <w:bCs/>
          <w:szCs w:val="22"/>
        </w:rPr>
        <w:t xml:space="preserve">who informed her that the money had been paid into the </w:t>
      </w:r>
      <w:r w:rsidR="0062211A">
        <w:rPr>
          <w:rFonts w:cs="Arial"/>
          <w:bCs/>
          <w:szCs w:val="22"/>
        </w:rPr>
        <w:t>Y&amp;N</w:t>
      </w:r>
      <w:r w:rsidR="000E055C">
        <w:rPr>
          <w:rFonts w:cs="Arial"/>
          <w:bCs/>
          <w:szCs w:val="22"/>
        </w:rPr>
        <w:t xml:space="preserve"> Nedbank account which was no longer in use. He said it had lain dormant since about 2019.</w:t>
      </w:r>
      <w:r w:rsidR="00A21FA2">
        <w:rPr>
          <w:rFonts w:cs="Arial"/>
          <w:bCs/>
          <w:szCs w:val="22"/>
        </w:rPr>
        <w:t xml:space="preserve"> </w:t>
      </w:r>
    </w:p>
    <w:p w14:paraId="1F68FB1E" w14:textId="691FCD32" w:rsidR="000E055C" w:rsidRDefault="00501D16" w:rsidP="00501D16">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0E055C">
        <w:rPr>
          <w:rFonts w:cs="Arial"/>
          <w:bCs/>
          <w:szCs w:val="22"/>
        </w:rPr>
        <w:t xml:space="preserve">She then immediately logged back onto the FNB Enterprise Banking portal and effected a further payment of R1 117 649.60 from the applicant’s FNB account into </w:t>
      </w:r>
      <w:r w:rsidR="0062211A">
        <w:rPr>
          <w:rFonts w:cs="Arial"/>
          <w:bCs/>
          <w:szCs w:val="22"/>
        </w:rPr>
        <w:t>Y&amp;N</w:t>
      </w:r>
      <w:r w:rsidR="000E055C">
        <w:rPr>
          <w:rFonts w:cs="Arial"/>
          <w:bCs/>
          <w:szCs w:val="22"/>
        </w:rPr>
        <w:t xml:space="preserve">’s FNB account. </w:t>
      </w:r>
      <w:r w:rsidR="00F73268">
        <w:rPr>
          <w:rFonts w:cs="Arial"/>
          <w:bCs/>
          <w:szCs w:val="22"/>
        </w:rPr>
        <w:t>The debt was therefore paid for a second time.</w:t>
      </w:r>
    </w:p>
    <w:p w14:paraId="525FCA4E" w14:textId="2E9D71B4" w:rsidR="000E055C" w:rsidRDefault="00501D16" w:rsidP="00501D16">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0E055C">
        <w:rPr>
          <w:rFonts w:cs="Arial"/>
          <w:bCs/>
          <w:szCs w:val="22"/>
        </w:rPr>
        <w:t xml:space="preserve">It is alleged in the founding affidavit that </w:t>
      </w:r>
      <w:r w:rsidR="00BC1F7E">
        <w:rPr>
          <w:rFonts w:cs="Arial"/>
          <w:bCs/>
          <w:szCs w:val="22"/>
        </w:rPr>
        <w:t>Y&amp;N’s</w:t>
      </w:r>
      <w:r w:rsidR="000E055C">
        <w:rPr>
          <w:rFonts w:cs="Arial"/>
          <w:bCs/>
          <w:szCs w:val="22"/>
        </w:rPr>
        <w:t xml:space="preserve"> account at Nedbank</w:t>
      </w:r>
      <w:r w:rsidR="00BC1F7E">
        <w:rPr>
          <w:rFonts w:cs="Arial"/>
          <w:bCs/>
          <w:szCs w:val="22"/>
        </w:rPr>
        <w:t>, the first respondent,</w:t>
      </w:r>
      <w:r w:rsidR="000E055C">
        <w:rPr>
          <w:rFonts w:cs="Arial"/>
          <w:bCs/>
          <w:szCs w:val="22"/>
        </w:rPr>
        <w:t xml:space="preserve"> had been closed and that the funds had thus not been credited to </w:t>
      </w:r>
      <w:r w:rsidR="0062211A">
        <w:rPr>
          <w:rFonts w:cs="Arial"/>
          <w:bCs/>
          <w:szCs w:val="22"/>
        </w:rPr>
        <w:t>Y&amp;N</w:t>
      </w:r>
      <w:r w:rsidR="000E055C">
        <w:rPr>
          <w:rFonts w:cs="Arial"/>
          <w:bCs/>
          <w:szCs w:val="22"/>
        </w:rPr>
        <w:t xml:space="preserve">. </w:t>
      </w:r>
      <w:r w:rsidR="00BC1F7E">
        <w:rPr>
          <w:rFonts w:cs="Arial"/>
          <w:bCs/>
          <w:szCs w:val="22"/>
        </w:rPr>
        <w:t xml:space="preserve">The source of this information seems to be Y&amp;N. </w:t>
      </w:r>
      <w:r w:rsidR="00DC75B5">
        <w:rPr>
          <w:rFonts w:cs="Arial"/>
          <w:bCs/>
          <w:szCs w:val="22"/>
        </w:rPr>
        <w:t xml:space="preserve">It is alleged that </w:t>
      </w:r>
      <w:r w:rsidR="000E055C">
        <w:rPr>
          <w:rFonts w:cs="Arial"/>
          <w:bCs/>
          <w:szCs w:val="22"/>
        </w:rPr>
        <w:t xml:space="preserve">Nedbank had neither paid over these funds to </w:t>
      </w:r>
      <w:r w:rsidR="0062211A">
        <w:rPr>
          <w:rFonts w:cs="Arial"/>
          <w:bCs/>
          <w:szCs w:val="22"/>
        </w:rPr>
        <w:t>Y&amp;N</w:t>
      </w:r>
      <w:r w:rsidR="000E055C">
        <w:rPr>
          <w:rFonts w:cs="Arial"/>
          <w:bCs/>
          <w:szCs w:val="22"/>
        </w:rPr>
        <w:t xml:space="preserve"> nor has it returned same to either FNB or the applicant. It has simply retained the funds – ostensibly for itself.</w:t>
      </w:r>
      <w:r w:rsidR="00BC1F7E">
        <w:rPr>
          <w:rFonts w:cs="Arial"/>
          <w:bCs/>
          <w:szCs w:val="22"/>
        </w:rPr>
        <w:t xml:space="preserve"> It is then alleged that Nedbank has no lawful basis to retain the funds and that Nedbank has been unjustly enriched in the amount of R1 117 649.60.</w:t>
      </w:r>
    </w:p>
    <w:p w14:paraId="5381C9CC" w14:textId="7791C773" w:rsidR="000E055C" w:rsidRDefault="00501D16" w:rsidP="00501D16">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0E055C">
        <w:rPr>
          <w:rFonts w:cs="Arial"/>
          <w:bCs/>
          <w:szCs w:val="22"/>
        </w:rPr>
        <w:t xml:space="preserve">The applicant seeks relief only against Nedbank for repayment of the funds transferred. No relief is sought against the second respondent, </w:t>
      </w:r>
      <w:r w:rsidR="001479CC">
        <w:rPr>
          <w:rFonts w:cs="Arial"/>
          <w:bCs/>
          <w:szCs w:val="22"/>
        </w:rPr>
        <w:t>FirstRand</w:t>
      </w:r>
      <w:r w:rsidR="000E055C">
        <w:rPr>
          <w:rFonts w:cs="Arial"/>
          <w:bCs/>
          <w:szCs w:val="22"/>
        </w:rPr>
        <w:t xml:space="preserve"> Bank Limited, referred to as “FNB” </w:t>
      </w:r>
      <w:r w:rsidR="00E604A1">
        <w:rPr>
          <w:rFonts w:cs="Arial"/>
          <w:bCs/>
          <w:szCs w:val="22"/>
        </w:rPr>
        <w:t>or</w:t>
      </w:r>
      <w:r w:rsidR="000E055C">
        <w:rPr>
          <w:rFonts w:cs="Arial"/>
          <w:bCs/>
          <w:szCs w:val="22"/>
        </w:rPr>
        <w:t xml:space="preserve"> </w:t>
      </w:r>
      <w:r w:rsidR="0057408C">
        <w:rPr>
          <w:rFonts w:cs="Arial"/>
          <w:bCs/>
          <w:szCs w:val="22"/>
        </w:rPr>
        <w:t xml:space="preserve">against </w:t>
      </w:r>
      <w:r w:rsidR="0062211A">
        <w:rPr>
          <w:rFonts w:cs="Arial"/>
          <w:bCs/>
          <w:szCs w:val="22"/>
        </w:rPr>
        <w:t>Y&amp;N</w:t>
      </w:r>
      <w:r w:rsidR="000E055C">
        <w:rPr>
          <w:rFonts w:cs="Arial"/>
          <w:bCs/>
          <w:szCs w:val="22"/>
        </w:rPr>
        <w:t xml:space="preserve">. </w:t>
      </w:r>
    </w:p>
    <w:p w14:paraId="666A2AE7" w14:textId="77777777" w:rsidR="00F73268" w:rsidRDefault="00F73268" w:rsidP="00F73268">
      <w:pPr>
        <w:widowControl w:val="0"/>
        <w:spacing w:before="480" w:after="480" w:line="360" w:lineRule="auto"/>
        <w:jc w:val="both"/>
        <w:rPr>
          <w:rFonts w:cs="Arial"/>
          <w:bCs/>
          <w:szCs w:val="22"/>
          <w:u w:val="single"/>
        </w:rPr>
      </w:pPr>
    </w:p>
    <w:p w14:paraId="43C074BA" w14:textId="2E4D4C05" w:rsidR="00F73268" w:rsidRPr="00F73268" w:rsidRDefault="00F73268" w:rsidP="00F73268">
      <w:pPr>
        <w:widowControl w:val="0"/>
        <w:spacing w:before="480" w:after="480" w:line="360" w:lineRule="auto"/>
        <w:jc w:val="both"/>
        <w:rPr>
          <w:rFonts w:cs="Arial"/>
          <w:bCs/>
          <w:szCs w:val="22"/>
          <w:u w:val="single"/>
        </w:rPr>
      </w:pPr>
      <w:r w:rsidRPr="00F73268">
        <w:rPr>
          <w:rFonts w:cs="Arial"/>
          <w:bCs/>
          <w:szCs w:val="22"/>
          <w:u w:val="single"/>
        </w:rPr>
        <w:t>Nedbank’s response</w:t>
      </w:r>
    </w:p>
    <w:p w14:paraId="36BDDD78" w14:textId="00A93CE5" w:rsidR="00A74920" w:rsidRDefault="00501D16" w:rsidP="00501D16">
      <w:pPr>
        <w:widowControl w:val="0"/>
        <w:tabs>
          <w:tab w:val="left" w:pos="567"/>
        </w:tabs>
        <w:spacing w:before="480" w:after="480" w:line="360" w:lineRule="auto"/>
        <w:jc w:val="both"/>
        <w:rPr>
          <w:rFonts w:cs="Arial"/>
          <w:bCs/>
          <w:szCs w:val="22"/>
        </w:rPr>
      </w:pPr>
      <w:r>
        <w:rPr>
          <w:rFonts w:cs="Arial"/>
          <w:bCs/>
          <w:szCs w:val="22"/>
        </w:rPr>
        <w:t>[14]</w:t>
      </w:r>
      <w:r>
        <w:rPr>
          <w:rFonts w:cs="Arial"/>
          <w:bCs/>
          <w:szCs w:val="22"/>
        </w:rPr>
        <w:tab/>
      </w:r>
      <w:r w:rsidR="00E604A1">
        <w:rPr>
          <w:rFonts w:cs="Arial"/>
          <w:bCs/>
          <w:szCs w:val="22"/>
        </w:rPr>
        <w:t>Nedbank</w:t>
      </w:r>
      <w:r w:rsidR="000E055C">
        <w:rPr>
          <w:rFonts w:cs="Arial"/>
          <w:bCs/>
          <w:szCs w:val="22"/>
        </w:rPr>
        <w:t xml:space="preserve"> states that the factual basis for the application is incorrect.</w:t>
      </w:r>
      <w:r w:rsidR="00E604A1">
        <w:rPr>
          <w:rStyle w:val="FootnoteReference"/>
          <w:rFonts w:cs="Arial"/>
          <w:bCs/>
          <w:szCs w:val="22"/>
        </w:rPr>
        <w:footnoteReference w:id="5"/>
      </w:r>
      <w:r w:rsidR="000E055C">
        <w:rPr>
          <w:rFonts w:cs="Arial"/>
          <w:bCs/>
          <w:szCs w:val="22"/>
        </w:rPr>
        <w:t xml:space="preserve"> The Nedbank </w:t>
      </w:r>
      <w:r w:rsidR="000E055C">
        <w:rPr>
          <w:rFonts w:cs="Arial"/>
          <w:bCs/>
          <w:szCs w:val="22"/>
        </w:rPr>
        <w:lastRenderedPageBreak/>
        <w:t xml:space="preserve">account was never closed and was not dormant at the time that the applicant paid money into it. </w:t>
      </w:r>
      <w:r w:rsidR="00A74920">
        <w:rPr>
          <w:rFonts w:cs="Arial"/>
          <w:bCs/>
          <w:szCs w:val="22"/>
        </w:rPr>
        <w:t xml:space="preserve"> </w:t>
      </w:r>
      <w:r w:rsidR="000E055C">
        <w:rPr>
          <w:rFonts w:cs="Arial"/>
          <w:bCs/>
          <w:szCs w:val="22"/>
        </w:rPr>
        <w:t xml:space="preserve">When the applicant refers to the account being dormant, it is probably referring to an account that is open but not used. </w:t>
      </w:r>
      <w:r w:rsidR="00F73268">
        <w:rPr>
          <w:rFonts w:cs="Arial"/>
          <w:bCs/>
          <w:szCs w:val="22"/>
        </w:rPr>
        <w:t>Nedbank</w:t>
      </w:r>
      <w:r w:rsidR="00E604A1">
        <w:rPr>
          <w:rFonts w:cs="Arial"/>
          <w:bCs/>
          <w:szCs w:val="22"/>
        </w:rPr>
        <w:t xml:space="preserve"> denies that it merely appropriated the applicant’s money and states that the amount received into the Y&amp;N bank account was indeed credited to Y&amp;N, thus diminishing the amount that the account was in overdraft.</w:t>
      </w:r>
      <w:r w:rsidR="00A74920">
        <w:rPr>
          <w:rFonts w:cs="Arial"/>
          <w:bCs/>
          <w:szCs w:val="22"/>
        </w:rPr>
        <w:t xml:space="preserve"> It is also noteworthy that Y&amp;N’s director knew that the funds had been paid into the Y&amp;N Nedbank account, a statement impossible to reconcile with the averment that the account was closed and that Nedbank had merely appropriated the money.</w:t>
      </w:r>
      <w:r w:rsidR="00A74920" w:rsidRPr="00A74920">
        <w:rPr>
          <w:rFonts w:cs="Arial"/>
          <w:bCs/>
          <w:szCs w:val="22"/>
        </w:rPr>
        <w:t xml:space="preserve"> </w:t>
      </w:r>
    </w:p>
    <w:p w14:paraId="0DB02D51" w14:textId="194ED760" w:rsidR="00A74920" w:rsidRDefault="00501D16" w:rsidP="00501D16">
      <w:pPr>
        <w:widowControl w:val="0"/>
        <w:tabs>
          <w:tab w:val="left" w:pos="567"/>
        </w:tabs>
        <w:spacing w:before="480" w:after="480" w:line="360" w:lineRule="auto"/>
        <w:jc w:val="both"/>
        <w:rPr>
          <w:rFonts w:cs="Arial"/>
          <w:bCs/>
          <w:szCs w:val="22"/>
        </w:rPr>
      </w:pPr>
      <w:r>
        <w:rPr>
          <w:rFonts w:cs="Arial"/>
          <w:bCs/>
          <w:szCs w:val="22"/>
        </w:rPr>
        <w:t>[15]</w:t>
      </w:r>
      <w:r>
        <w:rPr>
          <w:rFonts w:cs="Arial"/>
          <w:bCs/>
          <w:szCs w:val="22"/>
        </w:rPr>
        <w:tab/>
      </w:r>
      <w:r w:rsidR="00A74920">
        <w:rPr>
          <w:rFonts w:cs="Arial"/>
          <w:bCs/>
          <w:szCs w:val="22"/>
        </w:rPr>
        <w:t>The fact that the account is open and not closed is also borne out by the fact that the applicant was able to make a payment into the account on the banking portal. If there was no account or the account had</w:t>
      </w:r>
      <w:r w:rsidR="00197AAE">
        <w:rPr>
          <w:rFonts w:cs="Arial"/>
          <w:bCs/>
          <w:szCs w:val="22"/>
        </w:rPr>
        <w:t xml:space="preserve"> indeed</w:t>
      </w:r>
      <w:r w:rsidR="00A74920">
        <w:rPr>
          <w:rFonts w:cs="Arial"/>
          <w:bCs/>
          <w:szCs w:val="22"/>
        </w:rPr>
        <w:t xml:space="preserve"> been closed, funds received by Nedbank would have been placed in a suspense account</w:t>
      </w:r>
      <w:r w:rsidR="00197AAE">
        <w:rPr>
          <w:rFonts w:cs="Arial"/>
          <w:bCs/>
          <w:szCs w:val="22"/>
        </w:rPr>
        <w:t xml:space="preserve"> and ultimately returned to FNB.</w:t>
      </w:r>
    </w:p>
    <w:p w14:paraId="4E16FA39" w14:textId="59A490AB" w:rsidR="000E055C" w:rsidRPr="00A74920" w:rsidRDefault="00501D16" w:rsidP="00501D16">
      <w:pPr>
        <w:widowControl w:val="0"/>
        <w:tabs>
          <w:tab w:val="left" w:pos="567"/>
        </w:tabs>
        <w:spacing w:before="480" w:after="480" w:line="360" w:lineRule="auto"/>
        <w:jc w:val="both"/>
        <w:rPr>
          <w:rFonts w:cs="Arial"/>
          <w:bCs/>
          <w:szCs w:val="22"/>
        </w:rPr>
      </w:pPr>
      <w:r w:rsidRPr="00A74920">
        <w:rPr>
          <w:rFonts w:cs="Arial"/>
          <w:bCs/>
          <w:szCs w:val="22"/>
        </w:rPr>
        <w:t>[16]</w:t>
      </w:r>
      <w:r w:rsidRPr="00A74920">
        <w:rPr>
          <w:rFonts w:cs="Arial"/>
          <w:bCs/>
          <w:szCs w:val="22"/>
        </w:rPr>
        <w:tab/>
      </w:r>
      <w:r w:rsidR="000E055C" w:rsidRPr="00A74920">
        <w:rPr>
          <w:rFonts w:cs="Arial"/>
          <w:bCs/>
          <w:szCs w:val="22"/>
        </w:rPr>
        <w:t xml:space="preserve">The account is the subject of a dispute between Nedbank and </w:t>
      </w:r>
      <w:r w:rsidR="0062211A" w:rsidRPr="00A74920">
        <w:rPr>
          <w:rFonts w:cs="Arial"/>
          <w:bCs/>
          <w:szCs w:val="22"/>
        </w:rPr>
        <w:t>Y&amp;N</w:t>
      </w:r>
      <w:r w:rsidR="000E055C" w:rsidRPr="00A74920">
        <w:rPr>
          <w:rFonts w:cs="Arial"/>
          <w:bCs/>
          <w:szCs w:val="22"/>
        </w:rPr>
        <w:t xml:space="preserve"> presently before the High Court in Durban. Nedbank alleges that the account is substantially overdrawn in excess of the amount paid by the applicant. </w:t>
      </w:r>
      <w:r w:rsidR="0062211A" w:rsidRPr="00A74920">
        <w:rPr>
          <w:rFonts w:cs="Arial"/>
          <w:bCs/>
          <w:szCs w:val="22"/>
        </w:rPr>
        <w:t>Y&amp;N</w:t>
      </w:r>
      <w:r w:rsidR="000E055C" w:rsidRPr="00A74920">
        <w:rPr>
          <w:rFonts w:cs="Arial"/>
          <w:bCs/>
          <w:szCs w:val="22"/>
        </w:rPr>
        <w:t xml:space="preserve"> had a</w:t>
      </w:r>
      <w:r w:rsidR="00E604A1" w:rsidRPr="00A74920">
        <w:rPr>
          <w:rFonts w:cs="Arial"/>
          <w:bCs/>
          <w:szCs w:val="22"/>
        </w:rPr>
        <w:t>n overdraft</w:t>
      </w:r>
      <w:r w:rsidR="000E055C" w:rsidRPr="00A74920">
        <w:rPr>
          <w:rFonts w:cs="Arial"/>
          <w:bCs/>
          <w:szCs w:val="22"/>
        </w:rPr>
        <w:t xml:space="preserve"> facility with Nedbank and the standard conditions provided that </w:t>
      </w:r>
      <w:r w:rsidR="00F73268" w:rsidRPr="00A74920">
        <w:rPr>
          <w:rFonts w:cs="Arial"/>
          <w:bCs/>
          <w:szCs w:val="22"/>
        </w:rPr>
        <w:t>in</w:t>
      </w:r>
      <w:r w:rsidR="00E604A1" w:rsidRPr="00A74920">
        <w:rPr>
          <w:rFonts w:cs="Arial"/>
          <w:bCs/>
          <w:szCs w:val="22"/>
        </w:rPr>
        <w:t xml:space="preserve"> the </w:t>
      </w:r>
      <w:r w:rsidR="000E055C" w:rsidRPr="00A74920">
        <w:rPr>
          <w:rFonts w:cs="Arial"/>
          <w:bCs/>
          <w:szCs w:val="22"/>
        </w:rPr>
        <w:t xml:space="preserve">event of default (including the account being overdrawn), Nedbank was contractually entitled to set off the indebtedness of </w:t>
      </w:r>
      <w:r w:rsidR="0062211A" w:rsidRPr="00A74920">
        <w:rPr>
          <w:rFonts w:cs="Arial"/>
          <w:bCs/>
          <w:szCs w:val="22"/>
        </w:rPr>
        <w:t>Y&amp;N</w:t>
      </w:r>
      <w:r w:rsidR="000E055C" w:rsidRPr="00A74920">
        <w:rPr>
          <w:rFonts w:cs="Arial"/>
          <w:bCs/>
          <w:szCs w:val="22"/>
        </w:rPr>
        <w:t xml:space="preserve"> to Nedbank. This is what Nedbank did. </w:t>
      </w:r>
    </w:p>
    <w:p w14:paraId="601D2923" w14:textId="5B8A09BD" w:rsidR="000E055C" w:rsidRDefault="00501D16" w:rsidP="00501D16">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197AAE">
        <w:rPr>
          <w:rFonts w:cs="Arial"/>
          <w:bCs/>
          <w:szCs w:val="22"/>
        </w:rPr>
        <w:t xml:space="preserve">Y&amp;N and </w:t>
      </w:r>
      <w:r w:rsidR="000E055C">
        <w:rPr>
          <w:rFonts w:cs="Arial"/>
          <w:bCs/>
          <w:szCs w:val="22"/>
        </w:rPr>
        <w:t>Nedbank also</w:t>
      </w:r>
      <w:r w:rsidR="00197AAE">
        <w:rPr>
          <w:rFonts w:cs="Arial"/>
          <w:bCs/>
          <w:szCs w:val="22"/>
        </w:rPr>
        <w:t xml:space="preserve"> entered into a “Deed of Pledge and Cession.”</w:t>
      </w:r>
    </w:p>
    <w:p w14:paraId="5C30E4A7" w14:textId="6F278E46" w:rsidR="00460A64" w:rsidRDefault="00501D16" w:rsidP="00501D16">
      <w:pPr>
        <w:widowControl w:val="0"/>
        <w:tabs>
          <w:tab w:val="left" w:pos="567"/>
        </w:tabs>
        <w:spacing w:before="480" w:after="480" w:line="360" w:lineRule="auto"/>
        <w:jc w:val="both"/>
        <w:rPr>
          <w:rFonts w:cs="Arial"/>
          <w:bCs/>
          <w:szCs w:val="22"/>
        </w:rPr>
      </w:pPr>
      <w:r>
        <w:rPr>
          <w:rFonts w:cs="Arial"/>
          <w:bCs/>
          <w:szCs w:val="22"/>
        </w:rPr>
        <w:t>[18]</w:t>
      </w:r>
      <w:r>
        <w:rPr>
          <w:rFonts w:cs="Arial"/>
          <w:bCs/>
          <w:szCs w:val="22"/>
        </w:rPr>
        <w:tab/>
      </w:r>
      <w:r w:rsidR="00197AAE">
        <w:rPr>
          <w:rFonts w:cs="Arial"/>
          <w:bCs/>
          <w:szCs w:val="22"/>
        </w:rPr>
        <w:t xml:space="preserve">The applicant approach the two banks and </w:t>
      </w:r>
      <w:r w:rsidR="00460A64">
        <w:rPr>
          <w:rFonts w:cs="Arial"/>
          <w:bCs/>
          <w:szCs w:val="22"/>
        </w:rPr>
        <w:t>because of the query raised by the applicant, Nedbank flagged the incident as a possible fraud and the money was held in a suspense account</w:t>
      </w:r>
      <w:r w:rsidR="00F73268">
        <w:rPr>
          <w:rFonts w:cs="Arial"/>
          <w:bCs/>
          <w:szCs w:val="22"/>
        </w:rPr>
        <w:t xml:space="preserve"> for a period</w:t>
      </w:r>
      <w:r w:rsidR="00460A64">
        <w:rPr>
          <w:rFonts w:cs="Arial"/>
          <w:bCs/>
          <w:szCs w:val="22"/>
        </w:rPr>
        <w:t>.</w:t>
      </w:r>
    </w:p>
    <w:p w14:paraId="570590B7" w14:textId="48FEB9B7" w:rsidR="0015037C" w:rsidRDefault="00501D16" w:rsidP="00501D16">
      <w:pPr>
        <w:widowControl w:val="0"/>
        <w:tabs>
          <w:tab w:val="left" w:pos="567"/>
        </w:tabs>
        <w:spacing w:before="480" w:after="480" w:line="360" w:lineRule="auto"/>
        <w:jc w:val="both"/>
        <w:rPr>
          <w:rFonts w:cs="Arial"/>
          <w:bCs/>
          <w:szCs w:val="22"/>
        </w:rPr>
      </w:pPr>
      <w:r>
        <w:rPr>
          <w:rFonts w:cs="Arial"/>
          <w:bCs/>
          <w:szCs w:val="22"/>
        </w:rPr>
        <w:t>[19]</w:t>
      </w:r>
      <w:r>
        <w:rPr>
          <w:rFonts w:cs="Arial"/>
          <w:bCs/>
          <w:szCs w:val="22"/>
        </w:rPr>
        <w:tab/>
      </w:r>
      <w:r w:rsidR="00460A64">
        <w:rPr>
          <w:rFonts w:cs="Arial"/>
          <w:bCs/>
          <w:szCs w:val="22"/>
        </w:rPr>
        <w:t xml:space="preserve">The argument that set off could not take place because the money was placed in a suspense account is incorrect. </w:t>
      </w:r>
      <w:r w:rsidR="00802780">
        <w:rPr>
          <w:rFonts w:cs="Arial"/>
          <w:bCs/>
          <w:szCs w:val="22"/>
        </w:rPr>
        <w:t xml:space="preserve">Set off takes place automatically and the set off between the money received on behalf of </w:t>
      </w:r>
      <w:r w:rsidR="0062211A">
        <w:rPr>
          <w:rFonts w:cs="Arial"/>
          <w:bCs/>
          <w:szCs w:val="22"/>
        </w:rPr>
        <w:t>Y&amp;N</w:t>
      </w:r>
      <w:r w:rsidR="00802780">
        <w:rPr>
          <w:rFonts w:cs="Arial"/>
          <w:bCs/>
          <w:szCs w:val="22"/>
        </w:rPr>
        <w:t xml:space="preserve"> and the debt owed by </w:t>
      </w:r>
      <w:r w:rsidR="0062211A">
        <w:rPr>
          <w:rFonts w:cs="Arial"/>
          <w:bCs/>
          <w:szCs w:val="22"/>
        </w:rPr>
        <w:t>Y&amp;N</w:t>
      </w:r>
      <w:r w:rsidR="00802780">
        <w:rPr>
          <w:rFonts w:cs="Arial"/>
          <w:bCs/>
          <w:szCs w:val="22"/>
        </w:rPr>
        <w:t xml:space="preserve"> to Nedbank took place immediately when the funds were deposited. </w:t>
      </w:r>
      <w:r w:rsidR="0015037C">
        <w:rPr>
          <w:rFonts w:cs="Arial"/>
          <w:bCs/>
          <w:szCs w:val="22"/>
        </w:rPr>
        <w:t>A bank’s right to apply set off is well established.</w:t>
      </w:r>
      <w:r w:rsidR="0015037C">
        <w:rPr>
          <w:rStyle w:val="FootnoteReference"/>
          <w:rFonts w:cs="Arial"/>
          <w:bCs/>
          <w:szCs w:val="22"/>
        </w:rPr>
        <w:footnoteReference w:id="6"/>
      </w:r>
    </w:p>
    <w:p w14:paraId="02EA7FDF" w14:textId="63EE534E" w:rsidR="00460A64" w:rsidRDefault="00501D16" w:rsidP="00501D16">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802780">
        <w:rPr>
          <w:rFonts w:cs="Arial"/>
          <w:bCs/>
          <w:szCs w:val="22"/>
        </w:rPr>
        <w:t xml:space="preserve">Placing the funds in a suspense account later is immaterial to the question of set off but </w:t>
      </w:r>
      <w:r w:rsidR="00802780">
        <w:rPr>
          <w:rFonts w:cs="Arial"/>
          <w:bCs/>
          <w:szCs w:val="22"/>
        </w:rPr>
        <w:lastRenderedPageBreak/>
        <w:t xml:space="preserve">rather a banking </w:t>
      </w:r>
      <w:r w:rsidR="00E604A1">
        <w:rPr>
          <w:rFonts w:cs="Arial"/>
          <w:bCs/>
          <w:szCs w:val="22"/>
        </w:rPr>
        <w:t xml:space="preserve">or an accounting </w:t>
      </w:r>
      <w:r w:rsidR="00802780">
        <w:rPr>
          <w:rFonts w:cs="Arial"/>
          <w:bCs/>
          <w:szCs w:val="22"/>
        </w:rPr>
        <w:t xml:space="preserve">practice to hold funds in a suspense account when allegations of fraud were made. </w:t>
      </w:r>
    </w:p>
    <w:p w14:paraId="0D2FF173" w14:textId="5DC4DA0F" w:rsidR="00802780" w:rsidRDefault="00501D16" w:rsidP="00501D16">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802780">
        <w:rPr>
          <w:rFonts w:cs="Arial"/>
          <w:bCs/>
          <w:szCs w:val="22"/>
        </w:rPr>
        <w:t xml:space="preserve">The payment of the funds into </w:t>
      </w:r>
      <w:r w:rsidR="0062211A">
        <w:rPr>
          <w:rFonts w:cs="Arial"/>
          <w:bCs/>
          <w:szCs w:val="22"/>
        </w:rPr>
        <w:t>Y&amp;N</w:t>
      </w:r>
      <w:r w:rsidR="00802780">
        <w:rPr>
          <w:rFonts w:cs="Arial"/>
          <w:bCs/>
          <w:szCs w:val="22"/>
        </w:rPr>
        <w:t xml:space="preserve">’s Nedbank account reduced the indebtedness of </w:t>
      </w:r>
      <w:r w:rsidR="0062211A">
        <w:rPr>
          <w:rFonts w:cs="Arial"/>
          <w:bCs/>
          <w:szCs w:val="22"/>
        </w:rPr>
        <w:t>Y&amp;N</w:t>
      </w:r>
      <w:r w:rsidR="00802780">
        <w:rPr>
          <w:rFonts w:cs="Arial"/>
          <w:bCs/>
          <w:szCs w:val="22"/>
        </w:rPr>
        <w:t xml:space="preserve"> to Nedbank, did not enrich Nedbank, and benefited </w:t>
      </w:r>
      <w:r w:rsidR="0062211A">
        <w:rPr>
          <w:rFonts w:cs="Arial"/>
          <w:bCs/>
          <w:szCs w:val="22"/>
        </w:rPr>
        <w:t>Y&amp;N</w:t>
      </w:r>
      <w:r w:rsidR="00802780">
        <w:rPr>
          <w:rFonts w:cs="Arial"/>
          <w:bCs/>
          <w:szCs w:val="22"/>
        </w:rPr>
        <w:t xml:space="preserve">. If any party were enriched, it would appear that </w:t>
      </w:r>
      <w:r w:rsidR="0062211A">
        <w:rPr>
          <w:rFonts w:cs="Arial"/>
          <w:bCs/>
          <w:szCs w:val="22"/>
        </w:rPr>
        <w:t>Y&amp;N</w:t>
      </w:r>
      <w:r w:rsidR="00802780">
        <w:rPr>
          <w:rFonts w:cs="Arial"/>
          <w:bCs/>
          <w:szCs w:val="22"/>
        </w:rPr>
        <w:t xml:space="preserve"> was enriched and the applicant impoverished. Reading the correspondence between the applicant and </w:t>
      </w:r>
      <w:r w:rsidR="0062211A">
        <w:rPr>
          <w:rFonts w:cs="Arial"/>
          <w:bCs/>
          <w:szCs w:val="22"/>
        </w:rPr>
        <w:t>Y&amp;N</w:t>
      </w:r>
      <w:r w:rsidR="00802780">
        <w:rPr>
          <w:rFonts w:cs="Arial"/>
          <w:bCs/>
          <w:szCs w:val="22"/>
        </w:rPr>
        <w:t xml:space="preserve"> attached to the founding affidavit, it is apparent that </w:t>
      </w:r>
      <w:r w:rsidR="0062211A">
        <w:rPr>
          <w:rFonts w:cs="Arial"/>
          <w:bCs/>
          <w:szCs w:val="22"/>
        </w:rPr>
        <w:t>Y&amp;N</w:t>
      </w:r>
      <w:r w:rsidR="00802780">
        <w:rPr>
          <w:rFonts w:cs="Arial"/>
          <w:bCs/>
          <w:szCs w:val="22"/>
        </w:rPr>
        <w:t xml:space="preserve"> did not make a full disclosure of the relationship between itself and Nedbank to the applicant. </w:t>
      </w:r>
      <w:r w:rsidR="0050258E">
        <w:rPr>
          <w:rFonts w:cs="Arial"/>
          <w:bCs/>
          <w:szCs w:val="22"/>
        </w:rPr>
        <w:t xml:space="preserve">Had a full disclosure been made before the applicant made the second payment into Y&amp;N’s FNB account, the applicant might have taken a different decision about the second payment. </w:t>
      </w:r>
      <w:r w:rsidR="0062211A">
        <w:rPr>
          <w:rFonts w:cs="Arial"/>
          <w:bCs/>
          <w:szCs w:val="22"/>
        </w:rPr>
        <w:t>Y&amp;N</w:t>
      </w:r>
      <w:r w:rsidR="00802780">
        <w:rPr>
          <w:rFonts w:cs="Arial"/>
          <w:bCs/>
          <w:szCs w:val="22"/>
        </w:rPr>
        <w:t xml:space="preserve"> would have known about the overdraft, the fact that the facility had been revoked, the pending litigation and that the account was not closed.</w:t>
      </w:r>
    </w:p>
    <w:p w14:paraId="4149C691" w14:textId="36E3D73C" w:rsidR="00802780" w:rsidRDefault="00501D16" w:rsidP="00501D16">
      <w:pPr>
        <w:widowControl w:val="0"/>
        <w:tabs>
          <w:tab w:val="left" w:pos="567"/>
        </w:tabs>
        <w:spacing w:before="480" w:after="480" w:line="360" w:lineRule="auto"/>
        <w:jc w:val="both"/>
        <w:rPr>
          <w:rFonts w:cs="Arial"/>
          <w:bCs/>
          <w:szCs w:val="22"/>
        </w:rPr>
      </w:pPr>
      <w:r>
        <w:rPr>
          <w:rFonts w:cs="Arial"/>
          <w:bCs/>
          <w:szCs w:val="22"/>
        </w:rPr>
        <w:t>[22]</w:t>
      </w:r>
      <w:r>
        <w:rPr>
          <w:rFonts w:cs="Arial"/>
          <w:bCs/>
          <w:szCs w:val="22"/>
        </w:rPr>
        <w:tab/>
      </w:r>
      <w:r w:rsidR="00802780">
        <w:rPr>
          <w:rFonts w:cs="Arial"/>
          <w:bCs/>
          <w:szCs w:val="22"/>
        </w:rPr>
        <w:t xml:space="preserve">The </w:t>
      </w:r>
      <w:r w:rsidR="00C25BD1">
        <w:rPr>
          <w:rFonts w:cs="Arial"/>
          <w:bCs/>
          <w:szCs w:val="22"/>
        </w:rPr>
        <w:t>averment</w:t>
      </w:r>
      <w:r w:rsidR="00802780">
        <w:rPr>
          <w:rFonts w:cs="Arial"/>
          <w:bCs/>
          <w:szCs w:val="22"/>
        </w:rPr>
        <w:t xml:space="preserve"> by the applicant that the funds were </w:t>
      </w:r>
      <w:r w:rsidR="00802780" w:rsidRPr="0050258E">
        <w:rPr>
          <w:rFonts w:cs="Arial"/>
          <w:bCs/>
          <w:i/>
          <w:iCs/>
          <w:szCs w:val="22"/>
        </w:rPr>
        <w:t>“simply lying in Nedbank’s own account”</w:t>
      </w:r>
      <w:r w:rsidR="00802780">
        <w:rPr>
          <w:rFonts w:cs="Arial"/>
          <w:bCs/>
          <w:szCs w:val="22"/>
        </w:rPr>
        <w:t xml:space="preserve"> is </w:t>
      </w:r>
      <w:r w:rsidR="00C25BD1">
        <w:rPr>
          <w:rFonts w:cs="Arial"/>
          <w:bCs/>
          <w:szCs w:val="22"/>
        </w:rPr>
        <w:t xml:space="preserve">therefore </w:t>
      </w:r>
      <w:r w:rsidR="00802780">
        <w:rPr>
          <w:rFonts w:cs="Arial"/>
          <w:bCs/>
          <w:szCs w:val="22"/>
        </w:rPr>
        <w:t>wrong.</w:t>
      </w:r>
      <w:r w:rsidR="0050258E" w:rsidRPr="0050258E">
        <w:rPr>
          <w:rFonts w:cs="Arial"/>
          <w:bCs/>
          <w:szCs w:val="22"/>
        </w:rPr>
        <w:t xml:space="preserve"> </w:t>
      </w:r>
      <w:r w:rsidR="0050258E">
        <w:rPr>
          <w:rFonts w:cs="Arial"/>
          <w:bCs/>
          <w:szCs w:val="22"/>
        </w:rPr>
        <w:t xml:space="preserve">It is also incorrect to say as the applicant does that Y&amp;N’s Nedbank account was </w:t>
      </w:r>
      <w:r w:rsidR="0050258E" w:rsidRPr="0050258E">
        <w:rPr>
          <w:rFonts w:cs="Arial"/>
          <w:bCs/>
          <w:i/>
          <w:iCs/>
          <w:szCs w:val="22"/>
        </w:rPr>
        <w:t>“no longer accessible</w:t>
      </w:r>
      <w:r w:rsidR="003E1B5F">
        <w:rPr>
          <w:rFonts w:cs="Arial"/>
          <w:bCs/>
          <w:i/>
          <w:iCs/>
          <w:szCs w:val="22"/>
        </w:rPr>
        <w:t>.</w:t>
      </w:r>
      <w:r w:rsidR="0050258E" w:rsidRPr="0050258E">
        <w:rPr>
          <w:rFonts w:cs="Arial"/>
          <w:bCs/>
          <w:i/>
          <w:iCs/>
          <w:szCs w:val="22"/>
        </w:rPr>
        <w:t>”</w:t>
      </w:r>
      <w:r w:rsidR="0050258E">
        <w:rPr>
          <w:rFonts w:cs="Arial"/>
          <w:bCs/>
          <w:szCs w:val="22"/>
        </w:rPr>
        <w:t xml:space="preserve"> The account was clearly accessible and the money was paid into it by the applicant.</w:t>
      </w:r>
      <w:r w:rsidR="003E1B5F">
        <w:rPr>
          <w:rFonts w:cs="Arial"/>
          <w:bCs/>
          <w:szCs w:val="22"/>
        </w:rPr>
        <w:t xml:space="preserve"> </w:t>
      </w:r>
    </w:p>
    <w:p w14:paraId="3AB0F41E" w14:textId="7A3AA549" w:rsidR="00802780" w:rsidRDefault="00501D16" w:rsidP="00501D16">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802780">
        <w:rPr>
          <w:rFonts w:cs="Arial"/>
          <w:bCs/>
          <w:szCs w:val="22"/>
        </w:rPr>
        <w:t xml:space="preserve">It is </w:t>
      </w:r>
      <w:r w:rsidR="003E1B5F">
        <w:rPr>
          <w:rFonts w:cs="Arial"/>
          <w:bCs/>
          <w:szCs w:val="22"/>
        </w:rPr>
        <w:t xml:space="preserve">therefore </w:t>
      </w:r>
      <w:r w:rsidR="00802780">
        <w:rPr>
          <w:rFonts w:cs="Arial"/>
          <w:bCs/>
          <w:szCs w:val="22"/>
        </w:rPr>
        <w:t xml:space="preserve">not clear on what basis </w:t>
      </w:r>
      <w:r w:rsidR="0062211A">
        <w:rPr>
          <w:rFonts w:cs="Arial"/>
          <w:bCs/>
          <w:szCs w:val="22"/>
        </w:rPr>
        <w:t>Y&amp;N</w:t>
      </w:r>
      <w:r w:rsidR="00802780">
        <w:rPr>
          <w:rFonts w:cs="Arial"/>
          <w:bCs/>
          <w:szCs w:val="22"/>
        </w:rPr>
        <w:t xml:space="preserve"> purported to instruct that the funds be returned to the applicant </w:t>
      </w:r>
      <w:r w:rsidR="0050258E">
        <w:rPr>
          <w:rFonts w:cs="Arial"/>
          <w:bCs/>
          <w:szCs w:val="22"/>
        </w:rPr>
        <w:t>under</w:t>
      </w:r>
      <w:r w:rsidR="00802780">
        <w:rPr>
          <w:rFonts w:cs="Arial"/>
          <w:bCs/>
          <w:szCs w:val="22"/>
        </w:rPr>
        <w:t xml:space="preserve"> circumstances where the money had been received by it in its own bank account, stood to its benefit as a credit on its account, and had been set off against the debt </w:t>
      </w:r>
      <w:r w:rsidR="0062211A">
        <w:rPr>
          <w:rFonts w:cs="Arial"/>
          <w:bCs/>
          <w:szCs w:val="22"/>
        </w:rPr>
        <w:t>Y&amp;N</w:t>
      </w:r>
      <w:r w:rsidR="00802780">
        <w:rPr>
          <w:rFonts w:cs="Arial"/>
          <w:bCs/>
          <w:szCs w:val="22"/>
        </w:rPr>
        <w:t xml:space="preserve"> owed to </w:t>
      </w:r>
      <w:r w:rsidR="0050258E">
        <w:rPr>
          <w:rFonts w:cs="Arial"/>
          <w:bCs/>
          <w:szCs w:val="22"/>
        </w:rPr>
        <w:t>Nedbank</w:t>
      </w:r>
      <w:r w:rsidR="00802780">
        <w:rPr>
          <w:rFonts w:cs="Arial"/>
          <w:bCs/>
          <w:szCs w:val="22"/>
        </w:rPr>
        <w:t xml:space="preserve">. </w:t>
      </w:r>
      <w:r w:rsidR="0062211A">
        <w:rPr>
          <w:rFonts w:cs="Arial"/>
          <w:bCs/>
          <w:szCs w:val="22"/>
        </w:rPr>
        <w:t>Y&amp;N</w:t>
      </w:r>
      <w:r w:rsidR="00802780">
        <w:rPr>
          <w:rFonts w:cs="Arial"/>
          <w:bCs/>
          <w:szCs w:val="22"/>
        </w:rPr>
        <w:t xml:space="preserve"> </w:t>
      </w:r>
      <w:r w:rsidR="0050258E">
        <w:rPr>
          <w:rFonts w:cs="Arial"/>
          <w:bCs/>
          <w:szCs w:val="22"/>
        </w:rPr>
        <w:t>was not in a position to issue instructions to Nedbank</w:t>
      </w:r>
      <w:r w:rsidR="00802780">
        <w:rPr>
          <w:rFonts w:cs="Arial"/>
          <w:bCs/>
          <w:szCs w:val="22"/>
        </w:rPr>
        <w:t>.</w:t>
      </w:r>
      <w:r w:rsidR="003E1B5F">
        <w:rPr>
          <w:rFonts w:cs="Arial"/>
          <w:bCs/>
          <w:szCs w:val="22"/>
        </w:rPr>
        <w:t xml:space="preserve"> It was the debtor, not the creditor in the relationship.</w:t>
      </w:r>
    </w:p>
    <w:p w14:paraId="67DD1BC2" w14:textId="7674CF1E" w:rsidR="00802780" w:rsidRDefault="00501D16" w:rsidP="00501D16">
      <w:pPr>
        <w:widowControl w:val="0"/>
        <w:tabs>
          <w:tab w:val="left" w:pos="567"/>
        </w:tabs>
        <w:spacing w:before="480" w:after="480" w:line="360" w:lineRule="auto"/>
        <w:jc w:val="both"/>
        <w:rPr>
          <w:rFonts w:cs="Arial"/>
          <w:bCs/>
          <w:szCs w:val="22"/>
        </w:rPr>
      </w:pPr>
      <w:r>
        <w:rPr>
          <w:rFonts w:cs="Arial"/>
          <w:bCs/>
          <w:szCs w:val="22"/>
        </w:rPr>
        <w:t>[24]</w:t>
      </w:r>
      <w:r>
        <w:rPr>
          <w:rFonts w:cs="Arial"/>
          <w:bCs/>
          <w:szCs w:val="22"/>
        </w:rPr>
        <w:tab/>
      </w:r>
      <w:r w:rsidR="00802780">
        <w:rPr>
          <w:rFonts w:cs="Arial"/>
          <w:bCs/>
          <w:szCs w:val="22"/>
        </w:rPr>
        <w:t>The applicant confuses the cancellation of the</w:t>
      </w:r>
      <w:r w:rsidR="0050258E">
        <w:rPr>
          <w:rFonts w:cs="Arial"/>
          <w:bCs/>
          <w:szCs w:val="22"/>
        </w:rPr>
        <w:t xml:space="preserve"> overdraft</w:t>
      </w:r>
      <w:r w:rsidR="00802780">
        <w:rPr>
          <w:rFonts w:cs="Arial"/>
          <w:bCs/>
          <w:szCs w:val="22"/>
        </w:rPr>
        <w:t xml:space="preserve"> facility by Nedbank with the termination of the debtor</w:t>
      </w:r>
      <w:r w:rsidR="003E1B5F">
        <w:rPr>
          <w:rFonts w:cs="Arial"/>
          <w:bCs/>
          <w:szCs w:val="22"/>
        </w:rPr>
        <w:t>-</w:t>
      </w:r>
      <w:r w:rsidR="00802780">
        <w:rPr>
          <w:rFonts w:cs="Arial"/>
          <w:bCs/>
          <w:szCs w:val="22"/>
        </w:rPr>
        <w:t xml:space="preserve">creditor relationship. All that the cancellation of the facility means is that the credit thereby extended </w:t>
      </w:r>
      <w:r w:rsidR="003E1B5F">
        <w:rPr>
          <w:rFonts w:cs="Arial"/>
          <w:bCs/>
          <w:szCs w:val="22"/>
        </w:rPr>
        <w:t>was</w:t>
      </w:r>
      <w:r w:rsidR="00802780">
        <w:rPr>
          <w:rFonts w:cs="Arial"/>
          <w:bCs/>
          <w:szCs w:val="22"/>
        </w:rPr>
        <w:t xml:space="preserve"> now revoked. It </w:t>
      </w:r>
      <w:r w:rsidR="003E1B5F">
        <w:rPr>
          <w:rFonts w:cs="Arial"/>
          <w:bCs/>
          <w:szCs w:val="22"/>
        </w:rPr>
        <w:t>did</w:t>
      </w:r>
      <w:r w:rsidR="00802780">
        <w:rPr>
          <w:rFonts w:cs="Arial"/>
          <w:bCs/>
          <w:szCs w:val="22"/>
        </w:rPr>
        <w:t xml:space="preserve"> not terminate the</w:t>
      </w:r>
      <w:r w:rsidR="00C25BD1">
        <w:rPr>
          <w:rFonts w:cs="Arial"/>
          <w:bCs/>
          <w:szCs w:val="22"/>
        </w:rPr>
        <w:t xml:space="preserve"> debtor-creditor</w:t>
      </w:r>
      <w:r w:rsidR="00802780">
        <w:rPr>
          <w:rFonts w:cs="Arial"/>
          <w:bCs/>
          <w:szCs w:val="22"/>
        </w:rPr>
        <w:t xml:space="preserve"> relationship and the debt still exist</w:t>
      </w:r>
      <w:r w:rsidR="003E1B5F">
        <w:rPr>
          <w:rFonts w:cs="Arial"/>
          <w:bCs/>
          <w:szCs w:val="22"/>
        </w:rPr>
        <w:t>ed</w:t>
      </w:r>
      <w:r w:rsidR="00A453D4">
        <w:rPr>
          <w:rFonts w:cs="Arial"/>
          <w:bCs/>
          <w:szCs w:val="22"/>
        </w:rPr>
        <w:t>, and the termination of the facility did not mean that Nedbank could no longer rely on set off.</w:t>
      </w:r>
    </w:p>
    <w:p w14:paraId="4ABB05E2" w14:textId="215C8C08" w:rsidR="001479CC" w:rsidRDefault="00501D16" w:rsidP="00501D16">
      <w:pPr>
        <w:widowControl w:val="0"/>
        <w:tabs>
          <w:tab w:val="left" w:pos="567"/>
        </w:tabs>
        <w:spacing w:before="480" w:after="480" w:line="360" w:lineRule="auto"/>
        <w:jc w:val="both"/>
        <w:rPr>
          <w:rFonts w:cs="Arial"/>
          <w:bCs/>
          <w:szCs w:val="22"/>
        </w:rPr>
      </w:pPr>
      <w:r>
        <w:rPr>
          <w:rFonts w:cs="Arial"/>
          <w:bCs/>
          <w:szCs w:val="22"/>
        </w:rPr>
        <w:t>[25]</w:t>
      </w:r>
      <w:r>
        <w:rPr>
          <w:rFonts w:cs="Arial"/>
          <w:bCs/>
          <w:szCs w:val="22"/>
        </w:rPr>
        <w:tab/>
      </w:r>
      <w:r w:rsidR="001479CC">
        <w:rPr>
          <w:rFonts w:cs="Arial"/>
          <w:bCs/>
          <w:szCs w:val="22"/>
        </w:rPr>
        <w:t>If it eventually turn</w:t>
      </w:r>
      <w:r w:rsidR="0068229A">
        <w:rPr>
          <w:rFonts w:cs="Arial"/>
          <w:bCs/>
          <w:szCs w:val="22"/>
        </w:rPr>
        <w:t>ed</w:t>
      </w:r>
      <w:r w:rsidR="001479CC">
        <w:rPr>
          <w:rFonts w:cs="Arial"/>
          <w:bCs/>
          <w:szCs w:val="22"/>
        </w:rPr>
        <w:t xml:space="preserve"> out that </w:t>
      </w:r>
      <w:r w:rsidR="0062211A">
        <w:rPr>
          <w:rFonts w:cs="Arial"/>
          <w:bCs/>
          <w:szCs w:val="22"/>
        </w:rPr>
        <w:t>Y&amp;N</w:t>
      </w:r>
      <w:r w:rsidR="001479CC">
        <w:rPr>
          <w:rFonts w:cs="Arial"/>
          <w:bCs/>
          <w:szCs w:val="22"/>
        </w:rPr>
        <w:t xml:space="preserve"> is not indebted to Nedbank on overdraft, the money paid into the account will still stand to the credit of </w:t>
      </w:r>
      <w:r w:rsidR="0062211A">
        <w:rPr>
          <w:rFonts w:cs="Arial"/>
          <w:bCs/>
          <w:szCs w:val="22"/>
        </w:rPr>
        <w:t>Y&amp;N</w:t>
      </w:r>
      <w:r w:rsidR="001479CC">
        <w:rPr>
          <w:rFonts w:cs="Arial"/>
          <w:bCs/>
          <w:szCs w:val="22"/>
        </w:rPr>
        <w:t xml:space="preserve"> on Nedbank’s books. This dispute</w:t>
      </w:r>
      <w:r w:rsidR="0050258E">
        <w:rPr>
          <w:rFonts w:cs="Arial"/>
          <w:bCs/>
          <w:szCs w:val="22"/>
        </w:rPr>
        <w:t xml:space="preserve"> between Nedbank and Y&amp;N</w:t>
      </w:r>
      <w:r w:rsidR="001479CC">
        <w:rPr>
          <w:rFonts w:cs="Arial"/>
          <w:bCs/>
          <w:szCs w:val="22"/>
        </w:rPr>
        <w:t xml:space="preserve"> has nothing to do with the present dispute between Nedbank and the applicant. </w:t>
      </w:r>
    </w:p>
    <w:p w14:paraId="36FD234A" w14:textId="55FE8C63" w:rsidR="001479CC" w:rsidRDefault="00501D16" w:rsidP="00501D16">
      <w:pPr>
        <w:widowControl w:val="0"/>
        <w:tabs>
          <w:tab w:val="left" w:pos="567"/>
        </w:tabs>
        <w:spacing w:before="480" w:after="480" w:line="360" w:lineRule="auto"/>
        <w:jc w:val="both"/>
        <w:rPr>
          <w:rFonts w:cs="Arial"/>
          <w:bCs/>
          <w:szCs w:val="22"/>
        </w:rPr>
      </w:pPr>
      <w:r>
        <w:rPr>
          <w:rFonts w:cs="Arial"/>
          <w:bCs/>
          <w:szCs w:val="22"/>
        </w:rPr>
        <w:lastRenderedPageBreak/>
        <w:t>[26]</w:t>
      </w:r>
      <w:r>
        <w:rPr>
          <w:rFonts w:cs="Arial"/>
          <w:bCs/>
          <w:szCs w:val="22"/>
        </w:rPr>
        <w:tab/>
      </w:r>
      <w:r w:rsidR="001479CC">
        <w:rPr>
          <w:rFonts w:cs="Arial"/>
          <w:bCs/>
          <w:szCs w:val="22"/>
        </w:rPr>
        <w:t>The applicant relie</w:t>
      </w:r>
      <w:r w:rsidR="0015037C">
        <w:rPr>
          <w:rFonts w:cs="Arial"/>
          <w:bCs/>
          <w:szCs w:val="22"/>
        </w:rPr>
        <w:t>d</w:t>
      </w:r>
      <w:r w:rsidR="001479CC">
        <w:rPr>
          <w:rFonts w:cs="Arial"/>
          <w:bCs/>
          <w:szCs w:val="22"/>
        </w:rPr>
        <w:t xml:space="preserve"> in argument on the decision</w:t>
      </w:r>
      <w:r w:rsidR="0068229A">
        <w:rPr>
          <w:rFonts w:cs="Arial"/>
          <w:bCs/>
          <w:szCs w:val="22"/>
        </w:rPr>
        <w:t xml:space="preserve"> by the Supreme Court of Appeal</w:t>
      </w:r>
      <w:r w:rsidR="001479CC">
        <w:rPr>
          <w:rFonts w:cs="Arial"/>
          <w:bCs/>
          <w:szCs w:val="22"/>
        </w:rPr>
        <w:t xml:space="preserve"> in </w:t>
      </w:r>
      <w:r w:rsidR="0068229A" w:rsidRPr="00D90095">
        <w:rPr>
          <w:i/>
          <w:iCs/>
        </w:rPr>
        <w:t>FirstRand Bank Ltd v Spar Group Ltd</w:t>
      </w:r>
      <w:r w:rsidR="001479CC">
        <w:rPr>
          <w:rStyle w:val="FootnoteReference"/>
          <w:rFonts w:cs="Arial"/>
          <w:bCs/>
          <w:i/>
          <w:szCs w:val="22"/>
        </w:rPr>
        <w:footnoteReference w:id="7"/>
      </w:r>
      <w:r w:rsidR="001479CC">
        <w:rPr>
          <w:rFonts w:cs="Arial"/>
          <w:bCs/>
          <w:szCs w:val="22"/>
        </w:rPr>
        <w:t xml:space="preserve"> for two conclusions, namely that there is no inflexible rule that only an account holder may assert a claim to money held in the account holder’s account with the bank,</w:t>
      </w:r>
      <w:r w:rsidR="00EB3A53">
        <w:rPr>
          <w:rStyle w:val="FootnoteReference"/>
          <w:rFonts w:cs="Arial"/>
          <w:bCs/>
          <w:szCs w:val="22"/>
        </w:rPr>
        <w:footnoteReference w:id="8"/>
      </w:r>
      <w:r w:rsidR="001479CC">
        <w:rPr>
          <w:rFonts w:cs="Arial"/>
          <w:bCs/>
          <w:szCs w:val="22"/>
        </w:rPr>
        <w:t xml:space="preserve"> and the fact that the proposition that money deposited in </w:t>
      </w:r>
      <w:r w:rsidR="0068229A">
        <w:rPr>
          <w:rFonts w:cs="Arial"/>
          <w:bCs/>
          <w:szCs w:val="22"/>
        </w:rPr>
        <w:t>bank</w:t>
      </w:r>
      <w:r w:rsidR="001479CC">
        <w:rPr>
          <w:rFonts w:cs="Arial"/>
          <w:bCs/>
          <w:szCs w:val="22"/>
        </w:rPr>
        <w:t xml:space="preserve"> account becomes the property of </w:t>
      </w:r>
      <w:r w:rsidR="0068229A">
        <w:rPr>
          <w:rFonts w:cs="Arial"/>
          <w:bCs/>
          <w:szCs w:val="22"/>
        </w:rPr>
        <w:t>the</w:t>
      </w:r>
      <w:r w:rsidR="001479CC">
        <w:rPr>
          <w:rFonts w:cs="Arial"/>
          <w:bCs/>
          <w:szCs w:val="22"/>
        </w:rPr>
        <w:t xml:space="preserve"> bank</w:t>
      </w:r>
      <w:r w:rsidR="0068229A">
        <w:rPr>
          <w:rFonts w:cs="Arial"/>
          <w:bCs/>
          <w:szCs w:val="22"/>
        </w:rPr>
        <w:t xml:space="preserve"> does not</w:t>
      </w:r>
      <w:r w:rsidR="001479CC">
        <w:rPr>
          <w:rFonts w:cs="Arial"/>
          <w:bCs/>
          <w:szCs w:val="22"/>
        </w:rPr>
        <w:t xml:space="preserve"> necessarily militate against a legitimate claim by another party. These two conclusions are correct and this is borne out by the </w:t>
      </w:r>
      <w:r w:rsidR="005660FD">
        <w:rPr>
          <w:rFonts w:cs="Arial"/>
          <w:bCs/>
          <w:szCs w:val="22"/>
        </w:rPr>
        <w:t>S</w:t>
      </w:r>
      <w:r w:rsidR="001479CC">
        <w:rPr>
          <w:rFonts w:cs="Arial"/>
          <w:bCs/>
          <w:szCs w:val="22"/>
        </w:rPr>
        <w:t>CA judgment</w:t>
      </w:r>
      <w:r w:rsidR="0015037C">
        <w:rPr>
          <w:rFonts w:cs="Arial"/>
          <w:bCs/>
          <w:szCs w:val="22"/>
        </w:rPr>
        <w:t>, but there are of no application in this matter.</w:t>
      </w:r>
    </w:p>
    <w:p w14:paraId="2955BE1D" w14:textId="43D8248A" w:rsidR="0050258E" w:rsidRDefault="00501D16" w:rsidP="00501D16">
      <w:pPr>
        <w:widowControl w:val="0"/>
        <w:tabs>
          <w:tab w:val="left" w:pos="567"/>
        </w:tabs>
        <w:spacing w:before="480" w:after="480" w:line="360" w:lineRule="auto"/>
        <w:jc w:val="both"/>
        <w:rPr>
          <w:rFonts w:cs="Arial"/>
          <w:bCs/>
          <w:szCs w:val="22"/>
        </w:rPr>
      </w:pPr>
      <w:r>
        <w:rPr>
          <w:rFonts w:cs="Arial"/>
          <w:bCs/>
          <w:szCs w:val="22"/>
        </w:rPr>
        <w:t>[27]</w:t>
      </w:r>
      <w:r>
        <w:rPr>
          <w:rFonts w:cs="Arial"/>
          <w:bCs/>
          <w:szCs w:val="22"/>
        </w:rPr>
        <w:tab/>
      </w:r>
      <w:r w:rsidR="001479CC" w:rsidRPr="001479CC">
        <w:rPr>
          <w:rFonts w:cs="Arial"/>
          <w:bCs/>
          <w:szCs w:val="22"/>
        </w:rPr>
        <w:t xml:space="preserve">In the </w:t>
      </w:r>
      <w:r w:rsidR="001479CC" w:rsidRPr="001479CC">
        <w:rPr>
          <w:rFonts w:cs="Arial"/>
          <w:bCs/>
          <w:i/>
          <w:szCs w:val="22"/>
        </w:rPr>
        <w:t xml:space="preserve">Spar </w:t>
      </w:r>
      <w:r w:rsidR="001479CC" w:rsidRPr="001479CC">
        <w:rPr>
          <w:rFonts w:cs="Arial"/>
          <w:bCs/>
          <w:szCs w:val="22"/>
        </w:rPr>
        <w:t>matter a franchisee defaulted on terms of a franchise agreement and the parties came to an arrangement whereby the</w:t>
      </w:r>
      <w:r w:rsidR="0068229A">
        <w:rPr>
          <w:rFonts w:cs="Arial"/>
          <w:bCs/>
          <w:szCs w:val="22"/>
        </w:rPr>
        <w:t xml:space="preserve"> franchise business</w:t>
      </w:r>
      <w:r w:rsidR="001479CC" w:rsidRPr="001479CC">
        <w:rPr>
          <w:rFonts w:cs="Arial"/>
          <w:bCs/>
          <w:szCs w:val="22"/>
        </w:rPr>
        <w:t xml:space="preserve"> would be run by the franchisor at its own cost and for its own benefit. Credit card payments continued to be made into the franchisee’s bank accounts and the franchisor’s attempts to have the matter rectified with the franchisee and the bank were unsuccessful. The bank thereupon used the funds so deposited from the business operated by the franchisor to set off </w:t>
      </w:r>
      <w:r w:rsidR="0068229A">
        <w:rPr>
          <w:rFonts w:cs="Arial"/>
          <w:bCs/>
          <w:szCs w:val="22"/>
        </w:rPr>
        <w:t>amounts</w:t>
      </w:r>
      <w:r w:rsidR="001479CC" w:rsidRPr="001479CC">
        <w:rPr>
          <w:rFonts w:cs="Arial"/>
          <w:bCs/>
          <w:szCs w:val="22"/>
        </w:rPr>
        <w:t xml:space="preserve"> owed to it by the franchisee and also permitted the controlling mind behind the franchisee to withdraw funds from the accounts. They did this despite the fact that both the bank and the franchisee were at all times aware of the franchisor’s claim to the funds. </w:t>
      </w:r>
    </w:p>
    <w:p w14:paraId="19541C27" w14:textId="7DFBE6F4" w:rsidR="001479CC" w:rsidRPr="001479CC" w:rsidRDefault="00501D16" w:rsidP="00501D16">
      <w:pPr>
        <w:widowControl w:val="0"/>
        <w:tabs>
          <w:tab w:val="left" w:pos="567"/>
        </w:tabs>
        <w:spacing w:before="480" w:after="480" w:line="360" w:lineRule="auto"/>
        <w:jc w:val="both"/>
        <w:rPr>
          <w:rFonts w:cs="Arial"/>
          <w:bCs/>
          <w:szCs w:val="22"/>
        </w:rPr>
      </w:pPr>
      <w:r w:rsidRPr="001479CC">
        <w:rPr>
          <w:rFonts w:cs="Arial"/>
          <w:bCs/>
          <w:szCs w:val="22"/>
        </w:rPr>
        <w:t>[28]</w:t>
      </w:r>
      <w:r w:rsidRPr="001479CC">
        <w:rPr>
          <w:rFonts w:cs="Arial"/>
          <w:bCs/>
          <w:szCs w:val="22"/>
        </w:rPr>
        <w:tab/>
      </w:r>
      <w:r w:rsidR="003B156E" w:rsidRPr="00A71383">
        <w:t>Sutherland AJA and Unterhalter AJA</w:t>
      </w:r>
      <w:r w:rsidR="003B156E">
        <w:rPr>
          <w:rStyle w:val="FootnoteReference"/>
        </w:rPr>
        <w:footnoteReference w:id="9"/>
      </w:r>
      <w:r w:rsidR="003B156E" w:rsidRPr="001479CC">
        <w:rPr>
          <w:rFonts w:cs="Arial"/>
          <w:bCs/>
          <w:szCs w:val="22"/>
        </w:rPr>
        <w:t xml:space="preserve"> </w:t>
      </w:r>
      <w:r w:rsidR="003B156E">
        <w:rPr>
          <w:rFonts w:cs="Arial"/>
          <w:bCs/>
          <w:szCs w:val="22"/>
        </w:rPr>
        <w:t>held</w:t>
      </w:r>
      <w:r w:rsidR="001479CC" w:rsidRPr="001479CC">
        <w:rPr>
          <w:rFonts w:cs="Arial"/>
          <w:bCs/>
          <w:szCs w:val="22"/>
        </w:rPr>
        <w:t xml:space="preserve"> that it </w:t>
      </w:r>
      <w:r w:rsidR="0068229A">
        <w:rPr>
          <w:rFonts w:cs="Arial"/>
          <w:bCs/>
          <w:szCs w:val="22"/>
        </w:rPr>
        <w:t>wa</w:t>
      </w:r>
      <w:r w:rsidR="001479CC" w:rsidRPr="001479CC">
        <w:rPr>
          <w:rFonts w:cs="Arial"/>
          <w:bCs/>
          <w:szCs w:val="22"/>
        </w:rPr>
        <w:t xml:space="preserve">s possible that the personal right to the credit arising from the deposits may form the subject of an agreement between the bank, the customer (the franchisee) and the third party depositor (the franchisor) in terms of which there is an obligation </w:t>
      </w:r>
      <w:r w:rsidR="0015037C">
        <w:rPr>
          <w:rFonts w:cs="Arial"/>
          <w:bCs/>
          <w:szCs w:val="22"/>
        </w:rPr>
        <w:t>on</w:t>
      </w:r>
      <w:r w:rsidR="001479CC" w:rsidRPr="001479CC">
        <w:rPr>
          <w:rFonts w:cs="Arial"/>
          <w:bCs/>
          <w:szCs w:val="22"/>
        </w:rPr>
        <w:t xml:space="preserve"> the bank to pay the credit accruing in the account to the franchisor. In such circumstances set off would not operate.</w:t>
      </w:r>
      <w:r w:rsidR="00841968">
        <w:rPr>
          <w:rStyle w:val="FootnoteReference"/>
          <w:rFonts w:cs="Arial"/>
          <w:bCs/>
          <w:szCs w:val="22"/>
        </w:rPr>
        <w:footnoteReference w:id="10"/>
      </w:r>
    </w:p>
    <w:p w14:paraId="06B44B34" w14:textId="7173AE8A" w:rsidR="00EB3A53" w:rsidRDefault="00501D16" w:rsidP="00501D16">
      <w:pPr>
        <w:widowControl w:val="0"/>
        <w:tabs>
          <w:tab w:val="left" w:pos="567"/>
        </w:tabs>
        <w:spacing w:before="480" w:after="480" w:line="360" w:lineRule="auto"/>
        <w:jc w:val="both"/>
        <w:rPr>
          <w:rFonts w:cs="Arial"/>
          <w:bCs/>
          <w:szCs w:val="22"/>
        </w:rPr>
      </w:pPr>
      <w:r>
        <w:rPr>
          <w:rFonts w:cs="Arial"/>
          <w:bCs/>
          <w:szCs w:val="22"/>
        </w:rPr>
        <w:t>[29]</w:t>
      </w:r>
      <w:r>
        <w:rPr>
          <w:rFonts w:cs="Arial"/>
          <w:bCs/>
          <w:szCs w:val="22"/>
        </w:rPr>
        <w:tab/>
      </w:r>
      <w:r w:rsidR="001479CC" w:rsidRPr="00EB3A53">
        <w:rPr>
          <w:rFonts w:cs="Arial"/>
          <w:bCs/>
          <w:szCs w:val="22"/>
        </w:rPr>
        <w:t xml:space="preserve">In the absence of an agreement between the three parties, the knowledge of the bank that </w:t>
      </w:r>
      <w:r w:rsidR="00841968" w:rsidRPr="00EB3A53">
        <w:rPr>
          <w:rFonts w:cs="Arial"/>
          <w:bCs/>
          <w:szCs w:val="22"/>
        </w:rPr>
        <w:t>the franchisor</w:t>
      </w:r>
      <w:r w:rsidR="001479CC" w:rsidRPr="00EB3A53">
        <w:rPr>
          <w:rFonts w:cs="Arial"/>
          <w:bCs/>
          <w:szCs w:val="22"/>
        </w:rPr>
        <w:t xml:space="preserve"> has deposited money into their client’s account to which their client has no claim may also give a right to the franchisor to payment of the money.</w:t>
      </w:r>
      <w:r w:rsidR="00841968">
        <w:rPr>
          <w:rStyle w:val="FootnoteReference"/>
          <w:rFonts w:cs="Arial"/>
          <w:bCs/>
          <w:szCs w:val="22"/>
        </w:rPr>
        <w:footnoteReference w:id="11"/>
      </w:r>
      <w:r w:rsidR="00EB3A53" w:rsidRPr="00EB3A53">
        <w:rPr>
          <w:rFonts w:cs="Arial"/>
          <w:bCs/>
          <w:szCs w:val="22"/>
        </w:rPr>
        <w:t xml:space="preserve"> </w:t>
      </w:r>
      <w:r w:rsidR="003B156E" w:rsidRPr="00EB3A53">
        <w:rPr>
          <w:rFonts w:cs="Arial"/>
          <w:bCs/>
          <w:szCs w:val="22"/>
        </w:rPr>
        <w:t xml:space="preserve">It is incorrect to interpret </w:t>
      </w:r>
      <w:r w:rsidR="003B156E" w:rsidRPr="00EB3A53">
        <w:rPr>
          <w:i/>
          <w:iCs/>
        </w:rPr>
        <w:t>Joint Stock Co Varvarinskoye v Absa Bank Ltd and Others</w:t>
      </w:r>
      <w:r w:rsidR="005660FD">
        <w:rPr>
          <w:rStyle w:val="FootnoteReference"/>
          <w:rFonts w:cs="Arial"/>
          <w:bCs/>
          <w:i/>
          <w:szCs w:val="22"/>
        </w:rPr>
        <w:footnoteReference w:id="12"/>
      </w:r>
      <w:r w:rsidR="005660FD" w:rsidRPr="00EB3A53">
        <w:rPr>
          <w:rFonts w:cs="Arial"/>
          <w:bCs/>
          <w:i/>
          <w:szCs w:val="22"/>
        </w:rPr>
        <w:t xml:space="preserve"> </w:t>
      </w:r>
      <w:r w:rsidR="005660FD" w:rsidRPr="00EB3A53">
        <w:rPr>
          <w:rFonts w:cs="Arial"/>
          <w:bCs/>
          <w:szCs w:val="22"/>
        </w:rPr>
        <w:t xml:space="preserve">to mean that </w:t>
      </w:r>
      <w:r w:rsidR="005660FD" w:rsidRPr="00EB3A53">
        <w:rPr>
          <w:rFonts w:cs="Arial"/>
          <w:bCs/>
          <w:i/>
          <w:iCs/>
          <w:szCs w:val="22"/>
        </w:rPr>
        <w:t xml:space="preserve">“agreement” </w:t>
      </w:r>
      <w:r w:rsidR="005660FD" w:rsidRPr="00EB3A53">
        <w:rPr>
          <w:rFonts w:cs="Arial"/>
          <w:bCs/>
          <w:szCs w:val="22"/>
        </w:rPr>
        <w:t>and</w:t>
      </w:r>
      <w:r w:rsidR="005660FD" w:rsidRPr="00EB3A53">
        <w:rPr>
          <w:rFonts w:cs="Arial"/>
          <w:bCs/>
          <w:i/>
          <w:iCs/>
          <w:szCs w:val="22"/>
        </w:rPr>
        <w:t xml:space="preserve"> “knowledge”</w:t>
      </w:r>
      <w:r w:rsidR="005660FD" w:rsidRPr="00EB3A53">
        <w:rPr>
          <w:rFonts w:cs="Arial"/>
          <w:bCs/>
          <w:szCs w:val="22"/>
        </w:rPr>
        <w:t xml:space="preserve"> were used interchangeably. Even in the absence of agreement, knowledge may have the effect that the third party depositor becomes entitled to the funds. </w:t>
      </w:r>
      <w:r w:rsidR="005660FD" w:rsidRPr="00EB3A53">
        <w:rPr>
          <w:rFonts w:cs="Arial"/>
          <w:bCs/>
          <w:szCs w:val="22"/>
        </w:rPr>
        <w:lastRenderedPageBreak/>
        <w:t>Where a bank owes a personal obligation to the third party to pay the credit balance accruing from the third party’s deposits, the bank cannot set off its own customer’s indebtedness to the bank against the bank’s debt that is due to the third party</w:t>
      </w:r>
      <w:r w:rsidR="00841968" w:rsidRPr="00EB3A53">
        <w:rPr>
          <w:rFonts w:cs="Arial"/>
          <w:bCs/>
          <w:szCs w:val="22"/>
        </w:rPr>
        <w:t>.</w:t>
      </w:r>
      <w:r w:rsidR="005660FD" w:rsidRPr="00EB3A53">
        <w:rPr>
          <w:rFonts w:cs="Arial"/>
          <w:bCs/>
          <w:szCs w:val="22"/>
        </w:rPr>
        <w:t xml:space="preserve"> </w:t>
      </w:r>
      <w:r w:rsidR="00841968" w:rsidRPr="00EB3A53">
        <w:rPr>
          <w:rFonts w:cs="Arial"/>
          <w:bCs/>
          <w:szCs w:val="22"/>
        </w:rPr>
        <w:t>T</w:t>
      </w:r>
      <w:r w:rsidR="005660FD" w:rsidRPr="00EB3A53">
        <w:rPr>
          <w:rFonts w:cs="Arial"/>
          <w:bCs/>
          <w:szCs w:val="22"/>
        </w:rPr>
        <w:t xml:space="preserve">he </w:t>
      </w:r>
      <w:r w:rsidR="00841968" w:rsidRPr="00EB3A53">
        <w:rPr>
          <w:rFonts w:cs="Arial"/>
          <w:bCs/>
          <w:szCs w:val="22"/>
        </w:rPr>
        <w:t>Court</w:t>
      </w:r>
      <w:r w:rsidR="005660FD" w:rsidRPr="00EB3A53">
        <w:rPr>
          <w:rFonts w:cs="Arial"/>
          <w:bCs/>
          <w:szCs w:val="22"/>
        </w:rPr>
        <w:t xml:space="preserve"> </w:t>
      </w:r>
      <w:r w:rsidR="00C25BD1">
        <w:rPr>
          <w:rFonts w:cs="Arial"/>
          <w:bCs/>
          <w:szCs w:val="22"/>
        </w:rPr>
        <w:t xml:space="preserve">therefore </w:t>
      </w:r>
      <w:r w:rsidR="005660FD" w:rsidRPr="00EB3A53">
        <w:rPr>
          <w:rFonts w:cs="Arial"/>
          <w:bCs/>
          <w:szCs w:val="22"/>
        </w:rPr>
        <w:t xml:space="preserve">interpreted the </w:t>
      </w:r>
      <w:r w:rsidR="005660FD" w:rsidRPr="00EB3A53">
        <w:rPr>
          <w:rFonts w:cs="Arial"/>
          <w:bCs/>
          <w:i/>
          <w:szCs w:val="22"/>
        </w:rPr>
        <w:t>Joint Stock</w:t>
      </w:r>
      <w:r w:rsidR="005660FD" w:rsidRPr="00EB3A53">
        <w:rPr>
          <w:rFonts w:cs="Arial"/>
          <w:bCs/>
          <w:szCs w:val="22"/>
        </w:rPr>
        <w:t xml:space="preserve"> case to mean that the bank’s knowledge of the entitlement of the third party to the funds may give rise to a right enjoyed by the third party to payment from the bank. </w:t>
      </w:r>
    </w:p>
    <w:p w14:paraId="50A63DE0" w14:textId="0BD47AB2" w:rsidR="0042119D" w:rsidRDefault="00501D16" w:rsidP="00501D16">
      <w:pPr>
        <w:widowControl w:val="0"/>
        <w:tabs>
          <w:tab w:val="left" w:pos="567"/>
        </w:tabs>
        <w:spacing w:before="480" w:after="480" w:line="360" w:lineRule="auto"/>
        <w:jc w:val="both"/>
        <w:rPr>
          <w:rFonts w:cs="Arial"/>
          <w:bCs/>
          <w:szCs w:val="22"/>
        </w:rPr>
      </w:pPr>
      <w:r>
        <w:rPr>
          <w:rFonts w:cs="Arial"/>
          <w:bCs/>
          <w:szCs w:val="22"/>
        </w:rPr>
        <w:t>[30]</w:t>
      </w:r>
      <w:r>
        <w:rPr>
          <w:rFonts w:cs="Arial"/>
          <w:bCs/>
          <w:szCs w:val="22"/>
        </w:rPr>
        <w:tab/>
      </w:r>
      <w:r w:rsidR="005660FD" w:rsidRPr="008878AC">
        <w:rPr>
          <w:rFonts w:cs="Arial"/>
          <w:bCs/>
          <w:szCs w:val="22"/>
        </w:rPr>
        <w:t xml:space="preserve">The franchisee had no right to claim the amounts </w:t>
      </w:r>
      <w:r w:rsidR="00EB3A53" w:rsidRPr="008878AC">
        <w:rPr>
          <w:rFonts w:cs="Arial"/>
          <w:bCs/>
          <w:szCs w:val="22"/>
        </w:rPr>
        <w:t>deposited by the franchisor and set off could not operate</w:t>
      </w:r>
      <w:r w:rsidR="00F819C9">
        <w:rPr>
          <w:rFonts w:cs="Arial"/>
          <w:bCs/>
          <w:szCs w:val="22"/>
        </w:rPr>
        <w:t xml:space="preserve"> between the bank and the franchisee</w:t>
      </w:r>
      <w:r w:rsidR="00EB3A53" w:rsidRPr="008878AC">
        <w:rPr>
          <w:rFonts w:cs="Arial"/>
          <w:bCs/>
          <w:szCs w:val="22"/>
        </w:rPr>
        <w:t>.</w:t>
      </w:r>
      <w:r w:rsidR="00C25BD1">
        <w:rPr>
          <w:rFonts w:cs="Arial"/>
          <w:bCs/>
          <w:szCs w:val="22"/>
        </w:rPr>
        <w:t xml:space="preserve"> </w:t>
      </w:r>
      <w:r w:rsidR="0042119D" w:rsidRPr="008878AC">
        <w:rPr>
          <w:rFonts w:cs="Arial"/>
          <w:bCs/>
          <w:szCs w:val="22"/>
        </w:rPr>
        <w:t>The same would happen if a payment is made in error</w:t>
      </w:r>
      <w:r w:rsidR="00F819C9">
        <w:rPr>
          <w:rFonts w:cs="Arial"/>
          <w:bCs/>
          <w:szCs w:val="22"/>
        </w:rPr>
        <w:t>:</w:t>
      </w:r>
      <w:r w:rsidR="0042119D" w:rsidRPr="008878AC">
        <w:rPr>
          <w:rFonts w:cs="Arial"/>
          <w:bCs/>
          <w:szCs w:val="22"/>
        </w:rPr>
        <w:t xml:space="preserve"> If party A wishing to pay party B paid the money into party C’s account, party C has no entitlement to the funds credited to his account and any appropriation of the funds by party B with knowledge that they were not entitled to deal with the funds, would amount to theft.</w:t>
      </w:r>
      <w:r w:rsidR="008479F2">
        <w:rPr>
          <w:rStyle w:val="FootnoteReference"/>
          <w:rFonts w:cs="Arial"/>
          <w:bCs/>
          <w:szCs w:val="22"/>
        </w:rPr>
        <w:footnoteReference w:id="13"/>
      </w:r>
    </w:p>
    <w:p w14:paraId="7CAAAB24" w14:textId="6D2DA9B5" w:rsidR="00A453D4" w:rsidRDefault="00501D16" w:rsidP="00501D16">
      <w:pPr>
        <w:widowControl w:val="0"/>
        <w:tabs>
          <w:tab w:val="left" w:pos="567"/>
        </w:tabs>
        <w:spacing w:before="480" w:after="480" w:line="360" w:lineRule="auto"/>
        <w:jc w:val="both"/>
        <w:rPr>
          <w:rFonts w:cs="Arial"/>
          <w:bCs/>
          <w:szCs w:val="22"/>
        </w:rPr>
      </w:pPr>
      <w:r>
        <w:rPr>
          <w:rFonts w:cs="Arial"/>
          <w:bCs/>
          <w:szCs w:val="22"/>
        </w:rPr>
        <w:t>[31]</w:t>
      </w:r>
      <w:r>
        <w:rPr>
          <w:rFonts w:cs="Arial"/>
          <w:bCs/>
          <w:szCs w:val="22"/>
        </w:rPr>
        <w:tab/>
      </w:r>
      <w:r w:rsidR="00A453D4">
        <w:rPr>
          <w:rFonts w:cs="Arial"/>
          <w:bCs/>
          <w:szCs w:val="22"/>
        </w:rPr>
        <w:t xml:space="preserve">It was argued on behalf of the applicant that Nedbank explicitly renounced any entitlement to the money and therefore has no liability to its customer. There is no factual basis to find that Nedbank explicitly renounced any entitlement to the money. The money came into Y&amp;N’s account and was dealt with as such. </w:t>
      </w:r>
    </w:p>
    <w:p w14:paraId="29BDC0D4" w14:textId="14431948" w:rsidR="0023614F" w:rsidRDefault="00501D16" w:rsidP="00501D16">
      <w:pPr>
        <w:widowControl w:val="0"/>
        <w:tabs>
          <w:tab w:val="left" w:pos="567"/>
        </w:tabs>
        <w:spacing w:before="480" w:after="480" w:line="360" w:lineRule="auto"/>
        <w:jc w:val="both"/>
        <w:rPr>
          <w:rFonts w:cs="Arial"/>
          <w:bCs/>
          <w:szCs w:val="22"/>
        </w:rPr>
      </w:pPr>
      <w:r>
        <w:rPr>
          <w:rFonts w:cs="Arial"/>
          <w:bCs/>
          <w:szCs w:val="22"/>
        </w:rPr>
        <w:t>[32]</w:t>
      </w:r>
      <w:r>
        <w:rPr>
          <w:rFonts w:cs="Arial"/>
          <w:bCs/>
          <w:szCs w:val="22"/>
        </w:rPr>
        <w:tab/>
      </w:r>
      <w:r w:rsidR="00D67E1E" w:rsidRPr="0023614F">
        <w:rPr>
          <w:rFonts w:cs="Arial"/>
          <w:bCs/>
          <w:szCs w:val="22"/>
        </w:rPr>
        <w:t xml:space="preserve">In </w:t>
      </w:r>
      <w:r w:rsidR="00C25BD1">
        <w:rPr>
          <w:i/>
        </w:rPr>
        <w:t>Nissan South Africa (Pty) Ltd v Marnitz NO &amp; Others</w:t>
      </w:r>
      <w:r w:rsidR="00D67E1E" w:rsidRPr="0023614F">
        <w:rPr>
          <w:rFonts w:cs="Arial"/>
          <w:bCs/>
          <w:szCs w:val="22"/>
        </w:rPr>
        <w:t>,</w:t>
      </w:r>
      <w:r w:rsidR="008878AC">
        <w:rPr>
          <w:rStyle w:val="FootnoteReference"/>
          <w:rFonts w:cs="Arial"/>
          <w:bCs/>
          <w:i/>
          <w:szCs w:val="22"/>
        </w:rPr>
        <w:footnoteReference w:id="14"/>
      </w:r>
      <w:r w:rsidR="00D67E1E" w:rsidRPr="0023614F">
        <w:rPr>
          <w:rFonts w:cs="Arial"/>
          <w:bCs/>
          <w:szCs w:val="22"/>
        </w:rPr>
        <w:t xml:space="preserve"> the appellant paid an amount of money into the account of a third party and the account </w:t>
      </w:r>
      <w:r w:rsidR="0023614F">
        <w:rPr>
          <w:rFonts w:cs="Arial"/>
          <w:bCs/>
          <w:szCs w:val="22"/>
        </w:rPr>
        <w:t>w</w:t>
      </w:r>
      <w:r w:rsidR="00D67E1E" w:rsidRPr="0023614F">
        <w:rPr>
          <w:rFonts w:cs="Arial"/>
          <w:bCs/>
          <w:szCs w:val="22"/>
        </w:rPr>
        <w:t xml:space="preserve">as duly credited. The third party was not entitled to the funds and the third party had no claim against the bank in respect of the funds. It was accepted that if the account holder had no claim, then the appellant who had made the error was entitled to payment. </w:t>
      </w:r>
    </w:p>
    <w:p w14:paraId="6ECE2CA9" w14:textId="2E6FDB76" w:rsidR="00C25BD1" w:rsidRDefault="00501D16" w:rsidP="00501D16">
      <w:pPr>
        <w:widowControl w:val="0"/>
        <w:tabs>
          <w:tab w:val="left" w:pos="567"/>
        </w:tabs>
        <w:spacing w:before="480" w:after="480" w:line="360" w:lineRule="auto"/>
        <w:jc w:val="both"/>
        <w:rPr>
          <w:rFonts w:cs="Arial"/>
          <w:bCs/>
          <w:szCs w:val="22"/>
        </w:rPr>
      </w:pPr>
      <w:r>
        <w:rPr>
          <w:rFonts w:cs="Arial"/>
          <w:bCs/>
          <w:szCs w:val="22"/>
        </w:rPr>
        <w:t>[33]</w:t>
      </w:r>
      <w:r>
        <w:rPr>
          <w:rFonts w:cs="Arial"/>
          <w:bCs/>
          <w:szCs w:val="22"/>
        </w:rPr>
        <w:tab/>
      </w:r>
      <w:r w:rsidR="00F819C9">
        <w:rPr>
          <w:rFonts w:cs="Arial"/>
          <w:bCs/>
          <w:szCs w:val="22"/>
        </w:rPr>
        <w:t>Reference was also made to</w:t>
      </w:r>
      <w:r w:rsidR="00D67E1E" w:rsidRPr="0023614F">
        <w:rPr>
          <w:rFonts w:cs="Arial"/>
          <w:bCs/>
          <w:szCs w:val="22"/>
        </w:rPr>
        <w:t xml:space="preserve"> the decision in </w:t>
      </w:r>
      <w:r w:rsidR="00C25BD1" w:rsidRPr="008878AC">
        <w:rPr>
          <w:i/>
          <w:iCs/>
        </w:rPr>
        <w:t>First National Bank of Southern Africa Ltd v Perry NO and Others</w:t>
      </w:r>
      <w:r w:rsidR="008878AC">
        <w:rPr>
          <w:rStyle w:val="FootnoteReference"/>
          <w:rFonts w:cs="Arial"/>
          <w:bCs/>
          <w:szCs w:val="22"/>
        </w:rPr>
        <w:footnoteReference w:id="15"/>
      </w:r>
      <w:r w:rsidR="00D67E1E" w:rsidRPr="0023614F">
        <w:rPr>
          <w:rFonts w:cs="Arial"/>
          <w:bCs/>
          <w:szCs w:val="22"/>
        </w:rPr>
        <w:t xml:space="preserve"> </w:t>
      </w:r>
      <w:r w:rsidR="00F819C9">
        <w:rPr>
          <w:rFonts w:cs="Arial"/>
          <w:bCs/>
          <w:szCs w:val="22"/>
        </w:rPr>
        <w:t>were a</w:t>
      </w:r>
      <w:r w:rsidR="00D67E1E" w:rsidRPr="0023614F">
        <w:rPr>
          <w:rFonts w:cs="Arial"/>
          <w:bCs/>
          <w:szCs w:val="22"/>
        </w:rPr>
        <w:t xml:space="preserve"> bank was not entitled to make payment to its own client because the deposited funds were stolen funds. The bank was therefore enriched and an enrichment action lay against it.</w:t>
      </w:r>
      <w:r w:rsidR="00C25BD1">
        <w:rPr>
          <w:rStyle w:val="FootnoteReference"/>
          <w:rFonts w:cs="Arial"/>
          <w:bCs/>
          <w:szCs w:val="22"/>
        </w:rPr>
        <w:footnoteReference w:id="16"/>
      </w:r>
      <w:r w:rsidR="00D67E1E" w:rsidRPr="0023614F">
        <w:rPr>
          <w:rFonts w:cs="Arial"/>
          <w:bCs/>
          <w:szCs w:val="22"/>
        </w:rPr>
        <w:t xml:space="preserve"> Thus whether the funds deposited were stolen or deposited in error, the account holder who was credited has no claim against the bank for the reasons set out. In the </w:t>
      </w:r>
      <w:r w:rsidR="00D67E1E" w:rsidRPr="0023614F">
        <w:rPr>
          <w:rFonts w:cs="Arial"/>
          <w:bCs/>
          <w:i/>
          <w:szCs w:val="22"/>
        </w:rPr>
        <w:t xml:space="preserve">Spar </w:t>
      </w:r>
      <w:r w:rsidR="00D67E1E" w:rsidRPr="0023614F">
        <w:rPr>
          <w:rFonts w:cs="Arial"/>
          <w:bCs/>
          <w:szCs w:val="22"/>
        </w:rPr>
        <w:t xml:space="preserve">case and the </w:t>
      </w:r>
      <w:r w:rsidR="00D67E1E" w:rsidRPr="0023614F">
        <w:rPr>
          <w:rFonts w:cs="Arial"/>
          <w:bCs/>
          <w:i/>
          <w:szCs w:val="22"/>
        </w:rPr>
        <w:t xml:space="preserve">Joint Stock </w:t>
      </w:r>
      <w:r w:rsidR="00D67E1E" w:rsidRPr="0023614F">
        <w:rPr>
          <w:rFonts w:cs="Arial"/>
          <w:bCs/>
          <w:szCs w:val="22"/>
        </w:rPr>
        <w:t>case the funds deposited were neither stolen nor deposited in error but were deposited pursuant to an arrangement between the bank’s customer</w:t>
      </w:r>
      <w:r w:rsidR="00C25BD1">
        <w:rPr>
          <w:rFonts w:cs="Arial"/>
          <w:bCs/>
          <w:szCs w:val="22"/>
        </w:rPr>
        <w:t xml:space="preserve"> (the franchisee)</w:t>
      </w:r>
      <w:r w:rsidR="00D67E1E" w:rsidRPr="0023614F">
        <w:rPr>
          <w:rFonts w:cs="Arial"/>
          <w:bCs/>
          <w:szCs w:val="22"/>
        </w:rPr>
        <w:t xml:space="preserve"> and the third party</w:t>
      </w:r>
      <w:r w:rsidR="00C25BD1">
        <w:rPr>
          <w:rFonts w:cs="Arial"/>
          <w:bCs/>
          <w:szCs w:val="22"/>
        </w:rPr>
        <w:t xml:space="preserve"> (the franchisor)</w:t>
      </w:r>
      <w:r w:rsidR="00F819C9">
        <w:rPr>
          <w:rFonts w:cs="Arial"/>
          <w:bCs/>
          <w:szCs w:val="22"/>
        </w:rPr>
        <w:t xml:space="preserve"> with the knowledge of the bank</w:t>
      </w:r>
      <w:r w:rsidR="00D67E1E" w:rsidRPr="0023614F">
        <w:rPr>
          <w:rFonts w:cs="Arial"/>
          <w:bCs/>
          <w:szCs w:val="22"/>
        </w:rPr>
        <w:t xml:space="preserve">. </w:t>
      </w:r>
      <w:r w:rsidR="00C25BD1">
        <w:rPr>
          <w:rFonts w:cs="Arial"/>
          <w:bCs/>
          <w:szCs w:val="22"/>
        </w:rPr>
        <w:lastRenderedPageBreak/>
        <w:t xml:space="preserve">Under any of these </w:t>
      </w:r>
      <w:r w:rsidR="00F819C9">
        <w:rPr>
          <w:rFonts w:cs="Arial"/>
          <w:bCs/>
          <w:szCs w:val="22"/>
        </w:rPr>
        <w:t xml:space="preserve">sets of </w:t>
      </w:r>
      <w:r w:rsidR="00C25BD1">
        <w:rPr>
          <w:rFonts w:cs="Arial"/>
          <w:bCs/>
          <w:szCs w:val="22"/>
        </w:rPr>
        <w:t>circumstances the account holder had no claim to the money.</w:t>
      </w:r>
      <w:r w:rsidR="00F819C9">
        <w:rPr>
          <w:rStyle w:val="FootnoteReference"/>
          <w:rFonts w:cs="Arial"/>
          <w:bCs/>
          <w:szCs w:val="22"/>
        </w:rPr>
        <w:footnoteReference w:id="17"/>
      </w:r>
      <w:r w:rsidR="00C25BD1">
        <w:rPr>
          <w:rFonts w:cs="Arial"/>
          <w:bCs/>
          <w:szCs w:val="22"/>
        </w:rPr>
        <w:t xml:space="preserve"> </w:t>
      </w:r>
    </w:p>
    <w:p w14:paraId="74BA38EC" w14:textId="43F36901" w:rsidR="00D67E1E" w:rsidRPr="0023614F" w:rsidRDefault="00501D16" w:rsidP="00501D16">
      <w:pPr>
        <w:widowControl w:val="0"/>
        <w:tabs>
          <w:tab w:val="left" w:pos="567"/>
        </w:tabs>
        <w:spacing w:before="480" w:after="480" w:line="360" w:lineRule="auto"/>
        <w:jc w:val="both"/>
        <w:rPr>
          <w:rFonts w:cs="Arial"/>
          <w:bCs/>
          <w:szCs w:val="22"/>
        </w:rPr>
      </w:pPr>
      <w:r w:rsidRPr="0023614F">
        <w:rPr>
          <w:rFonts w:cs="Arial"/>
          <w:bCs/>
          <w:szCs w:val="22"/>
        </w:rPr>
        <w:t>[34]</w:t>
      </w:r>
      <w:r w:rsidRPr="0023614F">
        <w:rPr>
          <w:rFonts w:cs="Arial"/>
          <w:bCs/>
          <w:szCs w:val="22"/>
        </w:rPr>
        <w:tab/>
      </w:r>
      <w:r w:rsidR="00D67E1E" w:rsidRPr="0023614F">
        <w:rPr>
          <w:rFonts w:cs="Arial"/>
          <w:bCs/>
          <w:szCs w:val="22"/>
        </w:rPr>
        <w:t>In the present case the funds</w:t>
      </w:r>
      <w:r w:rsidR="00F819C9">
        <w:rPr>
          <w:rFonts w:cs="Arial"/>
          <w:bCs/>
          <w:szCs w:val="22"/>
        </w:rPr>
        <w:t xml:space="preserve"> meant for Y&amp;N</w:t>
      </w:r>
      <w:r w:rsidR="00D67E1E" w:rsidRPr="0023614F">
        <w:rPr>
          <w:rFonts w:cs="Arial"/>
          <w:bCs/>
          <w:szCs w:val="22"/>
        </w:rPr>
        <w:t xml:space="preserve"> were deposited into </w:t>
      </w:r>
      <w:r w:rsidR="0062211A" w:rsidRPr="0023614F">
        <w:rPr>
          <w:rFonts w:cs="Arial"/>
          <w:bCs/>
          <w:szCs w:val="22"/>
        </w:rPr>
        <w:t>Y&amp;N</w:t>
      </w:r>
      <w:r w:rsidR="00D67E1E" w:rsidRPr="0023614F">
        <w:rPr>
          <w:rFonts w:cs="Arial"/>
          <w:bCs/>
          <w:szCs w:val="22"/>
        </w:rPr>
        <w:t xml:space="preserve">’s account and the bank did have a duty or a liability to its customer, and in fulfilment of that duty, it credited its customer’s account. </w:t>
      </w:r>
      <w:r w:rsidR="0023614F">
        <w:rPr>
          <w:rFonts w:cs="Arial"/>
          <w:bCs/>
          <w:szCs w:val="22"/>
        </w:rPr>
        <w:t>Had the credit meant that the account itself was now in credit, Y&amp;N would have been able to</w:t>
      </w:r>
      <w:r w:rsidR="00C25BD1">
        <w:rPr>
          <w:rFonts w:cs="Arial"/>
          <w:bCs/>
          <w:szCs w:val="22"/>
        </w:rPr>
        <w:t xml:space="preserve"> deal with the money as it pleased and could have</w:t>
      </w:r>
      <w:r w:rsidR="0023614F">
        <w:rPr>
          <w:rFonts w:cs="Arial"/>
          <w:bCs/>
          <w:szCs w:val="22"/>
        </w:rPr>
        <w:t xml:space="preserve"> repa</w:t>
      </w:r>
      <w:r w:rsidR="00C25BD1">
        <w:rPr>
          <w:rFonts w:cs="Arial"/>
          <w:bCs/>
          <w:szCs w:val="22"/>
        </w:rPr>
        <w:t>id</w:t>
      </w:r>
      <w:r w:rsidR="0023614F">
        <w:rPr>
          <w:rFonts w:cs="Arial"/>
          <w:bCs/>
          <w:szCs w:val="22"/>
        </w:rPr>
        <w:t xml:space="preserve"> the amount in credit to the applicant.</w:t>
      </w:r>
      <w:r w:rsidR="00153AAC">
        <w:rPr>
          <w:rFonts w:cs="Arial"/>
          <w:bCs/>
          <w:szCs w:val="22"/>
        </w:rPr>
        <w:t xml:space="preserve"> Y&amp;N did, after all, receive payment for the same debt from the applicant twice.</w:t>
      </w:r>
    </w:p>
    <w:p w14:paraId="4192C87D" w14:textId="7B45E872" w:rsidR="0035778C" w:rsidRDefault="00501D16" w:rsidP="00501D16">
      <w:pPr>
        <w:widowControl w:val="0"/>
        <w:tabs>
          <w:tab w:val="left" w:pos="567"/>
        </w:tabs>
        <w:spacing w:before="480" w:after="480" w:line="360" w:lineRule="auto"/>
        <w:jc w:val="both"/>
        <w:rPr>
          <w:rFonts w:cs="Arial"/>
          <w:bCs/>
          <w:szCs w:val="22"/>
        </w:rPr>
      </w:pPr>
      <w:r>
        <w:rPr>
          <w:rFonts w:cs="Arial"/>
          <w:bCs/>
          <w:szCs w:val="22"/>
        </w:rPr>
        <w:t>[35]</w:t>
      </w:r>
      <w:r>
        <w:rPr>
          <w:rFonts w:cs="Arial"/>
          <w:bCs/>
          <w:szCs w:val="22"/>
        </w:rPr>
        <w:tab/>
      </w:r>
      <w:r w:rsidR="0035778C">
        <w:rPr>
          <w:rFonts w:cs="Arial"/>
          <w:bCs/>
          <w:szCs w:val="22"/>
        </w:rPr>
        <w:t>I therefore make the order in paragraph 1 above.</w:t>
      </w:r>
    </w:p>
    <w:p w14:paraId="57B05A6B" w14:textId="77777777" w:rsidR="007C6DF0" w:rsidRPr="0009745A" w:rsidRDefault="007C6DF0" w:rsidP="005E09BA">
      <w:pPr>
        <w:widowControl w:val="0"/>
        <w:tabs>
          <w:tab w:val="right" w:pos="0"/>
        </w:tabs>
        <w:spacing w:line="360" w:lineRule="auto"/>
        <w:contextualSpacing/>
        <w:jc w:val="both"/>
        <w:rPr>
          <w:rFonts w:cs="Arial"/>
          <w:b/>
          <w:szCs w:val="22"/>
        </w:rPr>
      </w:pP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54DDBDE3"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30470A">
        <w:rPr>
          <w:rFonts w:eastAsia="Arial Unicode MS" w:cs="Arial"/>
          <w:b/>
          <w:bCs/>
          <w:szCs w:val="22"/>
        </w:rPr>
        <w:t>29 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5404BF87" w:rsidR="009B62F7" w:rsidRPr="0009745A" w:rsidRDefault="009B62F7" w:rsidP="00C45125">
            <w:pPr>
              <w:widowControl w:val="0"/>
              <w:spacing w:before="120" w:after="120"/>
              <w:jc w:val="both"/>
              <w:rPr>
                <w:rFonts w:eastAsia="Arial Unicode MS" w:cs="Arial"/>
                <w:b/>
                <w:bCs/>
                <w:szCs w:val="22"/>
              </w:rPr>
            </w:pPr>
            <w:r w:rsidRPr="0009745A">
              <w:rPr>
                <w:rFonts w:cs="Arial"/>
                <w:szCs w:val="22"/>
              </w:rPr>
              <w:t xml:space="preserve">COUNSEL FOR THE </w:t>
            </w:r>
            <w:r w:rsidR="00C45125">
              <w:rPr>
                <w:rFonts w:cs="Arial"/>
                <w:szCs w:val="22"/>
              </w:rPr>
              <w:t>APPLICANT</w:t>
            </w:r>
            <w:r w:rsidRPr="0009745A">
              <w:rPr>
                <w:rFonts w:cs="Arial"/>
                <w:szCs w:val="22"/>
              </w:rPr>
              <w:t>:</w:t>
            </w:r>
          </w:p>
        </w:tc>
        <w:tc>
          <w:tcPr>
            <w:tcW w:w="4508" w:type="dxa"/>
          </w:tcPr>
          <w:p w14:paraId="7DD198BB" w14:textId="375FA33A" w:rsidR="009B62F7" w:rsidRPr="00C905EB" w:rsidRDefault="00C45125" w:rsidP="0098739F">
            <w:pPr>
              <w:widowControl w:val="0"/>
              <w:spacing w:before="120" w:after="120"/>
              <w:jc w:val="right"/>
              <w:rPr>
                <w:rFonts w:eastAsia="Arial Unicode MS" w:cs="Arial"/>
                <w:szCs w:val="22"/>
              </w:rPr>
            </w:pPr>
            <w:r>
              <w:rPr>
                <w:rFonts w:eastAsia="Arial Unicode MS" w:cs="Arial"/>
                <w:szCs w:val="22"/>
              </w:rPr>
              <w:t>A L Williamson</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69B39A59" w:rsidR="009B62F7" w:rsidRPr="00C905EB" w:rsidRDefault="00C45125" w:rsidP="0098739F">
            <w:pPr>
              <w:widowControl w:val="0"/>
              <w:spacing w:before="120" w:after="120"/>
              <w:jc w:val="right"/>
              <w:rPr>
                <w:rFonts w:eastAsia="Arial Unicode MS" w:cs="Arial"/>
                <w:szCs w:val="22"/>
              </w:rPr>
            </w:pPr>
            <w:r>
              <w:rPr>
                <w:rFonts w:eastAsia="Arial Unicode MS" w:cs="Arial"/>
                <w:szCs w:val="22"/>
              </w:rPr>
              <w:t>Nadeem Mahomed Inc</w:t>
            </w:r>
          </w:p>
        </w:tc>
      </w:tr>
      <w:tr w:rsidR="009B62F7" w:rsidRPr="0009745A" w14:paraId="2094B6A6" w14:textId="77777777" w:rsidTr="0098739F">
        <w:tc>
          <w:tcPr>
            <w:tcW w:w="4508" w:type="dxa"/>
          </w:tcPr>
          <w:p w14:paraId="660EE22E" w14:textId="56E71993" w:rsidR="009B62F7" w:rsidRPr="0009745A" w:rsidRDefault="009B62F7" w:rsidP="00C45125">
            <w:pPr>
              <w:widowControl w:val="0"/>
              <w:spacing w:before="120" w:after="120"/>
              <w:jc w:val="both"/>
              <w:rPr>
                <w:rFonts w:eastAsia="Arial Unicode MS" w:cs="Arial"/>
                <w:b/>
                <w:bCs/>
                <w:szCs w:val="22"/>
              </w:rPr>
            </w:pPr>
            <w:r w:rsidRPr="0009745A">
              <w:rPr>
                <w:rFonts w:cs="Arial"/>
                <w:szCs w:val="22"/>
              </w:rPr>
              <w:t>COUNSEL FOR TH</w:t>
            </w:r>
            <w:r w:rsidR="00870ECF">
              <w:rPr>
                <w:rFonts w:cs="Arial"/>
                <w:szCs w:val="22"/>
              </w:rPr>
              <w:t xml:space="preserve">E </w:t>
            </w:r>
            <w:r w:rsidR="00C45125">
              <w:rPr>
                <w:rFonts w:eastAsia="Arial Unicode MS" w:cs="Arial"/>
                <w:szCs w:val="22"/>
              </w:rPr>
              <w:t>RESPONDENT</w:t>
            </w:r>
            <w:r w:rsidR="00502CBC" w:rsidRPr="00502CBC">
              <w:rPr>
                <w:rFonts w:eastAsia="Arial Unicode MS" w:cs="Arial"/>
                <w:szCs w:val="22"/>
              </w:rPr>
              <w:t>:</w:t>
            </w:r>
          </w:p>
        </w:tc>
        <w:tc>
          <w:tcPr>
            <w:tcW w:w="4508" w:type="dxa"/>
          </w:tcPr>
          <w:p w14:paraId="6CD71880" w14:textId="77777777" w:rsidR="009B62F7" w:rsidRDefault="00C45125" w:rsidP="0098739F">
            <w:pPr>
              <w:autoSpaceDE w:val="0"/>
              <w:autoSpaceDN w:val="0"/>
              <w:adjustRightInd w:val="0"/>
              <w:spacing w:before="120" w:after="120"/>
              <w:jc w:val="right"/>
              <w:rPr>
                <w:rFonts w:eastAsia="Arial Unicode MS" w:cs="Arial"/>
                <w:szCs w:val="22"/>
              </w:rPr>
            </w:pPr>
            <w:r>
              <w:rPr>
                <w:rFonts w:eastAsia="Arial Unicode MS" w:cs="Arial"/>
                <w:szCs w:val="22"/>
              </w:rPr>
              <w:t>J Kilian</w:t>
            </w:r>
          </w:p>
          <w:p w14:paraId="6407F6D2" w14:textId="109E0EE0" w:rsidR="00C45125" w:rsidRPr="00C905EB" w:rsidRDefault="00C45125" w:rsidP="0098739F">
            <w:pPr>
              <w:autoSpaceDE w:val="0"/>
              <w:autoSpaceDN w:val="0"/>
              <w:adjustRightInd w:val="0"/>
              <w:spacing w:before="120" w:after="120"/>
              <w:jc w:val="right"/>
              <w:rPr>
                <w:rFonts w:eastAsia="Arial Unicode MS" w:cs="Arial"/>
                <w:szCs w:val="22"/>
              </w:rPr>
            </w:pPr>
            <w:r>
              <w:rPr>
                <w:rFonts w:eastAsia="Arial Unicode MS" w:cs="Arial"/>
                <w:szCs w:val="22"/>
              </w:rPr>
              <w:t>(Heads of argument by P J Wallis SC)</w:t>
            </w:r>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1EAA8457" w14:textId="77777777" w:rsidR="009B62F7" w:rsidRDefault="00CF1F63" w:rsidP="0098739F">
            <w:pPr>
              <w:widowControl w:val="0"/>
              <w:spacing w:before="120" w:after="120"/>
              <w:jc w:val="right"/>
              <w:rPr>
                <w:rFonts w:eastAsia="Arial Unicode MS" w:cs="Arial"/>
                <w:szCs w:val="22"/>
              </w:rPr>
            </w:pPr>
            <w:r>
              <w:rPr>
                <w:rFonts w:eastAsia="Arial Unicode MS" w:cs="Arial"/>
                <w:szCs w:val="22"/>
              </w:rPr>
              <w:t>Larson Falconer Hassan Parsee Inc (Durban)</w:t>
            </w:r>
          </w:p>
          <w:p w14:paraId="2F23182F" w14:textId="77777777" w:rsidR="00CF1F63" w:rsidRDefault="00CF1F63" w:rsidP="0098739F">
            <w:pPr>
              <w:widowControl w:val="0"/>
              <w:spacing w:before="120" w:after="120"/>
              <w:jc w:val="right"/>
              <w:rPr>
                <w:rFonts w:eastAsia="Arial Unicode MS" w:cs="Arial"/>
                <w:szCs w:val="22"/>
              </w:rPr>
            </w:pPr>
            <w:r>
              <w:rPr>
                <w:rFonts w:eastAsia="Arial Unicode MS" w:cs="Arial"/>
                <w:szCs w:val="22"/>
              </w:rPr>
              <w:lastRenderedPageBreak/>
              <w:t>Martini – Patlansky Attorneys</w:t>
            </w:r>
          </w:p>
          <w:p w14:paraId="38283046" w14:textId="3C575010" w:rsidR="0015037C" w:rsidRPr="00C905EB" w:rsidRDefault="0015037C" w:rsidP="0098739F">
            <w:pPr>
              <w:widowControl w:val="0"/>
              <w:spacing w:before="120" w:after="120"/>
              <w:jc w:val="right"/>
              <w:rPr>
                <w:rFonts w:eastAsia="Arial Unicode MS" w:cs="Arial"/>
                <w:szCs w:val="22"/>
              </w:rPr>
            </w:pPr>
            <w:r>
              <w:rPr>
                <w:rFonts w:eastAsia="Arial Unicode MS" w:cs="Arial"/>
                <w:szCs w:val="22"/>
              </w:rPr>
              <w:t>(Johannesburg)</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lastRenderedPageBreak/>
              <w:t>DATE OF THE HEARING:</w:t>
            </w:r>
          </w:p>
        </w:tc>
        <w:tc>
          <w:tcPr>
            <w:tcW w:w="4508" w:type="dxa"/>
          </w:tcPr>
          <w:p w14:paraId="6A89FC90" w14:textId="3C7CAD2D" w:rsidR="009B62F7" w:rsidRPr="00C905EB" w:rsidRDefault="00B25714" w:rsidP="0098739F">
            <w:pPr>
              <w:widowControl w:val="0"/>
              <w:spacing w:before="120" w:after="120"/>
              <w:jc w:val="right"/>
              <w:rPr>
                <w:rFonts w:eastAsia="Arial Unicode MS" w:cs="Arial"/>
                <w:szCs w:val="22"/>
              </w:rPr>
            </w:pPr>
            <w:r>
              <w:rPr>
                <w:rFonts w:eastAsia="Arial Unicode MS" w:cs="Arial"/>
                <w:szCs w:val="22"/>
              </w:rPr>
              <w:t xml:space="preserve">22 </w:t>
            </w:r>
            <w:r w:rsidR="00F2485C">
              <w:rPr>
                <w:rFonts w:eastAsia="Arial Unicode MS" w:cs="Arial"/>
                <w:szCs w:val="22"/>
              </w:rPr>
              <w:t>MAY 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0B2E06D7" w:rsidR="0098739F" w:rsidRPr="00C905EB" w:rsidRDefault="0030470A" w:rsidP="0098739F">
            <w:pPr>
              <w:widowControl w:val="0"/>
              <w:spacing w:before="120" w:after="120"/>
              <w:jc w:val="right"/>
              <w:rPr>
                <w:rFonts w:cs="Arial"/>
                <w:szCs w:val="22"/>
              </w:rPr>
            </w:pPr>
            <w:r>
              <w:rPr>
                <w:rFonts w:cs="Arial"/>
                <w:szCs w:val="22"/>
              </w:rPr>
              <w:t>29</w:t>
            </w:r>
            <w:r w:rsidR="00F2485C">
              <w:rPr>
                <w:rFonts w:cs="Arial"/>
                <w:szCs w:val="22"/>
              </w:rPr>
              <w:t xml:space="preserve"> MAY 2023</w:t>
            </w:r>
          </w:p>
        </w:tc>
      </w:tr>
    </w:tbl>
    <w:p w14:paraId="6D7F3969" w14:textId="76A86C9F" w:rsidR="00A675FB" w:rsidRPr="0009745A" w:rsidRDefault="00A675FB" w:rsidP="00B9328E">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E5BF" w14:textId="77777777" w:rsidR="009F78FB" w:rsidRDefault="009F78FB">
      <w:r>
        <w:separator/>
      </w:r>
    </w:p>
  </w:endnote>
  <w:endnote w:type="continuationSeparator" w:id="0">
    <w:p w14:paraId="3AA40BBA" w14:textId="77777777" w:rsidR="009F78FB" w:rsidRDefault="009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0E93" w14:textId="77777777" w:rsidR="009F78FB" w:rsidRDefault="009F78FB">
      <w:r>
        <w:separator/>
      </w:r>
    </w:p>
  </w:footnote>
  <w:footnote w:type="continuationSeparator" w:id="0">
    <w:p w14:paraId="24CE650D" w14:textId="77777777" w:rsidR="009F78FB" w:rsidRDefault="009F78FB">
      <w:r>
        <w:continuationSeparator/>
      </w:r>
    </w:p>
  </w:footnote>
  <w:footnote w:id="1">
    <w:p w14:paraId="360DEF57" w14:textId="2D5042D2" w:rsidR="00594FE6" w:rsidRDefault="00594FE6">
      <w:pPr>
        <w:pStyle w:val="FootnoteText"/>
      </w:pPr>
      <w:r>
        <w:rPr>
          <w:rStyle w:val="FootnoteReference"/>
        </w:rPr>
        <w:footnoteRef/>
      </w:r>
      <w:r>
        <w:t xml:space="preserve"> </w:t>
      </w:r>
      <w:r w:rsidRPr="00594FE6">
        <w:rPr>
          <w:i/>
          <w:iCs/>
        </w:rPr>
        <w:t>Trustees, Estate Whitehead v Dumas and Another</w:t>
      </w:r>
      <w:r>
        <w:t xml:space="preserve"> </w:t>
      </w:r>
      <w:r w:rsidRPr="004377B1">
        <w:t>2013 (3) SA 331 (SCA)</w:t>
      </w:r>
      <w:r w:rsidR="00AD4233">
        <w:t>.</w:t>
      </w:r>
    </w:p>
  </w:footnote>
  <w:footnote w:id="2">
    <w:p w14:paraId="1354BDFE" w14:textId="77777777" w:rsidR="00EB3A53" w:rsidRPr="005660FD" w:rsidRDefault="00EB3A53" w:rsidP="00EB3A53">
      <w:pPr>
        <w:pStyle w:val="FootnoteText"/>
      </w:pPr>
      <w:r>
        <w:rPr>
          <w:rStyle w:val="FootnoteReference"/>
        </w:rPr>
        <w:footnoteRef/>
      </w:r>
      <w:r>
        <w:t xml:space="preserve"> </w:t>
      </w:r>
      <w:r>
        <w:tab/>
      </w:r>
      <w:r>
        <w:rPr>
          <w:i/>
        </w:rPr>
        <w:t xml:space="preserve">First National Bank of Southern Africa v Perry NO and Others </w:t>
      </w:r>
      <w:r>
        <w:t>2001 (3) SA 960 (SCA).</w:t>
      </w:r>
    </w:p>
  </w:footnote>
  <w:footnote w:id="3">
    <w:p w14:paraId="6E86CD80" w14:textId="39B2CB17" w:rsidR="003D5E47" w:rsidRDefault="003D5E47">
      <w:pPr>
        <w:pStyle w:val="FootnoteText"/>
      </w:pPr>
      <w:r>
        <w:rPr>
          <w:rStyle w:val="FootnoteReference"/>
        </w:rPr>
        <w:footnoteRef/>
      </w:r>
      <w:r>
        <w:t xml:space="preserve"> </w:t>
      </w:r>
      <w:r>
        <w:tab/>
      </w:r>
      <w:r w:rsidR="00ED2F4A" w:rsidRPr="00AA4BC3">
        <w:rPr>
          <w:i/>
          <w:iCs/>
        </w:rPr>
        <w:t>Absa Bank Ltd v Moore and Another</w:t>
      </w:r>
      <w:r w:rsidR="00ED2F4A" w:rsidRPr="00AA4BC3">
        <w:t xml:space="preserve"> 2017 (1) SA 255 (CC) para 35</w:t>
      </w:r>
      <w:r w:rsidR="00ED2F4A">
        <w:t>.</w:t>
      </w:r>
    </w:p>
  </w:footnote>
  <w:footnote w:id="4">
    <w:p w14:paraId="2E1E76FA" w14:textId="37677C2D" w:rsidR="00A60A90" w:rsidRDefault="00A60A90">
      <w:pPr>
        <w:pStyle w:val="FootnoteText"/>
      </w:pPr>
      <w:r>
        <w:rPr>
          <w:rStyle w:val="FootnoteReference"/>
        </w:rPr>
        <w:footnoteRef/>
      </w:r>
      <w:r>
        <w:t xml:space="preserve"> </w:t>
      </w:r>
      <w:r>
        <w:tab/>
      </w:r>
      <w:r w:rsidR="009C1101">
        <w:t xml:space="preserve">The authorities are summarised in </w:t>
      </w:r>
      <w:r>
        <w:t xml:space="preserve">Moorcroft and Vessio </w:t>
      </w:r>
      <w:r w:rsidRPr="00A60A90">
        <w:rPr>
          <w:i/>
          <w:iCs/>
        </w:rPr>
        <w:t>Banking Law and Practice</w:t>
      </w:r>
      <w:r>
        <w:t xml:space="preserve"> para 15.4.</w:t>
      </w:r>
    </w:p>
  </w:footnote>
  <w:footnote w:id="5">
    <w:p w14:paraId="5BAE981C" w14:textId="0C5A00D4" w:rsidR="00E604A1" w:rsidRPr="00E604A1" w:rsidRDefault="00E604A1">
      <w:pPr>
        <w:pStyle w:val="FootnoteText"/>
        <w:rPr>
          <w:rFonts w:cs="Arial"/>
          <w:color w:val="000000" w:themeColor="text1"/>
        </w:rPr>
      </w:pPr>
      <w:r>
        <w:rPr>
          <w:rStyle w:val="FootnoteReference"/>
        </w:rPr>
        <w:footnoteRef/>
      </w:r>
      <w:r>
        <w:t xml:space="preserve"> </w:t>
      </w:r>
      <w:r>
        <w:tab/>
        <w:t xml:space="preserve">The application must be approached on the basis set out in </w:t>
      </w:r>
      <w:r w:rsidRPr="00C00B77">
        <w:rPr>
          <w:i/>
          <w:iCs/>
        </w:rPr>
        <w:t>Plascon-Evans Paints Ltd v Van Riebeeck Paints (Pty) Ltd</w:t>
      </w:r>
      <w:r>
        <w:t xml:space="preserve"> </w:t>
      </w:r>
      <w:r w:rsidRPr="00C00B77">
        <w:t>1984 (3) SA 623 (A)</w:t>
      </w:r>
      <w:r>
        <w:t xml:space="preserve"> 634 and</w:t>
      </w:r>
      <w:r w:rsidRPr="00E604A1">
        <w:rPr>
          <w:rFonts w:cs="Arial"/>
          <w:color w:val="000000" w:themeColor="text1"/>
        </w:rPr>
        <w:t xml:space="preserve"> </w:t>
      </w:r>
      <w:r w:rsidRPr="00E604A1">
        <w:rPr>
          <w:rFonts w:cs="Arial"/>
          <w:i/>
          <w:iCs/>
          <w:color w:val="000000" w:themeColor="text1"/>
          <w:shd w:val="clear" w:color="auto" w:fill="FFFFFF"/>
        </w:rPr>
        <w:t>Stellenbosch Farmers' Winery Ltd v Stellenvale Winery (Pty) Ltd</w:t>
      </w:r>
      <w:r w:rsidRPr="00E604A1">
        <w:rPr>
          <w:rFonts w:cs="Arial"/>
          <w:color w:val="000000" w:themeColor="text1"/>
          <w:shd w:val="clear" w:color="auto" w:fill="FFFFFF"/>
        </w:rPr>
        <w:t> </w:t>
      </w:r>
      <w:hyperlink r:id="rId1" w:history="1">
        <w:r w:rsidRPr="00E604A1">
          <w:rPr>
            <w:rStyle w:val="Hyperlink"/>
            <w:rFonts w:cs="Arial"/>
            <w:color w:val="000000" w:themeColor="text1"/>
            <w:u w:val="none"/>
            <w:shd w:val="clear" w:color="auto" w:fill="FFFFFF"/>
          </w:rPr>
          <w:t>1957 (4) SA 234 (C)</w:t>
        </w:r>
      </w:hyperlink>
      <w:r w:rsidRPr="00E604A1">
        <w:rPr>
          <w:rFonts w:cs="Arial"/>
          <w:color w:val="000000" w:themeColor="text1"/>
          <w:shd w:val="clear" w:color="auto" w:fill="FFFFFF"/>
        </w:rPr>
        <w:t xml:space="preserve">  235E </w:t>
      </w:r>
      <w:r>
        <w:rPr>
          <w:rFonts w:cs="Arial"/>
          <w:color w:val="000000" w:themeColor="text1"/>
          <w:shd w:val="clear" w:color="auto" w:fill="FFFFFF"/>
        </w:rPr>
        <w:t>–</w:t>
      </w:r>
      <w:r w:rsidRPr="00E604A1">
        <w:rPr>
          <w:rFonts w:cs="Arial"/>
          <w:color w:val="000000" w:themeColor="text1"/>
          <w:shd w:val="clear" w:color="auto" w:fill="FFFFFF"/>
        </w:rPr>
        <w:t xml:space="preserve"> G</w:t>
      </w:r>
      <w:r>
        <w:rPr>
          <w:rFonts w:cs="Arial"/>
          <w:color w:val="000000" w:themeColor="text1"/>
          <w:shd w:val="clear" w:color="auto" w:fill="FFFFFF"/>
        </w:rPr>
        <w:t>,</w:t>
      </w:r>
      <w:r w:rsidRPr="00A14006">
        <w:rPr>
          <w:rFonts w:cs="Arial"/>
          <w:color w:val="000000" w:themeColor="text1"/>
          <w:shd w:val="clear" w:color="auto" w:fill="FFFFFF"/>
        </w:rPr>
        <w:t xml:space="preserve"> </w:t>
      </w:r>
      <w:r w:rsidR="00A14006" w:rsidRPr="00A14006">
        <w:rPr>
          <w:rFonts w:cs="Arial"/>
          <w:i/>
          <w:iCs/>
          <w:color w:val="000000" w:themeColor="text1"/>
          <w:shd w:val="clear" w:color="auto" w:fill="FFFFFF"/>
        </w:rPr>
        <w:t>Burnkloof Caterers (Pty) Ltd v Horseshoe Caterers (Green Point)  (Pty) Ltd</w:t>
      </w:r>
      <w:r w:rsidR="00A14006" w:rsidRPr="00A14006">
        <w:rPr>
          <w:rFonts w:cs="Arial"/>
          <w:color w:val="000000" w:themeColor="text1"/>
          <w:shd w:val="clear" w:color="auto" w:fill="FFFFFF"/>
        </w:rPr>
        <w:t> </w:t>
      </w:r>
      <w:hyperlink r:id="rId2" w:history="1">
        <w:r w:rsidR="00A14006" w:rsidRPr="00A14006">
          <w:rPr>
            <w:rStyle w:val="Hyperlink"/>
            <w:rFonts w:cs="Arial"/>
            <w:color w:val="000000" w:themeColor="text1"/>
            <w:u w:val="none"/>
            <w:shd w:val="clear" w:color="auto" w:fill="FFFFFF"/>
          </w:rPr>
          <w:t>1976 (2) SA 930 (A)</w:t>
        </w:r>
      </w:hyperlink>
      <w:r w:rsidR="00A14006" w:rsidRPr="00A14006">
        <w:rPr>
          <w:rFonts w:cs="Arial"/>
          <w:color w:val="000000" w:themeColor="text1"/>
          <w:shd w:val="clear" w:color="auto" w:fill="FFFFFF"/>
        </w:rPr>
        <w:t xml:space="preserve">  938A </w:t>
      </w:r>
      <w:r w:rsidR="00A14006">
        <w:rPr>
          <w:rFonts w:cs="Arial"/>
          <w:color w:val="000000" w:themeColor="text1"/>
          <w:shd w:val="clear" w:color="auto" w:fill="FFFFFF"/>
        </w:rPr>
        <w:t>–</w:t>
      </w:r>
      <w:r w:rsidR="00A14006" w:rsidRPr="00A14006">
        <w:rPr>
          <w:rFonts w:cs="Arial"/>
          <w:color w:val="000000" w:themeColor="text1"/>
          <w:shd w:val="clear" w:color="auto" w:fill="FFFFFF"/>
        </w:rPr>
        <w:t xml:space="preserve"> B</w:t>
      </w:r>
      <w:r w:rsidR="00A14006">
        <w:rPr>
          <w:rFonts w:cs="Arial"/>
          <w:color w:val="000000" w:themeColor="text1"/>
          <w:shd w:val="clear" w:color="auto" w:fill="FFFFFF"/>
        </w:rPr>
        <w:t xml:space="preserve">, </w:t>
      </w:r>
      <w:r>
        <w:rPr>
          <w:rFonts w:cs="Arial"/>
          <w:color w:val="000000" w:themeColor="text1"/>
          <w:shd w:val="clear" w:color="auto" w:fill="FFFFFF"/>
        </w:rPr>
        <w:t>and various other authorities.</w:t>
      </w:r>
    </w:p>
  </w:footnote>
  <w:footnote w:id="6">
    <w:p w14:paraId="51EF17E9" w14:textId="77777777" w:rsidR="0015037C" w:rsidRDefault="0015037C" w:rsidP="0015037C">
      <w:pPr>
        <w:pStyle w:val="FootnoteText"/>
      </w:pPr>
      <w:r>
        <w:rPr>
          <w:rStyle w:val="FootnoteReference"/>
        </w:rPr>
        <w:footnoteRef/>
      </w:r>
      <w:r>
        <w:t xml:space="preserve"> </w:t>
      </w:r>
      <w:r>
        <w:tab/>
      </w:r>
      <w:r w:rsidRPr="0041591D">
        <w:t xml:space="preserve">Fourie </w:t>
      </w:r>
      <w:r w:rsidRPr="0041591D">
        <w:rPr>
          <w:i/>
          <w:iCs/>
        </w:rPr>
        <w:t>The Banker and the Law</w:t>
      </w:r>
      <w:r w:rsidRPr="0041591D">
        <w:t xml:space="preserve"> 101; </w:t>
      </w:r>
      <w:r w:rsidRPr="0041591D">
        <w:rPr>
          <w:i/>
          <w:iCs/>
        </w:rPr>
        <w:t>Duba and Others v Ketsikili and Others</w:t>
      </w:r>
      <w:r w:rsidRPr="0041591D">
        <w:t xml:space="preserve"> 1924 EDL 332</w:t>
      </w:r>
      <w:r>
        <w:t> </w:t>
      </w:r>
      <w:r w:rsidRPr="0041591D">
        <w:t>341</w:t>
      </w:r>
      <w:r>
        <w:t xml:space="preserve">; </w:t>
      </w:r>
      <w:r w:rsidRPr="0041591D">
        <w:rPr>
          <w:i/>
          <w:iCs/>
        </w:rPr>
        <w:t>ABSA Bank Ltd v Intensive Air (Pty) Ltd</w:t>
      </w:r>
      <w:r w:rsidRPr="0041591D">
        <w:t xml:space="preserve"> [2011] 3 All SA 2 (SCA); 2011 (2) SA 275 (SCA) para 20</w:t>
      </w:r>
      <w:r>
        <w:t>.</w:t>
      </w:r>
    </w:p>
  </w:footnote>
  <w:footnote w:id="7">
    <w:p w14:paraId="620A28FC" w14:textId="50F9330E" w:rsidR="0042119D" w:rsidRDefault="0042119D">
      <w:pPr>
        <w:pStyle w:val="FootnoteText"/>
      </w:pPr>
      <w:r>
        <w:rPr>
          <w:rStyle w:val="FootnoteReference"/>
        </w:rPr>
        <w:footnoteRef/>
      </w:r>
      <w:r>
        <w:t xml:space="preserve"> </w:t>
      </w:r>
      <w:r>
        <w:tab/>
      </w:r>
      <w:r w:rsidR="0068229A" w:rsidRPr="00D90095">
        <w:rPr>
          <w:i/>
          <w:iCs/>
        </w:rPr>
        <w:t>FirstRand Bank Ltd v Spar Group Ltd</w:t>
      </w:r>
      <w:r w:rsidR="0068229A" w:rsidRPr="00D90095">
        <w:t xml:space="preserve"> </w:t>
      </w:r>
      <w:r w:rsidR="0068229A">
        <w:t xml:space="preserve">[2021] All SA 680 (SCA); </w:t>
      </w:r>
      <w:r w:rsidR="0068229A" w:rsidRPr="00D90095">
        <w:t>2021 (5) SA 511 (SCA)</w:t>
      </w:r>
      <w:r>
        <w:t>.</w:t>
      </w:r>
    </w:p>
  </w:footnote>
  <w:footnote w:id="8">
    <w:p w14:paraId="01274057" w14:textId="3F53CA9A" w:rsidR="00EB3A53" w:rsidRDefault="00EB3A53">
      <w:pPr>
        <w:pStyle w:val="FootnoteText"/>
      </w:pPr>
      <w:r>
        <w:rPr>
          <w:rStyle w:val="FootnoteReference"/>
        </w:rPr>
        <w:footnoteRef/>
      </w:r>
      <w:r>
        <w:t xml:space="preserve"> </w:t>
      </w:r>
      <w:r>
        <w:tab/>
        <w:t xml:space="preserve">See also </w:t>
      </w:r>
      <w:r w:rsidRPr="00EB3A53">
        <w:rPr>
          <w:i/>
          <w:iCs/>
        </w:rPr>
        <w:t>Symon  v Brecker</w:t>
      </w:r>
      <w:r>
        <w:t xml:space="preserve"> 1904 TS 745 and </w:t>
      </w:r>
      <w:r w:rsidRPr="0041591D">
        <w:rPr>
          <w:i/>
          <w:iCs/>
        </w:rPr>
        <w:t>ABSA Bank Ltd v Intensive Air (Pty) Ltd</w:t>
      </w:r>
      <w:r w:rsidRPr="0041591D">
        <w:t xml:space="preserve"> [2011] 3 All SA 2 (SCA); 2011 (2) SA 275 (SCA)</w:t>
      </w:r>
      <w:r>
        <w:t xml:space="preserve"> para 24.</w:t>
      </w:r>
    </w:p>
  </w:footnote>
  <w:footnote w:id="9">
    <w:p w14:paraId="1CAE2178" w14:textId="040E105A" w:rsidR="003B156E" w:rsidRDefault="003B156E">
      <w:pPr>
        <w:pStyle w:val="FootnoteText"/>
      </w:pPr>
      <w:r>
        <w:rPr>
          <w:rStyle w:val="FootnoteReference"/>
        </w:rPr>
        <w:footnoteRef/>
      </w:r>
      <w:r>
        <w:t xml:space="preserve"> </w:t>
      </w:r>
      <w:r>
        <w:tab/>
      </w:r>
      <w:r w:rsidRPr="00A71383">
        <w:t>Cachalia JA, Dambuza JA and Makgoka JA concurring</w:t>
      </w:r>
      <w:r>
        <w:t>.</w:t>
      </w:r>
    </w:p>
  </w:footnote>
  <w:footnote w:id="10">
    <w:p w14:paraId="6DAAE065" w14:textId="060297D1" w:rsidR="00841968" w:rsidRDefault="00841968">
      <w:pPr>
        <w:pStyle w:val="FootnoteText"/>
      </w:pPr>
      <w:r>
        <w:rPr>
          <w:rStyle w:val="FootnoteReference"/>
        </w:rPr>
        <w:footnoteRef/>
      </w:r>
      <w:r>
        <w:t xml:space="preserve"> </w:t>
      </w:r>
      <w:r>
        <w:tab/>
        <w:t>Para 43</w:t>
      </w:r>
      <w:r w:rsidR="00F819C9">
        <w:t xml:space="preserve"> of </w:t>
      </w:r>
      <w:r w:rsidR="00F819C9" w:rsidRPr="00F819C9">
        <w:rPr>
          <w:i/>
          <w:iCs/>
        </w:rPr>
        <w:t>Spar</w:t>
      </w:r>
      <w:r>
        <w:t>.</w:t>
      </w:r>
    </w:p>
  </w:footnote>
  <w:footnote w:id="11">
    <w:p w14:paraId="424884BC" w14:textId="22779466" w:rsidR="00841968" w:rsidRDefault="00841968">
      <w:pPr>
        <w:pStyle w:val="FootnoteText"/>
      </w:pPr>
      <w:r>
        <w:rPr>
          <w:rStyle w:val="FootnoteReference"/>
        </w:rPr>
        <w:footnoteRef/>
      </w:r>
      <w:r>
        <w:t xml:space="preserve"> </w:t>
      </w:r>
      <w:r>
        <w:tab/>
        <w:t>Para 4</w:t>
      </w:r>
      <w:r w:rsidR="003B156E">
        <w:t>5</w:t>
      </w:r>
      <w:r w:rsidR="00F819C9">
        <w:t xml:space="preserve"> of </w:t>
      </w:r>
      <w:r w:rsidR="00F819C9" w:rsidRPr="00F819C9">
        <w:rPr>
          <w:i/>
          <w:iCs/>
        </w:rPr>
        <w:t>Spar</w:t>
      </w:r>
      <w:r>
        <w:t>.</w:t>
      </w:r>
    </w:p>
  </w:footnote>
  <w:footnote w:id="12">
    <w:p w14:paraId="78F194D3" w14:textId="24765969" w:rsidR="0042119D" w:rsidRPr="005660FD" w:rsidRDefault="0042119D">
      <w:pPr>
        <w:pStyle w:val="FootnoteText"/>
      </w:pPr>
      <w:r>
        <w:rPr>
          <w:rStyle w:val="FootnoteReference"/>
        </w:rPr>
        <w:footnoteRef/>
      </w:r>
      <w:r>
        <w:t xml:space="preserve"> </w:t>
      </w:r>
      <w:r>
        <w:tab/>
      </w:r>
      <w:r w:rsidR="003B156E" w:rsidRPr="00A71383">
        <w:rPr>
          <w:i/>
          <w:iCs/>
        </w:rPr>
        <w:t>Joint Stock Co Varvarinskoye v Absa Bank Ltd and Others</w:t>
      </w:r>
      <w:r w:rsidR="003B156E">
        <w:t xml:space="preserve"> </w:t>
      </w:r>
      <w:r w:rsidR="003B156E" w:rsidRPr="00A71383">
        <w:t>2008 (4) SA 287 (SCA)</w:t>
      </w:r>
    </w:p>
  </w:footnote>
  <w:footnote w:id="13">
    <w:p w14:paraId="0D2ED38B" w14:textId="669DC4AB" w:rsidR="008479F2" w:rsidRDefault="008479F2">
      <w:pPr>
        <w:pStyle w:val="FootnoteText"/>
      </w:pPr>
      <w:r>
        <w:rPr>
          <w:rStyle w:val="FootnoteReference"/>
        </w:rPr>
        <w:footnoteRef/>
      </w:r>
      <w:r>
        <w:t xml:space="preserve"> </w:t>
      </w:r>
      <w:r>
        <w:tab/>
        <w:t xml:space="preserve">Para 48 of </w:t>
      </w:r>
      <w:r w:rsidRPr="008479F2">
        <w:rPr>
          <w:i/>
          <w:iCs/>
        </w:rPr>
        <w:t>Spar</w:t>
      </w:r>
      <w:r>
        <w:t>.</w:t>
      </w:r>
    </w:p>
  </w:footnote>
  <w:footnote w:id="14">
    <w:p w14:paraId="2A652D79" w14:textId="77777777" w:rsidR="008878AC" w:rsidRPr="00D67E1E" w:rsidRDefault="008878AC" w:rsidP="008878AC">
      <w:pPr>
        <w:pStyle w:val="FootnoteText"/>
      </w:pPr>
      <w:r>
        <w:rPr>
          <w:rStyle w:val="FootnoteReference"/>
        </w:rPr>
        <w:footnoteRef/>
      </w:r>
      <w:r>
        <w:t xml:space="preserve"> </w:t>
      </w:r>
      <w:r>
        <w:tab/>
      </w:r>
      <w:r>
        <w:rPr>
          <w:i/>
        </w:rPr>
        <w:t>Nissan South Africa (Pty) Ltd v Marnitz NO &amp; Others</w:t>
      </w:r>
      <w:r>
        <w:t xml:space="preserve"> 2005 (1) SA 441 (SCA).</w:t>
      </w:r>
    </w:p>
  </w:footnote>
  <w:footnote w:id="15">
    <w:p w14:paraId="5DC1FADB" w14:textId="70041E55" w:rsidR="008878AC" w:rsidRDefault="008878AC">
      <w:pPr>
        <w:pStyle w:val="FootnoteText"/>
      </w:pPr>
      <w:r>
        <w:rPr>
          <w:rStyle w:val="FootnoteReference"/>
        </w:rPr>
        <w:footnoteRef/>
      </w:r>
      <w:r>
        <w:t xml:space="preserve"> </w:t>
      </w:r>
      <w:r>
        <w:tab/>
      </w:r>
      <w:r w:rsidRPr="008878AC">
        <w:rPr>
          <w:i/>
          <w:iCs/>
        </w:rPr>
        <w:t>First National Bank of Southern Africa Ltd v Perry NO and Others</w:t>
      </w:r>
      <w:r>
        <w:t xml:space="preserve"> </w:t>
      </w:r>
      <w:r w:rsidRPr="00FC1FEF">
        <w:t>2001 (3) SA 960 (SCA)</w:t>
      </w:r>
    </w:p>
  </w:footnote>
  <w:footnote w:id="16">
    <w:p w14:paraId="02E82837" w14:textId="7DEBB989" w:rsidR="00C25BD1" w:rsidRDefault="00C25BD1">
      <w:pPr>
        <w:pStyle w:val="FootnoteText"/>
      </w:pPr>
      <w:r>
        <w:rPr>
          <w:rStyle w:val="FootnoteReference"/>
        </w:rPr>
        <w:footnoteRef/>
      </w:r>
      <w:r>
        <w:t xml:space="preserve"> </w:t>
      </w:r>
      <w:r>
        <w:tab/>
        <w:t xml:space="preserve">Para 61 of </w:t>
      </w:r>
      <w:r w:rsidRPr="00C25BD1">
        <w:rPr>
          <w:i/>
          <w:iCs/>
        </w:rPr>
        <w:t>Spar</w:t>
      </w:r>
      <w:r>
        <w:t>.</w:t>
      </w:r>
    </w:p>
  </w:footnote>
  <w:footnote w:id="17">
    <w:p w14:paraId="01CA6ED6" w14:textId="1824EA5A" w:rsidR="00F819C9" w:rsidRDefault="00F819C9">
      <w:pPr>
        <w:pStyle w:val="FootnoteText"/>
      </w:pPr>
      <w:r>
        <w:rPr>
          <w:rStyle w:val="FootnoteReference"/>
        </w:rPr>
        <w:footnoteRef/>
      </w:r>
      <w:r>
        <w:t xml:space="preserve"> </w:t>
      </w:r>
      <w:r>
        <w:tab/>
        <w:t>Set off means after all that a debt owed by party A to party B is set off against a debt owed by party B to party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81BA1C3" w:rsidR="0042119D" w:rsidRPr="006C43D7" w:rsidRDefault="0042119D"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501D16">
      <w:rPr>
        <w:rFonts w:cs="Arial"/>
        <w:noProof/>
        <w:sz w:val="20"/>
        <w:szCs w:val="20"/>
        <w:lang w:val="en-GB"/>
      </w:rPr>
      <w:t>2</w:t>
    </w:r>
    <w:r w:rsidRPr="006C43D7">
      <w:rPr>
        <w:rFonts w:cs="Arial"/>
        <w:sz w:val="20"/>
        <w:szCs w:val="20"/>
        <w:lang w:val="en-GB"/>
      </w:rPr>
      <w:fldChar w:fldCharType="end"/>
    </w:r>
  </w:p>
  <w:p w14:paraId="08C008E5" w14:textId="77777777" w:rsidR="0042119D" w:rsidRPr="006C43D7" w:rsidRDefault="0042119D" w:rsidP="006C43D7">
    <w:pPr>
      <w:tabs>
        <w:tab w:val="center" w:pos="4153"/>
        <w:tab w:val="right" w:pos="8306"/>
      </w:tabs>
      <w:spacing w:line="276" w:lineRule="auto"/>
      <w:jc w:val="right"/>
      <w:rPr>
        <w:rFonts w:cs="Arial"/>
        <w:lang w:val="en-US"/>
      </w:rPr>
    </w:pPr>
  </w:p>
  <w:p w14:paraId="4A21EF97" w14:textId="77777777" w:rsidR="0042119D" w:rsidRPr="006C43D7" w:rsidRDefault="0042119D"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057022D"/>
    <w:multiLevelType w:val="multilevel"/>
    <w:tmpl w:val="92E03ED2"/>
    <w:lvl w:ilvl="0">
      <w:start w:val="1"/>
      <w:numFmt w:val="decimal"/>
      <w:pStyle w:val="Indent"/>
      <w:lvlText w:val="[%1]"/>
      <w:lvlJc w:val="left"/>
      <w:pPr>
        <w:ind w:left="0" w:firstLine="0"/>
      </w:pPr>
      <w:rPr>
        <w:rFonts w:ascii="Arial" w:hAnsi="Arial" w:hint="default"/>
        <w:i w:val="0"/>
        <w:sz w:val="25"/>
        <w:szCs w:val="25"/>
      </w:rPr>
    </w:lvl>
    <w:lvl w:ilvl="1">
      <w:start w:val="1"/>
      <w:numFmt w:val="decimal"/>
      <w:lvlText w:val="(%1.%2)"/>
      <w:lvlJc w:val="left"/>
      <w:pPr>
        <w:ind w:left="680" w:hanging="680"/>
      </w:pPr>
      <w:rPr>
        <w:rFonts w:ascii="Arial" w:hAnsi="Arial" w:hint="default"/>
        <w:i w:val="0"/>
        <w:sz w:val="25"/>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nsid w:val="11B74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05F452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3045"/>
    <w:rsid w:val="00006113"/>
    <w:rsid w:val="00007CC6"/>
    <w:rsid w:val="0001111B"/>
    <w:rsid w:val="0001140A"/>
    <w:rsid w:val="00012B49"/>
    <w:rsid w:val="000131A4"/>
    <w:rsid w:val="00013B7F"/>
    <w:rsid w:val="000153E9"/>
    <w:rsid w:val="00015C47"/>
    <w:rsid w:val="00016C5A"/>
    <w:rsid w:val="000207F6"/>
    <w:rsid w:val="000248F1"/>
    <w:rsid w:val="00024A29"/>
    <w:rsid w:val="000318DA"/>
    <w:rsid w:val="00034AE8"/>
    <w:rsid w:val="000441E4"/>
    <w:rsid w:val="00047055"/>
    <w:rsid w:val="00047AA2"/>
    <w:rsid w:val="00050086"/>
    <w:rsid w:val="000504F1"/>
    <w:rsid w:val="0005465E"/>
    <w:rsid w:val="00054804"/>
    <w:rsid w:val="00060508"/>
    <w:rsid w:val="0006312B"/>
    <w:rsid w:val="00063F7B"/>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B03EB"/>
    <w:rsid w:val="000B580F"/>
    <w:rsid w:val="000C1421"/>
    <w:rsid w:val="000D10C0"/>
    <w:rsid w:val="000D45F0"/>
    <w:rsid w:val="000D7D6A"/>
    <w:rsid w:val="000E055C"/>
    <w:rsid w:val="000E1813"/>
    <w:rsid w:val="000E254E"/>
    <w:rsid w:val="000E2767"/>
    <w:rsid w:val="000E34DF"/>
    <w:rsid w:val="000F0BBE"/>
    <w:rsid w:val="000F23B3"/>
    <w:rsid w:val="000F39F6"/>
    <w:rsid w:val="000F59F8"/>
    <w:rsid w:val="000F6007"/>
    <w:rsid w:val="000F71C2"/>
    <w:rsid w:val="0010288A"/>
    <w:rsid w:val="00104142"/>
    <w:rsid w:val="00111EFC"/>
    <w:rsid w:val="00112301"/>
    <w:rsid w:val="001135E7"/>
    <w:rsid w:val="00114E52"/>
    <w:rsid w:val="001166D4"/>
    <w:rsid w:val="00120FB1"/>
    <w:rsid w:val="0012741F"/>
    <w:rsid w:val="00131957"/>
    <w:rsid w:val="001330D2"/>
    <w:rsid w:val="001410DC"/>
    <w:rsid w:val="001479CC"/>
    <w:rsid w:val="00147BD7"/>
    <w:rsid w:val="00147FF5"/>
    <w:rsid w:val="0015037C"/>
    <w:rsid w:val="00153AAC"/>
    <w:rsid w:val="0015788C"/>
    <w:rsid w:val="00160147"/>
    <w:rsid w:val="00162F4F"/>
    <w:rsid w:val="00170A22"/>
    <w:rsid w:val="00177D8F"/>
    <w:rsid w:val="001801C1"/>
    <w:rsid w:val="00185ACF"/>
    <w:rsid w:val="00190579"/>
    <w:rsid w:val="00196215"/>
    <w:rsid w:val="00196E14"/>
    <w:rsid w:val="00197AAE"/>
    <w:rsid w:val="001A1819"/>
    <w:rsid w:val="001A1A55"/>
    <w:rsid w:val="001A464D"/>
    <w:rsid w:val="001A522A"/>
    <w:rsid w:val="001B1D39"/>
    <w:rsid w:val="001B4217"/>
    <w:rsid w:val="001B5D3E"/>
    <w:rsid w:val="001B606B"/>
    <w:rsid w:val="001B62D3"/>
    <w:rsid w:val="001B6FFC"/>
    <w:rsid w:val="001C01DF"/>
    <w:rsid w:val="001C0B5A"/>
    <w:rsid w:val="001C5D18"/>
    <w:rsid w:val="001D12D9"/>
    <w:rsid w:val="001D3CC2"/>
    <w:rsid w:val="001D68D9"/>
    <w:rsid w:val="001E14CF"/>
    <w:rsid w:val="001E2EED"/>
    <w:rsid w:val="001F0A29"/>
    <w:rsid w:val="001F11EA"/>
    <w:rsid w:val="001F2072"/>
    <w:rsid w:val="001F2C31"/>
    <w:rsid w:val="001F3DBD"/>
    <w:rsid w:val="001F45CB"/>
    <w:rsid w:val="001F648A"/>
    <w:rsid w:val="001F6E8E"/>
    <w:rsid w:val="002014D0"/>
    <w:rsid w:val="00201620"/>
    <w:rsid w:val="0020571A"/>
    <w:rsid w:val="00210971"/>
    <w:rsid w:val="002133DC"/>
    <w:rsid w:val="00215824"/>
    <w:rsid w:val="00216BC8"/>
    <w:rsid w:val="00217DB9"/>
    <w:rsid w:val="0022218D"/>
    <w:rsid w:val="00224EF0"/>
    <w:rsid w:val="00225BF9"/>
    <w:rsid w:val="00226926"/>
    <w:rsid w:val="00232528"/>
    <w:rsid w:val="0023614F"/>
    <w:rsid w:val="002369D8"/>
    <w:rsid w:val="00237FF9"/>
    <w:rsid w:val="00246429"/>
    <w:rsid w:val="00250A46"/>
    <w:rsid w:val="00253D24"/>
    <w:rsid w:val="00256719"/>
    <w:rsid w:val="00262819"/>
    <w:rsid w:val="00273C93"/>
    <w:rsid w:val="00281213"/>
    <w:rsid w:val="00285040"/>
    <w:rsid w:val="00285062"/>
    <w:rsid w:val="00285DE9"/>
    <w:rsid w:val="00287BC8"/>
    <w:rsid w:val="00290B89"/>
    <w:rsid w:val="00294B84"/>
    <w:rsid w:val="00294ED8"/>
    <w:rsid w:val="002953C0"/>
    <w:rsid w:val="0029606F"/>
    <w:rsid w:val="002A0160"/>
    <w:rsid w:val="002A2AE7"/>
    <w:rsid w:val="002A3998"/>
    <w:rsid w:val="002A4F68"/>
    <w:rsid w:val="002A5EEA"/>
    <w:rsid w:val="002A7485"/>
    <w:rsid w:val="002B7824"/>
    <w:rsid w:val="002C05F2"/>
    <w:rsid w:val="002C115B"/>
    <w:rsid w:val="002C15AC"/>
    <w:rsid w:val="002C3500"/>
    <w:rsid w:val="002C364B"/>
    <w:rsid w:val="002C4638"/>
    <w:rsid w:val="002C4687"/>
    <w:rsid w:val="002C481E"/>
    <w:rsid w:val="002D05A6"/>
    <w:rsid w:val="002D10E4"/>
    <w:rsid w:val="002D5C85"/>
    <w:rsid w:val="002D77CC"/>
    <w:rsid w:val="002E1342"/>
    <w:rsid w:val="002E4B98"/>
    <w:rsid w:val="002E5B57"/>
    <w:rsid w:val="002E6CD7"/>
    <w:rsid w:val="002E77C4"/>
    <w:rsid w:val="002F2FE8"/>
    <w:rsid w:val="002F3010"/>
    <w:rsid w:val="002F4134"/>
    <w:rsid w:val="002F465B"/>
    <w:rsid w:val="002F4CCC"/>
    <w:rsid w:val="002F6D39"/>
    <w:rsid w:val="003005DF"/>
    <w:rsid w:val="003016BE"/>
    <w:rsid w:val="00302290"/>
    <w:rsid w:val="00302C31"/>
    <w:rsid w:val="00303A63"/>
    <w:rsid w:val="0030470A"/>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1086"/>
    <w:rsid w:val="0034147B"/>
    <w:rsid w:val="00345211"/>
    <w:rsid w:val="003463D6"/>
    <w:rsid w:val="003469B6"/>
    <w:rsid w:val="00346D31"/>
    <w:rsid w:val="00346DE6"/>
    <w:rsid w:val="003518A3"/>
    <w:rsid w:val="00351ABE"/>
    <w:rsid w:val="003543C5"/>
    <w:rsid w:val="00354EF2"/>
    <w:rsid w:val="00357081"/>
    <w:rsid w:val="0035778C"/>
    <w:rsid w:val="00357D35"/>
    <w:rsid w:val="00357E01"/>
    <w:rsid w:val="00357F9E"/>
    <w:rsid w:val="003605A3"/>
    <w:rsid w:val="0036353E"/>
    <w:rsid w:val="00363FCD"/>
    <w:rsid w:val="00364C43"/>
    <w:rsid w:val="00365492"/>
    <w:rsid w:val="00367720"/>
    <w:rsid w:val="0037029D"/>
    <w:rsid w:val="0037153E"/>
    <w:rsid w:val="00381213"/>
    <w:rsid w:val="003840EC"/>
    <w:rsid w:val="00387F78"/>
    <w:rsid w:val="00390C3F"/>
    <w:rsid w:val="003A5210"/>
    <w:rsid w:val="003A6B8E"/>
    <w:rsid w:val="003A6F23"/>
    <w:rsid w:val="003A7864"/>
    <w:rsid w:val="003B080A"/>
    <w:rsid w:val="003B142D"/>
    <w:rsid w:val="003B156E"/>
    <w:rsid w:val="003B323E"/>
    <w:rsid w:val="003B4100"/>
    <w:rsid w:val="003C1A16"/>
    <w:rsid w:val="003C1E91"/>
    <w:rsid w:val="003C3AC6"/>
    <w:rsid w:val="003D5739"/>
    <w:rsid w:val="003D5E47"/>
    <w:rsid w:val="003E1423"/>
    <w:rsid w:val="003E1436"/>
    <w:rsid w:val="003E1B5F"/>
    <w:rsid w:val="003E3B27"/>
    <w:rsid w:val="003E5A19"/>
    <w:rsid w:val="003F30AE"/>
    <w:rsid w:val="003F5560"/>
    <w:rsid w:val="004026CF"/>
    <w:rsid w:val="0040795A"/>
    <w:rsid w:val="00407F28"/>
    <w:rsid w:val="00410679"/>
    <w:rsid w:val="00410C15"/>
    <w:rsid w:val="004131C5"/>
    <w:rsid w:val="00417D72"/>
    <w:rsid w:val="0042119D"/>
    <w:rsid w:val="00422DDD"/>
    <w:rsid w:val="004239DA"/>
    <w:rsid w:val="0042423E"/>
    <w:rsid w:val="00431DD4"/>
    <w:rsid w:val="0043256C"/>
    <w:rsid w:val="004339E6"/>
    <w:rsid w:val="0043683A"/>
    <w:rsid w:val="0044085B"/>
    <w:rsid w:val="00441422"/>
    <w:rsid w:val="00441869"/>
    <w:rsid w:val="004450BD"/>
    <w:rsid w:val="004459CF"/>
    <w:rsid w:val="00445DCB"/>
    <w:rsid w:val="004460B9"/>
    <w:rsid w:val="00446853"/>
    <w:rsid w:val="004518EF"/>
    <w:rsid w:val="004531BF"/>
    <w:rsid w:val="0045354F"/>
    <w:rsid w:val="00456542"/>
    <w:rsid w:val="00460A64"/>
    <w:rsid w:val="004630B6"/>
    <w:rsid w:val="004630D1"/>
    <w:rsid w:val="00467D30"/>
    <w:rsid w:val="00474607"/>
    <w:rsid w:val="00474910"/>
    <w:rsid w:val="004749AF"/>
    <w:rsid w:val="004766B3"/>
    <w:rsid w:val="00476754"/>
    <w:rsid w:val="00483E40"/>
    <w:rsid w:val="00484116"/>
    <w:rsid w:val="0048424E"/>
    <w:rsid w:val="0048507B"/>
    <w:rsid w:val="00486F42"/>
    <w:rsid w:val="00487D14"/>
    <w:rsid w:val="00487FAD"/>
    <w:rsid w:val="00492289"/>
    <w:rsid w:val="004956CA"/>
    <w:rsid w:val="00497938"/>
    <w:rsid w:val="00497FF4"/>
    <w:rsid w:val="004A2C7E"/>
    <w:rsid w:val="004A33EC"/>
    <w:rsid w:val="004A6FEA"/>
    <w:rsid w:val="004A7B29"/>
    <w:rsid w:val="004A7DFE"/>
    <w:rsid w:val="004B21D9"/>
    <w:rsid w:val="004B294A"/>
    <w:rsid w:val="004B4621"/>
    <w:rsid w:val="004C368B"/>
    <w:rsid w:val="004C5250"/>
    <w:rsid w:val="004C6492"/>
    <w:rsid w:val="004D262A"/>
    <w:rsid w:val="004D2C6F"/>
    <w:rsid w:val="004D2E01"/>
    <w:rsid w:val="004D7AE9"/>
    <w:rsid w:val="004E173B"/>
    <w:rsid w:val="004E34C1"/>
    <w:rsid w:val="004E568C"/>
    <w:rsid w:val="004E5AD8"/>
    <w:rsid w:val="004F12D8"/>
    <w:rsid w:val="004F22A6"/>
    <w:rsid w:val="004F5A08"/>
    <w:rsid w:val="004F5E43"/>
    <w:rsid w:val="004F6B7A"/>
    <w:rsid w:val="00501D16"/>
    <w:rsid w:val="0050258E"/>
    <w:rsid w:val="00502CBC"/>
    <w:rsid w:val="00504B53"/>
    <w:rsid w:val="00506B31"/>
    <w:rsid w:val="00507D49"/>
    <w:rsid w:val="0051015D"/>
    <w:rsid w:val="00510B22"/>
    <w:rsid w:val="0051292D"/>
    <w:rsid w:val="0051622D"/>
    <w:rsid w:val="00516C44"/>
    <w:rsid w:val="0052009A"/>
    <w:rsid w:val="0052179E"/>
    <w:rsid w:val="005262C2"/>
    <w:rsid w:val="0052705A"/>
    <w:rsid w:val="005316EE"/>
    <w:rsid w:val="005363ED"/>
    <w:rsid w:val="00537A72"/>
    <w:rsid w:val="005429E9"/>
    <w:rsid w:val="00545A74"/>
    <w:rsid w:val="00545B01"/>
    <w:rsid w:val="00546A0D"/>
    <w:rsid w:val="005503CC"/>
    <w:rsid w:val="00551687"/>
    <w:rsid w:val="00553AC4"/>
    <w:rsid w:val="0055729D"/>
    <w:rsid w:val="005660FD"/>
    <w:rsid w:val="00571E13"/>
    <w:rsid w:val="00573759"/>
    <w:rsid w:val="0057408C"/>
    <w:rsid w:val="00581C59"/>
    <w:rsid w:val="00587B78"/>
    <w:rsid w:val="0059024D"/>
    <w:rsid w:val="00594FE6"/>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4FE0"/>
    <w:rsid w:val="005D6122"/>
    <w:rsid w:val="005D6E80"/>
    <w:rsid w:val="005E004E"/>
    <w:rsid w:val="005E035E"/>
    <w:rsid w:val="005E09BA"/>
    <w:rsid w:val="005E2F7B"/>
    <w:rsid w:val="005E5C01"/>
    <w:rsid w:val="005E7118"/>
    <w:rsid w:val="005F03F7"/>
    <w:rsid w:val="005F2910"/>
    <w:rsid w:val="005F2C91"/>
    <w:rsid w:val="005F37A4"/>
    <w:rsid w:val="005F62CB"/>
    <w:rsid w:val="006000D8"/>
    <w:rsid w:val="0060139C"/>
    <w:rsid w:val="00603CD1"/>
    <w:rsid w:val="006041A4"/>
    <w:rsid w:val="0061089B"/>
    <w:rsid w:val="00613721"/>
    <w:rsid w:val="006145CE"/>
    <w:rsid w:val="006165CB"/>
    <w:rsid w:val="006169ED"/>
    <w:rsid w:val="00617F98"/>
    <w:rsid w:val="0062211A"/>
    <w:rsid w:val="00622ED5"/>
    <w:rsid w:val="00623C9B"/>
    <w:rsid w:val="00626F12"/>
    <w:rsid w:val="0062754A"/>
    <w:rsid w:val="006275B4"/>
    <w:rsid w:val="00627B0C"/>
    <w:rsid w:val="00630DD5"/>
    <w:rsid w:val="00632D22"/>
    <w:rsid w:val="00645D60"/>
    <w:rsid w:val="00647DDD"/>
    <w:rsid w:val="00653BA4"/>
    <w:rsid w:val="00654654"/>
    <w:rsid w:val="00654D4B"/>
    <w:rsid w:val="00657EDA"/>
    <w:rsid w:val="00660C84"/>
    <w:rsid w:val="0066194B"/>
    <w:rsid w:val="00663FCD"/>
    <w:rsid w:val="00666D4D"/>
    <w:rsid w:val="00671C76"/>
    <w:rsid w:val="0068229A"/>
    <w:rsid w:val="006858DA"/>
    <w:rsid w:val="0068621A"/>
    <w:rsid w:val="006902F1"/>
    <w:rsid w:val="006918E9"/>
    <w:rsid w:val="006924FA"/>
    <w:rsid w:val="00694C71"/>
    <w:rsid w:val="006951CE"/>
    <w:rsid w:val="006974F9"/>
    <w:rsid w:val="006A0C2E"/>
    <w:rsid w:val="006A1756"/>
    <w:rsid w:val="006A5418"/>
    <w:rsid w:val="006A7715"/>
    <w:rsid w:val="006C3A24"/>
    <w:rsid w:val="006C4213"/>
    <w:rsid w:val="006C43D7"/>
    <w:rsid w:val="006C5694"/>
    <w:rsid w:val="006D797F"/>
    <w:rsid w:val="006D7CD4"/>
    <w:rsid w:val="006E2346"/>
    <w:rsid w:val="006E323B"/>
    <w:rsid w:val="006E32B4"/>
    <w:rsid w:val="006E38D7"/>
    <w:rsid w:val="006E3A5B"/>
    <w:rsid w:val="006E68E6"/>
    <w:rsid w:val="006F0BB6"/>
    <w:rsid w:val="006F25E5"/>
    <w:rsid w:val="006F2FCE"/>
    <w:rsid w:val="006F415C"/>
    <w:rsid w:val="006F72F0"/>
    <w:rsid w:val="00700C8E"/>
    <w:rsid w:val="00701BBE"/>
    <w:rsid w:val="007046F8"/>
    <w:rsid w:val="0070513D"/>
    <w:rsid w:val="00706D06"/>
    <w:rsid w:val="00710D76"/>
    <w:rsid w:val="0071137C"/>
    <w:rsid w:val="0071253E"/>
    <w:rsid w:val="007133AE"/>
    <w:rsid w:val="007148A5"/>
    <w:rsid w:val="00720436"/>
    <w:rsid w:val="007241D4"/>
    <w:rsid w:val="0073191E"/>
    <w:rsid w:val="00732130"/>
    <w:rsid w:val="00732A6F"/>
    <w:rsid w:val="007349CA"/>
    <w:rsid w:val="007404AE"/>
    <w:rsid w:val="007407CE"/>
    <w:rsid w:val="00742764"/>
    <w:rsid w:val="00746338"/>
    <w:rsid w:val="0075156A"/>
    <w:rsid w:val="00751F90"/>
    <w:rsid w:val="00752759"/>
    <w:rsid w:val="00756E65"/>
    <w:rsid w:val="00761C35"/>
    <w:rsid w:val="00762FCF"/>
    <w:rsid w:val="00764B50"/>
    <w:rsid w:val="007659FB"/>
    <w:rsid w:val="00766026"/>
    <w:rsid w:val="00772B54"/>
    <w:rsid w:val="007766D0"/>
    <w:rsid w:val="00781AA0"/>
    <w:rsid w:val="00783072"/>
    <w:rsid w:val="00785746"/>
    <w:rsid w:val="00787683"/>
    <w:rsid w:val="00792386"/>
    <w:rsid w:val="007A3A09"/>
    <w:rsid w:val="007B0648"/>
    <w:rsid w:val="007B13BB"/>
    <w:rsid w:val="007B165A"/>
    <w:rsid w:val="007B3410"/>
    <w:rsid w:val="007B6964"/>
    <w:rsid w:val="007B78C2"/>
    <w:rsid w:val="007C5008"/>
    <w:rsid w:val="007C5673"/>
    <w:rsid w:val="007C6DF0"/>
    <w:rsid w:val="007C6EE4"/>
    <w:rsid w:val="007D0E56"/>
    <w:rsid w:val="007D1E79"/>
    <w:rsid w:val="007D27CF"/>
    <w:rsid w:val="007D31A3"/>
    <w:rsid w:val="007D5CB5"/>
    <w:rsid w:val="007D710C"/>
    <w:rsid w:val="007D7528"/>
    <w:rsid w:val="007E1D3C"/>
    <w:rsid w:val="007E3AB4"/>
    <w:rsid w:val="007E468A"/>
    <w:rsid w:val="007E58FC"/>
    <w:rsid w:val="007E6D02"/>
    <w:rsid w:val="007F207F"/>
    <w:rsid w:val="007F7E0A"/>
    <w:rsid w:val="00802357"/>
    <w:rsid w:val="00802780"/>
    <w:rsid w:val="00803CEC"/>
    <w:rsid w:val="00807ECB"/>
    <w:rsid w:val="00812F92"/>
    <w:rsid w:val="008135EC"/>
    <w:rsid w:val="0081475E"/>
    <w:rsid w:val="00815C5A"/>
    <w:rsid w:val="00822050"/>
    <w:rsid w:val="008246E5"/>
    <w:rsid w:val="00825D3F"/>
    <w:rsid w:val="00825F6C"/>
    <w:rsid w:val="00830952"/>
    <w:rsid w:val="00831234"/>
    <w:rsid w:val="00841968"/>
    <w:rsid w:val="008443A9"/>
    <w:rsid w:val="00846EF4"/>
    <w:rsid w:val="008479F2"/>
    <w:rsid w:val="0085548F"/>
    <w:rsid w:val="00856289"/>
    <w:rsid w:val="00860576"/>
    <w:rsid w:val="00861FA9"/>
    <w:rsid w:val="00862564"/>
    <w:rsid w:val="0086345E"/>
    <w:rsid w:val="008674AA"/>
    <w:rsid w:val="00867E6F"/>
    <w:rsid w:val="00870ECF"/>
    <w:rsid w:val="008761FC"/>
    <w:rsid w:val="0088094C"/>
    <w:rsid w:val="00881004"/>
    <w:rsid w:val="00882C40"/>
    <w:rsid w:val="008878AC"/>
    <w:rsid w:val="008972E2"/>
    <w:rsid w:val="0089779E"/>
    <w:rsid w:val="008A082A"/>
    <w:rsid w:val="008A4152"/>
    <w:rsid w:val="008A4DF4"/>
    <w:rsid w:val="008A6783"/>
    <w:rsid w:val="008A7E58"/>
    <w:rsid w:val="008B0DB3"/>
    <w:rsid w:val="008B1BB7"/>
    <w:rsid w:val="008B1DA9"/>
    <w:rsid w:val="008B21EB"/>
    <w:rsid w:val="008B526B"/>
    <w:rsid w:val="008B7FFC"/>
    <w:rsid w:val="008D33A3"/>
    <w:rsid w:val="008D4715"/>
    <w:rsid w:val="008E03F7"/>
    <w:rsid w:val="008E0638"/>
    <w:rsid w:val="008F189C"/>
    <w:rsid w:val="008F1BBC"/>
    <w:rsid w:val="008F1FE1"/>
    <w:rsid w:val="008F281D"/>
    <w:rsid w:val="008F4486"/>
    <w:rsid w:val="008F4FC6"/>
    <w:rsid w:val="008F5A82"/>
    <w:rsid w:val="008F6BD3"/>
    <w:rsid w:val="00903F5D"/>
    <w:rsid w:val="009055B0"/>
    <w:rsid w:val="009108D0"/>
    <w:rsid w:val="0091544C"/>
    <w:rsid w:val="00916368"/>
    <w:rsid w:val="009165D0"/>
    <w:rsid w:val="00920D43"/>
    <w:rsid w:val="00927FD9"/>
    <w:rsid w:val="00933065"/>
    <w:rsid w:val="00933569"/>
    <w:rsid w:val="0093799C"/>
    <w:rsid w:val="00942835"/>
    <w:rsid w:val="00944003"/>
    <w:rsid w:val="00944804"/>
    <w:rsid w:val="009473D8"/>
    <w:rsid w:val="0095427F"/>
    <w:rsid w:val="00960ADF"/>
    <w:rsid w:val="00962B21"/>
    <w:rsid w:val="00963A0C"/>
    <w:rsid w:val="00964367"/>
    <w:rsid w:val="00964A4A"/>
    <w:rsid w:val="009653C0"/>
    <w:rsid w:val="00970E3D"/>
    <w:rsid w:val="00974A92"/>
    <w:rsid w:val="00974AB5"/>
    <w:rsid w:val="00976BB2"/>
    <w:rsid w:val="0097721C"/>
    <w:rsid w:val="009773E8"/>
    <w:rsid w:val="00980CE6"/>
    <w:rsid w:val="00980FDE"/>
    <w:rsid w:val="009835E3"/>
    <w:rsid w:val="00986050"/>
    <w:rsid w:val="00986455"/>
    <w:rsid w:val="0098739F"/>
    <w:rsid w:val="00987CDB"/>
    <w:rsid w:val="00991B1A"/>
    <w:rsid w:val="00994C5C"/>
    <w:rsid w:val="00994D8A"/>
    <w:rsid w:val="0099709D"/>
    <w:rsid w:val="009A1034"/>
    <w:rsid w:val="009A15B0"/>
    <w:rsid w:val="009A30E0"/>
    <w:rsid w:val="009A3619"/>
    <w:rsid w:val="009A524B"/>
    <w:rsid w:val="009A6493"/>
    <w:rsid w:val="009B08AF"/>
    <w:rsid w:val="009B241C"/>
    <w:rsid w:val="009B2FB6"/>
    <w:rsid w:val="009B3DFC"/>
    <w:rsid w:val="009B62F7"/>
    <w:rsid w:val="009B7A7B"/>
    <w:rsid w:val="009C1101"/>
    <w:rsid w:val="009C28AC"/>
    <w:rsid w:val="009C37B9"/>
    <w:rsid w:val="009C38E7"/>
    <w:rsid w:val="009C5BEF"/>
    <w:rsid w:val="009D32BD"/>
    <w:rsid w:val="009D4486"/>
    <w:rsid w:val="009D5DAE"/>
    <w:rsid w:val="009E140F"/>
    <w:rsid w:val="009E6F69"/>
    <w:rsid w:val="009F211E"/>
    <w:rsid w:val="009F294E"/>
    <w:rsid w:val="009F30F1"/>
    <w:rsid w:val="009F37C7"/>
    <w:rsid w:val="009F50AB"/>
    <w:rsid w:val="009F5FBB"/>
    <w:rsid w:val="009F78FB"/>
    <w:rsid w:val="00A000A9"/>
    <w:rsid w:val="00A005F6"/>
    <w:rsid w:val="00A010F7"/>
    <w:rsid w:val="00A0424F"/>
    <w:rsid w:val="00A048C6"/>
    <w:rsid w:val="00A06D09"/>
    <w:rsid w:val="00A11958"/>
    <w:rsid w:val="00A12B15"/>
    <w:rsid w:val="00A130D6"/>
    <w:rsid w:val="00A14006"/>
    <w:rsid w:val="00A1488A"/>
    <w:rsid w:val="00A17A3E"/>
    <w:rsid w:val="00A2193F"/>
    <w:rsid w:val="00A21FA2"/>
    <w:rsid w:val="00A225EE"/>
    <w:rsid w:val="00A3133F"/>
    <w:rsid w:val="00A3693F"/>
    <w:rsid w:val="00A36AAB"/>
    <w:rsid w:val="00A3775F"/>
    <w:rsid w:val="00A37BA4"/>
    <w:rsid w:val="00A40357"/>
    <w:rsid w:val="00A43739"/>
    <w:rsid w:val="00A453D4"/>
    <w:rsid w:val="00A46BED"/>
    <w:rsid w:val="00A51666"/>
    <w:rsid w:val="00A533E3"/>
    <w:rsid w:val="00A539CB"/>
    <w:rsid w:val="00A60A90"/>
    <w:rsid w:val="00A63078"/>
    <w:rsid w:val="00A649AA"/>
    <w:rsid w:val="00A64A98"/>
    <w:rsid w:val="00A65124"/>
    <w:rsid w:val="00A660AF"/>
    <w:rsid w:val="00A675FB"/>
    <w:rsid w:val="00A70A95"/>
    <w:rsid w:val="00A72651"/>
    <w:rsid w:val="00A73821"/>
    <w:rsid w:val="00A74920"/>
    <w:rsid w:val="00A74923"/>
    <w:rsid w:val="00A77EE7"/>
    <w:rsid w:val="00A809F0"/>
    <w:rsid w:val="00A93351"/>
    <w:rsid w:val="00A93A39"/>
    <w:rsid w:val="00A97CE6"/>
    <w:rsid w:val="00AA36D1"/>
    <w:rsid w:val="00AA6E8C"/>
    <w:rsid w:val="00AA6F19"/>
    <w:rsid w:val="00AA7A76"/>
    <w:rsid w:val="00AB03EF"/>
    <w:rsid w:val="00AB50EE"/>
    <w:rsid w:val="00AD2631"/>
    <w:rsid w:val="00AD4233"/>
    <w:rsid w:val="00AD58C5"/>
    <w:rsid w:val="00AE3320"/>
    <w:rsid w:val="00AE63BD"/>
    <w:rsid w:val="00AE70A9"/>
    <w:rsid w:val="00AE7682"/>
    <w:rsid w:val="00AF0711"/>
    <w:rsid w:val="00AF0B2B"/>
    <w:rsid w:val="00AF0FA7"/>
    <w:rsid w:val="00AF2914"/>
    <w:rsid w:val="00AF3136"/>
    <w:rsid w:val="00AF363F"/>
    <w:rsid w:val="00AF3A71"/>
    <w:rsid w:val="00AF3E4F"/>
    <w:rsid w:val="00AF6144"/>
    <w:rsid w:val="00B05438"/>
    <w:rsid w:val="00B071FF"/>
    <w:rsid w:val="00B11505"/>
    <w:rsid w:val="00B11DC2"/>
    <w:rsid w:val="00B121D2"/>
    <w:rsid w:val="00B15CAA"/>
    <w:rsid w:val="00B1673B"/>
    <w:rsid w:val="00B17897"/>
    <w:rsid w:val="00B201A8"/>
    <w:rsid w:val="00B20ABA"/>
    <w:rsid w:val="00B20C42"/>
    <w:rsid w:val="00B22CE8"/>
    <w:rsid w:val="00B25714"/>
    <w:rsid w:val="00B2726B"/>
    <w:rsid w:val="00B27C5D"/>
    <w:rsid w:val="00B304D4"/>
    <w:rsid w:val="00B3585E"/>
    <w:rsid w:val="00B37BB0"/>
    <w:rsid w:val="00B40CD3"/>
    <w:rsid w:val="00B41247"/>
    <w:rsid w:val="00B42024"/>
    <w:rsid w:val="00B42807"/>
    <w:rsid w:val="00B428A6"/>
    <w:rsid w:val="00B53913"/>
    <w:rsid w:val="00B54E42"/>
    <w:rsid w:val="00B56906"/>
    <w:rsid w:val="00B57FCC"/>
    <w:rsid w:val="00B61782"/>
    <w:rsid w:val="00B63D44"/>
    <w:rsid w:val="00B65AF6"/>
    <w:rsid w:val="00B7031E"/>
    <w:rsid w:val="00B72922"/>
    <w:rsid w:val="00B72A13"/>
    <w:rsid w:val="00B73FCD"/>
    <w:rsid w:val="00B75196"/>
    <w:rsid w:val="00B824C4"/>
    <w:rsid w:val="00B84DD5"/>
    <w:rsid w:val="00B87538"/>
    <w:rsid w:val="00B87B26"/>
    <w:rsid w:val="00B91EA6"/>
    <w:rsid w:val="00B9328E"/>
    <w:rsid w:val="00B94CAA"/>
    <w:rsid w:val="00B95910"/>
    <w:rsid w:val="00B97F7D"/>
    <w:rsid w:val="00BA0249"/>
    <w:rsid w:val="00BA0B86"/>
    <w:rsid w:val="00BA24FC"/>
    <w:rsid w:val="00BA394B"/>
    <w:rsid w:val="00BA3A4C"/>
    <w:rsid w:val="00BB0F20"/>
    <w:rsid w:val="00BC1F7E"/>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12D49"/>
    <w:rsid w:val="00C20A22"/>
    <w:rsid w:val="00C213DA"/>
    <w:rsid w:val="00C21632"/>
    <w:rsid w:val="00C221AE"/>
    <w:rsid w:val="00C24256"/>
    <w:rsid w:val="00C2444F"/>
    <w:rsid w:val="00C25581"/>
    <w:rsid w:val="00C25BD1"/>
    <w:rsid w:val="00C264E3"/>
    <w:rsid w:val="00C2788D"/>
    <w:rsid w:val="00C313A9"/>
    <w:rsid w:val="00C34803"/>
    <w:rsid w:val="00C35C76"/>
    <w:rsid w:val="00C361F6"/>
    <w:rsid w:val="00C3669A"/>
    <w:rsid w:val="00C41C0B"/>
    <w:rsid w:val="00C423E3"/>
    <w:rsid w:val="00C44428"/>
    <w:rsid w:val="00C45125"/>
    <w:rsid w:val="00C458AF"/>
    <w:rsid w:val="00C50A80"/>
    <w:rsid w:val="00C52051"/>
    <w:rsid w:val="00C52D48"/>
    <w:rsid w:val="00C54642"/>
    <w:rsid w:val="00C63B9F"/>
    <w:rsid w:val="00C676F3"/>
    <w:rsid w:val="00C72A4C"/>
    <w:rsid w:val="00C72C0C"/>
    <w:rsid w:val="00C731BF"/>
    <w:rsid w:val="00C77EFD"/>
    <w:rsid w:val="00C8009F"/>
    <w:rsid w:val="00C82759"/>
    <w:rsid w:val="00C829DF"/>
    <w:rsid w:val="00C84021"/>
    <w:rsid w:val="00C84EB7"/>
    <w:rsid w:val="00C86C26"/>
    <w:rsid w:val="00C875AE"/>
    <w:rsid w:val="00C905EB"/>
    <w:rsid w:val="00C91188"/>
    <w:rsid w:val="00C9208E"/>
    <w:rsid w:val="00C92700"/>
    <w:rsid w:val="00C92A2F"/>
    <w:rsid w:val="00C9634D"/>
    <w:rsid w:val="00CA28E0"/>
    <w:rsid w:val="00CA762C"/>
    <w:rsid w:val="00CA7B11"/>
    <w:rsid w:val="00CB4F4C"/>
    <w:rsid w:val="00CB5DEF"/>
    <w:rsid w:val="00CB5E49"/>
    <w:rsid w:val="00CC0C54"/>
    <w:rsid w:val="00CC1016"/>
    <w:rsid w:val="00CC48E3"/>
    <w:rsid w:val="00CD09A5"/>
    <w:rsid w:val="00CD0E32"/>
    <w:rsid w:val="00CD39E9"/>
    <w:rsid w:val="00CD4424"/>
    <w:rsid w:val="00CD773A"/>
    <w:rsid w:val="00CE1966"/>
    <w:rsid w:val="00CE2983"/>
    <w:rsid w:val="00CE392C"/>
    <w:rsid w:val="00CE6764"/>
    <w:rsid w:val="00CF171D"/>
    <w:rsid w:val="00CF1F63"/>
    <w:rsid w:val="00CF2008"/>
    <w:rsid w:val="00CF40D1"/>
    <w:rsid w:val="00CF4188"/>
    <w:rsid w:val="00CF42BA"/>
    <w:rsid w:val="00CF563C"/>
    <w:rsid w:val="00D06213"/>
    <w:rsid w:val="00D07D6A"/>
    <w:rsid w:val="00D10FA0"/>
    <w:rsid w:val="00D24425"/>
    <w:rsid w:val="00D2585F"/>
    <w:rsid w:val="00D277A3"/>
    <w:rsid w:val="00D277C2"/>
    <w:rsid w:val="00D31882"/>
    <w:rsid w:val="00D31BAB"/>
    <w:rsid w:val="00D327FF"/>
    <w:rsid w:val="00D34F24"/>
    <w:rsid w:val="00D35A03"/>
    <w:rsid w:val="00D37358"/>
    <w:rsid w:val="00D37377"/>
    <w:rsid w:val="00D457F9"/>
    <w:rsid w:val="00D45B09"/>
    <w:rsid w:val="00D45B8C"/>
    <w:rsid w:val="00D46729"/>
    <w:rsid w:val="00D5107C"/>
    <w:rsid w:val="00D51538"/>
    <w:rsid w:val="00D532F2"/>
    <w:rsid w:val="00D5375D"/>
    <w:rsid w:val="00D567E0"/>
    <w:rsid w:val="00D5756F"/>
    <w:rsid w:val="00D578D9"/>
    <w:rsid w:val="00D60356"/>
    <w:rsid w:val="00D630DE"/>
    <w:rsid w:val="00D63E46"/>
    <w:rsid w:val="00D664AD"/>
    <w:rsid w:val="00D67E1E"/>
    <w:rsid w:val="00D71B57"/>
    <w:rsid w:val="00D72C82"/>
    <w:rsid w:val="00D7327A"/>
    <w:rsid w:val="00D75AA5"/>
    <w:rsid w:val="00D80A1D"/>
    <w:rsid w:val="00D87625"/>
    <w:rsid w:val="00D92504"/>
    <w:rsid w:val="00D94745"/>
    <w:rsid w:val="00DA41B2"/>
    <w:rsid w:val="00DA4EE5"/>
    <w:rsid w:val="00DA508B"/>
    <w:rsid w:val="00DA5D06"/>
    <w:rsid w:val="00DA7B20"/>
    <w:rsid w:val="00DB0D4D"/>
    <w:rsid w:val="00DB2CE4"/>
    <w:rsid w:val="00DB2E02"/>
    <w:rsid w:val="00DB37CF"/>
    <w:rsid w:val="00DB407F"/>
    <w:rsid w:val="00DC6A98"/>
    <w:rsid w:val="00DC7016"/>
    <w:rsid w:val="00DC7245"/>
    <w:rsid w:val="00DC730A"/>
    <w:rsid w:val="00DC75B5"/>
    <w:rsid w:val="00DD12FC"/>
    <w:rsid w:val="00DD296E"/>
    <w:rsid w:val="00DD2E95"/>
    <w:rsid w:val="00DE0E3B"/>
    <w:rsid w:val="00DE130A"/>
    <w:rsid w:val="00DE38B2"/>
    <w:rsid w:val="00DE4148"/>
    <w:rsid w:val="00DE44F5"/>
    <w:rsid w:val="00DE5957"/>
    <w:rsid w:val="00E00F46"/>
    <w:rsid w:val="00E0623A"/>
    <w:rsid w:val="00E07822"/>
    <w:rsid w:val="00E1008B"/>
    <w:rsid w:val="00E12D6B"/>
    <w:rsid w:val="00E1303E"/>
    <w:rsid w:val="00E145ED"/>
    <w:rsid w:val="00E15596"/>
    <w:rsid w:val="00E166FD"/>
    <w:rsid w:val="00E16CB2"/>
    <w:rsid w:val="00E17247"/>
    <w:rsid w:val="00E24560"/>
    <w:rsid w:val="00E264BB"/>
    <w:rsid w:val="00E26CE0"/>
    <w:rsid w:val="00E276DF"/>
    <w:rsid w:val="00E3040F"/>
    <w:rsid w:val="00E31C2F"/>
    <w:rsid w:val="00E3291F"/>
    <w:rsid w:val="00E3664B"/>
    <w:rsid w:val="00E37870"/>
    <w:rsid w:val="00E4050D"/>
    <w:rsid w:val="00E420BE"/>
    <w:rsid w:val="00E427C7"/>
    <w:rsid w:val="00E45E6A"/>
    <w:rsid w:val="00E50A42"/>
    <w:rsid w:val="00E51043"/>
    <w:rsid w:val="00E537FA"/>
    <w:rsid w:val="00E549A2"/>
    <w:rsid w:val="00E55311"/>
    <w:rsid w:val="00E5663F"/>
    <w:rsid w:val="00E56D64"/>
    <w:rsid w:val="00E604A1"/>
    <w:rsid w:val="00E611CC"/>
    <w:rsid w:val="00E63EE0"/>
    <w:rsid w:val="00E65F64"/>
    <w:rsid w:val="00E66A30"/>
    <w:rsid w:val="00E712B1"/>
    <w:rsid w:val="00E75DDF"/>
    <w:rsid w:val="00E76641"/>
    <w:rsid w:val="00E80193"/>
    <w:rsid w:val="00E81B17"/>
    <w:rsid w:val="00E82722"/>
    <w:rsid w:val="00E85BF7"/>
    <w:rsid w:val="00E87A28"/>
    <w:rsid w:val="00E93114"/>
    <w:rsid w:val="00E941E6"/>
    <w:rsid w:val="00E947E6"/>
    <w:rsid w:val="00E95AB3"/>
    <w:rsid w:val="00EA2187"/>
    <w:rsid w:val="00EA5E2D"/>
    <w:rsid w:val="00EA5E85"/>
    <w:rsid w:val="00EA7C7B"/>
    <w:rsid w:val="00EB3A53"/>
    <w:rsid w:val="00EB5058"/>
    <w:rsid w:val="00EB7EB6"/>
    <w:rsid w:val="00EC194E"/>
    <w:rsid w:val="00EC496C"/>
    <w:rsid w:val="00EC5057"/>
    <w:rsid w:val="00EC70BC"/>
    <w:rsid w:val="00ED018E"/>
    <w:rsid w:val="00ED1A67"/>
    <w:rsid w:val="00ED2F4A"/>
    <w:rsid w:val="00ED3283"/>
    <w:rsid w:val="00ED77CF"/>
    <w:rsid w:val="00EE55F9"/>
    <w:rsid w:val="00EE62A5"/>
    <w:rsid w:val="00EF0734"/>
    <w:rsid w:val="00EF32C4"/>
    <w:rsid w:val="00EF39AD"/>
    <w:rsid w:val="00EF4195"/>
    <w:rsid w:val="00EF5F63"/>
    <w:rsid w:val="00F05C27"/>
    <w:rsid w:val="00F11454"/>
    <w:rsid w:val="00F125DA"/>
    <w:rsid w:val="00F15575"/>
    <w:rsid w:val="00F1782F"/>
    <w:rsid w:val="00F20A42"/>
    <w:rsid w:val="00F221FC"/>
    <w:rsid w:val="00F2269C"/>
    <w:rsid w:val="00F2485C"/>
    <w:rsid w:val="00F24F1B"/>
    <w:rsid w:val="00F26820"/>
    <w:rsid w:val="00F31B79"/>
    <w:rsid w:val="00F33859"/>
    <w:rsid w:val="00F35614"/>
    <w:rsid w:val="00F43BDB"/>
    <w:rsid w:val="00F46C28"/>
    <w:rsid w:val="00F53254"/>
    <w:rsid w:val="00F53D7C"/>
    <w:rsid w:val="00F627E4"/>
    <w:rsid w:val="00F6377B"/>
    <w:rsid w:val="00F65D8E"/>
    <w:rsid w:val="00F665A8"/>
    <w:rsid w:val="00F669B9"/>
    <w:rsid w:val="00F72573"/>
    <w:rsid w:val="00F73268"/>
    <w:rsid w:val="00F819C9"/>
    <w:rsid w:val="00F853F2"/>
    <w:rsid w:val="00F86BC7"/>
    <w:rsid w:val="00F901AD"/>
    <w:rsid w:val="00FA0D89"/>
    <w:rsid w:val="00FA1EE6"/>
    <w:rsid w:val="00FA2987"/>
    <w:rsid w:val="00FA584E"/>
    <w:rsid w:val="00FA6D24"/>
    <w:rsid w:val="00FB3ABD"/>
    <w:rsid w:val="00FB59A0"/>
    <w:rsid w:val="00FB6596"/>
    <w:rsid w:val="00FC42BD"/>
    <w:rsid w:val="00FC62D7"/>
    <w:rsid w:val="00FD2E9B"/>
    <w:rsid w:val="00FD3552"/>
    <w:rsid w:val="00FD3D6E"/>
    <w:rsid w:val="00FE008D"/>
    <w:rsid w:val="00FE065B"/>
    <w:rsid w:val="00FE090E"/>
    <w:rsid w:val="00FE0E9D"/>
    <w:rsid w:val="00FE11E5"/>
    <w:rsid w:val="00FE2BBF"/>
    <w:rsid w:val="00FE50EB"/>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591F0D30-889C-4A59-8A60-B78E7DA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paragraph" w:styleId="Heading3">
    <w:name w:val="heading 3"/>
    <w:basedOn w:val="Normal"/>
    <w:next w:val="Normal"/>
    <w:link w:val="Heading3Char"/>
    <w:uiPriority w:val="9"/>
    <w:semiHidden/>
    <w:unhideWhenUsed/>
    <w:qFormat/>
    <w:rsid w:val="00D46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character" w:customStyle="1" w:styleId="italic">
    <w:name w:val="italic"/>
    <w:basedOn w:val="DefaultParagraphFont"/>
    <w:rsid w:val="00A64A98"/>
  </w:style>
  <w:style w:type="paragraph" w:customStyle="1" w:styleId="Quote1">
    <w:name w:val="Quote1"/>
    <w:basedOn w:val="Normal"/>
    <w:rsid w:val="00B54E42"/>
    <w:pPr>
      <w:adjustRightInd w:val="0"/>
      <w:spacing w:before="120"/>
      <w:ind w:left="567" w:right="567"/>
      <w:jc w:val="both"/>
    </w:pPr>
    <w:rPr>
      <w:rFonts w:ascii="Verdana" w:hAnsi="Verdana"/>
      <w:sz w:val="16"/>
      <w:szCs w:val="20"/>
      <w:lang w:val="en-US" w:eastAsia="en-ZA"/>
    </w:rPr>
  </w:style>
  <w:style w:type="character" w:customStyle="1" w:styleId="Heading3Char">
    <w:name w:val="Heading 3 Char"/>
    <w:basedOn w:val="DefaultParagraphFont"/>
    <w:link w:val="Heading3"/>
    <w:uiPriority w:val="9"/>
    <w:semiHidden/>
    <w:rsid w:val="00D46729"/>
    <w:rPr>
      <w:rFonts w:asciiTheme="majorHAnsi" w:eastAsiaTheme="majorEastAsia" w:hAnsiTheme="majorHAnsi" w:cstheme="majorBidi"/>
      <w:color w:val="243F60" w:themeColor="accent1" w:themeShade="7F"/>
      <w:sz w:val="24"/>
      <w:szCs w:val="24"/>
      <w:lang w:eastAsia="en-US"/>
    </w:rPr>
  </w:style>
  <w:style w:type="paragraph" w:customStyle="1" w:styleId="Indent">
    <w:name w:val="Indent"/>
    <w:basedOn w:val="Normal"/>
    <w:rsid w:val="00622ED5"/>
    <w:pPr>
      <w:numPr>
        <w:numId w:val="15"/>
      </w:numPr>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6204756">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366829353">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33179417">
      <w:bodyDiv w:val="1"/>
      <w:marLeft w:val="0"/>
      <w:marRight w:val="0"/>
      <w:marTop w:val="0"/>
      <w:marBottom w:val="0"/>
      <w:divBdr>
        <w:top w:val="none" w:sz="0" w:space="0" w:color="auto"/>
        <w:left w:val="none" w:sz="0" w:space="0" w:color="auto"/>
        <w:bottom w:val="none" w:sz="0" w:space="0" w:color="auto"/>
        <w:right w:val="none" w:sz="0" w:space="0" w:color="auto"/>
      </w:divBdr>
      <w:divsChild>
        <w:div w:id="28145141">
          <w:marLeft w:val="0"/>
          <w:marRight w:val="0"/>
          <w:marTop w:val="240"/>
          <w:marBottom w:val="0"/>
          <w:divBdr>
            <w:top w:val="none" w:sz="0" w:space="0" w:color="auto"/>
            <w:left w:val="none" w:sz="0" w:space="0" w:color="auto"/>
            <w:bottom w:val="none" w:sz="0" w:space="0" w:color="auto"/>
            <w:right w:val="none" w:sz="0" w:space="0" w:color="auto"/>
          </w:divBdr>
        </w:div>
        <w:div w:id="1470047754">
          <w:marLeft w:val="0"/>
          <w:marRight w:val="0"/>
          <w:marTop w:val="120"/>
          <w:marBottom w:val="0"/>
          <w:divBdr>
            <w:top w:val="none" w:sz="0" w:space="0" w:color="auto"/>
            <w:left w:val="none" w:sz="0" w:space="0" w:color="auto"/>
            <w:bottom w:val="none" w:sz="0" w:space="0" w:color="auto"/>
            <w:right w:val="none" w:sz="0" w:space="0" w:color="auto"/>
          </w:divBdr>
        </w:div>
      </w:divsChild>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76v2SApg930" TargetMode="External"/><Relationship Id="rId1" Type="http://schemas.openxmlformats.org/officeDocument/2006/relationships/hyperlink" Target="https://app.jutastatevolve.co.za/y1957v4SApg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6132-6776-4537-976F-09175212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11</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2023-05-26T18:13:00Z</cp:lastPrinted>
  <dcterms:created xsi:type="dcterms:W3CDTF">2023-05-30T09:23:00Z</dcterms:created>
  <dcterms:modified xsi:type="dcterms:W3CDTF">2023-05-30T09:23:00Z</dcterms:modified>
</cp:coreProperties>
</file>