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7F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1E28EBF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22F1E07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65A7DC9" wp14:editId="089872A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43C03E0"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7D6D8462"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6D7CA5E6"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61F563F6" w14:textId="77777777" w:rsidR="007B7F59" w:rsidRPr="007B7F59" w:rsidRDefault="007B7F59" w:rsidP="007B7F59">
      <w:pPr>
        <w:spacing w:after="0" w:line="240" w:lineRule="auto"/>
        <w:ind w:left="0"/>
        <w:rPr>
          <w:rFonts w:eastAsia="Times New Roman" w:cs="Arial"/>
          <w:szCs w:val="24"/>
          <w:lang w:val="en-ZA"/>
        </w:rPr>
      </w:pPr>
    </w:p>
    <w:p w14:paraId="1E08B481" w14:textId="77777777" w:rsidR="007B7F59" w:rsidRPr="007B7F59" w:rsidRDefault="007B7F59" w:rsidP="007B7F59">
      <w:pPr>
        <w:spacing w:after="0" w:line="240" w:lineRule="auto"/>
        <w:ind w:left="0"/>
        <w:rPr>
          <w:rFonts w:eastAsia="Times New Roman" w:cs="Arial"/>
          <w:szCs w:val="24"/>
          <w:lang w:val="en-ZA"/>
        </w:rPr>
      </w:pPr>
    </w:p>
    <w:p w14:paraId="4F016E10" w14:textId="77777777" w:rsidR="007B7F59" w:rsidRDefault="007B7F59" w:rsidP="007B7F59">
      <w:pPr>
        <w:tabs>
          <w:tab w:val="right" w:pos="9029"/>
        </w:tabs>
        <w:spacing w:after="0" w:line="240" w:lineRule="auto"/>
        <w:ind w:left="0"/>
      </w:pPr>
      <w:r w:rsidRPr="007B7F59">
        <w:rPr>
          <w:rFonts w:eastAsia="Times New Roman" w:cs="Arial"/>
          <w:szCs w:val="24"/>
          <w:lang w:val="en-ZA"/>
        </w:rPr>
        <w:tab/>
      </w:r>
      <w:r w:rsidRPr="007B7F59">
        <w:rPr>
          <w:rFonts w:eastAsia="Times New Roman" w:cs="Arial"/>
          <w:bCs/>
          <w:szCs w:val="24"/>
          <w:lang w:val="en-ZA"/>
        </w:rPr>
        <w:t xml:space="preserve">Case Number: </w:t>
      </w:r>
      <w:r w:rsidR="00725F6A">
        <w:t xml:space="preserve">CASE NO: </w:t>
      </w:r>
      <w:r w:rsidR="00725F6A" w:rsidRPr="005D2D6C">
        <w:t>34372/2020</w:t>
      </w:r>
    </w:p>
    <w:p w14:paraId="04E8344F"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5B72E9B3" wp14:editId="627C55FC">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F439FC7" w14:textId="2BE063E3" w:rsidR="007B7F59" w:rsidRPr="003B746C" w:rsidRDefault="00FA7B31" w:rsidP="00FA7B31">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725F6A">
                              <w:rPr>
                                <w:rFonts w:cs="Arial"/>
                                <w:sz w:val="18"/>
                                <w:szCs w:val="20"/>
                              </w:rPr>
                              <w:t>NO</w:t>
                            </w:r>
                          </w:p>
                          <w:p w14:paraId="30553FB4" w14:textId="440FC409" w:rsidR="007B7F59" w:rsidRPr="003B746C" w:rsidRDefault="00FA7B31" w:rsidP="00FA7B31">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725F6A">
                              <w:rPr>
                                <w:rFonts w:cs="Arial"/>
                                <w:sz w:val="18"/>
                                <w:szCs w:val="20"/>
                              </w:rPr>
                              <w:t>NO</w:t>
                            </w:r>
                          </w:p>
                          <w:p w14:paraId="5179AEE3" w14:textId="77777777" w:rsidR="007B7F59" w:rsidRPr="003B746C" w:rsidRDefault="00FE3BBC" w:rsidP="002B448C">
                            <w:pPr>
                              <w:spacing w:before="240" w:after="0"/>
                              <w:rPr>
                                <w:rFonts w:cs="Arial"/>
                                <w:b/>
                                <w:sz w:val="18"/>
                                <w:szCs w:val="20"/>
                              </w:rPr>
                            </w:pPr>
                            <w:r>
                              <w:rPr>
                                <w:rFonts w:cs="Arial"/>
                                <w:b/>
                                <w:sz w:val="18"/>
                                <w:szCs w:val="20"/>
                              </w:rPr>
                              <w:t>30 May 2023</w:t>
                            </w:r>
                            <w:r w:rsidR="007B7F59" w:rsidRPr="003B746C">
                              <w:rPr>
                                <w:rFonts w:cs="Arial"/>
                                <w:b/>
                                <w:sz w:val="18"/>
                                <w:szCs w:val="20"/>
                              </w:rPr>
                              <w:tab/>
                              <w:t>_________________________</w:t>
                            </w:r>
                          </w:p>
                          <w:p w14:paraId="443713C8" w14:textId="77777777" w:rsidR="007B7F59" w:rsidRPr="003B746C" w:rsidRDefault="007B7F59" w:rsidP="00FE3BBC">
                            <w:pPr>
                              <w:ind w:firstLine="153"/>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FE3BBC">
                              <w:rPr>
                                <w:rFonts w:cs="Arial"/>
                                <w:sz w:val="18"/>
                                <w:szCs w:val="20"/>
                              </w:rPr>
                              <w:tab/>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2E9B3"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0F439FC7" w14:textId="2BE063E3" w:rsidR="007B7F59" w:rsidRPr="003B746C" w:rsidRDefault="00FA7B31" w:rsidP="00FA7B31">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725F6A">
                        <w:rPr>
                          <w:rFonts w:cs="Arial"/>
                          <w:sz w:val="18"/>
                          <w:szCs w:val="20"/>
                        </w:rPr>
                        <w:t>NO</w:t>
                      </w:r>
                    </w:p>
                    <w:p w14:paraId="30553FB4" w14:textId="440FC409" w:rsidR="007B7F59" w:rsidRPr="003B746C" w:rsidRDefault="00FA7B31" w:rsidP="00FA7B31">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725F6A">
                        <w:rPr>
                          <w:rFonts w:cs="Arial"/>
                          <w:sz w:val="18"/>
                          <w:szCs w:val="20"/>
                        </w:rPr>
                        <w:t>NO</w:t>
                      </w:r>
                    </w:p>
                    <w:p w14:paraId="5179AEE3" w14:textId="77777777" w:rsidR="007B7F59" w:rsidRPr="003B746C" w:rsidRDefault="00FE3BBC" w:rsidP="002B448C">
                      <w:pPr>
                        <w:spacing w:before="240" w:after="0"/>
                        <w:rPr>
                          <w:rFonts w:cs="Arial"/>
                          <w:b/>
                          <w:sz w:val="18"/>
                          <w:szCs w:val="20"/>
                        </w:rPr>
                      </w:pPr>
                      <w:r>
                        <w:rPr>
                          <w:rFonts w:cs="Arial"/>
                          <w:b/>
                          <w:sz w:val="18"/>
                          <w:szCs w:val="20"/>
                        </w:rPr>
                        <w:t>30 May 2023</w:t>
                      </w:r>
                      <w:r w:rsidR="007B7F59" w:rsidRPr="003B746C">
                        <w:rPr>
                          <w:rFonts w:cs="Arial"/>
                          <w:b/>
                          <w:sz w:val="18"/>
                          <w:szCs w:val="20"/>
                        </w:rPr>
                        <w:tab/>
                        <w:t>_________________________</w:t>
                      </w:r>
                    </w:p>
                    <w:p w14:paraId="443713C8" w14:textId="77777777" w:rsidR="007B7F59" w:rsidRPr="003B746C" w:rsidRDefault="007B7F59" w:rsidP="00FE3BBC">
                      <w:pPr>
                        <w:ind w:firstLine="153"/>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FE3BBC">
                        <w:rPr>
                          <w:rFonts w:cs="Arial"/>
                          <w:sz w:val="18"/>
                          <w:szCs w:val="20"/>
                        </w:rPr>
                        <w:tab/>
                      </w:r>
                      <w:r w:rsidRPr="003B746C">
                        <w:rPr>
                          <w:rFonts w:cs="Arial"/>
                          <w:sz w:val="18"/>
                          <w:szCs w:val="20"/>
                        </w:rPr>
                        <w:t>SIGNATURE</w:t>
                      </w:r>
                    </w:p>
                  </w:txbxContent>
                </v:textbox>
                <w10:wrap anchorx="margin"/>
              </v:shape>
            </w:pict>
          </mc:Fallback>
        </mc:AlternateContent>
      </w:r>
    </w:p>
    <w:p w14:paraId="5B2B5BAB"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296885F7"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29E81C37"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488F2865"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370D904C"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E6572C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4F0F47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AE04218"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28544EA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55A8F3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E3551C7" w14:textId="77777777" w:rsidR="00543167" w:rsidRDefault="00725F6A" w:rsidP="00725F6A">
      <w:pPr>
        <w:spacing w:after="160" w:line="259" w:lineRule="auto"/>
        <w:ind w:left="0"/>
        <w:jc w:val="left"/>
        <w:rPr>
          <w:rFonts w:cs="Arial"/>
          <w:b/>
          <w:sz w:val="22"/>
          <w:lang w:val="en-ZA"/>
        </w:rPr>
      </w:pPr>
      <w:r w:rsidRPr="00725F6A">
        <w:rPr>
          <w:rFonts w:cs="Arial"/>
          <w:b/>
          <w:sz w:val="22"/>
          <w:lang w:val="en-ZA"/>
        </w:rPr>
        <w:t xml:space="preserve">BODY CORPORATE ASSISTANCE </w:t>
      </w:r>
    </w:p>
    <w:p w14:paraId="1E8F117E" w14:textId="77777777" w:rsidR="00725F6A" w:rsidRPr="00725F6A" w:rsidRDefault="00725F6A" w:rsidP="00725F6A">
      <w:pPr>
        <w:spacing w:after="160" w:line="259" w:lineRule="auto"/>
        <w:ind w:left="0"/>
        <w:jc w:val="left"/>
        <w:rPr>
          <w:rFonts w:asciiTheme="minorHAnsi" w:hAnsiTheme="minorHAnsi"/>
          <w:sz w:val="22"/>
          <w:lang w:val="en-ZA"/>
        </w:rPr>
      </w:pPr>
      <w:r w:rsidRPr="00725F6A">
        <w:rPr>
          <w:rFonts w:cs="Arial"/>
          <w:b/>
          <w:sz w:val="22"/>
          <w:lang w:val="en-ZA"/>
        </w:rPr>
        <w:t>GAUTENG (PTY) LIMITED</w:t>
      </w:r>
      <w:r w:rsidRPr="00725F6A">
        <w:rPr>
          <w:rFonts w:asciiTheme="minorHAnsi" w:hAnsiTheme="minorHAnsi"/>
          <w:sz w:val="22"/>
          <w:lang w:val="en-ZA"/>
        </w:rPr>
        <w:tab/>
      </w:r>
      <w:r w:rsidRPr="00725F6A">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Pr="00725F6A">
        <w:rPr>
          <w:rFonts w:cs="Arial"/>
          <w:sz w:val="22"/>
          <w:lang w:val="en-ZA"/>
        </w:rPr>
        <w:t>FIRST APLICANT</w:t>
      </w:r>
    </w:p>
    <w:p w14:paraId="719ECC36" w14:textId="77777777" w:rsidR="00543167" w:rsidRDefault="00725F6A" w:rsidP="00725F6A">
      <w:pPr>
        <w:spacing w:after="160" w:line="259" w:lineRule="auto"/>
        <w:ind w:left="0"/>
        <w:jc w:val="left"/>
        <w:rPr>
          <w:rFonts w:cs="Arial"/>
          <w:b/>
          <w:sz w:val="22"/>
          <w:lang w:val="en-ZA"/>
        </w:rPr>
      </w:pPr>
      <w:r w:rsidRPr="00725F6A">
        <w:rPr>
          <w:rFonts w:cs="Arial"/>
          <w:b/>
          <w:sz w:val="22"/>
          <w:lang w:val="en-ZA"/>
        </w:rPr>
        <w:t xml:space="preserve">BODY CORPORATE ASSISTANCE </w:t>
      </w:r>
    </w:p>
    <w:p w14:paraId="740D31B8" w14:textId="77777777" w:rsidR="00725F6A" w:rsidRPr="00725F6A" w:rsidRDefault="00725F6A" w:rsidP="00725F6A">
      <w:pPr>
        <w:spacing w:after="160" w:line="259" w:lineRule="auto"/>
        <w:ind w:left="0"/>
        <w:jc w:val="left"/>
        <w:rPr>
          <w:rFonts w:asciiTheme="minorHAnsi" w:hAnsiTheme="minorHAnsi"/>
          <w:sz w:val="22"/>
          <w:lang w:val="en-ZA"/>
        </w:rPr>
      </w:pPr>
      <w:r w:rsidRPr="00725F6A">
        <w:rPr>
          <w:rFonts w:cs="Arial"/>
          <w:b/>
          <w:sz w:val="22"/>
          <w:lang w:val="en-ZA"/>
        </w:rPr>
        <w:t>WESTERN CAPE (PTY) LIMITED</w:t>
      </w:r>
      <w:r w:rsidRPr="00725F6A">
        <w:rPr>
          <w:rFonts w:asciiTheme="minorHAnsi" w:hAnsiTheme="minorHAnsi"/>
          <w:sz w:val="22"/>
          <w:lang w:val="en-ZA"/>
        </w:rPr>
        <w:t xml:space="preserve"> </w:t>
      </w:r>
      <w:r>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Pr="00725F6A">
        <w:rPr>
          <w:rFonts w:cs="Arial"/>
          <w:sz w:val="22"/>
          <w:lang w:val="en-ZA"/>
        </w:rPr>
        <w:t>SECOND APPLICANT</w:t>
      </w:r>
    </w:p>
    <w:p w14:paraId="393954A8" w14:textId="77777777" w:rsidR="00543167" w:rsidRDefault="00725F6A" w:rsidP="00725F6A">
      <w:pPr>
        <w:spacing w:after="160" w:line="259" w:lineRule="auto"/>
        <w:ind w:left="0"/>
        <w:jc w:val="left"/>
        <w:rPr>
          <w:rFonts w:cs="Arial"/>
          <w:b/>
          <w:sz w:val="22"/>
          <w:lang w:val="en-ZA"/>
        </w:rPr>
      </w:pPr>
      <w:r w:rsidRPr="00725F6A">
        <w:rPr>
          <w:rFonts w:cs="Arial"/>
          <w:b/>
          <w:sz w:val="22"/>
          <w:lang w:val="en-ZA"/>
        </w:rPr>
        <w:t xml:space="preserve">THE TRUSTEES FOR THE TIME BEING </w:t>
      </w:r>
    </w:p>
    <w:p w14:paraId="677191C3" w14:textId="77777777" w:rsidR="007B7F59" w:rsidRPr="00725F6A" w:rsidRDefault="00725F6A" w:rsidP="00725F6A">
      <w:pPr>
        <w:spacing w:after="160" w:line="259" w:lineRule="auto"/>
        <w:ind w:left="0"/>
        <w:jc w:val="left"/>
        <w:rPr>
          <w:rFonts w:asciiTheme="minorHAnsi" w:hAnsiTheme="minorHAnsi"/>
          <w:sz w:val="22"/>
          <w:lang w:val="en-ZA"/>
        </w:rPr>
      </w:pPr>
      <w:r w:rsidRPr="00725F6A">
        <w:rPr>
          <w:rFonts w:cs="Arial"/>
          <w:b/>
          <w:sz w:val="22"/>
          <w:lang w:val="en-ZA"/>
        </w:rPr>
        <w:t>OF CENTRAL SQUARE</w:t>
      </w:r>
      <w:r w:rsidRPr="00725F6A">
        <w:rPr>
          <w:rFonts w:asciiTheme="minorHAnsi" w:hAnsiTheme="minorHAnsi"/>
          <w:sz w:val="22"/>
          <w:lang w:val="en-ZA"/>
        </w:rPr>
        <w:t xml:space="preserve"> </w:t>
      </w:r>
      <w:r>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Pr="00725F6A">
        <w:rPr>
          <w:rFonts w:cs="Arial"/>
          <w:sz w:val="22"/>
          <w:lang w:val="en-ZA"/>
        </w:rPr>
        <w:t>THIRD APPLICANT</w:t>
      </w:r>
    </w:p>
    <w:p w14:paraId="0AF1D2C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A3046E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291CFC9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5813CDB4" w14:textId="77777777" w:rsidR="00725F6A" w:rsidRPr="00725F6A" w:rsidRDefault="00725F6A" w:rsidP="00725F6A">
      <w:pPr>
        <w:spacing w:after="160" w:line="259" w:lineRule="auto"/>
        <w:ind w:left="0"/>
        <w:jc w:val="left"/>
        <w:rPr>
          <w:rFonts w:asciiTheme="minorHAnsi" w:hAnsiTheme="minorHAnsi"/>
          <w:sz w:val="22"/>
          <w:lang w:val="en-ZA"/>
        </w:rPr>
      </w:pPr>
      <w:r w:rsidRPr="00725F6A">
        <w:rPr>
          <w:rFonts w:cs="Arial"/>
          <w:b/>
          <w:sz w:val="22"/>
          <w:lang w:val="en-ZA"/>
        </w:rPr>
        <w:t>PHILIP TILLMAN</w:t>
      </w:r>
      <w:r w:rsidRPr="00725F6A">
        <w:rPr>
          <w:rFonts w:cs="Arial"/>
          <w:b/>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Pr="00725F6A">
        <w:rPr>
          <w:rFonts w:cs="Arial"/>
          <w:sz w:val="22"/>
          <w:lang w:val="en-ZA"/>
        </w:rPr>
        <w:t>FIRST RESPONDENT</w:t>
      </w:r>
    </w:p>
    <w:p w14:paraId="0AC754DA" w14:textId="77777777" w:rsidR="00725F6A" w:rsidRPr="00725F6A" w:rsidRDefault="00725F6A" w:rsidP="00725F6A">
      <w:pPr>
        <w:spacing w:after="160" w:line="259" w:lineRule="auto"/>
        <w:ind w:left="0"/>
        <w:jc w:val="left"/>
        <w:rPr>
          <w:rFonts w:asciiTheme="minorHAnsi" w:hAnsiTheme="minorHAnsi"/>
          <w:sz w:val="22"/>
          <w:lang w:val="en-ZA"/>
        </w:rPr>
      </w:pPr>
      <w:r w:rsidRPr="00725F6A">
        <w:rPr>
          <w:rFonts w:cs="Arial"/>
          <w:b/>
          <w:sz w:val="22"/>
          <w:lang w:val="en-ZA"/>
        </w:rPr>
        <w:t>RAN GOLDSTEIN</w:t>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00543167">
        <w:rPr>
          <w:rFonts w:asciiTheme="minorHAnsi" w:hAnsiTheme="minorHAnsi"/>
          <w:sz w:val="22"/>
          <w:lang w:val="en-ZA"/>
        </w:rPr>
        <w:tab/>
      </w:r>
      <w:r w:rsidRPr="00725F6A">
        <w:rPr>
          <w:rFonts w:cs="Arial"/>
          <w:sz w:val="22"/>
          <w:lang w:val="en-ZA"/>
        </w:rPr>
        <w:t>SECOND RESPONDENT</w:t>
      </w:r>
    </w:p>
    <w:p w14:paraId="1C0ED63C" w14:textId="77777777" w:rsidR="00725F6A" w:rsidRPr="00725F6A" w:rsidRDefault="00725F6A" w:rsidP="00725F6A">
      <w:pPr>
        <w:spacing w:after="160" w:line="259" w:lineRule="auto"/>
        <w:ind w:left="0"/>
        <w:jc w:val="left"/>
        <w:rPr>
          <w:rFonts w:asciiTheme="minorHAnsi" w:hAnsiTheme="minorHAnsi"/>
          <w:sz w:val="22"/>
          <w:lang w:val="en-ZA"/>
        </w:rPr>
      </w:pPr>
      <w:r w:rsidRPr="00725F6A">
        <w:rPr>
          <w:rFonts w:cs="Arial"/>
          <w:b/>
          <w:sz w:val="22"/>
          <w:lang w:val="en-ZA"/>
        </w:rPr>
        <w:t>JADE KRETZMER</w:t>
      </w:r>
      <w:r w:rsidRPr="00725F6A">
        <w:rPr>
          <w:rFonts w:asciiTheme="minorHAnsi" w:hAnsiTheme="minorHAnsi"/>
          <w:sz w:val="22"/>
          <w:lang w:val="en-ZA"/>
        </w:rPr>
        <w:tab/>
      </w:r>
      <w:r w:rsidRPr="00725F6A">
        <w:rPr>
          <w:rFonts w:asciiTheme="minorHAnsi" w:hAnsiTheme="minorHAnsi"/>
          <w:sz w:val="22"/>
          <w:lang w:val="en-ZA"/>
        </w:rPr>
        <w:tab/>
      </w:r>
      <w:r w:rsidRPr="00725F6A">
        <w:rPr>
          <w:rFonts w:asciiTheme="minorHAnsi" w:hAnsiTheme="minorHAnsi"/>
          <w:sz w:val="22"/>
          <w:lang w:val="en-ZA"/>
        </w:rPr>
        <w:tab/>
      </w:r>
      <w:r w:rsidRPr="00725F6A">
        <w:rPr>
          <w:rFonts w:asciiTheme="minorHAnsi" w:hAnsiTheme="minorHAnsi"/>
          <w:sz w:val="22"/>
          <w:lang w:val="en-ZA"/>
        </w:rPr>
        <w:tab/>
      </w:r>
      <w:r w:rsidRPr="00725F6A">
        <w:rPr>
          <w:rFonts w:asciiTheme="minorHAnsi" w:hAnsiTheme="minorHAnsi"/>
          <w:sz w:val="22"/>
          <w:lang w:val="en-ZA"/>
        </w:rPr>
        <w:tab/>
      </w:r>
      <w:r w:rsidRPr="00725F6A">
        <w:rPr>
          <w:rFonts w:asciiTheme="minorHAnsi" w:hAnsiTheme="minorHAnsi"/>
          <w:sz w:val="22"/>
          <w:lang w:val="en-ZA"/>
        </w:rPr>
        <w:tab/>
      </w:r>
      <w:r w:rsidRPr="00725F6A">
        <w:rPr>
          <w:rFonts w:asciiTheme="minorHAnsi" w:hAnsiTheme="minorHAnsi"/>
          <w:sz w:val="22"/>
          <w:lang w:val="en-ZA"/>
        </w:rPr>
        <w:tab/>
      </w:r>
      <w:r w:rsidRPr="00725F6A">
        <w:rPr>
          <w:rFonts w:cs="Arial"/>
          <w:sz w:val="22"/>
          <w:lang w:val="en-ZA"/>
        </w:rPr>
        <w:t>THIRD RESPONDENT</w:t>
      </w:r>
    </w:p>
    <w:p w14:paraId="003D87A1" w14:textId="77777777" w:rsidR="00D9054F" w:rsidRDefault="00D9054F" w:rsidP="00D9054F">
      <w:pPr>
        <w:spacing w:after="0" w:line="240" w:lineRule="auto"/>
        <w:ind w:left="0"/>
        <w:jc w:val="left"/>
        <w:rPr>
          <w:rFonts w:eastAsia="Calibri" w:cs="Arial"/>
          <w:b/>
          <w:sz w:val="22"/>
          <w:lang w:val="en-US" w:eastAsia="en-ZA"/>
          <w14:ligatures w14:val="standardContextual"/>
        </w:rPr>
      </w:pPr>
    </w:p>
    <w:p w14:paraId="5388D812" w14:textId="77777777" w:rsidR="00D9054F" w:rsidRPr="00F9319D" w:rsidRDefault="00D9054F" w:rsidP="00D9054F">
      <w:pPr>
        <w:spacing w:after="0" w:line="240" w:lineRule="auto"/>
        <w:ind w:left="0"/>
        <w:jc w:val="left"/>
        <w:rPr>
          <w:rFonts w:eastAsia="Calibri" w:cs="Arial"/>
          <w:sz w:val="22"/>
          <w:lang w:val="en-US" w:eastAsia="en-ZA"/>
          <w14:ligatures w14:val="standardContextual"/>
        </w:rPr>
      </w:pPr>
      <w:r w:rsidRPr="00F9319D">
        <w:rPr>
          <w:rFonts w:eastAsia="Calibri" w:cs="Arial"/>
          <w:b/>
          <w:sz w:val="22"/>
          <w:lang w:val="en-US" w:eastAsia="en-ZA"/>
          <w14:ligatures w14:val="standardContextual"/>
        </w:rPr>
        <w:t>Neutral Citation</w:t>
      </w:r>
      <w:r w:rsidRPr="00F9319D">
        <w:rPr>
          <w:rFonts w:eastAsia="Calibri" w:cs="Arial"/>
          <w:sz w:val="22"/>
          <w:lang w:val="en-US" w:eastAsia="en-ZA"/>
          <w14:ligatures w14:val="standardContextual"/>
        </w:rPr>
        <w:t xml:space="preserve">: </w:t>
      </w:r>
      <w:r>
        <w:rPr>
          <w:rFonts w:eastAsia="Calibri" w:cs="Arial"/>
          <w:i/>
          <w:sz w:val="22"/>
          <w:lang w:val="en-US" w:eastAsia="en-ZA"/>
          <w14:ligatures w14:val="standardContextual"/>
        </w:rPr>
        <w:t xml:space="preserve">Body Corporate Assistance Gauteng (PTY)LTD &amp; 2 Others vs Philip Tillman &amp; Others </w:t>
      </w:r>
      <w:r>
        <w:rPr>
          <w:rFonts w:eastAsia="Calibri" w:cs="Arial"/>
          <w:sz w:val="22"/>
          <w:lang w:val="en-US" w:eastAsia="en-ZA"/>
          <w14:ligatures w14:val="standardContextual"/>
        </w:rPr>
        <w:t xml:space="preserve">(Case </w:t>
      </w:r>
      <w:r w:rsidR="00AC0350">
        <w:rPr>
          <w:rFonts w:eastAsia="Calibri" w:cs="Arial"/>
          <w:sz w:val="22"/>
          <w:lang w:val="en-US" w:eastAsia="en-ZA"/>
          <w14:ligatures w14:val="standardContextual"/>
        </w:rPr>
        <w:t>No: 34372/2020) [2023] ZAGPJHC 596</w:t>
      </w:r>
      <w:r>
        <w:rPr>
          <w:rFonts w:eastAsia="Calibri" w:cs="Arial"/>
          <w:sz w:val="22"/>
          <w:lang w:val="en-US" w:eastAsia="en-ZA"/>
          <w14:ligatures w14:val="standardContextual"/>
        </w:rPr>
        <w:t>(30 May</w:t>
      </w:r>
      <w:r w:rsidRPr="00F9319D">
        <w:rPr>
          <w:rFonts w:eastAsia="Calibri" w:cs="Arial"/>
          <w:sz w:val="22"/>
          <w:lang w:val="en-US" w:eastAsia="en-ZA"/>
          <w14:ligatures w14:val="standardContextual"/>
        </w:rPr>
        <w:t xml:space="preserve"> 2023)</w:t>
      </w:r>
    </w:p>
    <w:p w14:paraId="43D6074D"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04E2F842" w14:textId="77777777" w:rsidR="007B7F59" w:rsidRPr="007B7F59" w:rsidRDefault="007B7F59" w:rsidP="007B7F59">
      <w:pPr>
        <w:spacing w:after="0" w:line="240" w:lineRule="auto"/>
        <w:ind w:left="1440" w:hanging="1440"/>
        <w:jc w:val="left"/>
        <w:rPr>
          <w:rFonts w:cs="Arial"/>
          <w:b/>
          <w:szCs w:val="24"/>
        </w:rPr>
      </w:pPr>
    </w:p>
    <w:p w14:paraId="125AA2F1" w14:textId="77777777" w:rsid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A29BC69" w14:textId="77777777" w:rsidR="00725F6A" w:rsidRPr="00725F6A" w:rsidRDefault="00725F6A" w:rsidP="00725F6A">
      <w:pPr>
        <w:pStyle w:val="JudgmentNumbered"/>
        <w:numPr>
          <w:ilvl w:val="0"/>
          <w:numId w:val="0"/>
        </w:numPr>
        <w:ind w:left="567" w:hanging="567"/>
        <w:rPr>
          <w:b/>
          <w:lang w:val="en-ZA"/>
        </w:rPr>
      </w:pPr>
      <w:r w:rsidRPr="00725F6A">
        <w:rPr>
          <w:b/>
          <w:lang w:val="en-ZA"/>
        </w:rPr>
        <w:lastRenderedPageBreak/>
        <w:t>MIA J</w:t>
      </w:r>
    </w:p>
    <w:p w14:paraId="6E2DDF35" w14:textId="60B96976" w:rsidR="00284F3D" w:rsidRDefault="00FA7B31" w:rsidP="00FA7B31">
      <w:pPr>
        <w:pStyle w:val="JudgmentNumbered"/>
        <w:numPr>
          <w:ilvl w:val="0"/>
          <w:numId w:val="0"/>
        </w:numPr>
        <w:ind w:left="567" w:hanging="567"/>
      </w:pPr>
      <w:r>
        <w:t>[1]</w:t>
      </w:r>
      <w:r>
        <w:tab/>
      </w:r>
      <w:r w:rsidR="00066EA8">
        <w:t xml:space="preserve">In this matter the application initially sought an interdict against the first to third respondents. After the first to third respondents filed their answering affidavits, the applicant filed a replying affidavit and then amended its request seeking an interim interdict and a referral to oral evidence. </w:t>
      </w:r>
    </w:p>
    <w:p w14:paraId="70D8F700" w14:textId="761A0EDF" w:rsidR="007B7F59" w:rsidRDefault="00FA7B31" w:rsidP="00FA7B31">
      <w:pPr>
        <w:pStyle w:val="JudgmentNumbered"/>
        <w:numPr>
          <w:ilvl w:val="0"/>
          <w:numId w:val="0"/>
        </w:numPr>
        <w:ind w:left="567" w:hanging="567"/>
      </w:pPr>
      <w:r>
        <w:t>[2]</w:t>
      </w:r>
      <w:r>
        <w:tab/>
      </w:r>
      <w:r w:rsidR="00284F3D">
        <w:t xml:space="preserve">The </w:t>
      </w:r>
      <w:r w:rsidR="00CE39C6">
        <w:t xml:space="preserve">first </w:t>
      </w:r>
      <w:r w:rsidR="00284F3D">
        <w:t>applicant according to the founding affidavit is the chairman of the Board of T</w:t>
      </w:r>
      <w:r w:rsidR="00CE39C6">
        <w:t>rustees</w:t>
      </w:r>
      <w:r w:rsidR="00284F3D">
        <w:t xml:space="preserve"> of Central Square Body Corporate (Body Corporate)</w:t>
      </w:r>
      <w:r w:rsidR="00CE39C6">
        <w:t xml:space="preserve"> and is also the developer of the complex which</w:t>
      </w:r>
      <w:r w:rsidR="00066EA8">
        <w:t xml:space="preserve"> includes </w:t>
      </w:r>
      <w:r w:rsidR="00CE39C6">
        <w:t>residential and commercial units</w:t>
      </w:r>
      <w:r w:rsidR="00066EA8">
        <w:t>. The first applicant was</w:t>
      </w:r>
      <w:r w:rsidR="00284F3D">
        <w:t xml:space="preserve"> authorised by the </w:t>
      </w:r>
      <w:r w:rsidR="0060204B">
        <w:t>second</w:t>
      </w:r>
      <w:r w:rsidR="00284F3D">
        <w:t xml:space="preserve"> and third </w:t>
      </w:r>
      <w:r w:rsidR="00CE39C6">
        <w:t>applicant</w:t>
      </w:r>
      <w:r w:rsidR="00066EA8">
        <w:t>s</w:t>
      </w:r>
      <w:r w:rsidR="0060204B">
        <w:t xml:space="preserve"> to bring the application</w:t>
      </w:r>
      <w:r w:rsidR="00CE39C6">
        <w:t xml:space="preserve">. The applicants are responsible for the </w:t>
      </w:r>
      <w:r w:rsidR="00284F3D">
        <w:t>daily management of the body corporate</w:t>
      </w:r>
      <w:r w:rsidR="00CE39C6">
        <w:t xml:space="preserve"> affairs which include </w:t>
      </w:r>
      <w:r w:rsidR="00066EA8">
        <w:t xml:space="preserve">the </w:t>
      </w:r>
      <w:r w:rsidR="00CE39C6">
        <w:t>collection of levies for the repair</w:t>
      </w:r>
      <w:r w:rsidR="00066EA8">
        <w:t>,</w:t>
      </w:r>
      <w:r w:rsidR="00CE39C6">
        <w:t xml:space="preserve"> </w:t>
      </w:r>
      <w:proofErr w:type="gramStart"/>
      <w:r w:rsidR="00CE39C6">
        <w:t>maintenance</w:t>
      </w:r>
      <w:proofErr w:type="gramEnd"/>
      <w:r w:rsidR="00CE39C6">
        <w:t xml:space="preserve"> and upkeep of the property</w:t>
      </w:r>
      <w:r w:rsidR="00284F3D">
        <w:t>.</w:t>
      </w:r>
      <w:r w:rsidR="00CE39C6">
        <w:t xml:space="preserve"> The three respondents are </w:t>
      </w:r>
      <w:r w:rsidR="00066EA8">
        <w:t>owners</w:t>
      </w:r>
      <w:r w:rsidR="00CE39C6">
        <w:t xml:space="preserve"> of units in the </w:t>
      </w:r>
      <w:r w:rsidR="00284F3D">
        <w:t xml:space="preserve">  </w:t>
      </w:r>
      <w:r w:rsidR="00CE39C6">
        <w:t xml:space="preserve">Sectional Title Scheme of Central Square Body Corporate. </w:t>
      </w:r>
    </w:p>
    <w:p w14:paraId="4E88B9DA" w14:textId="0041C473" w:rsidR="009A5ED6" w:rsidRDefault="00FA7B31" w:rsidP="00FA7B31">
      <w:pPr>
        <w:pStyle w:val="JudgmentNumbered"/>
        <w:numPr>
          <w:ilvl w:val="0"/>
          <w:numId w:val="0"/>
        </w:numPr>
        <w:ind w:left="567" w:hanging="567"/>
      </w:pPr>
      <w:r>
        <w:t>[3]</w:t>
      </w:r>
      <w:r>
        <w:tab/>
      </w:r>
      <w:r w:rsidR="00CE39C6">
        <w:t>The applicant seeks an interdict against the respondent</w:t>
      </w:r>
      <w:r w:rsidR="0060204B">
        <w:t xml:space="preserve">s to </w:t>
      </w:r>
      <w:r w:rsidR="00066EA8">
        <w:t>protect</w:t>
      </w:r>
      <w:r w:rsidR="0060204B">
        <w:t xml:space="preserve"> the employees and personnel of the first </w:t>
      </w:r>
      <w:r w:rsidR="00066EA8">
        <w:t>and</w:t>
      </w:r>
      <w:r w:rsidR="0060204B">
        <w:t xml:space="preserve"> second applicants and the third applicant. The applicant alleges that the respondents have bombarded the applicants and are harassing them with complaints in an unacceptable </w:t>
      </w:r>
      <w:r w:rsidR="00066EA8">
        <w:t xml:space="preserve">manner </w:t>
      </w:r>
      <w:r w:rsidR="0060204B">
        <w:t xml:space="preserve">which infringes </w:t>
      </w:r>
      <w:r w:rsidR="00066EA8">
        <w:t xml:space="preserve">on </w:t>
      </w:r>
      <w:r w:rsidR="0060204B">
        <w:t>their dignity. They are flooded with emails that contain slurs, and the respondents demand terminations and resignations of the applicants and trustees</w:t>
      </w:r>
      <w:r w:rsidR="009A5ED6">
        <w:t xml:space="preserve"> seeking to determine what is right or wrong and lawful or not. The respondents threaten to open complaints with CSOS if the applicants do not comply with the </w:t>
      </w:r>
      <w:r w:rsidR="00066EA8">
        <w:t>respondents’</w:t>
      </w:r>
      <w:r w:rsidR="009A5ED6">
        <w:t xml:space="preserve"> demands and their conduct has instilled fear in the employees who threatened to resign and have had nervous breakdowns and live in fear of the respondents. </w:t>
      </w:r>
    </w:p>
    <w:p w14:paraId="6E4ECDF6" w14:textId="7688FC3E" w:rsidR="00C647A1" w:rsidRDefault="00FA7B31" w:rsidP="00FA7B31">
      <w:pPr>
        <w:pStyle w:val="JudgmentNumbered"/>
        <w:numPr>
          <w:ilvl w:val="0"/>
          <w:numId w:val="0"/>
        </w:numPr>
        <w:ind w:left="567" w:hanging="567"/>
      </w:pPr>
      <w:r>
        <w:t>[4]</w:t>
      </w:r>
      <w:r>
        <w:tab/>
      </w:r>
      <w:r w:rsidR="009A5ED6">
        <w:t>The respondents have laid complaints with CSOS and charges at the South African Police Station</w:t>
      </w:r>
      <w:r w:rsidR="0060204B">
        <w:t>.</w:t>
      </w:r>
      <w:r w:rsidR="009A5ED6">
        <w:t xml:space="preserve"> </w:t>
      </w:r>
      <w:r w:rsidR="00985F3D">
        <w:t>T</w:t>
      </w:r>
      <w:r w:rsidR="00CE39C6">
        <w:t xml:space="preserve">he applicant </w:t>
      </w:r>
      <w:r w:rsidR="009646BE">
        <w:t>referred to intimidation, long vindictive telephone calls, and abuse being levelled at personnel employed by the applicant</w:t>
      </w:r>
      <w:r w:rsidR="00066EA8">
        <w:t xml:space="preserve"> by the respondents</w:t>
      </w:r>
      <w:r w:rsidR="009646BE">
        <w:t>.  In particular</w:t>
      </w:r>
      <w:r w:rsidR="00066EA8">
        <w:t>,</w:t>
      </w:r>
      <w:r w:rsidR="009646BE">
        <w:t xml:space="preserve"> the applicant refers to </w:t>
      </w:r>
      <w:r w:rsidR="00066EA8">
        <w:t xml:space="preserve">a </w:t>
      </w:r>
      <w:r w:rsidR="00985F3D">
        <w:t xml:space="preserve">manager, </w:t>
      </w:r>
      <w:r w:rsidR="009646BE">
        <w:t xml:space="preserve">Ms Lourens who </w:t>
      </w:r>
      <w:r w:rsidR="00985F3D">
        <w:t xml:space="preserve">they wish to call as a witness being </w:t>
      </w:r>
      <w:r w:rsidR="009646BE">
        <w:t xml:space="preserve">called various </w:t>
      </w:r>
      <w:r w:rsidR="00985F3D">
        <w:t xml:space="preserve">derogatory </w:t>
      </w:r>
      <w:r w:rsidR="009646BE">
        <w:t>names</w:t>
      </w:r>
      <w:r w:rsidR="00985F3D">
        <w:t>.</w:t>
      </w:r>
      <w:r w:rsidR="00066EA8">
        <w:t xml:space="preserve"> It was</w:t>
      </w:r>
      <w:r w:rsidR="009646BE">
        <w:t xml:space="preserve"> contended that the respondent</w:t>
      </w:r>
      <w:r w:rsidR="00985F3D">
        <w:t>s</w:t>
      </w:r>
      <w:r w:rsidR="009646BE">
        <w:t xml:space="preserve"> are making the sectional title scheme ungovernable. In the founding </w:t>
      </w:r>
      <w:r w:rsidR="00C647A1">
        <w:t>affidavit</w:t>
      </w:r>
      <w:r w:rsidR="00066EA8">
        <w:t>,</w:t>
      </w:r>
      <w:r w:rsidR="009646BE">
        <w:t xml:space="preserve"> the applicant states that a grievance </w:t>
      </w:r>
      <w:r w:rsidR="009646BE">
        <w:lastRenderedPageBreak/>
        <w:t xml:space="preserve">against the managing agent should be addressed to the body corporate and then continues to </w:t>
      </w:r>
      <w:r w:rsidR="00C647A1">
        <w:t xml:space="preserve">state that the grievance should be received by the managing agent for onward transmission to the Trustees. </w:t>
      </w:r>
      <w:proofErr w:type="gramStart"/>
      <w:r w:rsidR="00C647A1">
        <w:t>Thus</w:t>
      </w:r>
      <w:proofErr w:type="gramEnd"/>
      <w:r w:rsidR="00C647A1">
        <w:t xml:space="preserve"> the same person against whom the complaint is made is meant to channel the complaint onward. </w:t>
      </w:r>
    </w:p>
    <w:p w14:paraId="60405A8A" w14:textId="7EA0B692" w:rsidR="00577CFD" w:rsidRDefault="00FA7B31" w:rsidP="00FA7B31">
      <w:pPr>
        <w:pStyle w:val="JudgmentNumbered"/>
        <w:numPr>
          <w:ilvl w:val="0"/>
          <w:numId w:val="0"/>
        </w:numPr>
        <w:ind w:left="567" w:hanging="567"/>
      </w:pPr>
      <w:r>
        <w:t>[5]</w:t>
      </w:r>
      <w:r>
        <w:tab/>
      </w:r>
      <w:r w:rsidR="00985F3D">
        <w:t>The</w:t>
      </w:r>
      <w:r w:rsidR="00DC101D">
        <w:t xml:space="preserve"> confirmatory affidavit attached from Ms Lourens </w:t>
      </w:r>
      <w:r w:rsidR="00147B5F">
        <w:t>did</w:t>
      </w:r>
      <w:r w:rsidR="00DC101D">
        <w:t xml:space="preserve"> not give </w:t>
      </w:r>
      <w:r w:rsidR="000C38FC">
        <w:t xml:space="preserve">details about the abuse levelled at her </w:t>
      </w:r>
      <w:r w:rsidR="00147B5F">
        <w:t xml:space="preserve">as it </w:t>
      </w:r>
      <w:r w:rsidR="000C38FC">
        <w:t xml:space="preserve">is merely a confirmatory affidavit </w:t>
      </w:r>
      <w:r w:rsidR="00DC101D">
        <w:t xml:space="preserve">to </w:t>
      </w:r>
      <w:r w:rsidR="00147B5F">
        <w:t xml:space="preserve">founding affidavit and the general </w:t>
      </w:r>
      <w:r w:rsidR="00DC101D">
        <w:t>the averment</w:t>
      </w:r>
      <w:r w:rsidR="00147B5F">
        <w:t xml:space="preserve">. This </w:t>
      </w:r>
      <w:r w:rsidR="00DC101D">
        <w:t>is disputed by the respondents in the</w:t>
      </w:r>
      <w:r w:rsidR="000C38FC">
        <w:t>ir</w:t>
      </w:r>
      <w:r w:rsidR="00DC101D">
        <w:t xml:space="preserve"> answering </w:t>
      </w:r>
      <w:r w:rsidR="00577CFD">
        <w:t>affidavits</w:t>
      </w:r>
      <w:r w:rsidR="00DC101D">
        <w:t>. The applicant repeatedly refers to a massive dispute of fact, however</w:t>
      </w:r>
      <w:r w:rsidR="000C38FC">
        <w:t>,</w:t>
      </w:r>
      <w:r w:rsidR="00DC101D">
        <w:t xml:space="preserve"> no emails supporting the defamatory averment</w:t>
      </w:r>
      <w:r w:rsidR="00147B5F">
        <w:t>s</w:t>
      </w:r>
      <w:r w:rsidR="00DC101D">
        <w:t xml:space="preserve"> </w:t>
      </w:r>
      <w:r w:rsidR="000C38FC">
        <w:t>were</w:t>
      </w:r>
      <w:r w:rsidR="00DC101D">
        <w:t xml:space="preserve"> attached to the founding affidavit. The allegation was also made that there were too many calls made</w:t>
      </w:r>
      <w:r w:rsidR="000C38FC">
        <w:t xml:space="preserve"> to the management rendering the management of the facility impossible</w:t>
      </w:r>
      <w:r w:rsidR="00DC101D">
        <w:t>. This too was disputed</w:t>
      </w:r>
      <w:r w:rsidR="000C38FC">
        <w:t xml:space="preserve"> by the respondents</w:t>
      </w:r>
      <w:r w:rsidR="00DC101D">
        <w:t xml:space="preserve">.  </w:t>
      </w:r>
      <w:r w:rsidR="000C38FC">
        <w:t>C</w:t>
      </w:r>
      <w:r w:rsidR="00DC101D">
        <w:t>ounsel</w:t>
      </w:r>
      <w:r w:rsidR="000C38FC">
        <w:t xml:space="preserve"> for the respondents submitted that upon perusing the records </w:t>
      </w:r>
      <w:r w:rsidR="00DC101D">
        <w:t>it appear</w:t>
      </w:r>
      <w:r w:rsidR="000C38FC">
        <w:t>ed</w:t>
      </w:r>
      <w:r w:rsidR="00DC101D">
        <w:t xml:space="preserve"> that the number of calls</w:t>
      </w:r>
      <w:r w:rsidR="000C38FC">
        <w:t xml:space="preserve"> the applicant relied upon and that would be placed before the court during trial </w:t>
      </w:r>
      <w:r w:rsidR="00DC101D">
        <w:t>were in dispute</w:t>
      </w:r>
      <w:r w:rsidR="000C38FC">
        <w:t>. T</w:t>
      </w:r>
      <w:r w:rsidR="00577CFD">
        <w:t xml:space="preserve">hese records </w:t>
      </w:r>
      <w:r w:rsidR="00147B5F">
        <w:t xml:space="preserve">were </w:t>
      </w:r>
      <w:r w:rsidR="00577CFD">
        <w:t xml:space="preserve">not attached </w:t>
      </w:r>
      <w:r w:rsidR="00147B5F">
        <w:t xml:space="preserve">to the papers </w:t>
      </w:r>
      <w:r w:rsidR="00577CFD">
        <w:t xml:space="preserve">and </w:t>
      </w:r>
      <w:r w:rsidR="00147B5F">
        <w:t xml:space="preserve">are </w:t>
      </w:r>
      <w:r w:rsidR="00577CFD">
        <w:t xml:space="preserve">not before this court. </w:t>
      </w:r>
    </w:p>
    <w:p w14:paraId="1FDE49DC" w14:textId="619A7C55" w:rsidR="00985F3D" w:rsidRDefault="00FA7B31" w:rsidP="00FA7B31">
      <w:pPr>
        <w:pStyle w:val="JudgmentNumbered"/>
        <w:numPr>
          <w:ilvl w:val="0"/>
          <w:numId w:val="0"/>
        </w:numPr>
        <w:ind w:left="567" w:hanging="567"/>
      </w:pPr>
      <w:r>
        <w:t>[6]</w:t>
      </w:r>
      <w:r>
        <w:tab/>
      </w:r>
      <w:r w:rsidR="00985F3D">
        <w:t>The respondents agree that there is a dispute of facts</w:t>
      </w:r>
      <w:r w:rsidR="0059335B">
        <w:t>.</w:t>
      </w:r>
      <w:r w:rsidR="0059335B" w:rsidRPr="0059335B">
        <w:t xml:space="preserve"> </w:t>
      </w:r>
      <w:r w:rsidR="0059335B">
        <w:t xml:space="preserve">They contend that the applicants have launched vexatious litigation </w:t>
      </w:r>
      <w:proofErr w:type="gramStart"/>
      <w:r w:rsidR="0059335B">
        <w:t>in an attempt to</w:t>
      </w:r>
      <w:proofErr w:type="gramEnd"/>
      <w:r w:rsidR="0059335B">
        <w:t xml:space="preserve"> prevent the respondents from exercising their rights and this in turn fails to address the underlying disputes that are present at Central Square. Moreover</w:t>
      </w:r>
      <w:r w:rsidR="00DF14D5">
        <w:t>,</w:t>
      </w:r>
      <w:r w:rsidR="0059335B">
        <w:t xml:space="preserve"> the respondents aver that the applicant</w:t>
      </w:r>
      <w:r w:rsidR="000C38FC">
        <w:t>s</w:t>
      </w:r>
      <w:r w:rsidR="0059335B">
        <w:t xml:space="preserve"> have not made out a case that warrants the granting of interim relief</w:t>
      </w:r>
      <w:r w:rsidR="000C38FC">
        <w:t xml:space="preserve"> in the form of an interdict</w:t>
      </w:r>
      <w:r w:rsidR="0059335B">
        <w:t xml:space="preserve">. </w:t>
      </w:r>
      <w:r w:rsidR="000C38FC">
        <w:t>It was argued that the</w:t>
      </w:r>
      <w:r w:rsidR="00C65CF1">
        <w:t xml:space="preserve"> applicants </w:t>
      </w:r>
      <w:r w:rsidR="0059335B">
        <w:t>should have been aware that there were</w:t>
      </w:r>
      <w:r w:rsidR="000C38FC">
        <w:t xml:space="preserve"> </w:t>
      </w:r>
      <w:r w:rsidR="0059335B">
        <w:t xml:space="preserve">genuine and bona fide disputes of fact that would emerge when they launched this application. </w:t>
      </w:r>
      <w:r w:rsidR="00DF14D5">
        <w:t>The</w:t>
      </w:r>
      <w:r w:rsidR="004B32BE">
        <w:t xml:space="preserve"> respondents </w:t>
      </w:r>
      <w:r w:rsidR="00985F3D">
        <w:t>contend that they have been polite in their communication. In their vie</w:t>
      </w:r>
      <w:r w:rsidR="002F28BB">
        <w:t>w</w:t>
      </w:r>
      <w:r w:rsidR="004B32BE">
        <w:t>,</w:t>
      </w:r>
      <w:r w:rsidR="002F28BB">
        <w:t xml:space="preserve"> the application is akin to a S</w:t>
      </w:r>
      <w:r w:rsidR="00985F3D">
        <w:t xml:space="preserve">trategic </w:t>
      </w:r>
      <w:proofErr w:type="gramStart"/>
      <w:r w:rsidR="00985F3D">
        <w:t>Law Suit</w:t>
      </w:r>
      <w:proofErr w:type="gramEnd"/>
      <w:r w:rsidR="00985F3D">
        <w:t xml:space="preserve"> against Public Participation</w:t>
      </w:r>
      <w:r w:rsidR="002F28BB">
        <w:t xml:space="preserve"> which seeks to silence them</w:t>
      </w:r>
      <w:r w:rsidR="00985F3D">
        <w:t>.</w:t>
      </w:r>
      <w:r w:rsidR="00DF14D5" w:rsidRPr="00DF14D5">
        <w:t xml:space="preserve"> </w:t>
      </w:r>
      <w:r w:rsidR="00DF14D5">
        <w:t xml:space="preserve">Therefore, the respondents apply for the dismissal of the application with costs on the attorney and client scale including the costs of two </w:t>
      </w:r>
      <w:proofErr w:type="gramStart"/>
      <w:r w:rsidR="00DF14D5">
        <w:t>counsel</w:t>
      </w:r>
      <w:proofErr w:type="gramEnd"/>
      <w:r w:rsidR="00985F3D">
        <w:t xml:space="preserve"> </w:t>
      </w:r>
    </w:p>
    <w:p w14:paraId="2DC43BB7" w14:textId="54D745B8" w:rsidR="00BE3834" w:rsidRDefault="00FA7B31" w:rsidP="00FA7B31">
      <w:pPr>
        <w:pStyle w:val="JudgmentNumbered"/>
        <w:numPr>
          <w:ilvl w:val="0"/>
          <w:numId w:val="0"/>
        </w:numPr>
        <w:ind w:left="567" w:hanging="567"/>
      </w:pPr>
      <w:r>
        <w:t>[7]</w:t>
      </w:r>
      <w:r>
        <w:tab/>
      </w:r>
      <w:r w:rsidR="00BE3834">
        <w:t>In</w:t>
      </w:r>
      <w:r w:rsidR="00C65CF1">
        <w:t xml:space="preserve"> their amended application and in</w:t>
      </w:r>
      <w:r w:rsidR="00BE3834">
        <w:t xml:space="preserve"> view of the disputes</w:t>
      </w:r>
      <w:r w:rsidR="00C65CF1">
        <w:t xml:space="preserve"> raised in the answering affidavits</w:t>
      </w:r>
      <w:r w:rsidR="004B32BE">
        <w:t>,</w:t>
      </w:r>
      <w:r w:rsidR="00BE3834">
        <w:t xml:space="preserve"> the applicants request that the disputes be referred to oral evidence. This the applicants contend would enable the</w:t>
      </w:r>
      <w:r w:rsidR="004B32BE">
        <w:t xml:space="preserve"> trial court to deliberate</w:t>
      </w:r>
      <w:r w:rsidR="00BE3834">
        <w:t xml:space="preserve"> </w:t>
      </w:r>
      <w:r w:rsidR="00C65CF1">
        <w:t xml:space="preserve">on </w:t>
      </w:r>
      <w:r w:rsidR="00BE3834">
        <w:t xml:space="preserve">the many </w:t>
      </w:r>
      <w:r w:rsidR="00BE3834">
        <w:lastRenderedPageBreak/>
        <w:t xml:space="preserve">disputes and </w:t>
      </w:r>
      <w:r w:rsidR="00C65CF1">
        <w:t xml:space="preserve">allow </w:t>
      </w:r>
      <w:r w:rsidR="00BE3834">
        <w:t>the high level of conflict to be resolved and</w:t>
      </w:r>
      <w:r w:rsidR="004B32BE">
        <w:t xml:space="preserve"> to </w:t>
      </w:r>
      <w:r w:rsidR="00BE3834">
        <w:t xml:space="preserve">restore peace and harmony to the body corporate. </w:t>
      </w:r>
      <w:r w:rsidR="00C65CF1">
        <w:t xml:space="preserve">Counsel for the applicant submitted that a determination which applied the </w:t>
      </w:r>
      <w:proofErr w:type="spellStart"/>
      <w:r w:rsidR="00C65CF1">
        <w:t>Plascon</w:t>
      </w:r>
      <w:proofErr w:type="spellEnd"/>
      <w:r w:rsidR="00C65CF1">
        <w:t xml:space="preserve"> Evans test would not assist in the present matter</w:t>
      </w:r>
      <w:r w:rsidR="00D20AD2">
        <w:t xml:space="preserve"> in view of the massive disputes and the volumes of which it has at </w:t>
      </w:r>
      <w:r w:rsidR="00D20AD2" w:rsidRPr="008D4D59">
        <w:t>i</w:t>
      </w:r>
      <w:r w:rsidR="008D4D59" w:rsidRPr="008D4D59">
        <w:t>t</w:t>
      </w:r>
      <w:r w:rsidR="00D20AD2" w:rsidRPr="008D4D59">
        <w:t>s</w:t>
      </w:r>
      <w:r w:rsidR="00D20AD2">
        <w:t xml:space="preserve"> disposal which it seeks to place before the court dealing with the dispute </w:t>
      </w:r>
      <w:r w:rsidR="00BE3834">
        <w:t>which have not been attached to the papers.</w:t>
      </w:r>
    </w:p>
    <w:p w14:paraId="5C339732" w14:textId="51842048" w:rsidR="00DD4CE5" w:rsidRPr="002F28BB" w:rsidRDefault="00FA7B31" w:rsidP="00FA7B31">
      <w:pPr>
        <w:pStyle w:val="JudgmentNumbered"/>
        <w:numPr>
          <w:ilvl w:val="0"/>
          <w:numId w:val="0"/>
        </w:numPr>
        <w:ind w:left="567" w:hanging="567"/>
        <w:rPr>
          <w:i/>
        </w:rPr>
      </w:pPr>
      <w:r w:rsidRPr="002F28BB">
        <w:t>[8]</w:t>
      </w:r>
      <w:r w:rsidRPr="002F28BB">
        <w:tab/>
      </w:r>
      <w:r w:rsidR="00BE3834">
        <w:t xml:space="preserve">Counsel or the applicant relied on the decision in </w:t>
      </w:r>
      <w:proofErr w:type="spellStart"/>
      <w:r w:rsidR="00DD4CE5" w:rsidRPr="00DD4CE5">
        <w:rPr>
          <w:i/>
        </w:rPr>
        <w:t>Mamadi</w:t>
      </w:r>
      <w:proofErr w:type="spellEnd"/>
      <w:r w:rsidR="00DD4CE5" w:rsidRPr="00DD4CE5">
        <w:rPr>
          <w:i/>
        </w:rPr>
        <w:t xml:space="preserve"> and Another v Premier of Limpopo Province and </w:t>
      </w:r>
      <w:r w:rsidR="008D4D59" w:rsidRPr="00DD4CE5">
        <w:rPr>
          <w:i/>
        </w:rPr>
        <w:t xml:space="preserve">Others </w:t>
      </w:r>
      <w:r w:rsidR="008D4D59">
        <w:rPr>
          <w:i/>
        </w:rPr>
        <w:t>to</w:t>
      </w:r>
      <w:r w:rsidR="009D7A67" w:rsidRPr="009D7A67">
        <w:t xml:space="preserve"> ref</w:t>
      </w:r>
      <w:r w:rsidR="002F28BB">
        <w:t>er the matter to oral evidence referring to the Court</w:t>
      </w:r>
      <w:r w:rsidR="004B32BE">
        <w:t>’s</w:t>
      </w:r>
      <w:r w:rsidR="002F28BB">
        <w:t xml:space="preserve"> dictum at para 44 where the Court stated:</w:t>
      </w:r>
    </w:p>
    <w:p w14:paraId="423C5073" w14:textId="77777777" w:rsidR="002F28BB" w:rsidRPr="002F28BB" w:rsidRDefault="002F28BB" w:rsidP="002F28BB">
      <w:pPr>
        <w:pStyle w:val="JudgmentNumbered"/>
        <w:numPr>
          <w:ilvl w:val="0"/>
          <w:numId w:val="0"/>
        </w:numPr>
        <w:ind w:left="1134"/>
        <w:rPr>
          <w:i/>
          <w:sz w:val="22"/>
        </w:rPr>
      </w:pPr>
      <w:r>
        <w:rPr>
          <w:sz w:val="22"/>
        </w:rPr>
        <w:t>“</w:t>
      </w:r>
      <w:r w:rsidRPr="002F28BB">
        <w:rPr>
          <w:sz w:val="22"/>
        </w:rPr>
        <w:t xml:space="preserve">This does not mean that an applicant in a rule 53 application is entitled, as of right, to have a matter referred to oral evidence or trial. General principles governing the referral of a matter to oral evidence or trial remain applicable. Litigants should, </w:t>
      </w:r>
      <w:proofErr w:type="gramStart"/>
      <w:r w:rsidRPr="002F28BB">
        <w:rPr>
          <w:sz w:val="22"/>
        </w:rPr>
        <w:t>as a general rule</w:t>
      </w:r>
      <w:proofErr w:type="gramEnd"/>
      <w:r w:rsidRPr="002F28BB">
        <w:rPr>
          <w:sz w:val="22"/>
        </w:rPr>
        <w:t xml:space="preserve">, apply for a referral to oral evidence or trial, where warranted, as soon as the affidavits have been exchanged.  Where timeous application is not made, courts are, in general, entitled to proceed on the basis that the applicant has accepted that factual disputes will be resolved by application of </w:t>
      </w:r>
      <w:proofErr w:type="spellStart"/>
      <w:r w:rsidRPr="002F28BB">
        <w:rPr>
          <w:sz w:val="22"/>
        </w:rPr>
        <w:t>Plascon</w:t>
      </w:r>
      <w:proofErr w:type="spellEnd"/>
      <w:r w:rsidRPr="002F28BB">
        <w:rPr>
          <w:sz w:val="22"/>
        </w:rPr>
        <w:t xml:space="preserve">-Evans. Likewise, where an applicant relies on </w:t>
      </w:r>
      <w:proofErr w:type="spellStart"/>
      <w:r w:rsidRPr="002F28BB">
        <w:rPr>
          <w:sz w:val="22"/>
        </w:rPr>
        <w:t>Plascon</w:t>
      </w:r>
      <w:proofErr w:type="spellEnd"/>
      <w:r w:rsidRPr="002F28BB">
        <w:rPr>
          <w:sz w:val="22"/>
        </w:rPr>
        <w:t>-Evans, but fails to convince a court that its application can prevail by application of the rule, a court might justifiably refuse a belated application for referral to oral evidence. A court should however proceed in a rule 53 application with caution.</w:t>
      </w:r>
      <w:r>
        <w:rPr>
          <w:sz w:val="22"/>
        </w:rPr>
        <w:t>”</w:t>
      </w:r>
      <w:r w:rsidRPr="002F28BB">
        <w:rPr>
          <w:sz w:val="22"/>
        </w:rPr>
        <w:t xml:space="preserve"> </w:t>
      </w:r>
    </w:p>
    <w:p w14:paraId="1EE72C36" w14:textId="45E7325E" w:rsidR="00603867" w:rsidRDefault="00FA7B31" w:rsidP="00FA7B31">
      <w:pPr>
        <w:pStyle w:val="JudgmentNumbered"/>
        <w:numPr>
          <w:ilvl w:val="0"/>
          <w:numId w:val="0"/>
        </w:numPr>
        <w:ind w:left="567" w:hanging="567"/>
      </w:pPr>
      <w:r>
        <w:t>[9]</w:t>
      </w:r>
      <w:r>
        <w:tab/>
      </w:r>
      <w:r w:rsidR="00603867" w:rsidRPr="00603867">
        <w:t xml:space="preserve">At </w:t>
      </w:r>
      <w:r w:rsidR="00603867">
        <w:t>paragraph 44 in</w:t>
      </w:r>
      <w:r w:rsidR="007A0AD1">
        <w:t xml:space="preserve"> </w:t>
      </w:r>
      <w:proofErr w:type="spellStart"/>
      <w:r w:rsidR="008D4D59" w:rsidRPr="007A0AD1">
        <w:rPr>
          <w:i/>
        </w:rPr>
        <w:t>Mamadi</w:t>
      </w:r>
      <w:proofErr w:type="spellEnd"/>
      <w:r w:rsidR="008D4D59">
        <w:rPr>
          <w:i/>
        </w:rPr>
        <w:t>,</w:t>
      </w:r>
      <w:r w:rsidR="008D4D59">
        <w:t xml:space="preserve"> the</w:t>
      </w:r>
      <w:r w:rsidR="00603867">
        <w:t xml:space="preserve"> Court notes:</w:t>
      </w:r>
    </w:p>
    <w:p w14:paraId="2597E4B1" w14:textId="77777777" w:rsidR="00603867" w:rsidRPr="00603867" w:rsidRDefault="00603867" w:rsidP="00603867">
      <w:pPr>
        <w:pStyle w:val="JudgmentNumbered"/>
        <w:numPr>
          <w:ilvl w:val="0"/>
          <w:numId w:val="0"/>
        </w:numPr>
        <w:ind w:left="1440"/>
        <w:rPr>
          <w:sz w:val="22"/>
        </w:rPr>
      </w:pPr>
      <w:r>
        <w:rPr>
          <w:sz w:val="22"/>
        </w:rPr>
        <w:t>“</w:t>
      </w:r>
      <w:r w:rsidRPr="00603867">
        <w:rPr>
          <w:sz w:val="22"/>
        </w:rPr>
        <w:t xml:space="preserve">This does not mean that an applicant in a rule 53 application is entitled, as of right, to have a matter referred to oral evidence or trial. General principles governing the referral of a matter to oral evidence or trial remain applicable. Litigants should, </w:t>
      </w:r>
      <w:proofErr w:type="gramStart"/>
      <w:r w:rsidRPr="00603867">
        <w:rPr>
          <w:sz w:val="22"/>
        </w:rPr>
        <w:t>as a general rule</w:t>
      </w:r>
      <w:proofErr w:type="gramEnd"/>
      <w:r w:rsidRPr="00603867">
        <w:rPr>
          <w:sz w:val="22"/>
        </w:rPr>
        <w:t xml:space="preserve">, apply for a referral to oral evidence or trial, where warranted, as soon as the affidavits have been exchanged.  Where timeous application is not made, courts are, in general, entitled to proceed on the basis that the applicant has accepted that factual disputes will be resolved by application of </w:t>
      </w:r>
      <w:proofErr w:type="spellStart"/>
      <w:r w:rsidRPr="00603867">
        <w:rPr>
          <w:sz w:val="22"/>
        </w:rPr>
        <w:t>Plascon</w:t>
      </w:r>
      <w:proofErr w:type="spellEnd"/>
      <w:r w:rsidRPr="00603867">
        <w:rPr>
          <w:sz w:val="22"/>
        </w:rPr>
        <w:t xml:space="preserve">-Evans. Likewise, where an applicant relies on </w:t>
      </w:r>
      <w:proofErr w:type="spellStart"/>
      <w:r w:rsidRPr="00603867">
        <w:rPr>
          <w:sz w:val="22"/>
        </w:rPr>
        <w:t>Plascon</w:t>
      </w:r>
      <w:proofErr w:type="spellEnd"/>
      <w:r w:rsidRPr="00603867">
        <w:rPr>
          <w:sz w:val="22"/>
        </w:rPr>
        <w:t xml:space="preserve">-Evans, but fails to convince a court that its application can prevail by application of the rule, a court might justifiably refuse a belated application for referral to oral evidence. A court should however proceed in a rule 53 application with caution. An applicant might institute proceedings in good faith </w:t>
      </w:r>
      <w:r w:rsidRPr="00603867">
        <w:rPr>
          <w:sz w:val="22"/>
        </w:rPr>
        <w:lastRenderedPageBreak/>
        <w:t xml:space="preserve">in terms of rule 53, </w:t>
      </w:r>
      <w:proofErr w:type="gramStart"/>
      <w:r w:rsidRPr="00603867">
        <w:rPr>
          <w:sz w:val="22"/>
        </w:rPr>
        <w:t>in order to</w:t>
      </w:r>
      <w:proofErr w:type="gramEnd"/>
      <w:r w:rsidRPr="00603867">
        <w:rPr>
          <w:sz w:val="22"/>
        </w:rPr>
        <w:t xml:space="preserve"> secure the advantages of the rule and on the basis that the application can properly be decided by application of </w:t>
      </w:r>
      <w:proofErr w:type="spellStart"/>
      <w:r w:rsidRPr="00603867">
        <w:rPr>
          <w:sz w:val="22"/>
        </w:rPr>
        <w:t>Plascon</w:t>
      </w:r>
      <w:proofErr w:type="spellEnd"/>
      <w:r w:rsidRPr="00603867">
        <w:rPr>
          <w:sz w:val="22"/>
        </w:rPr>
        <w:t xml:space="preserve">-Evans, only for the respondent to later show that this is not so. In these circumstances, provided the dispute of fact which emerges is genuine and far-reaching and the probabilities are sufficiently evenly balanced, referral to oral evidence or trial, as the case may be, will generally be </w:t>
      </w:r>
      <w:proofErr w:type="gramStart"/>
      <w:r w:rsidRPr="00603867">
        <w:rPr>
          <w:sz w:val="22"/>
        </w:rPr>
        <w:t>appropriate</w:t>
      </w:r>
      <w:r>
        <w:rPr>
          <w:sz w:val="22"/>
        </w:rPr>
        <w:t>”</w:t>
      </w:r>
      <w:proofErr w:type="gramEnd"/>
    </w:p>
    <w:p w14:paraId="4F2D224E" w14:textId="747EF76E" w:rsidR="00BE7155" w:rsidRDefault="00FA7B31" w:rsidP="00FA7B31">
      <w:pPr>
        <w:pStyle w:val="JudgmentNumbered"/>
        <w:numPr>
          <w:ilvl w:val="0"/>
          <w:numId w:val="0"/>
        </w:numPr>
        <w:ind w:left="567" w:hanging="567"/>
      </w:pPr>
      <w:r>
        <w:t>[10]</w:t>
      </w:r>
      <w:r>
        <w:tab/>
      </w:r>
      <w:r w:rsidR="00725212">
        <w:t xml:space="preserve">The </w:t>
      </w:r>
      <w:r w:rsidR="00BE7155">
        <w:t>respondents’</w:t>
      </w:r>
      <w:r w:rsidR="00725212">
        <w:t xml:space="preserve"> reliance is on SLAPP </w:t>
      </w:r>
      <w:r w:rsidR="00BE7155">
        <w:t xml:space="preserve">and an abuse of process. </w:t>
      </w:r>
      <w:proofErr w:type="gramStart"/>
      <w:r w:rsidR="00BE7155">
        <w:t xml:space="preserve">In </w:t>
      </w:r>
      <w:r w:rsidR="00725212">
        <w:t xml:space="preserve"> </w:t>
      </w:r>
      <w:r w:rsidR="00BE3834" w:rsidRPr="00BE3834">
        <w:rPr>
          <w:i/>
        </w:rPr>
        <w:t>Mineral</w:t>
      </w:r>
      <w:proofErr w:type="gramEnd"/>
      <w:r w:rsidR="00BE3834" w:rsidRPr="00BE3834">
        <w:rPr>
          <w:i/>
        </w:rPr>
        <w:t xml:space="preserve"> Sands Resources (Pty) Ltd and Others v </w:t>
      </w:r>
      <w:proofErr w:type="spellStart"/>
      <w:r w:rsidR="00BE3834" w:rsidRPr="00BE3834">
        <w:rPr>
          <w:i/>
        </w:rPr>
        <w:t>Reddell</w:t>
      </w:r>
      <w:proofErr w:type="spellEnd"/>
      <w:r w:rsidR="00BE3834" w:rsidRPr="00BE3834">
        <w:rPr>
          <w:i/>
        </w:rPr>
        <w:t xml:space="preserve"> and Others</w:t>
      </w:r>
      <w:r w:rsidR="00BE3834">
        <w:rPr>
          <w:rStyle w:val="FootnoteReference"/>
          <w:i/>
        </w:rPr>
        <w:footnoteReference w:id="1"/>
      </w:r>
      <w:r w:rsidR="00BE3834">
        <w:t xml:space="preserve"> </w:t>
      </w:r>
      <w:r w:rsidR="00725212">
        <w:t xml:space="preserve"> </w:t>
      </w:r>
      <w:r w:rsidR="00A86025">
        <w:t xml:space="preserve">the Court </w:t>
      </w:r>
      <w:r w:rsidR="00BE3834">
        <w:t xml:space="preserve"> </w:t>
      </w:r>
      <w:r w:rsidR="007A0AD1">
        <w:t xml:space="preserve"> noted :</w:t>
      </w:r>
      <w:r w:rsidR="00BE7155">
        <w:t xml:space="preserve"> </w:t>
      </w:r>
    </w:p>
    <w:p w14:paraId="1189F988" w14:textId="77777777" w:rsidR="00BE7155" w:rsidRDefault="00BE7155" w:rsidP="00BE7155">
      <w:pPr>
        <w:pStyle w:val="JudgmentNumbered"/>
        <w:numPr>
          <w:ilvl w:val="0"/>
          <w:numId w:val="0"/>
        </w:numPr>
        <w:ind w:left="1440"/>
        <w:rPr>
          <w:sz w:val="22"/>
        </w:rPr>
      </w:pPr>
      <w:r w:rsidRPr="00BE7155">
        <w:rPr>
          <w:sz w:val="22"/>
        </w:rPr>
        <w:t>“The main thrust of the respondents’ argument is that the existing doctrine of abuse of process encompasses a SLAPP suit defence and that the existing common law allows and requires courts to consider ulterior motive when assessing whether a litigant has abused court proceedings</w:t>
      </w:r>
      <w:r>
        <w:rPr>
          <w:sz w:val="22"/>
        </w:rPr>
        <w:t>…</w:t>
      </w:r>
    </w:p>
    <w:p w14:paraId="75369F29" w14:textId="77777777" w:rsidR="00BE7155" w:rsidRPr="00BE7155" w:rsidRDefault="00BE7155" w:rsidP="00BE7155">
      <w:pPr>
        <w:pStyle w:val="JudgmentNumbered"/>
        <w:numPr>
          <w:ilvl w:val="0"/>
          <w:numId w:val="0"/>
        </w:numPr>
        <w:ind w:left="1440"/>
        <w:rPr>
          <w:sz w:val="22"/>
        </w:rPr>
      </w:pPr>
      <w:r w:rsidRPr="00BE7155">
        <w:rPr>
          <w:sz w:val="22"/>
        </w:rPr>
        <w:t xml:space="preserve">According to the respondents, that case holds that, generally, abuses of process occur when court processes are used for ulterior or extraneous purposes. This finding makes clear that (a) ulterior motives will be considered; and (b) ulterior motives can be determinative of abuse of </w:t>
      </w:r>
      <w:proofErr w:type="gramStart"/>
      <w:r w:rsidRPr="00BE7155">
        <w:rPr>
          <w:sz w:val="22"/>
        </w:rPr>
        <w:t>process”</w:t>
      </w:r>
      <w:proofErr w:type="gramEnd"/>
      <w:r w:rsidRPr="00BE7155">
        <w:rPr>
          <w:sz w:val="22"/>
        </w:rPr>
        <w:t xml:space="preserve"> </w:t>
      </w:r>
    </w:p>
    <w:p w14:paraId="4B84D00B" w14:textId="77777777" w:rsidR="0002487D" w:rsidRDefault="00A211C4" w:rsidP="00A211C4">
      <w:pPr>
        <w:pStyle w:val="JudgmentNumbered"/>
        <w:numPr>
          <w:ilvl w:val="0"/>
          <w:numId w:val="0"/>
        </w:numPr>
        <w:ind w:left="567" w:hanging="567"/>
      </w:pPr>
      <w:r>
        <w:t>[11]</w:t>
      </w:r>
      <w:r>
        <w:tab/>
      </w:r>
      <w:r w:rsidR="00753577">
        <w:t xml:space="preserve">In the </w:t>
      </w:r>
      <w:r w:rsidR="00BE7155">
        <w:t xml:space="preserve">present matter, </w:t>
      </w:r>
      <w:r w:rsidR="00252D6A">
        <w:t xml:space="preserve">counsel for </w:t>
      </w:r>
      <w:r w:rsidR="00BE7155">
        <w:t xml:space="preserve">the respondents </w:t>
      </w:r>
      <w:r w:rsidR="00252D6A">
        <w:t>submitted that the application is intended to silence the respondent</w:t>
      </w:r>
      <w:r>
        <w:t>s</w:t>
      </w:r>
      <w:r w:rsidR="00252D6A">
        <w:t xml:space="preserve"> and to </w:t>
      </w:r>
      <w:r>
        <w:t xml:space="preserve">discourage and </w:t>
      </w:r>
      <w:r w:rsidR="00252D6A">
        <w:t>prevent them from</w:t>
      </w:r>
      <w:r>
        <w:t xml:space="preserve"> </w:t>
      </w:r>
      <w:r w:rsidR="00252D6A">
        <w:t>participating in the</w:t>
      </w:r>
      <w:r w:rsidR="00753577">
        <w:t xml:space="preserve"> </w:t>
      </w:r>
      <w:r>
        <w:t xml:space="preserve">meetings or raising concerns generally. </w:t>
      </w:r>
      <w:r w:rsidR="00252D6A">
        <w:t>They submit further that they are also being limited in their freedom of association in the limitation</w:t>
      </w:r>
      <w:r w:rsidR="007A0AD1">
        <w:t xml:space="preserve"> that </w:t>
      </w:r>
      <w:r w:rsidR="007A0AD1" w:rsidRPr="008D4D59">
        <w:t xml:space="preserve">they </w:t>
      </w:r>
      <w:proofErr w:type="gramStart"/>
      <w:r w:rsidR="007A0AD1" w:rsidRPr="008D4D59">
        <w:t xml:space="preserve">not </w:t>
      </w:r>
      <w:r w:rsidR="00252D6A">
        <w:t>associat</w:t>
      </w:r>
      <w:r w:rsidR="00753577">
        <w:t>e</w:t>
      </w:r>
      <w:proofErr w:type="gramEnd"/>
      <w:r w:rsidR="00753577">
        <w:t xml:space="preserve"> </w:t>
      </w:r>
      <w:r w:rsidR="00252D6A">
        <w:t xml:space="preserve">with other owners </w:t>
      </w:r>
      <w:r w:rsidR="00D20AD2">
        <w:t xml:space="preserve">or </w:t>
      </w:r>
      <w:r w:rsidR="00252D6A">
        <w:t>discuss matters of mutual interest.</w:t>
      </w:r>
      <w:r w:rsidR="00753577">
        <w:t xml:space="preserve"> </w:t>
      </w:r>
      <w:r w:rsidR="007A0AD1">
        <w:t>Counsel submitted that t</w:t>
      </w:r>
      <w:r w:rsidR="00753577">
        <w:t>he files which the applicant</w:t>
      </w:r>
      <w:r w:rsidR="007A0AD1">
        <w:t xml:space="preserve"> </w:t>
      </w:r>
      <w:r w:rsidR="00753577">
        <w:t xml:space="preserve">seeks to rely on </w:t>
      </w:r>
      <w:r w:rsidR="007A0AD1">
        <w:t xml:space="preserve">if the matter were referred to </w:t>
      </w:r>
      <w:r w:rsidR="00753577">
        <w:t>trial related to matters</w:t>
      </w:r>
      <w:r w:rsidR="00D20AD2">
        <w:t xml:space="preserve"> between </w:t>
      </w:r>
      <w:r w:rsidR="007A0AD1">
        <w:t xml:space="preserve">the applicant </w:t>
      </w:r>
      <w:r w:rsidR="00D20AD2">
        <w:t xml:space="preserve">and </w:t>
      </w:r>
      <w:r w:rsidR="00753577">
        <w:t>other parties and is not relevant to the present matter with the three respondents.</w:t>
      </w:r>
      <w:r w:rsidR="00D20AD2">
        <w:t xml:space="preserve"> The papers are not before this court to make this determination. </w:t>
      </w:r>
      <w:r w:rsidR="00753577">
        <w:t xml:space="preserve"> </w:t>
      </w:r>
    </w:p>
    <w:p w14:paraId="412E226B" w14:textId="77777777" w:rsidR="003B042F" w:rsidRDefault="002630FD" w:rsidP="002525A6">
      <w:pPr>
        <w:pStyle w:val="JudgmentNumbered"/>
        <w:numPr>
          <w:ilvl w:val="0"/>
          <w:numId w:val="0"/>
        </w:numPr>
        <w:ind w:left="567" w:hanging="567"/>
      </w:pPr>
      <w:r>
        <w:t>[12]</w:t>
      </w:r>
      <w:r>
        <w:tab/>
      </w:r>
      <w:r w:rsidR="00820E0E">
        <w:t>In</w:t>
      </w:r>
      <w:r w:rsidR="00D20AD2">
        <w:t xml:space="preserve"> relation to the request for a referral to oral evidence it is apparent that there are disputes of fact. I am not persuaded that the applicant had made out a case on the papers that an </w:t>
      </w:r>
      <w:r w:rsidR="00820E0E">
        <w:t>interim interdict</w:t>
      </w:r>
      <w:r w:rsidR="00D20AD2">
        <w:t xml:space="preserve"> be granted. </w:t>
      </w:r>
      <w:r w:rsidR="00717145">
        <w:t xml:space="preserve"> </w:t>
      </w:r>
      <w:r w:rsidR="00194794">
        <w:t xml:space="preserve">The prima facie right relates </w:t>
      </w:r>
      <w:r w:rsidR="00194794">
        <w:lastRenderedPageBreak/>
        <w:t xml:space="preserve">to </w:t>
      </w:r>
      <w:proofErr w:type="gramStart"/>
      <w:r w:rsidR="00194794">
        <w:t>particular person</w:t>
      </w:r>
      <w:proofErr w:type="gramEnd"/>
      <w:r w:rsidR="00194794">
        <w:t xml:space="preserve"> and not the juristic entities. </w:t>
      </w:r>
      <w:r w:rsidR="003B042F">
        <w:t xml:space="preserve">In the </w:t>
      </w:r>
      <w:r w:rsidR="003B042F" w:rsidRPr="00194794">
        <w:rPr>
          <w:i/>
        </w:rPr>
        <w:t>Mineral Resources</w:t>
      </w:r>
      <w:r w:rsidR="003B042F">
        <w:t xml:space="preserve"> matter the court points out that</w:t>
      </w:r>
      <w:r w:rsidR="00194794">
        <w:t>:</w:t>
      </w:r>
      <w:r w:rsidR="003B042F">
        <w:t xml:space="preserve"> </w:t>
      </w:r>
    </w:p>
    <w:p w14:paraId="21EB3658" w14:textId="77777777" w:rsidR="003B042F" w:rsidRPr="003B042F" w:rsidRDefault="003B042F" w:rsidP="003B042F">
      <w:pPr>
        <w:pStyle w:val="JudgmentNumbered"/>
        <w:numPr>
          <w:ilvl w:val="0"/>
          <w:numId w:val="0"/>
        </w:numPr>
        <w:ind w:left="1440" w:firstLine="70"/>
        <w:rPr>
          <w:sz w:val="22"/>
        </w:rPr>
      </w:pPr>
      <w:r w:rsidRPr="003B042F">
        <w:rPr>
          <w:sz w:val="22"/>
        </w:rPr>
        <w:t xml:space="preserve">“The purpose of the right to dignity is, by its very nature, 'human­centric'. </w:t>
      </w:r>
      <w:r w:rsidR="00194794">
        <w:rPr>
          <w:sz w:val="22"/>
        </w:rPr>
        <w:t>….</w:t>
      </w:r>
      <w:r w:rsidRPr="003B042F">
        <w:rPr>
          <w:sz w:val="22"/>
        </w:rPr>
        <w:t xml:space="preserve">. A company was not meant to have 'intrinsic </w:t>
      </w:r>
      <w:proofErr w:type="spellStart"/>
      <w:r w:rsidRPr="003B042F">
        <w:rPr>
          <w:sz w:val="22"/>
        </w:rPr>
        <w:t>self­worth</w:t>
      </w:r>
      <w:proofErr w:type="spellEnd"/>
      <w:r w:rsidRPr="003B042F">
        <w:rPr>
          <w:sz w:val="22"/>
        </w:rPr>
        <w:t>', as this court has repeatedly referred to as the essence of human dignity.”</w:t>
      </w:r>
    </w:p>
    <w:p w14:paraId="57908EC8" w14:textId="77777777" w:rsidR="008D4D59" w:rsidRDefault="00194794" w:rsidP="008D4D59">
      <w:pPr>
        <w:pStyle w:val="JudgmentNumbered"/>
        <w:numPr>
          <w:ilvl w:val="0"/>
          <w:numId w:val="0"/>
        </w:numPr>
        <w:ind w:left="567"/>
      </w:pPr>
      <w:r>
        <w:t xml:space="preserve">Moreover, the </w:t>
      </w:r>
      <w:r w:rsidR="00820E0E">
        <w:t xml:space="preserve">applicant is </w:t>
      </w:r>
      <w:r>
        <w:t xml:space="preserve">already </w:t>
      </w:r>
      <w:r w:rsidR="00820E0E">
        <w:t>pursuing alternate remedies. The delay in pursuing the present matter</w:t>
      </w:r>
      <w:r w:rsidR="00CE675B">
        <w:t xml:space="preserve"> </w:t>
      </w:r>
      <w:r w:rsidR="008D4D59">
        <w:t xml:space="preserve">was </w:t>
      </w:r>
      <w:proofErr w:type="gramStart"/>
      <w:r w:rsidR="008D4D59">
        <w:t>as</w:t>
      </w:r>
      <w:r>
        <w:t xml:space="preserve"> a result of</w:t>
      </w:r>
      <w:proofErr w:type="gramEnd"/>
      <w:r>
        <w:t xml:space="preserve"> the applicant pursuing alternative litigation to </w:t>
      </w:r>
      <w:r w:rsidR="00820E0E">
        <w:t>prevent the purported harm it suggests is occurring</w:t>
      </w:r>
      <w:r w:rsidR="00CE675B">
        <w:t xml:space="preserve"> and </w:t>
      </w:r>
      <w:r w:rsidR="00820E0E">
        <w:t>was necessary. There has been a delay of some three years</w:t>
      </w:r>
      <w:r w:rsidR="00CE675B">
        <w:t xml:space="preserve"> since the application was launched. T</w:t>
      </w:r>
      <w:r w:rsidR="00820E0E">
        <w:t xml:space="preserve">he explanation that the applicant was dealing with other matters does not address </w:t>
      </w:r>
      <w:r w:rsidR="00CE675B">
        <w:t xml:space="preserve">why this matter was not prosecuted which if moved successfully may have the effect of </w:t>
      </w:r>
      <w:r w:rsidR="00820E0E">
        <w:t>put</w:t>
      </w:r>
      <w:r w:rsidR="00CE675B">
        <w:t xml:space="preserve">ting an </w:t>
      </w:r>
      <w:r w:rsidR="00820E0E">
        <w:t xml:space="preserve">end to the </w:t>
      </w:r>
      <w:r w:rsidR="00912A93">
        <w:t xml:space="preserve">other matters. </w:t>
      </w:r>
    </w:p>
    <w:p w14:paraId="5FC26D10" w14:textId="77777777" w:rsidR="00912A93" w:rsidRDefault="00CE675B" w:rsidP="008D4D59">
      <w:pPr>
        <w:pStyle w:val="JudgmentNumbered"/>
        <w:numPr>
          <w:ilvl w:val="0"/>
          <w:numId w:val="0"/>
        </w:numPr>
        <w:ind w:left="567" w:hanging="567"/>
      </w:pPr>
      <w:r>
        <w:t>[13]</w:t>
      </w:r>
      <w:r>
        <w:tab/>
      </w:r>
      <w:r w:rsidR="00912A93">
        <w:t>I considered the request to refer the matter in terms of Rule 6(5)(</w:t>
      </w:r>
      <w:r w:rsidR="008D4D59">
        <w:t>g) which</w:t>
      </w:r>
      <w:r w:rsidR="00912A93">
        <w:t xml:space="preserve"> provides: </w:t>
      </w:r>
    </w:p>
    <w:p w14:paraId="40DEF9EC" w14:textId="77777777" w:rsidR="00912A93" w:rsidRPr="00912A93" w:rsidRDefault="00912A93" w:rsidP="00CE675B">
      <w:pPr>
        <w:pStyle w:val="JudgmentNumbered"/>
        <w:numPr>
          <w:ilvl w:val="0"/>
          <w:numId w:val="0"/>
        </w:numPr>
        <w:ind w:left="1440"/>
        <w:rPr>
          <w:sz w:val="22"/>
        </w:rPr>
      </w:pPr>
      <w:r w:rsidRPr="00912A93">
        <w:rPr>
          <w:sz w:val="22"/>
        </w:rPr>
        <w:t xml:space="preserve">“Where an application cannot properly be decided on affidavit the court may dismiss the application or make such order as it deems fit with a view to ensuring a just and expeditious decision. In particular, but without affecting the generality of the </w:t>
      </w:r>
      <w:proofErr w:type="spellStart"/>
      <w:r w:rsidRPr="00912A93">
        <w:rPr>
          <w:sz w:val="22"/>
        </w:rPr>
        <w:t>aforegoing</w:t>
      </w:r>
      <w:proofErr w:type="spellEnd"/>
      <w:r w:rsidRPr="00912A93">
        <w:rPr>
          <w:sz w:val="22"/>
        </w:rPr>
        <w:t>, it may direct that oral evidence be heard on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p>
    <w:p w14:paraId="452696EB" w14:textId="77777777" w:rsidR="00CE675B" w:rsidRDefault="008D4D59" w:rsidP="008D4D59">
      <w:pPr>
        <w:pStyle w:val="JudgmentNumbered"/>
        <w:numPr>
          <w:ilvl w:val="0"/>
          <w:numId w:val="0"/>
        </w:numPr>
        <w:ind w:left="567" w:hanging="567"/>
      </w:pPr>
      <w:r>
        <w:t>[14]</w:t>
      </w:r>
      <w:r>
        <w:tab/>
      </w:r>
      <w:r w:rsidR="00912A93">
        <w:t>I have had an opportunity to consider the submission</w:t>
      </w:r>
      <w:r w:rsidR="00CE675B">
        <w:t>s</w:t>
      </w:r>
      <w:r w:rsidR="00912A93">
        <w:t xml:space="preserve"> made and am of the view that the matter is better referred to evidence in totality rather than on the limited aspect of Ms </w:t>
      </w:r>
      <w:proofErr w:type="spellStart"/>
      <w:r w:rsidR="00912A93">
        <w:t>Louren’s</w:t>
      </w:r>
      <w:proofErr w:type="spellEnd"/>
      <w:r w:rsidR="00912A93">
        <w:t xml:space="preserve"> evidence</w:t>
      </w:r>
      <w:r w:rsidR="00CE675B">
        <w:t xml:space="preserve"> only as initially directed</w:t>
      </w:r>
      <w:r w:rsidR="00912A93">
        <w:t xml:space="preserve">. </w:t>
      </w:r>
    </w:p>
    <w:p w14:paraId="74789A72" w14:textId="77777777" w:rsidR="00A83A79" w:rsidRDefault="00CE675B" w:rsidP="008F16F3">
      <w:pPr>
        <w:pStyle w:val="JudgmentNumbered"/>
        <w:numPr>
          <w:ilvl w:val="0"/>
          <w:numId w:val="0"/>
        </w:numPr>
        <w:ind w:left="567" w:hanging="567"/>
      </w:pPr>
      <w:r>
        <w:t>[15]</w:t>
      </w:r>
      <w:r>
        <w:tab/>
      </w:r>
      <w:r w:rsidR="00912A93">
        <w:t xml:space="preserve">The applicant however ought to have </w:t>
      </w:r>
      <w:r>
        <w:t>foreseen</w:t>
      </w:r>
      <w:r w:rsidR="00912A93">
        <w:t xml:space="preserve"> the dispute of fact</w:t>
      </w:r>
      <w:r>
        <w:t>s</w:t>
      </w:r>
      <w:r w:rsidR="00912A93">
        <w:t xml:space="preserve"> from the outset and issued summons in the matter. </w:t>
      </w:r>
    </w:p>
    <w:p w14:paraId="51CA08E4" w14:textId="77777777" w:rsidR="00912A93" w:rsidRDefault="00CE675B" w:rsidP="008F16F3">
      <w:pPr>
        <w:pStyle w:val="JudgmentNumbered"/>
        <w:numPr>
          <w:ilvl w:val="0"/>
          <w:numId w:val="0"/>
        </w:numPr>
        <w:ind w:left="567" w:hanging="567"/>
      </w:pPr>
      <w:r>
        <w:t>[16</w:t>
      </w:r>
      <w:r w:rsidR="00912A93">
        <w:t>]</w:t>
      </w:r>
      <w:r w:rsidR="00912A93">
        <w:tab/>
        <w:t>In view of the above I make the following order</w:t>
      </w:r>
      <w:r w:rsidR="002F279E">
        <w:t>,</w:t>
      </w:r>
      <w:r>
        <w:t xml:space="preserve"> </w:t>
      </w:r>
    </w:p>
    <w:p w14:paraId="4EC3E7DF" w14:textId="77777777" w:rsidR="002F279E" w:rsidRDefault="00CE675B" w:rsidP="00CE675B">
      <w:pPr>
        <w:pStyle w:val="JudgmentNumbered"/>
        <w:numPr>
          <w:ilvl w:val="0"/>
          <w:numId w:val="0"/>
        </w:numPr>
        <w:ind w:left="1440" w:hanging="720"/>
      </w:pPr>
      <w:r>
        <w:lastRenderedPageBreak/>
        <w:t>1.</w:t>
      </w:r>
      <w:r>
        <w:tab/>
      </w:r>
      <w:r w:rsidR="002F279E">
        <w:t>The matter is referred to trial with the applicant</w:t>
      </w:r>
      <w:r>
        <w:t>s</w:t>
      </w:r>
      <w:r w:rsidR="002F279E">
        <w:t xml:space="preserve"> founding affidavit standing as the summons and the respondents answering affidavits standing as the pleas.</w:t>
      </w:r>
    </w:p>
    <w:p w14:paraId="4CA33612" w14:textId="77777777" w:rsidR="002F279E" w:rsidRDefault="00CE675B" w:rsidP="00CE675B">
      <w:pPr>
        <w:pStyle w:val="JudgmentNumbered"/>
        <w:numPr>
          <w:ilvl w:val="0"/>
          <w:numId w:val="0"/>
        </w:numPr>
        <w:ind w:left="1440" w:hanging="870"/>
      </w:pPr>
      <w:r>
        <w:t>2.</w:t>
      </w:r>
      <w:r>
        <w:tab/>
      </w:r>
      <w:r w:rsidR="002F279E">
        <w:t>The applicant is to pay the cost</w:t>
      </w:r>
      <w:r>
        <w:t>s</w:t>
      </w:r>
      <w:r w:rsidR="002F279E">
        <w:t xml:space="preserve"> of the application </w:t>
      </w:r>
      <w:r w:rsidR="00690A97">
        <w:t xml:space="preserve">on an attorney client scale. The </w:t>
      </w:r>
      <w:r>
        <w:t xml:space="preserve">first, second and third </w:t>
      </w:r>
      <w:r w:rsidR="00690A97">
        <w:t xml:space="preserve">respondents are to be excluded from paying the </w:t>
      </w:r>
      <w:r w:rsidR="00F37F55">
        <w:t xml:space="preserve">above </w:t>
      </w:r>
      <w:r w:rsidR="00690A97">
        <w:t xml:space="preserve">costs </w:t>
      </w:r>
      <w:proofErr w:type="gramStart"/>
      <w:r w:rsidR="00690A97">
        <w:t>in the event that</w:t>
      </w:r>
      <w:proofErr w:type="gramEnd"/>
      <w:r w:rsidR="00690A97">
        <w:t xml:space="preserve"> a levy is raised to pay these costs. </w:t>
      </w:r>
    </w:p>
    <w:p w14:paraId="2C5E2522" w14:textId="77777777" w:rsidR="00F37F55" w:rsidRDefault="00F37F55" w:rsidP="00EB01DA">
      <w:pPr>
        <w:pStyle w:val="JudgmentNumbered"/>
        <w:numPr>
          <w:ilvl w:val="0"/>
          <w:numId w:val="0"/>
        </w:numPr>
        <w:spacing w:after="0"/>
        <w:ind w:left="567" w:hanging="567"/>
        <w:jc w:val="right"/>
      </w:pPr>
    </w:p>
    <w:p w14:paraId="32C365F7"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0D2B7BB1" w14:textId="77777777" w:rsidR="002B448C" w:rsidRDefault="002F279E" w:rsidP="00EB01DA">
      <w:pPr>
        <w:pStyle w:val="JudgmentNumbered"/>
        <w:numPr>
          <w:ilvl w:val="0"/>
          <w:numId w:val="0"/>
        </w:numPr>
        <w:spacing w:after="0"/>
        <w:ind w:left="567" w:hanging="567"/>
        <w:jc w:val="right"/>
        <w:rPr>
          <w:b/>
        </w:rPr>
      </w:pPr>
      <w:r>
        <w:rPr>
          <w:b/>
        </w:rPr>
        <w:t>SC MIA</w:t>
      </w:r>
    </w:p>
    <w:p w14:paraId="5834E94D"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00E70B10" w14:textId="77777777" w:rsidR="00EB01DA" w:rsidRDefault="002B448C" w:rsidP="00EB01DA">
      <w:pPr>
        <w:pStyle w:val="JudgmentNumbered"/>
        <w:numPr>
          <w:ilvl w:val="0"/>
          <w:numId w:val="0"/>
        </w:numPr>
        <w:spacing w:after="0"/>
        <w:ind w:left="567" w:hanging="567"/>
        <w:jc w:val="right"/>
        <w:rPr>
          <w:b/>
        </w:rPr>
        <w:sectPr w:rsidR="00EB01DA">
          <w:footerReference w:type="default" r:id="rId10"/>
          <w:pgSz w:w="11906" w:h="16838"/>
          <w:pgMar w:top="1440" w:right="1440" w:bottom="1440" w:left="1440" w:header="708" w:footer="708" w:gutter="0"/>
          <w:cols w:space="708"/>
          <w:docGrid w:linePitch="360"/>
        </w:sectPr>
      </w:pPr>
      <w:r>
        <w:rPr>
          <w:b/>
        </w:rPr>
        <w:t>JOHANNESBURG</w:t>
      </w:r>
    </w:p>
    <w:p w14:paraId="3AA0215B"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2C2C70E9"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r w:rsidR="00543167">
        <w:rPr>
          <w:rFonts w:eastAsia="Times New Roman" w:cs="Arial"/>
          <w:szCs w:val="24"/>
          <w:lang w:val="en-ZA"/>
        </w:rPr>
        <w:t>s</w:t>
      </w:r>
      <w:r w:rsidRPr="003673B7">
        <w:rPr>
          <w:rFonts w:eastAsia="Times New Roman" w:cs="Arial"/>
          <w:szCs w:val="24"/>
          <w:lang w:val="en-ZA"/>
        </w:rPr>
        <w:t>:</w:t>
      </w:r>
    </w:p>
    <w:p w14:paraId="3FF45936" w14:textId="77777777" w:rsidR="00EB01DA" w:rsidRPr="003673B7" w:rsidRDefault="00EB01DA" w:rsidP="00EB01DA">
      <w:pPr>
        <w:spacing w:after="0" w:line="240" w:lineRule="auto"/>
        <w:ind w:left="0"/>
        <w:rPr>
          <w:rFonts w:eastAsia="Times New Roman" w:cs="Arial"/>
          <w:szCs w:val="24"/>
          <w:lang w:val="en-ZA"/>
        </w:rPr>
      </w:pPr>
    </w:p>
    <w:p w14:paraId="1C0F39CC" w14:textId="77777777" w:rsidR="00EB01DA" w:rsidRPr="003673B7" w:rsidRDefault="00EB01DA" w:rsidP="00EB01DA">
      <w:pPr>
        <w:spacing w:after="0" w:line="240" w:lineRule="auto"/>
        <w:ind w:left="0"/>
        <w:rPr>
          <w:rFonts w:eastAsia="Times New Roman" w:cs="Arial"/>
          <w:szCs w:val="24"/>
          <w:lang w:val="en-ZA"/>
        </w:rPr>
      </w:pPr>
    </w:p>
    <w:p w14:paraId="0F28FE09"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r w:rsidR="00E22846">
        <w:rPr>
          <w:rFonts w:eastAsia="Times New Roman" w:cs="Arial"/>
          <w:szCs w:val="24"/>
          <w:lang w:val="en-ZA"/>
        </w:rPr>
        <w:t>s</w:t>
      </w:r>
      <w:r w:rsidRPr="003673B7">
        <w:rPr>
          <w:rFonts w:eastAsia="Times New Roman" w:cs="Arial"/>
          <w:szCs w:val="24"/>
          <w:lang w:val="en-ZA"/>
        </w:rPr>
        <w:t>:</w:t>
      </w:r>
    </w:p>
    <w:p w14:paraId="32A65837" w14:textId="77777777" w:rsidR="0054316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543167">
        <w:rPr>
          <w:rFonts w:eastAsia="Times New Roman" w:cs="Arial"/>
          <w:szCs w:val="24"/>
          <w:lang w:val="en-ZA"/>
        </w:rPr>
        <w:t>Adv G.H Meyer</w:t>
      </w:r>
      <w:r w:rsidRPr="003673B7">
        <w:rPr>
          <w:rFonts w:eastAsia="Times New Roman" w:cs="Arial"/>
          <w:szCs w:val="24"/>
          <w:lang w:val="en-ZA"/>
        </w:rPr>
        <w:t xml:space="preserve"> </w:t>
      </w:r>
    </w:p>
    <w:p w14:paraId="3293119E" w14:textId="77777777" w:rsidR="00EB01DA" w:rsidRPr="003673B7" w:rsidRDefault="00543167" w:rsidP="00EB01DA">
      <w:pPr>
        <w:spacing w:after="0" w:line="240" w:lineRule="auto"/>
        <w:ind w:left="0"/>
        <w:rPr>
          <w:rFonts w:eastAsia="Times New Roman" w:cs="Arial"/>
          <w:szCs w:val="24"/>
          <w:lang w:val="en-ZA"/>
        </w:rPr>
      </w:pPr>
      <w:r>
        <w:rPr>
          <w:rFonts w:eastAsia="Times New Roman" w:cs="Arial"/>
          <w:szCs w:val="24"/>
          <w:lang w:val="en-ZA"/>
        </w:rPr>
        <w:t>I</w:t>
      </w:r>
      <w:r w:rsidR="00EB01DA" w:rsidRPr="003673B7">
        <w:rPr>
          <w:rFonts w:eastAsia="Times New Roman" w:cs="Arial"/>
          <w:szCs w:val="24"/>
          <w:lang w:val="en-ZA"/>
        </w:rPr>
        <w:t xml:space="preserve">nstructed by </w:t>
      </w:r>
      <w:r>
        <w:t>Sean Brown Attorneys</w:t>
      </w:r>
    </w:p>
    <w:p w14:paraId="4F17B9DB" w14:textId="77777777" w:rsidR="00EB01DA" w:rsidRPr="003673B7" w:rsidRDefault="00EB01DA" w:rsidP="00EB01DA">
      <w:pPr>
        <w:spacing w:after="0" w:line="240" w:lineRule="auto"/>
        <w:ind w:left="0"/>
        <w:rPr>
          <w:rFonts w:eastAsia="Times New Roman" w:cs="Arial"/>
          <w:szCs w:val="24"/>
          <w:lang w:val="en-ZA"/>
        </w:rPr>
      </w:pPr>
    </w:p>
    <w:p w14:paraId="5C41F022" w14:textId="77777777" w:rsidR="00543167" w:rsidRDefault="00543167" w:rsidP="00EB01DA">
      <w:pPr>
        <w:spacing w:after="0" w:line="240" w:lineRule="auto"/>
        <w:ind w:left="0"/>
        <w:rPr>
          <w:rFonts w:eastAsia="Times New Roman" w:cs="Arial"/>
          <w:szCs w:val="24"/>
          <w:lang w:val="en-ZA"/>
        </w:rPr>
      </w:pPr>
      <w:r>
        <w:rPr>
          <w:rFonts w:eastAsia="Times New Roman" w:cs="Arial"/>
          <w:szCs w:val="24"/>
          <w:lang w:val="en-ZA"/>
        </w:rPr>
        <w:t>Adv M Oppenheimer</w:t>
      </w:r>
      <w:r w:rsidR="00EB01DA" w:rsidRPr="003673B7">
        <w:rPr>
          <w:rFonts w:eastAsia="Times New Roman" w:cs="Arial"/>
          <w:szCs w:val="24"/>
          <w:lang w:val="en-ZA"/>
        </w:rPr>
        <w:t xml:space="preserve"> </w:t>
      </w:r>
    </w:p>
    <w:p w14:paraId="68A61F91" w14:textId="77777777" w:rsidR="002B448C" w:rsidRDefault="00543167" w:rsidP="00EB01DA">
      <w:pPr>
        <w:spacing w:after="0" w:line="240" w:lineRule="auto"/>
        <w:ind w:left="0"/>
      </w:pPr>
      <w:r>
        <w:rPr>
          <w:rFonts w:eastAsia="Times New Roman" w:cs="Arial"/>
          <w:szCs w:val="24"/>
          <w:lang w:val="en-ZA"/>
        </w:rPr>
        <w:t>I</w:t>
      </w:r>
      <w:r w:rsidR="00EB01DA" w:rsidRPr="003673B7">
        <w:rPr>
          <w:rFonts w:eastAsia="Times New Roman" w:cs="Arial"/>
          <w:szCs w:val="24"/>
          <w:lang w:val="en-ZA"/>
        </w:rPr>
        <w:t xml:space="preserve">nstructed by </w:t>
      </w:r>
      <w:r>
        <w:t>D’Arcy-Hermann Raney Inc.</w:t>
      </w:r>
      <w:r w:rsidR="00E22846">
        <w:t xml:space="preserve">, </w:t>
      </w:r>
      <w:proofErr w:type="spellStart"/>
      <w:r w:rsidR="00E22846">
        <w:t>Schindlers</w:t>
      </w:r>
      <w:proofErr w:type="spellEnd"/>
      <w:r w:rsidR="00E22846">
        <w:t xml:space="preserve"> Attorneys and </w:t>
      </w:r>
      <w:proofErr w:type="spellStart"/>
      <w:r w:rsidR="00E22846">
        <w:t>Shaie</w:t>
      </w:r>
      <w:proofErr w:type="spellEnd"/>
      <w:r w:rsidR="00E22846">
        <w:t xml:space="preserve"> </w:t>
      </w:r>
      <w:proofErr w:type="spellStart"/>
      <w:r w:rsidR="00E22846">
        <w:t>Zindel</w:t>
      </w:r>
      <w:proofErr w:type="spellEnd"/>
      <w:r w:rsidR="00E22846">
        <w:t xml:space="preserve"> Attorneys</w:t>
      </w:r>
    </w:p>
    <w:p w14:paraId="4815E800" w14:textId="77777777" w:rsidR="0048334F" w:rsidRDefault="0048334F" w:rsidP="0048334F">
      <w:pPr>
        <w:pStyle w:val="JudgmentNumbered"/>
        <w:numPr>
          <w:ilvl w:val="0"/>
          <w:numId w:val="0"/>
        </w:numPr>
        <w:ind w:left="567" w:hanging="567"/>
      </w:pPr>
    </w:p>
    <w:p w14:paraId="0B72182D" w14:textId="77777777" w:rsidR="0048334F" w:rsidRDefault="0048334F" w:rsidP="0048334F">
      <w:pPr>
        <w:pStyle w:val="JudgmentNumbered"/>
        <w:numPr>
          <w:ilvl w:val="0"/>
          <w:numId w:val="0"/>
        </w:numPr>
        <w:ind w:left="567" w:hanging="567"/>
      </w:pPr>
      <w:r>
        <w:t>Heard: 29 May 2023</w:t>
      </w:r>
    </w:p>
    <w:p w14:paraId="33163776" w14:textId="77777777" w:rsidR="0048334F" w:rsidRPr="0048334F" w:rsidRDefault="0048334F" w:rsidP="0048334F">
      <w:pPr>
        <w:pStyle w:val="JudgmentNumbered"/>
        <w:numPr>
          <w:ilvl w:val="0"/>
          <w:numId w:val="0"/>
        </w:numPr>
        <w:ind w:left="567" w:hanging="567"/>
      </w:pPr>
      <w:r>
        <w:t>Delivered: 30 May 2023</w:t>
      </w:r>
    </w:p>
    <w:sectPr w:rsidR="0048334F" w:rsidRPr="0048334F" w:rsidSect="009559B5">
      <w:footerReference w:type="default" r:id="rId11"/>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9077" w14:textId="77777777" w:rsidR="006E540D" w:rsidRDefault="006E540D" w:rsidP="00BE3834">
      <w:pPr>
        <w:spacing w:after="0" w:line="240" w:lineRule="auto"/>
      </w:pPr>
      <w:r>
        <w:separator/>
      </w:r>
    </w:p>
  </w:endnote>
  <w:endnote w:type="continuationSeparator" w:id="0">
    <w:p w14:paraId="0B750D3C" w14:textId="77777777" w:rsidR="006E540D" w:rsidRDefault="006E540D" w:rsidP="00BE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47305"/>
      <w:docPartObj>
        <w:docPartGallery w:val="Page Numbers (Bottom of Page)"/>
        <w:docPartUnique/>
      </w:docPartObj>
    </w:sdtPr>
    <w:sdtEndPr>
      <w:rPr>
        <w:noProof/>
      </w:rPr>
    </w:sdtEndPr>
    <w:sdtContent>
      <w:p w14:paraId="333F0B2A" w14:textId="77777777" w:rsidR="00DB698D" w:rsidRDefault="00DB698D">
        <w:pPr>
          <w:pStyle w:val="Footer"/>
          <w:jc w:val="center"/>
        </w:pPr>
        <w:r>
          <w:fldChar w:fldCharType="begin"/>
        </w:r>
        <w:r>
          <w:instrText xml:space="preserve"> PAGE   \* MERGEFORMAT </w:instrText>
        </w:r>
        <w:r>
          <w:fldChar w:fldCharType="separate"/>
        </w:r>
        <w:r w:rsidR="00E717DB">
          <w:rPr>
            <w:noProof/>
          </w:rPr>
          <w:t>4</w:t>
        </w:r>
        <w:r>
          <w:rPr>
            <w:noProof/>
          </w:rPr>
          <w:fldChar w:fldCharType="end"/>
        </w:r>
      </w:p>
    </w:sdtContent>
  </w:sdt>
  <w:p w14:paraId="149C156A" w14:textId="77777777" w:rsidR="00DB698D" w:rsidRDefault="00DB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444"/>
      <w:docPartObj>
        <w:docPartGallery w:val="Page Numbers (Bottom of Page)"/>
        <w:docPartUnique/>
      </w:docPartObj>
    </w:sdtPr>
    <w:sdtEndPr>
      <w:rPr>
        <w:noProof/>
      </w:rPr>
    </w:sdtEndPr>
    <w:sdtContent>
      <w:p w14:paraId="48D146EF" w14:textId="77777777" w:rsidR="00DB698D" w:rsidRDefault="00DB698D">
        <w:pPr>
          <w:pStyle w:val="Footer"/>
          <w:jc w:val="center"/>
        </w:pPr>
        <w:r>
          <w:t>8</w:t>
        </w:r>
      </w:p>
    </w:sdtContent>
  </w:sdt>
  <w:p w14:paraId="1F9B1059" w14:textId="77777777" w:rsidR="00DB698D" w:rsidRDefault="00DB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65BB" w14:textId="77777777" w:rsidR="006E540D" w:rsidRDefault="006E540D" w:rsidP="00BE3834">
      <w:pPr>
        <w:spacing w:after="0" w:line="240" w:lineRule="auto"/>
      </w:pPr>
      <w:r>
        <w:separator/>
      </w:r>
    </w:p>
  </w:footnote>
  <w:footnote w:type="continuationSeparator" w:id="0">
    <w:p w14:paraId="4C97172C" w14:textId="77777777" w:rsidR="006E540D" w:rsidRDefault="006E540D" w:rsidP="00BE3834">
      <w:pPr>
        <w:spacing w:after="0" w:line="240" w:lineRule="auto"/>
      </w:pPr>
      <w:r>
        <w:continuationSeparator/>
      </w:r>
    </w:p>
  </w:footnote>
  <w:footnote w:id="1">
    <w:p w14:paraId="7D80C069" w14:textId="77777777" w:rsidR="00BE3834" w:rsidRPr="00BE3834" w:rsidRDefault="00BE3834">
      <w:pPr>
        <w:pStyle w:val="FootnoteText"/>
        <w:rPr>
          <w:lang w:val="en-ZA"/>
        </w:rPr>
      </w:pPr>
      <w:r>
        <w:rPr>
          <w:rStyle w:val="FootnoteReference"/>
        </w:rPr>
        <w:footnoteRef/>
      </w:r>
      <w:r>
        <w:t xml:space="preserve"> </w:t>
      </w:r>
      <w:r w:rsidR="00A86025" w:rsidRPr="00BE3834">
        <w:rPr>
          <w:i/>
        </w:rPr>
        <w:t>Mineral Sands Resources (Pty) Ltd and Others v Reddell and Others</w:t>
      </w:r>
      <w:r w:rsidR="00A86025">
        <w:rPr>
          <w:lang w:val="en-ZA"/>
        </w:rPr>
        <w:t xml:space="preserve"> </w:t>
      </w:r>
      <w:r>
        <w:rPr>
          <w:lang w:val="en-ZA"/>
        </w:rPr>
        <w:t>2023(2) SA 404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C88E8922"/>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437559214">
    <w:abstractNumId w:val="1"/>
  </w:num>
  <w:num w:numId="2" w16cid:durableId="1183861813">
    <w:abstractNumId w:val="2"/>
  </w:num>
  <w:num w:numId="3" w16cid:durableId="555968685">
    <w:abstractNumId w:val="0"/>
  </w:num>
  <w:num w:numId="4" w16cid:durableId="1047486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3D"/>
    <w:rsid w:val="0002487D"/>
    <w:rsid w:val="00066EA8"/>
    <w:rsid w:val="000B75F9"/>
    <w:rsid w:val="000C38FC"/>
    <w:rsid w:val="00147B5F"/>
    <w:rsid w:val="00184674"/>
    <w:rsid w:val="00194794"/>
    <w:rsid w:val="001C3576"/>
    <w:rsid w:val="001C5042"/>
    <w:rsid w:val="001D03CA"/>
    <w:rsid w:val="00252D6A"/>
    <w:rsid w:val="002573B0"/>
    <w:rsid w:val="002630FD"/>
    <w:rsid w:val="00284F3D"/>
    <w:rsid w:val="002B448C"/>
    <w:rsid w:val="002F279E"/>
    <w:rsid w:val="002F28BB"/>
    <w:rsid w:val="003673B7"/>
    <w:rsid w:val="003B042F"/>
    <w:rsid w:val="003B0BEA"/>
    <w:rsid w:val="0048334F"/>
    <w:rsid w:val="004B32BE"/>
    <w:rsid w:val="00543167"/>
    <w:rsid w:val="00577CFD"/>
    <w:rsid w:val="0059335B"/>
    <w:rsid w:val="005B3503"/>
    <w:rsid w:val="0060204B"/>
    <w:rsid w:val="00603867"/>
    <w:rsid w:val="00690A97"/>
    <w:rsid w:val="006A751D"/>
    <w:rsid w:val="006E540D"/>
    <w:rsid w:val="0070140F"/>
    <w:rsid w:val="00717145"/>
    <w:rsid w:val="00725212"/>
    <w:rsid w:val="00725F6A"/>
    <w:rsid w:val="00753577"/>
    <w:rsid w:val="00794DCB"/>
    <w:rsid w:val="007A0AD1"/>
    <w:rsid w:val="007B7F59"/>
    <w:rsid w:val="00820E0E"/>
    <w:rsid w:val="008D4D59"/>
    <w:rsid w:val="008F16F3"/>
    <w:rsid w:val="00912A93"/>
    <w:rsid w:val="00960C24"/>
    <w:rsid w:val="009646BE"/>
    <w:rsid w:val="00985F3D"/>
    <w:rsid w:val="009A5ED6"/>
    <w:rsid w:val="009C08C0"/>
    <w:rsid w:val="009D7A67"/>
    <w:rsid w:val="009E4992"/>
    <w:rsid w:val="00A211C4"/>
    <w:rsid w:val="00A706F0"/>
    <w:rsid w:val="00A83A79"/>
    <w:rsid w:val="00A86025"/>
    <w:rsid w:val="00AC0350"/>
    <w:rsid w:val="00BE06DF"/>
    <w:rsid w:val="00BE3834"/>
    <w:rsid w:val="00BE7155"/>
    <w:rsid w:val="00C315DC"/>
    <w:rsid w:val="00C647A1"/>
    <w:rsid w:val="00C65CF1"/>
    <w:rsid w:val="00CE39C6"/>
    <w:rsid w:val="00CE675B"/>
    <w:rsid w:val="00D20AD2"/>
    <w:rsid w:val="00D9054F"/>
    <w:rsid w:val="00DB698D"/>
    <w:rsid w:val="00DC101D"/>
    <w:rsid w:val="00DD4CE5"/>
    <w:rsid w:val="00DF14D5"/>
    <w:rsid w:val="00E122E4"/>
    <w:rsid w:val="00E22846"/>
    <w:rsid w:val="00E717DB"/>
    <w:rsid w:val="00EB01DA"/>
    <w:rsid w:val="00F37F55"/>
    <w:rsid w:val="00F55DFF"/>
    <w:rsid w:val="00FA7B31"/>
    <w:rsid w:val="00FE3B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60CB"/>
  <w15:chartTrackingRefBased/>
  <w15:docId w15:val="{B12B48AD-11B3-4C84-B87B-576DEDF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BE3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834"/>
    <w:rPr>
      <w:rFonts w:ascii="Arial" w:hAnsi="Arial"/>
      <w:sz w:val="20"/>
      <w:szCs w:val="20"/>
      <w:lang w:val="en-GB"/>
    </w:rPr>
  </w:style>
  <w:style w:type="character" w:styleId="FootnoteReference">
    <w:name w:val="footnote reference"/>
    <w:basedOn w:val="DefaultParagraphFont"/>
    <w:uiPriority w:val="99"/>
    <w:semiHidden/>
    <w:unhideWhenUsed/>
    <w:rsid w:val="00BE3834"/>
    <w:rPr>
      <w:vertAlign w:val="superscript"/>
    </w:rPr>
  </w:style>
  <w:style w:type="paragraph" w:styleId="Header">
    <w:name w:val="header"/>
    <w:basedOn w:val="Normal"/>
    <w:link w:val="HeaderChar"/>
    <w:uiPriority w:val="99"/>
    <w:unhideWhenUsed/>
    <w:rsid w:val="00DB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98D"/>
    <w:rPr>
      <w:rFonts w:ascii="Arial" w:hAnsi="Arial"/>
      <w:sz w:val="24"/>
      <w:lang w:val="en-GB"/>
    </w:rPr>
  </w:style>
  <w:style w:type="paragraph" w:styleId="Footer">
    <w:name w:val="footer"/>
    <w:basedOn w:val="Normal"/>
    <w:link w:val="FooterChar"/>
    <w:uiPriority w:val="99"/>
    <w:unhideWhenUsed/>
    <w:rsid w:val="00DB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98D"/>
    <w:rPr>
      <w:rFonts w:ascii="Arial" w:hAnsi="Arial"/>
      <w:sz w:val="24"/>
      <w:lang w:val="en-GB"/>
    </w:rPr>
  </w:style>
  <w:style w:type="paragraph" w:styleId="BalloonText">
    <w:name w:val="Balloon Text"/>
    <w:basedOn w:val="Normal"/>
    <w:link w:val="BalloonTextChar"/>
    <w:uiPriority w:val="99"/>
    <w:semiHidden/>
    <w:unhideWhenUsed/>
    <w:rsid w:val="00DB6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8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Dropbox\PC\Documents\Judgments%202023\High%20Court%20Judgment%20Template%20(0000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9E42-FAB5-4379-9D73-23ED542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(00000002)</Template>
  <TotalTime>0</TotalTime>
  <Pages>8</Pages>
  <Words>1984</Words>
  <Characters>10838</Characters>
  <Application>Microsoft Office Word</Application>
  <DocSecurity>0</DocSecurity>
  <Lines>1083</Lines>
  <Paragraphs>641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Mariana Anguelov</cp:lastModifiedBy>
  <cp:revision>3</cp:revision>
  <cp:lastPrinted>2023-05-30T11:06:00Z</cp:lastPrinted>
  <dcterms:created xsi:type="dcterms:W3CDTF">2023-05-30T14:58:00Z</dcterms:created>
  <dcterms:modified xsi:type="dcterms:W3CDTF">2023-05-30T17:08:00Z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412e817c-410d-47d1-827e-cae0eaff3320</vt:lpwstr>
  </property>
</Properties>
</file>