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13" w:rsidRPr="002A1560" w:rsidRDefault="00343A13" w:rsidP="00B91092">
      <w:pPr>
        <w:spacing w:line="360" w:lineRule="auto"/>
        <w:jc w:val="center"/>
        <w:rPr>
          <w:rFonts w:ascii="Arial" w:hAnsi="Arial" w:cs="Arial"/>
          <w:b/>
          <w:sz w:val="24"/>
          <w:szCs w:val="24"/>
        </w:rPr>
      </w:pPr>
      <w:r w:rsidRPr="002A1560">
        <w:rPr>
          <w:rFonts w:ascii="Arial" w:hAnsi="Arial" w:cs="Arial"/>
          <w:b/>
          <w:sz w:val="24"/>
          <w:szCs w:val="24"/>
        </w:rPr>
        <w:t>REPUBLIC OF SOUTH AFRICA</w:t>
      </w:r>
    </w:p>
    <w:p w:rsidR="00343A13" w:rsidRPr="00E45425" w:rsidRDefault="00343A13" w:rsidP="00343A13">
      <w:pPr>
        <w:spacing w:line="360" w:lineRule="auto"/>
        <w:jc w:val="center"/>
        <w:rPr>
          <w:rFonts w:ascii="Arial" w:hAnsi="Arial" w:cs="Arial"/>
          <w:b/>
        </w:rPr>
      </w:pPr>
      <w:r>
        <w:rPr>
          <w:noProof/>
          <w:lang w:eastAsia="en-ZA"/>
        </w:rPr>
        <w:drawing>
          <wp:inline distT="0" distB="0" distL="0" distR="0" wp14:anchorId="072C97FD" wp14:editId="54CF75BA">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343A13" w:rsidRPr="002A1560" w:rsidRDefault="00343A13" w:rsidP="00343A13">
      <w:pPr>
        <w:spacing w:after="0"/>
        <w:jc w:val="center"/>
        <w:rPr>
          <w:rFonts w:ascii="Arial" w:hAnsi="Arial" w:cs="Arial"/>
          <w:b/>
          <w:sz w:val="24"/>
          <w:szCs w:val="24"/>
        </w:rPr>
      </w:pPr>
      <w:r w:rsidRPr="002A1560">
        <w:rPr>
          <w:rFonts w:ascii="Arial" w:hAnsi="Arial" w:cs="Arial"/>
          <w:b/>
          <w:sz w:val="24"/>
          <w:szCs w:val="24"/>
        </w:rPr>
        <w:t>IN THE HIGH COURT</w:t>
      </w:r>
      <w:r>
        <w:rPr>
          <w:rFonts w:ascii="Arial" w:hAnsi="Arial" w:cs="Arial"/>
          <w:b/>
          <w:sz w:val="24"/>
          <w:szCs w:val="24"/>
        </w:rPr>
        <w:t xml:space="preserve"> OF SOUTH AFRICA</w:t>
      </w:r>
    </w:p>
    <w:p w:rsidR="00D65893" w:rsidRPr="00B91092" w:rsidRDefault="00343A13" w:rsidP="00B91092">
      <w:pPr>
        <w:spacing w:after="0"/>
        <w:jc w:val="center"/>
        <w:rPr>
          <w:rFonts w:ascii="Arial" w:hAnsi="Arial" w:cs="Arial"/>
          <w:b/>
          <w:sz w:val="24"/>
          <w:szCs w:val="24"/>
        </w:rPr>
      </w:pPr>
      <w:r w:rsidRPr="002A1560">
        <w:rPr>
          <w:rFonts w:ascii="Arial" w:hAnsi="Arial" w:cs="Arial"/>
          <w:b/>
          <w:sz w:val="24"/>
          <w:szCs w:val="24"/>
        </w:rPr>
        <w:t>(</w:t>
      </w:r>
      <w:r>
        <w:rPr>
          <w:rFonts w:ascii="Arial" w:hAnsi="Arial" w:cs="Arial"/>
          <w:b/>
          <w:sz w:val="24"/>
          <w:szCs w:val="24"/>
        </w:rPr>
        <w:t>GAUTENG LOCAL DIVISION, JOHANNESBURG</w:t>
      </w:r>
      <w:r w:rsidR="00FC5081">
        <w:rPr>
          <w:rFonts w:ascii="Arial" w:hAnsi="Arial" w:cs="Arial"/>
          <w:b/>
          <w:sz w:val="24"/>
          <w:szCs w:val="24"/>
        </w:rPr>
        <w:t>)</w:t>
      </w:r>
    </w:p>
    <w:p w:rsidR="005F1054" w:rsidRPr="009D19BA" w:rsidRDefault="005F1054" w:rsidP="009D19BA">
      <w:pPr>
        <w:jc w:val="center"/>
        <w:rPr>
          <w:rFonts w:ascii="Arial" w:hAnsi="Arial" w:cs="Arial"/>
          <w:sz w:val="24"/>
          <w:szCs w:val="24"/>
        </w:rPr>
      </w:pPr>
      <w:r w:rsidRPr="00343A13">
        <w:rPr>
          <w:rFonts w:ascii="Arial" w:hAnsi="Arial" w:cs="Arial"/>
          <w:sz w:val="24"/>
          <w:szCs w:val="24"/>
        </w:rPr>
        <w:t xml:space="preserve">                                                                      </w:t>
      </w:r>
    </w:p>
    <w:p w:rsidR="009D19BA" w:rsidRDefault="009D19BA" w:rsidP="00343A13">
      <w:pPr>
        <w:rPr>
          <w:rFonts w:ascii="Arial" w:hAnsi="Arial" w:cs="Arial"/>
          <w:b/>
          <w:bCs/>
          <w:sz w:val="24"/>
          <w:szCs w:val="24"/>
        </w:rPr>
      </w:pPr>
      <w:r>
        <w:rPr>
          <w:rFonts w:ascii="Arial" w:hAnsi="Arial" w:cs="Arial"/>
          <w:b/>
          <w:bCs/>
          <w:sz w:val="24"/>
          <w:szCs w:val="24"/>
        </w:rPr>
        <w:t xml:space="preserve">                                                                  </w:t>
      </w:r>
      <w:r w:rsidR="00FC5081">
        <w:rPr>
          <w:rFonts w:ascii="Arial" w:hAnsi="Arial" w:cs="Arial"/>
          <w:b/>
          <w:bCs/>
          <w:sz w:val="24"/>
          <w:szCs w:val="24"/>
        </w:rPr>
        <w:t xml:space="preserve">                              </w:t>
      </w:r>
      <w:r>
        <w:rPr>
          <w:rFonts w:ascii="Arial" w:hAnsi="Arial" w:cs="Arial"/>
          <w:b/>
          <w:bCs/>
          <w:sz w:val="24"/>
          <w:szCs w:val="24"/>
        </w:rPr>
        <w:t xml:space="preserve"> C</w:t>
      </w:r>
      <w:r w:rsidR="00FC5081">
        <w:rPr>
          <w:rFonts w:ascii="Arial" w:hAnsi="Arial" w:cs="Arial"/>
          <w:b/>
          <w:bCs/>
          <w:sz w:val="24"/>
          <w:szCs w:val="24"/>
        </w:rPr>
        <w:t>ASE</w:t>
      </w:r>
      <w:r>
        <w:rPr>
          <w:rFonts w:ascii="Arial" w:hAnsi="Arial" w:cs="Arial"/>
          <w:b/>
          <w:bCs/>
          <w:sz w:val="24"/>
          <w:szCs w:val="24"/>
        </w:rPr>
        <w:t xml:space="preserve"> N</w:t>
      </w:r>
      <w:r w:rsidR="00FC5081">
        <w:rPr>
          <w:rFonts w:ascii="Arial" w:hAnsi="Arial" w:cs="Arial"/>
          <w:b/>
          <w:bCs/>
          <w:sz w:val="24"/>
          <w:szCs w:val="24"/>
        </w:rPr>
        <w:t>O</w:t>
      </w:r>
      <w:r>
        <w:rPr>
          <w:rFonts w:ascii="Arial" w:hAnsi="Arial" w:cs="Arial"/>
          <w:b/>
          <w:bCs/>
          <w:sz w:val="24"/>
          <w:szCs w:val="24"/>
        </w:rPr>
        <w:t>: 42518/2020</w:t>
      </w:r>
    </w:p>
    <w:p w:rsidR="009D19BA" w:rsidRDefault="009D19BA" w:rsidP="00343A13">
      <w:pPr>
        <w:rPr>
          <w:rFonts w:ascii="Arial" w:hAnsi="Arial" w:cs="Arial"/>
          <w:b/>
          <w:bCs/>
          <w:sz w:val="24"/>
          <w:szCs w:val="24"/>
        </w:rPr>
      </w:pPr>
      <w:r>
        <w:rPr>
          <w:rFonts w:ascii="Arial" w:hAnsi="Arial" w:cs="Arial"/>
          <w:b/>
          <w:bCs/>
          <w:noProof/>
          <w:sz w:val="24"/>
          <w:szCs w:val="24"/>
          <w:lang w:eastAsia="en-ZA"/>
        </w:rPr>
        <mc:AlternateContent>
          <mc:Choice Requires="wps">
            <w:drawing>
              <wp:anchor distT="0" distB="0" distL="114300" distR="114300" simplePos="0" relativeHeight="251658240" behindDoc="0" locked="0" layoutInCell="1" allowOverlap="1" wp14:editId="2FF26496">
                <wp:simplePos x="0" y="0"/>
                <wp:positionH relativeFrom="margin">
                  <wp:align>left</wp:align>
                </wp:positionH>
                <wp:positionV relativeFrom="paragraph">
                  <wp:posOffset>185917</wp:posOffset>
                </wp:positionV>
                <wp:extent cx="3314700" cy="1371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FC5081" w:rsidRDefault="00FC5081" w:rsidP="00FC5081">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rsidR="00FC5081" w:rsidRPr="00913F95" w:rsidRDefault="00FC5081" w:rsidP="00FC5081">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rsidR="00FC5081" w:rsidRPr="00913F95" w:rsidRDefault="00FC5081" w:rsidP="00FC5081">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9D19BA" w:rsidRDefault="009D19BA" w:rsidP="009D19BA">
                            <w:pPr>
                              <w:rPr>
                                <w:rFonts w:ascii="Century Gothic" w:hAnsi="Century Gothic"/>
                                <w:b/>
                                <w:sz w:val="18"/>
                                <w:szCs w:val="18"/>
                              </w:rPr>
                            </w:pPr>
                          </w:p>
                          <w:p w:rsidR="009D19BA" w:rsidRPr="00084341" w:rsidRDefault="009D19BA" w:rsidP="009D19BA">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9D19BA" w:rsidRPr="00084341" w:rsidRDefault="009D19BA" w:rsidP="009D19BA">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4.65pt;width:261pt;height:10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">
                <v:textbox>
                  <w:txbxContent>
                    <w:p w14:paraId="5B2FF769" w14:textId="77777777" w:rsidR="00FC5081" w:rsidRDefault="00FC5081" w:rsidP="00FC5081">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14:paraId="5A3354A7" w14:textId="77777777" w:rsidR="00FC5081" w:rsidRPr="00913F95" w:rsidRDefault="00FC5081" w:rsidP="00FC5081">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14:paraId="7E437EE1" w14:textId="77777777" w:rsidR="00FC5081" w:rsidRPr="00913F95" w:rsidRDefault="00FC5081" w:rsidP="00FC5081">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12D37465" w14:textId="7F82FF2C" w:rsidR="009D19BA" w:rsidRDefault="009D19BA" w:rsidP="009D19BA">
                      <w:pPr>
                        <w:rPr>
                          <w:rFonts w:ascii="Century Gothic" w:hAnsi="Century Gothic"/>
                          <w:b/>
                          <w:sz w:val="18"/>
                          <w:szCs w:val="18"/>
                        </w:rPr>
                      </w:pPr>
                    </w:p>
                    <w:p w14:paraId="5524FA77" w14:textId="77777777" w:rsidR="009D19BA" w:rsidRPr="00084341" w:rsidRDefault="009D19BA" w:rsidP="009D19BA">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6A994C8" w14:textId="77777777" w:rsidR="009D19BA" w:rsidRPr="00084341" w:rsidRDefault="009D19BA" w:rsidP="009D19BA">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rsidR="009D19BA" w:rsidRPr="00343A13" w:rsidRDefault="009D19BA" w:rsidP="00343A13">
      <w:pPr>
        <w:rPr>
          <w:rFonts w:ascii="Arial" w:hAnsi="Arial" w:cs="Arial"/>
          <w:b/>
          <w:bCs/>
          <w:sz w:val="24"/>
          <w:szCs w:val="24"/>
        </w:rPr>
      </w:pPr>
    </w:p>
    <w:p w:rsidR="00343A13" w:rsidRDefault="00343A13" w:rsidP="005F1054">
      <w:pPr>
        <w:rPr>
          <w:rFonts w:ascii="Arial" w:hAnsi="Arial" w:cs="Arial"/>
          <w:b/>
          <w:bCs/>
          <w:sz w:val="24"/>
          <w:szCs w:val="24"/>
        </w:rPr>
      </w:pPr>
    </w:p>
    <w:p w:rsidR="00343A13" w:rsidRDefault="00343A13" w:rsidP="005F1054">
      <w:pPr>
        <w:rPr>
          <w:rFonts w:ascii="Arial" w:hAnsi="Arial" w:cs="Arial"/>
          <w:b/>
          <w:bCs/>
          <w:sz w:val="24"/>
          <w:szCs w:val="24"/>
        </w:rPr>
      </w:pPr>
    </w:p>
    <w:p w:rsidR="00343A13" w:rsidRDefault="00343A13" w:rsidP="005F1054">
      <w:pPr>
        <w:rPr>
          <w:rFonts w:ascii="Arial" w:hAnsi="Arial" w:cs="Arial"/>
          <w:b/>
          <w:bCs/>
          <w:sz w:val="24"/>
          <w:szCs w:val="24"/>
        </w:rPr>
      </w:pPr>
    </w:p>
    <w:p w:rsidR="00343A13" w:rsidRDefault="00343A13" w:rsidP="005F1054">
      <w:pPr>
        <w:rPr>
          <w:rFonts w:ascii="Arial" w:hAnsi="Arial" w:cs="Arial"/>
          <w:b/>
          <w:bCs/>
          <w:sz w:val="24"/>
          <w:szCs w:val="24"/>
        </w:rPr>
      </w:pPr>
    </w:p>
    <w:p w:rsidR="007F6E49" w:rsidRPr="00316D57" w:rsidRDefault="005F1054" w:rsidP="005F1054">
      <w:pPr>
        <w:rPr>
          <w:rFonts w:ascii="Arial" w:hAnsi="Arial" w:cs="Arial"/>
          <w:b/>
          <w:bCs/>
          <w:sz w:val="24"/>
          <w:szCs w:val="24"/>
        </w:rPr>
      </w:pPr>
      <w:r w:rsidRPr="00316D57">
        <w:rPr>
          <w:rFonts w:ascii="Arial" w:hAnsi="Arial" w:cs="Arial"/>
          <w:b/>
          <w:bCs/>
          <w:sz w:val="24"/>
          <w:szCs w:val="24"/>
        </w:rPr>
        <w:t>I</w:t>
      </w:r>
      <w:r w:rsidR="00184489" w:rsidRPr="00316D57">
        <w:rPr>
          <w:rFonts w:ascii="Arial" w:hAnsi="Arial" w:cs="Arial"/>
          <w:b/>
          <w:bCs/>
          <w:sz w:val="24"/>
          <w:szCs w:val="24"/>
        </w:rPr>
        <w:t>n</w:t>
      </w:r>
      <w:r w:rsidRPr="00316D57">
        <w:rPr>
          <w:rFonts w:ascii="Arial" w:hAnsi="Arial" w:cs="Arial"/>
          <w:b/>
          <w:bCs/>
          <w:sz w:val="24"/>
          <w:szCs w:val="24"/>
        </w:rPr>
        <w:t xml:space="preserve"> </w:t>
      </w:r>
      <w:r w:rsidR="00430004" w:rsidRPr="00316D57">
        <w:rPr>
          <w:rFonts w:ascii="Arial" w:hAnsi="Arial" w:cs="Arial"/>
          <w:b/>
          <w:bCs/>
          <w:sz w:val="24"/>
          <w:szCs w:val="24"/>
        </w:rPr>
        <w:t>the matter</w:t>
      </w:r>
      <w:r w:rsidRPr="00316D57">
        <w:rPr>
          <w:rFonts w:ascii="Arial" w:hAnsi="Arial" w:cs="Arial"/>
          <w:b/>
          <w:bCs/>
          <w:sz w:val="24"/>
          <w:szCs w:val="24"/>
        </w:rPr>
        <w:t xml:space="preserve"> </w:t>
      </w:r>
      <w:r w:rsidR="00430004" w:rsidRPr="00316D57">
        <w:rPr>
          <w:rFonts w:ascii="Arial" w:hAnsi="Arial" w:cs="Arial"/>
          <w:b/>
          <w:bCs/>
          <w:sz w:val="24"/>
          <w:szCs w:val="24"/>
        </w:rPr>
        <w:t>between</w:t>
      </w:r>
      <w:r w:rsidRPr="00316D57">
        <w:rPr>
          <w:rFonts w:ascii="Arial" w:hAnsi="Arial" w:cs="Arial"/>
          <w:b/>
          <w:bCs/>
          <w:sz w:val="24"/>
          <w:szCs w:val="24"/>
        </w:rPr>
        <w:t>:</w:t>
      </w:r>
    </w:p>
    <w:p w:rsidR="00D65893" w:rsidRPr="00316D57" w:rsidRDefault="00D65893" w:rsidP="005F1054">
      <w:pPr>
        <w:rPr>
          <w:rFonts w:ascii="Arial" w:hAnsi="Arial" w:cs="Arial"/>
          <w:b/>
          <w:bCs/>
          <w:sz w:val="24"/>
          <w:szCs w:val="24"/>
        </w:rPr>
      </w:pPr>
    </w:p>
    <w:p w:rsidR="002A6A15" w:rsidRPr="00316D57" w:rsidRDefault="00343A13" w:rsidP="005F1054">
      <w:pPr>
        <w:rPr>
          <w:rFonts w:ascii="Arial" w:hAnsi="Arial" w:cs="Arial"/>
          <w:b/>
          <w:bCs/>
          <w:sz w:val="24"/>
          <w:szCs w:val="24"/>
        </w:rPr>
      </w:pPr>
      <w:r w:rsidRPr="00316D57">
        <w:rPr>
          <w:rFonts w:ascii="Arial" w:hAnsi="Arial" w:cs="Arial"/>
          <w:b/>
          <w:bCs/>
          <w:sz w:val="24"/>
          <w:szCs w:val="24"/>
        </w:rPr>
        <w:t xml:space="preserve">  </w:t>
      </w:r>
      <w:r w:rsidR="002A6A15" w:rsidRPr="00316D57">
        <w:rPr>
          <w:rFonts w:ascii="Arial" w:hAnsi="Arial" w:cs="Arial"/>
          <w:b/>
          <w:bCs/>
          <w:sz w:val="24"/>
          <w:szCs w:val="24"/>
        </w:rPr>
        <w:t>TUHF URBAN FINANCE (RF) LTD</w:t>
      </w:r>
      <w:r w:rsidRPr="00316D57">
        <w:rPr>
          <w:rFonts w:ascii="Arial" w:hAnsi="Arial" w:cs="Arial"/>
          <w:b/>
          <w:bCs/>
          <w:sz w:val="24"/>
          <w:szCs w:val="24"/>
        </w:rPr>
        <w:t xml:space="preserve">    </w:t>
      </w:r>
      <w:r w:rsidR="002A6A15" w:rsidRPr="00316D57">
        <w:rPr>
          <w:rFonts w:ascii="Arial" w:hAnsi="Arial" w:cs="Arial"/>
          <w:b/>
          <w:bCs/>
          <w:sz w:val="24"/>
          <w:szCs w:val="24"/>
        </w:rPr>
        <w:t xml:space="preserve">                         </w:t>
      </w:r>
      <w:r w:rsidR="00184489" w:rsidRPr="00316D57">
        <w:rPr>
          <w:rFonts w:ascii="Arial" w:hAnsi="Arial" w:cs="Arial"/>
          <w:b/>
          <w:bCs/>
          <w:sz w:val="24"/>
          <w:szCs w:val="24"/>
        </w:rPr>
        <w:t xml:space="preserve">Applicant </w:t>
      </w:r>
    </w:p>
    <w:p w:rsidR="002A6A15" w:rsidRPr="00316D57" w:rsidRDefault="007F6E49" w:rsidP="005F1054">
      <w:pPr>
        <w:rPr>
          <w:rFonts w:ascii="Arial" w:hAnsi="Arial" w:cs="Arial"/>
          <w:b/>
          <w:bCs/>
          <w:sz w:val="24"/>
          <w:szCs w:val="24"/>
        </w:rPr>
      </w:pPr>
      <w:r w:rsidRPr="00316D57">
        <w:rPr>
          <w:rFonts w:ascii="Arial" w:hAnsi="Arial" w:cs="Arial"/>
          <w:b/>
          <w:bCs/>
          <w:sz w:val="24"/>
          <w:szCs w:val="24"/>
        </w:rPr>
        <w:t xml:space="preserve">   And </w:t>
      </w:r>
    </w:p>
    <w:p w:rsidR="00184489" w:rsidRPr="00316D57" w:rsidRDefault="00343A13" w:rsidP="005F1054">
      <w:pPr>
        <w:rPr>
          <w:rFonts w:ascii="Arial" w:hAnsi="Arial" w:cs="Arial"/>
          <w:b/>
          <w:bCs/>
          <w:sz w:val="24"/>
          <w:szCs w:val="24"/>
        </w:rPr>
      </w:pPr>
      <w:r w:rsidRPr="00316D57">
        <w:rPr>
          <w:rFonts w:ascii="Arial" w:hAnsi="Arial" w:cs="Arial"/>
          <w:b/>
          <w:bCs/>
          <w:sz w:val="24"/>
          <w:szCs w:val="24"/>
        </w:rPr>
        <w:t xml:space="preserve"> </w:t>
      </w:r>
      <w:r w:rsidR="002A6A15" w:rsidRPr="00316D57">
        <w:rPr>
          <w:rFonts w:ascii="Arial" w:hAnsi="Arial" w:cs="Arial"/>
          <w:b/>
          <w:bCs/>
          <w:sz w:val="24"/>
          <w:szCs w:val="24"/>
        </w:rPr>
        <w:t xml:space="preserve">THE HOUSE OF TANDOOR &amp; OTHERS                    </w:t>
      </w:r>
      <w:r w:rsidR="00FB54F7" w:rsidRPr="00316D57">
        <w:rPr>
          <w:rFonts w:ascii="Arial" w:hAnsi="Arial" w:cs="Arial"/>
          <w:b/>
          <w:bCs/>
          <w:sz w:val="24"/>
          <w:szCs w:val="24"/>
        </w:rPr>
        <w:t xml:space="preserve"> First </w:t>
      </w:r>
      <w:r w:rsidR="002A6A15" w:rsidRPr="00316D57">
        <w:rPr>
          <w:rFonts w:ascii="Arial" w:hAnsi="Arial" w:cs="Arial"/>
          <w:b/>
          <w:bCs/>
          <w:sz w:val="24"/>
          <w:szCs w:val="24"/>
        </w:rPr>
        <w:t>Respondent</w:t>
      </w:r>
      <w:r w:rsidR="00184489" w:rsidRPr="00316D57">
        <w:rPr>
          <w:rFonts w:ascii="Arial" w:hAnsi="Arial" w:cs="Arial"/>
          <w:b/>
          <w:bCs/>
          <w:sz w:val="24"/>
          <w:szCs w:val="24"/>
        </w:rPr>
        <w:t xml:space="preserve"> </w:t>
      </w:r>
    </w:p>
    <w:p w:rsidR="005F1054" w:rsidRPr="00316D57" w:rsidRDefault="007F6E49" w:rsidP="005F1054">
      <w:pPr>
        <w:rPr>
          <w:rFonts w:ascii="Arial" w:hAnsi="Arial" w:cs="Arial"/>
          <w:b/>
          <w:bCs/>
          <w:sz w:val="24"/>
          <w:szCs w:val="24"/>
        </w:rPr>
      </w:pPr>
      <w:r w:rsidRPr="00316D57">
        <w:rPr>
          <w:rFonts w:ascii="Arial" w:hAnsi="Arial" w:cs="Arial"/>
          <w:b/>
          <w:bCs/>
          <w:sz w:val="24"/>
          <w:szCs w:val="24"/>
        </w:rPr>
        <w:t xml:space="preserve">  ERIC MTUYEDWA MPOBOLA                                   </w:t>
      </w:r>
      <w:r w:rsidR="00FB54F7" w:rsidRPr="00316D57">
        <w:rPr>
          <w:rFonts w:ascii="Arial" w:hAnsi="Arial" w:cs="Arial"/>
          <w:b/>
          <w:bCs/>
          <w:sz w:val="24"/>
          <w:szCs w:val="24"/>
        </w:rPr>
        <w:t xml:space="preserve">Second </w:t>
      </w:r>
      <w:r w:rsidRPr="00316D57">
        <w:rPr>
          <w:rFonts w:ascii="Arial" w:hAnsi="Arial" w:cs="Arial"/>
          <w:b/>
          <w:bCs/>
          <w:sz w:val="24"/>
          <w:szCs w:val="24"/>
        </w:rPr>
        <w:t xml:space="preserve">Respondent </w:t>
      </w:r>
    </w:p>
    <w:p w:rsidR="007F6E49" w:rsidRPr="00316D57" w:rsidRDefault="007F6E49" w:rsidP="005F1054">
      <w:pPr>
        <w:rPr>
          <w:b/>
          <w:bCs/>
          <w:sz w:val="24"/>
          <w:szCs w:val="24"/>
        </w:rPr>
      </w:pPr>
      <w:r w:rsidRPr="00316D57">
        <w:rPr>
          <w:rFonts w:ascii="Arial" w:hAnsi="Arial" w:cs="Arial"/>
          <w:b/>
          <w:bCs/>
          <w:sz w:val="24"/>
          <w:szCs w:val="24"/>
        </w:rPr>
        <w:t xml:space="preserve">  MAHLOKO SIMON MOKHEMA</w:t>
      </w:r>
      <w:r w:rsidR="005F1054" w:rsidRPr="00316D57">
        <w:rPr>
          <w:rFonts w:ascii="Arial" w:hAnsi="Arial" w:cs="Arial"/>
          <w:b/>
          <w:bCs/>
          <w:sz w:val="24"/>
          <w:szCs w:val="24"/>
        </w:rPr>
        <w:tab/>
      </w:r>
      <w:r w:rsidR="005F1054" w:rsidRPr="00316D57">
        <w:rPr>
          <w:rFonts w:ascii="Arial" w:hAnsi="Arial" w:cs="Arial"/>
          <w:b/>
          <w:bCs/>
          <w:sz w:val="24"/>
          <w:szCs w:val="24"/>
        </w:rPr>
        <w:tab/>
        <w:t xml:space="preserve">          </w:t>
      </w:r>
      <w:r w:rsidR="00184489" w:rsidRPr="00316D57">
        <w:rPr>
          <w:rFonts w:ascii="Arial" w:hAnsi="Arial" w:cs="Arial"/>
          <w:b/>
          <w:bCs/>
          <w:sz w:val="24"/>
          <w:szCs w:val="24"/>
        </w:rPr>
        <w:t xml:space="preserve">           </w:t>
      </w:r>
      <w:r w:rsidR="00FB54F7" w:rsidRPr="00316D57">
        <w:rPr>
          <w:rFonts w:ascii="Arial" w:hAnsi="Arial" w:cs="Arial"/>
          <w:b/>
          <w:bCs/>
          <w:sz w:val="24"/>
          <w:szCs w:val="24"/>
        </w:rPr>
        <w:t xml:space="preserve"> Third </w:t>
      </w:r>
      <w:r w:rsidRPr="00316D57">
        <w:rPr>
          <w:rFonts w:ascii="Arial" w:hAnsi="Arial" w:cs="Arial"/>
          <w:b/>
          <w:bCs/>
          <w:sz w:val="24"/>
          <w:szCs w:val="24"/>
        </w:rPr>
        <w:t>Respondent</w:t>
      </w:r>
      <w:r w:rsidR="00184489" w:rsidRPr="00316D57">
        <w:rPr>
          <w:b/>
          <w:bCs/>
          <w:sz w:val="24"/>
          <w:szCs w:val="24"/>
        </w:rPr>
        <w:t xml:space="preserve"> </w:t>
      </w:r>
    </w:p>
    <w:p w:rsidR="005F1054" w:rsidRPr="00316D57" w:rsidRDefault="007F6E49" w:rsidP="005F1054">
      <w:pPr>
        <w:rPr>
          <w:rFonts w:ascii="Arial" w:hAnsi="Arial" w:cs="Arial"/>
          <w:b/>
          <w:bCs/>
          <w:sz w:val="24"/>
          <w:szCs w:val="24"/>
        </w:rPr>
      </w:pPr>
      <w:r w:rsidRPr="00316D57">
        <w:rPr>
          <w:rFonts w:ascii="Arial" w:hAnsi="Arial" w:cs="Arial"/>
          <w:b/>
          <w:bCs/>
          <w:sz w:val="24"/>
          <w:szCs w:val="24"/>
        </w:rPr>
        <w:t xml:space="preserve">  GLORIA DINAR MOKEMA                                         Fourth Respondent</w:t>
      </w:r>
    </w:p>
    <w:p w:rsidR="007F6E49" w:rsidRDefault="007F6E49" w:rsidP="005F1054">
      <w:pPr>
        <w:rPr>
          <w:rFonts w:ascii="Arial" w:hAnsi="Arial" w:cs="Arial"/>
          <w:b/>
          <w:bCs/>
          <w:sz w:val="24"/>
          <w:szCs w:val="24"/>
        </w:rPr>
      </w:pPr>
      <w:r w:rsidRPr="00316D57">
        <w:rPr>
          <w:rFonts w:ascii="Arial" w:hAnsi="Arial" w:cs="Arial"/>
          <w:b/>
          <w:bCs/>
          <w:sz w:val="24"/>
          <w:szCs w:val="24"/>
        </w:rPr>
        <w:t xml:space="preserve">  BUYISILE MRADU                                                      Fifth Respondent   </w:t>
      </w:r>
    </w:p>
    <w:p w:rsidR="00FC5081" w:rsidRDefault="00FC5081" w:rsidP="005F1054">
      <w:pPr>
        <w:rPr>
          <w:rFonts w:ascii="Arial" w:hAnsi="Arial" w:cs="Arial"/>
          <w:b/>
          <w:bCs/>
          <w:sz w:val="24"/>
          <w:szCs w:val="24"/>
        </w:rPr>
      </w:pPr>
    </w:p>
    <w:p w:rsidR="00FC5081" w:rsidRPr="00FC5081" w:rsidRDefault="00FC5081" w:rsidP="005F1054">
      <w:pPr>
        <w:rPr>
          <w:rFonts w:ascii="Arial" w:hAnsi="Arial" w:cs="Arial"/>
          <w:bCs/>
          <w:sz w:val="24"/>
          <w:szCs w:val="24"/>
        </w:rPr>
      </w:pPr>
      <w:r>
        <w:rPr>
          <w:rFonts w:ascii="Arial" w:hAnsi="Arial" w:cs="Arial"/>
          <w:b/>
          <w:bCs/>
          <w:sz w:val="24"/>
          <w:szCs w:val="24"/>
        </w:rPr>
        <w:t xml:space="preserve">Neutral Citation: </w:t>
      </w:r>
      <w:r w:rsidRPr="00FC5081">
        <w:rPr>
          <w:rFonts w:ascii="Arial" w:hAnsi="Arial" w:cs="Arial"/>
          <w:bCs/>
          <w:i/>
          <w:sz w:val="24"/>
          <w:szCs w:val="24"/>
        </w:rPr>
        <w:t>Turf Urban Finance (RF) v The House of Tandoor &amp; Others</w:t>
      </w:r>
      <w:r>
        <w:rPr>
          <w:rFonts w:ascii="Arial" w:hAnsi="Arial" w:cs="Arial"/>
          <w:b/>
          <w:bCs/>
          <w:sz w:val="24"/>
          <w:szCs w:val="24"/>
        </w:rPr>
        <w:t xml:space="preserve"> </w:t>
      </w:r>
      <w:r w:rsidRPr="00FC5081">
        <w:rPr>
          <w:rFonts w:ascii="Arial" w:hAnsi="Arial" w:cs="Arial"/>
          <w:bCs/>
          <w:sz w:val="24"/>
          <w:szCs w:val="24"/>
        </w:rPr>
        <w:t>(Case</w:t>
      </w:r>
      <w:r>
        <w:rPr>
          <w:rFonts w:ascii="Arial" w:hAnsi="Arial" w:cs="Arial"/>
          <w:b/>
          <w:bCs/>
          <w:sz w:val="24"/>
          <w:szCs w:val="24"/>
        </w:rPr>
        <w:t xml:space="preserve"> </w:t>
      </w:r>
      <w:r w:rsidRPr="00FC5081">
        <w:rPr>
          <w:rFonts w:ascii="Arial" w:hAnsi="Arial" w:cs="Arial"/>
          <w:bCs/>
          <w:sz w:val="24"/>
          <w:szCs w:val="24"/>
        </w:rPr>
        <w:t>No: 42518/2020) [2023] ZAGPJHC</w:t>
      </w:r>
      <w:r w:rsidR="004D528C">
        <w:rPr>
          <w:rFonts w:ascii="Arial" w:hAnsi="Arial" w:cs="Arial"/>
          <w:bCs/>
          <w:sz w:val="24"/>
          <w:szCs w:val="24"/>
        </w:rPr>
        <w:t xml:space="preserve"> 608</w:t>
      </w:r>
      <w:r w:rsidRPr="00FC5081">
        <w:rPr>
          <w:rFonts w:ascii="Arial" w:hAnsi="Arial" w:cs="Arial"/>
          <w:bCs/>
          <w:sz w:val="24"/>
          <w:szCs w:val="24"/>
        </w:rPr>
        <w:t xml:space="preserve"> (01 June 2023)</w:t>
      </w:r>
    </w:p>
    <w:p w:rsidR="00FC5081" w:rsidRDefault="00FC5081" w:rsidP="005F1054">
      <w:pPr>
        <w:rPr>
          <w:b/>
          <w:bCs/>
        </w:rPr>
      </w:pPr>
    </w:p>
    <w:p w:rsidR="00FC5081" w:rsidRDefault="00FC5081" w:rsidP="005F1054">
      <w:pPr>
        <w:rPr>
          <w:b/>
          <w:bCs/>
        </w:rPr>
      </w:pPr>
    </w:p>
    <w:p w:rsidR="00FC5081" w:rsidRDefault="00FC5081" w:rsidP="005F1054">
      <w:pPr>
        <w:rPr>
          <w:rFonts w:ascii="Arial" w:hAnsi="Arial" w:cs="Arial"/>
          <w:b/>
          <w:sz w:val="24"/>
          <w:szCs w:val="24"/>
        </w:rPr>
      </w:pPr>
    </w:p>
    <w:p w:rsidR="00F13F65" w:rsidRPr="002162FC" w:rsidRDefault="00FC5081" w:rsidP="005F1054">
      <w:pPr>
        <w:rPr>
          <w:rFonts w:ascii="Arial" w:hAnsi="Arial" w:cs="Arial"/>
          <w:b/>
          <w:sz w:val="24"/>
          <w:szCs w:val="24"/>
        </w:rPr>
      </w:pPr>
      <w:r>
        <w:rPr>
          <w:rFonts w:ascii="Arial" w:hAnsi="Arial" w:cs="Arial"/>
          <w:b/>
          <w:sz w:val="24"/>
          <w:szCs w:val="24"/>
        </w:rPr>
        <w:lastRenderedPageBreak/>
        <w:t>___________________________________________________________________</w:t>
      </w:r>
    </w:p>
    <w:p w:rsidR="002162FC" w:rsidRDefault="00125089" w:rsidP="002162FC">
      <w:pPr>
        <w:jc w:val="center"/>
        <w:rPr>
          <w:rFonts w:ascii="Arial" w:hAnsi="Arial" w:cs="Arial"/>
          <w:b/>
          <w:sz w:val="24"/>
          <w:szCs w:val="24"/>
        </w:rPr>
      </w:pPr>
      <w:r>
        <w:rPr>
          <w:rFonts w:ascii="Arial" w:hAnsi="Arial" w:cs="Arial"/>
          <w:b/>
          <w:sz w:val="24"/>
          <w:szCs w:val="24"/>
        </w:rPr>
        <w:t>JUDGMENT (LEAVE TO APPEAL)</w:t>
      </w:r>
    </w:p>
    <w:p w:rsidR="002162FC" w:rsidRPr="002162FC" w:rsidRDefault="002162FC" w:rsidP="002162FC">
      <w:pPr>
        <w:jc w:val="center"/>
        <w:rPr>
          <w:rFonts w:ascii="Arial" w:hAnsi="Arial" w:cs="Arial"/>
          <w:b/>
          <w:sz w:val="24"/>
          <w:szCs w:val="24"/>
        </w:rPr>
      </w:pPr>
      <w:r>
        <w:rPr>
          <w:rFonts w:ascii="Arial" w:hAnsi="Arial" w:cs="Arial"/>
          <w:b/>
          <w:sz w:val="24"/>
          <w:szCs w:val="24"/>
        </w:rPr>
        <w:t>___________________________________________________________________</w:t>
      </w:r>
    </w:p>
    <w:p w:rsidR="0090049F" w:rsidRDefault="0090049F" w:rsidP="005F1054">
      <w:pPr>
        <w:rPr>
          <w:rFonts w:ascii="Arial" w:hAnsi="Arial" w:cs="Arial"/>
          <w:b/>
          <w:sz w:val="24"/>
          <w:szCs w:val="24"/>
        </w:rPr>
      </w:pPr>
    </w:p>
    <w:p w:rsidR="00D06561" w:rsidRDefault="00125089" w:rsidP="005F1054">
      <w:pPr>
        <w:rPr>
          <w:rFonts w:ascii="Arial" w:hAnsi="Arial" w:cs="Arial"/>
          <w:b/>
          <w:sz w:val="24"/>
          <w:szCs w:val="24"/>
        </w:rPr>
      </w:pPr>
      <w:r>
        <w:rPr>
          <w:rFonts w:ascii="Arial" w:hAnsi="Arial" w:cs="Arial"/>
          <w:b/>
          <w:sz w:val="24"/>
          <w:szCs w:val="24"/>
        </w:rPr>
        <w:t>THUPAATLASE</w:t>
      </w:r>
      <w:r w:rsidR="000B76CD" w:rsidRPr="003C410C">
        <w:rPr>
          <w:rFonts w:ascii="Arial" w:hAnsi="Arial" w:cs="Arial"/>
          <w:b/>
          <w:sz w:val="24"/>
          <w:szCs w:val="24"/>
        </w:rPr>
        <w:t xml:space="preserve"> AJ</w:t>
      </w:r>
    </w:p>
    <w:p w:rsidR="003C410C" w:rsidRPr="003C410C" w:rsidRDefault="003C410C" w:rsidP="005F1054">
      <w:pPr>
        <w:rPr>
          <w:rFonts w:ascii="Arial" w:hAnsi="Arial" w:cs="Arial"/>
          <w:b/>
          <w:sz w:val="24"/>
          <w:szCs w:val="24"/>
        </w:rPr>
      </w:pPr>
    </w:p>
    <w:p w:rsidR="00FE4980" w:rsidRDefault="002B0AD0" w:rsidP="003C410C">
      <w:pPr>
        <w:jc w:val="both"/>
        <w:rPr>
          <w:rFonts w:ascii="Arial" w:hAnsi="Arial" w:cs="Arial"/>
          <w:b/>
          <w:bCs/>
          <w:sz w:val="24"/>
          <w:szCs w:val="24"/>
        </w:rPr>
      </w:pPr>
      <w:r w:rsidRPr="002162FC">
        <w:rPr>
          <w:rFonts w:ascii="Arial" w:hAnsi="Arial" w:cs="Arial"/>
          <w:b/>
          <w:bCs/>
          <w:sz w:val="24"/>
          <w:szCs w:val="24"/>
        </w:rPr>
        <w:t>Introduction</w:t>
      </w:r>
    </w:p>
    <w:p w:rsidR="0070344E" w:rsidRDefault="0070344E" w:rsidP="003C410C">
      <w:pPr>
        <w:jc w:val="both"/>
        <w:rPr>
          <w:rFonts w:ascii="Arial" w:hAnsi="Arial" w:cs="Arial"/>
          <w:b/>
          <w:bCs/>
          <w:sz w:val="24"/>
          <w:szCs w:val="24"/>
        </w:rPr>
      </w:pPr>
    </w:p>
    <w:p w:rsidR="001839C4" w:rsidRDefault="001839C4" w:rsidP="005E4D8C">
      <w:pPr>
        <w:spacing w:line="360" w:lineRule="auto"/>
        <w:jc w:val="both"/>
        <w:rPr>
          <w:rFonts w:ascii="Arial" w:hAnsi="Arial" w:cs="Arial"/>
          <w:sz w:val="24"/>
          <w:szCs w:val="24"/>
        </w:rPr>
      </w:pPr>
      <w:r>
        <w:rPr>
          <w:rFonts w:ascii="Arial" w:hAnsi="Arial" w:cs="Arial"/>
          <w:sz w:val="24"/>
          <w:szCs w:val="24"/>
        </w:rPr>
        <w:t xml:space="preserve">[1] </w:t>
      </w:r>
      <w:r w:rsidR="008114ED" w:rsidRPr="008114ED">
        <w:rPr>
          <w:rFonts w:ascii="Arial" w:hAnsi="Arial" w:cs="Arial"/>
          <w:sz w:val="24"/>
          <w:szCs w:val="24"/>
        </w:rPr>
        <w:t xml:space="preserve">This is an application </w:t>
      </w:r>
      <w:r w:rsidR="00684967">
        <w:rPr>
          <w:rFonts w:ascii="Arial" w:hAnsi="Arial" w:cs="Arial"/>
          <w:sz w:val="24"/>
          <w:szCs w:val="24"/>
        </w:rPr>
        <w:t xml:space="preserve">for leave to appeal </w:t>
      </w:r>
      <w:r w:rsidR="00776C2A">
        <w:rPr>
          <w:rFonts w:ascii="Arial" w:hAnsi="Arial" w:cs="Arial"/>
          <w:sz w:val="24"/>
          <w:szCs w:val="24"/>
        </w:rPr>
        <w:t xml:space="preserve">against </w:t>
      </w:r>
      <w:r w:rsidR="0042086A">
        <w:rPr>
          <w:rFonts w:ascii="Arial" w:hAnsi="Arial" w:cs="Arial"/>
          <w:sz w:val="24"/>
          <w:szCs w:val="24"/>
        </w:rPr>
        <w:t xml:space="preserve">the judgment and orders granted by </w:t>
      </w:r>
      <w:r w:rsidR="00D8092D">
        <w:rPr>
          <w:rFonts w:ascii="Arial" w:hAnsi="Arial" w:cs="Arial"/>
          <w:sz w:val="24"/>
          <w:szCs w:val="24"/>
        </w:rPr>
        <w:t>th</w:t>
      </w:r>
      <w:r w:rsidR="00776C2A">
        <w:rPr>
          <w:rFonts w:ascii="Arial" w:hAnsi="Arial" w:cs="Arial"/>
          <w:sz w:val="24"/>
          <w:szCs w:val="24"/>
        </w:rPr>
        <w:t xml:space="preserve">is court on </w:t>
      </w:r>
      <w:r w:rsidR="00337B2A">
        <w:rPr>
          <w:rFonts w:ascii="Arial" w:hAnsi="Arial" w:cs="Arial"/>
          <w:sz w:val="24"/>
          <w:szCs w:val="24"/>
        </w:rPr>
        <w:t xml:space="preserve">21 November 2021 </w:t>
      </w:r>
      <w:r w:rsidR="00EA6FC0">
        <w:rPr>
          <w:rFonts w:ascii="Arial" w:hAnsi="Arial" w:cs="Arial"/>
          <w:sz w:val="24"/>
          <w:szCs w:val="24"/>
        </w:rPr>
        <w:t xml:space="preserve">in favour of the </w:t>
      </w:r>
      <w:r w:rsidR="00CD1E4B">
        <w:rPr>
          <w:rFonts w:ascii="Arial" w:hAnsi="Arial" w:cs="Arial"/>
          <w:sz w:val="24"/>
          <w:szCs w:val="24"/>
        </w:rPr>
        <w:t>applicant/plaintiff against respondent</w:t>
      </w:r>
      <w:r w:rsidR="00900DF7">
        <w:rPr>
          <w:rFonts w:ascii="Arial" w:hAnsi="Arial" w:cs="Arial"/>
          <w:sz w:val="24"/>
          <w:szCs w:val="24"/>
        </w:rPr>
        <w:t>s/defendants</w:t>
      </w:r>
      <w:r w:rsidR="007F2FB5">
        <w:rPr>
          <w:rFonts w:ascii="Arial" w:hAnsi="Arial" w:cs="Arial"/>
          <w:sz w:val="24"/>
          <w:szCs w:val="24"/>
        </w:rPr>
        <w:t xml:space="preserve"> for</w:t>
      </w:r>
      <w:r w:rsidR="005E4D8C" w:rsidRPr="005E4D8C">
        <w:rPr>
          <w:rFonts w:ascii="Arial" w:hAnsi="Arial" w:cs="Arial"/>
          <w:sz w:val="24"/>
          <w:szCs w:val="24"/>
        </w:rPr>
        <w:t xml:space="preserve"> payment of the sum of R1 556 482.59 jointly and severally, the one paying, the others to be absolved and further declar</w:t>
      </w:r>
      <w:r w:rsidR="00E5313D">
        <w:rPr>
          <w:rFonts w:ascii="Arial" w:hAnsi="Arial" w:cs="Arial"/>
          <w:sz w:val="24"/>
          <w:szCs w:val="24"/>
        </w:rPr>
        <w:t>ing the mortgaged property</w:t>
      </w:r>
      <w:r w:rsidR="005E4D8C" w:rsidRPr="005E4D8C">
        <w:rPr>
          <w:rFonts w:ascii="Arial" w:hAnsi="Arial" w:cs="Arial"/>
          <w:sz w:val="24"/>
          <w:szCs w:val="24"/>
        </w:rPr>
        <w:t xml:space="preserve"> specially executable</w:t>
      </w:r>
      <w:r w:rsidR="0026782A">
        <w:rPr>
          <w:rFonts w:ascii="Arial" w:hAnsi="Arial" w:cs="Arial"/>
          <w:sz w:val="24"/>
          <w:szCs w:val="24"/>
        </w:rPr>
        <w:t xml:space="preserve">. The </w:t>
      </w:r>
      <w:r w:rsidR="005E4D8C" w:rsidRPr="005E4D8C">
        <w:rPr>
          <w:rFonts w:ascii="Arial" w:hAnsi="Arial" w:cs="Arial"/>
          <w:sz w:val="24"/>
          <w:szCs w:val="24"/>
        </w:rPr>
        <w:t>immovable property more commonly known as Erf 444, Bellevue Township, Registration Division IR, Gauteng registered in the names of the respondent</w:t>
      </w:r>
      <w:r w:rsidR="00D61CE0">
        <w:rPr>
          <w:rFonts w:ascii="Arial" w:hAnsi="Arial" w:cs="Arial"/>
          <w:sz w:val="24"/>
          <w:szCs w:val="24"/>
        </w:rPr>
        <w:t xml:space="preserve">s. </w:t>
      </w:r>
    </w:p>
    <w:p w:rsidR="00545663" w:rsidRDefault="001E63AA" w:rsidP="003C410C">
      <w:pPr>
        <w:spacing w:line="480" w:lineRule="auto"/>
        <w:jc w:val="both"/>
        <w:rPr>
          <w:rFonts w:ascii="Arial" w:hAnsi="Arial" w:cs="Arial"/>
          <w:b/>
          <w:bCs/>
          <w:sz w:val="24"/>
          <w:szCs w:val="24"/>
        </w:rPr>
      </w:pPr>
      <w:r>
        <w:rPr>
          <w:rFonts w:ascii="Arial" w:hAnsi="Arial" w:cs="Arial"/>
          <w:b/>
          <w:bCs/>
          <w:sz w:val="24"/>
          <w:szCs w:val="24"/>
        </w:rPr>
        <w:t xml:space="preserve">Grounds of Appeal </w:t>
      </w:r>
    </w:p>
    <w:p w:rsidR="003B45F4" w:rsidRPr="00A31E63" w:rsidRDefault="00A24451" w:rsidP="0005090B">
      <w:pPr>
        <w:spacing w:line="360" w:lineRule="auto"/>
        <w:jc w:val="both"/>
        <w:rPr>
          <w:rFonts w:ascii="Arial" w:hAnsi="Arial" w:cs="Arial"/>
          <w:sz w:val="24"/>
          <w:szCs w:val="24"/>
        </w:rPr>
      </w:pPr>
      <w:r w:rsidRPr="00A31E63">
        <w:rPr>
          <w:rFonts w:ascii="Arial" w:hAnsi="Arial" w:cs="Arial"/>
          <w:sz w:val="24"/>
          <w:szCs w:val="24"/>
        </w:rPr>
        <w:t xml:space="preserve">[2] </w:t>
      </w:r>
      <w:r w:rsidR="00B07CA4" w:rsidRPr="00B07CA4">
        <w:rPr>
          <w:rFonts w:ascii="Arial" w:hAnsi="Arial" w:cs="Arial"/>
          <w:sz w:val="24"/>
          <w:szCs w:val="24"/>
        </w:rPr>
        <w:t xml:space="preserve">The grounds of appeal filed on behalf of the </w:t>
      </w:r>
      <w:r w:rsidR="00B5088F">
        <w:rPr>
          <w:rFonts w:ascii="Arial" w:hAnsi="Arial" w:cs="Arial"/>
          <w:sz w:val="24"/>
          <w:szCs w:val="24"/>
        </w:rPr>
        <w:t>defendants</w:t>
      </w:r>
      <w:r w:rsidR="00B84BE1">
        <w:rPr>
          <w:rFonts w:ascii="Arial" w:hAnsi="Arial" w:cs="Arial"/>
          <w:sz w:val="24"/>
          <w:szCs w:val="24"/>
        </w:rPr>
        <w:t xml:space="preserve"> </w:t>
      </w:r>
      <w:r w:rsidR="00A57F86" w:rsidRPr="00B07CA4">
        <w:rPr>
          <w:rFonts w:ascii="Arial" w:hAnsi="Arial" w:cs="Arial"/>
          <w:sz w:val="24"/>
          <w:szCs w:val="24"/>
        </w:rPr>
        <w:t>can</w:t>
      </w:r>
      <w:r w:rsidR="00B07CA4" w:rsidRPr="00B07CA4">
        <w:rPr>
          <w:rFonts w:ascii="Arial" w:hAnsi="Arial" w:cs="Arial"/>
          <w:sz w:val="24"/>
          <w:szCs w:val="24"/>
        </w:rPr>
        <w:t xml:space="preserve"> be summarised briefly as follows: the </w:t>
      </w:r>
      <w:r w:rsidR="00B5088F">
        <w:rPr>
          <w:rFonts w:ascii="Arial" w:hAnsi="Arial" w:cs="Arial"/>
          <w:sz w:val="24"/>
          <w:szCs w:val="24"/>
        </w:rPr>
        <w:t>defendants</w:t>
      </w:r>
      <w:r w:rsidR="00B07CA4" w:rsidRPr="00B07CA4">
        <w:rPr>
          <w:rFonts w:ascii="Arial" w:hAnsi="Arial" w:cs="Arial"/>
          <w:sz w:val="24"/>
          <w:szCs w:val="24"/>
        </w:rPr>
        <w:t xml:space="preserve"> contends that this Court erred in holding</w:t>
      </w:r>
      <w:r w:rsidR="00A61D6C">
        <w:rPr>
          <w:rFonts w:ascii="Arial" w:hAnsi="Arial" w:cs="Arial"/>
          <w:sz w:val="24"/>
          <w:szCs w:val="24"/>
        </w:rPr>
        <w:t xml:space="preserve"> that the plaintiff proved indebtedness </w:t>
      </w:r>
      <w:r w:rsidR="00AB7ACF">
        <w:rPr>
          <w:rFonts w:ascii="Arial" w:hAnsi="Arial" w:cs="Arial"/>
          <w:sz w:val="24"/>
          <w:szCs w:val="24"/>
        </w:rPr>
        <w:t xml:space="preserve">by the defendants. </w:t>
      </w:r>
      <w:r w:rsidR="00C56330">
        <w:rPr>
          <w:rFonts w:ascii="Arial" w:hAnsi="Arial" w:cs="Arial"/>
          <w:sz w:val="24"/>
          <w:szCs w:val="24"/>
        </w:rPr>
        <w:t xml:space="preserve">The second point raised is that the court </w:t>
      </w:r>
      <w:r w:rsidR="00A57F86">
        <w:rPr>
          <w:rFonts w:ascii="Arial" w:hAnsi="Arial" w:cs="Arial"/>
          <w:sz w:val="24"/>
          <w:szCs w:val="24"/>
        </w:rPr>
        <w:t>erred in f</w:t>
      </w:r>
      <w:r w:rsidR="00CE4CED">
        <w:rPr>
          <w:rFonts w:ascii="Arial" w:hAnsi="Arial" w:cs="Arial"/>
          <w:sz w:val="24"/>
          <w:szCs w:val="24"/>
        </w:rPr>
        <w:t>inding that there was no disputes of facts</w:t>
      </w:r>
      <w:r w:rsidR="00546F3A">
        <w:rPr>
          <w:rFonts w:ascii="Arial" w:hAnsi="Arial" w:cs="Arial"/>
          <w:sz w:val="24"/>
          <w:szCs w:val="24"/>
        </w:rPr>
        <w:t xml:space="preserve">. The defendants contend that there </w:t>
      </w:r>
      <w:r w:rsidR="008C275E">
        <w:rPr>
          <w:rFonts w:ascii="Arial" w:hAnsi="Arial" w:cs="Arial"/>
          <w:sz w:val="24"/>
          <w:szCs w:val="24"/>
        </w:rPr>
        <w:t>are</w:t>
      </w:r>
      <w:r w:rsidR="00C047C4">
        <w:rPr>
          <w:rFonts w:ascii="Arial" w:hAnsi="Arial" w:cs="Arial"/>
          <w:sz w:val="24"/>
          <w:szCs w:val="24"/>
        </w:rPr>
        <w:t xml:space="preserve"> </w:t>
      </w:r>
      <w:r w:rsidR="00546F3A">
        <w:rPr>
          <w:rFonts w:ascii="Arial" w:hAnsi="Arial" w:cs="Arial"/>
          <w:sz w:val="24"/>
          <w:szCs w:val="24"/>
        </w:rPr>
        <w:t>factual dispute</w:t>
      </w:r>
      <w:r w:rsidR="008C275E">
        <w:rPr>
          <w:rFonts w:ascii="Arial" w:hAnsi="Arial" w:cs="Arial"/>
          <w:sz w:val="24"/>
          <w:szCs w:val="24"/>
        </w:rPr>
        <w:t>s</w:t>
      </w:r>
      <w:r w:rsidR="00546F3A">
        <w:rPr>
          <w:rFonts w:ascii="Arial" w:hAnsi="Arial" w:cs="Arial"/>
          <w:sz w:val="24"/>
          <w:szCs w:val="24"/>
        </w:rPr>
        <w:t xml:space="preserve"> of fact patent on the papers. </w:t>
      </w:r>
    </w:p>
    <w:p w:rsidR="00AD4639" w:rsidRDefault="00311675" w:rsidP="003C410C">
      <w:pPr>
        <w:spacing w:line="360" w:lineRule="auto"/>
        <w:jc w:val="both"/>
        <w:rPr>
          <w:rFonts w:ascii="Arial" w:hAnsi="Arial" w:cs="Arial"/>
          <w:b/>
          <w:bCs/>
          <w:sz w:val="24"/>
          <w:szCs w:val="24"/>
        </w:rPr>
      </w:pPr>
      <w:r>
        <w:rPr>
          <w:rFonts w:ascii="Arial" w:hAnsi="Arial" w:cs="Arial"/>
          <w:b/>
          <w:bCs/>
          <w:sz w:val="24"/>
          <w:szCs w:val="24"/>
        </w:rPr>
        <w:t>Principal submission</w:t>
      </w:r>
      <w:r w:rsidR="006365B6">
        <w:rPr>
          <w:rFonts w:ascii="Arial" w:hAnsi="Arial" w:cs="Arial"/>
          <w:b/>
          <w:bCs/>
          <w:sz w:val="24"/>
          <w:szCs w:val="24"/>
        </w:rPr>
        <w:t xml:space="preserve">s by the parties </w:t>
      </w:r>
    </w:p>
    <w:p w:rsidR="00525E2A" w:rsidRDefault="007F1CAE" w:rsidP="003C410C">
      <w:pPr>
        <w:spacing w:line="360" w:lineRule="auto"/>
        <w:jc w:val="both"/>
        <w:rPr>
          <w:rFonts w:ascii="Arial" w:hAnsi="Arial" w:cs="Arial"/>
          <w:sz w:val="24"/>
          <w:szCs w:val="24"/>
        </w:rPr>
      </w:pPr>
      <w:r w:rsidRPr="006308B8">
        <w:rPr>
          <w:rFonts w:ascii="Arial" w:hAnsi="Arial" w:cs="Arial"/>
          <w:sz w:val="24"/>
          <w:szCs w:val="24"/>
        </w:rPr>
        <w:t>[3]</w:t>
      </w:r>
      <w:r>
        <w:rPr>
          <w:rFonts w:ascii="Arial" w:hAnsi="Arial" w:cs="Arial"/>
          <w:b/>
          <w:bCs/>
          <w:sz w:val="24"/>
          <w:szCs w:val="24"/>
        </w:rPr>
        <w:t xml:space="preserve"> </w:t>
      </w:r>
      <w:r w:rsidRPr="00821A41">
        <w:rPr>
          <w:rFonts w:ascii="Arial" w:hAnsi="Arial" w:cs="Arial"/>
          <w:sz w:val="24"/>
          <w:szCs w:val="24"/>
        </w:rPr>
        <w:t>The respondents</w:t>
      </w:r>
      <w:r w:rsidR="00E1609D">
        <w:rPr>
          <w:rFonts w:ascii="Arial" w:hAnsi="Arial" w:cs="Arial"/>
          <w:sz w:val="24"/>
          <w:szCs w:val="24"/>
        </w:rPr>
        <w:t>’</w:t>
      </w:r>
      <w:r w:rsidRPr="00821A41">
        <w:rPr>
          <w:rFonts w:ascii="Arial" w:hAnsi="Arial" w:cs="Arial"/>
          <w:sz w:val="24"/>
          <w:szCs w:val="24"/>
        </w:rPr>
        <w:t xml:space="preserve"> main submission</w:t>
      </w:r>
      <w:r w:rsidR="00821A41">
        <w:rPr>
          <w:rFonts w:ascii="Arial" w:hAnsi="Arial" w:cs="Arial"/>
          <w:b/>
          <w:bCs/>
          <w:sz w:val="24"/>
          <w:szCs w:val="24"/>
        </w:rPr>
        <w:t xml:space="preserve"> </w:t>
      </w:r>
      <w:r w:rsidR="002B24D0">
        <w:rPr>
          <w:rFonts w:ascii="Arial" w:hAnsi="Arial" w:cs="Arial"/>
          <w:sz w:val="24"/>
          <w:szCs w:val="24"/>
        </w:rPr>
        <w:t xml:space="preserve">is </w:t>
      </w:r>
      <w:r w:rsidR="003F72C8">
        <w:rPr>
          <w:rFonts w:ascii="Arial" w:hAnsi="Arial" w:cs="Arial"/>
          <w:sz w:val="24"/>
          <w:szCs w:val="24"/>
        </w:rPr>
        <w:t>that</w:t>
      </w:r>
      <w:r w:rsidR="00821A41" w:rsidRPr="00D26766">
        <w:rPr>
          <w:rFonts w:ascii="Arial" w:hAnsi="Arial" w:cs="Arial"/>
          <w:sz w:val="24"/>
          <w:szCs w:val="24"/>
        </w:rPr>
        <w:t xml:space="preserve"> the court </w:t>
      </w:r>
      <w:r w:rsidR="003F72C8">
        <w:rPr>
          <w:rFonts w:ascii="Arial" w:hAnsi="Arial" w:cs="Arial"/>
          <w:sz w:val="24"/>
          <w:szCs w:val="24"/>
        </w:rPr>
        <w:t xml:space="preserve">erred </w:t>
      </w:r>
      <w:r w:rsidR="00EA5BAD">
        <w:rPr>
          <w:rFonts w:ascii="Arial" w:hAnsi="Arial" w:cs="Arial"/>
          <w:sz w:val="24"/>
          <w:szCs w:val="24"/>
        </w:rPr>
        <w:t xml:space="preserve">in concluding that indebtedness </w:t>
      </w:r>
      <w:r w:rsidR="00FC5947">
        <w:rPr>
          <w:rFonts w:ascii="Arial" w:hAnsi="Arial" w:cs="Arial"/>
          <w:sz w:val="24"/>
          <w:szCs w:val="24"/>
        </w:rPr>
        <w:t xml:space="preserve">was proved. That the </w:t>
      </w:r>
      <w:r w:rsidR="00BC34F9">
        <w:rPr>
          <w:rFonts w:ascii="Arial" w:hAnsi="Arial" w:cs="Arial"/>
          <w:sz w:val="24"/>
          <w:szCs w:val="24"/>
        </w:rPr>
        <w:t xml:space="preserve">court erred </w:t>
      </w:r>
      <w:r w:rsidR="00E1609D">
        <w:rPr>
          <w:rFonts w:ascii="Arial" w:hAnsi="Arial" w:cs="Arial"/>
          <w:sz w:val="24"/>
          <w:szCs w:val="24"/>
        </w:rPr>
        <w:t xml:space="preserve">in holding </w:t>
      </w:r>
      <w:r w:rsidR="006308B8">
        <w:rPr>
          <w:rFonts w:ascii="Arial" w:hAnsi="Arial" w:cs="Arial"/>
          <w:sz w:val="24"/>
          <w:szCs w:val="24"/>
        </w:rPr>
        <w:t>that</w:t>
      </w:r>
      <w:r w:rsidR="00A57F03">
        <w:rPr>
          <w:rFonts w:ascii="Arial" w:hAnsi="Arial" w:cs="Arial"/>
          <w:sz w:val="24"/>
          <w:szCs w:val="24"/>
        </w:rPr>
        <w:t xml:space="preserve"> </w:t>
      </w:r>
      <w:r w:rsidR="00A06F71">
        <w:rPr>
          <w:rFonts w:ascii="Arial" w:hAnsi="Arial" w:cs="Arial"/>
          <w:sz w:val="24"/>
          <w:szCs w:val="24"/>
        </w:rPr>
        <w:t xml:space="preserve">there was </w:t>
      </w:r>
      <w:r w:rsidR="00E1609D">
        <w:rPr>
          <w:rFonts w:ascii="Arial" w:hAnsi="Arial" w:cs="Arial"/>
          <w:sz w:val="24"/>
          <w:szCs w:val="24"/>
        </w:rPr>
        <w:t xml:space="preserve">common </w:t>
      </w:r>
      <w:r w:rsidR="00E93AB4">
        <w:rPr>
          <w:rFonts w:ascii="Arial" w:hAnsi="Arial" w:cs="Arial"/>
          <w:sz w:val="24"/>
          <w:szCs w:val="24"/>
        </w:rPr>
        <w:t>cause th</w:t>
      </w:r>
      <w:r w:rsidR="007C608D">
        <w:rPr>
          <w:rFonts w:ascii="Arial" w:hAnsi="Arial" w:cs="Arial"/>
          <w:sz w:val="24"/>
          <w:szCs w:val="24"/>
        </w:rPr>
        <w:t xml:space="preserve">at the respondents </w:t>
      </w:r>
      <w:r w:rsidR="00CE36AD">
        <w:rPr>
          <w:rFonts w:ascii="Arial" w:hAnsi="Arial" w:cs="Arial"/>
          <w:sz w:val="24"/>
          <w:szCs w:val="24"/>
        </w:rPr>
        <w:t>were indebted to the applicant,</w:t>
      </w:r>
      <w:r w:rsidR="001815ED">
        <w:rPr>
          <w:rFonts w:ascii="Arial" w:hAnsi="Arial" w:cs="Arial"/>
          <w:sz w:val="24"/>
          <w:szCs w:val="24"/>
        </w:rPr>
        <w:t xml:space="preserve"> </w:t>
      </w:r>
      <w:r w:rsidR="00A90CE2">
        <w:rPr>
          <w:rFonts w:ascii="Arial" w:hAnsi="Arial" w:cs="Arial"/>
          <w:sz w:val="24"/>
          <w:szCs w:val="24"/>
        </w:rPr>
        <w:t xml:space="preserve">and that this </w:t>
      </w:r>
      <w:r w:rsidR="00C609A0">
        <w:rPr>
          <w:rFonts w:ascii="Arial" w:hAnsi="Arial" w:cs="Arial"/>
          <w:sz w:val="24"/>
          <w:szCs w:val="24"/>
        </w:rPr>
        <w:t>finding constituted</w:t>
      </w:r>
      <w:r w:rsidR="008E0B46">
        <w:rPr>
          <w:rFonts w:ascii="Arial" w:hAnsi="Arial" w:cs="Arial"/>
          <w:sz w:val="24"/>
          <w:szCs w:val="24"/>
        </w:rPr>
        <w:t xml:space="preserve"> a material misdirection of fact which resulted </w:t>
      </w:r>
      <w:r w:rsidR="00424E35">
        <w:rPr>
          <w:rFonts w:ascii="Arial" w:hAnsi="Arial" w:cs="Arial"/>
          <w:sz w:val="24"/>
          <w:szCs w:val="24"/>
        </w:rPr>
        <w:t xml:space="preserve">in misdirection on the law. It was submitted that </w:t>
      </w:r>
      <w:r w:rsidR="008C0F93">
        <w:rPr>
          <w:rFonts w:ascii="Arial" w:hAnsi="Arial" w:cs="Arial"/>
          <w:sz w:val="24"/>
          <w:szCs w:val="24"/>
        </w:rPr>
        <w:t xml:space="preserve">another court hearing the matter </w:t>
      </w:r>
      <w:r w:rsidR="006A29CD">
        <w:rPr>
          <w:rFonts w:ascii="Arial" w:hAnsi="Arial" w:cs="Arial"/>
          <w:sz w:val="24"/>
          <w:szCs w:val="24"/>
        </w:rPr>
        <w:t xml:space="preserve">and on proper analysis in </w:t>
      </w:r>
      <w:r w:rsidR="002B24D0">
        <w:rPr>
          <w:rFonts w:ascii="Arial" w:hAnsi="Arial" w:cs="Arial"/>
          <w:sz w:val="24"/>
          <w:szCs w:val="24"/>
        </w:rPr>
        <w:t>respect</w:t>
      </w:r>
      <w:r w:rsidR="006A29CD">
        <w:rPr>
          <w:rFonts w:ascii="Arial" w:hAnsi="Arial" w:cs="Arial"/>
          <w:sz w:val="24"/>
          <w:szCs w:val="24"/>
        </w:rPr>
        <w:t xml:space="preserve"> of liability </w:t>
      </w:r>
      <w:r w:rsidR="002B24D0">
        <w:rPr>
          <w:rFonts w:ascii="Arial" w:hAnsi="Arial" w:cs="Arial"/>
          <w:sz w:val="24"/>
          <w:szCs w:val="24"/>
        </w:rPr>
        <w:t>would come to the conclusion different from the one reached by this court.</w:t>
      </w:r>
    </w:p>
    <w:p w:rsidR="00B56ADE" w:rsidRDefault="00B56ADE" w:rsidP="003C410C">
      <w:pPr>
        <w:spacing w:line="360" w:lineRule="auto"/>
        <w:jc w:val="both"/>
        <w:rPr>
          <w:rFonts w:ascii="Arial" w:hAnsi="Arial" w:cs="Arial"/>
          <w:sz w:val="24"/>
          <w:szCs w:val="24"/>
        </w:rPr>
      </w:pPr>
      <w:r>
        <w:rPr>
          <w:rFonts w:ascii="Arial" w:hAnsi="Arial" w:cs="Arial"/>
          <w:sz w:val="24"/>
          <w:szCs w:val="24"/>
        </w:rPr>
        <w:lastRenderedPageBreak/>
        <w:t xml:space="preserve">[4] </w:t>
      </w:r>
      <w:r w:rsidR="00B12ABB">
        <w:rPr>
          <w:rFonts w:ascii="Arial" w:hAnsi="Arial" w:cs="Arial"/>
          <w:sz w:val="24"/>
          <w:szCs w:val="24"/>
        </w:rPr>
        <w:t xml:space="preserve">It </w:t>
      </w:r>
      <w:r w:rsidR="001B489A">
        <w:rPr>
          <w:rFonts w:ascii="Arial" w:hAnsi="Arial" w:cs="Arial"/>
          <w:sz w:val="24"/>
          <w:szCs w:val="24"/>
        </w:rPr>
        <w:t xml:space="preserve">was </w:t>
      </w:r>
      <w:r w:rsidR="00B12ABB">
        <w:rPr>
          <w:rFonts w:ascii="Arial" w:hAnsi="Arial" w:cs="Arial"/>
          <w:sz w:val="24"/>
          <w:szCs w:val="24"/>
        </w:rPr>
        <w:t xml:space="preserve">further submitted by the respondents that </w:t>
      </w:r>
      <w:r w:rsidR="000042CC">
        <w:rPr>
          <w:rFonts w:ascii="Arial" w:hAnsi="Arial" w:cs="Arial"/>
          <w:sz w:val="24"/>
          <w:szCs w:val="24"/>
        </w:rPr>
        <w:t xml:space="preserve">it is inarguable on the papers that the </w:t>
      </w:r>
      <w:r w:rsidR="00561CBB">
        <w:rPr>
          <w:rFonts w:ascii="Arial" w:hAnsi="Arial" w:cs="Arial"/>
          <w:sz w:val="24"/>
          <w:szCs w:val="24"/>
        </w:rPr>
        <w:t>re</w:t>
      </w:r>
      <w:r w:rsidR="008B5C47">
        <w:rPr>
          <w:rFonts w:ascii="Arial" w:hAnsi="Arial" w:cs="Arial"/>
          <w:sz w:val="24"/>
          <w:szCs w:val="24"/>
        </w:rPr>
        <w:t xml:space="preserve">spondents were disputing liability and more particularly </w:t>
      </w:r>
      <w:r w:rsidR="00494B9A">
        <w:rPr>
          <w:rFonts w:ascii="Arial" w:hAnsi="Arial" w:cs="Arial"/>
          <w:sz w:val="24"/>
          <w:szCs w:val="24"/>
        </w:rPr>
        <w:t>that the applicant did not factor in the payments prior to the conclusion of the loan agr</w:t>
      </w:r>
      <w:r w:rsidR="00DF0D81">
        <w:rPr>
          <w:rFonts w:ascii="Arial" w:hAnsi="Arial" w:cs="Arial"/>
          <w:sz w:val="24"/>
          <w:szCs w:val="24"/>
        </w:rPr>
        <w:t>eement.</w:t>
      </w:r>
    </w:p>
    <w:p w:rsidR="00986A76" w:rsidRDefault="00DF0D81" w:rsidP="003C410C">
      <w:pPr>
        <w:spacing w:line="360" w:lineRule="auto"/>
        <w:jc w:val="both"/>
        <w:rPr>
          <w:rFonts w:ascii="Arial" w:hAnsi="Arial" w:cs="Arial"/>
          <w:sz w:val="24"/>
          <w:szCs w:val="24"/>
        </w:rPr>
      </w:pPr>
      <w:r>
        <w:rPr>
          <w:rFonts w:ascii="Arial" w:hAnsi="Arial" w:cs="Arial"/>
          <w:sz w:val="24"/>
          <w:szCs w:val="24"/>
        </w:rPr>
        <w:t xml:space="preserve">[5] </w:t>
      </w:r>
      <w:r w:rsidR="00C60CCE">
        <w:rPr>
          <w:rFonts w:ascii="Arial" w:hAnsi="Arial" w:cs="Arial"/>
          <w:sz w:val="24"/>
          <w:szCs w:val="24"/>
        </w:rPr>
        <w:t xml:space="preserve">It was submitted by the respondents that there was factual dispute </w:t>
      </w:r>
      <w:r w:rsidR="00613EE4">
        <w:rPr>
          <w:rFonts w:ascii="Arial" w:hAnsi="Arial" w:cs="Arial"/>
          <w:sz w:val="24"/>
          <w:szCs w:val="24"/>
        </w:rPr>
        <w:t xml:space="preserve">which the court failed to appreciate and to engage with it in respect </w:t>
      </w:r>
      <w:r w:rsidR="005C1802">
        <w:rPr>
          <w:rFonts w:ascii="Arial" w:hAnsi="Arial" w:cs="Arial"/>
          <w:sz w:val="24"/>
          <w:szCs w:val="24"/>
        </w:rPr>
        <w:t>of the accounting method in computation of the amounts involved</w:t>
      </w:r>
      <w:r w:rsidR="00986A76">
        <w:rPr>
          <w:rFonts w:ascii="Arial" w:hAnsi="Arial" w:cs="Arial"/>
          <w:sz w:val="24"/>
          <w:szCs w:val="24"/>
        </w:rPr>
        <w:t>.</w:t>
      </w:r>
    </w:p>
    <w:p w:rsidR="00DF0D81" w:rsidRDefault="00986A76" w:rsidP="003C410C">
      <w:pPr>
        <w:spacing w:line="360" w:lineRule="auto"/>
        <w:jc w:val="both"/>
        <w:rPr>
          <w:rFonts w:ascii="Arial" w:hAnsi="Arial" w:cs="Arial"/>
          <w:sz w:val="24"/>
          <w:szCs w:val="24"/>
        </w:rPr>
      </w:pPr>
      <w:r>
        <w:rPr>
          <w:rFonts w:ascii="Arial" w:hAnsi="Arial" w:cs="Arial"/>
          <w:sz w:val="24"/>
          <w:szCs w:val="24"/>
        </w:rPr>
        <w:t xml:space="preserve">[6] The applicant aligned its </w:t>
      </w:r>
      <w:r w:rsidR="007F62C3">
        <w:rPr>
          <w:rFonts w:ascii="Arial" w:hAnsi="Arial" w:cs="Arial"/>
          <w:sz w:val="24"/>
          <w:szCs w:val="24"/>
        </w:rPr>
        <w:t xml:space="preserve">submissions </w:t>
      </w:r>
      <w:r w:rsidR="004D55D2">
        <w:rPr>
          <w:rFonts w:ascii="Arial" w:hAnsi="Arial" w:cs="Arial"/>
          <w:sz w:val="24"/>
          <w:szCs w:val="24"/>
        </w:rPr>
        <w:t xml:space="preserve">mainly </w:t>
      </w:r>
      <w:r w:rsidR="007F62C3">
        <w:rPr>
          <w:rFonts w:ascii="Arial" w:hAnsi="Arial" w:cs="Arial"/>
          <w:sz w:val="24"/>
          <w:szCs w:val="24"/>
        </w:rPr>
        <w:t>with finding of th</w:t>
      </w:r>
      <w:r w:rsidR="004D55D2">
        <w:rPr>
          <w:rFonts w:ascii="Arial" w:hAnsi="Arial" w:cs="Arial"/>
          <w:sz w:val="24"/>
          <w:szCs w:val="24"/>
        </w:rPr>
        <w:t>is</w:t>
      </w:r>
      <w:r w:rsidR="007F62C3">
        <w:rPr>
          <w:rFonts w:ascii="Arial" w:hAnsi="Arial" w:cs="Arial"/>
          <w:sz w:val="24"/>
          <w:szCs w:val="24"/>
        </w:rPr>
        <w:t xml:space="preserve"> court. The</w:t>
      </w:r>
      <w:r w:rsidR="005C1802">
        <w:rPr>
          <w:rFonts w:ascii="Arial" w:hAnsi="Arial" w:cs="Arial"/>
          <w:sz w:val="24"/>
          <w:szCs w:val="24"/>
        </w:rPr>
        <w:t xml:space="preserve"> </w:t>
      </w:r>
      <w:r w:rsidR="007F62C3">
        <w:rPr>
          <w:rFonts w:ascii="Arial" w:hAnsi="Arial" w:cs="Arial"/>
          <w:sz w:val="24"/>
          <w:szCs w:val="24"/>
        </w:rPr>
        <w:t>appl</w:t>
      </w:r>
      <w:r w:rsidR="00C70C4D">
        <w:rPr>
          <w:rFonts w:ascii="Arial" w:hAnsi="Arial" w:cs="Arial"/>
          <w:sz w:val="24"/>
          <w:szCs w:val="24"/>
        </w:rPr>
        <w:t xml:space="preserve">icant submitted </w:t>
      </w:r>
      <w:r w:rsidR="004D55D2">
        <w:rPr>
          <w:rFonts w:ascii="Arial" w:hAnsi="Arial" w:cs="Arial"/>
          <w:sz w:val="24"/>
          <w:szCs w:val="24"/>
        </w:rPr>
        <w:t xml:space="preserve">that </w:t>
      </w:r>
      <w:r w:rsidR="00C70C4D">
        <w:rPr>
          <w:rFonts w:ascii="Arial" w:hAnsi="Arial" w:cs="Arial"/>
          <w:sz w:val="24"/>
          <w:szCs w:val="24"/>
        </w:rPr>
        <w:t>the court was correct to find that it has proved inde</w:t>
      </w:r>
      <w:r w:rsidR="00324B4A">
        <w:rPr>
          <w:rFonts w:ascii="Arial" w:hAnsi="Arial" w:cs="Arial"/>
          <w:sz w:val="24"/>
          <w:szCs w:val="24"/>
        </w:rPr>
        <w:t>btedness. Th</w:t>
      </w:r>
      <w:r w:rsidR="00BE3D3E">
        <w:rPr>
          <w:rFonts w:ascii="Arial" w:hAnsi="Arial" w:cs="Arial"/>
          <w:sz w:val="24"/>
          <w:szCs w:val="24"/>
        </w:rPr>
        <w:t xml:space="preserve">e argument was based on the </w:t>
      </w:r>
      <w:r w:rsidR="00936764">
        <w:rPr>
          <w:rFonts w:ascii="Arial" w:hAnsi="Arial" w:cs="Arial"/>
          <w:sz w:val="24"/>
          <w:szCs w:val="24"/>
        </w:rPr>
        <w:t xml:space="preserve">terms of the loan agreement between the parties. The loan agreement </w:t>
      </w:r>
      <w:r w:rsidR="00E214FA">
        <w:rPr>
          <w:rFonts w:ascii="Arial" w:hAnsi="Arial" w:cs="Arial"/>
          <w:sz w:val="24"/>
          <w:szCs w:val="24"/>
        </w:rPr>
        <w:t xml:space="preserve">contains a clause stating that a certificate signed </w:t>
      </w:r>
      <w:r w:rsidR="009977F8">
        <w:rPr>
          <w:rFonts w:ascii="Arial" w:hAnsi="Arial" w:cs="Arial"/>
          <w:sz w:val="24"/>
          <w:szCs w:val="24"/>
        </w:rPr>
        <w:t>by the applicant is prima facie proof of the amount due</w:t>
      </w:r>
      <w:r w:rsidR="00174953">
        <w:rPr>
          <w:rFonts w:ascii="Arial" w:hAnsi="Arial" w:cs="Arial"/>
          <w:sz w:val="24"/>
          <w:szCs w:val="24"/>
        </w:rPr>
        <w:t xml:space="preserve">, </w:t>
      </w:r>
      <w:r w:rsidR="00556173">
        <w:rPr>
          <w:rFonts w:ascii="Arial" w:hAnsi="Arial" w:cs="Arial"/>
          <w:sz w:val="24"/>
          <w:szCs w:val="24"/>
        </w:rPr>
        <w:t>owing,</w:t>
      </w:r>
      <w:r w:rsidR="00174953">
        <w:rPr>
          <w:rFonts w:ascii="Arial" w:hAnsi="Arial" w:cs="Arial"/>
          <w:sz w:val="24"/>
          <w:szCs w:val="24"/>
        </w:rPr>
        <w:t xml:space="preserve"> and payable.</w:t>
      </w:r>
      <w:r w:rsidR="00565EC0">
        <w:rPr>
          <w:rFonts w:ascii="Arial" w:hAnsi="Arial" w:cs="Arial"/>
          <w:sz w:val="24"/>
          <w:szCs w:val="24"/>
        </w:rPr>
        <w:t xml:space="preserve"> The applicant argued </w:t>
      </w:r>
      <w:r w:rsidR="00556173">
        <w:rPr>
          <w:rFonts w:ascii="Arial" w:hAnsi="Arial" w:cs="Arial"/>
          <w:sz w:val="24"/>
          <w:szCs w:val="24"/>
        </w:rPr>
        <w:t xml:space="preserve">in the circumstances, the </w:t>
      </w:r>
      <w:r w:rsidR="00CA41A9">
        <w:rPr>
          <w:rFonts w:ascii="Arial" w:hAnsi="Arial" w:cs="Arial"/>
          <w:sz w:val="24"/>
          <w:szCs w:val="24"/>
        </w:rPr>
        <w:t xml:space="preserve">amount owing by the respondents was proved and that the applicant </w:t>
      </w:r>
      <w:r w:rsidR="00E67105">
        <w:rPr>
          <w:rFonts w:ascii="Arial" w:hAnsi="Arial" w:cs="Arial"/>
          <w:sz w:val="24"/>
          <w:szCs w:val="24"/>
        </w:rPr>
        <w:t xml:space="preserve">kept a detailed record, which is unassailable </w:t>
      </w:r>
      <w:r w:rsidR="001D303E">
        <w:rPr>
          <w:rFonts w:ascii="Arial" w:hAnsi="Arial" w:cs="Arial"/>
          <w:sz w:val="24"/>
          <w:szCs w:val="24"/>
        </w:rPr>
        <w:t>and that the respondents failed to assail it.</w:t>
      </w:r>
    </w:p>
    <w:p w:rsidR="001D303E" w:rsidRDefault="001D303E" w:rsidP="003C410C">
      <w:pPr>
        <w:spacing w:line="360" w:lineRule="auto"/>
        <w:jc w:val="both"/>
        <w:rPr>
          <w:rFonts w:ascii="Arial" w:hAnsi="Arial" w:cs="Arial"/>
          <w:sz w:val="24"/>
          <w:szCs w:val="24"/>
        </w:rPr>
      </w:pPr>
      <w:r>
        <w:rPr>
          <w:rFonts w:ascii="Arial" w:hAnsi="Arial" w:cs="Arial"/>
          <w:sz w:val="24"/>
          <w:szCs w:val="24"/>
        </w:rPr>
        <w:t>[7] In respect of the second ground of appeal relating to alleged dispute of facts</w:t>
      </w:r>
      <w:r w:rsidR="0042520D">
        <w:rPr>
          <w:rFonts w:ascii="Arial" w:hAnsi="Arial" w:cs="Arial"/>
          <w:sz w:val="24"/>
          <w:szCs w:val="24"/>
        </w:rPr>
        <w:t>, once more the applicant submitted that there was no error</w:t>
      </w:r>
      <w:r w:rsidR="00B520A5">
        <w:rPr>
          <w:rFonts w:ascii="Arial" w:hAnsi="Arial" w:cs="Arial"/>
          <w:sz w:val="24"/>
          <w:szCs w:val="24"/>
        </w:rPr>
        <w:t xml:space="preserve"> or </w:t>
      </w:r>
      <w:r w:rsidR="00125089">
        <w:rPr>
          <w:rFonts w:ascii="Arial" w:hAnsi="Arial" w:cs="Arial"/>
          <w:sz w:val="24"/>
          <w:szCs w:val="24"/>
        </w:rPr>
        <w:t>misdirection on</w:t>
      </w:r>
      <w:r w:rsidR="0042520D">
        <w:rPr>
          <w:rFonts w:ascii="Arial" w:hAnsi="Arial" w:cs="Arial"/>
          <w:sz w:val="24"/>
          <w:szCs w:val="24"/>
        </w:rPr>
        <w:t xml:space="preserve"> the part of the court</w:t>
      </w:r>
      <w:r w:rsidR="00FD5F62">
        <w:rPr>
          <w:rFonts w:ascii="Arial" w:hAnsi="Arial" w:cs="Arial"/>
          <w:sz w:val="24"/>
          <w:szCs w:val="24"/>
        </w:rPr>
        <w:t xml:space="preserve">. The applicant submitted that </w:t>
      </w:r>
      <w:r w:rsidR="00335B58">
        <w:rPr>
          <w:rFonts w:ascii="Arial" w:hAnsi="Arial" w:cs="Arial"/>
          <w:sz w:val="24"/>
          <w:szCs w:val="24"/>
        </w:rPr>
        <w:t xml:space="preserve">the only basis on which the respondents contend for a </w:t>
      </w:r>
      <w:r w:rsidR="00ED5233">
        <w:rPr>
          <w:rFonts w:ascii="Arial" w:hAnsi="Arial" w:cs="Arial"/>
          <w:sz w:val="24"/>
          <w:szCs w:val="24"/>
        </w:rPr>
        <w:t>dispute</w:t>
      </w:r>
      <w:r w:rsidR="00D60401">
        <w:rPr>
          <w:rFonts w:ascii="Arial" w:hAnsi="Arial" w:cs="Arial"/>
          <w:sz w:val="24"/>
          <w:szCs w:val="24"/>
        </w:rPr>
        <w:t xml:space="preserve"> of fact is concerning the amount owed unde</w:t>
      </w:r>
      <w:r w:rsidR="00ED5233">
        <w:rPr>
          <w:rFonts w:ascii="Arial" w:hAnsi="Arial" w:cs="Arial"/>
          <w:sz w:val="24"/>
          <w:szCs w:val="24"/>
        </w:rPr>
        <w:t>r</w:t>
      </w:r>
      <w:r w:rsidR="00D60401">
        <w:rPr>
          <w:rFonts w:ascii="Arial" w:hAnsi="Arial" w:cs="Arial"/>
          <w:sz w:val="24"/>
          <w:szCs w:val="24"/>
        </w:rPr>
        <w:t xml:space="preserve"> the loan </w:t>
      </w:r>
      <w:r w:rsidR="00ED5233">
        <w:rPr>
          <w:rFonts w:ascii="Arial" w:hAnsi="Arial" w:cs="Arial"/>
          <w:sz w:val="24"/>
          <w:szCs w:val="24"/>
        </w:rPr>
        <w:t xml:space="preserve">agreement. In this regard the </w:t>
      </w:r>
      <w:r w:rsidR="0024686D">
        <w:rPr>
          <w:rFonts w:ascii="Arial" w:hAnsi="Arial" w:cs="Arial"/>
          <w:sz w:val="24"/>
          <w:szCs w:val="24"/>
        </w:rPr>
        <w:t>respondent made a bare denial of the amount owed</w:t>
      </w:r>
      <w:r w:rsidR="00DC7E13">
        <w:rPr>
          <w:rFonts w:ascii="Arial" w:hAnsi="Arial" w:cs="Arial"/>
          <w:sz w:val="24"/>
          <w:szCs w:val="24"/>
        </w:rPr>
        <w:t xml:space="preserve">. It was submitted that </w:t>
      </w:r>
      <w:r w:rsidR="000D5E71">
        <w:rPr>
          <w:rFonts w:ascii="Arial" w:hAnsi="Arial" w:cs="Arial"/>
          <w:sz w:val="24"/>
          <w:szCs w:val="24"/>
        </w:rPr>
        <w:t xml:space="preserve">bare denials by the respondents are insufficient </w:t>
      </w:r>
      <w:r w:rsidR="00B061D4">
        <w:rPr>
          <w:rFonts w:ascii="Arial" w:hAnsi="Arial" w:cs="Arial"/>
          <w:sz w:val="24"/>
          <w:szCs w:val="24"/>
        </w:rPr>
        <w:t xml:space="preserve">to create </w:t>
      </w:r>
      <w:r w:rsidR="00913AB4">
        <w:rPr>
          <w:rFonts w:ascii="Arial" w:hAnsi="Arial" w:cs="Arial"/>
          <w:sz w:val="24"/>
          <w:szCs w:val="24"/>
        </w:rPr>
        <w:t xml:space="preserve">dispute of </w:t>
      </w:r>
      <w:r w:rsidR="00B061D4">
        <w:rPr>
          <w:rFonts w:ascii="Arial" w:hAnsi="Arial" w:cs="Arial"/>
          <w:sz w:val="24"/>
          <w:szCs w:val="24"/>
        </w:rPr>
        <w:t xml:space="preserve">fact. </w:t>
      </w:r>
    </w:p>
    <w:p w:rsidR="002D1F6B" w:rsidRDefault="002D1F6B" w:rsidP="003C410C">
      <w:pPr>
        <w:spacing w:line="360" w:lineRule="auto"/>
        <w:jc w:val="both"/>
        <w:rPr>
          <w:rFonts w:ascii="Arial" w:hAnsi="Arial" w:cs="Arial"/>
          <w:sz w:val="24"/>
          <w:szCs w:val="24"/>
        </w:rPr>
      </w:pPr>
      <w:r>
        <w:rPr>
          <w:rFonts w:ascii="Arial" w:hAnsi="Arial" w:cs="Arial"/>
          <w:sz w:val="24"/>
          <w:szCs w:val="24"/>
        </w:rPr>
        <w:t>[</w:t>
      </w:r>
      <w:r w:rsidR="00895EA9">
        <w:rPr>
          <w:rFonts w:ascii="Arial" w:hAnsi="Arial" w:cs="Arial"/>
          <w:sz w:val="24"/>
          <w:szCs w:val="24"/>
        </w:rPr>
        <w:t>8</w:t>
      </w:r>
      <w:r>
        <w:rPr>
          <w:rFonts w:ascii="Arial" w:hAnsi="Arial" w:cs="Arial"/>
          <w:sz w:val="24"/>
          <w:szCs w:val="24"/>
        </w:rPr>
        <w:t xml:space="preserve">] In summary the applicant submitted </w:t>
      </w:r>
      <w:r w:rsidR="00C726B5">
        <w:rPr>
          <w:rFonts w:ascii="Arial" w:hAnsi="Arial" w:cs="Arial"/>
          <w:sz w:val="24"/>
          <w:szCs w:val="24"/>
        </w:rPr>
        <w:t>that in</w:t>
      </w:r>
      <w:r w:rsidR="00CF1CAF">
        <w:rPr>
          <w:rFonts w:ascii="Arial" w:hAnsi="Arial" w:cs="Arial"/>
          <w:sz w:val="24"/>
          <w:szCs w:val="24"/>
        </w:rPr>
        <w:t xml:space="preserve">debtedness was established </w:t>
      </w:r>
      <w:r w:rsidR="006B7F74">
        <w:rPr>
          <w:rFonts w:ascii="Arial" w:hAnsi="Arial" w:cs="Arial"/>
          <w:sz w:val="24"/>
          <w:szCs w:val="24"/>
        </w:rPr>
        <w:t xml:space="preserve">and that there are no facts to impeach its correctness </w:t>
      </w:r>
      <w:r w:rsidR="00350330">
        <w:rPr>
          <w:rFonts w:ascii="Arial" w:hAnsi="Arial" w:cs="Arial"/>
          <w:sz w:val="24"/>
          <w:szCs w:val="24"/>
        </w:rPr>
        <w:t xml:space="preserve">and further that vague and bare denials cannot be taken to have </w:t>
      </w:r>
      <w:r w:rsidR="006C2221">
        <w:rPr>
          <w:rFonts w:ascii="Arial" w:hAnsi="Arial" w:cs="Arial"/>
          <w:sz w:val="24"/>
          <w:szCs w:val="24"/>
        </w:rPr>
        <w:t xml:space="preserve">establish dispute of fact. In the end it was submitted that </w:t>
      </w:r>
      <w:r w:rsidR="00A104D9">
        <w:rPr>
          <w:rFonts w:ascii="Arial" w:hAnsi="Arial" w:cs="Arial"/>
          <w:sz w:val="24"/>
          <w:szCs w:val="24"/>
        </w:rPr>
        <w:t>the respondent</w:t>
      </w:r>
      <w:r w:rsidR="00E6303C">
        <w:rPr>
          <w:rFonts w:ascii="Arial" w:hAnsi="Arial" w:cs="Arial"/>
          <w:sz w:val="24"/>
          <w:szCs w:val="24"/>
        </w:rPr>
        <w:t xml:space="preserve">s </w:t>
      </w:r>
      <w:r w:rsidR="008769F8">
        <w:rPr>
          <w:rFonts w:ascii="Arial" w:hAnsi="Arial" w:cs="Arial"/>
          <w:sz w:val="24"/>
          <w:szCs w:val="24"/>
        </w:rPr>
        <w:t xml:space="preserve">have not crossed the threshold to establish that the grounds </w:t>
      </w:r>
      <w:r w:rsidR="00AE1DEE">
        <w:rPr>
          <w:rFonts w:ascii="Arial" w:hAnsi="Arial" w:cs="Arial"/>
          <w:sz w:val="24"/>
          <w:szCs w:val="24"/>
        </w:rPr>
        <w:t>exist for leave to appeal to be granted by this court.</w:t>
      </w:r>
    </w:p>
    <w:p w:rsidR="00E86FA0" w:rsidRPr="00FA0668" w:rsidRDefault="00481A30" w:rsidP="00E86FA0">
      <w:pPr>
        <w:spacing w:line="360" w:lineRule="auto"/>
        <w:jc w:val="both"/>
      </w:pPr>
      <w:r w:rsidRPr="00FA0668">
        <w:rPr>
          <w:rFonts w:ascii="Arial" w:hAnsi="Arial" w:cs="Arial"/>
          <w:b/>
          <w:bCs/>
        </w:rPr>
        <w:t xml:space="preserve">Applicable </w:t>
      </w:r>
      <w:r w:rsidR="002E1140" w:rsidRPr="00FA0668">
        <w:rPr>
          <w:rFonts w:ascii="Arial" w:hAnsi="Arial" w:cs="Arial"/>
          <w:b/>
          <w:bCs/>
        </w:rPr>
        <w:t>Legal Principles</w:t>
      </w:r>
      <w:r w:rsidR="00E86FA0" w:rsidRPr="00FA0668">
        <w:t xml:space="preserve"> </w:t>
      </w:r>
    </w:p>
    <w:p w:rsidR="00114D47" w:rsidRPr="003B0A76" w:rsidRDefault="00895EA9" w:rsidP="00114D47">
      <w:pPr>
        <w:spacing w:line="360" w:lineRule="auto"/>
        <w:jc w:val="both"/>
        <w:rPr>
          <w:rFonts w:ascii="Arial" w:hAnsi="Arial" w:cs="Arial"/>
          <w:sz w:val="24"/>
          <w:szCs w:val="24"/>
        </w:rPr>
      </w:pPr>
      <w:r w:rsidRPr="003B0A76">
        <w:rPr>
          <w:rFonts w:ascii="Arial" w:hAnsi="Arial" w:cs="Arial"/>
          <w:sz w:val="24"/>
          <w:szCs w:val="24"/>
        </w:rPr>
        <w:t xml:space="preserve">[9] </w:t>
      </w:r>
      <w:r w:rsidR="00E86FA0" w:rsidRPr="003B0A76">
        <w:rPr>
          <w:rFonts w:ascii="Arial" w:hAnsi="Arial" w:cs="Arial"/>
          <w:sz w:val="24"/>
          <w:szCs w:val="24"/>
        </w:rPr>
        <w:t>The applicant’s application for leave to appeal is based squarely on section</w:t>
      </w:r>
      <w:r w:rsidRPr="003B0A76">
        <w:rPr>
          <w:rFonts w:ascii="Arial" w:hAnsi="Arial" w:cs="Arial"/>
          <w:sz w:val="24"/>
          <w:szCs w:val="24"/>
        </w:rPr>
        <w:t>17(1)(a) of the Superior Courts Act</w:t>
      </w:r>
      <w:r w:rsidR="00CC0ED1">
        <w:rPr>
          <w:rFonts w:ascii="Arial" w:hAnsi="Arial" w:cs="Arial"/>
          <w:sz w:val="24"/>
          <w:szCs w:val="24"/>
        </w:rPr>
        <w:t xml:space="preserve"> 10 of </w:t>
      </w:r>
      <w:r w:rsidR="00556C5F">
        <w:rPr>
          <w:rFonts w:ascii="Arial" w:hAnsi="Arial" w:cs="Arial"/>
          <w:sz w:val="24"/>
          <w:szCs w:val="24"/>
        </w:rPr>
        <w:t>2013</w:t>
      </w:r>
      <w:r w:rsidR="00D80A42">
        <w:rPr>
          <w:rStyle w:val="FootnoteReference"/>
          <w:rFonts w:ascii="Arial" w:hAnsi="Arial"/>
          <w:sz w:val="24"/>
          <w:szCs w:val="24"/>
        </w:rPr>
        <w:footnoteReference w:id="2"/>
      </w:r>
      <w:r w:rsidR="00556C5F">
        <w:rPr>
          <w:rFonts w:ascii="Arial" w:hAnsi="Arial" w:cs="Arial"/>
          <w:sz w:val="24"/>
          <w:szCs w:val="24"/>
        </w:rPr>
        <w:t xml:space="preserve"> </w:t>
      </w:r>
      <w:r w:rsidR="00D00E9A">
        <w:rPr>
          <w:rFonts w:ascii="Arial" w:hAnsi="Arial" w:cs="Arial"/>
          <w:sz w:val="24"/>
          <w:szCs w:val="24"/>
        </w:rPr>
        <w:t>(the</w:t>
      </w:r>
      <w:r w:rsidR="00556C5F">
        <w:rPr>
          <w:rFonts w:ascii="Arial" w:hAnsi="Arial" w:cs="Arial"/>
          <w:sz w:val="24"/>
          <w:szCs w:val="24"/>
        </w:rPr>
        <w:t xml:space="preserve"> SC Act)</w:t>
      </w:r>
      <w:r w:rsidRPr="003B0A76">
        <w:rPr>
          <w:rFonts w:ascii="Arial" w:hAnsi="Arial" w:cs="Arial"/>
          <w:sz w:val="24"/>
          <w:szCs w:val="24"/>
        </w:rPr>
        <w:t xml:space="preserve">. The </w:t>
      </w:r>
      <w:r w:rsidR="008C0C05">
        <w:rPr>
          <w:rFonts w:ascii="Arial" w:hAnsi="Arial" w:cs="Arial"/>
          <w:sz w:val="24"/>
          <w:szCs w:val="24"/>
        </w:rPr>
        <w:t xml:space="preserve">section </w:t>
      </w:r>
      <w:r w:rsidR="008C0C05" w:rsidRPr="003B0A76">
        <w:rPr>
          <w:rFonts w:ascii="Arial" w:hAnsi="Arial" w:cs="Arial"/>
          <w:sz w:val="24"/>
          <w:szCs w:val="24"/>
        </w:rPr>
        <w:t>regulates</w:t>
      </w:r>
      <w:r w:rsidR="00680DBB" w:rsidRPr="003B0A76">
        <w:rPr>
          <w:rFonts w:ascii="Arial" w:hAnsi="Arial" w:cs="Arial"/>
          <w:sz w:val="24"/>
          <w:szCs w:val="24"/>
        </w:rPr>
        <w:t xml:space="preserve"> applications</w:t>
      </w:r>
      <w:r w:rsidR="00114D47" w:rsidRPr="003B0A76">
        <w:rPr>
          <w:rFonts w:ascii="Arial" w:hAnsi="Arial" w:cs="Arial"/>
          <w:sz w:val="24"/>
          <w:szCs w:val="24"/>
        </w:rPr>
        <w:t xml:space="preserve"> for leave to appeal from a decision of a High Court. It provides as follows:</w:t>
      </w:r>
      <w:r w:rsidRPr="003B0A76">
        <w:rPr>
          <w:sz w:val="24"/>
          <w:szCs w:val="24"/>
        </w:rPr>
        <w:t xml:space="preserve"> </w:t>
      </w:r>
    </w:p>
    <w:p w:rsidR="00114D47" w:rsidRPr="00AF12E8" w:rsidRDefault="00114D47" w:rsidP="00BA0E74">
      <w:pPr>
        <w:spacing w:line="360" w:lineRule="auto"/>
        <w:ind w:left="720"/>
        <w:jc w:val="both"/>
        <w:rPr>
          <w:rFonts w:ascii="Arial" w:hAnsi="Arial" w:cs="Arial"/>
          <w:i/>
          <w:iCs/>
        </w:rPr>
      </w:pPr>
      <w:r w:rsidRPr="00AF12E8">
        <w:rPr>
          <w:rFonts w:ascii="Arial" w:hAnsi="Arial" w:cs="Arial"/>
          <w:i/>
          <w:iCs/>
        </w:rPr>
        <w:lastRenderedPageBreak/>
        <w:t>‘(1) Leave to appeal may only be given where the judge or judges concerned are of the opinion that—</w:t>
      </w:r>
    </w:p>
    <w:p w:rsidR="00114D47" w:rsidRPr="00AF12E8" w:rsidRDefault="00114D47" w:rsidP="00BA0E74">
      <w:pPr>
        <w:spacing w:line="360" w:lineRule="auto"/>
        <w:ind w:left="720"/>
        <w:jc w:val="both"/>
        <w:rPr>
          <w:rFonts w:ascii="Arial" w:hAnsi="Arial" w:cs="Arial"/>
          <w:i/>
          <w:iCs/>
        </w:rPr>
      </w:pPr>
      <w:r w:rsidRPr="00AF12E8">
        <w:rPr>
          <w:rFonts w:ascii="Arial" w:hAnsi="Arial" w:cs="Arial"/>
          <w:i/>
          <w:iCs/>
        </w:rPr>
        <w:t>(a) (</w:t>
      </w:r>
      <w:proofErr w:type="spellStart"/>
      <w:r w:rsidRPr="00AF12E8">
        <w:rPr>
          <w:rFonts w:ascii="Arial" w:hAnsi="Arial" w:cs="Arial"/>
          <w:i/>
          <w:iCs/>
        </w:rPr>
        <w:t>i</w:t>
      </w:r>
      <w:proofErr w:type="spellEnd"/>
      <w:r w:rsidRPr="00AF12E8">
        <w:rPr>
          <w:rFonts w:ascii="Arial" w:hAnsi="Arial" w:cs="Arial"/>
          <w:i/>
          <w:iCs/>
        </w:rPr>
        <w:t>) the appeal would have a reasonable prospect of success; or</w:t>
      </w:r>
      <w:r w:rsidR="00BA0E74" w:rsidRPr="00AF12E8">
        <w:rPr>
          <w:rFonts w:ascii="Arial" w:hAnsi="Arial" w:cs="Arial"/>
          <w:i/>
          <w:iCs/>
        </w:rPr>
        <w:t xml:space="preserve"> </w:t>
      </w:r>
      <w:r w:rsidRPr="00AF12E8">
        <w:rPr>
          <w:rFonts w:ascii="Arial" w:hAnsi="Arial" w:cs="Arial"/>
          <w:i/>
          <w:iCs/>
        </w:rPr>
        <w:t>(ii) there is some other compelling reason why the appeal should be heard, including</w:t>
      </w:r>
      <w:r w:rsidR="00BA0E74" w:rsidRPr="00AF12E8">
        <w:rPr>
          <w:rFonts w:ascii="Arial" w:hAnsi="Arial" w:cs="Arial"/>
          <w:i/>
          <w:iCs/>
        </w:rPr>
        <w:t xml:space="preserve"> </w:t>
      </w:r>
      <w:r w:rsidRPr="00AF12E8">
        <w:rPr>
          <w:rFonts w:ascii="Arial" w:hAnsi="Arial" w:cs="Arial"/>
          <w:i/>
          <w:iCs/>
        </w:rPr>
        <w:t>conflicting judgments on the matter under consideration;</w:t>
      </w:r>
    </w:p>
    <w:p w:rsidR="00114D47" w:rsidRPr="00AF12E8" w:rsidRDefault="00114D47" w:rsidP="00895EA9">
      <w:pPr>
        <w:spacing w:line="360" w:lineRule="auto"/>
        <w:ind w:left="720"/>
        <w:jc w:val="both"/>
        <w:rPr>
          <w:rFonts w:ascii="Arial" w:hAnsi="Arial" w:cs="Arial"/>
          <w:i/>
          <w:iCs/>
        </w:rPr>
      </w:pPr>
      <w:r w:rsidRPr="00AF12E8">
        <w:rPr>
          <w:rFonts w:ascii="Arial" w:hAnsi="Arial" w:cs="Arial"/>
          <w:i/>
          <w:iCs/>
        </w:rPr>
        <w:t>(b) the decision sought on appeal does not fall within the ambit of section 16 (2) (a); and</w:t>
      </w:r>
    </w:p>
    <w:p w:rsidR="00E86FA0" w:rsidRPr="00AF12E8" w:rsidRDefault="00114D47" w:rsidP="00BA0E74">
      <w:pPr>
        <w:spacing w:line="360" w:lineRule="auto"/>
        <w:ind w:left="720"/>
        <w:jc w:val="both"/>
        <w:rPr>
          <w:rFonts w:ascii="Arial" w:hAnsi="Arial" w:cs="Arial"/>
          <w:i/>
          <w:iCs/>
        </w:rPr>
      </w:pPr>
      <w:r w:rsidRPr="00AF12E8">
        <w:rPr>
          <w:rFonts w:ascii="Arial" w:hAnsi="Arial" w:cs="Arial"/>
          <w:i/>
          <w:iCs/>
        </w:rPr>
        <w:t>(c) Where the decision sought to be appealed does not dispose of all the issues in the case, the appeal would lead to a just and prompt resolution of the real issues between the parties.'</w:t>
      </w:r>
    </w:p>
    <w:p w:rsidR="00895EA9" w:rsidRDefault="00895EA9" w:rsidP="00895EA9">
      <w:pPr>
        <w:spacing w:line="360" w:lineRule="auto"/>
        <w:jc w:val="both"/>
        <w:rPr>
          <w:rFonts w:ascii="Arial" w:hAnsi="Arial" w:cs="Arial"/>
          <w:sz w:val="24"/>
          <w:szCs w:val="24"/>
        </w:rPr>
      </w:pPr>
      <w:r w:rsidRPr="000151D1">
        <w:rPr>
          <w:rFonts w:ascii="Arial" w:hAnsi="Arial" w:cs="Arial"/>
          <w:sz w:val="24"/>
          <w:szCs w:val="24"/>
        </w:rPr>
        <w:t>[10] The test that was previously applied in applications of this nature was whether there w</w:t>
      </w:r>
      <w:r w:rsidR="000151D1" w:rsidRPr="000151D1">
        <w:rPr>
          <w:rFonts w:ascii="Arial" w:hAnsi="Arial" w:cs="Arial"/>
          <w:sz w:val="24"/>
          <w:szCs w:val="24"/>
        </w:rPr>
        <w:t xml:space="preserve">ere reasonable prospects that another court may come to a different </w:t>
      </w:r>
      <w:r w:rsidR="000151D1">
        <w:rPr>
          <w:rFonts w:ascii="Arial" w:hAnsi="Arial" w:cs="Arial"/>
          <w:sz w:val="24"/>
          <w:szCs w:val="24"/>
        </w:rPr>
        <w:t xml:space="preserve">conclusion. The enactment of section 17(1) </w:t>
      </w:r>
      <w:r w:rsidR="00A55CFC">
        <w:rPr>
          <w:rFonts w:ascii="Arial" w:hAnsi="Arial" w:cs="Arial"/>
          <w:sz w:val="24"/>
          <w:szCs w:val="24"/>
        </w:rPr>
        <w:t>of the</w:t>
      </w:r>
      <w:r w:rsidR="000151D1">
        <w:rPr>
          <w:rFonts w:ascii="Arial" w:hAnsi="Arial" w:cs="Arial"/>
          <w:sz w:val="24"/>
          <w:szCs w:val="24"/>
        </w:rPr>
        <w:t xml:space="preserve"> S</w:t>
      </w:r>
      <w:r w:rsidR="00070F79">
        <w:rPr>
          <w:rFonts w:ascii="Arial" w:hAnsi="Arial" w:cs="Arial"/>
          <w:sz w:val="24"/>
          <w:szCs w:val="24"/>
        </w:rPr>
        <w:t>C</w:t>
      </w:r>
      <w:r w:rsidR="000151D1">
        <w:rPr>
          <w:rFonts w:ascii="Arial" w:hAnsi="Arial" w:cs="Arial"/>
          <w:sz w:val="24"/>
          <w:szCs w:val="24"/>
        </w:rPr>
        <w:t xml:space="preserve"> Act has led to threshold for granting leave to appeal judgment of the high court </w:t>
      </w:r>
      <w:r w:rsidR="007F70A8">
        <w:rPr>
          <w:rFonts w:ascii="Arial" w:hAnsi="Arial" w:cs="Arial"/>
          <w:sz w:val="24"/>
          <w:szCs w:val="24"/>
        </w:rPr>
        <w:t xml:space="preserve">been </w:t>
      </w:r>
      <w:r w:rsidR="000151D1">
        <w:rPr>
          <w:rFonts w:ascii="Arial" w:hAnsi="Arial" w:cs="Arial"/>
          <w:sz w:val="24"/>
          <w:szCs w:val="24"/>
        </w:rPr>
        <w:t>raised. This has come about as result of the use by the legislature of the word ‘would’ in subsection 17(1)(a) (</w:t>
      </w:r>
      <w:proofErr w:type="spellStart"/>
      <w:r w:rsidR="000151D1">
        <w:rPr>
          <w:rFonts w:ascii="Arial" w:hAnsi="Arial" w:cs="Arial"/>
          <w:sz w:val="24"/>
          <w:szCs w:val="24"/>
        </w:rPr>
        <w:t>i</w:t>
      </w:r>
      <w:proofErr w:type="spellEnd"/>
      <w:r w:rsidR="000151D1">
        <w:rPr>
          <w:rFonts w:ascii="Arial" w:hAnsi="Arial" w:cs="Arial"/>
          <w:sz w:val="24"/>
          <w:szCs w:val="24"/>
        </w:rPr>
        <w:t>)</w:t>
      </w:r>
      <w:r w:rsidR="00B66F53">
        <w:rPr>
          <w:rFonts w:ascii="Arial" w:hAnsi="Arial" w:cs="Arial"/>
          <w:sz w:val="24"/>
          <w:szCs w:val="24"/>
        </w:rPr>
        <w:t xml:space="preserve"> of the </w:t>
      </w:r>
      <w:r w:rsidR="00070F79">
        <w:rPr>
          <w:rFonts w:ascii="Arial" w:hAnsi="Arial" w:cs="Arial"/>
          <w:sz w:val="24"/>
          <w:szCs w:val="24"/>
        </w:rPr>
        <w:t xml:space="preserve">SC </w:t>
      </w:r>
      <w:r w:rsidR="00B66F53">
        <w:rPr>
          <w:rFonts w:ascii="Arial" w:hAnsi="Arial" w:cs="Arial"/>
          <w:sz w:val="24"/>
          <w:szCs w:val="24"/>
        </w:rPr>
        <w:t>Act</w:t>
      </w:r>
      <w:r w:rsidR="000151D1">
        <w:rPr>
          <w:rFonts w:ascii="Arial" w:hAnsi="Arial" w:cs="Arial"/>
          <w:sz w:val="24"/>
          <w:szCs w:val="24"/>
        </w:rPr>
        <w:t xml:space="preserve">. </w:t>
      </w:r>
    </w:p>
    <w:p w:rsidR="000151D1" w:rsidRDefault="000151D1" w:rsidP="00895EA9">
      <w:pPr>
        <w:spacing w:line="360" w:lineRule="auto"/>
        <w:jc w:val="both"/>
        <w:rPr>
          <w:rFonts w:ascii="Arial" w:hAnsi="Arial" w:cs="Arial"/>
          <w:sz w:val="24"/>
          <w:szCs w:val="24"/>
        </w:rPr>
      </w:pPr>
      <w:r>
        <w:rPr>
          <w:rFonts w:ascii="Arial" w:hAnsi="Arial" w:cs="Arial"/>
          <w:sz w:val="24"/>
          <w:szCs w:val="24"/>
        </w:rPr>
        <w:t xml:space="preserve">[11] In the case of </w:t>
      </w:r>
      <w:r w:rsidRPr="0025376A">
        <w:rPr>
          <w:rFonts w:ascii="Arial" w:hAnsi="Arial" w:cs="Arial"/>
          <w:i/>
          <w:iCs/>
          <w:sz w:val="24"/>
          <w:szCs w:val="24"/>
        </w:rPr>
        <w:t xml:space="preserve">Mount </w:t>
      </w:r>
      <w:proofErr w:type="spellStart"/>
      <w:r w:rsidRPr="0025376A">
        <w:rPr>
          <w:rFonts w:ascii="Arial" w:hAnsi="Arial" w:cs="Arial"/>
          <w:i/>
          <w:iCs/>
          <w:sz w:val="24"/>
          <w:szCs w:val="24"/>
        </w:rPr>
        <w:t>Chevaux</w:t>
      </w:r>
      <w:proofErr w:type="spellEnd"/>
      <w:r w:rsidRPr="0025376A">
        <w:rPr>
          <w:rFonts w:ascii="Arial" w:hAnsi="Arial" w:cs="Arial"/>
          <w:i/>
          <w:iCs/>
          <w:sz w:val="24"/>
          <w:szCs w:val="24"/>
        </w:rPr>
        <w:t xml:space="preserve"> Trust IT 2012/28 v Tina </w:t>
      </w:r>
      <w:proofErr w:type="spellStart"/>
      <w:r w:rsidRPr="0025376A">
        <w:rPr>
          <w:rFonts w:ascii="Arial" w:hAnsi="Arial" w:cs="Arial"/>
          <w:i/>
          <w:iCs/>
          <w:sz w:val="24"/>
          <w:szCs w:val="24"/>
        </w:rPr>
        <w:t>Goosen</w:t>
      </w:r>
      <w:proofErr w:type="spellEnd"/>
      <w:r w:rsidRPr="0025376A">
        <w:rPr>
          <w:rFonts w:ascii="Arial" w:hAnsi="Arial" w:cs="Arial"/>
          <w:i/>
          <w:iCs/>
          <w:sz w:val="24"/>
          <w:szCs w:val="24"/>
        </w:rPr>
        <w:t xml:space="preserve"> &amp; Others</w:t>
      </w:r>
      <w:r>
        <w:rPr>
          <w:rFonts w:ascii="Arial" w:hAnsi="Arial" w:cs="Arial"/>
          <w:sz w:val="24"/>
          <w:szCs w:val="24"/>
        </w:rPr>
        <w:t xml:space="preserve"> 2014 JDR 2325 LCC at para [6] the court stated as</w:t>
      </w:r>
      <w:r w:rsidR="0025376A">
        <w:rPr>
          <w:rFonts w:ascii="Arial" w:hAnsi="Arial" w:cs="Arial"/>
          <w:sz w:val="24"/>
          <w:szCs w:val="24"/>
        </w:rPr>
        <w:t>:</w:t>
      </w:r>
    </w:p>
    <w:p w:rsidR="0025376A" w:rsidRDefault="0025376A" w:rsidP="0025376A">
      <w:pPr>
        <w:spacing w:line="360" w:lineRule="auto"/>
        <w:ind w:left="720"/>
        <w:jc w:val="both"/>
        <w:rPr>
          <w:rFonts w:ascii="Arial" w:hAnsi="Arial" w:cs="Arial"/>
        </w:rPr>
      </w:pPr>
      <w:r w:rsidRPr="00E940ED">
        <w:rPr>
          <w:rFonts w:ascii="Arial" w:hAnsi="Arial" w:cs="Arial"/>
          <w:i/>
          <w:iCs/>
          <w:sz w:val="24"/>
          <w:szCs w:val="24"/>
        </w:rPr>
        <w:t>‘“</w:t>
      </w:r>
      <w:r w:rsidRPr="00E940ED">
        <w:rPr>
          <w:rFonts w:ascii="Arial" w:hAnsi="Arial" w:cs="Arial"/>
          <w:i/>
          <w:iCs/>
        </w:rPr>
        <w:t xml:space="preserve">It is clear that the threshold for granting leave to appeal against a judgment of a High Court has been raised in the new Act. The former test whether leave to appeal should be granted was a reasonable prospect that another court may come to a different conclusion, See Van </w:t>
      </w:r>
      <w:proofErr w:type="spellStart"/>
      <w:r w:rsidRPr="00E940ED">
        <w:rPr>
          <w:rFonts w:ascii="Arial" w:hAnsi="Arial" w:cs="Arial"/>
          <w:i/>
          <w:iCs/>
        </w:rPr>
        <w:t>Heerden</w:t>
      </w:r>
      <w:proofErr w:type="spellEnd"/>
      <w:r w:rsidRPr="00E940ED">
        <w:rPr>
          <w:rFonts w:ascii="Arial" w:hAnsi="Arial" w:cs="Arial"/>
          <w:i/>
          <w:iCs/>
        </w:rPr>
        <w:t xml:space="preserve"> v </w:t>
      </w:r>
      <w:proofErr w:type="spellStart"/>
      <w:r w:rsidRPr="00E940ED">
        <w:rPr>
          <w:rFonts w:ascii="Arial" w:hAnsi="Arial" w:cs="Arial"/>
          <w:i/>
          <w:iCs/>
        </w:rPr>
        <w:t>Cronwright</w:t>
      </w:r>
      <w:proofErr w:type="spellEnd"/>
      <w:r w:rsidRPr="00E940ED">
        <w:rPr>
          <w:rFonts w:ascii="Arial" w:hAnsi="Arial" w:cs="Arial"/>
          <w:i/>
          <w:iCs/>
        </w:rPr>
        <w:t xml:space="preserve"> and Others 1985 (2) SA 342 (T) at 343H. The use of the word ‘would’ in the new statute indicates a measure of certainty that another court will differ from the court whose judgment is sought to be appealed against</w:t>
      </w:r>
      <w:r w:rsidRPr="0025376A">
        <w:rPr>
          <w:rFonts w:ascii="Arial" w:hAnsi="Arial" w:cs="Arial"/>
        </w:rPr>
        <w:t>”.</w:t>
      </w:r>
    </w:p>
    <w:p w:rsidR="00FA4518" w:rsidRDefault="0025376A" w:rsidP="00FA4518">
      <w:pPr>
        <w:spacing w:line="360" w:lineRule="auto"/>
        <w:jc w:val="both"/>
        <w:rPr>
          <w:rFonts w:ascii="Arial" w:hAnsi="Arial" w:cs="Arial"/>
        </w:rPr>
      </w:pPr>
      <w:r>
        <w:rPr>
          <w:rFonts w:ascii="Arial" w:hAnsi="Arial" w:cs="Arial"/>
        </w:rPr>
        <w:t xml:space="preserve">[12] </w:t>
      </w:r>
      <w:r w:rsidRPr="0025376A">
        <w:rPr>
          <w:rFonts w:ascii="Arial" w:hAnsi="Arial" w:cs="Arial"/>
          <w:sz w:val="24"/>
          <w:szCs w:val="24"/>
        </w:rPr>
        <w:t xml:space="preserve">What is required of this court is to consider, objectively and dispassionately, whether there are </w:t>
      </w:r>
      <w:r w:rsidR="00C11372">
        <w:rPr>
          <w:rFonts w:ascii="Arial" w:hAnsi="Arial" w:cs="Arial"/>
          <w:sz w:val="24"/>
          <w:szCs w:val="24"/>
        </w:rPr>
        <w:t xml:space="preserve">a </w:t>
      </w:r>
      <w:r w:rsidR="00CD570C" w:rsidRPr="0025376A">
        <w:rPr>
          <w:rFonts w:ascii="Arial" w:hAnsi="Arial" w:cs="Arial"/>
          <w:sz w:val="24"/>
          <w:szCs w:val="24"/>
        </w:rPr>
        <w:t>reasonable prospect</w:t>
      </w:r>
      <w:r w:rsidRPr="0025376A">
        <w:rPr>
          <w:rFonts w:ascii="Arial" w:hAnsi="Arial" w:cs="Arial"/>
          <w:sz w:val="24"/>
          <w:szCs w:val="24"/>
        </w:rPr>
        <w:t xml:space="preserve"> that another court will find merit in the arguments advanced by the losing party</w:t>
      </w:r>
      <w:r>
        <w:rPr>
          <w:rFonts w:ascii="Arial" w:hAnsi="Arial" w:cs="Arial"/>
        </w:rPr>
        <w:t xml:space="preserve">. See </w:t>
      </w:r>
      <w:r w:rsidRPr="00CD570C">
        <w:rPr>
          <w:rFonts w:ascii="Arial" w:hAnsi="Arial" w:cs="Arial"/>
          <w:i/>
          <w:iCs/>
          <w:sz w:val="24"/>
          <w:szCs w:val="24"/>
        </w:rPr>
        <w:t xml:space="preserve">Valley of the Kings </w:t>
      </w:r>
      <w:proofErr w:type="spellStart"/>
      <w:r w:rsidRPr="00CD570C">
        <w:rPr>
          <w:rFonts w:ascii="Arial" w:hAnsi="Arial" w:cs="Arial"/>
          <w:i/>
          <w:iCs/>
          <w:sz w:val="24"/>
          <w:szCs w:val="24"/>
        </w:rPr>
        <w:t>Thaba</w:t>
      </w:r>
      <w:proofErr w:type="spellEnd"/>
      <w:r w:rsidRPr="00CD570C">
        <w:rPr>
          <w:rFonts w:ascii="Arial" w:hAnsi="Arial" w:cs="Arial"/>
          <w:i/>
          <w:iCs/>
          <w:sz w:val="24"/>
          <w:szCs w:val="24"/>
        </w:rPr>
        <w:t xml:space="preserve"> </w:t>
      </w:r>
      <w:proofErr w:type="spellStart"/>
      <w:r w:rsidRPr="00CD570C">
        <w:rPr>
          <w:rFonts w:ascii="Arial" w:hAnsi="Arial" w:cs="Arial"/>
          <w:i/>
          <w:iCs/>
          <w:sz w:val="24"/>
          <w:szCs w:val="24"/>
        </w:rPr>
        <w:t>Motswere</w:t>
      </w:r>
      <w:proofErr w:type="spellEnd"/>
      <w:r w:rsidRPr="00CD570C">
        <w:rPr>
          <w:rFonts w:ascii="Arial" w:hAnsi="Arial" w:cs="Arial"/>
          <w:i/>
          <w:iCs/>
          <w:sz w:val="24"/>
          <w:szCs w:val="24"/>
        </w:rPr>
        <w:t xml:space="preserve"> (Pty) Ltd and Another v Al Maya International</w:t>
      </w:r>
      <w:r w:rsidRPr="0025376A">
        <w:rPr>
          <w:rFonts w:ascii="Arial" w:hAnsi="Arial" w:cs="Arial"/>
        </w:rPr>
        <w:t xml:space="preserve"> [2016] 137 (ZAECGHC) 137 (10 November 2016) at para</w:t>
      </w:r>
      <w:r>
        <w:rPr>
          <w:rFonts w:ascii="Arial" w:hAnsi="Arial" w:cs="Arial"/>
        </w:rPr>
        <w:t xml:space="preserve"> [</w:t>
      </w:r>
      <w:r w:rsidRPr="0025376A">
        <w:rPr>
          <w:rFonts w:ascii="Arial" w:hAnsi="Arial" w:cs="Arial"/>
        </w:rPr>
        <w:t xml:space="preserve"> 4</w:t>
      </w:r>
      <w:r>
        <w:rPr>
          <w:rFonts w:ascii="Arial" w:hAnsi="Arial" w:cs="Arial"/>
        </w:rPr>
        <w:t>].</w:t>
      </w:r>
    </w:p>
    <w:p w:rsidR="00711F74" w:rsidRPr="00493F50" w:rsidRDefault="0037276F" w:rsidP="00FA4518">
      <w:pPr>
        <w:spacing w:line="360" w:lineRule="auto"/>
        <w:jc w:val="both"/>
        <w:rPr>
          <w:rFonts w:ascii="Arial" w:hAnsi="Arial" w:cs="Arial"/>
          <w:sz w:val="24"/>
          <w:szCs w:val="24"/>
        </w:rPr>
      </w:pPr>
      <w:r w:rsidRPr="00493F50">
        <w:rPr>
          <w:rFonts w:ascii="Arial" w:hAnsi="Arial" w:cs="Arial"/>
          <w:sz w:val="24"/>
          <w:szCs w:val="24"/>
        </w:rPr>
        <w:lastRenderedPageBreak/>
        <w:t xml:space="preserve">[13] A clear recognition of this heightened </w:t>
      </w:r>
      <w:r w:rsidR="00E63F93" w:rsidRPr="00493F50">
        <w:rPr>
          <w:rFonts w:ascii="Arial" w:hAnsi="Arial" w:cs="Arial"/>
          <w:sz w:val="24"/>
          <w:szCs w:val="24"/>
        </w:rPr>
        <w:t xml:space="preserve">threshold in cases of application for leave to appeal was the case of </w:t>
      </w:r>
      <w:proofErr w:type="spellStart"/>
      <w:r w:rsidR="00D448D9" w:rsidRPr="009B783A">
        <w:rPr>
          <w:rFonts w:ascii="Arial" w:hAnsi="Arial" w:cs="Arial"/>
          <w:i/>
          <w:iCs/>
          <w:sz w:val="24"/>
          <w:szCs w:val="24"/>
        </w:rPr>
        <w:t>Dexgroup</w:t>
      </w:r>
      <w:proofErr w:type="spellEnd"/>
      <w:r w:rsidR="00D448D9" w:rsidRPr="009B783A">
        <w:rPr>
          <w:rFonts w:ascii="Arial" w:hAnsi="Arial" w:cs="Arial"/>
          <w:i/>
          <w:iCs/>
          <w:sz w:val="24"/>
          <w:szCs w:val="24"/>
        </w:rPr>
        <w:t xml:space="preserve"> (Pty) Ltd v </w:t>
      </w:r>
      <w:proofErr w:type="spellStart"/>
      <w:r w:rsidR="00D448D9" w:rsidRPr="009B783A">
        <w:rPr>
          <w:rFonts w:ascii="Arial" w:hAnsi="Arial" w:cs="Arial"/>
          <w:i/>
          <w:iCs/>
          <w:sz w:val="24"/>
          <w:szCs w:val="24"/>
        </w:rPr>
        <w:t>Trusco</w:t>
      </w:r>
      <w:proofErr w:type="spellEnd"/>
      <w:r w:rsidR="00D448D9" w:rsidRPr="009B783A">
        <w:rPr>
          <w:rFonts w:ascii="Arial" w:hAnsi="Arial" w:cs="Arial"/>
          <w:i/>
          <w:iCs/>
          <w:sz w:val="24"/>
          <w:szCs w:val="24"/>
        </w:rPr>
        <w:t xml:space="preserve"> </w:t>
      </w:r>
      <w:r w:rsidR="00DB4B27" w:rsidRPr="009B783A">
        <w:rPr>
          <w:rFonts w:ascii="Arial" w:hAnsi="Arial" w:cs="Arial"/>
          <w:i/>
          <w:iCs/>
          <w:sz w:val="24"/>
          <w:szCs w:val="24"/>
        </w:rPr>
        <w:t>Group Intl (Pty) Ltd</w:t>
      </w:r>
      <w:r w:rsidR="00DB4B27" w:rsidRPr="00493F50">
        <w:rPr>
          <w:rFonts w:ascii="Arial" w:hAnsi="Arial" w:cs="Arial"/>
          <w:sz w:val="24"/>
          <w:szCs w:val="24"/>
        </w:rPr>
        <w:t xml:space="preserve"> </w:t>
      </w:r>
      <w:r w:rsidR="007D1FD5" w:rsidRPr="00493F50">
        <w:rPr>
          <w:rFonts w:ascii="Arial" w:hAnsi="Arial" w:cs="Arial"/>
          <w:sz w:val="24"/>
          <w:szCs w:val="24"/>
        </w:rPr>
        <w:t xml:space="preserve">2013 (6) SA 520 (SCA) at para </w:t>
      </w:r>
      <w:r w:rsidR="0099218E" w:rsidRPr="00493F50">
        <w:rPr>
          <w:rFonts w:ascii="Arial" w:hAnsi="Arial" w:cs="Arial"/>
          <w:sz w:val="24"/>
          <w:szCs w:val="24"/>
        </w:rPr>
        <w:t>[24] where court stated that:</w:t>
      </w:r>
    </w:p>
    <w:p w:rsidR="0099218E" w:rsidRDefault="00FB5495" w:rsidP="00493F50">
      <w:pPr>
        <w:spacing w:line="360" w:lineRule="auto"/>
        <w:ind w:left="720"/>
        <w:jc w:val="both"/>
        <w:rPr>
          <w:rFonts w:ascii="Arial" w:hAnsi="Arial" w:cs="Arial"/>
        </w:rPr>
      </w:pPr>
      <w:r w:rsidRPr="00493F50">
        <w:rPr>
          <w:rFonts w:ascii="Arial" w:hAnsi="Arial" w:cs="Arial"/>
          <w:i/>
          <w:iCs/>
        </w:rPr>
        <w:t>‘The</w:t>
      </w:r>
      <w:r w:rsidR="0099218E" w:rsidRPr="00493F50">
        <w:rPr>
          <w:rFonts w:ascii="Arial" w:hAnsi="Arial" w:cs="Arial"/>
          <w:i/>
          <w:iCs/>
        </w:rPr>
        <w:t xml:space="preserve"> need to obtain leave to appeal is a valuable tool in ensuring that scarce </w:t>
      </w:r>
      <w:r w:rsidR="001E59A6" w:rsidRPr="00493F50">
        <w:rPr>
          <w:rFonts w:ascii="Arial" w:hAnsi="Arial" w:cs="Arial"/>
          <w:i/>
          <w:iCs/>
        </w:rPr>
        <w:t xml:space="preserve">judicial resources are </w:t>
      </w:r>
      <w:r w:rsidR="00D46293" w:rsidRPr="00493F50">
        <w:rPr>
          <w:rFonts w:ascii="Arial" w:hAnsi="Arial" w:cs="Arial"/>
          <w:i/>
          <w:iCs/>
        </w:rPr>
        <w:t xml:space="preserve">not spent on appeals that lack merit. It should in this case </w:t>
      </w:r>
      <w:r w:rsidR="00493F50" w:rsidRPr="00493F50">
        <w:rPr>
          <w:rFonts w:ascii="Arial" w:hAnsi="Arial" w:cs="Arial"/>
          <w:i/>
          <w:iCs/>
        </w:rPr>
        <w:t>deployed by refusing leave to appeal’</w:t>
      </w:r>
      <w:r w:rsidR="00493F50">
        <w:rPr>
          <w:rFonts w:ascii="Arial" w:hAnsi="Arial" w:cs="Arial"/>
        </w:rPr>
        <w:t>.</w:t>
      </w:r>
    </w:p>
    <w:p w:rsidR="00FA4518" w:rsidRDefault="00FA4518" w:rsidP="00FA4518">
      <w:pPr>
        <w:spacing w:line="360" w:lineRule="auto"/>
        <w:jc w:val="both"/>
        <w:rPr>
          <w:rFonts w:ascii="Arial" w:hAnsi="Arial" w:cs="Arial"/>
        </w:rPr>
      </w:pPr>
      <w:r>
        <w:rPr>
          <w:rFonts w:ascii="Arial" w:hAnsi="Arial" w:cs="Arial"/>
        </w:rPr>
        <w:t>[1</w:t>
      </w:r>
      <w:r w:rsidR="00C609A0">
        <w:rPr>
          <w:rFonts w:ascii="Arial" w:hAnsi="Arial" w:cs="Arial"/>
        </w:rPr>
        <w:t>4</w:t>
      </w:r>
      <w:r>
        <w:rPr>
          <w:rFonts w:ascii="Arial" w:hAnsi="Arial" w:cs="Arial"/>
        </w:rPr>
        <w:t xml:space="preserve">] </w:t>
      </w:r>
      <w:r w:rsidR="007D00BC">
        <w:rPr>
          <w:rFonts w:ascii="Arial" w:hAnsi="Arial" w:cs="Arial"/>
          <w:sz w:val="24"/>
          <w:szCs w:val="24"/>
        </w:rPr>
        <w:t xml:space="preserve">In </w:t>
      </w:r>
      <w:r w:rsidR="007D00BC" w:rsidRPr="00FA4518">
        <w:rPr>
          <w:rFonts w:ascii="Arial" w:hAnsi="Arial" w:cs="Arial"/>
          <w:sz w:val="24"/>
          <w:szCs w:val="24"/>
        </w:rPr>
        <w:t>the</w:t>
      </w:r>
      <w:r w:rsidRPr="00FA4518">
        <w:rPr>
          <w:rFonts w:ascii="Arial" w:hAnsi="Arial" w:cs="Arial"/>
          <w:sz w:val="24"/>
          <w:szCs w:val="24"/>
        </w:rPr>
        <w:t xml:space="preserve"> case of </w:t>
      </w:r>
      <w:proofErr w:type="spellStart"/>
      <w:r w:rsidRPr="00FA4518">
        <w:rPr>
          <w:rFonts w:ascii="Arial" w:hAnsi="Arial" w:cs="Arial"/>
          <w:i/>
          <w:iCs/>
          <w:sz w:val="24"/>
          <w:szCs w:val="24"/>
        </w:rPr>
        <w:t>Ramakatsa</w:t>
      </w:r>
      <w:proofErr w:type="spellEnd"/>
      <w:r w:rsidRPr="00FA4518">
        <w:rPr>
          <w:rFonts w:ascii="Arial" w:hAnsi="Arial" w:cs="Arial"/>
          <w:i/>
          <w:iCs/>
          <w:sz w:val="24"/>
          <w:szCs w:val="24"/>
        </w:rPr>
        <w:t xml:space="preserve"> and Others v African National Congress and Another</w:t>
      </w:r>
      <w:r w:rsidRPr="00FA4518">
        <w:rPr>
          <w:rFonts w:ascii="Arial" w:hAnsi="Arial" w:cs="Arial"/>
          <w:sz w:val="24"/>
          <w:szCs w:val="24"/>
        </w:rPr>
        <w:t xml:space="preserve"> [2021] ZASCA 31 (31 March 2021) the SCA restated the legal position as follows</w:t>
      </w:r>
      <w:r>
        <w:rPr>
          <w:rFonts w:ascii="Arial" w:hAnsi="Arial" w:cs="Arial"/>
        </w:rPr>
        <w:t xml:space="preserve">:  </w:t>
      </w:r>
    </w:p>
    <w:p w:rsidR="002F0679" w:rsidRPr="007D00BC" w:rsidRDefault="00FA4518" w:rsidP="007D00BC">
      <w:pPr>
        <w:spacing w:line="360" w:lineRule="auto"/>
        <w:ind w:left="370"/>
        <w:jc w:val="both"/>
        <w:rPr>
          <w:rFonts w:ascii="Arial" w:hAnsi="Arial" w:cs="Arial"/>
          <w:i/>
          <w:iCs/>
        </w:rPr>
      </w:pPr>
      <w:r>
        <w:rPr>
          <w:rFonts w:ascii="Arial" w:hAnsi="Arial" w:cs="Arial"/>
        </w:rPr>
        <w:t>‘</w:t>
      </w:r>
      <w:r w:rsidR="00CB76BF" w:rsidRPr="00FA4518">
        <w:rPr>
          <w:rFonts w:ascii="Arial" w:hAnsi="Arial" w:cs="Arial"/>
          <w:i/>
          <w:iCs/>
        </w:rPr>
        <w:t>Turning the focus to the relevant provisions of the Superior Courts Act</w:t>
      </w:r>
      <w:r w:rsidR="00F029FF" w:rsidRPr="00FA4518">
        <w:rPr>
          <w:rFonts w:ascii="Arial" w:hAnsi="Arial" w:cs="Arial"/>
          <w:i/>
          <w:iCs/>
        </w:rPr>
        <w:t xml:space="preserve"> </w:t>
      </w:r>
      <w:r w:rsidR="00CB76BF" w:rsidRPr="00FA4518">
        <w:rPr>
          <w:rFonts w:ascii="Arial" w:hAnsi="Arial" w:cs="Arial"/>
          <w:i/>
          <w:iCs/>
        </w:rPr>
        <w:t xml:space="preserve">(the SC Act), leave to appeal may only be granted where the judges concerned are of the opinion that the appeal would have a reasonable prospect of success or there are compelling reasons which exist why the appeal should be heard such as the interests of justice.… I am mindful of the decisions at high court level debating whether the use of the word ‘would’ as </w:t>
      </w:r>
      <w:r w:rsidRPr="00FA4518">
        <w:rPr>
          <w:rFonts w:ascii="Arial" w:hAnsi="Arial" w:cs="Arial"/>
          <w:i/>
          <w:iCs/>
        </w:rPr>
        <w:t>opposed</w:t>
      </w:r>
      <w:r w:rsidR="00CB76BF" w:rsidRPr="00FA4518">
        <w:rPr>
          <w:rFonts w:ascii="Arial" w:hAnsi="Arial" w:cs="Arial"/>
          <w:i/>
          <w:iCs/>
        </w:rPr>
        <w:t xml:space="preserve"> to ‘could’ possibly means that the threshold for granting the appeal has been raised. If a reasonable prospect of success is established, leave to appeal should be granted. ...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 A sound rational basis for the conclusion that there are prospects of success must be shown to exist</w:t>
      </w:r>
      <w:r w:rsidRPr="00FA4518">
        <w:rPr>
          <w:rFonts w:ascii="Arial" w:hAnsi="Arial" w:cs="Arial"/>
          <w:i/>
          <w:iCs/>
        </w:rPr>
        <w:t>’.</w:t>
      </w:r>
    </w:p>
    <w:p w:rsidR="00827999" w:rsidRPr="00177DC6" w:rsidRDefault="00827999" w:rsidP="003C410C">
      <w:pPr>
        <w:spacing w:before="100" w:beforeAutospacing="1" w:after="360" w:line="360" w:lineRule="auto"/>
        <w:jc w:val="both"/>
        <w:rPr>
          <w:rFonts w:ascii="Arial" w:hAnsi="Arial" w:cs="Arial"/>
          <w:sz w:val="24"/>
          <w:szCs w:val="24"/>
        </w:rPr>
      </w:pPr>
      <w:r w:rsidRPr="00177DC6">
        <w:rPr>
          <w:rFonts w:ascii="Arial" w:hAnsi="Arial" w:cs="Arial"/>
          <w:sz w:val="24"/>
          <w:szCs w:val="24"/>
        </w:rPr>
        <w:t>[</w:t>
      </w:r>
      <w:r w:rsidR="004910B6">
        <w:rPr>
          <w:rFonts w:ascii="Arial" w:hAnsi="Arial" w:cs="Arial"/>
          <w:sz w:val="24"/>
          <w:szCs w:val="24"/>
        </w:rPr>
        <w:t>1</w:t>
      </w:r>
      <w:r w:rsidR="000C73A9">
        <w:rPr>
          <w:rFonts w:ascii="Arial" w:hAnsi="Arial" w:cs="Arial"/>
          <w:sz w:val="24"/>
          <w:szCs w:val="24"/>
        </w:rPr>
        <w:t>5</w:t>
      </w:r>
      <w:r w:rsidRPr="00177DC6">
        <w:rPr>
          <w:rFonts w:ascii="Arial" w:hAnsi="Arial" w:cs="Arial"/>
          <w:sz w:val="24"/>
          <w:szCs w:val="24"/>
        </w:rPr>
        <w:t xml:space="preserve">] </w:t>
      </w:r>
      <w:r w:rsidR="00C977CD">
        <w:rPr>
          <w:rFonts w:ascii="Arial" w:hAnsi="Arial" w:cs="Arial"/>
          <w:sz w:val="24"/>
          <w:szCs w:val="24"/>
        </w:rPr>
        <w:t>Reverting to this case</w:t>
      </w:r>
      <w:r w:rsidR="00377271">
        <w:rPr>
          <w:rFonts w:ascii="Arial" w:hAnsi="Arial" w:cs="Arial"/>
          <w:sz w:val="24"/>
          <w:szCs w:val="24"/>
        </w:rPr>
        <w:t xml:space="preserve">, it is the applicant’s </w:t>
      </w:r>
      <w:r w:rsidR="0009058A">
        <w:rPr>
          <w:rFonts w:ascii="Arial" w:hAnsi="Arial" w:cs="Arial"/>
          <w:sz w:val="24"/>
          <w:szCs w:val="24"/>
        </w:rPr>
        <w:t xml:space="preserve">case </w:t>
      </w:r>
      <w:r w:rsidR="00377271">
        <w:rPr>
          <w:rFonts w:ascii="Arial" w:hAnsi="Arial" w:cs="Arial"/>
          <w:sz w:val="24"/>
          <w:szCs w:val="24"/>
        </w:rPr>
        <w:t>that</w:t>
      </w:r>
      <w:r w:rsidRPr="00177DC6">
        <w:rPr>
          <w:rFonts w:ascii="Arial" w:hAnsi="Arial" w:cs="Arial"/>
          <w:sz w:val="24"/>
          <w:szCs w:val="24"/>
        </w:rPr>
        <w:t xml:space="preserve"> the first respondent failed to make payments of the municipality rates and taxes</w:t>
      </w:r>
      <w:r w:rsidR="002B208A">
        <w:rPr>
          <w:rFonts w:ascii="Arial" w:hAnsi="Arial" w:cs="Arial"/>
          <w:sz w:val="24"/>
          <w:szCs w:val="24"/>
        </w:rPr>
        <w:t xml:space="preserve"> as per the Agreement</w:t>
      </w:r>
      <w:r w:rsidRPr="00177DC6">
        <w:rPr>
          <w:rFonts w:ascii="Arial" w:hAnsi="Arial" w:cs="Arial"/>
          <w:sz w:val="24"/>
          <w:szCs w:val="24"/>
        </w:rPr>
        <w:t xml:space="preserve">. </w:t>
      </w:r>
      <w:r w:rsidR="002B208A">
        <w:rPr>
          <w:rFonts w:ascii="Arial" w:hAnsi="Arial" w:cs="Arial"/>
          <w:sz w:val="24"/>
          <w:szCs w:val="24"/>
        </w:rPr>
        <w:t xml:space="preserve">By </w:t>
      </w:r>
      <w:r w:rsidRPr="00177DC6">
        <w:rPr>
          <w:rFonts w:ascii="Arial" w:hAnsi="Arial" w:cs="Arial"/>
          <w:sz w:val="24"/>
          <w:szCs w:val="24"/>
        </w:rPr>
        <w:t xml:space="preserve">November 2019 the rates and taxes were in arrears in the amount of R 333,986,21. In addition, </w:t>
      </w:r>
      <w:r w:rsidR="00F554AE" w:rsidRPr="00177DC6">
        <w:rPr>
          <w:rFonts w:ascii="Arial" w:hAnsi="Arial" w:cs="Arial"/>
          <w:sz w:val="24"/>
          <w:szCs w:val="24"/>
        </w:rPr>
        <w:t xml:space="preserve">the first respondent was in arrears in the amount of R 75 845,89 as </w:t>
      </w:r>
      <w:r w:rsidR="00062906" w:rsidRPr="00177DC6">
        <w:rPr>
          <w:rFonts w:ascii="Arial" w:hAnsi="Arial" w:cs="Arial"/>
          <w:sz w:val="24"/>
          <w:szCs w:val="24"/>
        </w:rPr>
        <w:t>of</w:t>
      </w:r>
      <w:r w:rsidR="00F554AE" w:rsidRPr="00177DC6">
        <w:rPr>
          <w:rFonts w:ascii="Arial" w:hAnsi="Arial" w:cs="Arial"/>
          <w:sz w:val="24"/>
          <w:szCs w:val="24"/>
        </w:rPr>
        <w:t xml:space="preserve"> 20 November 2019. Despite demand the first respondent failed to bring its indebtedness up to date. The letters of demand were served on all the respondents at their respective places of </w:t>
      </w:r>
      <w:proofErr w:type="spellStart"/>
      <w:r w:rsidR="00F554AE" w:rsidRPr="002B208A">
        <w:rPr>
          <w:rFonts w:ascii="Arial" w:hAnsi="Arial" w:cs="Arial"/>
          <w:i/>
          <w:iCs/>
          <w:sz w:val="24"/>
          <w:szCs w:val="24"/>
        </w:rPr>
        <w:t>domicilium</w:t>
      </w:r>
      <w:proofErr w:type="spellEnd"/>
      <w:r w:rsidR="00F554AE" w:rsidRPr="002B208A">
        <w:rPr>
          <w:rFonts w:ascii="Arial" w:hAnsi="Arial" w:cs="Arial"/>
          <w:i/>
          <w:iCs/>
          <w:sz w:val="24"/>
          <w:szCs w:val="24"/>
        </w:rPr>
        <w:t xml:space="preserve"> </w:t>
      </w:r>
      <w:proofErr w:type="spellStart"/>
      <w:r w:rsidR="00F554AE" w:rsidRPr="002B208A">
        <w:rPr>
          <w:rFonts w:ascii="Arial" w:hAnsi="Arial" w:cs="Arial"/>
          <w:i/>
          <w:iCs/>
          <w:sz w:val="24"/>
          <w:szCs w:val="24"/>
        </w:rPr>
        <w:t>citandi</w:t>
      </w:r>
      <w:proofErr w:type="spellEnd"/>
      <w:r w:rsidR="00F554AE" w:rsidRPr="002B208A">
        <w:rPr>
          <w:rFonts w:ascii="Arial" w:hAnsi="Arial" w:cs="Arial"/>
          <w:i/>
          <w:iCs/>
          <w:sz w:val="24"/>
          <w:szCs w:val="24"/>
        </w:rPr>
        <w:t xml:space="preserve"> </w:t>
      </w:r>
      <w:proofErr w:type="spellStart"/>
      <w:r w:rsidR="00F554AE" w:rsidRPr="002B208A">
        <w:rPr>
          <w:rFonts w:ascii="Arial" w:hAnsi="Arial" w:cs="Arial"/>
          <w:i/>
          <w:iCs/>
          <w:sz w:val="24"/>
          <w:szCs w:val="24"/>
        </w:rPr>
        <w:t>executandi</w:t>
      </w:r>
      <w:proofErr w:type="spellEnd"/>
      <w:r w:rsidR="00F554AE" w:rsidRPr="00177DC6">
        <w:rPr>
          <w:rFonts w:ascii="Arial" w:hAnsi="Arial" w:cs="Arial"/>
          <w:sz w:val="24"/>
          <w:szCs w:val="24"/>
        </w:rPr>
        <w:t xml:space="preserve">. </w:t>
      </w:r>
      <w:r w:rsidR="00D901AA">
        <w:rPr>
          <w:rFonts w:ascii="Arial" w:hAnsi="Arial" w:cs="Arial"/>
          <w:sz w:val="24"/>
          <w:szCs w:val="24"/>
        </w:rPr>
        <w:t>This was in breach of the loan agre</w:t>
      </w:r>
      <w:r w:rsidR="0036369E">
        <w:rPr>
          <w:rFonts w:ascii="Arial" w:hAnsi="Arial" w:cs="Arial"/>
          <w:sz w:val="24"/>
          <w:szCs w:val="24"/>
        </w:rPr>
        <w:t>ement.</w:t>
      </w:r>
    </w:p>
    <w:p w:rsidR="00F554AE" w:rsidRPr="00177DC6" w:rsidRDefault="00F554AE" w:rsidP="00461DDB">
      <w:pPr>
        <w:spacing w:before="240" w:beforeAutospacing="1" w:after="360" w:line="360" w:lineRule="auto"/>
        <w:jc w:val="both"/>
        <w:rPr>
          <w:rFonts w:ascii="Arial" w:hAnsi="Arial" w:cs="Arial"/>
          <w:sz w:val="24"/>
          <w:szCs w:val="24"/>
        </w:rPr>
      </w:pPr>
      <w:r w:rsidRPr="00177DC6">
        <w:rPr>
          <w:rFonts w:ascii="Arial" w:hAnsi="Arial" w:cs="Arial"/>
          <w:sz w:val="24"/>
          <w:szCs w:val="24"/>
        </w:rPr>
        <w:t>[</w:t>
      </w:r>
      <w:r w:rsidR="004910B6">
        <w:rPr>
          <w:rFonts w:ascii="Arial" w:hAnsi="Arial" w:cs="Arial"/>
          <w:sz w:val="24"/>
          <w:szCs w:val="24"/>
        </w:rPr>
        <w:t>1</w:t>
      </w:r>
      <w:r w:rsidR="00ED0D02">
        <w:rPr>
          <w:rFonts w:ascii="Arial" w:hAnsi="Arial" w:cs="Arial"/>
          <w:sz w:val="24"/>
          <w:szCs w:val="24"/>
        </w:rPr>
        <w:t>6</w:t>
      </w:r>
      <w:r w:rsidRPr="00177DC6">
        <w:rPr>
          <w:rFonts w:ascii="Arial" w:hAnsi="Arial" w:cs="Arial"/>
          <w:sz w:val="24"/>
          <w:szCs w:val="24"/>
        </w:rPr>
        <w:t xml:space="preserve">] As </w:t>
      </w:r>
      <w:r w:rsidR="00461DDB">
        <w:rPr>
          <w:rFonts w:ascii="Arial" w:hAnsi="Arial" w:cs="Arial"/>
          <w:sz w:val="24"/>
          <w:szCs w:val="24"/>
        </w:rPr>
        <w:t xml:space="preserve">a </w:t>
      </w:r>
      <w:r w:rsidRPr="00177DC6">
        <w:rPr>
          <w:rFonts w:ascii="Arial" w:hAnsi="Arial" w:cs="Arial"/>
          <w:sz w:val="24"/>
          <w:szCs w:val="24"/>
        </w:rPr>
        <w:t>result of the settlement arrangement</w:t>
      </w:r>
      <w:r w:rsidR="0036369E">
        <w:rPr>
          <w:rFonts w:ascii="Arial" w:hAnsi="Arial" w:cs="Arial"/>
          <w:sz w:val="24"/>
          <w:szCs w:val="24"/>
        </w:rPr>
        <w:t>,</w:t>
      </w:r>
      <w:r w:rsidRPr="00177DC6">
        <w:rPr>
          <w:rFonts w:ascii="Arial" w:hAnsi="Arial" w:cs="Arial"/>
          <w:sz w:val="24"/>
          <w:szCs w:val="24"/>
        </w:rPr>
        <w:t xml:space="preserve"> the respondent</w:t>
      </w:r>
      <w:r w:rsidR="002B208A">
        <w:rPr>
          <w:rFonts w:ascii="Arial" w:hAnsi="Arial" w:cs="Arial"/>
          <w:sz w:val="24"/>
          <w:szCs w:val="24"/>
        </w:rPr>
        <w:t>s</w:t>
      </w:r>
      <w:r w:rsidRPr="00177DC6">
        <w:rPr>
          <w:rFonts w:ascii="Arial" w:hAnsi="Arial" w:cs="Arial"/>
          <w:sz w:val="24"/>
          <w:szCs w:val="24"/>
        </w:rPr>
        <w:t xml:space="preserve"> agree</w:t>
      </w:r>
      <w:r w:rsidR="002B208A">
        <w:rPr>
          <w:rFonts w:ascii="Arial" w:hAnsi="Arial" w:cs="Arial"/>
          <w:sz w:val="24"/>
          <w:szCs w:val="24"/>
        </w:rPr>
        <w:t>d</w:t>
      </w:r>
      <w:r w:rsidRPr="00177DC6">
        <w:rPr>
          <w:rFonts w:ascii="Arial" w:hAnsi="Arial" w:cs="Arial"/>
          <w:sz w:val="24"/>
          <w:szCs w:val="24"/>
        </w:rPr>
        <w:t xml:space="preserve"> to the applicant enforcing its right and took cession o</w:t>
      </w:r>
      <w:r w:rsidR="002B208A">
        <w:rPr>
          <w:rFonts w:ascii="Arial" w:hAnsi="Arial" w:cs="Arial"/>
          <w:sz w:val="24"/>
          <w:szCs w:val="24"/>
        </w:rPr>
        <w:t>f</w:t>
      </w:r>
      <w:r w:rsidRPr="00177DC6">
        <w:rPr>
          <w:rFonts w:ascii="Arial" w:hAnsi="Arial" w:cs="Arial"/>
          <w:sz w:val="24"/>
          <w:szCs w:val="24"/>
        </w:rPr>
        <w:t xml:space="preserve"> the rental income generated </w:t>
      </w:r>
      <w:r w:rsidR="002B208A">
        <w:rPr>
          <w:rFonts w:ascii="Arial" w:hAnsi="Arial" w:cs="Arial"/>
          <w:sz w:val="24"/>
          <w:szCs w:val="24"/>
        </w:rPr>
        <w:t>by</w:t>
      </w:r>
      <w:r w:rsidRPr="00177DC6">
        <w:rPr>
          <w:rFonts w:ascii="Arial" w:hAnsi="Arial" w:cs="Arial"/>
          <w:sz w:val="24"/>
          <w:szCs w:val="24"/>
        </w:rPr>
        <w:t xml:space="preserve"> the property. </w:t>
      </w:r>
      <w:r w:rsidR="002B208A">
        <w:rPr>
          <w:rFonts w:ascii="Arial" w:hAnsi="Arial" w:cs="Arial"/>
          <w:sz w:val="24"/>
          <w:szCs w:val="24"/>
        </w:rPr>
        <w:lastRenderedPageBreak/>
        <w:t>Such</w:t>
      </w:r>
      <w:r w:rsidRPr="00177DC6">
        <w:rPr>
          <w:rFonts w:ascii="Arial" w:hAnsi="Arial" w:cs="Arial"/>
          <w:sz w:val="24"/>
          <w:szCs w:val="24"/>
        </w:rPr>
        <w:t xml:space="preserve"> rental generated </w:t>
      </w:r>
      <w:r w:rsidR="002B208A">
        <w:rPr>
          <w:rFonts w:ascii="Arial" w:hAnsi="Arial" w:cs="Arial"/>
          <w:sz w:val="24"/>
          <w:szCs w:val="24"/>
        </w:rPr>
        <w:t xml:space="preserve">by the Property </w:t>
      </w:r>
      <w:r w:rsidRPr="00177DC6">
        <w:rPr>
          <w:rFonts w:ascii="Arial" w:hAnsi="Arial" w:cs="Arial"/>
          <w:sz w:val="24"/>
          <w:szCs w:val="24"/>
        </w:rPr>
        <w:t>proved insufficient to settle the debt and further monthly instalment</w:t>
      </w:r>
      <w:r w:rsidR="002B208A">
        <w:rPr>
          <w:rFonts w:ascii="Arial" w:hAnsi="Arial" w:cs="Arial"/>
          <w:sz w:val="24"/>
          <w:szCs w:val="24"/>
        </w:rPr>
        <w:t>s</w:t>
      </w:r>
      <w:r w:rsidRPr="00177DC6">
        <w:rPr>
          <w:rFonts w:ascii="Arial" w:hAnsi="Arial" w:cs="Arial"/>
          <w:sz w:val="24"/>
          <w:szCs w:val="24"/>
        </w:rPr>
        <w:t xml:space="preserve"> due to the applicant as per loan </w:t>
      </w:r>
      <w:r w:rsidR="00A110E5">
        <w:rPr>
          <w:rFonts w:ascii="Arial" w:hAnsi="Arial" w:cs="Arial"/>
          <w:sz w:val="24"/>
          <w:szCs w:val="24"/>
        </w:rPr>
        <w:t>A</w:t>
      </w:r>
      <w:r w:rsidRPr="00177DC6">
        <w:rPr>
          <w:rFonts w:ascii="Arial" w:hAnsi="Arial" w:cs="Arial"/>
          <w:sz w:val="24"/>
          <w:szCs w:val="24"/>
        </w:rPr>
        <w:t>greement</w:t>
      </w:r>
      <w:r w:rsidR="00461DDB">
        <w:rPr>
          <w:rFonts w:ascii="Arial" w:hAnsi="Arial" w:cs="Arial"/>
          <w:sz w:val="24"/>
          <w:szCs w:val="24"/>
        </w:rPr>
        <w:t xml:space="preserve"> (</w:t>
      </w:r>
      <w:r w:rsidRPr="00177DC6">
        <w:rPr>
          <w:rFonts w:ascii="Arial" w:hAnsi="Arial" w:cs="Arial"/>
          <w:sz w:val="24"/>
          <w:szCs w:val="24"/>
        </w:rPr>
        <w:t>amended by two subsequent addend</w:t>
      </w:r>
      <w:r w:rsidR="00461DDB">
        <w:rPr>
          <w:rFonts w:ascii="Arial" w:hAnsi="Arial" w:cs="Arial"/>
          <w:sz w:val="24"/>
          <w:szCs w:val="24"/>
        </w:rPr>
        <w:t>a)</w:t>
      </w:r>
      <w:r w:rsidRPr="00177DC6">
        <w:rPr>
          <w:rFonts w:ascii="Arial" w:hAnsi="Arial" w:cs="Arial"/>
          <w:sz w:val="24"/>
          <w:szCs w:val="24"/>
        </w:rPr>
        <w:t xml:space="preserve">. </w:t>
      </w:r>
    </w:p>
    <w:p w:rsidR="001C1FAE" w:rsidRPr="00177DC6" w:rsidRDefault="001C1FAE" w:rsidP="003C410C">
      <w:pPr>
        <w:spacing w:before="100" w:beforeAutospacing="1" w:after="360" w:line="360" w:lineRule="auto"/>
        <w:jc w:val="both"/>
        <w:rPr>
          <w:rFonts w:ascii="Arial" w:hAnsi="Arial" w:cs="Arial"/>
          <w:sz w:val="24"/>
          <w:szCs w:val="24"/>
        </w:rPr>
      </w:pPr>
      <w:r w:rsidRPr="00177DC6">
        <w:rPr>
          <w:rFonts w:ascii="Arial" w:hAnsi="Arial" w:cs="Arial"/>
          <w:sz w:val="24"/>
          <w:szCs w:val="24"/>
        </w:rPr>
        <w:t>[</w:t>
      </w:r>
      <w:r w:rsidR="006C50E5">
        <w:rPr>
          <w:rFonts w:ascii="Arial" w:hAnsi="Arial" w:cs="Arial"/>
          <w:sz w:val="24"/>
          <w:szCs w:val="24"/>
        </w:rPr>
        <w:t>1</w:t>
      </w:r>
      <w:r w:rsidR="007D66B8">
        <w:rPr>
          <w:rFonts w:ascii="Arial" w:hAnsi="Arial" w:cs="Arial"/>
          <w:sz w:val="24"/>
          <w:szCs w:val="24"/>
        </w:rPr>
        <w:t>7</w:t>
      </w:r>
      <w:r w:rsidRPr="00177DC6">
        <w:rPr>
          <w:rFonts w:ascii="Arial" w:hAnsi="Arial" w:cs="Arial"/>
          <w:sz w:val="24"/>
          <w:szCs w:val="24"/>
        </w:rPr>
        <w:t>] There w</w:t>
      </w:r>
      <w:r w:rsidR="00C75958">
        <w:rPr>
          <w:rFonts w:ascii="Arial" w:hAnsi="Arial" w:cs="Arial"/>
          <w:sz w:val="24"/>
          <w:szCs w:val="24"/>
        </w:rPr>
        <w:t>ere</w:t>
      </w:r>
      <w:r w:rsidRPr="00177DC6">
        <w:rPr>
          <w:rFonts w:ascii="Arial" w:hAnsi="Arial" w:cs="Arial"/>
          <w:sz w:val="24"/>
          <w:szCs w:val="24"/>
        </w:rPr>
        <w:t xml:space="preserve"> second letters of demand dispatched to the respondents. This </w:t>
      </w:r>
      <w:r w:rsidR="00C75958">
        <w:rPr>
          <w:rFonts w:ascii="Arial" w:hAnsi="Arial" w:cs="Arial"/>
          <w:sz w:val="24"/>
          <w:szCs w:val="24"/>
        </w:rPr>
        <w:t xml:space="preserve">step </w:t>
      </w:r>
      <w:r w:rsidRPr="00177DC6">
        <w:rPr>
          <w:rFonts w:ascii="Arial" w:hAnsi="Arial" w:cs="Arial"/>
          <w:sz w:val="24"/>
          <w:szCs w:val="24"/>
        </w:rPr>
        <w:t>resulted in further attempts to resolve the issue</w:t>
      </w:r>
      <w:r w:rsidR="002B208A">
        <w:rPr>
          <w:rFonts w:ascii="Arial" w:hAnsi="Arial" w:cs="Arial"/>
          <w:sz w:val="24"/>
          <w:szCs w:val="24"/>
        </w:rPr>
        <w:t xml:space="preserve"> of non-payment</w:t>
      </w:r>
      <w:r w:rsidRPr="00177DC6">
        <w:rPr>
          <w:rFonts w:ascii="Arial" w:hAnsi="Arial" w:cs="Arial"/>
          <w:sz w:val="24"/>
          <w:szCs w:val="24"/>
        </w:rPr>
        <w:t>. On the 05 April 2012 the second respondent concluded a Suretyship Agreement in favour of the applicant in respect of the outstanding indebtedness.</w:t>
      </w:r>
    </w:p>
    <w:p w:rsidR="008A56D5" w:rsidRPr="00177DC6" w:rsidRDefault="001C1FAE" w:rsidP="003C410C">
      <w:pPr>
        <w:spacing w:before="100" w:beforeAutospacing="1" w:after="360" w:line="360" w:lineRule="auto"/>
        <w:jc w:val="both"/>
        <w:rPr>
          <w:rFonts w:ascii="Arial" w:hAnsi="Arial" w:cs="Arial"/>
          <w:sz w:val="24"/>
          <w:szCs w:val="24"/>
        </w:rPr>
      </w:pPr>
      <w:r w:rsidRPr="00177DC6">
        <w:rPr>
          <w:rFonts w:ascii="Arial" w:hAnsi="Arial" w:cs="Arial"/>
          <w:sz w:val="24"/>
          <w:szCs w:val="24"/>
        </w:rPr>
        <w:t xml:space="preserve"> [</w:t>
      </w:r>
      <w:r w:rsidR="006C50E5">
        <w:rPr>
          <w:rFonts w:ascii="Arial" w:hAnsi="Arial" w:cs="Arial"/>
          <w:sz w:val="24"/>
          <w:szCs w:val="24"/>
        </w:rPr>
        <w:t>1</w:t>
      </w:r>
      <w:r w:rsidR="00F85297">
        <w:rPr>
          <w:rFonts w:ascii="Arial" w:hAnsi="Arial" w:cs="Arial"/>
          <w:sz w:val="24"/>
          <w:szCs w:val="24"/>
        </w:rPr>
        <w:t>8</w:t>
      </w:r>
      <w:r w:rsidRPr="00177DC6">
        <w:rPr>
          <w:rFonts w:ascii="Arial" w:hAnsi="Arial" w:cs="Arial"/>
          <w:sz w:val="24"/>
          <w:szCs w:val="24"/>
        </w:rPr>
        <w:t>] On the same day the third respondent who is married in community of property to the fourth respondent also concluded an unlimited Suretyship Agreement in favour of the of the applicant in respect of the property for outstanding indebtedness</w:t>
      </w:r>
      <w:r w:rsidR="008A56D5" w:rsidRPr="00177DC6">
        <w:rPr>
          <w:rFonts w:ascii="Arial" w:hAnsi="Arial" w:cs="Arial"/>
          <w:sz w:val="24"/>
          <w:szCs w:val="24"/>
        </w:rPr>
        <w:t xml:space="preserve">. The fourth respondent gave her consent to the suretyship agreement. </w:t>
      </w:r>
    </w:p>
    <w:p w:rsidR="001C1FAE" w:rsidRPr="00177DC6" w:rsidRDefault="008A56D5" w:rsidP="003C410C">
      <w:pPr>
        <w:spacing w:before="100" w:beforeAutospacing="1" w:after="360" w:line="360" w:lineRule="auto"/>
        <w:jc w:val="both"/>
        <w:rPr>
          <w:rFonts w:ascii="Arial" w:hAnsi="Arial" w:cs="Arial"/>
          <w:sz w:val="24"/>
          <w:szCs w:val="24"/>
        </w:rPr>
      </w:pPr>
      <w:r w:rsidRPr="00177DC6">
        <w:rPr>
          <w:rFonts w:ascii="Arial" w:hAnsi="Arial" w:cs="Arial"/>
          <w:sz w:val="24"/>
          <w:szCs w:val="24"/>
        </w:rPr>
        <w:t>[</w:t>
      </w:r>
      <w:r w:rsidR="006C50E5">
        <w:rPr>
          <w:rFonts w:ascii="Arial" w:hAnsi="Arial" w:cs="Arial"/>
          <w:sz w:val="24"/>
          <w:szCs w:val="24"/>
        </w:rPr>
        <w:t>1</w:t>
      </w:r>
      <w:r w:rsidR="00F85297">
        <w:rPr>
          <w:rFonts w:ascii="Arial" w:hAnsi="Arial" w:cs="Arial"/>
          <w:sz w:val="24"/>
          <w:szCs w:val="24"/>
        </w:rPr>
        <w:t>9</w:t>
      </w:r>
      <w:r w:rsidR="00934760" w:rsidRPr="00177DC6">
        <w:rPr>
          <w:rFonts w:ascii="Arial" w:hAnsi="Arial" w:cs="Arial"/>
          <w:sz w:val="24"/>
          <w:szCs w:val="24"/>
        </w:rPr>
        <w:t xml:space="preserve">] </w:t>
      </w:r>
      <w:r w:rsidR="00934760">
        <w:rPr>
          <w:rFonts w:ascii="Arial" w:hAnsi="Arial" w:cs="Arial"/>
          <w:sz w:val="24"/>
          <w:szCs w:val="24"/>
        </w:rPr>
        <w:t>The</w:t>
      </w:r>
      <w:r w:rsidRPr="00177DC6">
        <w:rPr>
          <w:rFonts w:ascii="Arial" w:hAnsi="Arial" w:cs="Arial"/>
          <w:sz w:val="24"/>
          <w:szCs w:val="24"/>
        </w:rPr>
        <w:t xml:space="preserve"> fifth respondent, acting in his personal capacity also concluded a written unlimited Suretyship Agreement in favour of the applicant in respect of the property for the outstanding indebtedness as set out in the Agreement.</w:t>
      </w:r>
      <w:r w:rsidR="001C1FAE" w:rsidRPr="00177DC6">
        <w:rPr>
          <w:rFonts w:ascii="Arial" w:hAnsi="Arial" w:cs="Arial"/>
          <w:sz w:val="24"/>
          <w:szCs w:val="24"/>
        </w:rPr>
        <w:t xml:space="preserve"> </w:t>
      </w:r>
    </w:p>
    <w:p w:rsidR="00154A96" w:rsidRDefault="00154A96" w:rsidP="003C410C">
      <w:pPr>
        <w:spacing w:before="100" w:beforeAutospacing="1" w:after="360" w:line="360" w:lineRule="auto"/>
        <w:jc w:val="both"/>
        <w:rPr>
          <w:rFonts w:ascii="Arial" w:hAnsi="Arial" w:cs="Arial"/>
          <w:sz w:val="24"/>
          <w:szCs w:val="24"/>
        </w:rPr>
      </w:pPr>
      <w:r w:rsidRPr="00177DC6">
        <w:rPr>
          <w:rFonts w:ascii="Arial" w:hAnsi="Arial" w:cs="Arial"/>
          <w:sz w:val="24"/>
          <w:szCs w:val="24"/>
        </w:rPr>
        <w:t>[</w:t>
      </w:r>
      <w:r w:rsidR="00F85297">
        <w:rPr>
          <w:rFonts w:ascii="Arial" w:hAnsi="Arial" w:cs="Arial"/>
          <w:sz w:val="24"/>
          <w:szCs w:val="24"/>
        </w:rPr>
        <w:t>20</w:t>
      </w:r>
      <w:r w:rsidRPr="00177DC6">
        <w:rPr>
          <w:rFonts w:ascii="Arial" w:hAnsi="Arial" w:cs="Arial"/>
          <w:sz w:val="24"/>
          <w:szCs w:val="24"/>
        </w:rPr>
        <w:t>] In terms of these Suretyship Agreement</w:t>
      </w:r>
      <w:r w:rsidR="00C75958">
        <w:rPr>
          <w:rFonts w:ascii="Arial" w:hAnsi="Arial" w:cs="Arial"/>
          <w:sz w:val="24"/>
          <w:szCs w:val="24"/>
        </w:rPr>
        <w:t>s</w:t>
      </w:r>
      <w:r w:rsidRPr="00177DC6">
        <w:rPr>
          <w:rFonts w:ascii="Arial" w:hAnsi="Arial" w:cs="Arial"/>
          <w:sz w:val="24"/>
          <w:szCs w:val="24"/>
        </w:rPr>
        <w:t xml:space="preserve"> each of the second</w:t>
      </w:r>
      <w:r w:rsidR="00D87CA1">
        <w:rPr>
          <w:rFonts w:ascii="Arial" w:hAnsi="Arial" w:cs="Arial"/>
          <w:sz w:val="24"/>
          <w:szCs w:val="24"/>
        </w:rPr>
        <w:t>, third and fifth</w:t>
      </w:r>
      <w:r w:rsidRPr="00177DC6">
        <w:rPr>
          <w:rFonts w:ascii="Arial" w:hAnsi="Arial" w:cs="Arial"/>
          <w:sz w:val="24"/>
          <w:szCs w:val="24"/>
        </w:rPr>
        <w:t xml:space="preserve"> respondents bound themselves irrevocably as surety for and co-principal debtors in </w:t>
      </w:r>
      <w:proofErr w:type="spellStart"/>
      <w:r w:rsidRPr="00D46D04">
        <w:rPr>
          <w:rFonts w:ascii="Arial" w:hAnsi="Arial" w:cs="Arial"/>
          <w:i/>
          <w:iCs/>
          <w:sz w:val="24"/>
          <w:szCs w:val="24"/>
        </w:rPr>
        <w:t>solidum</w:t>
      </w:r>
      <w:proofErr w:type="spellEnd"/>
      <w:r w:rsidRPr="00177DC6">
        <w:rPr>
          <w:rFonts w:ascii="Arial" w:hAnsi="Arial" w:cs="Arial"/>
          <w:sz w:val="24"/>
          <w:szCs w:val="24"/>
        </w:rPr>
        <w:t xml:space="preserve"> with the first respondent for the due and proper performance by the first respondent of all its obligations in terms of and ar</w:t>
      </w:r>
      <w:r w:rsidR="00177DC6" w:rsidRPr="00177DC6">
        <w:rPr>
          <w:rFonts w:ascii="Arial" w:hAnsi="Arial" w:cs="Arial"/>
          <w:sz w:val="24"/>
          <w:szCs w:val="24"/>
        </w:rPr>
        <w:t>i</w:t>
      </w:r>
      <w:r w:rsidRPr="00177DC6">
        <w:rPr>
          <w:rFonts w:ascii="Arial" w:hAnsi="Arial" w:cs="Arial"/>
          <w:sz w:val="24"/>
          <w:szCs w:val="24"/>
        </w:rPr>
        <w:t>sing from the Agreement</w:t>
      </w:r>
      <w:r w:rsidR="001E7B42">
        <w:rPr>
          <w:rFonts w:ascii="Arial" w:hAnsi="Arial" w:cs="Arial"/>
          <w:sz w:val="24"/>
          <w:szCs w:val="24"/>
        </w:rPr>
        <w:t>.</w:t>
      </w:r>
      <w:r w:rsidR="000F5F7C">
        <w:rPr>
          <w:rFonts w:ascii="Arial" w:hAnsi="Arial" w:cs="Arial"/>
          <w:sz w:val="24"/>
          <w:szCs w:val="24"/>
        </w:rPr>
        <w:t xml:space="preserve"> It is clear that there was indebtedness on the part </w:t>
      </w:r>
      <w:r w:rsidR="00F70C32">
        <w:rPr>
          <w:rFonts w:ascii="Arial" w:hAnsi="Arial" w:cs="Arial"/>
          <w:sz w:val="24"/>
          <w:szCs w:val="24"/>
        </w:rPr>
        <w:t xml:space="preserve">of the respondent and steps were taken to try and correct the situation. </w:t>
      </w:r>
    </w:p>
    <w:p w:rsidR="001E7B42" w:rsidRDefault="00680DBB" w:rsidP="003C410C">
      <w:pPr>
        <w:spacing w:before="100" w:beforeAutospacing="1" w:after="360" w:line="360" w:lineRule="auto"/>
        <w:jc w:val="both"/>
        <w:rPr>
          <w:rFonts w:ascii="Arial" w:hAnsi="Arial" w:cs="Arial"/>
          <w:b/>
          <w:bCs/>
          <w:sz w:val="24"/>
          <w:szCs w:val="24"/>
        </w:rPr>
      </w:pPr>
      <w:r>
        <w:rPr>
          <w:rFonts w:ascii="Arial" w:hAnsi="Arial" w:cs="Arial"/>
          <w:b/>
          <w:bCs/>
          <w:sz w:val="24"/>
          <w:szCs w:val="24"/>
        </w:rPr>
        <w:t xml:space="preserve">Indebtedness </w:t>
      </w:r>
    </w:p>
    <w:p w:rsidR="00703564" w:rsidRPr="0033530C" w:rsidRDefault="001E7B42" w:rsidP="003C410C">
      <w:pPr>
        <w:spacing w:before="100" w:beforeAutospacing="1" w:after="360" w:line="360" w:lineRule="auto"/>
        <w:jc w:val="both"/>
        <w:rPr>
          <w:rFonts w:ascii="Arial" w:hAnsi="Arial" w:cs="Arial"/>
          <w:i/>
          <w:iCs/>
        </w:rPr>
      </w:pPr>
      <w:r>
        <w:rPr>
          <w:rFonts w:ascii="Arial" w:hAnsi="Arial" w:cs="Arial"/>
          <w:b/>
          <w:bCs/>
          <w:sz w:val="24"/>
          <w:szCs w:val="24"/>
        </w:rPr>
        <w:t>[</w:t>
      </w:r>
      <w:r w:rsidR="000B6BF7">
        <w:rPr>
          <w:rFonts w:ascii="Arial" w:hAnsi="Arial" w:cs="Arial"/>
          <w:sz w:val="24"/>
          <w:szCs w:val="24"/>
        </w:rPr>
        <w:t>21</w:t>
      </w:r>
      <w:r w:rsidRPr="001E7B42">
        <w:rPr>
          <w:rFonts w:ascii="Arial" w:hAnsi="Arial" w:cs="Arial"/>
          <w:sz w:val="24"/>
          <w:szCs w:val="24"/>
        </w:rPr>
        <w:t>] Th</w:t>
      </w:r>
      <w:r w:rsidR="005F1691">
        <w:rPr>
          <w:rFonts w:ascii="Arial" w:hAnsi="Arial" w:cs="Arial"/>
          <w:sz w:val="24"/>
          <w:szCs w:val="24"/>
        </w:rPr>
        <w:t xml:space="preserve">e respondent has raised an issue of indebtedness as a ground for </w:t>
      </w:r>
      <w:r w:rsidR="00A1626A">
        <w:rPr>
          <w:rFonts w:ascii="Arial" w:hAnsi="Arial" w:cs="Arial"/>
          <w:sz w:val="24"/>
          <w:szCs w:val="24"/>
        </w:rPr>
        <w:t>leave to appeal</w:t>
      </w:r>
      <w:r w:rsidR="00787288">
        <w:rPr>
          <w:rFonts w:ascii="Arial" w:hAnsi="Arial" w:cs="Arial"/>
          <w:sz w:val="24"/>
          <w:szCs w:val="24"/>
        </w:rPr>
        <w:t xml:space="preserve">. </w:t>
      </w:r>
      <w:r w:rsidR="00C06A2E">
        <w:rPr>
          <w:rFonts w:ascii="Arial" w:hAnsi="Arial" w:cs="Arial"/>
          <w:sz w:val="24"/>
          <w:szCs w:val="24"/>
        </w:rPr>
        <w:t xml:space="preserve">It is argued that the court erred </w:t>
      </w:r>
      <w:r w:rsidR="002C6586">
        <w:rPr>
          <w:rFonts w:ascii="Arial" w:hAnsi="Arial" w:cs="Arial"/>
          <w:sz w:val="24"/>
          <w:szCs w:val="24"/>
        </w:rPr>
        <w:t>in concluding that indebtedness was proved or was a common cause factor</w:t>
      </w:r>
      <w:r w:rsidR="002C6586" w:rsidRPr="00D35D5C">
        <w:rPr>
          <w:rFonts w:ascii="Arial" w:hAnsi="Arial" w:cs="Arial"/>
          <w:sz w:val="24"/>
          <w:szCs w:val="24"/>
        </w:rPr>
        <w:t>.</w:t>
      </w:r>
      <w:r w:rsidR="004378A9" w:rsidRPr="00D35D5C">
        <w:rPr>
          <w:rFonts w:ascii="Arial" w:hAnsi="Arial" w:cs="Arial"/>
          <w:sz w:val="24"/>
          <w:szCs w:val="24"/>
        </w:rPr>
        <w:t xml:space="preserve"> I</w:t>
      </w:r>
      <w:r w:rsidR="000C0CA3" w:rsidRPr="00D35D5C">
        <w:rPr>
          <w:rFonts w:ascii="Arial" w:hAnsi="Arial" w:cs="Arial"/>
          <w:sz w:val="24"/>
          <w:szCs w:val="24"/>
        </w:rPr>
        <w:t>n terms of the loa</w:t>
      </w:r>
      <w:r w:rsidR="00F26EE8">
        <w:rPr>
          <w:rFonts w:ascii="Arial" w:hAnsi="Arial" w:cs="Arial"/>
          <w:sz w:val="24"/>
          <w:szCs w:val="24"/>
        </w:rPr>
        <w:t xml:space="preserve">n agreement the </w:t>
      </w:r>
      <w:r w:rsidR="000C0CA3" w:rsidRPr="00D35D5C">
        <w:rPr>
          <w:rFonts w:ascii="Arial" w:hAnsi="Arial" w:cs="Arial"/>
          <w:sz w:val="24"/>
          <w:szCs w:val="24"/>
        </w:rPr>
        <w:t>certificate</w:t>
      </w:r>
      <w:r w:rsidR="00F26EE8">
        <w:rPr>
          <w:rFonts w:ascii="Arial" w:hAnsi="Arial" w:cs="Arial"/>
          <w:sz w:val="24"/>
          <w:szCs w:val="24"/>
        </w:rPr>
        <w:t xml:space="preserve"> of </w:t>
      </w:r>
      <w:r w:rsidR="000B6BF7">
        <w:rPr>
          <w:rFonts w:ascii="Arial" w:hAnsi="Arial" w:cs="Arial"/>
          <w:sz w:val="24"/>
          <w:szCs w:val="24"/>
        </w:rPr>
        <w:t xml:space="preserve">indebtedness </w:t>
      </w:r>
      <w:r w:rsidR="000B6BF7" w:rsidRPr="00D35D5C">
        <w:rPr>
          <w:rFonts w:ascii="Arial" w:hAnsi="Arial" w:cs="Arial"/>
          <w:sz w:val="24"/>
          <w:szCs w:val="24"/>
        </w:rPr>
        <w:t>will</w:t>
      </w:r>
      <w:r w:rsidR="000B6BF7">
        <w:rPr>
          <w:rFonts w:ascii="Arial" w:hAnsi="Arial" w:cs="Arial"/>
          <w:sz w:val="24"/>
          <w:szCs w:val="24"/>
        </w:rPr>
        <w:t xml:space="preserve"> </w:t>
      </w:r>
      <w:r w:rsidR="00471021">
        <w:rPr>
          <w:rFonts w:ascii="Arial" w:hAnsi="Arial" w:cs="Arial"/>
          <w:sz w:val="24"/>
          <w:szCs w:val="24"/>
        </w:rPr>
        <w:t>be</w:t>
      </w:r>
      <w:r w:rsidR="000C0CA3" w:rsidRPr="00D35D5C">
        <w:rPr>
          <w:rFonts w:ascii="Arial" w:hAnsi="Arial" w:cs="Arial"/>
          <w:sz w:val="24"/>
          <w:szCs w:val="24"/>
        </w:rPr>
        <w:t xml:space="preserve"> the </w:t>
      </w:r>
      <w:r w:rsidR="000C0CA3" w:rsidRPr="00471021">
        <w:rPr>
          <w:rFonts w:ascii="Arial" w:hAnsi="Arial" w:cs="Arial"/>
          <w:i/>
          <w:iCs/>
          <w:sz w:val="24"/>
          <w:szCs w:val="24"/>
        </w:rPr>
        <w:t>prima facie</w:t>
      </w:r>
      <w:r w:rsidR="000C0CA3" w:rsidRPr="00D35D5C">
        <w:rPr>
          <w:rFonts w:ascii="Arial" w:hAnsi="Arial" w:cs="Arial"/>
          <w:sz w:val="24"/>
          <w:szCs w:val="24"/>
        </w:rPr>
        <w:t xml:space="preserve"> proof of the amount owing.</w:t>
      </w:r>
      <w:r w:rsidR="00956645" w:rsidRPr="00956645">
        <w:rPr>
          <w:rFonts w:ascii="Arial" w:hAnsi="Arial" w:cs="Arial"/>
          <w:sz w:val="24"/>
          <w:szCs w:val="24"/>
        </w:rPr>
        <w:t xml:space="preserve"> </w:t>
      </w:r>
      <w:r w:rsidR="00EF22AB">
        <w:rPr>
          <w:rFonts w:ascii="Arial" w:hAnsi="Arial" w:cs="Arial"/>
          <w:sz w:val="24"/>
          <w:szCs w:val="24"/>
        </w:rPr>
        <w:t xml:space="preserve">Indebtedness is defined in the loan agreement between the parties to mean </w:t>
      </w:r>
      <w:r w:rsidR="0033530C">
        <w:rPr>
          <w:rFonts w:ascii="Arial" w:hAnsi="Arial" w:cs="Arial"/>
          <w:sz w:val="24"/>
          <w:szCs w:val="24"/>
        </w:rPr>
        <w:t>‘</w:t>
      </w:r>
      <w:r w:rsidR="0033530C" w:rsidRPr="0033530C">
        <w:rPr>
          <w:rFonts w:ascii="Arial" w:hAnsi="Arial" w:cs="Arial"/>
          <w:i/>
          <w:iCs/>
        </w:rPr>
        <w:t>any</w:t>
      </w:r>
      <w:r w:rsidR="00AB1EF3" w:rsidRPr="0033530C">
        <w:rPr>
          <w:rFonts w:ascii="Arial" w:hAnsi="Arial" w:cs="Arial"/>
          <w:i/>
          <w:iCs/>
        </w:rPr>
        <w:t xml:space="preserve"> obligation </w:t>
      </w:r>
      <w:r w:rsidR="0033530C" w:rsidRPr="0033530C">
        <w:rPr>
          <w:rFonts w:ascii="Arial" w:hAnsi="Arial" w:cs="Arial"/>
          <w:i/>
          <w:iCs/>
        </w:rPr>
        <w:t>(whether</w:t>
      </w:r>
      <w:r w:rsidR="00AB1EF3" w:rsidRPr="0033530C">
        <w:rPr>
          <w:rFonts w:ascii="Arial" w:hAnsi="Arial" w:cs="Arial"/>
          <w:i/>
          <w:iCs/>
        </w:rPr>
        <w:t xml:space="preserve"> </w:t>
      </w:r>
      <w:r w:rsidR="00666DC6" w:rsidRPr="0033530C">
        <w:rPr>
          <w:rFonts w:ascii="Arial" w:hAnsi="Arial" w:cs="Arial"/>
          <w:i/>
          <w:iCs/>
        </w:rPr>
        <w:t xml:space="preserve">incurred as principal guarantor or as surety) for the payment </w:t>
      </w:r>
      <w:r w:rsidR="00E3587E" w:rsidRPr="0033530C">
        <w:rPr>
          <w:rFonts w:ascii="Arial" w:hAnsi="Arial" w:cs="Arial"/>
          <w:i/>
          <w:iCs/>
        </w:rPr>
        <w:t>of money, whether present of future</w:t>
      </w:r>
      <w:r w:rsidR="00E40EFA" w:rsidRPr="0033530C">
        <w:rPr>
          <w:rFonts w:ascii="Arial" w:hAnsi="Arial" w:cs="Arial"/>
          <w:i/>
          <w:iCs/>
        </w:rPr>
        <w:t xml:space="preserve">, actual or </w:t>
      </w:r>
      <w:r w:rsidR="00F158B7" w:rsidRPr="0033530C">
        <w:rPr>
          <w:rFonts w:ascii="Arial" w:hAnsi="Arial" w:cs="Arial"/>
          <w:i/>
          <w:iCs/>
        </w:rPr>
        <w:t>possible’.</w:t>
      </w:r>
      <w:r w:rsidR="00157FC4" w:rsidRPr="0033530C">
        <w:rPr>
          <w:rFonts w:ascii="Arial" w:hAnsi="Arial" w:cs="Arial"/>
          <w:i/>
          <w:iCs/>
        </w:rPr>
        <w:t xml:space="preserve"> </w:t>
      </w:r>
    </w:p>
    <w:p w:rsidR="00207DB0" w:rsidRDefault="008E142F" w:rsidP="003C410C">
      <w:pPr>
        <w:spacing w:before="100" w:beforeAutospacing="1" w:after="360" w:line="360" w:lineRule="auto"/>
        <w:jc w:val="both"/>
        <w:rPr>
          <w:rFonts w:ascii="Arial" w:hAnsi="Arial" w:cs="Arial"/>
          <w:sz w:val="24"/>
          <w:szCs w:val="24"/>
        </w:rPr>
      </w:pPr>
      <w:r>
        <w:rPr>
          <w:rFonts w:ascii="Arial" w:hAnsi="Arial" w:cs="Arial"/>
          <w:sz w:val="24"/>
          <w:szCs w:val="24"/>
        </w:rPr>
        <w:lastRenderedPageBreak/>
        <w:t xml:space="preserve">[20] </w:t>
      </w:r>
      <w:r w:rsidR="00956645" w:rsidRPr="00956645">
        <w:rPr>
          <w:rFonts w:ascii="Arial" w:hAnsi="Arial" w:cs="Arial"/>
          <w:sz w:val="24"/>
          <w:szCs w:val="24"/>
        </w:rPr>
        <w:t xml:space="preserve">In </w:t>
      </w:r>
      <w:r w:rsidR="00956645" w:rsidRPr="00956645">
        <w:rPr>
          <w:rFonts w:ascii="Arial" w:hAnsi="Arial" w:cs="Arial"/>
          <w:i/>
          <w:iCs/>
          <w:sz w:val="24"/>
          <w:szCs w:val="24"/>
        </w:rPr>
        <w:t>Senekal v Trust Bank of Africa Ltd</w:t>
      </w:r>
      <w:r w:rsidR="008B189B">
        <w:rPr>
          <w:rFonts w:ascii="Arial" w:hAnsi="Arial" w:cs="Arial"/>
          <w:sz w:val="24"/>
          <w:szCs w:val="24"/>
        </w:rPr>
        <w:t xml:space="preserve"> 1978 </w:t>
      </w:r>
      <w:r w:rsidR="00BB0550">
        <w:rPr>
          <w:rFonts w:ascii="Arial" w:hAnsi="Arial" w:cs="Arial"/>
          <w:sz w:val="24"/>
          <w:szCs w:val="24"/>
        </w:rPr>
        <w:t>(3) SA 375 (A)</w:t>
      </w:r>
      <w:r w:rsidR="00B2425F">
        <w:rPr>
          <w:rFonts w:ascii="Arial" w:hAnsi="Arial" w:cs="Arial"/>
          <w:sz w:val="24"/>
          <w:szCs w:val="24"/>
        </w:rPr>
        <w:t xml:space="preserve"> </w:t>
      </w:r>
      <w:r w:rsidR="00956645" w:rsidRPr="00956645">
        <w:rPr>
          <w:rFonts w:ascii="Arial" w:hAnsi="Arial" w:cs="Arial"/>
          <w:sz w:val="24"/>
          <w:szCs w:val="24"/>
        </w:rPr>
        <w:t>the Appellate Division, as it was then called, held that the certificate of indebtedness is also prima facie proof of the substance of its contents in any litigation to exact payment.</w:t>
      </w:r>
      <w:r w:rsidR="00735A2C">
        <w:rPr>
          <w:rFonts w:ascii="Arial" w:hAnsi="Arial" w:cs="Arial"/>
          <w:sz w:val="24"/>
          <w:szCs w:val="24"/>
        </w:rPr>
        <w:t xml:space="preserve"> </w:t>
      </w:r>
      <w:r w:rsidR="00D50561">
        <w:rPr>
          <w:rFonts w:ascii="Arial" w:hAnsi="Arial" w:cs="Arial"/>
          <w:sz w:val="24"/>
          <w:szCs w:val="24"/>
        </w:rPr>
        <w:t xml:space="preserve">At </w:t>
      </w:r>
      <w:r w:rsidR="00C45951">
        <w:rPr>
          <w:rFonts w:ascii="Arial" w:hAnsi="Arial" w:cs="Arial"/>
          <w:sz w:val="24"/>
          <w:szCs w:val="24"/>
        </w:rPr>
        <w:t>382</w:t>
      </w:r>
      <w:r w:rsidR="004827D5">
        <w:rPr>
          <w:rFonts w:ascii="Arial" w:hAnsi="Arial" w:cs="Arial"/>
          <w:sz w:val="24"/>
          <w:szCs w:val="24"/>
        </w:rPr>
        <w:t xml:space="preserve">A the court dealt with the evidentiary </w:t>
      </w:r>
      <w:r w:rsidR="00CF39A8">
        <w:rPr>
          <w:rFonts w:ascii="Arial" w:hAnsi="Arial" w:cs="Arial"/>
          <w:sz w:val="24"/>
          <w:szCs w:val="24"/>
        </w:rPr>
        <w:t>value and</w:t>
      </w:r>
      <w:r w:rsidR="00910CFA">
        <w:rPr>
          <w:rFonts w:ascii="Arial" w:hAnsi="Arial" w:cs="Arial"/>
          <w:sz w:val="24"/>
          <w:szCs w:val="24"/>
        </w:rPr>
        <w:t xml:space="preserve"> purpose </w:t>
      </w:r>
      <w:r w:rsidR="004827D5">
        <w:rPr>
          <w:rFonts w:ascii="Arial" w:hAnsi="Arial" w:cs="Arial"/>
          <w:sz w:val="24"/>
          <w:szCs w:val="24"/>
        </w:rPr>
        <w:t>of the certificate of in</w:t>
      </w:r>
      <w:r w:rsidR="00A9036C">
        <w:rPr>
          <w:rFonts w:ascii="Arial" w:hAnsi="Arial" w:cs="Arial"/>
          <w:sz w:val="24"/>
          <w:szCs w:val="24"/>
        </w:rPr>
        <w:t xml:space="preserve">debtedness </w:t>
      </w:r>
      <w:r w:rsidR="000E2522">
        <w:rPr>
          <w:rFonts w:ascii="Arial" w:hAnsi="Arial" w:cs="Arial"/>
          <w:sz w:val="24"/>
          <w:szCs w:val="24"/>
        </w:rPr>
        <w:t>as follows:</w:t>
      </w:r>
    </w:p>
    <w:p w:rsidR="000E2522" w:rsidRDefault="005276F5" w:rsidP="00F158B7">
      <w:pPr>
        <w:spacing w:before="100" w:beforeAutospacing="1" w:after="360" w:line="360" w:lineRule="auto"/>
        <w:ind w:left="720"/>
        <w:jc w:val="both"/>
        <w:rPr>
          <w:rFonts w:ascii="Arial" w:hAnsi="Arial" w:cs="Arial"/>
          <w:i/>
          <w:iCs/>
        </w:rPr>
      </w:pPr>
      <w:r>
        <w:rPr>
          <w:rFonts w:ascii="Arial" w:hAnsi="Arial" w:cs="Arial"/>
          <w:sz w:val="24"/>
          <w:szCs w:val="24"/>
        </w:rPr>
        <w:t>‘</w:t>
      </w:r>
      <w:r w:rsidRPr="00FE523E">
        <w:rPr>
          <w:rFonts w:ascii="Arial" w:hAnsi="Arial" w:cs="Arial"/>
          <w:i/>
          <w:iCs/>
        </w:rPr>
        <w:t>the</w:t>
      </w:r>
      <w:r w:rsidR="00E71A3A" w:rsidRPr="00FE523E">
        <w:rPr>
          <w:rFonts w:ascii="Arial" w:hAnsi="Arial" w:cs="Arial"/>
          <w:i/>
          <w:iCs/>
        </w:rPr>
        <w:t xml:space="preserve"> main purpose of the certificate clause was clearly </w:t>
      </w:r>
      <w:r w:rsidR="00B0346F" w:rsidRPr="00FE523E">
        <w:rPr>
          <w:rFonts w:ascii="Arial" w:hAnsi="Arial" w:cs="Arial"/>
          <w:i/>
          <w:iCs/>
        </w:rPr>
        <w:t xml:space="preserve">to facilitate proof of the amount of principal debtor’s </w:t>
      </w:r>
      <w:r w:rsidR="00F31741" w:rsidRPr="00FE523E">
        <w:rPr>
          <w:rFonts w:ascii="Arial" w:hAnsi="Arial" w:cs="Arial"/>
          <w:i/>
          <w:iCs/>
        </w:rPr>
        <w:t>indebtedness to the bank</w:t>
      </w:r>
      <w:r w:rsidRPr="00FE523E">
        <w:rPr>
          <w:rFonts w:ascii="Arial" w:hAnsi="Arial" w:cs="Arial"/>
          <w:i/>
          <w:iCs/>
        </w:rPr>
        <w:t xml:space="preserve"> at any given time. A similar </w:t>
      </w:r>
      <w:r w:rsidR="00CF39A8" w:rsidRPr="00FE523E">
        <w:rPr>
          <w:rFonts w:ascii="Arial" w:hAnsi="Arial" w:cs="Arial"/>
          <w:i/>
          <w:iCs/>
        </w:rPr>
        <w:t>purpose underlies</w:t>
      </w:r>
      <w:r w:rsidR="00F45D0C" w:rsidRPr="00FE523E">
        <w:rPr>
          <w:rFonts w:ascii="Arial" w:hAnsi="Arial" w:cs="Arial"/>
          <w:i/>
          <w:iCs/>
        </w:rPr>
        <w:t xml:space="preserve"> the provisions of, frequently </w:t>
      </w:r>
      <w:r w:rsidR="00F91209" w:rsidRPr="00FE523E">
        <w:rPr>
          <w:rFonts w:ascii="Arial" w:hAnsi="Arial" w:cs="Arial"/>
          <w:i/>
          <w:iCs/>
        </w:rPr>
        <w:t xml:space="preserve">found in reducible mortgage bonds and in bonds to cover </w:t>
      </w:r>
      <w:r w:rsidR="00D4395D" w:rsidRPr="00FE523E">
        <w:rPr>
          <w:rFonts w:ascii="Arial" w:hAnsi="Arial" w:cs="Arial"/>
          <w:i/>
          <w:iCs/>
        </w:rPr>
        <w:t xml:space="preserve">future advances, that a prescribed certificate </w:t>
      </w:r>
      <w:r w:rsidR="00FE523E" w:rsidRPr="00FE523E">
        <w:rPr>
          <w:rFonts w:ascii="Arial" w:hAnsi="Arial" w:cs="Arial"/>
          <w:i/>
          <w:iCs/>
        </w:rPr>
        <w:t>sha</w:t>
      </w:r>
      <w:r w:rsidR="00FE523E">
        <w:rPr>
          <w:rFonts w:ascii="Arial" w:hAnsi="Arial" w:cs="Arial"/>
          <w:i/>
          <w:iCs/>
        </w:rPr>
        <w:t>ll</w:t>
      </w:r>
      <w:r w:rsidR="00FE523E" w:rsidRPr="00FE523E">
        <w:rPr>
          <w:rFonts w:ascii="Arial" w:hAnsi="Arial" w:cs="Arial"/>
          <w:i/>
          <w:iCs/>
        </w:rPr>
        <w:t xml:space="preserve"> be</w:t>
      </w:r>
      <w:r w:rsidR="00D4395D" w:rsidRPr="00FE523E">
        <w:rPr>
          <w:rFonts w:ascii="Arial" w:hAnsi="Arial" w:cs="Arial"/>
          <w:i/>
          <w:iCs/>
        </w:rPr>
        <w:t xml:space="preserve"> sufficient </w:t>
      </w:r>
      <w:r w:rsidR="00B0734D" w:rsidRPr="00FE523E">
        <w:rPr>
          <w:rFonts w:ascii="Arial" w:hAnsi="Arial" w:cs="Arial"/>
          <w:i/>
          <w:iCs/>
        </w:rPr>
        <w:t xml:space="preserve">or prima facie proof of the amount due thereunder. In such </w:t>
      </w:r>
      <w:r w:rsidR="00DC043A" w:rsidRPr="00FE523E">
        <w:rPr>
          <w:rFonts w:ascii="Arial" w:hAnsi="Arial" w:cs="Arial"/>
          <w:i/>
          <w:iCs/>
        </w:rPr>
        <w:t xml:space="preserve">cases the terms of the provision may show clearly that certificate </w:t>
      </w:r>
      <w:r w:rsidR="00BD10AD" w:rsidRPr="00FE523E">
        <w:rPr>
          <w:rFonts w:ascii="Arial" w:hAnsi="Arial" w:cs="Arial"/>
          <w:i/>
          <w:iCs/>
        </w:rPr>
        <w:t xml:space="preserve">is to have evidential value only for the purpose </w:t>
      </w:r>
      <w:r w:rsidR="006B4F7A" w:rsidRPr="00FE523E">
        <w:rPr>
          <w:rFonts w:ascii="Arial" w:hAnsi="Arial" w:cs="Arial"/>
          <w:i/>
          <w:iCs/>
        </w:rPr>
        <w:t xml:space="preserve">of obtaining provisional sentence </w:t>
      </w:r>
      <w:r w:rsidR="00065CA9" w:rsidRPr="00FE523E">
        <w:rPr>
          <w:rFonts w:ascii="Arial" w:hAnsi="Arial" w:cs="Arial"/>
          <w:i/>
          <w:iCs/>
        </w:rPr>
        <w:t xml:space="preserve">(see for example Standard Building Society </w:t>
      </w:r>
      <w:r w:rsidR="00637E83" w:rsidRPr="00FE523E">
        <w:rPr>
          <w:rFonts w:ascii="Arial" w:hAnsi="Arial" w:cs="Arial"/>
          <w:i/>
          <w:iCs/>
        </w:rPr>
        <w:t>v Smits 1934</w:t>
      </w:r>
      <w:r w:rsidR="00CF39A8" w:rsidRPr="00FE523E">
        <w:rPr>
          <w:rFonts w:ascii="Arial" w:hAnsi="Arial" w:cs="Arial"/>
          <w:i/>
          <w:iCs/>
        </w:rPr>
        <w:t xml:space="preserve"> WLD </w:t>
      </w:r>
      <w:r w:rsidR="00637E83" w:rsidRPr="00FE523E">
        <w:rPr>
          <w:rFonts w:ascii="Arial" w:hAnsi="Arial" w:cs="Arial"/>
          <w:i/>
          <w:iCs/>
        </w:rPr>
        <w:t xml:space="preserve">4 at 6), but </w:t>
      </w:r>
      <w:r w:rsidR="008F4F2F" w:rsidRPr="00FE523E">
        <w:rPr>
          <w:rFonts w:ascii="Arial" w:hAnsi="Arial" w:cs="Arial"/>
          <w:i/>
          <w:iCs/>
        </w:rPr>
        <w:t xml:space="preserve">the certificate clause now in question does not expressly </w:t>
      </w:r>
      <w:r w:rsidR="00DC74A8" w:rsidRPr="00FE523E">
        <w:rPr>
          <w:rFonts w:ascii="Arial" w:hAnsi="Arial" w:cs="Arial"/>
          <w:i/>
          <w:iCs/>
        </w:rPr>
        <w:t xml:space="preserve">make that limitation, nor in my view does the language </w:t>
      </w:r>
      <w:r w:rsidR="00CF39A8" w:rsidRPr="00FE523E">
        <w:rPr>
          <w:rFonts w:ascii="Arial" w:hAnsi="Arial" w:cs="Arial"/>
          <w:i/>
          <w:iCs/>
        </w:rPr>
        <w:t>used justify such an interpretation</w:t>
      </w:r>
      <w:r w:rsidR="00FE523E" w:rsidRPr="00FE523E">
        <w:rPr>
          <w:rFonts w:ascii="Arial" w:hAnsi="Arial" w:cs="Arial"/>
          <w:i/>
          <w:iCs/>
        </w:rPr>
        <w:t>’.</w:t>
      </w:r>
    </w:p>
    <w:p w:rsidR="00D50561" w:rsidRDefault="00C06802" w:rsidP="003C410C">
      <w:pPr>
        <w:spacing w:before="100" w:beforeAutospacing="1" w:after="360" w:line="360" w:lineRule="auto"/>
        <w:jc w:val="both"/>
        <w:rPr>
          <w:rFonts w:ascii="Arial" w:hAnsi="Arial" w:cs="Arial"/>
          <w:sz w:val="24"/>
          <w:szCs w:val="24"/>
        </w:rPr>
      </w:pPr>
      <w:r w:rsidRPr="00C06802">
        <w:rPr>
          <w:rFonts w:ascii="Arial" w:hAnsi="Arial" w:cs="Arial"/>
          <w:sz w:val="24"/>
          <w:szCs w:val="24"/>
        </w:rPr>
        <w:t>[</w:t>
      </w:r>
      <w:r w:rsidR="00363211">
        <w:rPr>
          <w:rFonts w:ascii="Arial" w:hAnsi="Arial" w:cs="Arial"/>
          <w:sz w:val="24"/>
          <w:szCs w:val="24"/>
        </w:rPr>
        <w:t>21</w:t>
      </w:r>
      <w:r w:rsidRPr="00C06802">
        <w:rPr>
          <w:rFonts w:ascii="Arial" w:hAnsi="Arial" w:cs="Arial"/>
          <w:sz w:val="24"/>
          <w:szCs w:val="24"/>
        </w:rPr>
        <w:t xml:space="preserve">] </w:t>
      </w:r>
      <w:r w:rsidR="00AF0962">
        <w:rPr>
          <w:rFonts w:ascii="Arial" w:hAnsi="Arial" w:cs="Arial"/>
          <w:sz w:val="24"/>
          <w:szCs w:val="24"/>
        </w:rPr>
        <w:t xml:space="preserve">The certificate in this case </w:t>
      </w:r>
      <w:r w:rsidR="002D4BCE">
        <w:rPr>
          <w:rFonts w:ascii="Arial" w:hAnsi="Arial" w:cs="Arial"/>
          <w:sz w:val="24"/>
          <w:szCs w:val="24"/>
        </w:rPr>
        <w:t xml:space="preserve">and as set out in the loan agreement serves two </w:t>
      </w:r>
      <w:r w:rsidR="003D3EDF">
        <w:rPr>
          <w:rFonts w:ascii="Arial" w:hAnsi="Arial" w:cs="Arial"/>
          <w:sz w:val="24"/>
          <w:szCs w:val="24"/>
        </w:rPr>
        <w:t>purposes</w:t>
      </w:r>
      <w:r w:rsidR="002D4BCE">
        <w:rPr>
          <w:rFonts w:ascii="Arial" w:hAnsi="Arial" w:cs="Arial"/>
          <w:sz w:val="24"/>
          <w:szCs w:val="24"/>
        </w:rPr>
        <w:t xml:space="preserve"> </w:t>
      </w:r>
      <w:r w:rsidR="00F85AC8">
        <w:rPr>
          <w:rFonts w:ascii="Arial" w:hAnsi="Arial" w:cs="Arial"/>
          <w:sz w:val="24"/>
          <w:szCs w:val="24"/>
        </w:rPr>
        <w:t>being to serve a</w:t>
      </w:r>
      <w:r w:rsidR="00AB5D36">
        <w:rPr>
          <w:rFonts w:ascii="Arial" w:hAnsi="Arial" w:cs="Arial"/>
          <w:sz w:val="24"/>
          <w:szCs w:val="24"/>
        </w:rPr>
        <w:t>s</w:t>
      </w:r>
      <w:r w:rsidR="00F85AC8">
        <w:rPr>
          <w:rFonts w:ascii="Arial" w:hAnsi="Arial" w:cs="Arial"/>
          <w:sz w:val="24"/>
          <w:szCs w:val="24"/>
        </w:rPr>
        <w:t xml:space="preserve"> prima facie proof of in</w:t>
      </w:r>
      <w:r w:rsidR="00867E37">
        <w:rPr>
          <w:rFonts w:ascii="Arial" w:hAnsi="Arial" w:cs="Arial"/>
          <w:sz w:val="24"/>
          <w:szCs w:val="24"/>
        </w:rPr>
        <w:t xml:space="preserve">debtedness and in case the applicant </w:t>
      </w:r>
      <w:r w:rsidR="00593EE2">
        <w:rPr>
          <w:rFonts w:ascii="Arial" w:hAnsi="Arial" w:cs="Arial"/>
          <w:sz w:val="24"/>
          <w:szCs w:val="24"/>
        </w:rPr>
        <w:t xml:space="preserve">elected to obtain </w:t>
      </w:r>
      <w:r w:rsidR="00E641EB">
        <w:rPr>
          <w:rFonts w:ascii="Arial" w:hAnsi="Arial" w:cs="Arial"/>
          <w:sz w:val="24"/>
          <w:szCs w:val="24"/>
        </w:rPr>
        <w:t xml:space="preserve">provisional sentence the certificate </w:t>
      </w:r>
      <w:r w:rsidR="00A26BF0">
        <w:rPr>
          <w:rFonts w:ascii="Arial" w:hAnsi="Arial" w:cs="Arial"/>
          <w:sz w:val="24"/>
          <w:szCs w:val="24"/>
        </w:rPr>
        <w:t xml:space="preserve">would </w:t>
      </w:r>
      <w:r w:rsidR="00E641EB">
        <w:rPr>
          <w:rFonts w:ascii="Arial" w:hAnsi="Arial" w:cs="Arial"/>
          <w:sz w:val="24"/>
          <w:szCs w:val="24"/>
        </w:rPr>
        <w:t xml:space="preserve">serve </w:t>
      </w:r>
      <w:r w:rsidR="0045546D">
        <w:rPr>
          <w:rFonts w:ascii="Arial" w:hAnsi="Arial" w:cs="Arial"/>
          <w:sz w:val="24"/>
          <w:szCs w:val="24"/>
        </w:rPr>
        <w:t xml:space="preserve">as a liquid document. This </w:t>
      </w:r>
      <w:r w:rsidR="00A26BF0">
        <w:rPr>
          <w:rFonts w:ascii="Arial" w:hAnsi="Arial" w:cs="Arial"/>
          <w:sz w:val="24"/>
          <w:szCs w:val="24"/>
        </w:rPr>
        <w:t xml:space="preserve">is </w:t>
      </w:r>
      <w:r w:rsidR="0045546D">
        <w:rPr>
          <w:rFonts w:ascii="Arial" w:hAnsi="Arial" w:cs="Arial"/>
          <w:sz w:val="24"/>
          <w:szCs w:val="24"/>
        </w:rPr>
        <w:t xml:space="preserve">clear from </w:t>
      </w:r>
      <w:r w:rsidR="008D2A58">
        <w:rPr>
          <w:rFonts w:ascii="Arial" w:hAnsi="Arial" w:cs="Arial"/>
          <w:sz w:val="24"/>
          <w:szCs w:val="24"/>
        </w:rPr>
        <w:t xml:space="preserve">terms of clause 12 of the loan agreement under the heading </w:t>
      </w:r>
      <w:r w:rsidR="00EB7B43">
        <w:rPr>
          <w:rFonts w:ascii="Arial" w:hAnsi="Arial" w:cs="Arial"/>
          <w:sz w:val="24"/>
          <w:szCs w:val="24"/>
        </w:rPr>
        <w:t>‘Certificate of Inde</w:t>
      </w:r>
      <w:r w:rsidR="00337E04">
        <w:rPr>
          <w:rFonts w:ascii="Arial" w:hAnsi="Arial" w:cs="Arial"/>
          <w:sz w:val="24"/>
          <w:szCs w:val="24"/>
        </w:rPr>
        <w:t>btedness</w:t>
      </w:r>
      <w:r w:rsidR="00A26BF0">
        <w:rPr>
          <w:rFonts w:ascii="Arial" w:hAnsi="Arial" w:cs="Arial"/>
          <w:sz w:val="24"/>
          <w:szCs w:val="24"/>
        </w:rPr>
        <w:t>’</w:t>
      </w:r>
      <w:r w:rsidR="0044591F">
        <w:rPr>
          <w:rFonts w:ascii="Arial" w:hAnsi="Arial" w:cs="Arial"/>
          <w:sz w:val="24"/>
          <w:szCs w:val="24"/>
        </w:rPr>
        <w:t xml:space="preserve"> the following is agreed between the parties:</w:t>
      </w:r>
    </w:p>
    <w:p w:rsidR="0044591F" w:rsidRPr="00CC3BBB" w:rsidRDefault="0044591F" w:rsidP="00CC3BBB">
      <w:pPr>
        <w:spacing w:before="100" w:beforeAutospacing="1" w:after="360" w:line="360" w:lineRule="auto"/>
        <w:ind w:left="720"/>
        <w:jc w:val="both"/>
        <w:rPr>
          <w:rFonts w:ascii="Arial" w:hAnsi="Arial" w:cs="Arial"/>
          <w:i/>
          <w:iCs/>
        </w:rPr>
      </w:pPr>
      <w:r w:rsidRPr="00CC3BBB">
        <w:rPr>
          <w:rFonts w:ascii="Arial" w:hAnsi="Arial" w:cs="Arial"/>
          <w:i/>
          <w:iCs/>
        </w:rPr>
        <w:t>12.1</w:t>
      </w:r>
      <w:r w:rsidR="00E74BC2" w:rsidRPr="00CC3BBB">
        <w:rPr>
          <w:rFonts w:ascii="Arial" w:hAnsi="Arial" w:cs="Arial"/>
          <w:i/>
          <w:iCs/>
        </w:rPr>
        <w:t xml:space="preserve"> ‘The amount of Borrower’s indebtedness </w:t>
      </w:r>
      <w:r w:rsidR="004B1CA7" w:rsidRPr="00CC3BBB">
        <w:rPr>
          <w:rFonts w:ascii="Arial" w:hAnsi="Arial" w:cs="Arial"/>
          <w:i/>
          <w:iCs/>
        </w:rPr>
        <w:t>t</w:t>
      </w:r>
      <w:r w:rsidR="003D3EDF">
        <w:rPr>
          <w:rFonts w:ascii="Arial" w:hAnsi="Arial" w:cs="Arial"/>
          <w:i/>
          <w:iCs/>
        </w:rPr>
        <w:t>o</w:t>
      </w:r>
      <w:r w:rsidR="004B1CA7" w:rsidRPr="00CC3BBB">
        <w:rPr>
          <w:rFonts w:ascii="Arial" w:hAnsi="Arial" w:cs="Arial"/>
          <w:i/>
          <w:iCs/>
        </w:rPr>
        <w:t xml:space="preserve"> TUHF in terms of Agreement </w:t>
      </w:r>
      <w:r w:rsidR="00D90B3D" w:rsidRPr="00CC3BBB">
        <w:rPr>
          <w:rFonts w:ascii="Arial" w:hAnsi="Arial" w:cs="Arial"/>
          <w:i/>
          <w:iCs/>
        </w:rPr>
        <w:t xml:space="preserve">at any time shall be proved by a certificate signed </w:t>
      </w:r>
      <w:r w:rsidR="00C402EE" w:rsidRPr="00CC3BBB">
        <w:rPr>
          <w:rFonts w:ascii="Arial" w:hAnsi="Arial" w:cs="Arial"/>
          <w:i/>
          <w:iCs/>
        </w:rPr>
        <w:t>by any one TUHF’s directors</w:t>
      </w:r>
      <w:r w:rsidR="00D5043A" w:rsidRPr="00CC3BBB">
        <w:rPr>
          <w:rFonts w:ascii="Arial" w:hAnsi="Arial" w:cs="Arial"/>
          <w:i/>
          <w:iCs/>
        </w:rPr>
        <w:t>; whose appointment</w:t>
      </w:r>
      <w:r w:rsidR="00587E1B" w:rsidRPr="00CC3BBB">
        <w:rPr>
          <w:rFonts w:ascii="Arial" w:hAnsi="Arial" w:cs="Arial"/>
          <w:i/>
          <w:iCs/>
        </w:rPr>
        <w:t>, qualification</w:t>
      </w:r>
      <w:r w:rsidR="00BA5818" w:rsidRPr="00CC3BBB">
        <w:rPr>
          <w:rFonts w:ascii="Arial" w:hAnsi="Arial" w:cs="Arial"/>
          <w:i/>
          <w:iCs/>
        </w:rPr>
        <w:t xml:space="preserve"> need not be proved.</w:t>
      </w:r>
    </w:p>
    <w:p w:rsidR="00BA5818" w:rsidRPr="00CC3BBB" w:rsidRDefault="00BA5818" w:rsidP="00CC3BBB">
      <w:pPr>
        <w:spacing w:before="100" w:beforeAutospacing="1" w:after="360" w:line="360" w:lineRule="auto"/>
        <w:ind w:firstLine="720"/>
        <w:jc w:val="both"/>
        <w:rPr>
          <w:rFonts w:ascii="Arial" w:hAnsi="Arial" w:cs="Arial"/>
          <w:i/>
          <w:iCs/>
        </w:rPr>
      </w:pPr>
      <w:r w:rsidRPr="00CC3BBB">
        <w:rPr>
          <w:rFonts w:ascii="Arial" w:hAnsi="Arial" w:cs="Arial"/>
          <w:i/>
          <w:iCs/>
        </w:rPr>
        <w:t xml:space="preserve">12.2 </w:t>
      </w:r>
      <w:r w:rsidR="00EB5133" w:rsidRPr="00CC3BBB">
        <w:rPr>
          <w:rFonts w:ascii="Arial" w:hAnsi="Arial" w:cs="Arial"/>
          <w:i/>
          <w:iCs/>
        </w:rPr>
        <w:t>A certificate in terms of 12.1 shall</w:t>
      </w:r>
      <w:r w:rsidR="00203602" w:rsidRPr="00CC3BBB">
        <w:rPr>
          <w:rFonts w:ascii="Arial" w:hAnsi="Arial" w:cs="Arial"/>
          <w:i/>
          <w:iCs/>
        </w:rPr>
        <w:t xml:space="preserve"> -</w:t>
      </w:r>
      <w:r w:rsidR="00EB5133" w:rsidRPr="00CC3BBB">
        <w:rPr>
          <w:rFonts w:ascii="Arial" w:hAnsi="Arial" w:cs="Arial"/>
          <w:i/>
          <w:iCs/>
        </w:rPr>
        <w:t xml:space="preserve"> </w:t>
      </w:r>
    </w:p>
    <w:p w:rsidR="00EB5133" w:rsidRPr="00CC3BBB" w:rsidRDefault="00203602" w:rsidP="00CC3BBB">
      <w:pPr>
        <w:spacing w:before="100" w:beforeAutospacing="1" w:after="360" w:line="360" w:lineRule="auto"/>
        <w:ind w:left="720"/>
        <w:jc w:val="both"/>
        <w:rPr>
          <w:rFonts w:ascii="Arial" w:hAnsi="Arial" w:cs="Arial"/>
          <w:i/>
          <w:iCs/>
        </w:rPr>
      </w:pPr>
      <w:r w:rsidRPr="00CC3BBB">
        <w:rPr>
          <w:rFonts w:ascii="Arial" w:hAnsi="Arial" w:cs="Arial"/>
          <w:i/>
          <w:iCs/>
        </w:rPr>
        <w:t>12.2.1 bi</w:t>
      </w:r>
      <w:r w:rsidR="00ED25F1" w:rsidRPr="00CC3BBB">
        <w:rPr>
          <w:rFonts w:ascii="Arial" w:hAnsi="Arial" w:cs="Arial"/>
          <w:i/>
          <w:iCs/>
        </w:rPr>
        <w:t>nding on the Borrower as prima facie proof of the Borrower’s in</w:t>
      </w:r>
      <w:r w:rsidR="0032206E" w:rsidRPr="00CC3BBB">
        <w:rPr>
          <w:rFonts w:ascii="Arial" w:hAnsi="Arial" w:cs="Arial"/>
          <w:i/>
          <w:iCs/>
        </w:rPr>
        <w:t>debtedness hereunder.</w:t>
      </w:r>
    </w:p>
    <w:p w:rsidR="00941147" w:rsidRPr="00CC3BBB" w:rsidRDefault="0032206E" w:rsidP="00AF0962">
      <w:pPr>
        <w:spacing w:before="100" w:beforeAutospacing="1" w:after="360" w:line="360" w:lineRule="auto"/>
        <w:ind w:left="720"/>
        <w:jc w:val="both"/>
        <w:rPr>
          <w:rFonts w:ascii="Arial" w:hAnsi="Arial" w:cs="Arial"/>
          <w:i/>
          <w:iCs/>
        </w:rPr>
      </w:pPr>
      <w:r w:rsidRPr="00CC3BBB">
        <w:rPr>
          <w:rFonts w:ascii="Arial" w:hAnsi="Arial" w:cs="Arial"/>
          <w:i/>
          <w:iCs/>
        </w:rPr>
        <w:t xml:space="preserve">12.2.2 </w:t>
      </w:r>
      <w:r w:rsidR="00646391" w:rsidRPr="00CC3BBB">
        <w:rPr>
          <w:rFonts w:ascii="Arial" w:hAnsi="Arial" w:cs="Arial"/>
          <w:i/>
          <w:iCs/>
        </w:rPr>
        <w:t>valid as liquid document against the Borrower</w:t>
      </w:r>
      <w:r w:rsidR="00771A54" w:rsidRPr="00CC3BBB">
        <w:rPr>
          <w:rFonts w:ascii="Arial" w:hAnsi="Arial" w:cs="Arial"/>
          <w:i/>
          <w:iCs/>
        </w:rPr>
        <w:t xml:space="preserve"> in any competent court for the purpose of obtaining </w:t>
      </w:r>
      <w:r w:rsidR="00CC3BBB" w:rsidRPr="00CC3BBB">
        <w:rPr>
          <w:rFonts w:ascii="Arial" w:hAnsi="Arial" w:cs="Arial"/>
          <w:i/>
          <w:iCs/>
        </w:rPr>
        <w:t>provisional sentence against the</w:t>
      </w:r>
      <w:r w:rsidR="00CC3BBB">
        <w:rPr>
          <w:rFonts w:ascii="Arial" w:hAnsi="Arial" w:cs="Arial"/>
          <w:i/>
          <w:iCs/>
        </w:rPr>
        <w:t xml:space="preserve"> </w:t>
      </w:r>
      <w:r w:rsidR="00CC3BBB" w:rsidRPr="00CC3BBB">
        <w:rPr>
          <w:rFonts w:ascii="Arial" w:hAnsi="Arial" w:cs="Arial"/>
          <w:i/>
          <w:iCs/>
        </w:rPr>
        <w:t>Borrower th</w:t>
      </w:r>
      <w:r w:rsidR="00CC3BBB">
        <w:rPr>
          <w:rFonts w:ascii="Arial" w:hAnsi="Arial" w:cs="Arial"/>
          <w:i/>
          <w:iCs/>
        </w:rPr>
        <w:t>e</w:t>
      </w:r>
      <w:r w:rsidR="00CC3BBB" w:rsidRPr="00CC3BBB">
        <w:rPr>
          <w:rFonts w:ascii="Arial" w:hAnsi="Arial" w:cs="Arial"/>
          <w:i/>
          <w:iCs/>
        </w:rPr>
        <w:t>reon.</w:t>
      </w:r>
    </w:p>
    <w:p w:rsidR="00F37B3D" w:rsidRPr="00F37B3D" w:rsidRDefault="00F37B3D" w:rsidP="003C410C">
      <w:pPr>
        <w:spacing w:before="100" w:beforeAutospacing="1" w:after="360" w:line="360" w:lineRule="auto"/>
        <w:jc w:val="both"/>
        <w:rPr>
          <w:rFonts w:ascii="Arial" w:hAnsi="Arial" w:cs="Arial"/>
          <w:b/>
          <w:bCs/>
          <w:sz w:val="24"/>
          <w:szCs w:val="24"/>
        </w:rPr>
      </w:pPr>
      <w:r w:rsidRPr="00F37B3D">
        <w:rPr>
          <w:rFonts w:ascii="Arial" w:hAnsi="Arial" w:cs="Arial"/>
          <w:b/>
          <w:bCs/>
          <w:sz w:val="24"/>
          <w:szCs w:val="24"/>
        </w:rPr>
        <w:t xml:space="preserve">Dispute of facts </w:t>
      </w:r>
    </w:p>
    <w:p w:rsidR="00044249" w:rsidRDefault="0067082F" w:rsidP="00044249">
      <w:pPr>
        <w:spacing w:before="100" w:beforeAutospacing="1" w:after="360" w:line="360" w:lineRule="auto"/>
        <w:jc w:val="both"/>
        <w:rPr>
          <w:rFonts w:ascii="Arial" w:hAnsi="Arial" w:cs="Arial"/>
          <w:sz w:val="24"/>
          <w:szCs w:val="24"/>
        </w:rPr>
      </w:pPr>
      <w:r w:rsidRPr="0067082F">
        <w:rPr>
          <w:rFonts w:ascii="Arial" w:hAnsi="Arial" w:cs="Arial"/>
          <w:sz w:val="24"/>
          <w:szCs w:val="24"/>
        </w:rPr>
        <w:lastRenderedPageBreak/>
        <w:t>[</w:t>
      </w:r>
      <w:r w:rsidR="00363211">
        <w:rPr>
          <w:rFonts w:ascii="Arial" w:hAnsi="Arial" w:cs="Arial"/>
          <w:sz w:val="24"/>
          <w:szCs w:val="24"/>
        </w:rPr>
        <w:t>22</w:t>
      </w:r>
      <w:r w:rsidRPr="0067082F">
        <w:rPr>
          <w:rFonts w:ascii="Arial" w:hAnsi="Arial" w:cs="Arial"/>
          <w:sz w:val="24"/>
          <w:szCs w:val="24"/>
        </w:rPr>
        <w:t>] The</w:t>
      </w:r>
      <w:r w:rsidR="00EF1C80">
        <w:rPr>
          <w:rFonts w:ascii="Arial" w:hAnsi="Arial" w:cs="Arial"/>
          <w:sz w:val="24"/>
          <w:szCs w:val="24"/>
        </w:rPr>
        <w:t xml:space="preserve"> respondents have persisted with this point </w:t>
      </w:r>
      <w:r w:rsidR="00355CCA">
        <w:rPr>
          <w:rFonts w:ascii="Arial" w:hAnsi="Arial" w:cs="Arial"/>
          <w:sz w:val="24"/>
          <w:szCs w:val="24"/>
        </w:rPr>
        <w:t xml:space="preserve">that there was a </w:t>
      </w:r>
      <w:r w:rsidR="002445CF">
        <w:rPr>
          <w:rFonts w:ascii="Arial" w:hAnsi="Arial" w:cs="Arial"/>
          <w:sz w:val="24"/>
          <w:szCs w:val="24"/>
        </w:rPr>
        <w:t xml:space="preserve">dispute of fact which the court should have recognised and refer the matter for oral evidence. </w:t>
      </w:r>
      <w:r w:rsidR="0027766C">
        <w:rPr>
          <w:rFonts w:ascii="Arial" w:hAnsi="Arial" w:cs="Arial"/>
          <w:sz w:val="24"/>
          <w:szCs w:val="24"/>
        </w:rPr>
        <w:t xml:space="preserve">The </w:t>
      </w:r>
      <w:r w:rsidR="00CE6450">
        <w:rPr>
          <w:rFonts w:ascii="Arial" w:hAnsi="Arial" w:cs="Arial"/>
          <w:sz w:val="24"/>
          <w:szCs w:val="24"/>
        </w:rPr>
        <w:t>explanation of what constitute dispute of fact was stated as follows in the</w:t>
      </w:r>
      <w:r w:rsidR="001279D8">
        <w:rPr>
          <w:rFonts w:ascii="Arial" w:hAnsi="Arial" w:cs="Arial"/>
          <w:sz w:val="24"/>
          <w:szCs w:val="24"/>
        </w:rPr>
        <w:t xml:space="preserve"> </w:t>
      </w:r>
      <w:r w:rsidR="00CE6450" w:rsidRPr="00044249">
        <w:rPr>
          <w:rFonts w:ascii="Arial" w:hAnsi="Arial" w:cs="Arial"/>
          <w:i/>
          <w:iCs/>
          <w:sz w:val="24"/>
          <w:szCs w:val="24"/>
        </w:rPr>
        <w:t xml:space="preserve">Wightman t/a JW Construction v </w:t>
      </w:r>
      <w:proofErr w:type="spellStart"/>
      <w:r w:rsidR="00CE6450" w:rsidRPr="00044249">
        <w:rPr>
          <w:rFonts w:ascii="Arial" w:hAnsi="Arial" w:cs="Arial"/>
          <w:i/>
          <w:iCs/>
          <w:sz w:val="24"/>
          <w:szCs w:val="24"/>
        </w:rPr>
        <w:t>Headfour</w:t>
      </w:r>
      <w:proofErr w:type="spellEnd"/>
      <w:r w:rsidR="00CE6450" w:rsidRPr="00044249">
        <w:rPr>
          <w:rFonts w:ascii="Arial" w:hAnsi="Arial" w:cs="Arial"/>
          <w:i/>
          <w:iCs/>
          <w:sz w:val="24"/>
          <w:szCs w:val="24"/>
        </w:rPr>
        <w:t xml:space="preserve"> (Pty) Ltd</w:t>
      </w:r>
      <w:r w:rsidR="004C316D">
        <w:rPr>
          <w:rFonts w:ascii="Arial" w:hAnsi="Arial" w:cs="Arial"/>
          <w:sz w:val="24"/>
          <w:szCs w:val="24"/>
        </w:rPr>
        <w:t xml:space="preserve"> 2008 (3) SA 371 (SCA) para </w:t>
      </w:r>
      <w:r w:rsidR="001279D8">
        <w:rPr>
          <w:rFonts w:ascii="Arial" w:hAnsi="Arial" w:cs="Arial"/>
          <w:sz w:val="24"/>
          <w:szCs w:val="24"/>
        </w:rPr>
        <w:t>[</w:t>
      </w:r>
      <w:r w:rsidR="006936FC">
        <w:rPr>
          <w:rFonts w:ascii="Arial" w:hAnsi="Arial" w:cs="Arial"/>
          <w:sz w:val="24"/>
          <w:szCs w:val="24"/>
        </w:rPr>
        <w:t>13</w:t>
      </w:r>
      <w:r w:rsidR="001279D8">
        <w:rPr>
          <w:rFonts w:ascii="Arial" w:hAnsi="Arial" w:cs="Arial"/>
          <w:sz w:val="24"/>
          <w:szCs w:val="24"/>
        </w:rPr>
        <w:t>]</w:t>
      </w:r>
      <w:r w:rsidR="006936FC">
        <w:rPr>
          <w:rFonts w:ascii="Arial" w:hAnsi="Arial" w:cs="Arial"/>
          <w:sz w:val="24"/>
          <w:szCs w:val="24"/>
        </w:rPr>
        <w:t xml:space="preserve"> </w:t>
      </w:r>
      <w:r w:rsidR="00CE6450" w:rsidRPr="00CE6450">
        <w:rPr>
          <w:rFonts w:ascii="Arial" w:hAnsi="Arial" w:cs="Arial"/>
          <w:sz w:val="24"/>
          <w:szCs w:val="24"/>
        </w:rPr>
        <w:t>that:</w:t>
      </w:r>
    </w:p>
    <w:p w:rsidR="009A1D58" w:rsidRDefault="004C316D" w:rsidP="001279D8">
      <w:pPr>
        <w:spacing w:before="100" w:beforeAutospacing="1" w:after="360" w:line="360" w:lineRule="auto"/>
        <w:ind w:left="720"/>
        <w:jc w:val="both"/>
        <w:rPr>
          <w:rFonts w:ascii="Arial" w:hAnsi="Arial" w:cs="Arial"/>
          <w:i/>
          <w:iCs/>
        </w:rPr>
      </w:pPr>
      <w:r w:rsidRPr="0027766C">
        <w:rPr>
          <w:rFonts w:ascii="Arial" w:hAnsi="Arial" w:cs="Arial"/>
          <w:i/>
          <w:iCs/>
        </w:rPr>
        <w:t>‘</w:t>
      </w:r>
      <w:r w:rsidR="00CE6450" w:rsidRPr="0027766C">
        <w:rPr>
          <w:rFonts w:ascii="Arial" w:hAnsi="Arial" w:cs="Arial"/>
          <w:i/>
          <w:iCs/>
        </w:rPr>
        <w:t>A real, genuine, and bona fide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I say 'generally' because factual</w:t>
      </w:r>
      <w:r w:rsidR="009F0DB8" w:rsidRPr="0027766C">
        <w:rPr>
          <w:rFonts w:ascii="Arial" w:hAnsi="Arial" w:cs="Arial"/>
          <w:i/>
          <w:iCs/>
        </w:rPr>
        <w:t xml:space="preserve"> </w:t>
      </w:r>
      <w:r w:rsidR="00CE6450" w:rsidRPr="0027766C">
        <w:rPr>
          <w:rFonts w:ascii="Arial" w:hAnsi="Arial" w:cs="Arial"/>
          <w:i/>
          <w:iCs/>
        </w:rPr>
        <w:t>averments seldom stand apart from a broader matrix of circumstances all of which needs to be borne in mind when arriving at a decision. A litigant may not necessarily recognise or understand the nuances of a bare or general denial as against a real attempt to grapple with all relevant factual allegations made by the other party. But when he signs the answering affidavit, he commits himself to its contents, inadequate as they may be, and will only in exceptional circumstances be permitted to disavow them. There is thus a serious duty imposed upon a legal adviser who settles an answering affidavit to ascertain and engage with facts which his client disputes and to reflect such disputes fully and accurately in the answering affidavit. If that does not happen it should come as no surprise that the court takes a robust view of the matter’.</w:t>
      </w:r>
    </w:p>
    <w:p w:rsidR="009F2F73" w:rsidRDefault="009F2F73" w:rsidP="00044249">
      <w:pPr>
        <w:spacing w:before="100" w:beforeAutospacing="1" w:after="360" w:line="360" w:lineRule="auto"/>
        <w:jc w:val="both"/>
        <w:rPr>
          <w:rFonts w:ascii="Arial" w:hAnsi="Arial" w:cs="Arial"/>
          <w:sz w:val="24"/>
          <w:szCs w:val="24"/>
        </w:rPr>
      </w:pPr>
      <w:r w:rsidRPr="009F2F73">
        <w:rPr>
          <w:rFonts w:ascii="Arial" w:hAnsi="Arial" w:cs="Arial"/>
          <w:sz w:val="24"/>
          <w:szCs w:val="24"/>
        </w:rPr>
        <w:t>[</w:t>
      </w:r>
      <w:r w:rsidR="00363211">
        <w:rPr>
          <w:rFonts w:ascii="Arial" w:hAnsi="Arial" w:cs="Arial"/>
          <w:sz w:val="24"/>
          <w:szCs w:val="24"/>
        </w:rPr>
        <w:t>23</w:t>
      </w:r>
      <w:r w:rsidRPr="009F2F73">
        <w:rPr>
          <w:rFonts w:ascii="Arial" w:hAnsi="Arial" w:cs="Arial"/>
          <w:sz w:val="24"/>
          <w:szCs w:val="24"/>
        </w:rPr>
        <w:t xml:space="preserve">] </w:t>
      </w:r>
      <w:r w:rsidR="004F748F">
        <w:rPr>
          <w:rFonts w:ascii="Arial" w:hAnsi="Arial" w:cs="Arial"/>
          <w:sz w:val="24"/>
          <w:szCs w:val="24"/>
        </w:rPr>
        <w:t xml:space="preserve">The issue was also dealt with in the </w:t>
      </w:r>
      <w:r w:rsidR="00B41989">
        <w:rPr>
          <w:rFonts w:ascii="Arial" w:hAnsi="Arial" w:cs="Arial"/>
          <w:sz w:val="24"/>
          <w:szCs w:val="24"/>
        </w:rPr>
        <w:t xml:space="preserve">case of </w:t>
      </w:r>
      <w:proofErr w:type="spellStart"/>
      <w:r w:rsidR="00543E0D" w:rsidRPr="00780CD4">
        <w:rPr>
          <w:rFonts w:ascii="Arial" w:hAnsi="Arial" w:cs="Arial"/>
          <w:i/>
          <w:iCs/>
          <w:sz w:val="24"/>
          <w:szCs w:val="24"/>
        </w:rPr>
        <w:t>Motala</w:t>
      </w:r>
      <w:proofErr w:type="spellEnd"/>
      <w:r w:rsidR="00543E0D" w:rsidRPr="00780CD4">
        <w:rPr>
          <w:rFonts w:ascii="Arial" w:hAnsi="Arial" w:cs="Arial"/>
          <w:i/>
          <w:iCs/>
          <w:sz w:val="24"/>
          <w:szCs w:val="24"/>
        </w:rPr>
        <w:t xml:space="preserve"> </w:t>
      </w:r>
      <w:proofErr w:type="spellStart"/>
      <w:r w:rsidR="00543E0D" w:rsidRPr="00780CD4">
        <w:rPr>
          <w:rFonts w:ascii="Arial" w:hAnsi="Arial" w:cs="Arial"/>
          <w:i/>
          <w:iCs/>
          <w:sz w:val="24"/>
          <w:szCs w:val="24"/>
        </w:rPr>
        <w:t>Be</w:t>
      </w:r>
      <w:r w:rsidR="00B163C9" w:rsidRPr="00780CD4">
        <w:rPr>
          <w:rFonts w:ascii="Arial" w:hAnsi="Arial" w:cs="Arial"/>
          <w:i/>
          <w:iCs/>
          <w:sz w:val="24"/>
          <w:szCs w:val="24"/>
        </w:rPr>
        <w:t>leggings</w:t>
      </w:r>
      <w:proofErr w:type="spellEnd"/>
      <w:r w:rsidR="00B163C9" w:rsidRPr="00780CD4">
        <w:rPr>
          <w:rFonts w:ascii="Arial" w:hAnsi="Arial" w:cs="Arial"/>
          <w:i/>
          <w:iCs/>
          <w:sz w:val="24"/>
          <w:szCs w:val="24"/>
        </w:rPr>
        <w:t xml:space="preserve"> and Another v Minister of Rural Development and Land Reform </w:t>
      </w:r>
      <w:r w:rsidR="001D7DDB" w:rsidRPr="00780CD4">
        <w:rPr>
          <w:rFonts w:ascii="Arial" w:hAnsi="Arial" w:cs="Arial"/>
          <w:i/>
          <w:iCs/>
          <w:sz w:val="24"/>
          <w:szCs w:val="24"/>
        </w:rPr>
        <w:t>&amp; Others</w:t>
      </w:r>
      <w:r w:rsidR="001D7DDB">
        <w:rPr>
          <w:rFonts w:ascii="Arial" w:hAnsi="Arial" w:cs="Arial"/>
          <w:sz w:val="24"/>
          <w:szCs w:val="24"/>
        </w:rPr>
        <w:t xml:space="preserve"> 2012 </w:t>
      </w:r>
      <w:r w:rsidR="001A4A32">
        <w:rPr>
          <w:rFonts w:ascii="Arial" w:hAnsi="Arial" w:cs="Arial"/>
          <w:sz w:val="24"/>
          <w:szCs w:val="24"/>
        </w:rPr>
        <w:t xml:space="preserve">(4) SA </w:t>
      </w:r>
      <w:r w:rsidR="00F548C2">
        <w:rPr>
          <w:rFonts w:ascii="Arial" w:hAnsi="Arial" w:cs="Arial"/>
          <w:sz w:val="24"/>
          <w:szCs w:val="24"/>
        </w:rPr>
        <w:t xml:space="preserve">22 (SCA) at para [17] </w:t>
      </w:r>
      <w:r w:rsidR="00AA3F55">
        <w:rPr>
          <w:rFonts w:ascii="Arial" w:hAnsi="Arial" w:cs="Arial"/>
          <w:sz w:val="24"/>
          <w:szCs w:val="24"/>
        </w:rPr>
        <w:t>stated as follows:</w:t>
      </w:r>
    </w:p>
    <w:p w:rsidR="00AA3F55" w:rsidRPr="0033344D" w:rsidRDefault="00780CD4" w:rsidP="00780CD4">
      <w:pPr>
        <w:spacing w:before="100" w:beforeAutospacing="1" w:after="360" w:line="360" w:lineRule="auto"/>
        <w:ind w:left="720"/>
        <w:jc w:val="both"/>
        <w:rPr>
          <w:rFonts w:ascii="Arial" w:hAnsi="Arial" w:cs="Arial"/>
          <w:i/>
          <w:iCs/>
        </w:rPr>
      </w:pPr>
      <w:r w:rsidRPr="0033344D">
        <w:rPr>
          <w:rFonts w:ascii="Arial" w:hAnsi="Arial" w:cs="Arial"/>
          <w:i/>
          <w:iCs/>
          <w:sz w:val="24"/>
          <w:szCs w:val="24"/>
        </w:rPr>
        <w:t>‘The</w:t>
      </w:r>
      <w:r w:rsidR="00AA3F55" w:rsidRPr="0033344D">
        <w:rPr>
          <w:rFonts w:ascii="Arial" w:hAnsi="Arial" w:cs="Arial"/>
          <w:i/>
          <w:iCs/>
        </w:rPr>
        <w:t xml:space="preserve"> department </w:t>
      </w:r>
      <w:r w:rsidR="00FF55FF" w:rsidRPr="0033344D">
        <w:rPr>
          <w:rFonts w:ascii="Arial" w:hAnsi="Arial" w:cs="Arial"/>
          <w:i/>
          <w:iCs/>
        </w:rPr>
        <w:t>has not raised a real and bona</w:t>
      </w:r>
      <w:r w:rsidRPr="0033344D">
        <w:rPr>
          <w:rFonts w:ascii="Arial" w:hAnsi="Arial" w:cs="Arial"/>
          <w:i/>
          <w:iCs/>
        </w:rPr>
        <w:t xml:space="preserve"> </w:t>
      </w:r>
      <w:r w:rsidR="00FF55FF" w:rsidRPr="0033344D">
        <w:rPr>
          <w:rFonts w:ascii="Arial" w:hAnsi="Arial" w:cs="Arial"/>
          <w:i/>
          <w:iCs/>
        </w:rPr>
        <w:t xml:space="preserve">fide factual dispute in its answer. It contents itself with an evasive </w:t>
      </w:r>
      <w:r w:rsidRPr="0033344D">
        <w:rPr>
          <w:rFonts w:ascii="Arial" w:hAnsi="Arial" w:cs="Arial"/>
          <w:i/>
          <w:iCs/>
        </w:rPr>
        <w:t>answer to which it is bound.’</w:t>
      </w:r>
    </w:p>
    <w:p w:rsidR="004573A9" w:rsidRDefault="004C316D" w:rsidP="003C410C">
      <w:pPr>
        <w:spacing w:before="100" w:beforeAutospacing="1" w:after="360" w:line="360" w:lineRule="auto"/>
        <w:jc w:val="both"/>
        <w:rPr>
          <w:rFonts w:ascii="Arial" w:hAnsi="Arial" w:cs="Arial"/>
          <w:sz w:val="24"/>
          <w:szCs w:val="24"/>
        </w:rPr>
      </w:pPr>
      <w:r w:rsidRPr="004C316D">
        <w:rPr>
          <w:rFonts w:ascii="Arial" w:hAnsi="Arial" w:cs="Arial"/>
          <w:sz w:val="24"/>
          <w:szCs w:val="24"/>
        </w:rPr>
        <w:lastRenderedPageBreak/>
        <w:t>[</w:t>
      </w:r>
      <w:r w:rsidR="00DD1F40">
        <w:rPr>
          <w:rFonts w:ascii="Arial" w:hAnsi="Arial" w:cs="Arial"/>
          <w:sz w:val="24"/>
          <w:szCs w:val="24"/>
        </w:rPr>
        <w:t>24</w:t>
      </w:r>
      <w:r w:rsidRPr="004C316D">
        <w:rPr>
          <w:rFonts w:ascii="Arial" w:hAnsi="Arial" w:cs="Arial"/>
          <w:sz w:val="24"/>
          <w:szCs w:val="24"/>
        </w:rPr>
        <w:t>]</w:t>
      </w:r>
      <w:r>
        <w:rPr>
          <w:rFonts w:ascii="Arial" w:hAnsi="Arial" w:cs="Arial"/>
          <w:sz w:val="24"/>
          <w:szCs w:val="24"/>
        </w:rPr>
        <w:t xml:space="preserve"> The respondent</w:t>
      </w:r>
      <w:r w:rsidR="00DD1F40">
        <w:rPr>
          <w:rFonts w:ascii="Arial" w:hAnsi="Arial" w:cs="Arial"/>
          <w:sz w:val="24"/>
          <w:szCs w:val="24"/>
        </w:rPr>
        <w:t>s</w:t>
      </w:r>
      <w:r>
        <w:rPr>
          <w:rFonts w:ascii="Arial" w:hAnsi="Arial" w:cs="Arial"/>
          <w:sz w:val="24"/>
          <w:szCs w:val="24"/>
        </w:rPr>
        <w:t xml:space="preserve"> do not deny the existence of the Agreement and the Mortgage Bond. In addition, their indebtedness is </w:t>
      </w:r>
      <w:r w:rsidR="00C04B54">
        <w:rPr>
          <w:rFonts w:ascii="Arial" w:hAnsi="Arial" w:cs="Arial"/>
          <w:sz w:val="24"/>
          <w:szCs w:val="24"/>
        </w:rPr>
        <w:t xml:space="preserve">evident from </w:t>
      </w:r>
      <w:r w:rsidR="00873E00">
        <w:rPr>
          <w:rFonts w:ascii="Arial" w:hAnsi="Arial" w:cs="Arial"/>
          <w:sz w:val="24"/>
          <w:szCs w:val="24"/>
        </w:rPr>
        <w:t xml:space="preserve">various subsequent arrangements were </w:t>
      </w:r>
      <w:r w:rsidR="002236CA">
        <w:rPr>
          <w:rFonts w:ascii="Arial" w:hAnsi="Arial" w:cs="Arial"/>
          <w:sz w:val="24"/>
          <w:szCs w:val="24"/>
        </w:rPr>
        <w:t>made to try to bring same up to date</w:t>
      </w:r>
      <w:r>
        <w:rPr>
          <w:rFonts w:ascii="Arial" w:hAnsi="Arial" w:cs="Arial"/>
          <w:sz w:val="24"/>
          <w:szCs w:val="24"/>
        </w:rPr>
        <w:t>.</w:t>
      </w:r>
    </w:p>
    <w:p w:rsidR="00F447A4" w:rsidRDefault="004573A9" w:rsidP="003C410C">
      <w:pPr>
        <w:spacing w:before="100" w:beforeAutospacing="1" w:after="360" w:line="360" w:lineRule="auto"/>
        <w:jc w:val="both"/>
        <w:rPr>
          <w:rFonts w:ascii="Arial" w:hAnsi="Arial" w:cs="Arial"/>
          <w:sz w:val="24"/>
          <w:szCs w:val="24"/>
        </w:rPr>
      </w:pPr>
      <w:r>
        <w:rPr>
          <w:rFonts w:ascii="Arial" w:hAnsi="Arial" w:cs="Arial"/>
          <w:sz w:val="24"/>
          <w:szCs w:val="24"/>
        </w:rPr>
        <w:t>[2</w:t>
      </w:r>
      <w:r w:rsidR="00DD1F40">
        <w:rPr>
          <w:rFonts w:ascii="Arial" w:hAnsi="Arial" w:cs="Arial"/>
          <w:sz w:val="24"/>
          <w:szCs w:val="24"/>
        </w:rPr>
        <w:t>5</w:t>
      </w:r>
      <w:r w:rsidR="00E45BE7">
        <w:rPr>
          <w:rFonts w:ascii="Arial" w:hAnsi="Arial" w:cs="Arial"/>
          <w:sz w:val="24"/>
          <w:szCs w:val="24"/>
        </w:rPr>
        <w:t>] There</w:t>
      </w:r>
      <w:r w:rsidR="004C316D">
        <w:rPr>
          <w:rFonts w:ascii="Arial" w:hAnsi="Arial" w:cs="Arial"/>
          <w:sz w:val="24"/>
          <w:szCs w:val="24"/>
        </w:rPr>
        <w:t xml:space="preserve"> is an attempt to deny the existence of the suretyships. This is done in bald and sweeping manner. I am satisfied that there is no genuine dispute of facts.</w:t>
      </w:r>
      <w:r w:rsidR="009F0DB8">
        <w:rPr>
          <w:rFonts w:ascii="Arial" w:hAnsi="Arial" w:cs="Arial"/>
          <w:sz w:val="24"/>
          <w:szCs w:val="24"/>
        </w:rPr>
        <w:t xml:space="preserve"> I am not satisfied that the respondents have </w:t>
      </w:r>
      <w:r w:rsidR="00956261">
        <w:rPr>
          <w:rFonts w:ascii="Arial" w:hAnsi="Arial" w:cs="Arial"/>
          <w:sz w:val="24"/>
          <w:szCs w:val="24"/>
        </w:rPr>
        <w:t>satisfied</w:t>
      </w:r>
      <w:r w:rsidR="009F0DB8">
        <w:rPr>
          <w:rFonts w:ascii="Arial" w:hAnsi="Arial" w:cs="Arial"/>
          <w:sz w:val="24"/>
          <w:szCs w:val="24"/>
        </w:rPr>
        <w:t xml:space="preserve"> the test stated in the case quoted above.</w:t>
      </w:r>
      <w:r w:rsidR="007B4FD0">
        <w:rPr>
          <w:rFonts w:ascii="Arial" w:hAnsi="Arial" w:cs="Arial"/>
          <w:sz w:val="24"/>
          <w:szCs w:val="24"/>
        </w:rPr>
        <w:t xml:space="preserve"> </w:t>
      </w:r>
      <w:r w:rsidR="00190DB8" w:rsidRPr="00190DB8">
        <w:rPr>
          <w:rFonts w:ascii="Arial" w:hAnsi="Arial" w:cs="Arial"/>
          <w:sz w:val="24"/>
          <w:szCs w:val="24"/>
        </w:rPr>
        <w:t>The consequence of</w:t>
      </w:r>
      <w:r w:rsidR="007B4FD0">
        <w:rPr>
          <w:rFonts w:ascii="Arial" w:hAnsi="Arial" w:cs="Arial"/>
          <w:sz w:val="24"/>
          <w:szCs w:val="24"/>
        </w:rPr>
        <w:t xml:space="preserve"> such</w:t>
      </w:r>
      <w:r w:rsidR="00190DB8" w:rsidRPr="00190DB8">
        <w:rPr>
          <w:rFonts w:ascii="Arial" w:hAnsi="Arial" w:cs="Arial"/>
          <w:sz w:val="24"/>
          <w:szCs w:val="24"/>
        </w:rPr>
        <w:t xml:space="preserve"> failure is spelled out </w:t>
      </w:r>
      <w:r w:rsidR="00984B64">
        <w:rPr>
          <w:rFonts w:ascii="Arial" w:hAnsi="Arial" w:cs="Arial"/>
          <w:sz w:val="24"/>
          <w:szCs w:val="24"/>
        </w:rPr>
        <w:t xml:space="preserve">in the case of </w:t>
      </w:r>
      <w:r w:rsidR="00984B64" w:rsidRPr="00E45BE7">
        <w:rPr>
          <w:rFonts w:ascii="Arial" w:hAnsi="Arial" w:cs="Arial"/>
          <w:i/>
          <w:iCs/>
          <w:sz w:val="24"/>
          <w:szCs w:val="24"/>
        </w:rPr>
        <w:t>Hart v Pinetown Drive -in Cinema</w:t>
      </w:r>
      <w:r w:rsidR="00984B64" w:rsidRPr="00E45BE7">
        <w:rPr>
          <w:rFonts w:ascii="Arial" w:hAnsi="Arial" w:cs="Arial"/>
          <w:sz w:val="24"/>
          <w:szCs w:val="24"/>
        </w:rPr>
        <w:t xml:space="preserve"> </w:t>
      </w:r>
      <w:r w:rsidR="00984B64">
        <w:rPr>
          <w:rFonts w:ascii="Arial" w:hAnsi="Arial" w:cs="Arial"/>
          <w:sz w:val="24"/>
          <w:szCs w:val="24"/>
        </w:rPr>
        <w:t>1972 (</w:t>
      </w:r>
      <w:r w:rsidR="0029178E">
        <w:rPr>
          <w:rFonts w:ascii="Arial" w:hAnsi="Arial" w:cs="Arial"/>
          <w:sz w:val="24"/>
          <w:szCs w:val="24"/>
        </w:rPr>
        <w:t>1) SA</w:t>
      </w:r>
      <w:r w:rsidR="00984B64">
        <w:rPr>
          <w:rFonts w:ascii="Arial" w:hAnsi="Arial" w:cs="Arial"/>
          <w:sz w:val="24"/>
          <w:szCs w:val="24"/>
        </w:rPr>
        <w:t xml:space="preserve"> 464 (D) at 469C </w:t>
      </w:r>
      <w:r w:rsidR="00190DB8" w:rsidRPr="00190DB8">
        <w:rPr>
          <w:rFonts w:ascii="Arial" w:hAnsi="Arial" w:cs="Arial"/>
          <w:sz w:val="24"/>
          <w:szCs w:val="24"/>
        </w:rPr>
        <w:t>where the learned judge found that:</w:t>
      </w:r>
    </w:p>
    <w:p w:rsidR="00190DB8" w:rsidRPr="0033344D" w:rsidRDefault="0029178E" w:rsidP="0033344D">
      <w:pPr>
        <w:spacing w:before="100" w:beforeAutospacing="1" w:after="360" w:line="360" w:lineRule="auto"/>
        <w:ind w:left="720" w:firstLine="70"/>
        <w:jc w:val="both"/>
        <w:rPr>
          <w:rFonts w:ascii="Arial" w:hAnsi="Arial" w:cs="Arial"/>
          <w:i/>
          <w:iCs/>
        </w:rPr>
      </w:pPr>
      <w:r w:rsidRPr="0033344D">
        <w:rPr>
          <w:rFonts w:ascii="Arial" w:hAnsi="Arial" w:cs="Arial"/>
          <w:i/>
          <w:iCs/>
          <w:sz w:val="24"/>
          <w:szCs w:val="24"/>
        </w:rPr>
        <w:t>‘</w:t>
      </w:r>
      <w:r w:rsidR="00190DB8" w:rsidRPr="0033344D">
        <w:rPr>
          <w:rFonts w:ascii="Arial" w:hAnsi="Arial" w:cs="Arial"/>
          <w:i/>
          <w:iCs/>
        </w:rPr>
        <w:t>It must be borne in mind, however, that where proceedings are brought by way of application, the petition is not the equivalent of the declaration in proceedings by way of action. What might be sufficient in a declaration to foil an exception, would not necessarily, in a petition, be sufficient to resist an objection that a case has not been adequately made out. The petition takes the place not only of the declaration but also of the essential evidence which would be led at a trial and if there are absent from the petition such facts as would be necessary for determination of the issue in the petitioner's favour, an objection that it does not support the relief claimed is sound</w:t>
      </w:r>
      <w:r w:rsidRPr="0033344D">
        <w:rPr>
          <w:rFonts w:ascii="Arial" w:hAnsi="Arial" w:cs="Arial"/>
          <w:i/>
          <w:iCs/>
        </w:rPr>
        <w:t>’</w:t>
      </w:r>
      <w:r w:rsidR="00190DB8" w:rsidRPr="0033344D">
        <w:rPr>
          <w:rFonts w:ascii="Arial" w:hAnsi="Arial" w:cs="Arial"/>
          <w:i/>
          <w:iCs/>
        </w:rPr>
        <w:t>.</w:t>
      </w:r>
    </w:p>
    <w:p w:rsidR="00D53384" w:rsidRPr="007E7908" w:rsidRDefault="0029178E" w:rsidP="003C410C">
      <w:pPr>
        <w:spacing w:before="100" w:beforeAutospacing="1" w:after="360" w:line="360" w:lineRule="auto"/>
        <w:jc w:val="both"/>
        <w:rPr>
          <w:rFonts w:ascii="Arial" w:hAnsi="Arial" w:cs="Arial"/>
          <w:sz w:val="24"/>
          <w:szCs w:val="24"/>
        </w:rPr>
      </w:pPr>
      <w:r w:rsidRPr="007E7908">
        <w:rPr>
          <w:rFonts w:ascii="Arial" w:hAnsi="Arial" w:cs="Arial"/>
          <w:sz w:val="24"/>
          <w:szCs w:val="24"/>
        </w:rPr>
        <w:t>[</w:t>
      </w:r>
      <w:r w:rsidR="00354780" w:rsidRPr="007E7908">
        <w:rPr>
          <w:rFonts w:ascii="Arial" w:hAnsi="Arial" w:cs="Arial"/>
          <w:sz w:val="24"/>
          <w:szCs w:val="24"/>
        </w:rPr>
        <w:t>2</w:t>
      </w:r>
      <w:r w:rsidR="003F7CB4" w:rsidRPr="007E7908">
        <w:rPr>
          <w:rFonts w:ascii="Arial" w:hAnsi="Arial" w:cs="Arial"/>
          <w:sz w:val="24"/>
          <w:szCs w:val="24"/>
        </w:rPr>
        <w:t>6</w:t>
      </w:r>
      <w:r w:rsidRPr="007E7908">
        <w:rPr>
          <w:rFonts w:ascii="Arial" w:hAnsi="Arial" w:cs="Arial"/>
          <w:sz w:val="24"/>
          <w:szCs w:val="24"/>
        </w:rPr>
        <w:t>] It is not clear from the answering affidavit if the respondents are denying the existence of the Suretyship Agreement</w:t>
      </w:r>
      <w:r w:rsidR="007B4FD0" w:rsidRPr="007E7908">
        <w:rPr>
          <w:rFonts w:ascii="Arial" w:hAnsi="Arial" w:cs="Arial"/>
          <w:sz w:val="24"/>
          <w:szCs w:val="24"/>
        </w:rPr>
        <w:t>s</w:t>
      </w:r>
      <w:r w:rsidRPr="007E7908">
        <w:rPr>
          <w:rFonts w:ascii="Arial" w:hAnsi="Arial" w:cs="Arial"/>
          <w:sz w:val="24"/>
          <w:szCs w:val="24"/>
        </w:rPr>
        <w:t xml:space="preserve">. Such an action by the respondent </w:t>
      </w:r>
      <w:r w:rsidR="007B4FD0" w:rsidRPr="007E7908">
        <w:rPr>
          <w:rFonts w:ascii="Arial" w:hAnsi="Arial" w:cs="Arial"/>
          <w:sz w:val="24"/>
          <w:szCs w:val="24"/>
        </w:rPr>
        <w:t>can</w:t>
      </w:r>
      <w:r w:rsidRPr="007E7908">
        <w:rPr>
          <w:rFonts w:ascii="Arial" w:hAnsi="Arial" w:cs="Arial"/>
          <w:sz w:val="24"/>
          <w:szCs w:val="24"/>
        </w:rPr>
        <w:t>not be countenance</w:t>
      </w:r>
      <w:r w:rsidR="007B4FD0" w:rsidRPr="007E7908">
        <w:rPr>
          <w:rFonts w:ascii="Arial" w:hAnsi="Arial" w:cs="Arial"/>
          <w:sz w:val="24"/>
          <w:szCs w:val="24"/>
        </w:rPr>
        <w:t>d</w:t>
      </w:r>
      <w:r w:rsidRPr="007E7908">
        <w:rPr>
          <w:rFonts w:ascii="Arial" w:hAnsi="Arial" w:cs="Arial"/>
          <w:sz w:val="24"/>
          <w:szCs w:val="24"/>
        </w:rPr>
        <w:t xml:space="preserve">. In the case </w:t>
      </w:r>
      <w:r w:rsidRPr="007E7908">
        <w:rPr>
          <w:rFonts w:ascii="Arial" w:hAnsi="Arial" w:cs="Arial"/>
          <w:i/>
          <w:iCs/>
          <w:sz w:val="24"/>
          <w:szCs w:val="24"/>
        </w:rPr>
        <w:t>Wright v Wright &amp; Another</w:t>
      </w:r>
      <w:r w:rsidR="0067082F" w:rsidRPr="007E7908">
        <w:rPr>
          <w:rFonts w:ascii="Arial" w:hAnsi="Arial" w:cs="Arial"/>
          <w:sz w:val="24"/>
          <w:szCs w:val="24"/>
        </w:rPr>
        <w:t xml:space="preserve"> 2015 (1) SA 262 (SCA)</w:t>
      </w:r>
      <w:r w:rsidR="006936FC" w:rsidRPr="007E7908">
        <w:rPr>
          <w:rFonts w:ascii="Arial" w:hAnsi="Arial" w:cs="Arial"/>
          <w:sz w:val="24"/>
          <w:szCs w:val="24"/>
        </w:rPr>
        <w:t xml:space="preserve"> </w:t>
      </w:r>
      <w:r w:rsidR="0067082F" w:rsidRPr="007E7908">
        <w:rPr>
          <w:rFonts w:ascii="Arial" w:hAnsi="Arial" w:cs="Arial"/>
          <w:sz w:val="24"/>
          <w:szCs w:val="24"/>
        </w:rPr>
        <w:t xml:space="preserve">para. </w:t>
      </w:r>
      <w:r w:rsidR="006936FC" w:rsidRPr="007E7908">
        <w:rPr>
          <w:rFonts w:ascii="Arial" w:hAnsi="Arial" w:cs="Arial"/>
          <w:sz w:val="24"/>
          <w:szCs w:val="24"/>
        </w:rPr>
        <w:t>15</w:t>
      </w:r>
      <w:r w:rsidR="007B4FD0" w:rsidRPr="007E7908">
        <w:rPr>
          <w:rFonts w:ascii="Arial" w:hAnsi="Arial" w:cs="Arial"/>
          <w:sz w:val="24"/>
          <w:szCs w:val="24"/>
        </w:rPr>
        <w:t xml:space="preserve"> the</w:t>
      </w:r>
      <w:r w:rsidRPr="007E7908">
        <w:rPr>
          <w:rFonts w:ascii="Arial" w:hAnsi="Arial" w:cs="Arial"/>
          <w:sz w:val="24"/>
          <w:szCs w:val="24"/>
        </w:rPr>
        <w:t xml:space="preserve"> court held that:</w:t>
      </w:r>
    </w:p>
    <w:p w:rsidR="007B4FD0" w:rsidRPr="007E7908" w:rsidRDefault="0067082F" w:rsidP="00D53384">
      <w:pPr>
        <w:spacing w:before="100" w:beforeAutospacing="1" w:after="360" w:line="360" w:lineRule="auto"/>
        <w:ind w:left="720" w:firstLine="70"/>
        <w:jc w:val="both"/>
        <w:rPr>
          <w:rFonts w:ascii="Arial" w:hAnsi="Arial" w:cs="Arial"/>
          <w:i/>
          <w:iCs/>
          <w:sz w:val="24"/>
          <w:szCs w:val="24"/>
        </w:rPr>
      </w:pPr>
      <w:r w:rsidRPr="007E7908">
        <w:rPr>
          <w:rFonts w:ascii="Arial" w:hAnsi="Arial" w:cs="Arial"/>
          <w:i/>
          <w:iCs/>
          <w:sz w:val="24"/>
          <w:szCs w:val="24"/>
        </w:rPr>
        <w:t>‘</w:t>
      </w:r>
      <w:r w:rsidR="0029178E" w:rsidRPr="007E7908">
        <w:rPr>
          <w:rFonts w:ascii="Arial" w:hAnsi="Arial" w:cs="Arial"/>
          <w:i/>
          <w:iCs/>
          <w:sz w:val="24"/>
          <w:szCs w:val="24"/>
        </w:rPr>
        <w:t>Litigants are required to seriously engage with the factual allegations they seek to challenge and to furnish not only an answer but also countervailing evidence, particularly where the facts are within their personal knowledge</w:t>
      </w:r>
      <w:r w:rsidRPr="007E7908">
        <w:rPr>
          <w:rFonts w:ascii="Arial" w:hAnsi="Arial" w:cs="Arial"/>
          <w:i/>
          <w:iCs/>
          <w:sz w:val="24"/>
          <w:szCs w:val="24"/>
        </w:rPr>
        <w:t>’</w:t>
      </w:r>
      <w:r w:rsidR="0029178E" w:rsidRPr="007E7908">
        <w:rPr>
          <w:rFonts w:ascii="Arial" w:hAnsi="Arial" w:cs="Arial"/>
          <w:i/>
          <w:iCs/>
          <w:sz w:val="24"/>
          <w:szCs w:val="24"/>
        </w:rPr>
        <w:t>.</w:t>
      </w:r>
      <w:r w:rsidRPr="007E7908">
        <w:rPr>
          <w:rFonts w:ascii="Arial" w:hAnsi="Arial" w:cs="Arial"/>
          <w:i/>
          <w:iCs/>
          <w:sz w:val="24"/>
          <w:szCs w:val="24"/>
        </w:rPr>
        <w:t xml:space="preserve"> </w:t>
      </w:r>
      <w:r w:rsidR="007B4FD0" w:rsidRPr="007E7908">
        <w:rPr>
          <w:rFonts w:ascii="Arial" w:hAnsi="Arial" w:cs="Arial"/>
          <w:i/>
          <w:iCs/>
          <w:sz w:val="24"/>
          <w:szCs w:val="24"/>
        </w:rPr>
        <w:t xml:space="preserve">This the respondents failed to </w:t>
      </w:r>
      <w:r w:rsidR="00295B62" w:rsidRPr="007E7908">
        <w:rPr>
          <w:rFonts w:ascii="Arial" w:hAnsi="Arial" w:cs="Arial"/>
          <w:i/>
          <w:iCs/>
          <w:sz w:val="24"/>
          <w:szCs w:val="24"/>
        </w:rPr>
        <w:t xml:space="preserve">engage with factual to refute any allegations by the applicant </w:t>
      </w:r>
      <w:r w:rsidR="007B4FD0" w:rsidRPr="007E7908">
        <w:rPr>
          <w:rFonts w:ascii="Arial" w:hAnsi="Arial" w:cs="Arial"/>
          <w:i/>
          <w:iCs/>
          <w:sz w:val="24"/>
          <w:szCs w:val="24"/>
        </w:rPr>
        <w:t>in the</w:t>
      </w:r>
      <w:r w:rsidR="00295B62" w:rsidRPr="007E7908">
        <w:rPr>
          <w:rFonts w:ascii="Arial" w:hAnsi="Arial" w:cs="Arial"/>
          <w:i/>
          <w:iCs/>
          <w:sz w:val="24"/>
          <w:szCs w:val="24"/>
        </w:rPr>
        <w:t>ir</w:t>
      </w:r>
      <w:r w:rsidR="007B4FD0" w:rsidRPr="007E7908">
        <w:rPr>
          <w:rFonts w:ascii="Arial" w:hAnsi="Arial" w:cs="Arial"/>
          <w:i/>
          <w:iCs/>
          <w:sz w:val="24"/>
          <w:szCs w:val="24"/>
        </w:rPr>
        <w:t xml:space="preserve"> answering affidavit.</w:t>
      </w:r>
    </w:p>
    <w:p w:rsidR="00C83712" w:rsidRPr="007E7908" w:rsidRDefault="00C83712" w:rsidP="00C83712">
      <w:pPr>
        <w:spacing w:before="100" w:beforeAutospacing="1" w:after="360" w:line="360" w:lineRule="auto"/>
        <w:jc w:val="both"/>
        <w:rPr>
          <w:rFonts w:ascii="Arial" w:hAnsi="Arial" w:cs="Arial"/>
          <w:b/>
          <w:bCs/>
          <w:sz w:val="24"/>
          <w:szCs w:val="24"/>
        </w:rPr>
      </w:pPr>
      <w:r w:rsidRPr="007E7908">
        <w:rPr>
          <w:rFonts w:ascii="Arial" w:hAnsi="Arial" w:cs="Arial"/>
          <w:b/>
          <w:bCs/>
          <w:sz w:val="24"/>
          <w:szCs w:val="24"/>
        </w:rPr>
        <w:t xml:space="preserve">Conclusion </w:t>
      </w:r>
    </w:p>
    <w:p w:rsidR="00AD409E" w:rsidRDefault="00450A6E" w:rsidP="007D00BC">
      <w:pPr>
        <w:spacing w:before="100" w:beforeAutospacing="1" w:after="360" w:line="360" w:lineRule="auto"/>
        <w:jc w:val="both"/>
        <w:rPr>
          <w:rFonts w:ascii="Arial" w:hAnsi="Arial" w:cs="Arial"/>
          <w:sz w:val="24"/>
          <w:szCs w:val="24"/>
        </w:rPr>
      </w:pPr>
      <w:r w:rsidRPr="007E7908">
        <w:rPr>
          <w:rFonts w:ascii="Arial" w:hAnsi="Arial" w:cs="Arial"/>
          <w:sz w:val="24"/>
          <w:szCs w:val="24"/>
        </w:rPr>
        <w:t>[2</w:t>
      </w:r>
      <w:r w:rsidR="003F7CB4" w:rsidRPr="007E7908">
        <w:rPr>
          <w:rFonts w:ascii="Arial" w:hAnsi="Arial" w:cs="Arial"/>
          <w:sz w:val="24"/>
          <w:szCs w:val="24"/>
        </w:rPr>
        <w:t>7</w:t>
      </w:r>
      <w:r w:rsidRPr="007E7908">
        <w:rPr>
          <w:rFonts w:ascii="Arial" w:hAnsi="Arial" w:cs="Arial"/>
          <w:sz w:val="24"/>
          <w:szCs w:val="24"/>
        </w:rPr>
        <w:t xml:space="preserve">] </w:t>
      </w:r>
      <w:r w:rsidR="00E0726B" w:rsidRPr="007E7908">
        <w:rPr>
          <w:rFonts w:ascii="Arial" w:hAnsi="Arial" w:cs="Arial"/>
          <w:sz w:val="24"/>
          <w:szCs w:val="24"/>
        </w:rPr>
        <w:t>I</w:t>
      </w:r>
      <w:r w:rsidRPr="007E7908">
        <w:rPr>
          <w:rFonts w:ascii="Arial" w:hAnsi="Arial" w:cs="Arial"/>
          <w:sz w:val="24"/>
          <w:szCs w:val="24"/>
        </w:rPr>
        <w:t xml:space="preserve">n conclusion </w:t>
      </w:r>
      <w:r w:rsidR="00F41433" w:rsidRPr="007E7908">
        <w:rPr>
          <w:rFonts w:ascii="Arial" w:hAnsi="Arial" w:cs="Arial"/>
          <w:sz w:val="24"/>
          <w:szCs w:val="24"/>
        </w:rPr>
        <w:t xml:space="preserve">the court is satisfied that the respondents have </w:t>
      </w:r>
      <w:r w:rsidR="008402F4" w:rsidRPr="007E7908">
        <w:rPr>
          <w:rFonts w:ascii="Arial" w:hAnsi="Arial" w:cs="Arial"/>
          <w:sz w:val="24"/>
          <w:szCs w:val="24"/>
        </w:rPr>
        <w:t xml:space="preserve">failed to cross the </w:t>
      </w:r>
      <w:r w:rsidR="00E23AE3" w:rsidRPr="007E7908">
        <w:rPr>
          <w:rFonts w:ascii="Arial" w:hAnsi="Arial" w:cs="Arial"/>
          <w:sz w:val="24"/>
          <w:szCs w:val="24"/>
        </w:rPr>
        <w:t xml:space="preserve">raised </w:t>
      </w:r>
      <w:r w:rsidR="008402F4" w:rsidRPr="007E7908">
        <w:rPr>
          <w:rFonts w:ascii="Arial" w:hAnsi="Arial" w:cs="Arial"/>
          <w:sz w:val="24"/>
          <w:szCs w:val="24"/>
        </w:rPr>
        <w:t>threshold of showing that</w:t>
      </w:r>
      <w:r w:rsidR="008402F4">
        <w:rPr>
          <w:rFonts w:ascii="Arial" w:hAnsi="Arial" w:cs="Arial"/>
          <w:sz w:val="24"/>
          <w:szCs w:val="24"/>
        </w:rPr>
        <w:t xml:space="preserve"> another court ‘would’ come to </w:t>
      </w:r>
      <w:r w:rsidR="00975E81">
        <w:rPr>
          <w:rFonts w:ascii="Arial" w:hAnsi="Arial" w:cs="Arial"/>
          <w:sz w:val="24"/>
          <w:szCs w:val="24"/>
        </w:rPr>
        <w:t xml:space="preserve">different conclusion on </w:t>
      </w:r>
      <w:r w:rsidR="00975E81">
        <w:rPr>
          <w:rFonts w:ascii="Arial" w:hAnsi="Arial" w:cs="Arial"/>
          <w:sz w:val="24"/>
          <w:szCs w:val="24"/>
        </w:rPr>
        <w:lastRenderedPageBreak/>
        <w:t xml:space="preserve">the two </w:t>
      </w:r>
      <w:r w:rsidR="00762DE9">
        <w:rPr>
          <w:rFonts w:ascii="Arial" w:hAnsi="Arial" w:cs="Arial"/>
          <w:sz w:val="24"/>
          <w:szCs w:val="24"/>
        </w:rPr>
        <w:t xml:space="preserve">grounds of leave to appeal. The </w:t>
      </w:r>
      <w:r w:rsidR="004C3CA5">
        <w:rPr>
          <w:rFonts w:ascii="Arial" w:hAnsi="Arial" w:cs="Arial"/>
          <w:sz w:val="24"/>
          <w:szCs w:val="24"/>
        </w:rPr>
        <w:t xml:space="preserve">respondents have to demonstrate </w:t>
      </w:r>
      <w:r w:rsidR="00DF3B7E">
        <w:rPr>
          <w:rFonts w:ascii="Arial" w:hAnsi="Arial" w:cs="Arial"/>
          <w:sz w:val="24"/>
          <w:szCs w:val="24"/>
        </w:rPr>
        <w:t>that the appeal enjoys prospects of success</w:t>
      </w:r>
      <w:r w:rsidR="00220DF3">
        <w:rPr>
          <w:rFonts w:ascii="Arial" w:hAnsi="Arial" w:cs="Arial"/>
          <w:sz w:val="24"/>
          <w:szCs w:val="24"/>
        </w:rPr>
        <w:t xml:space="preserve">. </w:t>
      </w:r>
    </w:p>
    <w:p w:rsidR="00220DF3" w:rsidRDefault="00220DF3" w:rsidP="007D00BC">
      <w:pPr>
        <w:spacing w:before="100" w:beforeAutospacing="1" w:after="360" w:line="360" w:lineRule="auto"/>
        <w:jc w:val="both"/>
        <w:rPr>
          <w:rFonts w:ascii="Arial" w:hAnsi="Arial" w:cs="Arial"/>
          <w:sz w:val="24"/>
          <w:szCs w:val="24"/>
        </w:rPr>
      </w:pPr>
      <w:r>
        <w:rPr>
          <w:rFonts w:ascii="Arial" w:hAnsi="Arial" w:cs="Arial"/>
          <w:sz w:val="24"/>
          <w:szCs w:val="24"/>
        </w:rPr>
        <w:t xml:space="preserve">[24] Application for leave to appeal </w:t>
      </w:r>
      <w:r w:rsidR="00A44052">
        <w:rPr>
          <w:rFonts w:ascii="Arial" w:hAnsi="Arial" w:cs="Arial"/>
          <w:sz w:val="24"/>
          <w:szCs w:val="24"/>
        </w:rPr>
        <w:t xml:space="preserve">is hereby dismissed with costs. </w:t>
      </w:r>
    </w:p>
    <w:p w:rsidR="00843A0E" w:rsidRDefault="00843A0E" w:rsidP="003C410C">
      <w:pPr>
        <w:spacing w:before="100" w:beforeAutospacing="1" w:after="360" w:line="360" w:lineRule="auto"/>
        <w:jc w:val="both"/>
        <w:rPr>
          <w:rFonts w:ascii="Arial" w:hAnsi="Arial" w:cs="Arial"/>
          <w:sz w:val="24"/>
          <w:szCs w:val="24"/>
        </w:rPr>
      </w:pPr>
    </w:p>
    <w:p w:rsidR="00CD6B19" w:rsidRDefault="00CD6B19" w:rsidP="003C410C">
      <w:pPr>
        <w:spacing w:before="100" w:beforeAutospacing="1" w:after="360" w:line="360" w:lineRule="auto"/>
        <w:jc w:val="both"/>
        <w:rPr>
          <w:rFonts w:ascii="Arial" w:hAnsi="Arial" w:cs="Arial"/>
          <w:sz w:val="24"/>
          <w:szCs w:val="24"/>
        </w:rPr>
      </w:pPr>
    </w:p>
    <w:p w:rsidR="00CD6B19" w:rsidRPr="00B760E9" w:rsidRDefault="00CD6B19" w:rsidP="003C410C">
      <w:pPr>
        <w:spacing w:before="100" w:beforeAutospacing="1" w:after="360" w:line="360" w:lineRule="auto"/>
        <w:jc w:val="both"/>
        <w:rPr>
          <w:rFonts w:ascii="Arial" w:hAnsi="Arial" w:cs="Arial"/>
          <w:sz w:val="24"/>
          <w:szCs w:val="24"/>
        </w:rPr>
      </w:pPr>
    </w:p>
    <w:p w:rsidR="00B351DD" w:rsidRPr="002162FC" w:rsidRDefault="00F010D5" w:rsidP="00F010D5">
      <w:pPr>
        <w:spacing w:after="0" w:line="480" w:lineRule="auto"/>
        <w:ind w:firstLine="720"/>
        <w:jc w:val="center"/>
        <w:rPr>
          <w:rFonts w:ascii="Arial" w:hAnsi="Arial" w:cs="Arial"/>
          <w:sz w:val="24"/>
          <w:szCs w:val="24"/>
        </w:rPr>
      </w:pPr>
      <w:r>
        <w:rPr>
          <w:rFonts w:ascii="Arial" w:hAnsi="Arial" w:cs="Arial"/>
          <w:sz w:val="24"/>
          <w:szCs w:val="24"/>
        </w:rPr>
        <w:t xml:space="preserve">                                                   </w:t>
      </w:r>
      <w:r w:rsidR="009D19BA">
        <w:rPr>
          <w:rFonts w:ascii="Arial" w:hAnsi="Arial" w:cs="Arial"/>
          <w:sz w:val="24"/>
          <w:szCs w:val="24"/>
        </w:rPr>
        <w:t xml:space="preserve">                              </w:t>
      </w:r>
    </w:p>
    <w:p w:rsidR="00F010D5" w:rsidRDefault="00F010D5" w:rsidP="00F010D5">
      <w:pPr>
        <w:spacing w:after="0" w:line="240" w:lineRule="auto"/>
        <w:ind w:left="720"/>
        <w:jc w:val="center"/>
        <w:rPr>
          <w:rFonts w:ascii="Arial" w:hAnsi="Arial" w:cs="Arial"/>
          <w:b/>
          <w:sz w:val="24"/>
          <w:szCs w:val="24"/>
        </w:rPr>
      </w:pPr>
      <w:r>
        <w:rPr>
          <w:rFonts w:ascii="Arial" w:hAnsi="Arial" w:cs="Arial"/>
          <w:b/>
          <w:sz w:val="24"/>
          <w:szCs w:val="24"/>
        </w:rPr>
        <w:t xml:space="preserve">                                   </w:t>
      </w:r>
      <w:r w:rsidR="00EC1577">
        <w:rPr>
          <w:rFonts w:ascii="Arial" w:hAnsi="Arial" w:cs="Arial"/>
          <w:b/>
          <w:sz w:val="24"/>
          <w:szCs w:val="24"/>
        </w:rPr>
        <w:t xml:space="preserve">           </w:t>
      </w:r>
      <w:r>
        <w:rPr>
          <w:rFonts w:ascii="Arial" w:hAnsi="Arial" w:cs="Arial"/>
          <w:b/>
          <w:sz w:val="24"/>
          <w:szCs w:val="24"/>
        </w:rPr>
        <w:t xml:space="preserve">                                                                                     </w:t>
      </w:r>
    </w:p>
    <w:p w:rsidR="00192A88" w:rsidRDefault="00F010D5" w:rsidP="00F010D5">
      <w:pPr>
        <w:spacing w:after="0" w:line="240" w:lineRule="auto"/>
        <w:ind w:left="720"/>
        <w:jc w:val="center"/>
        <w:rPr>
          <w:rFonts w:ascii="Arial" w:hAnsi="Arial" w:cs="Arial"/>
          <w:b/>
          <w:sz w:val="24"/>
          <w:szCs w:val="24"/>
        </w:rPr>
      </w:pPr>
      <w:r>
        <w:rPr>
          <w:rFonts w:ascii="Arial" w:hAnsi="Arial" w:cs="Arial"/>
          <w:b/>
          <w:sz w:val="24"/>
          <w:szCs w:val="24"/>
        </w:rPr>
        <w:t xml:space="preserve">                                                                   </w:t>
      </w:r>
      <w:r w:rsidR="00EC1577">
        <w:rPr>
          <w:rFonts w:ascii="Arial" w:hAnsi="Arial" w:cs="Arial"/>
          <w:b/>
          <w:sz w:val="24"/>
          <w:szCs w:val="24"/>
        </w:rPr>
        <w:t>______________________</w:t>
      </w:r>
    </w:p>
    <w:p w:rsidR="00F010D5" w:rsidRDefault="00F010D5" w:rsidP="00F010D5">
      <w:pPr>
        <w:spacing w:after="0" w:line="240" w:lineRule="auto"/>
        <w:ind w:left="720"/>
        <w:jc w:val="center"/>
        <w:rPr>
          <w:rFonts w:ascii="Arial" w:hAnsi="Arial" w:cs="Arial"/>
          <w:b/>
          <w:sz w:val="24"/>
          <w:szCs w:val="24"/>
        </w:rPr>
      </w:pPr>
    </w:p>
    <w:p w:rsidR="00F010D5" w:rsidRPr="003823BC" w:rsidRDefault="00EC1577" w:rsidP="00F010D5">
      <w:pPr>
        <w:spacing w:after="0" w:line="240" w:lineRule="auto"/>
        <w:ind w:left="720"/>
        <w:jc w:val="center"/>
        <w:rPr>
          <w:rFonts w:ascii="Arial" w:hAnsi="Arial" w:cs="Arial"/>
          <w:sz w:val="24"/>
          <w:szCs w:val="24"/>
        </w:rPr>
      </w:pPr>
      <w:r w:rsidRPr="003823BC">
        <w:rPr>
          <w:rFonts w:ascii="Arial" w:hAnsi="Arial" w:cs="Arial"/>
          <w:sz w:val="24"/>
          <w:szCs w:val="24"/>
        </w:rPr>
        <w:t xml:space="preserve">              </w:t>
      </w:r>
      <w:r w:rsidR="003823BC" w:rsidRPr="003823BC">
        <w:rPr>
          <w:rFonts w:ascii="Arial" w:hAnsi="Arial" w:cs="Arial"/>
          <w:sz w:val="24"/>
          <w:szCs w:val="24"/>
        </w:rPr>
        <w:t xml:space="preserve">        </w:t>
      </w:r>
      <w:r w:rsidR="00815BC3">
        <w:rPr>
          <w:rFonts w:ascii="Arial" w:hAnsi="Arial" w:cs="Arial"/>
          <w:sz w:val="24"/>
          <w:szCs w:val="24"/>
        </w:rPr>
        <w:t xml:space="preserve">                       </w:t>
      </w:r>
      <w:r w:rsidR="00F14C96">
        <w:rPr>
          <w:rFonts w:ascii="Arial" w:hAnsi="Arial" w:cs="Arial"/>
          <w:sz w:val="24"/>
          <w:szCs w:val="24"/>
        </w:rPr>
        <w:t xml:space="preserve">       </w:t>
      </w:r>
      <w:r w:rsidR="003823BC" w:rsidRPr="003823BC">
        <w:rPr>
          <w:rFonts w:ascii="Arial" w:hAnsi="Arial" w:cs="Arial"/>
          <w:sz w:val="24"/>
          <w:szCs w:val="24"/>
        </w:rPr>
        <w:t xml:space="preserve">T. THUPAATLASE    </w:t>
      </w:r>
    </w:p>
    <w:p w:rsidR="003823BC" w:rsidRPr="003823BC" w:rsidRDefault="003823BC" w:rsidP="00F010D5">
      <w:pPr>
        <w:spacing w:after="0" w:line="240" w:lineRule="auto"/>
        <w:ind w:left="720"/>
        <w:jc w:val="center"/>
        <w:rPr>
          <w:rFonts w:ascii="Arial" w:hAnsi="Arial" w:cs="Arial"/>
          <w:sz w:val="24"/>
          <w:szCs w:val="24"/>
        </w:rPr>
      </w:pPr>
      <w:r w:rsidRPr="003823BC">
        <w:rPr>
          <w:rFonts w:ascii="Arial" w:hAnsi="Arial" w:cs="Arial"/>
          <w:sz w:val="24"/>
          <w:szCs w:val="24"/>
        </w:rPr>
        <w:t xml:space="preserve">                                                                        </w:t>
      </w:r>
    </w:p>
    <w:p w:rsidR="003823BC" w:rsidRPr="003823BC" w:rsidRDefault="003823BC" w:rsidP="00F010D5">
      <w:pPr>
        <w:spacing w:after="0" w:line="240" w:lineRule="auto"/>
        <w:ind w:left="720"/>
        <w:jc w:val="center"/>
        <w:rPr>
          <w:rFonts w:ascii="Arial" w:hAnsi="Arial" w:cs="Arial"/>
          <w:sz w:val="24"/>
          <w:szCs w:val="24"/>
        </w:rPr>
      </w:pPr>
      <w:r w:rsidRPr="003823BC">
        <w:rPr>
          <w:rFonts w:ascii="Arial" w:hAnsi="Arial" w:cs="Arial"/>
          <w:sz w:val="24"/>
          <w:szCs w:val="24"/>
        </w:rPr>
        <w:t xml:space="preserve">                                                                 </w:t>
      </w:r>
      <w:r w:rsidR="00F14C96">
        <w:rPr>
          <w:rFonts w:ascii="Arial" w:hAnsi="Arial" w:cs="Arial"/>
          <w:sz w:val="24"/>
          <w:szCs w:val="24"/>
        </w:rPr>
        <w:t xml:space="preserve">       </w:t>
      </w:r>
      <w:r w:rsidRPr="003823BC">
        <w:rPr>
          <w:rFonts w:ascii="Arial" w:hAnsi="Arial" w:cs="Arial"/>
          <w:sz w:val="24"/>
          <w:szCs w:val="24"/>
        </w:rPr>
        <w:t>ACTING OF THE HIGH COURT</w:t>
      </w:r>
    </w:p>
    <w:p w:rsidR="00F010D5" w:rsidRPr="003823BC" w:rsidRDefault="00F010D5" w:rsidP="00F010D5">
      <w:pPr>
        <w:spacing w:after="0" w:line="240" w:lineRule="auto"/>
        <w:ind w:left="720"/>
        <w:jc w:val="center"/>
        <w:rPr>
          <w:rFonts w:ascii="Arial" w:hAnsi="Arial" w:cs="Arial"/>
          <w:sz w:val="24"/>
          <w:szCs w:val="24"/>
        </w:rPr>
      </w:pPr>
    </w:p>
    <w:p w:rsidR="00F010D5" w:rsidRDefault="00F010D5" w:rsidP="00F010D5">
      <w:pPr>
        <w:spacing w:after="0" w:line="240" w:lineRule="auto"/>
        <w:ind w:left="720"/>
        <w:jc w:val="center"/>
        <w:rPr>
          <w:rFonts w:ascii="Arial" w:hAnsi="Arial" w:cs="Arial"/>
          <w:b/>
          <w:sz w:val="24"/>
          <w:szCs w:val="24"/>
        </w:rPr>
      </w:pPr>
    </w:p>
    <w:p w:rsidR="00F010D5" w:rsidRDefault="00F010D5" w:rsidP="00F010D5">
      <w:pPr>
        <w:spacing w:after="0" w:line="240" w:lineRule="auto"/>
        <w:ind w:left="720"/>
        <w:jc w:val="center"/>
        <w:rPr>
          <w:rFonts w:ascii="Arial" w:hAnsi="Arial" w:cs="Arial"/>
          <w:b/>
          <w:sz w:val="24"/>
          <w:szCs w:val="24"/>
        </w:rPr>
      </w:pPr>
    </w:p>
    <w:p w:rsidR="00F010D5" w:rsidRDefault="00F010D5" w:rsidP="00F010D5">
      <w:pPr>
        <w:spacing w:after="0" w:line="240" w:lineRule="auto"/>
        <w:ind w:left="720"/>
        <w:jc w:val="center"/>
        <w:rPr>
          <w:rFonts w:ascii="Arial" w:hAnsi="Arial" w:cs="Arial"/>
          <w:b/>
          <w:sz w:val="24"/>
          <w:szCs w:val="24"/>
        </w:rPr>
      </w:pPr>
    </w:p>
    <w:p w:rsidR="00F010D5" w:rsidRDefault="00F010D5" w:rsidP="00F010D5">
      <w:pPr>
        <w:spacing w:after="0" w:line="240" w:lineRule="auto"/>
        <w:ind w:left="720"/>
        <w:jc w:val="center"/>
        <w:rPr>
          <w:rFonts w:ascii="Arial" w:hAnsi="Arial" w:cs="Arial"/>
          <w:b/>
          <w:sz w:val="24"/>
          <w:szCs w:val="24"/>
        </w:rPr>
      </w:pPr>
    </w:p>
    <w:p w:rsidR="00F010D5" w:rsidRDefault="00F010D5" w:rsidP="00F010D5">
      <w:pPr>
        <w:spacing w:after="0" w:line="240" w:lineRule="auto"/>
        <w:ind w:left="720"/>
        <w:jc w:val="center"/>
        <w:rPr>
          <w:rFonts w:ascii="Arial" w:hAnsi="Arial" w:cs="Arial"/>
          <w:b/>
          <w:sz w:val="24"/>
          <w:szCs w:val="24"/>
        </w:rPr>
      </w:pPr>
    </w:p>
    <w:p w:rsidR="001258C7" w:rsidRPr="00B351DD" w:rsidRDefault="001258C7" w:rsidP="003C410C">
      <w:pPr>
        <w:spacing w:after="0" w:line="240" w:lineRule="auto"/>
        <w:ind w:left="720"/>
        <w:jc w:val="both"/>
        <w:rPr>
          <w:rFonts w:ascii="Arial" w:hAnsi="Arial" w:cs="Arial"/>
          <w:b/>
          <w:sz w:val="24"/>
          <w:szCs w:val="24"/>
        </w:rPr>
      </w:pPr>
    </w:p>
    <w:p w:rsidR="004108B0" w:rsidRDefault="004108B0" w:rsidP="003C410C">
      <w:pPr>
        <w:spacing w:before="100" w:beforeAutospacing="1" w:after="0" w:line="240" w:lineRule="auto"/>
        <w:ind w:left="720"/>
        <w:jc w:val="both"/>
        <w:rPr>
          <w:rFonts w:ascii="Arial" w:hAnsi="Arial" w:cs="Arial"/>
          <w:sz w:val="24"/>
          <w:szCs w:val="24"/>
        </w:rPr>
      </w:pPr>
    </w:p>
    <w:p w:rsidR="004108B0" w:rsidRDefault="004108B0" w:rsidP="003C410C">
      <w:pPr>
        <w:spacing w:before="100" w:beforeAutospacing="1" w:after="0" w:line="240" w:lineRule="auto"/>
        <w:ind w:left="720"/>
        <w:jc w:val="both"/>
        <w:rPr>
          <w:rFonts w:ascii="Arial" w:hAnsi="Arial" w:cs="Arial"/>
          <w:sz w:val="24"/>
          <w:szCs w:val="24"/>
        </w:rPr>
      </w:pPr>
    </w:p>
    <w:p w:rsidR="004108B0" w:rsidRDefault="004108B0" w:rsidP="003C410C">
      <w:pPr>
        <w:spacing w:before="100" w:beforeAutospacing="1" w:after="0" w:line="240" w:lineRule="auto"/>
        <w:ind w:left="720"/>
        <w:jc w:val="both"/>
        <w:rPr>
          <w:rFonts w:ascii="Arial" w:hAnsi="Arial" w:cs="Arial"/>
          <w:sz w:val="24"/>
          <w:szCs w:val="24"/>
        </w:rPr>
      </w:pPr>
    </w:p>
    <w:p w:rsidR="004108B0" w:rsidRDefault="004108B0" w:rsidP="003C410C">
      <w:pPr>
        <w:spacing w:before="100" w:beforeAutospacing="1" w:after="0" w:line="240" w:lineRule="auto"/>
        <w:ind w:left="720"/>
        <w:jc w:val="both"/>
        <w:rPr>
          <w:rFonts w:ascii="Arial" w:hAnsi="Arial" w:cs="Arial"/>
          <w:sz w:val="24"/>
          <w:szCs w:val="24"/>
        </w:rPr>
      </w:pPr>
    </w:p>
    <w:p w:rsidR="004108B0" w:rsidRDefault="004108B0" w:rsidP="003C410C">
      <w:pPr>
        <w:spacing w:before="100" w:beforeAutospacing="1" w:after="0" w:line="240" w:lineRule="auto"/>
        <w:ind w:left="720"/>
        <w:jc w:val="both"/>
        <w:rPr>
          <w:rFonts w:ascii="Arial" w:hAnsi="Arial" w:cs="Arial"/>
          <w:sz w:val="24"/>
          <w:szCs w:val="24"/>
        </w:rPr>
      </w:pPr>
    </w:p>
    <w:p w:rsidR="004108B0" w:rsidRDefault="004108B0" w:rsidP="003C410C">
      <w:pPr>
        <w:spacing w:before="100" w:beforeAutospacing="1" w:after="0" w:line="240" w:lineRule="auto"/>
        <w:ind w:left="720"/>
        <w:jc w:val="both"/>
        <w:rPr>
          <w:rFonts w:ascii="Arial" w:hAnsi="Arial" w:cs="Arial"/>
          <w:sz w:val="24"/>
          <w:szCs w:val="24"/>
        </w:rPr>
      </w:pPr>
    </w:p>
    <w:p w:rsidR="004108B0" w:rsidRDefault="004108B0" w:rsidP="003C410C">
      <w:pPr>
        <w:spacing w:before="100" w:beforeAutospacing="1" w:after="0" w:line="240" w:lineRule="auto"/>
        <w:ind w:left="720"/>
        <w:jc w:val="both"/>
        <w:rPr>
          <w:rFonts w:ascii="Arial" w:hAnsi="Arial" w:cs="Arial"/>
          <w:sz w:val="24"/>
          <w:szCs w:val="24"/>
        </w:rPr>
      </w:pPr>
    </w:p>
    <w:p w:rsidR="004108B0" w:rsidRDefault="004108B0" w:rsidP="003C410C">
      <w:pPr>
        <w:spacing w:before="100" w:beforeAutospacing="1" w:after="0" w:line="240" w:lineRule="auto"/>
        <w:ind w:left="720"/>
        <w:jc w:val="both"/>
        <w:rPr>
          <w:rFonts w:ascii="Arial" w:hAnsi="Arial" w:cs="Arial"/>
          <w:sz w:val="24"/>
          <w:szCs w:val="24"/>
        </w:rPr>
      </w:pPr>
    </w:p>
    <w:p w:rsidR="004108B0" w:rsidRDefault="004108B0" w:rsidP="003C410C">
      <w:pPr>
        <w:spacing w:before="100" w:beforeAutospacing="1" w:after="0" w:line="240" w:lineRule="auto"/>
        <w:ind w:left="720"/>
        <w:jc w:val="both"/>
        <w:rPr>
          <w:rFonts w:ascii="Arial" w:hAnsi="Arial" w:cs="Arial"/>
          <w:sz w:val="24"/>
          <w:szCs w:val="24"/>
        </w:rPr>
      </w:pPr>
    </w:p>
    <w:p w:rsidR="00D3442D" w:rsidRDefault="002162FC" w:rsidP="003C410C">
      <w:pPr>
        <w:spacing w:before="100" w:beforeAutospacing="1" w:after="0" w:line="240" w:lineRule="auto"/>
        <w:ind w:left="720"/>
        <w:jc w:val="both"/>
        <w:rPr>
          <w:rFonts w:ascii="Arial" w:hAnsi="Arial" w:cs="Arial"/>
          <w:sz w:val="24"/>
          <w:szCs w:val="24"/>
        </w:rPr>
      </w:pPr>
      <w:bookmarkStart w:id="0" w:name="_GoBack"/>
      <w:bookmarkEnd w:id="0"/>
      <w:r>
        <w:rPr>
          <w:rFonts w:ascii="Arial" w:hAnsi="Arial" w:cs="Arial"/>
          <w:sz w:val="24"/>
          <w:szCs w:val="24"/>
        </w:rPr>
        <w:lastRenderedPageBreak/>
        <w:t xml:space="preserve">Heard on: </w:t>
      </w:r>
      <w:r w:rsidR="00EC1577">
        <w:rPr>
          <w:rFonts w:ascii="Arial" w:hAnsi="Arial" w:cs="Arial"/>
          <w:sz w:val="24"/>
          <w:szCs w:val="24"/>
        </w:rPr>
        <w:t>26 April</w:t>
      </w:r>
      <w:r w:rsidR="00B2714F">
        <w:rPr>
          <w:rFonts w:ascii="Arial" w:hAnsi="Arial" w:cs="Arial"/>
          <w:sz w:val="24"/>
          <w:szCs w:val="24"/>
        </w:rPr>
        <w:t xml:space="preserve"> </w:t>
      </w:r>
      <w:r w:rsidR="00EA383B">
        <w:rPr>
          <w:rFonts w:ascii="Arial" w:hAnsi="Arial" w:cs="Arial"/>
          <w:sz w:val="24"/>
          <w:szCs w:val="24"/>
        </w:rPr>
        <w:t>2023</w:t>
      </w:r>
    </w:p>
    <w:p w:rsidR="00894EE6" w:rsidRDefault="00194964" w:rsidP="00B2714F">
      <w:pPr>
        <w:spacing w:before="100" w:beforeAutospacing="1" w:after="0" w:line="240" w:lineRule="auto"/>
        <w:ind w:left="720"/>
        <w:jc w:val="both"/>
        <w:rPr>
          <w:rFonts w:ascii="Arial" w:hAnsi="Arial" w:cs="Arial"/>
          <w:sz w:val="24"/>
          <w:szCs w:val="24"/>
        </w:rPr>
      </w:pPr>
      <w:r w:rsidRPr="002162FC">
        <w:rPr>
          <w:rFonts w:ascii="Arial" w:hAnsi="Arial" w:cs="Arial"/>
          <w:sz w:val="24"/>
          <w:szCs w:val="24"/>
        </w:rPr>
        <w:t>Judgment Delivered:</w:t>
      </w:r>
      <w:r w:rsidR="00B51448">
        <w:rPr>
          <w:rFonts w:ascii="Arial" w:hAnsi="Arial" w:cs="Arial"/>
          <w:sz w:val="24"/>
          <w:szCs w:val="24"/>
        </w:rPr>
        <w:t xml:space="preserve"> </w:t>
      </w:r>
      <w:r w:rsidR="00B2714F">
        <w:rPr>
          <w:rFonts w:ascii="Arial" w:hAnsi="Arial" w:cs="Arial"/>
          <w:sz w:val="24"/>
          <w:szCs w:val="24"/>
        </w:rPr>
        <w:t>01 June 2023</w:t>
      </w:r>
    </w:p>
    <w:p w:rsidR="00503CD7" w:rsidRPr="002162FC" w:rsidRDefault="00503CD7" w:rsidP="003C410C">
      <w:pPr>
        <w:spacing w:before="100" w:beforeAutospacing="1" w:after="0" w:line="240" w:lineRule="auto"/>
        <w:ind w:left="720"/>
        <w:jc w:val="both"/>
        <w:rPr>
          <w:rFonts w:ascii="Arial" w:hAnsi="Arial" w:cs="Arial"/>
          <w:sz w:val="24"/>
          <w:szCs w:val="24"/>
        </w:rPr>
      </w:pPr>
    </w:p>
    <w:p w:rsidR="00D06561" w:rsidRPr="000C1820" w:rsidRDefault="002510C9" w:rsidP="003C410C">
      <w:pPr>
        <w:spacing w:before="100" w:beforeAutospacing="1" w:after="0" w:line="240" w:lineRule="auto"/>
        <w:ind w:left="720"/>
        <w:jc w:val="both"/>
        <w:rPr>
          <w:rFonts w:ascii="Arial" w:hAnsi="Arial" w:cs="Arial"/>
          <w:b/>
          <w:bCs/>
          <w:sz w:val="24"/>
          <w:szCs w:val="24"/>
          <w:u w:val="single"/>
        </w:rPr>
      </w:pPr>
      <w:r w:rsidRPr="000C1820">
        <w:rPr>
          <w:rFonts w:ascii="Arial" w:hAnsi="Arial" w:cs="Arial"/>
          <w:b/>
          <w:bCs/>
          <w:sz w:val="24"/>
          <w:szCs w:val="24"/>
          <w:u w:val="single"/>
        </w:rPr>
        <w:t>APPEARANCES:</w:t>
      </w:r>
    </w:p>
    <w:p w:rsidR="007745E5" w:rsidRPr="00CD6B19" w:rsidRDefault="00194964" w:rsidP="003C410C">
      <w:pPr>
        <w:spacing w:before="100" w:beforeAutospacing="1" w:after="0" w:line="240" w:lineRule="auto"/>
        <w:ind w:left="720"/>
        <w:jc w:val="both"/>
        <w:rPr>
          <w:rFonts w:ascii="Arial" w:hAnsi="Arial" w:cs="Arial"/>
          <w:bCs/>
          <w:sz w:val="24"/>
          <w:szCs w:val="24"/>
        </w:rPr>
      </w:pPr>
      <w:r w:rsidRPr="00CD6B19">
        <w:rPr>
          <w:rFonts w:ascii="Arial" w:hAnsi="Arial" w:cs="Arial"/>
          <w:bCs/>
          <w:sz w:val="24"/>
          <w:szCs w:val="24"/>
        </w:rPr>
        <w:t>For the Applicant</w:t>
      </w:r>
      <w:r w:rsidR="00924E53" w:rsidRPr="00CD6B19">
        <w:rPr>
          <w:rFonts w:ascii="Arial" w:hAnsi="Arial" w:cs="Arial"/>
          <w:bCs/>
          <w:sz w:val="24"/>
          <w:szCs w:val="24"/>
        </w:rPr>
        <w:t xml:space="preserve">: Adv. </w:t>
      </w:r>
      <w:r w:rsidR="00621D67" w:rsidRPr="00CD6B19">
        <w:rPr>
          <w:rFonts w:ascii="Arial" w:hAnsi="Arial" w:cs="Arial"/>
          <w:bCs/>
          <w:sz w:val="24"/>
          <w:szCs w:val="24"/>
        </w:rPr>
        <w:t>MJ Cooke</w:t>
      </w:r>
    </w:p>
    <w:p w:rsidR="00E71452" w:rsidRPr="00CD6B19" w:rsidRDefault="00E71452" w:rsidP="003C410C">
      <w:pPr>
        <w:spacing w:before="100" w:beforeAutospacing="1" w:after="0" w:line="240" w:lineRule="auto"/>
        <w:ind w:left="720"/>
        <w:jc w:val="both"/>
        <w:rPr>
          <w:rFonts w:ascii="Arial" w:hAnsi="Arial" w:cs="Arial"/>
          <w:bCs/>
          <w:sz w:val="24"/>
          <w:szCs w:val="24"/>
        </w:rPr>
      </w:pPr>
      <w:r w:rsidRPr="00CD6B19">
        <w:rPr>
          <w:rFonts w:ascii="Arial" w:hAnsi="Arial" w:cs="Arial"/>
          <w:bCs/>
          <w:sz w:val="24"/>
          <w:szCs w:val="24"/>
        </w:rPr>
        <w:t xml:space="preserve">Instructed by: </w:t>
      </w:r>
      <w:proofErr w:type="spellStart"/>
      <w:r w:rsidRPr="00CD6B19">
        <w:rPr>
          <w:rFonts w:ascii="Arial" w:hAnsi="Arial" w:cs="Arial"/>
          <w:bCs/>
          <w:sz w:val="24"/>
          <w:szCs w:val="24"/>
        </w:rPr>
        <w:t>Schindlers</w:t>
      </w:r>
      <w:proofErr w:type="spellEnd"/>
      <w:r w:rsidRPr="00CD6B19">
        <w:rPr>
          <w:rFonts w:ascii="Arial" w:hAnsi="Arial" w:cs="Arial"/>
          <w:bCs/>
          <w:sz w:val="24"/>
          <w:szCs w:val="24"/>
        </w:rPr>
        <w:t xml:space="preserve"> Attorneys and Notaries </w:t>
      </w:r>
    </w:p>
    <w:p w:rsidR="00A43784" w:rsidRPr="00CD6B19" w:rsidRDefault="00194964" w:rsidP="003C410C">
      <w:pPr>
        <w:spacing w:before="100" w:beforeAutospacing="1" w:after="0" w:line="240" w:lineRule="auto"/>
        <w:ind w:left="720"/>
        <w:jc w:val="both"/>
        <w:rPr>
          <w:rFonts w:ascii="Arial" w:hAnsi="Arial" w:cs="Arial"/>
          <w:bCs/>
          <w:sz w:val="24"/>
          <w:szCs w:val="24"/>
        </w:rPr>
      </w:pPr>
      <w:r w:rsidRPr="00CD6B19">
        <w:rPr>
          <w:rFonts w:ascii="Arial" w:hAnsi="Arial" w:cs="Arial"/>
          <w:bCs/>
          <w:sz w:val="24"/>
          <w:szCs w:val="24"/>
        </w:rPr>
        <w:t xml:space="preserve">For the Respondent: </w:t>
      </w:r>
      <w:r w:rsidR="00F6243C" w:rsidRPr="00CD6B19">
        <w:rPr>
          <w:rFonts w:ascii="Arial" w:hAnsi="Arial" w:cs="Arial"/>
          <w:bCs/>
          <w:sz w:val="24"/>
          <w:szCs w:val="24"/>
        </w:rPr>
        <w:t xml:space="preserve">Adv.MR </w:t>
      </w:r>
      <w:proofErr w:type="spellStart"/>
      <w:r w:rsidR="00F6243C" w:rsidRPr="00CD6B19">
        <w:rPr>
          <w:rFonts w:ascii="Arial" w:hAnsi="Arial" w:cs="Arial"/>
          <w:bCs/>
          <w:sz w:val="24"/>
          <w:szCs w:val="24"/>
        </w:rPr>
        <w:t>Maphutha</w:t>
      </w:r>
      <w:proofErr w:type="spellEnd"/>
    </w:p>
    <w:p w:rsidR="00E71452" w:rsidRPr="00CD6B19" w:rsidRDefault="00E71452" w:rsidP="003C410C">
      <w:pPr>
        <w:spacing w:before="100" w:beforeAutospacing="1" w:after="0" w:line="240" w:lineRule="auto"/>
        <w:ind w:left="720"/>
        <w:jc w:val="both"/>
        <w:rPr>
          <w:rFonts w:ascii="Arial" w:hAnsi="Arial" w:cs="Arial"/>
          <w:bCs/>
          <w:sz w:val="24"/>
          <w:szCs w:val="24"/>
        </w:rPr>
      </w:pPr>
      <w:r w:rsidRPr="00CD6B19">
        <w:rPr>
          <w:rFonts w:ascii="Arial" w:hAnsi="Arial" w:cs="Arial"/>
          <w:bCs/>
          <w:sz w:val="24"/>
          <w:szCs w:val="24"/>
        </w:rPr>
        <w:t xml:space="preserve">Instructed by: </w:t>
      </w:r>
      <w:proofErr w:type="spellStart"/>
      <w:r w:rsidR="0035196C" w:rsidRPr="00CD6B19">
        <w:rPr>
          <w:rFonts w:ascii="Arial" w:hAnsi="Arial" w:cs="Arial"/>
          <w:bCs/>
          <w:sz w:val="24"/>
          <w:szCs w:val="24"/>
        </w:rPr>
        <w:t>Mahanoe</w:t>
      </w:r>
      <w:proofErr w:type="spellEnd"/>
      <w:r w:rsidR="0035196C" w:rsidRPr="00CD6B19">
        <w:rPr>
          <w:rFonts w:ascii="Arial" w:hAnsi="Arial" w:cs="Arial"/>
          <w:bCs/>
          <w:sz w:val="24"/>
          <w:szCs w:val="24"/>
        </w:rPr>
        <w:t xml:space="preserve"> Attorneys </w:t>
      </w:r>
    </w:p>
    <w:sectPr w:rsidR="00E71452" w:rsidRPr="00CD6B1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C5C" w:rsidRDefault="00A86C5C" w:rsidP="00AC2667">
      <w:pPr>
        <w:spacing w:after="0" w:line="240" w:lineRule="auto"/>
      </w:pPr>
      <w:r>
        <w:separator/>
      </w:r>
    </w:p>
  </w:endnote>
  <w:endnote w:type="continuationSeparator" w:id="0">
    <w:p w:rsidR="00A86C5C" w:rsidRDefault="00A86C5C" w:rsidP="00AC2667">
      <w:pPr>
        <w:spacing w:after="0" w:line="240" w:lineRule="auto"/>
      </w:pPr>
      <w:r>
        <w:continuationSeparator/>
      </w:r>
    </w:p>
  </w:endnote>
  <w:endnote w:type="continuationNotice" w:id="1">
    <w:p w:rsidR="00A86C5C" w:rsidRDefault="00A86C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86437"/>
      <w:docPartObj>
        <w:docPartGallery w:val="Page Numbers (Bottom of Page)"/>
        <w:docPartUnique/>
      </w:docPartObj>
    </w:sdtPr>
    <w:sdtEndPr>
      <w:rPr>
        <w:noProof/>
      </w:rPr>
    </w:sdtEndPr>
    <w:sdtContent>
      <w:p w:rsidR="00A55A4B" w:rsidRDefault="00A55A4B">
        <w:pPr>
          <w:pStyle w:val="Footer"/>
          <w:jc w:val="center"/>
        </w:pPr>
        <w:r>
          <w:fldChar w:fldCharType="begin"/>
        </w:r>
        <w:r>
          <w:instrText xml:space="preserve"> PAGE   \* MERGEFORMAT </w:instrText>
        </w:r>
        <w:r>
          <w:fldChar w:fldCharType="separate"/>
        </w:r>
        <w:r w:rsidR="004108B0">
          <w:rPr>
            <w:noProof/>
          </w:rPr>
          <w:t>11</w:t>
        </w:r>
        <w:r>
          <w:rPr>
            <w:noProof/>
          </w:rPr>
          <w:fldChar w:fldCharType="end"/>
        </w:r>
      </w:p>
    </w:sdtContent>
  </w:sdt>
  <w:p w:rsidR="00A55A4B" w:rsidRDefault="00A55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C5C" w:rsidRDefault="00A86C5C" w:rsidP="00AC2667">
      <w:pPr>
        <w:spacing w:after="0" w:line="240" w:lineRule="auto"/>
      </w:pPr>
      <w:r>
        <w:separator/>
      </w:r>
    </w:p>
  </w:footnote>
  <w:footnote w:type="continuationSeparator" w:id="0">
    <w:p w:rsidR="00A86C5C" w:rsidRDefault="00A86C5C" w:rsidP="00AC2667">
      <w:pPr>
        <w:spacing w:after="0" w:line="240" w:lineRule="auto"/>
      </w:pPr>
      <w:r>
        <w:continuationSeparator/>
      </w:r>
    </w:p>
  </w:footnote>
  <w:footnote w:type="continuationNotice" w:id="1">
    <w:p w:rsidR="00A86C5C" w:rsidRDefault="00A86C5C">
      <w:pPr>
        <w:spacing w:after="0" w:line="240" w:lineRule="auto"/>
      </w:pPr>
    </w:p>
  </w:footnote>
  <w:footnote w:id="2">
    <w:p w:rsidR="00D80A42" w:rsidRPr="00D80A42" w:rsidRDefault="00D80A42">
      <w:pPr>
        <w:pStyle w:val="FootnoteText"/>
        <w:rPr>
          <w:lang w:val="en-US"/>
        </w:rPr>
      </w:pPr>
      <w:r>
        <w:rPr>
          <w:rStyle w:val="FootnoteReference"/>
        </w:rPr>
        <w:footnoteRef/>
      </w:r>
      <w:r>
        <w:t xml:space="preserve"> </w:t>
      </w:r>
      <w:r>
        <w:rPr>
          <w:lang w:val="en-US"/>
        </w:rPr>
        <w:t xml:space="preserve">The Superior Court </w:t>
      </w:r>
      <w:r w:rsidR="00045844">
        <w:rPr>
          <w:lang w:val="en-US"/>
        </w:rPr>
        <w:t xml:space="preserve">10 of 2013 </w:t>
      </w:r>
      <w:r w:rsidR="00D843A8">
        <w:rPr>
          <w:lang w:val="en-US"/>
        </w:rPr>
        <w:t>rep</w:t>
      </w:r>
      <w:r w:rsidR="004313BA">
        <w:rPr>
          <w:lang w:val="en-US"/>
        </w:rPr>
        <w:t xml:space="preserve">ealed in whole the Supreme Court 59 </w:t>
      </w:r>
      <w:r w:rsidR="00D92DB9">
        <w:rPr>
          <w:lang w:val="en-US"/>
        </w:rPr>
        <w:t xml:space="preserve">of 1959 and came into operation with effect </w:t>
      </w:r>
      <w:r w:rsidR="009C6B25">
        <w:rPr>
          <w:lang w:val="en-US"/>
        </w:rPr>
        <w:t>from 23 August 2013</w:t>
      </w:r>
      <w:r w:rsidR="0077190A">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54"/>
    <w:rsid w:val="00000333"/>
    <w:rsid w:val="000005E0"/>
    <w:rsid w:val="000020D4"/>
    <w:rsid w:val="000042CC"/>
    <w:rsid w:val="00011EF9"/>
    <w:rsid w:val="00012D9F"/>
    <w:rsid w:val="000151D1"/>
    <w:rsid w:val="00032E6C"/>
    <w:rsid w:val="000358DE"/>
    <w:rsid w:val="000422CC"/>
    <w:rsid w:val="00043FC4"/>
    <w:rsid w:val="00044249"/>
    <w:rsid w:val="00045494"/>
    <w:rsid w:val="00045844"/>
    <w:rsid w:val="0005090B"/>
    <w:rsid w:val="000540C6"/>
    <w:rsid w:val="00056124"/>
    <w:rsid w:val="00056298"/>
    <w:rsid w:val="00062906"/>
    <w:rsid w:val="00062B3F"/>
    <w:rsid w:val="00065968"/>
    <w:rsid w:val="00065CA9"/>
    <w:rsid w:val="000703D8"/>
    <w:rsid w:val="00070F79"/>
    <w:rsid w:val="00073B7F"/>
    <w:rsid w:val="000863CF"/>
    <w:rsid w:val="0009058A"/>
    <w:rsid w:val="00092AD9"/>
    <w:rsid w:val="0009392F"/>
    <w:rsid w:val="0009791F"/>
    <w:rsid w:val="000A041F"/>
    <w:rsid w:val="000A0895"/>
    <w:rsid w:val="000A0C8A"/>
    <w:rsid w:val="000B0008"/>
    <w:rsid w:val="000B6BF7"/>
    <w:rsid w:val="000B76CD"/>
    <w:rsid w:val="000C0CA3"/>
    <w:rsid w:val="000C1820"/>
    <w:rsid w:val="000C2A63"/>
    <w:rsid w:val="000C2B8D"/>
    <w:rsid w:val="000C4486"/>
    <w:rsid w:val="000C73A9"/>
    <w:rsid w:val="000D3DF0"/>
    <w:rsid w:val="000D569D"/>
    <w:rsid w:val="000D5E71"/>
    <w:rsid w:val="000E2522"/>
    <w:rsid w:val="000F4997"/>
    <w:rsid w:val="000F51FA"/>
    <w:rsid w:val="000F5F7C"/>
    <w:rsid w:val="000F65E2"/>
    <w:rsid w:val="00101558"/>
    <w:rsid w:val="001021EE"/>
    <w:rsid w:val="00113531"/>
    <w:rsid w:val="00114D47"/>
    <w:rsid w:val="00116A65"/>
    <w:rsid w:val="001238F9"/>
    <w:rsid w:val="00125089"/>
    <w:rsid w:val="001258C7"/>
    <w:rsid w:val="001279D8"/>
    <w:rsid w:val="00131D2A"/>
    <w:rsid w:val="00133955"/>
    <w:rsid w:val="001352CE"/>
    <w:rsid w:val="0014305B"/>
    <w:rsid w:val="00145A30"/>
    <w:rsid w:val="00145F69"/>
    <w:rsid w:val="001460D6"/>
    <w:rsid w:val="00147A95"/>
    <w:rsid w:val="00151C1F"/>
    <w:rsid w:val="0015336A"/>
    <w:rsid w:val="001533D9"/>
    <w:rsid w:val="00154A96"/>
    <w:rsid w:val="0015618F"/>
    <w:rsid w:val="00157FC4"/>
    <w:rsid w:val="001620BE"/>
    <w:rsid w:val="001634D6"/>
    <w:rsid w:val="0016471B"/>
    <w:rsid w:val="001703C8"/>
    <w:rsid w:val="00172190"/>
    <w:rsid w:val="00174953"/>
    <w:rsid w:val="001776DB"/>
    <w:rsid w:val="00177DC6"/>
    <w:rsid w:val="00177EF5"/>
    <w:rsid w:val="00180A00"/>
    <w:rsid w:val="001815ED"/>
    <w:rsid w:val="001839C4"/>
    <w:rsid w:val="00184489"/>
    <w:rsid w:val="00186B60"/>
    <w:rsid w:val="00190DB8"/>
    <w:rsid w:val="00192A88"/>
    <w:rsid w:val="00194964"/>
    <w:rsid w:val="00194ACC"/>
    <w:rsid w:val="00195C60"/>
    <w:rsid w:val="00197A21"/>
    <w:rsid w:val="001A3593"/>
    <w:rsid w:val="001A4A32"/>
    <w:rsid w:val="001A7267"/>
    <w:rsid w:val="001B3190"/>
    <w:rsid w:val="001B489A"/>
    <w:rsid w:val="001C1FAE"/>
    <w:rsid w:val="001C674A"/>
    <w:rsid w:val="001C7A32"/>
    <w:rsid w:val="001D06E7"/>
    <w:rsid w:val="001D303E"/>
    <w:rsid w:val="001D322E"/>
    <w:rsid w:val="001D7DDB"/>
    <w:rsid w:val="001E3EF3"/>
    <w:rsid w:val="001E511C"/>
    <w:rsid w:val="001E55EC"/>
    <w:rsid w:val="001E59A6"/>
    <w:rsid w:val="001E63AA"/>
    <w:rsid w:val="001E7B42"/>
    <w:rsid w:val="00203602"/>
    <w:rsid w:val="00205D42"/>
    <w:rsid w:val="00207DB0"/>
    <w:rsid w:val="002142D3"/>
    <w:rsid w:val="002162FC"/>
    <w:rsid w:val="00220DF3"/>
    <w:rsid w:val="002236CA"/>
    <w:rsid w:val="0023206E"/>
    <w:rsid w:val="0023392B"/>
    <w:rsid w:val="00235A85"/>
    <w:rsid w:val="002445CF"/>
    <w:rsid w:val="0024686D"/>
    <w:rsid w:val="00246D82"/>
    <w:rsid w:val="002510C9"/>
    <w:rsid w:val="002521AC"/>
    <w:rsid w:val="0025376A"/>
    <w:rsid w:val="002557AF"/>
    <w:rsid w:val="00255EC3"/>
    <w:rsid w:val="002624C7"/>
    <w:rsid w:val="0026782A"/>
    <w:rsid w:val="0027766C"/>
    <w:rsid w:val="002836B8"/>
    <w:rsid w:val="00285197"/>
    <w:rsid w:val="0028534B"/>
    <w:rsid w:val="0029178E"/>
    <w:rsid w:val="00295B62"/>
    <w:rsid w:val="002A11E0"/>
    <w:rsid w:val="002A6A15"/>
    <w:rsid w:val="002A7C65"/>
    <w:rsid w:val="002A7EF2"/>
    <w:rsid w:val="002B0AD0"/>
    <w:rsid w:val="002B1E52"/>
    <w:rsid w:val="002B208A"/>
    <w:rsid w:val="002B24D0"/>
    <w:rsid w:val="002B3AEC"/>
    <w:rsid w:val="002B7D15"/>
    <w:rsid w:val="002C15FA"/>
    <w:rsid w:val="002C3810"/>
    <w:rsid w:val="002C6586"/>
    <w:rsid w:val="002C7355"/>
    <w:rsid w:val="002D1F6B"/>
    <w:rsid w:val="002D22D9"/>
    <w:rsid w:val="002D4BCE"/>
    <w:rsid w:val="002D76ED"/>
    <w:rsid w:val="002E1140"/>
    <w:rsid w:val="002E64C7"/>
    <w:rsid w:val="002F0679"/>
    <w:rsid w:val="002F2346"/>
    <w:rsid w:val="003038FF"/>
    <w:rsid w:val="00311675"/>
    <w:rsid w:val="00311AA2"/>
    <w:rsid w:val="00316D57"/>
    <w:rsid w:val="00317466"/>
    <w:rsid w:val="0032206E"/>
    <w:rsid w:val="00324B4A"/>
    <w:rsid w:val="003274BB"/>
    <w:rsid w:val="00331AE0"/>
    <w:rsid w:val="0033344D"/>
    <w:rsid w:val="003344B0"/>
    <w:rsid w:val="0033530C"/>
    <w:rsid w:val="00335B58"/>
    <w:rsid w:val="003361BC"/>
    <w:rsid w:val="00337B2A"/>
    <w:rsid w:val="00337E04"/>
    <w:rsid w:val="00342850"/>
    <w:rsid w:val="00343A13"/>
    <w:rsid w:val="0034409C"/>
    <w:rsid w:val="00344B00"/>
    <w:rsid w:val="00345A0D"/>
    <w:rsid w:val="00350330"/>
    <w:rsid w:val="0035196C"/>
    <w:rsid w:val="00354780"/>
    <w:rsid w:val="00354E7F"/>
    <w:rsid w:val="00355CCA"/>
    <w:rsid w:val="00357F14"/>
    <w:rsid w:val="00363211"/>
    <w:rsid w:val="003635D9"/>
    <w:rsid w:val="0036369E"/>
    <w:rsid w:val="00371068"/>
    <w:rsid w:val="0037276F"/>
    <w:rsid w:val="00372B70"/>
    <w:rsid w:val="00373756"/>
    <w:rsid w:val="003740FE"/>
    <w:rsid w:val="00377271"/>
    <w:rsid w:val="00377814"/>
    <w:rsid w:val="00377CFB"/>
    <w:rsid w:val="0038041F"/>
    <w:rsid w:val="003823BC"/>
    <w:rsid w:val="00390552"/>
    <w:rsid w:val="003A4683"/>
    <w:rsid w:val="003A5CFC"/>
    <w:rsid w:val="003A70B0"/>
    <w:rsid w:val="003B0A76"/>
    <w:rsid w:val="003B3FF6"/>
    <w:rsid w:val="003B43CF"/>
    <w:rsid w:val="003B45F4"/>
    <w:rsid w:val="003C03C7"/>
    <w:rsid w:val="003C15FE"/>
    <w:rsid w:val="003C410C"/>
    <w:rsid w:val="003D0867"/>
    <w:rsid w:val="003D3EDF"/>
    <w:rsid w:val="003E3C4B"/>
    <w:rsid w:val="003F72C8"/>
    <w:rsid w:val="003F7CB4"/>
    <w:rsid w:val="00400DE1"/>
    <w:rsid w:val="0040290B"/>
    <w:rsid w:val="00403FD8"/>
    <w:rsid w:val="004108B0"/>
    <w:rsid w:val="00413CC3"/>
    <w:rsid w:val="00414A1D"/>
    <w:rsid w:val="0042086A"/>
    <w:rsid w:val="00422ADD"/>
    <w:rsid w:val="00424E35"/>
    <w:rsid w:val="0042520D"/>
    <w:rsid w:val="00427292"/>
    <w:rsid w:val="00427899"/>
    <w:rsid w:val="00430004"/>
    <w:rsid w:val="004307E6"/>
    <w:rsid w:val="004313BA"/>
    <w:rsid w:val="004378A9"/>
    <w:rsid w:val="0044384E"/>
    <w:rsid w:val="0044591F"/>
    <w:rsid w:val="00450A6E"/>
    <w:rsid w:val="004516B1"/>
    <w:rsid w:val="0045546D"/>
    <w:rsid w:val="004573A9"/>
    <w:rsid w:val="00461DDB"/>
    <w:rsid w:val="00463FA1"/>
    <w:rsid w:val="0046608F"/>
    <w:rsid w:val="00471021"/>
    <w:rsid w:val="00471D32"/>
    <w:rsid w:val="00471E8E"/>
    <w:rsid w:val="004745D3"/>
    <w:rsid w:val="004770A0"/>
    <w:rsid w:val="00481A30"/>
    <w:rsid w:val="004827D5"/>
    <w:rsid w:val="0049053E"/>
    <w:rsid w:val="004910B6"/>
    <w:rsid w:val="00493F50"/>
    <w:rsid w:val="00494B9A"/>
    <w:rsid w:val="004974A2"/>
    <w:rsid w:val="004A28BB"/>
    <w:rsid w:val="004B1CA7"/>
    <w:rsid w:val="004B285C"/>
    <w:rsid w:val="004B3494"/>
    <w:rsid w:val="004C0920"/>
    <w:rsid w:val="004C316D"/>
    <w:rsid w:val="004C3CA5"/>
    <w:rsid w:val="004C6010"/>
    <w:rsid w:val="004C6A73"/>
    <w:rsid w:val="004D528C"/>
    <w:rsid w:val="004D55D2"/>
    <w:rsid w:val="004E1763"/>
    <w:rsid w:val="004E4F33"/>
    <w:rsid w:val="004F748F"/>
    <w:rsid w:val="005017C9"/>
    <w:rsid w:val="00503CD7"/>
    <w:rsid w:val="005055B8"/>
    <w:rsid w:val="00506B06"/>
    <w:rsid w:val="00510FCA"/>
    <w:rsid w:val="0051465C"/>
    <w:rsid w:val="00514E53"/>
    <w:rsid w:val="005155BC"/>
    <w:rsid w:val="00515671"/>
    <w:rsid w:val="005202AA"/>
    <w:rsid w:val="00520D3F"/>
    <w:rsid w:val="00525AA7"/>
    <w:rsid w:val="00525E2A"/>
    <w:rsid w:val="005276F5"/>
    <w:rsid w:val="00530EE7"/>
    <w:rsid w:val="00533C63"/>
    <w:rsid w:val="00534F64"/>
    <w:rsid w:val="00543E0D"/>
    <w:rsid w:val="005444B1"/>
    <w:rsid w:val="00545663"/>
    <w:rsid w:val="00546F3A"/>
    <w:rsid w:val="005553F9"/>
    <w:rsid w:val="00556173"/>
    <w:rsid w:val="00556A12"/>
    <w:rsid w:val="00556C5F"/>
    <w:rsid w:val="005600B0"/>
    <w:rsid w:val="00561CBB"/>
    <w:rsid w:val="00565EC0"/>
    <w:rsid w:val="00566B36"/>
    <w:rsid w:val="00581213"/>
    <w:rsid w:val="00582DFE"/>
    <w:rsid w:val="00583AAA"/>
    <w:rsid w:val="00584472"/>
    <w:rsid w:val="005856DF"/>
    <w:rsid w:val="00587E1B"/>
    <w:rsid w:val="00592014"/>
    <w:rsid w:val="00593EE2"/>
    <w:rsid w:val="005A0F80"/>
    <w:rsid w:val="005B4FED"/>
    <w:rsid w:val="005C1058"/>
    <w:rsid w:val="005C1802"/>
    <w:rsid w:val="005C47CD"/>
    <w:rsid w:val="005C4C25"/>
    <w:rsid w:val="005C59D7"/>
    <w:rsid w:val="005C6F78"/>
    <w:rsid w:val="005D0539"/>
    <w:rsid w:val="005E05D0"/>
    <w:rsid w:val="005E13BE"/>
    <w:rsid w:val="005E2EDA"/>
    <w:rsid w:val="005E4D8C"/>
    <w:rsid w:val="005E6D2C"/>
    <w:rsid w:val="005F1054"/>
    <w:rsid w:val="005F1691"/>
    <w:rsid w:val="005F276F"/>
    <w:rsid w:val="00603241"/>
    <w:rsid w:val="006035E0"/>
    <w:rsid w:val="00605656"/>
    <w:rsid w:val="006131F7"/>
    <w:rsid w:val="00613EE4"/>
    <w:rsid w:val="00615833"/>
    <w:rsid w:val="00621B85"/>
    <w:rsid w:val="00621D67"/>
    <w:rsid w:val="00622B1B"/>
    <w:rsid w:val="006276A4"/>
    <w:rsid w:val="006308B8"/>
    <w:rsid w:val="006325EA"/>
    <w:rsid w:val="006365B6"/>
    <w:rsid w:val="00637E83"/>
    <w:rsid w:val="006405B4"/>
    <w:rsid w:val="0064295D"/>
    <w:rsid w:val="00646391"/>
    <w:rsid w:val="00651152"/>
    <w:rsid w:val="00654087"/>
    <w:rsid w:val="0066071B"/>
    <w:rsid w:val="00663E63"/>
    <w:rsid w:val="00666DC6"/>
    <w:rsid w:val="00667870"/>
    <w:rsid w:val="00670768"/>
    <w:rsid w:val="0067082F"/>
    <w:rsid w:val="006770EA"/>
    <w:rsid w:val="00680DBB"/>
    <w:rsid w:val="00682B42"/>
    <w:rsid w:val="00684967"/>
    <w:rsid w:val="006850F2"/>
    <w:rsid w:val="006936FC"/>
    <w:rsid w:val="0069384F"/>
    <w:rsid w:val="006955B9"/>
    <w:rsid w:val="006977C3"/>
    <w:rsid w:val="006A29CD"/>
    <w:rsid w:val="006A2F09"/>
    <w:rsid w:val="006A3D0A"/>
    <w:rsid w:val="006B1B97"/>
    <w:rsid w:val="006B4F7A"/>
    <w:rsid w:val="006B60AF"/>
    <w:rsid w:val="006B7F74"/>
    <w:rsid w:val="006C11E5"/>
    <w:rsid w:val="006C2221"/>
    <w:rsid w:val="006C50E5"/>
    <w:rsid w:val="006E0324"/>
    <w:rsid w:val="006E1AD3"/>
    <w:rsid w:val="006E2A58"/>
    <w:rsid w:val="006E79EE"/>
    <w:rsid w:val="0070344E"/>
    <w:rsid w:val="00703564"/>
    <w:rsid w:val="00704606"/>
    <w:rsid w:val="00704A67"/>
    <w:rsid w:val="00706B90"/>
    <w:rsid w:val="007072E4"/>
    <w:rsid w:val="00711F74"/>
    <w:rsid w:val="00735A2C"/>
    <w:rsid w:val="007362B4"/>
    <w:rsid w:val="00746643"/>
    <w:rsid w:val="007524B3"/>
    <w:rsid w:val="0075345E"/>
    <w:rsid w:val="00762DE9"/>
    <w:rsid w:val="00763610"/>
    <w:rsid w:val="007716F2"/>
    <w:rsid w:val="0077190A"/>
    <w:rsid w:val="00771A54"/>
    <w:rsid w:val="007745E5"/>
    <w:rsid w:val="00774B62"/>
    <w:rsid w:val="0077551E"/>
    <w:rsid w:val="00776C2A"/>
    <w:rsid w:val="00777060"/>
    <w:rsid w:val="00780CD4"/>
    <w:rsid w:val="00783BD1"/>
    <w:rsid w:val="00785FF3"/>
    <w:rsid w:val="00786E55"/>
    <w:rsid w:val="00787288"/>
    <w:rsid w:val="0079077C"/>
    <w:rsid w:val="00796189"/>
    <w:rsid w:val="00796A37"/>
    <w:rsid w:val="00797E96"/>
    <w:rsid w:val="007B26D8"/>
    <w:rsid w:val="007B270B"/>
    <w:rsid w:val="007B4FD0"/>
    <w:rsid w:val="007B5448"/>
    <w:rsid w:val="007C11A9"/>
    <w:rsid w:val="007C1846"/>
    <w:rsid w:val="007C196F"/>
    <w:rsid w:val="007C51EF"/>
    <w:rsid w:val="007C608D"/>
    <w:rsid w:val="007C6AA7"/>
    <w:rsid w:val="007C6DA0"/>
    <w:rsid w:val="007D00BC"/>
    <w:rsid w:val="007D0C23"/>
    <w:rsid w:val="007D1FD5"/>
    <w:rsid w:val="007D66B8"/>
    <w:rsid w:val="007E1D3A"/>
    <w:rsid w:val="007E740B"/>
    <w:rsid w:val="007E7908"/>
    <w:rsid w:val="007E7DEE"/>
    <w:rsid w:val="007F1092"/>
    <w:rsid w:val="007F1CAE"/>
    <w:rsid w:val="007F2FB5"/>
    <w:rsid w:val="007F3279"/>
    <w:rsid w:val="007F62C3"/>
    <w:rsid w:val="007F6E49"/>
    <w:rsid w:val="007F70A8"/>
    <w:rsid w:val="00800578"/>
    <w:rsid w:val="00803098"/>
    <w:rsid w:val="008065FC"/>
    <w:rsid w:val="00807C91"/>
    <w:rsid w:val="008114ED"/>
    <w:rsid w:val="00815BC3"/>
    <w:rsid w:val="00821A41"/>
    <w:rsid w:val="00827999"/>
    <w:rsid w:val="008311B1"/>
    <w:rsid w:val="00832CAF"/>
    <w:rsid w:val="008402F4"/>
    <w:rsid w:val="00842CD3"/>
    <w:rsid w:val="00843A0E"/>
    <w:rsid w:val="00854401"/>
    <w:rsid w:val="00854689"/>
    <w:rsid w:val="0085544F"/>
    <w:rsid w:val="008604D8"/>
    <w:rsid w:val="008651AD"/>
    <w:rsid w:val="00867E37"/>
    <w:rsid w:val="008721A2"/>
    <w:rsid w:val="00873186"/>
    <w:rsid w:val="00873E00"/>
    <w:rsid w:val="008769F8"/>
    <w:rsid w:val="00880955"/>
    <w:rsid w:val="008827BB"/>
    <w:rsid w:val="0088561F"/>
    <w:rsid w:val="0088799C"/>
    <w:rsid w:val="00890F55"/>
    <w:rsid w:val="00894EE6"/>
    <w:rsid w:val="00895EA9"/>
    <w:rsid w:val="008A56D5"/>
    <w:rsid w:val="008A723F"/>
    <w:rsid w:val="008B189B"/>
    <w:rsid w:val="008B54D6"/>
    <w:rsid w:val="008B5C47"/>
    <w:rsid w:val="008B7128"/>
    <w:rsid w:val="008C0C05"/>
    <w:rsid w:val="008C0F93"/>
    <w:rsid w:val="008C275E"/>
    <w:rsid w:val="008C5AD3"/>
    <w:rsid w:val="008C60C7"/>
    <w:rsid w:val="008D2A58"/>
    <w:rsid w:val="008E0349"/>
    <w:rsid w:val="008E0B46"/>
    <w:rsid w:val="008E142F"/>
    <w:rsid w:val="008E665B"/>
    <w:rsid w:val="008F0C93"/>
    <w:rsid w:val="008F4441"/>
    <w:rsid w:val="008F4F2F"/>
    <w:rsid w:val="008F51FE"/>
    <w:rsid w:val="0090049F"/>
    <w:rsid w:val="00900DF7"/>
    <w:rsid w:val="0090423F"/>
    <w:rsid w:val="009062FD"/>
    <w:rsid w:val="00910262"/>
    <w:rsid w:val="0091036E"/>
    <w:rsid w:val="00910CFA"/>
    <w:rsid w:val="00911C75"/>
    <w:rsid w:val="00912C26"/>
    <w:rsid w:val="00913AB4"/>
    <w:rsid w:val="0091531B"/>
    <w:rsid w:val="00924E53"/>
    <w:rsid w:val="0092679C"/>
    <w:rsid w:val="00934760"/>
    <w:rsid w:val="00936764"/>
    <w:rsid w:val="0093761D"/>
    <w:rsid w:val="00941147"/>
    <w:rsid w:val="00956261"/>
    <w:rsid w:val="00956645"/>
    <w:rsid w:val="0096079C"/>
    <w:rsid w:val="009705B3"/>
    <w:rsid w:val="00970DAE"/>
    <w:rsid w:val="00975E81"/>
    <w:rsid w:val="00980C26"/>
    <w:rsid w:val="00984B64"/>
    <w:rsid w:val="00986A76"/>
    <w:rsid w:val="00987CBB"/>
    <w:rsid w:val="00987FA9"/>
    <w:rsid w:val="0099218E"/>
    <w:rsid w:val="009977F8"/>
    <w:rsid w:val="009A02BD"/>
    <w:rsid w:val="009A1D58"/>
    <w:rsid w:val="009B783A"/>
    <w:rsid w:val="009B790C"/>
    <w:rsid w:val="009C004F"/>
    <w:rsid w:val="009C2257"/>
    <w:rsid w:val="009C28CC"/>
    <w:rsid w:val="009C6B25"/>
    <w:rsid w:val="009D19BA"/>
    <w:rsid w:val="009D1FE2"/>
    <w:rsid w:val="009D31BA"/>
    <w:rsid w:val="009D6807"/>
    <w:rsid w:val="009E2192"/>
    <w:rsid w:val="009E43B9"/>
    <w:rsid w:val="009E544E"/>
    <w:rsid w:val="009F0DB8"/>
    <w:rsid w:val="009F1C75"/>
    <w:rsid w:val="009F240D"/>
    <w:rsid w:val="009F2F73"/>
    <w:rsid w:val="00A015AA"/>
    <w:rsid w:val="00A02327"/>
    <w:rsid w:val="00A02364"/>
    <w:rsid w:val="00A025E3"/>
    <w:rsid w:val="00A06F71"/>
    <w:rsid w:val="00A104D9"/>
    <w:rsid w:val="00A110E5"/>
    <w:rsid w:val="00A14B72"/>
    <w:rsid w:val="00A1626A"/>
    <w:rsid w:val="00A24451"/>
    <w:rsid w:val="00A26BF0"/>
    <w:rsid w:val="00A31E63"/>
    <w:rsid w:val="00A434E8"/>
    <w:rsid w:val="00A43784"/>
    <w:rsid w:val="00A44052"/>
    <w:rsid w:val="00A448B8"/>
    <w:rsid w:val="00A46457"/>
    <w:rsid w:val="00A47169"/>
    <w:rsid w:val="00A51404"/>
    <w:rsid w:val="00A55A4B"/>
    <w:rsid w:val="00A55CFC"/>
    <w:rsid w:val="00A57F03"/>
    <w:rsid w:val="00A57F86"/>
    <w:rsid w:val="00A61743"/>
    <w:rsid w:val="00A61D6C"/>
    <w:rsid w:val="00A70B1B"/>
    <w:rsid w:val="00A75307"/>
    <w:rsid w:val="00A76342"/>
    <w:rsid w:val="00A76A29"/>
    <w:rsid w:val="00A76A4B"/>
    <w:rsid w:val="00A86901"/>
    <w:rsid w:val="00A86C5C"/>
    <w:rsid w:val="00A9036C"/>
    <w:rsid w:val="00A90CE2"/>
    <w:rsid w:val="00AA3F55"/>
    <w:rsid w:val="00AA4D83"/>
    <w:rsid w:val="00AB1EF3"/>
    <w:rsid w:val="00AB5D36"/>
    <w:rsid w:val="00AB6798"/>
    <w:rsid w:val="00AB7ACF"/>
    <w:rsid w:val="00AC2667"/>
    <w:rsid w:val="00AC75CC"/>
    <w:rsid w:val="00AD06D2"/>
    <w:rsid w:val="00AD409E"/>
    <w:rsid w:val="00AD4639"/>
    <w:rsid w:val="00AE1DEE"/>
    <w:rsid w:val="00AE2D58"/>
    <w:rsid w:val="00AE6EE6"/>
    <w:rsid w:val="00AF0962"/>
    <w:rsid w:val="00AF12E8"/>
    <w:rsid w:val="00AF2554"/>
    <w:rsid w:val="00AF2DF0"/>
    <w:rsid w:val="00AF748A"/>
    <w:rsid w:val="00B0333D"/>
    <w:rsid w:val="00B0346F"/>
    <w:rsid w:val="00B055A1"/>
    <w:rsid w:val="00B061D4"/>
    <w:rsid w:val="00B0734D"/>
    <w:rsid w:val="00B07CA4"/>
    <w:rsid w:val="00B1042E"/>
    <w:rsid w:val="00B12ABB"/>
    <w:rsid w:val="00B163C9"/>
    <w:rsid w:val="00B171CC"/>
    <w:rsid w:val="00B211B0"/>
    <w:rsid w:val="00B22279"/>
    <w:rsid w:val="00B23119"/>
    <w:rsid w:val="00B2425F"/>
    <w:rsid w:val="00B267A0"/>
    <w:rsid w:val="00B26B52"/>
    <w:rsid w:val="00B2714F"/>
    <w:rsid w:val="00B31A25"/>
    <w:rsid w:val="00B34992"/>
    <w:rsid w:val="00B351DD"/>
    <w:rsid w:val="00B37420"/>
    <w:rsid w:val="00B41989"/>
    <w:rsid w:val="00B4405A"/>
    <w:rsid w:val="00B503C5"/>
    <w:rsid w:val="00B5088F"/>
    <w:rsid w:val="00B51448"/>
    <w:rsid w:val="00B520A5"/>
    <w:rsid w:val="00B55D5C"/>
    <w:rsid w:val="00B56ADE"/>
    <w:rsid w:val="00B668AA"/>
    <w:rsid w:val="00B66EA6"/>
    <w:rsid w:val="00B66F53"/>
    <w:rsid w:val="00B71A93"/>
    <w:rsid w:val="00B75DEA"/>
    <w:rsid w:val="00B760E9"/>
    <w:rsid w:val="00B804EE"/>
    <w:rsid w:val="00B848F3"/>
    <w:rsid w:val="00B84BE1"/>
    <w:rsid w:val="00B85F39"/>
    <w:rsid w:val="00B91092"/>
    <w:rsid w:val="00B94B48"/>
    <w:rsid w:val="00B97048"/>
    <w:rsid w:val="00B97216"/>
    <w:rsid w:val="00BA0758"/>
    <w:rsid w:val="00BA0E74"/>
    <w:rsid w:val="00BA1206"/>
    <w:rsid w:val="00BA5818"/>
    <w:rsid w:val="00BA6538"/>
    <w:rsid w:val="00BA6F71"/>
    <w:rsid w:val="00BA7095"/>
    <w:rsid w:val="00BB0550"/>
    <w:rsid w:val="00BC18A1"/>
    <w:rsid w:val="00BC34F9"/>
    <w:rsid w:val="00BC3932"/>
    <w:rsid w:val="00BD10AD"/>
    <w:rsid w:val="00BD2B7C"/>
    <w:rsid w:val="00BE24E0"/>
    <w:rsid w:val="00BE3D3E"/>
    <w:rsid w:val="00BF053A"/>
    <w:rsid w:val="00C00118"/>
    <w:rsid w:val="00C0165F"/>
    <w:rsid w:val="00C047C4"/>
    <w:rsid w:val="00C04B54"/>
    <w:rsid w:val="00C06802"/>
    <w:rsid w:val="00C06A2E"/>
    <w:rsid w:val="00C07DDD"/>
    <w:rsid w:val="00C107E7"/>
    <w:rsid w:val="00C11372"/>
    <w:rsid w:val="00C143A2"/>
    <w:rsid w:val="00C161EF"/>
    <w:rsid w:val="00C16397"/>
    <w:rsid w:val="00C2265A"/>
    <w:rsid w:val="00C23A59"/>
    <w:rsid w:val="00C32C0A"/>
    <w:rsid w:val="00C402EE"/>
    <w:rsid w:val="00C40818"/>
    <w:rsid w:val="00C45951"/>
    <w:rsid w:val="00C54D12"/>
    <w:rsid w:val="00C56330"/>
    <w:rsid w:val="00C609A0"/>
    <w:rsid w:val="00C60CCE"/>
    <w:rsid w:val="00C6331D"/>
    <w:rsid w:val="00C644DF"/>
    <w:rsid w:val="00C655D4"/>
    <w:rsid w:val="00C70C4D"/>
    <w:rsid w:val="00C726B5"/>
    <w:rsid w:val="00C73756"/>
    <w:rsid w:val="00C750DC"/>
    <w:rsid w:val="00C75958"/>
    <w:rsid w:val="00C81F2A"/>
    <w:rsid w:val="00C83712"/>
    <w:rsid w:val="00C840F5"/>
    <w:rsid w:val="00C8551E"/>
    <w:rsid w:val="00C932F8"/>
    <w:rsid w:val="00C94A82"/>
    <w:rsid w:val="00C95D59"/>
    <w:rsid w:val="00C977CD"/>
    <w:rsid w:val="00CA41A9"/>
    <w:rsid w:val="00CA455C"/>
    <w:rsid w:val="00CA60D3"/>
    <w:rsid w:val="00CA7ABF"/>
    <w:rsid w:val="00CB19E1"/>
    <w:rsid w:val="00CB76BF"/>
    <w:rsid w:val="00CB7D58"/>
    <w:rsid w:val="00CC0ED1"/>
    <w:rsid w:val="00CC3BBB"/>
    <w:rsid w:val="00CC3CCF"/>
    <w:rsid w:val="00CC5D36"/>
    <w:rsid w:val="00CC7566"/>
    <w:rsid w:val="00CD1E4B"/>
    <w:rsid w:val="00CD217A"/>
    <w:rsid w:val="00CD570C"/>
    <w:rsid w:val="00CD677E"/>
    <w:rsid w:val="00CD6B19"/>
    <w:rsid w:val="00CE36AD"/>
    <w:rsid w:val="00CE4CED"/>
    <w:rsid w:val="00CE504B"/>
    <w:rsid w:val="00CE6450"/>
    <w:rsid w:val="00CE6CED"/>
    <w:rsid w:val="00CE761C"/>
    <w:rsid w:val="00CF1CAF"/>
    <w:rsid w:val="00CF2ADC"/>
    <w:rsid w:val="00CF39A8"/>
    <w:rsid w:val="00CF519F"/>
    <w:rsid w:val="00CF5D82"/>
    <w:rsid w:val="00D00E9A"/>
    <w:rsid w:val="00D012C1"/>
    <w:rsid w:val="00D06561"/>
    <w:rsid w:val="00D222E1"/>
    <w:rsid w:val="00D23732"/>
    <w:rsid w:val="00D26766"/>
    <w:rsid w:val="00D27E66"/>
    <w:rsid w:val="00D31650"/>
    <w:rsid w:val="00D3442D"/>
    <w:rsid w:val="00D35D5C"/>
    <w:rsid w:val="00D432C3"/>
    <w:rsid w:val="00D4395D"/>
    <w:rsid w:val="00D448D9"/>
    <w:rsid w:val="00D46293"/>
    <w:rsid w:val="00D46D04"/>
    <w:rsid w:val="00D5043A"/>
    <w:rsid w:val="00D50561"/>
    <w:rsid w:val="00D50DD7"/>
    <w:rsid w:val="00D53384"/>
    <w:rsid w:val="00D5472D"/>
    <w:rsid w:val="00D5723C"/>
    <w:rsid w:val="00D57CA5"/>
    <w:rsid w:val="00D57DCF"/>
    <w:rsid w:val="00D60401"/>
    <w:rsid w:val="00D61CE0"/>
    <w:rsid w:val="00D65893"/>
    <w:rsid w:val="00D65CE1"/>
    <w:rsid w:val="00D67374"/>
    <w:rsid w:val="00D75C8A"/>
    <w:rsid w:val="00D76D5A"/>
    <w:rsid w:val="00D8092D"/>
    <w:rsid w:val="00D80A42"/>
    <w:rsid w:val="00D843A8"/>
    <w:rsid w:val="00D87CA1"/>
    <w:rsid w:val="00D901AA"/>
    <w:rsid w:val="00D906C3"/>
    <w:rsid w:val="00D90B3D"/>
    <w:rsid w:val="00D92DB9"/>
    <w:rsid w:val="00DA006A"/>
    <w:rsid w:val="00DA1D43"/>
    <w:rsid w:val="00DA3212"/>
    <w:rsid w:val="00DA7E68"/>
    <w:rsid w:val="00DB23B8"/>
    <w:rsid w:val="00DB3B99"/>
    <w:rsid w:val="00DB4B27"/>
    <w:rsid w:val="00DC043A"/>
    <w:rsid w:val="00DC1258"/>
    <w:rsid w:val="00DC1D65"/>
    <w:rsid w:val="00DC568B"/>
    <w:rsid w:val="00DC6F6A"/>
    <w:rsid w:val="00DC74A8"/>
    <w:rsid w:val="00DC7E13"/>
    <w:rsid w:val="00DD1F40"/>
    <w:rsid w:val="00DD26B2"/>
    <w:rsid w:val="00DD6B10"/>
    <w:rsid w:val="00DD7E62"/>
    <w:rsid w:val="00DF0D81"/>
    <w:rsid w:val="00DF398C"/>
    <w:rsid w:val="00DF3B7E"/>
    <w:rsid w:val="00E06282"/>
    <w:rsid w:val="00E0726B"/>
    <w:rsid w:val="00E152C8"/>
    <w:rsid w:val="00E1609D"/>
    <w:rsid w:val="00E214FA"/>
    <w:rsid w:val="00E23AE3"/>
    <w:rsid w:val="00E34296"/>
    <w:rsid w:val="00E3587E"/>
    <w:rsid w:val="00E40EFA"/>
    <w:rsid w:val="00E4126F"/>
    <w:rsid w:val="00E4244F"/>
    <w:rsid w:val="00E43E6B"/>
    <w:rsid w:val="00E45BE7"/>
    <w:rsid w:val="00E474D7"/>
    <w:rsid w:val="00E510C8"/>
    <w:rsid w:val="00E5313D"/>
    <w:rsid w:val="00E533C7"/>
    <w:rsid w:val="00E53C82"/>
    <w:rsid w:val="00E620D8"/>
    <w:rsid w:val="00E62362"/>
    <w:rsid w:val="00E6303C"/>
    <w:rsid w:val="00E63F93"/>
    <w:rsid w:val="00E641EB"/>
    <w:rsid w:val="00E66038"/>
    <w:rsid w:val="00E67105"/>
    <w:rsid w:val="00E71452"/>
    <w:rsid w:val="00E71A3A"/>
    <w:rsid w:val="00E74BC2"/>
    <w:rsid w:val="00E75A17"/>
    <w:rsid w:val="00E86FA0"/>
    <w:rsid w:val="00E93AB4"/>
    <w:rsid w:val="00E940ED"/>
    <w:rsid w:val="00EA383B"/>
    <w:rsid w:val="00EA3C3F"/>
    <w:rsid w:val="00EA5BAD"/>
    <w:rsid w:val="00EA6FC0"/>
    <w:rsid w:val="00EB2D2B"/>
    <w:rsid w:val="00EB5133"/>
    <w:rsid w:val="00EB7B43"/>
    <w:rsid w:val="00EC1577"/>
    <w:rsid w:val="00EC564A"/>
    <w:rsid w:val="00ED0D02"/>
    <w:rsid w:val="00ED25F1"/>
    <w:rsid w:val="00ED5233"/>
    <w:rsid w:val="00EE1017"/>
    <w:rsid w:val="00EE1327"/>
    <w:rsid w:val="00EE5501"/>
    <w:rsid w:val="00EF1C80"/>
    <w:rsid w:val="00EF22AB"/>
    <w:rsid w:val="00EF51CC"/>
    <w:rsid w:val="00F010D5"/>
    <w:rsid w:val="00F018B9"/>
    <w:rsid w:val="00F029FF"/>
    <w:rsid w:val="00F11DBD"/>
    <w:rsid w:val="00F12C21"/>
    <w:rsid w:val="00F12CB9"/>
    <w:rsid w:val="00F1308F"/>
    <w:rsid w:val="00F13F65"/>
    <w:rsid w:val="00F146EC"/>
    <w:rsid w:val="00F14C96"/>
    <w:rsid w:val="00F158B7"/>
    <w:rsid w:val="00F15B93"/>
    <w:rsid w:val="00F1625B"/>
    <w:rsid w:val="00F22305"/>
    <w:rsid w:val="00F26EE8"/>
    <w:rsid w:val="00F31741"/>
    <w:rsid w:val="00F328B0"/>
    <w:rsid w:val="00F36E90"/>
    <w:rsid w:val="00F37B3D"/>
    <w:rsid w:val="00F41433"/>
    <w:rsid w:val="00F447A4"/>
    <w:rsid w:val="00F45D0C"/>
    <w:rsid w:val="00F46D9E"/>
    <w:rsid w:val="00F510F8"/>
    <w:rsid w:val="00F548C2"/>
    <w:rsid w:val="00F554AE"/>
    <w:rsid w:val="00F555AB"/>
    <w:rsid w:val="00F55B7C"/>
    <w:rsid w:val="00F6243C"/>
    <w:rsid w:val="00F70C32"/>
    <w:rsid w:val="00F85297"/>
    <w:rsid w:val="00F85AC8"/>
    <w:rsid w:val="00F87766"/>
    <w:rsid w:val="00F91209"/>
    <w:rsid w:val="00F91BAB"/>
    <w:rsid w:val="00F92A4F"/>
    <w:rsid w:val="00F92F67"/>
    <w:rsid w:val="00F9498C"/>
    <w:rsid w:val="00F94D06"/>
    <w:rsid w:val="00F9542F"/>
    <w:rsid w:val="00FA0668"/>
    <w:rsid w:val="00FA4518"/>
    <w:rsid w:val="00FB08BF"/>
    <w:rsid w:val="00FB1F5E"/>
    <w:rsid w:val="00FB5495"/>
    <w:rsid w:val="00FB54F7"/>
    <w:rsid w:val="00FB6354"/>
    <w:rsid w:val="00FC5081"/>
    <w:rsid w:val="00FC5947"/>
    <w:rsid w:val="00FC7875"/>
    <w:rsid w:val="00FD5F62"/>
    <w:rsid w:val="00FE4980"/>
    <w:rsid w:val="00FE523E"/>
    <w:rsid w:val="00FF3323"/>
    <w:rsid w:val="00FF55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44004"/>
  <w14:defaultImageDpi w14:val="0"/>
  <w15:docId w15:val="{996750AA-3DE5-4361-85D0-55F561A9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266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C2667"/>
    <w:rPr>
      <w:rFonts w:cs="Times New Roman"/>
      <w:sz w:val="20"/>
      <w:szCs w:val="20"/>
    </w:rPr>
  </w:style>
  <w:style w:type="character" w:styleId="FootnoteReference">
    <w:name w:val="footnote reference"/>
    <w:basedOn w:val="DefaultParagraphFont"/>
    <w:uiPriority w:val="99"/>
    <w:semiHidden/>
    <w:unhideWhenUsed/>
    <w:rsid w:val="00AC2667"/>
    <w:rPr>
      <w:rFonts w:cs="Times New Roman"/>
      <w:vertAlign w:val="superscript"/>
    </w:rPr>
  </w:style>
  <w:style w:type="paragraph" w:styleId="Header">
    <w:name w:val="header"/>
    <w:basedOn w:val="Normal"/>
    <w:link w:val="HeaderChar"/>
    <w:uiPriority w:val="99"/>
    <w:unhideWhenUsed/>
    <w:rsid w:val="00A55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A4B"/>
    <w:rPr>
      <w:rFonts w:cs="Times New Roman"/>
    </w:rPr>
  </w:style>
  <w:style w:type="paragraph" w:styleId="Footer">
    <w:name w:val="footer"/>
    <w:basedOn w:val="Normal"/>
    <w:link w:val="FooterChar"/>
    <w:uiPriority w:val="99"/>
    <w:unhideWhenUsed/>
    <w:rsid w:val="00A55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A4B"/>
    <w:rPr>
      <w:rFonts w:cs="Times New Roman"/>
    </w:rPr>
  </w:style>
  <w:style w:type="paragraph" w:styleId="BalloonText">
    <w:name w:val="Balloon Text"/>
    <w:basedOn w:val="Normal"/>
    <w:link w:val="BalloonTextChar"/>
    <w:uiPriority w:val="99"/>
    <w:semiHidden/>
    <w:unhideWhenUsed/>
    <w:rsid w:val="00DA0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70933-FBDF-418B-84EA-FBC33BDB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Thupaatlase Tebogo</dc:creator>
  <cp:keywords/>
  <dc:description/>
  <cp:lastModifiedBy>Tshwarelo Mabina</cp:lastModifiedBy>
  <cp:revision>4</cp:revision>
  <cp:lastPrinted>2022-11-21T07:56:00Z</cp:lastPrinted>
  <dcterms:created xsi:type="dcterms:W3CDTF">2023-06-01T07:23:00Z</dcterms:created>
  <dcterms:modified xsi:type="dcterms:W3CDTF">2023-06-02T11:10:00Z</dcterms:modified>
</cp:coreProperties>
</file>