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212" w14:textId="77777777" w:rsidR="005E51EE" w:rsidRPr="007B7F59" w:rsidRDefault="005E51EE" w:rsidP="005E51EE">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A9E3718" w14:textId="77777777" w:rsidR="005E51EE" w:rsidRPr="007B7F59" w:rsidRDefault="005E51EE" w:rsidP="005E51EE">
      <w:pPr>
        <w:tabs>
          <w:tab w:val="left" w:pos="2342"/>
          <w:tab w:val="center" w:pos="4513"/>
        </w:tabs>
        <w:spacing w:after="0" w:line="240" w:lineRule="auto"/>
        <w:ind w:left="0"/>
        <w:jc w:val="center"/>
        <w:outlineLvl w:val="0"/>
        <w:rPr>
          <w:rFonts w:eastAsia="Times New Roman" w:cs="Arial"/>
          <w:b/>
          <w:noProof/>
          <w:szCs w:val="24"/>
          <w:lang w:val="en-ZA" w:eastAsia="en-ZA"/>
        </w:rPr>
      </w:pPr>
    </w:p>
    <w:p w14:paraId="12B4634C" w14:textId="77777777" w:rsidR="005E51EE" w:rsidRPr="007B7F59" w:rsidRDefault="005E51EE" w:rsidP="005E51EE">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CBFCA16" wp14:editId="64B8B69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520A57" w14:textId="77777777" w:rsidR="005E51EE" w:rsidRPr="007B7F59" w:rsidRDefault="005E51EE" w:rsidP="005E51EE">
      <w:pPr>
        <w:spacing w:after="0" w:line="240" w:lineRule="auto"/>
        <w:ind w:left="0"/>
        <w:jc w:val="center"/>
        <w:outlineLvl w:val="0"/>
        <w:rPr>
          <w:rFonts w:eastAsia="Times New Roman" w:cs="Arial"/>
          <w:b/>
          <w:szCs w:val="24"/>
          <w:lang w:val="en-ZA"/>
        </w:rPr>
      </w:pPr>
    </w:p>
    <w:p w14:paraId="3F637A21" w14:textId="77777777" w:rsidR="005E51EE" w:rsidRPr="007B7F59" w:rsidRDefault="005E51EE" w:rsidP="005E51EE">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66512B9D" w14:textId="77777777" w:rsidR="005E51EE" w:rsidRPr="007B7F59" w:rsidRDefault="005E51EE" w:rsidP="005E51EE">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530307E4" w14:textId="77777777" w:rsidR="005E51EE" w:rsidRPr="007B7F59" w:rsidRDefault="005E51EE" w:rsidP="005E51EE">
      <w:pPr>
        <w:spacing w:after="0" w:line="240" w:lineRule="auto"/>
        <w:ind w:left="0"/>
        <w:rPr>
          <w:rFonts w:eastAsia="Times New Roman" w:cs="Arial"/>
          <w:szCs w:val="24"/>
          <w:lang w:val="en-ZA"/>
        </w:rPr>
      </w:pPr>
    </w:p>
    <w:p w14:paraId="36529836" w14:textId="77777777" w:rsidR="005E51EE" w:rsidRPr="007B7F59" w:rsidRDefault="005E51EE" w:rsidP="005E51EE">
      <w:pPr>
        <w:spacing w:after="0" w:line="240" w:lineRule="auto"/>
        <w:ind w:left="0"/>
        <w:rPr>
          <w:rFonts w:eastAsia="Times New Roman" w:cs="Arial"/>
          <w:szCs w:val="24"/>
          <w:lang w:val="en-ZA"/>
        </w:rPr>
      </w:pPr>
    </w:p>
    <w:p w14:paraId="19A6160D" w14:textId="52FF049B" w:rsidR="005E51EE" w:rsidRPr="007B7F59" w:rsidRDefault="005E51EE" w:rsidP="005E51EE">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3065BB">
        <w:rPr>
          <w:rFonts w:eastAsia="Times New Roman" w:cs="Arial"/>
          <w:bCs/>
          <w:szCs w:val="24"/>
          <w:lang w:val="en-ZA"/>
        </w:rPr>
        <w:t>046772/2023</w:t>
      </w:r>
    </w:p>
    <w:p w14:paraId="13A8C0AD" w14:textId="77777777" w:rsidR="005E51EE" w:rsidRPr="007B7F59" w:rsidRDefault="005E51EE" w:rsidP="005E51EE">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1D41776E" wp14:editId="738F6FC1">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871C862" w14:textId="27137B5A" w:rsidR="005E51EE" w:rsidRPr="003B746C" w:rsidRDefault="00E32565" w:rsidP="00E325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5E51EE" w:rsidRPr="003B746C">
                              <w:rPr>
                                <w:rFonts w:cs="Arial"/>
                                <w:sz w:val="18"/>
                                <w:szCs w:val="20"/>
                              </w:rPr>
                              <w:t>REPORTABLE:</w:t>
                            </w:r>
                            <w:r w:rsidR="00DA77CB">
                              <w:rPr>
                                <w:rFonts w:cs="Arial"/>
                                <w:sz w:val="18"/>
                                <w:szCs w:val="20"/>
                              </w:rPr>
                              <w:t xml:space="preserve"> YES/</w:t>
                            </w:r>
                            <w:r w:rsidR="005E51EE" w:rsidRPr="003B746C">
                              <w:rPr>
                                <w:rFonts w:cs="Arial"/>
                                <w:sz w:val="18"/>
                                <w:szCs w:val="20"/>
                              </w:rPr>
                              <w:t xml:space="preserve"> </w:t>
                            </w:r>
                            <w:r w:rsidR="006F0049">
                              <w:rPr>
                                <w:rFonts w:cs="Arial"/>
                                <w:sz w:val="18"/>
                                <w:szCs w:val="20"/>
                              </w:rPr>
                              <w:t>NO</w:t>
                            </w:r>
                          </w:p>
                          <w:p w14:paraId="202136B0" w14:textId="2A44A8FB" w:rsidR="005E51EE" w:rsidRPr="003B746C" w:rsidRDefault="00E32565" w:rsidP="00E3256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5E51EE" w:rsidRPr="003B746C">
                              <w:rPr>
                                <w:rFonts w:cs="Arial"/>
                                <w:sz w:val="18"/>
                                <w:szCs w:val="20"/>
                              </w:rPr>
                              <w:t>OF INTEREST TO OTHER JUDGES:</w:t>
                            </w:r>
                            <w:r w:rsidR="006F0049">
                              <w:rPr>
                                <w:rFonts w:cs="Arial"/>
                                <w:sz w:val="18"/>
                                <w:szCs w:val="20"/>
                              </w:rPr>
                              <w:t xml:space="preserve"> YES</w:t>
                            </w:r>
                            <w:r w:rsidR="00DA77CB">
                              <w:rPr>
                                <w:rFonts w:cs="Arial"/>
                                <w:sz w:val="18"/>
                                <w:szCs w:val="20"/>
                              </w:rPr>
                              <w:t>/NO</w:t>
                            </w:r>
                          </w:p>
                          <w:p w14:paraId="353BC4AC" w14:textId="36B3C977" w:rsidR="005E51EE" w:rsidRDefault="00E32565" w:rsidP="00E32565">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5E51EE" w:rsidRPr="003B746C">
                              <w:rPr>
                                <w:rFonts w:cs="Arial"/>
                                <w:sz w:val="18"/>
                                <w:szCs w:val="20"/>
                              </w:rPr>
                              <w:t xml:space="preserve">REVISED: </w:t>
                            </w:r>
                            <w:r w:rsidR="00DA77CB">
                              <w:rPr>
                                <w:rFonts w:cs="Arial"/>
                                <w:sz w:val="18"/>
                                <w:szCs w:val="20"/>
                              </w:rPr>
                              <w:t>YES/NO</w:t>
                            </w:r>
                          </w:p>
                          <w:p w14:paraId="50F4BFF1" w14:textId="799169F7" w:rsidR="005E51EE" w:rsidRPr="003B746C" w:rsidRDefault="00017B9C" w:rsidP="00DA77CB">
                            <w:pPr>
                              <w:spacing w:before="240" w:after="0"/>
                              <w:ind w:left="0"/>
                              <w:rPr>
                                <w:rFonts w:cs="Arial"/>
                                <w:b/>
                                <w:sz w:val="18"/>
                                <w:szCs w:val="20"/>
                              </w:rPr>
                            </w:pPr>
                            <w:r>
                              <w:rPr>
                                <w:rFonts w:cs="Arial"/>
                                <w:b/>
                                <w:sz w:val="18"/>
                                <w:szCs w:val="20"/>
                              </w:rPr>
                              <w:t xml:space="preserve"> </w:t>
                            </w:r>
                            <w:r>
                              <w:rPr>
                                <w:rFonts w:cs="Arial"/>
                                <w:b/>
                                <w:sz w:val="18"/>
                                <w:szCs w:val="20"/>
                              </w:rPr>
                              <w:tab/>
                            </w:r>
                            <w:r w:rsidR="005E51EE" w:rsidRPr="003B746C">
                              <w:rPr>
                                <w:rFonts w:cs="Arial"/>
                                <w:b/>
                                <w:sz w:val="18"/>
                                <w:szCs w:val="20"/>
                              </w:rPr>
                              <w:tab/>
                              <w:t>_________________________</w:t>
                            </w:r>
                          </w:p>
                          <w:p w14:paraId="58746900" w14:textId="7FB26301" w:rsidR="005E51EE" w:rsidRPr="003B746C" w:rsidRDefault="005E51EE" w:rsidP="00DA77CB">
                            <w:pPr>
                              <w:ind w:left="0"/>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C23601">
                              <w:rPr>
                                <w:rFonts w:cs="Arial"/>
                                <w:sz w:val="18"/>
                                <w:szCs w:val="20"/>
                              </w:rPr>
                              <w:t xml:space="preserve">           </w:t>
                            </w:r>
                            <w:r w:rsidRPr="003B746C">
                              <w:rPr>
                                <w:rFonts w:cs="Arial"/>
                                <w:sz w:val="18"/>
                                <w:szCs w:val="20"/>
                              </w:rPr>
                              <w:t xml:space="preserve"> </w:t>
                            </w:r>
                            <w:r w:rsidR="00017B9C">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1776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5871C862" w14:textId="27137B5A" w:rsidR="005E51EE" w:rsidRPr="003B746C" w:rsidRDefault="00E32565" w:rsidP="00E325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5E51EE" w:rsidRPr="003B746C">
                        <w:rPr>
                          <w:rFonts w:cs="Arial"/>
                          <w:sz w:val="18"/>
                          <w:szCs w:val="20"/>
                        </w:rPr>
                        <w:t>REPORTABLE:</w:t>
                      </w:r>
                      <w:r w:rsidR="00DA77CB">
                        <w:rPr>
                          <w:rFonts w:cs="Arial"/>
                          <w:sz w:val="18"/>
                          <w:szCs w:val="20"/>
                        </w:rPr>
                        <w:t xml:space="preserve"> YES/</w:t>
                      </w:r>
                      <w:r w:rsidR="005E51EE" w:rsidRPr="003B746C">
                        <w:rPr>
                          <w:rFonts w:cs="Arial"/>
                          <w:sz w:val="18"/>
                          <w:szCs w:val="20"/>
                        </w:rPr>
                        <w:t xml:space="preserve"> </w:t>
                      </w:r>
                      <w:r w:rsidR="006F0049">
                        <w:rPr>
                          <w:rFonts w:cs="Arial"/>
                          <w:sz w:val="18"/>
                          <w:szCs w:val="20"/>
                        </w:rPr>
                        <w:t>NO</w:t>
                      </w:r>
                    </w:p>
                    <w:p w14:paraId="202136B0" w14:textId="2A44A8FB" w:rsidR="005E51EE" w:rsidRPr="003B746C" w:rsidRDefault="00E32565" w:rsidP="00E32565">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5E51EE" w:rsidRPr="003B746C">
                        <w:rPr>
                          <w:rFonts w:cs="Arial"/>
                          <w:sz w:val="18"/>
                          <w:szCs w:val="20"/>
                        </w:rPr>
                        <w:t>OF INTEREST TO OTHER JUDGES:</w:t>
                      </w:r>
                      <w:r w:rsidR="006F0049">
                        <w:rPr>
                          <w:rFonts w:cs="Arial"/>
                          <w:sz w:val="18"/>
                          <w:szCs w:val="20"/>
                        </w:rPr>
                        <w:t xml:space="preserve"> YES</w:t>
                      </w:r>
                      <w:r w:rsidR="00DA77CB">
                        <w:rPr>
                          <w:rFonts w:cs="Arial"/>
                          <w:sz w:val="18"/>
                          <w:szCs w:val="20"/>
                        </w:rPr>
                        <w:t>/NO</w:t>
                      </w:r>
                    </w:p>
                    <w:p w14:paraId="353BC4AC" w14:textId="36B3C977" w:rsidR="005E51EE" w:rsidRDefault="00E32565" w:rsidP="00E32565">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5E51EE" w:rsidRPr="003B746C">
                        <w:rPr>
                          <w:rFonts w:cs="Arial"/>
                          <w:sz w:val="18"/>
                          <w:szCs w:val="20"/>
                        </w:rPr>
                        <w:t xml:space="preserve">REVISED: </w:t>
                      </w:r>
                      <w:r w:rsidR="00DA77CB">
                        <w:rPr>
                          <w:rFonts w:cs="Arial"/>
                          <w:sz w:val="18"/>
                          <w:szCs w:val="20"/>
                        </w:rPr>
                        <w:t>YES/NO</w:t>
                      </w:r>
                    </w:p>
                    <w:p w14:paraId="50F4BFF1" w14:textId="799169F7" w:rsidR="005E51EE" w:rsidRPr="003B746C" w:rsidRDefault="00017B9C" w:rsidP="00DA77CB">
                      <w:pPr>
                        <w:spacing w:before="240" w:after="0"/>
                        <w:ind w:left="0"/>
                        <w:rPr>
                          <w:rFonts w:cs="Arial"/>
                          <w:b/>
                          <w:sz w:val="18"/>
                          <w:szCs w:val="20"/>
                        </w:rPr>
                      </w:pPr>
                      <w:r>
                        <w:rPr>
                          <w:rFonts w:cs="Arial"/>
                          <w:b/>
                          <w:sz w:val="18"/>
                          <w:szCs w:val="20"/>
                        </w:rPr>
                        <w:t xml:space="preserve"> </w:t>
                      </w:r>
                      <w:r>
                        <w:rPr>
                          <w:rFonts w:cs="Arial"/>
                          <w:b/>
                          <w:sz w:val="18"/>
                          <w:szCs w:val="20"/>
                        </w:rPr>
                        <w:tab/>
                      </w:r>
                      <w:r w:rsidR="005E51EE" w:rsidRPr="003B746C">
                        <w:rPr>
                          <w:rFonts w:cs="Arial"/>
                          <w:b/>
                          <w:sz w:val="18"/>
                          <w:szCs w:val="20"/>
                        </w:rPr>
                        <w:tab/>
                        <w:t>_________________________</w:t>
                      </w:r>
                    </w:p>
                    <w:p w14:paraId="58746900" w14:textId="7FB26301" w:rsidR="005E51EE" w:rsidRPr="003B746C" w:rsidRDefault="005E51EE" w:rsidP="00DA77CB">
                      <w:pPr>
                        <w:ind w:left="0"/>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C23601">
                        <w:rPr>
                          <w:rFonts w:cs="Arial"/>
                          <w:sz w:val="18"/>
                          <w:szCs w:val="20"/>
                        </w:rPr>
                        <w:t xml:space="preserve">           </w:t>
                      </w:r>
                      <w:r w:rsidRPr="003B746C">
                        <w:rPr>
                          <w:rFonts w:cs="Arial"/>
                          <w:sz w:val="18"/>
                          <w:szCs w:val="20"/>
                        </w:rPr>
                        <w:t xml:space="preserve"> </w:t>
                      </w:r>
                      <w:r w:rsidR="00017B9C">
                        <w:rPr>
                          <w:rFonts w:cs="Arial"/>
                          <w:sz w:val="18"/>
                          <w:szCs w:val="20"/>
                        </w:rPr>
                        <w:t xml:space="preserve">  </w:t>
                      </w:r>
                      <w:r w:rsidRPr="003B746C">
                        <w:rPr>
                          <w:rFonts w:cs="Arial"/>
                          <w:sz w:val="18"/>
                          <w:szCs w:val="20"/>
                        </w:rPr>
                        <w:t>SIGNATURE</w:t>
                      </w:r>
                    </w:p>
                  </w:txbxContent>
                </v:textbox>
                <w10:wrap anchorx="margin"/>
              </v:shape>
            </w:pict>
          </mc:Fallback>
        </mc:AlternateContent>
      </w:r>
    </w:p>
    <w:p w14:paraId="4BF4590E" w14:textId="77777777" w:rsidR="005E51EE" w:rsidRPr="007B7F59" w:rsidRDefault="005E51EE" w:rsidP="005E51EE">
      <w:pPr>
        <w:tabs>
          <w:tab w:val="left" w:pos="8998"/>
        </w:tabs>
        <w:spacing w:after="0" w:line="240" w:lineRule="auto"/>
        <w:ind w:left="0"/>
        <w:rPr>
          <w:rFonts w:eastAsia="Times New Roman" w:cs="Arial"/>
          <w:szCs w:val="24"/>
          <w:lang w:val="en-ZA"/>
        </w:rPr>
      </w:pPr>
    </w:p>
    <w:p w14:paraId="78094E5E" w14:textId="7E2CC92E" w:rsidR="005E51EE" w:rsidRPr="007B7F59" w:rsidRDefault="005E51EE" w:rsidP="005E51EE">
      <w:pPr>
        <w:tabs>
          <w:tab w:val="left" w:pos="8998"/>
        </w:tabs>
        <w:spacing w:after="0" w:line="240" w:lineRule="auto"/>
        <w:ind w:left="0"/>
        <w:rPr>
          <w:rFonts w:eastAsia="Times New Roman" w:cs="Arial"/>
          <w:szCs w:val="24"/>
          <w:lang w:val="en-ZA"/>
        </w:rPr>
      </w:pPr>
    </w:p>
    <w:p w14:paraId="181055A6" w14:textId="5E3B9647" w:rsidR="005E51EE" w:rsidRPr="007B7F59" w:rsidRDefault="005E51EE" w:rsidP="005E51EE">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45B2918E" w14:textId="79247045" w:rsidR="005E51EE" w:rsidRPr="007B7F59" w:rsidRDefault="005E51EE" w:rsidP="005E51EE">
      <w:pPr>
        <w:tabs>
          <w:tab w:val="right" w:pos="9029"/>
        </w:tabs>
        <w:spacing w:after="0" w:line="240" w:lineRule="auto"/>
        <w:ind w:left="0"/>
        <w:rPr>
          <w:rFonts w:eastAsia="Times New Roman" w:cs="Arial"/>
          <w:szCs w:val="24"/>
          <w:lang w:val="en-ZA"/>
        </w:rPr>
      </w:pPr>
    </w:p>
    <w:p w14:paraId="6E86BCAA" w14:textId="77777777" w:rsidR="005E51EE" w:rsidRPr="007B7F59" w:rsidRDefault="005E51EE" w:rsidP="005E51EE">
      <w:pPr>
        <w:tabs>
          <w:tab w:val="right" w:pos="9029"/>
        </w:tabs>
        <w:spacing w:after="0" w:line="240" w:lineRule="auto"/>
        <w:ind w:left="0"/>
        <w:rPr>
          <w:rFonts w:eastAsia="Times New Roman" w:cs="Arial"/>
          <w:szCs w:val="24"/>
          <w:lang w:val="en-ZA"/>
        </w:rPr>
      </w:pPr>
    </w:p>
    <w:p w14:paraId="4200BBEC" w14:textId="77777777" w:rsidR="005E51EE" w:rsidRPr="007B7F59" w:rsidRDefault="005E51EE" w:rsidP="005E51EE">
      <w:pPr>
        <w:tabs>
          <w:tab w:val="right" w:pos="9029"/>
        </w:tabs>
        <w:spacing w:after="0" w:line="240" w:lineRule="auto"/>
        <w:ind w:left="0"/>
        <w:contextualSpacing/>
        <w:rPr>
          <w:rFonts w:eastAsia="Times New Roman" w:cs="Arial"/>
          <w:b/>
          <w:szCs w:val="24"/>
          <w:lang w:val="en-ZA"/>
        </w:rPr>
      </w:pPr>
    </w:p>
    <w:p w14:paraId="31361172" w14:textId="77777777" w:rsidR="005E51EE" w:rsidRPr="007B7F59" w:rsidRDefault="005E51EE" w:rsidP="005E51EE">
      <w:pPr>
        <w:tabs>
          <w:tab w:val="right" w:pos="9029"/>
        </w:tabs>
        <w:spacing w:after="0" w:line="240" w:lineRule="auto"/>
        <w:ind w:left="0"/>
        <w:contextualSpacing/>
        <w:rPr>
          <w:rFonts w:eastAsia="Times New Roman" w:cs="Arial"/>
          <w:b/>
          <w:szCs w:val="24"/>
          <w:lang w:val="en-ZA"/>
        </w:rPr>
      </w:pPr>
    </w:p>
    <w:p w14:paraId="02480B8C" w14:textId="77777777" w:rsidR="005E51EE" w:rsidRPr="007B7F59" w:rsidRDefault="005E51EE" w:rsidP="005E51EE">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20EFB821" w14:textId="77777777" w:rsidR="005E51EE" w:rsidRPr="007B7F59" w:rsidRDefault="005E51EE" w:rsidP="005E51EE">
      <w:pPr>
        <w:tabs>
          <w:tab w:val="right" w:pos="9029"/>
        </w:tabs>
        <w:spacing w:after="0" w:line="240" w:lineRule="auto"/>
        <w:ind w:left="0"/>
        <w:contextualSpacing/>
        <w:rPr>
          <w:rFonts w:eastAsia="Times New Roman" w:cs="Arial"/>
          <w:b/>
          <w:szCs w:val="24"/>
          <w:lang w:val="en-ZA"/>
        </w:rPr>
      </w:pPr>
    </w:p>
    <w:p w14:paraId="2B8C8A6B" w14:textId="77777777" w:rsidR="00017B9C" w:rsidRDefault="00017B9C" w:rsidP="005E51EE">
      <w:pPr>
        <w:tabs>
          <w:tab w:val="right" w:pos="9029"/>
        </w:tabs>
        <w:spacing w:after="0" w:line="240" w:lineRule="auto"/>
        <w:ind w:left="0"/>
        <w:contextualSpacing/>
        <w:rPr>
          <w:rFonts w:eastAsia="Times New Roman" w:cs="Arial"/>
          <w:b/>
          <w:szCs w:val="24"/>
          <w:lang w:val="en-ZA"/>
        </w:rPr>
      </w:pPr>
    </w:p>
    <w:p w14:paraId="2DC1CAA8" w14:textId="750E51DE" w:rsidR="005E51EE" w:rsidRDefault="003065BB" w:rsidP="005E51EE">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JUSTIN NICHLAS DIVARIS                                                                  </w:t>
      </w:r>
      <w:r w:rsidR="0058325C">
        <w:rPr>
          <w:rFonts w:eastAsia="Times New Roman" w:cs="Arial"/>
          <w:szCs w:val="24"/>
          <w:lang w:val="en-ZA"/>
        </w:rPr>
        <w:t>1</w:t>
      </w:r>
      <w:r w:rsidR="0058325C" w:rsidRPr="0058325C">
        <w:rPr>
          <w:rFonts w:eastAsia="Times New Roman" w:cs="Arial"/>
          <w:szCs w:val="24"/>
          <w:vertAlign w:val="superscript"/>
          <w:lang w:val="en-ZA"/>
        </w:rPr>
        <w:t>st</w:t>
      </w:r>
      <w:r w:rsidR="0058325C">
        <w:rPr>
          <w:rFonts w:eastAsia="Times New Roman" w:cs="Arial"/>
          <w:szCs w:val="24"/>
          <w:lang w:val="en-ZA"/>
        </w:rPr>
        <w:t xml:space="preserve"> </w:t>
      </w:r>
      <w:r w:rsidR="005E51EE" w:rsidRPr="007B7F59">
        <w:rPr>
          <w:rFonts w:eastAsia="Times New Roman" w:cs="Arial"/>
          <w:szCs w:val="24"/>
          <w:lang w:val="en-ZA"/>
        </w:rPr>
        <w:t>Applicant</w:t>
      </w:r>
    </w:p>
    <w:p w14:paraId="48903A71" w14:textId="601EE501" w:rsidR="0058325C" w:rsidRDefault="0058325C" w:rsidP="005E51EE">
      <w:pPr>
        <w:tabs>
          <w:tab w:val="right" w:pos="9029"/>
        </w:tabs>
        <w:spacing w:after="0" w:line="240" w:lineRule="auto"/>
        <w:ind w:left="0"/>
        <w:contextualSpacing/>
        <w:rPr>
          <w:rFonts w:eastAsia="Times New Roman" w:cs="Arial"/>
          <w:szCs w:val="24"/>
          <w:lang w:val="en-ZA"/>
        </w:rPr>
      </w:pPr>
    </w:p>
    <w:p w14:paraId="32A4A3B6" w14:textId="17426C9C" w:rsidR="0058325C" w:rsidRPr="0058325C" w:rsidRDefault="0058325C" w:rsidP="0058325C">
      <w:pPr>
        <w:tabs>
          <w:tab w:val="right" w:pos="9029"/>
        </w:tabs>
        <w:spacing w:after="0" w:line="240" w:lineRule="auto"/>
        <w:ind w:left="0"/>
        <w:contextualSpacing/>
        <w:rPr>
          <w:rFonts w:eastAsia="Times New Roman" w:cs="Arial"/>
          <w:szCs w:val="24"/>
          <w:lang w:val="en-ZA"/>
        </w:rPr>
      </w:pPr>
      <w:r w:rsidRPr="0058325C">
        <w:rPr>
          <w:rFonts w:eastAsia="Times New Roman" w:cs="Arial"/>
          <w:b/>
          <w:szCs w:val="24"/>
          <w:lang w:val="en-ZA"/>
        </w:rPr>
        <w:t xml:space="preserve">DAYTONA (PTY) LTD T/A ROLLS ROYCE MOTOR CARS </w:t>
      </w:r>
      <w:r>
        <w:rPr>
          <w:rFonts w:eastAsia="Times New Roman" w:cs="Arial"/>
          <w:b/>
          <w:szCs w:val="24"/>
          <w:lang w:val="en-ZA"/>
        </w:rPr>
        <w:t xml:space="preserve">               </w:t>
      </w:r>
      <w:r>
        <w:rPr>
          <w:rFonts w:eastAsia="Times New Roman" w:cs="Arial"/>
          <w:szCs w:val="24"/>
          <w:lang w:val="en-ZA"/>
        </w:rPr>
        <w:t>2</w:t>
      </w:r>
      <w:r w:rsidRPr="0058325C">
        <w:rPr>
          <w:rFonts w:eastAsia="Times New Roman" w:cs="Arial"/>
          <w:szCs w:val="24"/>
          <w:vertAlign w:val="superscript"/>
          <w:lang w:val="en-ZA"/>
        </w:rPr>
        <w:t>nd</w:t>
      </w:r>
      <w:r>
        <w:rPr>
          <w:rFonts w:eastAsia="Times New Roman" w:cs="Arial"/>
          <w:szCs w:val="24"/>
          <w:lang w:val="en-ZA"/>
        </w:rPr>
        <w:t xml:space="preserve"> Applicant</w:t>
      </w:r>
    </w:p>
    <w:p w14:paraId="1C443D0B" w14:textId="6C812CE8" w:rsidR="0058325C" w:rsidRPr="0058325C" w:rsidRDefault="0058325C" w:rsidP="0058325C">
      <w:pPr>
        <w:tabs>
          <w:tab w:val="right" w:pos="9029"/>
        </w:tabs>
        <w:spacing w:after="0" w:line="240" w:lineRule="auto"/>
        <w:ind w:left="0"/>
        <w:contextualSpacing/>
        <w:rPr>
          <w:rFonts w:eastAsia="Times New Roman" w:cs="Arial"/>
          <w:b/>
          <w:szCs w:val="24"/>
          <w:lang w:val="en-ZA"/>
        </w:rPr>
      </w:pPr>
      <w:r w:rsidRPr="0058325C">
        <w:rPr>
          <w:rFonts w:eastAsia="Times New Roman" w:cs="Arial"/>
          <w:b/>
          <w:szCs w:val="24"/>
          <w:lang w:val="en-ZA"/>
        </w:rPr>
        <w:t>JOHANNESBURG</w:t>
      </w:r>
    </w:p>
    <w:p w14:paraId="7E8863C6" w14:textId="0BD3C0CE" w:rsidR="005E51EE" w:rsidRPr="0058325C" w:rsidRDefault="005E51EE" w:rsidP="005E51EE">
      <w:pPr>
        <w:tabs>
          <w:tab w:val="right" w:pos="9029"/>
        </w:tabs>
        <w:spacing w:after="0" w:line="240" w:lineRule="auto"/>
        <w:ind w:left="0"/>
        <w:contextualSpacing/>
        <w:rPr>
          <w:rFonts w:eastAsia="Times New Roman" w:cs="Arial"/>
          <w:b/>
          <w:bCs/>
          <w:szCs w:val="24"/>
          <w:lang w:val="en-ZA"/>
        </w:rPr>
      </w:pPr>
    </w:p>
    <w:p w14:paraId="51688D7A" w14:textId="77777777" w:rsidR="005E51EE" w:rsidRPr="00C97FDC" w:rsidRDefault="005E51EE" w:rsidP="005E51EE">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3308668D" w14:textId="77777777" w:rsidR="005E51EE" w:rsidRPr="007B7F59" w:rsidRDefault="005E51EE" w:rsidP="005E51EE">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452F1E8" w14:textId="77777777" w:rsidR="005E51EE" w:rsidRPr="007B7F59" w:rsidRDefault="005E51EE" w:rsidP="005E51EE">
      <w:pPr>
        <w:tabs>
          <w:tab w:val="right" w:pos="9029"/>
        </w:tabs>
        <w:spacing w:after="0" w:line="240" w:lineRule="auto"/>
        <w:ind w:left="0"/>
        <w:contextualSpacing/>
        <w:rPr>
          <w:rFonts w:eastAsia="Times New Roman" w:cs="Arial"/>
          <w:szCs w:val="24"/>
          <w:lang w:val="en-ZA"/>
        </w:rPr>
      </w:pPr>
    </w:p>
    <w:p w14:paraId="5D174472" w14:textId="6C7F128A" w:rsidR="005E51EE" w:rsidRDefault="003065BB" w:rsidP="005E51EE">
      <w:pPr>
        <w:tabs>
          <w:tab w:val="right" w:pos="9029"/>
        </w:tabs>
        <w:spacing w:after="0" w:line="240" w:lineRule="auto"/>
        <w:ind w:left="0"/>
        <w:contextualSpacing/>
        <w:rPr>
          <w:rFonts w:eastAsia="Times New Roman" w:cs="Arial"/>
          <w:szCs w:val="24"/>
          <w:lang w:val="en-ZA"/>
        </w:rPr>
      </w:pPr>
      <w:r>
        <w:rPr>
          <w:rFonts w:cs="Arial"/>
          <w:b/>
          <w:szCs w:val="24"/>
          <w:lang w:val="en-ZA"/>
        </w:rPr>
        <w:t>THE MASTER OF THE HIGH COURT JOHANNESBURG</w:t>
      </w:r>
      <w:r w:rsidR="009E7ADD">
        <w:rPr>
          <w:rFonts w:cs="Arial"/>
          <w:b/>
          <w:szCs w:val="24"/>
          <w:lang w:val="en-ZA"/>
        </w:rPr>
        <w:t xml:space="preserve">                 </w:t>
      </w:r>
      <w:r w:rsidR="0058325C" w:rsidRPr="0058325C">
        <w:rPr>
          <w:rFonts w:cs="Arial"/>
          <w:szCs w:val="24"/>
          <w:lang w:val="en-ZA"/>
        </w:rPr>
        <w:t>1</w:t>
      </w:r>
      <w:r w:rsidR="0058325C" w:rsidRPr="0058325C">
        <w:rPr>
          <w:rFonts w:cs="Arial"/>
          <w:szCs w:val="24"/>
          <w:vertAlign w:val="superscript"/>
          <w:lang w:val="en-ZA"/>
        </w:rPr>
        <w:t>st</w:t>
      </w:r>
      <w:r w:rsidR="0058325C">
        <w:rPr>
          <w:rFonts w:cs="Arial"/>
          <w:b/>
          <w:szCs w:val="24"/>
          <w:lang w:val="en-ZA"/>
        </w:rPr>
        <w:t xml:space="preserve"> </w:t>
      </w:r>
      <w:r w:rsidR="005E51EE" w:rsidRPr="007B7F59">
        <w:rPr>
          <w:rFonts w:eastAsia="Times New Roman" w:cs="Arial"/>
          <w:szCs w:val="24"/>
          <w:lang w:val="en-ZA"/>
        </w:rPr>
        <w:t>Respondent</w:t>
      </w:r>
    </w:p>
    <w:p w14:paraId="2B79469B" w14:textId="66967C00" w:rsidR="0058325C" w:rsidRDefault="0058325C" w:rsidP="005E51EE">
      <w:pPr>
        <w:tabs>
          <w:tab w:val="right" w:pos="9029"/>
        </w:tabs>
        <w:spacing w:after="0" w:line="240" w:lineRule="auto"/>
        <w:ind w:left="0"/>
        <w:contextualSpacing/>
        <w:rPr>
          <w:rFonts w:eastAsia="Times New Roman" w:cs="Arial"/>
          <w:szCs w:val="24"/>
          <w:lang w:val="en-ZA"/>
        </w:rPr>
      </w:pPr>
    </w:p>
    <w:p w14:paraId="36200815" w14:textId="02850C27" w:rsidR="0058325C" w:rsidRDefault="0058325C" w:rsidP="005E51EE">
      <w:pPr>
        <w:tabs>
          <w:tab w:val="right" w:pos="9029"/>
        </w:tabs>
        <w:spacing w:after="0" w:line="240" w:lineRule="auto"/>
        <w:ind w:left="0"/>
        <w:contextualSpacing/>
        <w:rPr>
          <w:rFonts w:eastAsia="Times New Roman" w:cs="Arial"/>
          <w:szCs w:val="24"/>
          <w:lang w:val="en-ZA"/>
        </w:rPr>
      </w:pPr>
      <w:r w:rsidRPr="0058325C">
        <w:rPr>
          <w:rFonts w:eastAsia="Times New Roman" w:cs="Arial"/>
          <w:b/>
          <w:szCs w:val="24"/>
          <w:lang w:val="en-ZA"/>
        </w:rPr>
        <w:t xml:space="preserve">SAFFY, LUKE BARNARD </w:t>
      </w:r>
      <w:r w:rsidRPr="0058325C">
        <w:rPr>
          <w:rFonts w:eastAsia="Times New Roman" w:cs="Arial"/>
          <w:b/>
          <w:i/>
          <w:szCs w:val="24"/>
          <w:lang w:val="en-ZA"/>
        </w:rPr>
        <w:t>N.O</w:t>
      </w:r>
      <w:r>
        <w:rPr>
          <w:rFonts w:eastAsia="Times New Roman" w:cs="Arial"/>
          <w:b/>
          <w:i/>
          <w:szCs w:val="24"/>
          <w:lang w:val="en-ZA"/>
        </w:rPr>
        <w:t xml:space="preserve">           </w:t>
      </w:r>
      <w:r>
        <w:rPr>
          <w:rFonts w:eastAsia="Times New Roman" w:cs="Arial"/>
          <w:szCs w:val="24"/>
          <w:lang w:val="en-ZA"/>
        </w:rPr>
        <w:t xml:space="preserve">                                                  2</w:t>
      </w:r>
      <w:r w:rsidRPr="0058325C">
        <w:rPr>
          <w:rFonts w:eastAsia="Times New Roman" w:cs="Arial"/>
          <w:szCs w:val="24"/>
          <w:vertAlign w:val="superscript"/>
          <w:lang w:val="en-ZA"/>
        </w:rPr>
        <w:t>nd</w:t>
      </w:r>
      <w:r>
        <w:rPr>
          <w:rFonts w:eastAsia="Times New Roman" w:cs="Arial"/>
          <w:szCs w:val="24"/>
          <w:lang w:val="en-ZA"/>
        </w:rPr>
        <w:t xml:space="preserve"> Respondent</w:t>
      </w:r>
    </w:p>
    <w:p w14:paraId="452FF6EE" w14:textId="5C20DC3B" w:rsidR="0058325C" w:rsidRDefault="0058325C" w:rsidP="005E51EE">
      <w:pPr>
        <w:tabs>
          <w:tab w:val="right" w:pos="9029"/>
        </w:tabs>
        <w:spacing w:after="0" w:line="240" w:lineRule="auto"/>
        <w:ind w:left="0"/>
        <w:contextualSpacing/>
        <w:rPr>
          <w:rFonts w:eastAsia="Times New Roman" w:cs="Arial"/>
          <w:szCs w:val="24"/>
          <w:lang w:val="en-ZA"/>
        </w:rPr>
      </w:pPr>
    </w:p>
    <w:p w14:paraId="73ADB71F" w14:textId="580F4E99" w:rsidR="0058325C" w:rsidRDefault="0058325C" w:rsidP="005E51EE">
      <w:pPr>
        <w:tabs>
          <w:tab w:val="right" w:pos="9029"/>
        </w:tabs>
        <w:spacing w:after="0" w:line="240" w:lineRule="auto"/>
        <w:ind w:left="0"/>
        <w:contextualSpacing/>
        <w:rPr>
          <w:rFonts w:eastAsia="Times New Roman" w:cs="Arial"/>
          <w:szCs w:val="24"/>
          <w:lang w:val="en-ZA"/>
        </w:rPr>
      </w:pPr>
      <w:r w:rsidRPr="0058325C">
        <w:rPr>
          <w:rFonts w:eastAsia="Times New Roman" w:cs="Arial"/>
          <w:b/>
          <w:szCs w:val="24"/>
          <w:lang w:val="en-ZA"/>
        </w:rPr>
        <w:t xml:space="preserve">DU PLESSIS, JOHANNES HENDRICUS </w:t>
      </w:r>
      <w:r w:rsidRPr="0058325C">
        <w:rPr>
          <w:rFonts w:eastAsia="Times New Roman" w:cs="Arial"/>
          <w:b/>
          <w:i/>
          <w:szCs w:val="24"/>
          <w:lang w:val="en-ZA"/>
        </w:rPr>
        <w:t>N.O</w:t>
      </w:r>
      <w:r>
        <w:rPr>
          <w:rFonts w:eastAsia="Times New Roman" w:cs="Arial"/>
          <w:szCs w:val="24"/>
          <w:lang w:val="en-ZA"/>
        </w:rPr>
        <w:t xml:space="preserve">                                     3</w:t>
      </w:r>
      <w:r w:rsidRPr="0058325C">
        <w:rPr>
          <w:rFonts w:eastAsia="Times New Roman" w:cs="Arial"/>
          <w:szCs w:val="24"/>
          <w:vertAlign w:val="superscript"/>
          <w:lang w:val="en-ZA"/>
        </w:rPr>
        <w:t>rd</w:t>
      </w:r>
      <w:r>
        <w:rPr>
          <w:rFonts w:eastAsia="Times New Roman" w:cs="Arial"/>
          <w:szCs w:val="24"/>
          <w:lang w:val="en-ZA"/>
        </w:rPr>
        <w:t xml:space="preserve"> Respondent </w:t>
      </w:r>
    </w:p>
    <w:p w14:paraId="5E4716AD" w14:textId="683DD58B" w:rsidR="0058325C" w:rsidRDefault="0058325C" w:rsidP="005E51EE">
      <w:pPr>
        <w:tabs>
          <w:tab w:val="right" w:pos="9029"/>
        </w:tabs>
        <w:spacing w:after="0" w:line="240" w:lineRule="auto"/>
        <w:ind w:left="0"/>
        <w:contextualSpacing/>
        <w:rPr>
          <w:rFonts w:eastAsia="Times New Roman" w:cs="Arial"/>
          <w:szCs w:val="24"/>
          <w:lang w:val="en-ZA"/>
        </w:rPr>
      </w:pPr>
    </w:p>
    <w:p w14:paraId="27362883" w14:textId="7945C209" w:rsidR="0058325C" w:rsidRPr="0058325C" w:rsidRDefault="0058325C" w:rsidP="005E51EE">
      <w:pPr>
        <w:tabs>
          <w:tab w:val="right" w:pos="9029"/>
        </w:tabs>
        <w:spacing w:after="0" w:line="240" w:lineRule="auto"/>
        <w:ind w:left="0"/>
        <w:contextualSpacing/>
        <w:rPr>
          <w:rFonts w:eastAsia="Times New Roman" w:cs="Arial"/>
          <w:szCs w:val="24"/>
          <w:lang w:val="en-ZA"/>
        </w:rPr>
      </w:pPr>
      <w:r w:rsidRPr="0058325C">
        <w:rPr>
          <w:rFonts w:eastAsia="Times New Roman" w:cs="Arial"/>
          <w:b/>
          <w:szCs w:val="24"/>
          <w:lang w:val="en-ZA"/>
        </w:rPr>
        <w:t xml:space="preserve">KGATLE, LOUISA SELINA </w:t>
      </w:r>
      <w:r w:rsidRPr="0058325C">
        <w:rPr>
          <w:rFonts w:eastAsia="Times New Roman" w:cs="Arial"/>
          <w:b/>
          <w:i/>
          <w:szCs w:val="24"/>
          <w:lang w:val="en-ZA"/>
        </w:rPr>
        <w:t>N.O</w:t>
      </w:r>
      <w:r>
        <w:rPr>
          <w:rFonts w:eastAsia="Times New Roman" w:cs="Arial"/>
          <w:szCs w:val="24"/>
          <w:lang w:val="en-ZA"/>
        </w:rPr>
        <w:t xml:space="preserve">                                                           4</w:t>
      </w:r>
      <w:r w:rsidRPr="0058325C">
        <w:rPr>
          <w:rFonts w:eastAsia="Times New Roman" w:cs="Arial"/>
          <w:szCs w:val="24"/>
          <w:vertAlign w:val="superscript"/>
          <w:lang w:val="en-ZA"/>
        </w:rPr>
        <w:t>th</w:t>
      </w:r>
      <w:r>
        <w:rPr>
          <w:rFonts w:eastAsia="Times New Roman" w:cs="Arial"/>
          <w:szCs w:val="24"/>
          <w:lang w:val="en-ZA"/>
        </w:rPr>
        <w:t xml:space="preserve"> Respondent</w:t>
      </w:r>
    </w:p>
    <w:p w14:paraId="74EBA8A8" w14:textId="0FB223C7" w:rsidR="00017B9C" w:rsidRPr="0058325C" w:rsidRDefault="00017B9C" w:rsidP="005E51EE">
      <w:pPr>
        <w:tabs>
          <w:tab w:val="right" w:pos="9029"/>
        </w:tabs>
        <w:spacing w:after="0" w:line="240" w:lineRule="auto"/>
        <w:ind w:left="0"/>
        <w:contextualSpacing/>
        <w:rPr>
          <w:rFonts w:eastAsia="Times New Roman" w:cs="Arial"/>
          <w:b/>
          <w:szCs w:val="24"/>
          <w:lang w:val="en-ZA"/>
        </w:rPr>
      </w:pPr>
    </w:p>
    <w:p w14:paraId="40134EC0" w14:textId="77777777" w:rsidR="00017B9C" w:rsidRPr="00C97FDC" w:rsidRDefault="00017B9C" w:rsidP="005E51EE">
      <w:pPr>
        <w:tabs>
          <w:tab w:val="right" w:pos="9029"/>
        </w:tabs>
        <w:spacing w:after="0" w:line="240" w:lineRule="auto"/>
        <w:ind w:left="0"/>
        <w:contextualSpacing/>
        <w:rPr>
          <w:rFonts w:eastAsia="Times New Roman" w:cs="Arial"/>
          <w:szCs w:val="24"/>
          <w:lang w:val="en-ZA"/>
        </w:rPr>
      </w:pPr>
    </w:p>
    <w:p w14:paraId="366055AF" w14:textId="66B39F54" w:rsidR="00017B9C" w:rsidRDefault="00017B9C" w:rsidP="005E51EE">
      <w:pPr>
        <w:tabs>
          <w:tab w:val="right" w:pos="9029"/>
        </w:tabs>
        <w:spacing w:after="0" w:line="240" w:lineRule="auto"/>
        <w:ind w:left="0"/>
        <w:contextualSpacing/>
        <w:rPr>
          <w:rFonts w:eastAsia="Times New Roman" w:cs="Arial"/>
          <w:szCs w:val="24"/>
          <w:lang w:val="en-ZA"/>
        </w:rPr>
      </w:pPr>
    </w:p>
    <w:p w14:paraId="7D28EA4F" w14:textId="5B3FBA3B" w:rsidR="00017B9C" w:rsidRPr="00645B13" w:rsidRDefault="00017B9C" w:rsidP="005E51EE">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NEUTRAL CITATION: </w:t>
      </w:r>
      <w:r w:rsidR="003065BB">
        <w:rPr>
          <w:rFonts w:eastAsia="Times New Roman" w:cs="Arial"/>
          <w:i/>
          <w:szCs w:val="24"/>
          <w:lang w:val="en-ZA"/>
        </w:rPr>
        <w:t xml:space="preserve">Justin </w:t>
      </w:r>
      <w:proofErr w:type="spellStart"/>
      <w:r w:rsidR="003065BB">
        <w:rPr>
          <w:rFonts w:eastAsia="Times New Roman" w:cs="Arial"/>
          <w:i/>
          <w:szCs w:val="24"/>
          <w:lang w:val="en-ZA"/>
        </w:rPr>
        <w:t>Nichlas</w:t>
      </w:r>
      <w:proofErr w:type="spellEnd"/>
      <w:r w:rsidR="003065BB">
        <w:rPr>
          <w:rFonts w:eastAsia="Times New Roman" w:cs="Arial"/>
          <w:i/>
          <w:szCs w:val="24"/>
          <w:lang w:val="en-ZA"/>
        </w:rPr>
        <w:t xml:space="preserve"> </w:t>
      </w:r>
      <w:proofErr w:type="spellStart"/>
      <w:r w:rsidR="003065BB">
        <w:rPr>
          <w:rFonts w:eastAsia="Times New Roman" w:cs="Arial"/>
          <w:i/>
          <w:szCs w:val="24"/>
          <w:lang w:val="en-ZA"/>
        </w:rPr>
        <w:t>Divaris</w:t>
      </w:r>
      <w:proofErr w:type="spellEnd"/>
      <w:r w:rsidR="00543CC9">
        <w:rPr>
          <w:rFonts w:eastAsia="Times New Roman" w:cs="Arial"/>
          <w:i/>
          <w:szCs w:val="24"/>
          <w:lang w:val="en-ZA"/>
        </w:rPr>
        <w:t xml:space="preserve"> &amp; Another</w:t>
      </w:r>
      <w:r w:rsidR="003065BB">
        <w:rPr>
          <w:rFonts w:eastAsia="Times New Roman" w:cs="Arial"/>
          <w:i/>
          <w:szCs w:val="24"/>
          <w:lang w:val="en-ZA"/>
        </w:rPr>
        <w:t xml:space="preserve"> </w:t>
      </w:r>
      <w:r w:rsidR="00645B13">
        <w:rPr>
          <w:rFonts w:eastAsia="Times New Roman" w:cs="Arial"/>
          <w:i/>
          <w:szCs w:val="24"/>
          <w:lang w:val="en-ZA"/>
        </w:rPr>
        <w:t xml:space="preserve">v </w:t>
      </w:r>
      <w:r w:rsidR="003065BB">
        <w:rPr>
          <w:rFonts w:eastAsia="Times New Roman" w:cs="Arial"/>
          <w:i/>
          <w:szCs w:val="24"/>
          <w:lang w:val="en-ZA"/>
        </w:rPr>
        <w:t>The Master of the High Court Johannesburg</w:t>
      </w:r>
      <w:r w:rsidR="00543CC9">
        <w:rPr>
          <w:rFonts w:eastAsia="Times New Roman" w:cs="Arial"/>
          <w:i/>
          <w:szCs w:val="24"/>
          <w:lang w:val="en-ZA"/>
        </w:rPr>
        <w:t xml:space="preserve"> &amp; Others</w:t>
      </w:r>
      <w:r w:rsidR="003065BB">
        <w:rPr>
          <w:rFonts w:eastAsia="Times New Roman" w:cs="Arial"/>
          <w:i/>
          <w:szCs w:val="24"/>
          <w:lang w:val="en-ZA"/>
        </w:rPr>
        <w:t xml:space="preserve"> </w:t>
      </w:r>
      <w:r w:rsidR="00645B13">
        <w:rPr>
          <w:rFonts w:eastAsia="Times New Roman" w:cs="Arial"/>
          <w:szCs w:val="24"/>
          <w:lang w:val="en-ZA"/>
        </w:rPr>
        <w:t xml:space="preserve">(Case No: </w:t>
      </w:r>
      <w:r w:rsidR="003065BB">
        <w:rPr>
          <w:rFonts w:eastAsia="Times New Roman" w:cs="Arial"/>
          <w:bCs/>
          <w:szCs w:val="24"/>
          <w:lang w:val="en-ZA"/>
        </w:rPr>
        <w:t>046772/2023</w:t>
      </w:r>
      <w:r w:rsidR="00645B13">
        <w:rPr>
          <w:rFonts w:eastAsia="Times New Roman" w:cs="Arial"/>
          <w:bCs/>
          <w:szCs w:val="24"/>
          <w:lang w:val="en-ZA"/>
        </w:rPr>
        <w:t xml:space="preserve">) [2023] </w:t>
      </w:r>
      <w:r w:rsidR="00645B13">
        <w:t>ZAGPJHC</w:t>
      </w:r>
      <w:r w:rsidR="00547183">
        <w:t xml:space="preserve"> 611</w:t>
      </w:r>
      <w:r w:rsidR="003065BB">
        <w:t xml:space="preserve"> (01 June </w:t>
      </w:r>
      <w:r w:rsidR="00645B13">
        <w:t>2023)</w:t>
      </w:r>
    </w:p>
    <w:p w14:paraId="5AFDB72D" w14:textId="77777777" w:rsidR="005E51EE" w:rsidRPr="007B7F59" w:rsidRDefault="005E51EE" w:rsidP="005E51EE">
      <w:pPr>
        <w:pBdr>
          <w:bottom w:val="single" w:sz="12" w:space="1" w:color="auto"/>
        </w:pBdr>
        <w:spacing w:after="0" w:line="240" w:lineRule="auto"/>
        <w:ind w:left="0"/>
        <w:jc w:val="left"/>
        <w:rPr>
          <w:rFonts w:cs="Arial"/>
          <w:b/>
          <w:szCs w:val="24"/>
          <w:lang w:val="en-ZA"/>
        </w:rPr>
      </w:pPr>
    </w:p>
    <w:p w14:paraId="526913EF" w14:textId="77777777" w:rsidR="005E51EE" w:rsidRPr="007B7F59" w:rsidRDefault="005E51EE" w:rsidP="003065BB">
      <w:pPr>
        <w:spacing w:after="0" w:line="240" w:lineRule="auto"/>
        <w:jc w:val="left"/>
        <w:rPr>
          <w:rFonts w:cs="Arial"/>
          <w:b/>
          <w:szCs w:val="24"/>
        </w:rPr>
      </w:pPr>
    </w:p>
    <w:p w14:paraId="242EA8D1" w14:textId="1F494991" w:rsidR="005E51EE" w:rsidRPr="007B7F59" w:rsidRDefault="005E51EE" w:rsidP="005E51EE">
      <w:pPr>
        <w:pBdr>
          <w:bottom w:val="single" w:sz="12" w:space="1" w:color="auto"/>
        </w:pBdr>
        <w:spacing w:line="480" w:lineRule="auto"/>
        <w:ind w:left="0"/>
        <w:jc w:val="center"/>
        <w:rPr>
          <w:rFonts w:cs="Arial"/>
          <w:b/>
          <w:szCs w:val="24"/>
          <w:lang w:val="en-ZA"/>
        </w:rPr>
      </w:pPr>
      <w:r>
        <w:rPr>
          <w:rFonts w:cs="Arial"/>
          <w:b/>
          <w:szCs w:val="24"/>
          <w:lang w:val="en-ZA"/>
        </w:rPr>
        <w:lastRenderedPageBreak/>
        <w:t>ORDER</w:t>
      </w:r>
    </w:p>
    <w:p w14:paraId="0E1B6F68" w14:textId="6D88DDD9" w:rsidR="003065BB" w:rsidRPr="00E32565" w:rsidRDefault="00E32565" w:rsidP="00E32565">
      <w:pPr>
        <w:ind w:left="502" w:hanging="360"/>
        <w:rPr>
          <w:rFonts w:cs="Arial"/>
          <w:lang w:val="en-US"/>
        </w:rPr>
      </w:pPr>
      <w:r w:rsidRPr="003872E6">
        <w:rPr>
          <w:rFonts w:eastAsia="Calibri" w:cs="Arial"/>
          <w:szCs w:val="24"/>
          <w:lang w:val="en-US"/>
        </w:rPr>
        <w:t>1.</w:t>
      </w:r>
      <w:r w:rsidRPr="003872E6">
        <w:rPr>
          <w:rFonts w:eastAsia="Calibri" w:cs="Arial"/>
          <w:szCs w:val="24"/>
          <w:lang w:val="en-US"/>
        </w:rPr>
        <w:tab/>
      </w:r>
      <w:r w:rsidR="003065BB" w:rsidRPr="00E32565">
        <w:rPr>
          <w:rFonts w:cs="Arial"/>
          <w:lang w:val="en-US"/>
        </w:rPr>
        <w:t xml:space="preserve">The summons issued in terms of Section 152(2) of the Insolvency Act of 1936 dated and issued by the First Respondent on 18 April 2023 in the insolvent estate of </w:t>
      </w:r>
      <w:proofErr w:type="spellStart"/>
      <w:r w:rsidR="003065BB" w:rsidRPr="00E32565">
        <w:rPr>
          <w:rFonts w:cs="Arial"/>
          <w:lang w:val="en-US"/>
        </w:rPr>
        <w:t>Sheperd</w:t>
      </w:r>
      <w:proofErr w:type="spellEnd"/>
      <w:r w:rsidR="003065BB" w:rsidRPr="00E32565">
        <w:rPr>
          <w:rFonts w:cs="Arial"/>
          <w:lang w:val="en-US"/>
        </w:rPr>
        <w:t xml:space="preserve"> Huxley Bushiri with Master Reference Number G1230/2020 (“the insolvent estate”) and directed at the Applicants, is set aside.</w:t>
      </w:r>
    </w:p>
    <w:p w14:paraId="4D8D93F0" w14:textId="77777777" w:rsidR="003065BB" w:rsidRPr="003872E6" w:rsidRDefault="003065BB" w:rsidP="003065BB">
      <w:pPr>
        <w:pStyle w:val="ListParagraph"/>
        <w:spacing w:line="360" w:lineRule="auto"/>
        <w:ind w:left="1211"/>
        <w:jc w:val="both"/>
        <w:rPr>
          <w:rFonts w:cs="Arial"/>
          <w:lang w:val="en-US"/>
        </w:rPr>
      </w:pPr>
    </w:p>
    <w:p w14:paraId="4B715001" w14:textId="7CAEFFA0" w:rsidR="003065BB" w:rsidRPr="00E32565" w:rsidRDefault="00E32565" w:rsidP="00E32565">
      <w:pPr>
        <w:ind w:left="502" w:hanging="360"/>
        <w:rPr>
          <w:rFonts w:cs="Arial"/>
          <w:lang w:val="en-US"/>
        </w:rPr>
      </w:pPr>
      <w:r w:rsidRPr="003872E6">
        <w:rPr>
          <w:rFonts w:eastAsia="Calibri" w:cs="Arial"/>
          <w:szCs w:val="24"/>
          <w:lang w:val="en-US"/>
        </w:rPr>
        <w:t>2.</w:t>
      </w:r>
      <w:r w:rsidRPr="003872E6">
        <w:rPr>
          <w:rFonts w:eastAsia="Calibri" w:cs="Arial"/>
          <w:szCs w:val="24"/>
          <w:lang w:val="en-US"/>
        </w:rPr>
        <w:tab/>
      </w:r>
      <w:r w:rsidR="003065BB" w:rsidRPr="00E32565">
        <w:rPr>
          <w:rFonts w:cs="Arial"/>
          <w:lang w:val="en-US"/>
        </w:rPr>
        <w:t>The costs of the application are costs in the administration of the insolvent estate.</w:t>
      </w:r>
    </w:p>
    <w:p w14:paraId="7B64D7B1" w14:textId="77777777" w:rsidR="00645B13" w:rsidRPr="00017B9C" w:rsidRDefault="00645B13" w:rsidP="00645B13">
      <w:pPr>
        <w:pStyle w:val="JudgmentNumbered"/>
        <w:numPr>
          <w:ilvl w:val="0"/>
          <w:numId w:val="0"/>
        </w:numPr>
        <w:ind w:left="567"/>
        <w:rPr>
          <w:lang w:val="en-ZA"/>
        </w:rPr>
      </w:pPr>
    </w:p>
    <w:p w14:paraId="34913928" w14:textId="77777777" w:rsidR="005E51EE" w:rsidRPr="007B7F59" w:rsidRDefault="005E51EE" w:rsidP="005E51EE">
      <w:pPr>
        <w:pBdr>
          <w:bottom w:val="single" w:sz="12" w:space="1" w:color="auto"/>
        </w:pBdr>
        <w:spacing w:after="0" w:line="240" w:lineRule="auto"/>
        <w:ind w:left="0"/>
        <w:jc w:val="left"/>
        <w:rPr>
          <w:rFonts w:cs="Arial"/>
          <w:b/>
          <w:szCs w:val="24"/>
          <w:lang w:val="en-ZA"/>
        </w:rPr>
      </w:pPr>
    </w:p>
    <w:p w14:paraId="445797F5" w14:textId="77777777" w:rsidR="005E51EE" w:rsidRPr="007B7F59" w:rsidRDefault="005E51EE" w:rsidP="005E51EE">
      <w:pPr>
        <w:spacing w:after="0" w:line="240" w:lineRule="auto"/>
        <w:ind w:left="1440" w:hanging="1440"/>
        <w:jc w:val="left"/>
        <w:rPr>
          <w:rFonts w:cs="Arial"/>
          <w:b/>
          <w:szCs w:val="24"/>
        </w:rPr>
      </w:pPr>
    </w:p>
    <w:p w14:paraId="6F6D7295" w14:textId="77777777" w:rsidR="005E51EE" w:rsidRPr="007B7F59" w:rsidRDefault="005E51EE" w:rsidP="005E51EE">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E45EBA1" w14:textId="76182510" w:rsidR="005E51EE" w:rsidRDefault="003065BB" w:rsidP="005E51EE">
      <w:pPr>
        <w:spacing w:after="0" w:line="240" w:lineRule="auto"/>
        <w:ind w:left="0"/>
        <w:jc w:val="left"/>
        <w:rPr>
          <w:rFonts w:cs="Arial"/>
          <w:b/>
          <w:bCs/>
          <w:szCs w:val="24"/>
        </w:rPr>
      </w:pPr>
      <w:r>
        <w:rPr>
          <w:rFonts w:cs="Arial"/>
          <w:b/>
          <w:bCs/>
          <w:szCs w:val="24"/>
        </w:rPr>
        <w:t xml:space="preserve">Thompson AJ: </w:t>
      </w:r>
    </w:p>
    <w:p w14:paraId="1A4F2A12" w14:textId="6A0DA5B1" w:rsidR="00593B6C" w:rsidRDefault="00593B6C" w:rsidP="005E51EE">
      <w:pPr>
        <w:spacing w:after="0" w:line="240" w:lineRule="auto"/>
        <w:ind w:left="0"/>
        <w:jc w:val="left"/>
        <w:rPr>
          <w:rFonts w:cs="Arial"/>
          <w:b/>
          <w:bCs/>
          <w:szCs w:val="24"/>
        </w:rPr>
      </w:pPr>
    </w:p>
    <w:p w14:paraId="34644CDA" w14:textId="35036162" w:rsidR="003065BB" w:rsidRPr="00E32565" w:rsidRDefault="00E32565" w:rsidP="00E32565">
      <w:pPr>
        <w:ind w:left="851" w:hanging="851"/>
        <w:rPr>
          <w:rFonts w:cs="Arial"/>
          <w:lang w:val="en-US"/>
        </w:rPr>
      </w:pPr>
      <w:r w:rsidRPr="003872E6">
        <w:rPr>
          <w:rFonts w:eastAsia="Calibri" w:cs="Arial"/>
          <w:szCs w:val="24"/>
          <w:lang w:val="en-US"/>
        </w:rPr>
        <w:t>[1]</w:t>
      </w:r>
      <w:r w:rsidRPr="003872E6">
        <w:rPr>
          <w:rFonts w:eastAsia="Calibri" w:cs="Arial"/>
          <w:szCs w:val="24"/>
          <w:lang w:val="en-US"/>
        </w:rPr>
        <w:tab/>
      </w:r>
      <w:r w:rsidR="003065BB" w:rsidRPr="00E32565">
        <w:rPr>
          <w:rFonts w:cs="Arial"/>
          <w:lang w:val="en-US"/>
        </w:rPr>
        <w:t xml:space="preserve">Effectively, the absence of the sum of R584,00 and the inability </w:t>
      </w:r>
      <w:proofErr w:type="gramStart"/>
      <w:r w:rsidR="003065BB" w:rsidRPr="00E32565">
        <w:rPr>
          <w:rFonts w:cs="Arial"/>
          <w:lang w:val="en-US"/>
        </w:rPr>
        <w:t>of applying</w:t>
      </w:r>
      <w:proofErr w:type="gramEnd"/>
      <w:r w:rsidR="003065BB" w:rsidRPr="00E32565">
        <w:rPr>
          <w:rFonts w:cs="Arial"/>
          <w:lang w:val="en-US"/>
        </w:rPr>
        <w:t xml:space="preserve"> a practical and logical solution to a simple error, has given rise to extensive High Court litigation in the urgent court.</w:t>
      </w:r>
    </w:p>
    <w:p w14:paraId="06E52336" w14:textId="77777777" w:rsidR="003065BB" w:rsidRPr="003872E6" w:rsidRDefault="003065BB" w:rsidP="003065BB">
      <w:pPr>
        <w:pStyle w:val="ListParagraph"/>
        <w:spacing w:line="360" w:lineRule="auto"/>
        <w:ind w:left="851"/>
        <w:jc w:val="both"/>
        <w:rPr>
          <w:rFonts w:cs="Arial"/>
          <w:lang w:val="en-US"/>
        </w:rPr>
      </w:pPr>
    </w:p>
    <w:p w14:paraId="1F848431" w14:textId="4AD7C248" w:rsidR="003065BB" w:rsidRPr="00E32565" w:rsidRDefault="00E32565" w:rsidP="00E32565">
      <w:pPr>
        <w:ind w:left="851" w:hanging="851"/>
        <w:rPr>
          <w:rFonts w:cs="Arial"/>
          <w:lang w:val="en-US"/>
        </w:rPr>
      </w:pPr>
      <w:r w:rsidRPr="003872E6">
        <w:rPr>
          <w:rFonts w:eastAsia="Calibri" w:cs="Arial"/>
          <w:szCs w:val="24"/>
          <w:lang w:val="en-US"/>
        </w:rPr>
        <w:t>[2]</w:t>
      </w:r>
      <w:r w:rsidRPr="003872E6">
        <w:rPr>
          <w:rFonts w:eastAsia="Calibri" w:cs="Arial"/>
          <w:szCs w:val="24"/>
          <w:lang w:val="en-US"/>
        </w:rPr>
        <w:tab/>
      </w:r>
      <w:r w:rsidR="003065BB" w:rsidRPr="00E32565">
        <w:rPr>
          <w:rFonts w:cs="Arial"/>
          <w:lang w:val="en-US"/>
        </w:rPr>
        <w:t>The controversy in this matter to be determined is whether the Summons in terms of Section 152 of the Insolvency Act</w:t>
      </w:r>
      <w:r w:rsidR="003065BB" w:rsidRPr="003872E6">
        <w:rPr>
          <w:rStyle w:val="FootnoteReference"/>
          <w:rFonts w:cs="Arial"/>
          <w:lang w:val="en-US"/>
        </w:rPr>
        <w:footnoteReference w:id="1"/>
      </w:r>
      <w:r w:rsidR="003065BB" w:rsidRPr="00E32565">
        <w:rPr>
          <w:rFonts w:cs="Arial"/>
          <w:lang w:val="en-US"/>
        </w:rPr>
        <w:t xml:space="preserve"> (“the Act”) is valid in the absence of a proper tender for witness fees as allowed for in terms of the Tariff of Allowances Payable to Witnesses in Civil Cases</w:t>
      </w:r>
      <w:r w:rsidR="003065BB" w:rsidRPr="003872E6">
        <w:rPr>
          <w:rStyle w:val="FootnoteReference"/>
          <w:rFonts w:cs="Arial"/>
          <w:lang w:val="en-US"/>
        </w:rPr>
        <w:footnoteReference w:id="2"/>
      </w:r>
      <w:r w:rsidR="003065BB" w:rsidRPr="00E32565">
        <w:rPr>
          <w:rFonts w:cs="Arial"/>
          <w:lang w:val="en-US"/>
        </w:rPr>
        <w:t xml:space="preserve"> (“the prescribed fees”).  A similar issue is raised in respect of the failure to </w:t>
      </w:r>
      <w:proofErr w:type="gramStart"/>
      <w:r w:rsidR="003065BB" w:rsidRPr="00E32565">
        <w:rPr>
          <w:rFonts w:cs="Arial"/>
          <w:lang w:val="en-US"/>
        </w:rPr>
        <w:t>tender</w:t>
      </w:r>
      <w:proofErr w:type="gramEnd"/>
      <w:r w:rsidR="003065BB" w:rsidRPr="00E32565">
        <w:rPr>
          <w:rFonts w:cs="Arial"/>
          <w:lang w:val="en-US"/>
        </w:rPr>
        <w:t xml:space="preserve"> the reasonable travelling and subsistence costs of the first respondent who is resident in Cape Town.  For the reasons to follow, I will only deal with the witness fees issue.</w:t>
      </w:r>
    </w:p>
    <w:p w14:paraId="39D020C5" w14:textId="77777777" w:rsidR="003065BB" w:rsidRPr="003872E6" w:rsidRDefault="003065BB" w:rsidP="003065BB">
      <w:pPr>
        <w:pStyle w:val="ListParagraph"/>
        <w:spacing w:line="360" w:lineRule="auto"/>
        <w:jc w:val="both"/>
        <w:rPr>
          <w:rFonts w:cs="Arial"/>
          <w:lang w:val="en-US"/>
        </w:rPr>
      </w:pPr>
    </w:p>
    <w:p w14:paraId="0085FEA9" w14:textId="7339485E" w:rsidR="003065BB" w:rsidRPr="00E32565" w:rsidRDefault="00E32565" w:rsidP="00E32565">
      <w:pPr>
        <w:ind w:left="851" w:hanging="851"/>
        <w:rPr>
          <w:rFonts w:cs="Arial"/>
          <w:lang w:val="en-US"/>
        </w:rPr>
      </w:pPr>
      <w:r w:rsidRPr="003872E6">
        <w:rPr>
          <w:rFonts w:eastAsia="Calibri" w:cs="Arial"/>
          <w:szCs w:val="24"/>
          <w:lang w:val="en-US"/>
        </w:rPr>
        <w:t>[3]</w:t>
      </w:r>
      <w:r w:rsidRPr="003872E6">
        <w:rPr>
          <w:rFonts w:eastAsia="Calibri" w:cs="Arial"/>
          <w:szCs w:val="24"/>
          <w:lang w:val="en-US"/>
        </w:rPr>
        <w:tab/>
      </w:r>
      <w:r w:rsidR="003065BB" w:rsidRPr="00E32565">
        <w:rPr>
          <w:rFonts w:cs="Arial"/>
          <w:lang w:val="en-US"/>
        </w:rPr>
        <w:t>It is common cause that the witness fees tendered in the summons are “</w:t>
      </w:r>
      <w:r w:rsidR="003065BB" w:rsidRPr="00E32565">
        <w:rPr>
          <w:rFonts w:cs="Arial"/>
          <w:i/>
          <w:iCs/>
          <w:lang w:val="en-US"/>
        </w:rPr>
        <w:t xml:space="preserve">an allowance equal to the actual amount of income which the Trustees may found </w:t>
      </w:r>
      <w:r w:rsidR="003065BB" w:rsidRPr="00E32565">
        <w:rPr>
          <w:rFonts w:cs="Arial"/>
          <w:i/>
          <w:iCs/>
          <w:lang w:val="en-US"/>
        </w:rPr>
        <w:lastRenderedPageBreak/>
        <w:t xml:space="preserve">be forfeited by the witness </w:t>
      </w:r>
      <w:proofErr w:type="gramStart"/>
      <w:r w:rsidR="003065BB" w:rsidRPr="00E32565">
        <w:rPr>
          <w:rFonts w:cs="Arial"/>
          <w:i/>
          <w:iCs/>
          <w:lang w:val="en-US"/>
        </w:rPr>
        <w:t>as a result of</w:t>
      </w:r>
      <w:proofErr w:type="gramEnd"/>
      <w:r w:rsidR="003065BB" w:rsidRPr="00E32565">
        <w:rPr>
          <w:rFonts w:cs="Arial"/>
          <w:i/>
          <w:iCs/>
          <w:lang w:val="en-US"/>
        </w:rPr>
        <w:t xml:space="preserve"> the witness’s attendance at this examination to a maximum of R1500,00 per day</w:t>
      </w:r>
      <w:r w:rsidR="003065BB" w:rsidRPr="00E32565">
        <w:rPr>
          <w:rFonts w:cs="Arial"/>
          <w:lang w:val="en-US"/>
        </w:rPr>
        <w:t>.”  It is further common cause that the prescribed fees allow for a maximum of R2 084,00.</w:t>
      </w:r>
    </w:p>
    <w:p w14:paraId="2F874BBF" w14:textId="77777777" w:rsidR="003065BB" w:rsidRPr="003872E6" w:rsidRDefault="003065BB" w:rsidP="003065BB">
      <w:pPr>
        <w:pStyle w:val="ListParagraph"/>
        <w:spacing w:line="360" w:lineRule="auto"/>
        <w:jc w:val="both"/>
        <w:rPr>
          <w:rFonts w:cs="Arial"/>
          <w:lang w:val="en-US"/>
        </w:rPr>
      </w:pPr>
    </w:p>
    <w:p w14:paraId="7471BA9F" w14:textId="573F7F0B" w:rsidR="003065BB" w:rsidRPr="00E32565" w:rsidRDefault="00E32565" w:rsidP="00E32565">
      <w:pPr>
        <w:ind w:left="851" w:hanging="851"/>
        <w:rPr>
          <w:rFonts w:cs="Arial"/>
          <w:lang w:val="en-US"/>
        </w:rPr>
      </w:pPr>
      <w:r w:rsidRPr="003872E6">
        <w:rPr>
          <w:rFonts w:eastAsia="Calibri" w:cs="Arial"/>
          <w:szCs w:val="24"/>
          <w:lang w:val="en-US"/>
        </w:rPr>
        <w:t>[4]</w:t>
      </w:r>
      <w:r w:rsidRPr="003872E6">
        <w:rPr>
          <w:rFonts w:eastAsia="Calibri" w:cs="Arial"/>
          <w:szCs w:val="24"/>
          <w:lang w:val="en-US"/>
        </w:rPr>
        <w:tab/>
      </w:r>
      <w:r w:rsidR="003065BB" w:rsidRPr="00E32565">
        <w:rPr>
          <w:rFonts w:cs="Arial"/>
          <w:lang w:val="en-US"/>
        </w:rPr>
        <w:t>In terms of settled authority,</w:t>
      </w:r>
      <w:r w:rsidR="003065BB" w:rsidRPr="003872E6">
        <w:rPr>
          <w:rStyle w:val="FootnoteReference"/>
          <w:rFonts w:cs="Arial"/>
          <w:lang w:val="en-US"/>
        </w:rPr>
        <w:footnoteReference w:id="3"/>
      </w:r>
      <w:r w:rsidR="003065BB" w:rsidRPr="00E32565">
        <w:rPr>
          <w:rFonts w:cs="Arial"/>
          <w:lang w:val="en-US"/>
        </w:rPr>
        <w:t xml:space="preserve"> it was incumbent on the trustees of the insolvent estate to tender the correct sum as per the prescribed fees.  A tender of the incorrect or erroneous and lower sum as per the prescribed fees renders the summons defective and, on this ground alone, may be set aside.</w:t>
      </w:r>
      <w:r w:rsidR="003065BB" w:rsidRPr="003872E6">
        <w:rPr>
          <w:rStyle w:val="FootnoteReference"/>
          <w:rFonts w:cs="Arial"/>
          <w:lang w:val="en-US"/>
        </w:rPr>
        <w:footnoteReference w:id="4"/>
      </w:r>
      <w:r w:rsidR="003065BB" w:rsidRPr="00E32565">
        <w:rPr>
          <w:rFonts w:cs="Arial"/>
          <w:lang w:val="en-US"/>
        </w:rPr>
        <w:t xml:space="preserve">  These authorities are binding upon me and, unless I can find that they are clearly wrongly decided or are distinguishable on the facts, I am bound to follow them.</w:t>
      </w:r>
    </w:p>
    <w:p w14:paraId="4A11621B" w14:textId="77777777" w:rsidR="003065BB" w:rsidRPr="003872E6" w:rsidRDefault="003065BB" w:rsidP="003065BB">
      <w:pPr>
        <w:pStyle w:val="ListParagraph"/>
        <w:spacing w:line="360" w:lineRule="auto"/>
        <w:jc w:val="both"/>
        <w:rPr>
          <w:rFonts w:cs="Arial"/>
          <w:lang w:val="en-US"/>
        </w:rPr>
      </w:pPr>
    </w:p>
    <w:p w14:paraId="17ED7D1A" w14:textId="398251A5" w:rsidR="003065BB" w:rsidRPr="00E32565" w:rsidRDefault="00E32565" w:rsidP="00E32565">
      <w:pPr>
        <w:ind w:left="851" w:hanging="851"/>
        <w:rPr>
          <w:rFonts w:cs="Arial"/>
          <w:lang w:val="en-US"/>
        </w:rPr>
      </w:pPr>
      <w:r w:rsidRPr="003872E6">
        <w:rPr>
          <w:rFonts w:eastAsia="Calibri" w:cs="Arial"/>
          <w:szCs w:val="24"/>
          <w:lang w:val="en-US"/>
        </w:rPr>
        <w:t>[5]</w:t>
      </w:r>
      <w:r w:rsidRPr="003872E6">
        <w:rPr>
          <w:rFonts w:eastAsia="Calibri" w:cs="Arial"/>
          <w:szCs w:val="24"/>
          <w:lang w:val="en-US"/>
        </w:rPr>
        <w:tab/>
      </w:r>
      <w:proofErr w:type="spellStart"/>
      <w:r w:rsidR="003065BB" w:rsidRPr="00E32565">
        <w:rPr>
          <w:rFonts w:cs="Arial"/>
          <w:i/>
          <w:iCs/>
          <w:lang w:val="en-US"/>
        </w:rPr>
        <w:t>Mr</w:t>
      </w:r>
      <w:proofErr w:type="spellEnd"/>
      <w:r w:rsidR="003065BB" w:rsidRPr="00E32565">
        <w:rPr>
          <w:rFonts w:cs="Arial"/>
          <w:i/>
          <w:iCs/>
          <w:lang w:val="en-US"/>
        </w:rPr>
        <w:t xml:space="preserve"> Riley</w:t>
      </w:r>
      <w:r w:rsidR="003065BB" w:rsidRPr="00E32565">
        <w:rPr>
          <w:rFonts w:cs="Arial"/>
          <w:lang w:val="en-US"/>
        </w:rPr>
        <w:t xml:space="preserve">, appearing on behalf of the second to fourth respondents, did not seek to persuade me that the aforesaid authorities are clearly wrong, rather he contended that this matter is distinguishable on the facts.  The distinguishing feature he relied upon is the fact that in correspondences prior to the institution of the application, no issue was raised in respect of the failure to tender the correct witness fees.  In this regard it was very loosely and without real </w:t>
      </w:r>
      <w:proofErr w:type="spellStart"/>
      <w:r w:rsidR="003065BB" w:rsidRPr="00E32565">
        <w:rPr>
          <w:rFonts w:cs="Arial"/>
          <w:lang w:val="en-US"/>
        </w:rPr>
        <w:t>vigour</w:t>
      </w:r>
      <w:proofErr w:type="spellEnd"/>
      <w:r w:rsidR="003065BB" w:rsidRPr="00E32565">
        <w:rPr>
          <w:rFonts w:cs="Arial"/>
          <w:lang w:val="en-US"/>
        </w:rPr>
        <w:t xml:space="preserve"> argued that the applicants waived their rights to rely on the failure to tender the correct witness fees.</w:t>
      </w:r>
    </w:p>
    <w:p w14:paraId="0CE51961" w14:textId="77777777" w:rsidR="003065BB" w:rsidRPr="003872E6" w:rsidRDefault="003065BB" w:rsidP="003065BB">
      <w:pPr>
        <w:pStyle w:val="ListParagraph"/>
        <w:spacing w:line="360" w:lineRule="auto"/>
        <w:jc w:val="both"/>
        <w:rPr>
          <w:rFonts w:cs="Arial"/>
          <w:lang w:val="en-US"/>
        </w:rPr>
      </w:pPr>
    </w:p>
    <w:p w14:paraId="4C0B43ED" w14:textId="25CF6247" w:rsidR="003065BB" w:rsidRPr="00E32565" w:rsidRDefault="00E32565" w:rsidP="00E32565">
      <w:pPr>
        <w:ind w:left="851" w:hanging="851"/>
        <w:rPr>
          <w:rFonts w:cs="Arial"/>
          <w:lang w:val="en-US"/>
        </w:rPr>
      </w:pPr>
      <w:r w:rsidRPr="003872E6">
        <w:rPr>
          <w:rFonts w:eastAsia="Calibri" w:cs="Arial"/>
          <w:szCs w:val="24"/>
          <w:lang w:val="en-US"/>
        </w:rPr>
        <w:t>[6]</w:t>
      </w:r>
      <w:r w:rsidRPr="003872E6">
        <w:rPr>
          <w:rFonts w:eastAsia="Calibri" w:cs="Arial"/>
          <w:szCs w:val="24"/>
          <w:lang w:val="en-US"/>
        </w:rPr>
        <w:tab/>
      </w:r>
      <w:r w:rsidR="003065BB" w:rsidRPr="00E32565">
        <w:rPr>
          <w:rFonts w:cs="Arial"/>
          <w:lang w:val="en-US"/>
        </w:rPr>
        <w:t>Various problems arise from this argument.  I do not intend to deal with all the problems and will only refer to two aspects.  Firstly, waiver must be pertinently raised and pleaded.</w:t>
      </w:r>
      <w:r w:rsidR="003065BB" w:rsidRPr="003872E6">
        <w:rPr>
          <w:rStyle w:val="FootnoteReference"/>
          <w:rFonts w:cs="Arial"/>
          <w:lang w:val="en-US"/>
        </w:rPr>
        <w:footnoteReference w:id="5"/>
      </w:r>
      <w:r w:rsidR="003065BB" w:rsidRPr="00E32565">
        <w:rPr>
          <w:rFonts w:cs="Arial"/>
          <w:lang w:val="en-US"/>
        </w:rPr>
        <w:t xml:space="preserve">  Waiver has not been raised in the answering affidavit.  Secondly, even if </w:t>
      </w:r>
      <w:proofErr w:type="gramStart"/>
      <w:r w:rsidR="003065BB" w:rsidRPr="00E32565">
        <w:rPr>
          <w:rFonts w:cs="Arial"/>
          <w:lang w:val="en-US"/>
        </w:rPr>
        <w:t>waiver</w:t>
      </w:r>
      <w:proofErr w:type="gramEnd"/>
      <w:r w:rsidR="003065BB" w:rsidRPr="00E32565">
        <w:rPr>
          <w:rFonts w:cs="Arial"/>
          <w:lang w:val="en-US"/>
        </w:rPr>
        <w:t xml:space="preserve"> was raised, it would have been incumbent on the respondents to demonstrate that the applicants, with full knowledge of the existence of the right alleged to be waived, clearly waived same.  At least on </w:t>
      </w:r>
      <w:r w:rsidR="003065BB" w:rsidRPr="00E32565">
        <w:rPr>
          <w:rFonts w:cs="Arial"/>
          <w:lang w:val="en-US"/>
        </w:rPr>
        <w:lastRenderedPageBreak/>
        <w:t xml:space="preserve">one occasion the applicants’ attorneys stated during correspondences that no election or waiver of any nature whatsoever should be construed and that all rights are reserved.  </w:t>
      </w:r>
    </w:p>
    <w:p w14:paraId="6739C2F2" w14:textId="77777777" w:rsidR="003065BB" w:rsidRPr="003872E6" w:rsidRDefault="003065BB" w:rsidP="003065BB">
      <w:pPr>
        <w:pStyle w:val="ListParagraph"/>
        <w:spacing w:line="360" w:lineRule="auto"/>
        <w:jc w:val="both"/>
        <w:rPr>
          <w:rFonts w:cs="Arial"/>
          <w:lang w:val="en-US"/>
        </w:rPr>
      </w:pPr>
    </w:p>
    <w:p w14:paraId="2DF8B4AD" w14:textId="34E963C6" w:rsidR="003065BB" w:rsidRPr="00E32565" w:rsidRDefault="00E32565" w:rsidP="00E32565">
      <w:pPr>
        <w:ind w:left="851" w:hanging="851"/>
        <w:rPr>
          <w:rFonts w:cs="Arial"/>
          <w:lang w:val="en-US"/>
        </w:rPr>
      </w:pPr>
      <w:r w:rsidRPr="003872E6">
        <w:rPr>
          <w:rFonts w:eastAsia="Calibri" w:cs="Arial"/>
          <w:szCs w:val="24"/>
          <w:lang w:val="en-US"/>
        </w:rPr>
        <w:t>[7]</w:t>
      </w:r>
      <w:r w:rsidRPr="003872E6">
        <w:rPr>
          <w:rFonts w:eastAsia="Calibri" w:cs="Arial"/>
          <w:szCs w:val="24"/>
          <w:lang w:val="en-US"/>
        </w:rPr>
        <w:tab/>
      </w:r>
      <w:r w:rsidR="003065BB" w:rsidRPr="00E32565">
        <w:rPr>
          <w:rFonts w:cs="Arial"/>
          <w:lang w:val="en-US"/>
        </w:rPr>
        <w:t xml:space="preserve">It was, as a back-up measure, advanced by the second respondents during argument that the matter remains distinguishable on the facts to the </w:t>
      </w:r>
      <w:r w:rsidR="003065BB" w:rsidRPr="00E32565">
        <w:rPr>
          <w:rFonts w:cs="Arial"/>
          <w:b/>
          <w:bCs/>
          <w:i/>
          <w:iCs/>
          <w:lang w:val="en-US"/>
        </w:rPr>
        <w:t>Swart</w:t>
      </w:r>
      <w:r w:rsidR="003065BB" w:rsidRPr="00E32565">
        <w:rPr>
          <w:rFonts w:cs="Arial"/>
          <w:lang w:val="en-US"/>
        </w:rPr>
        <w:t xml:space="preserve">-matter on the basis that the applicants’ tendered to give evidence at the enquiry, </w:t>
      </w:r>
      <w:proofErr w:type="gramStart"/>
      <w:r w:rsidR="003065BB" w:rsidRPr="00E32565">
        <w:rPr>
          <w:rFonts w:cs="Arial"/>
          <w:lang w:val="en-US"/>
        </w:rPr>
        <w:t>provided that</w:t>
      </w:r>
      <w:proofErr w:type="gramEnd"/>
      <w:r w:rsidR="003065BB" w:rsidRPr="00E32565">
        <w:rPr>
          <w:rFonts w:cs="Arial"/>
          <w:lang w:val="en-US"/>
        </w:rPr>
        <w:t xml:space="preserve"> it is done by remote means (also described as virtual proceedings).  The difficulty in this regard for the second to fourth respondents is that the tender to give evidence by way of remote proceedings was subject thereto that if no agreement relating thereto can be reached, the applicants will seek to have the summons set aside.</w:t>
      </w:r>
    </w:p>
    <w:p w14:paraId="393826DE" w14:textId="77777777" w:rsidR="003065BB" w:rsidRPr="003872E6" w:rsidRDefault="003065BB" w:rsidP="003065BB">
      <w:pPr>
        <w:pStyle w:val="ListParagraph"/>
        <w:spacing w:line="360" w:lineRule="auto"/>
        <w:jc w:val="both"/>
        <w:rPr>
          <w:rFonts w:cs="Arial"/>
          <w:lang w:val="en-US"/>
        </w:rPr>
      </w:pPr>
    </w:p>
    <w:p w14:paraId="3A37DA35" w14:textId="77905BEB" w:rsidR="003065BB" w:rsidRPr="00E32565" w:rsidRDefault="00E32565" w:rsidP="00E32565">
      <w:pPr>
        <w:ind w:left="851" w:hanging="851"/>
        <w:rPr>
          <w:rFonts w:cs="Arial"/>
          <w:lang w:val="en-US"/>
        </w:rPr>
      </w:pPr>
      <w:r w:rsidRPr="003872E6">
        <w:rPr>
          <w:rFonts w:eastAsia="Calibri" w:cs="Arial"/>
          <w:szCs w:val="24"/>
          <w:lang w:val="en-US"/>
        </w:rPr>
        <w:t>[8]</w:t>
      </w:r>
      <w:r w:rsidRPr="003872E6">
        <w:rPr>
          <w:rFonts w:eastAsia="Calibri" w:cs="Arial"/>
          <w:szCs w:val="24"/>
          <w:lang w:val="en-US"/>
        </w:rPr>
        <w:tab/>
      </w:r>
      <w:r w:rsidR="003065BB" w:rsidRPr="00E32565">
        <w:rPr>
          <w:rFonts w:cs="Arial"/>
          <w:lang w:val="en-US"/>
        </w:rPr>
        <w:t xml:space="preserve">No agreement could be reached pertaining to the giving of evidence by way of remote proceedings.  It bears mentioning that the Master, after the application was launched, issued a ruling that the first applicant may give evidence by way of remote proceedings, however the applicants must pay the costs of an attorney to supervise the proceedings.  Pertinent to this ruling, the Master indicated that if </w:t>
      </w:r>
      <w:proofErr w:type="gramStart"/>
      <w:r w:rsidR="003065BB" w:rsidRPr="00E32565">
        <w:rPr>
          <w:rFonts w:cs="Arial"/>
          <w:lang w:val="en-US"/>
        </w:rPr>
        <w:t>same</w:t>
      </w:r>
      <w:proofErr w:type="gramEnd"/>
      <w:r w:rsidR="003065BB" w:rsidRPr="00E32565">
        <w:rPr>
          <w:rFonts w:cs="Arial"/>
          <w:lang w:val="en-US"/>
        </w:rPr>
        <w:t xml:space="preserve"> is not acceptable to the applicants, the second to fourth respondents are </w:t>
      </w:r>
      <w:proofErr w:type="spellStart"/>
      <w:r w:rsidR="003065BB" w:rsidRPr="00E32565">
        <w:rPr>
          <w:rFonts w:cs="Arial"/>
          <w:lang w:val="en-US"/>
        </w:rPr>
        <w:t>authorised</w:t>
      </w:r>
      <w:proofErr w:type="spellEnd"/>
      <w:r w:rsidR="003065BB" w:rsidRPr="00E32565">
        <w:rPr>
          <w:rFonts w:cs="Arial"/>
          <w:lang w:val="en-US"/>
        </w:rPr>
        <w:t xml:space="preserve"> to oppose the application.  Although the applicants did not expressly respond to the </w:t>
      </w:r>
      <w:proofErr w:type="gramStart"/>
      <w:r w:rsidR="003065BB" w:rsidRPr="00E32565">
        <w:rPr>
          <w:rFonts w:cs="Arial"/>
          <w:lang w:val="en-US"/>
        </w:rPr>
        <w:t>Master’s</w:t>
      </w:r>
      <w:proofErr w:type="gramEnd"/>
      <w:r w:rsidR="003065BB" w:rsidRPr="00E32565">
        <w:rPr>
          <w:rFonts w:cs="Arial"/>
          <w:lang w:val="en-US"/>
        </w:rPr>
        <w:t xml:space="preserve"> direction or the second to fourth respondents’ attorney’s correspondence consequent upon the Master’s direction the applicants’ conduct made it quite clear that the Master’s direction was not acceptable as they did not withdraw the application.</w:t>
      </w:r>
    </w:p>
    <w:p w14:paraId="0BBAE8A4" w14:textId="77777777" w:rsidR="003065BB" w:rsidRPr="003872E6" w:rsidRDefault="003065BB" w:rsidP="003065BB">
      <w:pPr>
        <w:pStyle w:val="ListParagraph"/>
        <w:spacing w:line="360" w:lineRule="auto"/>
        <w:jc w:val="both"/>
        <w:rPr>
          <w:rFonts w:cs="Arial"/>
          <w:lang w:val="en-US"/>
        </w:rPr>
      </w:pPr>
    </w:p>
    <w:p w14:paraId="1C7B96B3" w14:textId="515721F4" w:rsidR="003065BB" w:rsidRPr="00E32565" w:rsidRDefault="00E32565" w:rsidP="00E32565">
      <w:pPr>
        <w:ind w:left="851" w:hanging="851"/>
        <w:rPr>
          <w:rFonts w:cs="Arial"/>
          <w:lang w:val="en-US"/>
        </w:rPr>
      </w:pPr>
      <w:r w:rsidRPr="003872E6">
        <w:rPr>
          <w:rFonts w:eastAsia="Calibri" w:cs="Arial"/>
          <w:szCs w:val="24"/>
          <w:lang w:val="en-US"/>
        </w:rPr>
        <w:t>[9]</w:t>
      </w:r>
      <w:r w:rsidRPr="003872E6">
        <w:rPr>
          <w:rFonts w:eastAsia="Calibri" w:cs="Arial"/>
          <w:szCs w:val="24"/>
          <w:lang w:val="en-US"/>
        </w:rPr>
        <w:tab/>
      </w:r>
      <w:r w:rsidR="003065BB" w:rsidRPr="00E32565">
        <w:rPr>
          <w:rFonts w:cs="Arial"/>
          <w:lang w:val="en-US"/>
        </w:rPr>
        <w:t xml:space="preserve">The tender relied upon by the second to fourth respondents as causing this matter to be factually distinguishable is, in my view, nothing more than a practicable suggestion by the applicants to resolve the </w:t>
      </w:r>
      <w:r w:rsidR="003065BB" w:rsidRPr="00E32565">
        <w:rPr>
          <w:rFonts w:cs="Arial"/>
          <w:i/>
          <w:iCs/>
          <w:lang w:val="en-US"/>
        </w:rPr>
        <w:t>impasse</w:t>
      </w:r>
      <w:r w:rsidR="003065BB" w:rsidRPr="00E32565">
        <w:rPr>
          <w:rFonts w:cs="Arial"/>
          <w:lang w:val="en-US"/>
        </w:rPr>
        <w:t xml:space="preserve">.  A more correct view of the attempt to distinguish this matter from the </w:t>
      </w:r>
      <w:r w:rsidR="003065BB" w:rsidRPr="00E32565">
        <w:rPr>
          <w:rFonts w:cs="Arial"/>
          <w:b/>
          <w:bCs/>
          <w:i/>
          <w:iCs/>
          <w:lang w:val="en-US"/>
        </w:rPr>
        <w:t>Swart</w:t>
      </w:r>
      <w:r w:rsidR="003065BB" w:rsidRPr="00E32565">
        <w:rPr>
          <w:rFonts w:cs="Arial"/>
          <w:lang w:val="en-US"/>
        </w:rPr>
        <w:t xml:space="preserve">-judgment is nothing more than an attempt to rely on waiver in a disguised form.  Accordingly, in my view this matter is not distinguishable from the </w:t>
      </w:r>
      <w:r w:rsidR="003065BB" w:rsidRPr="00E32565">
        <w:rPr>
          <w:rFonts w:cs="Arial"/>
          <w:b/>
          <w:bCs/>
          <w:i/>
          <w:iCs/>
          <w:lang w:val="en-US"/>
        </w:rPr>
        <w:t>Swart</w:t>
      </w:r>
      <w:r w:rsidR="003065BB" w:rsidRPr="00E32565">
        <w:rPr>
          <w:rFonts w:cs="Arial"/>
          <w:lang w:val="en-US"/>
        </w:rPr>
        <w:t>-</w:t>
      </w:r>
      <w:proofErr w:type="gramStart"/>
      <w:r w:rsidR="003065BB" w:rsidRPr="00E32565">
        <w:rPr>
          <w:rFonts w:cs="Arial"/>
          <w:lang w:val="en-US"/>
        </w:rPr>
        <w:t>judgment</w:t>
      </w:r>
      <w:proofErr w:type="gramEnd"/>
      <w:r w:rsidR="003065BB" w:rsidRPr="00E32565">
        <w:rPr>
          <w:rFonts w:cs="Arial"/>
          <w:lang w:val="en-US"/>
        </w:rPr>
        <w:t xml:space="preserve"> and I am bound thereby.</w:t>
      </w:r>
    </w:p>
    <w:p w14:paraId="4C511091" w14:textId="77777777" w:rsidR="003065BB" w:rsidRPr="003872E6" w:rsidRDefault="003065BB" w:rsidP="003065BB">
      <w:pPr>
        <w:pStyle w:val="ListParagraph"/>
        <w:spacing w:line="360" w:lineRule="auto"/>
        <w:jc w:val="both"/>
        <w:rPr>
          <w:rFonts w:cs="Arial"/>
          <w:lang w:val="en-US"/>
        </w:rPr>
      </w:pPr>
    </w:p>
    <w:p w14:paraId="5CF565B6" w14:textId="0D8CFCCF" w:rsidR="003065BB" w:rsidRPr="00E32565" w:rsidRDefault="00E32565" w:rsidP="00E32565">
      <w:pPr>
        <w:ind w:left="851" w:hanging="851"/>
        <w:rPr>
          <w:rFonts w:cs="Arial"/>
          <w:lang w:val="en-US"/>
        </w:rPr>
      </w:pPr>
      <w:r w:rsidRPr="003872E6">
        <w:rPr>
          <w:rFonts w:eastAsia="Calibri" w:cs="Arial"/>
          <w:szCs w:val="24"/>
          <w:lang w:val="en-US"/>
        </w:rPr>
        <w:t>[10]</w:t>
      </w:r>
      <w:r w:rsidRPr="003872E6">
        <w:rPr>
          <w:rFonts w:eastAsia="Calibri" w:cs="Arial"/>
          <w:szCs w:val="24"/>
          <w:lang w:val="en-US"/>
        </w:rPr>
        <w:tab/>
      </w:r>
      <w:r w:rsidR="003065BB" w:rsidRPr="00E32565">
        <w:rPr>
          <w:rFonts w:cs="Arial"/>
          <w:lang w:val="en-US"/>
        </w:rPr>
        <w:t xml:space="preserve">This brings me to the issue of costs.  The applicants seek an order </w:t>
      </w:r>
      <w:r w:rsidR="003065BB" w:rsidRPr="00E32565">
        <w:rPr>
          <w:rFonts w:cs="Arial"/>
          <w:i/>
          <w:iCs/>
          <w:lang w:val="en-US"/>
        </w:rPr>
        <w:t xml:space="preserve">de </w:t>
      </w:r>
      <w:proofErr w:type="spellStart"/>
      <w:r w:rsidR="003065BB" w:rsidRPr="00E32565">
        <w:rPr>
          <w:rFonts w:cs="Arial"/>
          <w:i/>
          <w:iCs/>
          <w:lang w:val="en-US"/>
        </w:rPr>
        <w:t>bonis</w:t>
      </w:r>
      <w:proofErr w:type="spellEnd"/>
      <w:r w:rsidR="003065BB" w:rsidRPr="00E32565">
        <w:rPr>
          <w:rFonts w:cs="Arial"/>
          <w:i/>
          <w:iCs/>
          <w:lang w:val="en-US"/>
        </w:rPr>
        <w:t xml:space="preserve"> </w:t>
      </w:r>
      <w:proofErr w:type="spellStart"/>
      <w:r w:rsidR="003065BB" w:rsidRPr="00E32565">
        <w:rPr>
          <w:rFonts w:cs="Arial"/>
          <w:i/>
          <w:iCs/>
          <w:lang w:val="en-US"/>
        </w:rPr>
        <w:t>propriis</w:t>
      </w:r>
      <w:proofErr w:type="spellEnd"/>
      <w:r w:rsidR="003065BB" w:rsidRPr="00E32565">
        <w:rPr>
          <w:rFonts w:cs="Arial"/>
          <w:lang w:val="en-US"/>
        </w:rPr>
        <w:t xml:space="preserve"> against the second to fourth respondents.  The basis for the claim for costs </w:t>
      </w:r>
      <w:r w:rsidR="003065BB" w:rsidRPr="00E32565">
        <w:rPr>
          <w:rFonts w:cs="Arial"/>
          <w:i/>
          <w:iCs/>
          <w:lang w:val="en-US"/>
        </w:rPr>
        <w:t xml:space="preserve">de </w:t>
      </w:r>
      <w:proofErr w:type="spellStart"/>
      <w:r w:rsidR="003065BB" w:rsidRPr="00E32565">
        <w:rPr>
          <w:rFonts w:cs="Arial"/>
          <w:i/>
          <w:iCs/>
          <w:lang w:val="en-US"/>
        </w:rPr>
        <w:t>bonis</w:t>
      </w:r>
      <w:proofErr w:type="spellEnd"/>
      <w:r w:rsidR="003065BB" w:rsidRPr="00E32565">
        <w:rPr>
          <w:rFonts w:cs="Arial"/>
          <w:i/>
          <w:iCs/>
          <w:lang w:val="en-US"/>
        </w:rPr>
        <w:t xml:space="preserve"> </w:t>
      </w:r>
      <w:proofErr w:type="spellStart"/>
      <w:r w:rsidR="003065BB" w:rsidRPr="00E32565">
        <w:rPr>
          <w:rFonts w:cs="Arial"/>
          <w:i/>
          <w:iCs/>
          <w:lang w:val="en-US"/>
        </w:rPr>
        <w:t>propriis</w:t>
      </w:r>
      <w:proofErr w:type="spellEnd"/>
      <w:r w:rsidR="003065BB" w:rsidRPr="00E32565">
        <w:rPr>
          <w:rFonts w:cs="Arial"/>
          <w:lang w:val="en-US"/>
        </w:rPr>
        <w:t xml:space="preserve"> is based thereon that the second to fourth respondents “</w:t>
      </w:r>
      <w:r w:rsidR="003065BB" w:rsidRPr="00E32565">
        <w:rPr>
          <w:rFonts w:cs="Arial"/>
          <w:i/>
          <w:iCs/>
          <w:lang w:val="en-US"/>
        </w:rPr>
        <w:t>elected to oppose the application without any valid basis in law, and disparagingly so, . . .</w:t>
      </w:r>
      <w:r w:rsidR="003065BB" w:rsidRPr="00E32565">
        <w:rPr>
          <w:rFonts w:cs="Arial"/>
          <w:lang w:val="en-US"/>
        </w:rPr>
        <w:t xml:space="preserve">”.  In my view, the second to fourth respondents were fully entitled to oppose the application on the basis that the </w:t>
      </w:r>
      <w:proofErr w:type="gramStart"/>
      <w:r w:rsidR="003065BB" w:rsidRPr="00E32565">
        <w:rPr>
          <w:rFonts w:cs="Arial"/>
          <w:lang w:val="en-US"/>
        </w:rPr>
        <w:t>facts</w:t>
      </w:r>
      <w:proofErr w:type="gramEnd"/>
      <w:r w:rsidR="003065BB" w:rsidRPr="00E32565">
        <w:rPr>
          <w:rFonts w:cs="Arial"/>
          <w:lang w:val="en-US"/>
        </w:rPr>
        <w:t xml:space="preserve"> of this matter is distinguishable from the facts in the </w:t>
      </w:r>
      <w:r w:rsidR="003065BB" w:rsidRPr="00E32565">
        <w:rPr>
          <w:rFonts w:cs="Arial"/>
          <w:b/>
          <w:bCs/>
          <w:i/>
          <w:iCs/>
          <w:lang w:val="en-US"/>
        </w:rPr>
        <w:t>Swart</w:t>
      </w:r>
      <w:r w:rsidR="003065BB" w:rsidRPr="00E32565">
        <w:rPr>
          <w:rFonts w:cs="Arial"/>
          <w:lang w:val="en-US"/>
        </w:rPr>
        <w:t xml:space="preserve">-judgment.  The fact that they were wrong in that regard does not make their opposition frivolous, </w:t>
      </w:r>
      <w:proofErr w:type="gramStart"/>
      <w:r w:rsidR="003065BB" w:rsidRPr="00E32565">
        <w:rPr>
          <w:rFonts w:cs="Arial"/>
          <w:lang w:val="en-US"/>
        </w:rPr>
        <w:t>unreasonable</w:t>
      </w:r>
      <w:proofErr w:type="gramEnd"/>
      <w:r w:rsidR="003065BB" w:rsidRPr="00E32565">
        <w:rPr>
          <w:rFonts w:cs="Arial"/>
          <w:lang w:val="en-US"/>
        </w:rPr>
        <w:t xml:space="preserve"> or negligent.</w:t>
      </w:r>
      <w:r w:rsidR="0016765D" w:rsidRPr="00E32565">
        <w:rPr>
          <w:rFonts w:cs="Arial"/>
          <w:lang w:val="en-US"/>
        </w:rPr>
        <w:t xml:space="preserve">  The fact there was a more cost-effective manner for the </w:t>
      </w:r>
      <w:r w:rsidR="000F5255" w:rsidRPr="00E32565">
        <w:rPr>
          <w:rFonts w:cs="Arial"/>
          <w:lang w:val="en-US"/>
        </w:rPr>
        <w:t>second to fourth respondents to have dealt with the matter, by merely causing the summons to be withdrawn, issuing a new one compliant with the law and</w:t>
      </w:r>
      <w:r w:rsidR="00B12672" w:rsidRPr="00E32565">
        <w:rPr>
          <w:rFonts w:cs="Arial"/>
          <w:lang w:val="en-US"/>
        </w:rPr>
        <w:t xml:space="preserve"> serving same, does not make their opposition</w:t>
      </w:r>
      <w:r w:rsidR="002703D8" w:rsidRPr="00E32565">
        <w:rPr>
          <w:rFonts w:cs="Arial"/>
          <w:lang w:val="en-US"/>
        </w:rPr>
        <w:t xml:space="preserve">, </w:t>
      </w:r>
      <w:r w:rsidR="002703D8" w:rsidRPr="00E32565">
        <w:rPr>
          <w:rFonts w:cs="Arial"/>
          <w:i/>
          <w:iCs/>
          <w:lang w:val="en-US"/>
        </w:rPr>
        <w:t>per se</w:t>
      </w:r>
      <w:r w:rsidR="002703D8" w:rsidRPr="00E32565">
        <w:rPr>
          <w:rFonts w:cs="Arial"/>
          <w:lang w:val="en-US"/>
        </w:rPr>
        <w:t>,</w:t>
      </w:r>
      <w:r w:rsidR="00B12672" w:rsidRPr="00E32565">
        <w:rPr>
          <w:rFonts w:cs="Arial"/>
          <w:lang w:val="en-US"/>
        </w:rPr>
        <w:t xml:space="preserve"> frivolous.</w:t>
      </w:r>
      <w:r w:rsidR="005A5898" w:rsidRPr="00E32565">
        <w:rPr>
          <w:rFonts w:cs="Arial"/>
          <w:lang w:val="en-US"/>
        </w:rPr>
        <w:t xml:space="preserve">  One would expect them, in future, to act with greater care since the estate of the insolvent has no funds available</w:t>
      </w:r>
      <w:r w:rsidR="002703D8" w:rsidRPr="00E32565">
        <w:rPr>
          <w:rFonts w:cs="Arial"/>
          <w:lang w:val="en-US"/>
        </w:rPr>
        <w:t>.</w:t>
      </w:r>
      <w:r w:rsidR="0019510A" w:rsidRPr="00E32565">
        <w:rPr>
          <w:rFonts w:cs="Arial"/>
          <w:lang w:val="en-US"/>
        </w:rPr>
        <w:t xml:space="preserve">  To litigate in such circumstances does, however, border on negligent conduct either by the trustees or negligent advice by the attorneys acting for the trustees.  I am mindful that I am unaware </w:t>
      </w:r>
      <w:r w:rsidR="00947D65" w:rsidRPr="00E32565">
        <w:rPr>
          <w:rFonts w:cs="Arial"/>
          <w:lang w:val="en-US"/>
        </w:rPr>
        <w:t>as to who this potential negligence can be attributed to.</w:t>
      </w:r>
    </w:p>
    <w:p w14:paraId="4D4BEB8E" w14:textId="77777777" w:rsidR="003065BB" w:rsidRPr="003872E6" w:rsidRDefault="003065BB" w:rsidP="003065BB">
      <w:pPr>
        <w:pStyle w:val="ListParagraph"/>
        <w:spacing w:line="360" w:lineRule="auto"/>
        <w:jc w:val="both"/>
        <w:rPr>
          <w:rFonts w:cs="Arial"/>
          <w:lang w:val="en-US"/>
        </w:rPr>
      </w:pPr>
    </w:p>
    <w:p w14:paraId="74988AC3" w14:textId="42EA524A" w:rsidR="003065BB" w:rsidRPr="00E32565" w:rsidRDefault="00E32565" w:rsidP="00E32565">
      <w:pPr>
        <w:ind w:left="851" w:hanging="851"/>
        <w:rPr>
          <w:rFonts w:cs="Arial"/>
          <w:lang w:val="en-US"/>
        </w:rPr>
      </w:pPr>
      <w:r w:rsidRPr="003872E6">
        <w:rPr>
          <w:rFonts w:eastAsia="Calibri" w:cs="Arial"/>
          <w:szCs w:val="24"/>
          <w:lang w:val="en-US"/>
        </w:rPr>
        <w:t>[11]</w:t>
      </w:r>
      <w:r w:rsidRPr="003872E6">
        <w:rPr>
          <w:rFonts w:eastAsia="Calibri" w:cs="Arial"/>
          <w:szCs w:val="24"/>
          <w:lang w:val="en-US"/>
        </w:rPr>
        <w:tab/>
      </w:r>
      <w:r w:rsidR="003065BB" w:rsidRPr="00E32565">
        <w:rPr>
          <w:rFonts w:cs="Arial"/>
          <w:lang w:val="en-US"/>
        </w:rPr>
        <w:t xml:space="preserve">As to the disparaging submission, it is my respectful view that the applicant as well as the second to fourth respondents have </w:t>
      </w:r>
      <w:proofErr w:type="gramStart"/>
      <w:r w:rsidR="003065BB" w:rsidRPr="00E32565">
        <w:rPr>
          <w:rFonts w:cs="Arial"/>
          <w:lang w:val="en-US"/>
        </w:rPr>
        <w:t>acted towards</w:t>
      </w:r>
      <w:proofErr w:type="gramEnd"/>
      <w:r w:rsidR="003065BB" w:rsidRPr="00E32565">
        <w:rPr>
          <w:rFonts w:cs="Arial"/>
          <w:lang w:val="en-US"/>
        </w:rPr>
        <w:t xml:space="preserve"> in a manner that is uncalled for in litigation. As mere examples, the applicant sought to cast a speculative assertion against the second to fourth respondents’ attorneys pertaining to their independence as the attorneys previously acted for the applicant’s ex-wife during divorce proceedings.  This allegation took the applicant’s case no further and, no doubt, raised the ire of the second to fourth respondents’ attorney.  This was evident from the fact that at a later stage the second to fourth respondents’ attorney accused counsel appearing on behalf of the applicant of misleading the court.</w:t>
      </w:r>
      <w:r w:rsidR="003065BB" w:rsidRPr="003872E6">
        <w:rPr>
          <w:rStyle w:val="FootnoteReference"/>
          <w:rFonts w:cs="Arial"/>
          <w:lang w:val="en-US"/>
        </w:rPr>
        <w:footnoteReference w:id="6"/>
      </w:r>
      <w:r w:rsidR="003065BB" w:rsidRPr="00E32565">
        <w:rPr>
          <w:rFonts w:cs="Arial"/>
          <w:lang w:val="en-US"/>
        </w:rPr>
        <w:t xml:space="preserve"> </w:t>
      </w:r>
    </w:p>
    <w:p w14:paraId="1B10556D" w14:textId="77777777" w:rsidR="003065BB" w:rsidRPr="003872E6" w:rsidRDefault="003065BB" w:rsidP="003065BB">
      <w:pPr>
        <w:rPr>
          <w:rFonts w:cs="Arial"/>
          <w:lang w:val="en-US"/>
        </w:rPr>
      </w:pPr>
    </w:p>
    <w:p w14:paraId="5CA9F05E" w14:textId="0569E7EE" w:rsidR="003065BB" w:rsidRPr="00E32565" w:rsidRDefault="00E32565" w:rsidP="00E32565">
      <w:pPr>
        <w:ind w:left="851" w:hanging="851"/>
        <w:rPr>
          <w:rFonts w:cs="Arial"/>
          <w:lang w:val="en-US"/>
        </w:rPr>
      </w:pPr>
      <w:r w:rsidRPr="003872E6">
        <w:rPr>
          <w:rFonts w:eastAsia="Calibri" w:cs="Arial"/>
          <w:szCs w:val="24"/>
          <w:lang w:val="en-US"/>
        </w:rPr>
        <w:lastRenderedPageBreak/>
        <w:t>[12]</w:t>
      </w:r>
      <w:r w:rsidRPr="003872E6">
        <w:rPr>
          <w:rFonts w:eastAsia="Calibri" w:cs="Arial"/>
          <w:szCs w:val="24"/>
          <w:lang w:val="en-US"/>
        </w:rPr>
        <w:tab/>
      </w:r>
      <w:r w:rsidR="003065BB" w:rsidRPr="00E32565">
        <w:rPr>
          <w:rFonts w:cs="Arial"/>
          <w:lang w:val="en-US"/>
        </w:rPr>
        <w:t xml:space="preserve">Simply put, </w:t>
      </w:r>
      <w:proofErr w:type="gramStart"/>
      <w:r w:rsidR="003065BB" w:rsidRPr="00E32565">
        <w:rPr>
          <w:rFonts w:cs="Arial"/>
          <w:lang w:val="en-US"/>
        </w:rPr>
        <w:t>all of</w:t>
      </w:r>
      <w:proofErr w:type="gramEnd"/>
      <w:r w:rsidR="003065BB" w:rsidRPr="00E32565">
        <w:rPr>
          <w:rFonts w:cs="Arial"/>
          <w:lang w:val="en-US"/>
        </w:rPr>
        <w:t xml:space="preserve"> the parties engaged in the litigation before me, at some stage transgressed into the realms of uncalled for conduct.  I see no reason why one party should suffer a censure whilst the other, equally guilty of such conduct, should emerge unscathed by their conduct.  However, to attempt to determine the varying degrees of guilt to be attributed to both parties would result in nothing more than a waste of judicial resources.  As such, I am of the view in exercising my discretion that although all parties’ conduct, at times, </w:t>
      </w:r>
      <w:proofErr w:type="gramStart"/>
      <w:r w:rsidR="003065BB" w:rsidRPr="00E32565">
        <w:rPr>
          <w:rFonts w:cs="Arial"/>
          <w:lang w:val="en-US"/>
        </w:rPr>
        <w:t>were</w:t>
      </w:r>
      <w:proofErr w:type="gramEnd"/>
      <w:r w:rsidR="003065BB" w:rsidRPr="00E32565">
        <w:rPr>
          <w:rFonts w:cs="Arial"/>
          <w:lang w:val="en-US"/>
        </w:rPr>
        <w:t xml:space="preserve"> uncalled for, nothing amounts to conduct that warrants an order </w:t>
      </w:r>
      <w:r w:rsidR="003065BB" w:rsidRPr="00E32565">
        <w:rPr>
          <w:rFonts w:cs="Arial"/>
          <w:i/>
          <w:iCs/>
          <w:lang w:val="en-US"/>
        </w:rPr>
        <w:t xml:space="preserve">de </w:t>
      </w:r>
      <w:proofErr w:type="spellStart"/>
      <w:r w:rsidR="003065BB" w:rsidRPr="00E32565">
        <w:rPr>
          <w:rFonts w:cs="Arial"/>
          <w:i/>
          <w:iCs/>
          <w:lang w:val="en-US"/>
        </w:rPr>
        <w:t>bonis</w:t>
      </w:r>
      <w:proofErr w:type="spellEnd"/>
      <w:r w:rsidR="003065BB" w:rsidRPr="00E32565">
        <w:rPr>
          <w:rFonts w:cs="Arial"/>
          <w:i/>
          <w:iCs/>
          <w:lang w:val="en-US"/>
        </w:rPr>
        <w:t xml:space="preserve"> </w:t>
      </w:r>
      <w:proofErr w:type="spellStart"/>
      <w:r w:rsidR="003065BB" w:rsidRPr="00E32565">
        <w:rPr>
          <w:rFonts w:cs="Arial"/>
          <w:i/>
          <w:iCs/>
          <w:lang w:val="en-US"/>
        </w:rPr>
        <w:t>propriis</w:t>
      </w:r>
      <w:proofErr w:type="spellEnd"/>
      <w:r w:rsidR="003065BB" w:rsidRPr="00E32565">
        <w:rPr>
          <w:rFonts w:cs="Arial"/>
          <w:lang w:val="en-US"/>
        </w:rPr>
        <w:t>.</w:t>
      </w:r>
    </w:p>
    <w:p w14:paraId="7E7721B5" w14:textId="77777777" w:rsidR="003065BB" w:rsidRPr="003872E6" w:rsidRDefault="003065BB" w:rsidP="003065BB">
      <w:pPr>
        <w:pStyle w:val="ListParagraph"/>
        <w:spacing w:line="360" w:lineRule="auto"/>
        <w:jc w:val="both"/>
        <w:rPr>
          <w:rFonts w:cs="Arial"/>
          <w:lang w:val="en-US"/>
        </w:rPr>
      </w:pPr>
    </w:p>
    <w:p w14:paraId="3B551B9C" w14:textId="60E34BDB" w:rsidR="003065BB" w:rsidRPr="00E32565" w:rsidRDefault="00E32565" w:rsidP="00E32565">
      <w:pPr>
        <w:ind w:left="851" w:hanging="851"/>
        <w:rPr>
          <w:rFonts w:cs="Arial"/>
          <w:lang w:val="en-US"/>
        </w:rPr>
      </w:pPr>
      <w:r w:rsidRPr="003872E6">
        <w:rPr>
          <w:rFonts w:eastAsia="Calibri" w:cs="Arial"/>
          <w:szCs w:val="24"/>
          <w:lang w:val="en-US"/>
        </w:rPr>
        <w:t>[13]</w:t>
      </w:r>
      <w:r w:rsidRPr="003872E6">
        <w:rPr>
          <w:rFonts w:eastAsia="Calibri" w:cs="Arial"/>
          <w:szCs w:val="24"/>
          <w:lang w:val="en-US"/>
        </w:rPr>
        <w:tab/>
      </w:r>
      <w:r w:rsidR="003065BB" w:rsidRPr="00E32565">
        <w:rPr>
          <w:rFonts w:cs="Arial"/>
          <w:lang w:val="en-US"/>
        </w:rPr>
        <w:t>Accordingly, I make the following order:</w:t>
      </w:r>
    </w:p>
    <w:p w14:paraId="4B10F714" w14:textId="77777777" w:rsidR="003065BB" w:rsidRPr="003872E6" w:rsidRDefault="003065BB" w:rsidP="003065BB">
      <w:pPr>
        <w:pStyle w:val="ListParagraph"/>
        <w:spacing w:line="360" w:lineRule="auto"/>
        <w:jc w:val="both"/>
        <w:rPr>
          <w:rFonts w:cs="Arial"/>
          <w:lang w:val="en-US"/>
        </w:rPr>
      </w:pPr>
    </w:p>
    <w:p w14:paraId="64E39813" w14:textId="11B92CDB" w:rsidR="003065BB" w:rsidRPr="00E32565" w:rsidRDefault="00E32565" w:rsidP="00E32565">
      <w:pPr>
        <w:ind w:left="1211" w:hanging="360"/>
        <w:rPr>
          <w:rFonts w:cs="Arial"/>
          <w:lang w:val="en-US"/>
        </w:rPr>
      </w:pPr>
      <w:r w:rsidRPr="003872E6">
        <w:rPr>
          <w:rFonts w:eastAsia="Calibri" w:cs="Arial"/>
          <w:szCs w:val="24"/>
          <w:lang w:val="en-US"/>
        </w:rPr>
        <w:t>3.</w:t>
      </w:r>
      <w:r w:rsidRPr="003872E6">
        <w:rPr>
          <w:rFonts w:eastAsia="Calibri" w:cs="Arial"/>
          <w:szCs w:val="24"/>
          <w:lang w:val="en-US"/>
        </w:rPr>
        <w:tab/>
      </w:r>
      <w:r w:rsidR="003065BB" w:rsidRPr="00E32565">
        <w:rPr>
          <w:rFonts w:cs="Arial"/>
          <w:lang w:val="en-US"/>
        </w:rPr>
        <w:t xml:space="preserve">The summons issued in terms of Section 152(2) of the Insolvency Act of 1936 dated and issued by the First Respondent on 18 April 2023 in the insolvent estate of </w:t>
      </w:r>
      <w:proofErr w:type="spellStart"/>
      <w:r w:rsidR="003065BB" w:rsidRPr="00E32565">
        <w:rPr>
          <w:rFonts w:cs="Arial"/>
          <w:lang w:val="en-US"/>
        </w:rPr>
        <w:t>Sheperd</w:t>
      </w:r>
      <w:proofErr w:type="spellEnd"/>
      <w:r w:rsidR="003065BB" w:rsidRPr="00E32565">
        <w:rPr>
          <w:rFonts w:cs="Arial"/>
          <w:lang w:val="en-US"/>
        </w:rPr>
        <w:t xml:space="preserve"> Huxley Bushiri with Master Reference Number G1230/2020 (“the insolvent estate”) and directed at the Applicants, is set aside.</w:t>
      </w:r>
    </w:p>
    <w:p w14:paraId="0A4DFAA1" w14:textId="77777777" w:rsidR="003065BB" w:rsidRPr="003872E6" w:rsidRDefault="003065BB" w:rsidP="003065BB">
      <w:pPr>
        <w:pStyle w:val="ListParagraph"/>
        <w:spacing w:line="360" w:lineRule="auto"/>
        <w:ind w:left="1211"/>
        <w:jc w:val="both"/>
        <w:rPr>
          <w:rFonts w:cs="Arial"/>
          <w:lang w:val="en-US"/>
        </w:rPr>
      </w:pPr>
    </w:p>
    <w:p w14:paraId="6C94B147" w14:textId="33A993BD" w:rsidR="003065BB" w:rsidRPr="00E32565" w:rsidRDefault="00E32565" w:rsidP="00E32565">
      <w:pPr>
        <w:ind w:left="1211" w:hanging="360"/>
        <w:rPr>
          <w:rFonts w:cs="Arial"/>
          <w:lang w:val="en-US"/>
        </w:rPr>
      </w:pPr>
      <w:r w:rsidRPr="003872E6">
        <w:rPr>
          <w:rFonts w:eastAsia="Calibri" w:cs="Arial"/>
          <w:szCs w:val="24"/>
          <w:lang w:val="en-US"/>
        </w:rPr>
        <w:t>4.</w:t>
      </w:r>
      <w:r w:rsidRPr="003872E6">
        <w:rPr>
          <w:rFonts w:eastAsia="Calibri" w:cs="Arial"/>
          <w:szCs w:val="24"/>
          <w:lang w:val="en-US"/>
        </w:rPr>
        <w:tab/>
      </w:r>
      <w:r w:rsidR="003065BB" w:rsidRPr="00E32565">
        <w:rPr>
          <w:rFonts w:cs="Arial"/>
          <w:lang w:val="en-US"/>
        </w:rPr>
        <w:t>The costs of the application are costs in the administration of the insolvent estate.</w:t>
      </w:r>
    </w:p>
    <w:p w14:paraId="289A5723" w14:textId="77777777" w:rsidR="00593B6C" w:rsidRDefault="00593B6C" w:rsidP="00593B6C">
      <w:pPr>
        <w:spacing w:after="0" w:line="240" w:lineRule="auto"/>
        <w:ind w:left="0"/>
        <w:rPr>
          <w:rFonts w:cs="Arial"/>
          <w:b/>
          <w:bCs/>
          <w:szCs w:val="24"/>
        </w:rPr>
      </w:pPr>
    </w:p>
    <w:p w14:paraId="54ADA900" w14:textId="77777777" w:rsidR="001B3822" w:rsidRDefault="001B3822" w:rsidP="005E51EE">
      <w:pPr>
        <w:spacing w:after="0" w:line="240" w:lineRule="auto"/>
        <w:ind w:left="0"/>
        <w:jc w:val="left"/>
        <w:rPr>
          <w:rFonts w:cs="Arial"/>
          <w:b/>
          <w:bCs/>
          <w:szCs w:val="24"/>
        </w:rPr>
      </w:pPr>
    </w:p>
    <w:p w14:paraId="63252266" w14:textId="4C191D4E" w:rsidR="005E51EE" w:rsidRDefault="005E51EE" w:rsidP="00645B13">
      <w:pPr>
        <w:pStyle w:val="JudgmentNumbered"/>
        <w:numPr>
          <w:ilvl w:val="0"/>
          <w:numId w:val="0"/>
        </w:numPr>
        <w:rPr>
          <w:b/>
          <w:bCs/>
          <w:szCs w:val="24"/>
        </w:rPr>
      </w:pPr>
    </w:p>
    <w:p w14:paraId="7A86205C" w14:textId="77777777" w:rsidR="001815AE" w:rsidRPr="00D522C7" w:rsidRDefault="001815AE" w:rsidP="00645B13">
      <w:pPr>
        <w:pStyle w:val="JudgmentNumbered"/>
        <w:numPr>
          <w:ilvl w:val="0"/>
          <w:numId w:val="0"/>
        </w:numPr>
      </w:pPr>
    </w:p>
    <w:p w14:paraId="22A59BB1" w14:textId="05F3F54A" w:rsidR="005E51EE" w:rsidRDefault="005E51EE" w:rsidP="005E51EE">
      <w:pPr>
        <w:pStyle w:val="JudgmentNumbered"/>
        <w:numPr>
          <w:ilvl w:val="0"/>
          <w:numId w:val="0"/>
        </w:numPr>
        <w:spacing w:after="0"/>
        <w:ind w:left="567" w:hanging="567"/>
        <w:jc w:val="right"/>
      </w:pPr>
      <w:r>
        <w:t>___________________________</w:t>
      </w:r>
    </w:p>
    <w:p w14:paraId="465299B6" w14:textId="4ED8A44D" w:rsidR="005E51EE" w:rsidRDefault="00DE23CB" w:rsidP="005E51EE">
      <w:pPr>
        <w:pStyle w:val="JudgmentNumbered"/>
        <w:numPr>
          <w:ilvl w:val="0"/>
          <w:numId w:val="0"/>
        </w:numPr>
        <w:spacing w:after="0"/>
        <w:ind w:left="567" w:hanging="567"/>
        <w:jc w:val="right"/>
        <w:rPr>
          <w:b/>
        </w:rPr>
      </w:pPr>
      <w:r>
        <w:rPr>
          <w:b/>
        </w:rPr>
        <w:t xml:space="preserve">C E </w:t>
      </w:r>
      <w:r w:rsidR="003065BB">
        <w:rPr>
          <w:b/>
        </w:rPr>
        <w:t>THOMPSON AJ</w:t>
      </w:r>
    </w:p>
    <w:p w14:paraId="69DFAEBC" w14:textId="576DDBB5" w:rsidR="005E51EE" w:rsidRDefault="003065BB" w:rsidP="005E51EE">
      <w:pPr>
        <w:pStyle w:val="JudgmentNumbered"/>
        <w:numPr>
          <w:ilvl w:val="0"/>
          <w:numId w:val="0"/>
        </w:numPr>
        <w:spacing w:after="0"/>
        <w:ind w:left="567" w:hanging="567"/>
        <w:jc w:val="right"/>
        <w:rPr>
          <w:b/>
        </w:rPr>
      </w:pPr>
      <w:r>
        <w:rPr>
          <w:b/>
        </w:rPr>
        <w:t xml:space="preserve">ACTING </w:t>
      </w:r>
      <w:r w:rsidR="005E51EE">
        <w:rPr>
          <w:b/>
        </w:rPr>
        <w:t>JUDGE OF THE HIGH COURT</w:t>
      </w:r>
    </w:p>
    <w:p w14:paraId="55653F1B" w14:textId="4569F21A" w:rsidR="00947D65" w:rsidRDefault="005E51EE" w:rsidP="00947D65">
      <w:pPr>
        <w:pStyle w:val="JudgmentNumbered"/>
        <w:numPr>
          <w:ilvl w:val="0"/>
          <w:numId w:val="0"/>
        </w:numPr>
        <w:spacing w:after="0"/>
        <w:ind w:left="567" w:hanging="567"/>
        <w:jc w:val="right"/>
        <w:rPr>
          <w:b/>
        </w:rPr>
      </w:pPr>
      <w:r>
        <w:rPr>
          <w:b/>
        </w:rPr>
        <w:t>JOHANNESBU</w:t>
      </w:r>
      <w:r w:rsidR="00947D65">
        <w:rPr>
          <w:b/>
        </w:rPr>
        <w:t>RG</w:t>
      </w:r>
    </w:p>
    <w:p w14:paraId="2A6AA0A5" w14:textId="77777777" w:rsidR="001815AE" w:rsidRDefault="001815AE" w:rsidP="00947D65">
      <w:pPr>
        <w:pStyle w:val="JudgmentNumbered"/>
        <w:numPr>
          <w:ilvl w:val="0"/>
          <w:numId w:val="0"/>
        </w:numPr>
        <w:spacing w:after="0"/>
        <w:jc w:val="left"/>
        <w:rPr>
          <w:b/>
        </w:rPr>
      </w:pPr>
    </w:p>
    <w:p w14:paraId="7419CB62" w14:textId="77777777" w:rsidR="00CB02A3" w:rsidRDefault="00CB02A3" w:rsidP="00DA77CB">
      <w:pPr>
        <w:pStyle w:val="JudgmentNumbered"/>
        <w:numPr>
          <w:ilvl w:val="0"/>
          <w:numId w:val="0"/>
        </w:numPr>
        <w:spacing w:after="0"/>
        <w:ind w:left="567" w:hanging="567"/>
        <w:jc w:val="left"/>
        <w:rPr>
          <w:b/>
        </w:rPr>
      </w:pPr>
    </w:p>
    <w:p w14:paraId="373153B8" w14:textId="77777777" w:rsidR="00CB02A3" w:rsidRDefault="00CB02A3" w:rsidP="00DA77CB">
      <w:pPr>
        <w:pStyle w:val="JudgmentNumbered"/>
        <w:numPr>
          <w:ilvl w:val="0"/>
          <w:numId w:val="0"/>
        </w:numPr>
        <w:spacing w:after="0"/>
        <w:ind w:left="567" w:hanging="567"/>
        <w:jc w:val="left"/>
        <w:rPr>
          <w:b/>
        </w:rPr>
      </w:pPr>
    </w:p>
    <w:p w14:paraId="270784ED" w14:textId="77777777" w:rsidR="00CB02A3" w:rsidRDefault="00CB02A3" w:rsidP="00DA77CB">
      <w:pPr>
        <w:pStyle w:val="JudgmentNumbered"/>
        <w:numPr>
          <w:ilvl w:val="0"/>
          <w:numId w:val="0"/>
        </w:numPr>
        <w:spacing w:after="0"/>
        <w:ind w:left="567" w:hanging="567"/>
        <w:jc w:val="left"/>
        <w:rPr>
          <w:b/>
        </w:rPr>
      </w:pPr>
    </w:p>
    <w:p w14:paraId="567DFAC6" w14:textId="77777777" w:rsidR="00CB02A3" w:rsidRDefault="00CB02A3" w:rsidP="00DA77CB">
      <w:pPr>
        <w:pStyle w:val="JudgmentNumbered"/>
        <w:numPr>
          <w:ilvl w:val="0"/>
          <w:numId w:val="0"/>
        </w:numPr>
        <w:spacing w:after="0"/>
        <w:ind w:left="567" w:hanging="567"/>
        <w:jc w:val="left"/>
        <w:rPr>
          <w:b/>
        </w:rPr>
      </w:pPr>
    </w:p>
    <w:p w14:paraId="3A3D6D95" w14:textId="77777777" w:rsidR="00CB02A3" w:rsidRDefault="00CB02A3" w:rsidP="00DA77CB">
      <w:pPr>
        <w:pStyle w:val="JudgmentNumbered"/>
        <w:numPr>
          <w:ilvl w:val="0"/>
          <w:numId w:val="0"/>
        </w:numPr>
        <w:spacing w:after="0"/>
        <w:ind w:left="567" w:hanging="567"/>
        <w:jc w:val="left"/>
        <w:rPr>
          <w:b/>
        </w:rPr>
      </w:pPr>
    </w:p>
    <w:p w14:paraId="170D21C0" w14:textId="77777777" w:rsidR="00CB02A3" w:rsidRDefault="00CB02A3" w:rsidP="00DA77CB">
      <w:pPr>
        <w:pStyle w:val="JudgmentNumbered"/>
        <w:numPr>
          <w:ilvl w:val="0"/>
          <w:numId w:val="0"/>
        </w:numPr>
        <w:spacing w:after="0"/>
        <w:ind w:left="567" w:hanging="567"/>
        <w:jc w:val="left"/>
        <w:rPr>
          <w:b/>
        </w:rPr>
      </w:pPr>
    </w:p>
    <w:p w14:paraId="0CAB4B05" w14:textId="77777777" w:rsidR="00CB02A3" w:rsidRDefault="00CB02A3" w:rsidP="00DA77CB">
      <w:pPr>
        <w:pStyle w:val="JudgmentNumbered"/>
        <w:numPr>
          <w:ilvl w:val="0"/>
          <w:numId w:val="0"/>
        </w:numPr>
        <w:spacing w:after="0"/>
        <w:ind w:left="567" w:hanging="567"/>
        <w:jc w:val="left"/>
        <w:rPr>
          <w:b/>
        </w:rPr>
      </w:pPr>
    </w:p>
    <w:p w14:paraId="4B993C8A" w14:textId="77777777" w:rsidR="00CB02A3" w:rsidRDefault="00CB02A3" w:rsidP="00DA77CB">
      <w:pPr>
        <w:pStyle w:val="JudgmentNumbered"/>
        <w:numPr>
          <w:ilvl w:val="0"/>
          <w:numId w:val="0"/>
        </w:numPr>
        <w:spacing w:after="0"/>
        <w:ind w:left="567" w:hanging="567"/>
        <w:jc w:val="left"/>
        <w:rPr>
          <w:b/>
        </w:rPr>
      </w:pPr>
    </w:p>
    <w:p w14:paraId="31008964" w14:textId="77777777" w:rsidR="00CB02A3" w:rsidRDefault="00CB02A3" w:rsidP="00DA77CB">
      <w:pPr>
        <w:pStyle w:val="JudgmentNumbered"/>
        <w:numPr>
          <w:ilvl w:val="0"/>
          <w:numId w:val="0"/>
        </w:numPr>
        <w:spacing w:after="0"/>
        <w:ind w:left="567" w:hanging="567"/>
        <w:jc w:val="left"/>
        <w:rPr>
          <w:b/>
        </w:rPr>
      </w:pPr>
    </w:p>
    <w:p w14:paraId="26EFC70F" w14:textId="77777777" w:rsidR="00CB02A3" w:rsidRDefault="00CB02A3" w:rsidP="00DA77CB">
      <w:pPr>
        <w:pStyle w:val="JudgmentNumbered"/>
        <w:numPr>
          <w:ilvl w:val="0"/>
          <w:numId w:val="0"/>
        </w:numPr>
        <w:spacing w:after="0"/>
        <w:ind w:left="567" w:hanging="567"/>
        <w:jc w:val="left"/>
        <w:rPr>
          <w:b/>
        </w:rPr>
      </w:pPr>
    </w:p>
    <w:p w14:paraId="19075EB9" w14:textId="7CA37C98" w:rsidR="00DA77CB" w:rsidRPr="00645B13" w:rsidRDefault="00DA77CB" w:rsidP="00DA77CB">
      <w:pPr>
        <w:pStyle w:val="JudgmentNumbered"/>
        <w:numPr>
          <w:ilvl w:val="0"/>
          <w:numId w:val="0"/>
        </w:numPr>
        <w:spacing w:after="0"/>
        <w:ind w:left="567" w:hanging="567"/>
        <w:jc w:val="left"/>
      </w:pPr>
      <w:r>
        <w:rPr>
          <w:b/>
        </w:rPr>
        <w:t xml:space="preserve">DATE OF HEARING: </w:t>
      </w:r>
      <w:r>
        <w:rPr>
          <w:b/>
        </w:rPr>
        <w:tab/>
      </w:r>
      <w:r w:rsidR="00645B13">
        <w:rPr>
          <w:b/>
        </w:rPr>
        <w:tab/>
      </w:r>
      <w:r w:rsidR="00645B13">
        <w:rPr>
          <w:b/>
        </w:rPr>
        <w:tab/>
      </w:r>
      <w:r w:rsidR="004B6721">
        <w:rPr>
          <w:b/>
        </w:rPr>
        <w:tab/>
      </w:r>
      <w:r w:rsidR="003065BB">
        <w:t>31 May</w:t>
      </w:r>
      <w:r w:rsidR="00645B13">
        <w:t xml:space="preserve"> 2023 </w:t>
      </w:r>
    </w:p>
    <w:p w14:paraId="35CA4A2E" w14:textId="77777777" w:rsidR="00DA77CB" w:rsidRDefault="00DA77CB" w:rsidP="00DA77CB">
      <w:pPr>
        <w:pStyle w:val="JudgmentNumbered"/>
        <w:numPr>
          <w:ilvl w:val="0"/>
          <w:numId w:val="0"/>
        </w:numPr>
        <w:spacing w:after="0"/>
        <w:ind w:left="567" w:hanging="567"/>
        <w:jc w:val="left"/>
        <w:rPr>
          <w:b/>
        </w:rPr>
      </w:pPr>
    </w:p>
    <w:p w14:paraId="522DF87B" w14:textId="784257E1" w:rsidR="00DA77CB" w:rsidRPr="00645B13" w:rsidRDefault="00DA77CB" w:rsidP="00DA77CB">
      <w:pPr>
        <w:pStyle w:val="JudgmentNumbered"/>
        <w:numPr>
          <w:ilvl w:val="0"/>
          <w:numId w:val="0"/>
        </w:numPr>
        <w:spacing w:after="0"/>
        <w:ind w:left="567" w:hanging="567"/>
        <w:jc w:val="left"/>
      </w:pPr>
      <w:r>
        <w:rPr>
          <w:b/>
        </w:rPr>
        <w:t xml:space="preserve">DATE OF JUDGMENT: </w:t>
      </w:r>
      <w:r w:rsidR="00645B13">
        <w:rPr>
          <w:b/>
        </w:rPr>
        <w:tab/>
      </w:r>
      <w:r w:rsidR="00645B13">
        <w:rPr>
          <w:b/>
        </w:rPr>
        <w:tab/>
      </w:r>
      <w:r w:rsidR="00645B13">
        <w:rPr>
          <w:b/>
        </w:rPr>
        <w:tab/>
      </w:r>
      <w:r w:rsidR="004B6721">
        <w:rPr>
          <w:b/>
        </w:rPr>
        <w:tab/>
      </w:r>
      <w:r w:rsidR="003065BB">
        <w:t>01 June</w:t>
      </w:r>
      <w:r w:rsidR="00645B13">
        <w:t xml:space="preserve"> 2023 </w:t>
      </w:r>
    </w:p>
    <w:p w14:paraId="61819587" w14:textId="43525307" w:rsidR="00DA77CB" w:rsidRDefault="00DA77CB" w:rsidP="00DA77CB">
      <w:pPr>
        <w:pStyle w:val="JudgmentNumbered"/>
        <w:numPr>
          <w:ilvl w:val="0"/>
          <w:numId w:val="0"/>
        </w:numPr>
        <w:spacing w:after="0"/>
        <w:ind w:left="567" w:hanging="567"/>
        <w:jc w:val="left"/>
        <w:rPr>
          <w:b/>
        </w:rPr>
      </w:pPr>
    </w:p>
    <w:p w14:paraId="48481E77" w14:textId="77777777" w:rsidR="00DA77CB" w:rsidRDefault="00DA77CB" w:rsidP="00DA77CB">
      <w:pPr>
        <w:pStyle w:val="JudgmentNumbered"/>
        <w:numPr>
          <w:ilvl w:val="0"/>
          <w:numId w:val="0"/>
        </w:numPr>
        <w:spacing w:after="0"/>
        <w:ind w:left="567" w:hanging="567"/>
        <w:jc w:val="left"/>
        <w:rPr>
          <w:b/>
        </w:rPr>
      </w:pPr>
    </w:p>
    <w:p w14:paraId="172DF5E4" w14:textId="603C002B" w:rsidR="005E51EE" w:rsidRPr="00947D65" w:rsidRDefault="005E51EE" w:rsidP="00947D65">
      <w:pPr>
        <w:pStyle w:val="JudgmentNumbered"/>
        <w:numPr>
          <w:ilvl w:val="0"/>
          <w:numId w:val="0"/>
        </w:numPr>
        <w:spacing w:after="0"/>
        <w:ind w:left="567" w:hanging="567"/>
        <w:rPr>
          <w:b/>
        </w:rPr>
      </w:pPr>
      <w:r>
        <w:rPr>
          <w:b/>
        </w:rPr>
        <w:t xml:space="preserve">APPEARANCES </w:t>
      </w:r>
    </w:p>
    <w:p w14:paraId="65B8B77C" w14:textId="201A2DAC" w:rsidR="007F414B" w:rsidRPr="009410E7" w:rsidRDefault="007F414B" w:rsidP="009410E7">
      <w:pPr>
        <w:pStyle w:val="BodyText"/>
        <w:autoSpaceDE w:val="0"/>
        <w:autoSpaceDN w:val="0"/>
        <w:adjustRightInd w:val="0"/>
        <w:spacing w:line="360" w:lineRule="auto"/>
        <w:contextualSpacing/>
        <w:jc w:val="both"/>
        <w:rPr>
          <w:rFonts w:ascii="Arial" w:hAnsi="Arial" w:cs="Arial"/>
          <w:b/>
        </w:rPr>
      </w:pPr>
      <w:r>
        <w:rPr>
          <w:rFonts w:ascii="Arial" w:hAnsi="Arial" w:cs="Arial"/>
          <w:b/>
        </w:rPr>
        <w:t>For the Applicant</w:t>
      </w:r>
      <w:r w:rsidR="009410E7">
        <w:rPr>
          <w:rFonts w:ascii="Arial" w:hAnsi="Arial" w:cs="Arial"/>
          <w:b/>
        </w:rPr>
        <w:t>s</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sidR="009410E7" w:rsidRPr="009410E7">
        <w:rPr>
          <w:rFonts w:ascii="Arial" w:hAnsi="Arial" w:cs="Arial"/>
        </w:rPr>
        <w:t xml:space="preserve">Adv. HP </w:t>
      </w:r>
      <w:proofErr w:type="spellStart"/>
      <w:r w:rsidR="009410E7" w:rsidRPr="009410E7">
        <w:rPr>
          <w:rFonts w:ascii="Arial" w:hAnsi="Arial" w:cs="Arial"/>
        </w:rPr>
        <w:t>Nieuwenhuizen</w:t>
      </w:r>
      <w:proofErr w:type="spellEnd"/>
    </w:p>
    <w:p w14:paraId="7A63FD84" w14:textId="77777777" w:rsidR="007F414B" w:rsidRPr="002C3E86" w:rsidRDefault="007F414B" w:rsidP="007F414B">
      <w:pPr>
        <w:pStyle w:val="BodyText"/>
        <w:autoSpaceDE w:val="0"/>
        <w:autoSpaceDN w:val="0"/>
        <w:adjustRightInd w:val="0"/>
        <w:spacing w:line="36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2D3291">
        <w:rPr>
          <w:rFonts w:ascii="Arial" w:eastAsia="Calibri" w:hAnsi="Arial" w:cs="Arial"/>
          <w:bCs/>
        </w:rPr>
        <w:t xml:space="preserve">                                            </w:t>
      </w:r>
    </w:p>
    <w:p w14:paraId="1F447634" w14:textId="49AE501E" w:rsidR="009410E7" w:rsidRPr="009410E7" w:rsidRDefault="007F414B" w:rsidP="009410E7">
      <w:pPr>
        <w:pStyle w:val="BodyText"/>
        <w:autoSpaceDE w:val="0"/>
        <w:autoSpaceDN w:val="0"/>
        <w:adjustRightInd w:val="0"/>
        <w:spacing w:line="360" w:lineRule="auto"/>
        <w:contextualSpacing/>
        <w:jc w:val="both"/>
        <w:rPr>
          <w:rFonts w:ascii="Arial" w:hAnsi="Arial" w:cs="Arial"/>
        </w:rPr>
      </w:pPr>
      <w:r w:rsidRPr="009410E7">
        <w:rPr>
          <w:rFonts w:ascii="Arial" w:hAnsi="Arial" w:cs="Arial"/>
          <w:b/>
        </w:rPr>
        <w:t>Instructed by</w:t>
      </w:r>
      <w:r w:rsidRPr="009410E7">
        <w:rPr>
          <w:rFonts w:ascii="Arial" w:hAnsi="Arial" w:cs="Arial"/>
        </w:rPr>
        <w:t xml:space="preserve">:                         </w:t>
      </w:r>
      <w:r w:rsidRPr="009410E7">
        <w:rPr>
          <w:rFonts w:ascii="Arial" w:hAnsi="Arial" w:cs="Arial"/>
        </w:rPr>
        <w:tab/>
      </w:r>
      <w:r w:rsidRPr="009410E7">
        <w:rPr>
          <w:rFonts w:ascii="Arial" w:hAnsi="Arial" w:cs="Arial"/>
        </w:rPr>
        <w:tab/>
      </w:r>
      <w:r w:rsidR="009410E7">
        <w:rPr>
          <w:rFonts w:ascii="Arial" w:hAnsi="Arial" w:cs="Arial"/>
        </w:rPr>
        <w:tab/>
      </w:r>
      <w:r w:rsidR="009410E7" w:rsidRPr="009410E7">
        <w:rPr>
          <w:rFonts w:ascii="Arial" w:hAnsi="Arial" w:cs="Arial"/>
        </w:rPr>
        <w:t xml:space="preserve">Allan </w:t>
      </w:r>
      <w:proofErr w:type="spellStart"/>
      <w:r w:rsidR="009410E7" w:rsidRPr="009410E7">
        <w:rPr>
          <w:rFonts w:ascii="Arial" w:hAnsi="Arial" w:cs="Arial"/>
        </w:rPr>
        <w:t>Allschwang</w:t>
      </w:r>
      <w:proofErr w:type="spellEnd"/>
      <w:r w:rsidR="009410E7" w:rsidRPr="009410E7">
        <w:rPr>
          <w:rFonts w:ascii="Arial" w:hAnsi="Arial" w:cs="Arial"/>
        </w:rPr>
        <w:t xml:space="preserve"> &amp; Associates</w:t>
      </w:r>
      <w:r w:rsidR="009410E7" w:rsidRPr="009410E7">
        <w:rPr>
          <w:rFonts w:ascii="Arial" w:hAnsi="Arial" w:cs="Arial"/>
        </w:rPr>
        <w:tab/>
      </w:r>
    </w:p>
    <w:p w14:paraId="7D612674" w14:textId="3CC6B63D" w:rsidR="007F414B" w:rsidRPr="002D3291" w:rsidRDefault="007F414B" w:rsidP="00947D65">
      <w:pPr>
        <w:ind w:left="0"/>
        <w:contextualSpacing/>
        <w:rPr>
          <w:rFonts w:cs="Arial"/>
        </w:rPr>
      </w:pPr>
      <w:r w:rsidRPr="00096D9B">
        <w:rPr>
          <w:rFonts w:cs="Arial"/>
        </w:rPr>
        <w:t xml:space="preserve"> </w:t>
      </w:r>
    </w:p>
    <w:p w14:paraId="130D3A29" w14:textId="2AA6E1B2" w:rsidR="007F414B" w:rsidRPr="009410E7" w:rsidRDefault="007F414B" w:rsidP="009410E7">
      <w:pPr>
        <w:ind w:left="0"/>
        <w:contextualSpacing/>
        <w:rPr>
          <w:rFonts w:eastAsia="Calibri" w:cs="Arial"/>
          <w:bCs/>
        </w:rPr>
      </w:pPr>
      <w:r>
        <w:rPr>
          <w:rFonts w:cs="Arial"/>
          <w:b/>
        </w:rPr>
        <w:t xml:space="preserve">For the </w:t>
      </w:r>
      <w:r w:rsidR="00947D65">
        <w:rPr>
          <w:rFonts w:cs="Arial"/>
          <w:b/>
        </w:rPr>
        <w:t>2</w:t>
      </w:r>
      <w:r w:rsidR="00947D65" w:rsidRPr="00947D65">
        <w:rPr>
          <w:rFonts w:cs="Arial"/>
          <w:b/>
          <w:vertAlign w:val="superscript"/>
        </w:rPr>
        <w:t>nd</w:t>
      </w:r>
      <w:r w:rsidR="00947D65">
        <w:rPr>
          <w:rFonts w:cs="Arial"/>
          <w:b/>
        </w:rPr>
        <w:t xml:space="preserve"> to 4</w:t>
      </w:r>
      <w:r w:rsidR="00947D65" w:rsidRPr="00947D65">
        <w:rPr>
          <w:rFonts w:cs="Arial"/>
          <w:b/>
          <w:vertAlign w:val="superscript"/>
        </w:rPr>
        <w:t>th</w:t>
      </w:r>
      <w:r w:rsidR="009410E7">
        <w:rPr>
          <w:rFonts w:cs="Arial"/>
          <w:b/>
        </w:rPr>
        <w:t xml:space="preserve"> </w:t>
      </w:r>
      <w:r>
        <w:rPr>
          <w:rFonts w:cs="Arial"/>
          <w:b/>
        </w:rPr>
        <w:t>R</w:t>
      </w:r>
      <w:r w:rsidRPr="002D3291">
        <w:rPr>
          <w:rFonts w:cs="Arial"/>
          <w:b/>
        </w:rPr>
        <w:t>espondent</w:t>
      </w:r>
      <w:r w:rsidR="00947D65">
        <w:rPr>
          <w:rFonts w:cs="Arial"/>
          <w:b/>
        </w:rPr>
        <w:t>s</w:t>
      </w:r>
      <w:r w:rsidRPr="002D3291">
        <w:rPr>
          <w:rFonts w:cs="Arial"/>
          <w:b/>
        </w:rPr>
        <w:t>:</w:t>
      </w:r>
      <w:r w:rsidRPr="002D3291">
        <w:rPr>
          <w:rFonts w:eastAsia="Calibri" w:cs="Arial"/>
          <w:b/>
          <w:bCs/>
        </w:rPr>
        <w:t xml:space="preserve">       </w:t>
      </w:r>
      <w:r w:rsidR="009410E7">
        <w:rPr>
          <w:rFonts w:eastAsia="Calibri" w:cs="Arial"/>
          <w:b/>
          <w:bCs/>
        </w:rPr>
        <w:t xml:space="preserve">      </w:t>
      </w:r>
      <w:r w:rsidR="009410E7">
        <w:rPr>
          <w:rFonts w:eastAsia="Calibri" w:cs="Arial"/>
          <w:b/>
          <w:bCs/>
        </w:rPr>
        <w:tab/>
      </w:r>
      <w:r w:rsidR="009410E7" w:rsidRPr="009410E7">
        <w:rPr>
          <w:rFonts w:eastAsia="Calibri" w:cs="Arial"/>
          <w:bCs/>
        </w:rPr>
        <w:t>Adv. N. Riley</w:t>
      </w:r>
    </w:p>
    <w:p w14:paraId="7D7D00D8" w14:textId="77777777" w:rsidR="007F414B" w:rsidRPr="002D3291" w:rsidRDefault="007F414B" w:rsidP="007F414B">
      <w:pPr>
        <w:contextualSpacing/>
        <w:rPr>
          <w:rFonts w:eastAsia="Calibri" w:cs="Arial"/>
          <w:lang w:val="en-US"/>
        </w:rPr>
      </w:pPr>
    </w:p>
    <w:p w14:paraId="7475C94E" w14:textId="50D279F0" w:rsidR="007F414B" w:rsidRPr="00947D65" w:rsidRDefault="007F414B" w:rsidP="007F414B">
      <w:pPr>
        <w:ind w:left="0"/>
        <w:contextualSpacing/>
        <w:rPr>
          <w:rFonts w:eastAsia="Calibri" w:cs="Arial"/>
          <w:b/>
          <w:bCs/>
        </w:rPr>
      </w:pPr>
      <w:r w:rsidRPr="002D3291">
        <w:rPr>
          <w:rFonts w:cs="Arial"/>
          <w:b/>
        </w:rPr>
        <w:t>Instructed by</w:t>
      </w:r>
      <w:r w:rsidRPr="002D3291">
        <w:rPr>
          <w:rFonts w:cs="Arial"/>
        </w:rPr>
        <w:t xml:space="preserve">:                         </w:t>
      </w:r>
      <w:r>
        <w:rPr>
          <w:rFonts w:cs="Arial"/>
        </w:rPr>
        <w:t xml:space="preserve">    </w:t>
      </w:r>
      <w:r>
        <w:rPr>
          <w:rFonts w:cs="Arial"/>
        </w:rPr>
        <w:tab/>
      </w:r>
      <w:r>
        <w:rPr>
          <w:rFonts w:cs="Arial"/>
        </w:rPr>
        <w:tab/>
      </w:r>
      <w:r w:rsidR="009410E7">
        <w:rPr>
          <w:rFonts w:cs="Arial"/>
        </w:rPr>
        <w:tab/>
      </w:r>
      <w:proofErr w:type="spellStart"/>
      <w:r w:rsidR="009410E7" w:rsidRPr="009410E7">
        <w:rPr>
          <w:rFonts w:eastAsia="Calibri" w:cs="Arial"/>
          <w:bCs/>
        </w:rPr>
        <w:t>Snaid</w:t>
      </w:r>
      <w:proofErr w:type="spellEnd"/>
      <w:r w:rsidR="009410E7" w:rsidRPr="009410E7">
        <w:rPr>
          <w:rFonts w:eastAsia="Calibri" w:cs="Arial"/>
          <w:bCs/>
        </w:rPr>
        <w:t xml:space="preserve"> &amp; Morris </w:t>
      </w:r>
      <w:proofErr w:type="spellStart"/>
      <w:r w:rsidR="009410E7" w:rsidRPr="009410E7">
        <w:rPr>
          <w:rFonts w:eastAsia="Calibri" w:cs="Arial"/>
          <w:bCs/>
        </w:rPr>
        <w:t>Incoroporated</w:t>
      </w:r>
      <w:proofErr w:type="spellEnd"/>
    </w:p>
    <w:sectPr w:rsidR="007F414B" w:rsidRPr="00947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FAB7" w14:textId="77777777" w:rsidR="004C1A97" w:rsidRDefault="004C1A97" w:rsidP="005E51EE">
      <w:pPr>
        <w:spacing w:after="0" w:line="240" w:lineRule="auto"/>
      </w:pPr>
      <w:r>
        <w:separator/>
      </w:r>
    </w:p>
  </w:endnote>
  <w:endnote w:type="continuationSeparator" w:id="0">
    <w:p w14:paraId="6AC2ADFD" w14:textId="77777777" w:rsidR="004C1A97" w:rsidRDefault="004C1A97" w:rsidP="005E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CD22" w14:textId="77777777" w:rsidR="004C1A97" w:rsidRDefault="004C1A97" w:rsidP="005E51EE">
      <w:pPr>
        <w:spacing w:after="0" w:line="240" w:lineRule="auto"/>
      </w:pPr>
      <w:r>
        <w:separator/>
      </w:r>
    </w:p>
  </w:footnote>
  <w:footnote w:type="continuationSeparator" w:id="0">
    <w:p w14:paraId="5331F5E8" w14:textId="77777777" w:rsidR="004C1A97" w:rsidRDefault="004C1A97" w:rsidP="005E51EE">
      <w:pPr>
        <w:spacing w:after="0" w:line="240" w:lineRule="auto"/>
      </w:pPr>
      <w:r>
        <w:continuationSeparator/>
      </w:r>
    </w:p>
  </w:footnote>
  <w:footnote w:id="1">
    <w:p w14:paraId="1F61D2E0" w14:textId="77777777" w:rsidR="003065BB" w:rsidRPr="003872E6" w:rsidRDefault="003065BB" w:rsidP="003065BB">
      <w:pPr>
        <w:pStyle w:val="FootnoteText"/>
        <w:rPr>
          <w:rFonts w:cs="Arial"/>
          <w:lang w:val="en-US"/>
        </w:rPr>
      </w:pPr>
      <w:r>
        <w:rPr>
          <w:rStyle w:val="FootnoteReference"/>
        </w:rPr>
        <w:footnoteRef/>
      </w:r>
      <w:r>
        <w:t xml:space="preserve"> </w:t>
      </w:r>
      <w:r w:rsidRPr="003872E6">
        <w:rPr>
          <w:rFonts w:cs="Arial"/>
          <w:lang w:val="en-US"/>
        </w:rPr>
        <w:t>24 of 2936</w:t>
      </w:r>
    </w:p>
  </w:footnote>
  <w:footnote w:id="2">
    <w:p w14:paraId="06E3AC60" w14:textId="77777777" w:rsidR="003065BB" w:rsidRPr="003872E6" w:rsidRDefault="003065BB" w:rsidP="003065BB">
      <w:pPr>
        <w:pStyle w:val="FootnoteText"/>
        <w:rPr>
          <w:rFonts w:cs="Arial"/>
          <w:lang w:val="en-US"/>
        </w:rPr>
      </w:pPr>
      <w:r w:rsidRPr="003872E6">
        <w:rPr>
          <w:rStyle w:val="FootnoteReference"/>
          <w:rFonts w:cs="Arial"/>
        </w:rPr>
        <w:footnoteRef/>
      </w:r>
      <w:r w:rsidRPr="003872E6">
        <w:rPr>
          <w:rFonts w:cs="Arial"/>
        </w:rPr>
        <w:t xml:space="preserve"> </w:t>
      </w:r>
      <w:r w:rsidRPr="003872E6">
        <w:rPr>
          <w:rFonts w:cs="Arial"/>
          <w:lang w:val="en-US"/>
        </w:rPr>
        <w:t>Published under GN R394a in GG 30953 of 11 April 2008 as amended by GN R965 in GG 41096 of 6 September 2017.</w:t>
      </w:r>
    </w:p>
  </w:footnote>
  <w:footnote w:id="3">
    <w:p w14:paraId="67589FE9" w14:textId="77777777" w:rsidR="003065BB" w:rsidRPr="003872E6" w:rsidRDefault="003065BB" w:rsidP="003065BB">
      <w:pPr>
        <w:pStyle w:val="FootnoteText"/>
        <w:rPr>
          <w:rFonts w:cs="Arial"/>
          <w:lang w:val="en-US"/>
        </w:rPr>
      </w:pPr>
      <w:r w:rsidRPr="003872E6">
        <w:rPr>
          <w:rStyle w:val="FootnoteReference"/>
          <w:rFonts w:cs="Arial"/>
        </w:rPr>
        <w:footnoteRef/>
      </w:r>
      <w:r w:rsidRPr="003872E6">
        <w:rPr>
          <w:rFonts w:cs="Arial"/>
        </w:rPr>
        <w:t xml:space="preserve"> </w:t>
      </w:r>
      <w:r w:rsidRPr="003872E6">
        <w:rPr>
          <w:rFonts w:cs="Arial"/>
          <w:b/>
          <w:bCs/>
          <w:i/>
          <w:iCs/>
          <w:lang w:val="en-US"/>
        </w:rPr>
        <w:t>Swart v Cronje NNO</w:t>
      </w:r>
      <w:r w:rsidRPr="003872E6">
        <w:rPr>
          <w:rFonts w:cs="Arial"/>
          <w:lang w:val="en-US"/>
        </w:rPr>
        <w:t xml:space="preserve"> 1991 (4) SA 296 (T) as approved in </w:t>
      </w:r>
      <w:proofErr w:type="spellStart"/>
      <w:r w:rsidRPr="003872E6">
        <w:rPr>
          <w:rFonts w:cs="Arial"/>
          <w:b/>
          <w:bCs/>
          <w:i/>
          <w:iCs/>
          <w:lang w:val="en-US"/>
        </w:rPr>
        <w:t>Mattheys</w:t>
      </w:r>
      <w:proofErr w:type="spellEnd"/>
      <w:r w:rsidRPr="003872E6">
        <w:rPr>
          <w:rFonts w:cs="Arial"/>
          <w:b/>
          <w:bCs/>
          <w:i/>
          <w:iCs/>
          <w:lang w:val="en-US"/>
        </w:rPr>
        <w:t xml:space="preserve"> &amp; Another v Coetzee &amp; Another</w:t>
      </w:r>
      <w:r w:rsidRPr="003872E6">
        <w:rPr>
          <w:rFonts w:cs="Arial"/>
          <w:lang w:val="en-US"/>
        </w:rPr>
        <w:t xml:space="preserve"> [1997] 3 All SA 675 (W)</w:t>
      </w:r>
    </w:p>
  </w:footnote>
  <w:footnote w:id="4">
    <w:p w14:paraId="4DFBA0F5" w14:textId="77777777" w:rsidR="003065BB" w:rsidRPr="003872E6" w:rsidRDefault="003065BB" w:rsidP="003065BB">
      <w:pPr>
        <w:pStyle w:val="FootnoteText"/>
        <w:rPr>
          <w:rFonts w:cs="Arial"/>
          <w:lang w:val="en-US"/>
        </w:rPr>
      </w:pPr>
      <w:r w:rsidRPr="003872E6">
        <w:rPr>
          <w:rStyle w:val="FootnoteReference"/>
          <w:rFonts w:cs="Arial"/>
        </w:rPr>
        <w:footnoteRef/>
      </w:r>
      <w:r w:rsidRPr="003872E6">
        <w:rPr>
          <w:rFonts w:cs="Arial"/>
        </w:rPr>
        <w:t xml:space="preserve"> </w:t>
      </w:r>
      <w:r w:rsidRPr="003872E6">
        <w:rPr>
          <w:rFonts w:cs="Arial"/>
          <w:b/>
          <w:bCs/>
          <w:i/>
          <w:iCs/>
          <w:lang w:val="en-US"/>
        </w:rPr>
        <w:t>Swart</w:t>
      </w:r>
      <w:r w:rsidRPr="003872E6">
        <w:rPr>
          <w:rFonts w:cs="Arial"/>
          <w:i/>
          <w:iCs/>
          <w:lang w:val="en-US"/>
        </w:rPr>
        <w:t>, supra</w:t>
      </w:r>
      <w:r w:rsidRPr="003872E6">
        <w:rPr>
          <w:rFonts w:cs="Arial"/>
          <w:lang w:val="en-US"/>
        </w:rPr>
        <w:t xml:space="preserve"> at 298</w:t>
      </w:r>
    </w:p>
    <w:p w14:paraId="495AC5BF" w14:textId="77777777" w:rsidR="003065BB" w:rsidRPr="007D6AEF" w:rsidRDefault="003065BB" w:rsidP="003065BB">
      <w:pPr>
        <w:pStyle w:val="FootnoteText"/>
        <w:rPr>
          <w:lang w:val="en-US"/>
        </w:rPr>
      </w:pPr>
      <w:r w:rsidRPr="003872E6">
        <w:rPr>
          <w:rFonts w:cs="Arial"/>
          <w:lang w:val="en-US"/>
        </w:rPr>
        <w:t>“</w:t>
      </w:r>
      <w:r w:rsidRPr="003872E6">
        <w:rPr>
          <w:rFonts w:cs="Arial"/>
          <w:i/>
          <w:iCs/>
          <w:lang w:val="en-US"/>
        </w:rPr>
        <w:t xml:space="preserve">Die </w:t>
      </w:r>
      <w:proofErr w:type="spellStart"/>
      <w:r w:rsidRPr="003872E6">
        <w:rPr>
          <w:rFonts w:cs="Arial"/>
          <w:i/>
          <w:iCs/>
          <w:lang w:val="en-US"/>
        </w:rPr>
        <w:t>applikante</w:t>
      </w:r>
      <w:proofErr w:type="spellEnd"/>
      <w:r w:rsidRPr="003872E6">
        <w:rPr>
          <w:rFonts w:cs="Arial"/>
          <w:i/>
          <w:iCs/>
          <w:lang w:val="en-US"/>
        </w:rPr>
        <w:t xml:space="preserve"> was </w:t>
      </w:r>
      <w:proofErr w:type="spellStart"/>
      <w:r w:rsidRPr="003872E6">
        <w:rPr>
          <w:rFonts w:cs="Arial"/>
          <w:i/>
          <w:iCs/>
          <w:lang w:val="en-US"/>
        </w:rPr>
        <w:t>nie</w:t>
      </w:r>
      <w:proofErr w:type="spellEnd"/>
      <w:r w:rsidRPr="003872E6">
        <w:rPr>
          <w:rFonts w:cs="Arial"/>
          <w:i/>
          <w:iCs/>
          <w:lang w:val="en-US"/>
        </w:rPr>
        <w:t xml:space="preserve"> </w:t>
      </w:r>
      <w:proofErr w:type="spellStart"/>
      <w:r w:rsidRPr="003872E6">
        <w:rPr>
          <w:rFonts w:cs="Arial"/>
          <w:i/>
          <w:iCs/>
          <w:lang w:val="en-US"/>
        </w:rPr>
        <w:t>verplig</w:t>
      </w:r>
      <w:proofErr w:type="spellEnd"/>
      <w:r w:rsidRPr="003872E6">
        <w:rPr>
          <w:rFonts w:cs="Arial"/>
          <w:i/>
          <w:iCs/>
          <w:lang w:val="en-US"/>
        </w:rPr>
        <w:t xml:space="preserve"> om die </w:t>
      </w:r>
      <w:proofErr w:type="spellStart"/>
      <w:r w:rsidRPr="003872E6">
        <w:rPr>
          <w:rFonts w:cs="Arial"/>
          <w:i/>
          <w:iCs/>
          <w:lang w:val="en-US"/>
        </w:rPr>
        <w:t>ondervraging</w:t>
      </w:r>
      <w:proofErr w:type="spellEnd"/>
      <w:r w:rsidRPr="003872E6">
        <w:rPr>
          <w:rFonts w:cs="Arial"/>
          <w:i/>
          <w:iCs/>
          <w:lang w:val="en-US"/>
        </w:rPr>
        <w:t xml:space="preserve"> by </w:t>
      </w:r>
      <w:proofErr w:type="spellStart"/>
      <w:r w:rsidRPr="003872E6">
        <w:rPr>
          <w:rFonts w:cs="Arial"/>
          <w:i/>
          <w:iCs/>
          <w:lang w:val="en-US"/>
        </w:rPr>
        <w:t>te</w:t>
      </w:r>
      <w:proofErr w:type="spellEnd"/>
      <w:r w:rsidRPr="003872E6">
        <w:rPr>
          <w:rFonts w:cs="Arial"/>
          <w:i/>
          <w:iCs/>
          <w:lang w:val="en-US"/>
        </w:rPr>
        <w:t xml:space="preserve"> </w:t>
      </w:r>
      <w:proofErr w:type="spellStart"/>
      <w:r w:rsidRPr="003872E6">
        <w:rPr>
          <w:rFonts w:cs="Arial"/>
          <w:i/>
          <w:iCs/>
          <w:lang w:val="en-US"/>
        </w:rPr>
        <w:t>woon</w:t>
      </w:r>
      <w:proofErr w:type="spellEnd"/>
      <w:r w:rsidRPr="003872E6">
        <w:rPr>
          <w:rFonts w:cs="Arial"/>
          <w:i/>
          <w:iCs/>
          <w:lang w:val="en-US"/>
        </w:rPr>
        <w:t xml:space="preserve"> </w:t>
      </w:r>
      <w:proofErr w:type="spellStart"/>
      <w:r w:rsidRPr="003872E6">
        <w:rPr>
          <w:rFonts w:cs="Arial"/>
          <w:i/>
          <w:iCs/>
          <w:lang w:val="en-US"/>
        </w:rPr>
        <w:t>terwyl</w:t>
      </w:r>
      <w:proofErr w:type="spellEnd"/>
      <w:r w:rsidRPr="003872E6">
        <w:rPr>
          <w:rFonts w:cs="Arial"/>
          <w:i/>
          <w:iCs/>
          <w:lang w:val="en-US"/>
        </w:rPr>
        <w:t xml:space="preserve"> die </w:t>
      </w:r>
      <w:proofErr w:type="spellStart"/>
      <w:r w:rsidRPr="003872E6">
        <w:rPr>
          <w:rFonts w:cs="Arial"/>
          <w:i/>
          <w:iCs/>
          <w:lang w:val="en-US"/>
        </w:rPr>
        <w:t>korrekte</w:t>
      </w:r>
      <w:proofErr w:type="spellEnd"/>
      <w:r w:rsidRPr="003872E6">
        <w:rPr>
          <w:rFonts w:cs="Arial"/>
          <w:i/>
          <w:iCs/>
          <w:lang w:val="en-US"/>
        </w:rPr>
        <w:t xml:space="preserve"> </w:t>
      </w:r>
      <w:proofErr w:type="spellStart"/>
      <w:r w:rsidRPr="003872E6">
        <w:rPr>
          <w:rFonts w:cs="Arial"/>
          <w:i/>
          <w:iCs/>
          <w:lang w:val="en-US"/>
        </w:rPr>
        <w:t>gelde</w:t>
      </w:r>
      <w:proofErr w:type="spellEnd"/>
      <w:r w:rsidRPr="003872E6">
        <w:rPr>
          <w:rFonts w:cs="Arial"/>
          <w:i/>
          <w:iCs/>
          <w:lang w:val="en-US"/>
        </w:rPr>
        <w:t xml:space="preserve"> </w:t>
      </w:r>
      <w:proofErr w:type="spellStart"/>
      <w:r w:rsidRPr="003872E6">
        <w:rPr>
          <w:rFonts w:cs="Arial"/>
          <w:i/>
          <w:iCs/>
          <w:lang w:val="en-US"/>
        </w:rPr>
        <w:t>nie</w:t>
      </w:r>
      <w:proofErr w:type="spellEnd"/>
      <w:r w:rsidRPr="003872E6">
        <w:rPr>
          <w:rFonts w:cs="Arial"/>
          <w:i/>
          <w:iCs/>
          <w:lang w:val="en-US"/>
        </w:rPr>
        <w:t xml:space="preserve"> </w:t>
      </w:r>
      <w:proofErr w:type="spellStart"/>
      <w:r w:rsidRPr="003872E6">
        <w:rPr>
          <w:rFonts w:cs="Arial"/>
          <w:i/>
          <w:iCs/>
          <w:lang w:val="en-US"/>
        </w:rPr>
        <w:t>aan</w:t>
      </w:r>
      <w:proofErr w:type="spellEnd"/>
      <w:r w:rsidRPr="003872E6">
        <w:rPr>
          <w:rFonts w:cs="Arial"/>
          <w:i/>
          <w:iCs/>
          <w:lang w:val="en-US"/>
        </w:rPr>
        <w:t xml:space="preserve"> </w:t>
      </w:r>
      <w:proofErr w:type="spellStart"/>
      <w:r w:rsidRPr="003872E6">
        <w:rPr>
          <w:rFonts w:cs="Arial"/>
          <w:i/>
          <w:iCs/>
          <w:lang w:val="en-US"/>
        </w:rPr>
        <w:t>hulle</w:t>
      </w:r>
      <w:proofErr w:type="spellEnd"/>
      <w:r w:rsidRPr="003872E6">
        <w:rPr>
          <w:rFonts w:cs="Arial"/>
          <w:i/>
          <w:iCs/>
          <w:lang w:val="en-US"/>
        </w:rPr>
        <w:t xml:space="preserve"> </w:t>
      </w:r>
      <w:proofErr w:type="spellStart"/>
      <w:r w:rsidRPr="003872E6">
        <w:rPr>
          <w:rFonts w:cs="Arial"/>
          <w:i/>
          <w:iCs/>
          <w:lang w:val="en-US"/>
        </w:rPr>
        <w:t>getender</w:t>
      </w:r>
      <w:proofErr w:type="spellEnd"/>
      <w:r w:rsidRPr="003872E6">
        <w:rPr>
          <w:rFonts w:cs="Arial"/>
          <w:i/>
          <w:iCs/>
          <w:lang w:val="en-US"/>
        </w:rPr>
        <w:t xml:space="preserve"> was </w:t>
      </w:r>
      <w:proofErr w:type="spellStart"/>
      <w:r w:rsidRPr="003872E6">
        <w:rPr>
          <w:rFonts w:cs="Arial"/>
          <w:i/>
          <w:iCs/>
          <w:lang w:val="en-US"/>
        </w:rPr>
        <w:t>nie</w:t>
      </w:r>
      <w:proofErr w:type="spellEnd"/>
      <w:r w:rsidRPr="003872E6">
        <w:rPr>
          <w:rFonts w:cs="Arial"/>
          <w:i/>
          <w:iCs/>
          <w:lang w:val="en-US"/>
        </w:rPr>
        <w:t xml:space="preserve"> </w:t>
      </w:r>
      <w:proofErr w:type="spellStart"/>
      <w:r w:rsidRPr="003872E6">
        <w:rPr>
          <w:rFonts w:cs="Arial"/>
          <w:i/>
          <w:iCs/>
          <w:lang w:val="en-US"/>
        </w:rPr>
        <w:t>en</w:t>
      </w:r>
      <w:proofErr w:type="spellEnd"/>
      <w:r w:rsidRPr="003872E6">
        <w:rPr>
          <w:rFonts w:cs="Arial"/>
          <w:i/>
          <w:iCs/>
          <w:lang w:val="en-US"/>
        </w:rPr>
        <w:t xml:space="preserve"> </w:t>
      </w:r>
      <w:proofErr w:type="spellStart"/>
      <w:r w:rsidRPr="003872E6">
        <w:rPr>
          <w:rFonts w:cs="Arial"/>
          <w:i/>
          <w:iCs/>
          <w:lang w:val="en-US"/>
        </w:rPr>
        <w:t>daar</w:t>
      </w:r>
      <w:proofErr w:type="spellEnd"/>
      <w:r w:rsidRPr="003872E6">
        <w:rPr>
          <w:rFonts w:cs="Arial"/>
          <w:i/>
          <w:iCs/>
          <w:lang w:val="en-US"/>
        </w:rPr>
        <w:t xml:space="preserve"> </w:t>
      </w:r>
      <w:proofErr w:type="spellStart"/>
      <w:r w:rsidRPr="003872E6">
        <w:rPr>
          <w:rFonts w:cs="Arial"/>
          <w:i/>
          <w:iCs/>
          <w:lang w:val="en-US"/>
        </w:rPr>
        <w:t>inderdaad</w:t>
      </w:r>
      <w:proofErr w:type="spellEnd"/>
      <w:r w:rsidRPr="003872E6">
        <w:rPr>
          <w:rFonts w:cs="Arial"/>
          <w:i/>
          <w:iCs/>
          <w:lang w:val="en-US"/>
        </w:rPr>
        <w:t xml:space="preserve"> </w:t>
      </w:r>
      <w:proofErr w:type="spellStart"/>
      <w:r w:rsidRPr="003872E6">
        <w:rPr>
          <w:rFonts w:cs="Arial"/>
          <w:i/>
          <w:iCs/>
          <w:lang w:val="en-US"/>
        </w:rPr>
        <w:t>foutiewe</w:t>
      </w:r>
      <w:proofErr w:type="spellEnd"/>
      <w:r w:rsidRPr="003872E6">
        <w:rPr>
          <w:rFonts w:cs="Arial"/>
          <w:i/>
          <w:iCs/>
          <w:lang w:val="en-US"/>
        </w:rPr>
        <w:t xml:space="preserve"> </w:t>
      </w:r>
      <w:proofErr w:type="spellStart"/>
      <w:r w:rsidRPr="003872E6">
        <w:rPr>
          <w:rFonts w:cs="Arial"/>
          <w:i/>
          <w:iCs/>
          <w:lang w:val="en-US"/>
        </w:rPr>
        <w:t>en</w:t>
      </w:r>
      <w:proofErr w:type="spellEnd"/>
      <w:r w:rsidRPr="003872E6">
        <w:rPr>
          <w:rFonts w:cs="Arial"/>
          <w:i/>
          <w:iCs/>
          <w:lang w:val="en-US"/>
        </w:rPr>
        <w:t xml:space="preserve"> </w:t>
      </w:r>
      <w:proofErr w:type="spellStart"/>
      <w:r w:rsidRPr="003872E6">
        <w:rPr>
          <w:rFonts w:cs="Arial"/>
          <w:i/>
          <w:iCs/>
          <w:lang w:val="en-US"/>
        </w:rPr>
        <w:t>laer</w:t>
      </w:r>
      <w:proofErr w:type="spellEnd"/>
      <w:r w:rsidRPr="003872E6">
        <w:rPr>
          <w:rFonts w:cs="Arial"/>
          <w:i/>
          <w:iCs/>
          <w:lang w:val="en-US"/>
        </w:rPr>
        <w:t xml:space="preserve"> </w:t>
      </w:r>
      <w:proofErr w:type="spellStart"/>
      <w:r w:rsidRPr="003872E6">
        <w:rPr>
          <w:rFonts w:cs="Arial"/>
          <w:i/>
          <w:iCs/>
          <w:lang w:val="en-US"/>
        </w:rPr>
        <w:t>gelde</w:t>
      </w:r>
      <w:proofErr w:type="spellEnd"/>
      <w:r w:rsidRPr="003872E6">
        <w:rPr>
          <w:rFonts w:cs="Arial"/>
          <w:i/>
          <w:iCs/>
          <w:lang w:val="en-US"/>
        </w:rPr>
        <w:t xml:space="preserve"> as </w:t>
      </w:r>
      <w:proofErr w:type="spellStart"/>
      <w:r w:rsidRPr="003872E6">
        <w:rPr>
          <w:rFonts w:cs="Arial"/>
          <w:i/>
          <w:iCs/>
          <w:lang w:val="en-US"/>
        </w:rPr>
        <w:t>geregtig</w:t>
      </w:r>
      <w:proofErr w:type="spellEnd"/>
      <w:r w:rsidRPr="003872E6">
        <w:rPr>
          <w:rFonts w:cs="Arial"/>
          <w:i/>
          <w:iCs/>
          <w:lang w:val="en-US"/>
        </w:rPr>
        <w:t xml:space="preserve"> is </w:t>
      </w:r>
      <w:proofErr w:type="spellStart"/>
      <w:r w:rsidRPr="003872E6">
        <w:rPr>
          <w:rFonts w:cs="Arial"/>
          <w:i/>
          <w:iCs/>
          <w:lang w:val="en-US"/>
        </w:rPr>
        <w:t>aan</w:t>
      </w:r>
      <w:proofErr w:type="spellEnd"/>
      <w:r w:rsidRPr="003872E6">
        <w:rPr>
          <w:rFonts w:cs="Arial"/>
          <w:i/>
          <w:iCs/>
          <w:lang w:val="en-US"/>
        </w:rPr>
        <w:t xml:space="preserve"> </w:t>
      </w:r>
      <w:proofErr w:type="spellStart"/>
      <w:r w:rsidRPr="003872E6">
        <w:rPr>
          <w:rFonts w:cs="Arial"/>
          <w:i/>
          <w:iCs/>
          <w:lang w:val="en-US"/>
        </w:rPr>
        <w:t>hulle</w:t>
      </w:r>
      <w:proofErr w:type="spellEnd"/>
      <w:r w:rsidRPr="003872E6">
        <w:rPr>
          <w:rFonts w:cs="Arial"/>
          <w:i/>
          <w:iCs/>
          <w:lang w:val="en-US"/>
        </w:rPr>
        <w:t xml:space="preserve"> </w:t>
      </w:r>
      <w:proofErr w:type="spellStart"/>
      <w:r w:rsidRPr="003872E6">
        <w:rPr>
          <w:rFonts w:cs="Arial"/>
          <w:i/>
          <w:iCs/>
          <w:lang w:val="en-US"/>
        </w:rPr>
        <w:t>getender</w:t>
      </w:r>
      <w:proofErr w:type="spellEnd"/>
      <w:r w:rsidRPr="003872E6">
        <w:rPr>
          <w:rFonts w:cs="Arial"/>
          <w:i/>
          <w:iCs/>
          <w:lang w:val="en-US"/>
        </w:rPr>
        <w:t xml:space="preserve"> was.  Op </w:t>
      </w:r>
      <w:proofErr w:type="spellStart"/>
      <w:r w:rsidRPr="003872E6">
        <w:rPr>
          <w:rFonts w:cs="Arial"/>
          <w:i/>
          <w:iCs/>
          <w:lang w:val="en-US"/>
        </w:rPr>
        <w:t>hierdie</w:t>
      </w:r>
      <w:proofErr w:type="spellEnd"/>
      <w:r w:rsidRPr="003872E6">
        <w:rPr>
          <w:rFonts w:cs="Arial"/>
          <w:i/>
          <w:iCs/>
          <w:lang w:val="en-US"/>
        </w:rPr>
        <w:t xml:space="preserve"> </w:t>
      </w:r>
      <w:proofErr w:type="spellStart"/>
      <w:r w:rsidRPr="003872E6">
        <w:rPr>
          <w:rFonts w:cs="Arial"/>
          <w:i/>
          <w:iCs/>
          <w:lang w:val="en-US"/>
        </w:rPr>
        <w:t>grond</w:t>
      </w:r>
      <w:proofErr w:type="spellEnd"/>
      <w:r w:rsidRPr="003872E6">
        <w:rPr>
          <w:rFonts w:cs="Arial"/>
          <w:i/>
          <w:iCs/>
          <w:lang w:val="en-US"/>
        </w:rPr>
        <w:t xml:space="preserve"> </w:t>
      </w:r>
      <w:proofErr w:type="spellStart"/>
      <w:r w:rsidRPr="003872E6">
        <w:rPr>
          <w:rFonts w:cs="Arial"/>
          <w:i/>
          <w:iCs/>
          <w:lang w:val="en-US"/>
        </w:rPr>
        <w:t>alleen</w:t>
      </w:r>
      <w:proofErr w:type="spellEnd"/>
      <w:r w:rsidRPr="003872E6">
        <w:rPr>
          <w:rFonts w:cs="Arial"/>
          <w:i/>
          <w:iCs/>
          <w:lang w:val="en-US"/>
        </w:rPr>
        <w:t xml:space="preserve"> </w:t>
      </w:r>
      <w:proofErr w:type="spellStart"/>
      <w:r w:rsidRPr="003872E6">
        <w:rPr>
          <w:rFonts w:cs="Arial"/>
          <w:i/>
          <w:iCs/>
          <w:lang w:val="en-US"/>
        </w:rPr>
        <w:t>kan</w:t>
      </w:r>
      <w:proofErr w:type="spellEnd"/>
      <w:r w:rsidRPr="003872E6">
        <w:rPr>
          <w:rFonts w:cs="Arial"/>
          <w:i/>
          <w:iCs/>
          <w:lang w:val="en-US"/>
        </w:rPr>
        <w:t xml:space="preserve"> die </w:t>
      </w:r>
      <w:proofErr w:type="spellStart"/>
      <w:r w:rsidRPr="003872E6">
        <w:rPr>
          <w:rFonts w:cs="Arial"/>
          <w:i/>
          <w:iCs/>
          <w:lang w:val="en-US"/>
        </w:rPr>
        <w:t>lasbriewe</w:t>
      </w:r>
      <w:proofErr w:type="spellEnd"/>
      <w:r w:rsidRPr="003872E6">
        <w:rPr>
          <w:rFonts w:cs="Arial"/>
          <w:i/>
          <w:iCs/>
          <w:lang w:val="en-US"/>
        </w:rPr>
        <w:t xml:space="preserve"> </w:t>
      </w:r>
      <w:proofErr w:type="spellStart"/>
      <w:r w:rsidRPr="003872E6">
        <w:rPr>
          <w:rFonts w:cs="Arial"/>
          <w:i/>
          <w:iCs/>
          <w:lang w:val="en-US"/>
        </w:rPr>
        <w:t>myns</w:t>
      </w:r>
      <w:proofErr w:type="spellEnd"/>
      <w:r w:rsidRPr="003872E6">
        <w:rPr>
          <w:rFonts w:cs="Arial"/>
          <w:i/>
          <w:iCs/>
          <w:lang w:val="en-US"/>
        </w:rPr>
        <w:t xml:space="preserve"> </w:t>
      </w:r>
      <w:proofErr w:type="spellStart"/>
      <w:r w:rsidRPr="003872E6">
        <w:rPr>
          <w:rFonts w:cs="Arial"/>
          <w:i/>
          <w:iCs/>
          <w:lang w:val="en-US"/>
        </w:rPr>
        <w:t>insiens</w:t>
      </w:r>
      <w:proofErr w:type="spellEnd"/>
      <w:r w:rsidRPr="003872E6">
        <w:rPr>
          <w:rFonts w:cs="Arial"/>
          <w:i/>
          <w:iCs/>
          <w:lang w:val="en-US"/>
        </w:rPr>
        <w:t xml:space="preserve"> </w:t>
      </w:r>
      <w:proofErr w:type="spellStart"/>
      <w:r w:rsidRPr="003872E6">
        <w:rPr>
          <w:rFonts w:cs="Arial"/>
          <w:i/>
          <w:iCs/>
          <w:lang w:val="en-US"/>
        </w:rPr>
        <w:t>tersyde</w:t>
      </w:r>
      <w:proofErr w:type="spellEnd"/>
      <w:r w:rsidRPr="003872E6">
        <w:rPr>
          <w:rFonts w:cs="Arial"/>
          <w:i/>
          <w:iCs/>
          <w:lang w:val="en-US"/>
        </w:rPr>
        <w:t xml:space="preserve"> </w:t>
      </w:r>
      <w:proofErr w:type="spellStart"/>
      <w:r w:rsidRPr="003872E6">
        <w:rPr>
          <w:rFonts w:cs="Arial"/>
          <w:i/>
          <w:iCs/>
          <w:lang w:val="en-US"/>
        </w:rPr>
        <w:t>gestel</w:t>
      </w:r>
      <w:proofErr w:type="spellEnd"/>
      <w:r w:rsidRPr="003872E6">
        <w:rPr>
          <w:rFonts w:cs="Arial"/>
          <w:i/>
          <w:iCs/>
          <w:lang w:val="en-US"/>
        </w:rPr>
        <w:t xml:space="preserve"> word</w:t>
      </w:r>
      <w:r w:rsidRPr="003872E6">
        <w:rPr>
          <w:rFonts w:cs="Arial"/>
          <w:lang w:val="en-US"/>
        </w:rPr>
        <w:t>.”</w:t>
      </w:r>
    </w:p>
  </w:footnote>
  <w:footnote w:id="5">
    <w:p w14:paraId="3A611C0F" w14:textId="77777777" w:rsidR="003065BB" w:rsidRPr="003872E6" w:rsidRDefault="003065BB" w:rsidP="003065BB">
      <w:pPr>
        <w:pStyle w:val="FootnoteText"/>
        <w:rPr>
          <w:rFonts w:cs="Arial"/>
          <w:lang w:val="en-US"/>
        </w:rPr>
      </w:pPr>
      <w:r>
        <w:rPr>
          <w:rStyle w:val="FootnoteReference"/>
        </w:rPr>
        <w:footnoteRef/>
      </w:r>
      <w:r>
        <w:t xml:space="preserve"> </w:t>
      </w:r>
      <w:proofErr w:type="spellStart"/>
      <w:r w:rsidRPr="003872E6">
        <w:rPr>
          <w:rFonts w:cs="Arial"/>
          <w:b/>
          <w:bCs/>
          <w:i/>
          <w:iCs/>
          <w:lang w:val="en-US"/>
        </w:rPr>
        <w:t>Coppermoon</w:t>
      </w:r>
      <w:proofErr w:type="spellEnd"/>
      <w:r w:rsidRPr="003872E6">
        <w:rPr>
          <w:rFonts w:cs="Arial"/>
          <w:b/>
          <w:bCs/>
          <w:i/>
          <w:iCs/>
          <w:lang w:val="en-US"/>
        </w:rPr>
        <w:t xml:space="preserve"> Trading 13 (Pty) Ltd v </w:t>
      </w:r>
      <w:proofErr w:type="spellStart"/>
      <w:r w:rsidRPr="003872E6">
        <w:rPr>
          <w:rFonts w:cs="Arial"/>
          <w:b/>
          <w:bCs/>
          <w:i/>
          <w:iCs/>
          <w:lang w:val="en-US"/>
        </w:rPr>
        <w:t>Governemtn</w:t>
      </w:r>
      <w:proofErr w:type="spellEnd"/>
      <w:r w:rsidRPr="003872E6">
        <w:rPr>
          <w:rFonts w:cs="Arial"/>
          <w:b/>
          <w:bCs/>
          <w:i/>
          <w:iCs/>
          <w:lang w:val="en-US"/>
        </w:rPr>
        <w:t xml:space="preserve"> of the Province of the Eastern Cape &amp; Another</w:t>
      </w:r>
      <w:r w:rsidRPr="003872E6">
        <w:rPr>
          <w:rFonts w:cs="Arial"/>
        </w:rPr>
        <w:t xml:space="preserve"> (2949/05) [2019] ZAECBHC 16; 2020 (3) SA 391 (ECB) (18 June 2019) at para [15] </w:t>
      </w:r>
    </w:p>
  </w:footnote>
  <w:footnote w:id="6">
    <w:p w14:paraId="3A7E45F7" w14:textId="77777777" w:rsidR="003065BB" w:rsidRPr="003872E6" w:rsidRDefault="003065BB" w:rsidP="003065BB">
      <w:pPr>
        <w:pStyle w:val="FootnoteText"/>
        <w:rPr>
          <w:rFonts w:cs="Arial"/>
          <w:lang w:val="en-US"/>
        </w:rPr>
      </w:pPr>
      <w:r>
        <w:rPr>
          <w:rStyle w:val="FootnoteReference"/>
        </w:rPr>
        <w:footnoteRef/>
      </w:r>
      <w:r>
        <w:t xml:space="preserve"> </w:t>
      </w:r>
      <w:r w:rsidRPr="003872E6">
        <w:rPr>
          <w:rFonts w:cs="Arial"/>
          <w:lang w:val="en-US"/>
        </w:rPr>
        <w:t>For clarity purposes, applicant’s counsel did not mislead the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36B24CF"/>
    <w:multiLevelType w:val="multilevel"/>
    <w:tmpl w:val="6AD04BE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67663"/>
    <w:multiLevelType w:val="hybridMultilevel"/>
    <w:tmpl w:val="C74E7BAC"/>
    <w:lvl w:ilvl="0" w:tplc="3000EFF2">
      <w:start w:val="1"/>
      <w:numFmt w:val="decimal"/>
      <w:lvlText w:val="[%1] "/>
      <w:lvlJc w:val="left"/>
      <w:pPr>
        <w:ind w:left="1256" w:hanging="831"/>
      </w:pPr>
      <w:rPr>
        <w:rFonts w:hint="default"/>
        <w:b w:val="0"/>
        <w:i w:val="0"/>
      </w:rPr>
    </w:lvl>
    <w:lvl w:ilvl="1" w:tplc="58202332">
      <w:start w:val="1"/>
      <w:numFmt w:val="lowerLetter"/>
      <w:lvlText w:val="%2."/>
      <w:lvlJc w:val="left"/>
      <w:pPr>
        <w:ind w:left="786" w:hanging="360"/>
      </w:pPr>
      <w:rPr>
        <w:rFonts w:ascii="Arial" w:hAnsi="Arial" w:cs="Arial" w:hint="default"/>
      </w:rPr>
    </w:lvl>
    <w:lvl w:ilvl="2" w:tplc="1C09001B">
      <w:start w:val="1"/>
      <w:numFmt w:val="lowerRoman"/>
      <w:lvlText w:val="%3."/>
      <w:lvlJc w:val="right"/>
      <w:pPr>
        <w:ind w:left="2160" w:hanging="180"/>
      </w:pPr>
    </w:lvl>
    <w:lvl w:ilvl="3" w:tplc="1C090001">
      <w:start w:val="1"/>
      <w:numFmt w:val="bullet"/>
      <w:lvlText w:val=""/>
      <w:lvlJc w:val="left"/>
      <w:pPr>
        <w:ind w:left="72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55430A9"/>
    <w:multiLevelType w:val="hybridMultilevel"/>
    <w:tmpl w:val="2E640018"/>
    <w:lvl w:ilvl="0" w:tplc="8D3A58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CE0CC3"/>
    <w:multiLevelType w:val="hybridMultilevel"/>
    <w:tmpl w:val="BDC6C6B2"/>
    <w:lvl w:ilvl="0" w:tplc="720C9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702ED"/>
    <w:multiLevelType w:val="hybridMultilevel"/>
    <w:tmpl w:val="F1C4B45C"/>
    <w:lvl w:ilvl="0" w:tplc="F68C16B8">
      <w:start w:val="1"/>
      <w:numFmt w:val="decimal"/>
      <w:lvlText w:val="[%1] "/>
      <w:lvlJc w:val="left"/>
      <w:pPr>
        <w:ind w:left="1134" w:hanging="567"/>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927A3F"/>
    <w:multiLevelType w:val="hybridMultilevel"/>
    <w:tmpl w:val="9D9E5DA8"/>
    <w:lvl w:ilvl="0" w:tplc="DE2609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122032E"/>
    <w:multiLevelType w:val="hybridMultilevel"/>
    <w:tmpl w:val="3446BDB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15:restartNumberingAfterBreak="0">
    <w:nsid w:val="5E842920"/>
    <w:multiLevelType w:val="hybridMultilevel"/>
    <w:tmpl w:val="F4D41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F9A0BE4"/>
    <w:multiLevelType w:val="hybridMultilevel"/>
    <w:tmpl w:val="9528A2C2"/>
    <w:lvl w:ilvl="0" w:tplc="18280D80">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16cid:durableId="1327593685">
    <w:abstractNumId w:val="0"/>
  </w:num>
  <w:num w:numId="2" w16cid:durableId="1562863458">
    <w:abstractNumId w:val="3"/>
  </w:num>
  <w:num w:numId="3" w16cid:durableId="1367367886">
    <w:abstractNumId w:val="10"/>
  </w:num>
  <w:num w:numId="4" w16cid:durableId="2135441176">
    <w:abstractNumId w:val="8"/>
  </w:num>
  <w:num w:numId="5" w16cid:durableId="210167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220198">
    <w:abstractNumId w:val="2"/>
  </w:num>
  <w:num w:numId="7" w16cid:durableId="698435017">
    <w:abstractNumId w:val="9"/>
  </w:num>
  <w:num w:numId="8" w16cid:durableId="859783236">
    <w:abstractNumId w:val="6"/>
  </w:num>
  <w:num w:numId="9" w16cid:durableId="1177888009">
    <w:abstractNumId w:val="4"/>
  </w:num>
  <w:num w:numId="10" w16cid:durableId="1839345746">
    <w:abstractNumId w:val="1"/>
  </w:num>
  <w:num w:numId="11" w16cid:durableId="1054740474">
    <w:abstractNumId w:val="7"/>
  </w:num>
  <w:num w:numId="12" w16cid:durableId="2007971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EE"/>
    <w:rsid w:val="00017B9C"/>
    <w:rsid w:val="00024A67"/>
    <w:rsid w:val="0004229F"/>
    <w:rsid w:val="00055355"/>
    <w:rsid w:val="000F5255"/>
    <w:rsid w:val="0016765D"/>
    <w:rsid w:val="001815AE"/>
    <w:rsid w:val="0019510A"/>
    <w:rsid w:val="001B3822"/>
    <w:rsid w:val="001D71C7"/>
    <w:rsid w:val="001F3FB1"/>
    <w:rsid w:val="00223778"/>
    <w:rsid w:val="002703D8"/>
    <w:rsid w:val="003065BB"/>
    <w:rsid w:val="004B6721"/>
    <w:rsid w:val="004C1A97"/>
    <w:rsid w:val="004F2473"/>
    <w:rsid w:val="00522757"/>
    <w:rsid w:val="00543CC9"/>
    <w:rsid w:val="00547183"/>
    <w:rsid w:val="0058325C"/>
    <w:rsid w:val="00593B6C"/>
    <w:rsid w:val="005A5898"/>
    <w:rsid w:val="005C19BE"/>
    <w:rsid w:val="005E51EE"/>
    <w:rsid w:val="006006BE"/>
    <w:rsid w:val="00645B13"/>
    <w:rsid w:val="0066788E"/>
    <w:rsid w:val="0067504F"/>
    <w:rsid w:val="006D575E"/>
    <w:rsid w:val="006F0049"/>
    <w:rsid w:val="00750FE9"/>
    <w:rsid w:val="007A5253"/>
    <w:rsid w:val="007B1BE4"/>
    <w:rsid w:val="007C0F71"/>
    <w:rsid w:val="007C693E"/>
    <w:rsid w:val="007F414B"/>
    <w:rsid w:val="008D6591"/>
    <w:rsid w:val="008E0DF0"/>
    <w:rsid w:val="009410E7"/>
    <w:rsid w:val="00947D65"/>
    <w:rsid w:val="009E7ADD"/>
    <w:rsid w:val="00A432E3"/>
    <w:rsid w:val="00B12672"/>
    <w:rsid w:val="00C23601"/>
    <w:rsid w:val="00CB02A3"/>
    <w:rsid w:val="00D06523"/>
    <w:rsid w:val="00D522C7"/>
    <w:rsid w:val="00D53AD4"/>
    <w:rsid w:val="00D65FE9"/>
    <w:rsid w:val="00DA77CB"/>
    <w:rsid w:val="00DD3158"/>
    <w:rsid w:val="00DE23CB"/>
    <w:rsid w:val="00E32565"/>
    <w:rsid w:val="00E410BB"/>
    <w:rsid w:val="00F413D5"/>
    <w:rsid w:val="00F57881"/>
    <w:rsid w:val="00FA37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D4E6"/>
  <w15:chartTrackingRefBased/>
  <w15:docId w15:val="{DE3C1046-F85A-4BB8-9BED-DC42E37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qFormat/>
    <w:rsid w:val="005E51EE"/>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5E51EE"/>
    <w:pPr>
      <w:numPr>
        <w:numId w:val="2"/>
      </w:numPr>
    </w:pPr>
    <w:rPr>
      <w:rFonts w:cs="Arial"/>
    </w:rPr>
  </w:style>
  <w:style w:type="character" w:customStyle="1" w:styleId="JudgmentNumberedChar">
    <w:name w:val="Judgment Numbered Char"/>
    <w:basedOn w:val="DefaultParagraphFont"/>
    <w:link w:val="JudgmentNumbered"/>
    <w:rsid w:val="005E51EE"/>
    <w:rPr>
      <w:rFonts w:ascii="Arial" w:hAnsi="Arial" w:cs="Arial"/>
      <w:kern w:val="0"/>
      <w:sz w:val="24"/>
      <w:lang w:val="en-GB"/>
      <w14:ligatures w14:val="none"/>
    </w:rPr>
  </w:style>
  <w:style w:type="character" w:styleId="CommentReference">
    <w:name w:val="annotation reference"/>
    <w:basedOn w:val="DefaultParagraphFont"/>
    <w:uiPriority w:val="99"/>
    <w:semiHidden/>
    <w:unhideWhenUsed/>
    <w:rsid w:val="005E51EE"/>
    <w:rPr>
      <w:sz w:val="16"/>
      <w:szCs w:val="16"/>
    </w:rPr>
  </w:style>
  <w:style w:type="paragraph" w:styleId="CommentText">
    <w:name w:val="annotation text"/>
    <w:basedOn w:val="Normal"/>
    <w:link w:val="CommentTextChar"/>
    <w:uiPriority w:val="99"/>
    <w:unhideWhenUsed/>
    <w:rsid w:val="005E51EE"/>
    <w:pPr>
      <w:spacing w:line="240" w:lineRule="auto"/>
    </w:pPr>
    <w:rPr>
      <w:sz w:val="20"/>
      <w:szCs w:val="20"/>
    </w:rPr>
  </w:style>
  <w:style w:type="character" w:customStyle="1" w:styleId="CommentTextChar">
    <w:name w:val="Comment Text Char"/>
    <w:basedOn w:val="DefaultParagraphFont"/>
    <w:link w:val="CommentText"/>
    <w:uiPriority w:val="99"/>
    <w:rsid w:val="005E51EE"/>
    <w:rPr>
      <w:rFonts w:ascii="Arial" w:hAnsi="Arial"/>
      <w:kern w:val="0"/>
      <w:sz w:val="20"/>
      <w:szCs w:val="20"/>
      <w:lang w:val="en-GB"/>
      <w14:ligatures w14:val="none"/>
    </w:rPr>
  </w:style>
  <w:style w:type="paragraph" w:styleId="FootnoteText">
    <w:name w:val="footnote text"/>
    <w:basedOn w:val="Normal"/>
    <w:link w:val="FootnoteTextChar"/>
    <w:uiPriority w:val="99"/>
    <w:semiHidden/>
    <w:unhideWhenUsed/>
    <w:rsid w:val="005E5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1EE"/>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5E51EE"/>
    <w:rPr>
      <w:vertAlign w:val="superscript"/>
    </w:rPr>
  </w:style>
  <w:style w:type="paragraph" w:styleId="Revision">
    <w:name w:val="Revision"/>
    <w:hidden/>
    <w:uiPriority w:val="99"/>
    <w:semiHidden/>
    <w:rsid w:val="005E51EE"/>
    <w:pPr>
      <w:spacing w:after="0" w:line="240" w:lineRule="auto"/>
    </w:pPr>
    <w:rPr>
      <w:rFonts w:ascii="Arial" w:hAnsi="Arial"/>
      <w:kern w:val="0"/>
      <w:sz w:val="24"/>
      <w:lang w:val="en-GB"/>
      <w14:ligatures w14:val="none"/>
    </w:rPr>
  </w:style>
  <w:style w:type="paragraph" w:styleId="CommentSubject">
    <w:name w:val="annotation subject"/>
    <w:basedOn w:val="CommentText"/>
    <w:next w:val="CommentText"/>
    <w:link w:val="CommentSubjectChar"/>
    <w:uiPriority w:val="99"/>
    <w:semiHidden/>
    <w:unhideWhenUsed/>
    <w:rsid w:val="00F57881"/>
    <w:rPr>
      <w:b/>
      <w:bCs/>
    </w:rPr>
  </w:style>
  <w:style w:type="character" w:customStyle="1" w:styleId="CommentSubjectChar">
    <w:name w:val="Comment Subject Char"/>
    <w:basedOn w:val="CommentTextChar"/>
    <w:link w:val="CommentSubject"/>
    <w:uiPriority w:val="99"/>
    <w:semiHidden/>
    <w:rsid w:val="00F57881"/>
    <w:rPr>
      <w:rFonts w:ascii="Arial" w:hAnsi="Arial"/>
      <w:b/>
      <w:bCs/>
      <w:kern w:val="0"/>
      <w:sz w:val="20"/>
      <w:szCs w:val="20"/>
      <w:lang w:val="en-GB"/>
      <w14:ligatures w14:val="none"/>
    </w:rPr>
  </w:style>
  <w:style w:type="paragraph" w:styleId="BalloonText">
    <w:name w:val="Balloon Text"/>
    <w:basedOn w:val="Normal"/>
    <w:link w:val="BalloonTextChar"/>
    <w:uiPriority w:val="99"/>
    <w:semiHidden/>
    <w:unhideWhenUsed/>
    <w:rsid w:val="0060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6BE"/>
    <w:rPr>
      <w:rFonts w:ascii="Segoe UI" w:hAnsi="Segoe UI" w:cs="Segoe UI"/>
      <w:kern w:val="0"/>
      <w:sz w:val="18"/>
      <w:szCs w:val="18"/>
      <w:lang w:val="en-GB"/>
      <w14:ligatures w14:val="none"/>
    </w:rPr>
  </w:style>
  <w:style w:type="paragraph" w:styleId="BodyText">
    <w:name w:val="Body Text"/>
    <w:basedOn w:val="Normal"/>
    <w:link w:val="BodyTextChar"/>
    <w:rsid w:val="007F414B"/>
    <w:pPr>
      <w:spacing w:after="0" w:line="240" w:lineRule="auto"/>
      <w:ind w:left="0"/>
      <w:jc w:val="center"/>
    </w:pPr>
    <w:rPr>
      <w:rFonts w:ascii="Times New Roman" w:eastAsia="Times New Roman" w:hAnsi="Times New Roman" w:cs="Times New Roman"/>
      <w:szCs w:val="24"/>
      <w:lang w:eastAsia="x-none"/>
    </w:rPr>
  </w:style>
  <w:style w:type="character" w:customStyle="1" w:styleId="BodyTextChar">
    <w:name w:val="Body Text Char"/>
    <w:basedOn w:val="DefaultParagraphFont"/>
    <w:link w:val="BodyText"/>
    <w:rsid w:val="007F414B"/>
    <w:rPr>
      <w:rFonts w:ascii="Times New Roman" w:eastAsia="Times New Roman" w:hAnsi="Times New Roman" w:cs="Times New Roman"/>
      <w:kern w:val="0"/>
      <w:sz w:val="24"/>
      <w:szCs w:val="24"/>
      <w:lang w:val="en-GB" w:eastAsia="x-none"/>
      <w14:ligatures w14:val="none"/>
    </w:rPr>
  </w:style>
  <w:style w:type="paragraph" w:styleId="Header">
    <w:name w:val="header"/>
    <w:basedOn w:val="Normal"/>
    <w:link w:val="HeaderChar"/>
    <w:uiPriority w:val="99"/>
    <w:unhideWhenUsed/>
    <w:rsid w:val="00D5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C7"/>
    <w:rPr>
      <w:rFonts w:ascii="Arial" w:hAnsi="Arial"/>
      <w:kern w:val="0"/>
      <w:sz w:val="24"/>
      <w:lang w:val="en-GB"/>
      <w14:ligatures w14:val="none"/>
    </w:rPr>
  </w:style>
  <w:style w:type="paragraph" w:styleId="Footer">
    <w:name w:val="footer"/>
    <w:basedOn w:val="Normal"/>
    <w:link w:val="FooterChar"/>
    <w:uiPriority w:val="99"/>
    <w:unhideWhenUsed/>
    <w:rsid w:val="00D5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C7"/>
    <w:rPr>
      <w:rFonts w:ascii="Arial" w:hAnsi="Arial"/>
      <w:kern w:val="0"/>
      <w:sz w:val="24"/>
      <w:lang w:val="en-GB"/>
      <w14:ligatures w14:val="none"/>
    </w:rPr>
  </w:style>
  <w:style w:type="paragraph" w:styleId="ListParagraph">
    <w:name w:val="List Paragraph"/>
    <w:basedOn w:val="Normal"/>
    <w:uiPriority w:val="34"/>
    <w:qFormat/>
    <w:rsid w:val="00645B13"/>
    <w:pPr>
      <w:adjustRightInd w:val="0"/>
      <w:spacing w:before="120" w:after="0" w:line="240" w:lineRule="auto"/>
      <w:ind w:left="720"/>
      <w:contextualSpacing/>
      <w:mirrorIndents/>
      <w:jc w:val="left"/>
    </w:pPr>
    <w:rPr>
      <w:rFonts w:eastAsia="Calibri" w:cs="Times New Roman (Body CS)"/>
      <w:szCs w:val="24"/>
      <w:lang w:val="en-ZA"/>
    </w:rPr>
  </w:style>
  <w:style w:type="character" w:styleId="Hyperlink">
    <w:name w:val="Hyperlink"/>
    <w:rsid w:val="00593B6C"/>
    <w:rPr>
      <w:color w:val="0000FF"/>
      <w:u w:val="single"/>
    </w:rPr>
  </w:style>
  <w:style w:type="numbering" w:customStyle="1" w:styleId="CurrentList1">
    <w:name w:val="Current List1"/>
    <w:uiPriority w:val="99"/>
    <w:rsid w:val="003065B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2" ma:contentTypeDescription="Create a new document." ma:contentTypeScope="" ma:versionID="ed2577aea481561f70522ecbb9d2166a">
  <xsd:schema xmlns:xsd="http://www.w3.org/2001/XMLSchema" xmlns:xs="http://www.w3.org/2001/XMLSchema" xmlns:p="http://schemas.microsoft.com/office/2006/metadata/properties" xmlns:ns3="7803ae50-825d-4e06-9055-d98ed2079135" targetNamespace="http://schemas.microsoft.com/office/2006/metadata/properties" ma:root="true" ma:fieldsID="b68a8a29265ca2bf4dfb9e734e90180b" ns3:_="">
    <xsd:import namespace="7803ae50-825d-4e06-9055-d98ed20791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23959-6E59-41B7-99BE-D1092001D1DA}">
  <ds:schemaRefs>
    <ds:schemaRef ds:uri="http://schemas.openxmlformats.org/officeDocument/2006/bibliography"/>
  </ds:schemaRefs>
</ds:datastoreItem>
</file>

<file path=customXml/itemProps2.xml><?xml version="1.0" encoding="utf-8"?>
<ds:datastoreItem xmlns:ds="http://schemas.openxmlformats.org/officeDocument/2006/customXml" ds:itemID="{55B5EC04-F1C1-4F9F-9C07-CFCEEAB2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55A2C-2757-4D74-AA20-1C7648BD2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63915-5B1F-46DE-99A0-E1480B32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8144</Characters>
  <Application>Microsoft Office Word</Application>
  <DocSecurity>0</DocSecurity>
  <Lines>1357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dc:creator>
  <cp:keywords/>
  <dc:description/>
  <cp:lastModifiedBy>Mariana Anguelov</cp:lastModifiedBy>
  <cp:revision>4</cp:revision>
  <cp:lastPrinted>2023-04-13T11:26:00Z</cp:lastPrinted>
  <dcterms:created xsi:type="dcterms:W3CDTF">2023-06-02T08:51:00Z</dcterms:created>
  <dcterms:modified xsi:type="dcterms:W3CDTF">2023-06-04T17:01:00Z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