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81421" w14:textId="1F039A82" w:rsidR="006C43D7" w:rsidRPr="009623DA" w:rsidRDefault="00AD3D5D" w:rsidP="00C74E97">
      <w:pPr>
        <w:spacing w:after="120" w:line="360" w:lineRule="auto"/>
        <w:jc w:val="center"/>
        <w:rPr>
          <w:rFonts w:cs="Arial"/>
          <w:b/>
          <w:bCs/>
          <w:szCs w:val="22"/>
        </w:rPr>
      </w:pPr>
      <w:r w:rsidRPr="009623DA">
        <w:rPr>
          <w:rFonts w:cs="Arial"/>
          <w:b/>
          <w:bCs/>
          <w:szCs w:val="22"/>
        </w:rPr>
        <w:t xml:space="preserve"> </w:t>
      </w:r>
      <w:r w:rsidR="006C43D7" w:rsidRPr="009623DA">
        <w:rPr>
          <w:rFonts w:cs="Arial"/>
          <w:b/>
          <w:bCs/>
          <w:noProof/>
          <w:szCs w:val="22"/>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9623DA" w:rsidRDefault="006C43D7" w:rsidP="00C74E97">
      <w:pPr>
        <w:spacing w:line="360" w:lineRule="auto"/>
        <w:jc w:val="center"/>
        <w:rPr>
          <w:rFonts w:cs="Arial"/>
          <w:b/>
          <w:szCs w:val="22"/>
        </w:rPr>
      </w:pPr>
      <w:r w:rsidRPr="009623DA">
        <w:rPr>
          <w:rFonts w:cs="Arial"/>
          <w:b/>
          <w:szCs w:val="22"/>
        </w:rPr>
        <w:t xml:space="preserve">IN THE HIGH COURT OF SOUTH AFRICA, </w:t>
      </w:r>
    </w:p>
    <w:p w14:paraId="566C4D1B" w14:textId="77777777" w:rsidR="006C43D7" w:rsidRPr="009623DA" w:rsidRDefault="006C43D7" w:rsidP="00C74E97">
      <w:pPr>
        <w:spacing w:line="360" w:lineRule="auto"/>
        <w:jc w:val="center"/>
        <w:rPr>
          <w:rFonts w:cs="Arial"/>
          <w:b/>
          <w:szCs w:val="22"/>
        </w:rPr>
      </w:pPr>
      <w:r w:rsidRPr="009623DA">
        <w:rPr>
          <w:rFonts w:cs="Arial"/>
          <w:b/>
          <w:szCs w:val="22"/>
        </w:rPr>
        <w:t>GAUTENG DIVISION, JOHANNESBURG</w:t>
      </w:r>
    </w:p>
    <w:p w14:paraId="13D6E83E" w14:textId="77777777" w:rsidR="006C43D7" w:rsidRPr="009623DA" w:rsidRDefault="006C43D7" w:rsidP="00C74E97">
      <w:pPr>
        <w:spacing w:line="360" w:lineRule="auto"/>
        <w:jc w:val="both"/>
        <w:rPr>
          <w:rFonts w:cs="Arial"/>
          <w:b/>
          <w:szCs w:val="22"/>
        </w:rPr>
      </w:pPr>
    </w:p>
    <w:p w14:paraId="3698476C" w14:textId="5DB5211A" w:rsidR="006C43D7" w:rsidRPr="009623DA" w:rsidRDefault="006C43D7" w:rsidP="00C74E97">
      <w:pPr>
        <w:spacing w:line="360" w:lineRule="auto"/>
        <w:jc w:val="right"/>
        <w:rPr>
          <w:rFonts w:cs="Arial"/>
          <w:b/>
          <w:szCs w:val="22"/>
        </w:rPr>
      </w:pPr>
      <w:r w:rsidRPr="009623DA">
        <w:rPr>
          <w:rFonts w:cs="Arial"/>
          <w:b/>
          <w:szCs w:val="22"/>
        </w:rPr>
        <w:t xml:space="preserve">CASE NO: </w:t>
      </w:r>
      <w:r w:rsidR="008C7019" w:rsidRPr="009623DA">
        <w:rPr>
          <w:rFonts w:cs="Arial"/>
          <w:b/>
          <w:szCs w:val="22"/>
        </w:rPr>
        <w:t>2023/</w:t>
      </w:r>
      <w:r w:rsidR="00C21656" w:rsidRPr="009623DA">
        <w:rPr>
          <w:rFonts w:cs="Arial"/>
          <w:b/>
          <w:szCs w:val="22"/>
        </w:rPr>
        <w:t>032374</w:t>
      </w:r>
    </w:p>
    <w:p w14:paraId="0AF8DD38" w14:textId="77777777" w:rsidR="006C43D7" w:rsidRPr="009623DA" w:rsidRDefault="006C43D7" w:rsidP="00C74E97">
      <w:pPr>
        <w:spacing w:line="360" w:lineRule="auto"/>
        <w:jc w:val="right"/>
        <w:rPr>
          <w:rFonts w:cs="Arial"/>
          <w:szCs w:val="22"/>
        </w:rPr>
      </w:pPr>
      <w:r w:rsidRPr="009623DA">
        <w:rPr>
          <w:rFonts w:cs="Arial"/>
          <w:noProof/>
          <w:szCs w:val="22"/>
          <w:lang w:val="en-US"/>
        </w:rPr>
        <mc:AlternateContent>
          <mc:Choice Requires="wps">
            <w:drawing>
              <wp:anchor distT="0" distB="0" distL="114300" distR="114300" simplePos="0" relativeHeight="251659264"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2FF330AF" w:rsidR="00893C08" w:rsidRDefault="003C78F7" w:rsidP="003C78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4A68C24F" w:rsidR="00893C08" w:rsidRPr="001D3CC2" w:rsidRDefault="003C78F7" w:rsidP="003C78F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F5D23">
                              <w:rPr>
                                <w:rFonts w:ascii="Century Gothic" w:hAnsi="Century Gothic"/>
                                <w:sz w:val="20"/>
                                <w:szCs w:val="20"/>
                              </w:rPr>
                              <w:t>YES</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2FF330AF" w:rsidR="00893C08" w:rsidRDefault="003C78F7" w:rsidP="003C78F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4A68C24F" w:rsidR="00893C08" w:rsidRPr="001D3CC2" w:rsidRDefault="003C78F7" w:rsidP="003C78F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F5D23">
                        <w:rPr>
                          <w:rFonts w:ascii="Century Gothic" w:hAnsi="Century Gothic"/>
                          <w:sz w:val="20"/>
                          <w:szCs w:val="20"/>
                        </w:rPr>
                        <w:t>YES</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9623DA" w:rsidRDefault="006C43D7" w:rsidP="00C74E97">
      <w:pPr>
        <w:spacing w:line="360" w:lineRule="auto"/>
        <w:jc w:val="both"/>
        <w:rPr>
          <w:rFonts w:cs="Arial"/>
          <w:szCs w:val="22"/>
        </w:rPr>
      </w:pPr>
    </w:p>
    <w:p w14:paraId="4E808D74" w14:textId="77777777" w:rsidR="006C43D7" w:rsidRPr="009623DA" w:rsidRDefault="006C43D7" w:rsidP="00C74E97">
      <w:pPr>
        <w:spacing w:line="360" w:lineRule="auto"/>
        <w:jc w:val="both"/>
        <w:rPr>
          <w:rFonts w:cs="Arial"/>
          <w:szCs w:val="22"/>
        </w:rPr>
      </w:pPr>
    </w:p>
    <w:p w14:paraId="34BF70B6" w14:textId="77777777" w:rsidR="006C43D7" w:rsidRPr="009623DA" w:rsidRDefault="006C43D7" w:rsidP="00C74E97">
      <w:pPr>
        <w:spacing w:line="360" w:lineRule="auto"/>
        <w:jc w:val="both"/>
        <w:rPr>
          <w:rFonts w:cs="Arial"/>
          <w:szCs w:val="22"/>
        </w:rPr>
      </w:pPr>
    </w:p>
    <w:p w14:paraId="2F53BA3A" w14:textId="77777777" w:rsidR="006C43D7" w:rsidRPr="009623DA" w:rsidRDefault="006C43D7" w:rsidP="00C74E97">
      <w:pPr>
        <w:spacing w:line="360" w:lineRule="auto"/>
        <w:jc w:val="both"/>
        <w:rPr>
          <w:rFonts w:cs="Arial"/>
          <w:szCs w:val="22"/>
        </w:rPr>
      </w:pPr>
    </w:p>
    <w:p w14:paraId="3A1C212E" w14:textId="77777777" w:rsidR="006C43D7" w:rsidRPr="009623DA" w:rsidRDefault="006C43D7" w:rsidP="00C74E97">
      <w:pPr>
        <w:spacing w:line="360" w:lineRule="auto"/>
        <w:jc w:val="both"/>
        <w:rPr>
          <w:rFonts w:cs="Arial"/>
          <w:szCs w:val="22"/>
        </w:rPr>
      </w:pPr>
    </w:p>
    <w:p w14:paraId="04919B1B" w14:textId="77777777" w:rsidR="001D3CC2" w:rsidRPr="009623DA" w:rsidRDefault="001D3CC2" w:rsidP="00C74E97">
      <w:pPr>
        <w:spacing w:line="360" w:lineRule="auto"/>
        <w:jc w:val="both"/>
        <w:rPr>
          <w:rFonts w:cs="Arial"/>
          <w:szCs w:val="22"/>
        </w:rPr>
      </w:pPr>
    </w:p>
    <w:p w14:paraId="045D3852" w14:textId="77777777" w:rsidR="00E57446" w:rsidRPr="009623DA" w:rsidRDefault="00E57446" w:rsidP="00C74E97">
      <w:pPr>
        <w:spacing w:line="360" w:lineRule="auto"/>
        <w:jc w:val="both"/>
        <w:rPr>
          <w:rFonts w:cs="Arial"/>
          <w:szCs w:val="22"/>
        </w:rPr>
      </w:pPr>
    </w:p>
    <w:p w14:paraId="2804C32A" w14:textId="6C8D50AF" w:rsidR="00E57446" w:rsidRPr="009623DA" w:rsidRDefault="00E57446" w:rsidP="00C74E97">
      <w:pPr>
        <w:spacing w:line="360" w:lineRule="auto"/>
        <w:jc w:val="both"/>
        <w:rPr>
          <w:rFonts w:cs="Arial"/>
          <w:szCs w:val="22"/>
        </w:rPr>
      </w:pPr>
      <w:r w:rsidRPr="009623DA">
        <w:rPr>
          <w:rFonts w:cs="Arial"/>
          <w:szCs w:val="22"/>
        </w:rPr>
        <w:t>In the application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5"/>
        <w:gridCol w:w="2246"/>
      </w:tblGrid>
      <w:tr w:rsidR="00E57446" w:rsidRPr="009623DA" w14:paraId="4CBFF906" w14:textId="77777777" w:rsidTr="00893C08">
        <w:tc>
          <w:tcPr>
            <w:tcW w:w="6305" w:type="dxa"/>
          </w:tcPr>
          <w:p w14:paraId="07466740" w14:textId="76EE1C0F" w:rsidR="00E57446" w:rsidRPr="009623DA" w:rsidRDefault="008C7019" w:rsidP="00893C08">
            <w:pPr>
              <w:spacing w:line="360" w:lineRule="auto"/>
              <w:jc w:val="both"/>
              <w:rPr>
                <w:rFonts w:cs="Arial"/>
                <w:b/>
                <w:szCs w:val="22"/>
              </w:rPr>
            </w:pPr>
            <w:r w:rsidRPr="009623DA">
              <w:rPr>
                <w:rFonts w:cs="Arial"/>
                <w:b/>
                <w:szCs w:val="22"/>
              </w:rPr>
              <w:t>ALTECH RADIO HOLDINGS (PTY) LTD</w:t>
            </w:r>
          </w:p>
        </w:tc>
        <w:tc>
          <w:tcPr>
            <w:tcW w:w="2246" w:type="dxa"/>
          </w:tcPr>
          <w:p w14:paraId="32F3C456" w14:textId="4542077E" w:rsidR="00E57446" w:rsidRPr="009623DA" w:rsidRDefault="00E57446" w:rsidP="00893C08">
            <w:pPr>
              <w:spacing w:line="360" w:lineRule="auto"/>
              <w:rPr>
                <w:rFonts w:cs="Arial"/>
                <w:szCs w:val="22"/>
              </w:rPr>
            </w:pPr>
            <w:r w:rsidRPr="009623DA">
              <w:rPr>
                <w:rFonts w:cs="Arial"/>
                <w:szCs w:val="22"/>
              </w:rPr>
              <w:t>Applicant</w:t>
            </w:r>
          </w:p>
        </w:tc>
      </w:tr>
      <w:tr w:rsidR="00E57446" w:rsidRPr="009623DA" w14:paraId="582D8E94" w14:textId="77777777" w:rsidTr="00893C08">
        <w:tc>
          <w:tcPr>
            <w:tcW w:w="6305" w:type="dxa"/>
          </w:tcPr>
          <w:p w14:paraId="7BC13697" w14:textId="77777777" w:rsidR="00E57446" w:rsidRPr="009623DA" w:rsidRDefault="00E57446" w:rsidP="00893C08">
            <w:pPr>
              <w:spacing w:line="360" w:lineRule="auto"/>
              <w:jc w:val="both"/>
              <w:rPr>
                <w:rFonts w:cs="Arial"/>
                <w:szCs w:val="22"/>
              </w:rPr>
            </w:pPr>
            <w:r w:rsidRPr="009623DA">
              <w:rPr>
                <w:rFonts w:cs="Arial"/>
                <w:szCs w:val="22"/>
              </w:rPr>
              <w:t xml:space="preserve">and  </w:t>
            </w:r>
          </w:p>
        </w:tc>
        <w:tc>
          <w:tcPr>
            <w:tcW w:w="2246" w:type="dxa"/>
          </w:tcPr>
          <w:p w14:paraId="3E582FC6" w14:textId="77777777" w:rsidR="00E57446" w:rsidRPr="009623DA" w:rsidRDefault="00E57446" w:rsidP="00893C08">
            <w:pPr>
              <w:spacing w:line="360" w:lineRule="auto"/>
              <w:jc w:val="right"/>
              <w:rPr>
                <w:rFonts w:cs="Arial"/>
                <w:szCs w:val="22"/>
              </w:rPr>
            </w:pPr>
          </w:p>
        </w:tc>
      </w:tr>
      <w:tr w:rsidR="00E57446" w:rsidRPr="009623DA" w14:paraId="143F83E0" w14:textId="77777777" w:rsidTr="00893C08">
        <w:tc>
          <w:tcPr>
            <w:tcW w:w="6305" w:type="dxa"/>
          </w:tcPr>
          <w:p w14:paraId="66C3A0D3" w14:textId="2A3A4B72" w:rsidR="00E57446" w:rsidRPr="009623DA" w:rsidRDefault="008C7019" w:rsidP="00893C08">
            <w:pPr>
              <w:spacing w:line="360" w:lineRule="auto"/>
              <w:jc w:val="both"/>
              <w:rPr>
                <w:rFonts w:cs="Arial"/>
                <w:b/>
                <w:szCs w:val="22"/>
              </w:rPr>
            </w:pPr>
            <w:r w:rsidRPr="009623DA">
              <w:rPr>
                <w:rFonts w:cs="Arial"/>
                <w:b/>
                <w:szCs w:val="22"/>
              </w:rPr>
              <w:t>AEONOVA360 MANAGEMENT SERVICES (PTY) LTD</w:t>
            </w:r>
          </w:p>
        </w:tc>
        <w:tc>
          <w:tcPr>
            <w:tcW w:w="2246" w:type="dxa"/>
          </w:tcPr>
          <w:p w14:paraId="79FDAF6B" w14:textId="155244AA" w:rsidR="00E57446" w:rsidRPr="009623DA" w:rsidRDefault="008C7019" w:rsidP="00893C08">
            <w:pPr>
              <w:spacing w:line="360" w:lineRule="auto"/>
              <w:rPr>
                <w:rFonts w:cs="Arial"/>
                <w:szCs w:val="22"/>
              </w:rPr>
            </w:pPr>
            <w:r w:rsidRPr="009623DA">
              <w:rPr>
                <w:rFonts w:cs="Arial"/>
                <w:szCs w:val="22"/>
              </w:rPr>
              <w:t xml:space="preserve">First </w:t>
            </w:r>
            <w:r w:rsidR="00E57446" w:rsidRPr="009623DA">
              <w:rPr>
                <w:rFonts w:cs="Arial"/>
                <w:szCs w:val="22"/>
              </w:rPr>
              <w:t>Respondent</w:t>
            </w:r>
          </w:p>
        </w:tc>
      </w:tr>
      <w:tr w:rsidR="008C7019" w:rsidRPr="009623DA" w14:paraId="77CF61B5" w14:textId="77777777" w:rsidTr="00893C08">
        <w:tc>
          <w:tcPr>
            <w:tcW w:w="6305" w:type="dxa"/>
          </w:tcPr>
          <w:p w14:paraId="7D5559A9" w14:textId="6ADDAA9B" w:rsidR="008C7019" w:rsidRPr="009623DA" w:rsidRDefault="008C7019" w:rsidP="00893C08">
            <w:pPr>
              <w:spacing w:line="360" w:lineRule="auto"/>
              <w:jc w:val="both"/>
              <w:rPr>
                <w:rFonts w:cs="Arial"/>
                <w:b/>
                <w:szCs w:val="22"/>
              </w:rPr>
            </w:pPr>
            <w:r w:rsidRPr="009623DA">
              <w:rPr>
                <w:rFonts w:cs="Arial"/>
                <w:b/>
                <w:szCs w:val="22"/>
              </w:rPr>
              <w:t>RETIRED JUSTICE BR SOUTHWOOD</w:t>
            </w:r>
          </w:p>
        </w:tc>
        <w:tc>
          <w:tcPr>
            <w:tcW w:w="2246" w:type="dxa"/>
          </w:tcPr>
          <w:p w14:paraId="4E5D9950" w14:textId="537AFF21" w:rsidR="008C7019" w:rsidRPr="009623DA" w:rsidRDefault="008C7019" w:rsidP="00893C08">
            <w:pPr>
              <w:spacing w:line="360" w:lineRule="auto"/>
              <w:rPr>
                <w:rFonts w:cs="Arial"/>
                <w:szCs w:val="22"/>
              </w:rPr>
            </w:pPr>
            <w:r w:rsidRPr="009623DA">
              <w:rPr>
                <w:rFonts w:cs="Arial"/>
                <w:szCs w:val="22"/>
              </w:rPr>
              <w:t>Second Respondent</w:t>
            </w:r>
          </w:p>
        </w:tc>
      </w:tr>
    </w:tbl>
    <w:p w14:paraId="25A9B909" w14:textId="77777777" w:rsidR="00C1108E" w:rsidRPr="009623DA" w:rsidRDefault="00C1108E" w:rsidP="00C1108E">
      <w:pPr>
        <w:spacing w:line="360" w:lineRule="auto"/>
        <w:jc w:val="both"/>
        <w:rPr>
          <w:rFonts w:cs="Arial"/>
          <w:b/>
          <w:szCs w:val="22"/>
        </w:rPr>
      </w:pPr>
    </w:p>
    <w:p w14:paraId="0AA360E1" w14:textId="7ABEEB9B" w:rsidR="00C1108E" w:rsidRPr="009623DA" w:rsidRDefault="00C1108E" w:rsidP="00C1108E">
      <w:pPr>
        <w:spacing w:line="360" w:lineRule="auto"/>
        <w:jc w:val="both"/>
        <w:rPr>
          <w:rFonts w:cs="Arial"/>
          <w:szCs w:val="22"/>
        </w:rPr>
      </w:pPr>
      <w:r w:rsidRPr="009623DA">
        <w:rPr>
          <w:rFonts w:cs="Arial"/>
          <w:b/>
          <w:szCs w:val="22"/>
        </w:rPr>
        <w:t>Neutral Citation</w:t>
      </w:r>
      <w:r w:rsidRPr="009623DA">
        <w:rPr>
          <w:rFonts w:cs="Arial"/>
          <w:szCs w:val="22"/>
        </w:rPr>
        <w:t xml:space="preserve">: </w:t>
      </w:r>
      <w:r w:rsidRPr="009623DA">
        <w:rPr>
          <w:rFonts w:cs="Arial"/>
          <w:bCs/>
          <w:i/>
          <w:iCs/>
          <w:szCs w:val="22"/>
        </w:rPr>
        <w:t xml:space="preserve">Altech Radio Holdings (Pty) Ltd </w:t>
      </w:r>
      <w:r w:rsidRPr="009623DA">
        <w:rPr>
          <w:rFonts w:cs="Arial"/>
          <w:i/>
          <w:szCs w:val="22"/>
        </w:rPr>
        <w:t xml:space="preserve">v </w:t>
      </w:r>
      <w:r w:rsidRPr="009623DA">
        <w:rPr>
          <w:rFonts w:cs="Arial"/>
          <w:bCs/>
          <w:i/>
          <w:iCs/>
          <w:szCs w:val="22"/>
        </w:rPr>
        <w:t>Aeonova360 Management Services (Pty) Ltd and Another</w:t>
      </w:r>
      <w:r w:rsidR="004F5D23" w:rsidRPr="009623DA">
        <w:rPr>
          <w:rFonts w:cs="Arial"/>
          <w:bCs/>
          <w:i/>
          <w:iCs/>
          <w:szCs w:val="22"/>
        </w:rPr>
        <w:t xml:space="preserve"> [2]</w:t>
      </w:r>
      <w:r w:rsidRPr="009623DA">
        <w:rPr>
          <w:rFonts w:cs="Arial"/>
          <w:szCs w:val="22"/>
        </w:rPr>
        <w:t xml:space="preserve"> (Case No. </w:t>
      </w:r>
      <w:r w:rsidRPr="009623DA">
        <w:rPr>
          <w:rFonts w:cs="Arial"/>
          <w:bCs/>
          <w:szCs w:val="22"/>
        </w:rPr>
        <w:t>2023/</w:t>
      </w:r>
      <w:r w:rsidR="00C21656" w:rsidRPr="009623DA">
        <w:rPr>
          <w:rFonts w:cs="Arial"/>
          <w:bCs/>
          <w:szCs w:val="22"/>
        </w:rPr>
        <w:t>032374</w:t>
      </w:r>
      <w:r w:rsidRPr="009623DA">
        <w:rPr>
          <w:rFonts w:cs="Arial"/>
          <w:szCs w:val="22"/>
        </w:rPr>
        <w:t xml:space="preserve">) [2023] ZAGPJHC </w:t>
      </w:r>
      <w:r w:rsidR="003B1882">
        <w:rPr>
          <w:rFonts w:cs="Arial"/>
          <w:szCs w:val="22"/>
        </w:rPr>
        <w:t>631</w:t>
      </w:r>
      <w:r w:rsidRPr="009623DA">
        <w:rPr>
          <w:rFonts w:cs="Arial"/>
          <w:szCs w:val="22"/>
        </w:rPr>
        <w:t xml:space="preserve"> (</w:t>
      </w:r>
      <w:r w:rsidR="003B1882">
        <w:rPr>
          <w:rFonts w:cs="Arial"/>
          <w:szCs w:val="22"/>
        </w:rPr>
        <w:t>5 June</w:t>
      </w:r>
      <w:r w:rsidRPr="009623DA">
        <w:rPr>
          <w:rFonts w:cs="Arial"/>
          <w:szCs w:val="22"/>
        </w:rPr>
        <w:t xml:space="preserve"> 2023)</w:t>
      </w:r>
    </w:p>
    <w:p w14:paraId="73A7E259" w14:textId="77777777" w:rsidR="00C1108E" w:rsidRPr="009623DA" w:rsidRDefault="00C1108E" w:rsidP="00C74E97">
      <w:pPr>
        <w:pBdr>
          <w:bottom w:val="single" w:sz="4" w:space="1" w:color="auto"/>
        </w:pBdr>
        <w:spacing w:line="360" w:lineRule="auto"/>
        <w:jc w:val="both"/>
        <w:rPr>
          <w:rFonts w:cs="Arial"/>
          <w:szCs w:val="22"/>
        </w:rPr>
      </w:pPr>
    </w:p>
    <w:p w14:paraId="58DE5549" w14:textId="77777777" w:rsidR="006C43D7" w:rsidRPr="009623DA" w:rsidRDefault="006C43D7" w:rsidP="00C74E97">
      <w:pPr>
        <w:spacing w:line="360" w:lineRule="auto"/>
        <w:jc w:val="both"/>
        <w:rPr>
          <w:rFonts w:cs="Arial"/>
          <w:szCs w:val="22"/>
        </w:rPr>
      </w:pPr>
    </w:p>
    <w:p w14:paraId="647AB70C" w14:textId="77777777" w:rsidR="006C43D7" w:rsidRPr="009623DA" w:rsidRDefault="006C43D7" w:rsidP="00C74E97">
      <w:pPr>
        <w:keepNext/>
        <w:spacing w:line="360" w:lineRule="auto"/>
        <w:jc w:val="center"/>
        <w:outlineLvl w:val="1"/>
        <w:rPr>
          <w:rFonts w:cs="Arial"/>
          <w:b/>
          <w:bCs/>
          <w:szCs w:val="22"/>
        </w:rPr>
      </w:pPr>
      <w:r w:rsidRPr="009623DA">
        <w:rPr>
          <w:rFonts w:cs="Arial"/>
          <w:b/>
          <w:bCs/>
          <w:szCs w:val="22"/>
        </w:rPr>
        <w:t>JUDGMENT</w:t>
      </w:r>
    </w:p>
    <w:p w14:paraId="52CD25EB" w14:textId="77777777" w:rsidR="006C43D7" w:rsidRPr="009623DA" w:rsidRDefault="006C43D7" w:rsidP="00C74E97">
      <w:pPr>
        <w:pBdr>
          <w:bottom w:val="single" w:sz="4" w:space="1" w:color="auto"/>
        </w:pBdr>
        <w:spacing w:line="360" w:lineRule="auto"/>
        <w:jc w:val="both"/>
        <w:rPr>
          <w:rFonts w:cs="Arial"/>
          <w:szCs w:val="22"/>
        </w:rPr>
      </w:pPr>
    </w:p>
    <w:p w14:paraId="0CA76DA1" w14:textId="77777777" w:rsidR="00DC621D" w:rsidRPr="009623DA" w:rsidRDefault="00DC621D" w:rsidP="00C74E97">
      <w:pPr>
        <w:spacing w:line="360" w:lineRule="auto"/>
        <w:jc w:val="both"/>
        <w:rPr>
          <w:rFonts w:cs="Arial"/>
          <w:b/>
          <w:szCs w:val="22"/>
        </w:rPr>
      </w:pPr>
    </w:p>
    <w:p w14:paraId="5BD82EFE" w14:textId="0F8FBF70" w:rsidR="00BE6AB8" w:rsidRPr="009623DA" w:rsidRDefault="00C676F3" w:rsidP="00C74E97">
      <w:pPr>
        <w:spacing w:after="480" w:line="360" w:lineRule="auto"/>
        <w:jc w:val="both"/>
        <w:rPr>
          <w:rFonts w:cs="Arial"/>
          <w:b/>
          <w:szCs w:val="22"/>
        </w:rPr>
      </w:pPr>
      <w:r w:rsidRPr="009623DA">
        <w:rPr>
          <w:rFonts w:cs="Arial"/>
          <w:b/>
          <w:szCs w:val="22"/>
        </w:rPr>
        <w:t>MOORCROFT</w:t>
      </w:r>
      <w:r w:rsidR="006C43D7" w:rsidRPr="009623DA">
        <w:rPr>
          <w:rFonts w:cs="Arial"/>
          <w:b/>
          <w:szCs w:val="22"/>
        </w:rPr>
        <w:t xml:space="preserve"> AJ:</w:t>
      </w:r>
    </w:p>
    <w:p w14:paraId="09239A78" w14:textId="205827F2" w:rsidR="00C460A0" w:rsidRPr="009623DA" w:rsidRDefault="00C460A0" w:rsidP="00C74E97">
      <w:pPr>
        <w:keepNext/>
        <w:spacing w:after="480" w:line="360" w:lineRule="auto"/>
        <w:jc w:val="both"/>
        <w:rPr>
          <w:rFonts w:cs="Arial"/>
          <w:bCs/>
          <w:i/>
          <w:iCs/>
          <w:szCs w:val="22"/>
          <w:u w:val="single"/>
        </w:rPr>
      </w:pPr>
      <w:r w:rsidRPr="009623DA">
        <w:rPr>
          <w:rFonts w:cs="Arial"/>
          <w:bCs/>
          <w:i/>
          <w:iCs/>
          <w:szCs w:val="22"/>
          <w:u w:val="single"/>
        </w:rPr>
        <w:lastRenderedPageBreak/>
        <w:t>Summary</w:t>
      </w:r>
    </w:p>
    <w:p w14:paraId="4B3C4919" w14:textId="2D2DCF87" w:rsidR="00B61484" w:rsidRPr="009623DA" w:rsidRDefault="00272B77" w:rsidP="00C74E97">
      <w:pPr>
        <w:spacing w:after="480" w:line="360" w:lineRule="auto"/>
        <w:jc w:val="both"/>
        <w:rPr>
          <w:rFonts w:cs="Arial"/>
          <w:bCs/>
          <w:i/>
          <w:iCs/>
          <w:szCs w:val="22"/>
        </w:rPr>
      </w:pPr>
      <w:r w:rsidRPr="009623DA">
        <w:rPr>
          <w:rFonts w:cs="Arial"/>
          <w:bCs/>
          <w:i/>
          <w:iCs/>
          <w:szCs w:val="22"/>
        </w:rPr>
        <w:t xml:space="preserve">Arbitration Act, 42 of 1965 - </w:t>
      </w:r>
      <w:r w:rsidR="008C4AE0" w:rsidRPr="009623DA">
        <w:rPr>
          <w:rFonts w:cs="Arial"/>
          <w:bCs/>
          <w:i/>
          <w:iCs/>
          <w:szCs w:val="22"/>
        </w:rPr>
        <w:t>Review –section 33</w:t>
      </w:r>
      <w:r w:rsidR="004274E7" w:rsidRPr="009623DA">
        <w:rPr>
          <w:rFonts w:cs="Arial"/>
          <w:bCs/>
          <w:i/>
          <w:iCs/>
          <w:szCs w:val="22"/>
        </w:rPr>
        <w:t>(1)(b)</w:t>
      </w:r>
      <w:r w:rsidRPr="009623DA">
        <w:rPr>
          <w:rFonts w:cs="Arial"/>
          <w:bCs/>
          <w:i/>
          <w:iCs/>
          <w:szCs w:val="22"/>
        </w:rPr>
        <w:t xml:space="preserve"> – Setting aside of </w:t>
      </w:r>
      <w:r w:rsidR="004274E7" w:rsidRPr="009623DA">
        <w:rPr>
          <w:rFonts w:cs="Arial"/>
          <w:bCs/>
          <w:i/>
          <w:iCs/>
          <w:szCs w:val="22"/>
        </w:rPr>
        <w:t>award or ruling</w:t>
      </w:r>
    </w:p>
    <w:p w14:paraId="36FBE3D4" w14:textId="6F591EF3" w:rsidR="00537126" w:rsidRPr="009623DA" w:rsidRDefault="00537126" w:rsidP="00537126">
      <w:pPr>
        <w:spacing w:after="480" w:line="360" w:lineRule="auto"/>
        <w:jc w:val="both"/>
        <w:rPr>
          <w:rFonts w:cs="Arial"/>
          <w:bCs/>
          <w:i/>
          <w:iCs/>
          <w:szCs w:val="22"/>
        </w:rPr>
      </w:pPr>
      <w:r w:rsidRPr="009623DA">
        <w:rPr>
          <w:rFonts w:cs="Arial"/>
          <w:bCs/>
          <w:i/>
          <w:iCs/>
          <w:szCs w:val="22"/>
        </w:rPr>
        <w:t xml:space="preserve">Gross irregularity – audi alteram partem principle – </w:t>
      </w:r>
      <w:r w:rsidR="00F322F5" w:rsidRPr="009623DA">
        <w:rPr>
          <w:rFonts w:cs="Arial"/>
          <w:bCs/>
          <w:i/>
          <w:iCs/>
          <w:szCs w:val="22"/>
        </w:rPr>
        <w:t xml:space="preserve">when </w:t>
      </w:r>
      <w:r w:rsidRPr="009623DA">
        <w:rPr>
          <w:rFonts w:cs="Arial"/>
          <w:bCs/>
          <w:i/>
          <w:iCs/>
          <w:szCs w:val="22"/>
        </w:rPr>
        <w:t>party deprived a hearing</w:t>
      </w:r>
    </w:p>
    <w:p w14:paraId="08CDF8CE" w14:textId="50025C14" w:rsidR="00272B77" w:rsidRPr="009623DA" w:rsidRDefault="00272B77" w:rsidP="00C74E97">
      <w:pPr>
        <w:spacing w:after="480" w:line="360" w:lineRule="auto"/>
        <w:jc w:val="both"/>
        <w:rPr>
          <w:rFonts w:cs="Arial"/>
          <w:bCs/>
          <w:i/>
          <w:iCs/>
          <w:szCs w:val="22"/>
        </w:rPr>
      </w:pPr>
      <w:r w:rsidRPr="009623DA">
        <w:rPr>
          <w:rFonts w:cs="Arial"/>
          <w:bCs/>
          <w:i/>
          <w:iCs/>
          <w:szCs w:val="22"/>
        </w:rPr>
        <w:t xml:space="preserve">Arbitration Act - </w:t>
      </w:r>
      <w:r w:rsidRPr="009623DA">
        <w:rPr>
          <w:rFonts w:cs="Arial"/>
          <w:szCs w:val="22"/>
        </w:rPr>
        <w:t>Recusal - Termination or setting aside of appointment of arbitrator</w:t>
      </w:r>
      <w:r w:rsidRPr="009623DA">
        <w:rPr>
          <w:rFonts w:cs="Arial"/>
          <w:bCs/>
          <w:i/>
          <w:iCs/>
          <w:szCs w:val="22"/>
        </w:rPr>
        <w:t xml:space="preserve"> </w:t>
      </w:r>
      <w:r w:rsidR="004F5D23" w:rsidRPr="009623DA">
        <w:rPr>
          <w:rFonts w:cs="Arial"/>
          <w:bCs/>
          <w:i/>
          <w:iCs/>
          <w:szCs w:val="22"/>
        </w:rPr>
        <w:t>– section 13</w:t>
      </w:r>
      <w:r w:rsidR="004274E7" w:rsidRPr="009623DA">
        <w:rPr>
          <w:rFonts w:cs="Arial"/>
          <w:bCs/>
          <w:i/>
          <w:iCs/>
          <w:szCs w:val="22"/>
        </w:rPr>
        <w:t>(2)(a)</w:t>
      </w:r>
    </w:p>
    <w:p w14:paraId="452C028C" w14:textId="338F5C60" w:rsidR="00F80C1E" w:rsidRPr="009623DA" w:rsidRDefault="008C4AE0" w:rsidP="00C74E97">
      <w:pPr>
        <w:spacing w:after="480" w:line="360" w:lineRule="auto"/>
        <w:jc w:val="both"/>
        <w:rPr>
          <w:rFonts w:cs="Arial"/>
          <w:bCs/>
          <w:i/>
          <w:iCs/>
          <w:szCs w:val="22"/>
        </w:rPr>
      </w:pPr>
      <w:r w:rsidRPr="009623DA">
        <w:rPr>
          <w:rFonts w:cs="Arial"/>
          <w:bCs/>
          <w:i/>
          <w:iCs/>
          <w:szCs w:val="22"/>
        </w:rPr>
        <w:t xml:space="preserve">Arbitration Foundation of Southern Africa – </w:t>
      </w:r>
      <w:r w:rsidR="00B61484" w:rsidRPr="009623DA">
        <w:rPr>
          <w:rFonts w:cs="Arial"/>
          <w:bCs/>
          <w:i/>
          <w:iCs/>
          <w:szCs w:val="22"/>
        </w:rPr>
        <w:t>Commercial</w:t>
      </w:r>
      <w:r w:rsidRPr="009623DA">
        <w:rPr>
          <w:rFonts w:cs="Arial"/>
          <w:bCs/>
          <w:i/>
          <w:iCs/>
          <w:szCs w:val="22"/>
        </w:rPr>
        <w:t xml:space="preserve"> Rules</w:t>
      </w:r>
      <w:r w:rsidR="00CF2496" w:rsidRPr="009623DA">
        <w:rPr>
          <w:rFonts w:cs="Arial"/>
          <w:bCs/>
          <w:i/>
          <w:iCs/>
          <w:szCs w:val="22"/>
        </w:rPr>
        <w:t xml:space="preserve"> – </w:t>
      </w:r>
      <w:r w:rsidR="0029605B" w:rsidRPr="009623DA">
        <w:rPr>
          <w:rFonts w:cs="Arial"/>
          <w:bCs/>
          <w:i/>
          <w:iCs/>
          <w:szCs w:val="22"/>
        </w:rPr>
        <w:t>Articles</w:t>
      </w:r>
      <w:r w:rsidR="00CF2496" w:rsidRPr="009623DA">
        <w:rPr>
          <w:rFonts w:cs="Arial"/>
          <w:bCs/>
          <w:i/>
          <w:iCs/>
          <w:szCs w:val="22"/>
        </w:rPr>
        <w:t xml:space="preserve"> 11 and 14</w:t>
      </w:r>
    </w:p>
    <w:p w14:paraId="312E82A6" w14:textId="77777777" w:rsidR="00A444DD" w:rsidRPr="009623DA" w:rsidRDefault="00A444DD" w:rsidP="00C74E97">
      <w:pPr>
        <w:keepNext/>
        <w:spacing w:after="480" w:line="360" w:lineRule="auto"/>
        <w:jc w:val="both"/>
        <w:rPr>
          <w:rFonts w:cs="Arial"/>
          <w:bCs/>
          <w:szCs w:val="22"/>
          <w:u w:val="single"/>
        </w:rPr>
      </w:pPr>
    </w:p>
    <w:p w14:paraId="18AFD427" w14:textId="3EBE9A34" w:rsidR="00BE6AB8" w:rsidRPr="009623DA" w:rsidRDefault="00BE6AB8" w:rsidP="00C74E97">
      <w:pPr>
        <w:keepNext/>
        <w:spacing w:after="480" w:line="360" w:lineRule="auto"/>
        <w:jc w:val="both"/>
        <w:rPr>
          <w:rFonts w:cs="Arial"/>
          <w:bCs/>
          <w:szCs w:val="22"/>
          <w:u w:val="single"/>
        </w:rPr>
      </w:pPr>
      <w:r w:rsidRPr="009623DA">
        <w:rPr>
          <w:rFonts w:cs="Arial"/>
          <w:bCs/>
          <w:szCs w:val="22"/>
          <w:u w:val="single"/>
        </w:rPr>
        <w:t>Order</w:t>
      </w:r>
    </w:p>
    <w:p w14:paraId="25A66E53" w14:textId="2067D525" w:rsidR="00DC6EF8" w:rsidRPr="009623DA" w:rsidRDefault="003C78F7" w:rsidP="003C78F7">
      <w:pPr>
        <w:tabs>
          <w:tab w:val="left" w:pos="567"/>
        </w:tabs>
        <w:spacing w:after="480" w:line="360" w:lineRule="auto"/>
        <w:jc w:val="both"/>
        <w:rPr>
          <w:rFonts w:cs="Arial"/>
          <w:bCs/>
          <w:szCs w:val="22"/>
        </w:rPr>
      </w:pPr>
      <w:r w:rsidRPr="009623DA">
        <w:rPr>
          <w:rFonts w:cs="Arial"/>
          <w:bCs/>
          <w:szCs w:val="22"/>
        </w:rPr>
        <w:t>[1]</w:t>
      </w:r>
      <w:r w:rsidRPr="009623DA">
        <w:rPr>
          <w:rFonts w:cs="Arial"/>
          <w:bCs/>
          <w:szCs w:val="22"/>
        </w:rPr>
        <w:tab/>
      </w:r>
      <w:r w:rsidR="003B4100" w:rsidRPr="009623DA">
        <w:rPr>
          <w:rFonts w:cs="Arial"/>
          <w:bCs/>
          <w:szCs w:val="22"/>
        </w:rPr>
        <w:t xml:space="preserve">In this </w:t>
      </w:r>
      <w:r w:rsidR="00B56906" w:rsidRPr="009623DA">
        <w:rPr>
          <w:rFonts w:cs="Arial"/>
          <w:bCs/>
          <w:szCs w:val="22"/>
        </w:rPr>
        <w:t xml:space="preserve">matter </w:t>
      </w:r>
      <w:r w:rsidR="00C460A0" w:rsidRPr="009623DA">
        <w:rPr>
          <w:rFonts w:cs="Arial"/>
          <w:bCs/>
          <w:szCs w:val="22"/>
        </w:rPr>
        <w:t>I ma</w:t>
      </w:r>
      <w:r w:rsidR="00C1108E" w:rsidRPr="009623DA">
        <w:rPr>
          <w:rFonts w:cs="Arial"/>
          <w:bCs/>
          <w:szCs w:val="22"/>
        </w:rPr>
        <w:t>d</w:t>
      </w:r>
      <w:r w:rsidR="00DC6EF8" w:rsidRPr="009623DA">
        <w:rPr>
          <w:rFonts w:cs="Arial"/>
          <w:bCs/>
          <w:szCs w:val="22"/>
        </w:rPr>
        <w:t>e</w:t>
      </w:r>
      <w:r w:rsidR="00C460A0" w:rsidRPr="009623DA">
        <w:rPr>
          <w:rFonts w:cs="Arial"/>
          <w:bCs/>
          <w:szCs w:val="22"/>
        </w:rPr>
        <w:t xml:space="preserve"> the following order</w:t>
      </w:r>
      <w:r w:rsidR="00F322F5" w:rsidRPr="009623DA">
        <w:rPr>
          <w:rFonts w:cs="Arial"/>
          <w:bCs/>
          <w:szCs w:val="22"/>
        </w:rPr>
        <w:t xml:space="preserve"> on </w:t>
      </w:r>
      <w:r w:rsidR="00E06927" w:rsidRPr="009623DA">
        <w:rPr>
          <w:rFonts w:cs="Arial"/>
          <w:bCs/>
          <w:szCs w:val="22"/>
        </w:rPr>
        <w:t>30</w:t>
      </w:r>
      <w:r w:rsidR="00F322F5" w:rsidRPr="009623DA">
        <w:rPr>
          <w:rFonts w:cs="Arial"/>
          <w:bCs/>
          <w:szCs w:val="22"/>
        </w:rPr>
        <w:t xml:space="preserve"> May 2023</w:t>
      </w:r>
      <w:r w:rsidR="00C460A0" w:rsidRPr="009623DA">
        <w:rPr>
          <w:rFonts w:cs="Arial"/>
          <w:bCs/>
          <w:szCs w:val="22"/>
        </w:rPr>
        <w:t>:</w:t>
      </w:r>
    </w:p>
    <w:p w14:paraId="65B7630C" w14:textId="05BF8BEE" w:rsidR="000264AE" w:rsidRPr="003C78F7" w:rsidRDefault="003C78F7" w:rsidP="003C78F7">
      <w:pPr>
        <w:spacing w:before="120" w:after="120" w:line="360" w:lineRule="auto"/>
        <w:ind w:left="360" w:hanging="360"/>
        <w:rPr>
          <w:rFonts w:cs="Arial"/>
          <w:i/>
          <w:iCs/>
          <w:szCs w:val="22"/>
        </w:rPr>
      </w:pPr>
      <w:r w:rsidRPr="009623DA">
        <w:rPr>
          <w:rFonts w:cs="Arial"/>
          <w:i/>
          <w:iCs/>
          <w:szCs w:val="22"/>
        </w:rPr>
        <w:t>1.</w:t>
      </w:r>
      <w:r w:rsidRPr="009623DA">
        <w:rPr>
          <w:rFonts w:cs="Arial"/>
          <w:i/>
          <w:iCs/>
          <w:szCs w:val="22"/>
        </w:rPr>
        <w:tab/>
      </w:r>
      <w:r w:rsidR="000264AE" w:rsidRPr="003C78F7">
        <w:rPr>
          <w:rFonts w:cs="Arial"/>
          <w:i/>
          <w:iCs/>
          <w:szCs w:val="22"/>
        </w:rPr>
        <w:t>The application is dismissed;</w:t>
      </w:r>
    </w:p>
    <w:p w14:paraId="475FA2D1" w14:textId="402F28E9" w:rsidR="000264AE" w:rsidRPr="003C78F7" w:rsidRDefault="003C78F7" w:rsidP="003C78F7">
      <w:pPr>
        <w:spacing w:before="120" w:after="120" w:line="360" w:lineRule="auto"/>
        <w:ind w:left="360" w:hanging="360"/>
        <w:rPr>
          <w:rFonts w:cs="Arial"/>
          <w:i/>
          <w:iCs/>
          <w:szCs w:val="22"/>
        </w:rPr>
      </w:pPr>
      <w:r w:rsidRPr="009623DA">
        <w:rPr>
          <w:rFonts w:cs="Arial"/>
          <w:i/>
          <w:iCs/>
          <w:szCs w:val="22"/>
        </w:rPr>
        <w:t>2.</w:t>
      </w:r>
      <w:r w:rsidRPr="009623DA">
        <w:rPr>
          <w:rFonts w:cs="Arial"/>
          <w:i/>
          <w:iCs/>
          <w:szCs w:val="22"/>
        </w:rPr>
        <w:tab/>
      </w:r>
      <w:r w:rsidR="004F5D23" w:rsidRPr="003C78F7">
        <w:rPr>
          <w:rFonts w:cs="Arial"/>
          <w:i/>
          <w:iCs/>
          <w:szCs w:val="22"/>
        </w:rPr>
        <w:t>The applicant</w:t>
      </w:r>
      <w:r w:rsidR="000264AE" w:rsidRPr="003C78F7">
        <w:rPr>
          <w:rFonts w:cs="Arial"/>
          <w:i/>
          <w:iCs/>
          <w:szCs w:val="22"/>
        </w:rPr>
        <w:t xml:space="preserve"> is ordered to pay the costs</w:t>
      </w:r>
      <w:r w:rsidR="003C067B" w:rsidRPr="003C78F7">
        <w:rPr>
          <w:rFonts w:cs="Arial"/>
          <w:i/>
          <w:iCs/>
          <w:szCs w:val="22"/>
        </w:rPr>
        <w:t>, including the costs of two counsel where so employed.</w:t>
      </w:r>
    </w:p>
    <w:p w14:paraId="08540072" w14:textId="3133A6AC" w:rsidR="00C9310B" w:rsidRPr="003C78F7" w:rsidRDefault="003C78F7" w:rsidP="003C78F7">
      <w:pPr>
        <w:widowControl w:val="0"/>
        <w:tabs>
          <w:tab w:val="left" w:pos="567"/>
        </w:tabs>
        <w:spacing w:before="480" w:after="480" w:line="360" w:lineRule="auto"/>
        <w:jc w:val="both"/>
        <w:rPr>
          <w:rFonts w:cs="Arial"/>
          <w:bCs/>
          <w:szCs w:val="22"/>
          <w:u w:val="single"/>
        </w:rPr>
      </w:pPr>
      <w:r w:rsidRPr="009623DA">
        <w:rPr>
          <w:rFonts w:cs="Arial"/>
          <w:bCs/>
          <w:szCs w:val="22"/>
        </w:rPr>
        <w:t>[2]</w:t>
      </w:r>
      <w:r w:rsidRPr="009623DA">
        <w:rPr>
          <w:rFonts w:cs="Arial"/>
          <w:bCs/>
          <w:szCs w:val="22"/>
        </w:rPr>
        <w:tab/>
      </w:r>
      <w:r w:rsidR="00573FF9" w:rsidRPr="003C78F7">
        <w:rPr>
          <w:rFonts w:cs="Arial"/>
          <w:bCs/>
          <w:szCs w:val="22"/>
        </w:rPr>
        <w:t xml:space="preserve">The reasons for the order </w:t>
      </w:r>
      <w:r w:rsidR="00A63709" w:rsidRPr="003C78F7">
        <w:rPr>
          <w:rFonts w:cs="Arial"/>
          <w:bCs/>
          <w:szCs w:val="22"/>
        </w:rPr>
        <w:t>follow</w:t>
      </w:r>
      <w:r w:rsidR="00573FF9" w:rsidRPr="003C78F7">
        <w:rPr>
          <w:rFonts w:cs="Arial"/>
          <w:bCs/>
          <w:szCs w:val="22"/>
        </w:rPr>
        <w:t xml:space="preserve"> below.</w:t>
      </w:r>
    </w:p>
    <w:p w14:paraId="037F1A01" w14:textId="77777777" w:rsidR="00A444DD" w:rsidRPr="009623DA" w:rsidRDefault="00A444DD" w:rsidP="00C74E97">
      <w:pPr>
        <w:keepNext/>
        <w:widowControl w:val="0"/>
        <w:spacing w:before="480" w:after="480" w:line="360" w:lineRule="auto"/>
        <w:jc w:val="both"/>
        <w:rPr>
          <w:rFonts w:cs="Arial"/>
          <w:bCs/>
          <w:szCs w:val="22"/>
          <w:u w:val="single"/>
        </w:rPr>
      </w:pPr>
    </w:p>
    <w:p w14:paraId="3658C913" w14:textId="6056F843" w:rsidR="00573FF9" w:rsidRPr="009623DA" w:rsidRDefault="00D9086C" w:rsidP="00C74E97">
      <w:pPr>
        <w:keepNext/>
        <w:widowControl w:val="0"/>
        <w:spacing w:before="480" w:after="480" w:line="360" w:lineRule="auto"/>
        <w:jc w:val="both"/>
        <w:rPr>
          <w:rFonts w:cs="Arial"/>
          <w:bCs/>
          <w:szCs w:val="22"/>
          <w:u w:val="single"/>
        </w:rPr>
      </w:pPr>
      <w:r w:rsidRPr="009623DA">
        <w:rPr>
          <w:rFonts w:cs="Arial"/>
          <w:bCs/>
          <w:szCs w:val="22"/>
          <w:u w:val="single"/>
        </w:rPr>
        <w:t>Introduction</w:t>
      </w:r>
    </w:p>
    <w:p w14:paraId="489A9C4C" w14:textId="0D470303" w:rsidR="00807DC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w:t>
      </w:r>
      <w:r w:rsidRPr="009623DA">
        <w:rPr>
          <w:rFonts w:cs="Arial"/>
          <w:bCs/>
          <w:szCs w:val="22"/>
        </w:rPr>
        <w:tab/>
      </w:r>
      <w:r w:rsidR="004F5D23" w:rsidRPr="009623DA">
        <w:rPr>
          <w:rFonts w:cs="Arial"/>
          <w:bCs/>
          <w:szCs w:val="22"/>
        </w:rPr>
        <w:t>The applicant</w:t>
      </w:r>
      <w:r w:rsidR="00F80C1E" w:rsidRPr="009623DA">
        <w:rPr>
          <w:rFonts w:cs="Arial"/>
          <w:bCs/>
          <w:szCs w:val="22"/>
        </w:rPr>
        <w:t xml:space="preserve"> (“Altech”) and the first respondent (“Aeonova”) are engaged in a domestic arbitration before the second respondent (“the arbitrator”) in terms of the </w:t>
      </w:r>
      <w:r w:rsidR="00BB17D2" w:rsidRPr="009623DA">
        <w:rPr>
          <w:rFonts w:cs="Arial"/>
          <w:bCs/>
          <w:szCs w:val="22"/>
        </w:rPr>
        <w:t xml:space="preserve">Commercial </w:t>
      </w:r>
      <w:r w:rsidR="00F80C1E" w:rsidRPr="009623DA">
        <w:rPr>
          <w:rFonts w:cs="Arial"/>
          <w:bCs/>
          <w:szCs w:val="22"/>
        </w:rPr>
        <w:t>Rules of the Arbitration Foundation of Southern Africa (“AFSA”)</w:t>
      </w:r>
      <w:r w:rsidR="00807DC2" w:rsidRPr="009623DA">
        <w:rPr>
          <w:rFonts w:cs="Arial"/>
          <w:bCs/>
          <w:szCs w:val="22"/>
        </w:rPr>
        <w:t>.</w:t>
      </w:r>
    </w:p>
    <w:p w14:paraId="3D7DC1FC" w14:textId="458B54F5" w:rsidR="003C067B"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w:t>
      </w:r>
      <w:r w:rsidRPr="009623DA">
        <w:rPr>
          <w:rFonts w:cs="Arial"/>
          <w:bCs/>
          <w:szCs w:val="22"/>
        </w:rPr>
        <w:tab/>
      </w:r>
      <w:r w:rsidR="00190F4E" w:rsidRPr="009623DA">
        <w:rPr>
          <w:rFonts w:cs="Arial"/>
          <w:bCs/>
          <w:szCs w:val="22"/>
        </w:rPr>
        <w:t xml:space="preserve">This application was originally intended by </w:t>
      </w:r>
      <w:r w:rsidR="00A33018" w:rsidRPr="009623DA">
        <w:rPr>
          <w:rFonts w:cs="Arial"/>
          <w:bCs/>
          <w:szCs w:val="22"/>
        </w:rPr>
        <w:t>Altech</w:t>
      </w:r>
      <w:r w:rsidR="00190F4E" w:rsidRPr="009623DA">
        <w:rPr>
          <w:rFonts w:cs="Arial"/>
          <w:bCs/>
          <w:szCs w:val="22"/>
        </w:rPr>
        <w:t xml:space="preserve"> to be enrolled for hearing with an earlier application in which </w:t>
      </w:r>
      <w:r w:rsidR="00A33018" w:rsidRPr="009623DA">
        <w:rPr>
          <w:rFonts w:cs="Arial"/>
          <w:bCs/>
          <w:szCs w:val="22"/>
        </w:rPr>
        <w:t>Altech</w:t>
      </w:r>
      <w:r w:rsidR="00190F4E" w:rsidRPr="009623DA">
        <w:rPr>
          <w:rFonts w:cs="Arial"/>
          <w:bCs/>
          <w:szCs w:val="22"/>
        </w:rPr>
        <w:t xml:space="preserve"> sought an order setting aside an award by the arbitrator </w:t>
      </w:r>
      <w:r w:rsidR="00A444DD" w:rsidRPr="009623DA">
        <w:rPr>
          <w:rFonts w:cs="Arial"/>
          <w:bCs/>
          <w:szCs w:val="22"/>
        </w:rPr>
        <w:lastRenderedPageBreak/>
        <w:t xml:space="preserve">handed down </w:t>
      </w:r>
      <w:r w:rsidR="00190F4E" w:rsidRPr="009623DA">
        <w:rPr>
          <w:rFonts w:cs="Arial"/>
          <w:bCs/>
          <w:szCs w:val="22"/>
        </w:rPr>
        <w:t>on 2 December 2023</w:t>
      </w:r>
      <w:r w:rsidR="004F5D23" w:rsidRPr="009623DA">
        <w:rPr>
          <w:rFonts w:cs="Arial"/>
          <w:bCs/>
          <w:szCs w:val="22"/>
        </w:rPr>
        <w:t xml:space="preserve"> on the basis of alleged gross irregularities.</w:t>
      </w:r>
      <w:r w:rsidR="00190F4E" w:rsidRPr="009623DA">
        <w:rPr>
          <w:rFonts w:cs="Arial"/>
          <w:bCs/>
          <w:szCs w:val="22"/>
        </w:rPr>
        <w:t xml:space="preserve"> This did not prove a practical </w:t>
      </w:r>
      <w:r w:rsidR="00A444DD" w:rsidRPr="009623DA">
        <w:rPr>
          <w:rFonts w:cs="Arial"/>
          <w:bCs/>
          <w:szCs w:val="22"/>
        </w:rPr>
        <w:t>proposition</w:t>
      </w:r>
      <w:r w:rsidR="00190F4E" w:rsidRPr="009623DA">
        <w:rPr>
          <w:rFonts w:cs="Arial"/>
          <w:bCs/>
          <w:szCs w:val="22"/>
        </w:rPr>
        <w:t xml:space="preserve"> and the matter was then set down for 26 May 2023</w:t>
      </w:r>
      <w:r w:rsidR="00A444DD" w:rsidRPr="009623DA">
        <w:rPr>
          <w:rFonts w:cs="Arial"/>
          <w:bCs/>
          <w:szCs w:val="22"/>
        </w:rPr>
        <w:t>.</w:t>
      </w:r>
      <w:r w:rsidR="00190F4E" w:rsidRPr="009623DA">
        <w:rPr>
          <w:rFonts w:cs="Arial"/>
          <w:bCs/>
          <w:szCs w:val="22"/>
        </w:rPr>
        <w:t xml:space="preserve"> </w:t>
      </w:r>
      <w:r w:rsidR="00A444DD" w:rsidRPr="009623DA">
        <w:rPr>
          <w:rFonts w:cs="Arial"/>
          <w:bCs/>
          <w:szCs w:val="22"/>
        </w:rPr>
        <w:t>T</w:t>
      </w:r>
      <w:r w:rsidR="00190F4E" w:rsidRPr="009623DA">
        <w:rPr>
          <w:rFonts w:cs="Arial"/>
          <w:bCs/>
          <w:szCs w:val="22"/>
        </w:rPr>
        <w:t>he first review application proceeded on 3 and 4 May 2023 before me. I made an order on 11 May 2023 and published a judgment</w:t>
      </w:r>
      <w:r w:rsidR="00E06927" w:rsidRPr="009623DA">
        <w:rPr>
          <w:rStyle w:val="FootnoteReference"/>
          <w:rFonts w:cs="Arial"/>
          <w:bCs/>
          <w:szCs w:val="22"/>
        </w:rPr>
        <w:footnoteReference w:id="1"/>
      </w:r>
      <w:r w:rsidR="00190F4E" w:rsidRPr="009623DA">
        <w:rPr>
          <w:rFonts w:cs="Arial"/>
          <w:bCs/>
          <w:szCs w:val="22"/>
        </w:rPr>
        <w:t xml:space="preserve"> on CaseLines on 15 May 2023. </w:t>
      </w:r>
    </w:p>
    <w:p w14:paraId="373829BF" w14:textId="1290514B" w:rsidR="00190F4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w:t>
      </w:r>
      <w:r w:rsidRPr="009623DA">
        <w:rPr>
          <w:rFonts w:cs="Arial"/>
          <w:bCs/>
          <w:szCs w:val="22"/>
        </w:rPr>
        <w:tab/>
      </w:r>
      <w:r w:rsidR="000D21E7" w:rsidRPr="009623DA">
        <w:rPr>
          <w:rFonts w:cs="Arial"/>
          <w:bCs/>
          <w:szCs w:val="22"/>
        </w:rPr>
        <w:t xml:space="preserve">In </w:t>
      </w:r>
      <w:r w:rsidR="00A444DD" w:rsidRPr="009623DA">
        <w:rPr>
          <w:rFonts w:cs="Arial"/>
          <w:bCs/>
          <w:szCs w:val="22"/>
        </w:rPr>
        <w:t>this application</w:t>
      </w:r>
      <w:r w:rsidR="000D21E7" w:rsidRPr="009623DA">
        <w:rPr>
          <w:rFonts w:cs="Arial"/>
          <w:bCs/>
          <w:szCs w:val="22"/>
        </w:rPr>
        <w:t>, t</w:t>
      </w:r>
      <w:r w:rsidR="00190F4E" w:rsidRPr="009623DA">
        <w:rPr>
          <w:rFonts w:cs="Arial"/>
          <w:bCs/>
          <w:szCs w:val="22"/>
        </w:rPr>
        <w:t>he notice of motion</w:t>
      </w:r>
      <w:r w:rsidR="004274E7" w:rsidRPr="009623DA">
        <w:rPr>
          <w:rFonts w:cs="Arial"/>
          <w:bCs/>
          <w:szCs w:val="22"/>
        </w:rPr>
        <w:t xml:space="preserve"> dated 5 April 2023</w:t>
      </w:r>
      <w:r w:rsidR="00190F4E" w:rsidRPr="009623DA">
        <w:rPr>
          <w:rFonts w:cs="Arial"/>
          <w:bCs/>
          <w:szCs w:val="22"/>
        </w:rPr>
        <w:t xml:space="preserve"> </w:t>
      </w:r>
      <w:r w:rsidR="000D21E7" w:rsidRPr="009623DA">
        <w:rPr>
          <w:rFonts w:cs="Arial"/>
          <w:bCs/>
          <w:szCs w:val="22"/>
        </w:rPr>
        <w:t>sought</w:t>
      </w:r>
      <w:r w:rsidR="00190F4E" w:rsidRPr="009623DA">
        <w:rPr>
          <w:rFonts w:cs="Arial"/>
          <w:bCs/>
          <w:szCs w:val="22"/>
        </w:rPr>
        <w:t xml:space="preserve"> an order in terms of Rule 6(12) of the Uniform Rules as well as the following substantive orders:</w:t>
      </w:r>
    </w:p>
    <w:p w14:paraId="1152BA5B" w14:textId="0AB31098" w:rsidR="00190F4E"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5.1</w:t>
      </w:r>
      <w:r w:rsidRPr="009623DA">
        <w:rPr>
          <w:rFonts w:cs="Arial"/>
          <w:bCs/>
          <w:szCs w:val="22"/>
        </w:rPr>
        <w:tab/>
      </w:r>
      <w:r w:rsidR="00190F4E" w:rsidRPr="009623DA">
        <w:rPr>
          <w:rFonts w:cs="Arial"/>
          <w:bCs/>
          <w:szCs w:val="22"/>
        </w:rPr>
        <w:t>An order in terms of Section 13(2)(a) of the Arbitration Act, 42 of 1965, that the appointment of the arbitrator be set aside and that he be removed from offi</w:t>
      </w:r>
      <w:r w:rsidR="004274E7" w:rsidRPr="009623DA">
        <w:rPr>
          <w:rFonts w:cs="Arial"/>
          <w:bCs/>
          <w:szCs w:val="22"/>
        </w:rPr>
        <w:t>ce</w:t>
      </w:r>
      <w:r w:rsidR="008E03A3" w:rsidRPr="009623DA">
        <w:rPr>
          <w:rFonts w:cs="Arial"/>
          <w:bCs/>
          <w:szCs w:val="22"/>
        </w:rPr>
        <w:t xml:space="preserve"> o</w:t>
      </w:r>
      <w:bookmarkStart w:id="0" w:name="_GoBack"/>
      <w:bookmarkEnd w:id="0"/>
      <w:r w:rsidR="008E03A3" w:rsidRPr="009623DA">
        <w:rPr>
          <w:rFonts w:cs="Arial"/>
          <w:bCs/>
          <w:szCs w:val="22"/>
        </w:rPr>
        <w:t>n the ground of bias</w:t>
      </w:r>
      <w:r w:rsidR="004274E7" w:rsidRPr="009623DA">
        <w:rPr>
          <w:rFonts w:cs="Arial"/>
          <w:bCs/>
          <w:szCs w:val="22"/>
        </w:rPr>
        <w:t xml:space="preserve">, </w:t>
      </w:r>
      <w:r w:rsidR="00190F4E" w:rsidRPr="009623DA">
        <w:rPr>
          <w:rFonts w:cs="Arial"/>
          <w:bCs/>
          <w:szCs w:val="22"/>
        </w:rPr>
        <w:t xml:space="preserve"> </w:t>
      </w:r>
    </w:p>
    <w:p w14:paraId="4F6E95B5" w14:textId="7F08ABC8" w:rsidR="00190F4E"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5.2</w:t>
      </w:r>
      <w:r w:rsidRPr="009623DA">
        <w:rPr>
          <w:rFonts w:cs="Arial"/>
          <w:bCs/>
          <w:szCs w:val="22"/>
        </w:rPr>
        <w:tab/>
      </w:r>
      <w:r w:rsidR="004274E7" w:rsidRPr="009623DA">
        <w:rPr>
          <w:rFonts w:cs="Arial"/>
          <w:bCs/>
          <w:szCs w:val="22"/>
        </w:rPr>
        <w:t xml:space="preserve">that </w:t>
      </w:r>
      <w:r w:rsidR="00190F4E" w:rsidRPr="009623DA">
        <w:rPr>
          <w:rFonts w:cs="Arial"/>
          <w:bCs/>
          <w:szCs w:val="22"/>
        </w:rPr>
        <w:t>an award made on 9 March 2023 that dealt with recusal of the arbitrator be set aside in terms of Section 33(1)(b) of the Ac</w:t>
      </w:r>
      <w:r w:rsidR="004274E7" w:rsidRPr="009623DA">
        <w:rPr>
          <w:rFonts w:cs="Arial"/>
          <w:bCs/>
          <w:szCs w:val="22"/>
        </w:rPr>
        <w:t>t, and</w:t>
      </w:r>
    </w:p>
    <w:p w14:paraId="163784E1" w14:textId="35E721CE" w:rsidR="004274E7"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5.3</w:t>
      </w:r>
      <w:r w:rsidRPr="009623DA">
        <w:rPr>
          <w:rFonts w:cs="Arial"/>
          <w:bCs/>
          <w:szCs w:val="22"/>
        </w:rPr>
        <w:tab/>
      </w:r>
      <w:r w:rsidR="004274E7" w:rsidRPr="009623DA">
        <w:rPr>
          <w:rFonts w:cs="Arial"/>
          <w:bCs/>
          <w:szCs w:val="22"/>
        </w:rPr>
        <w:t>that the dispute be referred to a new arbitral tribunal in terms of section 33(4) of the Arbitration Act,</w:t>
      </w:r>
    </w:p>
    <w:p w14:paraId="7496FDE9" w14:textId="4F5974EA" w:rsidR="00AD23B3"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5.4</w:t>
      </w:r>
      <w:r w:rsidRPr="009623DA">
        <w:rPr>
          <w:rFonts w:cs="Arial"/>
          <w:bCs/>
          <w:szCs w:val="22"/>
        </w:rPr>
        <w:tab/>
      </w:r>
      <w:r w:rsidR="004274E7" w:rsidRPr="009623DA">
        <w:rPr>
          <w:rFonts w:cs="Arial"/>
          <w:bCs/>
          <w:szCs w:val="22"/>
        </w:rPr>
        <w:t>that the cost of the application be paid by any respondent opposing the relief sought, such costs to include the costs of two counsel.</w:t>
      </w:r>
    </w:p>
    <w:p w14:paraId="52812379" w14:textId="77777777" w:rsidR="00A444DD" w:rsidRPr="009623DA" w:rsidRDefault="00A444DD" w:rsidP="0014628D">
      <w:pPr>
        <w:widowControl w:val="0"/>
        <w:spacing w:before="480" w:after="480" w:line="360" w:lineRule="auto"/>
        <w:jc w:val="both"/>
        <w:rPr>
          <w:rFonts w:cs="Arial"/>
          <w:bCs/>
          <w:szCs w:val="22"/>
          <w:u w:val="single"/>
        </w:rPr>
      </w:pPr>
    </w:p>
    <w:p w14:paraId="3D6CE7D0" w14:textId="2D531664" w:rsidR="0014628D" w:rsidRPr="009623DA" w:rsidRDefault="0014628D" w:rsidP="0014628D">
      <w:pPr>
        <w:widowControl w:val="0"/>
        <w:spacing w:before="480" w:after="480" w:line="360" w:lineRule="auto"/>
        <w:jc w:val="both"/>
        <w:rPr>
          <w:rFonts w:cs="Arial"/>
          <w:bCs/>
          <w:szCs w:val="22"/>
          <w:u w:val="single"/>
        </w:rPr>
      </w:pPr>
      <w:r w:rsidRPr="009623DA">
        <w:rPr>
          <w:rFonts w:cs="Arial"/>
          <w:bCs/>
          <w:szCs w:val="22"/>
          <w:u w:val="single"/>
        </w:rPr>
        <w:t>Section 33(1)(b) of the Arbitration Act</w:t>
      </w:r>
      <w:r w:rsidR="00A444DD" w:rsidRPr="009623DA">
        <w:rPr>
          <w:rStyle w:val="FootnoteReference"/>
          <w:rFonts w:cs="Arial"/>
          <w:bCs/>
          <w:szCs w:val="22"/>
          <w:u w:val="single"/>
        </w:rPr>
        <w:footnoteReference w:id="2"/>
      </w:r>
    </w:p>
    <w:p w14:paraId="6C986D55" w14:textId="5D31821D" w:rsidR="0014628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w:t>
      </w:r>
      <w:r w:rsidRPr="009623DA">
        <w:rPr>
          <w:rFonts w:cs="Arial"/>
          <w:bCs/>
          <w:szCs w:val="22"/>
        </w:rPr>
        <w:tab/>
      </w:r>
      <w:r w:rsidR="0014628D" w:rsidRPr="009623DA">
        <w:rPr>
          <w:rFonts w:cs="Arial"/>
          <w:bCs/>
          <w:szCs w:val="22"/>
        </w:rPr>
        <w:t>In</w:t>
      </w:r>
      <w:r w:rsidR="0014628D" w:rsidRPr="009623DA">
        <w:rPr>
          <w:rFonts w:cs="Arial"/>
          <w:i/>
          <w:iCs/>
          <w:szCs w:val="22"/>
        </w:rPr>
        <w:t xml:space="preserve"> Lufuno Mphaphuli &amp; Associates (Pty) Ltd v Andrews and Another</w:t>
      </w:r>
      <w:r w:rsidR="0014628D" w:rsidRPr="009623DA">
        <w:rPr>
          <w:rStyle w:val="FootnoteReference"/>
          <w:rFonts w:cs="Arial"/>
          <w:i/>
          <w:iCs/>
          <w:szCs w:val="22"/>
        </w:rPr>
        <w:footnoteReference w:id="3"/>
      </w:r>
      <w:r w:rsidR="0014628D" w:rsidRPr="009623DA">
        <w:rPr>
          <w:rFonts w:cs="Arial"/>
          <w:bCs/>
          <w:szCs w:val="22"/>
        </w:rPr>
        <w:t>, O’Regan ADCJ said the following in with reference to section 33(1):</w:t>
      </w:r>
    </w:p>
    <w:p w14:paraId="3791087B" w14:textId="3F3AC933" w:rsidR="0014628D" w:rsidRPr="009623DA" w:rsidRDefault="0014628D" w:rsidP="0014628D">
      <w:pPr>
        <w:widowControl w:val="0"/>
        <w:spacing w:before="480" w:after="480" w:line="360" w:lineRule="auto"/>
        <w:ind w:left="1440"/>
        <w:jc w:val="both"/>
        <w:rPr>
          <w:rFonts w:cs="Arial"/>
          <w:bCs/>
          <w:szCs w:val="22"/>
        </w:rPr>
      </w:pPr>
      <w:r w:rsidRPr="009623DA">
        <w:rPr>
          <w:rFonts w:cs="Arial"/>
          <w:i/>
          <w:iCs/>
          <w:szCs w:val="22"/>
        </w:rPr>
        <w:t xml:space="preserve">“The international conventions make clear that the manner of proceeding in arbitration is to be determined by agreement between the parties and, </w:t>
      </w:r>
      <w:r w:rsidRPr="009623DA">
        <w:rPr>
          <w:rFonts w:cs="Arial"/>
          <w:i/>
          <w:iCs/>
          <w:szCs w:val="22"/>
        </w:rPr>
        <w:lastRenderedPageBreak/>
        <w:t>in default of that, by the arbitrator…. Courts should be respectful of the intentions of the parties in relation to procedure. In so doing, they should bear in mind the purposes of private arbitration which include the fast and cost-effective resolution of disputes. If courts are too quick to find fault with the manner in which an arbitration has been conducted, and too willing to conclude that the faulty procedure is unfair or constitutes a gross irregularity within the meaning of s 33(1), the goals of private arbitration may well be defeated.”</w:t>
      </w:r>
    </w:p>
    <w:p w14:paraId="1A30CABD" w14:textId="2B68592B" w:rsidR="0014628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w:t>
      </w:r>
      <w:r w:rsidRPr="009623DA">
        <w:rPr>
          <w:rFonts w:cs="Arial"/>
          <w:bCs/>
          <w:szCs w:val="22"/>
        </w:rPr>
        <w:tab/>
      </w:r>
      <w:r w:rsidR="0014628D" w:rsidRPr="009623DA">
        <w:rPr>
          <w:rFonts w:cs="Arial"/>
          <w:bCs/>
          <w:szCs w:val="22"/>
        </w:rPr>
        <w:t>These sentiments are equally applicable to section 13(2) of the Act.</w:t>
      </w:r>
      <w:r w:rsidR="0014628D" w:rsidRPr="009623DA">
        <w:rPr>
          <w:rStyle w:val="FootnoteReference"/>
          <w:rFonts w:cs="Arial"/>
          <w:bCs/>
          <w:szCs w:val="22"/>
        </w:rPr>
        <w:footnoteReference w:id="4"/>
      </w:r>
    </w:p>
    <w:p w14:paraId="641C50C2" w14:textId="77777777" w:rsidR="00A444DD" w:rsidRPr="009623DA" w:rsidRDefault="00A444DD" w:rsidP="00AD23B3">
      <w:pPr>
        <w:widowControl w:val="0"/>
        <w:spacing w:before="480" w:after="480" w:line="360" w:lineRule="auto"/>
        <w:jc w:val="both"/>
        <w:rPr>
          <w:rFonts w:cs="Arial"/>
          <w:bCs/>
          <w:szCs w:val="22"/>
          <w:u w:val="single"/>
        </w:rPr>
      </w:pPr>
    </w:p>
    <w:p w14:paraId="5F59358F" w14:textId="7A8BE6A5" w:rsidR="00AD23B3" w:rsidRPr="009623DA" w:rsidRDefault="00AD23B3" w:rsidP="00AD23B3">
      <w:pPr>
        <w:widowControl w:val="0"/>
        <w:spacing w:before="480" w:after="480" w:line="360" w:lineRule="auto"/>
        <w:jc w:val="both"/>
        <w:rPr>
          <w:rFonts w:cs="Arial"/>
          <w:bCs/>
          <w:szCs w:val="22"/>
          <w:u w:val="single"/>
        </w:rPr>
      </w:pPr>
      <w:r w:rsidRPr="009623DA">
        <w:rPr>
          <w:rFonts w:cs="Arial"/>
          <w:bCs/>
          <w:szCs w:val="22"/>
          <w:u w:val="single"/>
        </w:rPr>
        <w:t>Section 13(2) of the Arbitration Act</w:t>
      </w:r>
    </w:p>
    <w:p w14:paraId="7439E76D" w14:textId="20D1CB13" w:rsidR="00085288" w:rsidRPr="009623DA" w:rsidRDefault="003C78F7" w:rsidP="003C78F7">
      <w:pPr>
        <w:widowControl w:val="0"/>
        <w:tabs>
          <w:tab w:val="left" w:pos="567"/>
        </w:tabs>
        <w:spacing w:before="480" w:after="480" w:line="360" w:lineRule="auto"/>
        <w:jc w:val="both"/>
        <w:rPr>
          <w:rFonts w:cs="Arial"/>
          <w:szCs w:val="22"/>
          <w:lang w:eastAsia="en-ZA"/>
        </w:rPr>
      </w:pPr>
      <w:r w:rsidRPr="009623DA">
        <w:rPr>
          <w:rFonts w:cs="Arial"/>
          <w:szCs w:val="22"/>
          <w:lang w:eastAsia="en-ZA"/>
        </w:rPr>
        <w:t>[8]</w:t>
      </w:r>
      <w:r w:rsidRPr="009623DA">
        <w:rPr>
          <w:rFonts w:cs="Arial"/>
          <w:szCs w:val="22"/>
          <w:lang w:eastAsia="en-ZA"/>
        </w:rPr>
        <w:tab/>
      </w:r>
      <w:r w:rsidR="00AD23B3" w:rsidRPr="009623DA">
        <w:rPr>
          <w:rFonts w:cs="Arial"/>
          <w:bCs/>
          <w:szCs w:val="22"/>
        </w:rPr>
        <w:t xml:space="preserve">Section 13(2) of the Act </w:t>
      </w:r>
      <w:r w:rsidR="00085288" w:rsidRPr="009623DA">
        <w:rPr>
          <w:rFonts w:cs="Arial"/>
          <w:bCs/>
          <w:szCs w:val="22"/>
        </w:rPr>
        <w:t>reads as follows:</w:t>
      </w:r>
    </w:p>
    <w:p w14:paraId="0D7C57DD" w14:textId="24C38920" w:rsidR="00085288" w:rsidRPr="009623DA" w:rsidRDefault="00085288" w:rsidP="00085288">
      <w:pPr>
        <w:widowControl w:val="0"/>
        <w:spacing w:before="480" w:after="480" w:line="360" w:lineRule="auto"/>
        <w:ind w:left="1440"/>
        <w:jc w:val="both"/>
        <w:rPr>
          <w:rFonts w:cs="Arial"/>
          <w:i/>
          <w:iCs/>
          <w:szCs w:val="22"/>
          <w:lang w:eastAsia="en-ZA"/>
        </w:rPr>
      </w:pPr>
      <w:r w:rsidRPr="009623DA">
        <w:rPr>
          <w:rFonts w:cs="Arial"/>
          <w:i/>
          <w:iCs/>
          <w:szCs w:val="22"/>
          <w:lang w:eastAsia="en-ZA"/>
        </w:rPr>
        <w:t>“13 (2) (a) The court may at any time on the application of any party to the reference, on good cause shown, set aside the appointment of an arbitrator or umpire or remove him from office.</w:t>
      </w:r>
    </w:p>
    <w:p w14:paraId="7AF7468B" w14:textId="7276A271" w:rsidR="00085288" w:rsidRPr="009623DA" w:rsidRDefault="00085288" w:rsidP="00085288">
      <w:pPr>
        <w:widowControl w:val="0"/>
        <w:spacing w:before="480" w:after="480" w:line="360" w:lineRule="auto"/>
        <w:ind w:left="1440"/>
        <w:jc w:val="both"/>
        <w:rPr>
          <w:rFonts w:cs="Arial"/>
          <w:i/>
          <w:iCs/>
          <w:szCs w:val="22"/>
          <w:lang w:eastAsia="en-ZA"/>
        </w:rPr>
      </w:pPr>
      <w:r w:rsidRPr="009623DA">
        <w:rPr>
          <w:rFonts w:cs="Arial"/>
          <w:i/>
          <w:iCs/>
          <w:szCs w:val="22"/>
          <w:lang w:eastAsia="en-ZA"/>
        </w:rPr>
        <w:t>(b) For the purposes of this subsection, the expression 'good cause', includes failure on the part of the arbitrator or umpire to use all reasonable dispatch in entering on and proceeding with the reference and making an award or, in a case where two arbitrators are unable to agree, in giving notice of that fact to the parties or to the umpire.”</w:t>
      </w:r>
    </w:p>
    <w:p w14:paraId="6B450F65" w14:textId="6E968DFB" w:rsidR="004274E7"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[9]</w:t>
      </w:r>
      <w:r w:rsidRPr="009623DA">
        <w:rPr>
          <w:rFonts w:cs="Arial"/>
          <w:bCs/>
          <w:szCs w:val="22"/>
        </w:rPr>
        <w:tab/>
      </w:r>
      <w:r w:rsidR="00085288" w:rsidRPr="009623DA">
        <w:rPr>
          <w:rFonts w:cs="Arial"/>
          <w:bCs/>
          <w:szCs w:val="22"/>
        </w:rPr>
        <w:t xml:space="preserve">The phrase </w:t>
      </w:r>
      <w:r w:rsidR="00085288" w:rsidRPr="009623DA">
        <w:rPr>
          <w:rFonts w:cs="Arial"/>
          <w:bCs/>
          <w:i/>
          <w:iCs/>
          <w:szCs w:val="22"/>
        </w:rPr>
        <w:t>“good cause”</w:t>
      </w:r>
      <w:r w:rsidR="00085288" w:rsidRPr="009623DA">
        <w:rPr>
          <w:rFonts w:cs="Arial"/>
          <w:bCs/>
          <w:szCs w:val="22"/>
        </w:rPr>
        <w:t xml:space="preserve"> is not defined in the </w:t>
      </w:r>
      <w:r w:rsidR="00A444DD" w:rsidRPr="009623DA">
        <w:rPr>
          <w:rFonts w:cs="Arial"/>
          <w:bCs/>
          <w:szCs w:val="22"/>
        </w:rPr>
        <w:t>A</w:t>
      </w:r>
      <w:r w:rsidR="00085288" w:rsidRPr="009623DA">
        <w:rPr>
          <w:rFonts w:cs="Arial"/>
          <w:bCs/>
          <w:szCs w:val="22"/>
        </w:rPr>
        <w:t>ct but it is common cause that bias, or lack of impartiality, is a ground for setting aside the appointment</w:t>
      </w:r>
      <w:r w:rsidR="00AD23B3" w:rsidRPr="009623DA">
        <w:rPr>
          <w:rFonts w:cs="Arial"/>
          <w:bCs/>
          <w:szCs w:val="22"/>
        </w:rPr>
        <w:t>.</w:t>
      </w:r>
      <w:r w:rsidR="00085288" w:rsidRPr="009623DA">
        <w:rPr>
          <w:rStyle w:val="FootnoteReference"/>
          <w:rFonts w:cs="Arial"/>
          <w:bCs/>
          <w:szCs w:val="22"/>
        </w:rPr>
        <w:footnoteReference w:id="5"/>
      </w:r>
      <w:r w:rsidR="00306B41" w:rsidRPr="009623DA">
        <w:rPr>
          <w:rFonts w:cs="Arial"/>
          <w:bCs/>
          <w:szCs w:val="22"/>
        </w:rPr>
        <w:t xml:space="preserve"> The Court is vested with a discretionary power to be exercised with great care.</w:t>
      </w:r>
      <w:r w:rsidR="00306B41" w:rsidRPr="009623DA">
        <w:rPr>
          <w:rStyle w:val="FootnoteReference"/>
          <w:rFonts w:cs="Arial"/>
          <w:bCs/>
          <w:szCs w:val="22"/>
        </w:rPr>
        <w:footnoteReference w:id="6"/>
      </w:r>
    </w:p>
    <w:p w14:paraId="1EB155BC" w14:textId="61F0D133" w:rsidR="005C1E41"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lastRenderedPageBreak/>
        <w:t>[10]</w:t>
      </w:r>
      <w:r w:rsidRPr="009623DA">
        <w:rPr>
          <w:rFonts w:cs="Arial"/>
          <w:bCs/>
          <w:szCs w:val="22"/>
        </w:rPr>
        <w:tab/>
      </w:r>
      <w:r w:rsidR="00AB0DD9" w:rsidRPr="009623DA">
        <w:rPr>
          <w:rFonts w:cs="Arial"/>
          <w:bCs/>
          <w:szCs w:val="22"/>
        </w:rPr>
        <w:t>Butler quotes Mustill &amp; Boyd</w:t>
      </w:r>
      <w:r w:rsidR="00AB0DD9" w:rsidRPr="009623DA">
        <w:rPr>
          <w:rStyle w:val="FootnoteReference"/>
          <w:rFonts w:cs="Arial"/>
          <w:bCs/>
          <w:szCs w:val="22"/>
        </w:rPr>
        <w:footnoteReference w:id="7"/>
      </w:r>
      <w:r w:rsidR="00AB0DD9" w:rsidRPr="009623DA">
        <w:rPr>
          <w:rFonts w:cs="Arial"/>
          <w:bCs/>
          <w:szCs w:val="22"/>
        </w:rPr>
        <w:t xml:space="preserve"> with approval</w:t>
      </w:r>
      <w:r w:rsidR="005C1E41" w:rsidRPr="009623DA">
        <w:rPr>
          <w:rFonts w:cs="Arial"/>
          <w:bCs/>
          <w:szCs w:val="22"/>
        </w:rPr>
        <w:t>:</w:t>
      </w:r>
    </w:p>
    <w:p w14:paraId="02810979" w14:textId="147B19AF" w:rsidR="005C1E41" w:rsidRPr="009623DA" w:rsidRDefault="005C1E41" w:rsidP="005C1E41">
      <w:pPr>
        <w:widowControl w:val="0"/>
        <w:spacing w:before="480" w:after="480" w:line="360" w:lineRule="auto"/>
        <w:ind w:left="1440"/>
        <w:jc w:val="both"/>
        <w:rPr>
          <w:rFonts w:cs="Arial"/>
          <w:bCs/>
          <w:i/>
          <w:iCs/>
          <w:szCs w:val="22"/>
        </w:rPr>
      </w:pPr>
      <w:r w:rsidRPr="009623DA">
        <w:rPr>
          <w:rFonts w:cs="Arial"/>
          <w:bCs/>
          <w:i/>
          <w:iCs/>
          <w:szCs w:val="22"/>
        </w:rPr>
        <w:t>“The fact that the Court is given a wide power to remove the arbitrator in cases of misconduct does not mean that the power will be freely exercised. The arbitrator may commit errors – even serious errors – in the course of the reference, and yet remain perfectly able to carry the arbitration to a successful conclusion once his mistakes have been pointed out. Justice requires that in such a case the arbitrator should be left in office, rather than that the parties should suffer the delay and expense of beginning the arbitration afresh. The remedy is therefore likely to be confined to those cases</w:t>
      </w:r>
      <w:r w:rsidR="00AB0DD9" w:rsidRPr="009623DA">
        <w:rPr>
          <w:rFonts w:cs="Arial"/>
          <w:bCs/>
          <w:i/>
          <w:iCs/>
          <w:szCs w:val="22"/>
        </w:rPr>
        <w:t xml:space="preserve"> where the arbitration simply cannot be allowed to continue with the particular arbitrator in office – either because he has shown actual or potential bias or because his conduct has given serious grounds for destroying the confidence of one or both parties in his ability to conduct the dispute judicially or competently.</w:t>
      </w:r>
      <w:r w:rsidRPr="009623DA">
        <w:rPr>
          <w:rFonts w:cs="Arial"/>
          <w:bCs/>
          <w:i/>
          <w:iCs/>
          <w:szCs w:val="22"/>
        </w:rPr>
        <w:t>”</w:t>
      </w:r>
    </w:p>
    <w:p w14:paraId="58B1C71A" w14:textId="77777777" w:rsidR="00A444DD" w:rsidRPr="009623DA" w:rsidRDefault="00A444DD" w:rsidP="000F430D">
      <w:pPr>
        <w:widowControl w:val="0"/>
        <w:spacing w:before="480" w:after="480" w:line="360" w:lineRule="auto"/>
        <w:jc w:val="both"/>
        <w:rPr>
          <w:rFonts w:cs="Arial"/>
          <w:bCs/>
          <w:szCs w:val="22"/>
          <w:u w:val="single"/>
        </w:rPr>
      </w:pPr>
    </w:p>
    <w:p w14:paraId="50BA7A28" w14:textId="21107572" w:rsidR="000F430D" w:rsidRPr="009623DA" w:rsidRDefault="000F430D" w:rsidP="000F430D">
      <w:pPr>
        <w:widowControl w:val="0"/>
        <w:spacing w:before="480" w:after="480" w:line="360" w:lineRule="auto"/>
        <w:jc w:val="both"/>
        <w:rPr>
          <w:rFonts w:cs="Arial"/>
          <w:bCs/>
          <w:szCs w:val="22"/>
          <w:u w:val="single"/>
        </w:rPr>
      </w:pPr>
      <w:r w:rsidRPr="009623DA">
        <w:rPr>
          <w:rFonts w:cs="Arial"/>
          <w:bCs/>
          <w:szCs w:val="22"/>
          <w:u w:val="single"/>
        </w:rPr>
        <w:t xml:space="preserve">The reason for the bias that is </w:t>
      </w:r>
      <w:r w:rsidR="003B1882" w:rsidRPr="009623DA">
        <w:rPr>
          <w:rFonts w:cs="Arial"/>
          <w:bCs/>
          <w:szCs w:val="22"/>
          <w:u w:val="single"/>
        </w:rPr>
        <w:t>alleged.</w:t>
      </w:r>
    </w:p>
    <w:p w14:paraId="40F68FC2" w14:textId="4F1E8C15" w:rsidR="00F41B6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[11]</w:t>
      </w:r>
      <w:r w:rsidRPr="009623DA">
        <w:rPr>
          <w:rFonts w:cs="Arial"/>
          <w:bCs/>
          <w:szCs w:val="22"/>
        </w:rPr>
        <w:tab/>
      </w:r>
      <w:r w:rsidR="00BB3264" w:rsidRPr="009623DA">
        <w:rPr>
          <w:rFonts w:cs="Arial"/>
          <w:bCs/>
          <w:szCs w:val="22"/>
        </w:rPr>
        <w:t>Altech</w:t>
      </w:r>
      <w:r w:rsidR="00484163" w:rsidRPr="009623DA">
        <w:rPr>
          <w:rFonts w:cs="Arial"/>
          <w:bCs/>
          <w:szCs w:val="22"/>
        </w:rPr>
        <w:t xml:space="preserve"> speculates</w:t>
      </w:r>
      <w:r w:rsidR="00BB3264" w:rsidRPr="009623DA">
        <w:rPr>
          <w:rFonts w:cs="Arial"/>
          <w:bCs/>
          <w:szCs w:val="22"/>
        </w:rPr>
        <w:t xml:space="preserve"> that the reason for the arbitrator’s bias was that he was </w:t>
      </w:r>
      <w:r w:rsidR="00BB3264" w:rsidRPr="009623DA">
        <w:rPr>
          <w:rFonts w:cs="Arial"/>
          <w:bCs/>
          <w:i/>
          <w:iCs/>
          <w:szCs w:val="22"/>
        </w:rPr>
        <w:t>“injured by the fact of the recusal application.”</w:t>
      </w:r>
      <w:r w:rsidR="00BB3264" w:rsidRPr="009623DA">
        <w:rPr>
          <w:rStyle w:val="FootnoteReference"/>
          <w:rFonts w:cs="Arial"/>
          <w:bCs/>
          <w:szCs w:val="22"/>
        </w:rPr>
        <w:footnoteReference w:id="8"/>
      </w:r>
      <w:r w:rsidR="00BB3264" w:rsidRPr="009623DA">
        <w:rPr>
          <w:rFonts w:cs="Arial"/>
          <w:bCs/>
          <w:szCs w:val="22"/>
        </w:rPr>
        <w:t xml:space="preserve"> </w:t>
      </w:r>
      <w:r w:rsidR="00484163" w:rsidRPr="009623DA">
        <w:rPr>
          <w:rFonts w:cs="Arial"/>
          <w:bCs/>
          <w:szCs w:val="22"/>
        </w:rPr>
        <w:t>In heads of argument, Altech’s counsel states that it was the arbitrator’s conduct following the review proceedings that gave Altech cause for concern.</w:t>
      </w:r>
    </w:p>
    <w:p w14:paraId="12324895" w14:textId="05B6C134" w:rsidR="00F41B6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[12]</w:t>
      </w:r>
      <w:r w:rsidRPr="009623DA">
        <w:rPr>
          <w:rFonts w:cs="Arial"/>
          <w:bCs/>
          <w:szCs w:val="22"/>
        </w:rPr>
        <w:tab/>
      </w:r>
      <w:r w:rsidR="00F41B64" w:rsidRPr="009623DA">
        <w:rPr>
          <w:rFonts w:cs="Arial"/>
          <w:bCs/>
          <w:szCs w:val="22"/>
        </w:rPr>
        <w:t xml:space="preserve">This is a form of what was labelled as </w:t>
      </w:r>
      <w:r w:rsidR="00895BE0" w:rsidRPr="009623DA">
        <w:rPr>
          <w:rFonts w:cs="Arial"/>
          <w:bCs/>
          <w:i/>
          <w:iCs/>
          <w:szCs w:val="22"/>
        </w:rPr>
        <w:t>“</w:t>
      </w:r>
      <w:r w:rsidR="00F41B64" w:rsidRPr="009623DA">
        <w:rPr>
          <w:rFonts w:cs="Arial"/>
          <w:bCs/>
          <w:i/>
          <w:iCs/>
          <w:szCs w:val="22"/>
        </w:rPr>
        <w:t>reactive bias</w:t>
      </w:r>
      <w:r w:rsidR="00895BE0" w:rsidRPr="009623DA">
        <w:rPr>
          <w:rFonts w:cs="Arial"/>
          <w:bCs/>
          <w:i/>
          <w:iCs/>
          <w:szCs w:val="22"/>
        </w:rPr>
        <w:t>”</w:t>
      </w:r>
      <w:r w:rsidR="00F41B64" w:rsidRPr="009623DA">
        <w:rPr>
          <w:rFonts w:cs="Arial"/>
          <w:bCs/>
          <w:szCs w:val="22"/>
        </w:rPr>
        <w:t xml:space="preserve"> in </w:t>
      </w:r>
      <w:r w:rsidR="00F41B64" w:rsidRPr="009623DA">
        <w:rPr>
          <w:rFonts w:cs="Arial"/>
          <w:i/>
          <w:iCs/>
          <w:szCs w:val="22"/>
        </w:rPr>
        <w:t>Turnbull-Jackson v Hibiscus Coast Municipality and Others:</w:t>
      </w:r>
      <w:r w:rsidR="00F41B64" w:rsidRPr="009623DA">
        <w:rPr>
          <w:rStyle w:val="FootnoteReference"/>
          <w:rFonts w:cs="Arial"/>
          <w:i/>
          <w:iCs/>
          <w:szCs w:val="22"/>
        </w:rPr>
        <w:footnoteReference w:id="9"/>
      </w:r>
      <w:r w:rsidR="00F41B64" w:rsidRPr="009623DA">
        <w:rPr>
          <w:rFonts w:cs="Arial"/>
          <w:i/>
          <w:iCs/>
          <w:szCs w:val="22"/>
        </w:rPr>
        <w:t xml:space="preserve"> </w:t>
      </w:r>
      <w:r w:rsidR="00F41B64" w:rsidRPr="009623DA">
        <w:rPr>
          <w:rFonts w:cs="Arial"/>
          <w:szCs w:val="22"/>
        </w:rPr>
        <w:t>The facts of th</w:t>
      </w:r>
      <w:r w:rsidR="00895BE0" w:rsidRPr="009623DA">
        <w:rPr>
          <w:rFonts w:cs="Arial"/>
          <w:szCs w:val="22"/>
        </w:rPr>
        <w:t>at decision</w:t>
      </w:r>
      <w:r w:rsidR="00F41B64" w:rsidRPr="009623DA">
        <w:rPr>
          <w:rFonts w:cs="Arial"/>
          <w:szCs w:val="22"/>
        </w:rPr>
        <w:t xml:space="preserve"> </w:t>
      </w:r>
      <w:r w:rsidR="00895BE0" w:rsidRPr="009623DA">
        <w:rPr>
          <w:rFonts w:cs="Arial"/>
          <w:szCs w:val="22"/>
        </w:rPr>
        <w:t>we</w:t>
      </w:r>
      <w:r w:rsidR="00F41B64" w:rsidRPr="009623DA">
        <w:rPr>
          <w:rFonts w:cs="Arial"/>
          <w:szCs w:val="22"/>
        </w:rPr>
        <w:t xml:space="preserve">re very different, as it seems that the party alleging bias set out </w:t>
      </w:r>
      <w:r w:rsidR="00895BE0" w:rsidRPr="009623DA">
        <w:rPr>
          <w:rFonts w:cs="Arial"/>
          <w:szCs w:val="22"/>
        </w:rPr>
        <w:t xml:space="preserve">intentionally </w:t>
      </w:r>
      <w:r w:rsidR="00F41B64" w:rsidRPr="009623DA">
        <w:rPr>
          <w:rFonts w:cs="Arial"/>
          <w:szCs w:val="22"/>
        </w:rPr>
        <w:t xml:space="preserve">to provoke the decision maker in order to </w:t>
      </w:r>
      <w:r w:rsidR="00A444DD" w:rsidRPr="009623DA">
        <w:rPr>
          <w:rFonts w:cs="Arial"/>
          <w:szCs w:val="22"/>
        </w:rPr>
        <w:t xml:space="preserve">be able to </w:t>
      </w:r>
      <w:r w:rsidR="00F41B64" w:rsidRPr="009623DA">
        <w:rPr>
          <w:rFonts w:cs="Arial"/>
          <w:szCs w:val="22"/>
        </w:rPr>
        <w:t>rely on bi</w:t>
      </w:r>
      <w:r w:rsidR="000F430D" w:rsidRPr="009623DA">
        <w:rPr>
          <w:rFonts w:cs="Arial"/>
          <w:szCs w:val="22"/>
        </w:rPr>
        <w:t>a</w:t>
      </w:r>
      <w:r w:rsidR="00F41B64" w:rsidRPr="009623DA">
        <w:rPr>
          <w:rFonts w:cs="Arial"/>
          <w:szCs w:val="22"/>
        </w:rPr>
        <w:t>s</w:t>
      </w:r>
      <w:r w:rsidR="00895BE0" w:rsidRPr="009623DA">
        <w:rPr>
          <w:rFonts w:cs="Arial"/>
          <w:szCs w:val="22"/>
        </w:rPr>
        <w:t xml:space="preserve">. That is not </w:t>
      </w:r>
      <w:r w:rsidR="00E73E65" w:rsidRPr="009623DA">
        <w:rPr>
          <w:rFonts w:cs="Arial"/>
          <w:szCs w:val="22"/>
        </w:rPr>
        <w:t xml:space="preserve">the </w:t>
      </w:r>
      <w:r w:rsidR="00A444DD" w:rsidRPr="009623DA">
        <w:rPr>
          <w:rFonts w:cs="Arial"/>
          <w:szCs w:val="22"/>
        </w:rPr>
        <w:t>case here</w:t>
      </w:r>
      <w:r w:rsidR="00F41B64" w:rsidRPr="009623DA">
        <w:rPr>
          <w:rFonts w:cs="Arial"/>
          <w:szCs w:val="22"/>
        </w:rPr>
        <w:t xml:space="preserve">; the similarity lies in the fact that the bias is alleged to have been </w:t>
      </w:r>
      <w:r w:rsidR="000F430D" w:rsidRPr="009623DA">
        <w:rPr>
          <w:rFonts w:cs="Arial"/>
          <w:szCs w:val="22"/>
        </w:rPr>
        <w:t xml:space="preserve">arisen during the course of the arbitration and that the conduct of a party (however </w:t>
      </w:r>
      <w:r w:rsidR="00A444DD" w:rsidRPr="009623DA">
        <w:rPr>
          <w:rFonts w:cs="Arial"/>
          <w:szCs w:val="22"/>
        </w:rPr>
        <w:t xml:space="preserve">justified or </w:t>
      </w:r>
      <w:r w:rsidR="000F430D" w:rsidRPr="009623DA">
        <w:rPr>
          <w:rFonts w:cs="Arial"/>
          <w:szCs w:val="22"/>
        </w:rPr>
        <w:t>innocent it might be) caused the arbitrator to be biased</w:t>
      </w:r>
      <w:r w:rsidR="00F41B64" w:rsidRPr="009623DA">
        <w:rPr>
          <w:rFonts w:cs="Arial"/>
          <w:szCs w:val="22"/>
        </w:rPr>
        <w:t>.</w:t>
      </w:r>
    </w:p>
    <w:p w14:paraId="2B515129" w14:textId="60A06E5D" w:rsidR="00BB326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lastRenderedPageBreak/>
        <w:t>[13]</w:t>
      </w:r>
      <w:r w:rsidRPr="009623DA">
        <w:rPr>
          <w:rFonts w:cs="Arial"/>
          <w:bCs/>
          <w:szCs w:val="22"/>
        </w:rPr>
        <w:tab/>
      </w:r>
      <w:r w:rsidR="00C53DFA" w:rsidRPr="009623DA">
        <w:rPr>
          <w:rFonts w:cs="Arial"/>
          <w:bCs/>
          <w:szCs w:val="22"/>
        </w:rPr>
        <w:t>It may of course be that a particular arbitrator takes umbrage at being taken on review or having to deal with a recusal application, but I am also mindful of the fact that the arbitrator in this case is a</w:t>
      </w:r>
      <w:r w:rsidR="00F81639" w:rsidRPr="009623DA">
        <w:rPr>
          <w:rFonts w:cs="Arial"/>
          <w:bCs/>
          <w:szCs w:val="22"/>
        </w:rPr>
        <w:t xml:space="preserve"> very experienced</w:t>
      </w:r>
      <w:r w:rsidR="00C53DFA" w:rsidRPr="009623DA">
        <w:rPr>
          <w:rFonts w:cs="Arial"/>
          <w:bCs/>
          <w:szCs w:val="22"/>
        </w:rPr>
        <w:t xml:space="preserve"> retired Judge who spent his career in an environment w</w:t>
      </w:r>
      <w:r w:rsidR="000F430D" w:rsidRPr="009623DA">
        <w:rPr>
          <w:rFonts w:cs="Arial"/>
          <w:bCs/>
          <w:szCs w:val="22"/>
        </w:rPr>
        <w:t>h</w:t>
      </w:r>
      <w:r w:rsidR="00C53DFA" w:rsidRPr="009623DA">
        <w:rPr>
          <w:rFonts w:cs="Arial"/>
          <w:bCs/>
          <w:szCs w:val="22"/>
        </w:rPr>
        <w:t xml:space="preserve">ere appeals and reviews are </w:t>
      </w:r>
      <w:r w:rsidR="00F81639" w:rsidRPr="009623DA">
        <w:rPr>
          <w:rFonts w:cs="Arial"/>
          <w:bCs/>
          <w:szCs w:val="22"/>
        </w:rPr>
        <w:t>accepted practice</w:t>
      </w:r>
      <w:r w:rsidR="00C53DFA" w:rsidRPr="009623DA">
        <w:rPr>
          <w:rFonts w:cs="Arial"/>
          <w:bCs/>
          <w:szCs w:val="22"/>
        </w:rPr>
        <w:t>.</w:t>
      </w:r>
      <w:r w:rsidR="00BB3264" w:rsidRPr="009623DA">
        <w:rPr>
          <w:rFonts w:cs="Arial"/>
          <w:bCs/>
          <w:szCs w:val="22"/>
        </w:rPr>
        <w:t xml:space="preserve"> </w:t>
      </w:r>
      <w:r w:rsidR="00F81639" w:rsidRPr="009623DA">
        <w:rPr>
          <w:rFonts w:cs="Arial"/>
          <w:bCs/>
          <w:szCs w:val="22"/>
        </w:rPr>
        <w:t xml:space="preserve">Judges are taken on appeal and </w:t>
      </w:r>
      <w:r w:rsidR="00A444DD" w:rsidRPr="009623DA">
        <w:rPr>
          <w:rFonts w:cs="Arial"/>
          <w:bCs/>
          <w:szCs w:val="22"/>
        </w:rPr>
        <w:t xml:space="preserve">they </w:t>
      </w:r>
      <w:r w:rsidR="00F81639" w:rsidRPr="009623DA">
        <w:rPr>
          <w:rFonts w:cs="Arial"/>
          <w:bCs/>
          <w:szCs w:val="22"/>
        </w:rPr>
        <w:t xml:space="preserve">sit in appeals, as well as applications for leave to appeal made in respect of their own judgments. </w:t>
      </w:r>
      <w:r w:rsidR="00E73E65" w:rsidRPr="009623DA">
        <w:rPr>
          <w:rFonts w:cs="Arial"/>
          <w:bCs/>
          <w:szCs w:val="22"/>
        </w:rPr>
        <w:t>The Appeal Court</w:t>
      </w:r>
      <w:r w:rsidR="00E73E65" w:rsidRPr="009623DA">
        <w:rPr>
          <w:rStyle w:val="FootnoteReference"/>
          <w:rFonts w:cs="Arial"/>
          <w:bCs/>
          <w:szCs w:val="22"/>
        </w:rPr>
        <w:footnoteReference w:id="10"/>
      </w:r>
      <w:r w:rsidR="00E73E65" w:rsidRPr="009623DA">
        <w:rPr>
          <w:rFonts w:cs="Arial"/>
          <w:bCs/>
          <w:szCs w:val="22"/>
        </w:rPr>
        <w:t xml:space="preserve"> has admonished Judges not to regard an application for recusal as a personal affront. </w:t>
      </w:r>
    </w:p>
    <w:p w14:paraId="68FA9102" w14:textId="54872B99" w:rsidR="000F430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[14]</w:t>
      </w:r>
      <w:r w:rsidRPr="009623DA">
        <w:rPr>
          <w:rFonts w:cs="Arial"/>
          <w:bCs/>
          <w:szCs w:val="22"/>
        </w:rPr>
        <w:tab/>
      </w:r>
      <w:r w:rsidR="000F430D" w:rsidRPr="009623DA">
        <w:rPr>
          <w:rFonts w:cs="Arial"/>
          <w:bCs/>
          <w:szCs w:val="22"/>
        </w:rPr>
        <w:t xml:space="preserve">In the letter that gave rise to the application for recusal (and dealt with in more detail below) Altech relies </w:t>
      </w:r>
      <w:r w:rsidR="00A444DD" w:rsidRPr="009623DA">
        <w:rPr>
          <w:rFonts w:cs="Arial"/>
          <w:bCs/>
          <w:szCs w:val="22"/>
        </w:rPr>
        <w:t xml:space="preserve">also </w:t>
      </w:r>
      <w:r w:rsidR="000F430D" w:rsidRPr="009623DA">
        <w:rPr>
          <w:rFonts w:cs="Arial"/>
          <w:bCs/>
          <w:szCs w:val="22"/>
        </w:rPr>
        <w:t xml:space="preserve">on grounds that preceded the first review, such as </w:t>
      </w:r>
    </w:p>
    <w:p w14:paraId="2C9D15E8" w14:textId="6460115E" w:rsidR="000F430D"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14.1</w:t>
      </w:r>
      <w:r w:rsidRPr="009623DA">
        <w:rPr>
          <w:rFonts w:cs="Arial"/>
          <w:bCs/>
          <w:szCs w:val="22"/>
        </w:rPr>
        <w:tab/>
      </w:r>
      <w:r w:rsidR="000F430D" w:rsidRPr="009623DA">
        <w:rPr>
          <w:rFonts w:cs="Arial"/>
          <w:bCs/>
          <w:szCs w:val="22"/>
        </w:rPr>
        <w:t xml:space="preserve">a ruling by the arbitrator that costs consequent upon </w:t>
      </w:r>
      <w:r w:rsidR="00F81639" w:rsidRPr="009623DA">
        <w:rPr>
          <w:rFonts w:cs="Arial"/>
          <w:bCs/>
          <w:szCs w:val="22"/>
        </w:rPr>
        <w:t xml:space="preserve">his </w:t>
      </w:r>
      <w:r w:rsidR="000F430D" w:rsidRPr="009623DA">
        <w:rPr>
          <w:rFonts w:cs="Arial"/>
          <w:bCs/>
          <w:szCs w:val="22"/>
        </w:rPr>
        <w:t>appointment as arbitrator be reserved. Altech was of the view that these costs should have been paid by Aeonova.</w:t>
      </w:r>
    </w:p>
    <w:p w14:paraId="7D169F2B" w14:textId="5808CAFC" w:rsidR="000F430D"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14.2</w:t>
      </w:r>
      <w:r w:rsidRPr="009623DA">
        <w:rPr>
          <w:rFonts w:cs="Arial"/>
          <w:bCs/>
          <w:szCs w:val="22"/>
        </w:rPr>
        <w:tab/>
      </w:r>
      <w:r w:rsidR="005A5582" w:rsidRPr="009623DA">
        <w:rPr>
          <w:rFonts w:cs="Arial"/>
          <w:bCs/>
          <w:szCs w:val="22"/>
        </w:rPr>
        <w:t>The</w:t>
      </w:r>
      <w:r w:rsidR="000F430D" w:rsidRPr="009623DA">
        <w:rPr>
          <w:rFonts w:cs="Arial"/>
          <w:bCs/>
          <w:szCs w:val="22"/>
        </w:rPr>
        <w:t xml:space="preserve"> award by the arbitrator made on 2 December 2022 that led to the first review application.</w:t>
      </w:r>
    </w:p>
    <w:p w14:paraId="7E1091B6" w14:textId="76A94D56" w:rsidR="005A558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14.3</w:t>
      </w:r>
      <w:r w:rsidRPr="009623DA">
        <w:rPr>
          <w:rFonts w:cs="Arial"/>
          <w:bCs/>
          <w:szCs w:val="22"/>
        </w:rPr>
        <w:tab/>
      </w:r>
      <w:r w:rsidR="005A5582" w:rsidRPr="009623DA">
        <w:rPr>
          <w:rFonts w:cs="Arial"/>
          <w:bCs/>
          <w:szCs w:val="22"/>
        </w:rPr>
        <w:t xml:space="preserve">The </w:t>
      </w:r>
      <w:r w:rsidR="00A444DD" w:rsidRPr="009623DA">
        <w:rPr>
          <w:rFonts w:cs="Arial"/>
          <w:bCs/>
          <w:szCs w:val="22"/>
        </w:rPr>
        <w:t xml:space="preserve">rather vague </w:t>
      </w:r>
      <w:r w:rsidR="005A5582" w:rsidRPr="009623DA">
        <w:rPr>
          <w:rFonts w:cs="Arial"/>
          <w:bCs/>
          <w:szCs w:val="22"/>
        </w:rPr>
        <w:t xml:space="preserve">allegation that the arbitrator has </w:t>
      </w:r>
      <w:r w:rsidR="005A5582" w:rsidRPr="009623DA">
        <w:rPr>
          <w:rFonts w:cs="Arial"/>
          <w:bCs/>
          <w:i/>
          <w:iCs/>
          <w:szCs w:val="22"/>
        </w:rPr>
        <w:t>“</w:t>
      </w:r>
      <w:r w:rsidR="00F81639" w:rsidRPr="009623DA">
        <w:rPr>
          <w:rFonts w:cs="Arial"/>
          <w:bCs/>
          <w:i/>
          <w:iCs/>
          <w:szCs w:val="22"/>
        </w:rPr>
        <w:t xml:space="preserve">adopted, </w:t>
      </w:r>
      <w:r w:rsidR="005A5582" w:rsidRPr="009623DA">
        <w:rPr>
          <w:rFonts w:cs="Arial"/>
          <w:bCs/>
          <w:i/>
          <w:iCs/>
          <w:szCs w:val="22"/>
        </w:rPr>
        <w:t>generally and specifically, a position adverse to”</w:t>
      </w:r>
      <w:r w:rsidR="005A5582" w:rsidRPr="009623DA">
        <w:rPr>
          <w:rFonts w:cs="Arial"/>
          <w:bCs/>
          <w:szCs w:val="22"/>
        </w:rPr>
        <w:t xml:space="preserve"> Altech.</w:t>
      </w:r>
    </w:p>
    <w:p w14:paraId="282D4A11" w14:textId="77777777" w:rsidR="00A444DD" w:rsidRPr="009623DA" w:rsidRDefault="00A444DD" w:rsidP="005A5582">
      <w:pPr>
        <w:widowControl w:val="0"/>
        <w:spacing w:before="480" w:after="480" w:line="360" w:lineRule="auto"/>
        <w:jc w:val="both"/>
        <w:rPr>
          <w:rFonts w:cs="Arial"/>
          <w:bCs/>
          <w:szCs w:val="22"/>
          <w:u w:val="single"/>
        </w:rPr>
      </w:pPr>
    </w:p>
    <w:p w14:paraId="472F2951" w14:textId="38F4F379" w:rsidR="005A5582" w:rsidRPr="009623DA" w:rsidRDefault="005A5582" w:rsidP="005A5582">
      <w:pPr>
        <w:widowControl w:val="0"/>
        <w:spacing w:before="480" w:after="480" w:line="360" w:lineRule="auto"/>
        <w:jc w:val="both"/>
        <w:rPr>
          <w:rFonts w:cs="Arial"/>
          <w:bCs/>
          <w:szCs w:val="22"/>
          <w:u w:val="single"/>
        </w:rPr>
      </w:pPr>
      <w:r w:rsidRPr="009623DA">
        <w:rPr>
          <w:rFonts w:cs="Arial"/>
          <w:bCs/>
          <w:szCs w:val="22"/>
          <w:u w:val="single"/>
        </w:rPr>
        <w:t>The grounds</w:t>
      </w:r>
    </w:p>
    <w:p w14:paraId="562A4479" w14:textId="379F55BF" w:rsidR="00AE4875"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[15]</w:t>
      </w:r>
      <w:r w:rsidRPr="009623DA">
        <w:rPr>
          <w:rFonts w:cs="Arial"/>
          <w:bCs/>
          <w:szCs w:val="22"/>
        </w:rPr>
        <w:tab/>
      </w:r>
      <w:r w:rsidR="00A33018" w:rsidRPr="009623DA">
        <w:rPr>
          <w:rFonts w:cs="Arial"/>
          <w:bCs/>
          <w:szCs w:val="22"/>
        </w:rPr>
        <w:t>Altech</w:t>
      </w:r>
      <w:r w:rsidR="00190F4E" w:rsidRPr="009623DA">
        <w:rPr>
          <w:rFonts w:cs="Arial"/>
          <w:bCs/>
          <w:szCs w:val="22"/>
        </w:rPr>
        <w:t xml:space="preserve"> relies on five grounds on which it contends that it harbours a reasonable apprehension of bias. </w:t>
      </w:r>
      <w:r w:rsidR="004274E7" w:rsidRPr="009623DA">
        <w:rPr>
          <w:rFonts w:cs="Arial"/>
          <w:bCs/>
          <w:szCs w:val="22"/>
        </w:rPr>
        <w:t xml:space="preserve">Four of these grounds were set out in a letter demanding the recusal of the arbitrator dated 6 March 2023, and the fifth </w:t>
      </w:r>
      <w:r w:rsidR="00AE4875" w:rsidRPr="009623DA">
        <w:rPr>
          <w:rFonts w:cs="Arial"/>
          <w:bCs/>
          <w:szCs w:val="22"/>
        </w:rPr>
        <w:t>arises from the conduct of the arbitrator in dealing with Altech’s demand.</w:t>
      </w:r>
    </w:p>
    <w:p w14:paraId="25B89BAF" w14:textId="7E69B05A" w:rsidR="00DB68CC"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[16]</w:t>
      </w:r>
      <w:r w:rsidRPr="009623DA">
        <w:rPr>
          <w:rFonts w:cs="Arial"/>
          <w:bCs/>
          <w:szCs w:val="22"/>
        </w:rPr>
        <w:tab/>
      </w:r>
      <w:r w:rsidR="000319AA" w:rsidRPr="009623DA">
        <w:rPr>
          <w:rFonts w:cs="Arial"/>
          <w:bCs/>
          <w:szCs w:val="22"/>
        </w:rPr>
        <w:t xml:space="preserve">Altech’s counsel submitted that the fifth ground may be dispositive of the recusal application and said that by effectively deciding not to recuse himself before Altech had an opportunity to be heard on the issue of recusal, the arbitrator committed a gross </w:t>
      </w:r>
      <w:r w:rsidR="000319AA" w:rsidRPr="009623DA">
        <w:rPr>
          <w:rFonts w:cs="Arial"/>
          <w:bCs/>
          <w:szCs w:val="22"/>
        </w:rPr>
        <w:lastRenderedPageBreak/>
        <w:t xml:space="preserve">irregularity and instituted in Altech a reasonable apprehension that he was biased against it. </w:t>
      </w:r>
    </w:p>
    <w:p w14:paraId="2F9F12B2" w14:textId="1A4905A1" w:rsidR="0037133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[17]</w:t>
      </w:r>
      <w:r w:rsidRPr="009623DA">
        <w:rPr>
          <w:rFonts w:cs="Arial"/>
          <w:bCs/>
          <w:szCs w:val="22"/>
        </w:rPr>
        <w:tab/>
      </w:r>
      <w:r w:rsidR="000319AA" w:rsidRPr="009623DA">
        <w:rPr>
          <w:rFonts w:cs="Arial"/>
          <w:bCs/>
          <w:szCs w:val="22"/>
        </w:rPr>
        <w:t>The fifth ground was therefore the main ground and I deal with that first.</w:t>
      </w:r>
      <w:r w:rsidR="00371332" w:rsidRPr="009623DA">
        <w:rPr>
          <w:rFonts w:cs="Arial"/>
          <w:bCs/>
          <w:szCs w:val="22"/>
        </w:rPr>
        <w:t xml:space="preserve"> I deal with the related question of whether a recusal application must be brought on notice supported by affidavit evidence, under a separate heading immediately after dealing with this fifth ground.</w:t>
      </w:r>
    </w:p>
    <w:p w14:paraId="6690BA70" w14:textId="77777777" w:rsidR="00A444DD" w:rsidRPr="009623DA" w:rsidRDefault="00A444DD" w:rsidP="00AA4C92">
      <w:pPr>
        <w:widowControl w:val="0"/>
        <w:spacing w:before="480" w:after="480" w:line="360" w:lineRule="auto"/>
        <w:jc w:val="both"/>
        <w:rPr>
          <w:rFonts w:cs="Arial"/>
          <w:bCs/>
          <w:szCs w:val="22"/>
          <w:u w:val="single"/>
        </w:rPr>
      </w:pPr>
    </w:p>
    <w:p w14:paraId="2DA4D298" w14:textId="6C7F313C" w:rsidR="00AA4C92" w:rsidRPr="009623DA" w:rsidRDefault="00CF2496" w:rsidP="00AA4C92">
      <w:pPr>
        <w:widowControl w:val="0"/>
        <w:spacing w:before="480" w:after="480" w:line="360" w:lineRule="auto"/>
        <w:jc w:val="both"/>
        <w:rPr>
          <w:rFonts w:cs="Arial"/>
          <w:bCs/>
          <w:szCs w:val="22"/>
          <w:u w:val="single"/>
        </w:rPr>
      </w:pPr>
      <w:r w:rsidRPr="009623DA">
        <w:rPr>
          <w:rFonts w:cs="Arial"/>
          <w:bCs/>
          <w:szCs w:val="22"/>
          <w:u w:val="single"/>
        </w:rPr>
        <w:t xml:space="preserve">The fifth ground: </w:t>
      </w:r>
      <w:r w:rsidR="00AA4C92" w:rsidRPr="009623DA">
        <w:rPr>
          <w:rFonts w:cs="Arial"/>
          <w:bCs/>
          <w:szCs w:val="22"/>
          <w:u w:val="single"/>
        </w:rPr>
        <w:t>The events of 6-</w:t>
      </w:r>
      <w:r w:rsidR="009A739F" w:rsidRPr="009623DA">
        <w:rPr>
          <w:rFonts w:cs="Arial"/>
          <w:bCs/>
          <w:szCs w:val="22"/>
          <w:u w:val="single"/>
        </w:rPr>
        <w:t>9</w:t>
      </w:r>
      <w:r w:rsidR="00AA4C92" w:rsidRPr="009623DA">
        <w:rPr>
          <w:rFonts w:cs="Arial"/>
          <w:bCs/>
          <w:szCs w:val="22"/>
          <w:u w:val="single"/>
        </w:rPr>
        <w:t xml:space="preserve"> March 2023</w:t>
      </w:r>
      <w:r w:rsidR="00700C86" w:rsidRPr="009623DA">
        <w:rPr>
          <w:rFonts w:cs="Arial"/>
          <w:bCs/>
          <w:szCs w:val="22"/>
          <w:u w:val="single"/>
        </w:rPr>
        <w:t xml:space="preserve"> - the arbitrator closed his mind to the applicant’s request for his recusal before Altech had a chance to have a hearing and to present argument on this issue</w:t>
      </w:r>
    </w:p>
    <w:p w14:paraId="50B2B217" w14:textId="707A2E24" w:rsidR="00610873"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[18]</w:t>
      </w:r>
      <w:r w:rsidRPr="009623DA">
        <w:rPr>
          <w:rFonts w:cs="Arial"/>
          <w:bCs/>
          <w:szCs w:val="22"/>
        </w:rPr>
        <w:tab/>
      </w:r>
      <w:r w:rsidR="00AE4875" w:rsidRPr="009623DA">
        <w:rPr>
          <w:rFonts w:cs="Arial"/>
          <w:bCs/>
          <w:szCs w:val="22"/>
        </w:rPr>
        <w:t xml:space="preserve">In its heads of argument Altech focused on this fifth ground </w:t>
      </w:r>
      <w:r w:rsidR="00CF2496" w:rsidRPr="009623DA">
        <w:rPr>
          <w:rFonts w:cs="Arial"/>
          <w:bCs/>
          <w:szCs w:val="22"/>
        </w:rPr>
        <w:t xml:space="preserve">and argued that the appointment of the arbitrator ought to be set aside on this narrow ground, </w:t>
      </w:r>
      <w:r w:rsidR="00AE4875" w:rsidRPr="009623DA">
        <w:rPr>
          <w:rFonts w:cs="Arial"/>
          <w:bCs/>
          <w:szCs w:val="22"/>
        </w:rPr>
        <w:t xml:space="preserve">but confirmed that it was not abandoning the </w:t>
      </w:r>
      <w:r w:rsidR="00954386" w:rsidRPr="009623DA">
        <w:rPr>
          <w:rFonts w:cs="Arial"/>
          <w:bCs/>
          <w:szCs w:val="22"/>
        </w:rPr>
        <w:t xml:space="preserve">first </w:t>
      </w:r>
      <w:r w:rsidR="00AE4875" w:rsidRPr="009623DA">
        <w:rPr>
          <w:rFonts w:cs="Arial"/>
          <w:bCs/>
          <w:szCs w:val="22"/>
        </w:rPr>
        <w:t xml:space="preserve">four grounds </w:t>
      </w:r>
      <w:r w:rsidR="00AA4C92" w:rsidRPr="009623DA">
        <w:rPr>
          <w:rFonts w:cs="Arial"/>
          <w:bCs/>
          <w:szCs w:val="22"/>
        </w:rPr>
        <w:t>referred to above</w:t>
      </w:r>
      <w:r w:rsidR="00AE4875" w:rsidRPr="009623DA">
        <w:rPr>
          <w:rFonts w:cs="Arial"/>
          <w:bCs/>
          <w:szCs w:val="22"/>
        </w:rPr>
        <w:t>.</w:t>
      </w:r>
    </w:p>
    <w:p w14:paraId="4046A088" w14:textId="4C799C9E" w:rsidR="004E1191"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[19]</w:t>
      </w:r>
      <w:r w:rsidRPr="009623DA">
        <w:rPr>
          <w:rFonts w:cs="Arial"/>
          <w:bCs/>
          <w:szCs w:val="22"/>
        </w:rPr>
        <w:tab/>
      </w:r>
      <w:r w:rsidR="004E1191" w:rsidRPr="009623DA">
        <w:rPr>
          <w:rFonts w:cs="Arial"/>
          <w:bCs/>
          <w:szCs w:val="22"/>
        </w:rPr>
        <w:t xml:space="preserve">On 6 March 2023 </w:t>
      </w:r>
      <w:r w:rsidR="00A33018" w:rsidRPr="009623DA">
        <w:rPr>
          <w:rFonts w:cs="Arial"/>
          <w:bCs/>
          <w:szCs w:val="22"/>
        </w:rPr>
        <w:t>Altech</w:t>
      </w:r>
      <w:r w:rsidR="004E1191" w:rsidRPr="009623DA">
        <w:rPr>
          <w:rFonts w:cs="Arial"/>
          <w:bCs/>
          <w:szCs w:val="22"/>
        </w:rPr>
        <w:t xml:space="preserve">’s attorneys wrote to the arbitrator with a </w:t>
      </w:r>
      <w:r w:rsidR="004D635C" w:rsidRPr="009623DA">
        <w:rPr>
          <w:rFonts w:cs="Arial"/>
          <w:bCs/>
          <w:i/>
          <w:iCs/>
          <w:szCs w:val="22"/>
        </w:rPr>
        <w:t>“</w:t>
      </w:r>
      <w:r w:rsidR="004E1191" w:rsidRPr="009623DA">
        <w:rPr>
          <w:rFonts w:cs="Arial"/>
          <w:bCs/>
          <w:i/>
          <w:iCs/>
          <w:szCs w:val="22"/>
        </w:rPr>
        <w:t>formal request</w:t>
      </w:r>
      <w:r w:rsidR="004D635C" w:rsidRPr="009623DA">
        <w:rPr>
          <w:rFonts w:cs="Arial"/>
          <w:bCs/>
          <w:i/>
          <w:iCs/>
          <w:szCs w:val="22"/>
        </w:rPr>
        <w:t>”</w:t>
      </w:r>
      <w:r w:rsidR="004E1191" w:rsidRPr="009623DA">
        <w:rPr>
          <w:rFonts w:cs="Arial"/>
          <w:bCs/>
          <w:szCs w:val="22"/>
        </w:rPr>
        <w:t xml:space="preserve"> that the arbitrator recuse himself as arbitrator or alternatively that he disclose </w:t>
      </w:r>
      <w:r w:rsidR="004D635C" w:rsidRPr="009623DA">
        <w:rPr>
          <w:rFonts w:cs="Arial"/>
          <w:bCs/>
          <w:szCs w:val="22"/>
        </w:rPr>
        <w:t xml:space="preserve">Altech’s </w:t>
      </w:r>
      <w:r w:rsidR="004E1191" w:rsidRPr="009623DA">
        <w:rPr>
          <w:rFonts w:cs="Arial"/>
          <w:bCs/>
          <w:szCs w:val="22"/>
        </w:rPr>
        <w:t>position to the AFSA Secretariat as required by article 14.3 and article 14.4 of the AFSA Commercial Rules.</w:t>
      </w:r>
    </w:p>
    <w:p w14:paraId="286B7572" w14:textId="08DAC9BA" w:rsidR="004976D5"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[20]</w:t>
      </w:r>
      <w:r w:rsidRPr="009623DA">
        <w:rPr>
          <w:rFonts w:cs="Arial"/>
          <w:bCs/>
          <w:szCs w:val="22"/>
        </w:rPr>
        <w:tab/>
      </w:r>
      <w:r w:rsidR="00A33018" w:rsidRPr="009623DA">
        <w:rPr>
          <w:rFonts w:cs="Arial"/>
          <w:bCs/>
          <w:szCs w:val="22"/>
        </w:rPr>
        <w:t>Altech</w:t>
      </w:r>
      <w:r w:rsidR="004E1191" w:rsidRPr="009623DA">
        <w:rPr>
          <w:rFonts w:cs="Arial"/>
          <w:bCs/>
          <w:szCs w:val="22"/>
        </w:rPr>
        <w:t xml:space="preserve"> refers in the letter to the pending review proceedings as well as to an urgent application seeking a stay in the arbitration pending the determination of the review.</w:t>
      </w:r>
      <w:r w:rsidR="004D635C" w:rsidRPr="009623DA">
        <w:rPr>
          <w:rStyle w:val="FootnoteReference"/>
          <w:rFonts w:cs="Arial"/>
          <w:bCs/>
          <w:szCs w:val="22"/>
        </w:rPr>
        <w:footnoteReference w:id="11"/>
      </w:r>
      <w:r w:rsidR="004E1191" w:rsidRPr="009623DA">
        <w:rPr>
          <w:rFonts w:cs="Arial"/>
          <w:bCs/>
          <w:szCs w:val="22"/>
        </w:rPr>
        <w:t xml:space="preserve"> It is then stated that </w:t>
      </w:r>
      <w:r w:rsidR="00A33018" w:rsidRPr="009623DA">
        <w:rPr>
          <w:rFonts w:cs="Arial"/>
          <w:bCs/>
          <w:szCs w:val="22"/>
        </w:rPr>
        <w:t>Altech</w:t>
      </w:r>
      <w:r w:rsidR="004E1191" w:rsidRPr="009623DA">
        <w:rPr>
          <w:rFonts w:cs="Arial"/>
          <w:bCs/>
          <w:szCs w:val="22"/>
        </w:rPr>
        <w:t xml:space="preserve"> had given careful and thoughtful consideration to events that have transpired since the launch of the review proceedings in January of 2023, and in particular to the arbitrator’s letters to the Deputy Judge President and to the parties of 13 and 15 February 2023. It is then stated that:</w:t>
      </w:r>
      <w:r w:rsidR="00C61B5E" w:rsidRPr="009623DA">
        <w:rPr>
          <w:rFonts w:cs="Arial"/>
          <w:bCs/>
          <w:szCs w:val="22"/>
        </w:rPr>
        <w:t xml:space="preserve"> </w:t>
      </w:r>
      <w:r w:rsidR="004E1191" w:rsidRPr="009623DA">
        <w:rPr>
          <w:rFonts w:cs="Arial"/>
          <w:bCs/>
          <w:i/>
          <w:iCs/>
          <w:szCs w:val="22"/>
        </w:rPr>
        <w:t xml:space="preserve">“In the event that the pending </w:t>
      </w:r>
      <w:r w:rsidR="00C61B5E" w:rsidRPr="009623DA">
        <w:rPr>
          <w:rFonts w:cs="Arial"/>
          <w:bCs/>
          <w:i/>
          <w:iCs/>
          <w:szCs w:val="22"/>
        </w:rPr>
        <w:t>urgent High Court application for a stay does not succeed, we ask for the opportunity to have our legal team address you on the request for the recusal at the commencement of the hearing on 9 March 2023.”</w:t>
      </w:r>
      <w:r w:rsidR="009F1DC7" w:rsidRPr="009623DA">
        <w:rPr>
          <w:rFonts w:cs="Arial"/>
          <w:bCs/>
          <w:i/>
          <w:iCs/>
          <w:szCs w:val="22"/>
        </w:rPr>
        <w:t> </w:t>
      </w:r>
      <w:r w:rsidR="00C21656" w:rsidRPr="009623DA">
        <w:rPr>
          <w:rStyle w:val="FootnoteReference"/>
          <w:rFonts w:cs="Arial"/>
          <w:bCs/>
          <w:szCs w:val="22"/>
        </w:rPr>
        <w:footnoteReference w:id="12"/>
      </w:r>
      <w:r w:rsidR="00C61B5E" w:rsidRPr="009623DA">
        <w:rPr>
          <w:rFonts w:cs="Arial"/>
          <w:bCs/>
          <w:szCs w:val="22"/>
        </w:rPr>
        <w:t xml:space="preserve"> </w:t>
      </w:r>
    </w:p>
    <w:p w14:paraId="4A759611" w14:textId="53A8ABFC" w:rsidR="004E1191"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lastRenderedPageBreak/>
        <w:t>[21]</w:t>
      </w:r>
      <w:r w:rsidRPr="009623DA">
        <w:rPr>
          <w:rFonts w:cs="Arial"/>
          <w:bCs/>
          <w:szCs w:val="22"/>
        </w:rPr>
        <w:tab/>
      </w:r>
      <w:r w:rsidR="00C61B5E" w:rsidRPr="009623DA">
        <w:rPr>
          <w:rFonts w:cs="Arial"/>
          <w:bCs/>
          <w:szCs w:val="22"/>
        </w:rPr>
        <w:t xml:space="preserve">When the letter was written the arbitration was scheduled to proceed </w:t>
      </w:r>
      <w:r w:rsidR="00193DDD" w:rsidRPr="009623DA">
        <w:rPr>
          <w:rFonts w:cs="Arial"/>
          <w:bCs/>
          <w:szCs w:val="22"/>
        </w:rPr>
        <w:t>on the 9</w:t>
      </w:r>
      <w:r w:rsidR="00193DDD" w:rsidRPr="009623DA">
        <w:rPr>
          <w:rFonts w:cs="Arial"/>
          <w:bCs/>
          <w:szCs w:val="22"/>
          <w:vertAlign w:val="superscript"/>
        </w:rPr>
        <w:t>th</w:t>
      </w:r>
      <w:r w:rsidR="00193DDD" w:rsidRPr="009623DA">
        <w:rPr>
          <w:rFonts w:cs="Arial"/>
          <w:bCs/>
          <w:szCs w:val="22"/>
        </w:rPr>
        <w:t xml:space="preserve"> </w:t>
      </w:r>
      <w:r w:rsidR="00C61B5E" w:rsidRPr="009623DA">
        <w:rPr>
          <w:rFonts w:cs="Arial"/>
          <w:bCs/>
          <w:szCs w:val="22"/>
        </w:rPr>
        <w:t xml:space="preserve">before the arbitrator for a hearing on </w:t>
      </w:r>
      <w:r w:rsidR="00A33018" w:rsidRPr="009623DA">
        <w:rPr>
          <w:rFonts w:cs="Arial"/>
          <w:bCs/>
          <w:szCs w:val="22"/>
        </w:rPr>
        <w:t>Altech</w:t>
      </w:r>
      <w:r w:rsidR="00C61B5E" w:rsidRPr="009623DA">
        <w:rPr>
          <w:rFonts w:cs="Arial"/>
          <w:bCs/>
          <w:szCs w:val="22"/>
        </w:rPr>
        <w:t xml:space="preserve">’s intended amendment to its statement of </w:t>
      </w:r>
      <w:r w:rsidR="00C21656" w:rsidRPr="009623DA">
        <w:rPr>
          <w:rFonts w:cs="Arial"/>
          <w:bCs/>
          <w:szCs w:val="22"/>
        </w:rPr>
        <w:t>defence</w:t>
      </w:r>
      <w:r w:rsidR="00C61B5E" w:rsidRPr="009623DA">
        <w:rPr>
          <w:rFonts w:cs="Arial"/>
          <w:bCs/>
          <w:szCs w:val="22"/>
        </w:rPr>
        <w:t xml:space="preserve">. </w:t>
      </w:r>
    </w:p>
    <w:p w14:paraId="73B45759" w14:textId="4F142A54" w:rsidR="00C61B5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[22]</w:t>
      </w:r>
      <w:r w:rsidRPr="009623DA">
        <w:rPr>
          <w:rFonts w:cs="Arial"/>
          <w:bCs/>
          <w:szCs w:val="22"/>
        </w:rPr>
        <w:tab/>
      </w:r>
      <w:r w:rsidR="00C61B5E" w:rsidRPr="009623DA">
        <w:rPr>
          <w:rFonts w:cs="Arial"/>
          <w:bCs/>
          <w:szCs w:val="22"/>
        </w:rPr>
        <w:t xml:space="preserve">The letter then lists </w:t>
      </w:r>
      <w:r w:rsidR="00C21656" w:rsidRPr="009623DA">
        <w:rPr>
          <w:rFonts w:cs="Arial"/>
          <w:bCs/>
          <w:szCs w:val="22"/>
        </w:rPr>
        <w:t xml:space="preserve">the </w:t>
      </w:r>
      <w:r w:rsidR="00C61B5E" w:rsidRPr="009623DA">
        <w:rPr>
          <w:rFonts w:cs="Arial"/>
          <w:bCs/>
          <w:szCs w:val="22"/>
        </w:rPr>
        <w:t xml:space="preserve">four complaints. </w:t>
      </w:r>
      <w:r w:rsidR="00C21656" w:rsidRPr="009623DA">
        <w:rPr>
          <w:rFonts w:cs="Arial"/>
          <w:bCs/>
          <w:szCs w:val="22"/>
        </w:rPr>
        <w:t xml:space="preserve">I will deal with the complaints in more detail </w:t>
      </w:r>
      <w:r w:rsidR="00AA4C92" w:rsidRPr="009623DA">
        <w:rPr>
          <w:rFonts w:cs="Arial"/>
          <w:bCs/>
          <w:szCs w:val="22"/>
        </w:rPr>
        <w:t xml:space="preserve">under a separate heading </w:t>
      </w:r>
      <w:r w:rsidR="00C21656" w:rsidRPr="009623DA">
        <w:rPr>
          <w:rFonts w:cs="Arial"/>
          <w:bCs/>
          <w:szCs w:val="22"/>
        </w:rPr>
        <w:t>below.</w:t>
      </w:r>
    </w:p>
    <w:p w14:paraId="4FBEC066" w14:textId="2C478709" w:rsidR="005A558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[23]</w:t>
      </w:r>
      <w:r w:rsidRPr="009623DA">
        <w:rPr>
          <w:rFonts w:cs="Arial"/>
          <w:bCs/>
          <w:szCs w:val="22"/>
        </w:rPr>
        <w:tab/>
      </w:r>
      <w:r w:rsidR="009A087C" w:rsidRPr="009623DA">
        <w:rPr>
          <w:rFonts w:cs="Arial"/>
          <w:bCs/>
          <w:szCs w:val="22"/>
        </w:rPr>
        <w:t>T</w:t>
      </w:r>
      <w:r w:rsidR="00880850" w:rsidRPr="009623DA">
        <w:rPr>
          <w:rFonts w:cs="Arial"/>
          <w:bCs/>
          <w:szCs w:val="22"/>
        </w:rPr>
        <w:t xml:space="preserve">wo days </w:t>
      </w:r>
      <w:r w:rsidR="009A087C" w:rsidRPr="009623DA">
        <w:rPr>
          <w:rFonts w:cs="Arial"/>
          <w:bCs/>
          <w:szCs w:val="22"/>
        </w:rPr>
        <w:t xml:space="preserve">later, on 8 March 2023 </w:t>
      </w:r>
      <w:r w:rsidR="00A33018" w:rsidRPr="009623DA">
        <w:rPr>
          <w:rFonts w:cs="Arial"/>
          <w:bCs/>
          <w:szCs w:val="22"/>
        </w:rPr>
        <w:t>Altech</w:t>
      </w:r>
      <w:r w:rsidR="00880850" w:rsidRPr="009623DA">
        <w:rPr>
          <w:rFonts w:cs="Arial"/>
          <w:bCs/>
          <w:szCs w:val="22"/>
        </w:rPr>
        <w:t xml:space="preserve"> served an application</w:t>
      </w:r>
      <w:r w:rsidR="004976D5" w:rsidRPr="009623DA">
        <w:rPr>
          <w:rFonts w:cs="Arial"/>
          <w:bCs/>
          <w:szCs w:val="22"/>
        </w:rPr>
        <w:t xml:space="preserve"> supported by affidavit </w:t>
      </w:r>
      <w:r w:rsidR="00880850" w:rsidRPr="009623DA">
        <w:rPr>
          <w:rFonts w:cs="Arial"/>
          <w:bCs/>
          <w:szCs w:val="22"/>
        </w:rPr>
        <w:t>on the arbitrator.</w:t>
      </w:r>
      <w:r w:rsidR="0049165E" w:rsidRPr="009623DA">
        <w:rPr>
          <w:rFonts w:cs="Arial"/>
          <w:bCs/>
          <w:szCs w:val="22"/>
        </w:rPr>
        <w:t xml:space="preserve"> </w:t>
      </w:r>
      <w:r w:rsidR="00880850" w:rsidRPr="009623DA">
        <w:rPr>
          <w:rFonts w:cs="Arial"/>
          <w:bCs/>
          <w:szCs w:val="22"/>
        </w:rPr>
        <w:t xml:space="preserve">In the notice of motion </w:t>
      </w:r>
      <w:r w:rsidR="00A33018" w:rsidRPr="009623DA">
        <w:rPr>
          <w:rFonts w:cs="Arial"/>
          <w:bCs/>
          <w:szCs w:val="22"/>
        </w:rPr>
        <w:t>Altech</w:t>
      </w:r>
      <w:r w:rsidR="00880850" w:rsidRPr="009623DA">
        <w:rPr>
          <w:rFonts w:cs="Arial"/>
          <w:bCs/>
          <w:szCs w:val="22"/>
        </w:rPr>
        <w:t xml:space="preserve"> sought a ruling that the arbitrator recuse himself in terms of </w:t>
      </w:r>
      <w:r w:rsidR="0029605B" w:rsidRPr="009623DA">
        <w:rPr>
          <w:rFonts w:cs="Arial"/>
          <w:bCs/>
          <w:szCs w:val="22"/>
        </w:rPr>
        <w:t>article</w:t>
      </w:r>
      <w:r w:rsidR="00880850" w:rsidRPr="009623DA">
        <w:rPr>
          <w:rFonts w:cs="Arial"/>
          <w:bCs/>
          <w:szCs w:val="22"/>
        </w:rPr>
        <w:t xml:space="preserve"> 14.3 of the AFSA Commercial Rules, and in the alternative that the arbitrator postpone the arbitration pending a determination by the AFSA Secretariat in terms of </w:t>
      </w:r>
      <w:r w:rsidR="0029605B" w:rsidRPr="009623DA">
        <w:rPr>
          <w:rFonts w:cs="Arial"/>
          <w:bCs/>
          <w:szCs w:val="22"/>
        </w:rPr>
        <w:t>article</w:t>
      </w:r>
      <w:r w:rsidR="00880850" w:rsidRPr="009623DA">
        <w:rPr>
          <w:rFonts w:cs="Arial"/>
          <w:bCs/>
          <w:szCs w:val="22"/>
        </w:rPr>
        <w:t xml:space="preserve"> 14.2.3 and/or 14.4 of the AFSA Commercial Rules. </w:t>
      </w:r>
    </w:p>
    <w:p w14:paraId="1C1C5D3A" w14:textId="49390A28" w:rsidR="004976D5"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[24]</w:t>
      </w:r>
      <w:r w:rsidRPr="009623DA">
        <w:rPr>
          <w:rFonts w:cs="Arial"/>
          <w:bCs/>
          <w:szCs w:val="22"/>
        </w:rPr>
        <w:tab/>
      </w:r>
      <w:r w:rsidR="00880850" w:rsidRPr="009623DA">
        <w:rPr>
          <w:rFonts w:cs="Arial"/>
          <w:bCs/>
          <w:szCs w:val="22"/>
        </w:rPr>
        <w:t xml:space="preserve">The notice was accompanied by an affidavit by the </w:t>
      </w:r>
      <w:r w:rsidR="00AA4C92" w:rsidRPr="009623DA">
        <w:rPr>
          <w:rFonts w:cs="Arial"/>
          <w:bCs/>
          <w:szCs w:val="22"/>
        </w:rPr>
        <w:t xml:space="preserve">same </w:t>
      </w:r>
      <w:r w:rsidR="00880850" w:rsidRPr="009623DA">
        <w:rPr>
          <w:rFonts w:cs="Arial"/>
          <w:bCs/>
          <w:szCs w:val="22"/>
        </w:rPr>
        <w:t xml:space="preserve">deponent who subsequently deposed to the founding affidavit in the current application and is essentially based on the letter of 6 March 2023, which the deponent now stated under oath </w:t>
      </w:r>
      <w:r w:rsidR="00880850" w:rsidRPr="009623DA">
        <w:rPr>
          <w:rFonts w:cs="Arial"/>
          <w:bCs/>
          <w:i/>
          <w:iCs/>
          <w:szCs w:val="22"/>
        </w:rPr>
        <w:t>“accurately summarises the grounds for the concern held by”</w:t>
      </w:r>
      <w:r w:rsidR="00880850" w:rsidRPr="009623DA">
        <w:rPr>
          <w:rFonts w:cs="Arial"/>
          <w:bCs/>
          <w:szCs w:val="22"/>
        </w:rPr>
        <w:t xml:space="preserve"> </w:t>
      </w:r>
      <w:r w:rsidR="00A33018" w:rsidRPr="009623DA">
        <w:rPr>
          <w:rFonts w:cs="Arial"/>
          <w:bCs/>
          <w:szCs w:val="22"/>
        </w:rPr>
        <w:t>Altech</w:t>
      </w:r>
      <w:r w:rsidR="00880850" w:rsidRPr="009623DA">
        <w:rPr>
          <w:rFonts w:cs="Arial"/>
          <w:bCs/>
          <w:szCs w:val="22"/>
        </w:rPr>
        <w:t xml:space="preserve">. </w:t>
      </w:r>
      <w:r w:rsidR="005A5582" w:rsidRPr="009623DA">
        <w:rPr>
          <w:rFonts w:cs="Arial"/>
          <w:bCs/>
          <w:szCs w:val="22"/>
        </w:rPr>
        <w:t>In this way the grounds in the letter became the grounds in the recusal application</w:t>
      </w:r>
      <w:r w:rsidR="009A087C" w:rsidRPr="009623DA">
        <w:rPr>
          <w:rFonts w:cs="Arial"/>
          <w:bCs/>
          <w:szCs w:val="22"/>
        </w:rPr>
        <w:t>, and the letter now had the status of evidence given under oath.</w:t>
      </w:r>
    </w:p>
    <w:p w14:paraId="2302E3FF" w14:textId="3FBCCE09" w:rsidR="00880850"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[25]</w:t>
      </w:r>
      <w:r w:rsidRPr="009623DA">
        <w:rPr>
          <w:rFonts w:cs="Arial"/>
          <w:bCs/>
          <w:szCs w:val="22"/>
        </w:rPr>
        <w:tab/>
      </w:r>
      <w:r w:rsidR="00C00A14" w:rsidRPr="009623DA">
        <w:rPr>
          <w:rFonts w:cs="Arial"/>
          <w:bCs/>
          <w:szCs w:val="22"/>
        </w:rPr>
        <w:t xml:space="preserve">The application was served on the day </w:t>
      </w:r>
      <w:r w:rsidR="00C47768" w:rsidRPr="009623DA">
        <w:rPr>
          <w:rFonts w:cs="Arial"/>
          <w:bCs/>
          <w:szCs w:val="22"/>
        </w:rPr>
        <w:t>before</w:t>
      </w:r>
      <w:r w:rsidR="00C00A14" w:rsidRPr="009623DA">
        <w:rPr>
          <w:rFonts w:cs="Arial"/>
          <w:bCs/>
          <w:szCs w:val="22"/>
        </w:rPr>
        <w:t xml:space="preserve"> the scheduled hearing and the respondent did not attempt to file an answering affidavit.</w:t>
      </w:r>
    </w:p>
    <w:p w14:paraId="7E75489D" w14:textId="1200B217" w:rsidR="00880850"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[26]</w:t>
      </w:r>
      <w:r w:rsidRPr="009623DA">
        <w:rPr>
          <w:rFonts w:cs="Arial"/>
          <w:bCs/>
          <w:szCs w:val="22"/>
        </w:rPr>
        <w:tab/>
      </w:r>
      <w:r w:rsidR="00880850" w:rsidRPr="009623DA">
        <w:rPr>
          <w:rFonts w:cs="Arial"/>
          <w:bCs/>
          <w:szCs w:val="22"/>
        </w:rPr>
        <w:t>When the application was served on the 8</w:t>
      </w:r>
      <w:r w:rsidR="00880850" w:rsidRPr="009623DA">
        <w:rPr>
          <w:rFonts w:cs="Arial"/>
          <w:bCs/>
          <w:szCs w:val="22"/>
          <w:vertAlign w:val="superscript"/>
        </w:rPr>
        <w:t>th</w:t>
      </w:r>
      <w:r w:rsidR="00880850" w:rsidRPr="009623DA">
        <w:rPr>
          <w:rFonts w:cs="Arial"/>
          <w:bCs/>
          <w:szCs w:val="22"/>
        </w:rPr>
        <w:t xml:space="preserve"> of March 2023, the arbitrator had not yet responded to the parties in respect of the </w:t>
      </w:r>
      <w:r w:rsidR="003E0159" w:rsidRPr="009623DA">
        <w:rPr>
          <w:rFonts w:cs="Arial"/>
          <w:bCs/>
          <w:szCs w:val="22"/>
        </w:rPr>
        <w:t>letter requiring his recusal.</w:t>
      </w:r>
      <w:r w:rsidR="00C21656" w:rsidRPr="009623DA">
        <w:rPr>
          <w:rFonts w:cs="Arial"/>
          <w:bCs/>
          <w:szCs w:val="22"/>
        </w:rPr>
        <w:t xml:space="preserve"> He now responded as follows:</w:t>
      </w:r>
      <w:r w:rsidR="00AA4C92" w:rsidRPr="009623DA">
        <w:rPr>
          <w:rStyle w:val="FootnoteReference"/>
          <w:rFonts w:cs="Arial"/>
          <w:bCs/>
          <w:szCs w:val="22"/>
        </w:rPr>
        <w:footnoteReference w:id="13"/>
      </w:r>
    </w:p>
    <w:p w14:paraId="3CF243F5" w14:textId="29DD5B97" w:rsidR="003E0159" w:rsidRPr="009623DA" w:rsidRDefault="003E0159" w:rsidP="00E61788">
      <w:pPr>
        <w:widowControl w:val="0"/>
        <w:spacing w:before="240" w:after="240"/>
        <w:ind w:left="1440"/>
        <w:jc w:val="both"/>
        <w:rPr>
          <w:rFonts w:cs="Arial"/>
          <w:bCs/>
          <w:i/>
          <w:iCs/>
          <w:szCs w:val="22"/>
        </w:rPr>
      </w:pPr>
      <w:r w:rsidRPr="009623DA">
        <w:rPr>
          <w:rFonts w:cs="Arial"/>
          <w:bCs/>
          <w:i/>
          <w:iCs/>
          <w:szCs w:val="22"/>
        </w:rPr>
        <w:t>“Dear Mrs Cryer and Mr Thomson</w:t>
      </w:r>
    </w:p>
    <w:p w14:paraId="2C0F6C06" w14:textId="0AF917F4" w:rsidR="003E0159" w:rsidRPr="009623DA" w:rsidRDefault="003E0159" w:rsidP="00E61788">
      <w:pPr>
        <w:widowControl w:val="0"/>
        <w:spacing w:before="240" w:after="240"/>
        <w:ind w:left="1440"/>
        <w:jc w:val="both"/>
        <w:rPr>
          <w:rFonts w:cs="Arial"/>
          <w:bCs/>
          <w:i/>
          <w:iCs/>
          <w:szCs w:val="22"/>
        </w:rPr>
      </w:pPr>
      <w:r w:rsidRPr="009623DA">
        <w:rPr>
          <w:rFonts w:cs="Arial"/>
          <w:bCs/>
          <w:i/>
          <w:iCs/>
          <w:szCs w:val="22"/>
        </w:rPr>
        <w:t>I acknowledge receipt of your email and letter dated 8 March 2023.</w:t>
      </w:r>
    </w:p>
    <w:p w14:paraId="459BF454" w14:textId="4B1405A8" w:rsidR="003E0159" w:rsidRPr="009623DA" w:rsidRDefault="003E0159" w:rsidP="00E61788">
      <w:pPr>
        <w:widowControl w:val="0"/>
        <w:spacing w:before="240" w:after="240"/>
        <w:ind w:left="1440"/>
        <w:jc w:val="both"/>
        <w:rPr>
          <w:rFonts w:cs="Arial"/>
          <w:bCs/>
          <w:i/>
          <w:iCs/>
          <w:szCs w:val="22"/>
        </w:rPr>
      </w:pPr>
      <w:r w:rsidRPr="009623DA">
        <w:rPr>
          <w:rFonts w:cs="Arial"/>
          <w:bCs/>
          <w:i/>
          <w:iCs/>
          <w:szCs w:val="22"/>
        </w:rPr>
        <w:t xml:space="preserve">I was about to reply to your letter when I received Altech’s application for my recusal. </w:t>
      </w:r>
    </w:p>
    <w:p w14:paraId="7C790DD1" w14:textId="240BF6BA" w:rsidR="003E0159" w:rsidRPr="009623DA" w:rsidRDefault="003E0159" w:rsidP="00E61788">
      <w:pPr>
        <w:widowControl w:val="0"/>
        <w:spacing w:before="240" w:after="240"/>
        <w:ind w:left="1440"/>
        <w:jc w:val="both"/>
        <w:rPr>
          <w:rFonts w:cs="Arial"/>
          <w:bCs/>
          <w:i/>
          <w:iCs/>
          <w:szCs w:val="22"/>
        </w:rPr>
      </w:pPr>
      <w:r w:rsidRPr="009623DA">
        <w:rPr>
          <w:rFonts w:cs="Arial"/>
          <w:bCs/>
          <w:i/>
          <w:iCs/>
          <w:szCs w:val="22"/>
        </w:rPr>
        <w:t xml:space="preserve">If I had decided to recuse myself, I would have informed you of my decision immediately. </w:t>
      </w:r>
    </w:p>
    <w:p w14:paraId="450D2331" w14:textId="2717764B" w:rsidR="003E0159" w:rsidRPr="009623DA" w:rsidRDefault="003E0159" w:rsidP="00E61788">
      <w:pPr>
        <w:widowControl w:val="0"/>
        <w:spacing w:before="240" w:after="240"/>
        <w:ind w:left="1440"/>
        <w:jc w:val="both"/>
        <w:rPr>
          <w:rFonts w:cs="Arial"/>
          <w:bCs/>
          <w:i/>
          <w:iCs/>
          <w:szCs w:val="22"/>
        </w:rPr>
      </w:pPr>
      <w:r w:rsidRPr="009623DA">
        <w:rPr>
          <w:rFonts w:cs="Arial"/>
          <w:bCs/>
          <w:i/>
          <w:iCs/>
          <w:szCs w:val="22"/>
        </w:rPr>
        <w:lastRenderedPageBreak/>
        <w:t>The events have obviously overtaken us.</w:t>
      </w:r>
    </w:p>
    <w:p w14:paraId="30010D16" w14:textId="7DBBE25A" w:rsidR="003E0159" w:rsidRPr="009623DA" w:rsidRDefault="003E0159" w:rsidP="00E61788">
      <w:pPr>
        <w:widowControl w:val="0"/>
        <w:spacing w:before="240" w:after="480"/>
        <w:ind w:left="1440"/>
        <w:jc w:val="both"/>
        <w:rPr>
          <w:rFonts w:cs="Arial"/>
          <w:bCs/>
          <w:i/>
          <w:iCs/>
          <w:szCs w:val="22"/>
        </w:rPr>
      </w:pPr>
      <w:r w:rsidRPr="009623DA">
        <w:rPr>
          <w:rFonts w:cs="Arial"/>
          <w:bCs/>
          <w:i/>
          <w:iCs/>
          <w:szCs w:val="22"/>
        </w:rPr>
        <w:t>Yours faithfully”</w:t>
      </w:r>
    </w:p>
    <w:p w14:paraId="4C064554" w14:textId="025856A5" w:rsidR="00193DD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[27]</w:t>
      </w:r>
      <w:r w:rsidRPr="009623DA">
        <w:rPr>
          <w:rFonts w:cs="Arial"/>
          <w:bCs/>
          <w:szCs w:val="22"/>
        </w:rPr>
        <w:tab/>
      </w:r>
      <w:r w:rsidR="00EC6BED" w:rsidRPr="009623DA">
        <w:rPr>
          <w:rFonts w:cs="Arial"/>
          <w:bCs/>
          <w:szCs w:val="22"/>
        </w:rPr>
        <w:t xml:space="preserve">Unfortunately one does not know (and can never possibly know) what the arbitrator’s reply in the second paragraph of his email would have said. </w:t>
      </w:r>
      <w:r w:rsidR="00F47653" w:rsidRPr="009623DA">
        <w:rPr>
          <w:rFonts w:cs="Arial"/>
          <w:bCs/>
          <w:szCs w:val="22"/>
        </w:rPr>
        <w:t>The arbitrator was criticised in argument for not putting up an explanatory affidavit but in my view any explanation by the arbitrator as to his unexpressed and uncommunicated thoughts prior to receiving the application on the 8</w:t>
      </w:r>
      <w:r w:rsidR="00F47653" w:rsidRPr="009623DA">
        <w:rPr>
          <w:rFonts w:cs="Arial"/>
          <w:bCs/>
          <w:szCs w:val="22"/>
          <w:vertAlign w:val="superscript"/>
        </w:rPr>
        <w:t>th</w:t>
      </w:r>
      <w:r w:rsidR="00F47653" w:rsidRPr="009623DA">
        <w:rPr>
          <w:rFonts w:cs="Arial"/>
          <w:bCs/>
          <w:szCs w:val="22"/>
        </w:rPr>
        <w:t xml:space="preserve"> </w:t>
      </w:r>
      <w:r w:rsidR="00C47768" w:rsidRPr="009623DA">
        <w:rPr>
          <w:rFonts w:cs="Arial"/>
          <w:bCs/>
          <w:szCs w:val="22"/>
        </w:rPr>
        <w:t>be of highly questionable weight</w:t>
      </w:r>
      <w:r w:rsidR="00F47653" w:rsidRPr="009623DA">
        <w:rPr>
          <w:rFonts w:cs="Arial"/>
          <w:bCs/>
          <w:szCs w:val="22"/>
        </w:rPr>
        <w:t>.</w:t>
      </w:r>
      <w:r w:rsidR="009A087C" w:rsidRPr="009623DA">
        <w:rPr>
          <w:rFonts w:cs="Arial"/>
          <w:bCs/>
          <w:szCs w:val="22"/>
        </w:rPr>
        <w:t xml:space="preserve"> </w:t>
      </w:r>
    </w:p>
    <w:p w14:paraId="3E875C16" w14:textId="5F98C206" w:rsidR="007C604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[28]</w:t>
      </w:r>
      <w:r w:rsidRPr="009623DA">
        <w:rPr>
          <w:rFonts w:cs="Arial"/>
          <w:bCs/>
          <w:szCs w:val="22"/>
        </w:rPr>
        <w:tab/>
      </w:r>
      <w:r w:rsidR="00F47653" w:rsidRPr="009623DA">
        <w:rPr>
          <w:rFonts w:cs="Arial"/>
          <w:bCs/>
          <w:szCs w:val="22"/>
        </w:rPr>
        <w:t>Like all documents the email</w:t>
      </w:r>
      <w:r w:rsidR="005B3F1C" w:rsidRPr="009623DA">
        <w:rPr>
          <w:rFonts w:cs="Arial"/>
          <w:bCs/>
          <w:szCs w:val="22"/>
        </w:rPr>
        <w:t xml:space="preserve"> quoted above </w:t>
      </w:r>
      <w:r w:rsidR="00F47653" w:rsidRPr="009623DA">
        <w:rPr>
          <w:rFonts w:cs="Arial"/>
          <w:bCs/>
          <w:szCs w:val="22"/>
        </w:rPr>
        <w:t>must be interpreted</w:t>
      </w:r>
      <w:r w:rsidR="007C6046" w:rsidRPr="009623DA">
        <w:rPr>
          <w:rFonts w:cs="Arial"/>
          <w:bCs/>
          <w:szCs w:val="22"/>
        </w:rPr>
        <w:t xml:space="preserve"> </w:t>
      </w:r>
      <w:r w:rsidR="00ED370F" w:rsidRPr="009623DA">
        <w:rPr>
          <w:rFonts w:cs="Arial"/>
          <w:bCs/>
          <w:szCs w:val="22"/>
        </w:rPr>
        <w:t xml:space="preserve">by reading the whole document and not only </w:t>
      </w:r>
      <w:r w:rsidR="00DC60C2" w:rsidRPr="009623DA">
        <w:rPr>
          <w:rFonts w:cs="Arial"/>
          <w:bCs/>
          <w:szCs w:val="22"/>
        </w:rPr>
        <w:t xml:space="preserve">selected extracts, by </w:t>
      </w:r>
      <w:r w:rsidR="007E54E5" w:rsidRPr="009623DA">
        <w:rPr>
          <w:rFonts w:cs="Arial"/>
          <w:bCs/>
          <w:szCs w:val="22"/>
        </w:rPr>
        <w:t>reading</w:t>
      </w:r>
      <w:r w:rsidR="00DC60C2" w:rsidRPr="009623DA">
        <w:rPr>
          <w:rFonts w:cs="Arial"/>
          <w:bCs/>
          <w:szCs w:val="22"/>
        </w:rPr>
        <w:t xml:space="preserve"> it objectively</w:t>
      </w:r>
      <w:r w:rsidR="00ED370F" w:rsidRPr="009623DA">
        <w:rPr>
          <w:rFonts w:cs="Arial"/>
          <w:bCs/>
          <w:szCs w:val="22"/>
        </w:rPr>
        <w:t xml:space="preserve">, and by reading it </w:t>
      </w:r>
      <w:r w:rsidR="00F47653" w:rsidRPr="009623DA">
        <w:rPr>
          <w:rFonts w:cs="Arial"/>
          <w:bCs/>
          <w:szCs w:val="22"/>
        </w:rPr>
        <w:t>contextually</w:t>
      </w:r>
      <w:r w:rsidR="007C6046" w:rsidRPr="009623DA">
        <w:rPr>
          <w:rFonts w:cs="Arial"/>
          <w:bCs/>
          <w:szCs w:val="22"/>
        </w:rPr>
        <w:t xml:space="preserve"> with the intention to understand its true meaning.</w:t>
      </w:r>
      <w:r w:rsidR="00F47653" w:rsidRPr="009623DA">
        <w:rPr>
          <w:rStyle w:val="FootnoteReference"/>
          <w:rFonts w:cs="Arial"/>
          <w:bCs/>
          <w:szCs w:val="22"/>
        </w:rPr>
        <w:footnoteReference w:id="14"/>
      </w:r>
      <w:r w:rsidR="00F47653" w:rsidRPr="009623DA">
        <w:rPr>
          <w:rFonts w:cs="Arial"/>
          <w:bCs/>
          <w:szCs w:val="22"/>
        </w:rPr>
        <w:t xml:space="preserve"> </w:t>
      </w:r>
    </w:p>
    <w:p w14:paraId="47E926A0" w14:textId="2115E256" w:rsidR="007E54E5"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[29]</w:t>
      </w:r>
      <w:r w:rsidRPr="009623DA">
        <w:rPr>
          <w:rFonts w:cs="Arial"/>
          <w:bCs/>
          <w:szCs w:val="22"/>
        </w:rPr>
        <w:tab/>
      </w:r>
      <w:r w:rsidR="007E54E5" w:rsidRPr="009623DA">
        <w:rPr>
          <w:rFonts w:cs="Arial"/>
          <w:bCs/>
          <w:szCs w:val="22"/>
        </w:rPr>
        <w:t>The context was as follows:</w:t>
      </w:r>
    </w:p>
    <w:p w14:paraId="7DB62CD6" w14:textId="176BE3FB" w:rsidR="007C604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29.1</w:t>
      </w:r>
      <w:r w:rsidRPr="009623DA">
        <w:rPr>
          <w:rFonts w:cs="Arial"/>
          <w:bCs/>
          <w:szCs w:val="22"/>
        </w:rPr>
        <w:tab/>
      </w:r>
      <w:r w:rsidR="005B3F1C" w:rsidRPr="009623DA">
        <w:rPr>
          <w:rFonts w:cs="Arial"/>
          <w:bCs/>
          <w:szCs w:val="22"/>
        </w:rPr>
        <w:t xml:space="preserve">It was written </w:t>
      </w:r>
      <w:r w:rsidR="00F47653" w:rsidRPr="009623DA">
        <w:rPr>
          <w:rFonts w:cs="Arial"/>
          <w:bCs/>
          <w:szCs w:val="22"/>
        </w:rPr>
        <w:t>by the arbitrator, a retired Judge to the legal representatives of the parties</w:t>
      </w:r>
      <w:r w:rsidR="007E54E5" w:rsidRPr="009623DA">
        <w:rPr>
          <w:rFonts w:cs="Arial"/>
          <w:bCs/>
          <w:szCs w:val="22"/>
        </w:rPr>
        <w:t xml:space="preserve">. It was written by and for the consumption of professional people </w:t>
      </w:r>
      <w:r w:rsidR="008112DE" w:rsidRPr="009623DA">
        <w:rPr>
          <w:rFonts w:cs="Arial"/>
          <w:bCs/>
          <w:szCs w:val="22"/>
        </w:rPr>
        <w:t>trained and skilled in law</w:t>
      </w:r>
      <w:r w:rsidR="005B3F1C" w:rsidRPr="009623DA">
        <w:rPr>
          <w:rFonts w:cs="Arial"/>
          <w:bCs/>
          <w:szCs w:val="22"/>
        </w:rPr>
        <w:t>.</w:t>
      </w:r>
    </w:p>
    <w:p w14:paraId="30F13638" w14:textId="6D52AAB5" w:rsidR="007C604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29.2</w:t>
      </w:r>
      <w:r w:rsidRPr="009623DA">
        <w:rPr>
          <w:rFonts w:cs="Arial"/>
          <w:bCs/>
          <w:szCs w:val="22"/>
        </w:rPr>
        <w:tab/>
      </w:r>
      <w:r w:rsidR="007C6046" w:rsidRPr="009623DA">
        <w:rPr>
          <w:rFonts w:cs="Arial"/>
          <w:bCs/>
          <w:szCs w:val="22"/>
        </w:rPr>
        <w:t xml:space="preserve">The email informs the parties that had he decided to recuse himself, he would have informed the parties of this decision immediately. </w:t>
      </w:r>
    </w:p>
    <w:p w14:paraId="4A17784C" w14:textId="11686761" w:rsidR="007C604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29.3</w:t>
      </w:r>
      <w:r w:rsidRPr="009623DA">
        <w:rPr>
          <w:rFonts w:cs="Arial"/>
          <w:bCs/>
          <w:szCs w:val="22"/>
        </w:rPr>
        <w:tab/>
      </w:r>
      <w:r w:rsidR="007C6046" w:rsidRPr="009623DA">
        <w:rPr>
          <w:rFonts w:cs="Arial"/>
          <w:bCs/>
          <w:szCs w:val="22"/>
        </w:rPr>
        <w:t xml:space="preserve">It must be presumed that </w:t>
      </w:r>
      <w:r w:rsidR="00B5572D">
        <w:rPr>
          <w:rFonts w:cs="Arial"/>
          <w:bCs/>
          <w:szCs w:val="22"/>
        </w:rPr>
        <w:t>the arbitrator</w:t>
      </w:r>
      <w:r w:rsidR="007C6046" w:rsidRPr="009623DA">
        <w:rPr>
          <w:rFonts w:cs="Arial"/>
          <w:bCs/>
          <w:szCs w:val="22"/>
        </w:rPr>
        <w:t xml:space="preserve"> knew that, had he formed this view the matter would still have to be dealt with in terms of the provisions of section 13(1) of the Arbitration Act.</w:t>
      </w:r>
    </w:p>
    <w:p w14:paraId="68BCFDE0" w14:textId="73760345" w:rsidR="007C604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29.4</w:t>
      </w:r>
      <w:r w:rsidRPr="009623DA">
        <w:rPr>
          <w:rFonts w:cs="Arial"/>
          <w:bCs/>
          <w:szCs w:val="22"/>
        </w:rPr>
        <w:tab/>
      </w:r>
      <w:r w:rsidR="007C6046" w:rsidRPr="009623DA">
        <w:rPr>
          <w:rFonts w:cs="Arial"/>
          <w:bCs/>
          <w:szCs w:val="22"/>
        </w:rPr>
        <w:t xml:space="preserve">The email does not say that the </w:t>
      </w:r>
      <w:r w:rsidR="00AA4C92" w:rsidRPr="009623DA">
        <w:rPr>
          <w:rFonts w:cs="Arial"/>
          <w:bCs/>
          <w:i/>
          <w:iCs/>
          <w:szCs w:val="22"/>
        </w:rPr>
        <w:t>“</w:t>
      </w:r>
      <w:r w:rsidR="007C6046" w:rsidRPr="009623DA">
        <w:rPr>
          <w:rFonts w:cs="Arial"/>
          <w:bCs/>
          <w:i/>
          <w:iCs/>
          <w:szCs w:val="22"/>
        </w:rPr>
        <w:t>application</w:t>
      </w:r>
      <w:r w:rsidR="00AA4C92" w:rsidRPr="009623DA">
        <w:rPr>
          <w:rFonts w:cs="Arial"/>
          <w:bCs/>
          <w:i/>
          <w:iCs/>
          <w:szCs w:val="22"/>
        </w:rPr>
        <w:t>”</w:t>
      </w:r>
      <w:r w:rsidR="007C6046" w:rsidRPr="009623DA">
        <w:rPr>
          <w:rFonts w:cs="Arial"/>
          <w:bCs/>
          <w:szCs w:val="22"/>
        </w:rPr>
        <w:t xml:space="preserve"> </w:t>
      </w:r>
      <w:r w:rsidR="008112DE" w:rsidRPr="009623DA">
        <w:rPr>
          <w:rFonts w:cs="Arial"/>
          <w:bCs/>
          <w:szCs w:val="22"/>
        </w:rPr>
        <w:t>(if indeed it was a proper application</w:t>
      </w:r>
      <w:r w:rsidR="004976D5" w:rsidRPr="009623DA">
        <w:rPr>
          <w:rFonts w:cs="Arial"/>
          <w:bCs/>
          <w:szCs w:val="22"/>
        </w:rPr>
        <w:t>, a topic dealt with below</w:t>
      </w:r>
      <w:r w:rsidR="008112DE" w:rsidRPr="009623DA">
        <w:rPr>
          <w:rFonts w:cs="Arial"/>
          <w:bCs/>
          <w:szCs w:val="22"/>
        </w:rPr>
        <w:t xml:space="preserve">) </w:t>
      </w:r>
      <w:r w:rsidR="007C6046" w:rsidRPr="009623DA">
        <w:rPr>
          <w:rFonts w:cs="Arial"/>
          <w:bCs/>
          <w:szCs w:val="22"/>
        </w:rPr>
        <w:t>is dismissed</w:t>
      </w:r>
      <w:r w:rsidR="004B3CA9" w:rsidRPr="009623DA">
        <w:rPr>
          <w:rFonts w:cs="Arial"/>
          <w:bCs/>
          <w:szCs w:val="22"/>
        </w:rPr>
        <w:t>.</w:t>
      </w:r>
      <w:r w:rsidR="004976D5" w:rsidRPr="009623DA">
        <w:rPr>
          <w:rFonts w:cs="Arial"/>
          <w:bCs/>
          <w:szCs w:val="22"/>
        </w:rPr>
        <w:t xml:space="preserve"> </w:t>
      </w:r>
    </w:p>
    <w:p w14:paraId="4C56F246" w14:textId="7F97892A" w:rsidR="005B3F1C"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29.5</w:t>
      </w:r>
      <w:r w:rsidRPr="009623DA">
        <w:rPr>
          <w:rFonts w:cs="Arial"/>
          <w:bCs/>
          <w:szCs w:val="22"/>
        </w:rPr>
        <w:tab/>
      </w:r>
      <w:r w:rsidR="007C6046" w:rsidRPr="009623DA">
        <w:rPr>
          <w:rFonts w:cs="Arial"/>
          <w:bCs/>
          <w:szCs w:val="22"/>
        </w:rPr>
        <w:t xml:space="preserve">It does add that </w:t>
      </w:r>
      <w:r w:rsidR="004976D5" w:rsidRPr="009623DA">
        <w:rPr>
          <w:rFonts w:cs="Arial"/>
          <w:bCs/>
          <w:i/>
          <w:iCs/>
          <w:szCs w:val="22"/>
        </w:rPr>
        <w:t>“</w:t>
      </w:r>
      <w:r w:rsidR="007C6046" w:rsidRPr="009623DA">
        <w:rPr>
          <w:rFonts w:cs="Arial"/>
          <w:bCs/>
          <w:i/>
          <w:iCs/>
          <w:szCs w:val="22"/>
        </w:rPr>
        <w:t>events have overtaken us</w:t>
      </w:r>
      <w:r w:rsidR="004976D5" w:rsidRPr="009623DA">
        <w:rPr>
          <w:rFonts w:cs="Arial"/>
          <w:bCs/>
          <w:i/>
          <w:iCs/>
          <w:szCs w:val="22"/>
        </w:rPr>
        <w:t>”</w:t>
      </w:r>
      <w:r w:rsidR="007C6046" w:rsidRPr="009623DA">
        <w:rPr>
          <w:rFonts w:cs="Arial"/>
          <w:bCs/>
          <w:szCs w:val="22"/>
        </w:rPr>
        <w:t xml:space="preserve"> and this can only be a reference to the application served on him earlier that day.</w:t>
      </w:r>
      <w:r w:rsidR="00761B26" w:rsidRPr="009623DA">
        <w:rPr>
          <w:rFonts w:cs="Arial"/>
          <w:bCs/>
          <w:szCs w:val="22"/>
        </w:rPr>
        <w:t xml:space="preserve"> </w:t>
      </w:r>
    </w:p>
    <w:p w14:paraId="68554D3E" w14:textId="12EF40D9" w:rsidR="007C604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lastRenderedPageBreak/>
        <w:t>29.6</w:t>
      </w:r>
      <w:r w:rsidRPr="009623DA">
        <w:rPr>
          <w:rFonts w:cs="Arial"/>
          <w:bCs/>
          <w:szCs w:val="22"/>
        </w:rPr>
        <w:tab/>
      </w:r>
      <w:r w:rsidR="007C6046" w:rsidRPr="009623DA">
        <w:rPr>
          <w:rFonts w:cs="Arial"/>
          <w:bCs/>
          <w:szCs w:val="22"/>
        </w:rPr>
        <w:t>In the context of the application served a few hours earlier, the email does not say that the application was moot as it had already been decided.</w:t>
      </w:r>
    </w:p>
    <w:p w14:paraId="012BC2D4" w14:textId="3EE5DA2A" w:rsidR="008112D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[30]</w:t>
      </w:r>
      <w:r w:rsidRPr="009623DA">
        <w:rPr>
          <w:rFonts w:cs="Arial"/>
          <w:bCs/>
          <w:szCs w:val="22"/>
        </w:rPr>
        <w:tab/>
      </w:r>
      <w:r w:rsidR="008112DE" w:rsidRPr="009623DA">
        <w:rPr>
          <w:rFonts w:cs="Arial"/>
          <w:bCs/>
          <w:szCs w:val="22"/>
        </w:rPr>
        <w:t>It is necessary to see how the application was dealt with</w:t>
      </w:r>
      <w:r w:rsidR="00AA4C92" w:rsidRPr="009623DA">
        <w:rPr>
          <w:rFonts w:cs="Arial"/>
          <w:bCs/>
          <w:szCs w:val="22"/>
        </w:rPr>
        <w:t xml:space="preserve"> the following day, the 9</w:t>
      </w:r>
      <w:r w:rsidR="00AA4C92" w:rsidRPr="009623DA">
        <w:rPr>
          <w:rFonts w:cs="Arial"/>
          <w:bCs/>
          <w:szCs w:val="22"/>
          <w:vertAlign w:val="superscript"/>
        </w:rPr>
        <w:t>th</w:t>
      </w:r>
      <w:r w:rsidR="00AA4C92" w:rsidRPr="009623DA">
        <w:rPr>
          <w:rFonts w:cs="Arial"/>
          <w:bCs/>
          <w:szCs w:val="22"/>
        </w:rPr>
        <w:t>.</w:t>
      </w:r>
      <w:r w:rsidR="00577427" w:rsidRPr="009623DA">
        <w:rPr>
          <w:rFonts w:cs="Arial"/>
          <w:bCs/>
          <w:szCs w:val="22"/>
        </w:rPr>
        <w:t xml:space="preserve"> </w:t>
      </w:r>
      <w:r w:rsidR="008112DE" w:rsidRPr="009623DA">
        <w:rPr>
          <w:rFonts w:cs="Arial"/>
          <w:bCs/>
          <w:szCs w:val="22"/>
        </w:rPr>
        <w:t>It is to the transcript</w:t>
      </w:r>
      <w:r w:rsidR="00577427" w:rsidRPr="009623DA">
        <w:rPr>
          <w:rStyle w:val="FootnoteReference"/>
          <w:rFonts w:cs="Arial"/>
          <w:bCs/>
          <w:szCs w:val="22"/>
        </w:rPr>
        <w:footnoteReference w:id="15"/>
      </w:r>
      <w:r w:rsidR="008112DE" w:rsidRPr="009623DA">
        <w:rPr>
          <w:rFonts w:cs="Arial"/>
          <w:bCs/>
          <w:szCs w:val="22"/>
        </w:rPr>
        <w:t xml:space="preserve"> of the hearing on 9 March 2023 that one must turn. </w:t>
      </w:r>
      <w:r w:rsidR="007E54E5" w:rsidRPr="009623DA">
        <w:rPr>
          <w:rFonts w:cs="Arial"/>
          <w:bCs/>
          <w:szCs w:val="22"/>
        </w:rPr>
        <w:t>The transcript is a common cause document.</w:t>
      </w:r>
    </w:p>
    <w:p w14:paraId="06DDE78E" w14:textId="031B06F0" w:rsidR="008112D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[31]</w:t>
      </w:r>
      <w:r w:rsidRPr="009623DA">
        <w:rPr>
          <w:rFonts w:cs="Arial"/>
          <w:bCs/>
          <w:szCs w:val="22"/>
        </w:rPr>
        <w:tab/>
      </w:r>
      <w:r w:rsidR="008112DE" w:rsidRPr="009623DA">
        <w:rPr>
          <w:rFonts w:cs="Arial"/>
          <w:bCs/>
          <w:szCs w:val="22"/>
        </w:rPr>
        <w:t xml:space="preserve">The arbitrator opened proceedings </w:t>
      </w:r>
      <w:r w:rsidR="00761B26" w:rsidRPr="009623DA">
        <w:rPr>
          <w:rFonts w:cs="Arial"/>
          <w:bCs/>
          <w:szCs w:val="22"/>
        </w:rPr>
        <w:t>by</w:t>
      </w:r>
      <w:r w:rsidR="008112DE" w:rsidRPr="009623DA">
        <w:rPr>
          <w:rFonts w:cs="Arial"/>
          <w:bCs/>
          <w:szCs w:val="22"/>
        </w:rPr>
        <w:t xml:space="preserve"> stating that the purpose of the hearing was to hear the application by Altech to amend its statement </w:t>
      </w:r>
      <w:r w:rsidR="00761B26" w:rsidRPr="009623DA">
        <w:rPr>
          <w:rFonts w:cs="Arial"/>
          <w:bCs/>
          <w:szCs w:val="22"/>
        </w:rPr>
        <w:t xml:space="preserve">of defence but that </w:t>
      </w:r>
      <w:r w:rsidR="008112DE" w:rsidRPr="009623DA">
        <w:rPr>
          <w:rFonts w:cs="Arial"/>
          <w:bCs/>
          <w:szCs w:val="22"/>
        </w:rPr>
        <w:t>Altech had delivered a letter on 6 March 2023 followed by a formal application for his recusal. He added that it was logical to deal with it first as the recusal application would determine whether he should continue to hear anything else.</w:t>
      </w:r>
    </w:p>
    <w:p w14:paraId="3DA732CD" w14:textId="74B94863" w:rsidR="00761B2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[32]</w:t>
      </w:r>
      <w:r w:rsidRPr="009623DA">
        <w:rPr>
          <w:rFonts w:cs="Arial"/>
          <w:bCs/>
          <w:szCs w:val="22"/>
        </w:rPr>
        <w:tab/>
      </w:r>
      <w:r w:rsidR="008112DE" w:rsidRPr="009623DA">
        <w:rPr>
          <w:rFonts w:cs="Arial"/>
          <w:bCs/>
          <w:szCs w:val="22"/>
        </w:rPr>
        <w:t>It was argued on behalf of Aeonova that the application for recusal was not properly before the arbitrator as it had been made on 20 hours’ notice</w:t>
      </w:r>
      <w:r w:rsidR="00D20E16" w:rsidRPr="009623DA">
        <w:rPr>
          <w:rFonts w:cs="Arial"/>
          <w:bCs/>
          <w:szCs w:val="22"/>
        </w:rPr>
        <w:t xml:space="preserve"> and no case was made out on the papers for the matter to be dealt with as an urgent application</w:t>
      </w:r>
      <w:r w:rsidR="008112DE" w:rsidRPr="009623DA">
        <w:rPr>
          <w:rFonts w:cs="Arial"/>
          <w:bCs/>
          <w:szCs w:val="22"/>
        </w:rPr>
        <w:t xml:space="preserve">. </w:t>
      </w:r>
      <w:r w:rsidR="00761B26" w:rsidRPr="009623DA">
        <w:rPr>
          <w:rFonts w:cs="Arial"/>
          <w:bCs/>
          <w:szCs w:val="22"/>
        </w:rPr>
        <w:t>Aeonova’s counsel</w:t>
      </w:r>
      <w:r w:rsidR="009A739F" w:rsidRPr="009623DA">
        <w:rPr>
          <w:rFonts w:cs="Arial"/>
          <w:bCs/>
          <w:szCs w:val="22"/>
        </w:rPr>
        <w:t xml:space="preserve"> </w:t>
      </w:r>
      <w:r w:rsidR="00C47768" w:rsidRPr="009623DA">
        <w:rPr>
          <w:rFonts w:cs="Arial"/>
          <w:bCs/>
          <w:szCs w:val="22"/>
        </w:rPr>
        <w:t>argued</w:t>
      </w:r>
      <w:r w:rsidR="009A739F" w:rsidRPr="009623DA">
        <w:rPr>
          <w:rFonts w:cs="Arial"/>
          <w:bCs/>
          <w:szCs w:val="22"/>
        </w:rPr>
        <w:t xml:space="preserve"> that the recusal application be struck. </w:t>
      </w:r>
    </w:p>
    <w:p w14:paraId="6EAE934A" w14:textId="196938EB" w:rsidR="00D20E1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[33]</w:t>
      </w:r>
      <w:r w:rsidRPr="009623DA">
        <w:rPr>
          <w:rFonts w:cs="Arial"/>
          <w:bCs/>
          <w:szCs w:val="22"/>
        </w:rPr>
        <w:tab/>
      </w:r>
      <w:r w:rsidR="008112DE" w:rsidRPr="009623DA">
        <w:rPr>
          <w:rFonts w:cs="Arial"/>
          <w:bCs/>
          <w:szCs w:val="22"/>
        </w:rPr>
        <w:t xml:space="preserve">The arbitrator </w:t>
      </w:r>
      <w:r w:rsidR="00D20E16" w:rsidRPr="009623DA">
        <w:rPr>
          <w:rFonts w:cs="Arial"/>
          <w:bCs/>
          <w:szCs w:val="22"/>
        </w:rPr>
        <w:t>overruled Aeonova’s counsel and said that all the relevant facts were in the founding affidavit before him. He added that he had prepared a bundle of documents comprising 132 pages that he had considered relevant.</w:t>
      </w:r>
      <w:r w:rsidR="009A739F" w:rsidRPr="009623DA">
        <w:rPr>
          <w:rFonts w:cs="Arial"/>
          <w:bCs/>
          <w:szCs w:val="22"/>
        </w:rPr>
        <w:t xml:space="preserve"> This bundle of documents then served as the basis for the hearing</w:t>
      </w:r>
      <w:r w:rsidR="00761B26" w:rsidRPr="009623DA">
        <w:rPr>
          <w:rFonts w:cs="Arial"/>
          <w:bCs/>
          <w:szCs w:val="22"/>
        </w:rPr>
        <w:t xml:space="preserve"> that followed</w:t>
      </w:r>
      <w:r w:rsidR="009A739F" w:rsidRPr="009623DA">
        <w:rPr>
          <w:rFonts w:cs="Arial"/>
          <w:bCs/>
          <w:szCs w:val="22"/>
        </w:rPr>
        <w:t>.</w:t>
      </w:r>
    </w:p>
    <w:p w14:paraId="4402E69B" w14:textId="08289F05" w:rsidR="008112D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[34]</w:t>
      </w:r>
      <w:r w:rsidRPr="009623DA">
        <w:rPr>
          <w:rFonts w:cs="Arial"/>
          <w:bCs/>
          <w:szCs w:val="22"/>
        </w:rPr>
        <w:tab/>
      </w:r>
      <w:r w:rsidR="008112DE" w:rsidRPr="009623DA">
        <w:rPr>
          <w:rFonts w:cs="Arial"/>
          <w:bCs/>
          <w:szCs w:val="22"/>
        </w:rPr>
        <w:t xml:space="preserve">There was a discussion about whether Aeonova should or was entitled to file an answering affidavit and Altech’s counsel </w:t>
      </w:r>
      <w:r w:rsidR="00FD378D" w:rsidRPr="009623DA">
        <w:rPr>
          <w:rFonts w:cs="Arial"/>
          <w:bCs/>
          <w:szCs w:val="22"/>
        </w:rPr>
        <w:t>was of</w:t>
      </w:r>
      <w:r w:rsidR="008112DE" w:rsidRPr="009623DA">
        <w:rPr>
          <w:rFonts w:cs="Arial"/>
          <w:bCs/>
          <w:szCs w:val="22"/>
        </w:rPr>
        <w:t xml:space="preserve"> the opinion that Aeonova was entitled to file an answering affidavit and said that Altech had no objection to the recusal application being postponed provided the application for amendment was also postponed.</w:t>
      </w:r>
      <w:r w:rsidR="00D63DBC" w:rsidRPr="009623DA">
        <w:rPr>
          <w:rFonts w:cs="Arial"/>
          <w:bCs/>
          <w:szCs w:val="22"/>
        </w:rPr>
        <w:t xml:space="preserve"> This alternative was not acceptable to Aeonova</w:t>
      </w:r>
      <w:r w:rsidR="00C47768" w:rsidRPr="009623DA">
        <w:rPr>
          <w:rFonts w:cs="Arial"/>
          <w:bCs/>
          <w:szCs w:val="22"/>
        </w:rPr>
        <w:t>. This stance was not surprising as it would have achieved the same result as was intended by the urgent application for a stay that was struck off the role a few days before.</w:t>
      </w:r>
    </w:p>
    <w:p w14:paraId="3E55A3E9" w14:textId="0FF0137F" w:rsidR="008112D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lastRenderedPageBreak/>
        <w:t>[35]</w:t>
      </w:r>
      <w:r w:rsidRPr="009623DA">
        <w:rPr>
          <w:rFonts w:cs="Arial"/>
          <w:bCs/>
          <w:szCs w:val="22"/>
        </w:rPr>
        <w:tab/>
      </w:r>
      <w:r w:rsidR="008112DE" w:rsidRPr="009623DA">
        <w:rPr>
          <w:rFonts w:cs="Arial"/>
          <w:bCs/>
          <w:szCs w:val="22"/>
        </w:rPr>
        <w:t>After a discussion and adjournment, the recusal application was continued with.</w:t>
      </w:r>
    </w:p>
    <w:p w14:paraId="77995B0E" w14:textId="3800C0C5" w:rsidR="0081003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[36]</w:t>
      </w:r>
      <w:r w:rsidRPr="009623DA">
        <w:rPr>
          <w:rFonts w:cs="Arial"/>
          <w:bCs/>
          <w:szCs w:val="22"/>
        </w:rPr>
        <w:tab/>
      </w:r>
      <w:r w:rsidR="0081003E" w:rsidRPr="009623DA">
        <w:rPr>
          <w:rFonts w:cs="Arial"/>
          <w:bCs/>
          <w:szCs w:val="22"/>
        </w:rPr>
        <w:t>Altech’s counsel placed on record that Altech was not proceeding with paragraph 7.1.1 of the letter of 6 March 2023</w:t>
      </w:r>
      <w:r w:rsidR="00FD378D" w:rsidRPr="009623DA">
        <w:rPr>
          <w:rFonts w:cs="Arial"/>
          <w:bCs/>
          <w:szCs w:val="22"/>
        </w:rPr>
        <w:t xml:space="preserve"> as the allegation was inaccurate</w:t>
      </w:r>
      <w:r w:rsidR="0081003E" w:rsidRPr="009623DA">
        <w:rPr>
          <w:rFonts w:cs="Arial"/>
          <w:bCs/>
          <w:szCs w:val="22"/>
        </w:rPr>
        <w:t>. I deal with this topic under a separate heading below.</w:t>
      </w:r>
    </w:p>
    <w:p w14:paraId="267DA821" w14:textId="06C4691A" w:rsidR="008112D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[37]</w:t>
      </w:r>
      <w:r w:rsidRPr="009623DA">
        <w:rPr>
          <w:rFonts w:cs="Arial"/>
          <w:bCs/>
          <w:szCs w:val="22"/>
        </w:rPr>
        <w:tab/>
      </w:r>
      <w:r w:rsidR="008112DE" w:rsidRPr="009623DA">
        <w:rPr>
          <w:rFonts w:cs="Arial"/>
          <w:bCs/>
          <w:szCs w:val="22"/>
        </w:rPr>
        <w:t xml:space="preserve">Altech’s counsel then added a fifth ground for recusal to the four grounds in the letter of 6 March 2023 and the application of 8 March 2023, namely that the arbitrator had dealt with and dismissed the application for recusal without hearing argument as provided for and guaranteed in the AFSA Rules. </w:t>
      </w:r>
    </w:p>
    <w:p w14:paraId="783A0909" w14:textId="0D6F6D65" w:rsidR="00B413B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[38]</w:t>
      </w:r>
      <w:r w:rsidRPr="009623DA">
        <w:rPr>
          <w:rFonts w:cs="Arial"/>
          <w:bCs/>
          <w:szCs w:val="22"/>
        </w:rPr>
        <w:tab/>
      </w:r>
      <w:r w:rsidR="008112DE" w:rsidRPr="009623DA">
        <w:rPr>
          <w:rFonts w:cs="Arial"/>
          <w:bCs/>
          <w:szCs w:val="22"/>
        </w:rPr>
        <w:t xml:space="preserve">The recusal application was then fully argued and the arbitrator entered into a debate with applicant’s counsel that was protracted and detailed. </w:t>
      </w:r>
      <w:r w:rsidR="00B413BD" w:rsidRPr="009623DA">
        <w:rPr>
          <w:rFonts w:cs="Arial"/>
          <w:bCs/>
          <w:szCs w:val="22"/>
        </w:rPr>
        <w:t xml:space="preserve">After dealing with the first four grounds for recusal Altech’s counsel addressed argument on the fifth, the arbitrator’s response on 8 March 2023 after receipt of the recusal application already dealt with above. </w:t>
      </w:r>
    </w:p>
    <w:p w14:paraId="7E7BFC9E" w14:textId="503B4914" w:rsidR="00B413B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[39]</w:t>
      </w:r>
      <w:r w:rsidRPr="009623DA">
        <w:rPr>
          <w:rFonts w:cs="Arial"/>
          <w:bCs/>
          <w:szCs w:val="22"/>
        </w:rPr>
        <w:tab/>
      </w:r>
      <w:r w:rsidR="00B413BD" w:rsidRPr="009623DA">
        <w:rPr>
          <w:rFonts w:cs="Arial"/>
          <w:bCs/>
          <w:szCs w:val="22"/>
        </w:rPr>
        <w:t>The arbitrator made it clear</w:t>
      </w:r>
      <w:r w:rsidR="00B413BD" w:rsidRPr="009623DA">
        <w:rPr>
          <w:rStyle w:val="FootnoteReference"/>
          <w:rFonts w:cs="Arial"/>
          <w:bCs/>
          <w:szCs w:val="22"/>
        </w:rPr>
        <w:footnoteReference w:id="16"/>
      </w:r>
      <w:r w:rsidR="00B413BD" w:rsidRPr="009623DA">
        <w:rPr>
          <w:rFonts w:cs="Arial"/>
          <w:bCs/>
          <w:szCs w:val="22"/>
        </w:rPr>
        <w:t xml:space="preserve"> that: </w:t>
      </w:r>
      <w:r w:rsidR="00B413BD" w:rsidRPr="009623DA">
        <w:rPr>
          <w:rFonts w:cs="Arial"/>
          <w:bCs/>
          <w:i/>
          <w:iCs/>
          <w:szCs w:val="22"/>
        </w:rPr>
        <w:t>“I have decided I wasn’t going to recuse myself just on the basis of the letter</w:t>
      </w:r>
      <w:r w:rsidR="00C47768" w:rsidRPr="009623DA">
        <w:rPr>
          <w:rFonts w:cs="Arial"/>
          <w:bCs/>
          <w:i/>
          <w:iCs/>
          <w:szCs w:val="22"/>
        </w:rPr>
        <w:t>.</w:t>
      </w:r>
      <w:r w:rsidR="00B413BD" w:rsidRPr="009623DA">
        <w:rPr>
          <w:rFonts w:cs="Arial"/>
          <w:bCs/>
          <w:i/>
          <w:iCs/>
          <w:szCs w:val="22"/>
        </w:rPr>
        <w:t>”</w:t>
      </w:r>
      <w:r w:rsidR="00C47768" w:rsidRPr="009623DA">
        <w:rPr>
          <w:rFonts w:cs="Arial"/>
          <w:bCs/>
          <w:szCs w:val="22"/>
        </w:rPr>
        <w:t xml:space="preserve"> </w:t>
      </w:r>
      <w:r w:rsidR="00B413BD" w:rsidRPr="009623DA">
        <w:rPr>
          <w:rFonts w:cs="Arial"/>
          <w:bCs/>
          <w:szCs w:val="22"/>
        </w:rPr>
        <w:t>As already pointed out above, he never dismissed the application for recusal</w:t>
      </w:r>
      <w:r w:rsidR="00761B26" w:rsidRPr="009623DA">
        <w:rPr>
          <w:rFonts w:cs="Arial"/>
          <w:bCs/>
          <w:szCs w:val="22"/>
        </w:rPr>
        <w:t>.</w:t>
      </w:r>
    </w:p>
    <w:p w14:paraId="0516CDD1" w14:textId="055CB292" w:rsidR="00A7021C"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[40]</w:t>
      </w:r>
      <w:r w:rsidRPr="009623DA">
        <w:rPr>
          <w:rFonts w:cs="Arial"/>
          <w:bCs/>
          <w:szCs w:val="22"/>
        </w:rPr>
        <w:tab/>
      </w:r>
      <w:r w:rsidR="00AA4E77" w:rsidRPr="009623DA">
        <w:rPr>
          <w:rFonts w:cs="Arial"/>
          <w:bCs/>
          <w:szCs w:val="22"/>
        </w:rPr>
        <w:t xml:space="preserve">After hearing Aeonova’s counsel and then Altech’s counsel in reply an </w:t>
      </w:r>
      <w:r w:rsidR="00BA0848" w:rsidRPr="009623DA">
        <w:rPr>
          <w:rFonts w:cs="Arial"/>
          <w:bCs/>
          <w:szCs w:val="22"/>
        </w:rPr>
        <w:t>adjournment</w:t>
      </w:r>
      <w:r w:rsidR="00AA4E77" w:rsidRPr="009623DA">
        <w:rPr>
          <w:rFonts w:cs="Arial"/>
          <w:bCs/>
          <w:szCs w:val="22"/>
        </w:rPr>
        <w:t xml:space="preserve"> was taken and thereafter the arbitrator gave his ruling.</w:t>
      </w:r>
      <w:r w:rsidR="00AA4E77" w:rsidRPr="009623DA">
        <w:rPr>
          <w:rStyle w:val="FootnoteReference"/>
          <w:rFonts w:cs="Arial"/>
          <w:bCs/>
          <w:szCs w:val="22"/>
        </w:rPr>
        <w:footnoteReference w:id="17"/>
      </w:r>
      <w:r w:rsidR="00C47768" w:rsidRPr="009623DA">
        <w:rPr>
          <w:rFonts w:cs="Arial"/>
          <w:bCs/>
          <w:szCs w:val="22"/>
        </w:rPr>
        <w:t xml:space="preserve"> </w:t>
      </w:r>
      <w:r w:rsidR="00954386" w:rsidRPr="009623DA">
        <w:rPr>
          <w:rFonts w:cs="Arial"/>
          <w:bCs/>
          <w:szCs w:val="22"/>
        </w:rPr>
        <w:t>T</w:t>
      </w:r>
      <w:r w:rsidR="008112DE" w:rsidRPr="009623DA">
        <w:rPr>
          <w:rFonts w:cs="Arial"/>
          <w:bCs/>
          <w:szCs w:val="22"/>
        </w:rPr>
        <w:t xml:space="preserve">he arbitrator </w:t>
      </w:r>
      <w:r w:rsidR="007E54E5" w:rsidRPr="009623DA">
        <w:rPr>
          <w:rFonts w:cs="Arial"/>
          <w:bCs/>
          <w:szCs w:val="22"/>
        </w:rPr>
        <w:t>made</w:t>
      </w:r>
      <w:r w:rsidR="008112DE" w:rsidRPr="009623DA">
        <w:rPr>
          <w:rFonts w:cs="Arial"/>
          <w:bCs/>
          <w:szCs w:val="22"/>
        </w:rPr>
        <w:t xml:space="preserve"> a long and detailed </w:t>
      </w:r>
      <w:r w:rsidR="008112DE" w:rsidRPr="009623DA">
        <w:rPr>
          <w:rFonts w:cs="Arial"/>
          <w:bCs/>
          <w:i/>
          <w:szCs w:val="22"/>
        </w:rPr>
        <w:t xml:space="preserve">ex tempore </w:t>
      </w:r>
      <w:r w:rsidR="007E54E5" w:rsidRPr="009623DA">
        <w:rPr>
          <w:rFonts w:cs="Arial"/>
          <w:bCs/>
          <w:szCs w:val="22"/>
        </w:rPr>
        <w:t>ruling</w:t>
      </w:r>
      <w:r w:rsidR="008112DE" w:rsidRPr="009623DA">
        <w:rPr>
          <w:rFonts w:cs="Arial"/>
          <w:bCs/>
          <w:szCs w:val="22"/>
        </w:rPr>
        <w:t xml:space="preserve">. The </w:t>
      </w:r>
      <w:r w:rsidR="00C47768" w:rsidRPr="009623DA">
        <w:rPr>
          <w:rFonts w:cs="Arial"/>
          <w:bCs/>
          <w:szCs w:val="22"/>
        </w:rPr>
        <w:t>ruling</w:t>
      </w:r>
      <w:r w:rsidR="00A100BA" w:rsidRPr="009623DA">
        <w:rPr>
          <w:rFonts w:cs="Arial"/>
          <w:bCs/>
          <w:szCs w:val="22"/>
        </w:rPr>
        <w:t xml:space="preserve"> was given</w:t>
      </w:r>
      <w:r w:rsidR="008112DE" w:rsidRPr="009623DA">
        <w:rPr>
          <w:rFonts w:cs="Arial"/>
          <w:bCs/>
          <w:szCs w:val="22"/>
        </w:rPr>
        <w:t xml:space="preserve"> with reference to the </w:t>
      </w:r>
      <w:r w:rsidR="00D92C84" w:rsidRPr="009623DA">
        <w:rPr>
          <w:rFonts w:cs="Arial"/>
          <w:bCs/>
          <w:szCs w:val="22"/>
        </w:rPr>
        <w:t>bundle prepared by the arbitrator himself.</w:t>
      </w:r>
      <w:r w:rsidR="00A100BA" w:rsidRPr="009623DA">
        <w:rPr>
          <w:rFonts w:cs="Arial"/>
          <w:bCs/>
          <w:szCs w:val="22"/>
        </w:rPr>
        <w:t xml:space="preserve"> </w:t>
      </w:r>
      <w:r w:rsidR="008112DE" w:rsidRPr="009623DA">
        <w:rPr>
          <w:rFonts w:cs="Arial"/>
          <w:bCs/>
          <w:szCs w:val="22"/>
        </w:rPr>
        <w:t xml:space="preserve">The difference between a carefully planned </w:t>
      </w:r>
      <w:r w:rsidR="007E54E5" w:rsidRPr="009623DA">
        <w:rPr>
          <w:rFonts w:cs="Arial"/>
          <w:bCs/>
          <w:szCs w:val="22"/>
        </w:rPr>
        <w:t xml:space="preserve">written </w:t>
      </w:r>
      <w:r w:rsidR="008112DE" w:rsidRPr="009623DA">
        <w:rPr>
          <w:rFonts w:cs="Arial"/>
          <w:bCs/>
          <w:szCs w:val="22"/>
        </w:rPr>
        <w:t xml:space="preserve">award and the arbitrator’s award or ruling given </w:t>
      </w:r>
      <w:r w:rsidR="008112DE" w:rsidRPr="009623DA">
        <w:rPr>
          <w:rFonts w:cs="Arial"/>
          <w:bCs/>
          <w:i/>
          <w:szCs w:val="22"/>
        </w:rPr>
        <w:t>ex tempore</w:t>
      </w:r>
      <w:r w:rsidR="008112DE" w:rsidRPr="009623DA">
        <w:rPr>
          <w:rFonts w:cs="Arial"/>
          <w:bCs/>
          <w:szCs w:val="22"/>
        </w:rPr>
        <w:t xml:space="preserve"> is best illustrated by</w:t>
      </w:r>
      <w:r w:rsidR="007E54E5" w:rsidRPr="009623DA">
        <w:rPr>
          <w:rFonts w:cs="Arial"/>
          <w:bCs/>
          <w:szCs w:val="22"/>
        </w:rPr>
        <w:t xml:space="preserve"> comparison with</w:t>
      </w:r>
      <w:r w:rsidR="008112DE" w:rsidRPr="009623DA">
        <w:rPr>
          <w:rFonts w:cs="Arial"/>
          <w:bCs/>
          <w:szCs w:val="22"/>
        </w:rPr>
        <w:t xml:space="preserve"> his award dated 4 April 2023 pertaining to the application for leave to amend </w:t>
      </w:r>
      <w:r w:rsidR="00A100BA" w:rsidRPr="009623DA">
        <w:rPr>
          <w:rFonts w:cs="Arial"/>
          <w:bCs/>
          <w:szCs w:val="22"/>
        </w:rPr>
        <w:t>brought</w:t>
      </w:r>
      <w:r w:rsidR="008112DE" w:rsidRPr="009623DA">
        <w:rPr>
          <w:rFonts w:cs="Arial"/>
          <w:bCs/>
          <w:szCs w:val="22"/>
        </w:rPr>
        <w:t xml:space="preserve"> by Altech</w:t>
      </w:r>
      <w:r w:rsidR="0090677E" w:rsidRPr="009623DA">
        <w:rPr>
          <w:rFonts w:cs="Arial"/>
          <w:bCs/>
          <w:szCs w:val="22"/>
        </w:rPr>
        <w:t>, and that also form part of the papers in this application. The difference is stark.</w:t>
      </w:r>
    </w:p>
    <w:p w14:paraId="02FE69F5" w14:textId="4CF24563" w:rsidR="00A7021C" w:rsidRPr="009623DA" w:rsidRDefault="003C78F7" w:rsidP="003C78F7">
      <w:pPr>
        <w:widowControl w:val="0"/>
        <w:tabs>
          <w:tab w:val="left" w:pos="567"/>
        </w:tabs>
        <w:spacing w:before="480" w:after="480" w:line="360" w:lineRule="auto"/>
        <w:jc w:val="both"/>
        <w:rPr>
          <w:rFonts w:cs="Arial"/>
          <w:bCs/>
          <w:szCs w:val="22"/>
          <w:u w:val="single"/>
        </w:rPr>
      </w:pPr>
      <w:r w:rsidRPr="009623DA">
        <w:rPr>
          <w:rFonts w:cs="Arial"/>
          <w:bCs/>
          <w:szCs w:val="22"/>
        </w:rPr>
        <w:t>[41]</w:t>
      </w:r>
      <w:r w:rsidRPr="009623DA">
        <w:rPr>
          <w:rFonts w:cs="Arial"/>
          <w:bCs/>
          <w:szCs w:val="22"/>
        </w:rPr>
        <w:tab/>
      </w:r>
      <w:r w:rsidR="0084184E" w:rsidRPr="009623DA">
        <w:rPr>
          <w:rFonts w:cs="Arial"/>
          <w:bCs/>
          <w:szCs w:val="22"/>
        </w:rPr>
        <w:t xml:space="preserve">The arbitrator dealt with case law, in particular with </w:t>
      </w:r>
      <w:r w:rsidR="00A7021C" w:rsidRPr="009623DA">
        <w:rPr>
          <w:rFonts w:cs="Arial"/>
          <w:bCs/>
          <w:szCs w:val="22"/>
        </w:rPr>
        <w:t xml:space="preserve">the landmark judgment of the Constitutional Court in </w:t>
      </w:r>
      <w:r w:rsidR="00A7021C" w:rsidRPr="009623DA">
        <w:rPr>
          <w:rFonts w:cs="Arial"/>
          <w:i/>
          <w:iCs/>
          <w:szCs w:val="22"/>
        </w:rPr>
        <w:t xml:space="preserve">President of the Republic of South Africa and Others v South </w:t>
      </w:r>
      <w:r w:rsidR="00A7021C" w:rsidRPr="009623DA">
        <w:rPr>
          <w:rFonts w:cs="Arial"/>
          <w:i/>
          <w:iCs/>
          <w:szCs w:val="22"/>
        </w:rPr>
        <w:lastRenderedPageBreak/>
        <w:t>African Rugby Football Union and Others</w:t>
      </w:r>
      <w:r w:rsidR="00A7021C" w:rsidRPr="009623DA">
        <w:rPr>
          <w:rStyle w:val="FootnoteReference"/>
          <w:rFonts w:cs="Arial"/>
          <w:i/>
          <w:iCs/>
          <w:szCs w:val="22"/>
        </w:rPr>
        <w:footnoteReference w:id="18"/>
      </w:r>
      <w:r w:rsidR="00A7021C" w:rsidRPr="009623DA">
        <w:rPr>
          <w:rFonts w:cs="Arial"/>
          <w:szCs w:val="22"/>
        </w:rPr>
        <w:t xml:space="preserve"> </w:t>
      </w:r>
      <w:r w:rsidR="00761B26" w:rsidRPr="009623DA">
        <w:rPr>
          <w:rFonts w:cs="Arial"/>
          <w:szCs w:val="22"/>
        </w:rPr>
        <w:t>before turning to the facts before him.</w:t>
      </w:r>
    </w:p>
    <w:p w14:paraId="2952C4B9" w14:textId="75049C6F" w:rsidR="00856FF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[42]</w:t>
      </w:r>
      <w:r w:rsidRPr="009623DA">
        <w:rPr>
          <w:rFonts w:cs="Arial"/>
          <w:bCs/>
          <w:szCs w:val="22"/>
        </w:rPr>
        <w:tab/>
      </w:r>
      <w:r w:rsidR="00A7021C" w:rsidRPr="009623DA">
        <w:rPr>
          <w:rFonts w:cs="Arial"/>
          <w:bCs/>
          <w:szCs w:val="22"/>
        </w:rPr>
        <w:t xml:space="preserve">He stressed that he was appointed by the consent of the parties and that prior to his appointment he had no knowledge of the parties. </w:t>
      </w:r>
      <w:r w:rsidR="00856FF2" w:rsidRPr="009623DA">
        <w:rPr>
          <w:rFonts w:cs="Arial"/>
          <w:bCs/>
          <w:szCs w:val="22"/>
        </w:rPr>
        <w:t>He derived all his initial knowledge of the parties and their disputes from reading the record.</w:t>
      </w:r>
    </w:p>
    <w:p w14:paraId="3F757552" w14:textId="5773154A" w:rsidR="00CB46F0" w:rsidRPr="009623DA" w:rsidRDefault="003C78F7" w:rsidP="003C78F7">
      <w:pPr>
        <w:widowControl w:val="0"/>
        <w:tabs>
          <w:tab w:val="left" w:pos="567"/>
        </w:tabs>
        <w:autoSpaceDE w:val="0"/>
        <w:autoSpaceDN w:val="0"/>
        <w:adjustRightInd w:val="0"/>
        <w:spacing w:before="480" w:after="480" w:line="360" w:lineRule="auto"/>
        <w:jc w:val="both"/>
        <w:rPr>
          <w:rFonts w:cs="Arial"/>
          <w:szCs w:val="22"/>
          <w:lang w:eastAsia="en-ZA"/>
        </w:rPr>
      </w:pPr>
      <w:r w:rsidRPr="009623DA">
        <w:rPr>
          <w:rFonts w:cs="Arial"/>
          <w:szCs w:val="22"/>
          <w:lang w:eastAsia="en-ZA"/>
        </w:rPr>
        <w:t>[43]</w:t>
      </w:r>
      <w:r w:rsidRPr="009623DA">
        <w:rPr>
          <w:rFonts w:cs="Arial"/>
          <w:szCs w:val="22"/>
          <w:lang w:eastAsia="en-ZA"/>
        </w:rPr>
        <w:tab/>
      </w:r>
      <w:r w:rsidR="00A7021C" w:rsidRPr="009623DA">
        <w:rPr>
          <w:rFonts w:cs="Arial"/>
          <w:bCs/>
          <w:szCs w:val="22"/>
        </w:rPr>
        <w:t xml:space="preserve">When he was appointed he signed a declaration in terms of Rule 14.1.2 of the AFSA </w:t>
      </w:r>
      <w:r w:rsidR="00CB46F0" w:rsidRPr="009623DA">
        <w:rPr>
          <w:rFonts w:cs="Arial"/>
          <w:bCs/>
          <w:szCs w:val="22"/>
        </w:rPr>
        <w:t xml:space="preserve">Commercial </w:t>
      </w:r>
      <w:r w:rsidR="00A7021C" w:rsidRPr="009623DA">
        <w:rPr>
          <w:rFonts w:cs="Arial"/>
          <w:bCs/>
          <w:szCs w:val="22"/>
        </w:rPr>
        <w:t>Rules.</w:t>
      </w:r>
      <w:r w:rsidR="0029605B" w:rsidRPr="009623DA">
        <w:rPr>
          <w:rFonts w:cs="Arial"/>
          <w:bCs/>
          <w:szCs w:val="22"/>
        </w:rPr>
        <w:t xml:space="preserve"> Article</w:t>
      </w:r>
      <w:r w:rsidR="00CB46F0" w:rsidRPr="009623DA">
        <w:rPr>
          <w:rFonts w:cs="Arial"/>
          <w:bCs/>
          <w:szCs w:val="22"/>
        </w:rPr>
        <w:t xml:space="preserve"> 14.1 provides as follows:</w:t>
      </w:r>
    </w:p>
    <w:p w14:paraId="51601B20" w14:textId="71CD1F17" w:rsidR="00CB46F0" w:rsidRPr="009623DA" w:rsidRDefault="00CB46F0" w:rsidP="00CB46F0">
      <w:pPr>
        <w:widowControl w:val="0"/>
        <w:autoSpaceDE w:val="0"/>
        <w:autoSpaceDN w:val="0"/>
        <w:adjustRightInd w:val="0"/>
        <w:spacing w:before="480" w:after="480" w:line="360" w:lineRule="auto"/>
        <w:ind w:left="1440"/>
        <w:jc w:val="both"/>
        <w:rPr>
          <w:rFonts w:cs="Arial"/>
          <w:i/>
          <w:iCs/>
          <w:szCs w:val="22"/>
          <w:lang w:eastAsia="en-ZA"/>
        </w:rPr>
      </w:pPr>
      <w:r w:rsidRPr="009623DA">
        <w:rPr>
          <w:rFonts w:cs="Arial"/>
          <w:i/>
          <w:iCs/>
          <w:szCs w:val="22"/>
          <w:lang w:eastAsia="en-ZA"/>
        </w:rPr>
        <w:t>“14.1.1 A prospective arbitrator shall, before his appointment by the Secretariat, in writing disclose to the Secretariat any facts and circumstances of which he is aware and which might reasonably give rise to justified doubts as to his independence or impartiality in the eyes of the parties. An arbitrator already appointed shall, if any facts or circumstances of which he is aware thereafter arise, which might reasonably give rise to justified doubts as to his independence or impartiality in the eyes of the parties, in writing disclose the same to the Secretariat.”</w:t>
      </w:r>
    </w:p>
    <w:p w14:paraId="7E89B29D" w14:textId="78B5EF11" w:rsidR="00CB46F0" w:rsidRPr="009623DA" w:rsidRDefault="00CB46F0" w:rsidP="00CB46F0">
      <w:pPr>
        <w:widowControl w:val="0"/>
        <w:autoSpaceDE w:val="0"/>
        <w:autoSpaceDN w:val="0"/>
        <w:adjustRightInd w:val="0"/>
        <w:spacing w:before="480" w:after="480" w:line="360" w:lineRule="auto"/>
        <w:ind w:left="1440"/>
        <w:jc w:val="both"/>
        <w:rPr>
          <w:rFonts w:cs="Arial"/>
          <w:bCs/>
          <w:i/>
          <w:iCs/>
          <w:szCs w:val="22"/>
        </w:rPr>
      </w:pPr>
      <w:r w:rsidRPr="009623DA">
        <w:rPr>
          <w:rFonts w:cs="Arial"/>
          <w:i/>
          <w:iCs/>
          <w:szCs w:val="22"/>
          <w:lang w:eastAsia="en-ZA"/>
        </w:rPr>
        <w:t>14.1.2 Where 14.1.1 is not applicable, an arbitrator shall, on assuming his duties, sign and furnish to the Secretariat a declaration to the effect that he is not aware of any circumstances which might reasonably give rise to justified doubts as to his independence or impartiality to act as arbitrator in the matter, and that he will forthwith disclose such circumstances to the Secretariat if they should arise at any time before the arbitration is concluded.</w:t>
      </w:r>
    </w:p>
    <w:p w14:paraId="2C34BF8B" w14:textId="3585574E" w:rsidR="00E03EBC"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[44]</w:t>
      </w:r>
      <w:r w:rsidRPr="009623DA">
        <w:rPr>
          <w:rFonts w:cs="Arial"/>
          <w:bCs/>
          <w:szCs w:val="22"/>
        </w:rPr>
        <w:tab/>
      </w:r>
      <w:r w:rsidR="00856FF2" w:rsidRPr="009623DA">
        <w:rPr>
          <w:rFonts w:cs="Arial"/>
          <w:bCs/>
          <w:szCs w:val="22"/>
        </w:rPr>
        <w:t xml:space="preserve">The arbitrator analysed the </w:t>
      </w:r>
      <w:r w:rsidR="003448B1" w:rsidRPr="009623DA">
        <w:rPr>
          <w:rFonts w:cs="Arial"/>
          <w:bCs/>
          <w:szCs w:val="22"/>
        </w:rPr>
        <w:t xml:space="preserve">documentation </w:t>
      </w:r>
      <w:r w:rsidR="00ED370F" w:rsidRPr="009623DA">
        <w:rPr>
          <w:rFonts w:cs="Arial"/>
          <w:bCs/>
          <w:szCs w:val="22"/>
        </w:rPr>
        <w:t xml:space="preserve">and </w:t>
      </w:r>
      <w:r w:rsidR="008040B5" w:rsidRPr="009623DA">
        <w:rPr>
          <w:rFonts w:cs="Arial"/>
          <w:bCs/>
          <w:szCs w:val="22"/>
        </w:rPr>
        <w:t>analysed the grounds for recusal in</w:t>
      </w:r>
      <w:r w:rsidR="00ED370F" w:rsidRPr="009623DA">
        <w:rPr>
          <w:rFonts w:cs="Arial"/>
          <w:bCs/>
          <w:szCs w:val="22"/>
        </w:rPr>
        <w:t xml:space="preserve"> the letter of 6 March 2023.</w:t>
      </w:r>
      <w:r w:rsidR="00CF2496" w:rsidRPr="009623DA">
        <w:rPr>
          <w:rFonts w:cs="Arial"/>
          <w:bCs/>
          <w:szCs w:val="22"/>
        </w:rPr>
        <w:t xml:space="preserve"> After an exhaustive analysis he dismissed the application for his recusal.</w:t>
      </w:r>
      <w:r w:rsidR="0016589D" w:rsidRPr="009623DA">
        <w:rPr>
          <w:rFonts w:cs="Arial"/>
          <w:bCs/>
          <w:szCs w:val="22"/>
        </w:rPr>
        <w:t xml:space="preserve"> The hearing took about five hours.</w:t>
      </w:r>
    </w:p>
    <w:p w14:paraId="6FC5C459" w14:textId="6B2CECCD" w:rsidR="0016589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[45]</w:t>
      </w:r>
      <w:r w:rsidRPr="009623DA">
        <w:rPr>
          <w:rFonts w:cs="Arial"/>
          <w:bCs/>
          <w:szCs w:val="22"/>
        </w:rPr>
        <w:tab/>
      </w:r>
      <w:r w:rsidR="0016589D" w:rsidRPr="009623DA">
        <w:rPr>
          <w:rFonts w:cs="Arial"/>
          <w:bCs/>
          <w:szCs w:val="22"/>
        </w:rPr>
        <w:t>I am of the view that the arbitrator did not dismiss the recusal application without hearing argument and that there is no evidence that he pre-judged the demand for this recusal without hearing argument</w:t>
      </w:r>
      <w:r w:rsidR="00C47768" w:rsidRPr="009623DA">
        <w:rPr>
          <w:rFonts w:cs="Arial"/>
          <w:bCs/>
          <w:szCs w:val="22"/>
        </w:rPr>
        <w:t xml:space="preserve"> but by pretending that he was listening to argument</w:t>
      </w:r>
      <w:r w:rsidR="0016589D" w:rsidRPr="009623DA">
        <w:rPr>
          <w:rFonts w:cs="Arial"/>
          <w:bCs/>
          <w:szCs w:val="22"/>
        </w:rPr>
        <w:t>.</w:t>
      </w:r>
      <w:r w:rsidR="00761B26" w:rsidRPr="009623DA">
        <w:rPr>
          <w:rFonts w:cs="Arial"/>
          <w:bCs/>
          <w:szCs w:val="22"/>
        </w:rPr>
        <w:t xml:space="preserve"> </w:t>
      </w:r>
      <w:r w:rsidR="00761B26" w:rsidRPr="009623DA">
        <w:rPr>
          <w:rFonts w:cs="Arial"/>
          <w:bCs/>
          <w:szCs w:val="22"/>
        </w:rPr>
        <w:lastRenderedPageBreak/>
        <w:t>There is a vast difference between dismissing an application and a decision not to recuse oneself upon reading what one of the two parties had to say on the subject</w:t>
      </w:r>
      <w:r w:rsidR="00377CD6" w:rsidRPr="009623DA">
        <w:rPr>
          <w:rFonts w:cs="Arial"/>
          <w:bCs/>
          <w:szCs w:val="22"/>
        </w:rPr>
        <w:t>.</w:t>
      </w:r>
    </w:p>
    <w:p w14:paraId="271D3F92" w14:textId="79772755" w:rsidR="00FD378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[46]</w:t>
      </w:r>
      <w:r w:rsidRPr="009623DA">
        <w:rPr>
          <w:rFonts w:cs="Arial"/>
          <w:bCs/>
          <w:szCs w:val="22"/>
        </w:rPr>
        <w:tab/>
      </w:r>
      <w:r w:rsidR="00CE35B4" w:rsidRPr="009623DA">
        <w:rPr>
          <w:rFonts w:cs="Arial"/>
          <w:bCs/>
          <w:szCs w:val="22"/>
        </w:rPr>
        <w:t xml:space="preserve">The arbitrator’s email of 6 March 2023 and the events set out in the transcript stand in sharp contrast to the allegations in the founding affidavit to the effect that </w:t>
      </w:r>
      <w:r w:rsidR="00CE35B4" w:rsidRPr="009623DA">
        <w:rPr>
          <w:rFonts w:cs="Arial"/>
          <w:bCs/>
          <w:i/>
          <w:iCs/>
          <w:szCs w:val="22"/>
        </w:rPr>
        <w:t>“…whilst the Arbitrator may have only indicated in is 8 March email that he would rule against Altech’s application, this was made abundantly clear at the beginning stages of the recusal hearing.”</w:t>
      </w:r>
      <w:r w:rsidR="00CE35B4" w:rsidRPr="009623DA">
        <w:rPr>
          <w:rStyle w:val="FootnoteReference"/>
          <w:rFonts w:cs="Arial"/>
          <w:bCs/>
          <w:i/>
          <w:iCs/>
          <w:szCs w:val="22"/>
        </w:rPr>
        <w:footnoteReference w:id="19"/>
      </w:r>
      <w:r w:rsidR="00CE35B4" w:rsidRPr="009623DA">
        <w:rPr>
          <w:rFonts w:cs="Arial"/>
          <w:bCs/>
          <w:szCs w:val="22"/>
        </w:rPr>
        <w:t xml:space="preserve">  These </w:t>
      </w:r>
      <w:r w:rsidR="00FD378D" w:rsidRPr="009623DA">
        <w:rPr>
          <w:rFonts w:cs="Arial"/>
          <w:bCs/>
          <w:szCs w:val="22"/>
        </w:rPr>
        <w:t xml:space="preserve">are the </w:t>
      </w:r>
      <w:r w:rsidR="00CE35B4" w:rsidRPr="009623DA">
        <w:rPr>
          <w:rFonts w:cs="Arial"/>
          <w:bCs/>
          <w:szCs w:val="22"/>
        </w:rPr>
        <w:t xml:space="preserve">averments </w:t>
      </w:r>
      <w:r w:rsidR="00FD378D" w:rsidRPr="009623DA">
        <w:rPr>
          <w:rFonts w:cs="Arial"/>
          <w:bCs/>
          <w:szCs w:val="22"/>
        </w:rPr>
        <w:t xml:space="preserve">that Altech came to Court on </w:t>
      </w:r>
      <w:r w:rsidR="00C47768" w:rsidRPr="009623DA">
        <w:rPr>
          <w:rFonts w:cs="Arial"/>
          <w:bCs/>
          <w:szCs w:val="22"/>
        </w:rPr>
        <w:t>but</w:t>
      </w:r>
      <w:r w:rsidR="00FD378D" w:rsidRPr="009623DA">
        <w:rPr>
          <w:rFonts w:cs="Arial"/>
          <w:bCs/>
          <w:szCs w:val="22"/>
        </w:rPr>
        <w:t xml:space="preserve"> </w:t>
      </w:r>
      <w:r w:rsidR="00CE35B4" w:rsidRPr="009623DA">
        <w:rPr>
          <w:rFonts w:cs="Arial"/>
          <w:bCs/>
          <w:szCs w:val="22"/>
        </w:rPr>
        <w:t xml:space="preserve">are not borne out by the common cause facts, namely the </w:t>
      </w:r>
      <w:r w:rsidR="008040B5" w:rsidRPr="009623DA">
        <w:rPr>
          <w:rFonts w:cs="Arial"/>
          <w:bCs/>
          <w:szCs w:val="22"/>
        </w:rPr>
        <w:t xml:space="preserve">wording of the </w:t>
      </w:r>
      <w:r w:rsidR="00CE35B4" w:rsidRPr="009623DA">
        <w:rPr>
          <w:rFonts w:cs="Arial"/>
          <w:bCs/>
          <w:szCs w:val="22"/>
        </w:rPr>
        <w:t>email and the proceedings on 9 March 2023.</w:t>
      </w:r>
      <w:r w:rsidR="00E17143" w:rsidRPr="009623DA">
        <w:rPr>
          <w:rStyle w:val="FootnoteReference"/>
          <w:rFonts w:cs="Arial"/>
          <w:bCs/>
          <w:szCs w:val="22"/>
        </w:rPr>
        <w:footnoteReference w:id="20"/>
      </w:r>
      <w:r w:rsidR="00E86395" w:rsidRPr="009623DA">
        <w:rPr>
          <w:rFonts w:cs="Arial"/>
          <w:bCs/>
          <w:szCs w:val="22"/>
        </w:rPr>
        <w:t xml:space="preserve"> </w:t>
      </w:r>
    </w:p>
    <w:p w14:paraId="2D8454DC" w14:textId="0A6FAE1C" w:rsidR="00CE35B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[47]</w:t>
      </w:r>
      <w:r w:rsidRPr="009623DA">
        <w:rPr>
          <w:rFonts w:cs="Arial"/>
          <w:bCs/>
          <w:szCs w:val="22"/>
        </w:rPr>
        <w:tab/>
      </w:r>
      <w:r w:rsidR="00FD378D" w:rsidRPr="009623DA">
        <w:rPr>
          <w:rFonts w:cs="Arial"/>
          <w:bCs/>
          <w:szCs w:val="22"/>
        </w:rPr>
        <w:t>The arbitrator</w:t>
      </w:r>
      <w:r w:rsidR="00E86395" w:rsidRPr="009623DA">
        <w:rPr>
          <w:rFonts w:cs="Arial"/>
          <w:bCs/>
          <w:szCs w:val="22"/>
        </w:rPr>
        <w:t xml:space="preserve"> did not say in his email that he would rule against Altech at a hearing and he dealt with the recusal application in preference to the amendment set down for the day, even though the application had been brought on very short notice and </w:t>
      </w:r>
      <w:r w:rsidR="008040B5" w:rsidRPr="009623DA">
        <w:rPr>
          <w:rFonts w:cs="Arial"/>
          <w:bCs/>
          <w:szCs w:val="22"/>
        </w:rPr>
        <w:t>Aeonova was</w:t>
      </w:r>
      <w:r w:rsidR="00C47768" w:rsidRPr="009623DA">
        <w:rPr>
          <w:rFonts w:cs="Arial"/>
          <w:bCs/>
          <w:szCs w:val="22"/>
        </w:rPr>
        <w:t xml:space="preserve"> potentially</w:t>
      </w:r>
      <w:r w:rsidR="008040B5" w:rsidRPr="009623DA">
        <w:rPr>
          <w:rFonts w:cs="Arial"/>
          <w:bCs/>
          <w:szCs w:val="22"/>
        </w:rPr>
        <w:t xml:space="preserve"> prejudiced thereby.</w:t>
      </w:r>
    </w:p>
    <w:p w14:paraId="5717827B" w14:textId="6D024075" w:rsidR="0019236B"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[48]</w:t>
      </w:r>
      <w:r w:rsidRPr="009623DA">
        <w:rPr>
          <w:rFonts w:cs="Arial"/>
          <w:bCs/>
          <w:szCs w:val="22"/>
        </w:rPr>
        <w:tab/>
      </w:r>
      <w:r w:rsidR="0019236B" w:rsidRPr="009623DA">
        <w:rPr>
          <w:rFonts w:cs="Arial"/>
          <w:bCs/>
          <w:szCs w:val="22"/>
        </w:rPr>
        <w:t>The deponent to the founding affidavit accused the arbitrator of arriving at the hearing on 9 March 2023 with a pre-written judgment</w:t>
      </w:r>
      <w:r w:rsidR="0019236B" w:rsidRPr="009623DA">
        <w:rPr>
          <w:rStyle w:val="FootnoteReference"/>
          <w:rFonts w:cs="Arial"/>
          <w:bCs/>
          <w:szCs w:val="22"/>
        </w:rPr>
        <w:footnoteReference w:id="21"/>
      </w:r>
      <w:r w:rsidR="0019236B" w:rsidRPr="009623DA">
        <w:rPr>
          <w:rFonts w:cs="Arial"/>
          <w:bCs/>
          <w:szCs w:val="22"/>
        </w:rPr>
        <w:t xml:space="preserve"> and then conducting a charade.</w:t>
      </w:r>
      <w:r w:rsidR="0019236B" w:rsidRPr="009623DA">
        <w:rPr>
          <w:rStyle w:val="FootnoteReference"/>
          <w:rFonts w:cs="Arial"/>
          <w:bCs/>
          <w:szCs w:val="22"/>
        </w:rPr>
        <w:footnoteReference w:id="22"/>
      </w:r>
      <w:r w:rsidR="0019236B" w:rsidRPr="009623DA">
        <w:rPr>
          <w:rFonts w:cs="Arial"/>
          <w:bCs/>
          <w:szCs w:val="22"/>
        </w:rPr>
        <w:t xml:space="preserve"> He makes these serious </w:t>
      </w:r>
      <w:r w:rsidR="005E6A9D" w:rsidRPr="009623DA">
        <w:rPr>
          <w:rFonts w:cs="Arial"/>
          <w:bCs/>
          <w:szCs w:val="22"/>
        </w:rPr>
        <w:t xml:space="preserve">and derogatory </w:t>
      </w:r>
      <w:r w:rsidR="0019236B" w:rsidRPr="009623DA">
        <w:rPr>
          <w:rFonts w:cs="Arial"/>
          <w:bCs/>
          <w:szCs w:val="22"/>
        </w:rPr>
        <w:t>allegations under oath without offering any evidence of a pre-written judgment or a charade that carried on for five hours</w:t>
      </w:r>
      <w:r w:rsidR="005E6A9D" w:rsidRPr="009623DA">
        <w:rPr>
          <w:rFonts w:cs="Arial"/>
          <w:bCs/>
          <w:szCs w:val="22"/>
        </w:rPr>
        <w:t xml:space="preserve"> as if it was a real hearing</w:t>
      </w:r>
      <w:r w:rsidR="0019236B" w:rsidRPr="009623DA">
        <w:rPr>
          <w:rFonts w:cs="Arial"/>
          <w:bCs/>
          <w:szCs w:val="22"/>
        </w:rPr>
        <w:t>.</w:t>
      </w:r>
    </w:p>
    <w:p w14:paraId="616571EF" w14:textId="3DE3F386" w:rsidR="0019236B"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[49]</w:t>
      </w:r>
      <w:r w:rsidRPr="009623DA">
        <w:rPr>
          <w:rFonts w:cs="Arial"/>
          <w:bCs/>
          <w:szCs w:val="22"/>
        </w:rPr>
        <w:tab/>
      </w:r>
      <w:r w:rsidR="00203DA2" w:rsidRPr="009623DA">
        <w:rPr>
          <w:rFonts w:cs="Arial"/>
          <w:bCs/>
          <w:szCs w:val="22"/>
        </w:rPr>
        <w:t>He refers to the arbitrator arriving at the hearing armed with a bundle of documents and relevant case law. While it is normally true that the parties (usually or often the applicant) would prepare bundles, this is a practice and not a rule, and the arbitrator can hardly be faulted for arriving prepared with the relevant documents. There was no objection to the</w:t>
      </w:r>
      <w:r w:rsidR="007F7DAA" w:rsidRPr="009623DA">
        <w:rPr>
          <w:rFonts w:cs="Arial"/>
          <w:bCs/>
          <w:szCs w:val="22"/>
        </w:rPr>
        <w:t xml:space="preserve"> bundle of</w:t>
      </w:r>
      <w:r w:rsidR="00203DA2" w:rsidRPr="009623DA">
        <w:rPr>
          <w:rFonts w:cs="Arial"/>
          <w:bCs/>
          <w:szCs w:val="22"/>
        </w:rPr>
        <w:t xml:space="preserve"> documents by Altech’s legal team and they seemed to appreciate the trouble the arbitrator had gone to.</w:t>
      </w:r>
      <w:r w:rsidR="00C47768" w:rsidRPr="009623DA">
        <w:rPr>
          <w:rFonts w:cs="Arial"/>
          <w:bCs/>
          <w:szCs w:val="22"/>
        </w:rPr>
        <w:t xml:space="preserve"> One is in fact left wondering what would have happened on the day if the arbitrator did not have the foresight to prepare a bundle.</w:t>
      </w:r>
    </w:p>
    <w:p w14:paraId="243DA55A" w14:textId="5F9DA586" w:rsidR="00377CD6" w:rsidRPr="009623DA" w:rsidRDefault="003C78F7" w:rsidP="003C78F7">
      <w:pPr>
        <w:widowControl w:val="0"/>
        <w:tabs>
          <w:tab w:val="left" w:pos="567"/>
        </w:tabs>
        <w:spacing w:before="480" w:after="480" w:line="360" w:lineRule="auto"/>
        <w:jc w:val="both"/>
        <w:rPr>
          <w:rFonts w:cs="Arial"/>
          <w:bCs/>
          <w:szCs w:val="22"/>
          <w:u w:val="single"/>
        </w:rPr>
      </w:pPr>
      <w:r w:rsidRPr="009623DA">
        <w:rPr>
          <w:rFonts w:cs="Arial"/>
          <w:bCs/>
          <w:szCs w:val="22"/>
        </w:rPr>
        <w:lastRenderedPageBreak/>
        <w:t>[50]</w:t>
      </w:r>
      <w:r w:rsidRPr="009623DA">
        <w:rPr>
          <w:rFonts w:cs="Arial"/>
          <w:bCs/>
          <w:szCs w:val="22"/>
        </w:rPr>
        <w:tab/>
      </w:r>
      <w:r w:rsidR="00203DA2" w:rsidRPr="009623DA">
        <w:rPr>
          <w:rFonts w:cs="Arial"/>
          <w:bCs/>
          <w:szCs w:val="22"/>
        </w:rPr>
        <w:t>It is also by no means uncommon for a judge or arbitrator to prepare for a hearing by reading relevant case law and taking copies of court cases into the hearing. The arbitrator should be commen</w:t>
      </w:r>
      <w:r w:rsidR="00E86395" w:rsidRPr="009623DA">
        <w:rPr>
          <w:rFonts w:cs="Arial"/>
          <w:bCs/>
          <w:szCs w:val="22"/>
        </w:rPr>
        <w:t>d</w:t>
      </w:r>
      <w:r w:rsidR="00203DA2" w:rsidRPr="009623DA">
        <w:rPr>
          <w:rFonts w:cs="Arial"/>
          <w:bCs/>
          <w:szCs w:val="22"/>
        </w:rPr>
        <w:t>ed for his diligence rather than criticised for doing so.</w:t>
      </w:r>
    </w:p>
    <w:p w14:paraId="0253B45C" w14:textId="77777777" w:rsidR="00CB3B51" w:rsidRPr="009623DA" w:rsidRDefault="00CB3B51" w:rsidP="00A7021C">
      <w:pPr>
        <w:widowControl w:val="0"/>
        <w:spacing w:before="480" w:after="480" w:line="360" w:lineRule="auto"/>
        <w:jc w:val="both"/>
        <w:rPr>
          <w:rFonts w:cs="Arial"/>
          <w:bCs/>
          <w:szCs w:val="22"/>
          <w:u w:val="single"/>
        </w:rPr>
      </w:pPr>
    </w:p>
    <w:p w14:paraId="4729A8A3" w14:textId="63F67E2F" w:rsidR="00F47653" w:rsidRPr="009623DA" w:rsidRDefault="00F47653" w:rsidP="00A7021C">
      <w:pPr>
        <w:widowControl w:val="0"/>
        <w:spacing w:before="480" w:after="480" w:line="360" w:lineRule="auto"/>
        <w:jc w:val="both"/>
        <w:rPr>
          <w:rFonts w:cs="Arial"/>
          <w:bCs/>
          <w:szCs w:val="22"/>
          <w:u w:val="single"/>
        </w:rPr>
      </w:pPr>
      <w:r w:rsidRPr="009623DA">
        <w:rPr>
          <w:rFonts w:cs="Arial"/>
          <w:bCs/>
          <w:szCs w:val="22"/>
          <w:u w:val="single"/>
        </w:rPr>
        <w:t>Does the AFSA Rules require a formal recusal application with evidence or is a letter sufficient?</w:t>
      </w:r>
    </w:p>
    <w:p w14:paraId="3525F40F" w14:textId="5A85F1E4" w:rsidR="003E015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[51]</w:t>
      </w:r>
      <w:r w:rsidRPr="009623DA">
        <w:rPr>
          <w:rFonts w:cs="Arial"/>
          <w:bCs/>
          <w:szCs w:val="22"/>
        </w:rPr>
        <w:tab/>
      </w:r>
      <w:r w:rsidR="003E0159" w:rsidRPr="009623DA">
        <w:rPr>
          <w:rFonts w:cs="Arial"/>
          <w:bCs/>
          <w:szCs w:val="22"/>
        </w:rPr>
        <w:t xml:space="preserve">The question whether the AFSA Rules required a formal application on affidavit for a recusal application, was debated during argument </w:t>
      </w:r>
      <w:r w:rsidR="0090677E" w:rsidRPr="009623DA">
        <w:rPr>
          <w:rFonts w:cs="Arial"/>
          <w:bCs/>
          <w:szCs w:val="22"/>
        </w:rPr>
        <w:t xml:space="preserve">but Altech came to court on the basis that </w:t>
      </w:r>
      <w:r w:rsidR="003E0159" w:rsidRPr="009623DA">
        <w:rPr>
          <w:rFonts w:cs="Arial"/>
          <w:bCs/>
          <w:szCs w:val="22"/>
        </w:rPr>
        <w:t xml:space="preserve">in terms of the AFSA Rules </w:t>
      </w:r>
      <w:r w:rsidR="003E0159" w:rsidRPr="009623DA">
        <w:rPr>
          <w:rFonts w:cs="Arial"/>
          <w:bCs/>
          <w:i/>
          <w:iCs/>
          <w:szCs w:val="22"/>
        </w:rPr>
        <w:t>“it was necessary for a formal application to be made for the arbitrator to recuse himself in circumstances which would require a judicial officer to recuse himself</w:t>
      </w:r>
      <w:r w:rsidR="0090677E" w:rsidRPr="009623DA">
        <w:rPr>
          <w:rFonts w:cs="Arial"/>
          <w:bCs/>
          <w:i/>
          <w:iCs/>
          <w:szCs w:val="22"/>
        </w:rPr>
        <w:t>.</w:t>
      </w:r>
      <w:r w:rsidR="003E0159" w:rsidRPr="009623DA">
        <w:rPr>
          <w:rFonts w:cs="Arial"/>
          <w:bCs/>
          <w:i/>
          <w:iCs/>
          <w:szCs w:val="22"/>
        </w:rPr>
        <w:t>”</w:t>
      </w:r>
      <w:r w:rsidR="0090677E" w:rsidRPr="009623DA">
        <w:rPr>
          <w:rStyle w:val="FootnoteReference"/>
          <w:rFonts w:cs="Arial"/>
          <w:bCs/>
          <w:i/>
          <w:iCs/>
          <w:szCs w:val="22"/>
        </w:rPr>
        <w:footnoteReference w:id="23"/>
      </w:r>
      <w:r w:rsidR="003E0159" w:rsidRPr="009623DA">
        <w:rPr>
          <w:rFonts w:cs="Arial"/>
          <w:bCs/>
          <w:szCs w:val="22"/>
        </w:rPr>
        <w:t xml:space="preserve"> The parties were therefore </w:t>
      </w:r>
      <w:r w:rsidR="003E0159" w:rsidRPr="009623DA">
        <w:rPr>
          <w:rFonts w:cs="Arial"/>
          <w:bCs/>
          <w:i/>
          <w:szCs w:val="22"/>
        </w:rPr>
        <w:t>ad idem</w:t>
      </w:r>
      <w:r w:rsidR="003E0159" w:rsidRPr="009623DA">
        <w:rPr>
          <w:rFonts w:cs="Arial"/>
          <w:bCs/>
          <w:szCs w:val="22"/>
        </w:rPr>
        <w:t xml:space="preserve"> on this point</w:t>
      </w:r>
      <w:r w:rsidR="00E86395" w:rsidRPr="009623DA">
        <w:rPr>
          <w:rFonts w:cs="Arial"/>
          <w:bCs/>
          <w:szCs w:val="22"/>
        </w:rPr>
        <w:t xml:space="preserve"> even though there was some ambivalence on the part of Altech’s counsel</w:t>
      </w:r>
      <w:r w:rsidR="003E0159" w:rsidRPr="009623DA">
        <w:rPr>
          <w:rFonts w:cs="Arial"/>
          <w:bCs/>
          <w:szCs w:val="22"/>
        </w:rPr>
        <w:t>.</w:t>
      </w:r>
    </w:p>
    <w:p w14:paraId="3E3A03D2" w14:textId="025A3A94" w:rsidR="003E015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[52]</w:t>
      </w:r>
      <w:r w:rsidRPr="009623DA">
        <w:rPr>
          <w:rFonts w:cs="Arial"/>
          <w:bCs/>
          <w:szCs w:val="22"/>
        </w:rPr>
        <w:tab/>
      </w:r>
      <w:r w:rsidR="003E0159" w:rsidRPr="009623DA">
        <w:rPr>
          <w:rFonts w:cs="Arial"/>
          <w:bCs/>
          <w:szCs w:val="22"/>
        </w:rPr>
        <w:t xml:space="preserve">Insofar as </w:t>
      </w:r>
      <w:r w:rsidR="00A33018" w:rsidRPr="009623DA">
        <w:rPr>
          <w:rFonts w:cs="Arial"/>
          <w:bCs/>
          <w:szCs w:val="22"/>
        </w:rPr>
        <w:t>Altech</w:t>
      </w:r>
      <w:r w:rsidR="003E0159" w:rsidRPr="009623DA">
        <w:rPr>
          <w:rFonts w:cs="Arial"/>
          <w:bCs/>
          <w:szCs w:val="22"/>
        </w:rPr>
        <w:t xml:space="preserve"> regarded the letter as a formal</w:t>
      </w:r>
      <w:r w:rsidR="00377CD6" w:rsidRPr="009623DA">
        <w:rPr>
          <w:rFonts w:cs="Arial"/>
          <w:bCs/>
          <w:szCs w:val="22"/>
        </w:rPr>
        <w:t>, stand-alone</w:t>
      </w:r>
      <w:r w:rsidR="003E0159" w:rsidRPr="009623DA">
        <w:rPr>
          <w:rFonts w:cs="Arial"/>
          <w:bCs/>
          <w:szCs w:val="22"/>
        </w:rPr>
        <w:t xml:space="preserve"> application, this view is in conflict with the founding affidavit. </w:t>
      </w:r>
    </w:p>
    <w:p w14:paraId="7D495436" w14:textId="7F8A93EF" w:rsidR="003E015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[53]</w:t>
      </w:r>
      <w:r w:rsidRPr="009623DA">
        <w:rPr>
          <w:rFonts w:cs="Arial"/>
          <w:bCs/>
          <w:szCs w:val="22"/>
        </w:rPr>
        <w:tab/>
      </w:r>
      <w:r w:rsidR="0090677E" w:rsidRPr="009623DA">
        <w:rPr>
          <w:rFonts w:cs="Arial"/>
          <w:bCs/>
          <w:szCs w:val="22"/>
        </w:rPr>
        <w:t>An arbitrator enjoys considerable discretion in determining the procedure to be followed and this is reflected in the AFSA Rules</w:t>
      </w:r>
      <w:r w:rsidR="00914A6E" w:rsidRPr="009623DA">
        <w:rPr>
          <w:rFonts w:cs="Arial"/>
          <w:bCs/>
          <w:szCs w:val="22"/>
        </w:rPr>
        <w:t>.</w:t>
      </w:r>
      <w:r w:rsidR="0090677E" w:rsidRPr="009623DA">
        <w:rPr>
          <w:rStyle w:val="FootnoteReference"/>
          <w:rFonts w:cs="Arial"/>
          <w:bCs/>
          <w:szCs w:val="22"/>
        </w:rPr>
        <w:footnoteReference w:id="24"/>
      </w:r>
      <w:r w:rsidR="00914A6E" w:rsidRPr="009623DA">
        <w:rPr>
          <w:rFonts w:cs="Arial"/>
          <w:bCs/>
          <w:szCs w:val="22"/>
        </w:rPr>
        <w:t xml:space="preserve"> The arbitrator may </w:t>
      </w:r>
      <w:r w:rsidR="00377CD6" w:rsidRPr="009623DA">
        <w:rPr>
          <w:rFonts w:cs="Arial"/>
          <w:bCs/>
          <w:szCs w:val="22"/>
        </w:rPr>
        <w:t xml:space="preserve">for instance </w:t>
      </w:r>
      <w:r w:rsidR="00914A6E" w:rsidRPr="009623DA">
        <w:rPr>
          <w:rFonts w:cs="Arial"/>
          <w:bCs/>
          <w:szCs w:val="22"/>
        </w:rPr>
        <w:t xml:space="preserve">rule that </w:t>
      </w:r>
      <w:r w:rsidR="00CF52CE" w:rsidRPr="009623DA">
        <w:rPr>
          <w:rFonts w:cs="Arial"/>
          <w:bCs/>
          <w:szCs w:val="22"/>
        </w:rPr>
        <w:t xml:space="preserve">the application may be made </w:t>
      </w:r>
      <w:r w:rsidR="00377CD6" w:rsidRPr="009623DA">
        <w:rPr>
          <w:rFonts w:cs="Arial"/>
          <w:bCs/>
          <w:szCs w:val="22"/>
        </w:rPr>
        <w:t>in</w:t>
      </w:r>
      <w:r w:rsidR="00CF52CE" w:rsidRPr="009623DA">
        <w:rPr>
          <w:rFonts w:cs="Arial"/>
          <w:bCs/>
          <w:szCs w:val="22"/>
        </w:rPr>
        <w:t xml:space="preserve"> a letter.</w:t>
      </w:r>
      <w:r w:rsidR="00AB6E29" w:rsidRPr="009623DA">
        <w:rPr>
          <w:rFonts w:cs="Arial"/>
          <w:bCs/>
          <w:szCs w:val="22"/>
        </w:rPr>
        <w:t xml:space="preserve"> He did not make such a ruling before the 8</w:t>
      </w:r>
      <w:r w:rsidR="00AB6E29" w:rsidRPr="009623DA">
        <w:rPr>
          <w:rFonts w:cs="Arial"/>
          <w:bCs/>
          <w:szCs w:val="22"/>
          <w:vertAlign w:val="superscript"/>
        </w:rPr>
        <w:t>th</w:t>
      </w:r>
      <w:r w:rsidR="00AB6E29" w:rsidRPr="009623DA">
        <w:rPr>
          <w:rFonts w:cs="Arial"/>
          <w:bCs/>
          <w:szCs w:val="22"/>
        </w:rPr>
        <w:t xml:space="preserve"> and the need to consider whether such a ruling should be made fell away when the application was served on the morning of the 8</w:t>
      </w:r>
      <w:r w:rsidR="00AB6E29" w:rsidRPr="009623DA">
        <w:rPr>
          <w:rFonts w:cs="Arial"/>
          <w:bCs/>
          <w:szCs w:val="22"/>
          <w:vertAlign w:val="superscript"/>
        </w:rPr>
        <w:t>th</w:t>
      </w:r>
      <w:r w:rsidR="00AB6E29" w:rsidRPr="009623DA">
        <w:rPr>
          <w:rFonts w:cs="Arial"/>
          <w:bCs/>
          <w:szCs w:val="22"/>
        </w:rPr>
        <w:t xml:space="preserve"> .</w:t>
      </w:r>
    </w:p>
    <w:p w14:paraId="6F185AED" w14:textId="0561446C" w:rsidR="009D3771" w:rsidRPr="000528B3" w:rsidRDefault="003C78F7" w:rsidP="003C78F7">
      <w:pPr>
        <w:widowControl w:val="0"/>
        <w:tabs>
          <w:tab w:val="left" w:pos="567"/>
        </w:tabs>
        <w:spacing w:before="480" w:after="480" w:line="360" w:lineRule="auto"/>
        <w:jc w:val="both"/>
        <w:rPr>
          <w:rFonts w:cs="Arial"/>
          <w:bCs/>
          <w:szCs w:val="22"/>
        </w:rPr>
      </w:pPr>
      <w:r w:rsidRPr="000528B3">
        <w:rPr>
          <w:rFonts w:cs="Arial"/>
          <w:bCs/>
          <w:szCs w:val="22"/>
        </w:rPr>
        <w:t>[54]</w:t>
      </w:r>
      <w:r w:rsidRPr="000528B3">
        <w:rPr>
          <w:rFonts w:cs="Arial"/>
          <w:bCs/>
          <w:szCs w:val="22"/>
        </w:rPr>
        <w:tab/>
      </w:r>
      <w:r w:rsidR="00CF52CE" w:rsidRPr="000528B3">
        <w:rPr>
          <w:rFonts w:cs="Arial"/>
          <w:bCs/>
          <w:szCs w:val="22"/>
        </w:rPr>
        <w:t xml:space="preserve">It may also happen that events during an arbitration justify an application made </w:t>
      </w:r>
      <w:r w:rsidR="00CF52CE" w:rsidRPr="000528B3">
        <w:rPr>
          <w:rFonts w:cs="Arial"/>
          <w:bCs/>
          <w:i/>
          <w:iCs/>
          <w:szCs w:val="22"/>
        </w:rPr>
        <w:t>“from the bar.”</w:t>
      </w:r>
      <w:r w:rsidR="00CF52CE" w:rsidRPr="000528B3">
        <w:rPr>
          <w:rFonts w:cs="Arial"/>
          <w:bCs/>
          <w:szCs w:val="22"/>
        </w:rPr>
        <w:t xml:space="preserve"> Each case is different and must be evaluated on its own facts</w:t>
      </w:r>
      <w:r w:rsidR="00D65A71" w:rsidRPr="000528B3">
        <w:rPr>
          <w:rFonts w:cs="Arial"/>
          <w:bCs/>
          <w:szCs w:val="22"/>
        </w:rPr>
        <w:t>.</w:t>
      </w:r>
      <w:r w:rsidR="000528B3">
        <w:rPr>
          <w:rFonts w:cs="Arial"/>
          <w:bCs/>
          <w:szCs w:val="22"/>
        </w:rPr>
        <w:t xml:space="preserve"> </w:t>
      </w:r>
      <w:r w:rsidR="00CF52CE" w:rsidRPr="000528B3">
        <w:rPr>
          <w:rFonts w:cs="Arial"/>
          <w:bCs/>
          <w:szCs w:val="22"/>
        </w:rPr>
        <w:t xml:space="preserve">However, as a general principle an application for recusal is a fact-based enquiry and one would </w:t>
      </w:r>
      <w:r w:rsidR="00377CD6" w:rsidRPr="000528B3">
        <w:rPr>
          <w:rFonts w:cs="Arial"/>
          <w:bCs/>
          <w:szCs w:val="22"/>
        </w:rPr>
        <w:t xml:space="preserve">usually </w:t>
      </w:r>
      <w:r w:rsidR="00CF52CE" w:rsidRPr="000528B3">
        <w:rPr>
          <w:rFonts w:cs="Arial"/>
          <w:bCs/>
          <w:szCs w:val="22"/>
        </w:rPr>
        <w:t xml:space="preserve">expect evidence to </w:t>
      </w:r>
      <w:r w:rsidR="007A5BDB" w:rsidRPr="000528B3">
        <w:rPr>
          <w:rFonts w:cs="Arial"/>
          <w:bCs/>
          <w:szCs w:val="22"/>
        </w:rPr>
        <w:t xml:space="preserve">be </w:t>
      </w:r>
      <w:r w:rsidR="00CF52CE" w:rsidRPr="000528B3">
        <w:rPr>
          <w:rFonts w:cs="Arial"/>
          <w:bCs/>
          <w:szCs w:val="22"/>
        </w:rPr>
        <w:t xml:space="preserve">placed before the arbitrator in an affidavit or </w:t>
      </w:r>
      <w:r w:rsidR="00CF52CE" w:rsidRPr="000528B3">
        <w:rPr>
          <w:rFonts w:cs="Arial"/>
          <w:bCs/>
          <w:i/>
          <w:iCs/>
          <w:szCs w:val="22"/>
        </w:rPr>
        <w:t>viva voce</w:t>
      </w:r>
      <w:r w:rsidR="00CF52CE" w:rsidRPr="000528B3">
        <w:rPr>
          <w:rFonts w:cs="Arial"/>
          <w:bCs/>
          <w:szCs w:val="22"/>
        </w:rPr>
        <w:t>.</w:t>
      </w:r>
      <w:r w:rsidR="009D3771" w:rsidRPr="000528B3">
        <w:rPr>
          <w:rFonts w:cs="Arial"/>
          <w:bCs/>
          <w:szCs w:val="22"/>
        </w:rPr>
        <w:t xml:space="preserve"> </w:t>
      </w:r>
      <w:r w:rsidR="00377CD6" w:rsidRPr="000528B3">
        <w:rPr>
          <w:rFonts w:cs="Arial"/>
          <w:bCs/>
          <w:szCs w:val="22"/>
        </w:rPr>
        <w:t>This is the procedure that was followed in the first recusal application w</w:t>
      </w:r>
      <w:r w:rsidR="009D3771" w:rsidRPr="000528B3">
        <w:rPr>
          <w:rFonts w:cs="Arial"/>
          <w:bCs/>
          <w:szCs w:val="22"/>
        </w:rPr>
        <w:t>hen Altech sought the recusal of the first</w:t>
      </w:r>
      <w:r w:rsidR="009D3771" w:rsidRPr="009623DA">
        <w:rPr>
          <w:rStyle w:val="FootnoteReference"/>
          <w:rFonts w:cs="Arial"/>
          <w:bCs/>
          <w:szCs w:val="22"/>
        </w:rPr>
        <w:footnoteReference w:id="25"/>
      </w:r>
      <w:r w:rsidR="009D3771" w:rsidRPr="000528B3">
        <w:rPr>
          <w:rFonts w:cs="Arial"/>
          <w:bCs/>
          <w:szCs w:val="22"/>
        </w:rPr>
        <w:t xml:space="preserve"> arbitrator</w:t>
      </w:r>
      <w:r w:rsidR="00377CD6" w:rsidRPr="000528B3">
        <w:rPr>
          <w:rFonts w:cs="Arial"/>
          <w:bCs/>
          <w:szCs w:val="22"/>
        </w:rPr>
        <w:t>.</w:t>
      </w:r>
      <w:r w:rsidR="009D3771" w:rsidRPr="000528B3">
        <w:rPr>
          <w:rFonts w:cs="Arial"/>
          <w:bCs/>
          <w:szCs w:val="22"/>
        </w:rPr>
        <w:t xml:space="preserve"> </w:t>
      </w:r>
      <w:r w:rsidR="00377CD6" w:rsidRPr="000528B3">
        <w:rPr>
          <w:rFonts w:cs="Arial"/>
          <w:bCs/>
          <w:szCs w:val="22"/>
        </w:rPr>
        <w:t>T</w:t>
      </w:r>
      <w:r w:rsidR="009D3771" w:rsidRPr="000528B3">
        <w:rPr>
          <w:rFonts w:cs="Arial"/>
          <w:bCs/>
          <w:szCs w:val="22"/>
        </w:rPr>
        <w:t xml:space="preserve">he first arbitrator directed Altech to launch a formal </w:t>
      </w:r>
      <w:r w:rsidR="009D3771" w:rsidRPr="000528B3">
        <w:rPr>
          <w:rFonts w:cs="Arial"/>
          <w:bCs/>
          <w:szCs w:val="22"/>
        </w:rPr>
        <w:lastRenderedPageBreak/>
        <w:t>application.</w:t>
      </w:r>
    </w:p>
    <w:p w14:paraId="4BFADB6F" w14:textId="77777777" w:rsidR="009D3771" w:rsidRPr="009623DA" w:rsidRDefault="009D3771" w:rsidP="00A471EF">
      <w:pPr>
        <w:widowControl w:val="0"/>
        <w:spacing w:before="480" w:after="480" w:line="360" w:lineRule="auto"/>
        <w:jc w:val="both"/>
        <w:rPr>
          <w:rFonts w:cs="Arial"/>
          <w:bCs/>
          <w:szCs w:val="22"/>
        </w:rPr>
      </w:pPr>
    </w:p>
    <w:p w14:paraId="14606CBF" w14:textId="6DC6449B" w:rsidR="009D3771" w:rsidRPr="009623DA" w:rsidRDefault="00377CD6" w:rsidP="00377CD6">
      <w:pPr>
        <w:widowControl w:val="0"/>
        <w:spacing w:before="480" w:after="480" w:line="360" w:lineRule="auto"/>
        <w:jc w:val="both"/>
        <w:rPr>
          <w:rFonts w:cs="Arial"/>
          <w:bCs/>
          <w:szCs w:val="22"/>
          <w:u w:val="single"/>
        </w:rPr>
      </w:pPr>
      <w:r w:rsidRPr="009623DA">
        <w:rPr>
          <w:rFonts w:cs="Arial"/>
          <w:bCs/>
          <w:szCs w:val="22"/>
          <w:u w:val="single"/>
        </w:rPr>
        <w:t>The four grounds in the initial application before the arbitrator</w:t>
      </w:r>
    </w:p>
    <w:p w14:paraId="1925A034" w14:textId="6337D350" w:rsidR="00700C86" w:rsidRPr="009623DA" w:rsidRDefault="00700C86" w:rsidP="00700C86">
      <w:pPr>
        <w:widowControl w:val="0"/>
        <w:spacing w:before="480" w:after="480" w:line="360" w:lineRule="auto"/>
        <w:jc w:val="both"/>
        <w:rPr>
          <w:rFonts w:cs="Arial"/>
          <w:bCs/>
          <w:szCs w:val="22"/>
          <w:u w:val="single"/>
        </w:rPr>
      </w:pPr>
      <w:r w:rsidRPr="009623DA">
        <w:rPr>
          <w:rFonts w:cs="Arial"/>
          <w:bCs/>
          <w:szCs w:val="22"/>
          <w:u w:val="single"/>
        </w:rPr>
        <w:t>First ground: the arbitrator inappropriately engaged by way of correspondence with the merits of the first review application notwithstanding that he had elected to abide by the decision</w:t>
      </w:r>
    </w:p>
    <w:p w14:paraId="5A6BDDB7" w14:textId="2EAB86DB" w:rsidR="00700C8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[55]</w:t>
      </w:r>
      <w:r w:rsidRPr="009623DA">
        <w:rPr>
          <w:rFonts w:cs="Arial"/>
          <w:bCs/>
          <w:szCs w:val="22"/>
        </w:rPr>
        <w:tab/>
      </w:r>
      <w:r w:rsidR="003761BD" w:rsidRPr="009623DA">
        <w:rPr>
          <w:rFonts w:cs="Arial"/>
          <w:bCs/>
          <w:szCs w:val="22"/>
        </w:rPr>
        <w:t>I dealt with the correspondence</w:t>
      </w:r>
      <w:r w:rsidR="00A471EF" w:rsidRPr="009623DA">
        <w:rPr>
          <w:rFonts w:cs="Arial"/>
          <w:bCs/>
          <w:szCs w:val="22"/>
        </w:rPr>
        <w:t xml:space="preserve"> of 23 January and 13 February 2023</w:t>
      </w:r>
      <w:r w:rsidR="003761BD" w:rsidRPr="009623DA">
        <w:rPr>
          <w:rFonts w:cs="Arial"/>
          <w:bCs/>
          <w:szCs w:val="22"/>
        </w:rPr>
        <w:t xml:space="preserve"> in the first judgment</w:t>
      </w:r>
      <w:r w:rsidR="003761BD" w:rsidRPr="009623DA">
        <w:rPr>
          <w:rStyle w:val="FootnoteReference"/>
          <w:rFonts w:cs="Arial"/>
          <w:bCs/>
          <w:szCs w:val="22"/>
        </w:rPr>
        <w:footnoteReference w:id="26"/>
      </w:r>
      <w:r w:rsidR="003761BD" w:rsidRPr="009623DA">
        <w:rPr>
          <w:rFonts w:cs="Arial"/>
          <w:bCs/>
          <w:szCs w:val="22"/>
        </w:rPr>
        <w:t xml:space="preserve"> but in a different context, namely Altech’s argument that the correspondence constitute proof that arbitrator relied on events that took place subsequent to argument in the hearing that led to his award of 2 December 2022 to justify his award</w:t>
      </w:r>
      <w:r w:rsidR="00323058" w:rsidRPr="009623DA">
        <w:rPr>
          <w:rFonts w:cs="Arial"/>
          <w:bCs/>
          <w:szCs w:val="22"/>
        </w:rPr>
        <w:t>, even though Altech’s counsel had no opportunity to present argument in respect of these events.</w:t>
      </w:r>
      <w:r w:rsidR="003761BD" w:rsidRPr="009623DA">
        <w:rPr>
          <w:rFonts w:cs="Arial"/>
          <w:bCs/>
          <w:szCs w:val="22"/>
        </w:rPr>
        <w:t xml:space="preserve"> </w:t>
      </w:r>
    </w:p>
    <w:p w14:paraId="7B089FA4" w14:textId="21B81933" w:rsidR="00700C8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[56]</w:t>
      </w:r>
      <w:r w:rsidRPr="009623DA">
        <w:rPr>
          <w:rFonts w:cs="Arial"/>
          <w:bCs/>
          <w:szCs w:val="22"/>
        </w:rPr>
        <w:tab/>
      </w:r>
      <w:r w:rsidR="00323058" w:rsidRPr="009623DA">
        <w:rPr>
          <w:rFonts w:cs="Arial"/>
          <w:bCs/>
          <w:szCs w:val="22"/>
        </w:rPr>
        <w:t xml:space="preserve">There is no bias apparent from these letters. The letter of 23 January 2023 was written to the Deputy Judge President to seek an early allocation on the court roll. In terms of Rule 11.1 of the AFSA Rules the arbitrator has a duty to both parties in an arbitration to deal with matters expeditiously, and </w:t>
      </w:r>
      <w:r w:rsidR="00CB3B51" w:rsidRPr="009623DA">
        <w:rPr>
          <w:rFonts w:cs="Arial"/>
          <w:bCs/>
          <w:szCs w:val="22"/>
        </w:rPr>
        <w:t xml:space="preserve">when read objectively </w:t>
      </w:r>
      <w:r w:rsidR="00323058" w:rsidRPr="009623DA">
        <w:rPr>
          <w:rFonts w:cs="Arial"/>
          <w:bCs/>
          <w:szCs w:val="22"/>
        </w:rPr>
        <w:t>the letter was calculated to achieve that purpose.</w:t>
      </w:r>
    </w:p>
    <w:p w14:paraId="4D488395" w14:textId="43F178E7" w:rsidR="00CB3B51"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[57]</w:t>
      </w:r>
      <w:r w:rsidRPr="009623DA">
        <w:rPr>
          <w:rFonts w:cs="Arial"/>
          <w:bCs/>
          <w:szCs w:val="22"/>
        </w:rPr>
        <w:tab/>
      </w:r>
      <w:r w:rsidR="00323058" w:rsidRPr="009623DA">
        <w:rPr>
          <w:rFonts w:cs="Arial"/>
          <w:bCs/>
          <w:szCs w:val="22"/>
        </w:rPr>
        <w:t>The deponent to the founding affidavit states that the letter was more than just an attempt to have the matter heard</w:t>
      </w:r>
      <w:r w:rsidR="00F03A0B" w:rsidRPr="009623DA">
        <w:rPr>
          <w:rFonts w:cs="Arial"/>
          <w:bCs/>
          <w:szCs w:val="22"/>
        </w:rPr>
        <w:t xml:space="preserve"> expeditiously, but that the arbitrator </w:t>
      </w:r>
      <w:r w:rsidR="00F03A0B" w:rsidRPr="009623DA">
        <w:rPr>
          <w:rFonts w:cs="Arial"/>
          <w:bCs/>
          <w:i/>
          <w:iCs/>
          <w:szCs w:val="22"/>
        </w:rPr>
        <w:t>“wished to wade deep into the merits</w:t>
      </w:r>
      <w:r w:rsidR="009A57B9" w:rsidRPr="009623DA">
        <w:rPr>
          <w:rFonts w:cs="Arial"/>
          <w:bCs/>
          <w:i/>
          <w:iCs/>
          <w:szCs w:val="22"/>
        </w:rPr>
        <w:t xml:space="preserve"> of the review proceedings – both for the benefit of the DJP and the judge hearing the review application.”</w:t>
      </w:r>
      <w:r w:rsidR="00B110BC" w:rsidRPr="009623DA">
        <w:rPr>
          <w:rFonts w:cs="Arial"/>
          <w:bCs/>
          <w:szCs w:val="22"/>
        </w:rPr>
        <w:t xml:space="preserve"> </w:t>
      </w:r>
      <w:r w:rsidR="00B36F2F" w:rsidRPr="009623DA">
        <w:rPr>
          <w:rFonts w:cs="Arial"/>
          <w:bCs/>
          <w:szCs w:val="22"/>
        </w:rPr>
        <w:t xml:space="preserve"> There are a number of problems with this statement: </w:t>
      </w:r>
    </w:p>
    <w:p w14:paraId="70244965" w14:textId="44AD35B0" w:rsidR="00323058"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57.1</w:t>
      </w:r>
      <w:r w:rsidRPr="009623DA">
        <w:rPr>
          <w:rFonts w:cs="Arial"/>
          <w:bCs/>
          <w:szCs w:val="22"/>
        </w:rPr>
        <w:tab/>
      </w:r>
      <w:r w:rsidR="00B36F2F" w:rsidRPr="009623DA">
        <w:rPr>
          <w:rFonts w:cs="Arial"/>
          <w:bCs/>
          <w:szCs w:val="22"/>
        </w:rPr>
        <w:t>The letter is not evidence of the truth of the factual allegations in the letter and its contents are not confirmed under oath. It was never tendered as evidence by the arbitrator or by Aeonova.</w:t>
      </w:r>
    </w:p>
    <w:p w14:paraId="42C0FCB9" w14:textId="643E4A17" w:rsidR="00700C86"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lastRenderedPageBreak/>
        <w:t>57.2</w:t>
      </w:r>
      <w:r w:rsidRPr="009623DA">
        <w:rPr>
          <w:rFonts w:cs="Arial"/>
          <w:bCs/>
          <w:szCs w:val="22"/>
        </w:rPr>
        <w:tab/>
      </w:r>
      <w:r w:rsidR="00B36F2F" w:rsidRPr="009623DA">
        <w:rPr>
          <w:rFonts w:cs="Arial"/>
          <w:bCs/>
          <w:szCs w:val="22"/>
        </w:rPr>
        <w:t>T</w:t>
      </w:r>
      <w:r w:rsidR="00B110BC" w:rsidRPr="009623DA">
        <w:rPr>
          <w:rFonts w:cs="Arial"/>
          <w:bCs/>
          <w:szCs w:val="22"/>
        </w:rPr>
        <w:t xml:space="preserve">he letter only formed part of the papers in the </w:t>
      </w:r>
      <w:r w:rsidR="00B36F2F" w:rsidRPr="009623DA">
        <w:rPr>
          <w:rFonts w:cs="Arial"/>
          <w:bCs/>
          <w:szCs w:val="22"/>
        </w:rPr>
        <w:t xml:space="preserve">first </w:t>
      </w:r>
      <w:r w:rsidR="00B110BC" w:rsidRPr="009623DA">
        <w:rPr>
          <w:rFonts w:cs="Arial"/>
          <w:bCs/>
          <w:szCs w:val="22"/>
        </w:rPr>
        <w:t xml:space="preserve">review application </w:t>
      </w:r>
      <w:r w:rsidR="00B36F2F" w:rsidRPr="009623DA">
        <w:rPr>
          <w:rFonts w:cs="Arial"/>
          <w:bCs/>
          <w:szCs w:val="22"/>
        </w:rPr>
        <w:t xml:space="preserve">and now in this application </w:t>
      </w:r>
      <w:r w:rsidR="00B110BC" w:rsidRPr="009623DA">
        <w:rPr>
          <w:rFonts w:cs="Arial"/>
          <w:bCs/>
          <w:szCs w:val="22"/>
        </w:rPr>
        <w:t>because</w:t>
      </w:r>
      <w:r w:rsidR="00D65A71" w:rsidRPr="009623DA">
        <w:rPr>
          <w:rFonts w:cs="Arial"/>
          <w:bCs/>
          <w:szCs w:val="22"/>
        </w:rPr>
        <w:t xml:space="preserve"> Altech</w:t>
      </w:r>
      <w:r w:rsidR="00B110BC" w:rsidRPr="009623DA">
        <w:rPr>
          <w:rFonts w:cs="Arial"/>
          <w:bCs/>
          <w:szCs w:val="22"/>
        </w:rPr>
        <w:t xml:space="preserve"> chose to include it in the papers. It would otherwise not have been considered in the review application and could not have been intended to influence any Judge allocated to the matter.</w:t>
      </w:r>
      <w:r w:rsidR="00B36F2F" w:rsidRPr="009623DA">
        <w:rPr>
          <w:rFonts w:cs="Arial"/>
          <w:bCs/>
          <w:szCs w:val="22"/>
        </w:rPr>
        <w:t xml:space="preserve"> It has evidentiary value only in the sense that it is offered by Altech as evidence of bias, and it must therefore be evaluated only in that context. </w:t>
      </w:r>
      <w:r w:rsidR="006122AB" w:rsidRPr="009623DA">
        <w:rPr>
          <w:rFonts w:cs="Arial"/>
          <w:bCs/>
          <w:szCs w:val="22"/>
        </w:rPr>
        <w:t>It explains why the arbitrator was of the view that an early allocation was justified.</w:t>
      </w:r>
    </w:p>
    <w:p w14:paraId="13BFC0EE" w14:textId="57B5605A" w:rsidR="00C17EE4" w:rsidRPr="000528B3" w:rsidRDefault="003C78F7" w:rsidP="003C78F7">
      <w:pPr>
        <w:widowControl w:val="0"/>
        <w:tabs>
          <w:tab w:val="left" w:pos="567"/>
        </w:tabs>
        <w:spacing w:before="480" w:after="480" w:line="360" w:lineRule="auto"/>
        <w:jc w:val="both"/>
        <w:rPr>
          <w:rFonts w:cs="Arial"/>
          <w:bCs/>
          <w:szCs w:val="22"/>
        </w:rPr>
      </w:pPr>
      <w:r w:rsidRPr="000528B3">
        <w:rPr>
          <w:rFonts w:cs="Arial"/>
          <w:bCs/>
          <w:szCs w:val="22"/>
        </w:rPr>
        <w:t>[58]</w:t>
      </w:r>
      <w:r w:rsidRPr="000528B3">
        <w:rPr>
          <w:rFonts w:cs="Arial"/>
          <w:bCs/>
          <w:szCs w:val="22"/>
        </w:rPr>
        <w:tab/>
      </w:r>
      <w:r w:rsidR="00C17EE4" w:rsidRPr="000528B3">
        <w:rPr>
          <w:rFonts w:cs="Arial"/>
          <w:bCs/>
          <w:szCs w:val="22"/>
        </w:rPr>
        <w:t>Reference is also made to a letter of 1</w:t>
      </w:r>
      <w:r w:rsidR="00AB6E29" w:rsidRPr="000528B3">
        <w:rPr>
          <w:rFonts w:cs="Arial"/>
          <w:bCs/>
          <w:szCs w:val="22"/>
        </w:rPr>
        <w:t>3</w:t>
      </w:r>
      <w:r w:rsidR="00C17EE4" w:rsidRPr="000528B3">
        <w:rPr>
          <w:rFonts w:cs="Arial"/>
          <w:bCs/>
          <w:szCs w:val="22"/>
        </w:rPr>
        <w:t xml:space="preserve"> February 2023 where the arbitrator debated matters of law and the future conduct of the arbitration with </w:t>
      </w:r>
      <w:r w:rsidR="00AB6E29" w:rsidRPr="000528B3">
        <w:rPr>
          <w:rFonts w:cs="Arial"/>
          <w:bCs/>
          <w:szCs w:val="22"/>
        </w:rPr>
        <w:t>the parties</w:t>
      </w:r>
      <w:r w:rsidR="00C17EE4" w:rsidRPr="000528B3">
        <w:rPr>
          <w:rFonts w:cs="Arial"/>
          <w:bCs/>
          <w:szCs w:val="22"/>
        </w:rPr>
        <w:t xml:space="preserve"> legal advisors.</w:t>
      </w:r>
      <w:r w:rsidR="00AB6E29" w:rsidRPr="000528B3">
        <w:rPr>
          <w:rFonts w:cs="Arial"/>
          <w:bCs/>
          <w:szCs w:val="22"/>
        </w:rPr>
        <w:t xml:space="preserve"> The arbitrator expressed certain views</w:t>
      </w:r>
      <w:r w:rsidR="00EE64F9" w:rsidRPr="000528B3">
        <w:rPr>
          <w:rFonts w:cs="Arial"/>
          <w:bCs/>
          <w:szCs w:val="22"/>
        </w:rPr>
        <w:t xml:space="preserve"> on how the matter will develop</w:t>
      </w:r>
      <w:r w:rsidR="00AB6E29" w:rsidRPr="000528B3">
        <w:rPr>
          <w:rFonts w:cs="Arial"/>
          <w:bCs/>
          <w:szCs w:val="22"/>
        </w:rPr>
        <w:t xml:space="preserve">, views that might be right or might be wrong, but no bias is apparent from the letter. The letter must, after all, be read as a whole and in the context of </w:t>
      </w:r>
      <w:r w:rsidR="00EE64F9" w:rsidRPr="000528B3">
        <w:rPr>
          <w:rFonts w:cs="Arial"/>
          <w:bCs/>
          <w:szCs w:val="22"/>
        </w:rPr>
        <w:t>ongoing</w:t>
      </w:r>
      <w:r w:rsidR="006122AB" w:rsidRPr="000528B3">
        <w:rPr>
          <w:rFonts w:cs="Arial"/>
          <w:bCs/>
          <w:szCs w:val="22"/>
        </w:rPr>
        <w:t xml:space="preserve"> arbitration</w:t>
      </w:r>
      <w:r w:rsidR="00EE64F9" w:rsidRPr="000528B3">
        <w:rPr>
          <w:rFonts w:cs="Arial"/>
          <w:bCs/>
          <w:szCs w:val="22"/>
        </w:rPr>
        <w:t xml:space="preserve"> proceedings. The arbitrator was certainly entitled, for instance, to enquire from Altech why it was of the view that his involvement would be </w:t>
      </w:r>
      <w:r w:rsidR="00EE64F9" w:rsidRPr="000528B3">
        <w:rPr>
          <w:rFonts w:cs="Arial"/>
          <w:bCs/>
          <w:i/>
          <w:iCs/>
          <w:szCs w:val="22"/>
        </w:rPr>
        <w:t>“inappropriate, impermissible and prejudicial.</w:t>
      </w:r>
      <w:r w:rsidR="002E0E37" w:rsidRPr="000528B3">
        <w:rPr>
          <w:rFonts w:cs="Arial"/>
          <w:bCs/>
          <w:i/>
          <w:iCs/>
          <w:szCs w:val="22"/>
        </w:rPr>
        <w:t>”</w:t>
      </w:r>
    </w:p>
    <w:p w14:paraId="04546E98" w14:textId="0E290BC6" w:rsidR="00EE64F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[59]</w:t>
      </w:r>
      <w:r w:rsidRPr="009623DA">
        <w:rPr>
          <w:rFonts w:cs="Arial"/>
          <w:bCs/>
          <w:szCs w:val="22"/>
        </w:rPr>
        <w:tab/>
      </w:r>
      <w:r w:rsidR="00EE64F9" w:rsidRPr="009623DA">
        <w:rPr>
          <w:rFonts w:cs="Arial"/>
          <w:bCs/>
          <w:szCs w:val="22"/>
        </w:rPr>
        <w:t xml:space="preserve">The arbitrator’s letter of 15 February 2023 to the applicant is in similar vein. The arbitrator engages with Altech’s attorneys on case law and he deals with Altech’s view that the arbitration should be suspended. He deals with the objective of a timeous conclusion </w:t>
      </w:r>
      <w:r w:rsidR="002E0E37" w:rsidRPr="009623DA">
        <w:rPr>
          <w:rFonts w:cs="Arial"/>
          <w:bCs/>
          <w:szCs w:val="22"/>
        </w:rPr>
        <w:t xml:space="preserve">to the proceedings </w:t>
      </w:r>
      <w:r w:rsidR="00EE64F9" w:rsidRPr="009623DA">
        <w:rPr>
          <w:rFonts w:cs="Arial"/>
          <w:bCs/>
          <w:szCs w:val="22"/>
        </w:rPr>
        <w:t>and recorded that it had been agreed by both parties that evidence be concluded during 2022. It was now early in 2023 and th</w:t>
      </w:r>
      <w:r w:rsidR="001B35C2" w:rsidRPr="009623DA">
        <w:rPr>
          <w:rFonts w:cs="Arial"/>
          <w:bCs/>
          <w:szCs w:val="22"/>
        </w:rPr>
        <w:t>e arbitrator c</w:t>
      </w:r>
      <w:r w:rsidR="002E0E37" w:rsidRPr="009623DA">
        <w:rPr>
          <w:rFonts w:cs="Arial"/>
          <w:bCs/>
          <w:szCs w:val="22"/>
        </w:rPr>
        <w:t>ould</w:t>
      </w:r>
      <w:r w:rsidR="001B35C2" w:rsidRPr="009623DA">
        <w:rPr>
          <w:rFonts w:cs="Arial"/>
          <w:bCs/>
          <w:szCs w:val="22"/>
        </w:rPr>
        <w:t xml:space="preserve"> not be criticised for his concerns. He indicated that he did not want to suspend or postpone the proceedings and directed that Altech’s application to amend its statement of defence be heard on 9 March 2023.</w:t>
      </w:r>
    </w:p>
    <w:p w14:paraId="3B4F8509" w14:textId="75385BDC" w:rsidR="001B35C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[60]</w:t>
      </w:r>
      <w:r w:rsidRPr="009623DA">
        <w:rPr>
          <w:rFonts w:cs="Arial"/>
          <w:bCs/>
          <w:szCs w:val="22"/>
        </w:rPr>
        <w:tab/>
      </w:r>
      <w:r w:rsidR="001B35C2" w:rsidRPr="009623DA">
        <w:rPr>
          <w:rFonts w:cs="Arial"/>
          <w:bCs/>
          <w:szCs w:val="22"/>
        </w:rPr>
        <w:t xml:space="preserve">In both these letters the arbitrator set out his views clearly and openly. </w:t>
      </w:r>
      <w:r w:rsidR="006122AB" w:rsidRPr="009623DA">
        <w:rPr>
          <w:rFonts w:cs="Arial"/>
          <w:bCs/>
          <w:szCs w:val="22"/>
        </w:rPr>
        <w:t xml:space="preserve">The parties were placed in a position to deal with his views. </w:t>
      </w:r>
      <w:r w:rsidR="001B35C2" w:rsidRPr="009623DA">
        <w:rPr>
          <w:rFonts w:cs="Arial"/>
          <w:bCs/>
          <w:szCs w:val="22"/>
        </w:rPr>
        <w:t>The accusation of bias apparent from the letters is baseless.</w:t>
      </w:r>
    </w:p>
    <w:p w14:paraId="4493D019" w14:textId="112C8D60" w:rsidR="001B35C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[61]</w:t>
      </w:r>
      <w:r w:rsidRPr="009623DA">
        <w:rPr>
          <w:rFonts w:cs="Arial"/>
          <w:bCs/>
          <w:szCs w:val="22"/>
        </w:rPr>
        <w:tab/>
      </w:r>
      <w:r w:rsidR="001B35C2" w:rsidRPr="009623DA">
        <w:rPr>
          <w:rFonts w:cs="Arial"/>
          <w:bCs/>
          <w:szCs w:val="22"/>
        </w:rPr>
        <w:t>In the email of 2 March 2023 the arbitrator asked that his letters be placed before the court in the review application. This was a</w:t>
      </w:r>
      <w:r w:rsidR="006122AB" w:rsidRPr="009623DA">
        <w:rPr>
          <w:rFonts w:cs="Arial"/>
          <w:bCs/>
          <w:szCs w:val="22"/>
        </w:rPr>
        <w:t xml:space="preserve">n </w:t>
      </w:r>
      <w:r w:rsidR="001B35C2" w:rsidRPr="009623DA">
        <w:rPr>
          <w:rFonts w:cs="Arial"/>
          <w:bCs/>
          <w:szCs w:val="22"/>
        </w:rPr>
        <w:t>understandable request and there is nothing sinister about it.</w:t>
      </w:r>
    </w:p>
    <w:p w14:paraId="42EB3A35" w14:textId="3612FACE" w:rsidR="001B35C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[62]</w:t>
      </w:r>
      <w:r w:rsidRPr="009623DA">
        <w:rPr>
          <w:rFonts w:cs="Arial"/>
          <w:bCs/>
          <w:szCs w:val="22"/>
        </w:rPr>
        <w:tab/>
      </w:r>
      <w:r w:rsidR="001B35C2" w:rsidRPr="009623DA">
        <w:rPr>
          <w:rFonts w:cs="Arial"/>
          <w:bCs/>
          <w:szCs w:val="22"/>
        </w:rPr>
        <w:t xml:space="preserve">The very basis of the allegation of bias that arose </w:t>
      </w:r>
      <w:r w:rsidR="001B35C2" w:rsidRPr="009623DA">
        <w:rPr>
          <w:rFonts w:cs="Arial"/>
          <w:bCs/>
          <w:i/>
          <w:iCs/>
          <w:szCs w:val="22"/>
        </w:rPr>
        <w:t>“following the launch of the review proceedings”</w:t>
      </w:r>
      <w:r w:rsidR="001B35C2" w:rsidRPr="009623DA">
        <w:rPr>
          <w:rFonts w:cs="Arial"/>
          <w:bCs/>
          <w:szCs w:val="22"/>
        </w:rPr>
        <w:t xml:space="preserve"> is </w:t>
      </w:r>
      <w:r w:rsidR="006122AB" w:rsidRPr="009623DA">
        <w:rPr>
          <w:rFonts w:cs="Arial"/>
          <w:bCs/>
          <w:szCs w:val="22"/>
        </w:rPr>
        <w:t>this</w:t>
      </w:r>
      <w:r w:rsidR="001B35C2" w:rsidRPr="009623DA">
        <w:rPr>
          <w:rFonts w:cs="Arial"/>
          <w:bCs/>
          <w:szCs w:val="22"/>
        </w:rPr>
        <w:t xml:space="preserve"> correspondence. They do not give rise to </w:t>
      </w:r>
      <w:r w:rsidR="002E0E37" w:rsidRPr="009623DA">
        <w:rPr>
          <w:rFonts w:cs="Arial"/>
          <w:bCs/>
          <w:szCs w:val="22"/>
        </w:rPr>
        <w:t>an inference of bias.</w:t>
      </w:r>
    </w:p>
    <w:p w14:paraId="3892519B" w14:textId="77777777" w:rsidR="006122AB" w:rsidRPr="009623DA" w:rsidRDefault="006122AB" w:rsidP="00700C86">
      <w:pPr>
        <w:widowControl w:val="0"/>
        <w:spacing w:before="480" w:after="480" w:line="360" w:lineRule="auto"/>
        <w:jc w:val="both"/>
        <w:rPr>
          <w:rFonts w:cs="Arial"/>
          <w:bCs/>
          <w:szCs w:val="22"/>
          <w:u w:val="single"/>
        </w:rPr>
      </w:pPr>
    </w:p>
    <w:p w14:paraId="537F973F" w14:textId="1765D468" w:rsidR="00700C86" w:rsidRPr="009623DA" w:rsidRDefault="00700C86" w:rsidP="00700C86">
      <w:pPr>
        <w:widowControl w:val="0"/>
        <w:spacing w:before="480" w:after="480" w:line="360" w:lineRule="auto"/>
        <w:jc w:val="both"/>
        <w:rPr>
          <w:rFonts w:cs="Arial"/>
          <w:bCs/>
          <w:szCs w:val="22"/>
          <w:u w:val="single"/>
        </w:rPr>
      </w:pPr>
      <w:r w:rsidRPr="009623DA">
        <w:rPr>
          <w:rFonts w:cs="Arial"/>
          <w:bCs/>
          <w:szCs w:val="22"/>
          <w:u w:val="single"/>
        </w:rPr>
        <w:t>Second ground: the arbitrator dictated to the applicant how it should run its defence in the arbitrator and indicated that he would not be open to any argument other than that prescribed</w:t>
      </w:r>
    </w:p>
    <w:p w14:paraId="24E31F20" w14:textId="7D014DCF" w:rsidR="00B36F2F"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[63]</w:t>
      </w:r>
      <w:r w:rsidRPr="009623DA">
        <w:rPr>
          <w:rFonts w:cs="Arial"/>
          <w:bCs/>
          <w:szCs w:val="22"/>
        </w:rPr>
        <w:tab/>
      </w:r>
      <w:r w:rsidR="00C17EE4" w:rsidRPr="009623DA">
        <w:rPr>
          <w:rFonts w:cs="Arial"/>
          <w:bCs/>
          <w:szCs w:val="22"/>
        </w:rPr>
        <w:t xml:space="preserve">The argument that the arbitrator was so presumptuous as to dictate to Altech as to how it should run its defences is equally without merit. </w:t>
      </w:r>
      <w:r w:rsidR="00B36F2F" w:rsidRPr="009623DA">
        <w:rPr>
          <w:rFonts w:cs="Arial"/>
          <w:bCs/>
          <w:szCs w:val="22"/>
        </w:rPr>
        <w:t xml:space="preserve">Altech was at all times represented by counsel and attorneys </w:t>
      </w:r>
      <w:r w:rsidR="00CE0808" w:rsidRPr="009623DA">
        <w:rPr>
          <w:rFonts w:cs="Arial"/>
          <w:bCs/>
          <w:szCs w:val="22"/>
        </w:rPr>
        <w:t>who were quite able to</w:t>
      </w:r>
      <w:r w:rsidR="006122AB" w:rsidRPr="009623DA">
        <w:rPr>
          <w:rFonts w:cs="Arial"/>
          <w:bCs/>
          <w:szCs w:val="22"/>
        </w:rPr>
        <w:t xml:space="preserve"> stand their ground, differ from the arbitrator on the facts and the law, and to</w:t>
      </w:r>
      <w:r w:rsidR="00CE0808" w:rsidRPr="009623DA">
        <w:rPr>
          <w:rFonts w:cs="Arial"/>
          <w:bCs/>
          <w:szCs w:val="22"/>
        </w:rPr>
        <w:t xml:space="preserve"> present their point of view.</w:t>
      </w:r>
    </w:p>
    <w:p w14:paraId="296D9FD6" w14:textId="50E85B3F" w:rsidR="00C17EE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[64]</w:t>
      </w:r>
      <w:r w:rsidRPr="009623DA">
        <w:rPr>
          <w:rFonts w:cs="Arial"/>
          <w:bCs/>
          <w:szCs w:val="22"/>
        </w:rPr>
        <w:tab/>
      </w:r>
      <w:r w:rsidR="00C17EE4" w:rsidRPr="009623DA">
        <w:rPr>
          <w:rFonts w:cs="Arial"/>
          <w:bCs/>
          <w:szCs w:val="22"/>
        </w:rPr>
        <w:t>The arbitrator was entitled to debate the future conduct of the arbitration with the parties and if he made incorrect assumptions as to Altech’s intentions, those could easily be corrected. In fact, it would seem that Altech’s legal team did just that in a letter to Aeonova’s legal team on 28 February 2023.</w:t>
      </w:r>
      <w:r w:rsidR="00C17EE4" w:rsidRPr="009623DA">
        <w:rPr>
          <w:rStyle w:val="FootnoteReference"/>
          <w:rFonts w:cs="Arial"/>
          <w:bCs/>
          <w:szCs w:val="22"/>
        </w:rPr>
        <w:footnoteReference w:id="27"/>
      </w:r>
    </w:p>
    <w:p w14:paraId="53881E27" w14:textId="200091DC" w:rsidR="00CE0808"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[65]</w:t>
      </w:r>
      <w:r w:rsidRPr="009623DA">
        <w:rPr>
          <w:rFonts w:cs="Arial"/>
          <w:bCs/>
          <w:szCs w:val="22"/>
        </w:rPr>
        <w:tab/>
      </w:r>
      <w:r w:rsidR="00CE0808" w:rsidRPr="009623DA">
        <w:rPr>
          <w:rFonts w:cs="Arial"/>
          <w:bCs/>
          <w:szCs w:val="22"/>
        </w:rPr>
        <w:t>There is no logical link between an arbitrator failing to understand a party’s defence, and an inference that he is biased because of his misconception. Misconceptions can be rectified and that is the role of legal representatives.</w:t>
      </w:r>
    </w:p>
    <w:p w14:paraId="2A2C4C4D" w14:textId="77777777" w:rsidR="006122AB" w:rsidRPr="009623DA" w:rsidRDefault="006122AB" w:rsidP="00700C86">
      <w:pPr>
        <w:widowControl w:val="0"/>
        <w:spacing w:before="480" w:after="480" w:line="360" w:lineRule="auto"/>
        <w:jc w:val="both"/>
        <w:rPr>
          <w:rFonts w:cs="Arial"/>
          <w:bCs/>
          <w:szCs w:val="22"/>
          <w:u w:val="single"/>
        </w:rPr>
      </w:pPr>
    </w:p>
    <w:p w14:paraId="60DA3A1B" w14:textId="74EC5957" w:rsidR="00700C86" w:rsidRPr="009623DA" w:rsidRDefault="00700C86" w:rsidP="00700C86">
      <w:pPr>
        <w:widowControl w:val="0"/>
        <w:spacing w:before="480" w:after="480" w:line="360" w:lineRule="auto"/>
        <w:jc w:val="both"/>
        <w:rPr>
          <w:rFonts w:cs="Arial"/>
          <w:bCs/>
          <w:szCs w:val="22"/>
          <w:u w:val="single"/>
        </w:rPr>
      </w:pPr>
      <w:r w:rsidRPr="009623DA">
        <w:rPr>
          <w:rFonts w:cs="Arial"/>
          <w:bCs/>
          <w:szCs w:val="22"/>
          <w:u w:val="single"/>
        </w:rPr>
        <w:t>Third ground: the arbitrator made a series of inappropriate and adverse findings against the applicant’s legal representatives</w:t>
      </w:r>
    </w:p>
    <w:p w14:paraId="2CF3B3A3" w14:textId="5BB3E90D" w:rsidR="00C17EE4"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[66]</w:t>
      </w:r>
      <w:r w:rsidRPr="009623DA">
        <w:rPr>
          <w:rFonts w:cs="Arial"/>
          <w:bCs/>
          <w:szCs w:val="22"/>
        </w:rPr>
        <w:tab/>
      </w:r>
      <w:r w:rsidR="00C17EE4" w:rsidRPr="009623DA">
        <w:rPr>
          <w:rFonts w:cs="Arial"/>
          <w:bCs/>
          <w:szCs w:val="22"/>
        </w:rPr>
        <w:t xml:space="preserve">The deponent also criticised the arbitrator for </w:t>
      </w:r>
      <w:r w:rsidR="00C17EE4" w:rsidRPr="009623DA">
        <w:rPr>
          <w:rFonts w:cs="Arial"/>
          <w:bCs/>
          <w:i/>
          <w:iCs/>
          <w:szCs w:val="22"/>
        </w:rPr>
        <w:t>“impugning the character and conduct of”</w:t>
      </w:r>
      <w:r w:rsidR="00C17EE4" w:rsidRPr="009623DA">
        <w:rPr>
          <w:rFonts w:cs="Arial"/>
          <w:bCs/>
          <w:szCs w:val="22"/>
        </w:rPr>
        <w:t xml:space="preserve"> Altech’s legal representatives. The arbitrator dealt with the factual basis of his comments in his ruling on 9 March 2023 but these have nothing to do with Altech.</w:t>
      </w:r>
    </w:p>
    <w:p w14:paraId="518B573C" w14:textId="24F164C7" w:rsidR="00CE0808"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[67]</w:t>
      </w:r>
      <w:r w:rsidRPr="009623DA">
        <w:rPr>
          <w:rFonts w:cs="Arial"/>
          <w:bCs/>
          <w:szCs w:val="22"/>
        </w:rPr>
        <w:tab/>
      </w:r>
      <w:r w:rsidR="00CE0808" w:rsidRPr="009623DA">
        <w:rPr>
          <w:rFonts w:cs="Arial"/>
          <w:bCs/>
          <w:szCs w:val="22"/>
        </w:rPr>
        <w:t xml:space="preserve">The arbitrator was, for instance, critical of one of Altech’s attorneys who, he said, undertook to do something and then failed to do it. Whether the criticism is justified or not, is not relevant for the purposes of this application. It does not amount to bias against </w:t>
      </w:r>
      <w:r w:rsidR="00CE0808" w:rsidRPr="009623DA">
        <w:rPr>
          <w:rFonts w:cs="Arial"/>
          <w:bCs/>
          <w:szCs w:val="22"/>
        </w:rPr>
        <w:lastRenderedPageBreak/>
        <w:t>Altech.</w:t>
      </w:r>
    </w:p>
    <w:p w14:paraId="035FFBCA" w14:textId="5AFFDDEB" w:rsidR="007E7463"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[68]</w:t>
      </w:r>
      <w:r w:rsidRPr="009623DA">
        <w:rPr>
          <w:rFonts w:cs="Arial"/>
          <w:bCs/>
          <w:szCs w:val="22"/>
        </w:rPr>
        <w:tab/>
      </w:r>
      <w:r w:rsidR="007E7463" w:rsidRPr="009623DA">
        <w:rPr>
          <w:rFonts w:cs="Arial"/>
          <w:bCs/>
          <w:szCs w:val="22"/>
        </w:rPr>
        <w:t xml:space="preserve">While it is undoubtedly so that the arbitrator engaged in robust debate with Altech’s counsel, the debate was no more robust than what occurs in </w:t>
      </w:r>
      <w:r w:rsidR="00CE0808" w:rsidRPr="009623DA">
        <w:rPr>
          <w:rFonts w:cs="Arial"/>
          <w:bCs/>
          <w:szCs w:val="22"/>
        </w:rPr>
        <w:t>the practice of law</w:t>
      </w:r>
      <w:r w:rsidR="000528B3">
        <w:rPr>
          <w:rFonts w:cs="Arial"/>
          <w:bCs/>
          <w:szCs w:val="22"/>
        </w:rPr>
        <w:t>.</w:t>
      </w:r>
      <w:r w:rsidR="007E7463" w:rsidRPr="009623DA">
        <w:rPr>
          <w:rFonts w:cs="Arial"/>
          <w:bCs/>
          <w:szCs w:val="22"/>
        </w:rPr>
        <w:t xml:space="preserve"> The arbitrator differed from counsel on his submissions but reading the transcript, there is no personal animosity by the arbitrator towards Altech’s counsel, nor does the transcript lend itself to such animosity by Altech’s counsel. </w:t>
      </w:r>
      <w:r w:rsidR="00CE0808" w:rsidRPr="009623DA">
        <w:rPr>
          <w:rFonts w:cs="Arial"/>
          <w:bCs/>
          <w:szCs w:val="22"/>
        </w:rPr>
        <w:t>Both were doing a professional job and Altech’s allegation of bias has no factual basis.</w:t>
      </w:r>
    </w:p>
    <w:p w14:paraId="162AA569" w14:textId="77777777" w:rsidR="006122AB" w:rsidRPr="009623DA" w:rsidRDefault="006122AB" w:rsidP="00700C86">
      <w:pPr>
        <w:widowControl w:val="0"/>
        <w:spacing w:before="480" w:after="480" w:line="360" w:lineRule="auto"/>
        <w:jc w:val="both"/>
        <w:rPr>
          <w:rFonts w:cs="Arial"/>
          <w:bCs/>
          <w:szCs w:val="22"/>
          <w:u w:val="single"/>
        </w:rPr>
      </w:pPr>
    </w:p>
    <w:p w14:paraId="662B0F81" w14:textId="0077FCD2" w:rsidR="00700C86" w:rsidRPr="009623DA" w:rsidRDefault="00700C86" w:rsidP="00700C86">
      <w:pPr>
        <w:widowControl w:val="0"/>
        <w:spacing w:before="480" w:after="480" w:line="360" w:lineRule="auto"/>
        <w:jc w:val="both"/>
        <w:rPr>
          <w:rFonts w:cs="Arial"/>
          <w:bCs/>
          <w:szCs w:val="22"/>
          <w:u w:val="single"/>
        </w:rPr>
      </w:pPr>
      <w:r w:rsidRPr="009623DA">
        <w:rPr>
          <w:rFonts w:cs="Arial"/>
          <w:bCs/>
          <w:szCs w:val="22"/>
          <w:u w:val="single"/>
        </w:rPr>
        <w:t>Fourth ground: the arbitrator was unduly occupied with urgency and in doing so held Altech responsible without reason for delays in the proceedings</w:t>
      </w:r>
    </w:p>
    <w:p w14:paraId="596809E8" w14:textId="66A17484" w:rsidR="00CE0808"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[69]</w:t>
      </w:r>
      <w:r w:rsidRPr="009623DA">
        <w:rPr>
          <w:rFonts w:cs="Arial"/>
          <w:bCs/>
          <w:szCs w:val="22"/>
        </w:rPr>
        <w:tab/>
      </w:r>
      <w:r w:rsidR="00C17EE4" w:rsidRPr="009623DA">
        <w:rPr>
          <w:rFonts w:cs="Arial"/>
          <w:bCs/>
          <w:szCs w:val="22"/>
        </w:rPr>
        <w:t>It is correct that the arbitrator was at all times concerned that the arbitration was being unduly delayed. One of the perceived benefits of arbitration is the speedy resolution of disputes and</w:t>
      </w:r>
      <w:r w:rsidR="00A471EF" w:rsidRPr="009623DA">
        <w:rPr>
          <w:rFonts w:cs="Arial"/>
          <w:bCs/>
          <w:szCs w:val="22"/>
        </w:rPr>
        <w:t xml:space="preserve"> it is this benefit that make</w:t>
      </w:r>
      <w:r w:rsidR="002E0E37" w:rsidRPr="009623DA">
        <w:rPr>
          <w:rFonts w:cs="Arial"/>
          <w:bCs/>
          <w:szCs w:val="22"/>
        </w:rPr>
        <w:t>s commercial</w:t>
      </w:r>
      <w:r w:rsidR="00A471EF" w:rsidRPr="009623DA">
        <w:rPr>
          <w:rFonts w:cs="Arial"/>
          <w:bCs/>
          <w:szCs w:val="22"/>
        </w:rPr>
        <w:t xml:space="preserve"> arbitration an attractive option</w:t>
      </w:r>
      <w:r w:rsidR="002E0E37" w:rsidRPr="009623DA">
        <w:rPr>
          <w:rFonts w:cs="Arial"/>
          <w:bCs/>
          <w:szCs w:val="22"/>
        </w:rPr>
        <w:t>.</w:t>
      </w:r>
      <w:r w:rsidR="00A471EF" w:rsidRPr="009623DA">
        <w:rPr>
          <w:rFonts w:cs="Arial"/>
          <w:bCs/>
          <w:szCs w:val="22"/>
        </w:rPr>
        <w:t xml:space="preserve"> </w:t>
      </w:r>
    </w:p>
    <w:p w14:paraId="1D5CBA4D" w14:textId="5B6902E8" w:rsidR="00AD23B3"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[70]</w:t>
      </w:r>
      <w:r w:rsidRPr="009623DA">
        <w:rPr>
          <w:rFonts w:cs="Arial"/>
          <w:bCs/>
          <w:szCs w:val="22"/>
        </w:rPr>
        <w:tab/>
      </w:r>
      <w:r w:rsidR="00D073D1" w:rsidRPr="009623DA">
        <w:rPr>
          <w:rFonts w:cs="Arial"/>
          <w:bCs/>
          <w:szCs w:val="22"/>
        </w:rPr>
        <w:t>The principal duties of an arbitrator is to take care, to proceed diligently, and to act impartially.</w:t>
      </w:r>
      <w:r w:rsidR="00D073D1" w:rsidRPr="009623DA">
        <w:rPr>
          <w:rStyle w:val="FootnoteReference"/>
          <w:rFonts w:cs="Arial"/>
          <w:bCs/>
          <w:szCs w:val="22"/>
        </w:rPr>
        <w:footnoteReference w:id="28"/>
      </w:r>
      <w:r w:rsidR="00CE0808" w:rsidRPr="009623DA">
        <w:rPr>
          <w:rFonts w:cs="Arial"/>
          <w:bCs/>
          <w:szCs w:val="22"/>
        </w:rPr>
        <w:t xml:space="preserve"> </w:t>
      </w:r>
      <w:r w:rsidR="00AD23B3" w:rsidRPr="009623DA">
        <w:rPr>
          <w:rFonts w:cs="Arial"/>
          <w:bCs/>
          <w:szCs w:val="22"/>
        </w:rPr>
        <w:t xml:space="preserve">In fact, the failure to proceed diligently is </w:t>
      </w:r>
      <w:r w:rsidR="006122AB" w:rsidRPr="009623DA">
        <w:rPr>
          <w:rFonts w:cs="Arial"/>
          <w:bCs/>
          <w:szCs w:val="22"/>
        </w:rPr>
        <w:t>a</w:t>
      </w:r>
      <w:r w:rsidR="00AD23B3" w:rsidRPr="009623DA">
        <w:rPr>
          <w:rFonts w:cs="Arial"/>
          <w:bCs/>
          <w:szCs w:val="22"/>
        </w:rPr>
        <w:t xml:space="preserve"> ground for the setting aside of the appointment of an arbitrator specifically mentioned in section 13(2) of the Arbitration Act.</w:t>
      </w:r>
    </w:p>
    <w:p w14:paraId="0B50FF2D" w14:textId="467A42FF" w:rsidR="00A1003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[71]</w:t>
      </w:r>
      <w:r w:rsidRPr="009623DA">
        <w:rPr>
          <w:rFonts w:cs="Arial"/>
          <w:bCs/>
          <w:szCs w:val="22"/>
        </w:rPr>
        <w:tab/>
      </w:r>
      <w:r w:rsidR="00A471EF" w:rsidRPr="009623DA">
        <w:rPr>
          <w:rFonts w:cs="Arial"/>
          <w:bCs/>
          <w:szCs w:val="22"/>
        </w:rPr>
        <w:t>The arbitrator was concerned about the fact that he had a duty to deal with the matter expeditiously and that this goal was not being met.</w:t>
      </w:r>
      <w:r w:rsidR="00E06AB6" w:rsidRPr="009623DA">
        <w:rPr>
          <w:rFonts w:cs="Arial"/>
          <w:bCs/>
          <w:szCs w:val="22"/>
        </w:rPr>
        <w:t xml:space="preserve"> The arbitration commenced in 2018, </w:t>
      </w:r>
      <w:r w:rsidR="006122AB" w:rsidRPr="009623DA">
        <w:rPr>
          <w:rFonts w:cs="Arial"/>
          <w:bCs/>
          <w:szCs w:val="22"/>
        </w:rPr>
        <w:t>five</w:t>
      </w:r>
      <w:r w:rsidR="00E06AB6" w:rsidRPr="009623DA">
        <w:rPr>
          <w:rFonts w:cs="Arial"/>
          <w:bCs/>
          <w:szCs w:val="22"/>
        </w:rPr>
        <w:t xml:space="preserve"> years ago.</w:t>
      </w:r>
      <w:r w:rsidR="00A10039" w:rsidRPr="009623DA">
        <w:rPr>
          <w:rFonts w:cs="Arial"/>
          <w:bCs/>
          <w:szCs w:val="22"/>
        </w:rPr>
        <w:t xml:space="preserve"> As long ago as 2 May 2022</w:t>
      </w:r>
      <w:r w:rsidR="00CE0808" w:rsidRPr="009623DA">
        <w:rPr>
          <w:rFonts w:cs="Arial"/>
          <w:bCs/>
          <w:szCs w:val="22"/>
        </w:rPr>
        <w:t xml:space="preserve"> (more than a year ago)</w:t>
      </w:r>
      <w:r w:rsidR="00A10039" w:rsidRPr="009623DA">
        <w:rPr>
          <w:rFonts w:cs="Arial"/>
          <w:bCs/>
          <w:szCs w:val="22"/>
        </w:rPr>
        <w:t xml:space="preserve"> the first arbitrator remarked</w:t>
      </w:r>
      <w:r w:rsidR="00A10039" w:rsidRPr="009623DA">
        <w:rPr>
          <w:rStyle w:val="FootnoteReference"/>
          <w:rFonts w:cs="Arial"/>
          <w:bCs/>
          <w:szCs w:val="22"/>
        </w:rPr>
        <w:footnoteReference w:id="29"/>
      </w:r>
      <w:r w:rsidR="00A10039" w:rsidRPr="009623DA">
        <w:rPr>
          <w:rFonts w:cs="Arial"/>
          <w:bCs/>
          <w:szCs w:val="22"/>
        </w:rPr>
        <w:t xml:space="preserve"> that: </w:t>
      </w:r>
      <w:r w:rsidR="00A10039" w:rsidRPr="009623DA">
        <w:rPr>
          <w:rFonts w:cs="Arial"/>
          <w:bCs/>
          <w:i/>
          <w:iCs/>
          <w:szCs w:val="22"/>
        </w:rPr>
        <w:t>“This arbitration has been running for a very long time.”</w:t>
      </w:r>
      <w:r w:rsidR="00E06AB6" w:rsidRPr="009623DA">
        <w:rPr>
          <w:rFonts w:cs="Arial"/>
          <w:bCs/>
          <w:i/>
          <w:iCs/>
          <w:szCs w:val="22"/>
        </w:rPr>
        <w:t xml:space="preserve"> </w:t>
      </w:r>
      <w:r w:rsidR="00DC60C2" w:rsidRPr="009623DA">
        <w:rPr>
          <w:rFonts w:cs="Arial"/>
          <w:bCs/>
          <w:szCs w:val="22"/>
        </w:rPr>
        <w:t xml:space="preserve">Without deciding who is to blame for this state of affairs, it </w:t>
      </w:r>
      <w:r w:rsidR="002E0E37" w:rsidRPr="009623DA">
        <w:rPr>
          <w:rFonts w:cs="Arial"/>
          <w:bCs/>
          <w:szCs w:val="22"/>
        </w:rPr>
        <w:t xml:space="preserve">can hardly be argued that a timeous conclusion to the proceedings is </w:t>
      </w:r>
      <w:r w:rsidR="006122AB" w:rsidRPr="009623DA">
        <w:rPr>
          <w:rFonts w:cs="Arial"/>
          <w:bCs/>
          <w:szCs w:val="22"/>
        </w:rPr>
        <w:t xml:space="preserve">not </w:t>
      </w:r>
      <w:r w:rsidR="002E0E37" w:rsidRPr="009623DA">
        <w:rPr>
          <w:rFonts w:cs="Arial"/>
          <w:bCs/>
          <w:szCs w:val="22"/>
        </w:rPr>
        <w:t>an obligation that rests on the parties and on the arbitrator.</w:t>
      </w:r>
      <w:r w:rsidR="006122AB" w:rsidRPr="009623DA">
        <w:rPr>
          <w:rFonts w:cs="Arial"/>
          <w:bCs/>
          <w:szCs w:val="22"/>
        </w:rPr>
        <w:t xml:space="preserve"> </w:t>
      </w:r>
      <w:r w:rsidR="00A10039" w:rsidRPr="009623DA">
        <w:rPr>
          <w:rFonts w:cs="Arial"/>
          <w:bCs/>
          <w:szCs w:val="22"/>
        </w:rPr>
        <w:t>The arbitrator was correctly occupied with urgency, but not unduly so.</w:t>
      </w:r>
    </w:p>
    <w:p w14:paraId="0726522D" w14:textId="00F4B2C1" w:rsidR="003A1D18"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[72]</w:t>
      </w:r>
      <w:r w:rsidRPr="009623DA">
        <w:rPr>
          <w:rFonts w:cs="Arial"/>
          <w:bCs/>
          <w:szCs w:val="22"/>
        </w:rPr>
        <w:tab/>
      </w:r>
      <w:r w:rsidR="003A1D18" w:rsidRPr="009623DA">
        <w:rPr>
          <w:rFonts w:cs="Arial"/>
          <w:bCs/>
          <w:szCs w:val="22"/>
        </w:rPr>
        <w:t xml:space="preserve">Prejudice caused by a delay as a result of a recusal application is quite obviously </w:t>
      </w:r>
      <w:r w:rsidR="003A1D18" w:rsidRPr="009623DA">
        <w:rPr>
          <w:rFonts w:cs="Arial"/>
          <w:bCs/>
          <w:szCs w:val="22"/>
        </w:rPr>
        <w:lastRenderedPageBreak/>
        <w:t>not a reason not to entertain it.</w:t>
      </w:r>
      <w:r w:rsidR="003A1D18" w:rsidRPr="009623DA">
        <w:rPr>
          <w:rStyle w:val="FootnoteReference"/>
          <w:rFonts w:cs="Arial"/>
          <w:bCs/>
          <w:szCs w:val="22"/>
        </w:rPr>
        <w:footnoteReference w:id="30"/>
      </w:r>
      <w:r w:rsidR="006122AB" w:rsidRPr="009623DA">
        <w:rPr>
          <w:rFonts w:cs="Arial"/>
          <w:bCs/>
          <w:szCs w:val="22"/>
        </w:rPr>
        <w:t xml:space="preserve"> The arbitrator did entertain the recusal application and he did</w:t>
      </w:r>
      <w:r w:rsidR="000528B3">
        <w:rPr>
          <w:rFonts w:cs="Arial"/>
          <w:bCs/>
          <w:szCs w:val="22"/>
        </w:rPr>
        <w:t xml:space="preserve"> so</w:t>
      </w:r>
      <w:r w:rsidR="006122AB" w:rsidRPr="009623DA">
        <w:rPr>
          <w:rFonts w:cs="Arial"/>
          <w:bCs/>
          <w:szCs w:val="22"/>
        </w:rPr>
        <w:t xml:space="preserve"> the day after the delivery of the application and in preference to hearing already scheduled.</w:t>
      </w:r>
    </w:p>
    <w:p w14:paraId="708980CE" w14:textId="77777777" w:rsidR="006122AB" w:rsidRPr="009623DA" w:rsidRDefault="006122AB" w:rsidP="00700C86">
      <w:pPr>
        <w:widowControl w:val="0"/>
        <w:spacing w:before="480" w:after="480" w:line="360" w:lineRule="auto"/>
        <w:jc w:val="both"/>
        <w:rPr>
          <w:rFonts w:cs="Arial"/>
          <w:bCs/>
          <w:szCs w:val="22"/>
          <w:u w:val="single"/>
        </w:rPr>
      </w:pPr>
    </w:p>
    <w:p w14:paraId="16CD4271" w14:textId="00F92192" w:rsidR="00700C86" w:rsidRPr="009623DA" w:rsidRDefault="00700C86" w:rsidP="00700C86">
      <w:pPr>
        <w:widowControl w:val="0"/>
        <w:spacing w:before="480" w:after="480" w:line="360" w:lineRule="auto"/>
        <w:jc w:val="both"/>
        <w:rPr>
          <w:rFonts w:cs="Arial"/>
          <w:bCs/>
          <w:szCs w:val="22"/>
          <w:u w:val="single"/>
        </w:rPr>
      </w:pPr>
      <w:r w:rsidRPr="009623DA">
        <w:rPr>
          <w:rFonts w:cs="Arial"/>
          <w:bCs/>
          <w:szCs w:val="22"/>
          <w:u w:val="single"/>
        </w:rPr>
        <w:t>The untrue statements made under oath</w:t>
      </w:r>
    </w:p>
    <w:p w14:paraId="369529BC" w14:textId="3F5D7F98" w:rsidR="00A10039"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[73]</w:t>
      </w:r>
      <w:r w:rsidRPr="009623DA">
        <w:rPr>
          <w:rFonts w:cs="Arial"/>
          <w:bCs/>
          <w:szCs w:val="22"/>
        </w:rPr>
        <w:tab/>
      </w:r>
      <w:r w:rsidR="00B6007E" w:rsidRPr="009623DA">
        <w:rPr>
          <w:rFonts w:cs="Arial"/>
          <w:bCs/>
          <w:szCs w:val="22"/>
        </w:rPr>
        <w:t>The letter of 6 March 2023</w:t>
      </w:r>
      <w:r w:rsidR="00130C4A" w:rsidRPr="009623DA">
        <w:rPr>
          <w:rFonts w:cs="Arial"/>
          <w:bCs/>
          <w:szCs w:val="22"/>
        </w:rPr>
        <w:t xml:space="preserve"> written by Altech’s attorneys</w:t>
      </w:r>
      <w:r w:rsidR="00B6007E" w:rsidRPr="009623DA">
        <w:rPr>
          <w:rFonts w:cs="Arial"/>
          <w:bCs/>
          <w:szCs w:val="22"/>
        </w:rPr>
        <w:t xml:space="preserve"> contain</w:t>
      </w:r>
      <w:r w:rsidR="006122AB" w:rsidRPr="009623DA">
        <w:rPr>
          <w:rFonts w:cs="Arial"/>
          <w:bCs/>
          <w:szCs w:val="22"/>
        </w:rPr>
        <w:t>s</w:t>
      </w:r>
      <w:r w:rsidR="00B6007E" w:rsidRPr="009623DA">
        <w:rPr>
          <w:rFonts w:cs="Arial"/>
          <w:bCs/>
          <w:szCs w:val="22"/>
        </w:rPr>
        <w:t xml:space="preserve"> two untru</w:t>
      </w:r>
      <w:r w:rsidR="00DA62C4" w:rsidRPr="009623DA">
        <w:rPr>
          <w:rFonts w:cs="Arial"/>
          <w:bCs/>
          <w:szCs w:val="22"/>
        </w:rPr>
        <w:t>e and misleading statements</w:t>
      </w:r>
      <w:r w:rsidR="00B6007E" w:rsidRPr="009623DA">
        <w:rPr>
          <w:rFonts w:cs="Arial"/>
          <w:bCs/>
          <w:szCs w:val="22"/>
        </w:rPr>
        <w:t xml:space="preserve">: </w:t>
      </w:r>
    </w:p>
    <w:p w14:paraId="353A641B" w14:textId="5FEA6CD1" w:rsidR="00A10039"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73.1</w:t>
      </w:r>
      <w:r w:rsidRPr="009623DA">
        <w:rPr>
          <w:rFonts w:cs="Arial"/>
          <w:bCs/>
          <w:szCs w:val="22"/>
        </w:rPr>
        <w:tab/>
      </w:r>
      <w:r w:rsidR="00B6007E" w:rsidRPr="009623DA">
        <w:rPr>
          <w:rFonts w:cs="Arial"/>
          <w:bCs/>
          <w:szCs w:val="22"/>
        </w:rPr>
        <w:t xml:space="preserve">It is alleged that the arbitrator wished to supplement his reasons for the award taken on review and that this fact alone indicated that </w:t>
      </w:r>
      <w:r w:rsidR="00B6007E" w:rsidRPr="009623DA">
        <w:rPr>
          <w:rFonts w:cs="Arial"/>
          <w:bCs/>
          <w:i/>
          <w:iCs/>
          <w:szCs w:val="22"/>
        </w:rPr>
        <w:t>“even you must feel some discomfort with the Award as it stands.”</w:t>
      </w:r>
      <w:r w:rsidR="00A10039" w:rsidRPr="009623DA">
        <w:rPr>
          <w:rFonts w:cs="Arial"/>
          <w:bCs/>
          <w:i/>
          <w:iCs/>
          <w:szCs w:val="22"/>
        </w:rPr>
        <w:t xml:space="preserve"> </w:t>
      </w:r>
      <w:r w:rsidR="00A10039" w:rsidRPr="009623DA">
        <w:rPr>
          <w:rFonts w:cs="Arial"/>
          <w:bCs/>
          <w:szCs w:val="22"/>
        </w:rPr>
        <w:t>It was common cause by the 9</w:t>
      </w:r>
      <w:r w:rsidR="00A10039" w:rsidRPr="009623DA">
        <w:rPr>
          <w:rFonts w:cs="Arial"/>
          <w:bCs/>
          <w:szCs w:val="22"/>
          <w:vertAlign w:val="superscript"/>
        </w:rPr>
        <w:t>th</w:t>
      </w:r>
      <w:r w:rsidR="00A10039" w:rsidRPr="009623DA">
        <w:rPr>
          <w:rFonts w:cs="Arial"/>
          <w:bCs/>
          <w:szCs w:val="22"/>
        </w:rPr>
        <w:t xml:space="preserve"> that the arbitrator never said this with reference to the pending review, but had made a similar statement with reference to an earlier review application that had been mooted by Altech</w:t>
      </w:r>
      <w:r w:rsidR="0089629F" w:rsidRPr="009623DA">
        <w:rPr>
          <w:rFonts w:cs="Arial"/>
          <w:bCs/>
          <w:szCs w:val="22"/>
        </w:rPr>
        <w:t xml:space="preserve"> but never brought</w:t>
      </w:r>
      <w:r w:rsidR="00A10039" w:rsidRPr="009623DA">
        <w:rPr>
          <w:rFonts w:cs="Arial"/>
          <w:bCs/>
          <w:szCs w:val="22"/>
        </w:rPr>
        <w:t>.</w:t>
      </w:r>
    </w:p>
    <w:p w14:paraId="798AB394" w14:textId="129E59DF" w:rsidR="00B6007E"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73.2</w:t>
      </w:r>
      <w:r w:rsidRPr="009623DA">
        <w:rPr>
          <w:rFonts w:cs="Arial"/>
          <w:bCs/>
          <w:szCs w:val="22"/>
        </w:rPr>
        <w:tab/>
      </w:r>
      <w:r w:rsidR="00A10039" w:rsidRPr="009623DA">
        <w:rPr>
          <w:rFonts w:cs="Arial"/>
          <w:bCs/>
          <w:szCs w:val="22"/>
        </w:rPr>
        <w:t xml:space="preserve">It is alleged that the arbitrator had directed </w:t>
      </w:r>
      <w:r w:rsidR="00A10039" w:rsidRPr="009623DA">
        <w:rPr>
          <w:rFonts w:cs="Arial"/>
          <w:bCs/>
          <w:i/>
          <w:iCs/>
          <w:szCs w:val="22"/>
        </w:rPr>
        <w:t xml:space="preserve">“multiple, lengthy letters directly to the Honourable Deputy Judge President.” </w:t>
      </w:r>
      <w:r w:rsidR="00A10039" w:rsidRPr="009623DA">
        <w:rPr>
          <w:rFonts w:cs="Arial"/>
          <w:bCs/>
          <w:szCs w:val="22"/>
        </w:rPr>
        <w:t>There was in reality only one such letter.</w:t>
      </w:r>
    </w:p>
    <w:p w14:paraId="1B4AED68" w14:textId="1433645F" w:rsidR="00B6179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[74]</w:t>
      </w:r>
      <w:r w:rsidRPr="009623DA">
        <w:rPr>
          <w:rFonts w:cs="Arial"/>
          <w:bCs/>
          <w:szCs w:val="22"/>
        </w:rPr>
        <w:tab/>
      </w:r>
      <w:r w:rsidR="00AC2F6A" w:rsidRPr="009623DA">
        <w:rPr>
          <w:rFonts w:cs="Arial"/>
          <w:bCs/>
          <w:szCs w:val="22"/>
        </w:rPr>
        <w:t>The letter</w:t>
      </w:r>
      <w:r w:rsidR="0089629F" w:rsidRPr="009623DA">
        <w:rPr>
          <w:rFonts w:cs="Arial"/>
          <w:bCs/>
          <w:szCs w:val="22"/>
        </w:rPr>
        <w:t xml:space="preserve"> of 6 March 2023</w:t>
      </w:r>
      <w:r w:rsidR="00AC2F6A" w:rsidRPr="009623DA">
        <w:rPr>
          <w:rFonts w:cs="Arial"/>
          <w:bCs/>
          <w:szCs w:val="22"/>
        </w:rPr>
        <w:t xml:space="preserve"> was then </w:t>
      </w:r>
      <w:r w:rsidR="00B6179E" w:rsidRPr="009623DA">
        <w:rPr>
          <w:rFonts w:cs="Arial"/>
          <w:bCs/>
          <w:szCs w:val="22"/>
        </w:rPr>
        <w:t>attached as an annexure to the founding affidavit in the application</w:t>
      </w:r>
      <w:r w:rsidR="00B6179E" w:rsidRPr="009623DA">
        <w:rPr>
          <w:rStyle w:val="FootnoteReference"/>
          <w:rFonts w:cs="Arial"/>
          <w:bCs/>
          <w:szCs w:val="22"/>
        </w:rPr>
        <w:footnoteReference w:id="31"/>
      </w:r>
      <w:r w:rsidR="00B6179E" w:rsidRPr="009623DA">
        <w:rPr>
          <w:rFonts w:cs="Arial"/>
          <w:bCs/>
          <w:szCs w:val="22"/>
        </w:rPr>
        <w:t xml:space="preserve"> launched on 8 March 2023. In paragraph 15 of the founding affidavit the deponent confirms the contents of the letter</w:t>
      </w:r>
      <w:r w:rsidR="00F67D80" w:rsidRPr="009623DA">
        <w:rPr>
          <w:rFonts w:cs="Arial"/>
          <w:bCs/>
          <w:szCs w:val="22"/>
        </w:rPr>
        <w:t xml:space="preserve"> and states that it </w:t>
      </w:r>
      <w:r w:rsidR="00F67D80" w:rsidRPr="009623DA">
        <w:rPr>
          <w:rFonts w:cs="Arial"/>
          <w:bCs/>
          <w:i/>
          <w:iCs/>
          <w:szCs w:val="22"/>
        </w:rPr>
        <w:t>“accurately summarises”</w:t>
      </w:r>
      <w:r w:rsidR="00F67D80" w:rsidRPr="009623DA">
        <w:rPr>
          <w:rFonts w:cs="Arial"/>
          <w:bCs/>
          <w:szCs w:val="22"/>
        </w:rPr>
        <w:t xml:space="preserve"> the grounds</w:t>
      </w:r>
      <w:r w:rsidR="00130C4A" w:rsidRPr="009623DA">
        <w:rPr>
          <w:rFonts w:cs="Arial"/>
          <w:bCs/>
          <w:szCs w:val="22"/>
        </w:rPr>
        <w:t xml:space="preserve"> and therefore Altech’s instructions to its attorneys.</w:t>
      </w:r>
      <w:r w:rsidR="002E0E37" w:rsidRPr="009623DA">
        <w:rPr>
          <w:rFonts w:cs="Arial"/>
          <w:bCs/>
          <w:szCs w:val="22"/>
        </w:rPr>
        <w:t xml:space="preserve"> </w:t>
      </w:r>
      <w:r w:rsidR="00130C4A" w:rsidRPr="009623DA">
        <w:rPr>
          <w:rFonts w:cs="Arial"/>
          <w:bCs/>
          <w:szCs w:val="22"/>
        </w:rPr>
        <w:t>The</w:t>
      </w:r>
      <w:r w:rsidR="002E0E37" w:rsidRPr="009623DA">
        <w:rPr>
          <w:rFonts w:cs="Arial"/>
          <w:bCs/>
          <w:szCs w:val="22"/>
        </w:rPr>
        <w:t xml:space="preserve"> </w:t>
      </w:r>
      <w:r w:rsidR="008C3710" w:rsidRPr="009623DA">
        <w:rPr>
          <w:rFonts w:cs="Arial"/>
          <w:bCs/>
          <w:szCs w:val="22"/>
        </w:rPr>
        <w:t xml:space="preserve">deponent </w:t>
      </w:r>
      <w:r w:rsidR="002E0E37" w:rsidRPr="009623DA">
        <w:rPr>
          <w:rFonts w:cs="Arial"/>
          <w:bCs/>
          <w:szCs w:val="22"/>
        </w:rPr>
        <w:t xml:space="preserve">then goes on to confirm </w:t>
      </w:r>
      <w:r w:rsidR="00130C4A" w:rsidRPr="009623DA">
        <w:rPr>
          <w:rFonts w:cs="Arial"/>
          <w:bCs/>
          <w:szCs w:val="22"/>
        </w:rPr>
        <w:t xml:space="preserve">the contents of the affidavit </w:t>
      </w:r>
      <w:r w:rsidR="002E0E37" w:rsidRPr="009623DA">
        <w:rPr>
          <w:rFonts w:cs="Arial"/>
          <w:bCs/>
          <w:szCs w:val="22"/>
        </w:rPr>
        <w:t>under oath</w:t>
      </w:r>
      <w:r w:rsidR="00130C4A" w:rsidRPr="009623DA">
        <w:rPr>
          <w:rFonts w:cs="Arial"/>
          <w:bCs/>
          <w:szCs w:val="22"/>
        </w:rPr>
        <w:t>.</w:t>
      </w:r>
    </w:p>
    <w:p w14:paraId="461DA1FE" w14:textId="51D28489" w:rsidR="002E0E37"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[75]</w:t>
      </w:r>
      <w:r w:rsidRPr="009623DA">
        <w:rPr>
          <w:rFonts w:cs="Arial"/>
          <w:bCs/>
          <w:szCs w:val="22"/>
        </w:rPr>
        <w:tab/>
      </w:r>
      <w:r w:rsidR="00B6179E" w:rsidRPr="009623DA">
        <w:rPr>
          <w:rFonts w:cs="Arial"/>
          <w:bCs/>
          <w:szCs w:val="22"/>
        </w:rPr>
        <w:t xml:space="preserve">An affidavit can not be </w:t>
      </w:r>
      <w:r w:rsidR="00B6179E" w:rsidRPr="009623DA">
        <w:rPr>
          <w:rFonts w:cs="Arial"/>
          <w:bCs/>
          <w:i/>
          <w:iCs/>
          <w:szCs w:val="22"/>
        </w:rPr>
        <w:t>“amended”</w:t>
      </w:r>
      <w:r w:rsidR="00B6179E" w:rsidRPr="009623DA">
        <w:rPr>
          <w:rFonts w:cs="Arial"/>
          <w:bCs/>
          <w:szCs w:val="22"/>
        </w:rPr>
        <w:t xml:space="preserve"> or </w:t>
      </w:r>
      <w:r w:rsidR="00B6179E" w:rsidRPr="009623DA">
        <w:rPr>
          <w:rFonts w:cs="Arial"/>
          <w:bCs/>
          <w:i/>
          <w:iCs/>
          <w:szCs w:val="22"/>
        </w:rPr>
        <w:t>“corrected”</w:t>
      </w:r>
      <w:r w:rsidR="00F67D80" w:rsidRPr="009623DA">
        <w:rPr>
          <w:rFonts w:cs="Arial"/>
          <w:bCs/>
          <w:i/>
          <w:iCs/>
          <w:szCs w:val="22"/>
        </w:rPr>
        <w:t xml:space="preserve"> </w:t>
      </w:r>
      <w:r w:rsidR="00F67D80" w:rsidRPr="009623DA">
        <w:rPr>
          <w:rFonts w:cs="Arial"/>
          <w:bCs/>
          <w:szCs w:val="22"/>
        </w:rPr>
        <w:t>as Altech sought to do at the commencement of the hearing</w:t>
      </w:r>
      <w:r w:rsidR="002E0E37" w:rsidRPr="009623DA">
        <w:rPr>
          <w:rFonts w:cs="Arial"/>
          <w:bCs/>
          <w:szCs w:val="22"/>
        </w:rPr>
        <w:t xml:space="preserve"> on 9 March,</w:t>
      </w:r>
      <w:r w:rsidR="0005636C" w:rsidRPr="009623DA">
        <w:rPr>
          <w:rStyle w:val="FootnoteReference"/>
          <w:rFonts w:cs="Arial"/>
          <w:bCs/>
          <w:szCs w:val="22"/>
        </w:rPr>
        <w:footnoteReference w:id="32"/>
      </w:r>
      <w:r w:rsidR="00B6179E" w:rsidRPr="009623DA">
        <w:rPr>
          <w:rFonts w:cs="Arial"/>
          <w:bCs/>
          <w:szCs w:val="22"/>
        </w:rPr>
        <w:t xml:space="preserve"> but if </w:t>
      </w:r>
      <w:r w:rsidR="0089629F" w:rsidRPr="009623DA">
        <w:rPr>
          <w:rFonts w:cs="Arial"/>
          <w:bCs/>
          <w:szCs w:val="22"/>
        </w:rPr>
        <w:t>a</w:t>
      </w:r>
      <w:r w:rsidR="00B6179E" w:rsidRPr="009623DA">
        <w:rPr>
          <w:rFonts w:cs="Arial"/>
          <w:bCs/>
          <w:szCs w:val="22"/>
        </w:rPr>
        <w:t xml:space="preserve"> deponent realise</w:t>
      </w:r>
      <w:r w:rsidR="005875A9" w:rsidRPr="009623DA">
        <w:rPr>
          <w:rFonts w:cs="Arial"/>
          <w:bCs/>
          <w:szCs w:val="22"/>
        </w:rPr>
        <w:t>d</w:t>
      </w:r>
      <w:r w:rsidR="00B6179E" w:rsidRPr="009623DA">
        <w:rPr>
          <w:rFonts w:cs="Arial"/>
          <w:bCs/>
          <w:szCs w:val="22"/>
        </w:rPr>
        <w:t xml:space="preserve"> that he had made </w:t>
      </w:r>
      <w:r w:rsidR="00B6179E" w:rsidRPr="009623DA">
        <w:rPr>
          <w:rFonts w:cs="Arial"/>
          <w:bCs/>
          <w:szCs w:val="22"/>
        </w:rPr>
        <w:lastRenderedPageBreak/>
        <w:t>a mistake he may file a further affidavit admitting and explaining his error.</w:t>
      </w:r>
      <w:r w:rsidR="00D71B03" w:rsidRPr="009623DA">
        <w:rPr>
          <w:rFonts w:cs="Arial"/>
          <w:bCs/>
          <w:szCs w:val="22"/>
        </w:rPr>
        <w:t xml:space="preserve"> </w:t>
      </w:r>
      <w:r w:rsidR="00DA62C4" w:rsidRPr="009623DA">
        <w:rPr>
          <w:rFonts w:cs="Arial"/>
          <w:bCs/>
          <w:szCs w:val="22"/>
        </w:rPr>
        <w:t>Human error is a fact of life and no one is immune. A</w:t>
      </w:r>
      <w:r w:rsidR="002E0E37" w:rsidRPr="009623DA">
        <w:rPr>
          <w:rFonts w:cs="Arial"/>
          <w:bCs/>
          <w:szCs w:val="22"/>
        </w:rPr>
        <w:t>n apology coupled with an explanation honestly made will usually be accepted.</w:t>
      </w:r>
    </w:p>
    <w:p w14:paraId="062FE779" w14:textId="541C0401" w:rsidR="00B6179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[76]</w:t>
      </w:r>
      <w:r w:rsidRPr="009623DA">
        <w:rPr>
          <w:rFonts w:cs="Arial"/>
          <w:bCs/>
          <w:szCs w:val="22"/>
        </w:rPr>
        <w:tab/>
      </w:r>
      <w:r w:rsidR="00410BA9" w:rsidRPr="009623DA">
        <w:rPr>
          <w:rFonts w:cs="Arial"/>
          <w:bCs/>
          <w:szCs w:val="22"/>
        </w:rPr>
        <w:t>It is</w:t>
      </w:r>
      <w:r w:rsidR="002E0E37" w:rsidRPr="009623DA">
        <w:rPr>
          <w:rFonts w:cs="Arial"/>
          <w:bCs/>
          <w:szCs w:val="22"/>
        </w:rPr>
        <w:t xml:space="preserve"> however</w:t>
      </w:r>
      <w:r w:rsidR="00410BA9" w:rsidRPr="009623DA">
        <w:rPr>
          <w:rFonts w:cs="Arial"/>
          <w:bCs/>
          <w:szCs w:val="22"/>
        </w:rPr>
        <w:t xml:space="preserve"> no justification</w:t>
      </w:r>
      <w:r w:rsidR="00DA62C4" w:rsidRPr="009623DA">
        <w:rPr>
          <w:rFonts w:cs="Arial"/>
          <w:bCs/>
          <w:szCs w:val="22"/>
        </w:rPr>
        <w:t xml:space="preserve"> in itself</w:t>
      </w:r>
      <w:r w:rsidR="00410BA9" w:rsidRPr="009623DA">
        <w:rPr>
          <w:rFonts w:cs="Arial"/>
          <w:bCs/>
          <w:szCs w:val="22"/>
        </w:rPr>
        <w:t xml:space="preserve"> to say that a deponent to an affidavit was not the author and that someone else drafted the affidavit - It is still the deponent who goes on oath</w:t>
      </w:r>
      <w:r w:rsidR="002E0E37" w:rsidRPr="009623DA">
        <w:rPr>
          <w:rFonts w:cs="Arial"/>
          <w:bCs/>
          <w:szCs w:val="22"/>
        </w:rPr>
        <w:t>.</w:t>
      </w:r>
      <w:r w:rsidR="00410BA9" w:rsidRPr="009623DA">
        <w:rPr>
          <w:rFonts w:cs="Arial"/>
          <w:bCs/>
          <w:szCs w:val="22"/>
        </w:rPr>
        <w:t xml:space="preserve"> </w:t>
      </w:r>
    </w:p>
    <w:p w14:paraId="3E92C94A" w14:textId="7BF07DEE" w:rsidR="00B6179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[77]</w:t>
      </w:r>
      <w:r w:rsidRPr="009623DA">
        <w:rPr>
          <w:rFonts w:cs="Arial"/>
          <w:bCs/>
          <w:szCs w:val="22"/>
        </w:rPr>
        <w:tab/>
      </w:r>
      <w:r w:rsidR="00B6179E" w:rsidRPr="009623DA">
        <w:rPr>
          <w:rFonts w:cs="Arial"/>
          <w:bCs/>
          <w:szCs w:val="22"/>
        </w:rPr>
        <w:t>In this matter the deponent chose</w:t>
      </w:r>
      <w:r w:rsidR="00410BA9" w:rsidRPr="009623DA">
        <w:rPr>
          <w:rFonts w:cs="Arial"/>
          <w:bCs/>
          <w:szCs w:val="22"/>
        </w:rPr>
        <w:t xml:space="preserve"> not to give an explanation but</w:t>
      </w:r>
      <w:r w:rsidR="007E7463" w:rsidRPr="009623DA">
        <w:rPr>
          <w:rFonts w:cs="Arial"/>
          <w:bCs/>
          <w:szCs w:val="22"/>
        </w:rPr>
        <w:t xml:space="preserve"> instead</w:t>
      </w:r>
      <w:r w:rsidR="00410BA9" w:rsidRPr="009623DA">
        <w:rPr>
          <w:rFonts w:cs="Arial"/>
          <w:bCs/>
          <w:szCs w:val="22"/>
        </w:rPr>
        <w:t xml:space="preserve"> to rely</w:t>
      </w:r>
      <w:r w:rsidR="00B6179E" w:rsidRPr="009623DA">
        <w:rPr>
          <w:rFonts w:cs="Arial"/>
          <w:bCs/>
          <w:szCs w:val="22"/>
        </w:rPr>
        <w:t xml:space="preserve"> on </w:t>
      </w:r>
      <w:r w:rsidR="0089629F" w:rsidRPr="009623DA">
        <w:rPr>
          <w:rFonts w:cs="Arial"/>
          <w:bCs/>
          <w:szCs w:val="22"/>
        </w:rPr>
        <w:t>his</w:t>
      </w:r>
      <w:r w:rsidR="00B6179E" w:rsidRPr="009623DA">
        <w:rPr>
          <w:rFonts w:cs="Arial"/>
          <w:bCs/>
          <w:szCs w:val="22"/>
        </w:rPr>
        <w:t xml:space="preserve"> error</w:t>
      </w:r>
      <w:r w:rsidR="00754BDD" w:rsidRPr="009623DA">
        <w:rPr>
          <w:rFonts w:cs="Arial"/>
          <w:bCs/>
          <w:szCs w:val="22"/>
        </w:rPr>
        <w:t xml:space="preserve"> as a ground for seeking the arbitrator’s dismissal.</w:t>
      </w:r>
      <w:r w:rsidR="00410BA9" w:rsidRPr="009623DA">
        <w:rPr>
          <w:rStyle w:val="FootnoteReference"/>
          <w:rFonts w:cs="Arial"/>
          <w:bCs/>
          <w:szCs w:val="22"/>
        </w:rPr>
        <w:footnoteReference w:id="33"/>
      </w:r>
      <w:r w:rsidR="00754BDD" w:rsidRPr="009623DA">
        <w:rPr>
          <w:rFonts w:cs="Arial"/>
          <w:bCs/>
          <w:szCs w:val="22"/>
        </w:rPr>
        <w:t xml:space="preserve"> </w:t>
      </w:r>
      <w:r w:rsidR="00AC114D" w:rsidRPr="009623DA">
        <w:rPr>
          <w:rFonts w:cs="Arial"/>
          <w:bCs/>
          <w:szCs w:val="22"/>
        </w:rPr>
        <w:t>While his error is understandable</w:t>
      </w:r>
      <w:r w:rsidR="00DA62C4" w:rsidRPr="009623DA">
        <w:rPr>
          <w:rFonts w:cs="Arial"/>
          <w:bCs/>
          <w:szCs w:val="22"/>
        </w:rPr>
        <w:t xml:space="preserve"> </w:t>
      </w:r>
      <w:r w:rsidR="00E417B9" w:rsidRPr="009623DA">
        <w:rPr>
          <w:rFonts w:cs="Arial"/>
          <w:bCs/>
          <w:szCs w:val="22"/>
        </w:rPr>
        <w:t xml:space="preserve"> – </w:t>
      </w:r>
      <w:r w:rsidR="00DA62C4" w:rsidRPr="009623DA">
        <w:rPr>
          <w:rFonts w:cs="Arial"/>
          <w:bCs/>
          <w:szCs w:val="22"/>
        </w:rPr>
        <w:t>quite obviously a mistake was made –</w:t>
      </w:r>
      <w:r w:rsidR="00B74A39" w:rsidRPr="009623DA">
        <w:rPr>
          <w:rFonts w:cs="Arial"/>
          <w:bCs/>
          <w:szCs w:val="22"/>
        </w:rPr>
        <w:t xml:space="preserve"> the inaccuracies feature in the first ground for recusal relied upon</w:t>
      </w:r>
      <w:r w:rsidR="00475E80">
        <w:rPr>
          <w:rFonts w:cs="Arial"/>
          <w:bCs/>
          <w:szCs w:val="22"/>
        </w:rPr>
        <w:t xml:space="preserve"> in the letter, and in the fifth ground in this application where the arbitrator is criticised by the deponent for the way the arbitrator dealt with the untrue statements on the 9</w:t>
      </w:r>
      <w:r w:rsidR="00475E80" w:rsidRPr="00475E80">
        <w:rPr>
          <w:rFonts w:cs="Arial"/>
          <w:bCs/>
          <w:szCs w:val="22"/>
          <w:vertAlign w:val="superscript"/>
        </w:rPr>
        <w:t>th</w:t>
      </w:r>
      <w:r w:rsidR="00475E80">
        <w:rPr>
          <w:rFonts w:cs="Arial"/>
          <w:bCs/>
          <w:szCs w:val="22"/>
        </w:rPr>
        <w:t xml:space="preserve"> of March.</w:t>
      </w:r>
    </w:p>
    <w:p w14:paraId="3AECA379" w14:textId="033AA59F" w:rsidR="001342B3"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[78]</w:t>
      </w:r>
      <w:r w:rsidRPr="009623DA">
        <w:rPr>
          <w:rFonts w:cs="Arial"/>
          <w:bCs/>
          <w:szCs w:val="22"/>
        </w:rPr>
        <w:tab/>
      </w:r>
      <w:r w:rsidR="001342B3" w:rsidRPr="009623DA">
        <w:rPr>
          <w:rFonts w:cs="Arial"/>
          <w:bCs/>
          <w:szCs w:val="22"/>
        </w:rPr>
        <w:t>The arbitrator was rightly critical of these aspects of Altech’s affidavits</w:t>
      </w:r>
      <w:r w:rsidR="00B21CA9" w:rsidRPr="009623DA">
        <w:rPr>
          <w:rFonts w:cs="Arial"/>
          <w:bCs/>
          <w:szCs w:val="22"/>
        </w:rPr>
        <w:t xml:space="preserve">. As always, each case must be determined on its own facts but a </w:t>
      </w:r>
      <w:r w:rsidR="008C3710" w:rsidRPr="009623DA">
        <w:rPr>
          <w:rFonts w:cs="Arial"/>
          <w:bCs/>
          <w:szCs w:val="22"/>
        </w:rPr>
        <w:t>j</w:t>
      </w:r>
      <w:r w:rsidR="00B21CA9" w:rsidRPr="009623DA">
        <w:rPr>
          <w:rFonts w:cs="Arial"/>
          <w:bCs/>
          <w:szCs w:val="22"/>
        </w:rPr>
        <w:t>udge or arbitrator who is critical of an obvious untruth in an affidavit filed in a</w:t>
      </w:r>
      <w:r w:rsidR="00D76F23" w:rsidRPr="009623DA">
        <w:rPr>
          <w:rFonts w:cs="Arial"/>
          <w:bCs/>
          <w:szCs w:val="22"/>
        </w:rPr>
        <w:t>n application for recusal</w:t>
      </w:r>
      <w:r w:rsidR="00B21CA9" w:rsidRPr="009623DA">
        <w:rPr>
          <w:rFonts w:cs="Arial"/>
          <w:bCs/>
          <w:szCs w:val="22"/>
        </w:rPr>
        <w:t xml:space="preserve"> can not be expected without more to recuse himself. Criticism must be seen in context.</w:t>
      </w:r>
    </w:p>
    <w:p w14:paraId="332574EC" w14:textId="77777777" w:rsidR="008C3710" w:rsidRPr="009623DA" w:rsidRDefault="008C3710" w:rsidP="0089629F">
      <w:pPr>
        <w:widowControl w:val="0"/>
        <w:spacing w:before="480" w:after="480" w:line="360" w:lineRule="auto"/>
        <w:jc w:val="both"/>
        <w:rPr>
          <w:rFonts w:cs="Arial"/>
          <w:bCs/>
          <w:szCs w:val="22"/>
          <w:u w:val="single"/>
        </w:rPr>
      </w:pPr>
    </w:p>
    <w:p w14:paraId="2A39D1F1" w14:textId="0E502198" w:rsidR="00893C08" w:rsidRPr="009623DA" w:rsidRDefault="0089629F" w:rsidP="0089629F">
      <w:pPr>
        <w:widowControl w:val="0"/>
        <w:spacing w:before="480" w:after="480" w:line="360" w:lineRule="auto"/>
        <w:jc w:val="both"/>
        <w:rPr>
          <w:rFonts w:cs="Arial"/>
          <w:bCs/>
          <w:szCs w:val="22"/>
          <w:u w:val="single"/>
        </w:rPr>
      </w:pPr>
      <w:r w:rsidRPr="009623DA">
        <w:rPr>
          <w:rFonts w:cs="Arial"/>
          <w:bCs/>
          <w:szCs w:val="22"/>
          <w:u w:val="single"/>
        </w:rPr>
        <w:t>Legal principles</w:t>
      </w:r>
    </w:p>
    <w:p w14:paraId="1009D817" w14:textId="44F4ED26" w:rsidR="00A47CD6"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[79]</w:t>
      </w:r>
      <w:r w:rsidRPr="009623DA">
        <w:rPr>
          <w:rFonts w:cs="Arial"/>
          <w:bCs/>
          <w:szCs w:val="22"/>
        </w:rPr>
        <w:tab/>
      </w:r>
      <w:r w:rsidR="00A47CD6" w:rsidRPr="009623DA">
        <w:rPr>
          <w:rFonts w:cs="Arial"/>
          <w:bCs/>
          <w:szCs w:val="22"/>
        </w:rPr>
        <w:t xml:space="preserve">The authorities dealing </w:t>
      </w:r>
      <w:r w:rsidR="008C3710" w:rsidRPr="009623DA">
        <w:rPr>
          <w:rFonts w:cs="Arial"/>
          <w:bCs/>
          <w:szCs w:val="22"/>
        </w:rPr>
        <w:t>with</w:t>
      </w:r>
      <w:r w:rsidR="00A47CD6" w:rsidRPr="009623DA">
        <w:rPr>
          <w:rFonts w:cs="Arial"/>
          <w:bCs/>
          <w:szCs w:val="22"/>
        </w:rPr>
        <w:t xml:space="preserve"> the recusal of a Judge are of equal</w:t>
      </w:r>
      <w:r w:rsidR="00260B0A" w:rsidRPr="009623DA">
        <w:rPr>
          <w:rFonts w:cs="Arial"/>
          <w:bCs/>
          <w:szCs w:val="22"/>
        </w:rPr>
        <w:t xml:space="preserve"> application to the setting aside of the appointment of an arbitrator.</w:t>
      </w:r>
      <w:r w:rsidR="00260B0A" w:rsidRPr="009623DA">
        <w:rPr>
          <w:rStyle w:val="FootnoteReference"/>
          <w:rFonts w:cs="Arial"/>
          <w:bCs/>
          <w:szCs w:val="22"/>
        </w:rPr>
        <w:footnoteReference w:id="34"/>
      </w:r>
    </w:p>
    <w:p w14:paraId="1ACBEF2D" w14:textId="4B317F7E" w:rsidR="004B085D" w:rsidRPr="00E856E9" w:rsidRDefault="003C78F7" w:rsidP="003C78F7">
      <w:pPr>
        <w:widowControl w:val="0"/>
        <w:shd w:val="clear" w:color="auto" w:fill="FFFFFF"/>
        <w:tabs>
          <w:tab w:val="left" w:pos="567"/>
        </w:tabs>
        <w:spacing w:before="480" w:after="480" w:line="360" w:lineRule="auto"/>
        <w:jc w:val="both"/>
        <w:rPr>
          <w:rFonts w:cs="Arial"/>
          <w:bCs/>
          <w:szCs w:val="22"/>
        </w:rPr>
      </w:pPr>
      <w:r w:rsidRPr="00E856E9">
        <w:rPr>
          <w:rFonts w:cs="Arial"/>
          <w:bCs/>
          <w:szCs w:val="22"/>
        </w:rPr>
        <w:t>[80]</w:t>
      </w:r>
      <w:r w:rsidRPr="00E856E9">
        <w:rPr>
          <w:rFonts w:cs="Arial"/>
          <w:bCs/>
          <w:szCs w:val="22"/>
        </w:rPr>
        <w:tab/>
      </w:r>
      <w:r w:rsidR="004B085D" w:rsidRPr="00E856E9">
        <w:rPr>
          <w:rFonts w:cs="Arial"/>
          <w:bCs/>
          <w:szCs w:val="22"/>
        </w:rPr>
        <w:t>A Court should be very slow in removing an arbitrator.</w:t>
      </w:r>
      <w:r w:rsidR="004B085D" w:rsidRPr="009623DA">
        <w:rPr>
          <w:rStyle w:val="FootnoteReference"/>
          <w:rFonts w:cs="Arial"/>
          <w:bCs/>
          <w:i/>
          <w:szCs w:val="22"/>
        </w:rPr>
        <w:footnoteReference w:id="35"/>
      </w:r>
      <w:r w:rsidR="004B085D" w:rsidRPr="00E856E9">
        <w:rPr>
          <w:rFonts w:cs="Arial"/>
          <w:bCs/>
          <w:szCs w:val="22"/>
        </w:rPr>
        <w:t xml:space="preserve"> The conduct complained of must be of an extreme natur</w:t>
      </w:r>
      <w:r w:rsidR="00E856E9" w:rsidRPr="00E856E9">
        <w:rPr>
          <w:rFonts w:cs="Arial"/>
          <w:bCs/>
          <w:szCs w:val="22"/>
        </w:rPr>
        <w:t xml:space="preserve">e and the application for recusal should be based on </w:t>
      </w:r>
      <w:r w:rsidR="00E856E9" w:rsidRPr="00E856E9">
        <w:rPr>
          <w:rFonts w:cs="Arial"/>
          <w:bCs/>
          <w:szCs w:val="22"/>
        </w:rPr>
        <w:lastRenderedPageBreak/>
        <w:t>substantial grounds contending for a reasonable apprehension of bias.</w:t>
      </w:r>
      <w:r w:rsidR="00E856E9" w:rsidRPr="009623DA">
        <w:rPr>
          <w:rStyle w:val="FootnoteReference"/>
          <w:rFonts w:cs="Arial"/>
          <w:bCs/>
          <w:i/>
          <w:szCs w:val="22"/>
        </w:rPr>
        <w:footnoteReference w:id="36"/>
      </w:r>
      <w:r w:rsidR="00E856E9" w:rsidRPr="00E856E9">
        <w:rPr>
          <w:rFonts w:cs="Arial"/>
          <w:bCs/>
          <w:szCs w:val="22"/>
        </w:rPr>
        <w:t xml:space="preserve"> </w:t>
      </w:r>
      <w:r w:rsidR="004B085D" w:rsidRPr="00E856E9">
        <w:rPr>
          <w:rFonts w:cs="Arial"/>
          <w:bCs/>
          <w:szCs w:val="22"/>
        </w:rPr>
        <w:t>Judges and arbitrators are not immune to irritability and other human failings, and there is no such thing as absolute neutrality.</w:t>
      </w:r>
    </w:p>
    <w:p w14:paraId="41A20126" w14:textId="117EDEAE" w:rsidR="004B085D"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[81]</w:t>
      </w:r>
      <w:r w:rsidRPr="009623DA">
        <w:rPr>
          <w:rFonts w:cs="Arial"/>
          <w:bCs/>
          <w:szCs w:val="22"/>
        </w:rPr>
        <w:tab/>
      </w:r>
      <w:r w:rsidR="004B085D" w:rsidRPr="009623DA">
        <w:rPr>
          <w:rFonts w:cs="Arial"/>
          <w:bCs/>
          <w:szCs w:val="22"/>
        </w:rPr>
        <w:t>The professional reputation and experience of the arbitrator is a relevant consideration for the objective observer.</w:t>
      </w:r>
      <w:r w:rsidR="004B085D" w:rsidRPr="009623DA">
        <w:rPr>
          <w:rStyle w:val="FootnoteReference"/>
          <w:rFonts w:cs="Arial"/>
          <w:bCs/>
          <w:i/>
          <w:szCs w:val="22"/>
        </w:rPr>
        <w:footnoteReference w:id="37"/>
      </w:r>
      <w:r w:rsidR="004B085D" w:rsidRPr="009623DA">
        <w:rPr>
          <w:rFonts w:cs="Arial"/>
          <w:bCs/>
          <w:szCs w:val="22"/>
        </w:rPr>
        <w:t xml:space="preserve"> In this matter the arbitrator is a retired High Court Judge with many years of experience. He has spent a lifetime in litigation with its attendant confrontations and differences of opinion.</w:t>
      </w:r>
    </w:p>
    <w:p w14:paraId="2D2C22AD" w14:textId="5E5C2EDE" w:rsidR="00CD659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[82]</w:t>
      </w:r>
      <w:r w:rsidRPr="009623DA">
        <w:rPr>
          <w:rFonts w:cs="Arial"/>
          <w:bCs/>
          <w:szCs w:val="22"/>
        </w:rPr>
        <w:tab/>
      </w:r>
      <w:r w:rsidR="00CD6592" w:rsidRPr="009623DA">
        <w:rPr>
          <w:rFonts w:cs="Arial"/>
          <w:bCs/>
          <w:szCs w:val="22"/>
        </w:rPr>
        <w:t xml:space="preserve">In </w:t>
      </w:r>
      <w:r w:rsidR="00CD6592" w:rsidRPr="009623DA">
        <w:rPr>
          <w:rFonts w:cs="Arial"/>
          <w:i/>
          <w:iCs/>
          <w:szCs w:val="22"/>
        </w:rPr>
        <w:t>President of the Republic of South Africa and Others v South African Rugby Football Union and Others</w:t>
      </w:r>
      <w:r w:rsidR="00CD6592" w:rsidRPr="009623DA">
        <w:rPr>
          <w:rStyle w:val="FootnoteReference"/>
          <w:rFonts w:cs="Arial"/>
          <w:i/>
          <w:iCs/>
          <w:szCs w:val="22"/>
        </w:rPr>
        <w:footnoteReference w:id="38"/>
      </w:r>
      <w:r w:rsidR="00CD6592" w:rsidRPr="009623DA">
        <w:rPr>
          <w:rFonts w:cs="Arial"/>
          <w:szCs w:val="22"/>
        </w:rPr>
        <w:t xml:space="preserve"> the Constitutional Court</w:t>
      </w:r>
      <w:r w:rsidR="00FA625E" w:rsidRPr="009623DA">
        <w:rPr>
          <w:rFonts w:cs="Arial"/>
          <w:szCs w:val="22"/>
        </w:rPr>
        <w:t xml:space="preserve"> dealt with an application for the recusal of Judges on the ground that they were biased against a litigant. </w:t>
      </w:r>
      <w:r w:rsidR="0041363D" w:rsidRPr="009623DA">
        <w:rPr>
          <w:rFonts w:cs="Arial"/>
          <w:szCs w:val="22"/>
        </w:rPr>
        <w:t>The Constitutional Court</w:t>
      </w:r>
      <w:r w:rsidR="00CD6592" w:rsidRPr="009623DA">
        <w:rPr>
          <w:rFonts w:cs="Arial"/>
          <w:szCs w:val="22"/>
        </w:rPr>
        <w:t xml:space="preserve"> outlined the correct approach to an application</w:t>
      </w:r>
      <w:r w:rsidR="008C3710" w:rsidRPr="009623DA">
        <w:rPr>
          <w:rFonts w:cs="Arial"/>
          <w:szCs w:val="22"/>
        </w:rPr>
        <w:t>. I summarise:</w:t>
      </w:r>
    </w:p>
    <w:p w14:paraId="0181B583" w14:textId="0E9DFF6A" w:rsidR="00CD659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82.1</w:t>
      </w:r>
      <w:r w:rsidRPr="009623DA">
        <w:rPr>
          <w:rFonts w:cs="Arial"/>
          <w:bCs/>
          <w:szCs w:val="22"/>
        </w:rPr>
        <w:tab/>
      </w:r>
      <w:r w:rsidR="00CD6592" w:rsidRPr="009623DA">
        <w:rPr>
          <w:rFonts w:cs="Arial"/>
          <w:szCs w:val="22"/>
        </w:rPr>
        <w:t xml:space="preserve">The correct approach is </w:t>
      </w:r>
      <w:r w:rsidR="008C3710" w:rsidRPr="009623DA">
        <w:rPr>
          <w:rFonts w:cs="Arial"/>
          <w:szCs w:val="22"/>
        </w:rPr>
        <w:t xml:space="preserve">the </w:t>
      </w:r>
      <w:r w:rsidR="00CD6592" w:rsidRPr="009623DA">
        <w:rPr>
          <w:rFonts w:cs="Arial"/>
          <w:szCs w:val="22"/>
        </w:rPr>
        <w:t>objective</w:t>
      </w:r>
      <w:r w:rsidR="008C3710" w:rsidRPr="009623DA">
        <w:rPr>
          <w:rFonts w:cs="Arial"/>
          <w:szCs w:val="22"/>
        </w:rPr>
        <w:t xml:space="preserve"> approach</w:t>
      </w:r>
      <w:r w:rsidR="00CD6592" w:rsidRPr="009623DA">
        <w:rPr>
          <w:rFonts w:cs="Arial"/>
          <w:szCs w:val="22"/>
        </w:rPr>
        <w:t>;</w:t>
      </w:r>
    </w:p>
    <w:p w14:paraId="155D92AE" w14:textId="30678675" w:rsidR="00CD659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82.2</w:t>
      </w:r>
      <w:r w:rsidRPr="009623DA">
        <w:rPr>
          <w:rFonts w:cs="Arial"/>
          <w:bCs/>
          <w:szCs w:val="22"/>
        </w:rPr>
        <w:tab/>
      </w:r>
      <w:r w:rsidR="00CD6592" w:rsidRPr="009623DA">
        <w:rPr>
          <w:rFonts w:cs="Arial"/>
          <w:szCs w:val="22"/>
        </w:rPr>
        <w:t>The onus rests on the applicant for recusal;</w:t>
      </w:r>
      <w:r w:rsidR="00FA625E" w:rsidRPr="009623DA">
        <w:rPr>
          <w:rStyle w:val="FootnoteReference"/>
          <w:rFonts w:cs="Arial"/>
          <w:szCs w:val="22"/>
        </w:rPr>
        <w:t xml:space="preserve"> </w:t>
      </w:r>
      <w:r w:rsidR="00FA625E" w:rsidRPr="009623DA">
        <w:rPr>
          <w:rStyle w:val="FootnoteReference"/>
          <w:rFonts w:cs="Arial"/>
          <w:szCs w:val="22"/>
        </w:rPr>
        <w:footnoteReference w:id="39"/>
      </w:r>
    </w:p>
    <w:p w14:paraId="60074226" w14:textId="72548B0E" w:rsidR="00CD659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82.3</w:t>
      </w:r>
      <w:r w:rsidRPr="009623DA">
        <w:rPr>
          <w:rFonts w:cs="Arial"/>
          <w:bCs/>
          <w:szCs w:val="22"/>
        </w:rPr>
        <w:tab/>
      </w:r>
      <w:r w:rsidR="00CD6592" w:rsidRPr="009623DA">
        <w:rPr>
          <w:rFonts w:cs="Arial"/>
          <w:i/>
          <w:iCs/>
          <w:szCs w:val="22"/>
        </w:rPr>
        <w:t xml:space="preserve"> “The question is whether a reasonable, objective and informed person would on the correct facts reasonably apprehend that the Judge has not or will not bring an impartial mind to bear on the adjudication of the case, that is a mind open to persuasion by the evidence and the submissions of counsel.” </w:t>
      </w:r>
      <w:r w:rsidR="00FA625E" w:rsidRPr="009623DA">
        <w:rPr>
          <w:rFonts w:cs="Arial"/>
          <w:bCs/>
          <w:szCs w:val="22"/>
        </w:rPr>
        <w:t>The test is two-fold.</w:t>
      </w:r>
      <w:r w:rsidR="00FA625E" w:rsidRPr="009623DA">
        <w:rPr>
          <w:rStyle w:val="FootnoteReference"/>
          <w:rFonts w:cs="Arial"/>
          <w:bCs/>
          <w:szCs w:val="22"/>
        </w:rPr>
        <w:footnoteReference w:id="40"/>
      </w:r>
      <w:r w:rsidR="00FA625E" w:rsidRPr="009623DA">
        <w:rPr>
          <w:rFonts w:cs="Arial"/>
          <w:bCs/>
          <w:szCs w:val="22"/>
        </w:rPr>
        <w:t xml:space="preserve"> It requires a reasonable litigant in possession of all the facts with a reasonable apprehension that the judge or arbitrator is biased.</w:t>
      </w:r>
      <w:r w:rsidR="00FA625E" w:rsidRPr="009623DA">
        <w:rPr>
          <w:rStyle w:val="FootnoteReference"/>
          <w:rFonts w:cs="Arial"/>
          <w:bCs/>
          <w:i/>
          <w:szCs w:val="22"/>
        </w:rPr>
        <w:footnoteReference w:id="41"/>
      </w:r>
    </w:p>
    <w:p w14:paraId="6596A73D" w14:textId="1DAF8A2C" w:rsidR="00CD659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82.4</w:t>
      </w:r>
      <w:r w:rsidRPr="009623DA">
        <w:rPr>
          <w:rFonts w:cs="Arial"/>
          <w:bCs/>
          <w:szCs w:val="22"/>
        </w:rPr>
        <w:tab/>
      </w:r>
      <w:r w:rsidR="00CD6592" w:rsidRPr="009623DA">
        <w:rPr>
          <w:rFonts w:cs="Arial"/>
          <w:i/>
          <w:iCs/>
          <w:szCs w:val="22"/>
        </w:rPr>
        <w:t xml:space="preserve">“The reasonableness of  the apprehension must be assessed in the light </w:t>
      </w:r>
      <w:r w:rsidR="00CD6592" w:rsidRPr="009623DA">
        <w:rPr>
          <w:rFonts w:cs="Arial"/>
          <w:i/>
          <w:iCs/>
          <w:szCs w:val="22"/>
        </w:rPr>
        <w:lastRenderedPageBreak/>
        <w:t>of the oath of office taken by the Judges</w:t>
      </w:r>
      <w:r w:rsidR="0029605B" w:rsidRPr="009623DA">
        <w:rPr>
          <w:rStyle w:val="FootnoteReference"/>
          <w:rFonts w:cs="Arial"/>
          <w:i/>
          <w:iCs/>
          <w:szCs w:val="22"/>
        </w:rPr>
        <w:footnoteReference w:id="42"/>
      </w:r>
      <w:r w:rsidR="00CD6592" w:rsidRPr="009623DA">
        <w:rPr>
          <w:rFonts w:cs="Arial"/>
          <w:i/>
          <w:iCs/>
          <w:szCs w:val="22"/>
        </w:rPr>
        <w:t xml:space="preserve"> to administer justice without fear or favour;  and their ability to carry out that oath by reason of their training and experience.”</w:t>
      </w:r>
    </w:p>
    <w:p w14:paraId="36375074" w14:textId="68519AE1" w:rsidR="00FA625E"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82.5</w:t>
      </w:r>
      <w:r w:rsidRPr="009623DA">
        <w:rPr>
          <w:rFonts w:cs="Arial"/>
          <w:bCs/>
          <w:szCs w:val="22"/>
        </w:rPr>
        <w:tab/>
      </w:r>
      <w:r w:rsidR="00FA625E" w:rsidRPr="009623DA">
        <w:rPr>
          <w:rFonts w:cs="Arial"/>
          <w:i/>
          <w:iCs/>
          <w:szCs w:val="22"/>
        </w:rPr>
        <w:t>“</w:t>
      </w:r>
      <w:r w:rsidR="00CD6592" w:rsidRPr="009623DA">
        <w:rPr>
          <w:rFonts w:cs="Arial"/>
          <w:i/>
          <w:iCs/>
          <w:szCs w:val="22"/>
        </w:rPr>
        <w:t>It must be assumed that they can disabuse their minds of any irrelevant personal beliefs or predispositions.</w:t>
      </w:r>
      <w:r w:rsidR="00FA625E" w:rsidRPr="009623DA">
        <w:rPr>
          <w:rFonts w:cs="Arial"/>
          <w:i/>
          <w:iCs/>
          <w:szCs w:val="22"/>
        </w:rPr>
        <w:t xml:space="preserve">” </w:t>
      </w:r>
      <w:r w:rsidR="00FA625E" w:rsidRPr="009623DA">
        <w:rPr>
          <w:rFonts w:cs="Arial"/>
          <w:bCs/>
          <w:szCs w:val="22"/>
        </w:rPr>
        <w:t>There is a presumption of impartiality</w:t>
      </w:r>
      <w:r w:rsidR="00FA625E" w:rsidRPr="009623DA">
        <w:rPr>
          <w:rStyle w:val="FootnoteReference"/>
          <w:rFonts w:cs="Arial"/>
          <w:bCs/>
          <w:i/>
          <w:szCs w:val="22"/>
        </w:rPr>
        <w:footnoteReference w:id="43"/>
      </w:r>
      <w:r w:rsidR="00FA625E" w:rsidRPr="009623DA">
        <w:rPr>
          <w:rFonts w:cs="Arial"/>
          <w:bCs/>
          <w:i/>
          <w:szCs w:val="22"/>
        </w:rPr>
        <w:t xml:space="preserve"> </w:t>
      </w:r>
      <w:r w:rsidR="00FA625E" w:rsidRPr="009623DA">
        <w:rPr>
          <w:rFonts w:cs="Arial"/>
          <w:bCs/>
          <w:iCs/>
          <w:szCs w:val="22"/>
        </w:rPr>
        <w:t xml:space="preserve">that arises </w:t>
      </w:r>
      <w:r w:rsidR="00FA625E" w:rsidRPr="009623DA">
        <w:rPr>
          <w:rFonts w:cs="Arial"/>
          <w:bCs/>
          <w:szCs w:val="22"/>
        </w:rPr>
        <w:t>from the nature of the judicial function.</w:t>
      </w:r>
    </w:p>
    <w:p w14:paraId="7D84463A" w14:textId="7E2EE69A" w:rsidR="00CD6592" w:rsidRPr="009623DA" w:rsidRDefault="003C78F7" w:rsidP="003C78F7">
      <w:pPr>
        <w:widowControl w:val="0"/>
        <w:tabs>
          <w:tab w:val="left" w:pos="1418"/>
        </w:tabs>
        <w:spacing w:before="480" w:after="480" w:line="360" w:lineRule="auto"/>
        <w:ind w:left="1418" w:hanging="851"/>
        <w:jc w:val="both"/>
        <w:rPr>
          <w:rFonts w:cs="Arial"/>
          <w:bCs/>
          <w:szCs w:val="22"/>
        </w:rPr>
      </w:pPr>
      <w:r w:rsidRPr="009623DA">
        <w:rPr>
          <w:rFonts w:cs="Arial"/>
          <w:bCs/>
          <w:szCs w:val="22"/>
        </w:rPr>
        <w:t>82.6</w:t>
      </w:r>
      <w:r w:rsidRPr="009623DA">
        <w:rPr>
          <w:rFonts w:cs="Arial"/>
          <w:bCs/>
          <w:szCs w:val="22"/>
        </w:rPr>
        <w:tab/>
      </w:r>
      <w:r w:rsidR="00FA625E" w:rsidRPr="009623DA">
        <w:rPr>
          <w:rFonts w:cs="Arial"/>
          <w:i/>
          <w:iCs/>
          <w:szCs w:val="22"/>
        </w:rPr>
        <w:t xml:space="preserve">“… </w:t>
      </w:r>
      <w:r w:rsidR="00CD6592" w:rsidRPr="009623DA">
        <w:rPr>
          <w:rFonts w:cs="Arial"/>
          <w:i/>
          <w:iCs/>
          <w:szCs w:val="22"/>
        </w:rPr>
        <w:t>an impartial Judge is a fundamental prerequisite for a fair trial and a judicial officer should not hesitate to recuse herself or himself if there are reasonable grounds on the part of a litigant for apprehending that the judicial officer, for whatever reasons, was not or will not be impartial.”</w:t>
      </w:r>
    </w:p>
    <w:p w14:paraId="336FDF6D" w14:textId="2ED6B6C8" w:rsidR="0041363D" w:rsidRPr="009623DA" w:rsidRDefault="003C78F7" w:rsidP="003C78F7">
      <w:pPr>
        <w:widowControl w:val="0"/>
        <w:shd w:val="clear" w:color="auto" w:fill="FFFFFF"/>
        <w:tabs>
          <w:tab w:val="left" w:pos="567"/>
        </w:tabs>
        <w:spacing w:before="180" w:line="360" w:lineRule="auto"/>
        <w:jc w:val="both"/>
        <w:rPr>
          <w:rFonts w:cs="Arial"/>
          <w:color w:val="2C3E50"/>
          <w:szCs w:val="22"/>
          <w:lang w:eastAsia="en-ZA"/>
        </w:rPr>
      </w:pPr>
      <w:r w:rsidRPr="009623DA">
        <w:rPr>
          <w:rFonts w:cs="Arial"/>
          <w:szCs w:val="22"/>
          <w:lang w:eastAsia="en-ZA"/>
        </w:rPr>
        <w:t>[83]</w:t>
      </w:r>
      <w:r w:rsidRPr="009623DA">
        <w:rPr>
          <w:rFonts w:cs="Arial"/>
          <w:szCs w:val="22"/>
          <w:lang w:eastAsia="en-ZA"/>
        </w:rPr>
        <w:tab/>
      </w:r>
      <w:r w:rsidR="0041363D" w:rsidRPr="009623DA">
        <w:rPr>
          <w:rFonts w:cs="Arial"/>
          <w:bCs/>
          <w:szCs w:val="22"/>
        </w:rPr>
        <w:t xml:space="preserve">A court must take heed of the words of Madlanga J in </w:t>
      </w:r>
      <w:r w:rsidR="0041363D" w:rsidRPr="009623DA">
        <w:rPr>
          <w:rFonts w:cs="Arial"/>
          <w:i/>
          <w:iCs/>
          <w:szCs w:val="22"/>
        </w:rPr>
        <w:t>Turnbull-Jackson v Hibiscus Coast Municipality and Others:</w:t>
      </w:r>
      <w:r w:rsidR="0041363D" w:rsidRPr="009623DA">
        <w:rPr>
          <w:rStyle w:val="FootnoteReference"/>
          <w:rFonts w:cs="Arial"/>
          <w:i/>
          <w:iCs/>
          <w:szCs w:val="22"/>
        </w:rPr>
        <w:footnoteReference w:id="44"/>
      </w:r>
    </w:p>
    <w:p w14:paraId="65DB30A3" w14:textId="77777777" w:rsidR="0041363D" w:rsidRPr="009623DA" w:rsidRDefault="0041363D" w:rsidP="0041363D">
      <w:pPr>
        <w:widowControl w:val="0"/>
        <w:shd w:val="clear" w:color="auto" w:fill="FFFFFF"/>
        <w:spacing w:before="180" w:line="360" w:lineRule="auto"/>
        <w:ind w:left="1440"/>
        <w:jc w:val="both"/>
        <w:rPr>
          <w:rFonts w:cs="Arial"/>
          <w:color w:val="000000" w:themeColor="text1"/>
          <w:szCs w:val="22"/>
          <w:lang w:eastAsia="en-ZA"/>
        </w:rPr>
      </w:pPr>
      <w:r w:rsidRPr="009623DA">
        <w:rPr>
          <w:rFonts w:cs="Arial"/>
          <w:i/>
          <w:iCs/>
          <w:color w:val="000000" w:themeColor="text1"/>
          <w:szCs w:val="22"/>
        </w:rPr>
        <w:t xml:space="preserve">"[32] This would be the easiest stratagem for the unscrupulous to get rid of unwanted decision-makers: if I insult you enough — whatever enough may be — you are out. This is without substance. It proceeds from an assumption that officials with decision-making power would respond the same way to insults. It ignores the following: the training of the officials; their experience; possibly even their exposure to abuse and insults — from time to time — and the development of coping skills; and other personal attributes, all of which may render them impervious to, or tolerant of, insults. A finding of bias cannot be had for the asking. There must be proof; and it is the person asserting the existence of bias who must tender the proof. The applicant has failed dismally in discharging the onus on the so-called reactive bias.” </w:t>
      </w:r>
      <w:r w:rsidRPr="009623DA">
        <w:rPr>
          <w:rFonts w:cs="Arial"/>
          <w:color w:val="000000" w:themeColor="text1"/>
          <w:szCs w:val="22"/>
        </w:rPr>
        <w:t>[footnotes omitted]</w:t>
      </w:r>
    </w:p>
    <w:p w14:paraId="06EB0DFA" w14:textId="5DF8DA2C" w:rsidR="00C539A5" w:rsidRPr="009623DA" w:rsidRDefault="003C78F7" w:rsidP="003C78F7">
      <w:pPr>
        <w:widowControl w:val="0"/>
        <w:tabs>
          <w:tab w:val="left" w:pos="567"/>
        </w:tabs>
        <w:spacing w:before="480" w:after="480" w:line="360" w:lineRule="auto"/>
        <w:jc w:val="both"/>
        <w:rPr>
          <w:rFonts w:cs="Arial"/>
          <w:szCs w:val="22"/>
        </w:rPr>
      </w:pPr>
      <w:r w:rsidRPr="009623DA">
        <w:rPr>
          <w:rFonts w:cs="Arial"/>
          <w:szCs w:val="22"/>
        </w:rPr>
        <w:t>[84]</w:t>
      </w:r>
      <w:r w:rsidRPr="009623DA">
        <w:rPr>
          <w:rFonts w:cs="Arial"/>
          <w:szCs w:val="22"/>
        </w:rPr>
        <w:tab/>
      </w:r>
      <w:r w:rsidR="00AB7162" w:rsidRPr="009623DA">
        <w:rPr>
          <w:rFonts w:cs="Arial"/>
          <w:bCs/>
          <w:szCs w:val="22"/>
        </w:rPr>
        <w:t xml:space="preserve">Recusal applications </w:t>
      </w:r>
      <w:r w:rsidR="0041363D" w:rsidRPr="009623DA">
        <w:rPr>
          <w:rFonts w:cs="Arial"/>
          <w:bCs/>
          <w:szCs w:val="22"/>
        </w:rPr>
        <w:t>usually</w:t>
      </w:r>
      <w:r w:rsidR="00AB7162" w:rsidRPr="009623DA">
        <w:rPr>
          <w:rFonts w:cs="Arial"/>
          <w:bCs/>
          <w:szCs w:val="22"/>
        </w:rPr>
        <w:t xml:space="preserve"> arise from relationships or interests rather than from conduct during litigation or arbitration.</w:t>
      </w:r>
      <w:r w:rsidR="00AB7162" w:rsidRPr="009623DA">
        <w:rPr>
          <w:rStyle w:val="FootnoteReference"/>
          <w:rFonts w:cs="Arial"/>
          <w:bCs/>
          <w:iCs/>
          <w:szCs w:val="22"/>
        </w:rPr>
        <w:footnoteReference w:id="45"/>
      </w:r>
      <w:r w:rsidR="004B085D" w:rsidRPr="009623DA">
        <w:rPr>
          <w:rFonts w:cs="Arial"/>
          <w:bCs/>
          <w:szCs w:val="22"/>
        </w:rPr>
        <w:t xml:space="preserve"> </w:t>
      </w:r>
      <w:r w:rsidR="00C539A5" w:rsidRPr="009623DA">
        <w:rPr>
          <w:rFonts w:cs="Arial"/>
          <w:bCs/>
          <w:szCs w:val="22"/>
        </w:rPr>
        <w:t xml:space="preserve">It is instructive to refer to the judgment of the </w:t>
      </w:r>
      <w:r w:rsidR="00C539A5" w:rsidRPr="009623DA">
        <w:rPr>
          <w:rFonts w:cs="Arial"/>
          <w:bCs/>
          <w:szCs w:val="22"/>
        </w:rPr>
        <w:lastRenderedPageBreak/>
        <w:t xml:space="preserve">Constitutional Court in </w:t>
      </w:r>
      <w:r w:rsidR="00C539A5" w:rsidRPr="009623DA">
        <w:rPr>
          <w:rFonts w:cs="Arial"/>
          <w:bCs/>
          <w:i/>
          <w:iCs/>
          <w:szCs w:val="22"/>
        </w:rPr>
        <w:t>S v Basson</w:t>
      </w:r>
      <w:r w:rsidR="00C539A5" w:rsidRPr="009623DA">
        <w:rPr>
          <w:rFonts w:cs="Arial"/>
          <w:bCs/>
          <w:szCs w:val="22"/>
        </w:rPr>
        <w:t>:</w:t>
      </w:r>
      <w:r w:rsidR="00072105" w:rsidRPr="009623DA">
        <w:rPr>
          <w:rStyle w:val="FootnoteReference"/>
          <w:rFonts w:cs="Arial"/>
          <w:bCs/>
          <w:szCs w:val="22"/>
        </w:rPr>
        <w:footnoteReference w:id="46"/>
      </w:r>
      <w:r w:rsidR="00C539A5" w:rsidRPr="009623DA">
        <w:rPr>
          <w:rFonts w:cs="Arial"/>
          <w:bCs/>
          <w:szCs w:val="22"/>
        </w:rPr>
        <w:t xml:space="preserve"> </w:t>
      </w:r>
    </w:p>
    <w:p w14:paraId="6C6E46DC" w14:textId="200F99D4" w:rsidR="00C539A5" w:rsidRPr="009623DA" w:rsidRDefault="00072105" w:rsidP="00C539A5">
      <w:pPr>
        <w:widowControl w:val="0"/>
        <w:spacing w:before="480" w:after="480" w:line="360" w:lineRule="auto"/>
        <w:ind w:left="1440"/>
        <w:jc w:val="both"/>
        <w:rPr>
          <w:rFonts w:cs="Arial"/>
          <w:i/>
          <w:iCs/>
          <w:szCs w:val="22"/>
        </w:rPr>
      </w:pPr>
      <w:r w:rsidRPr="009623DA">
        <w:rPr>
          <w:rFonts w:cs="Arial"/>
          <w:i/>
          <w:iCs/>
          <w:szCs w:val="22"/>
        </w:rPr>
        <w:t>“</w:t>
      </w:r>
      <w:r w:rsidR="00C539A5" w:rsidRPr="009623DA">
        <w:rPr>
          <w:rFonts w:cs="Arial"/>
          <w:i/>
          <w:iCs/>
          <w:szCs w:val="22"/>
        </w:rPr>
        <w:t xml:space="preserve">[35] </w:t>
      </w:r>
      <w:r w:rsidRPr="009623DA">
        <w:rPr>
          <w:rFonts w:cs="Arial"/>
          <w:i/>
          <w:iCs/>
          <w:szCs w:val="22"/>
        </w:rPr>
        <w:t xml:space="preserve">….. </w:t>
      </w:r>
      <w:r w:rsidR="00C539A5" w:rsidRPr="009623DA">
        <w:rPr>
          <w:rFonts w:cs="Arial"/>
          <w:i/>
          <w:iCs/>
          <w:szCs w:val="22"/>
        </w:rPr>
        <w:t>As Schreiner JA pointed out in his remarks in the passage from Silber</w:t>
      </w:r>
      <w:r w:rsidRPr="009623DA">
        <w:rPr>
          <w:rStyle w:val="FootnoteReference"/>
          <w:rFonts w:cs="Arial"/>
          <w:i/>
          <w:iCs/>
          <w:szCs w:val="22"/>
        </w:rPr>
        <w:footnoteReference w:id="47"/>
      </w:r>
      <w:r w:rsidR="00C539A5" w:rsidRPr="009623DA">
        <w:rPr>
          <w:rFonts w:cs="Arial"/>
          <w:i/>
          <w:iCs/>
          <w:szCs w:val="22"/>
        </w:rPr>
        <w:t> just quoted, it is difficult for a litigant to establish bias simply on the basis of the conduct of a Judge during a trial. Judges are not silent umpires but may and should participate in the trial proceedings by asking questions, ensuring that litigants conduct themselves properly and making rulings on the admissibility of evidence and other matters as the trial progresses. Inevitably </w:t>
      </w:r>
      <w:r w:rsidRPr="009623DA">
        <w:rPr>
          <w:rFonts w:cs="Arial"/>
          <w:i/>
          <w:iCs/>
          <w:szCs w:val="22"/>
        </w:rPr>
        <w:t xml:space="preserve"> </w:t>
      </w:r>
      <w:r w:rsidR="00C539A5" w:rsidRPr="009623DA">
        <w:rPr>
          <w:rFonts w:cs="Arial"/>
          <w:i/>
          <w:iCs/>
          <w:szCs w:val="22"/>
        </w:rPr>
        <w:t>litigants will from time to time be aggrieved about both the content of the rulings made by the Judge and the manner in which a Judge may ask questions or intervene. Such grievances need to be construed in the realisation that trials are often emotional and heated as a result of the disputes between the parties. Court considering a claim of bias should be wary of permitting a disgruntled litigant to complain of bias successfully simply because the Judge has ruled against them, or been impatient with the manner in which they conduct their case. </w:t>
      </w:r>
    </w:p>
    <w:p w14:paraId="10569801" w14:textId="26FD275D" w:rsidR="00C539A5" w:rsidRPr="009623DA" w:rsidRDefault="00C539A5" w:rsidP="00C539A5">
      <w:pPr>
        <w:widowControl w:val="0"/>
        <w:spacing w:before="480" w:after="480" w:line="360" w:lineRule="auto"/>
        <w:ind w:left="1440"/>
        <w:jc w:val="both"/>
        <w:rPr>
          <w:rFonts w:cs="Arial"/>
          <w:i/>
          <w:iCs/>
          <w:szCs w:val="22"/>
        </w:rPr>
      </w:pPr>
      <w:r w:rsidRPr="009623DA">
        <w:rPr>
          <w:rFonts w:cs="Arial"/>
          <w:i/>
          <w:iCs/>
          <w:szCs w:val="22"/>
        </w:rPr>
        <w:t>[36] On the other hand, it is important to emphasise that Judges should at all times seek to be measured and courteous to those who appear before them. Even where litigants or lawyers conduct themselves inappropriately and judicial censure is required, that should be done in a manner befitting the judicial office. Nothing said in this judgment should be understood as condoning discourteous or inappropriate remarks by judicial officers. Inappropriate behaviour by a Judge is unacceptable and may, in certain circumstances, warrant a complaint to the appropriate authorities, but it will not ordinarily give rise to a reasonable apprehension of bias. It will only do so where it is of such a quality that it becomes clear that it arises not from irritation or impatience with the way in which a case is being litigated, but from what may reasonably be perceived to be bias.</w:t>
      </w:r>
      <w:r w:rsidR="00072105" w:rsidRPr="009623DA">
        <w:rPr>
          <w:rFonts w:cs="Arial"/>
          <w:i/>
          <w:iCs/>
          <w:szCs w:val="22"/>
        </w:rPr>
        <w:t>”</w:t>
      </w:r>
    </w:p>
    <w:p w14:paraId="03BAC2D2" w14:textId="5B296447" w:rsidR="00D93ECC" w:rsidRPr="009623DA" w:rsidRDefault="003C78F7" w:rsidP="003C78F7">
      <w:pPr>
        <w:widowControl w:val="0"/>
        <w:tabs>
          <w:tab w:val="left" w:pos="567"/>
        </w:tabs>
        <w:spacing w:before="480" w:after="480" w:line="360" w:lineRule="auto"/>
        <w:jc w:val="both"/>
        <w:rPr>
          <w:rFonts w:cs="Arial"/>
          <w:szCs w:val="22"/>
        </w:rPr>
      </w:pPr>
      <w:r w:rsidRPr="009623DA">
        <w:rPr>
          <w:rFonts w:cs="Arial"/>
          <w:szCs w:val="22"/>
        </w:rPr>
        <w:t>[85]</w:t>
      </w:r>
      <w:r w:rsidRPr="009623DA">
        <w:rPr>
          <w:rFonts w:cs="Arial"/>
          <w:szCs w:val="22"/>
        </w:rPr>
        <w:tab/>
      </w:r>
      <w:r w:rsidR="00101890" w:rsidRPr="009623DA">
        <w:rPr>
          <w:rFonts w:cs="Arial"/>
          <w:i/>
          <w:iCs/>
          <w:szCs w:val="22"/>
        </w:rPr>
        <w:t xml:space="preserve">In </w:t>
      </w:r>
      <w:r w:rsidR="007351A5" w:rsidRPr="009623DA">
        <w:rPr>
          <w:rFonts w:cs="Arial"/>
          <w:i/>
          <w:iCs/>
          <w:szCs w:val="22"/>
        </w:rPr>
        <w:t>Moch v Nedtravel (Pty) Ltd t/a American Express Travel Service</w:t>
      </w:r>
      <w:r w:rsidR="007351A5" w:rsidRPr="009623DA">
        <w:rPr>
          <w:rStyle w:val="FootnoteReference"/>
          <w:rFonts w:cs="Arial"/>
          <w:i/>
          <w:iCs/>
          <w:szCs w:val="22"/>
        </w:rPr>
        <w:footnoteReference w:id="48"/>
      </w:r>
      <w:r w:rsidR="007351A5" w:rsidRPr="009623DA">
        <w:rPr>
          <w:rFonts w:cs="Arial"/>
          <w:szCs w:val="22"/>
        </w:rPr>
        <w:t xml:space="preserve"> </w:t>
      </w:r>
      <w:r w:rsidR="00101890" w:rsidRPr="009623DA">
        <w:rPr>
          <w:rFonts w:cs="Arial"/>
          <w:szCs w:val="22"/>
        </w:rPr>
        <w:t xml:space="preserve">the presiding Acting Judge in dealing with an application for his recusal based on a strained relationship between him and the attorney acting for the applicant, </w:t>
      </w:r>
      <w:r w:rsidR="00293C02" w:rsidRPr="009623DA">
        <w:rPr>
          <w:rFonts w:cs="Arial"/>
          <w:szCs w:val="22"/>
        </w:rPr>
        <w:t>failed to</w:t>
      </w:r>
      <w:r w:rsidR="00101890" w:rsidRPr="009623DA">
        <w:rPr>
          <w:rFonts w:cs="Arial"/>
          <w:szCs w:val="22"/>
        </w:rPr>
        <w:t xml:space="preserve"> deal with the sufficiency </w:t>
      </w:r>
      <w:r w:rsidR="00101890" w:rsidRPr="009623DA">
        <w:rPr>
          <w:rFonts w:cs="Arial"/>
          <w:szCs w:val="22"/>
        </w:rPr>
        <w:lastRenderedPageBreak/>
        <w:t xml:space="preserve">of the application but dismissed the application for his recusal on the ground that it was </w:t>
      </w:r>
      <w:r w:rsidR="00101890" w:rsidRPr="009623DA">
        <w:rPr>
          <w:rFonts w:cs="Arial"/>
          <w:i/>
          <w:iCs/>
          <w:szCs w:val="22"/>
        </w:rPr>
        <w:t>mala fide</w:t>
      </w:r>
      <w:r w:rsidR="00101890" w:rsidRPr="009623DA">
        <w:rPr>
          <w:rFonts w:cs="Arial"/>
          <w:szCs w:val="22"/>
        </w:rPr>
        <w:t xml:space="preserve">. </w:t>
      </w:r>
      <w:r w:rsidR="00D93ECC" w:rsidRPr="009623DA">
        <w:rPr>
          <w:rFonts w:cs="Arial"/>
          <w:szCs w:val="22"/>
        </w:rPr>
        <w:t xml:space="preserve">Instead of </w:t>
      </w:r>
      <w:r w:rsidR="00656E2E" w:rsidRPr="009623DA">
        <w:rPr>
          <w:rFonts w:cs="Arial"/>
          <w:szCs w:val="22"/>
        </w:rPr>
        <w:t>analysing</w:t>
      </w:r>
      <w:r w:rsidR="00293C02" w:rsidRPr="009623DA">
        <w:rPr>
          <w:rFonts w:cs="Arial"/>
          <w:szCs w:val="22"/>
        </w:rPr>
        <w:t xml:space="preserve"> the evidence and deciding the application on its own merits</w:t>
      </w:r>
      <w:r w:rsidR="00D93ECC" w:rsidRPr="009623DA">
        <w:rPr>
          <w:rFonts w:cs="Arial"/>
          <w:szCs w:val="22"/>
        </w:rPr>
        <w:t>, he said:</w:t>
      </w:r>
      <w:r w:rsidR="00D93ECC" w:rsidRPr="009623DA">
        <w:rPr>
          <w:rStyle w:val="FootnoteReference"/>
          <w:rFonts w:cs="Arial"/>
          <w:szCs w:val="22"/>
        </w:rPr>
        <w:footnoteReference w:id="49"/>
      </w:r>
      <w:r w:rsidR="00D93ECC" w:rsidRPr="009623DA">
        <w:rPr>
          <w:rFonts w:cs="Arial"/>
          <w:szCs w:val="22"/>
        </w:rPr>
        <w:t xml:space="preserve"> </w:t>
      </w:r>
    </w:p>
    <w:p w14:paraId="00157610" w14:textId="427A9850" w:rsidR="00D93ECC" w:rsidRPr="009623DA" w:rsidRDefault="00D93ECC" w:rsidP="00D93ECC">
      <w:pPr>
        <w:widowControl w:val="0"/>
        <w:spacing w:before="480" w:after="480" w:line="360" w:lineRule="auto"/>
        <w:ind w:left="1440"/>
        <w:jc w:val="both"/>
        <w:rPr>
          <w:rFonts w:cs="Arial"/>
          <w:i/>
          <w:iCs/>
          <w:szCs w:val="22"/>
        </w:rPr>
      </w:pPr>
      <w:r w:rsidRPr="009623DA">
        <w:rPr>
          <w:rFonts w:cs="Arial"/>
          <w:i/>
          <w:iCs/>
          <w:szCs w:val="22"/>
        </w:rPr>
        <w:t>“'I do not believe that there was any honest belief in the contention put forward by the respondent and her legal advisors. The applicant has contended in the affidavit resisting the application for recusal that the application is scandalous and mala fide. I agree. I find that the application is mala fide, and brought with an ulterior motive. The conduct of those responsible for this application is reprehensible and improper.'”</w:t>
      </w:r>
    </w:p>
    <w:p w14:paraId="64E18081" w14:textId="79A21C6C" w:rsidR="00656E2E"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[86]</w:t>
      </w:r>
      <w:r w:rsidRPr="009623DA">
        <w:rPr>
          <w:rFonts w:cs="Arial"/>
          <w:bCs/>
          <w:szCs w:val="22"/>
        </w:rPr>
        <w:tab/>
      </w:r>
      <w:r w:rsidR="00101890" w:rsidRPr="009623DA">
        <w:rPr>
          <w:rFonts w:cs="Arial"/>
          <w:szCs w:val="22"/>
        </w:rPr>
        <w:t xml:space="preserve">He rejected every material averment in the founding affidavit even when the averments were not in dispute. The Appeal Court upheld an appeal against his dismissal of the recusal application and </w:t>
      </w:r>
      <w:r w:rsidR="00EF3688" w:rsidRPr="009623DA">
        <w:rPr>
          <w:rFonts w:cs="Arial"/>
          <w:szCs w:val="22"/>
        </w:rPr>
        <w:t>granted an order granting the application for recusal with costs.</w:t>
      </w:r>
      <w:r w:rsidR="00656E2E" w:rsidRPr="009623DA">
        <w:rPr>
          <w:rFonts w:cs="Arial"/>
          <w:szCs w:val="22"/>
        </w:rPr>
        <w:t xml:space="preserve"> Hefer JA said that the Judge was intent on concentrating on what he perceived to be the honesty of the applicant</w:t>
      </w:r>
      <w:r w:rsidR="00E25F47" w:rsidRPr="009623DA">
        <w:rPr>
          <w:rStyle w:val="FootnoteReference"/>
          <w:rFonts w:cs="Arial"/>
          <w:szCs w:val="22"/>
        </w:rPr>
        <w:footnoteReference w:id="50"/>
      </w:r>
      <w:r w:rsidR="00656E2E" w:rsidRPr="009623DA">
        <w:rPr>
          <w:rFonts w:cs="Arial"/>
          <w:szCs w:val="22"/>
        </w:rPr>
        <w:t xml:space="preserve"> (a </w:t>
      </w:r>
      <w:r w:rsidR="00293C02" w:rsidRPr="009623DA">
        <w:rPr>
          <w:rFonts w:cs="Arial"/>
          <w:szCs w:val="22"/>
        </w:rPr>
        <w:t>witness</w:t>
      </w:r>
      <w:r w:rsidR="00656E2E" w:rsidRPr="009623DA">
        <w:rPr>
          <w:rFonts w:cs="Arial"/>
          <w:szCs w:val="22"/>
        </w:rPr>
        <w:t xml:space="preserve"> scheduled to give oral evidence later in the proceedings):</w:t>
      </w:r>
    </w:p>
    <w:p w14:paraId="16B91E5E" w14:textId="7404B3D7" w:rsidR="007351A5" w:rsidRPr="009623DA" w:rsidRDefault="00656E2E" w:rsidP="00656E2E">
      <w:pPr>
        <w:widowControl w:val="0"/>
        <w:spacing w:before="480" w:after="480" w:line="360" w:lineRule="auto"/>
        <w:ind w:left="1440"/>
        <w:jc w:val="both"/>
        <w:rPr>
          <w:rFonts w:cs="Arial"/>
          <w:bCs/>
          <w:i/>
          <w:iCs/>
          <w:szCs w:val="22"/>
        </w:rPr>
      </w:pPr>
      <w:r w:rsidRPr="009623DA">
        <w:rPr>
          <w:rFonts w:cs="Arial"/>
          <w:i/>
          <w:iCs/>
          <w:szCs w:val="22"/>
        </w:rPr>
        <w:t>“I am of the view that the way in which he handled the recusal application disqualified him, irrespective of its merits or demerits…”</w:t>
      </w:r>
    </w:p>
    <w:p w14:paraId="63CB2DC7" w14:textId="17C99073" w:rsidR="00656E2E" w:rsidRPr="009623DA" w:rsidRDefault="003C78F7" w:rsidP="003C78F7">
      <w:pPr>
        <w:widowControl w:val="0"/>
        <w:tabs>
          <w:tab w:val="left" w:pos="567"/>
        </w:tabs>
        <w:spacing w:before="480" w:after="480" w:line="360" w:lineRule="auto"/>
        <w:jc w:val="both"/>
        <w:rPr>
          <w:rFonts w:cs="Arial"/>
          <w:szCs w:val="22"/>
        </w:rPr>
      </w:pPr>
      <w:bookmarkStart w:id="1" w:name="_Hlk136632494"/>
      <w:r w:rsidRPr="009623DA">
        <w:rPr>
          <w:rFonts w:cs="Arial"/>
          <w:szCs w:val="22"/>
        </w:rPr>
        <w:t>[87]</w:t>
      </w:r>
      <w:r w:rsidRPr="009623DA">
        <w:rPr>
          <w:rFonts w:cs="Arial"/>
          <w:szCs w:val="22"/>
        </w:rPr>
        <w:tab/>
      </w:r>
      <w:r w:rsidR="00656E2E" w:rsidRPr="009623DA">
        <w:rPr>
          <w:rFonts w:cs="Arial"/>
          <w:bCs/>
          <w:szCs w:val="22"/>
        </w:rPr>
        <w:t xml:space="preserve">In </w:t>
      </w:r>
      <w:r w:rsidR="00656E2E" w:rsidRPr="009623DA">
        <w:rPr>
          <w:rFonts w:cs="Arial"/>
          <w:bCs/>
          <w:i/>
          <w:iCs/>
          <w:szCs w:val="22"/>
        </w:rPr>
        <w:t>Premier Foods (Pty) Ltd (Nelspruit) v Commission</w:t>
      </w:r>
      <w:r w:rsidR="00656E2E" w:rsidRPr="009623DA">
        <w:rPr>
          <w:rStyle w:val="FootnoteReference"/>
          <w:rFonts w:cs="Arial"/>
          <w:bCs/>
          <w:i/>
          <w:iCs/>
          <w:szCs w:val="22"/>
        </w:rPr>
        <w:footnoteReference w:id="51"/>
      </w:r>
      <w:r w:rsidR="00656E2E" w:rsidRPr="009623DA">
        <w:rPr>
          <w:rFonts w:cs="Arial"/>
          <w:bCs/>
          <w:i/>
          <w:iCs/>
          <w:szCs w:val="22"/>
        </w:rPr>
        <w:t xml:space="preserve"> for Conciliation, Mediation and Arbitration</w:t>
      </w:r>
      <w:bookmarkEnd w:id="1"/>
      <w:r w:rsidR="00656E2E" w:rsidRPr="009623DA">
        <w:rPr>
          <w:rStyle w:val="FootnoteReference"/>
          <w:rFonts w:cs="Arial"/>
          <w:bCs/>
          <w:i/>
          <w:iCs/>
          <w:szCs w:val="22"/>
        </w:rPr>
        <w:footnoteReference w:id="52"/>
      </w:r>
      <w:r w:rsidR="00656E2E" w:rsidRPr="009623DA">
        <w:rPr>
          <w:rFonts w:cs="Arial"/>
          <w:bCs/>
          <w:szCs w:val="22"/>
        </w:rPr>
        <w:t xml:space="preserve"> the recusal of a CCMA Commissioner was sought on the basis that he had allegedly said during the conciliation process already that if the matter proceeded to arbitration, the employer would lose. The Commissioner then reacted to an application for recusal </w:t>
      </w:r>
      <w:r w:rsidR="00293C02" w:rsidRPr="009623DA">
        <w:rPr>
          <w:rFonts w:cs="Arial"/>
          <w:bCs/>
          <w:szCs w:val="22"/>
        </w:rPr>
        <w:t xml:space="preserve">brought by the </w:t>
      </w:r>
      <w:r w:rsidR="00656E2E" w:rsidRPr="009623DA">
        <w:rPr>
          <w:rFonts w:cs="Arial"/>
          <w:bCs/>
          <w:szCs w:val="22"/>
        </w:rPr>
        <w:t xml:space="preserve">employer by simply refusing to hear the application and </w:t>
      </w:r>
      <w:r w:rsidR="00293C02" w:rsidRPr="009623DA">
        <w:rPr>
          <w:rFonts w:cs="Arial"/>
          <w:bCs/>
          <w:szCs w:val="22"/>
        </w:rPr>
        <w:t xml:space="preserve">then  </w:t>
      </w:r>
      <w:r w:rsidR="00656E2E" w:rsidRPr="009623DA">
        <w:rPr>
          <w:rFonts w:cs="Arial"/>
          <w:bCs/>
          <w:szCs w:val="22"/>
        </w:rPr>
        <w:t>continu</w:t>
      </w:r>
      <w:r w:rsidR="00293C02" w:rsidRPr="009623DA">
        <w:rPr>
          <w:rFonts w:cs="Arial"/>
          <w:bCs/>
          <w:szCs w:val="22"/>
        </w:rPr>
        <w:t>ing</w:t>
      </w:r>
      <w:r w:rsidR="00656E2E" w:rsidRPr="009623DA">
        <w:rPr>
          <w:rFonts w:cs="Arial"/>
          <w:bCs/>
          <w:szCs w:val="22"/>
        </w:rPr>
        <w:t xml:space="preserve"> with the arbitration.</w:t>
      </w:r>
    </w:p>
    <w:p w14:paraId="3C24203F" w14:textId="145D5055" w:rsidR="00A434B9" w:rsidRPr="009623DA" w:rsidRDefault="003C78F7" w:rsidP="003C78F7">
      <w:pPr>
        <w:widowControl w:val="0"/>
        <w:tabs>
          <w:tab w:val="left" w:pos="567"/>
        </w:tabs>
        <w:spacing w:before="480" w:after="480" w:line="360" w:lineRule="auto"/>
        <w:jc w:val="both"/>
        <w:rPr>
          <w:rFonts w:cs="Arial"/>
          <w:szCs w:val="22"/>
        </w:rPr>
      </w:pPr>
      <w:r w:rsidRPr="009623DA">
        <w:rPr>
          <w:rFonts w:cs="Arial"/>
          <w:szCs w:val="22"/>
        </w:rPr>
        <w:t>[88]</w:t>
      </w:r>
      <w:r w:rsidRPr="009623DA">
        <w:rPr>
          <w:rFonts w:cs="Arial"/>
          <w:szCs w:val="22"/>
        </w:rPr>
        <w:tab/>
      </w:r>
      <w:r w:rsidR="00A434B9" w:rsidRPr="009623DA">
        <w:rPr>
          <w:rFonts w:cs="Arial"/>
          <w:szCs w:val="22"/>
        </w:rPr>
        <w:t xml:space="preserve">The employer brought a review application, alleging misconduct on the part of the Commissioner. Snyman AJ granted the application. In the course of </w:t>
      </w:r>
      <w:r w:rsidR="00380919" w:rsidRPr="009623DA">
        <w:rPr>
          <w:rFonts w:cs="Arial"/>
          <w:szCs w:val="22"/>
        </w:rPr>
        <w:t xml:space="preserve">a detailed judgment </w:t>
      </w:r>
      <w:r w:rsidR="00380919" w:rsidRPr="009623DA">
        <w:rPr>
          <w:rFonts w:cs="Arial"/>
          <w:szCs w:val="22"/>
        </w:rPr>
        <w:lastRenderedPageBreak/>
        <w:t>he said:</w:t>
      </w:r>
    </w:p>
    <w:p w14:paraId="445A61C8" w14:textId="77777777" w:rsidR="00A434B9" w:rsidRPr="009623DA" w:rsidRDefault="00A434B9" w:rsidP="00E856E9">
      <w:pPr>
        <w:widowControl w:val="0"/>
        <w:spacing w:before="480" w:after="480" w:line="360" w:lineRule="auto"/>
        <w:ind w:left="1440"/>
        <w:jc w:val="both"/>
        <w:rPr>
          <w:rFonts w:cs="Arial"/>
          <w:i/>
          <w:iCs/>
          <w:szCs w:val="22"/>
        </w:rPr>
      </w:pPr>
      <w:r w:rsidRPr="009623DA">
        <w:rPr>
          <w:rFonts w:cs="Arial"/>
          <w:i/>
          <w:iCs/>
          <w:szCs w:val="22"/>
        </w:rPr>
        <w:t xml:space="preserve">[7] In the founding affidavit, the applicant has contended that the second respondent had been inextricably involved in a discussion of the evidence in the conciliation, and following that he told the applicant that continuing with the arbitration would result in them losing. </w:t>
      </w:r>
    </w:p>
    <w:p w14:paraId="1ADF0CF7" w14:textId="77777777" w:rsidR="00380919" w:rsidRPr="009623DA" w:rsidRDefault="00A434B9" w:rsidP="00E856E9">
      <w:pPr>
        <w:widowControl w:val="0"/>
        <w:spacing w:before="480" w:after="480" w:line="360" w:lineRule="auto"/>
        <w:ind w:left="1440"/>
        <w:jc w:val="both"/>
        <w:rPr>
          <w:rFonts w:cs="Arial"/>
          <w:i/>
          <w:iCs/>
          <w:szCs w:val="22"/>
        </w:rPr>
      </w:pPr>
      <w:r w:rsidRPr="009623DA">
        <w:rPr>
          <w:rFonts w:cs="Arial"/>
          <w:i/>
          <w:iCs/>
          <w:szCs w:val="22"/>
        </w:rPr>
        <w:t xml:space="preserve">[8] The transcript does not reflect this statement, and for good reason. It is clear for the transcript that the applicant had barely started motivating its recusal application when the second respondent intervened, saying: </w:t>
      </w:r>
    </w:p>
    <w:p w14:paraId="19EE0007" w14:textId="77777777" w:rsidR="00380919" w:rsidRPr="009623DA" w:rsidRDefault="00A434B9" w:rsidP="00E856E9">
      <w:pPr>
        <w:widowControl w:val="0"/>
        <w:spacing w:before="480" w:after="480" w:line="360" w:lineRule="auto"/>
        <w:ind w:left="2160"/>
        <w:jc w:val="both"/>
        <w:rPr>
          <w:rFonts w:cs="Arial"/>
          <w:i/>
          <w:iCs/>
          <w:szCs w:val="22"/>
        </w:rPr>
      </w:pPr>
      <w:r w:rsidRPr="009623DA">
        <w:rPr>
          <w:rFonts w:cs="Arial"/>
          <w:i/>
          <w:iCs/>
          <w:szCs w:val="22"/>
        </w:rPr>
        <w:t xml:space="preserve">‘I’m going to interrupt you, I’m not going to recuse myself, I don’t believe you have any grounds to ask me to recuse myself …’. </w:t>
      </w:r>
    </w:p>
    <w:p w14:paraId="483EBF04" w14:textId="77777777" w:rsidR="003A1D18" w:rsidRPr="009623DA" w:rsidRDefault="00A434B9" w:rsidP="00E856E9">
      <w:pPr>
        <w:widowControl w:val="0"/>
        <w:spacing w:before="480" w:after="480" w:line="360" w:lineRule="auto"/>
        <w:ind w:left="1440"/>
        <w:jc w:val="both"/>
        <w:rPr>
          <w:rFonts w:cs="Arial"/>
          <w:i/>
          <w:iCs/>
          <w:szCs w:val="22"/>
        </w:rPr>
      </w:pPr>
      <w:r w:rsidRPr="009623DA">
        <w:rPr>
          <w:rFonts w:cs="Arial"/>
          <w:i/>
          <w:iCs/>
          <w:szCs w:val="22"/>
        </w:rPr>
        <w:t xml:space="preserve">The second respondent then in essence compelled the applicant to commence leading evidence by calling its first witness. The applicant was thus not allowed by the second respondent to bring a recusal application, and the third respondent was never required to answer such. </w:t>
      </w:r>
    </w:p>
    <w:p w14:paraId="76B669B1" w14:textId="625A9624" w:rsidR="00A434B9" w:rsidRPr="009623DA" w:rsidRDefault="00A434B9" w:rsidP="00E856E9">
      <w:pPr>
        <w:widowControl w:val="0"/>
        <w:spacing w:before="480" w:after="480" w:line="360" w:lineRule="auto"/>
        <w:ind w:left="1440"/>
        <w:jc w:val="both"/>
        <w:rPr>
          <w:rFonts w:cs="Arial"/>
          <w:i/>
          <w:iCs/>
          <w:szCs w:val="22"/>
        </w:rPr>
      </w:pPr>
      <w:r w:rsidRPr="009623DA">
        <w:rPr>
          <w:rFonts w:cs="Arial"/>
          <w:i/>
          <w:iCs/>
          <w:szCs w:val="22"/>
        </w:rPr>
        <w:t xml:space="preserve">[9] There is no answer from the second respondent to these allegations of the applicant as contained in the founding affidavit. I must say that I am concerned that the second respondent did not address all these issues, which was called for, and especially those concerns relating to the second respondent saying to the applicant that it would lose if the matter continues to arbitration. </w:t>
      </w:r>
    </w:p>
    <w:p w14:paraId="5FF74806" w14:textId="77777777" w:rsidR="00293C02" w:rsidRPr="009623DA" w:rsidRDefault="00293C02" w:rsidP="003A1D18">
      <w:pPr>
        <w:widowControl w:val="0"/>
        <w:spacing w:before="480" w:after="480" w:line="360" w:lineRule="auto"/>
        <w:jc w:val="both"/>
        <w:rPr>
          <w:rFonts w:cs="Arial"/>
          <w:bCs/>
          <w:szCs w:val="22"/>
          <w:u w:val="single"/>
        </w:rPr>
      </w:pPr>
    </w:p>
    <w:p w14:paraId="67FB0AB9" w14:textId="181104F1" w:rsidR="003E54E1" w:rsidRPr="009623DA" w:rsidRDefault="003E54E1" w:rsidP="003A1D18">
      <w:pPr>
        <w:widowControl w:val="0"/>
        <w:spacing w:before="480" w:after="480" w:line="360" w:lineRule="auto"/>
        <w:jc w:val="both"/>
        <w:rPr>
          <w:rFonts w:cs="Arial"/>
          <w:bCs/>
          <w:szCs w:val="22"/>
          <w:u w:val="single"/>
        </w:rPr>
      </w:pPr>
      <w:r w:rsidRPr="009623DA">
        <w:rPr>
          <w:rFonts w:cs="Arial"/>
          <w:bCs/>
          <w:szCs w:val="22"/>
          <w:u w:val="single"/>
        </w:rPr>
        <w:t>Conclusion</w:t>
      </w:r>
    </w:p>
    <w:p w14:paraId="1B297600" w14:textId="28710F1B" w:rsidR="00293C02"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[89]</w:t>
      </w:r>
      <w:r w:rsidRPr="009623DA">
        <w:rPr>
          <w:rFonts w:cs="Arial"/>
          <w:bCs/>
          <w:szCs w:val="22"/>
        </w:rPr>
        <w:tab/>
      </w:r>
      <w:r w:rsidR="00293C02" w:rsidRPr="009623DA">
        <w:rPr>
          <w:rFonts w:cs="Arial"/>
          <w:bCs/>
          <w:szCs w:val="22"/>
        </w:rPr>
        <w:t>I find that Altech has not proved its averments of bias or that the arbitrator committed a gross irregularity in the proceedings.</w:t>
      </w:r>
    </w:p>
    <w:p w14:paraId="49B1067F" w14:textId="6952CC35" w:rsidR="003E54E1" w:rsidRPr="009623DA" w:rsidRDefault="003C78F7" w:rsidP="003C78F7">
      <w:pPr>
        <w:widowControl w:val="0"/>
        <w:tabs>
          <w:tab w:val="left" w:pos="567"/>
        </w:tabs>
        <w:spacing w:before="480" w:after="480" w:line="360" w:lineRule="auto"/>
        <w:jc w:val="both"/>
        <w:rPr>
          <w:rFonts w:cs="Arial"/>
          <w:bCs/>
          <w:szCs w:val="22"/>
        </w:rPr>
      </w:pPr>
      <w:r w:rsidRPr="009623DA">
        <w:rPr>
          <w:rFonts w:cs="Arial"/>
          <w:bCs/>
          <w:szCs w:val="22"/>
        </w:rPr>
        <w:t>[90]</w:t>
      </w:r>
      <w:r w:rsidRPr="009623DA">
        <w:rPr>
          <w:rFonts w:cs="Arial"/>
          <w:bCs/>
          <w:szCs w:val="22"/>
        </w:rPr>
        <w:tab/>
      </w:r>
      <w:r w:rsidR="003E54E1" w:rsidRPr="009623DA">
        <w:rPr>
          <w:rFonts w:cs="Arial"/>
          <w:bCs/>
          <w:szCs w:val="22"/>
        </w:rPr>
        <w:t>For the reasons set out above I make the order in paragraph 1.</w:t>
      </w:r>
    </w:p>
    <w:p w14:paraId="5E3F3A66" w14:textId="77777777" w:rsidR="00293C02" w:rsidRPr="009623DA" w:rsidRDefault="00293C02" w:rsidP="003A1D18">
      <w:pPr>
        <w:widowControl w:val="0"/>
        <w:tabs>
          <w:tab w:val="right" w:pos="0"/>
        </w:tabs>
        <w:spacing w:line="360" w:lineRule="auto"/>
        <w:contextualSpacing/>
        <w:jc w:val="right"/>
        <w:rPr>
          <w:rFonts w:cs="Arial"/>
          <w:b/>
          <w:szCs w:val="22"/>
        </w:rPr>
      </w:pPr>
    </w:p>
    <w:p w14:paraId="53CD27EE" w14:textId="0B3A7FA3" w:rsidR="00AE287F" w:rsidRPr="009623DA" w:rsidRDefault="00A649E6" w:rsidP="003A1D18">
      <w:pPr>
        <w:widowControl w:val="0"/>
        <w:tabs>
          <w:tab w:val="right" w:pos="0"/>
        </w:tabs>
        <w:spacing w:line="360" w:lineRule="auto"/>
        <w:contextualSpacing/>
        <w:jc w:val="right"/>
        <w:rPr>
          <w:rFonts w:cs="Arial"/>
          <w:b/>
          <w:szCs w:val="22"/>
        </w:rPr>
      </w:pPr>
      <w:r w:rsidRPr="009623DA">
        <w:rPr>
          <w:rFonts w:cs="Arial"/>
          <w:b/>
          <w:szCs w:val="22"/>
        </w:rPr>
        <w:t>______________</w:t>
      </w:r>
    </w:p>
    <w:p w14:paraId="0CCB9BFE" w14:textId="7ABE564D" w:rsidR="006C43D7" w:rsidRPr="009623DA" w:rsidRDefault="00C676F3" w:rsidP="003A1D18">
      <w:pPr>
        <w:widowControl w:val="0"/>
        <w:tabs>
          <w:tab w:val="right" w:pos="0"/>
        </w:tabs>
        <w:spacing w:line="360" w:lineRule="auto"/>
        <w:contextualSpacing/>
        <w:jc w:val="right"/>
        <w:rPr>
          <w:rFonts w:cs="Arial"/>
          <w:b/>
          <w:szCs w:val="22"/>
        </w:rPr>
      </w:pPr>
      <w:r w:rsidRPr="009623DA">
        <w:rPr>
          <w:rFonts w:cs="Arial"/>
          <w:b/>
          <w:szCs w:val="22"/>
        </w:rPr>
        <w:t>J MOORCROFT</w:t>
      </w:r>
    </w:p>
    <w:p w14:paraId="7A2C1059" w14:textId="77777777" w:rsidR="006C43D7" w:rsidRPr="009623DA" w:rsidRDefault="006C43D7" w:rsidP="003A1D18">
      <w:pPr>
        <w:widowControl w:val="0"/>
        <w:tabs>
          <w:tab w:val="right" w:pos="0"/>
        </w:tabs>
        <w:spacing w:line="360" w:lineRule="auto"/>
        <w:contextualSpacing/>
        <w:jc w:val="right"/>
        <w:rPr>
          <w:rFonts w:cs="Arial"/>
          <w:b/>
          <w:szCs w:val="22"/>
        </w:rPr>
      </w:pPr>
      <w:r w:rsidRPr="009623DA">
        <w:rPr>
          <w:rFonts w:cs="Arial"/>
          <w:b/>
          <w:szCs w:val="22"/>
        </w:rPr>
        <w:t>ACTING JUDGE OF THE HIGH COURT OF SOUTH AFRICA</w:t>
      </w:r>
    </w:p>
    <w:p w14:paraId="077C2590" w14:textId="7452355B" w:rsidR="006C43D7" w:rsidRPr="009623DA" w:rsidRDefault="006C43D7" w:rsidP="003A1D18">
      <w:pPr>
        <w:widowControl w:val="0"/>
        <w:tabs>
          <w:tab w:val="right" w:pos="0"/>
          <w:tab w:val="left" w:pos="4253"/>
        </w:tabs>
        <w:spacing w:line="360" w:lineRule="auto"/>
        <w:contextualSpacing/>
        <w:jc w:val="right"/>
        <w:rPr>
          <w:rFonts w:cs="Arial"/>
          <w:b/>
          <w:szCs w:val="22"/>
        </w:rPr>
      </w:pPr>
      <w:r w:rsidRPr="009623DA">
        <w:rPr>
          <w:rFonts w:cs="Arial"/>
          <w:b/>
          <w:szCs w:val="22"/>
        </w:rPr>
        <w:t>GAUTENG DIVISION</w:t>
      </w:r>
    </w:p>
    <w:p w14:paraId="40B9C946" w14:textId="77777777" w:rsidR="006C43D7" w:rsidRPr="009623DA" w:rsidRDefault="006C43D7" w:rsidP="003A1D18">
      <w:pPr>
        <w:widowControl w:val="0"/>
        <w:tabs>
          <w:tab w:val="right" w:pos="0"/>
          <w:tab w:val="left" w:pos="4253"/>
        </w:tabs>
        <w:spacing w:line="360" w:lineRule="auto"/>
        <w:contextualSpacing/>
        <w:jc w:val="right"/>
        <w:rPr>
          <w:rFonts w:cs="Arial"/>
          <w:b/>
          <w:szCs w:val="22"/>
        </w:rPr>
      </w:pPr>
      <w:r w:rsidRPr="009623DA">
        <w:rPr>
          <w:rFonts w:cs="Arial"/>
          <w:b/>
          <w:szCs w:val="22"/>
        </w:rPr>
        <w:t>JOHANNESBURG</w:t>
      </w:r>
    </w:p>
    <w:p w14:paraId="326B529B" w14:textId="77777777" w:rsidR="006C43D7" w:rsidRPr="009623DA"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9623DA" w:rsidRDefault="006C43D7" w:rsidP="003A1D18">
      <w:pPr>
        <w:widowControl w:val="0"/>
        <w:spacing w:after="200" w:line="480" w:lineRule="auto"/>
        <w:contextualSpacing/>
        <w:jc w:val="right"/>
        <w:rPr>
          <w:rFonts w:cs="Arial"/>
          <w:b/>
          <w:i/>
          <w:iCs/>
          <w:szCs w:val="22"/>
        </w:rPr>
      </w:pPr>
      <w:r w:rsidRPr="009623DA">
        <w:rPr>
          <w:rFonts w:cs="Arial"/>
          <w:b/>
          <w:i/>
          <w:iCs/>
          <w:szCs w:val="22"/>
        </w:rPr>
        <w:t>Electronically submitted</w:t>
      </w:r>
    </w:p>
    <w:p w14:paraId="4E3E9427" w14:textId="77777777" w:rsidR="006C43D7" w:rsidRPr="009623DA" w:rsidRDefault="006C43D7" w:rsidP="003A1D18">
      <w:pPr>
        <w:widowControl w:val="0"/>
        <w:spacing w:after="200" w:line="360" w:lineRule="auto"/>
        <w:contextualSpacing/>
        <w:jc w:val="both"/>
        <w:rPr>
          <w:rFonts w:eastAsia="Arial Unicode MS" w:cs="Arial"/>
          <w:bCs/>
          <w:szCs w:val="22"/>
        </w:rPr>
      </w:pPr>
    </w:p>
    <w:p w14:paraId="51C686CA" w14:textId="5A9E8457" w:rsidR="006C43D7" w:rsidRPr="009623DA" w:rsidRDefault="006C43D7" w:rsidP="003A1D18">
      <w:pPr>
        <w:widowControl w:val="0"/>
        <w:spacing w:after="200" w:line="360" w:lineRule="auto"/>
        <w:contextualSpacing/>
        <w:jc w:val="both"/>
        <w:rPr>
          <w:rFonts w:eastAsia="Arial Unicode MS" w:cs="Arial"/>
          <w:bCs/>
          <w:szCs w:val="22"/>
        </w:rPr>
      </w:pPr>
      <w:r w:rsidRPr="009623DA">
        <w:rPr>
          <w:rFonts w:eastAsia="Arial Unicode MS" w:cs="Arial"/>
          <w:bCs/>
          <w:szCs w:val="22"/>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B5572D">
        <w:rPr>
          <w:rFonts w:eastAsia="Arial Unicode MS" w:cs="Arial"/>
          <w:b/>
          <w:szCs w:val="22"/>
        </w:rPr>
        <w:t xml:space="preserve"> </w:t>
      </w:r>
      <w:r w:rsidR="00B5572D" w:rsidRPr="00B5572D">
        <w:rPr>
          <w:rFonts w:eastAsia="Arial Unicode MS" w:cs="Arial"/>
          <w:b/>
          <w:szCs w:val="22"/>
        </w:rPr>
        <w:t xml:space="preserve">5 JUNE </w:t>
      </w:r>
      <w:r w:rsidR="00237FF9" w:rsidRPr="009623DA">
        <w:rPr>
          <w:rFonts w:eastAsia="Arial Unicode MS" w:cs="Arial"/>
          <w:b/>
          <w:bCs/>
          <w:szCs w:val="22"/>
        </w:rPr>
        <w:t>202</w:t>
      </w:r>
      <w:r w:rsidR="00051A2B" w:rsidRPr="009623DA">
        <w:rPr>
          <w:rFonts w:eastAsia="Arial Unicode MS" w:cs="Arial"/>
          <w:b/>
          <w:bCs/>
          <w:szCs w:val="22"/>
        </w:rPr>
        <w:t>3</w:t>
      </w:r>
      <w:r w:rsidR="00051A2B" w:rsidRPr="009623DA">
        <w:rPr>
          <w:rFonts w:eastAsia="Arial Unicode MS" w:cs="Arial"/>
          <w:bCs/>
          <w:szCs w:val="22"/>
        </w:rPr>
        <w:t>.</w:t>
      </w:r>
    </w:p>
    <w:p w14:paraId="482DDF6E" w14:textId="77777777" w:rsidR="006C43D7" w:rsidRPr="009623DA"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9623DA" w14:paraId="493AF0D7" w14:textId="77777777" w:rsidTr="00615F6B">
        <w:tc>
          <w:tcPr>
            <w:tcW w:w="4678" w:type="dxa"/>
          </w:tcPr>
          <w:p w14:paraId="6A05541A" w14:textId="49AA75BF" w:rsidR="009D35B5" w:rsidRPr="009623DA" w:rsidRDefault="009D35B5" w:rsidP="00A25AB4">
            <w:pPr>
              <w:tabs>
                <w:tab w:val="right" w:pos="0"/>
                <w:tab w:val="left" w:pos="4253"/>
              </w:tabs>
              <w:spacing w:before="120" w:after="120"/>
              <w:rPr>
                <w:rFonts w:cs="Arial"/>
                <w:szCs w:val="22"/>
              </w:rPr>
            </w:pPr>
            <w:r w:rsidRPr="009623DA">
              <w:rPr>
                <w:rFonts w:cs="Arial"/>
                <w:szCs w:val="22"/>
              </w:rPr>
              <w:t xml:space="preserve">COUNSEL FOR </w:t>
            </w:r>
            <w:r w:rsidR="00404A52" w:rsidRPr="009623DA">
              <w:rPr>
                <w:rFonts w:cs="Arial"/>
                <w:szCs w:val="22"/>
              </w:rPr>
              <w:t>THE APPLICANT</w:t>
            </w:r>
            <w:r w:rsidRPr="009623DA">
              <w:rPr>
                <w:rFonts w:cs="Arial"/>
                <w:szCs w:val="22"/>
              </w:rPr>
              <w:t>:</w:t>
            </w:r>
          </w:p>
        </w:tc>
        <w:tc>
          <w:tcPr>
            <w:tcW w:w="3935" w:type="dxa"/>
          </w:tcPr>
          <w:p w14:paraId="5909952A" w14:textId="77777777" w:rsidR="00DC6EF8" w:rsidRPr="009623DA" w:rsidRDefault="00D15C79" w:rsidP="00A25AB4">
            <w:pPr>
              <w:tabs>
                <w:tab w:val="right" w:pos="0"/>
                <w:tab w:val="left" w:pos="567"/>
                <w:tab w:val="right" w:pos="2727"/>
                <w:tab w:val="left" w:pos="4253"/>
              </w:tabs>
              <w:spacing w:before="120" w:after="120"/>
              <w:jc w:val="right"/>
              <w:rPr>
                <w:rFonts w:cs="Arial"/>
                <w:szCs w:val="22"/>
              </w:rPr>
            </w:pPr>
            <w:r w:rsidRPr="009623DA">
              <w:rPr>
                <w:rFonts w:cs="Arial"/>
                <w:szCs w:val="22"/>
              </w:rPr>
              <w:t>S BUDLENDER SC</w:t>
            </w:r>
          </w:p>
          <w:p w14:paraId="69785AA9" w14:textId="390D75C5" w:rsidR="00D15C79" w:rsidRPr="009623DA" w:rsidRDefault="00D15C79" w:rsidP="00A25AB4">
            <w:pPr>
              <w:tabs>
                <w:tab w:val="right" w:pos="0"/>
                <w:tab w:val="left" w:pos="567"/>
                <w:tab w:val="right" w:pos="2727"/>
                <w:tab w:val="left" w:pos="4253"/>
              </w:tabs>
              <w:spacing w:before="120" w:after="120"/>
              <w:jc w:val="right"/>
              <w:rPr>
                <w:rFonts w:cs="Arial"/>
                <w:szCs w:val="22"/>
              </w:rPr>
            </w:pPr>
            <w:r w:rsidRPr="009623DA">
              <w:rPr>
                <w:rFonts w:cs="Arial"/>
                <w:szCs w:val="22"/>
              </w:rPr>
              <w:t>L MINNÉ</w:t>
            </w:r>
          </w:p>
        </w:tc>
      </w:tr>
      <w:tr w:rsidR="009D35B5" w:rsidRPr="009623DA" w14:paraId="183C176D" w14:textId="77777777" w:rsidTr="00615F6B">
        <w:tc>
          <w:tcPr>
            <w:tcW w:w="4678" w:type="dxa"/>
          </w:tcPr>
          <w:p w14:paraId="75365413" w14:textId="481747BC" w:rsidR="009D35B5" w:rsidRPr="009623DA" w:rsidRDefault="009D35B5" w:rsidP="00A25AB4">
            <w:pPr>
              <w:tabs>
                <w:tab w:val="right" w:pos="0"/>
                <w:tab w:val="left" w:pos="4253"/>
              </w:tabs>
              <w:spacing w:before="120" w:after="120"/>
              <w:rPr>
                <w:rFonts w:cs="Arial"/>
                <w:szCs w:val="22"/>
              </w:rPr>
            </w:pPr>
            <w:r w:rsidRPr="009623DA">
              <w:rPr>
                <w:rFonts w:cs="Arial"/>
                <w:szCs w:val="22"/>
              </w:rPr>
              <w:t>INSTRUCTED BY:</w:t>
            </w:r>
          </w:p>
        </w:tc>
        <w:tc>
          <w:tcPr>
            <w:tcW w:w="3935" w:type="dxa"/>
          </w:tcPr>
          <w:p w14:paraId="4044534A" w14:textId="7B2479DA" w:rsidR="00E10D04" w:rsidRPr="009623DA" w:rsidRDefault="00E10D04" w:rsidP="00A25AB4">
            <w:pPr>
              <w:tabs>
                <w:tab w:val="right" w:pos="0"/>
                <w:tab w:val="left" w:pos="4253"/>
              </w:tabs>
              <w:spacing w:before="120" w:after="120"/>
              <w:jc w:val="right"/>
              <w:rPr>
                <w:rFonts w:cs="Arial"/>
                <w:szCs w:val="22"/>
              </w:rPr>
            </w:pPr>
            <w:r w:rsidRPr="009623DA">
              <w:rPr>
                <w:rFonts w:cs="Arial"/>
                <w:szCs w:val="22"/>
              </w:rPr>
              <w:t>THOMSON WILKS ATTORNEYS</w:t>
            </w:r>
          </w:p>
        </w:tc>
      </w:tr>
      <w:tr w:rsidR="009D35B5" w:rsidRPr="009623DA" w14:paraId="6E2BF966" w14:textId="77777777" w:rsidTr="00615F6B">
        <w:tc>
          <w:tcPr>
            <w:tcW w:w="4678" w:type="dxa"/>
          </w:tcPr>
          <w:p w14:paraId="545B6665" w14:textId="07239D41" w:rsidR="009D35B5" w:rsidRPr="009623DA" w:rsidRDefault="009D35B5" w:rsidP="00A25AB4">
            <w:pPr>
              <w:tabs>
                <w:tab w:val="right" w:pos="0"/>
                <w:tab w:val="left" w:pos="4253"/>
              </w:tabs>
              <w:spacing w:before="120" w:after="120"/>
              <w:rPr>
                <w:rFonts w:cs="Arial"/>
                <w:szCs w:val="22"/>
              </w:rPr>
            </w:pPr>
            <w:r w:rsidRPr="009623DA">
              <w:rPr>
                <w:rFonts w:cs="Arial"/>
                <w:szCs w:val="22"/>
              </w:rPr>
              <w:t xml:space="preserve">COUNSEL FOR </w:t>
            </w:r>
            <w:r w:rsidR="00404A52" w:rsidRPr="009623DA">
              <w:rPr>
                <w:rFonts w:cs="Arial"/>
                <w:szCs w:val="22"/>
              </w:rPr>
              <w:t xml:space="preserve">THE FIRST </w:t>
            </w:r>
            <w:r w:rsidR="00027D19" w:rsidRPr="009623DA">
              <w:rPr>
                <w:rFonts w:cs="Arial"/>
                <w:szCs w:val="22"/>
              </w:rPr>
              <w:t>RESPONDENT</w:t>
            </w:r>
            <w:r w:rsidRPr="009623DA">
              <w:rPr>
                <w:rFonts w:cs="Arial"/>
                <w:szCs w:val="22"/>
              </w:rPr>
              <w:t>:</w:t>
            </w:r>
          </w:p>
        </w:tc>
        <w:tc>
          <w:tcPr>
            <w:tcW w:w="3935" w:type="dxa"/>
          </w:tcPr>
          <w:p w14:paraId="3E69AA48" w14:textId="77777777" w:rsidR="00E10D04" w:rsidRPr="009623DA" w:rsidRDefault="00E10D04" w:rsidP="00A25AB4">
            <w:pPr>
              <w:tabs>
                <w:tab w:val="right" w:pos="0"/>
                <w:tab w:val="left" w:pos="4253"/>
              </w:tabs>
              <w:spacing w:before="120" w:after="120"/>
              <w:jc w:val="right"/>
              <w:rPr>
                <w:rFonts w:cs="Arial"/>
                <w:szCs w:val="22"/>
              </w:rPr>
            </w:pPr>
            <w:r w:rsidRPr="009623DA">
              <w:rPr>
                <w:rFonts w:cs="Arial"/>
                <w:szCs w:val="22"/>
              </w:rPr>
              <w:t>J CANE SC</w:t>
            </w:r>
          </w:p>
          <w:p w14:paraId="51741A90" w14:textId="0E8AEDDD" w:rsidR="009D35B5" w:rsidRPr="009623DA" w:rsidRDefault="00E10D04" w:rsidP="00A25AB4">
            <w:pPr>
              <w:tabs>
                <w:tab w:val="right" w:pos="0"/>
                <w:tab w:val="left" w:pos="4253"/>
              </w:tabs>
              <w:spacing w:before="120" w:after="120"/>
              <w:jc w:val="right"/>
              <w:rPr>
                <w:rFonts w:cs="Arial"/>
                <w:szCs w:val="22"/>
              </w:rPr>
            </w:pPr>
            <w:r w:rsidRPr="009623DA">
              <w:rPr>
                <w:rFonts w:cs="Arial"/>
                <w:szCs w:val="22"/>
              </w:rPr>
              <w:t>L SCHÄFER</w:t>
            </w:r>
          </w:p>
        </w:tc>
      </w:tr>
      <w:tr w:rsidR="009D35B5" w:rsidRPr="009623DA" w14:paraId="1EC4105A" w14:textId="77777777" w:rsidTr="00615F6B">
        <w:tc>
          <w:tcPr>
            <w:tcW w:w="4678" w:type="dxa"/>
          </w:tcPr>
          <w:p w14:paraId="184EC2ED" w14:textId="1E42F28A" w:rsidR="009D35B5" w:rsidRPr="009623DA" w:rsidRDefault="009D35B5" w:rsidP="00A25AB4">
            <w:pPr>
              <w:tabs>
                <w:tab w:val="right" w:pos="0"/>
                <w:tab w:val="left" w:pos="4253"/>
              </w:tabs>
              <w:spacing w:before="120" w:after="120"/>
              <w:rPr>
                <w:rFonts w:cs="Arial"/>
                <w:szCs w:val="22"/>
              </w:rPr>
            </w:pPr>
            <w:r w:rsidRPr="009623DA">
              <w:rPr>
                <w:rFonts w:cs="Arial"/>
                <w:szCs w:val="22"/>
              </w:rPr>
              <w:t>INSTRUCTED BY:</w:t>
            </w:r>
          </w:p>
        </w:tc>
        <w:tc>
          <w:tcPr>
            <w:tcW w:w="3935" w:type="dxa"/>
          </w:tcPr>
          <w:p w14:paraId="2098BE2A" w14:textId="02443AA8" w:rsidR="009D35B5" w:rsidRPr="009623DA" w:rsidRDefault="00E10D04" w:rsidP="00A25AB4">
            <w:pPr>
              <w:tabs>
                <w:tab w:val="right" w:pos="0"/>
                <w:tab w:val="left" w:pos="4253"/>
              </w:tabs>
              <w:spacing w:before="120" w:after="120"/>
              <w:jc w:val="right"/>
              <w:rPr>
                <w:rFonts w:cs="Arial"/>
                <w:szCs w:val="22"/>
              </w:rPr>
            </w:pPr>
            <w:r w:rsidRPr="009623DA">
              <w:rPr>
                <w:rFonts w:cs="Arial"/>
                <w:szCs w:val="22"/>
              </w:rPr>
              <w:t>A KATHRADA INC</w:t>
            </w:r>
          </w:p>
        </w:tc>
      </w:tr>
      <w:tr w:rsidR="009D35B5" w:rsidRPr="009623DA" w14:paraId="2A3FE2B1" w14:textId="77777777" w:rsidTr="00615F6B">
        <w:tc>
          <w:tcPr>
            <w:tcW w:w="4678" w:type="dxa"/>
          </w:tcPr>
          <w:p w14:paraId="0767D0FE" w14:textId="61925A22" w:rsidR="009D35B5" w:rsidRPr="009623DA" w:rsidRDefault="009D35B5" w:rsidP="00A25AB4">
            <w:pPr>
              <w:tabs>
                <w:tab w:val="right" w:pos="0"/>
                <w:tab w:val="left" w:pos="4253"/>
              </w:tabs>
              <w:spacing w:before="120" w:after="120"/>
              <w:rPr>
                <w:rFonts w:cs="Arial"/>
                <w:szCs w:val="22"/>
              </w:rPr>
            </w:pPr>
            <w:r w:rsidRPr="009623DA">
              <w:rPr>
                <w:rFonts w:cs="Arial"/>
                <w:szCs w:val="22"/>
              </w:rPr>
              <w:t xml:space="preserve">DATE </w:t>
            </w:r>
            <w:r w:rsidR="00E57446" w:rsidRPr="009623DA">
              <w:rPr>
                <w:rFonts w:cs="Arial"/>
                <w:szCs w:val="22"/>
              </w:rPr>
              <w:t>OF ARGUMENT</w:t>
            </w:r>
            <w:r w:rsidRPr="009623DA">
              <w:rPr>
                <w:rFonts w:cs="Arial"/>
                <w:szCs w:val="22"/>
              </w:rPr>
              <w:t>:</w:t>
            </w:r>
          </w:p>
        </w:tc>
        <w:tc>
          <w:tcPr>
            <w:tcW w:w="3935" w:type="dxa"/>
          </w:tcPr>
          <w:p w14:paraId="34C95147" w14:textId="64D837D7" w:rsidR="009D35B5" w:rsidRPr="009623DA" w:rsidRDefault="003C067B" w:rsidP="00A25AB4">
            <w:pPr>
              <w:tabs>
                <w:tab w:val="right" w:pos="0"/>
                <w:tab w:val="left" w:pos="4253"/>
              </w:tabs>
              <w:spacing w:before="120" w:after="120"/>
              <w:jc w:val="right"/>
              <w:rPr>
                <w:rFonts w:cs="Arial"/>
                <w:szCs w:val="22"/>
              </w:rPr>
            </w:pPr>
            <w:r w:rsidRPr="009623DA">
              <w:rPr>
                <w:rFonts w:cs="Arial"/>
                <w:szCs w:val="22"/>
              </w:rPr>
              <w:t>26</w:t>
            </w:r>
            <w:r w:rsidR="00027D19" w:rsidRPr="009623DA">
              <w:rPr>
                <w:rFonts w:cs="Arial"/>
                <w:szCs w:val="22"/>
              </w:rPr>
              <w:t xml:space="preserve"> MAY 2023</w:t>
            </w:r>
          </w:p>
        </w:tc>
      </w:tr>
      <w:tr w:rsidR="009D35B5" w:rsidRPr="009623DA" w14:paraId="757AA656" w14:textId="77777777" w:rsidTr="00615F6B">
        <w:tc>
          <w:tcPr>
            <w:tcW w:w="4678" w:type="dxa"/>
          </w:tcPr>
          <w:p w14:paraId="05387251" w14:textId="41DF7425" w:rsidR="009D35B5" w:rsidRPr="009623DA" w:rsidRDefault="009D35B5" w:rsidP="00A25AB4">
            <w:pPr>
              <w:tabs>
                <w:tab w:val="right" w:pos="0"/>
                <w:tab w:val="left" w:pos="4253"/>
              </w:tabs>
              <w:spacing w:before="120" w:after="120"/>
              <w:rPr>
                <w:rFonts w:cs="Arial"/>
                <w:szCs w:val="22"/>
              </w:rPr>
            </w:pPr>
            <w:r w:rsidRPr="009623DA">
              <w:rPr>
                <w:rFonts w:cs="Arial"/>
                <w:szCs w:val="22"/>
              </w:rPr>
              <w:t xml:space="preserve">DATE OF </w:t>
            </w:r>
            <w:r w:rsidR="00A25AB4" w:rsidRPr="009623DA">
              <w:rPr>
                <w:rFonts w:cs="Arial"/>
                <w:szCs w:val="22"/>
              </w:rPr>
              <w:t>ORDER</w:t>
            </w:r>
            <w:r w:rsidRPr="009623DA">
              <w:rPr>
                <w:rFonts w:cs="Arial"/>
                <w:szCs w:val="22"/>
              </w:rPr>
              <w:t>:</w:t>
            </w:r>
          </w:p>
        </w:tc>
        <w:tc>
          <w:tcPr>
            <w:tcW w:w="3935" w:type="dxa"/>
          </w:tcPr>
          <w:p w14:paraId="61863A62" w14:textId="2A75C74D" w:rsidR="00E45160" w:rsidRPr="009623DA" w:rsidRDefault="004F5D23" w:rsidP="00A25AB4">
            <w:pPr>
              <w:tabs>
                <w:tab w:val="right" w:pos="0"/>
                <w:tab w:val="left" w:pos="4253"/>
              </w:tabs>
              <w:spacing w:before="120" w:after="120"/>
              <w:jc w:val="right"/>
              <w:rPr>
                <w:rFonts w:cs="Arial"/>
                <w:szCs w:val="22"/>
              </w:rPr>
            </w:pPr>
            <w:r w:rsidRPr="009623DA">
              <w:rPr>
                <w:rFonts w:cs="Arial"/>
                <w:szCs w:val="22"/>
              </w:rPr>
              <w:t xml:space="preserve">30 MAY </w:t>
            </w:r>
            <w:r w:rsidR="003C067B" w:rsidRPr="009623DA">
              <w:rPr>
                <w:rFonts w:cs="Arial"/>
                <w:szCs w:val="22"/>
              </w:rPr>
              <w:t>2023</w:t>
            </w:r>
          </w:p>
        </w:tc>
      </w:tr>
      <w:tr w:rsidR="00A25AB4" w:rsidRPr="009623DA" w14:paraId="5ECDFF3A" w14:textId="77777777" w:rsidTr="00615F6B">
        <w:tc>
          <w:tcPr>
            <w:tcW w:w="4678" w:type="dxa"/>
          </w:tcPr>
          <w:p w14:paraId="1DF2AE9E" w14:textId="1FC539A4" w:rsidR="00A25AB4" w:rsidRPr="009623DA" w:rsidRDefault="00A25AB4" w:rsidP="00A25AB4">
            <w:pPr>
              <w:tabs>
                <w:tab w:val="right" w:pos="0"/>
                <w:tab w:val="left" w:pos="4253"/>
              </w:tabs>
              <w:spacing w:before="120" w:after="120"/>
              <w:rPr>
                <w:rFonts w:cs="Arial"/>
                <w:szCs w:val="22"/>
              </w:rPr>
            </w:pPr>
            <w:r w:rsidRPr="009623DA">
              <w:rPr>
                <w:rFonts w:cs="Arial"/>
                <w:szCs w:val="22"/>
              </w:rPr>
              <w:t>DATE OF JUDGMENT:</w:t>
            </w:r>
          </w:p>
        </w:tc>
        <w:tc>
          <w:tcPr>
            <w:tcW w:w="3935" w:type="dxa"/>
          </w:tcPr>
          <w:p w14:paraId="02219E99" w14:textId="58A2C268" w:rsidR="00A25AB4" w:rsidRPr="009623DA" w:rsidRDefault="00B5572D" w:rsidP="00A25AB4">
            <w:pPr>
              <w:tabs>
                <w:tab w:val="right" w:pos="0"/>
                <w:tab w:val="left" w:pos="4253"/>
              </w:tabs>
              <w:spacing w:before="120" w:after="120"/>
              <w:jc w:val="right"/>
              <w:rPr>
                <w:rFonts w:cs="Arial"/>
                <w:szCs w:val="22"/>
              </w:rPr>
            </w:pPr>
            <w:r>
              <w:rPr>
                <w:rFonts w:cs="Arial"/>
                <w:szCs w:val="22"/>
              </w:rPr>
              <w:t xml:space="preserve">5 JUNE </w:t>
            </w:r>
            <w:r w:rsidR="00A25AB4" w:rsidRPr="009623DA">
              <w:rPr>
                <w:rFonts w:cs="Arial"/>
                <w:szCs w:val="22"/>
              </w:rPr>
              <w:t>2023</w:t>
            </w:r>
          </w:p>
        </w:tc>
      </w:tr>
    </w:tbl>
    <w:p w14:paraId="1BD8F4EB" w14:textId="491B3C8F" w:rsidR="00A402F6" w:rsidRPr="009623DA" w:rsidRDefault="00A402F6" w:rsidP="00C428AB">
      <w:pPr>
        <w:widowControl w:val="0"/>
        <w:spacing w:before="480" w:after="480" w:line="360" w:lineRule="auto"/>
        <w:jc w:val="both"/>
        <w:rPr>
          <w:rFonts w:cs="Arial"/>
          <w:szCs w:val="22"/>
        </w:rPr>
      </w:pPr>
    </w:p>
    <w:sectPr w:rsidR="00A402F6" w:rsidRPr="009623DA" w:rsidSect="009869F2">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94AE3" w14:textId="77777777" w:rsidR="00446B79" w:rsidRDefault="00446B79">
      <w:r>
        <w:separator/>
      </w:r>
    </w:p>
  </w:endnote>
  <w:endnote w:type="continuationSeparator" w:id="0">
    <w:p w14:paraId="4814F430" w14:textId="77777777" w:rsidR="00446B79" w:rsidRDefault="004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8A47F" w14:textId="77777777" w:rsidR="00446B79" w:rsidRDefault="00446B79">
      <w:r>
        <w:separator/>
      </w:r>
    </w:p>
  </w:footnote>
  <w:footnote w:type="continuationSeparator" w:id="0">
    <w:p w14:paraId="593AD2CD" w14:textId="77777777" w:rsidR="00446B79" w:rsidRDefault="00446B79">
      <w:r>
        <w:continuationSeparator/>
      </w:r>
    </w:p>
  </w:footnote>
  <w:footnote w:id="1">
    <w:p w14:paraId="1FB897DC" w14:textId="76DF586B" w:rsidR="00E06927" w:rsidRPr="00A444DD" w:rsidRDefault="00E06927">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iCs/>
        </w:rPr>
        <w:t xml:space="preserve">Altech Radio Holdings (Pty) Ltd </w:t>
      </w:r>
      <w:r w:rsidRPr="00A444DD">
        <w:rPr>
          <w:rFonts w:cs="Arial"/>
          <w:i/>
        </w:rPr>
        <w:t xml:space="preserve">v </w:t>
      </w:r>
      <w:r w:rsidRPr="00A444DD">
        <w:rPr>
          <w:rFonts w:cs="Arial"/>
          <w:bCs/>
          <w:i/>
          <w:iCs/>
        </w:rPr>
        <w:t>Aeonova360 Management Services (Pty) Ltd and Another</w:t>
      </w:r>
      <w:r w:rsidRPr="00A444DD">
        <w:rPr>
          <w:rFonts w:cs="Arial"/>
        </w:rPr>
        <w:t xml:space="preserve">  [2023] ZAGPJHC 475.</w:t>
      </w:r>
      <w:r w:rsidR="00244FB9" w:rsidRPr="00A444DD">
        <w:rPr>
          <w:rFonts w:cs="Arial"/>
        </w:rPr>
        <w:t xml:space="preserve"> The case number is 2023/1585.</w:t>
      </w:r>
      <w:r w:rsidR="00856FF2" w:rsidRPr="00A444DD">
        <w:rPr>
          <w:rFonts w:cs="Arial"/>
        </w:rPr>
        <w:t xml:space="preserve"> I refer to these proceedings as “the first review” or “the first judgment” depending on the context.</w:t>
      </w:r>
    </w:p>
  </w:footnote>
  <w:footnote w:id="2">
    <w:p w14:paraId="678ED417" w14:textId="24A2165A" w:rsidR="00A444DD" w:rsidRPr="00A444DD" w:rsidRDefault="00A444D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See also paras 16 to 19 of the first judgment.</w:t>
      </w:r>
    </w:p>
  </w:footnote>
  <w:footnote w:id="3">
    <w:p w14:paraId="63C97EF2" w14:textId="77777777" w:rsidR="0014628D" w:rsidRPr="00A444DD" w:rsidRDefault="0014628D" w:rsidP="0014628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Lufuno Mphaphuli &amp; Associates (Pty) Ltd v Andrews and Another</w:t>
      </w:r>
      <w:r w:rsidRPr="00A444DD">
        <w:rPr>
          <w:rFonts w:cs="Arial"/>
        </w:rPr>
        <w:t xml:space="preserve"> 2009 (4) SA 529 (CC) para 236.</w:t>
      </w:r>
    </w:p>
  </w:footnote>
  <w:footnote w:id="4">
    <w:p w14:paraId="64E17E43" w14:textId="1378F1CC" w:rsidR="0014628D" w:rsidRPr="00A444DD" w:rsidRDefault="0014628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Umgeni Water v Hollis NO and Another</w:t>
      </w:r>
      <w:r w:rsidRPr="00A444DD">
        <w:rPr>
          <w:rFonts w:cs="Arial"/>
        </w:rPr>
        <w:t xml:space="preserve"> 2012 (3) SA 475 (KZD) para 22.</w:t>
      </w:r>
    </w:p>
  </w:footnote>
  <w:footnote w:id="5">
    <w:p w14:paraId="3A6F8A3B" w14:textId="6145507F" w:rsidR="00085288" w:rsidRPr="00A444DD" w:rsidRDefault="00085288" w:rsidP="00085288">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Butler &amp; Finsen </w:t>
      </w:r>
      <w:r w:rsidRPr="00A444DD">
        <w:rPr>
          <w:rFonts w:cs="Arial"/>
          <w:i/>
          <w:iCs/>
        </w:rPr>
        <w:t>Arbitration in South Africa – Law and Practice</w:t>
      </w:r>
      <w:r w:rsidR="00E267F5" w:rsidRPr="00A444DD">
        <w:rPr>
          <w:rFonts w:cs="Arial"/>
          <w:i/>
          <w:iCs/>
        </w:rPr>
        <w:t xml:space="preserve"> </w:t>
      </w:r>
      <w:r w:rsidR="00E267F5" w:rsidRPr="00A444DD">
        <w:rPr>
          <w:rFonts w:cs="Arial"/>
        </w:rPr>
        <w:t>1993 at</w:t>
      </w:r>
      <w:r w:rsidRPr="00A444DD">
        <w:rPr>
          <w:rFonts w:cs="Arial"/>
        </w:rPr>
        <w:t xml:space="preserve"> 105 to 10</w:t>
      </w:r>
      <w:r w:rsidR="005C1E41" w:rsidRPr="00A444DD">
        <w:rPr>
          <w:rFonts w:cs="Arial"/>
        </w:rPr>
        <w:t>6</w:t>
      </w:r>
      <w:r w:rsidR="00AB0DD9" w:rsidRPr="00A444DD">
        <w:rPr>
          <w:rFonts w:cs="Arial"/>
        </w:rPr>
        <w:t xml:space="preserve"> [“Butler”]</w:t>
      </w:r>
      <w:r w:rsidRPr="00A444DD">
        <w:rPr>
          <w:rFonts w:cs="Arial"/>
        </w:rPr>
        <w:t>.</w:t>
      </w:r>
    </w:p>
  </w:footnote>
  <w:footnote w:id="6">
    <w:p w14:paraId="075519A3" w14:textId="7539A8EE" w:rsidR="00306B41" w:rsidRPr="00A444DD" w:rsidRDefault="00306B41" w:rsidP="00306B41">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Umgeni Water v Hollis NO and Another</w:t>
      </w:r>
      <w:r w:rsidRPr="00A444DD">
        <w:rPr>
          <w:rFonts w:cs="Arial"/>
        </w:rPr>
        <w:t xml:space="preserve"> 2012 (3) SA 475 (KZD) paras 11 and 22.</w:t>
      </w:r>
    </w:p>
  </w:footnote>
  <w:footnote w:id="7">
    <w:p w14:paraId="3A11A16F" w14:textId="1A0DCD19" w:rsidR="00AB0DD9" w:rsidRPr="00A444DD" w:rsidRDefault="00AB0DD9">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Mustill &amp; Boyd </w:t>
      </w:r>
      <w:r w:rsidRPr="00A444DD">
        <w:rPr>
          <w:rFonts w:cs="Arial"/>
          <w:i/>
          <w:iCs/>
        </w:rPr>
        <w:t>The Law and Practice of Commercial Arbitration in England</w:t>
      </w:r>
      <w:r w:rsidRPr="00A444DD">
        <w:rPr>
          <w:rFonts w:cs="Arial"/>
        </w:rPr>
        <w:t xml:space="preserve"> </w:t>
      </w:r>
      <w:r w:rsidR="00E267F5" w:rsidRPr="00A444DD">
        <w:rPr>
          <w:rFonts w:cs="Arial"/>
        </w:rPr>
        <w:t>2</w:t>
      </w:r>
      <w:r w:rsidR="00E267F5" w:rsidRPr="00A444DD">
        <w:rPr>
          <w:rFonts w:cs="Arial"/>
          <w:vertAlign w:val="superscript"/>
        </w:rPr>
        <w:t>nd</w:t>
      </w:r>
      <w:r w:rsidR="00E267F5" w:rsidRPr="00A444DD">
        <w:rPr>
          <w:rFonts w:cs="Arial"/>
        </w:rPr>
        <w:t xml:space="preserve"> ed 1989 at </w:t>
      </w:r>
      <w:r w:rsidRPr="00A444DD">
        <w:rPr>
          <w:rFonts w:cs="Arial"/>
        </w:rPr>
        <w:t>530.</w:t>
      </w:r>
    </w:p>
  </w:footnote>
  <w:footnote w:id="8">
    <w:p w14:paraId="3A532FE8" w14:textId="3553A4AB" w:rsidR="00BB3264" w:rsidRPr="00A444DD" w:rsidRDefault="00BB3264" w:rsidP="00BB3264">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Founding affidavit para 114, CaseLines 01-42</w:t>
      </w:r>
      <w:r w:rsidR="00A444DD" w:rsidRPr="00A444DD">
        <w:rPr>
          <w:rFonts w:cs="Arial"/>
        </w:rPr>
        <w:t>.</w:t>
      </w:r>
    </w:p>
  </w:footnote>
  <w:footnote w:id="9">
    <w:p w14:paraId="586C12B1" w14:textId="70AB1E87" w:rsidR="00F41B64" w:rsidRPr="00A444DD" w:rsidRDefault="00F41B64" w:rsidP="00F41B64">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Turnbull-Jackson v Hibiscus Coast Municipality and Others</w:t>
      </w:r>
      <w:r w:rsidRPr="00A444DD">
        <w:rPr>
          <w:rFonts w:cs="Arial"/>
        </w:rPr>
        <w:t xml:space="preserve"> 2014 (6) SA 592 (CC) para 31.</w:t>
      </w:r>
      <w:r w:rsidR="00D1641A" w:rsidRPr="00A444DD">
        <w:rPr>
          <w:rFonts w:cs="Arial"/>
        </w:rPr>
        <w:t xml:space="preserve"> See also </w:t>
      </w:r>
      <w:r w:rsidR="00D1641A" w:rsidRPr="00A444DD">
        <w:rPr>
          <w:rFonts w:cs="Arial"/>
          <w:bCs/>
          <w:i/>
        </w:rPr>
        <w:t>R v Silber</w:t>
      </w:r>
      <w:r w:rsidR="00D1641A" w:rsidRPr="00A444DD">
        <w:rPr>
          <w:rFonts w:cs="Arial"/>
        </w:rPr>
        <w:t xml:space="preserve"> 1952 (2) SA 475 (A).</w:t>
      </w:r>
    </w:p>
  </w:footnote>
  <w:footnote w:id="10">
    <w:p w14:paraId="6681EE55" w14:textId="0A6FBDEA" w:rsidR="00E73E65" w:rsidRPr="00A444DD" w:rsidRDefault="00E73E65">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Moch v Nedtravel (Pty) Ltd t/a American Express Travel Service</w:t>
      </w:r>
      <w:r w:rsidRPr="00A444DD">
        <w:rPr>
          <w:rFonts w:cs="Arial"/>
        </w:rPr>
        <w:t xml:space="preserve"> 1996 (3) SA 1 (A) 13 I-J,  referring to </w:t>
      </w:r>
      <w:r w:rsidRPr="00A444DD">
        <w:rPr>
          <w:rFonts w:cs="Arial"/>
          <w:i/>
          <w:iCs/>
          <w:color w:val="000000" w:themeColor="text1"/>
        </w:rPr>
        <w:t xml:space="preserve">S v Bam </w:t>
      </w:r>
      <w:r w:rsidRPr="00A444DD">
        <w:rPr>
          <w:rFonts w:cs="Arial"/>
          <w:color w:val="000000" w:themeColor="text1"/>
        </w:rPr>
        <w:t>1972 (4) SA 41 (E) 43G-44</w:t>
      </w:r>
      <w:r w:rsidR="007A5BDB" w:rsidRPr="00A444DD">
        <w:rPr>
          <w:rFonts w:cs="Arial"/>
          <w:color w:val="000000" w:themeColor="text1"/>
        </w:rPr>
        <w:t>A.</w:t>
      </w:r>
    </w:p>
  </w:footnote>
  <w:footnote w:id="11">
    <w:p w14:paraId="79870455" w14:textId="4CD64505" w:rsidR="004D635C" w:rsidRPr="00A444DD" w:rsidRDefault="004D635C">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I was informed that the application for a stay was </w:t>
      </w:r>
      <w:r w:rsidR="00D63DBC" w:rsidRPr="00A444DD">
        <w:rPr>
          <w:rFonts w:cs="Arial"/>
        </w:rPr>
        <w:t>struck from the roll</w:t>
      </w:r>
      <w:r w:rsidRPr="00A444DD">
        <w:rPr>
          <w:rFonts w:cs="Arial"/>
        </w:rPr>
        <w:t>.</w:t>
      </w:r>
    </w:p>
  </w:footnote>
  <w:footnote w:id="12">
    <w:p w14:paraId="06EDBC1C" w14:textId="06F52835" w:rsidR="00C21656" w:rsidRPr="00A444DD" w:rsidRDefault="00C21656">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In other words, three days hence.</w:t>
      </w:r>
    </w:p>
  </w:footnote>
  <w:footnote w:id="13">
    <w:p w14:paraId="29868323" w14:textId="3F8F48F9" w:rsidR="00AA4C92" w:rsidRPr="00A444DD" w:rsidRDefault="00AA4C92">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CaseLines 02-</w:t>
      </w:r>
      <w:r w:rsidR="00C47768">
        <w:rPr>
          <w:rFonts w:cs="Arial"/>
        </w:rPr>
        <w:t>396.</w:t>
      </w:r>
    </w:p>
  </w:footnote>
  <w:footnote w:id="14">
    <w:p w14:paraId="7FFB5CB8" w14:textId="0243B964" w:rsidR="00F47653" w:rsidRPr="00A444DD" w:rsidRDefault="00F47653">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These comments apply equally to the other correspondence by the arbitrator to the parties, and to the arbitrator’s letter of 23 January 2023 to the Deputy Judge President</w:t>
      </w:r>
      <w:r w:rsidR="00475E80">
        <w:rPr>
          <w:rFonts w:cs="Arial"/>
        </w:rPr>
        <w:t>.</w:t>
      </w:r>
    </w:p>
  </w:footnote>
  <w:footnote w:id="15">
    <w:p w14:paraId="0BD66A13" w14:textId="5A6C27E7" w:rsidR="00577427" w:rsidRPr="00A444DD" w:rsidRDefault="00577427">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003448B1" w:rsidRPr="00A444DD">
        <w:rPr>
          <w:rFonts w:cs="Arial"/>
        </w:rPr>
        <w:t>There are two copies of the transcript in the record, the first c</w:t>
      </w:r>
      <w:r w:rsidRPr="00A444DD">
        <w:rPr>
          <w:rFonts w:cs="Arial"/>
        </w:rPr>
        <w:t>ommencing at 02-473</w:t>
      </w:r>
      <w:r w:rsidR="003448B1" w:rsidRPr="00A444DD">
        <w:rPr>
          <w:rFonts w:cs="Arial"/>
        </w:rPr>
        <w:t xml:space="preserve"> and the second at 02-628. The second of these contain manuscript corrections of the transcript by the arbitrator. These are of an editorial nature.</w:t>
      </w:r>
    </w:p>
  </w:footnote>
  <w:footnote w:id="16">
    <w:p w14:paraId="42144286" w14:textId="77777777" w:rsidR="00B413BD" w:rsidRPr="00A444DD" w:rsidRDefault="00B413BD" w:rsidP="00B413B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rPr>
        <w:t>CaseLines 02-533.</w:t>
      </w:r>
    </w:p>
  </w:footnote>
  <w:footnote w:id="17">
    <w:p w14:paraId="2C4E5FDA" w14:textId="35FC2DEE" w:rsidR="00AA4E77" w:rsidRPr="00A444DD" w:rsidRDefault="00AA4E77">
      <w:pPr>
        <w:pStyle w:val="FootnoteText"/>
        <w:rPr>
          <w:rFonts w:cs="Arial"/>
        </w:rPr>
      </w:pPr>
      <w:r w:rsidRPr="00A444DD">
        <w:rPr>
          <w:rStyle w:val="FootnoteReference"/>
          <w:rFonts w:cs="Arial"/>
        </w:rPr>
        <w:footnoteRef/>
      </w:r>
      <w:r w:rsidRPr="00A444DD">
        <w:rPr>
          <w:rFonts w:cs="Arial"/>
        </w:rPr>
        <w:t xml:space="preserve"> </w:t>
      </w:r>
      <w:r w:rsidR="00A7021C" w:rsidRPr="00A444DD">
        <w:rPr>
          <w:rFonts w:cs="Arial"/>
        </w:rPr>
        <w:tab/>
      </w:r>
      <w:r w:rsidRPr="00A444DD">
        <w:rPr>
          <w:rFonts w:cs="Arial"/>
        </w:rPr>
        <w:t>The ruling commences at CaseLines 02-586.</w:t>
      </w:r>
    </w:p>
  </w:footnote>
  <w:footnote w:id="18">
    <w:p w14:paraId="74992326" w14:textId="2CFF54FD" w:rsidR="00A7021C" w:rsidRPr="00A444DD" w:rsidRDefault="00A7021C">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President of the Republic of South Africa and Others v South African Rugby Football Union and Others</w:t>
      </w:r>
      <w:r w:rsidRPr="00A444DD">
        <w:rPr>
          <w:rFonts w:cs="Arial"/>
        </w:rPr>
        <w:t xml:space="preserve"> 1999 (4) SA 147 (CC)</w:t>
      </w:r>
      <w:r w:rsidR="00475E80">
        <w:rPr>
          <w:rFonts w:cs="Arial"/>
        </w:rPr>
        <w:t>.</w:t>
      </w:r>
    </w:p>
  </w:footnote>
  <w:footnote w:id="19">
    <w:p w14:paraId="49E4172E" w14:textId="4D861922" w:rsidR="00CE35B4" w:rsidRPr="00A444DD" w:rsidRDefault="00CE35B4">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Founding affidavit para 108, CaseLines 01-40.</w:t>
      </w:r>
    </w:p>
  </w:footnote>
  <w:footnote w:id="20">
    <w:p w14:paraId="5FF5B5CC" w14:textId="3DEFC94A" w:rsidR="00E17143" w:rsidRPr="00A444DD" w:rsidRDefault="00E17143">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The application must be approached on the basis set out in </w:t>
      </w:r>
      <w:r w:rsidRPr="00A444DD">
        <w:rPr>
          <w:rFonts w:cs="Arial"/>
          <w:i/>
          <w:iCs/>
        </w:rPr>
        <w:t>Plascon-Evans Paints Ltd v Van Riebeeck Paints (Pty) Ltd</w:t>
      </w:r>
      <w:r w:rsidRPr="00A444DD">
        <w:rPr>
          <w:rFonts w:cs="Arial"/>
        </w:rPr>
        <w:t xml:space="preserve"> 1984 (3) SA 623 (A) 634 and</w:t>
      </w:r>
      <w:r w:rsidRPr="00A444DD">
        <w:rPr>
          <w:rFonts w:cs="Arial"/>
          <w:color w:val="000000" w:themeColor="text1"/>
        </w:rPr>
        <w:t xml:space="preserve"> </w:t>
      </w:r>
      <w:r w:rsidRPr="00A444DD">
        <w:rPr>
          <w:rFonts w:cs="Arial"/>
          <w:i/>
          <w:iCs/>
          <w:color w:val="000000" w:themeColor="text1"/>
          <w:shd w:val="clear" w:color="auto" w:fill="FFFFFF"/>
        </w:rPr>
        <w:t>Stellenbosch Farmers' Winery Ltd v Stellenvale Winery (Pty) Ltd</w:t>
      </w:r>
      <w:r w:rsidRPr="00A444DD">
        <w:rPr>
          <w:rFonts w:cs="Arial"/>
          <w:color w:val="000000" w:themeColor="text1"/>
          <w:shd w:val="clear" w:color="auto" w:fill="FFFFFF"/>
        </w:rPr>
        <w:t> </w:t>
      </w:r>
      <w:hyperlink r:id="rId1" w:history="1">
        <w:r w:rsidRPr="00A444DD">
          <w:rPr>
            <w:rStyle w:val="Hyperlink"/>
            <w:rFonts w:cs="Arial"/>
            <w:color w:val="000000" w:themeColor="text1"/>
            <w:u w:val="none"/>
            <w:shd w:val="clear" w:color="auto" w:fill="FFFFFF"/>
          </w:rPr>
          <w:t>1957 (4) SA 234 (C)</w:t>
        </w:r>
      </w:hyperlink>
      <w:r w:rsidRPr="00A444DD">
        <w:rPr>
          <w:rFonts w:cs="Arial"/>
          <w:color w:val="000000" w:themeColor="text1"/>
          <w:shd w:val="clear" w:color="auto" w:fill="FFFFFF"/>
        </w:rPr>
        <w:t xml:space="preserve">  235E – G, </w:t>
      </w:r>
      <w:r w:rsidRPr="00A444DD">
        <w:rPr>
          <w:rFonts w:cs="Arial"/>
          <w:i/>
          <w:iCs/>
          <w:color w:val="000000" w:themeColor="text1"/>
          <w:shd w:val="clear" w:color="auto" w:fill="FFFFFF"/>
        </w:rPr>
        <w:t>Burnkloof Caterers (Pty) Ltd v Horseshoe Caterers (Green Point)  (Pty) Ltd</w:t>
      </w:r>
      <w:r w:rsidRPr="00A444DD">
        <w:rPr>
          <w:rFonts w:cs="Arial"/>
          <w:color w:val="000000" w:themeColor="text1"/>
          <w:shd w:val="clear" w:color="auto" w:fill="FFFFFF"/>
        </w:rPr>
        <w:t> </w:t>
      </w:r>
      <w:hyperlink r:id="rId2" w:history="1">
        <w:r w:rsidRPr="00A444DD">
          <w:rPr>
            <w:rStyle w:val="Hyperlink"/>
            <w:rFonts w:cs="Arial"/>
            <w:color w:val="000000" w:themeColor="text1"/>
            <w:u w:val="none"/>
            <w:shd w:val="clear" w:color="auto" w:fill="FFFFFF"/>
          </w:rPr>
          <w:t>1976 (2) SA 930 (A)</w:t>
        </w:r>
      </w:hyperlink>
      <w:r w:rsidRPr="00A444DD">
        <w:rPr>
          <w:rFonts w:cs="Arial"/>
          <w:color w:val="000000" w:themeColor="text1"/>
          <w:shd w:val="clear" w:color="auto" w:fill="FFFFFF"/>
        </w:rPr>
        <w:t>  938A – B, and various other authorities</w:t>
      </w:r>
      <w:r w:rsidR="007F7DAA" w:rsidRPr="00A444DD">
        <w:rPr>
          <w:rFonts w:cs="Arial"/>
          <w:color w:val="000000" w:themeColor="text1"/>
          <w:shd w:val="clear" w:color="auto" w:fill="FFFFFF"/>
        </w:rPr>
        <w:t>.</w:t>
      </w:r>
    </w:p>
  </w:footnote>
  <w:footnote w:id="21">
    <w:p w14:paraId="56FCE9A8" w14:textId="7C6BEB6E" w:rsidR="0019236B" w:rsidRPr="00A444DD" w:rsidRDefault="0019236B">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Founding affidavit paras 11.5</w:t>
      </w:r>
      <w:r w:rsidR="00203DA2" w:rsidRPr="00A444DD">
        <w:rPr>
          <w:rFonts w:cs="Arial"/>
        </w:rPr>
        <w:t>, 111</w:t>
      </w:r>
      <w:r w:rsidRPr="00A444DD">
        <w:rPr>
          <w:rFonts w:cs="Arial"/>
        </w:rPr>
        <w:t xml:space="preserve"> and 145, CaseLines 01-10</w:t>
      </w:r>
      <w:r w:rsidR="00203DA2" w:rsidRPr="00A444DD">
        <w:rPr>
          <w:rFonts w:cs="Arial"/>
        </w:rPr>
        <w:t>, 01-41,</w:t>
      </w:r>
      <w:r w:rsidRPr="00A444DD">
        <w:rPr>
          <w:rFonts w:cs="Arial"/>
        </w:rPr>
        <w:t xml:space="preserve"> and 01-51.</w:t>
      </w:r>
    </w:p>
  </w:footnote>
  <w:footnote w:id="22">
    <w:p w14:paraId="430398D7" w14:textId="6B011B36" w:rsidR="0019236B" w:rsidRPr="00A444DD" w:rsidRDefault="0019236B">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Founding affidavit para 11.8, Caselines 01-10.</w:t>
      </w:r>
    </w:p>
  </w:footnote>
  <w:footnote w:id="23">
    <w:p w14:paraId="6229EAC7" w14:textId="4BF29ED3" w:rsidR="0090677E" w:rsidRPr="00A444DD" w:rsidRDefault="0090677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Founding affidavit para 53, CaseLines</w:t>
      </w:r>
      <w:r w:rsidR="00CC3829" w:rsidRPr="00A444DD">
        <w:rPr>
          <w:rFonts w:cs="Arial"/>
        </w:rPr>
        <w:t xml:space="preserve"> 01-24</w:t>
      </w:r>
      <w:r w:rsidR="00CB3B51">
        <w:rPr>
          <w:rFonts w:cs="Arial"/>
        </w:rPr>
        <w:t>.</w:t>
      </w:r>
    </w:p>
  </w:footnote>
  <w:footnote w:id="24">
    <w:p w14:paraId="02984D1F" w14:textId="65004B73" w:rsidR="0090677E" w:rsidRPr="00A444DD" w:rsidRDefault="0090677E">
      <w:pPr>
        <w:pStyle w:val="FootnoteText"/>
        <w:rPr>
          <w:rFonts w:cs="Arial"/>
        </w:rPr>
      </w:pPr>
      <w:r w:rsidRPr="00A444DD">
        <w:rPr>
          <w:rStyle w:val="FootnoteReference"/>
          <w:rFonts w:cs="Arial"/>
        </w:rPr>
        <w:footnoteRef/>
      </w:r>
      <w:r w:rsidRPr="00A444DD">
        <w:rPr>
          <w:rFonts w:cs="Arial"/>
        </w:rPr>
        <w:t xml:space="preserve"> </w:t>
      </w:r>
      <w:r w:rsidR="00914A6E" w:rsidRPr="00A444DD">
        <w:rPr>
          <w:rFonts w:cs="Arial"/>
        </w:rPr>
        <w:tab/>
        <w:t>Rule 11.1.</w:t>
      </w:r>
    </w:p>
  </w:footnote>
  <w:footnote w:id="25">
    <w:p w14:paraId="32BC427A" w14:textId="03AB44E5" w:rsidR="009D3771" w:rsidRPr="00A444DD" w:rsidRDefault="009D3771" w:rsidP="009D3771">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The arbitrator cited in this application is a substitute arbitrator who was appointed by the Arbitration Foundation of Southern Africa (AFSA) in accordance with </w:t>
      </w:r>
      <w:r w:rsidR="0029605B" w:rsidRPr="00A444DD">
        <w:rPr>
          <w:rFonts w:cs="Arial"/>
        </w:rPr>
        <w:t>a</w:t>
      </w:r>
      <w:r w:rsidRPr="00A444DD">
        <w:rPr>
          <w:rFonts w:cs="Arial"/>
        </w:rPr>
        <w:t>rticle 14.5 of AFSA’s Commercial Rules, after being nominated by the parties. The appointment became necessary when an initially unforeseen potential conflict of interest arose that the first arbitrator reported when he became aware of it and that then required, in the view of an AFSA panel, that a substitute arbitrator be appointed.</w:t>
      </w:r>
    </w:p>
  </w:footnote>
  <w:footnote w:id="26">
    <w:p w14:paraId="259B2EC8" w14:textId="4512D8EF" w:rsidR="003761BD" w:rsidRPr="00A444DD" w:rsidRDefault="003761B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Paras 48 to 53.</w:t>
      </w:r>
    </w:p>
  </w:footnote>
  <w:footnote w:id="27">
    <w:p w14:paraId="6D99ACC8" w14:textId="77777777" w:rsidR="00C17EE4" w:rsidRPr="00A444DD" w:rsidRDefault="00C17EE4" w:rsidP="00C17EE4">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CaseLines 02-468.</w:t>
      </w:r>
    </w:p>
  </w:footnote>
  <w:footnote w:id="28">
    <w:p w14:paraId="2F4F11FA" w14:textId="34739DFB" w:rsidR="00D073D1" w:rsidRPr="00A444DD" w:rsidRDefault="00D073D1">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Butler 99.</w:t>
      </w:r>
    </w:p>
  </w:footnote>
  <w:footnote w:id="29">
    <w:p w14:paraId="211B2D91" w14:textId="2EF63935" w:rsidR="00A10039" w:rsidRPr="00A444DD" w:rsidRDefault="00A10039">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CaseLines 02-179.</w:t>
      </w:r>
    </w:p>
  </w:footnote>
  <w:footnote w:id="30">
    <w:p w14:paraId="35670D7C" w14:textId="1581F626" w:rsidR="003A1D18" w:rsidRPr="00A444DD" w:rsidRDefault="003A1D18" w:rsidP="003A1D18">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 xml:space="preserve">Premier Foods (Pty) Ltd (Nelspruit) v Commission for Conciliation, Mediation and Arbitration </w:t>
      </w:r>
      <w:r w:rsidRPr="00A444DD">
        <w:rPr>
          <w:rFonts w:cs="Arial"/>
        </w:rPr>
        <w:t>(2017) 38 ILJ 658(LC) para 25.</w:t>
      </w:r>
    </w:p>
  </w:footnote>
  <w:footnote w:id="31">
    <w:p w14:paraId="2E3DF17A" w14:textId="7BECDB4B" w:rsidR="00B6179E" w:rsidRPr="00A444DD" w:rsidRDefault="00B6179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CaseLines 02-333.</w:t>
      </w:r>
    </w:p>
  </w:footnote>
  <w:footnote w:id="32">
    <w:p w14:paraId="28A7C730" w14:textId="2C286EC1" w:rsidR="0005636C" w:rsidRPr="00A444DD" w:rsidRDefault="0005636C">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Rule 11.2.13 of the AFSA Rules provide that an arbitrator shall have the power </w:t>
      </w:r>
      <w:r w:rsidRPr="00A444DD">
        <w:rPr>
          <w:rFonts w:cs="Arial"/>
          <w:i/>
          <w:iCs/>
        </w:rPr>
        <w:t>“to permit the amendment of any pleading or other document (other than an affidavit) delivered by a party.”</w:t>
      </w:r>
    </w:p>
  </w:footnote>
  <w:footnote w:id="33">
    <w:p w14:paraId="26AB2433" w14:textId="3508F1D4" w:rsidR="00410BA9" w:rsidRPr="00A444DD" w:rsidRDefault="00410BA9">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Founding affidavit para 113 to </w:t>
      </w:r>
      <w:r w:rsidR="00BB3264" w:rsidRPr="00A444DD">
        <w:rPr>
          <w:rFonts w:cs="Arial"/>
        </w:rPr>
        <w:t>1</w:t>
      </w:r>
      <w:r w:rsidRPr="00A444DD">
        <w:rPr>
          <w:rFonts w:cs="Arial"/>
        </w:rPr>
        <w:t>16, CaseLines 01-42</w:t>
      </w:r>
    </w:p>
  </w:footnote>
  <w:footnote w:id="34">
    <w:p w14:paraId="53633362" w14:textId="261E4B79" w:rsidR="00260B0A" w:rsidRPr="00A444DD" w:rsidRDefault="00260B0A">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711BD">
        <w:rPr>
          <w:rFonts w:cs="Arial"/>
          <w:i/>
          <w:iCs/>
          <w:lang w:eastAsia="en-ZA"/>
        </w:rPr>
        <w:t>Orange Free State Provincial Administration v Ahier and Another;</w:t>
      </w:r>
      <w:r w:rsidRPr="00A711BD">
        <w:rPr>
          <w:rFonts w:cs="Arial"/>
          <w:i/>
          <w:iCs/>
          <w:lang w:eastAsia="en-ZA"/>
        </w:rPr>
        <w:br/>
        <w:t>Parys Municipality v Ahier and Another</w:t>
      </w:r>
      <w:r w:rsidRPr="00A444DD">
        <w:rPr>
          <w:rFonts w:cs="Arial"/>
          <w:lang w:eastAsia="en-ZA"/>
        </w:rPr>
        <w:t xml:space="preserve"> </w:t>
      </w:r>
      <w:r w:rsidRPr="00A711BD">
        <w:rPr>
          <w:rFonts w:cs="Arial"/>
          <w:lang w:eastAsia="en-ZA"/>
        </w:rPr>
        <w:t>1991 (2) SA 608 (W)</w:t>
      </w:r>
      <w:r w:rsidRPr="00A444DD">
        <w:rPr>
          <w:rFonts w:cs="Arial"/>
          <w:lang w:eastAsia="en-ZA"/>
        </w:rPr>
        <w:t xml:space="preserve"> 618H to 619B.</w:t>
      </w:r>
    </w:p>
  </w:footnote>
  <w:footnote w:id="35">
    <w:p w14:paraId="7F12DFCC" w14:textId="0CB709C0" w:rsidR="004B085D" w:rsidRPr="00A444DD" w:rsidRDefault="004B085D" w:rsidP="004B085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Kelly and Another v Lana</w:t>
      </w:r>
      <w:r w:rsidRPr="00A444DD">
        <w:rPr>
          <w:rFonts w:cs="Arial"/>
        </w:rPr>
        <w:t xml:space="preserve"> [2001] 2 All SA 181 (W), </w:t>
      </w:r>
      <w:r w:rsidRPr="00A444DD">
        <w:rPr>
          <w:rFonts w:cs="Arial"/>
          <w:bCs/>
          <w:i/>
        </w:rPr>
        <w:t xml:space="preserve">Umgeni Water v Hollis NO and Another </w:t>
      </w:r>
      <w:r w:rsidRPr="00A444DD">
        <w:rPr>
          <w:rFonts w:cs="Arial"/>
        </w:rPr>
        <w:t>2012 (3) SA 475 (KZD)</w:t>
      </w:r>
      <w:r w:rsidR="00E856E9">
        <w:rPr>
          <w:rFonts w:cs="Arial"/>
        </w:rPr>
        <w:t>,</w:t>
      </w:r>
      <w:r w:rsidR="00E856E9" w:rsidRPr="00E856E9">
        <w:rPr>
          <w:rFonts w:cs="Arial"/>
          <w:i/>
          <w:iCs/>
        </w:rPr>
        <w:t xml:space="preserve"> </w:t>
      </w:r>
      <w:r w:rsidR="00E856E9" w:rsidRPr="00A444DD">
        <w:rPr>
          <w:rFonts w:cs="Arial"/>
          <w:i/>
          <w:iCs/>
        </w:rPr>
        <w:t>Umgeni Water v Hollis NO and Another</w:t>
      </w:r>
      <w:r w:rsidR="00E856E9" w:rsidRPr="00A444DD">
        <w:rPr>
          <w:rFonts w:cs="Arial"/>
        </w:rPr>
        <w:t xml:space="preserve"> 2012 (3) SA 475 (KZD) para 11.</w:t>
      </w:r>
      <w:r w:rsidRPr="00A444DD">
        <w:rPr>
          <w:rFonts w:cs="Arial"/>
        </w:rPr>
        <w:t xml:space="preserve"> and </w:t>
      </w:r>
      <w:r w:rsidRPr="00A444DD">
        <w:rPr>
          <w:rFonts w:cs="Arial"/>
          <w:bCs/>
          <w:i/>
        </w:rPr>
        <w:t xml:space="preserve">Lufuno Mphaphuli and Associates (Pty) Ltd v Andrews and Another </w:t>
      </w:r>
      <w:r w:rsidRPr="00A444DD">
        <w:rPr>
          <w:rFonts w:cs="Arial"/>
        </w:rPr>
        <w:t>2009 (4) SA 529 (CC).</w:t>
      </w:r>
    </w:p>
  </w:footnote>
  <w:footnote w:id="36">
    <w:p w14:paraId="5EAB42B9" w14:textId="77777777" w:rsidR="00E856E9" w:rsidRPr="00A444DD" w:rsidRDefault="00E856E9" w:rsidP="00E856E9">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Bernert v Absa Bank Ltd</w:t>
      </w:r>
      <w:r w:rsidRPr="00A444DD">
        <w:rPr>
          <w:rFonts w:cs="Arial"/>
        </w:rPr>
        <w:t xml:space="preserve"> 2011 (3) SA 92 (CC) para 35.</w:t>
      </w:r>
    </w:p>
  </w:footnote>
  <w:footnote w:id="37">
    <w:p w14:paraId="1220A2E0" w14:textId="7B2BD717" w:rsidR="004B085D" w:rsidRPr="00A444DD" w:rsidRDefault="004B085D" w:rsidP="004B085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rPr>
        <w:t xml:space="preserve">Halliburton Co v Chubb Bermuda Insurance Ltd </w:t>
      </w:r>
      <w:r w:rsidRPr="00A444DD">
        <w:rPr>
          <w:rFonts w:cs="Arial"/>
        </w:rPr>
        <w:t xml:space="preserve">[2021] AC 1083, </w:t>
      </w:r>
      <w:r w:rsidRPr="00A444DD">
        <w:rPr>
          <w:rFonts w:cs="Arial"/>
          <w:bCs/>
          <w:i/>
        </w:rPr>
        <w:t>AT&amp;T Corporation and Another v Salby Cable Company</w:t>
      </w:r>
      <w:r w:rsidRPr="00A444DD">
        <w:rPr>
          <w:rFonts w:cs="Arial"/>
        </w:rPr>
        <w:t xml:space="preserve"> [2000] All ER (D) 657 (CA)</w:t>
      </w:r>
      <w:r w:rsidR="00475E80">
        <w:rPr>
          <w:rFonts w:cs="Arial"/>
        </w:rPr>
        <w:t>.</w:t>
      </w:r>
    </w:p>
  </w:footnote>
  <w:footnote w:id="38">
    <w:p w14:paraId="56CF2CD3" w14:textId="0BF400F9" w:rsidR="00CD6592" w:rsidRPr="00A444DD" w:rsidRDefault="00CD6592" w:rsidP="00CD6592">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President of the Republic of South Africa and Others v South African Rugby Football Union and Others</w:t>
      </w:r>
      <w:r w:rsidRPr="00A444DD">
        <w:rPr>
          <w:rFonts w:cs="Arial"/>
        </w:rPr>
        <w:t xml:space="preserve"> 1999 (4) SA 147 (CC) para 48.</w:t>
      </w:r>
      <w:r w:rsidR="0041363D" w:rsidRPr="00A444DD">
        <w:rPr>
          <w:rFonts w:cs="Arial"/>
        </w:rPr>
        <w:t xml:space="preserve"> The decision of often referred to as the Sarfu case.</w:t>
      </w:r>
    </w:p>
  </w:footnote>
  <w:footnote w:id="39">
    <w:p w14:paraId="7C644C06" w14:textId="4CACEA3D" w:rsidR="00FA625E" w:rsidRPr="00A444DD" w:rsidRDefault="00FA625E" w:rsidP="00FA625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See also </w:t>
      </w:r>
      <w:r w:rsidRPr="00A444DD">
        <w:rPr>
          <w:rFonts w:cs="Arial"/>
          <w:i/>
          <w:iCs/>
        </w:rPr>
        <w:t>Turnbull-Jackson v Hibiscus Coast Municipality and Others</w:t>
      </w:r>
      <w:r w:rsidRPr="00A444DD">
        <w:rPr>
          <w:rFonts w:cs="Arial"/>
        </w:rPr>
        <w:t xml:space="preserve"> 2014 (6) SA 592 (CC) para 31, and </w:t>
      </w:r>
      <w:r w:rsidRPr="00A444DD">
        <w:rPr>
          <w:rFonts w:cs="Arial"/>
          <w:i/>
          <w:iCs/>
        </w:rPr>
        <w:t>Pillay v Krishna and Another</w:t>
      </w:r>
      <w:r w:rsidRPr="00A444DD">
        <w:rPr>
          <w:rFonts w:cs="Arial"/>
        </w:rPr>
        <w:t> 1946 AD 946 at 951 to 954.</w:t>
      </w:r>
    </w:p>
  </w:footnote>
  <w:footnote w:id="40">
    <w:p w14:paraId="11BE6832" w14:textId="3E96040A" w:rsidR="00FA625E" w:rsidRPr="00A444DD" w:rsidRDefault="00FA625E" w:rsidP="00FA625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 xml:space="preserve">The double reasonableness test: See </w:t>
      </w:r>
      <w:r w:rsidR="00260B0A" w:rsidRPr="00A444DD">
        <w:rPr>
          <w:rFonts w:cs="Arial"/>
        </w:rPr>
        <w:t xml:space="preserve">also </w:t>
      </w:r>
      <w:r w:rsidRPr="00A444DD">
        <w:rPr>
          <w:rFonts w:cs="Arial"/>
          <w:i/>
          <w:iCs/>
        </w:rPr>
        <w:t>South African Commercial Catering and Allied Workers Union and Others v Irvin &amp; Johnson Ltd (Seafoods Division Fish Processing)</w:t>
      </w:r>
      <w:r w:rsidRPr="00A444DD">
        <w:rPr>
          <w:rFonts w:cs="Arial"/>
        </w:rPr>
        <w:t xml:space="preserve"> 2000 (3) SA 705 (CC) paras 14 to 16.</w:t>
      </w:r>
    </w:p>
  </w:footnote>
  <w:footnote w:id="41">
    <w:p w14:paraId="50AFFE5C" w14:textId="77777777" w:rsidR="00FA625E" w:rsidRPr="00A444DD" w:rsidRDefault="00FA625E" w:rsidP="00FA625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South African Human Rights Commission obo South African Jewish Board of Deputies v Masuku and Another</w:t>
      </w:r>
      <w:r w:rsidRPr="00A444DD">
        <w:rPr>
          <w:rFonts w:cs="Arial"/>
        </w:rPr>
        <w:t xml:space="preserve"> 2022 (4) SA 1 (CC).</w:t>
      </w:r>
    </w:p>
  </w:footnote>
  <w:footnote w:id="42">
    <w:p w14:paraId="0D1755F3" w14:textId="630213CC" w:rsidR="0029605B" w:rsidRPr="00A444DD" w:rsidRDefault="0029605B">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See also article 14.1 of the AFSA Commercial Rules.</w:t>
      </w:r>
    </w:p>
  </w:footnote>
  <w:footnote w:id="43">
    <w:p w14:paraId="7F6907FB" w14:textId="7F25FE15" w:rsidR="00FA625E" w:rsidRPr="00A444DD" w:rsidRDefault="00FA625E" w:rsidP="00FA625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0041363D" w:rsidRPr="00A444DD">
        <w:rPr>
          <w:rFonts w:cs="Arial"/>
        </w:rPr>
        <w:t xml:space="preserve">See also para 40 of the Sarfu case and </w:t>
      </w:r>
      <w:r w:rsidRPr="00A444DD">
        <w:rPr>
          <w:rFonts w:cs="Arial"/>
          <w:bCs/>
          <w:i/>
        </w:rPr>
        <w:t xml:space="preserve">S v Basson </w:t>
      </w:r>
      <w:r w:rsidRPr="00A444DD">
        <w:rPr>
          <w:rFonts w:cs="Arial"/>
        </w:rPr>
        <w:t>2007 (3) SA 582 (CC) paras 30 and 31</w:t>
      </w:r>
      <w:r w:rsidR="0041363D" w:rsidRPr="00A444DD">
        <w:rPr>
          <w:rFonts w:cs="Arial"/>
        </w:rPr>
        <w:t xml:space="preserve">, </w:t>
      </w:r>
    </w:p>
  </w:footnote>
  <w:footnote w:id="44">
    <w:p w14:paraId="1E21E970" w14:textId="77777777" w:rsidR="0041363D" w:rsidRPr="00A444DD" w:rsidRDefault="0041363D" w:rsidP="0041363D">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Turnbull-Jackson v Hibiscus Coast Municipality and Others</w:t>
      </w:r>
      <w:r w:rsidRPr="00A444DD">
        <w:rPr>
          <w:rFonts w:cs="Arial"/>
        </w:rPr>
        <w:t xml:space="preserve"> 2014 (6) SA 592 (CC).</w:t>
      </w:r>
    </w:p>
  </w:footnote>
  <w:footnote w:id="45">
    <w:p w14:paraId="22173430" w14:textId="695CA572" w:rsidR="00AB7162" w:rsidRPr="00A444DD" w:rsidRDefault="00AB7162" w:rsidP="00AB7162">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R v Silber</w:t>
      </w:r>
      <w:r w:rsidRPr="00A444DD">
        <w:rPr>
          <w:rFonts w:cs="Arial"/>
        </w:rPr>
        <w:t xml:space="preserve"> 1952 (2) SA 475 (A) and </w:t>
      </w:r>
      <w:r w:rsidRPr="00A444DD">
        <w:rPr>
          <w:rFonts w:cs="Arial"/>
          <w:bCs/>
          <w:i/>
        </w:rPr>
        <w:t xml:space="preserve">S v Basson </w:t>
      </w:r>
      <w:r w:rsidRPr="00A444DD">
        <w:rPr>
          <w:rFonts w:cs="Arial"/>
        </w:rPr>
        <w:t>2007 (3) SA 582 (CC)</w:t>
      </w:r>
      <w:r w:rsidR="00D1641A" w:rsidRPr="00A444DD">
        <w:rPr>
          <w:rFonts w:cs="Arial"/>
        </w:rPr>
        <w:t xml:space="preserve"> paras 33 to 36.</w:t>
      </w:r>
    </w:p>
  </w:footnote>
  <w:footnote w:id="46">
    <w:p w14:paraId="68828742" w14:textId="2974F8D2" w:rsidR="00072105" w:rsidRPr="00A444DD" w:rsidRDefault="00072105">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 xml:space="preserve">S v Basson </w:t>
      </w:r>
      <w:r w:rsidRPr="00A444DD">
        <w:rPr>
          <w:rFonts w:cs="Arial"/>
        </w:rPr>
        <w:t>2007 (3) SA 582 (CC) paras 33 to 36</w:t>
      </w:r>
    </w:p>
  </w:footnote>
  <w:footnote w:id="47">
    <w:p w14:paraId="71CD0226" w14:textId="72984EC8" w:rsidR="00072105" w:rsidRPr="00A444DD" w:rsidRDefault="00072105">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bCs/>
          <w:i/>
        </w:rPr>
        <w:t>R v Silber</w:t>
      </w:r>
      <w:r w:rsidRPr="00A444DD">
        <w:rPr>
          <w:rFonts w:cs="Arial"/>
        </w:rPr>
        <w:t xml:space="preserve"> 1952 (2) SA 475 (A)</w:t>
      </w:r>
      <w:r w:rsidR="004B085D">
        <w:rPr>
          <w:rFonts w:cs="Arial"/>
        </w:rPr>
        <w:t>.</w:t>
      </w:r>
    </w:p>
  </w:footnote>
  <w:footnote w:id="48">
    <w:p w14:paraId="060C0D99" w14:textId="3F186DE8" w:rsidR="007351A5" w:rsidRPr="00A444DD" w:rsidRDefault="007351A5">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Moch v Nedtravel (Pty) Ltd t/a American Express Travel Service</w:t>
      </w:r>
      <w:r w:rsidRPr="00A444DD">
        <w:rPr>
          <w:rFonts w:cs="Arial"/>
        </w:rPr>
        <w:t xml:space="preserve"> 1996 (3) SA 1 (A).</w:t>
      </w:r>
      <w:r w:rsidR="00D93ECC" w:rsidRPr="00A444DD">
        <w:rPr>
          <w:rFonts w:cs="Arial"/>
        </w:rPr>
        <w:t xml:space="preserve"> </w:t>
      </w:r>
    </w:p>
  </w:footnote>
  <w:footnote w:id="49">
    <w:p w14:paraId="4F2B3989" w14:textId="57595F1F" w:rsidR="00D93ECC" w:rsidRPr="00A444DD" w:rsidRDefault="00D93ECC">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Ibid</w:t>
      </w:r>
      <w:r w:rsidRPr="00A444DD">
        <w:rPr>
          <w:rFonts w:cs="Arial"/>
        </w:rPr>
        <w:t xml:space="preserve"> 12 I</w:t>
      </w:r>
      <w:r w:rsidR="00E25F47" w:rsidRPr="00A444DD">
        <w:rPr>
          <w:rFonts w:cs="Arial"/>
        </w:rPr>
        <w:t xml:space="preserve"> to 13A.</w:t>
      </w:r>
    </w:p>
  </w:footnote>
  <w:footnote w:id="50">
    <w:p w14:paraId="0AAF1901" w14:textId="4B756440" w:rsidR="00E25F47" w:rsidRPr="00A444DD" w:rsidRDefault="00E25F47">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00293C02" w:rsidRPr="00293C02">
        <w:rPr>
          <w:rFonts w:cs="Arial"/>
          <w:i/>
          <w:iCs/>
        </w:rPr>
        <w:t>Ibid</w:t>
      </w:r>
      <w:r w:rsidR="00293C02">
        <w:rPr>
          <w:rFonts w:cs="Arial"/>
        </w:rPr>
        <w:t xml:space="preserve"> </w:t>
      </w:r>
      <w:r w:rsidRPr="00A444DD">
        <w:rPr>
          <w:rFonts w:cs="Arial"/>
        </w:rPr>
        <w:t>14E-F.</w:t>
      </w:r>
    </w:p>
  </w:footnote>
  <w:footnote w:id="51">
    <w:p w14:paraId="71D76518" w14:textId="77777777" w:rsidR="00656E2E" w:rsidRPr="00A444DD" w:rsidRDefault="00656E2E" w:rsidP="00656E2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t>The “CCMA.”</w:t>
      </w:r>
    </w:p>
  </w:footnote>
  <w:footnote w:id="52">
    <w:p w14:paraId="6F4E4127" w14:textId="77777777" w:rsidR="00656E2E" w:rsidRPr="00A444DD" w:rsidRDefault="00656E2E" w:rsidP="00656E2E">
      <w:pPr>
        <w:pStyle w:val="FootnoteText"/>
        <w:rPr>
          <w:rFonts w:cs="Arial"/>
        </w:rPr>
      </w:pPr>
      <w:r w:rsidRPr="00A444DD">
        <w:rPr>
          <w:rStyle w:val="FootnoteReference"/>
          <w:rFonts w:cs="Arial"/>
        </w:rPr>
        <w:footnoteRef/>
      </w:r>
      <w:r w:rsidRPr="00A444DD">
        <w:rPr>
          <w:rFonts w:cs="Arial"/>
        </w:rPr>
        <w:t xml:space="preserve"> </w:t>
      </w:r>
      <w:r w:rsidRPr="00A444DD">
        <w:rPr>
          <w:rFonts w:cs="Arial"/>
        </w:rPr>
        <w:tab/>
      </w:r>
      <w:r w:rsidRPr="00A444DD">
        <w:rPr>
          <w:rFonts w:cs="Arial"/>
          <w:i/>
          <w:iCs/>
        </w:rPr>
        <w:t xml:space="preserve">Premier Foods (Pty) Ltd (Nelspruit) v Commission for Conciliation, Mediation and Arbitration </w:t>
      </w:r>
      <w:r w:rsidRPr="00A444DD">
        <w:rPr>
          <w:rFonts w:cs="Arial"/>
        </w:rPr>
        <w:t>(2017) 38 ILJ 658(LC).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68A9B" w14:textId="01C8E94F"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3C78F7">
      <w:rPr>
        <w:rFonts w:cs="Arial"/>
        <w:noProof/>
        <w:sz w:val="20"/>
        <w:szCs w:val="20"/>
        <w:lang w:val="en-GB"/>
      </w:rPr>
      <w:t>3</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12"/>
  </w:num>
  <w:num w:numId="4">
    <w:abstractNumId w:val="5"/>
  </w:num>
  <w:num w:numId="5">
    <w:abstractNumId w:val="11"/>
  </w:num>
  <w:num w:numId="6">
    <w:abstractNumId w:val="9"/>
  </w:num>
  <w:num w:numId="7">
    <w:abstractNumId w:val="0"/>
  </w:num>
  <w:num w:numId="8">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 w:numId="11">
    <w:abstractNumId w:val="13"/>
  </w:num>
  <w:num w:numId="12">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D0E"/>
    <w:rsid w:val="00047F26"/>
    <w:rsid w:val="00050086"/>
    <w:rsid w:val="000504F1"/>
    <w:rsid w:val="00051A2B"/>
    <w:rsid w:val="000528B3"/>
    <w:rsid w:val="000550EB"/>
    <w:rsid w:val="0005636C"/>
    <w:rsid w:val="00063F7B"/>
    <w:rsid w:val="00066971"/>
    <w:rsid w:val="00072105"/>
    <w:rsid w:val="000737E1"/>
    <w:rsid w:val="00073E30"/>
    <w:rsid w:val="00077D11"/>
    <w:rsid w:val="00081716"/>
    <w:rsid w:val="00082EDC"/>
    <w:rsid w:val="000833BB"/>
    <w:rsid w:val="000835BE"/>
    <w:rsid w:val="00085288"/>
    <w:rsid w:val="00087AE6"/>
    <w:rsid w:val="000906B5"/>
    <w:rsid w:val="00092591"/>
    <w:rsid w:val="0009429D"/>
    <w:rsid w:val="0009488C"/>
    <w:rsid w:val="0009540B"/>
    <w:rsid w:val="000956E5"/>
    <w:rsid w:val="00096A67"/>
    <w:rsid w:val="00097968"/>
    <w:rsid w:val="000A6AD8"/>
    <w:rsid w:val="000B21DA"/>
    <w:rsid w:val="000C7A3D"/>
    <w:rsid w:val="000D01E0"/>
    <w:rsid w:val="000D21E7"/>
    <w:rsid w:val="000D415C"/>
    <w:rsid w:val="000D4E84"/>
    <w:rsid w:val="000D53F5"/>
    <w:rsid w:val="000D5760"/>
    <w:rsid w:val="000D71C5"/>
    <w:rsid w:val="000D7D6A"/>
    <w:rsid w:val="000E1EC8"/>
    <w:rsid w:val="000E3EE8"/>
    <w:rsid w:val="000E4985"/>
    <w:rsid w:val="000E5343"/>
    <w:rsid w:val="000F430D"/>
    <w:rsid w:val="000F59F8"/>
    <w:rsid w:val="00101890"/>
    <w:rsid w:val="001025B5"/>
    <w:rsid w:val="00104142"/>
    <w:rsid w:val="00105F97"/>
    <w:rsid w:val="00107D26"/>
    <w:rsid w:val="00107D90"/>
    <w:rsid w:val="001142D1"/>
    <w:rsid w:val="00120C79"/>
    <w:rsid w:val="00120FB1"/>
    <w:rsid w:val="00130253"/>
    <w:rsid w:val="00130C4A"/>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E14"/>
    <w:rsid w:val="001A2608"/>
    <w:rsid w:val="001A5145"/>
    <w:rsid w:val="001A522A"/>
    <w:rsid w:val="001A7904"/>
    <w:rsid w:val="001B1D39"/>
    <w:rsid w:val="001B35C2"/>
    <w:rsid w:val="001B4217"/>
    <w:rsid w:val="001B4812"/>
    <w:rsid w:val="001B4893"/>
    <w:rsid w:val="001B5D3E"/>
    <w:rsid w:val="001B606B"/>
    <w:rsid w:val="001B7889"/>
    <w:rsid w:val="001C0755"/>
    <w:rsid w:val="001C2371"/>
    <w:rsid w:val="001C33E6"/>
    <w:rsid w:val="001C7048"/>
    <w:rsid w:val="001D3CC2"/>
    <w:rsid w:val="001E0529"/>
    <w:rsid w:val="001E2EED"/>
    <w:rsid w:val="001E44D1"/>
    <w:rsid w:val="001E4691"/>
    <w:rsid w:val="001E518E"/>
    <w:rsid w:val="001F09D1"/>
    <w:rsid w:val="001F0A29"/>
    <w:rsid w:val="001F0CE5"/>
    <w:rsid w:val="001F3DBD"/>
    <w:rsid w:val="001F648A"/>
    <w:rsid w:val="001F6F43"/>
    <w:rsid w:val="00201620"/>
    <w:rsid w:val="00203DA2"/>
    <w:rsid w:val="0020474A"/>
    <w:rsid w:val="00205392"/>
    <w:rsid w:val="00206919"/>
    <w:rsid w:val="002104BF"/>
    <w:rsid w:val="002108B6"/>
    <w:rsid w:val="00214877"/>
    <w:rsid w:val="00215824"/>
    <w:rsid w:val="00216BC8"/>
    <w:rsid w:val="002175BA"/>
    <w:rsid w:val="0022218D"/>
    <w:rsid w:val="00226926"/>
    <w:rsid w:val="002302E3"/>
    <w:rsid w:val="00232528"/>
    <w:rsid w:val="00235D20"/>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2B77"/>
    <w:rsid w:val="0027600C"/>
    <w:rsid w:val="00285040"/>
    <w:rsid w:val="00285062"/>
    <w:rsid w:val="00292E3E"/>
    <w:rsid w:val="0029369B"/>
    <w:rsid w:val="00293C02"/>
    <w:rsid w:val="0029605B"/>
    <w:rsid w:val="00296DAF"/>
    <w:rsid w:val="002976B8"/>
    <w:rsid w:val="002A030C"/>
    <w:rsid w:val="002A4B7B"/>
    <w:rsid w:val="002B0355"/>
    <w:rsid w:val="002B05EA"/>
    <w:rsid w:val="002B528D"/>
    <w:rsid w:val="002C15AC"/>
    <w:rsid w:val="002C2E80"/>
    <w:rsid w:val="002C4687"/>
    <w:rsid w:val="002D2842"/>
    <w:rsid w:val="002D47B3"/>
    <w:rsid w:val="002E0E37"/>
    <w:rsid w:val="002E3586"/>
    <w:rsid w:val="002E5B57"/>
    <w:rsid w:val="002E6CD7"/>
    <w:rsid w:val="002F1C4D"/>
    <w:rsid w:val="002F2881"/>
    <w:rsid w:val="002F41F8"/>
    <w:rsid w:val="002F508A"/>
    <w:rsid w:val="002F72D3"/>
    <w:rsid w:val="00302290"/>
    <w:rsid w:val="003023F9"/>
    <w:rsid w:val="00302C31"/>
    <w:rsid w:val="00303919"/>
    <w:rsid w:val="003047C2"/>
    <w:rsid w:val="0030653F"/>
    <w:rsid w:val="00306B41"/>
    <w:rsid w:val="003102C8"/>
    <w:rsid w:val="0031117B"/>
    <w:rsid w:val="00312EBC"/>
    <w:rsid w:val="00313056"/>
    <w:rsid w:val="00323058"/>
    <w:rsid w:val="003312BF"/>
    <w:rsid w:val="003313A2"/>
    <w:rsid w:val="00337135"/>
    <w:rsid w:val="0034147B"/>
    <w:rsid w:val="00342E02"/>
    <w:rsid w:val="003448B1"/>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40EC"/>
    <w:rsid w:val="00385DBA"/>
    <w:rsid w:val="0038715A"/>
    <w:rsid w:val="00390C3F"/>
    <w:rsid w:val="00393127"/>
    <w:rsid w:val="00395873"/>
    <w:rsid w:val="003A1D18"/>
    <w:rsid w:val="003A62CC"/>
    <w:rsid w:val="003A649B"/>
    <w:rsid w:val="003A7864"/>
    <w:rsid w:val="003A7CA2"/>
    <w:rsid w:val="003B0845"/>
    <w:rsid w:val="003B1882"/>
    <w:rsid w:val="003B4100"/>
    <w:rsid w:val="003B6C02"/>
    <w:rsid w:val="003C067B"/>
    <w:rsid w:val="003C0ED8"/>
    <w:rsid w:val="003C1488"/>
    <w:rsid w:val="003C1A16"/>
    <w:rsid w:val="003C1E91"/>
    <w:rsid w:val="003C5536"/>
    <w:rsid w:val="003C78F7"/>
    <w:rsid w:val="003C7FCC"/>
    <w:rsid w:val="003D1202"/>
    <w:rsid w:val="003D19C3"/>
    <w:rsid w:val="003D36F9"/>
    <w:rsid w:val="003D77F1"/>
    <w:rsid w:val="003D7970"/>
    <w:rsid w:val="003E0159"/>
    <w:rsid w:val="003E449A"/>
    <w:rsid w:val="003E4A33"/>
    <w:rsid w:val="003E54E1"/>
    <w:rsid w:val="003E724B"/>
    <w:rsid w:val="003E7A60"/>
    <w:rsid w:val="003F1F49"/>
    <w:rsid w:val="003F4801"/>
    <w:rsid w:val="003F7448"/>
    <w:rsid w:val="00404A52"/>
    <w:rsid w:val="00407F28"/>
    <w:rsid w:val="00410BA9"/>
    <w:rsid w:val="0041100A"/>
    <w:rsid w:val="004131C5"/>
    <w:rsid w:val="0041363D"/>
    <w:rsid w:val="00413D9B"/>
    <w:rsid w:val="0042161A"/>
    <w:rsid w:val="0042423E"/>
    <w:rsid w:val="00424BA6"/>
    <w:rsid w:val="004274E7"/>
    <w:rsid w:val="004339E6"/>
    <w:rsid w:val="00434796"/>
    <w:rsid w:val="0043683A"/>
    <w:rsid w:val="00437EB1"/>
    <w:rsid w:val="00441422"/>
    <w:rsid w:val="00444ED6"/>
    <w:rsid w:val="00445DCB"/>
    <w:rsid w:val="00446B79"/>
    <w:rsid w:val="00447235"/>
    <w:rsid w:val="0045044C"/>
    <w:rsid w:val="00456BEE"/>
    <w:rsid w:val="00460495"/>
    <w:rsid w:val="00460EEA"/>
    <w:rsid w:val="004630B6"/>
    <w:rsid w:val="00463106"/>
    <w:rsid w:val="00466A30"/>
    <w:rsid w:val="00467F5B"/>
    <w:rsid w:val="00474607"/>
    <w:rsid w:val="00474910"/>
    <w:rsid w:val="004749AF"/>
    <w:rsid w:val="00475410"/>
    <w:rsid w:val="00475E80"/>
    <w:rsid w:val="004774FF"/>
    <w:rsid w:val="0048285C"/>
    <w:rsid w:val="00484116"/>
    <w:rsid w:val="00484163"/>
    <w:rsid w:val="0048424E"/>
    <w:rsid w:val="00486F42"/>
    <w:rsid w:val="00487D14"/>
    <w:rsid w:val="0049165E"/>
    <w:rsid w:val="004923A9"/>
    <w:rsid w:val="00495F7C"/>
    <w:rsid w:val="004976D5"/>
    <w:rsid w:val="004A11D9"/>
    <w:rsid w:val="004A1E3F"/>
    <w:rsid w:val="004A2C7E"/>
    <w:rsid w:val="004A6625"/>
    <w:rsid w:val="004A69D6"/>
    <w:rsid w:val="004A70AB"/>
    <w:rsid w:val="004A7DFE"/>
    <w:rsid w:val="004B085D"/>
    <w:rsid w:val="004B0DBA"/>
    <w:rsid w:val="004B21D9"/>
    <w:rsid w:val="004B3CA9"/>
    <w:rsid w:val="004C0CE3"/>
    <w:rsid w:val="004C368B"/>
    <w:rsid w:val="004D1A31"/>
    <w:rsid w:val="004D1A91"/>
    <w:rsid w:val="004D262A"/>
    <w:rsid w:val="004D2C6F"/>
    <w:rsid w:val="004D2E01"/>
    <w:rsid w:val="004D3237"/>
    <w:rsid w:val="004D4E89"/>
    <w:rsid w:val="004D635C"/>
    <w:rsid w:val="004E0F3F"/>
    <w:rsid w:val="004E1191"/>
    <w:rsid w:val="004E1349"/>
    <w:rsid w:val="004E3305"/>
    <w:rsid w:val="004E568C"/>
    <w:rsid w:val="004E5AD8"/>
    <w:rsid w:val="004E61DE"/>
    <w:rsid w:val="004F0806"/>
    <w:rsid w:val="004F12D8"/>
    <w:rsid w:val="004F2189"/>
    <w:rsid w:val="004F22A6"/>
    <w:rsid w:val="004F4A37"/>
    <w:rsid w:val="004F5D23"/>
    <w:rsid w:val="00504B53"/>
    <w:rsid w:val="00505FF7"/>
    <w:rsid w:val="0051015D"/>
    <w:rsid w:val="0051292D"/>
    <w:rsid w:val="0051442D"/>
    <w:rsid w:val="0051622D"/>
    <w:rsid w:val="005207B2"/>
    <w:rsid w:val="005219EB"/>
    <w:rsid w:val="005262C2"/>
    <w:rsid w:val="0052705A"/>
    <w:rsid w:val="00537126"/>
    <w:rsid w:val="00537A72"/>
    <w:rsid w:val="005405F8"/>
    <w:rsid w:val="00542EAE"/>
    <w:rsid w:val="00546878"/>
    <w:rsid w:val="005509BE"/>
    <w:rsid w:val="00560E18"/>
    <w:rsid w:val="005615BB"/>
    <w:rsid w:val="005621E7"/>
    <w:rsid w:val="00562B7E"/>
    <w:rsid w:val="00563355"/>
    <w:rsid w:val="00571E81"/>
    <w:rsid w:val="00573FF9"/>
    <w:rsid w:val="00576B16"/>
    <w:rsid w:val="00577427"/>
    <w:rsid w:val="005808E5"/>
    <w:rsid w:val="005875A9"/>
    <w:rsid w:val="005949BC"/>
    <w:rsid w:val="005971D5"/>
    <w:rsid w:val="005A313A"/>
    <w:rsid w:val="005A35EB"/>
    <w:rsid w:val="005A5582"/>
    <w:rsid w:val="005A680F"/>
    <w:rsid w:val="005A70F0"/>
    <w:rsid w:val="005A747A"/>
    <w:rsid w:val="005B07CB"/>
    <w:rsid w:val="005B2FF9"/>
    <w:rsid w:val="005B3F1C"/>
    <w:rsid w:val="005B696E"/>
    <w:rsid w:val="005B6D81"/>
    <w:rsid w:val="005B7767"/>
    <w:rsid w:val="005B7DD3"/>
    <w:rsid w:val="005C1E41"/>
    <w:rsid w:val="005C7FC2"/>
    <w:rsid w:val="005D1F92"/>
    <w:rsid w:val="005D2137"/>
    <w:rsid w:val="005D2408"/>
    <w:rsid w:val="005D32A9"/>
    <w:rsid w:val="005D6122"/>
    <w:rsid w:val="005D6E80"/>
    <w:rsid w:val="005E03B3"/>
    <w:rsid w:val="005E0B20"/>
    <w:rsid w:val="005E2936"/>
    <w:rsid w:val="005E2F7B"/>
    <w:rsid w:val="005E3C94"/>
    <w:rsid w:val="005E5C01"/>
    <w:rsid w:val="005E6A9D"/>
    <w:rsid w:val="005E7118"/>
    <w:rsid w:val="005E7E9F"/>
    <w:rsid w:val="005F1CDA"/>
    <w:rsid w:val="005F35C5"/>
    <w:rsid w:val="005F37A4"/>
    <w:rsid w:val="005F561B"/>
    <w:rsid w:val="00602403"/>
    <w:rsid w:val="006041A4"/>
    <w:rsid w:val="00610873"/>
    <w:rsid w:val="006109EC"/>
    <w:rsid w:val="00610F53"/>
    <w:rsid w:val="00611D8A"/>
    <w:rsid w:val="006122AB"/>
    <w:rsid w:val="0061430D"/>
    <w:rsid w:val="006150CE"/>
    <w:rsid w:val="00615F6B"/>
    <w:rsid w:val="006165F4"/>
    <w:rsid w:val="006245EC"/>
    <w:rsid w:val="00626ABB"/>
    <w:rsid w:val="006309D5"/>
    <w:rsid w:val="006376C5"/>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6D4D"/>
    <w:rsid w:val="00672205"/>
    <w:rsid w:val="00672E95"/>
    <w:rsid w:val="0067508C"/>
    <w:rsid w:val="00677059"/>
    <w:rsid w:val="00680072"/>
    <w:rsid w:val="00680421"/>
    <w:rsid w:val="00681B06"/>
    <w:rsid w:val="006858DA"/>
    <w:rsid w:val="006902F1"/>
    <w:rsid w:val="006918E9"/>
    <w:rsid w:val="00692A13"/>
    <w:rsid w:val="006951CE"/>
    <w:rsid w:val="00695B2C"/>
    <w:rsid w:val="006A1F2C"/>
    <w:rsid w:val="006A3B6B"/>
    <w:rsid w:val="006A438B"/>
    <w:rsid w:val="006A4F20"/>
    <w:rsid w:val="006A6039"/>
    <w:rsid w:val="006B1E87"/>
    <w:rsid w:val="006B514A"/>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E57"/>
    <w:rsid w:val="006E0B4D"/>
    <w:rsid w:val="006E2083"/>
    <w:rsid w:val="006E2725"/>
    <w:rsid w:val="006E3064"/>
    <w:rsid w:val="006E405E"/>
    <w:rsid w:val="006E68E6"/>
    <w:rsid w:val="006F042A"/>
    <w:rsid w:val="006F0C74"/>
    <w:rsid w:val="006F1875"/>
    <w:rsid w:val="006F2187"/>
    <w:rsid w:val="006F25E5"/>
    <w:rsid w:val="006F2FCE"/>
    <w:rsid w:val="006F36B9"/>
    <w:rsid w:val="006F415C"/>
    <w:rsid w:val="006F489F"/>
    <w:rsid w:val="00700C86"/>
    <w:rsid w:val="0070560F"/>
    <w:rsid w:val="007112CA"/>
    <w:rsid w:val="007202BD"/>
    <w:rsid w:val="007205BF"/>
    <w:rsid w:val="00721AE9"/>
    <w:rsid w:val="007237D1"/>
    <w:rsid w:val="007241D4"/>
    <w:rsid w:val="00724D82"/>
    <w:rsid w:val="00730BF2"/>
    <w:rsid w:val="00732A6F"/>
    <w:rsid w:val="007351A5"/>
    <w:rsid w:val="0074214D"/>
    <w:rsid w:val="00742764"/>
    <w:rsid w:val="00745456"/>
    <w:rsid w:val="00751452"/>
    <w:rsid w:val="0075156A"/>
    <w:rsid w:val="00751F90"/>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DE8"/>
    <w:rsid w:val="00786D45"/>
    <w:rsid w:val="00792E10"/>
    <w:rsid w:val="0079383D"/>
    <w:rsid w:val="007A006B"/>
    <w:rsid w:val="007A1D60"/>
    <w:rsid w:val="007A5BDB"/>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4184E"/>
    <w:rsid w:val="00841C01"/>
    <w:rsid w:val="00843EFD"/>
    <w:rsid w:val="008443A9"/>
    <w:rsid w:val="008469B3"/>
    <w:rsid w:val="008535CA"/>
    <w:rsid w:val="00856FA8"/>
    <w:rsid w:val="00856FF2"/>
    <w:rsid w:val="008578F4"/>
    <w:rsid w:val="00860576"/>
    <w:rsid w:val="0086688C"/>
    <w:rsid w:val="008674AA"/>
    <w:rsid w:val="008675CC"/>
    <w:rsid w:val="0087609B"/>
    <w:rsid w:val="00880850"/>
    <w:rsid w:val="0088094C"/>
    <w:rsid w:val="00881004"/>
    <w:rsid w:val="00882C40"/>
    <w:rsid w:val="00885973"/>
    <w:rsid w:val="00892908"/>
    <w:rsid w:val="00893C08"/>
    <w:rsid w:val="008942FC"/>
    <w:rsid w:val="0089562F"/>
    <w:rsid w:val="008957BF"/>
    <w:rsid w:val="00895BE0"/>
    <w:rsid w:val="0089629F"/>
    <w:rsid w:val="008A082A"/>
    <w:rsid w:val="008A389B"/>
    <w:rsid w:val="008A4DF4"/>
    <w:rsid w:val="008B0950"/>
    <w:rsid w:val="008B1DA9"/>
    <w:rsid w:val="008B571D"/>
    <w:rsid w:val="008B6162"/>
    <w:rsid w:val="008C3710"/>
    <w:rsid w:val="008C3EBC"/>
    <w:rsid w:val="008C4AE0"/>
    <w:rsid w:val="008C57F6"/>
    <w:rsid w:val="008C68A7"/>
    <w:rsid w:val="008C7019"/>
    <w:rsid w:val="008D33A3"/>
    <w:rsid w:val="008D4715"/>
    <w:rsid w:val="008D5B23"/>
    <w:rsid w:val="008D6F1D"/>
    <w:rsid w:val="008E03A3"/>
    <w:rsid w:val="008E1B11"/>
    <w:rsid w:val="008E2ACD"/>
    <w:rsid w:val="008E53BA"/>
    <w:rsid w:val="008E7F87"/>
    <w:rsid w:val="008F0CC7"/>
    <w:rsid w:val="008F11CF"/>
    <w:rsid w:val="008F14EA"/>
    <w:rsid w:val="008F189C"/>
    <w:rsid w:val="008F1FE1"/>
    <w:rsid w:val="008F32FF"/>
    <w:rsid w:val="008F4486"/>
    <w:rsid w:val="008F4FC6"/>
    <w:rsid w:val="008F72CD"/>
    <w:rsid w:val="009015D3"/>
    <w:rsid w:val="00902179"/>
    <w:rsid w:val="00903877"/>
    <w:rsid w:val="0090677E"/>
    <w:rsid w:val="00914A6E"/>
    <w:rsid w:val="0091544C"/>
    <w:rsid w:val="00921D03"/>
    <w:rsid w:val="00925CD2"/>
    <w:rsid w:val="00932559"/>
    <w:rsid w:val="00933065"/>
    <w:rsid w:val="00933569"/>
    <w:rsid w:val="009365B1"/>
    <w:rsid w:val="0093799C"/>
    <w:rsid w:val="009422A1"/>
    <w:rsid w:val="00943484"/>
    <w:rsid w:val="00944804"/>
    <w:rsid w:val="009449FB"/>
    <w:rsid w:val="0094634F"/>
    <w:rsid w:val="009473D8"/>
    <w:rsid w:val="00954386"/>
    <w:rsid w:val="00957513"/>
    <w:rsid w:val="00960ADF"/>
    <w:rsid w:val="009623DA"/>
    <w:rsid w:val="00963A0C"/>
    <w:rsid w:val="009661B5"/>
    <w:rsid w:val="009725C0"/>
    <w:rsid w:val="009729BD"/>
    <w:rsid w:val="00974A92"/>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793E"/>
    <w:rsid w:val="009C1EA6"/>
    <w:rsid w:val="009C37B9"/>
    <w:rsid w:val="009C38E7"/>
    <w:rsid w:val="009D31FA"/>
    <w:rsid w:val="009D32BD"/>
    <w:rsid w:val="009D33F1"/>
    <w:rsid w:val="009D35B5"/>
    <w:rsid w:val="009D3771"/>
    <w:rsid w:val="009D37BD"/>
    <w:rsid w:val="009D4486"/>
    <w:rsid w:val="009D7128"/>
    <w:rsid w:val="009E21DE"/>
    <w:rsid w:val="009E6174"/>
    <w:rsid w:val="009F1DC7"/>
    <w:rsid w:val="009F211E"/>
    <w:rsid w:val="009F2572"/>
    <w:rsid w:val="009F294E"/>
    <w:rsid w:val="009F30F1"/>
    <w:rsid w:val="009F37C7"/>
    <w:rsid w:val="009F50AB"/>
    <w:rsid w:val="00A005F6"/>
    <w:rsid w:val="00A0424F"/>
    <w:rsid w:val="00A051FB"/>
    <w:rsid w:val="00A10039"/>
    <w:rsid w:val="00A100BA"/>
    <w:rsid w:val="00A103FF"/>
    <w:rsid w:val="00A121B5"/>
    <w:rsid w:val="00A16C6E"/>
    <w:rsid w:val="00A17DB2"/>
    <w:rsid w:val="00A22A14"/>
    <w:rsid w:val="00A23A49"/>
    <w:rsid w:val="00A25AB4"/>
    <w:rsid w:val="00A26214"/>
    <w:rsid w:val="00A26566"/>
    <w:rsid w:val="00A27A51"/>
    <w:rsid w:val="00A31837"/>
    <w:rsid w:val="00A33018"/>
    <w:rsid w:val="00A3310D"/>
    <w:rsid w:val="00A37BA4"/>
    <w:rsid w:val="00A402F6"/>
    <w:rsid w:val="00A42167"/>
    <w:rsid w:val="00A434B9"/>
    <w:rsid w:val="00A43739"/>
    <w:rsid w:val="00A444DD"/>
    <w:rsid w:val="00A47150"/>
    <w:rsid w:val="00A471EF"/>
    <w:rsid w:val="00A47466"/>
    <w:rsid w:val="00A47815"/>
    <w:rsid w:val="00A47A18"/>
    <w:rsid w:val="00A47CD6"/>
    <w:rsid w:val="00A539CB"/>
    <w:rsid w:val="00A57DA7"/>
    <w:rsid w:val="00A60542"/>
    <w:rsid w:val="00A63709"/>
    <w:rsid w:val="00A643AB"/>
    <w:rsid w:val="00A649E6"/>
    <w:rsid w:val="00A660AF"/>
    <w:rsid w:val="00A7021C"/>
    <w:rsid w:val="00A70A95"/>
    <w:rsid w:val="00A70BDA"/>
    <w:rsid w:val="00A740B6"/>
    <w:rsid w:val="00A7621E"/>
    <w:rsid w:val="00A817D5"/>
    <w:rsid w:val="00A84F01"/>
    <w:rsid w:val="00A91332"/>
    <w:rsid w:val="00A93351"/>
    <w:rsid w:val="00A95538"/>
    <w:rsid w:val="00AA0013"/>
    <w:rsid w:val="00AA26FF"/>
    <w:rsid w:val="00AA3F7A"/>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23B3"/>
    <w:rsid w:val="00AD23BF"/>
    <w:rsid w:val="00AD25B6"/>
    <w:rsid w:val="00AD2631"/>
    <w:rsid w:val="00AD2C31"/>
    <w:rsid w:val="00AD3D5D"/>
    <w:rsid w:val="00AD5A05"/>
    <w:rsid w:val="00AD662C"/>
    <w:rsid w:val="00AE1220"/>
    <w:rsid w:val="00AE287F"/>
    <w:rsid w:val="00AE39F3"/>
    <w:rsid w:val="00AE4006"/>
    <w:rsid w:val="00AE4875"/>
    <w:rsid w:val="00AE5118"/>
    <w:rsid w:val="00AE63BD"/>
    <w:rsid w:val="00AF0B2B"/>
    <w:rsid w:val="00AF2914"/>
    <w:rsid w:val="00AF363F"/>
    <w:rsid w:val="00AF3E4F"/>
    <w:rsid w:val="00AF71E5"/>
    <w:rsid w:val="00B0366D"/>
    <w:rsid w:val="00B071FF"/>
    <w:rsid w:val="00B110BC"/>
    <w:rsid w:val="00B11505"/>
    <w:rsid w:val="00B11DC2"/>
    <w:rsid w:val="00B15142"/>
    <w:rsid w:val="00B16F69"/>
    <w:rsid w:val="00B1789D"/>
    <w:rsid w:val="00B207DD"/>
    <w:rsid w:val="00B21CA9"/>
    <w:rsid w:val="00B223FE"/>
    <w:rsid w:val="00B3208F"/>
    <w:rsid w:val="00B3260E"/>
    <w:rsid w:val="00B36F2F"/>
    <w:rsid w:val="00B413BD"/>
    <w:rsid w:val="00B42807"/>
    <w:rsid w:val="00B428A6"/>
    <w:rsid w:val="00B43340"/>
    <w:rsid w:val="00B4461C"/>
    <w:rsid w:val="00B53913"/>
    <w:rsid w:val="00B554D4"/>
    <w:rsid w:val="00B5572D"/>
    <w:rsid w:val="00B55F3A"/>
    <w:rsid w:val="00B56906"/>
    <w:rsid w:val="00B569F1"/>
    <w:rsid w:val="00B6007E"/>
    <w:rsid w:val="00B61484"/>
    <w:rsid w:val="00B6179E"/>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165A"/>
    <w:rsid w:val="00B924B4"/>
    <w:rsid w:val="00B9487E"/>
    <w:rsid w:val="00B95910"/>
    <w:rsid w:val="00B9692A"/>
    <w:rsid w:val="00BA0848"/>
    <w:rsid w:val="00BA29E7"/>
    <w:rsid w:val="00BA33AF"/>
    <w:rsid w:val="00BA3A4C"/>
    <w:rsid w:val="00BA61FA"/>
    <w:rsid w:val="00BA67FC"/>
    <w:rsid w:val="00BB0F20"/>
    <w:rsid w:val="00BB17D2"/>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0A14"/>
    <w:rsid w:val="00C0222C"/>
    <w:rsid w:val="00C04139"/>
    <w:rsid w:val="00C0572E"/>
    <w:rsid w:val="00C1108E"/>
    <w:rsid w:val="00C14A51"/>
    <w:rsid w:val="00C14B1A"/>
    <w:rsid w:val="00C15C65"/>
    <w:rsid w:val="00C17853"/>
    <w:rsid w:val="00C17EE4"/>
    <w:rsid w:val="00C21656"/>
    <w:rsid w:val="00C21B3D"/>
    <w:rsid w:val="00C24267"/>
    <w:rsid w:val="00C243E6"/>
    <w:rsid w:val="00C26FA6"/>
    <w:rsid w:val="00C2788D"/>
    <w:rsid w:val="00C31D37"/>
    <w:rsid w:val="00C33398"/>
    <w:rsid w:val="00C34C5B"/>
    <w:rsid w:val="00C361F6"/>
    <w:rsid w:val="00C3669A"/>
    <w:rsid w:val="00C371D5"/>
    <w:rsid w:val="00C423E3"/>
    <w:rsid w:val="00C428AB"/>
    <w:rsid w:val="00C44BAC"/>
    <w:rsid w:val="00C45626"/>
    <w:rsid w:val="00C458AF"/>
    <w:rsid w:val="00C460A0"/>
    <w:rsid w:val="00C4720D"/>
    <w:rsid w:val="00C47768"/>
    <w:rsid w:val="00C50068"/>
    <w:rsid w:val="00C51C4B"/>
    <w:rsid w:val="00C539A5"/>
    <w:rsid w:val="00C53DFA"/>
    <w:rsid w:val="00C549F4"/>
    <w:rsid w:val="00C60DD4"/>
    <w:rsid w:val="00C60F27"/>
    <w:rsid w:val="00C610F2"/>
    <w:rsid w:val="00C61B5E"/>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5AE"/>
    <w:rsid w:val="00C90CE6"/>
    <w:rsid w:val="00C93030"/>
    <w:rsid w:val="00C9310B"/>
    <w:rsid w:val="00C937FB"/>
    <w:rsid w:val="00CA2964"/>
    <w:rsid w:val="00CA696D"/>
    <w:rsid w:val="00CA6B5A"/>
    <w:rsid w:val="00CB1536"/>
    <w:rsid w:val="00CB3907"/>
    <w:rsid w:val="00CB3B51"/>
    <w:rsid w:val="00CB46F0"/>
    <w:rsid w:val="00CB6167"/>
    <w:rsid w:val="00CC0C54"/>
    <w:rsid w:val="00CC1016"/>
    <w:rsid w:val="00CC32A0"/>
    <w:rsid w:val="00CC3829"/>
    <w:rsid w:val="00CD0D1D"/>
    <w:rsid w:val="00CD1673"/>
    <w:rsid w:val="00CD1721"/>
    <w:rsid w:val="00CD4DDC"/>
    <w:rsid w:val="00CD6592"/>
    <w:rsid w:val="00CE0808"/>
    <w:rsid w:val="00CE35B4"/>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AA7"/>
    <w:rsid w:val="00D22F1C"/>
    <w:rsid w:val="00D23D75"/>
    <w:rsid w:val="00D31882"/>
    <w:rsid w:val="00D31BAB"/>
    <w:rsid w:val="00D31D27"/>
    <w:rsid w:val="00D32109"/>
    <w:rsid w:val="00D336A4"/>
    <w:rsid w:val="00D34AFB"/>
    <w:rsid w:val="00D352EE"/>
    <w:rsid w:val="00D35A03"/>
    <w:rsid w:val="00D37377"/>
    <w:rsid w:val="00D41830"/>
    <w:rsid w:val="00D45B8C"/>
    <w:rsid w:val="00D56058"/>
    <w:rsid w:val="00D567E0"/>
    <w:rsid w:val="00D56A09"/>
    <w:rsid w:val="00D57976"/>
    <w:rsid w:val="00D61F2D"/>
    <w:rsid w:val="00D630DE"/>
    <w:rsid w:val="00D63DBC"/>
    <w:rsid w:val="00D645C6"/>
    <w:rsid w:val="00D6548A"/>
    <w:rsid w:val="00D65905"/>
    <w:rsid w:val="00D65A71"/>
    <w:rsid w:val="00D67355"/>
    <w:rsid w:val="00D71B03"/>
    <w:rsid w:val="00D7327A"/>
    <w:rsid w:val="00D74EC8"/>
    <w:rsid w:val="00D76F23"/>
    <w:rsid w:val="00D81AC9"/>
    <w:rsid w:val="00D858CC"/>
    <w:rsid w:val="00D9086C"/>
    <w:rsid w:val="00D92C84"/>
    <w:rsid w:val="00D93AAA"/>
    <w:rsid w:val="00D93ECC"/>
    <w:rsid w:val="00D94745"/>
    <w:rsid w:val="00D94921"/>
    <w:rsid w:val="00D95DFF"/>
    <w:rsid w:val="00D963D5"/>
    <w:rsid w:val="00D96C96"/>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D12FC"/>
    <w:rsid w:val="00DD1ED6"/>
    <w:rsid w:val="00DD2B0D"/>
    <w:rsid w:val="00DE130A"/>
    <w:rsid w:val="00DE1F21"/>
    <w:rsid w:val="00DE3369"/>
    <w:rsid w:val="00DE33DB"/>
    <w:rsid w:val="00DE38B2"/>
    <w:rsid w:val="00DF2C9A"/>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30596"/>
    <w:rsid w:val="00E31FF9"/>
    <w:rsid w:val="00E33434"/>
    <w:rsid w:val="00E33B23"/>
    <w:rsid w:val="00E37B1B"/>
    <w:rsid w:val="00E417B9"/>
    <w:rsid w:val="00E43C23"/>
    <w:rsid w:val="00E45160"/>
    <w:rsid w:val="00E45E6A"/>
    <w:rsid w:val="00E50A42"/>
    <w:rsid w:val="00E54FA5"/>
    <w:rsid w:val="00E56D64"/>
    <w:rsid w:val="00E57446"/>
    <w:rsid w:val="00E61081"/>
    <w:rsid w:val="00E61788"/>
    <w:rsid w:val="00E65B18"/>
    <w:rsid w:val="00E65B9D"/>
    <w:rsid w:val="00E71CE6"/>
    <w:rsid w:val="00E71E16"/>
    <w:rsid w:val="00E728C6"/>
    <w:rsid w:val="00E73E65"/>
    <w:rsid w:val="00E76641"/>
    <w:rsid w:val="00E77AC7"/>
    <w:rsid w:val="00E83DA2"/>
    <w:rsid w:val="00E851E8"/>
    <w:rsid w:val="00E856E9"/>
    <w:rsid w:val="00E862E7"/>
    <w:rsid w:val="00E86395"/>
    <w:rsid w:val="00E86DF2"/>
    <w:rsid w:val="00E879EC"/>
    <w:rsid w:val="00E9538B"/>
    <w:rsid w:val="00E95703"/>
    <w:rsid w:val="00E95707"/>
    <w:rsid w:val="00E964C2"/>
    <w:rsid w:val="00EA0297"/>
    <w:rsid w:val="00EA116B"/>
    <w:rsid w:val="00EA2C29"/>
    <w:rsid w:val="00EA3F05"/>
    <w:rsid w:val="00EA5E85"/>
    <w:rsid w:val="00EB0B07"/>
    <w:rsid w:val="00EB0C6A"/>
    <w:rsid w:val="00EB144E"/>
    <w:rsid w:val="00EB1B82"/>
    <w:rsid w:val="00EB2F49"/>
    <w:rsid w:val="00EB462A"/>
    <w:rsid w:val="00EB635D"/>
    <w:rsid w:val="00EB6AA6"/>
    <w:rsid w:val="00EC0354"/>
    <w:rsid w:val="00EC5A70"/>
    <w:rsid w:val="00EC5B97"/>
    <w:rsid w:val="00EC6BED"/>
    <w:rsid w:val="00EC70BC"/>
    <w:rsid w:val="00ED018E"/>
    <w:rsid w:val="00ED044F"/>
    <w:rsid w:val="00ED07AD"/>
    <w:rsid w:val="00ED2A04"/>
    <w:rsid w:val="00ED370F"/>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2E5A"/>
    <w:rsid w:val="00F221FC"/>
    <w:rsid w:val="00F24025"/>
    <w:rsid w:val="00F322F5"/>
    <w:rsid w:val="00F35033"/>
    <w:rsid w:val="00F35CAE"/>
    <w:rsid w:val="00F36EE7"/>
    <w:rsid w:val="00F41B64"/>
    <w:rsid w:val="00F41D9D"/>
    <w:rsid w:val="00F4468A"/>
    <w:rsid w:val="00F47653"/>
    <w:rsid w:val="00F47EFB"/>
    <w:rsid w:val="00F505CE"/>
    <w:rsid w:val="00F5169E"/>
    <w:rsid w:val="00F51C0B"/>
    <w:rsid w:val="00F57AFC"/>
    <w:rsid w:val="00F627E4"/>
    <w:rsid w:val="00F6494D"/>
    <w:rsid w:val="00F65DBD"/>
    <w:rsid w:val="00F669B9"/>
    <w:rsid w:val="00F67D80"/>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202F"/>
    <w:rsid w:val="00F92AA4"/>
    <w:rsid w:val="00FA2519"/>
    <w:rsid w:val="00FA625E"/>
    <w:rsid w:val="00FA6B1E"/>
    <w:rsid w:val="00FB4165"/>
    <w:rsid w:val="00FB59A0"/>
    <w:rsid w:val="00FC1792"/>
    <w:rsid w:val="00FC42BD"/>
    <w:rsid w:val="00FD2E9B"/>
    <w:rsid w:val="00FD378D"/>
    <w:rsid w:val="00FE065B"/>
    <w:rsid w:val="00FE06D8"/>
    <w:rsid w:val="00FE17D2"/>
    <w:rsid w:val="00FE2BF0"/>
    <w:rsid w:val="00FE43C6"/>
    <w:rsid w:val="00FE7835"/>
    <w:rsid w:val="00FF2BC6"/>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0B231894-C33B-41EA-A3BD-E0D4F287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795026512">
          <w:marLeft w:val="0"/>
          <w:marRight w:val="0"/>
          <w:marTop w:val="120"/>
          <w:marBottom w:val="0"/>
          <w:divBdr>
            <w:top w:val="none" w:sz="0" w:space="0" w:color="auto"/>
            <w:left w:val="none" w:sz="0" w:space="0" w:color="auto"/>
            <w:bottom w:val="none" w:sz="0" w:space="0" w:color="auto"/>
            <w:right w:val="none" w:sz="0" w:space="0" w:color="auto"/>
          </w:divBdr>
        </w:div>
        <w:div w:id="543565086">
          <w:marLeft w:val="0"/>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76v2SApg930" TargetMode="External"/><Relationship Id="rId1" Type="http://schemas.openxmlformats.org/officeDocument/2006/relationships/hyperlink" Target="https://app.jutastatevolve.co.za/y1957v4SApg2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8E97-D7EC-498A-BBAB-A460D95D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0</TotalTime>
  <Pages>26</Pages>
  <Words>6482</Words>
  <Characters>36950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43346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Mokone</cp:lastModifiedBy>
  <cp:revision>2</cp:revision>
  <cp:lastPrinted>2023-06-03T13:49:00Z</cp:lastPrinted>
  <dcterms:created xsi:type="dcterms:W3CDTF">2023-06-06T14:04:00Z</dcterms:created>
  <dcterms:modified xsi:type="dcterms:W3CDTF">2023-06-06T14:04:00Z</dcterms:modified>
</cp:coreProperties>
</file>