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01C" w:rsidRPr="00267C03" w:rsidRDefault="00267C03" w:rsidP="00AC601C">
      <w:pPr>
        <w:spacing w:before="0" w:after="200" w:line="276" w:lineRule="auto"/>
        <w:jc w:val="center"/>
        <w:rPr>
          <w:rFonts w:eastAsiaTheme="minorEastAsia" w:cs="Arial"/>
          <w:b/>
          <w:szCs w:val="24"/>
          <w:lang w:eastAsia="en-ZA"/>
        </w:rPr>
      </w:pPr>
      <w:bookmarkStart w:id="0" w:name="_GoBack"/>
      <w:bookmarkEnd w:id="0"/>
      <w:r w:rsidRPr="00267C03">
        <w:rPr>
          <w:rFonts w:eastAsiaTheme="minorEastAsia" w:cs="Arial"/>
          <w:b/>
          <w:bCs/>
          <w:szCs w:val="24"/>
          <w:lang w:val="en-GB" w:eastAsia="en-ZA"/>
        </w:rPr>
        <w:t xml:space="preserve">REPUBLIC OF SOUTH AFRICA </w:t>
      </w:r>
      <w:r w:rsidR="00AC601C" w:rsidRPr="00267C03">
        <w:rPr>
          <w:rFonts w:eastAsiaTheme="minorEastAsia" w:cs="Arial"/>
          <w:b/>
          <w:bCs/>
          <w:szCs w:val="24"/>
          <w:lang w:val="en-GB" w:eastAsia="en-ZA"/>
        </w:rPr>
        <w:tab/>
      </w:r>
    </w:p>
    <w:p w:rsidR="00AC601C" w:rsidRPr="004F2C74" w:rsidRDefault="00AC601C" w:rsidP="00AC601C">
      <w:pPr>
        <w:spacing w:before="0" w:after="200" w:line="276" w:lineRule="auto"/>
        <w:jc w:val="center"/>
        <w:outlineLvl w:val="0"/>
        <w:rPr>
          <w:rFonts w:ascii="Times New Roman" w:eastAsiaTheme="minorEastAsia" w:hAnsi="Times New Roman"/>
          <w:b/>
          <w:szCs w:val="24"/>
          <w:lang w:eastAsia="en-ZA"/>
        </w:rPr>
      </w:pPr>
      <w:r w:rsidRPr="004F2C74">
        <w:rPr>
          <w:rFonts w:asciiTheme="minorHAnsi" w:eastAsiaTheme="minorEastAsia" w:hAnsiTheme="minorHAnsi" w:cstheme="minorBidi"/>
          <w:noProof/>
          <w:sz w:val="22"/>
          <w:szCs w:val="22"/>
          <w:lang w:val="en-US"/>
        </w:rPr>
        <w:drawing>
          <wp:inline distT="0" distB="0" distL="0" distR="0" wp14:anchorId="6F509260" wp14:editId="010C5B2C">
            <wp:extent cx="1354455" cy="1354455"/>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4455" cy="1354455"/>
                    </a:xfrm>
                    <a:prstGeom prst="rect">
                      <a:avLst/>
                    </a:prstGeom>
                    <a:noFill/>
                    <a:ln>
                      <a:noFill/>
                    </a:ln>
                  </pic:spPr>
                </pic:pic>
              </a:graphicData>
            </a:graphic>
          </wp:inline>
        </w:drawing>
      </w:r>
      <w:r w:rsidRPr="004F2C74">
        <w:rPr>
          <w:rFonts w:ascii="Times New Roman" w:eastAsiaTheme="minorEastAsia" w:hAnsi="Times New Roman"/>
          <w:b/>
          <w:szCs w:val="24"/>
          <w:lang w:eastAsia="en-ZA"/>
        </w:rPr>
        <w:tab/>
        <w:t xml:space="preserve"> </w:t>
      </w:r>
    </w:p>
    <w:p w:rsidR="00267C03" w:rsidRDefault="00267C03" w:rsidP="000C4AFD">
      <w:pPr>
        <w:spacing w:before="0" w:after="200" w:line="240" w:lineRule="auto"/>
        <w:jc w:val="center"/>
        <w:rPr>
          <w:rFonts w:eastAsiaTheme="minorEastAsia" w:cs="Arial"/>
          <w:b/>
          <w:szCs w:val="24"/>
          <w:lang w:eastAsia="en-ZA"/>
        </w:rPr>
      </w:pPr>
      <w:r w:rsidRPr="004F2C74">
        <w:rPr>
          <w:rFonts w:eastAsiaTheme="minorEastAsia" w:cs="Arial"/>
          <w:b/>
          <w:szCs w:val="24"/>
          <w:lang w:eastAsia="en-ZA"/>
        </w:rPr>
        <w:t>IN THE HIGH COURT OF SOUTH AFRICA</w:t>
      </w:r>
    </w:p>
    <w:p w:rsidR="00AC601C" w:rsidRPr="004F2C74" w:rsidRDefault="00EA1C18" w:rsidP="000C4AFD">
      <w:pPr>
        <w:spacing w:before="0" w:after="200" w:line="240" w:lineRule="auto"/>
        <w:jc w:val="center"/>
        <w:rPr>
          <w:rFonts w:eastAsiaTheme="minorEastAsia" w:cs="Arial"/>
          <w:b/>
          <w:szCs w:val="24"/>
          <w:lang w:eastAsia="en-ZA"/>
        </w:rPr>
      </w:pPr>
      <w:r>
        <w:rPr>
          <w:rFonts w:eastAsiaTheme="minorEastAsia" w:cs="Arial"/>
          <w:b/>
          <w:szCs w:val="24"/>
          <w:lang w:eastAsia="en-ZA"/>
        </w:rPr>
        <w:t>GAUTENG</w:t>
      </w:r>
      <w:r w:rsidR="00AC601C" w:rsidRPr="004F2C74">
        <w:rPr>
          <w:rFonts w:eastAsiaTheme="minorEastAsia" w:cs="Arial"/>
          <w:b/>
          <w:szCs w:val="24"/>
          <w:lang w:eastAsia="en-ZA"/>
        </w:rPr>
        <w:t xml:space="preserve"> DIVISION, JOHANNESBURG</w:t>
      </w:r>
    </w:p>
    <w:p w:rsidR="007E6D2C" w:rsidRPr="004F2C74" w:rsidRDefault="006D14BF" w:rsidP="00FE0DC6">
      <w:pPr>
        <w:spacing w:before="0" w:after="200" w:line="276" w:lineRule="auto"/>
        <w:jc w:val="right"/>
        <w:rPr>
          <w:rFonts w:eastAsiaTheme="minorEastAsia" w:cs="Arial"/>
          <w:szCs w:val="24"/>
          <w:lang w:eastAsia="en-ZA"/>
        </w:rPr>
      </w:pPr>
      <w:r>
        <w:rPr>
          <w:rFonts w:eastAsiaTheme="minorEastAsia" w:cs="Arial"/>
          <w:szCs w:val="24"/>
          <w:lang w:eastAsia="en-ZA"/>
        </w:rPr>
        <w:t>CASE NUMBER: 2018/40335</w:t>
      </w:r>
    </w:p>
    <w:p w:rsidR="00AC601C" w:rsidRPr="004F2C74" w:rsidRDefault="007E6D2C" w:rsidP="00AC601C">
      <w:pPr>
        <w:spacing w:before="0" w:after="200" w:line="276" w:lineRule="auto"/>
        <w:jc w:val="right"/>
        <w:rPr>
          <w:rFonts w:ascii="Times New Roman" w:eastAsiaTheme="minorEastAsia" w:hAnsi="Times New Roman"/>
          <w:szCs w:val="24"/>
          <w:lang w:eastAsia="en-ZA"/>
        </w:rPr>
      </w:pPr>
      <w:r w:rsidRPr="004F2C74">
        <w:rPr>
          <w:rFonts w:asciiTheme="minorHAnsi" w:eastAsiaTheme="minorHAnsi" w:hAnsiTheme="minorHAnsi" w:cstheme="minorBidi"/>
          <w:noProof/>
          <w:sz w:val="22"/>
          <w:szCs w:val="22"/>
          <w:lang w:val="en-US"/>
        </w:rPr>
        <mc:AlternateContent>
          <mc:Choice Requires="wps">
            <w:drawing>
              <wp:anchor distT="0" distB="0" distL="114300" distR="114300" simplePos="0" relativeHeight="251659264" behindDoc="0" locked="0" layoutInCell="1" allowOverlap="1" wp14:anchorId="521268D8" wp14:editId="19E5F9ED">
                <wp:simplePos x="0" y="0"/>
                <wp:positionH relativeFrom="margin">
                  <wp:align>left</wp:align>
                </wp:positionH>
                <wp:positionV relativeFrom="paragraph">
                  <wp:posOffset>4445</wp:posOffset>
                </wp:positionV>
                <wp:extent cx="3302000" cy="1409700"/>
                <wp:effectExtent l="0" t="0" r="127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1409700"/>
                        </a:xfrm>
                        <a:prstGeom prst="rect">
                          <a:avLst/>
                        </a:prstGeom>
                        <a:solidFill>
                          <a:srgbClr val="FFFFFF"/>
                        </a:solidFill>
                        <a:ln w="9525">
                          <a:solidFill>
                            <a:srgbClr val="000000"/>
                          </a:solidFill>
                          <a:miter lim="800000"/>
                          <a:headEnd/>
                          <a:tailEnd/>
                        </a:ln>
                      </wps:spPr>
                      <wps:txbx>
                        <w:txbxContent>
                          <w:p w:rsidR="00AC601C" w:rsidRPr="0038792A" w:rsidRDefault="00AC601C" w:rsidP="00AC601C">
                            <w:pPr>
                              <w:rPr>
                                <w:rFonts w:ascii="Century Gothic" w:hAnsi="Century Gothic" w:cs="Arial"/>
                                <w:b/>
                                <w:sz w:val="20"/>
                              </w:rPr>
                            </w:pPr>
                            <w:r w:rsidRPr="0038792A">
                              <w:rPr>
                                <w:rFonts w:ascii="Century Gothic" w:hAnsi="Century Gothic" w:cs="Arial"/>
                                <w:b/>
                                <w:sz w:val="20"/>
                              </w:rPr>
                              <w:t>DELETE WHICHEVER IS NOT APPLICABLE</w:t>
                            </w:r>
                          </w:p>
                          <w:p w:rsidR="00AC601C" w:rsidRPr="0038792A" w:rsidRDefault="00AC601C" w:rsidP="00AC601C">
                            <w:pPr>
                              <w:numPr>
                                <w:ilvl w:val="0"/>
                                <w:numId w:val="1"/>
                              </w:numPr>
                              <w:spacing w:before="0" w:after="0" w:line="240" w:lineRule="auto"/>
                              <w:rPr>
                                <w:rFonts w:ascii="Century Gothic" w:hAnsi="Century Gothic"/>
                                <w:sz w:val="20"/>
                              </w:rPr>
                            </w:pPr>
                            <w:r>
                              <w:rPr>
                                <w:rFonts w:ascii="Century Gothic" w:hAnsi="Century Gothic"/>
                                <w:sz w:val="20"/>
                              </w:rPr>
                              <w:t xml:space="preserve">REPORTABLE: </w:t>
                            </w:r>
                            <w:r w:rsidRPr="0038792A">
                              <w:rPr>
                                <w:rFonts w:ascii="Century Gothic" w:hAnsi="Century Gothic"/>
                                <w:sz w:val="20"/>
                              </w:rPr>
                              <w:t>NO</w:t>
                            </w:r>
                          </w:p>
                          <w:p w:rsidR="00AC601C" w:rsidRPr="0038792A" w:rsidRDefault="00AC601C" w:rsidP="00AC601C">
                            <w:pPr>
                              <w:numPr>
                                <w:ilvl w:val="0"/>
                                <w:numId w:val="1"/>
                              </w:numPr>
                              <w:spacing w:before="0" w:after="0" w:line="240" w:lineRule="auto"/>
                              <w:rPr>
                                <w:rFonts w:ascii="Century Gothic" w:hAnsi="Century Gothic"/>
                                <w:sz w:val="20"/>
                              </w:rPr>
                            </w:pPr>
                            <w:r w:rsidRPr="0038792A">
                              <w:rPr>
                                <w:rFonts w:ascii="Century Gothic" w:hAnsi="Century Gothic"/>
                                <w:sz w:val="20"/>
                              </w:rPr>
                              <w:t xml:space="preserve">OF </w:t>
                            </w:r>
                            <w:r w:rsidR="00AC2595">
                              <w:rPr>
                                <w:rFonts w:ascii="Century Gothic" w:hAnsi="Century Gothic"/>
                                <w:sz w:val="20"/>
                              </w:rPr>
                              <w:t xml:space="preserve">INTEREST TO OTHER JUDGES: </w:t>
                            </w:r>
                            <w:r w:rsidR="00796CCA">
                              <w:rPr>
                                <w:rFonts w:ascii="Century Gothic" w:hAnsi="Century Gothic"/>
                                <w:sz w:val="20"/>
                              </w:rPr>
                              <w:t>YES</w:t>
                            </w:r>
                          </w:p>
                          <w:p w:rsidR="00AC601C" w:rsidRDefault="00AC601C" w:rsidP="00AC601C">
                            <w:pPr>
                              <w:numPr>
                                <w:ilvl w:val="0"/>
                                <w:numId w:val="1"/>
                              </w:numPr>
                              <w:spacing w:before="0" w:after="0" w:line="240" w:lineRule="auto"/>
                              <w:rPr>
                                <w:rFonts w:ascii="Century Gothic" w:hAnsi="Century Gothic"/>
                                <w:sz w:val="20"/>
                              </w:rPr>
                            </w:pPr>
                            <w:r w:rsidRPr="0038792A">
                              <w:rPr>
                                <w:rFonts w:ascii="Century Gothic" w:hAnsi="Century Gothic"/>
                                <w:sz w:val="20"/>
                              </w:rPr>
                              <w:t xml:space="preserve">REVISED: </w:t>
                            </w:r>
                          </w:p>
                          <w:p w:rsidR="001A6F0F" w:rsidRDefault="001A6F0F" w:rsidP="001A6F0F">
                            <w:pPr>
                              <w:spacing w:before="0" w:after="0" w:line="240" w:lineRule="auto"/>
                              <w:ind w:left="180"/>
                              <w:rPr>
                                <w:rFonts w:ascii="Century Gothic" w:hAnsi="Century Gothic"/>
                                <w:sz w:val="20"/>
                              </w:rPr>
                            </w:pPr>
                          </w:p>
                          <w:p w:rsidR="001A6F0F" w:rsidRDefault="001A6F0F" w:rsidP="001A6F0F">
                            <w:pPr>
                              <w:spacing w:before="0" w:after="0" w:line="240" w:lineRule="auto"/>
                              <w:ind w:left="180"/>
                              <w:rPr>
                                <w:rFonts w:ascii="Century Gothic" w:hAnsi="Century Gothic"/>
                                <w:sz w:val="20"/>
                              </w:rPr>
                            </w:pPr>
                            <w:r>
                              <w:rPr>
                                <w:rFonts w:ascii="Century Gothic" w:hAnsi="Century Gothic"/>
                                <w:sz w:val="20"/>
                              </w:rPr>
                              <w:t>…………………                        ………………………</w:t>
                            </w:r>
                          </w:p>
                          <w:p w:rsidR="001A6F0F" w:rsidRDefault="001A6F0F" w:rsidP="001A6F0F">
                            <w:pPr>
                              <w:spacing w:before="0" w:after="0" w:line="240" w:lineRule="auto"/>
                              <w:ind w:left="180"/>
                              <w:rPr>
                                <w:rFonts w:ascii="Century Gothic" w:hAnsi="Century Gothic"/>
                                <w:sz w:val="20"/>
                              </w:rPr>
                            </w:pPr>
                            <w:r>
                              <w:rPr>
                                <w:rFonts w:ascii="Century Gothic" w:hAnsi="Century Gothic"/>
                                <w:sz w:val="20"/>
                              </w:rPr>
                              <w:t xml:space="preserve">        DATE                                       SIGNATURE</w:t>
                            </w:r>
                          </w:p>
                          <w:p w:rsidR="001A6F0F" w:rsidRDefault="001A6F0F" w:rsidP="001A6F0F">
                            <w:pPr>
                              <w:spacing w:before="0" w:after="0" w:line="240" w:lineRule="auto"/>
                              <w:ind w:left="180"/>
                              <w:rPr>
                                <w:rFonts w:ascii="Century Gothic" w:hAnsi="Century Gothic"/>
                                <w:sz w:val="20"/>
                              </w:rPr>
                            </w:pPr>
                          </w:p>
                          <w:p w:rsidR="001A6F0F" w:rsidRDefault="001A6F0F" w:rsidP="001A6F0F">
                            <w:pPr>
                              <w:spacing w:before="0" w:after="0" w:line="240" w:lineRule="auto"/>
                              <w:ind w:left="900"/>
                              <w:rPr>
                                <w:rFonts w:ascii="Century Gothic" w:hAnsi="Century Gothic"/>
                                <w:sz w:val="20"/>
                              </w:rPr>
                            </w:pPr>
                          </w:p>
                          <w:p w:rsidR="001A6F0F" w:rsidRDefault="001A6F0F" w:rsidP="001A6F0F">
                            <w:pPr>
                              <w:spacing w:before="0" w:after="0" w:line="240" w:lineRule="auto"/>
                              <w:ind w:left="900"/>
                              <w:rPr>
                                <w:rFonts w:ascii="Century Gothic" w:hAnsi="Century Gothic"/>
                                <w:sz w:val="20"/>
                              </w:rPr>
                            </w:pPr>
                          </w:p>
                          <w:p w:rsidR="001A6F0F" w:rsidRDefault="001A6F0F" w:rsidP="001A6F0F">
                            <w:pPr>
                              <w:spacing w:before="0" w:after="0" w:line="240" w:lineRule="auto"/>
                              <w:ind w:left="900"/>
                              <w:rPr>
                                <w:rFonts w:ascii="Century Gothic" w:hAnsi="Century Gothic"/>
                                <w:sz w:val="20"/>
                              </w:rPr>
                            </w:pPr>
                          </w:p>
                          <w:p w:rsidR="001A6F0F" w:rsidRPr="0038792A" w:rsidRDefault="001A6F0F" w:rsidP="001A6F0F">
                            <w:pPr>
                              <w:spacing w:before="0" w:after="0" w:line="240" w:lineRule="auto"/>
                              <w:ind w:left="900"/>
                              <w:rPr>
                                <w:rFonts w:ascii="Century Gothic" w:hAnsi="Century Gothic"/>
                                <w:sz w:val="20"/>
                              </w:rPr>
                            </w:pPr>
                          </w:p>
                          <w:p w:rsidR="00AC601C" w:rsidRPr="0038792A" w:rsidRDefault="00AC601C" w:rsidP="00AC601C">
                            <w:pPr>
                              <w:rPr>
                                <w:rFonts w:ascii="Century Gothic" w:hAnsi="Century Gothic"/>
                                <w:sz w:val="20"/>
                              </w:rPr>
                            </w:pPr>
                          </w:p>
                          <w:p w:rsidR="00AC601C" w:rsidRDefault="00AC601C" w:rsidP="00AC601C">
                            <w:pPr>
                              <w:rPr>
                                <w:rFonts w:ascii="Century Gothic" w:hAnsi="Century Gothic"/>
                                <w:sz w:val="28"/>
                                <w:szCs w:val="28"/>
                              </w:rPr>
                            </w:pPr>
                          </w:p>
                          <w:p w:rsidR="00AC601C" w:rsidRDefault="00AC601C" w:rsidP="00AC601C">
                            <w:pPr>
                              <w:rPr>
                                <w:rFonts w:ascii="Century Gothic" w:hAnsi="Century Gothic"/>
                                <w:sz w:val="28"/>
                                <w:szCs w:val="28"/>
                              </w:rPr>
                            </w:pPr>
                          </w:p>
                          <w:p w:rsidR="00AC601C" w:rsidRDefault="00AC601C" w:rsidP="00AC601C">
                            <w:pPr>
                              <w:rPr>
                                <w:rFonts w:ascii="Century Gothic" w:hAnsi="Century Gothic"/>
                                <w:sz w:val="28"/>
                                <w:szCs w:val="28"/>
                              </w:rPr>
                            </w:pPr>
                            <w:r>
                              <w:rPr>
                                <w:rFonts w:ascii="Century Gothic" w:hAnsi="Century Gothic"/>
                                <w:sz w:val="28"/>
                                <w:szCs w:val="28"/>
                              </w:rPr>
                              <w:t>____________________        ____________________</w:t>
                            </w:r>
                          </w:p>
                          <w:p w:rsidR="00AC601C" w:rsidRDefault="00AC601C" w:rsidP="00AC601C">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rsidR="00AC601C" w:rsidRDefault="00AC601C" w:rsidP="00AC601C">
                            <w:pPr>
                              <w:rPr>
                                <w:rFonts w:ascii="Century Gothic" w:hAnsi="Century Gothic"/>
                                <w:sz w:val="28"/>
                                <w:szCs w:val="28"/>
                              </w:rPr>
                            </w:pPr>
                          </w:p>
                          <w:p w:rsidR="00AC601C" w:rsidRDefault="00AC601C" w:rsidP="00AC601C">
                            <w:pPr>
                              <w:rPr>
                                <w:rFonts w:ascii="Century Gothic" w:hAnsi="Century Gothic"/>
                                <w:sz w:val="28"/>
                                <w:szCs w:val="28"/>
                              </w:rPr>
                            </w:pPr>
                          </w:p>
                          <w:p w:rsidR="00AC601C" w:rsidRDefault="00AC601C" w:rsidP="00AC601C">
                            <w:pPr>
                              <w:rPr>
                                <w:rFonts w:ascii="Century Gothic" w:hAnsi="Century Gothic"/>
                                <w:sz w:val="28"/>
                                <w:szCs w:val="28"/>
                              </w:rPr>
                            </w:pPr>
                          </w:p>
                          <w:p w:rsidR="00AC601C" w:rsidRPr="009533D5" w:rsidRDefault="00AC601C" w:rsidP="00AC601C">
                            <w:pPr>
                              <w:rPr>
                                <w:rFonts w:ascii="Century Gothic" w:hAnsi="Century Gothic"/>
                                <w:sz w:val="28"/>
                                <w:szCs w:val="28"/>
                              </w:rPr>
                            </w:pPr>
                          </w:p>
                          <w:p w:rsidR="00AC601C" w:rsidRDefault="00AC601C" w:rsidP="00AC601C">
                            <w:pPr>
                              <w:rPr>
                                <w:rFonts w:ascii="Century Gothic" w:hAnsi="Century Gothic"/>
                                <w:b/>
                                <w:sz w:val="18"/>
                                <w:szCs w:val="18"/>
                              </w:rPr>
                            </w:pPr>
                          </w:p>
                          <w:p w:rsidR="00AC601C" w:rsidRDefault="00AC601C" w:rsidP="00AC601C">
                            <w:pPr>
                              <w:rPr>
                                <w:rFonts w:ascii="Century Gothic" w:hAnsi="Century Gothic"/>
                                <w:b/>
                                <w:sz w:val="18"/>
                                <w:szCs w:val="18"/>
                              </w:rPr>
                            </w:pPr>
                          </w:p>
                          <w:p w:rsidR="00AC601C" w:rsidRDefault="00AC601C" w:rsidP="00AC601C">
                            <w:pPr>
                              <w:rPr>
                                <w:rFonts w:ascii="Century Gothic" w:hAnsi="Century Gothic"/>
                                <w:b/>
                                <w:sz w:val="18"/>
                                <w:szCs w:val="18"/>
                              </w:rPr>
                            </w:pPr>
                          </w:p>
                          <w:p w:rsidR="00AC601C" w:rsidRPr="00B93709" w:rsidRDefault="00AC601C" w:rsidP="00AC601C">
                            <w:pPr>
                              <w:rPr>
                                <w:rFonts w:ascii="Century Gothic" w:hAnsi="Century Gothic"/>
                                <w:b/>
                                <w:sz w:val="18"/>
                                <w:szCs w:val="18"/>
                              </w:rPr>
                            </w:pPr>
                          </w:p>
                          <w:p w:rsidR="00AC601C" w:rsidRPr="00B93709" w:rsidRDefault="00AC601C" w:rsidP="00AC601C">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type w14:anchorId="521268D8" id="_x0000_t202" coordsize="21600,21600" o:spt="202" path="m,l,21600r21600,l21600,xe">
                <v:stroke joinstyle="miter"/>
                <v:path gradientshapeok="t" o:connecttype="rect"/>
              </v:shapetype>
              <v:shape id="Text Box 2" o:spid="_x0000_s1026" type="#_x0000_t202" style="position:absolute;left:0;text-align:left;margin-left:0;margin-top:.35pt;width:260pt;height:11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tryLAIAAFEEAAAOAAAAZHJzL2Uyb0RvYy54bWysVM1u2zAMvg/YOwi6L3bcZG2MOEWXLsOA&#10;7gdo9wCyLNvCJFGTlNjd04+S0zTdsMswHwRRJD+SH0mvr0etyEE4L8FUdD7LKRGGQyNNV9FvD7s3&#10;V5T4wEzDFBhR0Ufh6fXm9av1YEtRQA+qEY4giPHlYCvah2DLLPO8F5r5GVhhUNmC0yyg6LqscWxA&#10;dK2yIs/fZgO4xjrgwnt8vZ2UdJPw21bw8KVtvQhEVRRzC+l06azjmW3WrOwcs73kxzTYP2ShmTQY&#10;9AR1ywIjeyf/gNKSO/DQhhkHnUHbSi5SDVjNPP+tmvueWZFqQXK8PdHk/x8s/3z46ohsKlpQYpjG&#10;Fj2IMZB3MJIisjNYX6LRvUWzMOIzdjlV6u0d8O+eGNj2zHTixjkYesEazG4ePbMz1wnHR5B6+AQN&#10;hmH7AAlobJ2O1CEZBNGxS4+nzsRUOD5eXOTYbVRx1M0X+eoShRiDlU/u1vnwQYAm8VJRh61P8Oxw&#10;58Nk+mQSo3lQstlJpZLgunqrHDkwHJNd+o7oL8yUIUNFV8tiOTHwVwhMNWY7RX0BoWXAeVdSV/Tq&#10;ZMTKyNt706ADKwOTarpjdcociYzcTSyGsR7RMLJbQ/OIlDqY5hr3EC89uJ+UDDjTFfU/9swJStRH&#10;g21ZzReLuARJWCwvCxTcuaY+1zDDEaqigZLpug3T4uytk12PkaZBMHCDrWxlIvk5q2PeOLepTccd&#10;i4txLier5z/B5hcAAAD//wMAUEsDBBQABgAIAAAAIQBgBJAC2wAAAAUBAAAPAAAAZHJzL2Rvd25y&#10;ZXYueG1sTI/BTsMwEETvSPyDtUhcUOsQoCkhmwohgegNWgRXN3aTCHsdbDcNf89yguNoRjNvqtXk&#10;rBhNiL0nhMt5BsJQ43VPLcLb9nG2BBGTIq2sJ4PwbSKs6tOTSpXaH+nVjJvUCi6hWCqELqWhlDI2&#10;nXEqzv1giL29D04llqGVOqgjlzsr8yxbSKd64oVODeahM83n5uAQltfP40dcX728N4u9vU0Xxfj0&#10;FRDPz6b7OxDJTOkvDL/4jA41M+38gXQUFoGPJIQCBHs3PAVih5DneQGyruR/+voHAAD//wMAUEsB&#10;Ai0AFAAGAAgAAAAhALaDOJL+AAAA4QEAABMAAAAAAAAAAAAAAAAAAAAAAFtDb250ZW50X1R5cGVz&#10;XS54bWxQSwECLQAUAAYACAAAACEAOP0h/9YAAACUAQAACwAAAAAAAAAAAAAAAAAvAQAAX3JlbHMv&#10;LnJlbHNQSwECLQAUAAYACAAAACEAPFba8iwCAABRBAAADgAAAAAAAAAAAAAAAAAuAgAAZHJzL2Uy&#10;b0RvYy54bWxQSwECLQAUAAYACAAAACEAYASQAtsAAAAFAQAADwAAAAAAAAAAAAAAAACGBAAAZHJz&#10;L2Rvd25yZXYueG1sUEsFBgAAAAAEAAQA8wAAAI4FAAAAAA==&#10;">
                <v:textbox>
                  <w:txbxContent>
                    <w:p w:rsidR="00AC601C" w:rsidRPr="0038792A" w:rsidRDefault="00AC601C" w:rsidP="00AC601C">
                      <w:pPr>
                        <w:rPr>
                          <w:rFonts w:ascii="Century Gothic" w:hAnsi="Century Gothic" w:cs="Arial"/>
                          <w:b/>
                          <w:sz w:val="20"/>
                        </w:rPr>
                      </w:pPr>
                      <w:r w:rsidRPr="0038792A">
                        <w:rPr>
                          <w:rFonts w:ascii="Century Gothic" w:hAnsi="Century Gothic" w:cs="Arial"/>
                          <w:b/>
                          <w:sz w:val="20"/>
                        </w:rPr>
                        <w:t>DELETE WHICHEVER IS NOT APPLICABLE</w:t>
                      </w:r>
                    </w:p>
                    <w:p w:rsidR="00AC601C" w:rsidRPr="0038792A" w:rsidRDefault="00AC601C" w:rsidP="00AC601C">
                      <w:pPr>
                        <w:numPr>
                          <w:ilvl w:val="0"/>
                          <w:numId w:val="1"/>
                        </w:numPr>
                        <w:spacing w:before="0" w:after="0" w:line="240" w:lineRule="auto"/>
                        <w:rPr>
                          <w:rFonts w:ascii="Century Gothic" w:hAnsi="Century Gothic"/>
                          <w:sz w:val="20"/>
                        </w:rPr>
                      </w:pPr>
                      <w:r>
                        <w:rPr>
                          <w:rFonts w:ascii="Century Gothic" w:hAnsi="Century Gothic"/>
                          <w:sz w:val="20"/>
                        </w:rPr>
                        <w:t xml:space="preserve">REPORTABLE: </w:t>
                      </w:r>
                      <w:r w:rsidRPr="0038792A">
                        <w:rPr>
                          <w:rFonts w:ascii="Century Gothic" w:hAnsi="Century Gothic"/>
                          <w:sz w:val="20"/>
                        </w:rPr>
                        <w:t>NO</w:t>
                      </w:r>
                    </w:p>
                    <w:p w:rsidR="00AC601C" w:rsidRPr="0038792A" w:rsidRDefault="00AC601C" w:rsidP="00AC601C">
                      <w:pPr>
                        <w:numPr>
                          <w:ilvl w:val="0"/>
                          <w:numId w:val="1"/>
                        </w:numPr>
                        <w:spacing w:before="0" w:after="0" w:line="240" w:lineRule="auto"/>
                        <w:rPr>
                          <w:rFonts w:ascii="Century Gothic" w:hAnsi="Century Gothic"/>
                          <w:sz w:val="20"/>
                        </w:rPr>
                      </w:pPr>
                      <w:r w:rsidRPr="0038792A">
                        <w:rPr>
                          <w:rFonts w:ascii="Century Gothic" w:hAnsi="Century Gothic"/>
                          <w:sz w:val="20"/>
                        </w:rPr>
                        <w:t xml:space="preserve">OF </w:t>
                      </w:r>
                      <w:r w:rsidR="00AC2595">
                        <w:rPr>
                          <w:rFonts w:ascii="Century Gothic" w:hAnsi="Century Gothic"/>
                          <w:sz w:val="20"/>
                        </w:rPr>
                        <w:t xml:space="preserve">INTEREST TO OTHER JUDGES: </w:t>
                      </w:r>
                      <w:r w:rsidR="00796CCA">
                        <w:rPr>
                          <w:rFonts w:ascii="Century Gothic" w:hAnsi="Century Gothic"/>
                          <w:sz w:val="20"/>
                        </w:rPr>
                        <w:t>YES</w:t>
                      </w:r>
                    </w:p>
                    <w:p w:rsidR="00AC601C" w:rsidRDefault="00AC601C" w:rsidP="00AC601C">
                      <w:pPr>
                        <w:numPr>
                          <w:ilvl w:val="0"/>
                          <w:numId w:val="1"/>
                        </w:numPr>
                        <w:spacing w:before="0" w:after="0" w:line="240" w:lineRule="auto"/>
                        <w:rPr>
                          <w:rFonts w:ascii="Century Gothic" w:hAnsi="Century Gothic"/>
                          <w:sz w:val="20"/>
                        </w:rPr>
                      </w:pPr>
                      <w:r w:rsidRPr="0038792A">
                        <w:rPr>
                          <w:rFonts w:ascii="Century Gothic" w:hAnsi="Century Gothic"/>
                          <w:sz w:val="20"/>
                        </w:rPr>
                        <w:t xml:space="preserve">REVISED: </w:t>
                      </w:r>
                    </w:p>
                    <w:p w:rsidR="001A6F0F" w:rsidRDefault="001A6F0F" w:rsidP="001A6F0F">
                      <w:pPr>
                        <w:spacing w:before="0" w:after="0" w:line="240" w:lineRule="auto"/>
                        <w:ind w:left="180"/>
                        <w:rPr>
                          <w:rFonts w:ascii="Century Gothic" w:hAnsi="Century Gothic"/>
                          <w:sz w:val="20"/>
                        </w:rPr>
                      </w:pPr>
                    </w:p>
                    <w:p w:rsidR="001A6F0F" w:rsidRDefault="001A6F0F" w:rsidP="001A6F0F">
                      <w:pPr>
                        <w:spacing w:before="0" w:after="0" w:line="240" w:lineRule="auto"/>
                        <w:ind w:left="180"/>
                        <w:rPr>
                          <w:rFonts w:ascii="Century Gothic" w:hAnsi="Century Gothic"/>
                          <w:sz w:val="20"/>
                        </w:rPr>
                      </w:pPr>
                      <w:r>
                        <w:rPr>
                          <w:rFonts w:ascii="Century Gothic" w:hAnsi="Century Gothic"/>
                          <w:sz w:val="20"/>
                        </w:rPr>
                        <w:t>…………………                        ………………………</w:t>
                      </w:r>
                    </w:p>
                    <w:p w:rsidR="001A6F0F" w:rsidRDefault="001A6F0F" w:rsidP="001A6F0F">
                      <w:pPr>
                        <w:spacing w:before="0" w:after="0" w:line="240" w:lineRule="auto"/>
                        <w:ind w:left="180"/>
                        <w:rPr>
                          <w:rFonts w:ascii="Century Gothic" w:hAnsi="Century Gothic"/>
                          <w:sz w:val="20"/>
                        </w:rPr>
                      </w:pPr>
                      <w:r>
                        <w:rPr>
                          <w:rFonts w:ascii="Century Gothic" w:hAnsi="Century Gothic"/>
                          <w:sz w:val="20"/>
                        </w:rPr>
                        <w:t xml:space="preserve">        DATE                                       SIGNATURE</w:t>
                      </w:r>
                    </w:p>
                    <w:p w:rsidR="001A6F0F" w:rsidRDefault="001A6F0F" w:rsidP="001A6F0F">
                      <w:pPr>
                        <w:spacing w:before="0" w:after="0" w:line="240" w:lineRule="auto"/>
                        <w:ind w:left="180"/>
                        <w:rPr>
                          <w:rFonts w:ascii="Century Gothic" w:hAnsi="Century Gothic"/>
                          <w:sz w:val="20"/>
                        </w:rPr>
                      </w:pPr>
                    </w:p>
                    <w:p w:rsidR="001A6F0F" w:rsidRDefault="001A6F0F" w:rsidP="001A6F0F">
                      <w:pPr>
                        <w:spacing w:before="0" w:after="0" w:line="240" w:lineRule="auto"/>
                        <w:ind w:left="900"/>
                        <w:rPr>
                          <w:rFonts w:ascii="Century Gothic" w:hAnsi="Century Gothic"/>
                          <w:sz w:val="20"/>
                        </w:rPr>
                      </w:pPr>
                    </w:p>
                    <w:p w:rsidR="001A6F0F" w:rsidRDefault="001A6F0F" w:rsidP="001A6F0F">
                      <w:pPr>
                        <w:spacing w:before="0" w:after="0" w:line="240" w:lineRule="auto"/>
                        <w:ind w:left="900"/>
                        <w:rPr>
                          <w:rFonts w:ascii="Century Gothic" w:hAnsi="Century Gothic"/>
                          <w:sz w:val="20"/>
                        </w:rPr>
                      </w:pPr>
                    </w:p>
                    <w:p w:rsidR="001A6F0F" w:rsidRDefault="001A6F0F" w:rsidP="001A6F0F">
                      <w:pPr>
                        <w:spacing w:before="0" w:after="0" w:line="240" w:lineRule="auto"/>
                        <w:ind w:left="900"/>
                        <w:rPr>
                          <w:rFonts w:ascii="Century Gothic" w:hAnsi="Century Gothic"/>
                          <w:sz w:val="20"/>
                        </w:rPr>
                      </w:pPr>
                    </w:p>
                    <w:p w:rsidR="001A6F0F" w:rsidRPr="0038792A" w:rsidRDefault="001A6F0F" w:rsidP="001A6F0F">
                      <w:pPr>
                        <w:spacing w:before="0" w:after="0" w:line="240" w:lineRule="auto"/>
                        <w:ind w:left="900"/>
                        <w:rPr>
                          <w:rFonts w:ascii="Century Gothic" w:hAnsi="Century Gothic"/>
                          <w:sz w:val="20"/>
                        </w:rPr>
                      </w:pPr>
                    </w:p>
                    <w:p w:rsidR="00AC601C" w:rsidRPr="0038792A" w:rsidRDefault="00AC601C" w:rsidP="00AC601C">
                      <w:pPr>
                        <w:rPr>
                          <w:rFonts w:ascii="Century Gothic" w:hAnsi="Century Gothic"/>
                          <w:sz w:val="20"/>
                        </w:rPr>
                      </w:pPr>
                    </w:p>
                    <w:p w:rsidR="00AC601C" w:rsidRDefault="00AC601C" w:rsidP="00AC601C">
                      <w:pPr>
                        <w:rPr>
                          <w:rFonts w:ascii="Century Gothic" w:hAnsi="Century Gothic"/>
                          <w:sz w:val="28"/>
                          <w:szCs w:val="28"/>
                        </w:rPr>
                      </w:pPr>
                    </w:p>
                    <w:p w:rsidR="00AC601C" w:rsidRDefault="00AC601C" w:rsidP="00AC601C">
                      <w:pPr>
                        <w:rPr>
                          <w:rFonts w:ascii="Century Gothic" w:hAnsi="Century Gothic"/>
                          <w:sz w:val="28"/>
                          <w:szCs w:val="28"/>
                        </w:rPr>
                      </w:pPr>
                    </w:p>
                    <w:p w:rsidR="00AC601C" w:rsidRDefault="00AC601C" w:rsidP="00AC601C">
                      <w:pPr>
                        <w:rPr>
                          <w:rFonts w:ascii="Century Gothic" w:hAnsi="Century Gothic"/>
                          <w:sz w:val="28"/>
                          <w:szCs w:val="28"/>
                        </w:rPr>
                      </w:pPr>
                      <w:r>
                        <w:rPr>
                          <w:rFonts w:ascii="Century Gothic" w:hAnsi="Century Gothic"/>
                          <w:sz w:val="28"/>
                          <w:szCs w:val="28"/>
                        </w:rPr>
                        <w:t>____________________        ____________________</w:t>
                      </w:r>
                    </w:p>
                    <w:p w:rsidR="00AC601C" w:rsidRDefault="00AC601C" w:rsidP="00AC601C">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rsidR="00AC601C" w:rsidRDefault="00AC601C" w:rsidP="00AC601C">
                      <w:pPr>
                        <w:rPr>
                          <w:rFonts w:ascii="Century Gothic" w:hAnsi="Century Gothic"/>
                          <w:sz w:val="28"/>
                          <w:szCs w:val="28"/>
                        </w:rPr>
                      </w:pPr>
                    </w:p>
                    <w:p w:rsidR="00AC601C" w:rsidRDefault="00AC601C" w:rsidP="00AC601C">
                      <w:pPr>
                        <w:rPr>
                          <w:rFonts w:ascii="Century Gothic" w:hAnsi="Century Gothic"/>
                          <w:sz w:val="28"/>
                          <w:szCs w:val="28"/>
                        </w:rPr>
                      </w:pPr>
                    </w:p>
                    <w:p w:rsidR="00AC601C" w:rsidRDefault="00AC601C" w:rsidP="00AC601C">
                      <w:pPr>
                        <w:rPr>
                          <w:rFonts w:ascii="Century Gothic" w:hAnsi="Century Gothic"/>
                          <w:sz w:val="28"/>
                          <w:szCs w:val="28"/>
                        </w:rPr>
                      </w:pPr>
                    </w:p>
                    <w:p w:rsidR="00AC601C" w:rsidRPr="009533D5" w:rsidRDefault="00AC601C" w:rsidP="00AC601C">
                      <w:pPr>
                        <w:rPr>
                          <w:rFonts w:ascii="Century Gothic" w:hAnsi="Century Gothic"/>
                          <w:sz w:val="28"/>
                          <w:szCs w:val="28"/>
                        </w:rPr>
                      </w:pPr>
                    </w:p>
                    <w:p w:rsidR="00AC601C" w:rsidRDefault="00AC601C" w:rsidP="00AC601C">
                      <w:pPr>
                        <w:rPr>
                          <w:rFonts w:ascii="Century Gothic" w:hAnsi="Century Gothic"/>
                          <w:b/>
                          <w:sz w:val="18"/>
                          <w:szCs w:val="18"/>
                        </w:rPr>
                      </w:pPr>
                    </w:p>
                    <w:p w:rsidR="00AC601C" w:rsidRDefault="00AC601C" w:rsidP="00AC601C">
                      <w:pPr>
                        <w:rPr>
                          <w:rFonts w:ascii="Century Gothic" w:hAnsi="Century Gothic"/>
                          <w:b/>
                          <w:sz w:val="18"/>
                          <w:szCs w:val="18"/>
                        </w:rPr>
                      </w:pPr>
                    </w:p>
                    <w:p w:rsidR="00AC601C" w:rsidRDefault="00AC601C" w:rsidP="00AC601C">
                      <w:pPr>
                        <w:rPr>
                          <w:rFonts w:ascii="Century Gothic" w:hAnsi="Century Gothic"/>
                          <w:b/>
                          <w:sz w:val="18"/>
                          <w:szCs w:val="18"/>
                        </w:rPr>
                      </w:pPr>
                    </w:p>
                    <w:p w:rsidR="00AC601C" w:rsidRPr="00B93709" w:rsidRDefault="00AC601C" w:rsidP="00AC601C">
                      <w:pPr>
                        <w:rPr>
                          <w:rFonts w:ascii="Century Gothic" w:hAnsi="Century Gothic"/>
                          <w:b/>
                          <w:sz w:val="18"/>
                          <w:szCs w:val="18"/>
                        </w:rPr>
                      </w:pPr>
                    </w:p>
                    <w:p w:rsidR="00AC601C" w:rsidRPr="00B93709" w:rsidRDefault="00AC601C" w:rsidP="00AC601C">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v:textbox>
                <w10:wrap anchorx="margin"/>
              </v:shape>
            </w:pict>
          </mc:Fallback>
        </mc:AlternateContent>
      </w:r>
    </w:p>
    <w:p w:rsidR="00AC601C" w:rsidRPr="004F2C74" w:rsidRDefault="00AC601C" w:rsidP="00AC601C">
      <w:pPr>
        <w:spacing w:before="0" w:after="200" w:line="276" w:lineRule="auto"/>
        <w:jc w:val="center"/>
        <w:outlineLvl w:val="0"/>
        <w:rPr>
          <w:rFonts w:ascii="Times New Roman" w:eastAsiaTheme="minorEastAsia" w:hAnsi="Times New Roman"/>
          <w:b/>
          <w:szCs w:val="24"/>
          <w:lang w:eastAsia="en-ZA"/>
        </w:rPr>
      </w:pPr>
    </w:p>
    <w:p w:rsidR="00AC601C" w:rsidRPr="004F2C74" w:rsidRDefault="00AC601C" w:rsidP="00AC601C">
      <w:pPr>
        <w:spacing w:before="0" w:after="200" w:line="276" w:lineRule="auto"/>
        <w:jc w:val="center"/>
        <w:outlineLvl w:val="0"/>
        <w:rPr>
          <w:rFonts w:ascii="Times New Roman" w:eastAsiaTheme="minorEastAsia" w:hAnsi="Times New Roman"/>
          <w:b/>
          <w:szCs w:val="24"/>
          <w:lang w:eastAsia="en-ZA"/>
        </w:rPr>
      </w:pPr>
    </w:p>
    <w:p w:rsidR="00AC601C" w:rsidRPr="004F2C74" w:rsidRDefault="00AC601C" w:rsidP="00AC601C">
      <w:pPr>
        <w:spacing w:before="0" w:after="200" w:line="276" w:lineRule="auto"/>
        <w:jc w:val="center"/>
        <w:outlineLvl w:val="0"/>
        <w:rPr>
          <w:rFonts w:ascii="Times New Roman" w:eastAsiaTheme="minorEastAsia" w:hAnsi="Times New Roman"/>
          <w:b/>
          <w:szCs w:val="24"/>
          <w:lang w:eastAsia="en-ZA"/>
        </w:rPr>
      </w:pPr>
    </w:p>
    <w:p w:rsidR="00267C03" w:rsidRDefault="00267C03" w:rsidP="00AC2595">
      <w:pPr>
        <w:jc w:val="both"/>
        <w:rPr>
          <w:szCs w:val="24"/>
        </w:rPr>
      </w:pPr>
    </w:p>
    <w:p w:rsidR="00AC2595" w:rsidRDefault="00AC2595" w:rsidP="00E05E37">
      <w:pPr>
        <w:spacing w:line="276" w:lineRule="auto"/>
        <w:jc w:val="both"/>
        <w:rPr>
          <w:szCs w:val="24"/>
        </w:rPr>
      </w:pPr>
      <w:r>
        <w:rPr>
          <w:szCs w:val="24"/>
        </w:rPr>
        <w:t xml:space="preserve">In the </w:t>
      </w:r>
      <w:r w:rsidR="007E6D2C">
        <w:rPr>
          <w:szCs w:val="24"/>
        </w:rPr>
        <w:t>application of</w:t>
      </w:r>
      <w:r>
        <w:rPr>
          <w:szCs w:val="24"/>
        </w:rPr>
        <w:t>:</w:t>
      </w:r>
    </w:p>
    <w:p w:rsidR="008E6848" w:rsidRDefault="008E6848" w:rsidP="00E05E37">
      <w:pPr>
        <w:spacing w:line="276" w:lineRule="auto"/>
        <w:jc w:val="both"/>
        <w:rPr>
          <w:szCs w:val="24"/>
        </w:rPr>
      </w:pPr>
    </w:p>
    <w:p w:rsidR="00E05E37" w:rsidRDefault="00EB0E91" w:rsidP="00E05E37">
      <w:pPr>
        <w:spacing w:line="276" w:lineRule="auto"/>
        <w:jc w:val="both"/>
        <w:rPr>
          <w:b/>
          <w:szCs w:val="24"/>
        </w:rPr>
      </w:pPr>
      <w:r>
        <w:rPr>
          <w:b/>
          <w:szCs w:val="24"/>
        </w:rPr>
        <w:t>THE JOHANNESBURG SOCIETY OF ADVOCATES</w:t>
      </w:r>
      <w:r w:rsidR="00AC2595" w:rsidRPr="00F10A94">
        <w:rPr>
          <w:b/>
          <w:szCs w:val="24"/>
        </w:rPr>
        <w:tab/>
      </w:r>
      <w:r w:rsidR="00AC2595">
        <w:rPr>
          <w:b/>
          <w:szCs w:val="24"/>
        </w:rPr>
        <w:t xml:space="preserve">            </w:t>
      </w:r>
      <w:r>
        <w:rPr>
          <w:b/>
          <w:szCs w:val="24"/>
        </w:rPr>
        <w:t xml:space="preserve">                           </w:t>
      </w:r>
      <w:r w:rsidRPr="00F10A94">
        <w:rPr>
          <w:spacing w:val="-2"/>
          <w:szCs w:val="24"/>
        </w:rPr>
        <w:t>Applicant</w:t>
      </w:r>
      <w:r w:rsidR="00AC2595">
        <w:rPr>
          <w:b/>
          <w:szCs w:val="24"/>
        </w:rPr>
        <w:t xml:space="preserve">       </w:t>
      </w:r>
    </w:p>
    <w:p w:rsidR="00AC2595" w:rsidRPr="00F10A94" w:rsidRDefault="00AC2595" w:rsidP="00E05E37">
      <w:pPr>
        <w:spacing w:line="276" w:lineRule="auto"/>
        <w:jc w:val="both"/>
        <w:rPr>
          <w:szCs w:val="24"/>
        </w:rPr>
      </w:pPr>
      <w:r>
        <w:rPr>
          <w:b/>
          <w:szCs w:val="24"/>
        </w:rPr>
        <w:t xml:space="preserve">             </w:t>
      </w:r>
      <w:r w:rsidR="00EB0E91">
        <w:rPr>
          <w:b/>
          <w:szCs w:val="24"/>
        </w:rPr>
        <w:t xml:space="preserve">                               </w:t>
      </w:r>
    </w:p>
    <w:p w:rsidR="00AC2595" w:rsidRDefault="00E05E37" w:rsidP="00E05E37">
      <w:pPr>
        <w:tabs>
          <w:tab w:val="left" w:pos="7205"/>
        </w:tabs>
        <w:spacing w:line="276" w:lineRule="auto"/>
        <w:ind w:right="4"/>
        <w:rPr>
          <w:spacing w:val="-4"/>
          <w:szCs w:val="24"/>
        </w:rPr>
      </w:pPr>
      <w:r w:rsidRPr="00F10A94">
        <w:rPr>
          <w:spacing w:val="-4"/>
          <w:szCs w:val="24"/>
        </w:rPr>
        <w:t>A</w:t>
      </w:r>
      <w:r w:rsidR="00AC2595" w:rsidRPr="00F10A94">
        <w:rPr>
          <w:spacing w:val="-4"/>
          <w:szCs w:val="24"/>
        </w:rPr>
        <w:t>nd</w:t>
      </w:r>
    </w:p>
    <w:p w:rsidR="00E05E37" w:rsidRDefault="00E05E37" w:rsidP="00E05E37">
      <w:pPr>
        <w:tabs>
          <w:tab w:val="left" w:pos="7205"/>
        </w:tabs>
        <w:spacing w:line="276" w:lineRule="auto"/>
        <w:ind w:right="4"/>
        <w:rPr>
          <w:szCs w:val="24"/>
        </w:rPr>
      </w:pPr>
    </w:p>
    <w:p w:rsidR="00E05E37" w:rsidRDefault="00EB0E91" w:rsidP="00E05E37">
      <w:pPr>
        <w:tabs>
          <w:tab w:val="left" w:pos="7205"/>
        </w:tabs>
        <w:spacing w:line="276" w:lineRule="auto"/>
        <w:ind w:right="4"/>
        <w:rPr>
          <w:spacing w:val="-2"/>
          <w:szCs w:val="24"/>
        </w:rPr>
      </w:pPr>
      <w:r>
        <w:rPr>
          <w:b/>
          <w:szCs w:val="24"/>
        </w:rPr>
        <w:t xml:space="preserve">HASSAN EBRAHIM </w:t>
      </w:r>
      <w:r w:rsidR="000E42AF" w:rsidRPr="000E42AF">
        <w:rPr>
          <w:b/>
          <w:szCs w:val="24"/>
        </w:rPr>
        <w:t>KAJEE</w:t>
      </w:r>
      <w:r w:rsidR="00AC2595" w:rsidRPr="00F10A94">
        <w:rPr>
          <w:b/>
          <w:szCs w:val="24"/>
        </w:rPr>
        <w:tab/>
      </w:r>
      <w:r w:rsidR="00AC2595">
        <w:rPr>
          <w:b/>
          <w:szCs w:val="24"/>
        </w:rPr>
        <w:t xml:space="preserve">     </w:t>
      </w:r>
      <w:r w:rsidR="00A16FF1">
        <w:rPr>
          <w:b/>
          <w:szCs w:val="24"/>
        </w:rPr>
        <w:t xml:space="preserve">        </w:t>
      </w:r>
      <w:r w:rsidR="00AC2595" w:rsidRPr="00F10A94">
        <w:rPr>
          <w:spacing w:val="-2"/>
          <w:szCs w:val="24"/>
        </w:rPr>
        <w:t>Respondent</w:t>
      </w:r>
    </w:p>
    <w:p w:rsidR="009B545E" w:rsidRDefault="009B545E" w:rsidP="000C4AFD">
      <w:pPr>
        <w:spacing w:line="240" w:lineRule="auto"/>
        <w:jc w:val="both"/>
        <w:rPr>
          <w:szCs w:val="24"/>
        </w:rPr>
      </w:pPr>
      <w:r w:rsidRPr="00DA0381">
        <w:rPr>
          <w:b/>
          <w:szCs w:val="24"/>
        </w:rPr>
        <w:t>Neutral citation</w:t>
      </w:r>
      <w:r>
        <w:rPr>
          <w:szCs w:val="24"/>
        </w:rPr>
        <w:t xml:space="preserve">: </w:t>
      </w:r>
      <w:r w:rsidRPr="00DA0381">
        <w:rPr>
          <w:i/>
          <w:szCs w:val="24"/>
        </w:rPr>
        <w:t xml:space="preserve">The Johannesburg Society of Advocates v Hassan Ebrahim </w:t>
      </w:r>
      <w:r w:rsidR="0029371B" w:rsidRPr="00DA0381">
        <w:rPr>
          <w:i/>
          <w:szCs w:val="24"/>
        </w:rPr>
        <w:t>Kajee</w:t>
      </w:r>
      <w:r w:rsidR="0029371B" w:rsidRPr="0029371B">
        <w:rPr>
          <w:szCs w:val="24"/>
        </w:rPr>
        <w:t xml:space="preserve"> </w:t>
      </w:r>
      <w:r>
        <w:rPr>
          <w:szCs w:val="24"/>
        </w:rPr>
        <w:t>(Case No: 40335/2018) [2023] ZAGPJHC</w:t>
      </w:r>
      <w:r w:rsidR="00DA0381">
        <w:rPr>
          <w:szCs w:val="24"/>
        </w:rPr>
        <w:t xml:space="preserve"> 645</w:t>
      </w:r>
      <w:r>
        <w:rPr>
          <w:szCs w:val="24"/>
        </w:rPr>
        <w:t xml:space="preserve"> (</w:t>
      </w:r>
      <w:r w:rsidR="00DA0381">
        <w:rPr>
          <w:szCs w:val="24"/>
        </w:rPr>
        <w:t>6 June</w:t>
      </w:r>
      <w:r>
        <w:rPr>
          <w:szCs w:val="24"/>
        </w:rPr>
        <w:t xml:space="preserve"> 2023)</w:t>
      </w:r>
    </w:p>
    <w:p w:rsidR="000C4AFD" w:rsidRDefault="000C4AFD" w:rsidP="000C4AFD">
      <w:pPr>
        <w:spacing w:line="240" w:lineRule="auto"/>
        <w:jc w:val="both"/>
        <w:rPr>
          <w:szCs w:val="24"/>
        </w:rPr>
      </w:pPr>
    </w:p>
    <w:p w:rsidR="00213B75" w:rsidRDefault="0045740D" w:rsidP="000C4AFD">
      <w:pPr>
        <w:spacing w:line="240" w:lineRule="auto"/>
        <w:jc w:val="both"/>
        <w:rPr>
          <w:szCs w:val="24"/>
        </w:rPr>
      </w:pPr>
      <w:r>
        <w:rPr>
          <w:szCs w:val="24"/>
        </w:rPr>
        <w:t>This judgment</w:t>
      </w:r>
      <w:r w:rsidRPr="0045740D">
        <w:rPr>
          <w:szCs w:val="24"/>
        </w:rPr>
        <w:t xml:space="preserve"> is made an Order of Court by the Judge</w:t>
      </w:r>
      <w:r w:rsidR="00F23B8F">
        <w:rPr>
          <w:szCs w:val="24"/>
        </w:rPr>
        <w:t>s</w:t>
      </w:r>
      <w:r w:rsidRPr="0045740D">
        <w:rPr>
          <w:szCs w:val="24"/>
        </w:rPr>
        <w:t xml:space="preserve"> whose name</w:t>
      </w:r>
      <w:r w:rsidR="00F23B8F">
        <w:rPr>
          <w:szCs w:val="24"/>
        </w:rPr>
        <w:t>s are</w:t>
      </w:r>
      <w:r w:rsidRPr="0045740D">
        <w:rPr>
          <w:szCs w:val="24"/>
        </w:rPr>
        <w:t xml:space="preserve"> reflected herein, duly stamped by the Registrar of the Court and is submitted electronically to the Parties/their legal repr</w:t>
      </w:r>
      <w:r w:rsidR="00A528D9">
        <w:rPr>
          <w:szCs w:val="24"/>
        </w:rPr>
        <w:t xml:space="preserve">esentatives by email. </w:t>
      </w:r>
      <w:r w:rsidR="00514175">
        <w:rPr>
          <w:szCs w:val="24"/>
        </w:rPr>
        <w:t>The judgment</w:t>
      </w:r>
      <w:r w:rsidRPr="0045740D">
        <w:rPr>
          <w:szCs w:val="24"/>
        </w:rPr>
        <w:t xml:space="preserve"> is further uploaded to the electronic file of this matter on Caselines by the Judge</w:t>
      </w:r>
      <w:r w:rsidR="00F23B8F">
        <w:rPr>
          <w:szCs w:val="24"/>
        </w:rPr>
        <w:t>s or secretaries</w:t>
      </w:r>
      <w:r w:rsidR="00176A06">
        <w:rPr>
          <w:szCs w:val="24"/>
        </w:rPr>
        <w:t xml:space="preserve">. </w:t>
      </w:r>
      <w:r w:rsidRPr="0045740D">
        <w:rPr>
          <w:szCs w:val="24"/>
        </w:rPr>
        <w:t xml:space="preserve">The date of this Order is deemed to </w:t>
      </w:r>
      <w:r w:rsidR="00EB0E91">
        <w:rPr>
          <w:szCs w:val="24"/>
        </w:rPr>
        <w:t xml:space="preserve">be April </w:t>
      </w:r>
      <w:r w:rsidR="003A6F1C">
        <w:rPr>
          <w:szCs w:val="24"/>
        </w:rPr>
        <w:t>2023</w:t>
      </w:r>
      <w:r w:rsidR="000C4AFD">
        <w:rPr>
          <w:szCs w:val="24"/>
        </w:rPr>
        <w:t>.</w:t>
      </w:r>
    </w:p>
    <w:p w:rsidR="009774D2" w:rsidRDefault="009774D2" w:rsidP="00F8095A">
      <w:pPr>
        <w:spacing w:after="0" w:line="240" w:lineRule="auto"/>
        <w:jc w:val="both"/>
        <w:rPr>
          <w:szCs w:val="24"/>
        </w:rPr>
      </w:pPr>
      <w:r w:rsidRPr="009774D2">
        <w:rPr>
          <w:b/>
          <w:szCs w:val="24"/>
        </w:rPr>
        <w:lastRenderedPageBreak/>
        <w:t>Summary</w:t>
      </w:r>
      <w:r>
        <w:rPr>
          <w:szCs w:val="24"/>
        </w:rPr>
        <w:t xml:space="preserve">: </w:t>
      </w:r>
      <w:r w:rsidR="00C41A6D">
        <w:rPr>
          <w:szCs w:val="24"/>
        </w:rPr>
        <w:t xml:space="preserve">Advocate – overcharging fees. </w:t>
      </w:r>
      <w:r w:rsidR="00D15ECE" w:rsidRPr="00D15ECE">
        <w:rPr>
          <w:szCs w:val="24"/>
        </w:rPr>
        <w:t>Enquiry into conduct sui generis.</w:t>
      </w:r>
      <w:r w:rsidR="00D15ECE">
        <w:rPr>
          <w:szCs w:val="24"/>
        </w:rPr>
        <w:t xml:space="preserve"> </w:t>
      </w:r>
      <w:r w:rsidR="00C41A6D">
        <w:rPr>
          <w:szCs w:val="24"/>
        </w:rPr>
        <w:t xml:space="preserve">Serious misconduct. Only appropriate sanction is striking from the roll of advocates. </w:t>
      </w:r>
    </w:p>
    <w:p w:rsidR="008E6848" w:rsidRDefault="008E6848" w:rsidP="00F8095A">
      <w:pPr>
        <w:spacing w:after="0" w:line="240" w:lineRule="auto"/>
        <w:jc w:val="both"/>
        <w:rPr>
          <w:szCs w:val="24"/>
        </w:rPr>
      </w:pPr>
    </w:p>
    <w:p w:rsidR="00F8095A" w:rsidRDefault="00F8095A" w:rsidP="00F8095A">
      <w:pPr>
        <w:pBdr>
          <w:top w:val="single" w:sz="12" w:space="1" w:color="auto"/>
          <w:bottom w:val="single" w:sz="12" w:space="1" w:color="auto"/>
        </w:pBdr>
        <w:spacing w:after="0" w:line="240" w:lineRule="auto"/>
        <w:jc w:val="both"/>
        <w:rPr>
          <w:szCs w:val="24"/>
        </w:rPr>
      </w:pPr>
    </w:p>
    <w:p w:rsidR="00F8095A" w:rsidRPr="00F8095A" w:rsidRDefault="00F8095A" w:rsidP="00F8095A">
      <w:pPr>
        <w:pBdr>
          <w:top w:val="single" w:sz="12" w:space="1" w:color="auto"/>
          <w:bottom w:val="single" w:sz="12" w:space="1" w:color="auto"/>
        </w:pBdr>
        <w:spacing w:after="0" w:line="240" w:lineRule="auto"/>
        <w:jc w:val="center"/>
        <w:rPr>
          <w:b/>
          <w:szCs w:val="24"/>
        </w:rPr>
      </w:pPr>
      <w:r w:rsidRPr="00F8095A">
        <w:rPr>
          <w:b/>
          <w:szCs w:val="24"/>
        </w:rPr>
        <w:t>JUDGEMENT</w:t>
      </w:r>
    </w:p>
    <w:p w:rsidR="00F8095A" w:rsidRDefault="00F8095A" w:rsidP="00F8095A">
      <w:pPr>
        <w:pBdr>
          <w:top w:val="single" w:sz="12" w:space="1" w:color="auto"/>
          <w:bottom w:val="single" w:sz="12" w:space="1" w:color="auto"/>
        </w:pBdr>
        <w:spacing w:before="0" w:after="0" w:line="240" w:lineRule="auto"/>
        <w:jc w:val="center"/>
        <w:rPr>
          <w:szCs w:val="24"/>
        </w:rPr>
      </w:pPr>
    </w:p>
    <w:p w:rsidR="00F8095A" w:rsidRPr="00F8095A" w:rsidRDefault="00F8095A" w:rsidP="00F8095A">
      <w:pPr>
        <w:spacing w:before="0" w:after="0" w:line="240" w:lineRule="auto"/>
        <w:jc w:val="both"/>
      </w:pPr>
    </w:p>
    <w:p w:rsidR="00AC601C" w:rsidRDefault="00F23B8F" w:rsidP="00F8095A">
      <w:pPr>
        <w:spacing w:before="0" w:line="240" w:lineRule="auto"/>
        <w:jc w:val="both"/>
        <w:rPr>
          <w:b/>
          <w:szCs w:val="24"/>
          <w:u w:val="single"/>
        </w:rPr>
      </w:pPr>
      <w:r w:rsidRPr="00DA0381">
        <w:rPr>
          <w:b/>
          <w:szCs w:val="24"/>
          <w:u w:val="single"/>
        </w:rPr>
        <w:t xml:space="preserve">Makume </w:t>
      </w:r>
      <w:r w:rsidR="00F12A9B" w:rsidRPr="00DA0381">
        <w:rPr>
          <w:b/>
          <w:szCs w:val="24"/>
          <w:u w:val="single"/>
        </w:rPr>
        <w:t>J et</w:t>
      </w:r>
      <w:r w:rsidRPr="00DA0381">
        <w:rPr>
          <w:b/>
          <w:szCs w:val="24"/>
          <w:u w:val="single"/>
        </w:rPr>
        <w:t xml:space="preserve"> Wepener J</w:t>
      </w:r>
      <w:r w:rsidR="00AC601C" w:rsidRPr="00DA0381">
        <w:rPr>
          <w:b/>
          <w:szCs w:val="24"/>
          <w:u w:val="single"/>
        </w:rPr>
        <w:t>:</w:t>
      </w:r>
    </w:p>
    <w:p w:rsidR="00F8095A" w:rsidRDefault="00F8095A" w:rsidP="00F8095A">
      <w:pPr>
        <w:spacing w:before="0"/>
        <w:jc w:val="both"/>
        <w:rPr>
          <w:b/>
          <w:szCs w:val="24"/>
          <w:u w:val="single"/>
        </w:rPr>
      </w:pPr>
    </w:p>
    <w:p w:rsidR="00561470" w:rsidRDefault="00AC601C" w:rsidP="00F8095A">
      <w:pPr>
        <w:jc w:val="both"/>
        <w:rPr>
          <w:szCs w:val="24"/>
        </w:rPr>
      </w:pPr>
      <w:r w:rsidRPr="00AC601C">
        <w:rPr>
          <w:szCs w:val="24"/>
        </w:rPr>
        <w:t>[1]</w:t>
      </w:r>
      <w:r>
        <w:rPr>
          <w:szCs w:val="24"/>
        </w:rPr>
        <w:tab/>
      </w:r>
      <w:r w:rsidR="00A06E4A">
        <w:rPr>
          <w:szCs w:val="24"/>
        </w:rPr>
        <w:t xml:space="preserve"> </w:t>
      </w:r>
      <w:r w:rsidR="008E12C9">
        <w:rPr>
          <w:szCs w:val="24"/>
        </w:rPr>
        <w:t>This application was brought by the applicant to this court for it to consider striking the name of the respondent o</w:t>
      </w:r>
      <w:r w:rsidR="00561470">
        <w:rPr>
          <w:szCs w:val="24"/>
        </w:rPr>
        <w:t>ff</w:t>
      </w:r>
      <w:r w:rsidR="008E12C9">
        <w:rPr>
          <w:szCs w:val="24"/>
        </w:rPr>
        <w:t xml:space="preserve"> the roll of advocates.</w:t>
      </w:r>
      <w:r w:rsidR="00AE7DF3">
        <w:rPr>
          <w:szCs w:val="24"/>
        </w:rPr>
        <w:t xml:space="preserve"> </w:t>
      </w:r>
      <w:r w:rsidR="00AE7DF3" w:rsidRPr="00AE7DF3">
        <w:rPr>
          <w:szCs w:val="24"/>
        </w:rPr>
        <w:t>The respondent was admitted to practice as an advocate of the High Court of South Africa by the Natal Provincial Division of the High Court on the 29</w:t>
      </w:r>
      <w:r w:rsidR="00AE7DF3" w:rsidRPr="008E6848">
        <w:rPr>
          <w:szCs w:val="24"/>
          <w:vertAlign w:val="superscript"/>
        </w:rPr>
        <w:t>th</w:t>
      </w:r>
      <w:r w:rsidR="008E6848">
        <w:rPr>
          <w:szCs w:val="24"/>
        </w:rPr>
        <w:t xml:space="preserve"> </w:t>
      </w:r>
      <w:r w:rsidR="00AE7DF3" w:rsidRPr="00AE7DF3">
        <w:rPr>
          <w:szCs w:val="24"/>
        </w:rPr>
        <w:t>May 1995. He became a member of the Johannesburg Society of Advocates on the 1</w:t>
      </w:r>
      <w:r w:rsidR="00AE7DF3" w:rsidRPr="008E6848">
        <w:rPr>
          <w:szCs w:val="24"/>
          <w:vertAlign w:val="superscript"/>
        </w:rPr>
        <w:t>st</w:t>
      </w:r>
      <w:r w:rsidR="008E6848">
        <w:rPr>
          <w:szCs w:val="24"/>
        </w:rPr>
        <w:t xml:space="preserve"> </w:t>
      </w:r>
      <w:r w:rsidR="00AE7DF3" w:rsidRPr="00AE7DF3">
        <w:rPr>
          <w:szCs w:val="24"/>
        </w:rPr>
        <w:t>May 2006.</w:t>
      </w:r>
      <w:r w:rsidR="008E12C9">
        <w:rPr>
          <w:szCs w:val="24"/>
        </w:rPr>
        <w:t xml:space="preserve"> </w:t>
      </w:r>
    </w:p>
    <w:p w:rsidR="00DA0381" w:rsidRDefault="00DA0381" w:rsidP="00AC2595">
      <w:pPr>
        <w:jc w:val="both"/>
        <w:rPr>
          <w:szCs w:val="24"/>
        </w:rPr>
      </w:pPr>
    </w:p>
    <w:p w:rsidR="00714166" w:rsidRDefault="00561470" w:rsidP="00AC2595">
      <w:pPr>
        <w:jc w:val="both"/>
        <w:rPr>
          <w:szCs w:val="24"/>
        </w:rPr>
      </w:pPr>
      <w:r>
        <w:rPr>
          <w:szCs w:val="24"/>
        </w:rPr>
        <w:t>[2]</w:t>
      </w:r>
      <w:r>
        <w:rPr>
          <w:szCs w:val="24"/>
        </w:rPr>
        <w:tab/>
      </w:r>
      <w:r w:rsidR="008E12C9">
        <w:rPr>
          <w:szCs w:val="24"/>
        </w:rPr>
        <w:t xml:space="preserve">These proceedings are </w:t>
      </w:r>
      <w:r w:rsidR="00BC75DE">
        <w:rPr>
          <w:szCs w:val="24"/>
        </w:rPr>
        <w:t>sui generis and of a disciplinary nature being proceedings of t</w:t>
      </w:r>
      <w:r w:rsidR="005A3091">
        <w:rPr>
          <w:szCs w:val="24"/>
        </w:rPr>
        <w:t>he court and not of the parties</w:t>
      </w:r>
      <w:r w:rsidR="00F23B8F">
        <w:rPr>
          <w:szCs w:val="24"/>
        </w:rPr>
        <w:t>.</w:t>
      </w:r>
      <w:r w:rsidR="00CA31D2">
        <w:rPr>
          <w:szCs w:val="24"/>
        </w:rPr>
        <w:t xml:space="preserve"> See </w:t>
      </w:r>
      <w:r w:rsidR="00CA31D2" w:rsidRPr="00CA31D2">
        <w:rPr>
          <w:i/>
          <w:szCs w:val="24"/>
        </w:rPr>
        <w:t>Edeling</w:t>
      </w:r>
      <w:r w:rsidR="00BC75DE">
        <w:rPr>
          <w:rStyle w:val="FootnoteReference"/>
          <w:szCs w:val="24"/>
        </w:rPr>
        <w:footnoteReference w:id="1"/>
      </w:r>
      <w:r w:rsidR="005A3091">
        <w:rPr>
          <w:szCs w:val="24"/>
        </w:rPr>
        <w:t xml:space="preserve"> where reliance was placed on </w:t>
      </w:r>
      <w:r w:rsidR="005A3091" w:rsidRPr="00CA31D2">
        <w:rPr>
          <w:i/>
          <w:szCs w:val="24"/>
        </w:rPr>
        <w:t>Solomon v Law Society of the Cape of Good Hope</w:t>
      </w:r>
      <w:r w:rsidR="005A3091">
        <w:rPr>
          <w:rStyle w:val="FootnoteReference"/>
          <w:szCs w:val="24"/>
        </w:rPr>
        <w:footnoteReference w:id="2"/>
      </w:r>
      <w:r w:rsidR="005A3091">
        <w:rPr>
          <w:szCs w:val="24"/>
        </w:rPr>
        <w:t xml:space="preserve"> where the following was said:</w:t>
      </w:r>
    </w:p>
    <w:p w:rsidR="00F8095A" w:rsidRDefault="00F8095A" w:rsidP="00AC2595">
      <w:pPr>
        <w:jc w:val="both"/>
        <w:rPr>
          <w:szCs w:val="24"/>
        </w:rPr>
      </w:pPr>
    </w:p>
    <w:p w:rsidR="005A3091" w:rsidRDefault="005A3091" w:rsidP="005A3091">
      <w:pPr>
        <w:ind w:left="709"/>
        <w:jc w:val="both"/>
        <w:rPr>
          <w:sz w:val="22"/>
          <w:szCs w:val="24"/>
        </w:rPr>
      </w:pPr>
      <w:r>
        <w:rPr>
          <w:szCs w:val="24"/>
        </w:rPr>
        <w:tab/>
      </w:r>
      <w:r w:rsidR="002F3A5F">
        <w:rPr>
          <w:sz w:val="22"/>
          <w:szCs w:val="24"/>
        </w:rPr>
        <w:t>“</w:t>
      </w:r>
      <w:r>
        <w:rPr>
          <w:sz w:val="22"/>
          <w:szCs w:val="24"/>
        </w:rPr>
        <w:t xml:space="preserve">It is difficult to place this kind of application in a particular legal docket. The proceedings are statutory and </w:t>
      </w:r>
      <w:r w:rsidRPr="005A3091">
        <w:rPr>
          <w:i/>
          <w:sz w:val="22"/>
          <w:szCs w:val="24"/>
        </w:rPr>
        <w:t>sui generis</w:t>
      </w:r>
      <w:r>
        <w:rPr>
          <w:sz w:val="22"/>
          <w:szCs w:val="24"/>
        </w:rPr>
        <w:t xml:space="preserve">, and are no more than a request to the court by the </w:t>
      </w:r>
      <w:r w:rsidRPr="005A3091">
        <w:rPr>
          <w:i/>
          <w:sz w:val="22"/>
          <w:szCs w:val="24"/>
        </w:rPr>
        <w:t xml:space="preserve">custos morum </w:t>
      </w:r>
      <w:r>
        <w:rPr>
          <w:sz w:val="22"/>
          <w:szCs w:val="24"/>
        </w:rPr>
        <w:t>of the profession to use its disciplinary powers over and officer of the court who has misconducted himself.</w:t>
      </w:r>
      <w:r w:rsidR="002F3A5F">
        <w:rPr>
          <w:sz w:val="22"/>
          <w:szCs w:val="24"/>
        </w:rPr>
        <w:t>”</w:t>
      </w:r>
    </w:p>
    <w:p w:rsidR="000C4AFD" w:rsidRDefault="000C4AFD" w:rsidP="005A3091">
      <w:pPr>
        <w:ind w:left="709"/>
        <w:jc w:val="both"/>
        <w:rPr>
          <w:sz w:val="22"/>
          <w:szCs w:val="24"/>
        </w:rPr>
      </w:pPr>
    </w:p>
    <w:p w:rsidR="00D4187A" w:rsidRDefault="00F754B4" w:rsidP="00D4187A">
      <w:pPr>
        <w:jc w:val="both"/>
        <w:rPr>
          <w:szCs w:val="24"/>
        </w:rPr>
      </w:pPr>
      <w:r>
        <w:rPr>
          <w:szCs w:val="24"/>
        </w:rPr>
        <w:t>[</w:t>
      </w:r>
      <w:r w:rsidR="007B02A2">
        <w:rPr>
          <w:szCs w:val="24"/>
        </w:rPr>
        <w:t>3</w:t>
      </w:r>
      <w:r>
        <w:rPr>
          <w:szCs w:val="24"/>
        </w:rPr>
        <w:t>]</w:t>
      </w:r>
      <w:r>
        <w:rPr>
          <w:szCs w:val="24"/>
        </w:rPr>
        <w:tab/>
      </w:r>
      <w:r w:rsidR="00D4187A" w:rsidRPr="00D4187A">
        <w:rPr>
          <w:szCs w:val="24"/>
        </w:rPr>
        <w:t>The learn</w:t>
      </w:r>
      <w:r w:rsidR="00D4187A">
        <w:rPr>
          <w:szCs w:val="24"/>
        </w:rPr>
        <w:t xml:space="preserve">ed judges in the </w:t>
      </w:r>
      <w:r w:rsidR="00D4187A" w:rsidRPr="00D4187A">
        <w:rPr>
          <w:i/>
          <w:szCs w:val="24"/>
        </w:rPr>
        <w:t>Edeling</w:t>
      </w:r>
      <w:r w:rsidR="00EF4F85">
        <w:rPr>
          <w:szCs w:val="24"/>
        </w:rPr>
        <w:t xml:space="preserve"> matter referred to a </w:t>
      </w:r>
      <w:r w:rsidR="00D4187A">
        <w:rPr>
          <w:szCs w:val="24"/>
        </w:rPr>
        <w:t>number of authorities in support of this dictum.</w:t>
      </w:r>
      <w:r w:rsidR="00D4187A">
        <w:rPr>
          <w:rStyle w:val="FootnoteReference"/>
          <w:szCs w:val="24"/>
        </w:rPr>
        <w:footnoteReference w:id="3"/>
      </w:r>
      <w:r w:rsidR="00C3349C">
        <w:rPr>
          <w:szCs w:val="24"/>
        </w:rPr>
        <w:t xml:space="preserve"> In </w:t>
      </w:r>
      <w:r w:rsidR="00C3349C" w:rsidRPr="00C3349C">
        <w:rPr>
          <w:i/>
          <w:szCs w:val="24"/>
        </w:rPr>
        <w:t>Edeling</w:t>
      </w:r>
      <w:r w:rsidR="00C3349C">
        <w:rPr>
          <w:szCs w:val="24"/>
        </w:rPr>
        <w:t xml:space="preserve"> the learned judges continued to state:</w:t>
      </w:r>
      <w:r w:rsidR="00C3349C">
        <w:rPr>
          <w:rStyle w:val="FootnoteReference"/>
          <w:szCs w:val="24"/>
        </w:rPr>
        <w:footnoteReference w:id="4"/>
      </w:r>
    </w:p>
    <w:p w:rsidR="004F2A27" w:rsidRDefault="004F2A27" w:rsidP="00D4187A">
      <w:pPr>
        <w:jc w:val="both"/>
        <w:rPr>
          <w:szCs w:val="24"/>
        </w:rPr>
      </w:pPr>
    </w:p>
    <w:p w:rsidR="00C3349C" w:rsidRDefault="00C3349C" w:rsidP="00C3349C">
      <w:pPr>
        <w:ind w:left="709"/>
        <w:jc w:val="both"/>
        <w:rPr>
          <w:sz w:val="22"/>
          <w:szCs w:val="24"/>
        </w:rPr>
      </w:pPr>
      <w:r>
        <w:rPr>
          <w:szCs w:val="24"/>
        </w:rPr>
        <w:tab/>
      </w:r>
      <w:r w:rsidR="002F3A5F">
        <w:rPr>
          <w:sz w:val="22"/>
          <w:szCs w:val="24"/>
        </w:rPr>
        <w:t>“</w:t>
      </w:r>
      <w:r w:rsidRPr="00C3349C">
        <w:rPr>
          <w:sz w:val="22"/>
          <w:szCs w:val="24"/>
        </w:rPr>
        <w:t xml:space="preserve">Proceedings of this nature are those of the Court and not of the parties. It was the Court in the first instance who admitted a person as an advocate when it was satisfied that such a person was </w:t>
      </w:r>
      <w:r w:rsidR="00EC7DCE">
        <w:rPr>
          <w:sz w:val="22"/>
          <w:szCs w:val="24"/>
        </w:rPr>
        <w:t>a fit and proper person to be</w:t>
      </w:r>
      <w:r w:rsidRPr="00C3349C">
        <w:rPr>
          <w:sz w:val="22"/>
          <w:szCs w:val="24"/>
        </w:rPr>
        <w:t xml:space="preserve"> allowed to practise as an advocate. The Court exercises its inherent right to control and discipline the practitioners who practise within its jurisdiction in applications of this nature. See </w:t>
      </w:r>
      <w:r w:rsidRPr="00B67B0C">
        <w:rPr>
          <w:i/>
          <w:sz w:val="22"/>
          <w:szCs w:val="24"/>
        </w:rPr>
        <w:t>De Villiers and Another v McIntyre NO</w:t>
      </w:r>
      <w:r w:rsidRPr="00C3349C">
        <w:rPr>
          <w:sz w:val="22"/>
          <w:szCs w:val="24"/>
        </w:rPr>
        <w:t xml:space="preserve"> 1921 AD 425 at 428--9 and </w:t>
      </w:r>
      <w:r w:rsidRPr="00B67B0C">
        <w:rPr>
          <w:i/>
          <w:sz w:val="22"/>
          <w:szCs w:val="24"/>
        </w:rPr>
        <w:t>Society of Advocates of South A</w:t>
      </w:r>
      <w:r w:rsidR="00DA0381">
        <w:rPr>
          <w:i/>
          <w:sz w:val="22"/>
          <w:szCs w:val="24"/>
        </w:rPr>
        <w:t>frica (Witwatersrand Division)</w:t>
      </w:r>
      <w:r w:rsidRPr="00B67B0C">
        <w:rPr>
          <w:i/>
          <w:sz w:val="22"/>
          <w:szCs w:val="24"/>
        </w:rPr>
        <w:t xml:space="preserve"> D v</w:t>
      </w:r>
      <w:r w:rsidRPr="00C3349C">
        <w:rPr>
          <w:sz w:val="22"/>
          <w:szCs w:val="24"/>
        </w:rPr>
        <w:t xml:space="preserve"> </w:t>
      </w:r>
      <w:r w:rsidRPr="000C3BFE">
        <w:rPr>
          <w:i/>
          <w:sz w:val="22"/>
          <w:szCs w:val="24"/>
        </w:rPr>
        <w:t>Cigler</w:t>
      </w:r>
      <w:r w:rsidRPr="00C3349C">
        <w:rPr>
          <w:sz w:val="22"/>
          <w:szCs w:val="24"/>
        </w:rPr>
        <w:t xml:space="preserve"> 1976 (4) SA 350 (T) at 351B--D. In </w:t>
      </w:r>
      <w:r w:rsidRPr="000C3BFE">
        <w:rPr>
          <w:i/>
          <w:sz w:val="22"/>
          <w:szCs w:val="24"/>
        </w:rPr>
        <w:t xml:space="preserve">Society of Advocates of Natal and Another v Knox and Others </w:t>
      </w:r>
      <w:r w:rsidR="000C3BFE">
        <w:rPr>
          <w:sz w:val="22"/>
          <w:szCs w:val="24"/>
        </w:rPr>
        <w:t>1954 (2) SA 246 (N) at 247G-</w:t>
      </w:r>
      <w:r w:rsidRPr="00C3349C">
        <w:rPr>
          <w:sz w:val="22"/>
          <w:szCs w:val="24"/>
        </w:rPr>
        <w:t>H the following was stated by Broome JP:</w:t>
      </w:r>
    </w:p>
    <w:p w:rsidR="00DA0381" w:rsidRPr="00C3349C" w:rsidRDefault="00DA0381" w:rsidP="00C3349C">
      <w:pPr>
        <w:ind w:left="709"/>
        <w:jc w:val="both"/>
        <w:rPr>
          <w:sz w:val="22"/>
          <w:szCs w:val="24"/>
        </w:rPr>
      </w:pPr>
    </w:p>
    <w:p w:rsidR="00C3349C" w:rsidRDefault="00C3349C" w:rsidP="002F3A5F">
      <w:pPr>
        <w:ind w:left="1440"/>
        <w:jc w:val="both"/>
        <w:rPr>
          <w:sz w:val="22"/>
          <w:szCs w:val="24"/>
        </w:rPr>
      </w:pPr>
      <w:r w:rsidRPr="00C3349C">
        <w:rPr>
          <w:sz w:val="22"/>
          <w:szCs w:val="24"/>
        </w:rPr>
        <w:t>'Notwithstanding the absence of any express statutory provision, there is no doubt that this Court has an inherent</w:t>
      </w:r>
      <w:r w:rsidR="002F3A5F">
        <w:rPr>
          <w:sz w:val="22"/>
          <w:szCs w:val="24"/>
        </w:rPr>
        <w:t xml:space="preserve"> </w:t>
      </w:r>
      <w:r w:rsidRPr="00C3349C">
        <w:rPr>
          <w:sz w:val="22"/>
          <w:szCs w:val="24"/>
        </w:rPr>
        <w:t xml:space="preserve">disciplinary jurisdiction over practitioners. In </w:t>
      </w:r>
      <w:r w:rsidRPr="000C3BFE">
        <w:rPr>
          <w:i/>
          <w:sz w:val="22"/>
          <w:szCs w:val="24"/>
        </w:rPr>
        <w:t>De Villiers and Another v McIntyre NO</w:t>
      </w:r>
      <w:r w:rsidRPr="00C3349C">
        <w:rPr>
          <w:sz w:val="22"/>
          <w:szCs w:val="24"/>
        </w:rPr>
        <w:t xml:space="preserve"> 1921 AD 425 at 435, Solomon JA said that the Courts have inherent disciplinary powers over practitioners in cases of misconduct or unprofessional conduct. The judgment of this Court in Ex parte Stuart and Geerdts 1936 NPD 57 at 81 is to the same effect. Prior to the incorporation of the various Law Societies, the Courts asserted a similar inherent jurisdicti</w:t>
      </w:r>
      <w:r w:rsidR="00EC7DCE">
        <w:rPr>
          <w:sz w:val="22"/>
          <w:szCs w:val="24"/>
        </w:rPr>
        <w:t>on in regard to attorneys, eg</w:t>
      </w:r>
      <w:r w:rsidRPr="00C3349C">
        <w:rPr>
          <w:sz w:val="22"/>
          <w:szCs w:val="24"/>
        </w:rPr>
        <w:t xml:space="preserve"> Natal Law Society v Button 3 NLR 36 at 67; Re Cairncross 1877 Buch 122; Solomon v Law Society of the Cape of Good Hope 1934 AD 401 at 409. The jurisdiction of this Court to make the order which is claimed is therefore beyond doubt.'</w:t>
      </w:r>
    </w:p>
    <w:p w:rsidR="00DA0381" w:rsidRPr="00C3349C" w:rsidRDefault="00DA0381" w:rsidP="002F3A5F">
      <w:pPr>
        <w:ind w:left="1440"/>
        <w:jc w:val="both"/>
        <w:rPr>
          <w:sz w:val="22"/>
          <w:szCs w:val="24"/>
        </w:rPr>
      </w:pPr>
    </w:p>
    <w:p w:rsidR="00C3349C" w:rsidRDefault="00C3349C" w:rsidP="00C3349C">
      <w:pPr>
        <w:ind w:left="709"/>
        <w:jc w:val="both"/>
        <w:rPr>
          <w:sz w:val="22"/>
          <w:szCs w:val="24"/>
        </w:rPr>
      </w:pPr>
      <w:r w:rsidRPr="00C3349C">
        <w:rPr>
          <w:sz w:val="22"/>
          <w:szCs w:val="24"/>
        </w:rPr>
        <w:t xml:space="preserve">See also the judgment at 248F-G, where the Court observed that it had the power to act </w:t>
      </w:r>
      <w:r w:rsidRPr="00DA0381">
        <w:rPr>
          <w:i/>
          <w:sz w:val="22"/>
          <w:szCs w:val="24"/>
        </w:rPr>
        <w:t>mero motu</w:t>
      </w:r>
      <w:r w:rsidRPr="00C3349C">
        <w:rPr>
          <w:sz w:val="22"/>
          <w:szCs w:val="24"/>
        </w:rPr>
        <w:t xml:space="preserve"> in regard to misconduct by a practitioner.</w:t>
      </w:r>
    </w:p>
    <w:p w:rsidR="004F2A27" w:rsidRPr="00C3349C" w:rsidRDefault="004F2A27" w:rsidP="00C3349C">
      <w:pPr>
        <w:ind w:left="709"/>
        <w:jc w:val="both"/>
        <w:rPr>
          <w:sz w:val="22"/>
          <w:szCs w:val="24"/>
        </w:rPr>
      </w:pPr>
    </w:p>
    <w:p w:rsidR="00C3349C" w:rsidRDefault="00C3349C" w:rsidP="00C3349C">
      <w:pPr>
        <w:ind w:left="709"/>
        <w:jc w:val="both"/>
        <w:rPr>
          <w:sz w:val="22"/>
          <w:szCs w:val="24"/>
        </w:rPr>
      </w:pPr>
      <w:r w:rsidRPr="00C3349C">
        <w:rPr>
          <w:sz w:val="22"/>
          <w:szCs w:val="24"/>
        </w:rPr>
        <w:t xml:space="preserve">The plaintiff in an application such as the present approaches the Court as </w:t>
      </w:r>
      <w:r w:rsidRPr="00DA0381">
        <w:rPr>
          <w:i/>
          <w:sz w:val="22"/>
          <w:szCs w:val="24"/>
        </w:rPr>
        <w:t>custos</w:t>
      </w:r>
      <w:r w:rsidR="00EC7DCE" w:rsidRPr="00DA0381">
        <w:rPr>
          <w:i/>
          <w:sz w:val="22"/>
          <w:szCs w:val="24"/>
        </w:rPr>
        <w:t xml:space="preserve"> morum</w:t>
      </w:r>
      <w:r w:rsidR="00EC7DCE">
        <w:rPr>
          <w:sz w:val="22"/>
          <w:szCs w:val="24"/>
        </w:rPr>
        <w:t xml:space="preserve"> of the profession. Its</w:t>
      </w:r>
      <w:r w:rsidRPr="00C3349C">
        <w:rPr>
          <w:sz w:val="22"/>
          <w:szCs w:val="24"/>
        </w:rPr>
        <w:t xml:space="preserve"> role is merely to bring evidence of a practitioner's misconduct to the attention of the Court for the latter to exercise its disciplinary powers. The plaintiff acts in the interests of the Court, the profession and the public at large. It is under a duty to do so.</w:t>
      </w:r>
    </w:p>
    <w:p w:rsidR="004F2A27" w:rsidRDefault="004F2A27" w:rsidP="00C3349C">
      <w:pPr>
        <w:ind w:left="709"/>
        <w:jc w:val="both"/>
        <w:rPr>
          <w:sz w:val="22"/>
          <w:szCs w:val="24"/>
        </w:rPr>
      </w:pPr>
    </w:p>
    <w:p w:rsidR="00C3349C" w:rsidRDefault="00C3349C" w:rsidP="00C3349C">
      <w:pPr>
        <w:ind w:left="709"/>
        <w:jc w:val="both"/>
        <w:rPr>
          <w:sz w:val="22"/>
          <w:szCs w:val="24"/>
        </w:rPr>
      </w:pPr>
      <w:r w:rsidRPr="00C3349C">
        <w:rPr>
          <w:sz w:val="22"/>
          <w:szCs w:val="24"/>
        </w:rPr>
        <w:lastRenderedPageBreak/>
        <w:t xml:space="preserve">See in this respect </w:t>
      </w:r>
      <w:r w:rsidRPr="000C3BFE">
        <w:rPr>
          <w:i/>
          <w:sz w:val="22"/>
          <w:szCs w:val="24"/>
        </w:rPr>
        <w:t>Vereniging van Advokate van Suid-Afrika (Witwatersrand Afdeling) v Theunissen</w:t>
      </w:r>
      <w:r w:rsidRPr="00C3349C">
        <w:rPr>
          <w:sz w:val="22"/>
          <w:szCs w:val="24"/>
        </w:rPr>
        <w:t xml:space="preserve"> 19</w:t>
      </w:r>
      <w:r w:rsidR="002B721C">
        <w:rPr>
          <w:sz w:val="22"/>
          <w:szCs w:val="24"/>
        </w:rPr>
        <w:t xml:space="preserve">79 (2) SA 218 (T) at 222F-G: </w:t>
      </w:r>
    </w:p>
    <w:p w:rsidR="00DA0381" w:rsidRPr="00C3349C" w:rsidRDefault="00DA0381" w:rsidP="00C3349C">
      <w:pPr>
        <w:ind w:left="709"/>
        <w:jc w:val="both"/>
        <w:rPr>
          <w:sz w:val="22"/>
          <w:szCs w:val="24"/>
        </w:rPr>
      </w:pPr>
    </w:p>
    <w:p w:rsidR="00C3349C" w:rsidRDefault="00C3349C" w:rsidP="002F3A5F">
      <w:pPr>
        <w:ind w:left="1440"/>
        <w:jc w:val="both"/>
        <w:rPr>
          <w:sz w:val="22"/>
          <w:szCs w:val="24"/>
        </w:rPr>
      </w:pPr>
      <w:r w:rsidRPr="00C3349C">
        <w:rPr>
          <w:sz w:val="22"/>
          <w:szCs w:val="24"/>
        </w:rPr>
        <w:t>'Die Wet op Toelating van Advokate 74 van 1964, in art 7, erken die status van die Vereniging van Advokate en bepaal ook dat die Hof mero motu nie 'n advokaat van die rol kan skrap nie, gaan verder en bepaal dat die Vereniging van Advokate locus standi het om so op te tree. Dit is duidelik en dit word ook so besef deur die Advokaatsorde dat 'n plig op hom as dissiplinerende liggaam rus om in openbare belang op te tree, en behoorlik op te</w:t>
      </w:r>
      <w:r w:rsidR="002B721C">
        <w:rPr>
          <w:sz w:val="22"/>
          <w:szCs w:val="24"/>
        </w:rPr>
        <w:t xml:space="preserve"> tree, in terme van die Wet.'</w:t>
      </w:r>
      <w:r w:rsidR="00561470">
        <w:rPr>
          <w:rStyle w:val="FootnoteReference"/>
          <w:sz w:val="22"/>
          <w:szCs w:val="24"/>
        </w:rPr>
        <w:footnoteReference w:id="5"/>
      </w:r>
    </w:p>
    <w:p w:rsidR="00DA0381" w:rsidRPr="00C3349C" w:rsidRDefault="00DA0381" w:rsidP="002F3A5F">
      <w:pPr>
        <w:ind w:left="1440"/>
        <w:jc w:val="both"/>
        <w:rPr>
          <w:sz w:val="22"/>
          <w:szCs w:val="24"/>
        </w:rPr>
      </w:pPr>
    </w:p>
    <w:p w:rsidR="00C3349C" w:rsidRDefault="00C3349C" w:rsidP="00C3349C">
      <w:pPr>
        <w:ind w:left="709"/>
        <w:jc w:val="both"/>
        <w:rPr>
          <w:sz w:val="22"/>
          <w:szCs w:val="24"/>
        </w:rPr>
      </w:pPr>
      <w:r w:rsidRPr="00C3349C">
        <w:rPr>
          <w:sz w:val="22"/>
          <w:szCs w:val="24"/>
        </w:rPr>
        <w:t xml:space="preserve">See also </w:t>
      </w:r>
      <w:r w:rsidRPr="000C3BFE">
        <w:rPr>
          <w:i/>
          <w:sz w:val="22"/>
          <w:szCs w:val="24"/>
        </w:rPr>
        <w:t>Society of Advocates of SA v Rottanburg</w:t>
      </w:r>
      <w:r w:rsidRPr="00C3349C">
        <w:rPr>
          <w:sz w:val="22"/>
          <w:szCs w:val="24"/>
        </w:rPr>
        <w:t xml:space="preserve"> 1984 (4) SA 35 (T) at 39I-40C, where the following was stated:</w:t>
      </w:r>
    </w:p>
    <w:p w:rsidR="00DA0381" w:rsidRPr="00C3349C" w:rsidRDefault="00DA0381" w:rsidP="00C3349C">
      <w:pPr>
        <w:ind w:left="709"/>
        <w:jc w:val="both"/>
        <w:rPr>
          <w:sz w:val="22"/>
          <w:szCs w:val="24"/>
        </w:rPr>
      </w:pPr>
    </w:p>
    <w:p w:rsidR="00C3349C" w:rsidRDefault="00C3349C" w:rsidP="002F3A5F">
      <w:pPr>
        <w:ind w:left="1440"/>
        <w:jc w:val="both"/>
        <w:rPr>
          <w:sz w:val="22"/>
          <w:szCs w:val="24"/>
        </w:rPr>
      </w:pPr>
      <w:r w:rsidRPr="00C3349C">
        <w:rPr>
          <w:sz w:val="22"/>
          <w:szCs w:val="24"/>
        </w:rPr>
        <w:t xml:space="preserve">'The Bar Council, as the </w:t>
      </w:r>
      <w:r w:rsidRPr="00DA0381">
        <w:rPr>
          <w:i/>
          <w:sz w:val="22"/>
          <w:szCs w:val="24"/>
        </w:rPr>
        <w:t>custos morum</w:t>
      </w:r>
      <w:r w:rsidRPr="00C3349C">
        <w:rPr>
          <w:sz w:val="22"/>
          <w:szCs w:val="24"/>
        </w:rPr>
        <w:t xml:space="preserve"> of the profession, investigates complaints against its members and, if it deems it necessary, brings to the notice of the Court such facts as it possesses with regard to unprofessional </w:t>
      </w:r>
      <w:r w:rsidR="00EC7DCE">
        <w:rPr>
          <w:sz w:val="22"/>
          <w:szCs w:val="24"/>
        </w:rPr>
        <w:t xml:space="preserve">conduct and </w:t>
      </w:r>
      <w:r w:rsidRPr="00C3349C">
        <w:rPr>
          <w:sz w:val="22"/>
          <w:szCs w:val="24"/>
        </w:rPr>
        <w:t xml:space="preserve">asks the Court to deal with them by suspending them or striking them off the roll, or in such a </w:t>
      </w:r>
      <w:r w:rsidR="00EC7DCE">
        <w:rPr>
          <w:sz w:val="22"/>
          <w:szCs w:val="24"/>
        </w:rPr>
        <w:t xml:space="preserve">way as the Court thinks fit. </w:t>
      </w:r>
      <w:r w:rsidRPr="00C3349C">
        <w:rPr>
          <w:sz w:val="22"/>
          <w:szCs w:val="24"/>
        </w:rPr>
        <w:t>The Bar Council is thus to a large extent responsible for the proper investigation of the complaints which are ultimately brought to the attention of the Court. The enquiry held and the findings made after the enquiry was held really form part and parcel of the investigation of the complaints which enable the Bar Council to bring the fac</w:t>
      </w:r>
      <w:r w:rsidR="00EC7DCE">
        <w:rPr>
          <w:sz w:val="22"/>
          <w:szCs w:val="24"/>
        </w:rPr>
        <w:t xml:space="preserve">ts relating to the complaints  </w:t>
      </w:r>
      <w:r w:rsidRPr="00C3349C">
        <w:rPr>
          <w:sz w:val="22"/>
          <w:szCs w:val="24"/>
        </w:rPr>
        <w:t xml:space="preserve"> to the notice of the Court. The Bar Council is entitled to move the Court for disciplinary steps against the respondent, and its counsel invariably presents argument in support of such disciplinary steps. In the end it is the Court, and exclusively the Court, that has to be satisfied - on the facts placed before it - that the respondent is not a fit and proper person to continue to practise as an advocate.'</w:t>
      </w:r>
    </w:p>
    <w:p w:rsidR="00DA0381" w:rsidRPr="00C3349C" w:rsidRDefault="00DA0381" w:rsidP="002F3A5F">
      <w:pPr>
        <w:ind w:left="1440"/>
        <w:jc w:val="both"/>
        <w:rPr>
          <w:sz w:val="22"/>
          <w:szCs w:val="24"/>
        </w:rPr>
      </w:pPr>
    </w:p>
    <w:p w:rsidR="00C3349C" w:rsidRDefault="00C3349C" w:rsidP="002B721C">
      <w:pPr>
        <w:ind w:left="709"/>
        <w:jc w:val="both"/>
        <w:rPr>
          <w:sz w:val="22"/>
          <w:szCs w:val="24"/>
        </w:rPr>
      </w:pPr>
      <w:r w:rsidRPr="00C3349C">
        <w:rPr>
          <w:sz w:val="22"/>
          <w:szCs w:val="24"/>
        </w:rPr>
        <w:lastRenderedPageBreak/>
        <w:t xml:space="preserve">The following was also said by the Court in </w:t>
      </w:r>
      <w:r w:rsidRPr="000C3BFE">
        <w:rPr>
          <w:i/>
          <w:sz w:val="22"/>
          <w:szCs w:val="24"/>
        </w:rPr>
        <w:t xml:space="preserve">Algemene Balieraad van Suid-Afrika v Burger en 'n Ander </w:t>
      </w:r>
      <w:r w:rsidRPr="00C3349C">
        <w:rPr>
          <w:sz w:val="22"/>
          <w:szCs w:val="24"/>
        </w:rPr>
        <w:t>1993 (4) SA 510 (T) at 516G-H:</w:t>
      </w:r>
    </w:p>
    <w:p w:rsidR="00DA0381" w:rsidRPr="00C3349C" w:rsidRDefault="00DA0381" w:rsidP="002B721C">
      <w:pPr>
        <w:ind w:left="709"/>
        <w:jc w:val="both"/>
        <w:rPr>
          <w:sz w:val="22"/>
          <w:szCs w:val="24"/>
        </w:rPr>
      </w:pPr>
    </w:p>
    <w:p w:rsidR="00C3349C" w:rsidRDefault="00C3349C" w:rsidP="002F3A5F">
      <w:pPr>
        <w:ind w:left="1440"/>
        <w:jc w:val="both"/>
        <w:rPr>
          <w:sz w:val="22"/>
          <w:szCs w:val="24"/>
        </w:rPr>
      </w:pPr>
      <w:r w:rsidRPr="00C3349C">
        <w:rPr>
          <w:sz w:val="22"/>
          <w:szCs w:val="24"/>
        </w:rPr>
        <w:t xml:space="preserve">'Daardie subartikel gee myns insiens statutêre beslag aan die behoefte en inherente reg wat die Hof gehad het om, in die uitvoering van sy toesig oor regspraktisyns, iemand te hê wat die gegewens en bewysmateriaal voor hom sal plaas, ingeval daar 'n vraagteken ontstaan oor 'n regspraktisyn se geskiktheid </w:t>
      </w:r>
      <w:r w:rsidR="002B721C">
        <w:rPr>
          <w:sz w:val="22"/>
          <w:szCs w:val="24"/>
        </w:rPr>
        <w:t>om langer op die rol te bly.'</w:t>
      </w:r>
      <w:r w:rsidR="007023DC">
        <w:rPr>
          <w:rStyle w:val="FootnoteReference"/>
          <w:sz w:val="22"/>
          <w:szCs w:val="24"/>
        </w:rPr>
        <w:footnoteReference w:id="6"/>
      </w:r>
    </w:p>
    <w:p w:rsidR="00DA0381" w:rsidRPr="00C3349C" w:rsidRDefault="00DA0381" w:rsidP="002F3A5F">
      <w:pPr>
        <w:ind w:left="1440"/>
        <w:jc w:val="both"/>
        <w:rPr>
          <w:sz w:val="22"/>
          <w:szCs w:val="24"/>
        </w:rPr>
      </w:pPr>
    </w:p>
    <w:p w:rsidR="00C3349C" w:rsidRDefault="00C3349C" w:rsidP="002B721C">
      <w:pPr>
        <w:ind w:left="709"/>
        <w:jc w:val="both"/>
        <w:rPr>
          <w:sz w:val="22"/>
          <w:szCs w:val="24"/>
        </w:rPr>
      </w:pPr>
      <w:r w:rsidRPr="00C3349C">
        <w:rPr>
          <w:sz w:val="22"/>
          <w:szCs w:val="24"/>
        </w:rPr>
        <w:t xml:space="preserve">See also </w:t>
      </w:r>
      <w:r w:rsidRPr="002F3A5F">
        <w:rPr>
          <w:i/>
          <w:iCs/>
          <w:sz w:val="22"/>
          <w:szCs w:val="24"/>
        </w:rPr>
        <w:t>Solomon v Law Society of the Cape of Good Hope</w:t>
      </w:r>
      <w:r w:rsidRPr="00C3349C">
        <w:rPr>
          <w:sz w:val="22"/>
          <w:szCs w:val="24"/>
        </w:rPr>
        <w:t xml:space="preserve"> (supra at 408-9).</w:t>
      </w:r>
    </w:p>
    <w:p w:rsidR="00DA0381" w:rsidRPr="00C3349C" w:rsidRDefault="00DA0381" w:rsidP="002B721C">
      <w:pPr>
        <w:ind w:left="709"/>
        <w:jc w:val="both"/>
        <w:rPr>
          <w:sz w:val="22"/>
          <w:szCs w:val="24"/>
        </w:rPr>
      </w:pPr>
    </w:p>
    <w:p w:rsidR="00C3349C" w:rsidRDefault="00C3349C" w:rsidP="002B721C">
      <w:pPr>
        <w:ind w:left="709"/>
        <w:jc w:val="both"/>
        <w:rPr>
          <w:sz w:val="22"/>
          <w:szCs w:val="24"/>
        </w:rPr>
      </w:pPr>
      <w:r w:rsidRPr="00C3349C">
        <w:rPr>
          <w:sz w:val="22"/>
          <w:szCs w:val="24"/>
        </w:rPr>
        <w:t xml:space="preserve">In </w:t>
      </w:r>
      <w:r w:rsidRPr="000C3BFE">
        <w:rPr>
          <w:i/>
          <w:sz w:val="22"/>
          <w:szCs w:val="24"/>
        </w:rPr>
        <w:t>Prokureursorde van Transvaal v Kleynhans</w:t>
      </w:r>
      <w:r w:rsidRPr="00C3349C">
        <w:rPr>
          <w:sz w:val="22"/>
          <w:szCs w:val="24"/>
        </w:rPr>
        <w:t xml:space="preserve"> 1995 (1) SA 839 (T) at 853G-H it was emphasised that the proceedings are sui generis. T</w:t>
      </w:r>
      <w:r w:rsidR="00EC7DCE">
        <w:rPr>
          <w:sz w:val="22"/>
          <w:szCs w:val="24"/>
        </w:rPr>
        <w:t xml:space="preserve">he Court then went on to say: </w:t>
      </w:r>
    </w:p>
    <w:p w:rsidR="00DA0381" w:rsidRPr="00C3349C" w:rsidRDefault="00DA0381" w:rsidP="002B721C">
      <w:pPr>
        <w:ind w:left="709"/>
        <w:jc w:val="both"/>
        <w:rPr>
          <w:sz w:val="22"/>
          <w:szCs w:val="24"/>
        </w:rPr>
      </w:pPr>
    </w:p>
    <w:p w:rsidR="00097DEC" w:rsidRDefault="00C3349C" w:rsidP="002F3A5F">
      <w:pPr>
        <w:ind w:left="1440"/>
        <w:jc w:val="both"/>
        <w:rPr>
          <w:sz w:val="22"/>
          <w:szCs w:val="24"/>
        </w:rPr>
      </w:pPr>
      <w:r w:rsidRPr="00C3349C">
        <w:rPr>
          <w:sz w:val="22"/>
          <w:szCs w:val="24"/>
        </w:rPr>
        <w:t>'Uit die aard van die dissiplinêre verrigtinge vloei voort dat van 'n respondent verwag word om mee te werk en die nodige toeligting te verskaf waar nodig ten einde die volle feite voor die Hof te plaas sodat 'n korrekte en regverdige beoordeling van die geval kan plaasvind. Blote breë ontkennings, ontwykings en obstruksionisme hoort nie tuis by dissiplinêre verrigtinge nie.'</w:t>
      </w:r>
      <w:r w:rsidR="002F3A5F">
        <w:rPr>
          <w:sz w:val="22"/>
          <w:szCs w:val="24"/>
        </w:rPr>
        <w:t>”</w:t>
      </w:r>
      <w:r w:rsidR="00B102F6">
        <w:rPr>
          <w:rStyle w:val="FootnoteReference"/>
          <w:sz w:val="22"/>
          <w:szCs w:val="24"/>
        </w:rPr>
        <w:footnoteReference w:id="7"/>
      </w:r>
    </w:p>
    <w:p w:rsidR="000C4AFD" w:rsidRDefault="000C4AFD" w:rsidP="002F3A5F">
      <w:pPr>
        <w:ind w:left="1440"/>
        <w:jc w:val="both"/>
        <w:rPr>
          <w:sz w:val="22"/>
          <w:szCs w:val="24"/>
        </w:rPr>
      </w:pPr>
    </w:p>
    <w:p w:rsidR="007B02A2" w:rsidRDefault="00F754B4" w:rsidP="00F754B4">
      <w:pPr>
        <w:jc w:val="both"/>
        <w:rPr>
          <w:szCs w:val="24"/>
        </w:rPr>
      </w:pPr>
      <w:r>
        <w:rPr>
          <w:szCs w:val="24"/>
        </w:rPr>
        <w:t>[</w:t>
      </w:r>
      <w:r w:rsidR="00127B6B">
        <w:rPr>
          <w:szCs w:val="24"/>
        </w:rPr>
        <w:t>4</w:t>
      </w:r>
      <w:r>
        <w:rPr>
          <w:szCs w:val="24"/>
        </w:rPr>
        <w:t>]</w:t>
      </w:r>
      <w:r>
        <w:rPr>
          <w:szCs w:val="24"/>
        </w:rPr>
        <w:tab/>
        <w:t>The nature of these proceedings a</w:t>
      </w:r>
      <w:r w:rsidR="00C15A0C">
        <w:rPr>
          <w:szCs w:val="24"/>
        </w:rPr>
        <w:t>nd the approach by the court are</w:t>
      </w:r>
      <w:r>
        <w:rPr>
          <w:szCs w:val="24"/>
        </w:rPr>
        <w:t xml:space="preserve"> thus settled law and we have not been favoured with any contrary precedent or argument.</w:t>
      </w:r>
      <w:r w:rsidR="008A53BC">
        <w:rPr>
          <w:szCs w:val="24"/>
        </w:rPr>
        <w:t xml:space="preserve"> </w:t>
      </w:r>
      <w:r w:rsidR="00385398">
        <w:rPr>
          <w:szCs w:val="24"/>
        </w:rPr>
        <w:t>The role of the applicant is thus being a nominal applicant that places evidence before the court for it to consider the matter.</w:t>
      </w:r>
    </w:p>
    <w:p w:rsidR="00F754B4" w:rsidRDefault="001429A7" w:rsidP="00F754B4">
      <w:pPr>
        <w:jc w:val="both"/>
        <w:rPr>
          <w:szCs w:val="24"/>
        </w:rPr>
      </w:pPr>
      <w:r>
        <w:rPr>
          <w:szCs w:val="24"/>
        </w:rPr>
        <w:lastRenderedPageBreak/>
        <w:t>[</w:t>
      </w:r>
      <w:r w:rsidR="00127B6B">
        <w:rPr>
          <w:szCs w:val="24"/>
        </w:rPr>
        <w:t>5</w:t>
      </w:r>
      <w:r>
        <w:rPr>
          <w:szCs w:val="24"/>
        </w:rPr>
        <w:t>]</w:t>
      </w:r>
      <w:r>
        <w:rPr>
          <w:szCs w:val="24"/>
        </w:rPr>
        <w:tab/>
        <w:t>This</w:t>
      </w:r>
      <w:r w:rsidR="00DB0DF0">
        <w:rPr>
          <w:szCs w:val="24"/>
        </w:rPr>
        <w:t xml:space="preserve"> application is brought in terms of s</w:t>
      </w:r>
      <w:r w:rsidR="00DD62FC">
        <w:rPr>
          <w:szCs w:val="24"/>
        </w:rPr>
        <w:t>ection</w:t>
      </w:r>
      <w:r w:rsidR="00DB0DF0">
        <w:rPr>
          <w:szCs w:val="24"/>
        </w:rPr>
        <w:t xml:space="preserve"> 7(1)</w:t>
      </w:r>
      <w:r w:rsidR="00CD061B">
        <w:rPr>
          <w:rStyle w:val="FootnoteReference"/>
          <w:szCs w:val="24"/>
        </w:rPr>
        <w:footnoteReference w:id="8"/>
      </w:r>
      <w:r w:rsidR="00DB0DF0">
        <w:rPr>
          <w:szCs w:val="24"/>
        </w:rPr>
        <w:t xml:space="preserve"> of the </w:t>
      </w:r>
      <w:r w:rsidR="00F7127C">
        <w:rPr>
          <w:szCs w:val="24"/>
        </w:rPr>
        <w:t>Admission of Advocates Act</w:t>
      </w:r>
      <w:r w:rsidR="00283FE3">
        <w:rPr>
          <w:szCs w:val="24"/>
        </w:rPr>
        <w:t xml:space="preserve"> (“Advocates Act”)</w:t>
      </w:r>
      <w:r w:rsidR="00F7127C">
        <w:rPr>
          <w:szCs w:val="24"/>
        </w:rPr>
        <w:t>.</w:t>
      </w:r>
      <w:r w:rsidR="00F7127C">
        <w:rPr>
          <w:rStyle w:val="FootnoteReference"/>
          <w:szCs w:val="24"/>
        </w:rPr>
        <w:footnoteReference w:id="9"/>
      </w:r>
      <w:r w:rsidR="00C15A0C">
        <w:rPr>
          <w:szCs w:val="24"/>
        </w:rPr>
        <w:t xml:space="preserve"> </w:t>
      </w:r>
      <w:r w:rsidR="00452967">
        <w:rPr>
          <w:szCs w:val="24"/>
        </w:rPr>
        <w:t>It is</w:t>
      </w:r>
      <w:r w:rsidR="008A53BC">
        <w:rPr>
          <w:szCs w:val="24"/>
        </w:rPr>
        <w:t xml:space="preserve"> common cause that the Legal Practice Council, who now plays an important role regarding l</w:t>
      </w:r>
      <w:r w:rsidR="00A97EC8">
        <w:rPr>
          <w:szCs w:val="24"/>
        </w:rPr>
        <w:t xml:space="preserve">egal practitioners, elected </w:t>
      </w:r>
      <w:r w:rsidR="008A53BC">
        <w:rPr>
          <w:szCs w:val="24"/>
        </w:rPr>
        <w:t>to rely on s</w:t>
      </w:r>
      <w:r w:rsidR="00DD62FC">
        <w:rPr>
          <w:szCs w:val="24"/>
        </w:rPr>
        <w:t>ection</w:t>
      </w:r>
      <w:r w:rsidR="008A53BC">
        <w:rPr>
          <w:szCs w:val="24"/>
        </w:rPr>
        <w:t xml:space="preserve"> </w:t>
      </w:r>
      <w:r w:rsidR="00A97EC8">
        <w:rPr>
          <w:szCs w:val="24"/>
        </w:rPr>
        <w:t xml:space="preserve">116(2) </w:t>
      </w:r>
      <w:r w:rsidR="008A53BC">
        <w:rPr>
          <w:szCs w:val="24"/>
        </w:rPr>
        <w:t>of the Legal Practice Act</w:t>
      </w:r>
      <w:r w:rsidR="00A97EC8">
        <w:rPr>
          <w:szCs w:val="24"/>
        </w:rPr>
        <w:t xml:space="preserve"> (LPA)</w:t>
      </w:r>
      <w:r w:rsidR="00A97EC8">
        <w:rPr>
          <w:rStyle w:val="FootnoteReference"/>
          <w:szCs w:val="24"/>
        </w:rPr>
        <w:footnoteReference w:id="10"/>
      </w:r>
      <w:r w:rsidR="008A53BC">
        <w:rPr>
          <w:szCs w:val="24"/>
        </w:rPr>
        <w:t xml:space="preserve"> and decided not to actively participate in these proceedings. </w:t>
      </w:r>
      <w:r w:rsidR="00964FD1">
        <w:rPr>
          <w:szCs w:val="24"/>
        </w:rPr>
        <w:t>This application was initiated prior to the promulgation of the LPA</w:t>
      </w:r>
      <w:r w:rsidR="00C15A0C">
        <w:rPr>
          <w:szCs w:val="24"/>
        </w:rPr>
        <w:t>,</w:t>
      </w:r>
      <w:r w:rsidR="00964FD1">
        <w:rPr>
          <w:szCs w:val="24"/>
        </w:rPr>
        <w:t xml:space="preserve"> which repealed the Advocates Act</w:t>
      </w:r>
      <w:r w:rsidR="00283FE3">
        <w:rPr>
          <w:szCs w:val="24"/>
        </w:rPr>
        <w:t>,</w:t>
      </w:r>
      <w:r w:rsidR="00964FD1">
        <w:rPr>
          <w:szCs w:val="24"/>
        </w:rPr>
        <w:t xml:space="preserve"> and is properly before this court.</w:t>
      </w:r>
    </w:p>
    <w:p w:rsidR="00DA0381" w:rsidRDefault="00DA0381" w:rsidP="00F754B4">
      <w:pPr>
        <w:jc w:val="both"/>
        <w:rPr>
          <w:szCs w:val="24"/>
        </w:rPr>
      </w:pPr>
    </w:p>
    <w:p w:rsidR="008C1A37" w:rsidRDefault="00452967" w:rsidP="00F754B4">
      <w:pPr>
        <w:jc w:val="both"/>
        <w:rPr>
          <w:szCs w:val="24"/>
        </w:rPr>
      </w:pPr>
      <w:r>
        <w:rPr>
          <w:szCs w:val="24"/>
        </w:rPr>
        <w:t>[</w:t>
      </w:r>
      <w:r w:rsidR="00127B6B">
        <w:rPr>
          <w:szCs w:val="24"/>
        </w:rPr>
        <w:t>6</w:t>
      </w:r>
      <w:r>
        <w:rPr>
          <w:szCs w:val="24"/>
        </w:rPr>
        <w:t>]</w:t>
      </w:r>
      <w:r>
        <w:rPr>
          <w:szCs w:val="24"/>
        </w:rPr>
        <w:tab/>
        <w:t>Although not foreshadowed</w:t>
      </w:r>
      <w:r w:rsidR="009E4835">
        <w:rPr>
          <w:szCs w:val="24"/>
        </w:rPr>
        <w:t xml:space="preserve"> in the affidavits filed in this matter, the respondent elected to raise a number of </w:t>
      </w:r>
      <w:r w:rsidR="00C15A0C">
        <w:rPr>
          <w:szCs w:val="24"/>
        </w:rPr>
        <w:t xml:space="preserve">points in </w:t>
      </w:r>
      <w:r w:rsidR="00C15A0C" w:rsidRPr="004F2A27">
        <w:rPr>
          <w:i/>
          <w:szCs w:val="24"/>
        </w:rPr>
        <w:t>limine</w:t>
      </w:r>
      <w:r w:rsidR="00C15A0C">
        <w:rPr>
          <w:szCs w:val="24"/>
        </w:rPr>
        <w:t>, eleven in all</w:t>
      </w:r>
      <w:r w:rsidR="00AE7DF3">
        <w:rPr>
          <w:szCs w:val="24"/>
        </w:rPr>
        <w:t>.</w:t>
      </w:r>
      <w:r w:rsidR="00C15A0C">
        <w:rPr>
          <w:szCs w:val="24"/>
        </w:rPr>
        <w:t xml:space="preserve"> </w:t>
      </w:r>
      <w:r w:rsidR="00AE7DF3">
        <w:rPr>
          <w:szCs w:val="24"/>
        </w:rPr>
        <w:t>S</w:t>
      </w:r>
      <w:r w:rsidR="00C15A0C">
        <w:rPr>
          <w:szCs w:val="24"/>
        </w:rPr>
        <w:t>ignificantly,</w:t>
      </w:r>
      <w:r>
        <w:rPr>
          <w:szCs w:val="24"/>
        </w:rPr>
        <w:t xml:space="preserve"> none of the points were raised at the time when the respondent attended court and agreed to his suspension from practice. </w:t>
      </w:r>
      <w:r w:rsidR="009E4835">
        <w:rPr>
          <w:szCs w:val="24"/>
        </w:rPr>
        <w:t>We shall deal with these</w:t>
      </w:r>
      <w:r w:rsidR="00C15A0C">
        <w:rPr>
          <w:szCs w:val="24"/>
        </w:rPr>
        <w:t xml:space="preserve"> points</w:t>
      </w:r>
      <w:r w:rsidR="009E4835">
        <w:rPr>
          <w:szCs w:val="24"/>
        </w:rPr>
        <w:t xml:space="preserve"> at the outset. </w:t>
      </w:r>
    </w:p>
    <w:p w:rsidR="00DA0381" w:rsidRDefault="00DA0381" w:rsidP="00F754B4">
      <w:pPr>
        <w:jc w:val="both"/>
        <w:rPr>
          <w:szCs w:val="24"/>
        </w:rPr>
      </w:pPr>
    </w:p>
    <w:p w:rsidR="000C4AFD" w:rsidRDefault="009E4835" w:rsidP="00F754B4">
      <w:pPr>
        <w:jc w:val="both"/>
        <w:rPr>
          <w:szCs w:val="24"/>
          <w:u w:val="single"/>
        </w:rPr>
      </w:pPr>
      <w:r w:rsidRPr="009E4835">
        <w:rPr>
          <w:szCs w:val="24"/>
          <w:u w:val="single"/>
        </w:rPr>
        <w:t>T</w:t>
      </w:r>
      <w:r w:rsidR="0051049C">
        <w:rPr>
          <w:szCs w:val="24"/>
          <w:u w:val="single"/>
        </w:rPr>
        <w:t xml:space="preserve">HE FIRST POINT IN </w:t>
      </w:r>
      <w:r w:rsidR="0051049C" w:rsidRPr="008E6848">
        <w:rPr>
          <w:i/>
          <w:szCs w:val="24"/>
          <w:u w:val="single"/>
        </w:rPr>
        <w:t>LIMINE</w:t>
      </w:r>
      <w:r w:rsidR="00DA0381">
        <w:rPr>
          <w:szCs w:val="24"/>
          <w:u w:val="single"/>
        </w:rPr>
        <w:t xml:space="preserve"> </w:t>
      </w:r>
    </w:p>
    <w:p w:rsidR="009E4835" w:rsidRDefault="009E4835" w:rsidP="00F754B4">
      <w:pPr>
        <w:jc w:val="both"/>
        <w:rPr>
          <w:szCs w:val="24"/>
          <w:u w:val="single"/>
        </w:rPr>
      </w:pPr>
      <w:r w:rsidRPr="008E6848">
        <w:rPr>
          <w:i/>
          <w:szCs w:val="24"/>
          <w:u w:val="single"/>
        </w:rPr>
        <w:lastRenderedPageBreak/>
        <w:t>L</w:t>
      </w:r>
      <w:r w:rsidR="0051049C" w:rsidRPr="008E6848">
        <w:rPr>
          <w:i/>
          <w:szCs w:val="24"/>
          <w:u w:val="single"/>
        </w:rPr>
        <w:t>OCUS STANDI</w:t>
      </w:r>
      <w:r>
        <w:rPr>
          <w:szCs w:val="24"/>
          <w:u w:val="single"/>
        </w:rPr>
        <w:t xml:space="preserve"> </w:t>
      </w:r>
      <w:r w:rsidR="0051049C">
        <w:rPr>
          <w:szCs w:val="24"/>
          <w:u w:val="single"/>
        </w:rPr>
        <w:t xml:space="preserve">AND </w:t>
      </w:r>
      <w:r w:rsidR="0051049C" w:rsidRPr="008E6848">
        <w:rPr>
          <w:i/>
          <w:szCs w:val="24"/>
          <w:u w:val="single"/>
        </w:rPr>
        <w:t>ULTRA VIRES</w:t>
      </w:r>
      <w:r w:rsidRPr="009E4835">
        <w:rPr>
          <w:szCs w:val="24"/>
          <w:u w:val="single"/>
        </w:rPr>
        <w:t xml:space="preserve"> </w:t>
      </w:r>
      <w:r w:rsidR="0051049C">
        <w:rPr>
          <w:szCs w:val="24"/>
          <w:u w:val="single"/>
        </w:rPr>
        <w:t>ACTS AND NON-COMPLIANCE WITH</w:t>
      </w:r>
      <w:r w:rsidR="00283FE3">
        <w:rPr>
          <w:szCs w:val="24"/>
          <w:u w:val="single"/>
        </w:rPr>
        <w:t xml:space="preserve"> THE</w:t>
      </w:r>
      <w:r w:rsidRPr="009E4835">
        <w:rPr>
          <w:szCs w:val="24"/>
          <w:u w:val="single"/>
        </w:rPr>
        <w:t xml:space="preserve"> </w:t>
      </w:r>
      <w:r w:rsidR="0051049C">
        <w:rPr>
          <w:szCs w:val="24"/>
          <w:u w:val="single"/>
        </w:rPr>
        <w:t>APPLICANT’S CONSTITUTION</w:t>
      </w:r>
    </w:p>
    <w:p w:rsidR="00DA0381" w:rsidRDefault="00DA0381" w:rsidP="00F754B4">
      <w:pPr>
        <w:jc w:val="both"/>
        <w:rPr>
          <w:szCs w:val="24"/>
          <w:u w:val="single"/>
        </w:rPr>
      </w:pPr>
    </w:p>
    <w:p w:rsidR="005B1547" w:rsidRDefault="009E4835" w:rsidP="00F754B4">
      <w:pPr>
        <w:jc w:val="both"/>
        <w:rPr>
          <w:szCs w:val="24"/>
        </w:rPr>
      </w:pPr>
      <w:r>
        <w:rPr>
          <w:szCs w:val="24"/>
        </w:rPr>
        <w:t>[</w:t>
      </w:r>
      <w:r w:rsidR="00127B6B">
        <w:rPr>
          <w:szCs w:val="24"/>
        </w:rPr>
        <w:t>7</w:t>
      </w:r>
      <w:r>
        <w:rPr>
          <w:szCs w:val="24"/>
        </w:rPr>
        <w:t>]</w:t>
      </w:r>
      <w:r>
        <w:rPr>
          <w:szCs w:val="24"/>
        </w:rPr>
        <w:tab/>
        <w:t>The respondent complains that the applicant failed to act in accordance with its own constitution and thus acted ultra vires resulting</w:t>
      </w:r>
      <w:r w:rsidR="004B0C9A">
        <w:rPr>
          <w:szCs w:val="24"/>
        </w:rPr>
        <w:t xml:space="preserve"> in its resolutions to bring this</w:t>
      </w:r>
      <w:r>
        <w:rPr>
          <w:szCs w:val="24"/>
        </w:rPr>
        <w:t xml:space="preserve"> application being </w:t>
      </w:r>
      <w:r w:rsidR="00785254">
        <w:rPr>
          <w:szCs w:val="24"/>
        </w:rPr>
        <w:t>“</w:t>
      </w:r>
      <w:r>
        <w:rPr>
          <w:szCs w:val="24"/>
        </w:rPr>
        <w:t xml:space="preserve">void </w:t>
      </w:r>
      <w:r w:rsidRPr="00DA0381">
        <w:rPr>
          <w:i/>
          <w:szCs w:val="24"/>
        </w:rPr>
        <w:t>abinitio</w:t>
      </w:r>
      <w:r>
        <w:rPr>
          <w:szCs w:val="24"/>
        </w:rPr>
        <w:t xml:space="preserve"> and therefore pro non scripto</w:t>
      </w:r>
      <w:r w:rsidR="00785254">
        <w:rPr>
          <w:szCs w:val="24"/>
        </w:rPr>
        <w:t>”</w:t>
      </w:r>
      <w:r>
        <w:rPr>
          <w:szCs w:val="24"/>
        </w:rPr>
        <w:t xml:space="preserve">. </w:t>
      </w:r>
      <w:r w:rsidR="008B333A">
        <w:rPr>
          <w:szCs w:val="24"/>
        </w:rPr>
        <w:t>The respondent goes on to attack the validity of the resolutions, two of which formed the</w:t>
      </w:r>
      <w:r w:rsidR="00E21E94">
        <w:rPr>
          <w:szCs w:val="24"/>
        </w:rPr>
        <w:t xml:space="preserve"> basis of an urgent application brought for the suspension of the respondent from practice.</w:t>
      </w:r>
      <w:r w:rsidR="00E21E94">
        <w:rPr>
          <w:rStyle w:val="FootnoteReference"/>
          <w:szCs w:val="24"/>
        </w:rPr>
        <w:footnoteReference w:id="11"/>
      </w:r>
      <w:r w:rsidR="00D64578">
        <w:rPr>
          <w:szCs w:val="24"/>
        </w:rPr>
        <w:t xml:space="preserve"> We immediately not</w:t>
      </w:r>
      <w:r w:rsidR="004B0C9A">
        <w:rPr>
          <w:szCs w:val="24"/>
        </w:rPr>
        <w:t>e</w:t>
      </w:r>
      <w:r w:rsidR="00D64578">
        <w:rPr>
          <w:szCs w:val="24"/>
        </w:rPr>
        <w:t xml:space="preserve"> that </w:t>
      </w:r>
      <w:r w:rsidR="000040DD">
        <w:rPr>
          <w:szCs w:val="24"/>
        </w:rPr>
        <w:t xml:space="preserve">any complaint of the sufficiency or otherwise of the papers in the </w:t>
      </w:r>
      <w:r w:rsidR="002D3DBB">
        <w:rPr>
          <w:szCs w:val="24"/>
        </w:rPr>
        <w:t>urgent</w:t>
      </w:r>
      <w:r w:rsidR="000040DD">
        <w:rPr>
          <w:szCs w:val="24"/>
        </w:rPr>
        <w:t xml:space="preserve"> application is not </w:t>
      </w:r>
      <w:r w:rsidR="004B0C9A">
        <w:rPr>
          <w:szCs w:val="24"/>
        </w:rPr>
        <w:t xml:space="preserve">on </w:t>
      </w:r>
      <w:r w:rsidR="000040DD">
        <w:rPr>
          <w:szCs w:val="24"/>
        </w:rPr>
        <w:t>appeal before us and we cannot be called upon to revisit the matter that served before another court and</w:t>
      </w:r>
      <w:r w:rsidR="004B0C9A">
        <w:rPr>
          <w:szCs w:val="24"/>
        </w:rPr>
        <w:t xml:space="preserve"> which</w:t>
      </w:r>
      <w:r w:rsidR="000040DD">
        <w:rPr>
          <w:szCs w:val="24"/>
        </w:rPr>
        <w:t xml:space="preserve"> was, ostensibly, properly decided and finalised. </w:t>
      </w:r>
    </w:p>
    <w:p w:rsidR="00DA0381" w:rsidRDefault="00DA0381" w:rsidP="00F754B4">
      <w:pPr>
        <w:jc w:val="both"/>
        <w:rPr>
          <w:szCs w:val="24"/>
        </w:rPr>
      </w:pPr>
    </w:p>
    <w:p w:rsidR="005B1547" w:rsidRDefault="005B1547" w:rsidP="00F754B4">
      <w:pPr>
        <w:jc w:val="both"/>
        <w:rPr>
          <w:szCs w:val="24"/>
        </w:rPr>
      </w:pPr>
      <w:r>
        <w:rPr>
          <w:szCs w:val="24"/>
        </w:rPr>
        <w:t>[</w:t>
      </w:r>
      <w:r w:rsidR="00127B6B">
        <w:rPr>
          <w:szCs w:val="24"/>
        </w:rPr>
        <w:t>8</w:t>
      </w:r>
      <w:r w:rsidR="004A3CB6">
        <w:rPr>
          <w:szCs w:val="24"/>
        </w:rPr>
        <w:t>]</w:t>
      </w:r>
      <w:r>
        <w:rPr>
          <w:szCs w:val="24"/>
        </w:rPr>
        <w:tab/>
        <w:t>The resolutions, the respondent submitted, w</w:t>
      </w:r>
      <w:r w:rsidR="002D3DBB">
        <w:rPr>
          <w:szCs w:val="24"/>
        </w:rPr>
        <w:t>ere</w:t>
      </w:r>
      <w:r>
        <w:rPr>
          <w:szCs w:val="24"/>
        </w:rPr>
        <w:t xml:space="preserve"> pro non scripto. It is said that these resolutions suffer from certain defects. On the basis that they do</w:t>
      </w:r>
      <w:r w:rsidR="003B02D3">
        <w:rPr>
          <w:szCs w:val="24"/>
        </w:rPr>
        <w:t>,</w:t>
      </w:r>
      <w:r>
        <w:rPr>
          <w:szCs w:val="24"/>
        </w:rPr>
        <w:t xml:space="preserve"> and we make no finding in this regard, the argument misses the fact that the applicant’s participation in these proceedings are merely incidental and, in effect, at the invitation of </w:t>
      </w:r>
      <w:r w:rsidR="00DA0381">
        <w:rPr>
          <w:szCs w:val="24"/>
        </w:rPr>
        <w:t>this</w:t>
      </w:r>
      <w:r>
        <w:rPr>
          <w:szCs w:val="24"/>
        </w:rPr>
        <w:t xml:space="preserve"> court. </w:t>
      </w:r>
      <w:r w:rsidR="00607D2D">
        <w:rPr>
          <w:szCs w:val="24"/>
        </w:rPr>
        <w:t>It can and should</w:t>
      </w:r>
      <w:r w:rsidR="002D3DBB">
        <w:rPr>
          <w:szCs w:val="24"/>
        </w:rPr>
        <w:t xml:space="preserve"> </w:t>
      </w:r>
      <w:r w:rsidR="00607D2D">
        <w:rPr>
          <w:szCs w:val="24"/>
        </w:rPr>
        <w:t>place all evidence available to it before this court as a consequence of its duty to this court. It is the contents of the affidavit</w:t>
      </w:r>
      <w:r w:rsidR="003B02D3">
        <w:rPr>
          <w:szCs w:val="24"/>
        </w:rPr>
        <w:t>s that are filed that matters n</w:t>
      </w:r>
      <w:r w:rsidR="00607D2D">
        <w:rPr>
          <w:szCs w:val="24"/>
        </w:rPr>
        <w:t>ot whether the applicant’s controlling body authorised someone to do so.</w:t>
      </w:r>
      <w:r w:rsidR="005B2ABE">
        <w:rPr>
          <w:szCs w:val="24"/>
        </w:rPr>
        <w:t xml:space="preserve"> We find that the complaint that the affidavit</w:t>
      </w:r>
      <w:r w:rsidR="00C420E5">
        <w:rPr>
          <w:szCs w:val="24"/>
        </w:rPr>
        <w:t>s</w:t>
      </w:r>
      <w:r w:rsidR="005B2ABE">
        <w:rPr>
          <w:szCs w:val="24"/>
        </w:rPr>
        <w:t xml:space="preserve"> so filed lack authority to ‘act against the respondent’ is misplaced and does not appreciate t</w:t>
      </w:r>
      <w:r w:rsidR="00950423">
        <w:rPr>
          <w:szCs w:val="24"/>
        </w:rPr>
        <w:t>he nature of these proceedings. We indicated to counsel during the hearing that the constitution of the applicant</w:t>
      </w:r>
      <w:r w:rsidR="00EA6817">
        <w:rPr>
          <w:szCs w:val="24"/>
        </w:rPr>
        <w:t>, parts of which were</w:t>
      </w:r>
      <w:r w:rsidR="00950423">
        <w:rPr>
          <w:szCs w:val="24"/>
        </w:rPr>
        <w:t xml:space="preserve"> quoted in the heads of argument on behalf of the applicant was not proved by evidence and that it would</w:t>
      </w:r>
      <w:r w:rsidR="00EA6817">
        <w:rPr>
          <w:szCs w:val="24"/>
        </w:rPr>
        <w:t xml:space="preserve"> be dangerous to rely on excerpts</w:t>
      </w:r>
      <w:r w:rsidR="00950423">
        <w:rPr>
          <w:szCs w:val="24"/>
        </w:rPr>
        <w:t xml:space="preserve"> contained in heads of argument only. This is so as this this court can, due to its own experience, confidently say that constitution of the applicant </w:t>
      </w:r>
      <w:r w:rsidR="003A234D">
        <w:rPr>
          <w:szCs w:val="24"/>
        </w:rPr>
        <w:t xml:space="preserve">is </w:t>
      </w:r>
      <w:r w:rsidR="003A234D">
        <w:rPr>
          <w:szCs w:val="24"/>
        </w:rPr>
        <w:lastRenderedPageBreak/>
        <w:t xml:space="preserve">a dynamic document and is adapted in various respects </w:t>
      </w:r>
      <w:r w:rsidR="00531998">
        <w:rPr>
          <w:szCs w:val="24"/>
        </w:rPr>
        <w:t>from time to time. The need to prove the correct version by way of affidavit is evident. The constitution of any association is not something which this</w:t>
      </w:r>
      <w:r w:rsidR="00EA6817">
        <w:rPr>
          <w:szCs w:val="24"/>
        </w:rPr>
        <w:t xml:space="preserve"> court</w:t>
      </w:r>
      <w:r w:rsidR="00531998">
        <w:rPr>
          <w:szCs w:val="24"/>
        </w:rPr>
        <w:t xml:space="preserve"> can take judicial notice of and particularly not of portions quoted in heads of argument. It requires proof before it can form the basis of any findings. </w:t>
      </w:r>
      <w:r w:rsidR="005419F0">
        <w:rPr>
          <w:szCs w:val="24"/>
        </w:rPr>
        <w:t xml:space="preserve">In the absence of such proof the submission that the resolutions in this matter fall foul of the applicant’s constitution is flawed. </w:t>
      </w:r>
      <w:r w:rsidR="00BB15AE">
        <w:rPr>
          <w:szCs w:val="24"/>
        </w:rPr>
        <w:t xml:space="preserve">It was further submitted that three of the resolutions were not signed by the applicant’s secretaries and thus the signature of the chair of the applicant was insufficient. Nowhere in the ‘constitutional provisions’ quoted by the respondent in the heads of argument, is there a reference to a requirement that the secretaries of the applicant are the authorised signatories of resolutions. </w:t>
      </w:r>
      <w:r w:rsidR="001276AC">
        <w:rPr>
          <w:szCs w:val="24"/>
        </w:rPr>
        <w:t xml:space="preserve">This highlights the danger to rely on the portions of a ‘constitution’ referred to in the heads of argument and which constitution was not proved on the papers before this court. </w:t>
      </w:r>
      <w:r w:rsidR="007D1432">
        <w:rPr>
          <w:szCs w:val="24"/>
        </w:rPr>
        <w:t xml:space="preserve">The submission regarding </w:t>
      </w:r>
      <w:r w:rsidR="00EA6817">
        <w:rPr>
          <w:szCs w:val="24"/>
        </w:rPr>
        <w:t>the resolutions was developed so</w:t>
      </w:r>
      <w:r w:rsidR="007D1432">
        <w:rPr>
          <w:szCs w:val="24"/>
        </w:rPr>
        <w:t xml:space="preserve"> that it was said that because the resolutions wer</w:t>
      </w:r>
      <w:r w:rsidR="00DC1AF6">
        <w:rPr>
          <w:szCs w:val="24"/>
        </w:rPr>
        <w:t xml:space="preserve">e pro non scripto the applicant </w:t>
      </w:r>
      <w:r w:rsidR="007D1432">
        <w:rPr>
          <w:szCs w:val="24"/>
        </w:rPr>
        <w:t>cannot act as a party before this court and could not properly appear before the court in the urgent proceedings. We have shown the fallacy of the submission both regarding the prev</w:t>
      </w:r>
      <w:r w:rsidR="00DC1AF6">
        <w:rPr>
          <w:szCs w:val="24"/>
        </w:rPr>
        <w:t>ious urgent application w</w:t>
      </w:r>
      <w:r w:rsidR="00EA6817">
        <w:rPr>
          <w:szCs w:val="24"/>
        </w:rPr>
        <w:t>here</w:t>
      </w:r>
      <w:r w:rsidR="007D1432">
        <w:rPr>
          <w:szCs w:val="24"/>
        </w:rPr>
        <w:t xml:space="preserve"> the respondent agreed to an order, and the reliance on the constitutional prov</w:t>
      </w:r>
      <w:r w:rsidR="00EA6817">
        <w:rPr>
          <w:szCs w:val="24"/>
        </w:rPr>
        <w:t>isions which were not proved nor</w:t>
      </w:r>
      <w:r w:rsidR="007D1432">
        <w:rPr>
          <w:szCs w:val="24"/>
        </w:rPr>
        <w:t xml:space="preserve"> were the applicant’s afforded an opportunity to deal with the allegations regarding its alleged ultra vires conduct. </w:t>
      </w:r>
    </w:p>
    <w:p w:rsidR="00DA0381" w:rsidRDefault="00DA0381" w:rsidP="00F754B4">
      <w:pPr>
        <w:jc w:val="both"/>
        <w:rPr>
          <w:szCs w:val="24"/>
        </w:rPr>
      </w:pPr>
    </w:p>
    <w:p w:rsidR="00984F8C" w:rsidRDefault="00984F8C" w:rsidP="00984F8C">
      <w:pPr>
        <w:jc w:val="both"/>
        <w:rPr>
          <w:szCs w:val="24"/>
        </w:rPr>
      </w:pPr>
      <w:r w:rsidRPr="00265AA8">
        <w:rPr>
          <w:szCs w:val="24"/>
        </w:rPr>
        <w:t>[</w:t>
      </w:r>
      <w:r w:rsidR="00127B6B">
        <w:rPr>
          <w:szCs w:val="24"/>
        </w:rPr>
        <w:t>9</w:t>
      </w:r>
      <w:r w:rsidRPr="00265AA8">
        <w:rPr>
          <w:szCs w:val="24"/>
        </w:rPr>
        <w:t>]</w:t>
      </w:r>
      <w:r w:rsidRPr="00265AA8">
        <w:rPr>
          <w:szCs w:val="24"/>
        </w:rPr>
        <w:tab/>
        <w:t xml:space="preserve">The point in </w:t>
      </w:r>
      <w:r w:rsidRPr="00DA0381">
        <w:rPr>
          <w:i/>
          <w:szCs w:val="24"/>
        </w:rPr>
        <w:t>limine</w:t>
      </w:r>
      <w:r w:rsidRPr="00265AA8">
        <w:rPr>
          <w:szCs w:val="24"/>
        </w:rPr>
        <w:t xml:space="preserve"> relating to the </w:t>
      </w:r>
      <w:r>
        <w:rPr>
          <w:szCs w:val="24"/>
        </w:rPr>
        <w:t>a</w:t>
      </w:r>
      <w:r w:rsidRPr="00265AA8">
        <w:rPr>
          <w:szCs w:val="24"/>
        </w:rPr>
        <w:t xml:space="preserve">pplicant’s lack of jurisdiction over the </w:t>
      </w:r>
      <w:r>
        <w:rPr>
          <w:szCs w:val="24"/>
        </w:rPr>
        <w:t>r</w:t>
      </w:r>
      <w:r w:rsidRPr="00265AA8">
        <w:rPr>
          <w:szCs w:val="24"/>
        </w:rPr>
        <w:t>espondent was effectively dealt with in the judgment by Mokgoatlheng J</w:t>
      </w:r>
      <w:r w:rsidR="008C2960">
        <w:rPr>
          <w:szCs w:val="24"/>
        </w:rPr>
        <w:t xml:space="preserve"> </w:t>
      </w:r>
      <w:r w:rsidRPr="00265AA8">
        <w:rPr>
          <w:szCs w:val="24"/>
        </w:rPr>
        <w:t>during the suspension application when he</w:t>
      </w:r>
      <w:r w:rsidR="008C2960">
        <w:rPr>
          <w:rStyle w:val="FootnoteReference"/>
          <w:szCs w:val="24"/>
        </w:rPr>
        <w:footnoteReference w:id="12"/>
      </w:r>
      <w:r w:rsidRPr="00265AA8">
        <w:rPr>
          <w:szCs w:val="24"/>
        </w:rPr>
        <w:t xml:space="preserve"> said the following:</w:t>
      </w:r>
    </w:p>
    <w:p w:rsidR="00DA0381" w:rsidRPr="00265AA8" w:rsidRDefault="00DA0381" w:rsidP="00984F8C">
      <w:pPr>
        <w:jc w:val="both"/>
        <w:rPr>
          <w:szCs w:val="24"/>
        </w:rPr>
      </w:pPr>
    </w:p>
    <w:p w:rsidR="00984F8C" w:rsidRDefault="00984F8C" w:rsidP="00984F8C">
      <w:pPr>
        <w:ind w:left="720"/>
        <w:jc w:val="both"/>
        <w:rPr>
          <w:sz w:val="22"/>
          <w:szCs w:val="22"/>
        </w:rPr>
      </w:pPr>
      <w:r w:rsidRPr="00ED2DE6">
        <w:rPr>
          <w:sz w:val="22"/>
          <w:szCs w:val="22"/>
        </w:rPr>
        <w:t>“The Respondent’s resignation from the Applicant does not affect the Applicant’s locus standi to launch an application for the Respondent’s suspension from practicing as an advocate or to apply for an order to strike off the Respondent’s name from the roll.”</w:t>
      </w:r>
    </w:p>
    <w:p w:rsidR="00DA0381" w:rsidRPr="00ED2DE6" w:rsidRDefault="00DA0381" w:rsidP="00984F8C">
      <w:pPr>
        <w:ind w:left="720"/>
        <w:jc w:val="both"/>
        <w:rPr>
          <w:sz w:val="22"/>
          <w:szCs w:val="22"/>
        </w:rPr>
      </w:pPr>
    </w:p>
    <w:p w:rsidR="00984F8C" w:rsidRDefault="00984F8C" w:rsidP="00984F8C">
      <w:pPr>
        <w:jc w:val="both"/>
        <w:rPr>
          <w:szCs w:val="24"/>
        </w:rPr>
      </w:pPr>
      <w:r w:rsidRPr="00265AA8">
        <w:rPr>
          <w:szCs w:val="24"/>
        </w:rPr>
        <w:lastRenderedPageBreak/>
        <w:t>[</w:t>
      </w:r>
      <w:r w:rsidR="00127B6B">
        <w:rPr>
          <w:szCs w:val="24"/>
        </w:rPr>
        <w:t>10</w:t>
      </w:r>
      <w:r w:rsidRPr="00265AA8">
        <w:rPr>
          <w:szCs w:val="24"/>
        </w:rPr>
        <w:t>]</w:t>
      </w:r>
      <w:r w:rsidRPr="00265AA8">
        <w:rPr>
          <w:szCs w:val="24"/>
        </w:rPr>
        <w:tab/>
        <w:t>Modiba J</w:t>
      </w:r>
      <w:r>
        <w:rPr>
          <w:szCs w:val="24"/>
        </w:rPr>
        <w:t>,</w:t>
      </w:r>
      <w:r w:rsidRPr="00265AA8">
        <w:rPr>
          <w:szCs w:val="24"/>
        </w:rPr>
        <w:t xml:space="preserve"> concurring with Mokgoatlheng</w:t>
      </w:r>
      <w:r>
        <w:rPr>
          <w:szCs w:val="24"/>
        </w:rPr>
        <w:t>,</w:t>
      </w:r>
      <w:r w:rsidRPr="00265AA8">
        <w:rPr>
          <w:szCs w:val="24"/>
        </w:rPr>
        <w:t xml:space="preserve"> wrote as follows: </w:t>
      </w:r>
    </w:p>
    <w:p w:rsidR="00DA0381" w:rsidRPr="00265AA8" w:rsidRDefault="00DA0381" w:rsidP="00984F8C">
      <w:pPr>
        <w:jc w:val="both"/>
        <w:rPr>
          <w:szCs w:val="24"/>
        </w:rPr>
      </w:pPr>
    </w:p>
    <w:p w:rsidR="00984F8C" w:rsidRDefault="00984F8C" w:rsidP="0018457F">
      <w:pPr>
        <w:ind w:left="720"/>
        <w:jc w:val="both"/>
        <w:rPr>
          <w:sz w:val="22"/>
          <w:szCs w:val="22"/>
        </w:rPr>
      </w:pPr>
      <w:r w:rsidRPr="00ED2DE6">
        <w:rPr>
          <w:sz w:val="22"/>
          <w:szCs w:val="22"/>
        </w:rPr>
        <w:t>“It is trite that in applications of this nature to succeed the Applicant is not required to establish a prima facie right because it is not asserting a right in terms of the Admission of Advocates Act.  Its role is to bring the Respondent’s conduct to the attention of the Court to enable the Court to exercise disciplinary powers.”</w:t>
      </w:r>
    </w:p>
    <w:p w:rsidR="00DA0381" w:rsidRPr="0018457F" w:rsidRDefault="00DA0381" w:rsidP="0018457F">
      <w:pPr>
        <w:ind w:left="720"/>
        <w:jc w:val="both"/>
        <w:rPr>
          <w:sz w:val="22"/>
          <w:szCs w:val="22"/>
        </w:rPr>
      </w:pPr>
    </w:p>
    <w:p w:rsidR="0065259D" w:rsidRDefault="0065259D" w:rsidP="00F754B4">
      <w:pPr>
        <w:jc w:val="both"/>
        <w:rPr>
          <w:szCs w:val="24"/>
        </w:rPr>
      </w:pPr>
      <w:r>
        <w:rPr>
          <w:szCs w:val="24"/>
        </w:rPr>
        <w:t>[</w:t>
      </w:r>
      <w:r w:rsidR="0018457F">
        <w:rPr>
          <w:szCs w:val="24"/>
        </w:rPr>
        <w:t>1</w:t>
      </w:r>
      <w:r w:rsidR="00127B6B">
        <w:rPr>
          <w:szCs w:val="24"/>
        </w:rPr>
        <w:t>1</w:t>
      </w:r>
      <w:r>
        <w:rPr>
          <w:szCs w:val="24"/>
        </w:rPr>
        <w:t>]</w:t>
      </w:r>
      <w:r>
        <w:rPr>
          <w:szCs w:val="24"/>
        </w:rPr>
        <w:tab/>
        <w:t>Th</w:t>
      </w:r>
      <w:r w:rsidR="00EA6817">
        <w:rPr>
          <w:szCs w:val="24"/>
        </w:rPr>
        <w:t xml:space="preserve">e first point in </w:t>
      </w:r>
      <w:r w:rsidR="00EA6817" w:rsidRPr="00DA0381">
        <w:rPr>
          <w:i/>
          <w:szCs w:val="24"/>
        </w:rPr>
        <w:t>limine</w:t>
      </w:r>
      <w:r w:rsidR="00EA6817">
        <w:rPr>
          <w:szCs w:val="24"/>
        </w:rPr>
        <w:t xml:space="preserve"> has no</w:t>
      </w:r>
      <w:r>
        <w:rPr>
          <w:szCs w:val="24"/>
        </w:rPr>
        <w:t xml:space="preserve"> merit and falls to be dismissed. </w:t>
      </w:r>
    </w:p>
    <w:p w:rsidR="00814651" w:rsidRDefault="00814651" w:rsidP="00F754B4">
      <w:pPr>
        <w:jc w:val="both"/>
        <w:rPr>
          <w:szCs w:val="24"/>
        </w:rPr>
      </w:pPr>
    </w:p>
    <w:p w:rsidR="0020533F" w:rsidRPr="0020533F" w:rsidRDefault="0020533F" w:rsidP="00F754B4">
      <w:pPr>
        <w:jc w:val="both"/>
        <w:rPr>
          <w:szCs w:val="24"/>
          <w:u w:val="single"/>
        </w:rPr>
      </w:pPr>
      <w:r w:rsidRPr="0020533F">
        <w:rPr>
          <w:szCs w:val="24"/>
          <w:u w:val="single"/>
        </w:rPr>
        <w:t>T</w:t>
      </w:r>
      <w:r w:rsidR="00785254">
        <w:rPr>
          <w:szCs w:val="24"/>
          <w:u w:val="single"/>
        </w:rPr>
        <w:t>HE SECOND POINT IN LIMINE</w:t>
      </w:r>
    </w:p>
    <w:p w:rsidR="00524E8B" w:rsidRDefault="0020533F" w:rsidP="00F754B4">
      <w:pPr>
        <w:jc w:val="both"/>
        <w:rPr>
          <w:szCs w:val="24"/>
          <w:u w:val="single"/>
        </w:rPr>
      </w:pPr>
      <w:r w:rsidRPr="0020533F">
        <w:rPr>
          <w:szCs w:val="24"/>
          <w:u w:val="single"/>
        </w:rPr>
        <w:t>N</w:t>
      </w:r>
      <w:r w:rsidR="00785254">
        <w:rPr>
          <w:szCs w:val="24"/>
          <w:u w:val="single"/>
        </w:rPr>
        <w:t>ON-COMPLIANCE</w:t>
      </w:r>
      <w:r w:rsidRPr="0020533F">
        <w:rPr>
          <w:szCs w:val="24"/>
          <w:u w:val="single"/>
        </w:rPr>
        <w:t xml:space="preserve"> </w:t>
      </w:r>
      <w:r w:rsidR="00785254">
        <w:rPr>
          <w:szCs w:val="24"/>
          <w:u w:val="single"/>
        </w:rPr>
        <w:t>WITH THE PROMOTION</w:t>
      </w:r>
      <w:r w:rsidRPr="0020533F">
        <w:rPr>
          <w:szCs w:val="24"/>
          <w:u w:val="single"/>
        </w:rPr>
        <w:t xml:space="preserve"> </w:t>
      </w:r>
      <w:r w:rsidR="00785254">
        <w:rPr>
          <w:szCs w:val="24"/>
          <w:u w:val="single"/>
        </w:rPr>
        <w:t>OF THE ACCESS TO</w:t>
      </w:r>
      <w:r w:rsidRPr="0020533F">
        <w:rPr>
          <w:szCs w:val="24"/>
          <w:u w:val="single"/>
        </w:rPr>
        <w:t xml:space="preserve"> I</w:t>
      </w:r>
      <w:r w:rsidR="00785254">
        <w:rPr>
          <w:szCs w:val="24"/>
          <w:u w:val="single"/>
        </w:rPr>
        <w:t>NFORMATION</w:t>
      </w:r>
      <w:r w:rsidRPr="0020533F">
        <w:rPr>
          <w:szCs w:val="24"/>
          <w:u w:val="single"/>
        </w:rPr>
        <w:t xml:space="preserve"> A</w:t>
      </w:r>
      <w:r w:rsidR="00785254">
        <w:rPr>
          <w:szCs w:val="24"/>
          <w:u w:val="single"/>
        </w:rPr>
        <w:t>CT</w:t>
      </w:r>
      <w:r w:rsidR="00524E8B">
        <w:rPr>
          <w:szCs w:val="24"/>
          <w:u w:val="single"/>
        </w:rPr>
        <w:t xml:space="preserve"> </w:t>
      </w:r>
      <w:r w:rsidR="00524E8B" w:rsidRPr="00524E8B">
        <w:rPr>
          <w:szCs w:val="24"/>
          <w:u w:val="single"/>
        </w:rPr>
        <w:t>(PAIA)</w:t>
      </w:r>
      <w:r w:rsidRPr="0020533F">
        <w:rPr>
          <w:rStyle w:val="FootnoteReference"/>
          <w:szCs w:val="24"/>
          <w:u w:val="single"/>
        </w:rPr>
        <w:footnoteReference w:id="13"/>
      </w:r>
      <w:r w:rsidR="00524E8B">
        <w:rPr>
          <w:szCs w:val="24"/>
          <w:u w:val="single"/>
        </w:rPr>
        <w:t xml:space="preserve"> </w:t>
      </w:r>
    </w:p>
    <w:p w:rsidR="00DA0381" w:rsidRDefault="00DA0381" w:rsidP="00F754B4">
      <w:pPr>
        <w:jc w:val="both"/>
        <w:rPr>
          <w:szCs w:val="24"/>
          <w:u w:val="single"/>
        </w:rPr>
      </w:pPr>
    </w:p>
    <w:p w:rsidR="0020533F" w:rsidRDefault="0020533F" w:rsidP="00F754B4">
      <w:pPr>
        <w:jc w:val="both"/>
        <w:rPr>
          <w:szCs w:val="24"/>
        </w:rPr>
      </w:pPr>
      <w:r w:rsidRPr="00524E8B">
        <w:rPr>
          <w:szCs w:val="24"/>
        </w:rPr>
        <w:t>[</w:t>
      </w:r>
      <w:r w:rsidR="0018457F">
        <w:rPr>
          <w:szCs w:val="24"/>
        </w:rPr>
        <w:t>1</w:t>
      </w:r>
      <w:r w:rsidR="00127B6B">
        <w:rPr>
          <w:szCs w:val="24"/>
        </w:rPr>
        <w:t>2</w:t>
      </w:r>
      <w:r w:rsidRPr="00524E8B">
        <w:rPr>
          <w:szCs w:val="24"/>
        </w:rPr>
        <w:t>]</w:t>
      </w:r>
      <w:r w:rsidRPr="00524E8B">
        <w:rPr>
          <w:szCs w:val="24"/>
        </w:rPr>
        <w:tab/>
      </w:r>
      <w:r w:rsidR="00D36AAC">
        <w:rPr>
          <w:szCs w:val="24"/>
        </w:rPr>
        <w:t>T</w:t>
      </w:r>
      <w:r w:rsidR="00FF6C8A">
        <w:rPr>
          <w:szCs w:val="24"/>
        </w:rPr>
        <w:t>he t</w:t>
      </w:r>
      <w:r w:rsidR="00033829">
        <w:rPr>
          <w:szCs w:val="24"/>
        </w:rPr>
        <w:t>h</w:t>
      </w:r>
      <w:r w:rsidR="00FF6C8A">
        <w:rPr>
          <w:szCs w:val="24"/>
        </w:rPr>
        <w:t xml:space="preserve">rust of this complaint is that certain officials in the employ of the state furnished information to the applicant, which information forms part of the information regarding the respondents conduct submitted to this court. </w:t>
      </w:r>
    </w:p>
    <w:p w:rsidR="00DA0381" w:rsidRDefault="00DA0381" w:rsidP="00F754B4">
      <w:pPr>
        <w:jc w:val="both"/>
        <w:rPr>
          <w:szCs w:val="24"/>
        </w:rPr>
      </w:pPr>
    </w:p>
    <w:p w:rsidR="006C61D6" w:rsidRDefault="00FF6C8A" w:rsidP="00F754B4">
      <w:pPr>
        <w:jc w:val="both"/>
        <w:rPr>
          <w:szCs w:val="24"/>
        </w:rPr>
      </w:pPr>
      <w:r>
        <w:rPr>
          <w:szCs w:val="24"/>
        </w:rPr>
        <w:t>[</w:t>
      </w:r>
      <w:r w:rsidR="0018457F">
        <w:rPr>
          <w:szCs w:val="24"/>
        </w:rPr>
        <w:t>1</w:t>
      </w:r>
      <w:r w:rsidR="00127B6B">
        <w:rPr>
          <w:szCs w:val="24"/>
        </w:rPr>
        <w:t>3</w:t>
      </w:r>
      <w:r>
        <w:rPr>
          <w:szCs w:val="24"/>
        </w:rPr>
        <w:t>]</w:t>
      </w:r>
      <w:r>
        <w:rPr>
          <w:szCs w:val="24"/>
        </w:rPr>
        <w:tab/>
        <w:t xml:space="preserve">The complaint is that officials voluntarily handed over the information to the applicant and this conduct is unlawful. </w:t>
      </w:r>
      <w:r w:rsidR="003C058D">
        <w:rPr>
          <w:szCs w:val="24"/>
        </w:rPr>
        <w:t>It was submitted that the information in the hands of the state officials may only be handed over or made available to another party in t</w:t>
      </w:r>
      <w:r w:rsidR="003D6E36">
        <w:rPr>
          <w:szCs w:val="24"/>
        </w:rPr>
        <w:t xml:space="preserve">erms of PAIA, </w:t>
      </w:r>
      <w:r w:rsidR="004F2A27">
        <w:rPr>
          <w:szCs w:val="24"/>
        </w:rPr>
        <w:t>i.e.</w:t>
      </w:r>
      <w:r w:rsidR="004C699C">
        <w:rPr>
          <w:szCs w:val="24"/>
        </w:rPr>
        <w:t>,</w:t>
      </w:r>
      <w:r w:rsidR="003C058D">
        <w:rPr>
          <w:szCs w:val="24"/>
        </w:rPr>
        <w:t xml:space="preserve"> that the party requiring the information should comply with provisions of PAIA by requesting the information it sought </w:t>
      </w:r>
      <w:r w:rsidR="006C61D6">
        <w:rPr>
          <w:szCs w:val="24"/>
        </w:rPr>
        <w:t xml:space="preserve">and complying with the administrative prescripts of PAIA. </w:t>
      </w:r>
    </w:p>
    <w:p w:rsidR="00DA0381" w:rsidRDefault="00DA0381" w:rsidP="00F754B4">
      <w:pPr>
        <w:jc w:val="both"/>
        <w:rPr>
          <w:szCs w:val="24"/>
        </w:rPr>
      </w:pPr>
    </w:p>
    <w:p w:rsidR="00FF6C8A" w:rsidRDefault="006C61D6" w:rsidP="00F754B4">
      <w:pPr>
        <w:jc w:val="both"/>
        <w:rPr>
          <w:szCs w:val="24"/>
        </w:rPr>
      </w:pPr>
      <w:r>
        <w:rPr>
          <w:szCs w:val="24"/>
        </w:rPr>
        <w:t>[1</w:t>
      </w:r>
      <w:r w:rsidR="00127B6B">
        <w:rPr>
          <w:szCs w:val="24"/>
        </w:rPr>
        <w:t>4</w:t>
      </w:r>
      <w:r>
        <w:rPr>
          <w:szCs w:val="24"/>
        </w:rPr>
        <w:t>]</w:t>
      </w:r>
      <w:r>
        <w:rPr>
          <w:szCs w:val="24"/>
        </w:rPr>
        <w:tab/>
        <w:t>The submission is novel and indeed strange. Why would one go through</w:t>
      </w:r>
      <w:r w:rsidR="00640E83">
        <w:rPr>
          <w:szCs w:val="24"/>
        </w:rPr>
        <w:t xml:space="preserve"> the tedious steps prescribed by</w:t>
      </w:r>
      <w:r>
        <w:rPr>
          <w:szCs w:val="24"/>
        </w:rPr>
        <w:t xml:space="preserve"> PAIA if the information is voluntarily furnished? This, counsel </w:t>
      </w:r>
      <w:r>
        <w:rPr>
          <w:szCs w:val="24"/>
        </w:rPr>
        <w:lastRenderedPageBreak/>
        <w:t>for the respondent did not answer and persisted that, to lawfully obtain the information, it must be after compliance with the PAIA prescribed procedures. In this matter there was no refusal by these officials to furnish the information. They furnished it voluntarily as they, or their dep</w:t>
      </w:r>
      <w:r w:rsidR="005C0389">
        <w:rPr>
          <w:szCs w:val="24"/>
        </w:rPr>
        <w:t xml:space="preserve">artments, voluntarily disclosed the information in their possession which would be used either at an enquiry by the applicant or by this court. PAIA itself provides for instances where information may be shared without its provisions being followed. </w:t>
      </w:r>
      <w:r w:rsidR="0042460B">
        <w:rPr>
          <w:szCs w:val="24"/>
        </w:rPr>
        <w:t xml:space="preserve">In this regard there are at least two sections: </w:t>
      </w:r>
      <w:r w:rsidR="004F2A27">
        <w:rPr>
          <w:szCs w:val="24"/>
        </w:rPr>
        <w:t>i.e.</w:t>
      </w:r>
      <w:r w:rsidR="0042460B">
        <w:rPr>
          <w:szCs w:val="24"/>
        </w:rPr>
        <w:t xml:space="preserve"> s</w:t>
      </w:r>
      <w:r w:rsidR="004C699C">
        <w:rPr>
          <w:szCs w:val="24"/>
        </w:rPr>
        <w:t>ection</w:t>
      </w:r>
      <w:r w:rsidR="0042460B">
        <w:rPr>
          <w:szCs w:val="24"/>
        </w:rPr>
        <w:t xml:space="preserve"> 7 and 15 which allows for such disclosure. It has not been shown that the voluntary production of documents is in any way </w:t>
      </w:r>
      <w:r w:rsidR="00D70E63">
        <w:rPr>
          <w:szCs w:val="24"/>
        </w:rPr>
        <w:t xml:space="preserve">unlawful because the procedures </w:t>
      </w:r>
      <w:r w:rsidR="00D92752">
        <w:rPr>
          <w:szCs w:val="24"/>
        </w:rPr>
        <w:t>provided for by PAIA were not follo</w:t>
      </w:r>
      <w:r w:rsidR="00640E83">
        <w:rPr>
          <w:szCs w:val="24"/>
        </w:rPr>
        <w:t>wed. PAIA does not provide that</w:t>
      </w:r>
      <w:r w:rsidR="00D92752">
        <w:rPr>
          <w:szCs w:val="24"/>
        </w:rPr>
        <w:t xml:space="preserve"> by failing to follow the prescribed procedures, the handing over of information would be unlawful and that a party may not obtain documents on a voluntary basis. The scheme of the Act, save for the mandatory protection of records, is to enable a party to obtain information that is not readily available. </w:t>
      </w:r>
      <w:r w:rsidR="00E727B6">
        <w:rPr>
          <w:szCs w:val="24"/>
        </w:rPr>
        <w:t>The mandatory protection of information did not fea</w:t>
      </w:r>
      <w:r w:rsidR="00640E83">
        <w:rPr>
          <w:szCs w:val="24"/>
        </w:rPr>
        <w:t>ture in the submissions before u</w:t>
      </w:r>
      <w:r w:rsidR="00E727B6">
        <w:rPr>
          <w:szCs w:val="24"/>
        </w:rPr>
        <w:t xml:space="preserve">s. </w:t>
      </w:r>
      <w:r w:rsidR="00292994">
        <w:rPr>
          <w:szCs w:val="24"/>
        </w:rPr>
        <w:t xml:space="preserve">We are of the view that there is no merit in this point in </w:t>
      </w:r>
      <w:r w:rsidR="00292994" w:rsidRPr="004F2A27">
        <w:rPr>
          <w:i/>
          <w:szCs w:val="24"/>
        </w:rPr>
        <w:t>limine</w:t>
      </w:r>
      <w:r w:rsidR="00292994">
        <w:rPr>
          <w:szCs w:val="24"/>
        </w:rPr>
        <w:t xml:space="preserve">. </w:t>
      </w:r>
    </w:p>
    <w:p w:rsidR="00DA0381" w:rsidRDefault="00DA0381" w:rsidP="00F754B4">
      <w:pPr>
        <w:jc w:val="both"/>
        <w:rPr>
          <w:szCs w:val="24"/>
        </w:rPr>
      </w:pPr>
    </w:p>
    <w:p w:rsidR="00292994" w:rsidRDefault="00292994" w:rsidP="00F754B4">
      <w:pPr>
        <w:jc w:val="both"/>
        <w:rPr>
          <w:szCs w:val="24"/>
          <w:u w:val="single"/>
        </w:rPr>
      </w:pPr>
      <w:r w:rsidRPr="00292994">
        <w:rPr>
          <w:szCs w:val="24"/>
          <w:u w:val="single"/>
        </w:rPr>
        <w:t>T</w:t>
      </w:r>
      <w:r w:rsidR="00BB2C24">
        <w:rPr>
          <w:szCs w:val="24"/>
          <w:u w:val="single"/>
        </w:rPr>
        <w:t xml:space="preserve">HIRD POINT IN </w:t>
      </w:r>
      <w:r w:rsidR="00BB2C24" w:rsidRPr="004F2A27">
        <w:rPr>
          <w:i/>
          <w:szCs w:val="24"/>
          <w:u w:val="single"/>
        </w:rPr>
        <w:t>LIMINE</w:t>
      </w:r>
    </w:p>
    <w:p w:rsidR="00292994" w:rsidRDefault="00292994" w:rsidP="00F754B4">
      <w:pPr>
        <w:jc w:val="both"/>
        <w:rPr>
          <w:szCs w:val="24"/>
          <w:u w:val="single"/>
        </w:rPr>
      </w:pPr>
      <w:r w:rsidRPr="004F2A27">
        <w:rPr>
          <w:i/>
          <w:szCs w:val="24"/>
          <w:u w:val="single"/>
        </w:rPr>
        <w:t>U</w:t>
      </w:r>
      <w:r w:rsidR="00BB2C24" w:rsidRPr="004F2A27">
        <w:rPr>
          <w:i/>
          <w:szCs w:val="24"/>
          <w:u w:val="single"/>
        </w:rPr>
        <w:t>LTRA VIRES</w:t>
      </w:r>
      <w:r>
        <w:rPr>
          <w:szCs w:val="24"/>
          <w:u w:val="single"/>
        </w:rPr>
        <w:t xml:space="preserve"> </w:t>
      </w:r>
      <w:r w:rsidR="00BB2C24">
        <w:rPr>
          <w:szCs w:val="24"/>
          <w:u w:val="single"/>
        </w:rPr>
        <w:t>ACTIONS OF THE STATE OFFICIALS</w:t>
      </w:r>
      <w:r>
        <w:rPr>
          <w:szCs w:val="24"/>
          <w:u w:val="single"/>
        </w:rPr>
        <w:t>.</w:t>
      </w:r>
    </w:p>
    <w:p w:rsidR="00DA0381" w:rsidRDefault="00DA0381" w:rsidP="00F754B4">
      <w:pPr>
        <w:jc w:val="both"/>
        <w:rPr>
          <w:szCs w:val="24"/>
          <w:u w:val="single"/>
        </w:rPr>
      </w:pPr>
    </w:p>
    <w:p w:rsidR="00292994" w:rsidRDefault="00292994" w:rsidP="00F754B4">
      <w:pPr>
        <w:jc w:val="both"/>
        <w:rPr>
          <w:szCs w:val="24"/>
        </w:rPr>
      </w:pPr>
      <w:r>
        <w:rPr>
          <w:szCs w:val="24"/>
        </w:rPr>
        <w:t>[1</w:t>
      </w:r>
      <w:r w:rsidR="00127B6B">
        <w:rPr>
          <w:szCs w:val="24"/>
        </w:rPr>
        <w:t>5</w:t>
      </w:r>
      <w:r>
        <w:rPr>
          <w:szCs w:val="24"/>
        </w:rPr>
        <w:t>]</w:t>
      </w:r>
      <w:r>
        <w:rPr>
          <w:szCs w:val="24"/>
        </w:rPr>
        <w:tab/>
        <w:t>The gravamen of this submission is that officials of the state did not have the necessary authority to depose to affidavits and th</w:t>
      </w:r>
      <w:r w:rsidR="004A0C67">
        <w:rPr>
          <w:szCs w:val="24"/>
        </w:rPr>
        <w:t xml:space="preserve">ey thus acted ultra vires and their evidence should be rejected and excluded from the papers. </w:t>
      </w:r>
      <w:r w:rsidR="00A565DA">
        <w:rPr>
          <w:szCs w:val="24"/>
        </w:rPr>
        <w:t>The misconception in this submission is apparent. No witness needs authority to testify</w:t>
      </w:r>
      <w:r w:rsidR="00D36AAC">
        <w:rPr>
          <w:szCs w:val="24"/>
        </w:rPr>
        <w:t xml:space="preserve"> u</w:t>
      </w:r>
      <w:r w:rsidR="00A565DA">
        <w:rPr>
          <w:szCs w:val="24"/>
        </w:rPr>
        <w:t>nless it can be shown there is a legal bar against su</w:t>
      </w:r>
      <w:r w:rsidR="00640E83">
        <w:rPr>
          <w:szCs w:val="24"/>
        </w:rPr>
        <w:t xml:space="preserve">ch witness testifying without </w:t>
      </w:r>
      <w:r w:rsidR="00A565DA">
        <w:rPr>
          <w:szCs w:val="24"/>
        </w:rPr>
        <w:t>authority from it</w:t>
      </w:r>
      <w:r w:rsidR="00640E83">
        <w:rPr>
          <w:szCs w:val="24"/>
        </w:rPr>
        <w:t>s</w:t>
      </w:r>
      <w:r w:rsidR="00A565DA">
        <w:rPr>
          <w:szCs w:val="24"/>
        </w:rPr>
        <w:t xml:space="preserve"> superior. </w:t>
      </w:r>
      <w:r w:rsidR="00D811E4">
        <w:rPr>
          <w:szCs w:val="24"/>
        </w:rPr>
        <w:t xml:space="preserve">We have found no such law. </w:t>
      </w:r>
      <w:r w:rsidR="002108DF">
        <w:rPr>
          <w:szCs w:val="24"/>
        </w:rPr>
        <w:t xml:space="preserve">Indeed as far back as 1992, Fleming DJP held in </w:t>
      </w:r>
      <w:r w:rsidR="002108DF" w:rsidRPr="002108DF">
        <w:rPr>
          <w:i/>
          <w:szCs w:val="24"/>
        </w:rPr>
        <w:t>Eskom v Soweto City Council</w:t>
      </w:r>
      <w:r w:rsidR="002108DF">
        <w:rPr>
          <w:rStyle w:val="FootnoteReference"/>
          <w:szCs w:val="24"/>
        </w:rPr>
        <w:footnoteReference w:id="14"/>
      </w:r>
      <w:r w:rsidR="001E19A5">
        <w:rPr>
          <w:i/>
          <w:szCs w:val="24"/>
        </w:rPr>
        <w:t xml:space="preserve"> </w:t>
      </w:r>
      <w:r w:rsidR="001E19A5">
        <w:rPr>
          <w:szCs w:val="24"/>
        </w:rPr>
        <w:t xml:space="preserve">as follows: </w:t>
      </w:r>
    </w:p>
    <w:p w:rsidR="00DA0381" w:rsidRDefault="00DA0381" w:rsidP="00F754B4">
      <w:pPr>
        <w:jc w:val="both"/>
        <w:rPr>
          <w:szCs w:val="24"/>
        </w:rPr>
      </w:pPr>
    </w:p>
    <w:p w:rsidR="003730F1" w:rsidRDefault="001E19A5" w:rsidP="001E19A5">
      <w:pPr>
        <w:ind w:left="709"/>
        <w:jc w:val="both"/>
        <w:rPr>
          <w:sz w:val="22"/>
          <w:szCs w:val="24"/>
        </w:rPr>
      </w:pPr>
      <w:r>
        <w:rPr>
          <w:szCs w:val="24"/>
        </w:rPr>
        <w:lastRenderedPageBreak/>
        <w:tab/>
      </w:r>
      <w:r w:rsidR="009C437A">
        <w:rPr>
          <w:sz w:val="22"/>
          <w:szCs w:val="24"/>
        </w:rPr>
        <w:t>“</w:t>
      </w:r>
      <w:r>
        <w:rPr>
          <w:sz w:val="22"/>
          <w:szCs w:val="24"/>
        </w:rPr>
        <w:t xml:space="preserve">The evidence of Roussouw cannot be ignored because he is not </w:t>
      </w:r>
      <w:r w:rsidR="00D36AAC">
        <w:rPr>
          <w:sz w:val="22"/>
          <w:szCs w:val="24"/>
        </w:rPr>
        <w:t>‘</w:t>
      </w:r>
      <w:r>
        <w:rPr>
          <w:sz w:val="22"/>
          <w:szCs w:val="24"/>
        </w:rPr>
        <w:t>authorised</w:t>
      </w:r>
      <w:r w:rsidR="00D36AAC">
        <w:rPr>
          <w:sz w:val="22"/>
          <w:szCs w:val="24"/>
        </w:rPr>
        <w:t>’</w:t>
      </w:r>
      <w:r>
        <w:rPr>
          <w:sz w:val="22"/>
          <w:szCs w:val="24"/>
        </w:rPr>
        <w:t xml:space="preserve">. If attorney Bennet has authority to act on the respondent’s behalf, he may use any witness who in his </w:t>
      </w:r>
      <w:r w:rsidRPr="001E19A5">
        <w:rPr>
          <w:sz w:val="20"/>
          <w:szCs w:val="24"/>
        </w:rPr>
        <w:t xml:space="preserve">opinion </w:t>
      </w:r>
      <w:r w:rsidRPr="001E19A5">
        <w:rPr>
          <w:sz w:val="22"/>
          <w:szCs w:val="24"/>
        </w:rPr>
        <w:t>advances respondent’s appli</w:t>
      </w:r>
      <w:r w:rsidR="008B61B6">
        <w:rPr>
          <w:sz w:val="22"/>
          <w:szCs w:val="24"/>
        </w:rPr>
        <w:t>cation. A witness, also when a deponent, may testify even if he has no authority to bring, withdraw or otherwis</w:t>
      </w:r>
      <w:r w:rsidR="003730F1">
        <w:rPr>
          <w:sz w:val="22"/>
          <w:szCs w:val="24"/>
        </w:rPr>
        <w:t>e deal with application itself.</w:t>
      </w:r>
      <w:r w:rsidR="009C437A">
        <w:rPr>
          <w:sz w:val="22"/>
          <w:szCs w:val="24"/>
        </w:rPr>
        <w:t>”</w:t>
      </w:r>
      <w:r w:rsidR="003730F1">
        <w:rPr>
          <w:rStyle w:val="FootnoteReference"/>
          <w:sz w:val="22"/>
          <w:szCs w:val="24"/>
        </w:rPr>
        <w:footnoteReference w:id="15"/>
      </w:r>
    </w:p>
    <w:p w:rsidR="00DA0381" w:rsidRDefault="00DA0381" w:rsidP="001E19A5">
      <w:pPr>
        <w:ind w:left="709"/>
        <w:jc w:val="both"/>
        <w:rPr>
          <w:sz w:val="22"/>
          <w:szCs w:val="24"/>
        </w:rPr>
      </w:pPr>
    </w:p>
    <w:p w:rsidR="00640E83" w:rsidRDefault="00640E83" w:rsidP="00640E83">
      <w:pPr>
        <w:jc w:val="both"/>
        <w:rPr>
          <w:szCs w:val="24"/>
        </w:rPr>
      </w:pPr>
      <w:r>
        <w:rPr>
          <w:szCs w:val="24"/>
        </w:rPr>
        <w:t xml:space="preserve">The point in </w:t>
      </w:r>
      <w:r w:rsidRPr="004F2A27">
        <w:rPr>
          <w:i/>
          <w:szCs w:val="24"/>
        </w:rPr>
        <w:t>limine</w:t>
      </w:r>
      <w:r>
        <w:rPr>
          <w:szCs w:val="24"/>
        </w:rPr>
        <w:t xml:space="preserve"> fails.</w:t>
      </w:r>
    </w:p>
    <w:p w:rsidR="00DA0381" w:rsidRPr="00640E83" w:rsidRDefault="00DA0381" w:rsidP="00640E83">
      <w:pPr>
        <w:jc w:val="both"/>
        <w:rPr>
          <w:szCs w:val="24"/>
        </w:rPr>
      </w:pPr>
    </w:p>
    <w:p w:rsidR="00BB15FF" w:rsidRDefault="00851CA9" w:rsidP="00F754B4">
      <w:pPr>
        <w:jc w:val="both"/>
        <w:rPr>
          <w:szCs w:val="24"/>
          <w:u w:val="single"/>
        </w:rPr>
      </w:pPr>
      <w:r w:rsidRPr="00851CA9">
        <w:rPr>
          <w:szCs w:val="24"/>
          <w:u w:val="single"/>
        </w:rPr>
        <w:t>F</w:t>
      </w:r>
      <w:r w:rsidR="00317683">
        <w:rPr>
          <w:szCs w:val="24"/>
          <w:u w:val="single"/>
        </w:rPr>
        <w:t xml:space="preserve">OURTH POINT IN </w:t>
      </w:r>
      <w:r w:rsidR="00317683" w:rsidRPr="004F2A27">
        <w:rPr>
          <w:i/>
          <w:szCs w:val="24"/>
          <w:u w:val="single"/>
        </w:rPr>
        <w:t>LIMINE</w:t>
      </w:r>
    </w:p>
    <w:p w:rsidR="00851CA9" w:rsidRDefault="00851CA9" w:rsidP="00F754B4">
      <w:pPr>
        <w:jc w:val="both"/>
        <w:rPr>
          <w:szCs w:val="24"/>
          <w:u w:val="single"/>
        </w:rPr>
      </w:pPr>
      <w:r>
        <w:rPr>
          <w:szCs w:val="24"/>
          <w:u w:val="single"/>
        </w:rPr>
        <w:t>N</w:t>
      </w:r>
      <w:r w:rsidR="00317683">
        <w:rPr>
          <w:szCs w:val="24"/>
          <w:u w:val="single"/>
        </w:rPr>
        <w:t xml:space="preserve">ON-COMPLIANCE WITH </w:t>
      </w:r>
      <w:r>
        <w:rPr>
          <w:szCs w:val="24"/>
          <w:u w:val="single"/>
        </w:rPr>
        <w:t xml:space="preserve"> </w:t>
      </w:r>
      <w:r w:rsidR="00317683">
        <w:rPr>
          <w:szCs w:val="24"/>
          <w:u w:val="single"/>
        </w:rPr>
        <w:t>SECTION</w:t>
      </w:r>
      <w:r>
        <w:rPr>
          <w:szCs w:val="24"/>
          <w:u w:val="single"/>
        </w:rPr>
        <w:t xml:space="preserve"> 33(1)</w:t>
      </w:r>
      <w:r w:rsidR="00317683">
        <w:rPr>
          <w:szCs w:val="24"/>
          <w:u w:val="single"/>
        </w:rPr>
        <w:t xml:space="preserve"> OF THE CONSTITUTION</w:t>
      </w:r>
      <w:r>
        <w:rPr>
          <w:szCs w:val="24"/>
          <w:u w:val="single"/>
        </w:rPr>
        <w:t xml:space="preserve"> </w:t>
      </w:r>
      <w:r w:rsidR="00317683">
        <w:rPr>
          <w:szCs w:val="24"/>
          <w:u w:val="single"/>
        </w:rPr>
        <w:t>READ WITH</w:t>
      </w:r>
      <w:r>
        <w:rPr>
          <w:szCs w:val="24"/>
          <w:u w:val="single"/>
        </w:rPr>
        <w:t xml:space="preserve"> </w:t>
      </w:r>
      <w:r w:rsidR="00317683">
        <w:rPr>
          <w:szCs w:val="24"/>
          <w:u w:val="single"/>
        </w:rPr>
        <w:t>SECTION</w:t>
      </w:r>
      <w:r>
        <w:rPr>
          <w:szCs w:val="24"/>
          <w:u w:val="single"/>
        </w:rPr>
        <w:t xml:space="preserve"> 3(1) </w:t>
      </w:r>
      <w:r w:rsidR="00317683">
        <w:rPr>
          <w:szCs w:val="24"/>
          <w:u w:val="single"/>
        </w:rPr>
        <w:t>OF THE</w:t>
      </w:r>
      <w:r>
        <w:rPr>
          <w:szCs w:val="24"/>
          <w:u w:val="single"/>
        </w:rPr>
        <w:t xml:space="preserve"> P</w:t>
      </w:r>
      <w:r w:rsidR="00317683">
        <w:rPr>
          <w:szCs w:val="24"/>
          <w:u w:val="single"/>
        </w:rPr>
        <w:t>ROMOTION OF</w:t>
      </w:r>
      <w:r>
        <w:rPr>
          <w:szCs w:val="24"/>
          <w:u w:val="single"/>
        </w:rPr>
        <w:t xml:space="preserve"> </w:t>
      </w:r>
      <w:r w:rsidR="008E22A5">
        <w:rPr>
          <w:szCs w:val="24"/>
          <w:u w:val="single"/>
        </w:rPr>
        <w:t>A</w:t>
      </w:r>
      <w:r w:rsidR="00317683">
        <w:rPr>
          <w:szCs w:val="24"/>
          <w:u w:val="single"/>
        </w:rPr>
        <w:t>DMINISTRATIVE</w:t>
      </w:r>
      <w:r>
        <w:rPr>
          <w:szCs w:val="24"/>
          <w:u w:val="single"/>
        </w:rPr>
        <w:t xml:space="preserve"> J</w:t>
      </w:r>
      <w:r w:rsidR="00317683">
        <w:rPr>
          <w:szCs w:val="24"/>
          <w:u w:val="single"/>
        </w:rPr>
        <w:t>USTICE ACT</w:t>
      </w:r>
      <w:r>
        <w:rPr>
          <w:szCs w:val="24"/>
          <w:u w:val="single"/>
        </w:rPr>
        <w:t xml:space="preserve"> (PAJA)</w:t>
      </w:r>
      <w:r>
        <w:rPr>
          <w:rStyle w:val="FootnoteReference"/>
          <w:szCs w:val="24"/>
          <w:u w:val="single"/>
        </w:rPr>
        <w:footnoteReference w:id="16"/>
      </w:r>
    </w:p>
    <w:p w:rsidR="00DA0381" w:rsidRPr="00851CA9" w:rsidRDefault="00DA0381" w:rsidP="00F754B4">
      <w:pPr>
        <w:jc w:val="both"/>
        <w:rPr>
          <w:szCs w:val="24"/>
          <w:u w:val="single"/>
        </w:rPr>
      </w:pPr>
    </w:p>
    <w:p w:rsidR="00BB15FF" w:rsidRDefault="00851CA9" w:rsidP="00F754B4">
      <w:pPr>
        <w:jc w:val="both"/>
        <w:rPr>
          <w:szCs w:val="24"/>
          <w:lang w:val="en-GB"/>
        </w:rPr>
      </w:pPr>
      <w:r>
        <w:rPr>
          <w:szCs w:val="24"/>
        </w:rPr>
        <w:t>[1</w:t>
      </w:r>
      <w:r w:rsidR="00127B6B">
        <w:rPr>
          <w:szCs w:val="24"/>
        </w:rPr>
        <w:t>6</w:t>
      </w:r>
      <w:r>
        <w:rPr>
          <w:szCs w:val="24"/>
        </w:rPr>
        <w:t>]</w:t>
      </w:r>
      <w:r>
        <w:rPr>
          <w:szCs w:val="24"/>
        </w:rPr>
        <w:tab/>
        <w:t>The respondent sets</w:t>
      </w:r>
      <w:r w:rsidR="009F2DF8">
        <w:rPr>
          <w:szCs w:val="24"/>
        </w:rPr>
        <w:t xml:space="preserve"> </w:t>
      </w:r>
      <w:r w:rsidR="008E22A5">
        <w:rPr>
          <w:szCs w:val="24"/>
        </w:rPr>
        <w:t xml:space="preserve">out several </w:t>
      </w:r>
      <w:r w:rsidR="009F2DF8">
        <w:rPr>
          <w:szCs w:val="24"/>
        </w:rPr>
        <w:t xml:space="preserve">facts </w:t>
      </w:r>
      <w:r w:rsidR="008E22A5">
        <w:rPr>
          <w:szCs w:val="24"/>
        </w:rPr>
        <w:t>and submit</w:t>
      </w:r>
      <w:r w:rsidR="00EC0C84">
        <w:rPr>
          <w:szCs w:val="24"/>
        </w:rPr>
        <w:t>ted</w:t>
      </w:r>
      <w:r w:rsidR="008E22A5">
        <w:rPr>
          <w:szCs w:val="24"/>
        </w:rPr>
        <w:t xml:space="preserve"> that the applicant acted in procedurally unfair manner when deciding to suspend the r</w:t>
      </w:r>
      <w:r w:rsidR="00907BEB">
        <w:rPr>
          <w:szCs w:val="24"/>
        </w:rPr>
        <w:t>espondent. The submission misses</w:t>
      </w:r>
      <w:r w:rsidR="008E22A5">
        <w:rPr>
          <w:szCs w:val="24"/>
        </w:rPr>
        <w:t xml:space="preserve"> the fact that the applicant decided to ask the court to </w:t>
      </w:r>
      <w:r w:rsidR="00344941">
        <w:rPr>
          <w:szCs w:val="24"/>
        </w:rPr>
        <w:t>rule</w:t>
      </w:r>
      <w:r w:rsidR="008E22A5">
        <w:rPr>
          <w:szCs w:val="24"/>
        </w:rPr>
        <w:t xml:space="preserve"> whether to suspend the respondent</w:t>
      </w:r>
      <w:r w:rsidR="00344941">
        <w:rPr>
          <w:szCs w:val="24"/>
        </w:rPr>
        <w:t>,</w:t>
      </w:r>
      <w:r w:rsidR="008E22A5">
        <w:rPr>
          <w:szCs w:val="24"/>
        </w:rPr>
        <w:t xml:space="preserve"> based on the </w:t>
      </w:r>
      <w:r w:rsidR="00344941" w:rsidRPr="00344941">
        <w:rPr>
          <w:szCs w:val="24"/>
        </w:rPr>
        <w:t xml:space="preserve">available </w:t>
      </w:r>
      <w:r w:rsidR="008E22A5">
        <w:rPr>
          <w:szCs w:val="24"/>
        </w:rPr>
        <w:t>ev</w:t>
      </w:r>
      <w:r w:rsidR="00BA570D">
        <w:rPr>
          <w:szCs w:val="24"/>
        </w:rPr>
        <w:t>idence. There was thus</w:t>
      </w:r>
      <w:r w:rsidR="008E22A5">
        <w:rPr>
          <w:szCs w:val="24"/>
        </w:rPr>
        <w:t xml:space="preserve"> no administrative action taken by the applicant other than to place relevant evidence before the court. The respondent now seeks this court to set the suspension ordered by another court aside due to the applicant’s alleged non-compliance with s</w:t>
      </w:r>
      <w:r w:rsidR="008840E7">
        <w:rPr>
          <w:szCs w:val="24"/>
        </w:rPr>
        <w:t>ection</w:t>
      </w:r>
      <w:r w:rsidR="008E22A5">
        <w:rPr>
          <w:szCs w:val="24"/>
        </w:rPr>
        <w:t xml:space="preserve"> 3 of PAJA. </w:t>
      </w:r>
      <w:r w:rsidR="00930888">
        <w:rPr>
          <w:szCs w:val="24"/>
        </w:rPr>
        <w:t>Again, this issue w</w:t>
      </w:r>
      <w:r w:rsidR="00907BEB">
        <w:rPr>
          <w:szCs w:val="24"/>
        </w:rPr>
        <w:t>a</w:t>
      </w:r>
      <w:r w:rsidR="00930888">
        <w:rPr>
          <w:szCs w:val="24"/>
        </w:rPr>
        <w:t xml:space="preserve">s not raised in the papers </w:t>
      </w:r>
      <w:r w:rsidR="00BA570D">
        <w:rPr>
          <w:szCs w:val="24"/>
        </w:rPr>
        <w:t>and the applicant could not</w:t>
      </w:r>
      <w:r w:rsidR="00717900">
        <w:rPr>
          <w:szCs w:val="24"/>
        </w:rPr>
        <w:t xml:space="preserve"> deal with it any affidavit. Nevertheless, the submission that the applicant took a decision to </w:t>
      </w:r>
      <w:r w:rsidR="00231C5D">
        <w:rPr>
          <w:szCs w:val="24"/>
        </w:rPr>
        <w:t xml:space="preserve">suspend the respondent is flawed. Even if the applicant did not afford the respondent a fair administrative opportunity (which we do not find) the matter is now before this court with powers as provided for in </w:t>
      </w:r>
      <w:r w:rsidR="00344941">
        <w:rPr>
          <w:szCs w:val="24"/>
        </w:rPr>
        <w:t xml:space="preserve">the </w:t>
      </w:r>
      <w:r w:rsidR="00231C5D">
        <w:rPr>
          <w:szCs w:val="24"/>
        </w:rPr>
        <w:t>Advocates Act.</w:t>
      </w:r>
      <w:r w:rsidR="00BA570D">
        <w:rPr>
          <w:szCs w:val="24"/>
        </w:rPr>
        <w:t xml:space="preserve"> </w:t>
      </w:r>
      <w:r w:rsidR="00A6441D">
        <w:rPr>
          <w:szCs w:val="24"/>
        </w:rPr>
        <w:t xml:space="preserve">The decision by the applicant to refer the matter to this court is not administrative action for purposes of PAJA. </w:t>
      </w:r>
      <w:r w:rsidR="00AC71A5">
        <w:rPr>
          <w:szCs w:val="24"/>
        </w:rPr>
        <w:t>PAJA</w:t>
      </w:r>
      <w:r w:rsidR="00AC71A5">
        <w:rPr>
          <w:szCs w:val="24"/>
          <w:lang w:val="en-GB"/>
        </w:rPr>
        <w:t xml:space="preserve"> defines ‘decision’ as </w:t>
      </w:r>
    </w:p>
    <w:p w:rsidR="00DA0381" w:rsidRDefault="00DA0381" w:rsidP="00F754B4">
      <w:pPr>
        <w:jc w:val="both"/>
        <w:rPr>
          <w:szCs w:val="24"/>
          <w:lang w:val="en-GB"/>
        </w:rPr>
      </w:pPr>
    </w:p>
    <w:p w:rsidR="00AC71A5" w:rsidRDefault="00AC71A5" w:rsidP="00AC71A5">
      <w:pPr>
        <w:ind w:left="709"/>
        <w:jc w:val="both"/>
        <w:rPr>
          <w:sz w:val="22"/>
          <w:szCs w:val="24"/>
          <w:lang w:val="en-GB"/>
        </w:rPr>
      </w:pPr>
      <w:r>
        <w:rPr>
          <w:szCs w:val="24"/>
          <w:lang w:val="en-GB"/>
        </w:rPr>
        <w:lastRenderedPageBreak/>
        <w:tab/>
      </w:r>
      <w:r w:rsidR="009C437A">
        <w:rPr>
          <w:szCs w:val="24"/>
          <w:lang w:val="en-GB"/>
        </w:rPr>
        <w:t>“</w:t>
      </w:r>
      <w:r>
        <w:rPr>
          <w:sz w:val="22"/>
          <w:szCs w:val="24"/>
          <w:lang w:val="en-GB"/>
        </w:rPr>
        <w:t xml:space="preserve">. . . any decision of an administrative nature made, proposed to be made, or required to be made, as the case may be, under an empowering provision including a decision relating to - </w:t>
      </w:r>
    </w:p>
    <w:p w:rsidR="00AC71A5" w:rsidRPr="00AC71A5" w:rsidRDefault="00AC71A5" w:rsidP="00AC71A5">
      <w:pPr>
        <w:ind w:left="709"/>
        <w:jc w:val="both"/>
        <w:rPr>
          <w:sz w:val="22"/>
          <w:szCs w:val="24"/>
          <w:lang w:val="en-GB"/>
        </w:rPr>
      </w:pPr>
      <w:r>
        <w:rPr>
          <w:sz w:val="22"/>
          <w:szCs w:val="24"/>
          <w:lang w:val="en-GB"/>
        </w:rPr>
        <w:t xml:space="preserve"> </w:t>
      </w:r>
      <w:r w:rsidRPr="00AC71A5">
        <w:rPr>
          <w:sz w:val="22"/>
          <w:szCs w:val="24"/>
          <w:lang w:val="en-GB"/>
        </w:rPr>
        <w:t xml:space="preserve">(a) </w:t>
      </w:r>
      <w:r>
        <w:rPr>
          <w:sz w:val="22"/>
          <w:szCs w:val="24"/>
          <w:lang w:val="en-GB"/>
        </w:rPr>
        <w:t>making, suspending, revok</w:t>
      </w:r>
      <w:r w:rsidRPr="00AC71A5">
        <w:rPr>
          <w:sz w:val="22"/>
          <w:szCs w:val="24"/>
          <w:lang w:val="en-GB"/>
        </w:rPr>
        <w:t>ing or refusing to m</w:t>
      </w:r>
      <w:r>
        <w:rPr>
          <w:sz w:val="22"/>
          <w:szCs w:val="24"/>
          <w:lang w:val="en-GB"/>
        </w:rPr>
        <w:t>a</w:t>
      </w:r>
      <w:r w:rsidRPr="00AC71A5">
        <w:rPr>
          <w:sz w:val="22"/>
          <w:szCs w:val="24"/>
          <w:lang w:val="en-GB"/>
        </w:rPr>
        <w:t>ke an order, award or</w:t>
      </w:r>
    </w:p>
    <w:p w:rsidR="00AC71A5" w:rsidRPr="00AC71A5" w:rsidRDefault="00AC71A5" w:rsidP="0018457F">
      <w:pPr>
        <w:ind w:left="709"/>
        <w:jc w:val="both"/>
        <w:rPr>
          <w:sz w:val="22"/>
          <w:szCs w:val="24"/>
          <w:lang w:val="en-GB"/>
        </w:rPr>
      </w:pPr>
      <w:r w:rsidRPr="00AC71A5">
        <w:rPr>
          <w:sz w:val="22"/>
          <w:szCs w:val="24"/>
          <w:lang w:val="en-GB"/>
        </w:rPr>
        <w:t>determination;</w:t>
      </w:r>
    </w:p>
    <w:p w:rsidR="00AC71A5" w:rsidRPr="00AC71A5" w:rsidRDefault="00AC71A5" w:rsidP="00AC71A5">
      <w:pPr>
        <w:ind w:left="709"/>
        <w:jc w:val="both"/>
        <w:rPr>
          <w:sz w:val="22"/>
          <w:szCs w:val="24"/>
          <w:lang w:val="en-GB"/>
        </w:rPr>
      </w:pPr>
      <w:r w:rsidRPr="00AC71A5">
        <w:rPr>
          <w:sz w:val="22"/>
          <w:szCs w:val="24"/>
          <w:lang w:val="en-GB"/>
        </w:rPr>
        <w:t>(b) giving, suspending,</w:t>
      </w:r>
      <w:r>
        <w:rPr>
          <w:sz w:val="22"/>
          <w:szCs w:val="24"/>
          <w:lang w:val="en-GB"/>
        </w:rPr>
        <w:t xml:space="preserve"> revok</w:t>
      </w:r>
      <w:r w:rsidRPr="00AC71A5">
        <w:rPr>
          <w:sz w:val="22"/>
          <w:szCs w:val="24"/>
          <w:lang w:val="en-GB"/>
        </w:rPr>
        <w:t>ing or refusing to give a certificate, direction,</w:t>
      </w:r>
    </w:p>
    <w:p w:rsidR="00AC71A5" w:rsidRPr="00AC71A5" w:rsidRDefault="00AC71A5" w:rsidP="00AC71A5">
      <w:pPr>
        <w:ind w:left="709"/>
        <w:jc w:val="both"/>
        <w:rPr>
          <w:sz w:val="22"/>
          <w:szCs w:val="24"/>
          <w:lang w:val="en-GB"/>
        </w:rPr>
      </w:pPr>
      <w:r w:rsidRPr="00AC71A5">
        <w:rPr>
          <w:sz w:val="22"/>
          <w:szCs w:val="24"/>
          <w:lang w:val="en-GB"/>
        </w:rPr>
        <w:t>approval, consent or permission;</w:t>
      </w:r>
    </w:p>
    <w:p w:rsidR="00AC71A5" w:rsidRPr="00AC71A5" w:rsidRDefault="00AC71A5" w:rsidP="00AC71A5">
      <w:pPr>
        <w:ind w:left="709"/>
        <w:jc w:val="both"/>
        <w:rPr>
          <w:sz w:val="22"/>
          <w:szCs w:val="24"/>
          <w:lang w:val="en-GB"/>
        </w:rPr>
      </w:pPr>
      <w:r>
        <w:rPr>
          <w:sz w:val="22"/>
          <w:szCs w:val="24"/>
          <w:lang w:val="en-GB"/>
        </w:rPr>
        <w:t>(c) issuing, suspending, revoki</w:t>
      </w:r>
      <w:r w:rsidRPr="00AC71A5">
        <w:rPr>
          <w:sz w:val="22"/>
          <w:szCs w:val="24"/>
          <w:lang w:val="en-GB"/>
        </w:rPr>
        <w:t>ng or refusing to issue a licence, authority or 50</w:t>
      </w:r>
    </w:p>
    <w:p w:rsidR="00AC71A5" w:rsidRPr="00AC71A5" w:rsidRDefault="00AC71A5" w:rsidP="00AC71A5">
      <w:pPr>
        <w:ind w:left="709"/>
        <w:jc w:val="both"/>
        <w:rPr>
          <w:sz w:val="22"/>
          <w:szCs w:val="24"/>
          <w:lang w:val="en-GB"/>
        </w:rPr>
      </w:pPr>
      <w:r w:rsidRPr="00AC71A5">
        <w:rPr>
          <w:sz w:val="22"/>
          <w:szCs w:val="24"/>
          <w:lang w:val="en-GB"/>
        </w:rPr>
        <w:t>other instrument;</w:t>
      </w:r>
    </w:p>
    <w:p w:rsidR="00AC71A5" w:rsidRPr="00AC71A5" w:rsidRDefault="00AC71A5" w:rsidP="00AC71A5">
      <w:pPr>
        <w:ind w:left="709"/>
        <w:jc w:val="both"/>
        <w:rPr>
          <w:sz w:val="22"/>
          <w:szCs w:val="24"/>
          <w:lang w:val="en-GB"/>
        </w:rPr>
      </w:pPr>
      <w:r w:rsidRPr="00AC71A5">
        <w:rPr>
          <w:sz w:val="22"/>
          <w:szCs w:val="24"/>
          <w:lang w:val="en-GB"/>
        </w:rPr>
        <w:t>(d) imposing a condition or restriction;</w:t>
      </w:r>
    </w:p>
    <w:p w:rsidR="00AC71A5" w:rsidRPr="00AC71A5" w:rsidRDefault="00AC71A5" w:rsidP="00AC71A5">
      <w:pPr>
        <w:ind w:left="709"/>
        <w:jc w:val="both"/>
        <w:rPr>
          <w:sz w:val="22"/>
          <w:szCs w:val="24"/>
          <w:lang w:val="en-GB"/>
        </w:rPr>
      </w:pPr>
      <w:r>
        <w:rPr>
          <w:sz w:val="22"/>
          <w:szCs w:val="24"/>
          <w:lang w:val="en-GB"/>
        </w:rPr>
        <w:t>(e) making</w:t>
      </w:r>
      <w:r w:rsidRPr="00AC71A5">
        <w:rPr>
          <w:sz w:val="22"/>
          <w:szCs w:val="24"/>
          <w:lang w:val="en-GB"/>
        </w:rPr>
        <w:t xml:space="preserve"> a declaration, demand or requirement;</w:t>
      </w:r>
    </w:p>
    <w:p w:rsidR="00AC71A5" w:rsidRPr="00AC71A5" w:rsidRDefault="00AC71A5" w:rsidP="00AC71A5">
      <w:pPr>
        <w:ind w:left="709"/>
        <w:jc w:val="both"/>
        <w:rPr>
          <w:sz w:val="22"/>
          <w:szCs w:val="24"/>
          <w:lang w:val="en-GB"/>
        </w:rPr>
      </w:pPr>
      <w:r>
        <w:rPr>
          <w:sz w:val="22"/>
          <w:szCs w:val="24"/>
          <w:lang w:val="en-GB"/>
        </w:rPr>
        <w:t xml:space="preserve">(f) </w:t>
      </w:r>
      <w:r w:rsidRPr="00AC71A5">
        <w:rPr>
          <w:sz w:val="22"/>
          <w:szCs w:val="24"/>
          <w:lang w:val="en-GB"/>
        </w:rPr>
        <w:t>retaining, or refusing to deliver up, an article; or</w:t>
      </w:r>
    </w:p>
    <w:p w:rsidR="00AC71A5" w:rsidRPr="00AC71A5" w:rsidRDefault="00AC71A5" w:rsidP="00AC71A5">
      <w:pPr>
        <w:ind w:left="709"/>
        <w:jc w:val="both"/>
        <w:rPr>
          <w:sz w:val="22"/>
          <w:szCs w:val="24"/>
          <w:lang w:val="en-GB"/>
        </w:rPr>
      </w:pPr>
      <w:r w:rsidRPr="00AC71A5">
        <w:rPr>
          <w:sz w:val="22"/>
          <w:szCs w:val="24"/>
          <w:lang w:val="en-GB"/>
        </w:rPr>
        <w:t>(g) doing or refusing to do any other act or thing</w:t>
      </w:r>
      <w:r>
        <w:rPr>
          <w:sz w:val="22"/>
          <w:szCs w:val="24"/>
          <w:lang w:val="en-GB"/>
        </w:rPr>
        <w:t xml:space="preserve"> of an administrative nature,</w:t>
      </w:r>
    </w:p>
    <w:p w:rsidR="00AC71A5" w:rsidRDefault="00AC71A5" w:rsidP="004A3CB6">
      <w:pPr>
        <w:ind w:left="709"/>
        <w:jc w:val="both"/>
        <w:rPr>
          <w:sz w:val="22"/>
          <w:szCs w:val="24"/>
          <w:lang w:val="en-GB"/>
        </w:rPr>
      </w:pPr>
      <w:r w:rsidRPr="00AC71A5">
        <w:rPr>
          <w:sz w:val="22"/>
          <w:szCs w:val="24"/>
          <w:lang w:val="en-GB"/>
        </w:rPr>
        <w:t xml:space="preserve">and </w:t>
      </w:r>
      <w:r>
        <w:rPr>
          <w:sz w:val="22"/>
          <w:szCs w:val="24"/>
          <w:lang w:val="en-GB"/>
        </w:rPr>
        <w:t>a reference to a failure to take</w:t>
      </w:r>
      <w:r w:rsidRPr="00AC71A5">
        <w:rPr>
          <w:sz w:val="22"/>
          <w:szCs w:val="24"/>
          <w:lang w:val="en-GB"/>
        </w:rPr>
        <w:t xml:space="preserve"> a decisio</w:t>
      </w:r>
      <w:r>
        <w:rPr>
          <w:sz w:val="22"/>
          <w:szCs w:val="24"/>
          <w:lang w:val="en-GB"/>
        </w:rPr>
        <w:t>n must be construed accordingly. . . .</w:t>
      </w:r>
      <w:r w:rsidR="009C437A">
        <w:rPr>
          <w:sz w:val="22"/>
          <w:szCs w:val="24"/>
          <w:lang w:val="en-GB"/>
        </w:rPr>
        <w:t>”</w:t>
      </w:r>
    </w:p>
    <w:p w:rsidR="00DA0381" w:rsidRDefault="00DA0381" w:rsidP="004A3CB6">
      <w:pPr>
        <w:ind w:left="709"/>
        <w:jc w:val="both"/>
        <w:rPr>
          <w:sz w:val="22"/>
          <w:szCs w:val="24"/>
          <w:lang w:val="en-GB"/>
        </w:rPr>
      </w:pPr>
    </w:p>
    <w:p w:rsidR="00053157" w:rsidRDefault="00AC71A5" w:rsidP="00AC71A5">
      <w:pPr>
        <w:jc w:val="both"/>
        <w:rPr>
          <w:szCs w:val="24"/>
        </w:rPr>
      </w:pPr>
      <w:r>
        <w:rPr>
          <w:szCs w:val="24"/>
          <w:lang w:val="en-GB"/>
        </w:rPr>
        <w:t>[1</w:t>
      </w:r>
      <w:r w:rsidR="00127B6B">
        <w:rPr>
          <w:szCs w:val="24"/>
          <w:lang w:val="en-GB"/>
        </w:rPr>
        <w:t>7</w:t>
      </w:r>
      <w:r>
        <w:rPr>
          <w:szCs w:val="24"/>
          <w:lang w:val="en-GB"/>
        </w:rPr>
        <w:t>]</w:t>
      </w:r>
      <w:r>
        <w:rPr>
          <w:szCs w:val="24"/>
          <w:lang w:val="en-GB"/>
        </w:rPr>
        <w:tab/>
        <w:t>The submission is unfortunately somewhat convoluted.</w:t>
      </w:r>
      <w:r>
        <w:rPr>
          <w:rStyle w:val="FootnoteReference"/>
          <w:szCs w:val="24"/>
          <w:lang w:val="en-GB"/>
        </w:rPr>
        <w:footnoteReference w:id="17"/>
      </w:r>
      <w:r>
        <w:rPr>
          <w:szCs w:val="24"/>
          <w:lang w:val="en-GB"/>
        </w:rPr>
        <w:t xml:space="preserve"> </w:t>
      </w:r>
      <w:r w:rsidR="00D7313B">
        <w:rPr>
          <w:szCs w:val="24"/>
          <w:lang w:val="en-GB"/>
        </w:rPr>
        <w:t xml:space="preserve">It does not set out clearly what decision was taken unfairly. </w:t>
      </w:r>
      <w:r w:rsidR="00053157">
        <w:rPr>
          <w:szCs w:val="24"/>
        </w:rPr>
        <w:t>It seem</w:t>
      </w:r>
      <w:r w:rsidR="00370DFF">
        <w:rPr>
          <w:szCs w:val="24"/>
        </w:rPr>
        <w:t>s</w:t>
      </w:r>
      <w:r w:rsidR="00053157">
        <w:rPr>
          <w:szCs w:val="24"/>
        </w:rPr>
        <w:t xml:space="preserve"> that the applicant is referring to a </w:t>
      </w:r>
      <w:r w:rsidR="00370DFF">
        <w:rPr>
          <w:szCs w:val="24"/>
        </w:rPr>
        <w:t>“</w:t>
      </w:r>
      <w:r w:rsidR="00053157">
        <w:rPr>
          <w:szCs w:val="24"/>
        </w:rPr>
        <w:t xml:space="preserve">decision to </w:t>
      </w:r>
      <w:r w:rsidR="00053157">
        <w:rPr>
          <w:szCs w:val="24"/>
        </w:rPr>
        <w:lastRenderedPageBreak/>
        <w:t>suspend the respondent</w:t>
      </w:r>
      <w:r w:rsidR="00370DFF">
        <w:rPr>
          <w:szCs w:val="24"/>
        </w:rPr>
        <w:t>”</w:t>
      </w:r>
      <w:r w:rsidR="00053157">
        <w:rPr>
          <w:szCs w:val="24"/>
        </w:rPr>
        <w:t xml:space="preserve">. No such decision was taken by the applicant. </w:t>
      </w:r>
      <w:r w:rsidR="007E471F">
        <w:rPr>
          <w:szCs w:val="24"/>
        </w:rPr>
        <w:t xml:space="preserve">The further submission </w:t>
      </w:r>
      <w:r w:rsidR="00573303">
        <w:rPr>
          <w:szCs w:val="24"/>
        </w:rPr>
        <w:t xml:space="preserve">is </w:t>
      </w:r>
      <w:r w:rsidR="007E471F">
        <w:rPr>
          <w:szCs w:val="24"/>
        </w:rPr>
        <w:t>that the applicant should have exhausted its own internal remedies, by holding an enquiry before approaching the court.</w:t>
      </w:r>
      <w:r w:rsidR="00907BEB">
        <w:rPr>
          <w:szCs w:val="24"/>
        </w:rPr>
        <w:t xml:space="preserve"> The submission fails to appreciate the true nature of this applicatio</w:t>
      </w:r>
      <w:r w:rsidR="00573303">
        <w:rPr>
          <w:szCs w:val="24"/>
        </w:rPr>
        <w:t>n or the role of the applicant in these proceedings</w:t>
      </w:r>
      <w:r w:rsidR="00907BEB">
        <w:rPr>
          <w:szCs w:val="24"/>
        </w:rPr>
        <w:t>. Its own intended hearing has no bearing on the powers of the court. Nor has it been shown that the applicant cou</w:t>
      </w:r>
      <w:r w:rsidR="00573303">
        <w:rPr>
          <w:szCs w:val="24"/>
        </w:rPr>
        <w:t>ld exercise any power over the r</w:t>
      </w:r>
      <w:r w:rsidR="00907BEB">
        <w:rPr>
          <w:szCs w:val="24"/>
        </w:rPr>
        <w:t xml:space="preserve">espondent after the respondent resigned his membership of the applicant. </w:t>
      </w:r>
      <w:r w:rsidR="00573303">
        <w:rPr>
          <w:szCs w:val="24"/>
        </w:rPr>
        <w:t xml:space="preserve">Relying on </w:t>
      </w:r>
      <w:r w:rsidR="00573303">
        <w:rPr>
          <w:i/>
          <w:szCs w:val="24"/>
        </w:rPr>
        <w:t>Hewe</w:t>
      </w:r>
      <w:r w:rsidR="00907BEB" w:rsidRPr="00F47FD2">
        <w:rPr>
          <w:i/>
          <w:szCs w:val="24"/>
        </w:rPr>
        <w:t>tson</w:t>
      </w:r>
      <w:r w:rsidR="00573303">
        <w:rPr>
          <w:i/>
          <w:szCs w:val="24"/>
        </w:rPr>
        <w:t>,</w:t>
      </w:r>
      <w:r w:rsidR="00907BEB">
        <w:rPr>
          <w:rStyle w:val="FootnoteReference"/>
          <w:szCs w:val="24"/>
        </w:rPr>
        <w:footnoteReference w:id="18"/>
      </w:r>
      <w:r w:rsidR="007E471F">
        <w:rPr>
          <w:szCs w:val="24"/>
        </w:rPr>
        <w:t xml:space="preserve"> </w:t>
      </w:r>
      <w:r w:rsidR="00F47FD2">
        <w:rPr>
          <w:szCs w:val="24"/>
        </w:rPr>
        <w:t xml:space="preserve">it was submitted that the matter should be sent back to the applicant to first have a disciplinary enquiry before these proceedings can take place. The submission is based on an incorrect reading of </w:t>
      </w:r>
      <w:r w:rsidR="00C57CFB">
        <w:rPr>
          <w:i/>
          <w:szCs w:val="24"/>
        </w:rPr>
        <w:t>Hewe</w:t>
      </w:r>
      <w:r w:rsidR="00F47FD2" w:rsidRPr="00F47FD2">
        <w:rPr>
          <w:i/>
          <w:szCs w:val="24"/>
        </w:rPr>
        <w:t>tson</w:t>
      </w:r>
      <w:r w:rsidR="00F47FD2">
        <w:rPr>
          <w:szCs w:val="24"/>
        </w:rPr>
        <w:t xml:space="preserve">. There the court referred the matter back to the court of first instance for it to receive evidence and to consider whether a striking off or suspension was justified. It has nothing to do with </w:t>
      </w:r>
      <w:r w:rsidR="00E52D08">
        <w:rPr>
          <w:szCs w:val="24"/>
        </w:rPr>
        <w:t xml:space="preserve">exhausting </w:t>
      </w:r>
      <w:r w:rsidR="00573303">
        <w:rPr>
          <w:szCs w:val="24"/>
        </w:rPr>
        <w:t xml:space="preserve">of </w:t>
      </w:r>
      <w:r w:rsidR="00E52D08">
        <w:rPr>
          <w:szCs w:val="24"/>
        </w:rPr>
        <w:t>internal remedies</w:t>
      </w:r>
      <w:r w:rsidR="00305A83">
        <w:rPr>
          <w:szCs w:val="24"/>
        </w:rPr>
        <w:t>.</w:t>
      </w:r>
      <w:r w:rsidR="00E52D08">
        <w:rPr>
          <w:szCs w:val="24"/>
        </w:rPr>
        <w:t xml:space="preserve"> </w:t>
      </w:r>
      <w:r w:rsidR="00F47FD2">
        <w:rPr>
          <w:szCs w:val="24"/>
        </w:rPr>
        <w:t xml:space="preserve"> </w:t>
      </w:r>
      <w:r w:rsidR="00053157">
        <w:rPr>
          <w:szCs w:val="24"/>
        </w:rPr>
        <w:t>The entire argument, consequently, fails.</w:t>
      </w:r>
    </w:p>
    <w:p w:rsidR="00DA0381" w:rsidRDefault="00DA0381" w:rsidP="00AC71A5">
      <w:pPr>
        <w:jc w:val="both"/>
        <w:rPr>
          <w:szCs w:val="24"/>
        </w:rPr>
      </w:pPr>
    </w:p>
    <w:p w:rsidR="00AC71A5" w:rsidRDefault="00053157" w:rsidP="00AC71A5">
      <w:pPr>
        <w:jc w:val="both"/>
        <w:rPr>
          <w:szCs w:val="24"/>
        </w:rPr>
      </w:pPr>
      <w:r>
        <w:rPr>
          <w:szCs w:val="24"/>
          <w:u w:val="single"/>
        </w:rPr>
        <w:t>F</w:t>
      </w:r>
      <w:r w:rsidR="006A608B">
        <w:rPr>
          <w:szCs w:val="24"/>
          <w:u w:val="single"/>
        </w:rPr>
        <w:t xml:space="preserve">IFTH POINT IN </w:t>
      </w:r>
      <w:r w:rsidR="006A608B" w:rsidRPr="004F2A27">
        <w:rPr>
          <w:i/>
          <w:szCs w:val="24"/>
          <w:u w:val="single"/>
        </w:rPr>
        <w:t>LIMINE</w:t>
      </w:r>
      <w:r>
        <w:rPr>
          <w:szCs w:val="24"/>
          <w:u w:val="single"/>
        </w:rPr>
        <w:t xml:space="preserve"> (</w:t>
      </w:r>
      <w:r>
        <w:rPr>
          <w:szCs w:val="24"/>
        </w:rPr>
        <w:t>A</w:t>
      </w:r>
      <w:r w:rsidR="00E92D9E">
        <w:rPr>
          <w:szCs w:val="24"/>
        </w:rPr>
        <w:t>S READ</w:t>
      </w:r>
      <w:r>
        <w:rPr>
          <w:szCs w:val="24"/>
        </w:rPr>
        <w:t xml:space="preserve"> </w:t>
      </w:r>
      <w:r w:rsidR="00E92D9E">
        <w:rPr>
          <w:szCs w:val="24"/>
        </w:rPr>
        <w:t>TOGETHER</w:t>
      </w:r>
      <w:r>
        <w:rPr>
          <w:szCs w:val="24"/>
        </w:rPr>
        <w:t xml:space="preserve"> </w:t>
      </w:r>
      <w:r w:rsidR="00E92D9E">
        <w:rPr>
          <w:szCs w:val="24"/>
        </w:rPr>
        <w:t>WITH</w:t>
      </w:r>
      <w:r>
        <w:rPr>
          <w:szCs w:val="24"/>
        </w:rPr>
        <w:t xml:space="preserve"> </w:t>
      </w:r>
      <w:r w:rsidR="00E92D9E">
        <w:rPr>
          <w:szCs w:val="24"/>
        </w:rPr>
        <w:t>THE</w:t>
      </w:r>
      <w:r>
        <w:rPr>
          <w:szCs w:val="24"/>
        </w:rPr>
        <w:t xml:space="preserve"> </w:t>
      </w:r>
      <w:r w:rsidR="00E92D9E">
        <w:rPr>
          <w:szCs w:val="24"/>
        </w:rPr>
        <w:t>EIGHTH</w:t>
      </w:r>
      <w:r>
        <w:rPr>
          <w:szCs w:val="24"/>
        </w:rPr>
        <w:t xml:space="preserve"> </w:t>
      </w:r>
      <w:r w:rsidR="00E92D9E">
        <w:rPr>
          <w:szCs w:val="24"/>
        </w:rPr>
        <w:t>POINT</w:t>
      </w:r>
      <w:r>
        <w:rPr>
          <w:szCs w:val="24"/>
        </w:rPr>
        <w:t xml:space="preserve"> </w:t>
      </w:r>
      <w:r w:rsidR="00E92D9E">
        <w:rPr>
          <w:szCs w:val="24"/>
        </w:rPr>
        <w:t>IN</w:t>
      </w:r>
      <w:r>
        <w:rPr>
          <w:szCs w:val="24"/>
        </w:rPr>
        <w:t xml:space="preserve"> </w:t>
      </w:r>
      <w:r w:rsidR="00E92D9E" w:rsidRPr="004F2A27">
        <w:rPr>
          <w:i/>
          <w:szCs w:val="24"/>
        </w:rPr>
        <w:t>LIMINE</w:t>
      </w:r>
      <w:r>
        <w:rPr>
          <w:szCs w:val="24"/>
        </w:rPr>
        <w:t>)</w:t>
      </w:r>
    </w:p>
    <w:p w:rsidR="00053157" w:rsidRDefault="00053157" w:rsidP="00AC71A5">
      <w:pPr>
        <w:jc w:val="both"/>
        <w:rPr>
          <w:szCs w:val="24"/>
          <w:u w:val="single"/>
        </w:rPr>
      </w:pPr>
      <w:r w:rsidRPr="00053157">
        <w:rPr>
          <w:szCs w:val="24"/>
          <w:u w:val="single"/>
        </w:rPr>
        <w:t>C</w:t>
      </w:r>
      <w:r w:rsidR="006A608B">
        <w:rPr>
          <w:szCs w:val="24"/>
          <w:u w:val="single"/>
        </w:rPr>
        <w:t xml:space="preserve">LAUSE 40 OF </w:t>
      </w:r>
      <w:r w:rsidR="00DA0381">
        <w:rPr>
          <w:szCs w:val="24"/>
          <w:u w:val="single"/>
        </w:rPr>
        <w:t xml:space="preserve">THE </w:t>
      </w:r>
      <w:r w:rsidR="00DA0381" w:rsidRPr="00053157">
        <w:rPr>
          <w:szCs w:val="24"/>
          <w:u w:val="single"/>
        </w:rPr>
        <w:t>MAGNA</w:t>
      </w:r>
      <w:r w:rsidRPr="00053157">
        <w:rPr>
          <w:szCs w:val="24"/>
          <w:u w:val="single"/>
        </w:rPr>
        <w:t xml:space="preserve"> C</w:t>
      </w:r>
      <w:r w:rsidR="006A608B">
        <w:rPr>
          <w:szCs w:val="24"/>
          <w:u w:val="single"/>
        </w:rPr>
        <w:t>ARTA</w:t>
      </w:r>
      <w:r>
        <w:rPr>
          <w:szCs w:val="24"/>
          <w:u w:val="single"/>
        </w:rPr>
        <w:t xml:space="preserve"> – </w:t>
      </w:r>
      <w:r w:rsidR="006A608B">
        <w:rPr>
          <w:szCs w:val="24"/>
          <w:u w:val="single"/>
        </w:rPr>
        <w:t>JUSTICE DELAYED IS JUSTICE DENIED</w:t>
      </w:r>
    </w:p>
    <w:p w:rsidR="00DA0381" w:rsidRDefault="00DA0381" w:rsidP="00AC71A5">
      <w:pPr>
        <w:jc w:val="both"/>
        <w:rPr>
          <w:szCs w:val="24"/>
          <w:u w:val="single"/>
        </w:rPr>
      </w:pPr>
    </w:p>
    <w:p w:rsidR="00053157" w:rsidRDefault="00053157" w:rsidP="004F7F5A">
      <w:pPr>
        <w:jc w:val="both"/>
        <w:rPr>
          <w:szCs w:val="24"/>
        </w:rPr>
      </w:pPr>
      <w:r>
        <w:rPr>
          <w:szCs w:val="24"/>
        </w:rPr>
        <w:t>[1</w:t>
      </w:r>
      <w:r w:rsidR="00127B6B">
        <w:rPr>
          <w:szCs w:val="24"/>
        </w:rPr>
        <w:t>8</w:t>
      </w:r>
      <w:r>
        <w:rPr>
          <w:szCs w:val="24"/>
        </w:rPr>
        <w:t>]</w:t>
      </w:r>
      <w:r>
        <w:rPr>
          <w:szCs w:val="24"/>
        </w:rPr>
        <w:tab/>
        <w:t xml:space="preserve">Again, the respondent did not afford the applicant an opportunity to deal with this issue in its affidavits. The respondent sets out certain facts: </w:t>
      </w:r>
    </w:p>
    <w:p w:rsidR="00DA0381" w:rsidRDefault="00DA0381" w:rsidP="004F7F5A">
      <w:pPr>
        <w:jc w:val="both"/>
        <w:rPr>
          <w:szCs w:val="24"/>
        </w:rPr>
      </w:pPr>
    </w:p>
    <w:p w:rsidR="00053157" w:rsidRDefault="00053157" w:rsidP="00053157">
      <w:pPr>
        <w:ind w:left="1276" w:hanging="567"/>
        <w:jc w:val="both"/>
        <w:rPr>
          <w:szCs w:val="24"/>
        </w:rPr>
      </w:pPr>
      <w:r>
        <w:rPr>
          <w:szCs w:val="24"/>
        </w:rPr>
        <w:t>1)</w:t>
      </w:r>
      <w:r>
        <w:rPr>
          <w:szCs w:val="24"/>
        </w:rPr>
        <w:tab/>
        <w:t xml:space="preserve">There was an urgent application and the respondent was suspended on 24 October 2018. </w:t>
      </w:r>
    </w:p>
    <w:p w:rsidR="00053157" w:rsidRDefault="00053157" w:rsidP="00053157">
      <w:pPr>
        <w:ind w:left="1418" w:hanging="709"/>
        <w:jc w:val="both"/>
        <w:rPr>
          <w:szCs w:val="24"/>
        </w:rPr>
      </w:pPr>
      <w:r>
        <w:rPr>
          <w:szCs w:val="24"/>
        </w:rPr>
        <w:t xml:space="preserve">2)      On 31 October 2018 the applicant brought an application to strike the name of the applicant off the roll. </w:t>
      </w:r>
    </w:p>
    <w:p w:rsidR="00053157" w:rsidRDefault="00053157" w:rsidP="00053157">
      <w:pPr>
        <w:ind w:left="1418" w:hanging="709"/>
        <w:jc w:val="both"/>
        <w:rPr>
          <w:szCs w:val="24"/>
        </w:rPr>
      </w:pPr>
      <w:r>
        <w:rPr>
          <w:szCs w:val="24"/>
        </w:rPr>
        <w:t>3)</w:t>
      </w:r>
      <w:r>
        <w:rPr>
          <w:szCs w:val="24"/>
        </w:rPr>
        <w:tab/>
        <w:t>The answering affidavit was filed on 20 November 2018.</w:t>
      </w:r>
    </w:p>
    <w:p w:rsidR="00220D6C" w:rsidRDefault="00053157" w:rsidP="00053157">
      <w:pPr>
        <w:ind w:left="1418" w:hanging="709"/>
        <w:jc w:val="both"/>
        <w:rPr>
          <w:szCs w:val="24"/>
        </w:rPr>
      </w:pPr>
      <w:r>
        <w:rPr>
          <w:szCs w:val="24"/>
        </w:rPr>
        <w:t>4)</w:t>
      </w:r>
      <w:r>
        <w:rPr>
          <w:szCs w:val="24"/>
        </w:rPr>
        <w:tab/>
        <w:t xml:space="preserve">A reply was filed late. </w:t>
      </w:r>
    </w:p>
    <w:p w:rsidR="00DA0381" w:rsidRDefault="00DA0381" w:rsidP="00053157">
      <w:pPr>
        <w:ind w:left="1418" w:hanging="709"/>
        <w:jc w:val="both"/>
        <w:rPr>
          <w:szCs w:val="24"/>
        </w:rPr>
      </w:pPr>
    </w:p>
    <w:p w:rsidR="00053157" w:rsidRDefault="00053157" w:rsidP="00220D6C">
      <w:pPr>
        <w:jc w:val="both"/>
        <w:rPr>
          <w:szCs w:val="24"/>
        </w:rPr>
      </w:pPr>
      <w:r>
        <w:rPr>
          <w:szCs w:val="24"/>
        </w:rPr>
        <w:t xml:space="preserve">Despite several other references in the heads of argument that do not bolster this ground, the respondent fails to set and refer to </w:t>
      </w:r>
      <w:r w:rsidR="00E96820">
        <w:rPr>
          <w:szCs w:val="24"/>
        </w:rPr>
        <w:t>all the appeals that followed to b</w:t>
      </w:r>
      <w:r>
        <w:rPr>
          <w:szCs w:val="24"/>
        </w:rPr>
        <w:t xml:space="preserve">oth to the Supreme Court of Appeal and the Constitutional Court. </w:t>
      </w:r>
      <w:r w:rsidR="00220D6C">
        <w:rPr>
          <w:szCs w:val="24"/>
        </w:rPr>
        <w:t>There was also an application for rescission. With all these matters in progress there can be no criticism that the applicant did not press the striking off application whilst the rescission and appeal matters were in the pro</w:t>
      </w:r>
      <w:r w:rsidR="00455A89">
        <w:rPr>
          <w:szCs w:val="24"/>
        </w:rPr>
        <w:t>cess of being dealt with. The applicant resumed this application for the striking off</w:t>
      </w:r>
      <w:r w:rsidR="00767DB3">
        <w:rPr>
          <w:szCs w:val="24"/>
        </w:rPr>
        <w:t xml:space="preserve"> </w:t>
      </w:r>
      <w:r w:rsidR="00455A89">
        <w:rPr>
          <w:szCs w:val="24"/>
        </w:rPr>
        <w:t xml:space="preserve">of the respondent after all the interlocutory matters were dealt with. </w:t>
      </w:r>
    </w:p>
    <w:p w:rsidR="00DA0381" w:rsidRDefault="00DA0381" w:rsidP="00220D6C">
      <w:pPr>
        <w:jc w:val="both"/>
        <w:rPr>
          <w:szCs w:val="24"/>
        </w:rPr>
      </w:pPr>
    </w:p>
    <w:p w:rsidR="004A3CB6" w:rsidRDefault="00645D86" w:rsidP="00220D6C">
      <w:pPr>
        <w:jc w:val="both"/>
        <w:rPr>
          <w:szCs w:val="24"/>
        </w:rPr>
      </w:pPr>
      <w:r>
        <w:rPr>
          <w:szCs w:val="24"/>
        </w:rPr>
        <w:t>[1</w:t>
      </w:r>
      <w:r w:rsidR="00127B6B">
        <w:rPr>
          <w:szCs w:val="24"/>
        </w:rPr>
        <w:t>9</w:t>
      </w:r>
      <w:r>
        <w:rPr>
          <w:szCs w:val="24"/>
        </w:rPr>
        <w:t>]</w:t>
      </w:r>
      <w:r>
        <w:rPr>
          <w:szCs w:val="24"/>
        </w:rPr>
        <w:tab/>
        <w:t xml:space="preserve">There is no merit in the complaint that there was undue delay by the applicant in furthering this present application. </w:t>
      </w:r>
    </w:p>
    <w:p w:rsidR="00DA0381" w:rsidRDefault="00DA0381" w:rsidP="00220D6C">
      <w:pPr>
        <w:jc w:val="both"/>
        <w:rPr>
          <w:szCs w:val="24"/>
        </w:rPr>
      </w:pPr>
    </w:p>
    <w:p w:rsidR="00645D86" w:rsidRDefault="00645D86" w:rsidP="00220D6C">
      <w:pPr>
        <w:jc w:val="both"/>
        <w:rPr>
          <w:szCs w:val="24"/>
          <w:u w:val="single"/>
        </w:rPr>
      </w:pPr>
      <w:r w:rsidRPr="00645D86">
        <w:rPr>
          <w:szCs w:val="24"/>
          <w:u w:val="single"/>
        </w:rPr>
        <w:t>S</w:t>
      </w:r>
      <w:r w:rsidR="00977416">
        <w:rPr>
          <w:szCs w:val="24"/>
          <w:u w:val="single"/>
        </w:rPr>
        <w:t xml:space="preserve">IXTH POINT IN </w:t>
      </w:r>
      <w:r w:rsidR="00977416" w:rsidRPr="00DA0381">
        <w:rPr>
          <w:i/>
          <w:szCs w:val="24"/>
          <w:u w:val="single"/>
        </w:rPr>
        <w:t>LIMINE</w:t>
      </w:r>
      <w:r w:rsidRPr="00645D86">
        <w:rPr>
          <w:szCs w:val="24"/>
          <w:u w:val="single"/>
        </w:rPr>
        <w:t xml:space="preserve"> </w:t>
      </w:r>
    </w:p>
    <w:p w:rsidR="00645D86" w:rsidRDefault="00645D86" w:rsidP="00220D6C">
      <w:pPr>
        <w:jc w:val="both"/>
        <w:rPr>
          <w:szCs w:val="24"/>
          <w:u w:val="single"/>
        </w:rPr>
      </w:pPr>
      <w:r>
        <w:rPr>
          <w:szCs w:val="24"/>
          <w:u w:val="single"/>
        </w:rPr>
        <w:t>N</w:t>
      </w:r>
      <w:r w:rsidR="00977416">
        <w:rPr>
          <w:szCs w:val="24"/>
          <w:u w:val="single"/>
        </w:rPr>
        <w:t>ON-JOINDER</w:t>
      </w:r>
    </w:p>
    <w:p w:rsidR="00DA0381" w:rsidRDefault="00DA0381" w:rsidP="00220D6C">
      <w:pPr>
        <w:jc w:val="both"/>
        <w:rPr>
          <w:szCs w:val="24"/>
          <w:u w:val="single"/>
        </w:rPr>
      </w:pPr>
    </w:p>
    <w:p w:rsidR="00B746CE" w:rsidRDefault="00645D86" w:rsidP="00220D6C">
      <w:pPr>
        <w:jc w:val="both"/>
        <w:rPr>
          <w:szCs w:val="24"/>
        </w:rPr>
      </w:pPr>
      <w:r>
        <w:rPr>
          <w:szCs w:val="24"/>
        </w:rPr>
        <w:t>[</w:t>
      </w:r>
      <w:r w:rsidR="00127B6B">
        <w:rPr>
          <w:szCs w:val="24"/>
        </w:rPr>
        <w:t>20</w:t>
      </w:r>
      <w:r>
        <w:rPr>
          <w:szCs w:val="24"/>
        </w:rPr>
        <w:t xml:space="preserve">] </w:t>
      </w:r>
      <w:r>
        <w:rPr>
          <w:szCs w:val="24"/>
        </w:rPr>
        <w:tab/>
        <w:t>The responde</w:t>
      </w:r>
      <w:r w:rsidR="00E96820">
        <w:rPr>
          <w:szCs w:val="24"/>
        </w:rPr>
        <w:t xml:space="preserve">nt submitted that several </w:t>
      </w:r>
      <w:r>
        <w:rPr>
          <w:szCs w:val="24"/>
        </w:rPr>
        <w:t xml:space="preserve">persons had an interest in the striking off application and should have been joined in the matter. They are the Minister of Police, the Minister of Justice and Constitutional Development, the State Attorney Johannesburg and the Director of Public Prosecutions. </w:t>
      </w:r>
    </w:p>
    <w:p w:rsidR="00DA0381" w:rsidRDefault="00DA0381" w:rsidP="00220D6C">
      <w:pPr>
        <w:jc w:val="both"/>
        <w:rPr>
          <w:szCs w:val="24"/>
        </w:rPr>
      </w:pPr>
    </w:p>
    <w:p w:rsidR="00A714BD" w:rsidRDefault="00B746CE" w:rsidP="004F7F5A">
      <w:pPr>
        <w:jc w:val="both"/>
        <w:rPr>
          <w:szCs w:val="24"/>
        </w:rPr>
      </w:pPr>
      <w:r>
        <w:rPr>
          <w:szCs w:val="24"/>
        </w:rPr>
        <w:t>[</w:t>
      </w:r>
      <w:r w:rsidR="0018457F">
        <w:rPr>
          <w:szCs w:val="24"/>
        </w:rPr>
        <w:t>2</w:t>
      </w:r>
      <w:r w:rsidR="00127B6B">
        <w:rPr>
          <w:szCs w:val="24"/>
        </w:rPr>
        <w:t>1</w:t>
      </w:r>
      <w:r>
        <w:rPr>
          <w:szCs w:val="24"/>
        </w:rPr>
        <w:t>]</w:t>
      </w:r>
      <w:r>
        <w:rPr>
          <w:szCs w:val="24"/>
        </w:rPr>
        <w:tab/>
        <w:t xml:space="preserve">The non-joinder </w:t>
      </w:r>
      <w:r w:rsidR="00442919">
        <w:rPr>
          <w:szCs w:val="24"/>
        </w:rPr>
        <w:t>was</w:t>
      </w:r>
      <w:r>
        <w:rPr>
          <w:szCs w:val="24"/>
        </w:rPr>
        <w:t xml:space="preserve"> said to render the application fatally defective. It was further submitted that a judgment of this court may affect those persons prejudicially. </w:t>
      </w:r>
      <w:r w:rsidR="00A236B6">
        <w:rPr>
          <w:szCs w:val="24"/>
        </w:rPr>
        <w:t>The immediate problem with this submission is that the respondent confuses witness statements given by representatives of the witnesses and the possibility of prejudice that may occur as a result of any judgment. No such prejudice to the ministers and offici</w:t>
      </w:r>
      <w:r w:rsidR="00E96820">
        <w:rPr>
          <w:szCs w:val="24"/>
        </w:rPr>
        <w:t>als has been shown and it is no</w:t>
      </w:r>
      <w:r w:rsidR="00A236B6">
        <w:rPr>
          <w:szCs w:val="24"/>
        </w:rPr>
        <w:t xml:space="preserve"> more than an allegation in heads of argument. It is further </w:t>
      </w:r>
      <w:r w:rsidR="00376A2A">
        <w:rPr>
          <w:szCs w:val="24"/>
        </w:rPr>
        <w:t xml:space="preserve">stated that the State Attorney and the National Director of Public Prosecutions are required to be joined because of a legal and substantial interest, and more particularly </w:t>
      </w:r>
      <w:r w:rsidR="00376A2A">
        <w:rPr>
          <w:szCs w:val="24"/>
        </w:rPr>
        <w:lastRenderedPageBreak/>
        <w:t xml:space="preserve">because a member of the South African Police Services volunteered documents relating to information </w:t>
      </w:r>
      <w:r w:rsidR="00E2291E">
        <w:rPr>
          <w:szCs w:val="24"/>
        </w:rPr>
        <w:t>“</w:t>
      </w:r>
      <w:r w:rsidR="00376A2A">
        <w:rPr>
          <w:szCs w:val="24"/>
        </w:rPr>
        <w:t>from both the Minister of Police and the Director of Public Prosecutions</w:t>
      </w:r>
      <w:r w:rsidR="00E2291E">
        <w:rPr>
          <w:szCs w:val="24"/>
        </w:rPr>
        <w:t>”</w:t>
      </w:r>
      <w:r w:rsidR="00376A2A">
        <w:rPr>
          <w:szCs w:val="24"/>
        </w:rPr>
        <w:t xml:space="preserve">. Again, the respondent confuses a witness and a party with a substantial interest that could suffer prejudice. </w:t>
      </w:r>
      <w:r w:rsidR="00E856DB">
        <w:rPr>
          <w:szCs w:val="24"/>
        </w:rPr>
        <w:t xml:space="preserve">No such interest nor perceived prejudice has been disclosed. The respondent only concludes that there is such interest or prejudice without any primary facts in support thereof. The point has no merit. </w:t>
      </w:r>
    </w:p>
    <w:p w:rsidR="00DA0381" w:rsidRDefault="00DA0381" w:rsidP="004F7F5A">
      <w:pPr>
        <w:jc w:val="both"/>
        <w:rPr>
          <w:szCs w:val="24"/>
        </w:rPr>
      </w:pPr>
    </w:p>
    <w:p w:rsidR="00053157" w:rsidRPr="00DA0381" w:rsidRDefault="00A714BD" w:rsidP="004F7F5A">
      <w:pPr>
        <w:jc w:val="both"/>
        <w:rPr>
          <w:i/>
          <w:szCs w:val="24"/>
          <w:u w:val="single"/>
        </w:rPr>
      </w:pPr>
      <w:r w:rsidRPr="00A714BD">
        <w:rPr>
          <w:szCs w:val="24"/>
          <w:u w:val="single"/>
        </w:rPr>
        <w:t>S</w:t>
      </w:r>
      <w:r w:rsidR="00871052">
        <w:rPr>
          <w:szCs w:val="24"/>
          <w:u w:val="single"/>
        </w:rPr>
        <w:t xml:space="preserve">EVENTH POINT IN </w:t>
      </w:r>
      <w:r w:rsidR="00871052" w:rsidRPr="00DA0381">
        <w:rPr>
          <w:i/>
          <w:szCs w:val="24"/>
          <w:u w:val="single"/>
        </w:rPr>
        <w:t>LIMINE</w:t>
      </w:r>
    </w:p>
    <w:p w:rsidR="00A714BD" w:rsidRDefault="00A714BD" w:rsidP="004F7F5A">
      <w:pPr>
        <w:jc w:val="both"/>
        <w:rPr>
          <w:szCs w:val="24"/>
          <w:u w:val="single"/>
        </w:rPr>
      </w:pPr>
      <w:r>
        <w:rPr>
          <w:szCs w:val="24"/>
          <w:u w:val="single"/>
        </w:rPr>
        <w:t>J</w:t>
      </w:r>
      <w:r w:rsidR="00871052">
        <w:rPr>
          <w:szCs w:val="24"/>
          <w:u w:val="single"/>
        </w:rPr>
        <w:t>URISDICTION OF THE APPLICANT</w:t>
      </w:r>
    </w:p>
    <w:p w:rsidR="00DA0381" w:rsidRDefault="00DA0381" w:rsidP="004F7F5A">
      <w:pPr>
        <w:jc w:val="both"/>
        <w:rPr>
          <w:szCs w:val="24"/>
        </w:rPr>
      </w:pPr>
    </w:p>
    <w:p w:rsidR="00A714BD" w:rsidRDefault="00A714BD" w:rsidP="004F7F5A">
      <w:pPr>
        <w:jc w:val="both"/>
        <w:rPr>
          <w:szCs w:val="24"/>
        </w:rPr>
      </w:pPr>
      <w:r>
        <w:rPr>
          <w:szCs w:val="24"/>
        </w:rPr>
        <w:t>[</w:t>
      </w:r>
      <w:r w:rsidR="0018457F">
        <w:rPr>
          <w:szCs w:val="24"/>
        </w:rPr>
        <w:t>2</w:t>
      </w:r>
      <w:r w:rsidR="00127B6B">
        <w:rPr>
          <w:szCs w:val="24"/>
        </w:rPr>
        <w:t>2</w:t>
      </w:r>
      <w:r>
        <w:rPr>
          <w:szCs w:val="24"/>
        </w:rPr>
        <w:t>]</w:t>
      </w:r>
      <w:r>
        <w:rPr>
          <w:szCs w:val="24"/>
        </w:rPr>
        <w:tab/>
        <w:t xml:space="preserve">This submission is, again, based on the unproven constitution of the applicant. It is said that the applicant is not entitled to </w:t>
      </w:r>
      <w:r w:rsidR="00767DB3">
        <w:rPr>
          <w:szCs w:val="24"/>
        </w:rPr>
        <w:t>“</w:t>
      </w:r>
      <w:r>
        <w:rPr>
          <w:szCs w:val="24"/>
        </w:rPr>
        <w:t>invoke further sanctions</w:t>
      </w:r>
      <w:r w:rsidR="00A47514">
        <w:rPr>
          <w:szCs w:val="24"/>
        </w:rPr>
        <w:t xml:space="preserve"> </w:t>
      </w:r>
      <w:r>
        <w:rPr>
          <w:szCs w:val="24"/>
        </w:rPr>
        <w:t>. . . before this court</w:t>
      </w:r>
      <w:r w:rsidR="00767DB3">
        <w:rPr>
          <w:szCs w:val="24"/>
        </w:rPr>
        <w:t>”</w:t>
      </w:r>
      <w:r>
        <w:rPr>
          <w:szCs w:val="24"/>
        </w:rPr>
        <w:t xml:space="preserve"> until such time that it completes an intended disciplinary enquiry. The submission is plainly wrong. The respondent resigned his membership of the applicant and has not shown that the applicant retained residual competence to have a disciplinary enquiry regarding his</w:t>
      </w:r>
      <w:r w:rsidR="007E205F">
        <w:rPr>
          <w:szCs w:val="24"/>
        </w:rPr>
        <w:t xml:space="preserve"> conduct after his resignation. Secondly, we have set out the powers and duties of this court regarding the conduct of an advocate which may require investigation by the court itself.</w:t>
      </w:r>
      <w:r w:rsidR="00F54C75">
        <w:rPr>
          <w:szCs w:val="24"/>
        </w:rPr>
        <w:t xml:space="preserve"> This enquiry is, consequently, not hampered by any </w:t>
      </w:r>
      <w:r w:rsidR="00E92EFC">
        <w:rPr>
          <w:szCs w:val="24"/>
        </w:rPr>
        <w:t xml:space="preserve">conduct that the applicant may </w:t>
      </w:r>
      <w:r w:rsidR="00F54C75">
        <w:rPr>
          <w:szCs w:val="24"/>
        </w:rPr>
        <w:t xml:space="preserve">or may not have followed. </w:t>
      </w:r>
      <w:r w:rsidR="00DA1628">
        <w:rPr>
          <w:szCs w:val="24"/>
        </w:rPr>
        <w:t xml:space="preserve">The point in </w:t>
      </w:r>
      <w:r w:rsidR="00DA1628" w:rsidRPr="00DA0381">
        <w:rPr>
          <w:i/>
          <w:szCs w:val="24"/>
        </w:rPr>
        <w:t>limine</w:t>
      </w:r>
      <w:r w:rsidR="00DA1628">
        <w:rPr>
          <w:szCs w:val="24"/>
        </w:rPr>
        <w:t xml:space="preserve"> must fail. </w:t>
      </w:r>
    </w:p>
    <w:p w:rsidR="00DA0381" w:rsidRDefault="00DA0381" w:rsidP="004F7F5A">
      <w:pPr>
        <w:jc w:val="both"/>
        <w:rPr>
          <w:szCs w:val="24"/>
        </w:rPr>
      </w:pPr>
    </w:p>
    <w:p w:rsidR="00DA1628" w:rsidRDefault="00DA1628" w:rsidP="004F7F5A">
      <w:pPr>
        <w:jc w:val="both"/>
        <w:rPr>
          <w:szCs w:val="24"/>
          <w:u w:val="single"/>
        </w:rPr>
      </w:pPr>
      <w:r w:rsidRPr="00DA1628">
        <w:rPr>
          <w:szCs w:val="24"/>
          <w:u w:val="single"/>
        </w:rPr>
        <w:t>N</w:t>
      </w:r>
      <w:r w:rsidR="00B00F7E">
        <w:rPr>
          <w:szCs w:val="24"/>
          <w:u w:val="single"/>
        </w:rPr>
        <w:t xml:space="preserve">INTH POINT IN </w:t>
      </w:r>
      <w:r w:rsidR="00B00F7E" w:rsidRPr="00DA0381">
        <w:rPr>
          <w:i/>
          <w:szCs w:val="24"/>
          <w:u w:val="single"/>
        </w:rPr>
        <w:t>LIMINE</w:t>
      </w:r>
    </w:p>
    <w:p w:rsidR="00DA1628" w:rsidRDefault="00DA1628" w:rsidP="004F7F5A">
      <w:pPr>
        <w:jc w:val="both"/>
        <w:rPr>
          <w:szCs w:val="24"/>
          <w:u w:val="single"/>
        </w:rPr>
      </w:pPr>
      <w:r>
        <w:rPr>
          <w:szCs w:val="24"/>
          <w:u w:val="single"/>
        </w:rPr>
        <w:t>N</w:t>
      </w:r>
      <w:r w:rsidR="00B00F7E">
        <w:rPr>
          <w:szCs w:val="24"/>
          <w:u w:val="single"/>
        </w:rPr>
        <w:t>ON-COMPLIANCE WITH</w:t>
      </w:r>
      <w:r>
        <w:rPr>
          <w:szCs w:val="24"/>
          <w:u w:val="single"/>
        </w:rPr>
        <w:t xml:space="preserve"> </w:t>
      </w:r>
      <w:r w:rsidR="00B00F7E">
        <w:rPr>
          <w:szCs w:val="24"/>
          <w:u w:val="single"/>
        </w:rPr>
        <w:t>THE</w:t>
      </w:r>
      <w:r>
        <w:rPr>
          <w:szCs w:val="24"/>
          <w:u w:val="single"/>
        </w:rPr>
        <w:t xml:space="preserve"> J</w:t>
      </w:r>
      <w:r w:rsidR="00B00F7E">
        <w:rPr>
          <w:szCs w:val="24"/>
          <w:u w:val="single"/>
        </w:rPr>
        <w:t>USTICE</w:t>
      </w:r>
      <w:r>
        <w:rPr>
          <w:szCs w:val="24"/>
          <w:u w:val="single"/>
        </w:rPr>
        <w:t xml:space="preserve"> </w:t>
      </w:r>
      <w:r w:rsidR="00B00F7E">
        <w:rPr>
          <w:szCs w:val="24"/>
          <w:u w:val="single"/>
        </w:rPr>
        <w:t>OF</w:t>
      </w:r>
      <w:r>
        <w:rPr>
          <w:szCs w:val="24"/>
          <w:u w:val="single"/>
        </w:rPr>
        <w:t xml:space="preserve"> </w:t>
      </w:r>
      <w:r w:rsidR="00B00F7E">
        <w:rPr>
          <w:szCs w:val="24"/>
          <w:u w:val="single"/>
        </w:rPr>
        <w:t>THE</w:t>
      </w:r>
      <w:r>
        <w:rPr>
          <w:szCs w:val="24"/>
          <w:u w:val="single"/>
        </w:rPr>
        <w:t xml:space="preserve"> P</w:t>
      </w:r>
      <w:r w:rsidR="00B00F7E">
        <w:rPr>
          <w:szCs w:val="24"/>
          <w:u w:val="single"/>
        </w:rPr>
        <w:t>EACE</w:t>
      </w:r>
      <w:r>
        <w:rPr>
          <w:szCs w:val="24"/>
          <w:u w:val="single"/>
        </w:rPr>
        <w:t xml:space="preserve"> </w:t>
      </w:r>
      <w:r w:rsidR="00B00F7E">
        <w:rPr>
          <w:szCs w:val="24"/>
          <w:u w:val="single"/>
        </w:rPr>
        <w:t>AND</w:t>
      </w:r>
      <w:r>
        <w:rPr>
          <w:szCs w:val="24"/>
          <w:u w:val="single"/>
        </w:rPr>
        <w:t xml:space="preserve"> C</w:t>
      </w:r>
      <w:r w:rsidR="00B00F7E">
        <w:rPr>
          <w:szCs w:val="24"/>
          <w:u w:val="single"/>
        </w:rPr>
        <w:t>OMMISSIONER</w:t>
      </w:r>
      <w:r>
        <w:rPr>
          <w:szCs w:val="24"/>
          <w:u w:val="single"/>
        </w:rPr>
        <w:t xml:space="preserve"> </w:t>
      </w:r>
      <w:r w:rsidR="00B00F7E">
        <w:rPr>
          <w:szCs w:val="24"/>
          <w:u w:val="single"/>
        </w:rPr>
        <w:t>OF</w:t>
      </w:r>
      <w:r>
        <w:rPr>
          <w:szCs w:val="24"/>
          <w:u w:val="single"/>
        </w:rPr>
        <w:t xml:space="preserve"> O</w:t>
      </w:r>
      <w:r w:rsidR="00B00F7E">
        <w:rPr>
          <w:szCs w:val="24"/>
          <w:u w:val="single"/>
        </w:rPr>
        <w:t>ATH</w:t>
      </w:r>
      <w:r w:rsidR="00442919">
        <w:rPr>
          <w:szCs w:val="24"/>
          <w:u w:val="single"/>
        </w:rPr>
        <w:t>S</w:t>
      </w:r>
      <w:r>
        <w:rPr>
          <w:szCs w:val="24"/>
          <w:u w:val="single"/>
        </w:rPr>
        <w:t xml:space="preserve"> A</w:t>
      </w:r>
      <w:r w:rsidR="00B00F7E">
        <w:rPr>
          <w:szCs w:val="24"/>
          <w:u w:val="single"/>
        </w:rPr>
        <w:t>CT</w:t>
      </w:r>
      <w:r>
        <w:rPr>
          <w:rStyle w:val="FootnoteReference"/>
          <w:szCs w:val="24"/>
          <w:u w:val="single"/>
        </w:rPr>
        <w:footnoteReference w:id="19"/>
      </w:r>
    </w:p>
    <w:p w:rsidR="00DA0381" w:rsidRDefault="00DA0381" w:rsidP="004F7F5A">
      <w:pPr>
        <w:jc w:val="both"/>
        <w:rPr>
          <w:szCs w:val="24"/>
          <w:u w:val="single"/>
        </w:rPr>
      </w:pPr>
    </w:p>
    <w:p w:rsidR="00DA1628" w:rsidRDefault="00DA1628" w:rsidP="004F7F5A">
      <w:pPr>
        <w:jc w:val="both"/>
        <w:rPr>
          <w:szCs w:val="24"/>
        </w:rPr>
      </w:pPr>
      <w:r>
        <w:rPr>
          <w:szCs w:val="24"/>
        </w:rPr>
        <w:t>[2</w:t>
      </w:r>
      <w:r w:rsidR="00127B6B">
        <w:rPr>
          <w:szCs w:val="24"/>
        </w:rPr>
        <w:t>3</w:t>
      </w:r>
      <w:r>
        <w:rPr>
          <w:szCs w:val="24"/>
        </w:rPr>
        <w:t>]</w:t>
      </w:r>
      <w:r>
        <w:rPr>
          <w:szCs w:val="24"/>
        </w:rPr>
        <w:tab/>
      </w:r>
      <w:r w:rsidR="00E92EFC">
        <w:rPr>
          <w:szCs w:val="24"/>
        </w:rPr>
        <w:t xml:space="preserve">The respondent submitted that the affidavits in the urgent application that led to his suspension, and in this application, were not properly commissioned. The complaint regarding the urgent matter was abandoned. </w:t>
      </w:r>
      <w:r w:rsidR="00E64C2B">
        <w:rPr>
          <w:szCs w:val="24"/>
        </w:rPr>
        <w:t xml:space="preserve">The complaint in this matter relates to two </w:t>
      </w:r>
      <w:r w:rsidR="00E64C2B">
        <w:rPr>
          <w:szCs w:val="24"/>
        </w:rPr>
        <w:lastRenderedPageBreak/>
        <w:t xml:space="preserve">affidavits of two past chairs of the applicant. There are two answers to this complaint. The first is that a court has a discretion to allow affidavits despite shortcomings in the commissioning of the </w:t>
      </w:r>
      <w:r w:rsidR="00A253A2">
        <w:rPr>
          <w:szCs w:val="24"/>
        </w:rPr>
        <w:t xml:space="preserve">affidavits. In </w:t>
      </w:r>
      <w:r w:rsidR="00A253A2" w:rsidRPr="00A253A2">
        <w:rPr>
          <w:i/>
          <w:szCs w:val="24"/>
        </w:rPr>
        <w:t>C</w:t>
      </w:r>
      <w:r w:rsidR="008E6848">
        <w:rPr>
          <w:i/>
          <w:szCs w:val="24"/>
        </w:rPr>
        <w:t>h</w:t>
      </w:r>
      <w:r w:rsidR="00A253A2" w:rsidRPr="00A253A2">
        <w:rPr>
          <w:i/>
          <w:szCs w:val="24"/>
        </w:rPr>
        <w:t>ristodoulos v Jacobs</w:t>
      </w:r>
      <w:r w:rsidR="00A253A2">
        <w:rPr>
          <w:szCs w:val="24"/>
        </w:rPr>
        <w:t>, Meyer J (as he then was) said:</w:t>
      </w:r>
      <w:r w:rsidR="00A253A2">
        <w:rPr>
          <w:rStyle w:val="FootnoteReference"/>
          <w:szCs w:val="24"/>
        </w:rPr>
        <w:footnoteReference w:id="20"/>
      </w:r>
    </w:p>
    <w:p w:rsidR="00DA0381" w:rsidRDefault="00DA0381" w:rsidP="004F7F5A">
      <w:pPr>
        <w:jc w:val="both"/>
        <w:rPr>
          <w:szCs w:val="24"/>
        </w:rPr>
      </w:pPr>
    </w:p>
    <w:p w:rsidR="00A253A2" w:rsidRDefault="00A253A2" w:rsidP="00A253A2">
      <w:pPr>
        <w:ind w:left="709"/>
        <w:jc w:val="both"/>
        <w:rPr>
          <w:sz w:val="22"/>
          <w:szCs w:val="24"/>
        </w:rPr>
      </w:pPr>
      <w:r>
        <w:rPr>
          <w:szCs w:val="24"/>
        </w:rPr>
        <w:tab/>
      </w:r>
      <w:r w:rsidR="00370DFF">
        <w:rPr>
          <w:sz w:val="22"/>
          <w:szCs w:val="24"/>
        </w:rPr>
        <w:t>“</w:t>
      </w:r>
      <w:r w:rsidRPr="00A253A2">
        <w:rPr>
          <w:sz w:val="22"/>
          <w:szCs w:val="24"/>
        </w:rPr>
        <w:t xml:space="preserve">Mr Christodoulos argues that the designation of the commissioners of oaths, the offices held by them and whether the deponents are male or female are not stated in the affidavits of Messrs Stapelberg, HJ Jacobs and JA Jacobs and of Ms Otter.  It is settled law that the court has a discretion to refuse to receive an affidavit attested otherwise than in accordance with the regulations depending upon whether there has been substantial compliance with the regulations.  In </w:t>
      </w:r>
      <w:r w:rsidRPr="00A253A2">
        <w:rPr>
          <w:i/>
          <w:sz w:val="22"/>
          <w:szCs w:val="24"/>
        </w:rPr>
        <w:t>Lohman v Vaal Ontwikkeling</w:t>
      </w:r>
      <w:r w:rsidRPr="00A253A2">
        <w:rPr>
          <w:sz w:val="22"/>
          <w:szCs w:val="24"/>
        </w:rPr>
        <w:t xml:space="preserve"> 1979 (3) SA 391 (T) at 398G-399A, Nestadt J said the following:</w:t>
      </w:r>
    </w:p>
    <w:p w:rsidR="00DA0381" w:rsidRPr="00A253A2" w:rsidRDefault="00DA0381" w:rsidP="00A253A2">
      <w:pPr>
        <w:ind w:left="709"/>
        <w:jc w:val="both"/>
        <w:rPr>
          <w:sz w:val="22"/>
          <w:szCs w:val="24"/>
        </w:rPr>
      </w:pPr>
    </w:p>
    <w:p w:rsidR="00A253A2" w:rsidRDefault="00370DFF" w:rsidP="00370DFF">
      <w:pPr>
        <w:ind w:left="1440"/>
        <w:jc w:val="both"/>
        <w:rPr>
          <w:sz w:val="22"/>
          <w:szCs w:val="24"/>
        </w:rPr>
      </w:pPr>
      <w:r>
        <w:rPr>
          <w:sz w:val="22"/>
          <w:szCs w:val="24"/>
        </w:rPr>
        <w:t>‘</w:t>
      </w:r>
      <w:r w:rsidR="00A253A2" w:rsidRPr="00A253A2">
        <w:rPr>
          <w:sz w:val="22"/>
          <w:szCs w:val="24"/>
        </w:rPr>
        <w:t xml:space="preserve">It is now settled (at least in the Transvaal) that the requirements as contained in regs 1,2,3 and 4 are not peremptory but merely directory; the Court has a discretion to refuse to receive an affidavit attested otherwise than in accordance with the regulations depending upon whether substantial compliance with them has been proved or not (S v Msibi 1974 (4) SA 821 (T)).  In </w:t>
      </w:r>
      <w:r w:rsidR="00A253A2" w:rsidRPr="00A253A2">
        <w:rPr>
          <w:i/>
          <w:sz w:val="22"/>
          <w:szCs w:val="24"/>
        </w:rPr>
        <w:t>Ladybrand Hotels v Stellenbosch Farmers’ Winery</w:t>
      </w:r>
      <w:r w:rsidR="00A253A2" w:rsidRPr="00A253A2">
        <w:rPr>
          <w:sz w:val="22"/>
          <w:szCs w:val="24"/>
        </w:rPr>
        <w:t xml:space="preserve"> (supra) [1974 (1) SA 490 (O)] a similar conclusion was arrived at.  In that case the admissibility of an affidavit was attacked on the basis that the certification did not state that the deponents had signed it in the presence of the commissioner of oaths.  It was held that the </w:t>
      </w:r>
      <w:r w:rsidR="00A253A2" w:rsidRPr="00A253A2">
        <w:rPr>
          <w:i/>
          <w:sz w:val="22"/>
          <w:szCs w:val="24"/>
        </w:rPr>
        <w:t>maxim omnia praesumuntur rite esse acta</w:t>
      </w:r>
      <w:r w:rsidR="00A253A2" w:rsidRPr="00A253A2">
        <w:rPr>
          <w:sz w:val="22"/>
          <w:szCs w:val="24"/>
        </w:rPr>
        <w:t xml:space="preserve"> applied, that there was an onus on the person who disputes the validity of the affidavit to prove by evidence the failure to comply with the prescribed formalities and that in the absence of such evidence the objection taken failed.  In any event, it was held that if the affidavit was d</w:t>
      </w:r>
      <w:r w:rsidR="00A253A2">
        <w:rPr>
          <w:sz w:val="22"/>
          <w:szCs w:val="24"/>
        </w:rPr>
        <w:t>efective it should be condoned.</w:t>
      </w:r>
      <w:r>
        <w:rPr>
          <w:sz w:val="22"/>
          <w:szCs w:val="24"/>
        </w:rPr>
        <w:t>’</w:t>
      </w:r>
    </w:p>
    <w:p w:rsidR="00DA0381" w:rsidRPr="00A253A2" w:rsidRDefault="00DA0381" w:rsidP="00370DFF">
      <w:pPr>
        <w:ind w:left="1440"/>
        <w:jc w:val="both"/>
        <w:rPr>
          <w:sz w:val="22"/>
          <w:szCs w:val="24"/>
        </w:rPr>
      </w:pPr>
    </w:p>
    <w:p w:rsidR="00A253A2" w:rsidRDefault="00A253A2" w:rsidP="00A253A2">
      <w:pPr>
        <w:ind w:left="709"/>
        <w:jc w:val="both"/>
        <w:rPr>
          <w:sz w:val="22"/>
          <w:szCs w:val="24"/>
        </w:rPr>
      </w:pPr>
      <w:r w:rsidRPr="00A253A2">
        <w:rPr>
          <w:sz w:val="22"/>
          <w:szCs w:val="24"/>
        </w:rPr>
        <w:t>It is of course a question of fact in each case whether there has been substantial compliance or not.</w:t>
      </w:r>
      <w:r w:rsidR="00370DFF">
        <w:rPr>
          <w:sz w:val="22"/>
          <w:szCs w:val="24"/>
        </w:rPr>
        <w:t>”</w:t>
      </w:r>
    </w:p>
    <w:p w:rsidR="00DA0381" w:rsidRDefault="00DA0381" w:rsidP="00A253A2">
      <w:pPr>
        <w:ind w:left="709"/>
        <w:jc w:val="both"/>
        <w:rPr>
          <w:sz w:val="22"/>
          <w:szCs w:val="24"/>
        </w:rPr>
      </w:pPr>
    </w:p>
    <w:p w:rsidR="00A253A2" w:rsidRDefault="00A253A2" w:rsidP="00A253A2">
      <w:pPr>
        <w:jc w:val="both"/>
        <w:rPr>
          <w:szCs w:val="24"/>
        </w:rPr>
      </w:pPr>
      <w:r>
        <w:rPr>
          <w:szCs w:val="24"/>
        </w:rPr>
        <w:t>[2</w:t>
      </w:r>
      <w:r w:rsidR="00127B6B">
        <w:rPr>
          <w:szCs w:val="24"/>
        </w:rPr>
        <w:t>4</w:t>
      </w:r>
      <w:r>
        <w:rPr>
          <w:szCs w:val="24"/>
        </w:rPr>
        <w:t>]</w:t>
      </w:r>
      <w:r>
        <w:rPr>
          <w:szCs w:val="24"/>
        </w:rPr>
        <w:tab/>
        <w:t xml:space="preserve">In addition, both the deponents filed further affidavits properly commissioned in which they confirm the facts that are set out in the </w:t>
      </w:r>
      <w:r w:rsidR="00E96820">
        <w:rPr>
          <w:szCs w:val="24"/>
        </w:rPr>
        <w:t>original affidavits</w:t>
      </w:r>
      <w:r>
        <w:rPr>
          <w:szCs w:val="24"/>
        </w:rPr>
        <w:t xml:space="preserve">. The evidence of the deponents is therefore properly before the us and, in so far as it may be necessary, the shortcomings are condoned. </w:t>
      </w:r>
      <w:r w:rsidR="008E448E">
        <w:rPr>
          <w:szCs w:val="24"/>
        </w:rPr>
        <w:t xml:space="preserve">In the circumstances, the point in </w:t>
      </w:r>
      <w:r w:rsidR="008E448E" w:rsidRPr="00DA0381">
        <w:rPr>
          <w:i/>
          <w:szCs w:val="24"/>
        </w:rPr>
        <w:t xml:space="preserve">limine </w:t>
      </w:r>
      <w:r w:rsidR="008E448E">
        <w:rPr>
          <w:szCs w:val="24"/>
        </w:rPr>
        <w:t>must fail.</w:t>
      </w:r>
    </w:p>
    <w:p w:rsidR="00DA0381" w:rsidRDefault="00DA0381" w:rsidP="00A253A2">
      <w:pPr>
        <w:jc w:val="both"/>
        <w:rPr>
          <w:szCs w:val="24"/>
        </w:rPr>
      </w:pPr>
    </w:p>
    <w:p w:rsidR="008E448E" w:rsidRDefault="008E448E" w:rsidP="00A253A2">
      <w:pPr>
        <w:jc w:val="both"/>
        <w:rPr>
          <w:szCs w:val="24"/>
          <w:u w:val="single"/>
        </w:rPr>
      </w:pPr>
      <w:r w:rsidRPr="008E448E">
        <w:rPr>
          <w:szCs w:val="24"/>
          <w:u w:val="single"/>
        </w:rPr>
        <w:t>T</w:t>
      </w:r>
      <w:r w:rsidR="0000156D">
        <w:rPr>
          <w:szCs w:val="24"/>
          <w:u w:val="single"/>
        </w:rPr>
        <w:t xml:space="preserve">ENTH POINT IN </w:t>
      </w:r>
      <w:r w:rsidR="0000156D" w:rsidRPr="00DA0381">
        <w:rPr>
          <w:i/>
          <w:szCs w:val="24"/>
          <w:u w:val="single"/>
        </w:rPr>
        <w:t>LIMINE</w:t>
      </w:r>
    </w:p>
    <w:p w:rsidR="008E448E" w:rsidRDefault="008E448E" w:rsidP="00A253A2">
      <w:pPr>
        <w:jc w:val="both"/>
        <w:rPr>
          <w:szCs w:val="24"/>
          <w:u w:val="single"/>
        </w:rPr>
      </w:pPr>
      <w:r>
        <w:rPr>
          <w:szCs w:val="24"/>
          <w:u w:val="single"/>
        </w:rPr>
        <w:t>N</w:t>
      </w:r>
      <w:r w:rsidR="0000156D">
        <w:rPr>
          <w:szCs w:val="24"/>
          <w:u w:val="single"/>
        </w:rPr>
        <w:t>ON-COMPLIANCE</w:t>
      </w:r>
      <w:r>
        <w:rPr>
          <w:szCs w:val="24"/>
          <w:u w:val="single"/>
        </w:rPr>
        <w:t xml:space="preserve"> </w:t>
      </w:r>
      <w:r w:rsidR="0000156D">
        <w:rPr>
          <w:szCs w:val="24"/>
          <w:u w:val="single"/>
        </w:rPr>
        <w:t>WITH</w:t>
      </w:r>
      <w:r>
        <w:rPr>
          <w:szCs w:val="24"/>
          <w:u w:val="single"/>
        </w:rPr>
        <w:t xml:space="preserve"> </w:t>
      </w:r>
      <w:r w:rsidR="0000156D">
        <w:rPr>
          <w:szCs w:val="24"/>
          <w:u w:val="single"/>
        </w:rPr>
        <w:t>SECTION</w:t>
      </w:r>
      <w:r>
        <w:rPr>
          <w:szCs w:val="24"/>
          <w:u w:val="single"/>
        </w:rPr>
        <w:t xml:space="preserve"> 3(1) </w:t>
      </w:r>
      <w:r w:rsidR="0000156D">
        <w:rPr>
          <w:szCs w:val="24"/>
          <w:u w:val="single"/>
        </w:rPr>
        <w:t>OF THE</w:t>
      </w:r>
      <w:r>
        <w:rPr>
          <w:szCs w:val="24"/>
          <w:u w:val="single"/>
        </w:rPr>
        <w:t xml:space="preserve"> L</w:t>
      </w:r>
      <w:r w:rsidR="0000156D">
        <w:rPr>
          <w:szCs w:val="24"/>
          <w:u w:val="single"/>
        </w:rPr>
        <w:t>AW</w:t>
      </w:r>
      <w:r>
        <w:rPr>
          <w:szCs w:val="24"/>
          <w:u w:val="single"/>
        </w:rPr>
        <w:t xml:space="preserve"> </w:t>
      </w:r>
      <w:r w:rsidR="0000156D">
        <w:rPr>
          <w:szCs w:val="24"/>
          <w:u w:val="single"/>
        </w:rPr>
        <w:t>OF</w:t>
      </w:r>
      <w:r>
        <w:rPr>
          <w:szCs w:val="24"/>
          <w:u w:val="single"/>
        </w:rPr>
        <w:t xml:space="preserve"> E</w:t>
      </w:r>
      <w:r w:rsidR="0000156D">
        <w:rPr>
          <w:szCs w:val="24"/>
          <w:u w:val="single"/>
        </w:rPr>
        <w:t>VIDENCE</w:t>
      </w:r>
      <w:r>
        <w:rPr>
          <w:szCs w:val="24"/>
          <w:u w:val="single"/>
        </w:rPr>
        <w:t xml:space="preserve"> </w:t>
      </w:r>
      <w:r w:rsidR="0086040A">
        <w:rPr>
          <w:szCs w:val="24"/>
          <w:u w:val="single"/>
        </w:rPr>
        <w:t>A</w:t>
      </w:r>
      <w:r w:rsidR="0000156D">
        <w:rPr>
          <w:szCs w:val="24"/>
          <w:u w:val="single"/>
        </w:rPr>
        <w:t>MENDMENT</w:t>
      </w:r>
      <w:r w:rsidR="0086040A">
        <w:rPr>
          <w:szCs w:val="24"/>
          <w:u w:val="single"/>
        </w:rPr>
        <w:t xml:space="preserve"> </w:t>
      </w:r>
      <w:r>
        <w:rPr>
          <w:szCs w:val="24"/>
          <w:u w:val="single"/>
        </w:rPr>
        <w:t>A</w:t>
      </w:r>
      <w:r w:rsidR="0000156D">
        <w:rPr>
          <w:szCs w:val="24"/>
          <w:u w:val="single"/>
        </w:rPr>
        <w:t>CT</w:t>
      </w:r>
      <w:r>
        <w:rPr>
          <w:rStyle w:val="FootnoteReference"/>
          <w:szCs w:val="24"/>
          <w:u w:val="single"/>
        </w:rPr>
        <w:footnoteReference w:id="21"/>
      </w:r>
    </w:p>
    <w:p w:rsidR="00DA0381" w:rsidRDefault="00DA0381" w:rsidP="00A253A2">
      <w:pPr>
        <w:jc w:val="both"/>
        <w:rPr>
          <w:szCs w:val="24"/>
          <w:u w:val="single"/>
        </w:rPr>
      </w:pPr>
    </w:p>
    <w:p w:rsidR="008E448E" w:rsidRDefault="0086040A" w:rsidP="00A253A2">
      <w:pPr>
        <w:jc w:val="both"/>
        <w:rPr>
          <w:szCs w:val="24"/>
        </w:rPr>
      </w:pPr>
      <w:r>
        <w:rPr>
          <w:szCs w:val="24"/>
        </w:rPr>
        <w:t>[2</w:t>
      </w:r>
      <w:r w:rsidR="00127B6B">
        <w:rPr>
          <w:szCs w:val="24"/>
        </w:rPr>
        <w:t>5</w:t>
      </w:r>
      <w:r>
        <w:rPr>
          <w:szCs w:val="24"/>
        </w:rPr>
        <w:t>]</w:t>
      </w:r>
      <w:r>
        <w:rPr>
          <w:szCs w:val="24"/>
        </w:rPr>
        <w:tab/>
      </w:r>
      <w:r w:rsidR="0058272A">
        <w:rPr>
          <w:szCs w:val="24"/>
        </w:rPr>
        <w:t xml:space="preserve">The complaint was that certain persons who furnished evidence or documents did not confirm the facts on affidavit. The complaint missed that the witness Isaacs did indeed file a confirmatory affidavit. The witness Beukes is not required to file an affidavit as the documents handed over by that witness is available before the court and the respondent is in a position to comment on it, if he so wishes. </w:t>
      </w:r>
      <w:r w:rsidR="009A34C4">
        <w:rPr>
          <w:szCs w:val="24"/>
        </w:rPr>
        <w:t xml:space="preserve">In the circumstances the complaint has not merit. </w:t>
      </w:r>
    </w:p>
    <w:p w:rsidR="00DA0381" w:rsidRDefault="00DA0381" w:rsidP="00A253A2">
      <w:pPr>
        <w:jc w:val="both"/>
        <w:rPr>
          <w:szCs w:val="24"/>
        </w:rPr>
      </w:pPr>
    </w:p>
    <w:p w:rsidR="009A34C4" w:rsidRDefault="009A34C4" w:rsidP="00A253A2">
      <w:pPr>
        <w:jc w:val="both"/>
        <w:rPr>
          <w:szCs w:val="24"/>
          <w:u w:val="single"/>
        </w:rPr>
      </w:pPr>
      <w:r w:rsidRPr="009A34C4">
        <w:rPr>
          <w:szCs w:val="24"/>
          <w:u w:val="single"/>
        </w:rPr>
        <w:t>E</w:t>
      </w:r>
      <w:r w:rsidR="008F186A">
        <w:rPr>
          <w:szCs w:val="24"/>
          <w:u w:val="single"/>
        </w:rPr>
        <w:t xml:space="preserve">LEVENTH POINT IN </w:t>
      </w:r>
      <w:r w:rsidR="008F186A" w:rsidRPr="00DA0381">
        <w:rPr>
          <w:i/>
          <w:szCs w:val="24"/>
          <w:u w:val="single"/>
        </w:rPr>
        <w:t>LIMINE</w:t>
      </w:r>
    </w:p>
    <w:p w:rsidR="009A34C4" w:rsidRDefault="005A7A38" w:rsidP="00A253A2">
      <w:pPr>
        <w:jc w:val="both"/>
        <w:rPr>
          <w:szCs w:val="24"/>
          <w:u w:val="single"/>
        </w:rPr>
      </w:pPr>
      <w:r>
        <w:rPr>
          <w:szCs w:val="24"/>
          <w:u w:val="single"/>
        </w:rPr>
        <w:t>U</w:t>
      </w:r>
      <w:r w:rsidR="008F186A">
        <w:rPr>
          <w:szCs w:val="24"/>
          <w:u w:val="single"/>
        </w:rPr>
        <w:t>RGENCY</w:t>
      </w:r>
    </w:p>
    <w:p w:rsidR="00DA0381" w:rsidRDefault="00DA0381" w:rsidP="00A253A2">
      <w:pPr>
        <w:jc w:val="both"/>
        <w:rPr>
          <w:szCs w:val="24"/>
          <w:u w:val="single"/>
        </w:rPr>
      </w:pPr>
    </w:p>
    <w:p w:rsidR="00DA0381" w:rsidRDefault="00C95B5B" w:rsidP="00A253A2">
      <w:pPr>
        <w:jc w:val="both"/>
        <w:rPr>
          <w:szCs w:val="24"/>
        </w:rPr>
      </w:pPr>
      <w:r>
        <w:rPr>
          <w:szCs w:val="24"/>
        </w:rPr>
        <w:t>[2</w:t>
      </w:r>
      <w:r w:rsidR="00127B6B">
        <w:rPr>
          <w:szCs w:val="24"/>
        </w:rPr>
        <w:t>6</w:t>
      </w:r>
      <w:r>
        <w:rPr>
          <w:szCs w:val="24"/>
        </w:rPr>
        <w:t>]</w:t>
      </w:r>
      <w:r>
        <w:rPr>
          <w:szCs w:val="24"/>
        </w:rPr>
        <w:tab/>
        <w:t xml:space="preserve">The point suggested that the urgent application which was launched and resulted in the agreed order of suspension of the respondent, should not have been </w:t>
      </w:r>
      <w:r w:rsidR="0057384F">
        <w:rPr>
          <w:szCs w:val="24"/>
        </w:rPr>
        <w:t xml:space="preserve">treated as an urgent matter and that matter was thus void </w:t>
      </w:r>
      <w:r w:rsidR="0057384F" w:rsidRPr="00DA0381">
        <w:rPr>
          <w:i/>
          <w:szCs w:val="24"/>
        </w:rPr>
        <w:t>abinitio</w:t>
      </w:r>
      <w:r w:rsidR="0057384F">
        <w:rPr>
          <w:szCs w:val="24"/>
        </w:rPr>
        <w:t>. After some debate, counsel for the respondent conceded that point has not place in this application.</w:t>
      </w:r>
    </w:p>
    <w:p w:rsidR="0057384F" w:rsidRDefault="0057384F" w:rsidP="00A253A2">
      <w:pPr>
        <w:jc w:val="both"/>
        <w:rPr>
          <w:szCs w:val="24"/>
        </w:rPr>
      </w:pPr>
      <w:r>
        <w:rPr>
          <w:szCs w:val="24"/>
        </w:rPr>
        <w:t xml:space="preserve"> </w:t>
      </w:r>
    </w:p>
    <w:p w:rsidR="005A7A38" w:rsidRDefault="0057384F" w:rsidP="00A253A2">
      <w:pPr>
        <w:jc w:val="both"/>
        <w:rPr>
          <w:szCs w:val="24"/>
        </w:rPr>
      </w:pPr>
      <w:r>
        <w:rPr>
          <w:szCs w:val="24"/>
        </w:rPr>
        <w:t>[2</w:t>
      </w:r>
      <w:r w:rsidR="00127B6B">
        <w:rPr>
          <w:szCs w:val="24"/>
        </w:rPr>
        <w:t>7</w:t>
      </w:r>
      <w:r>
        <w:rPr>
          <w:szCs w:val="24"/>
        </w:rPr>
        <w:t>]</w:t>
      </w:r>
      <w:r>
        <w:rPr>
          <w:szCs w:val="24"/>
        </w:rPr>
        <w:tab/>
        <w:t xml:space="preserve">We consequently conclude that none of the points in </w:t>
      </w:r>
      <w:r w:rsidRPr="00DA0381">
        <w:rPr>
          <w:i/>
          <w:szCs w:val="24"/>
        </w:rPr>
        <w:t>limine</w:t>
      </w:r>
      <w:r>
        <w:rPr>
          <w:szCs w:val="24"/>
        </w:rPr>
        <w:t xml:space="preserve"> have any merit and they should not hamper the consideration of the matter.</w:t>
      </w:r>
    </w:p>
    <w:p w:rsidR="00DA0381" w:rsidRDefault="00DA0381" w:rsidP="00A253A2">
      <w:pPr>
        <w:jc w:val="both"/>
        <w:rPr>
          <w:szCs w:val="24"/>
        </w:rPr>
      </w:pPr>
    </w:p>
    <w:p w:rsidR="00AE7DF3" w:rsidRDefault="00AE7DF3" w:rsidP="00A253A2">
      <w:pPr>
        <w:jc w:val="both"/>
        <w:rPr>
          <w:szCs w:val="24"/>
          <w:u w:val="single"/>
        </w:rPr>
      </w:pPr>
      <w:r>
        <w:rPr>
          <w:szCs w:val="24"/>
          <w:u w:val="single"/>
        </w:rPr>
        <w:t>BACKGROUND FACTS</w:t>
      </w:r>
    </w:p>
    <w:p w:rsidR="00DA0381" w:rsidRPr="00E54232" w:rsidRDefault="00DA0381" w:rsidP="00A253A2">
      <w:pPr>
        <w:jc w:val="both"/>
        <w:rPr>
          <w:szCs w:val="24"/>
        </w:rPr>
      </w:pPr>
    </w:p>
    <w:p w:rsidR="008214E3" w:rsidRDefault="008214E3" w:rsidP="00A253A2">
      <w:pPr>
        <w:jc w:val="both"/>
        <w:rPr>
          <w:szCs w:val="24"/>
        </w:rPr>
      </w:pPr>
      <w:r w:rsidRPr="008214E3">
        <w:rPr>
          <w:szCs w:val="24"/>
        </w:rPr>
        <w:t>[</w:t>
      </w:r>
      <w:r w:rsidR="004A3CB6">
        <w:rPr>
          <w:szCs w:val="24"/>
        </w:rPr>
        <w:t>2</w:t>
      </w:r>
      <w:r w:rsidR="00127B6B">
        <w:rPr>
          <w:szCs w:val="24"/>
        </w:rPr>
        <w:t>8</w:t>
      </w:r>
      <w:r w:rsidRPr="008214E3">
        <w:rPr>
          <w:szCs w:val="24"/>
        </w:rPr>
        <w:t>]</w:t>
      </w:r>
      <w:r w:rsidRPr="008214E3">
        <w:rPr>
          <w:szCs w:val="24"/>
        </w:rPr>
        <w:tab/>
        <w:t>On the 15th August 2018</w:t>
      </w:r>
      <w:r w:rsidR="00463481">
        <w:rPr>
          <w:szCs w:val="24"/>
        </w:rPr>
        <w:t xml:space="preserve"> Mudau J</w:t>
      </w:r>
      <w:r w:rsidR="00133178">
        <w:rPr>
          <w:szCs w:val="24"/>
        </w:rPr>
        <w:t>,</w:t>
      </w:r>
      <w:r w:rsidRPr="008214E3">
        <w:rPr>
          <w:szCs w:val="24"/>
        </w:rPr>
        <w:t xml:space="preserve"> under case number 25544/2018 in the matter between </w:t>
      </w:r>
      <w:r w:rsidR="00E54232">
        <w:rPr>
          <w:szCs w:val="24"/>
        </w:rPr>
        <w:t>t</w:t>
      </w:r>
      <w:r w:rsidRPr="008214E3">
        <w:rPr>
          <w:szCs w:val="24"/>
        </w:rPr>
        <w:t>he Minister of Police vs Ayanda Irvin Kunene (first Respondent)</w:t>
      </w:r>
      <w:r w:rsidR="00463481">
        <w:rPr>
          <w:szCs w:val="24"/>
        </w:rPr>
        <w:t>,</w:t>
      </w:r>
      <w:r w:rsidRPr="008214E3">
        <w:rPr>
          <w:szCs w:val="24"/>
        </w:rPr>
        <w:t xml:space="preserve"> Kgosi Gustav Lekabe (second Respondent)</w:t>
      </w:r>
      <w:r w:rsidR="00463481">
        <w:rPr>
          <w:szCs w:val="24"/>
        </w:rPr>
        <w:t>,</w:t>
      </w:r>
      <w:r w:rsidRPr="008214E3">
        <w:rPr>
          <w:szCs w:val="24"/>
        </w:rPr>
        <w:t xml:space="preserve"> Minister of Correctional Services (third Respondent), Hussan Ebrahim Kajee (fourth Respondent)</w:t>
      </w:r>
      <w:r w:rsidR="00E54232">
        <w:rPr>
          <w:szCs w:val="24"/>
        </w:rPr>
        <w:t>,</w:t>
      </w:r>
      <w:r w:rsidRPr="008214E3">
        <w:rPr>
          <w:szCs w:val="24"/>
        </w:rPr>
        <w:t xml:space="preserve"> </w:t>
      </w:r>
      <w:r w:rsidR="00133178">
        <w:rPr>
          <w:szCs w:val="24"/>
        </w:rPr>
        <w:t xml:space="preserve">being </w:t>
      </w:r>
      <w:r w:rsidRPr="008214E3">
        <w:rPr>
          <w:szCs w:val="24"/>
        </w:rPr>
        <w:t>an application to stay a writ of execution</w:t>
      </w:r>
      <w:r w:rsidR="00463481">
        <w:rPr>
          <w:szCs w:val="24"/>
        </w:rPr>
        <w:t>,</w:t>
      </w:r>
      <w:r w:rsidRPr="008214E3">
        <w:rPr>
          <w:szCs w:val="24"/>
        </w:rPr>
        <w:t xml:space="preserve"> made certain findings against the </w:t>
      </w:r>
      <w:r w:rsidR="00E54232">
        <w:rPr>
          <w:szCs w:val="24"/>
        </w:rPr>
        <w:t>r</w:t>
      </w:r>
      <w:r w:rsidRPr="008214E3">
        <w:rPr>
          <w:szCs w:val="24"/>
        </w:rPr>
        <w:t>espondent wh</w:t>
      </w:r>
      <w:r w:rsidR="00133178">
        <w:rPr>
          <w:szCs w:val="24"/>
        </w:rPr>
        <w:t>ose</w:t>
      </w:r>
      <w:r w:rsidR="00463481">
        <w:rPr>
          <w:szCs w:val="24"/>
        </w:rPr>
        <w:t xml:space="preserve"> conduct </w:t>
      </w:r>
      <w:r w:rsidRPr="008214E3">
        <w:rPr>
          <w:szCs w:val="24"/>
        </w:rPr>
        <w:t>amounted to collusive</w:t>
      </w:r>
      <w:r w:rsidR="00FA3BE3">
        <w:rPr>
          <w:szCs w:val="24"/>
        </w:rPr>
        <w:t>,</w:t>
      </w:r>
      <w:r w:rsidRPr="008214E3">
        <w:rPr>
          <w:szCs w:val="24"/>
        </w:rPr>
        <w:t xml:space="preserve"> corrupt and fraudulent </w:t>
      </w:r>
      <w:r w:rsidR="00463481">
        <w:rPr>
          <w:szCs w:val="24"/>
        </w:rPr>
        <w:t>dealings</w:t>
      </w:r>
      <w:r w:rsidRPr="008214E3">
        <w:rPr>
          <w:szCs w:val="24"/>
        </w:rPr>
        <w:t xml:space="preserve"> between</w:t>
      </w:r>
      <w:r w:rsidR="00133178">
        <w:rPr>
          <w:szCs w:val="24"/>
        </w:rPr>
        <w:t xml:space="preserve"> him and</w:t>
      </w:r>
      <w:r w:rsidRPr="008214E3">
        <w:rPr>
          <w:szCs w:val="24"/>
        </w:rPr>
        <w:t xml:space="preserve"> Lekabe</w:t>
      </w:r>
      <w:r w:rsidR="00133178">
        <w:rPr>
          <w:szCs w:val="24"/>
        </w:rPr>
        <w:t>, the State Attorney.</w:t>
      </w:r>
    </w:p>
    <w:p w:rsidR="00DA0381" w:rsidRDefault="00DA0381" w:rsidP="00A253A2">
      <w:pPr>
        <w:jc w:val="both"/>
        <w:rPr>
          <w:szCs w:val="24"/>
        </w:rPr>
      </w:pPr>
    </w:p>
    <w:p w:rsidR="00265AA8" w:rsidRDefault="00265AA8" w:rsidP="00265AA8">
      <w:pPr>
        <w:jc w:val="both"/>
        <w:rPr>
          <w:szCs w:val="24"/>
        </w:rPr>
      </w:pPr>
      <w:r w:rsidRPr="00265AA8">
        <w:rPr>
          <w:szCs w:val="24"/>
        </w:rPr>
        <w:t>[</w:t>
      </w:r>
      <w:r w:rsidR="004A3CB6">
        <w:rPr>
          <w:szCs w:val="24"/>
        </w:rPr>
        <w:t>2</w:t>
      </w:r>
      <w:r w:rsidR="00127B6B">
        <w:rPr>
          <w:szCs w:val="24"/>
        </w:rPr>
        <w:t>9</w:t>
      </w:r>
      <w:r w:rsidRPr="00265AA8">
        <w:rPr>
          <w:szCs w:val="24"/>
        </w:rPr>
        <w:t>]</w:t>
      </w:r>
      <w:r w:rsidRPr="00265AA8">
        <w:rPr>
          <w:szCs w:val="24"/>
        </w:rPr>
        <w:tab/>
        <w:t xml:space="preserve">On the 21st September 2018 the </w:t>
      </w:r>
      <w:r w:rsidR="00E54232">
        <w:rPr>
          <w:szCs w:val="24"/>
        </w:rPr>
        <w:t>applicant</w:t>
      </w:r>
      <w:r w:rsidRPr="00265AA8">
        <w:rPr>
          <w:szCs w:val="24"/>
        </w:rPr>
        <w:t xml:space="preserve"> addressed a letter to the </w:t>
      </w:r>
      <w:r w:rsidR="00463481">
        <w:rPr>
          <w:szCs w:val="24"/>
        </w:rPr>
        <w:t>r</w:t>
      </w:r>
      <w:r w:rsidRPr="00265AA8">
        <w:rPr>
          <w:szCs w:val="24"/>
        </w:rPr>
        <w:t>espondent in which reference to the Mudau</w:t>
      </w:r>
      <w:r w:rsidR="00E54232">
        <w:rPr>
          <w:szCs w:val="24"/>
        </w:rPr>
        <w:t xml:space="preserve"> J</w:t>
      </w:r>
      <w:r w:rsidRPr="00265AA8">
        <w:rPr>
          <w:szCs w:val="24"/>
        </w:rPr>
        <w:t xml:space="preserve"> finding was made.  Paragraph 5 of the letter reads as follows:</w:t>
      </w:r>
    </w:p>
    <w:p w:rsidR="004F2A27" w:rsidRPr="00265AA8" w:rsidRDefault="004F2A27" w:rsidP="00265AA8">
      <w:pPr>
        <w:jc w:val="both"/>
        <w:rPr>
          <w:szCs w:val="24"/>
        </w:rPr>
      </w:pPr>
    </w:p>
    <w:p w:rsidR="008214E3" w:rsidRDefault="00265AA8" w:rsidP="001D512D">
      <w:pPr>
        <w:ind w:left="709"/>
        <w:jc w:val="both"/>
        <w:rPr>
          <w:sz w:val="22"/>
          <w:szCs w:val="22"/>
        </w:rPr>
      </w:pPr>
      <w:r w:rsidRPr="001D512D">
        <w:rPr>
          <w:sz w:val="22"/>
          <w:szCs w:val="22"/>
        </w:rPr>
        <w:t>“You are requested to make available to the Professional Fees Committee of the Bar Council your fee book and invoices (or copies thereof) for the period January 2012 to 31</w:t>
      </w:r>
      <w:r w:rsidR="004F2A27" w:rsidRPr="004F2A27">
        <w:rPr>
          <w:sz w:val="22"/>
          <w:szCs w:val="22"/>
          <w:vertAlign w:val="superscript"/>
        </w:rPr>
        <w:t>st</w:t>
      </w:r>
      <w:r w:rsidR="004F2A27">
        <w:rPr>
          <w:sz w:val="22"/>
          <w:szCs w:val="22"/>
        </w:rPr>
        <w:t xml:space="preserve">  August</w:t>
      </w:r>
      <w:r w:rsidRPr="001D512D">
        <w:rPr>
          <w:sz w:val="22"/>
          <w:szCs w:val="22"/>
        </w:rPr>
        <w:t xml:space="preserve"> 2018.” </w:t>
      </w:r>
    </w:p>
    <w:p w:rsidR="00DA0381" w:rsidRPr="001D512D" w:rsidRDefault="00DA0381" w:rsidP="001D512D">
      <w:pPr>
        <w:ind w:left="709"/>
        <w:jc w:val="both"/>
        <w:rPr>
          <w:sz w:val="22"/>
          <w:szCs w:val="22"/>
        </w:rPr>
      </w:pPr>
    </w:p>
    <w:p w:rsidR="00265AA8" w:rsidRDefault="00265AA8" w:rsidP="00265AA8">
      <w:pPr>
        <w:jc w:val="both"/>
        <w:rPr>
          <w:szCs w:val="24"/>
        </w:rPr>
      </w:pPr>
      <w:r w:rsidRPr="00265AA8">
        <w:rPr>
          <w:szCs w:val="24"/>
        </w:rPr>
        <w:t>[</w:t>
      </w:r>
      <w:r w:rsidR="00127B6B">
        <w:rPr>
          <w:szCs w:val="24"/>
        </w:rPr>
        <w:t>30</w:t>
      </w:r>
      <w:r w:rsidRPr="00265AA8">
        <w:rPr>
          <w:szCs w:val="24"/>
        </w:rPr>
        <w:t>]</w:t>
      </w:r>
      <w:r w:rsidRPr="00265AA8">
        <w:rPr>
          <w:szCs w:val="24"/>
        </w:rPr>
        <w:tab/>
        <w:t xml:space="preserve">Instead of complying with the request </w:t>
      </w:r>
      <w:r w:rsidR="00E54232">
        <w:rPr>
          <w:szCs w:val="24"/>
        </w:rPr>
        <w:t>r</w:t>
      </w:r>
      <w:r w:rsidRPr="00265AA8">
        <w:rPr>
          <w:szCs w:val="24"/>
        </w:rPr>
        <w:t>espondent resigned as a member of t</w:t>
      </w:r>
      <w:r w:rsidR="00E54232">
        <w:rPr>
          <w:szCs w:val="24"/>
        </w:rPr>
        <w:t xml:space="preserve">he </w:t>
      </w:r>
      <w:r w:rsidR="00463481">
        <w:rPr>
          <w:szCs w:val="24"/>
        </w:rPr>
        <w:t>applicant</w:t>
      </w:r>
      <w:r w:rsidR="00E54232">
        <w:rPr>
          <w:szCs w:val="24"/>
        </w:rPr>
        <w:t xml:space="preserve"> </w:t>
      </w:r>
      <w:r w:rsidRPr="00265AA8">
        <w:rPr>
          <w:szCs w:val="24"/>
        </w:rPr>
        <w:t>in a letter dated the 26</w:t>
      </w:r>
      <w:r w:rsidR="00013E9C">
        <w:rPr>
          <w:szCs w:val="24"/>
          <w:vertAlign w:val="superscript"/>
        </w:rPr>
        <w:t xml:space="preserve">th </w:t>
      </w:r>
      <w:r w:rsidRPr="00265AA8">
        <w:rPr>
          <w:szCs w:val="24"/>
        </w:rPr>
        <w:t>September 2018</w:t>
      </w:r>
      <w:r w:rsidR="00DA0381">
        <w:rPr>
          <w:szCs w:val="24"/>
        </w:rPr>
        <w:t>.</w:t>
      </w:r>
    </w:p>
    <w:p w:rsidR="00DA0381" w:rsidRPr="00265AA8" w:rsidRDefault="00DA0381" w:rsidP="00265AA8">
      <w:pPr>
        <w:jc w:val="both"/>
        <w:rPr>
          <w:szCs w:val="24"/>
        </w:rPr>
      </w:pPr>
    </w:p>
    <w:p w:rsidR="00265AA8" w:rsidRDefault="00265AA8" w:rsidP="00265AA8">
      <w:pPr>
        <w:jc w:val="both"/>
        <w:rPr>
          <w:szCs w:val="24"/>
        </w:rPr>
      </w:pPr>
      <w:r w:rsidRPr="00265AA8">
        <w:rPr>
          <w:szCs w:val="24"/>
        </w:rPr>
        <w:t>[</w:t>
      </w:r>
      <w:r w:rsidR="0018457F">
        <w:rPr>
          <w:szCs w:val="24"/>
        </w:rPr>
        <w:t>3</w:t>
      </w:r>
      <w:r w:rsidR="00127B6B">
        <w:rPr>
          <w:szCs w:val="24"/>
        </w:rPr>
        <w:t>1</w:t>
      </w:r>
      <w:r w:rsidRPr="00265AA8">
        <w:rPr>
          <w:szCs w:val="24"/>
        </w:rPr>
        <w:t>]</w:t>
      </w:r>
      <w:r w:rsidRPr="00265AA8">
        <w:rPr>
          <w:szCs w:val="24"/>
        </w:rPr>
        <w:tab/>
        <w:t xml:space="preserve"> On the </w:t>
      </w:r>
      <w:r w:rsidR="00013E9C">
        <w:rPr>
          <w:szCs w:val="24"/>
        </w:rPr>
        <w:t>2</w:t>
      </w:r>
      <w:r w:rsidR="00013E9C" w:rsidRPr="00013E9C">
        <w:rPr>
          <w:szCs w:val="24"/>
          <w:vertAlign w:val="superscript"/>
        </w:rPr>
        <w:t>nd</w:t>
      </w:r>
      <w:r w:rsidR="00013E9C">
        <w:rPr>
          <w:szCs w:val="24"/>
        </w:rPr>
        <w:t xml:space="preserve"> </w:t>
      </w:r>
      <w:r w:rsidRPr="00265AA8">
        <w:rPr>
          <w:szCs w:val="24"/>
        </w:rPr>
        <w:t xml:space="preserve">October 2018 in the </w:t>
      </w:r>
      <w:r w:rsidR="00E54232">
        <w:rPr>
          <w:szCs w:val="24"/>
        </w:rPr>
        <w:t>u</w:t>
      </w:r>
      <w:r w:rsidRPr="00265AA8">
        <w:rPr>
          <w:szCs w:val="24"/>
        </w:rPr>
        <w:t xml:space="preserve">rgent </w:t>
      </w:r>
      <w:r w:rsidR="00E54232">
        <w:rPr>
          <w:szCs w:val="24"/>
        </w:rPr>
        <w:t>c</w:t>
      </w:r>
      <w:r w:rsidRPr="00265AA8">
        <w:rPr>
          <w:szCs w:val="24"/>
        </w:rPr>
        <w:t>ourt under case number 35095/2018</w:t>
      </w:r>
      <w:r w:rsidR="00FA3BE3">
        <w:rPr>
          <w:szCs w:val="24"/>
        </w:rPr>
        <w:t>,</w:t>
      </w:r>
      <w:r w:rsidRPr="00265AA8">
        <w:rPr>
          <w:szCs w:val="24"/>
        </w:rPr>
        <w:t xml:space="preserve"> Justices Mokgoatlheng and Modiba granted an interim order suspending the </w:t>
      </w:r>
      <w:r w:rsidR="00E54232">
        <w:rPr>
          <w:szCs w:val="24"/>
        </w:rPr>
        <w:t>r</w:t>
      </w:r>
      <w:r w:rsidRPr="00265AA8">
        <w:rPr>
          <w:szCs w:val="24"/>
        </w:rPr>
        <w:t>espondent from practicing as an advocate.</w:t>
      </w:r>
    </w:p>
    <w:p w:rsidR="00DA0381" w:rsidRPr="00265AA8" w:rsidRDefault="00DA0381" w:rsidP="00265AA8">
      <w:pPr>
        <w:jc w:val="both"/>
        <w:rPr>
          <w:szCs w:val="24"/>
        </w:rPr>
      </w:pPr>
    </w:p>
    <w:p w:rsidR="00265AA8" w:rsidRDefault="00265AA8" w:rsidP="00265AA8">
      <w:pPr>
        <w:jc w:val="both"/>
        <w:rPr>
          <w:szCs w:val="24"/>
        </w:rPr>
      </w:pPr>
      <w:r w:rsidRPr="00265AA8">
        <w:rPr>
          <w:szCs w:val="24"/>
        </w:rPr>
        <w:t>[</w:t>
      </w:r>
      <w:r w:rsidR="0018457F">
        <w:rPr>
          <w:szCs w:val="24"/>
        </w:rPr>
        <w:t>3</w:t>
      </w:r>
      <w:r w:rsidR="00127B6B">
        <w:rPr>
          <w:szCs w:val="24"/>
        </w:rPr>
        <w:t>2</w:t>
      </w:r>
      <w:r w:rsidRPr="00265AA8">
        <w:rPr>
          <w:szCs w:val="24"/>
        </w:rPr>
        <w:t>]</w:t>
      </w:r>
      <w:r w:rsidRPr="00265AA8">
        <w:rPr>
          <w:szCs w:val="24"/>
        </w:rPr>
        <w:tab/>
        <w:t xml:space="preserve">The </w:t>
      </w:r>
      <w:r w:rsidR="00E54232">
        <w:rPr>
          <w:szCs w:val="24"/>
        </w:rPr>
        <w:t>r</w:t>
      </w:r>
      <w:r w:rsidRPr="00265AA8">
        <w:rPr>
          <w:szCs w:val="24"/>
        </w:rPr>
        <w:t xml:space="preserve">espondent filed his </w:t>
      </w:r>
      <w:r w:rsidR="00E54232">
        <w:rPr>
          <w:szCs w:val="24"/>
        </w:rPr>
        <w:t>a</w:t>
      </w:r>
      <w:r w:rsidRPr="00265AA8">
        <w:rPr>
          <w:szCs w:val="24"/>
        </w:rPr>
        <w:t xml:space="preserve">nswering </w:t>
      </w:r>
      <w:r w:rsidR="00E54232">
        <w:rPr>
          <w:szCs w:val="24"/>
        </w:rPr>
        <w:t>a</w:t>
      </w:r>
      <w:r w:rsidRPr="00265AA8">
        <w:rPr>
          <w:szCs w:val="24"/>
        </w:rPr>
        <w:t>ffidavit opposing the final gr</w:t>
      </w:r>
      <w:r w:rsidR="00FA3BE3">
        <w:rPr>
          <w:szCs w:val="24"/>
        </w:rPr>
        <w:t>anting</w:t>
      </w:r>
      <w:r w:rsidRPr="00265AA8">
        <w:rPr>
          <w:szCs w:val="24"/>
        </w:rPr>
        <w:t xml:space="preserve"> of the order.  In his </w:t>
      </w:r>
      <w:r w:rsidR="00E54232">
        <w:rPr>
          <w:szCs w:val="24"/>
        </w:rPr>
        <w:t>a</w:t>
      </w:r>
      <w:r w:rsidRPr="00265AA8">
        <w:rPr>
          <w:szCs w:val="24"/>
        </w:rPr>
        <w:t xml:space="preserve">nswering </w:t>
      </w:r>
      <w:r w:rsidR="00E54232">
        <w:rPr>
          <w:szCs w:val="24"/>
        </w:rPr>
        <w:t>a</w:t>
      </w:r>
      <w:r w:rsidRPr="00265AA8">
        <w:rPr>
          <w:szCs w:val="24"/>
        </w:rPr>
        <w:t>ffidavit</w:t>
      </w:r>
      <w:r w:rsidR="00200EDD">
        <w:rPr>
          <w:szCs w:val="24"/>
        </w:rPr>
        <w:t>,</w:t>
      </w:r>
      <w:r w:rsidRPr="00265AA8">
        <w:rPr>
          <w:szCs w:val="24"/>
        </w:rPr>
        <w:t xml:space="preserve"> filed out of time</w:t>
      </w:r>
      <w:r w:rsidR="00200EDD">
        <w:rPr>
          <w:szCs w:val="24"/>
        </w:rPr>
        <w:t>,</w:t>
      </w:r>
      <w:r w:rsidRPr="00265AA8">
        <w:rPr>
          <w:szCs w:val="24"/>
        </w:rPr>
        <w:t xml:space="preserve"> he states the following:</w:t>
      </w:r>
    </w:p>
    <w:p w:rsidR="00DA0381" w:rsidRPr="00265AA8" w:rsidRDefault="00DA0381" w:rsidP="00265AA8">
      <w:pPr>
        <w:jc w:val="both"/>
        <w:rPr>
          <w:szCs w:val="24"/>
        </w:rPr>
      </w:pPr>
    </w:p>
    <w:p w:rsidR="00265AA8" w:rsidRPr="00265AA8" w:rsidRDefault="00265AA8" w:rsidP="002923AE">
      <w:pPr>
        <w:ind w:left="1418" w:hanging="709"/>
        <w:jc w:val="both"/>
        <w:rPr>
          <w:szCs w:val="24"/>
        </w:rPr>
      </w:pPr>
      <w:r w:rsidRPr="00265AA8">
        <w:rPr>
          <w:szCs w:val="24"/>
        </w:rPr>
        <w:t>(i)</w:t>
      </w:r>
      <w:r w:rsidRPr="00265AA8">
        <w:rPr>
          <w:szCs w:val="24"/>
        </w:rPr>
        <w:tab/>
        <w:t>He denies he has made himself guilty of misconduct and dishonestly relating to over</w:t>
      </w:r>
      <w:r w:rsidR="00200EDD">
        <w:rPr>
          <w:szCs w:val="24"/>
        </w:rPr>
        <w:t>reaching</w:t>
      </w:r>
      <w:r w:rsidR="00E54232">
        <w:rPr>
          <w:szCs w:val="24"/>
        </w:rPr>
        <w:t>;</w:t>
      </w:r>
    </w:p>
    <w:p w:rsidR="00265AA8" w:rsidRPr="00265AA8" w:rsidRDefault="00265AA8" w:rsidP="002923AE">
      <w:pPr>
        <w:ind w:left="1418" w:hanging="709"/>
        <w:jc w:val="both"/>
        <w:rPr>
          <w:szCs w:val="24"/>
        </w:rPr>
      </w:pPr>
      <w:r w:rsidRPr="00265AA8">
        <w:rPr>
          <w:szCs w:val="24"/>
        </w:rPr>
        <w:t>(ii)</w:t>
      </w:r>
      <w:r w:rsidRPr="00265AA8">
        <w:rPr>
          <w:szCs w:val="24"/>
        </w:rPr>
        <w:tab/>
        <w:t xml:space="preserve">That he resigned as a member of the </w:t>
      </w:r>
      <w:r w:rsidR="00E54232">
        <w:rPr>
          <w:szCs w:val="24"/>
        </w:rPr>
        <w:t>a</w:t>
      </w:r>
      <w:r w:rsidRPr="00265AA8">
        <w:rPr>
          <w:szCs w:val="24"/>
        </w:rPr>
        <w:t xml:space="preserve">pplicant on 26 September 2018 </w:t>
      </w:r>
      <w:r w:rsidR="003259E6">
        <w:rPr>
          <w:szCs w:val="24"/>
        </w:rPr>
        <w:t xml:space="preserve">and, </w:t>
      </w:r>
      <w:r w:rsidRPr="00265AA8">
        <w:rPr>
          <w:szCs w:val="24"/>
        </w:rPr>
        <w:t xml:space="preserve">accordingly that the </w:t>
      </w:r>
      <w:r w:rsidR="00E54232">
        <w:rPr>
          <w:szCs w:val="24"/>
        </w:rPr>
        <w:t>a</w:t>
      </w:r>
      <w:r w:rsidRPr="00265AA8">
        <w:rPr>
          <w:szCs w:val="24"/>
        </w:rPr>
        <w:t>pplicant has no power or jurisdiction and authority to discipline him or bring an application for his suspension or striking off</w:t>
      </w:r>
      <w:r w:rsidR="00E54232">
        <w:rPr>
          <w:szCs w:val="24"/>
        </w:rPr>
        <w:t>;</w:t>
      </w:r>
    </w:p>
    <w:p w:rsidR="00265AA8" w:rsidRPr="00265AA8" w:rsidRDefault="00265AA8" w:rsidP="002923AE">
      <w:pPr>
        <w:ind w:left="1418" w:hanging="709"/>
        <w:jc w:val="both"/>
        <w:rPr>
          <w:szCs w:val="24"/>
        </w:rPr>
      </w:pPr>
      <w:r w:rsidRPr="00265AA8">
        <w:rPr>
          <w:szCs w:val="24"/>
        </w:rPr>
        <w:t>(iii)</w:t>
      </w:r>
      <w:r w:rsidRPr="00265AA8">
        <w:rPr>
          <w:szCs w:val="24"/>
        </w:rPr>
        <w:tab/>
        <w:t>That</w:t>
      </w:r>
      <w:r w:rsidR="00C67839">
        <w:rPr>
          <w:szCs w:val="24"/>
        </w:rPr>
        <w:t>,</w:t>
      </w:r>
      <w:r w:rsidRPr="00265AA8">
        <w:rPr>
          <w:szCs w:val="24"/>
        </w:rPr>
        <w:t xml:space="preserve"> because of him having resigned the Johannesburg Society of Advocates</w:t>
      </w:r>
      <w:r w:rsidR="00C67839">
        <w:rPr>
          <w:szCs w:val="24"/>
        </w:rPr>
        <w:t>, the applicant</w:t>
      </w:r>
      <w:r w:rsidRPr="00265AA8">
        <w:rPr>
          <w:szCs w:val="24"/>
        </w:rPr>
        <w:t xml:space="preserve"> has no right to access his books of account</w:t>
      </w:r>
      <w:r w:rsidR="00E54232">
        <w:rPr>
          <w:szCs w:val="24"/>
        </w:rPr>
        <w:t>;</w:t>
      </w:r>
    </w:p>
    <w:p w:rsidR="00265AA8" w:rsidRPr="00265AA8" w:rsidRDefault="00265AA8" w:rsidP="002923AE">
      <w:pPr>
        <w:ind w:left="1418" w:hanging="709"/>
        <w:jc w:val="both"/>
        <w:rPr>
          <w:szCs w:val="24"/>
        </w:rPr>
      </w:pPr>
      <w:r w:rsidRPr="00265AA8">
        <w:rPr>
          <w:szCs w:val="24"/>
        </w:rPr>
        <w:t>(iv)</w:t>
      </w:r>
      <w:r w:rsidRPr="00265AA8">
        <w:rPr>
          <w:szCs w:val="24"/>
        </w:rPr>
        <w:tab/>
        <w:t>Section 7(2)</w:t>
      </w:r>
      <w:r w:rsidR="00A4170E">
        <w:rPr>
          <w:szCs w:val="24"/>
        </w:rPr>
        <w:t xml:space="preserve"> and</w:t>
      </w:r>
      <w:r w:rsidRPr="00265AA8">
        <w:rPr>
          <w:szCs w:val="24"/>
        </w:rPr>
        <w:t xml:space="preserve"> (3) of the Advocates Admissions Act does not grant the </w:t>
      </w:r>
      <w:r w:rsidR="00E54232">
        <w:rPr>
          <w:szCs w:val="24"/>
        </w:rPr>
        <w:t>a</w:t>
      </w:r>
      <w:r w:rsidRPr="00265AA8">
        <w:rPr>
          <w:szCs w:val="24"/>
        </w:rPr>
        <w:t>pplicant locus standi</w:t>
      </w:r>
      <w:r w:rsidR="00E54232">
        <w:rPr>
          <w:szCs w:val="24"/>
        </w:rPr>
        <w:t>;</w:t>
      </w:r>
    </w:p>
    <w:p w:rsidR="00265AA8" w:rsidRPr="00265AA8" w:rsidRDefault="00265AA8" w:rsidP="002923AE">
      <w:pPr>
        <w:ind w:left="1418" w:hanging="709"/>
        <w:jc w:val="both"/>
        <w:rPr>
          <w:szCs w:val="24"/>
        </w:rPr>
      </w:pPr>
      <w:r w:rsidRPr="00265AA8">
        <w:rPr>
          <w:szCs w:val="24"/>
        </w:rPr>
        <w:t>(v)</w:t>
      </w:r>
      <w:r w:rsidRPr="00265AA8">
        <w:rPr>
          <w:szCs w:val="24"/>
        </w:rPr>
        <w:tab/>
        <w:t>The Kunene matter is sub</w:t>
      </w:r>
      <w:r w:rsidR="00E54232">
        <w:rPr>
          <w:szCs w:val="24"/>
        </w:rPr>
        <w:t>-</w:t>
      </w:r>
      <w:r w:rsidRPr="00265AA8">
        <w:rPr>
          <w:szCs w:val="24"/>
        </w:rPr>
        <w:t>judic</w:t>
      </w:r>
      <w:r w:rsidR="006E1B56">
        <w:rPr>
          <w:szCs w:val="24"/>
        </w:rPr>
        <w:t>e</w:t>
      </w:r>
      <w:r w:rsidRPr="00265AA8">
        <w:rPr>
          <w:szCs w:val="24"/>
        </w:rPr>
        <w:t xml:space="preserve"> and a court would get an opportunity </w:t>
      </w:r>
      <w:r w:rsidR="00E54232">
        <w:rPr>
          <w:szCs w:val="24"/>
        </w:rPr>
        <w:t xml:space="preserve">to look </w:t>
      </w:r>
      <w:r w:rsidRPr="00265AA8">
        <w:rPr>
          <w:szCs w:val="24"/>
        </w:rPr>
        <w:t>into</w:t>
      </w:r>
      <w:r w:rsidR="00E54232">
        <w:rPr>
          <w:szCs w:val="24"/>
        </w:rPr>
        <w:t xml:space="preserve"> his</w:t>
      </w:r>
      <w:r w:rsidRPr="00265AA8">
        <w:rPr>
          <w:szCs w:val="24"/>
        </w:rPr>
        <w:t xml:space="preserve"> conduct in that matter</w:t>
      </w:r>
      <w:r w:rsidR="00E54232">
        <w:rPr>
          <w:szCs w:val="24"/>
        </w:rPr>
        <w:t>;</w:t>
      </w:r>
    </w:p>
    <w:p w:rsidR="00265AA8" w:rsidRPr="00265AA8" w:rsidRDefault="00265AA8" w:rsidP="002923AE">
      <w:pPr>
        <w:ind w:left="1418" w:hanging="709"/>
        <w:jc w:val="both"/>
        <w:rPr>
          <w:szCs w:val="24"/>
        </w:rPr>
      </w:pPr>
      <w:r w:rsidRPr="00265AA8">
        <w:rPr>
          <w:szCs w:val="24"/>
        </w:rPr>
        <w:t>(vi)</w:t>
      </w:r>
      <w:r w:rsidRPr="00265AA8">
        <w:rPr>
          <w:szCs w:val="24"/>
        </w:rPr>
        <w:tab/>
        <w:t xml:space="preserve">He criticises the findings by Mudau J and says that the judge simply regurgitated the untested version of the police.  However, he later says that Lekabe actually set the record straight in his </w:t>
      </w:r>
      <w:r w:rsidR="00E54232">
        <w:rPr>
          <w:szCs w:val="24"/>
        </w:rPr>
        <w:t>a</w:t>
      </w:r>
      <w:r w:rsidRPr="00265AA8">
        <w:rPr>
          <w:szCs w:val="24"/>
        </w:rPr>
        <w:t xml:space="preserve">nswering </w:t>
      </w:r>
      <w:r w:rsidR="00E54232">
        <w:rPr>
          <w:szCs w:val="24"/>
        </w:rPr>
        <w:t>a</w:t>
      </w:r>
      <w:r w:rsidRPr="00265AA8">
        <w:rPr>
          <w:szCs w:val="24"/>
        </w:rPr>
        <w:t>ffidavit</w:t>
      </w:r>
      <w:r w:rsidR="006E1B56">
        <w:rPr>
          <w:szCs w:val="24"/>
        </w:rPr>
        <w:t>;</w:t>
      </w:r>
    </w:p>
    <w:p w:rsidR="00265AA8" w:rsidRPr="00265AA8" w:rsidRDefault="00265AA8" w:rsidP="002923AE">
      <w:pPr>
        <w:ind w:left="1418" w:hanging="709"/>
        <w:jc w:val="both"/>
        <w:rPr>
          <w:szCs w:val="24"/>
        </w:rPr>
      </w:pPr>
      <w:r w:rsidRPr="00265AA8">
        <w:rPr>
          <w:szCs w:val="24"/>
        </w:rPr>
        <w:t>(vii)</w:t>
      </w:r>
      <w:r w:rsidRPr="00265AA8">
        <w:rPr>
          <w:szCs w:val="24"/>
        </w:rPr>
        <w:tab/>
        <w:t>Lekabe instructed him to deal with the Kunene matter as a stated case.  It was not his decision</w:t>
      </w:r>
      <w:r w:rsidR="006E1B56">
        <w:rPr>
          <w:szCs w:val="24"/>
        </w:rPr>
        <w:t>;</w:t>
      </w:r>
    </w:p>
    <w:p w:rsidR="00265AA8" w:rsidRPr="00265AA8" w:rsidRDefault="00265AA8" w:rsidP="002923AE">
      <w:pPr>
        <w:ind w:left="1418" w:hanging="709"/>
        <w:jc w:val="both"/>
        <w:rPr>
          <w:szCs w:val="24"/>
        </w:rPr>
      </w:pPr>
      <w:r w:rsidRPr="00265AA8">
        <w:rPr>
          <w:szCs w:val="24"/>
        </w:rPr>
        <w:t>(viii)</w:t>
      </w:r>
      <w:r w:rsidRPr="00265AA8">
        <w:rPr>
          <w:szCs w:val="24"/>
        </w:rPr>
        <w:tab/>
        <w:t>He denies that the practice directive required that the minister had to be made aware of the settlement</w:t>
      </w:r>
      <w:r w:rsidR="006E1B56">
        <w:rPr>
          <w:szCs w:val="24"/>
        </w:rPr>
        <w:t>;</w:t>
      </w:r>
    </w:p>
    <w:p w:rsidR="00265AA8" w:rsidRPr="00265AA8" w:rsidRDefault="00265AA8" w:rsidP="002923AE">
      <w:pPr>
        <w:ind w:left="1418" w:hanging="709"/>
        <w:jc w:val="both"/>
        <w:rPr>
          <w:szCs w:val="24"/>
        </w:rPr>
      </w:pPr>
      <w:r w:rsidRPr="00265AA8">
        <w:rPr>
          <w:szCs w:val="24"/>
        </w:rPr>
        <w:lastRenderedPageBreak/>
        <w:t>(ix)</w:t>
      </w:r>
      <w:r w:rsidRPr="00265AA8">
        <w:rPr>
          <w:szCs w:val="24"/>
        </w:rPr>
        <w:tab/>
        <w:t>The fees that he has been charging all along are fair and reasonable.  Secondly</w:t>
      </w:r>
      <w:r w:rsidR="00E54232">
        <w:rPr>
          <w:szCs w:val="24"/>
        </w:rPr>
        <w:t>,</w:t>
      </w:r>
      <w:r w:rsidRPr="00265AA8">
        <w:rPr>
          <w:szCs w:val="24"/>
        </w:rPr>
        <w:t xml:space="preserve"> Mr Lekgabe was never his instructing attorney</w:t>
      </w:r>
      <w:r w:rsidR="006E1B56">
        <w:rPr>
          <w:szCs w:val="24"/>
        </w:rPr>
        <w:t>,</w:t>
      </w:r>
      <w:r w:rsidRPr="00265AA8">
        <w:rPr>
          <w:szCs w:val="24"/>
        </w:rPr>
        <w:t xml:space="preserve"> it was others who reported to him</w:t>
      </w:r>
      <w:r w:rsidR="006E1B56">
        <w:rPr>
          <w:szCs w:val="24"/>
        </w:rPr>
        <w:t>;</w:t>
      </w:r>
    </w:p>
    <w:p w:rsidR="00265AA8" w:rsidRDefault="00265AA8" w:rsidP="001F22DF">
      <w:pPr>
        <w:ind w:left="1418" w:hanging="709"/>
        <w:jc w:val="both"/>
        <w:rPr>
          <w:szCs w:val="24"/>
        </w:rPr>
      </w:pPr>
      <w:r w:rsidRPr="00265AA8">
        <w:rPr>
          <w:szCs w:val="24"/>
        </w:rPr>
        <w:t>(x)</w:t>
      </w:r>
      <w:r w:rsidRPr="00265AA8">
        <w:rPr>
          <w:szCs w:val="24"/>
        </w:rPr>
        <w:tab/>
        <w:t xml:space="preserve">With reference to the opposing </w:t>
      </w:r>
      <w:r w:rsidR="00E54232">
        <w:rPr>
          <w:szCs w:val="24"/>
        </w:rPr>
        <w:t>a</w:t>
      </w:r>
      <w:r w:rsidRPr="00265AA8">
        <w:rPr>
          <w:szCs w:val="24"/>
        </w:rPr>
        <w:t xml:space="preserve">ffidavit filed by Lekabe it seems that blame is placed </w:t>
      </w:r>
      <w:r w:rsidR="00B23174">
        <w:rPr>
          <w:szCs w:val="24"/>
        </w:rPr>
        <w:t>o</w:t>
      </w:r>
      <w:r w:rsidRPr="00265AA8">
        <w:rPr>
          <w:szCs w:val="24"/>
        </w:rPr>
        <w:t>n one Mphephu</w:t>
      </w:r>
      <w:r w:rsidR="00A830DF">
        <w:rPr>
          <w:szCs w:val="24"/>
        </w:rPr>
        <w:t>,</w:t>
      </w:r>
      <w:r w:rsidRPr="00265AA8">
        <w:rPr>
          <w:szCs w:val="24"/>
        </w:rPr>
        <w:t xml:space="preserve"> who was an attorney reporting to Lekabe as his senior in the office of the State Attorney Johannesburg.</w:t>
      </w:r>
    </w:p>
    <w:p w:rsidR="00951133" w:rsidRPr="00265AA8" w:rsidRDefault="00951133" w:rsidP="001F22DF">
      <w:pPr>
        <w:ind w:left="1418" w:hanging="709"/>
        <w:jc w:val="both"/>
        <w:rPr>
          <w:szCs w:val="24"/>
        </w:rPr>
      </w:pPr>
    </w:p>
    <w:p w:rsidR="00265AA8" w:rsidRDefault="00265AA8" w:rsidP="00265AA8">
      <w:pPr>
        <w:jc w:val="both"/>
        <w:rPr>
          <w:szCs w:val="24"/>
        </w:rPr>
      </w:pPr>
      <w:r w:rsidRPr="00265AA8">
        <w:rPr>
          <w:szCs w:val="24"/>
        </w:rPr>
        <w:t>[</w:t>
      </w:r>
      <w:r w:rsidR="004A3CB6">
        <w:rPr>
          <w:szCs w:val="24"/>
        </w:rPr>
        <w:t>3</w:t>
      </w:r>
      <w:r w:rsidR="00127B6B">
        <w:rPr>
          <w:szCs w:val="24"/>
        </w:rPr>
        <w:t>3</w:t>
      </w:r>
      <w:r w:rsidRPr="00265AA8">
        <w:rPr>
          <w:szCs w:val="24"/>
        </w:rPr>
        <w:t>]</w:t>
      </w:r>
      <w:r w:rsidRPr="00265AA8">
        <w:rPr>
          <w:szCs w:val="24"/>
        </w:rPr>
        <w:tab/>
        <w:t>On the 19th October 2018 Mokgoatlheng J</w:t>
      </w:r>
      <w:r w:rsidR="008D5E45">
        <w:rPr>
          <w:szCs w:val="24"/>
        </w:rPr>
        <w:t>,</w:t>
      </w:r>
      <w:r w:rsidRPr="00265AA8">
        <w:rPr>
          <w:szCs w:val="24"/>
        </w:rPr>
        <w:t xml:space="preserve"> sitting with Modiba J</w:t>
      </w:r>
      <w:r w:rsidR="008D5E45">
        <w:rPr>
          <w:szCs w:val="24"/>
        </w:rPr>
        <w:t>,</w:t>
      </w:r>
      <w:r w:rsidRPr="00265AA8">
        <w:rPr>
          <w:szCs w:val="24"/>
        </w:rPr>
        <w:t xml:space="preserve"> issued the following order against the </w:t>
      </w:r>
      <w:r w:rsidR="008D5E45">
        <w:rPr>
          <w:szCs w:val="24"/>
        </w:rPr>
        <w:t>r</w:t>
      </w:r>
      <w:r w:rsidRPr="00265AA8">
        <w:rPr>
          <w:szCs w:val="24"/>
        </w:rPr>
        <w:t>espondent:</w:t>
      </w:r>
    </w:p>
    <w:p w:rsidR="00951133" w:rsidRPr="00265AA8" w:rsidRDefault="00951133" w:rsidP="00265AA8">
      <w:pPr>
        <w:jc w:val="both"/>
        <w:rPr>
          <w:szCs w:val="24"/>
        </w:rPr>
      </w:pPr>
    </w:p>
    <w:p w:rsidR="00265AA8" w:rsidRPr="004F2A27" w:rsidRDefault="00265AA8" w:rsidP="004F2A27">
      <w:pPr>
        <w:pStyle w:val="ListParagraph"/>
        <w:numPr>
          <w:ilvl w:val="0"/>
          <w:numId w:val="4"/>
        </w:numPr>
        <w:jc w:val="both"/>
        <w:rPr>
          <w:szCs w:val="24"/>
        </w:rPr>
      </w:pPr>
      <w:r w:rsidRPr="004F2A27">
        <w:rPr>
          <w:szCs w:val="24"/>
        </w:rPr>
        <w:t>The Respondent was suspended from practi</w:t>
      </w:r>
      <w:r w:rsidR="00A830DF" w:rsidRPr="004F2A27">
        <w:rPr>
          <w:szCs w:val="24"/>
        </w:rPr>
        <w:t>s</w:t>
      </w:r>
      <w:r w:rsidRPr="004F2A27">
        <w:rPr>
          <w:szCs w:val="24"/>
        </w:rPr>
        <w:t xml:space="preserve">ing as an advocate pending the final outcome of an investigation into his profound misconduct and or to have his name struck off the roll of </w:t>
      </w:r>
      <w:r w:rsidR="00A830DF" w:rsidRPr="004F2A27">
        <w:rPr>
          <w:szCs w:val="24"/>
        </w:rPr>
        <w:t>a</w:t>
      </w:r>
      <w:r w:rsidRPr="004F2A27">
        <w:rPr>
          <w:szCs w:val="24"/>
        </w:rPr>
        <w:t>dvocates</w:t>
      </w:r>
      <w:r w:rsidR="00920910" w:rsidRPr="004F2A27">
        <w:rPr>
          <w:szCs w:val="24"/>
        </w:rPr>
        <w:t>;</w:t>
      </w:r>
    </w:p>
    <w:p w:rsidR="004F2A27" w:rsidRPr="004F2A27" w:rsidRDefault="004F2A27" w:rsidP="004F2A27">
      <w:pPr>
        <w:pStyle w:val="ListParagraph"/>
        <w:ind w:left="1429"/>
        <w:jc w:val="both"/>
        <w:rPr>
          <w:szCs w:val="24"/>
        </w:rPr>
      </w:pPr>
    </w:p>
    <w:p w:rsidR="00265AA8" w:rsidRDefault="00265AA8" w:rsidP="00104C34">
      <w:pPr>
        <w:ind w:left="1276" w:hanging="567"/>
        <w:jc w:val="both"/>
        <w:rPr>
          <w:szCs w:val="24"/>
        </w:rPr>
      </w:pPr>
      <w:r w:rsidRPr="00265AA8">
        <w:rPr>
          <w:szCs w:val="24"/>
        </w:rPr>
        <w:t>ii)</w:t>
      </w:r>
      <w:r w:rsidRPr="00265AA8">
        <w:rPr>
          <w:szCs w:val="24"/>
        </w:rPr>
        <w:tab/>
        <w:t xml:space="preserve">The </w:t>
      </w:r>
      <w:r w:rsidR="008D5E45">
        <w:rPr>
          <w:szCs w:val="24"/>
        </w:rPr>
        <w:t>r</w:t>
      </w:r>
      <w:r w:rsidRPr="00265AA8">
        <w:rPr>
          <w:szCs w:val="24"/>
        </w:rPr>
        <w:t xml:space="preserve">espondent was ordered to forthwith furnish the </w:t>
      </w:r>
      <w:r w:rsidR="008D5E45">
        <w:rPr>
          <w:szCs w:val="24"/>
        </w:rPr>
        <w:t>a</w:t>
      </w:r>
      <w:r w:rsidRPr="00265AA8">
        <w:rPr>
          <w:szCs w:val="24"/>
        </w:rPr>
        <w:t>pplicant with the following documents:</w:t>
      </w:r>
    </w:p>
    <w:p w:rsidR="00951133" w:rsidRPr="00265AA8" w:rsidRDefault="00951133" w:rsidP="00104C34">
      <w:pPr>
        <w:ind w:left="1276" w:hanging="567"/>
        <w:jc w:val="both"/>
        <w:rPr>
          <w:szCs w:val="24"/>
        </w:rPr>
      </w:pPr>
    </w:p>
    <w:p w:rsidR="00265AA8" w:rsidRPr="00265AA8" w:rsidRDefault="00265AA8" w:rsidP="00104C34">
      <w:pPr>
        <w:ind w:left="1276" w:hanging="567"/>
        <w:jc w:val="both"/>
        <w:rPr>
          <w:szCs w:val="24"/>
        </w:rPr>
      </w:pPr>
      <w:r w:rsidRPr="00265AA8">
        <w:rPr>
          <w:szCs w:val="24"/>
        </w:rPr>
        <w:t>-</w:t>
      </w:r>
      <w:r w:rsidRPr="00265AA8">
        <w:rPr>
          <w:szCs w:val="24"/>
        </w:rPr>
        <w:tab/>
        <w:t xml:space="preserve">The </w:t>
      </w:r>
      <w:r w:rsidR="00A830DF">
        <w:rPr>
          <w:szCs w:val="24"/>
        </w:rPr>
        <w:t>r</w:t>
      </w:r>
      <w:r w:rsidRPr="00265AA8">
        <w:rPr>
          <w:szCs w:val="24"/>
        </w:rPr>
        <w:t>espondent’s original fee book for the period 1 January 2015 to 26 September 2018</w:t>
      </w:r>
      <w:r w:rsidR="00A830DF">
        <w:rPr>
          <w:szCs w:val="24"/>
        </w:rPr>
        <w:t>;</w:t>
      </w:r>
    </w:p>
    <w:p w:rsidR="00265AA8" w:rsidRPr="00265AA8" w:rsidRDefault="00265AA8" w:rsidP="00104C34">
      <w:pPr>
        <w:ind w:left="1276" w:hanging="567"/>
        <w:jc w:val="both"/>
        <w:rPr>
          <w:szCs w:val="24"/>
        </w:rPr>
      </w:pPr>
      <w:r w:rsidRPr="00265AA8">
        <w:rPr>
          <w:szCs w:val="24"/>
        </w:rPr>
        <w:t>-</w:t>
      </w:r>
      <w:r w:rsidRPr="00265AA8">
        <w:rPr>
          <w:szCs w:val="24"/>
        </w:rPr>
        <w:tab/>
        <w:t>The invoices or true copies or duplicate original copies thereof for the period 1 January 2015 to 26 September 2018</w:t>
      </w:r>
      <w:r w:rsidR="00A830DF">
        <w:rPr>
          <w:szCs w:val="24"/>
        </w:rPr>
        <w:t>;</w:t>
      </w:r>
    </w:p>
    <w:p w:rsidR="00265AA8" w:rsidRPr="00265AA8" w:rsidRDefault="00265AA8" w:rsidP="00104C34">
      <w:pPr>
        <w:ind w:left="1276" w:hanging="567"/>
        <w:jc w:val="both"/>
        <w:rPr>
          <w:szCs w:val="24"/>
        </w:rPr>
      </w:pPr>
      <w:r w:rsidRPr="00265AA8">
        <w:rPr>
          <w:szCs w:val="24"/>
        </w:rPr>
        <w:t>-</w:t>
      </w:r>
      <w:r w:rsidRPr="00265AA8">
        <w:rPr>
          <w:szCs w:val="24"/>
        </w:rPr>
        <w:tab/>
        <w:t>True copies of bank statements in respect of the current account held with First National Bank Fordsburg Branch under account number 622 084 25155 for the period 1 January 2015 to 26 September 2018</w:t>
      </w:r>
      <w:r w:rsidR="00A830DF">
        <w:rPr>
          <w:szCs w:val="24"/>
        </w:rPr>
        <w:t>;</w:t>
      </w:r>
    </w:p>
    <w:p w:rsidR="00265AA8" w:rsidRDefault="00265AA8" w:rsidP="00104C34">
      <w:pPr>
        <w:ind w:left="1276" w:hanging="567"/>
        <w:jc w:val="both"/>
        <w:rPr>
          <w:szCs w:val="24"/>
        </w:rPr>
      </w:pPr>
      <w:r w:rsidRPr="00265AA8">
        <w:rPr>
          <w:szCs w:val="24"/>
        </w:rPr>
        <w:t>-</w:t>
      </w:r>
      <w:r w:rsidRPr="00265AA8">
        <w:rPr>
          <w:szCs w:val="24"/>
        </w:rPr>
        <w:tab/>
        <w:t xml:space="preserve">Details of any other bank accounts in which the </w:t>
      </w:r>
      <w:r w:rsidR="0035316E">
        <w:rPr>
          <w:szCs w:val="24"/>
        </w:rPr>
        <w:t>r</w:t>
      </w:r>
      <w:r w:rsidRPr="00265AA8">
        <w:rPr>
          <w:szCs w:val="24"/>
        </w:rPr>
        <w:t>espondent received deposits from the Johannesburg State Attorney and true copies of bank statements in respect of such additional bank accounts for the period 1 January 2015 to 26 September 2018.</w:t>
      </w:r>
    </w:p>
    <w:p w:rsidR="00951133" w:rsidRPr="00265AA8" w:rsidRDefault="00951133" w:rsidP="00104C34">
      <w:pPr>
        <w:ind w:left="1276" w:hanging="567"/>
        <w:jc w:val="both"/>
        <w:rPr>
          <w:szCs w:val="24"/>
        </w:rPr>
      </w:pPr>
    </w:p>
    <w:p w:rsidR="00265AA8" w:rsidRDefault="00265AA8" w:rsidP="00265AA8">
      <w:pPr>
        <w:jc w:val="both"/>
        <w:rPr>
          <w:szCs w:val="24"/>
        </w:rPr>
      </w:pPr>
      <w:r w:rsidRPr="00265AA8">
        <w:rPr>
          <w:szCs w:val="24"/>
        </w:rPr>
        <w:t>[</w:t>
      </w:r>
      <w:r w:rsidR="004A3CB6">
        <w:rPr>
          <w:szCs w:val="24"/>
        </w:rPr>
        <w:t>3</w:t>
      </w:r>
      <w:r w:rsidR="00127B6B">
        <w:rPr>
          <w:szCs w:val="24"/>
        </w:rPr>
        <w:t>4</w:t>
      </w:r>
      <w:r w:rsidRPr="00265AA8">
        <w:rPr>
          <w:szCs w:val="24"/>
        </w:rPr>
        <w:t>]</w:t>
      </w:r>
      <w:r w:rsidRPr="00265AA8">
        <w:rPr>
          <w:szCs w:val="24"/>
        </w:rPr>
        <w:tab/>
        <w:t xml:space="preserve">The order of suspension finds its origin </w:t>
      </w:r>
      <w:r w:rsidR="00FA3BE3">
        <w:rPr>
          <w:szCs w:val="24"/>
        </w:rPr>
        <w:t>i</w:t>
      </w:r>
      <w:r w:rsidRPr="00265AA8">
        <w:rPr>
          <w:szCs w:val="24"/>
        </w:rPr>
        <w:t>n the serious allegations of fraudulent misconduct</w:t>
      </w:r>
      <w:r w:rsidR="00FA3BE3">
        <w:rPr>
          <w:szCs w:val="24"/>
        </w:rPr>
        <w:t xml:space="preserve"> by the respondent</w:t>
      </w:r>
      <w:r w:rsidRPr="00265AA8">
        <w:rPr>
          <w:szCs w:val="24"/>
        </w:rPr>
        <w:t xml:space="preserve"> raised against him by Mudau J</w:t>
      </w:r>
      <w:r w:rsidR="009B2F29">
        <w:rPr>
          <w:szCs w:val="24"/>
        </w:rPr>
        <w:t>,</w:t>
      </w:r>
      <w:r w:rsidRPr="00265AA8">
        <w:rPr>
          <w:szCs w:val="24"/>
        </w:rPr>
        <w:t xml:space="preserve"> who had accepted the evidence under oath by senior </w:t>
      </w:r>
      <w:r w:rsidR="009B2F29">
        <w:rPr>
          <w:szCs w:val="24"/>
        </w:rPr>
        <w:t>a</w:t>
      </w:r>
      <w:r w:rsidRPr="00265AA8">
        <w:rPr>
          <w:szCs w:val="24"/>
        </w:rPr>
        <w:t>dvocate’s Green and Rossouw</w:t>
      </w:r>
      <w:r w:rsidR="009B2F29">
        <w:rPr>
          <w:szCs w:val="24"/>
        </w:rPr>
        <w:t>,</w:t>
      </w:r>
      <w:r w:rsidRPr="00265AA8">
        <w:rPr>
          <w:szCs w:val="24"/>
        </w:rPr>
        <w:t xml:space="preserve"> as well as from the Chief Litigation Officer</w:t>
      </w:r>
      <w:r w:rsidR="009B2F29">
        <w:rPr>
          <w:szCs w:val="24"/>
        </w:rPr>
        <w:t>,</w:t>
      </w:r>
      <w:r w:rsidRPr="00265AA8">
        <w:rPr>
          <w:szCs w:val="24"/>
        </w:rPr>
        <w:t xml:space="preserve"> Beukes</w:t>
      </w:r>
      <w:r w:rsidR="009B2F29">
        <w:rPr>
          <w:szCs w:val="24"/>
        </w:rPr>
        <w:t>,</w:t>
      </w:r>
      <w:r w:rsidRPr="00265AA8">
        <w:rPr>
          <w:szCs w:val="24"/>
        </w:rPr>
        <w:t xml:space="preserve"> of the office of the Minister of Police.</w:t>
      </w:r>
    </w:p>
    <w:p w:rsidR="00951133" w:rsidRPr="00265AA8" w:rsidRDefault="00951133" w:rsidP="00265AA8">
      <w:pPr>
        <w:jc w:val="both"/>
        <w:rPr>
          <w:szCs w:val="24"/>
        </w:rPr>
      </w:pPr>
    </w:p>
    <w:p w:rsidR="00265AA8" w:rsidRDefault="00265AA8" w:rsidP="00265AA8">
      <w:pPr>
        <w:jc w:val="both"/>
        <w:rPr>
          <w:szCs w:val="24"/>
        </w:rPr>
      </w:pPr>
      <w:r w:rsidRPr="00265AA8">
        <w:rPr>
          <w:szCs w:val="24"/>
        </w:rPr>
        <w:t>[</w:t>
      </w:r>
      <w:r w:rsidR="004A3CB6">
        <w:rPr>
          <w:szCs w:val="24"/>
        </w:rPr>
        <w:t>3</w:t>
      </w:r>
      <w:r w:rsidR="00127B6B">
        <w:rPr>
          <w:szCs w:val="24"/>
        </w:rPr>
        <w:t>5</w:t>
      </w:r>
      <w:r w:rsidRPr="00265AA8">
        <w:rPr>
          <w:szCs w:val="24"/>
        </w:rPr>
        <w:t>]</w:t>
      </w:r>
      <w:r w:rsidRPr="00265AA8">
        <w:rPr>
          <w:szCs w:val="24"/>
        </w:rPr>
        <w:tab/>
        <w:t xml:space="preserve"> The </w:t>
      </w:r>
      <w:r w:rsidR="00EF196C">
        <w:rPr>
          <w:szCs w:val="24"/>
        </w:rPr>
        <w:t>r</w:t>
      </w:r>
      <w:r w:rsidRPr="00265AA8">
        <w:rPr>
          <w:szCs w:val="24"/>
        </w:rPr>
        <w:t>espondent had in the matter before Mudau J disputed the allegation of overcharging and of fraudulently settling the Kunene matter without a mandate</w:t>
      </w:r>
      <w:r w:rsidR="009B2F29">
        <w:rPr>
          <w:szCs w:val="24"/>
        </w:rPr>
        <w:t xml:space="preserve"> and</w:t>
      </w:r>
      <w:r w:rsidRPr="00265AA8">
        <w:rPr>
          <w:szCs w:val="24"/>
        </w:rPr>
        <w:t xml:space="preserve"> also of fraudulently raising invoices against the State Attorney in the amount of about R34.4 million for the period 18 December 2017 to February 2018.</w:t>
      </w:r>
    </w:p>
    <w:p w:rsidR="00951133" w:rsidRPr="00265AA8" w:rsidRDefault="00951133" w:rsidP="00265AA8">
      <w:pPr>
        <w:jc w:val="both"/>
        <w:rPr>
          <w:szCs w:val="24"/>
        </w:rPr>
      </w:pPr>
    </w:p>
    <w:p w:rsidR="00265AA8" w:rsidRDefault="00265AA8" w:rsidP="00265AA8">
      <w:pPr>
        <w:jc w:val="both"/>
        <w:rPr>
          <w:szCs w:val="24"/>
          <w:u w:val="single"/>
        </w:rPr>
      </w:pPr>
      <w:r w:rsidRPr="00013E9C">
        <w:rPr>
          <w:szCs w:val="24"/>
          <w:u w:val="single"/>
        </w:rPr>
        <w:t>THE STRIKING APPLICATION</w:t>
      </w:r>
    </w:p>
    <w:p w:rsidR="00951133" w:rsidRPr="00013E9C" w:rsidRDefault="00951133" w:rsidP="00265AA8">
      <w:pPr>
        <w:jc w:val="both"/>
        <w:rPr>
          <w:szCs w:val="24"/>
          <w:u w:val="single"/>
        </w:rPr>
      </w:pPr>
    </w:p>
    <w:p w:rsidR="00265AA8" w:rsidRDefault="00265AA8" w:rsidP="00265AA8">
      <w:pPr>
        <w:jc w:val="both"/>
        <w:rPr>
          <w:szCs w:val="24"/>
        </w:rPr>
      </w:pPr>
      <w:r w:rsidRPr="00265AA8">
        <w:rPr>
          <w:szCs w:val="24"/>
        </w:rPr>
        <w:t>[</w:t>
      </w:r>
      <w:r w:rsidR="004A3CB6">
        <w:rPr>
          <w:szCs w:val="24"/>
        </w:rPr>
        <w:t>3</w:t>
      </w:r>
      <w:r w:rsidR="00127B6B">
        <w:rPr>
          <w:szCs w:val="24"/>
        </w:rPr>
        <w:t>6</w:t>
      </w:r>
      <w:r w:rsidRPr="00265AA8">
        <w:rPr>
          <w:szCs w:val="24"/>
        </w:rPr>
        <w:t>]</w:t>
      </w:r>
      <w:r w:rsidRPr="00265AA8">
        <w:rPr>
          <w:szCs w:val="24"/>
        </w:rPr>
        <w:tab/>
        <w:t xml:space="preserve">The </w:t>
      </w:r>
      <w:r w:rsidR="00EF196C">
        <w:rPr>
          <w:szCs w:val="24"/>
        </w:rPr>
        <w:t>r</w:t>
      </w:r>
      <w:r w:rsidRPr="00265AA8">
        <w:rPr>
          <w:szCs w:val="24"/>
        </w:rPr>
        <w:t xml:space="preserve">espondent failed to comply with the terms of the suspension order.  It is this that the led to the </w:t>
      </w:r>
      <w:r w:rsidR="00EF196C">
        <w:rPr>
          <w:szCs w:val="24"/>
        </w:rPr>
        <w:t>a</w:t>
      </w:r>
      <w:r w:rsidRPr="00265AA8">
        <w:rPr>
          <w:szCs w:val="24"/>
        </w:rPr>
        <w:t xml:space="preserve">pplicant launching this application to strike the </w:t>
      </w:r>
      <w:r w:rsidR="00EF196C">
        <w:rPr>
          <w:szCs w:val="24"/>
        </w:rPr>
        <w:t>r</w:t>
      </w:r>
      <w:r w:rsidRPr="00265AA8">
        <w:rPr>
          <w:szCs w:val="24"/>
        </w:rPr>
        <w:t xml:space="preserve">espondent off the roll of </w:t>
      </w:r>
      <w:r w:rsidR="00EF196C">
        <w:rPr>
          <w:szCs w:val="24"/>
        </w:rPr>
        <w:t>a</w:t>
      </w:r>
      <w:r w:rsidRPr="00265AA8">
        <w:rPr>
          <w:szCs w:val="24"/>
        </w:rPr>
        <w:t>dvocates.  The application was launched on 30 October 2018.</w:t>
      </w:r>
    </w:p>
    <w:p w:rsidR="00951133" w:rsidRPr="00265AA8" w:rsidRDefault="00951133" w:rsidP="00265AA8">
      <w:pPr>
        <w:jc w:val="both"/>
        <w:rPr>
          <w:szCs w:val="24"/>
        </w:rPr>
      </w:pPr>
    </w:p>
    <w:p w:rsidR="00265AA8" w:rsidRDefault="00265AA8" w:rsidP="00265AA8">
      <w:pPr>
        <w:jc w:val="both"/>
        <w:rPr>
          <w:szCs w:val="24"/>
        </w:rPr>
      </w:pPr>
      <w:r w:rsidRPr="00265AA8">
        <w:rPr>
          <w:szCs w:val="24"/>
        </w:rPr>
        <w:t>[</w:t>
      </w:r>
      <w:r w:rsidR="004A3CB6">
        <w:rPr>
          <w:szCs w:val="24"/>
        </w:rPr>
        <w:t>3</w:t>
      </w:r>
      <w:r w:rsidR="00127B6B">
        <w:rPr>
          <w:szCs w:val="24"/>
        </w:rPr>
        <w:t>7</w:t>
      </w:r>
      <w:r w:rsidRPr="00265AA8">
        <w:rPr>
          <w:szCs w:val="24"/>
        </w:rPr>
        <w:t>]</w:t>
      </w:r>
      <w:r w:rsidRPr="00265AA8">
        <w:rPr>
          <w:szCs w:val="24"/>
        </w:rPr>
        <w:tab/>
        <w:t xml:space="preserve">The </w:t>
      </w:r>
      <w:r w:rsidR="009B2F29">
        <w:rPr>
          <w:szCs w:val="24"/>
        </w:rPr>
        <w:t xml:space="preserve">Advocates </w:t>
      </w:r>
      <w:r w:rsidRPr="00265AA8">
        <w:rPr>
          <w:szCs w:val="24"/>
        </w:rPr>
        <w:t>Act provides for the admission of persons to practice as advocates of the High Court of South Africa and for matters incidental thereto</w:t>
      </w:r>
      <w:r w:rsidR="009B2F29">
        <w:rPr>
          <w:szCs w:val="24"/>
        </w:rPr>
        <w:t>,</w:t>
      </w:r>
      <w:r w:rsidRPr="00265AA8">
        <w:rPr>
          <w:szCs w:val="24"/>
        </w:rPr>
        <w:t xml:space="preserve"> including suspension of advocates from practice and the removal of their names from the roll of advocates.</w:t>
      </w:r>
    </w:p>
    <w:p w:rsidR="004F2A27" w:rsidRPr="00265AA8" w:rsidRDefault="004F2A27" w:rsidP="00265AA8">
      <w:pPr>
        <w:jc w:val="both"/>
        <w:rPr>
          <w:szCs w:val="24"/>
        </w:rPr>
      </w:pPr>
    </w:p>
    <w:p w:rsidR="00265AA8" w:rsidRDefault="00265AA8" w:rsidP="00265AA8">
      <w:pPr>
        <w:jc w:val="both"/>
        <w:rPr>
          <w:szCs w:val="24"/>
        </w:rPr>
      </w:pPr>
      <w:r w:rsidRPr="00265AA8">
        <w:rPr>
          <w:szCs w:val="24"/>
        </w:rPr>
        <w:t>[</w:t>
      </w:r>
      <w:r w:rsidR="004A3CB6">
        <w:rPr>
          <w:szCs w:val="24"/>
        </w:rPr>
        <w:t>3</w:t>
      </w:r>
      <w:r w:rsidR="00127B6B">
        <w:rPr>
          <w:szCs w:val="24"/>
        </w:rPr>
        <w:t>8</w:t>
      </w:r>
      <w:r w:rsidRPr="00265AA8">
        <w:rPr>
          <w:szCs w:val="24"/>
        </w:rPr>
        <w:t>]</w:t>
      </w:r>
      <w:r w:rsidRPr="00265AA8">
        <w:rPr>
          <w:szCs w:val="24"/>
        </w:rPr>
        <w:tab/>
        <w:t>It is common cause that pursuant to the judgment by Mudau J in staying the writ of execution</w:t>
      </w:r>
      <w:r w:rsidR="009B2F29">
        <w:rPr>
          <w:szCs w:val="24"/>
        </w:rPr>
        <w:t>,</w:t>
      </w:r>
      <w:r w:rsidRPr="00265AA8">
        <w:rPr>
          <w:szCs w:val="24"/>
        </w:rPr>
        <w:t xml:space="preserve"> the Minister proceeded to file an application rescinding the judgment granted against the Minister of Police.  In a scathing judgment Mudau J remarked as follows:</w:t>
      </w:r>
      <w:r w:rsidR="00917E86">
        <w:rPr>
          <w:rStyle w:val="FootnoteReference"/>
          <w:szCs w:val="24"/>
        </w:rPr>
        <w:footnoteReference w:id="22"/>
      </w:r>
    </w:p>
    <w:p w:rsidR="00951133" w:rsidRPr="00265AA8" w:rsidRDefault="00951133" w:rsidP="00265AA8">
      <w:pPr>
        <w:jc w:val="both"/>
        <w:rPr>
          <w:szCs w:val="24"/>
        </w:rPr>
      </w:pPr>
    </w:p>
    <w:p w:rsidR="00265AA8" w:rsidRDefault="00265AA8" w:rsidP="00ED2DE6">
      <w:pPr>
        <w:ind w:left="720"/>
        <w:jc w:val="both"/>
        <w:rPr>
          <w:sz w:val="22"/>
          <w:szCs w:val="22"/>
        </w:rPr>
      </w:pPr>
      <w:r w:rsidRPr="00ED2DE6">
        <w:rPr>
          <w:sz w:val="22"/>
          <w:szCs w:val="22"/>
        </w:rPr>
        <w:lastRenderedPageBreak/>
        <w:t>“The above court orders are subject of a pending rescission application (Part B) to be heard on 27 August 2018.  According to the Minister of Police their instructing lawyer (Lekabe) and council (Kajee) did not have any authority to concede the liability claim regarding the merits on 7 February 2017</w:t>
      </w:r>
      <w:r w:rsidR="009E577C">
        <w:rPr>
          <w:sz w:val="22"/>
          <w:szCs w:val="22"/>
        </w:rPr>
        <w:t>.</w:t>
      </w:r>
      <w:r w:rsidRPr="00ED2DE6">
        <w:rPr>
          <w:sz w:val="22"/>
          <w:szCs w:val="22"/>
        </w:rPr>
        <w:t>”</w:t>
      </w:r>
    </w:p>
    <w:p w:rsidR="004F2A27" w:rsidRDefault="004F2A27" w:rsidP="00265AA8">
      <w:pPr>
        <w:jc w:val="both"/>
        <w:rPr>
          <w:sz w:val="22"/>
          <w:szCs w:val="22"/>
        </w:rPr>
      </w:pPr>
    </w:p>
    <w:p w:rsidR="00265AA8" w:rsidRDefault="00265AA8" w:rsidP="00265AA8">
      <w:pPr>
        <w:jc w:val="both"/>
        <w:rPr>
          <w:szCs w:val="24"/>
        </w:rPr>
      </w:pPr>
      <w:r w:rsidRPr="00265AA8">
        <w:rPr>
          <w:szCs w:val="24"/>
        </w:rPr>
        <w:t>[</w:t>
      </w:r>
      <w:r w:rsidR="0057287E">
        <w:rPr>
          <w:szCs w:val="24"/>
        </w:rPr>
        <w:t>3</w:t>
      </w:r>
      <w:r w:rsidR="00127B6B">
        <w:rPr>
          <w:szCs w:val="24"/>
        </w:rPr>
        <w:t>9</w:t>
      </w:r>
      <w:r w:rsidRPr="00265AA8">
        <w:rPr>
          <w:szCs w:val="24"/>
        </w:rPr>
        <w:t>]</w:t>
      </w:r>
      <w:r w:rsidRPr="00265AA8">
        <w:rPr>
          <w:szCs w:val="24"/>
        </w:rPr>
        <w:tab/>
        <w:t>Mudau J commented further as follows:</w:t>
      </w:r>
      <w:r w:rsidR="00B21E15">
        <w:rPr>
          <w:rStyle w:val="FootnoteReference"/>
          <w:szCs w:val="24"/>
        </w:rPr>
        <w:footnoteReference w:id="23"/>
      </w:r>
    </w:p>
    <w:p w:rsidR="00951133" w:rsidRPr="00265AA8" w:rsidRDefault="00951133" w:rsidP="00265AA8">
      <w:pPr>
        <w:jc w:val="both"/>
        <w:rPr>
          <w:szCs w:val="24"/>
        </w:rPr>
      </w:pPr>
    </w:p>
    <w:p w:rsidR="00265AA8" w:rsidRDefault="00265AA8" w:rsidP="00ED2DE6">
      <w:pPr>
        <w:ind w:left="720"/>
        <w:jc w:val="both"/>
        <w:rPr>
          <w:sz w:val="22"/>
          <w:szCs w:val="22"/>
        </w:rPr>
      </w:pPr>
      <w:r w:rsidRPr="00ED2DE6">
        <w:rPr>
          <w:sz w:val="22"/>
          <w:szCs w:val="22"/>
        </w:rPr>
        <w:t xml:space="preserve">“The underlying causa of the judgment debt is vehemently contested by the </w:t>
      </w:r>
      <w:r w:rsidR="00CD5C77">
        <w:rPr>
          <w:sz w:val="22"/>
          <w:szCs w:val="22"/>
        </w:rPr>
        <w:t>a</w:t>
      </w:r>
      <w:r w:rsidRPr="00ED2DE6">
        <w:rPr>
          <w:sz w:val="22"/>
          <w:szCs w:val="22"/>
        </w:rPr>
        <w:t>pplicant</w:t>
      </w:r>
      <w:r w:rsidR="00CD5C77">
        <w:rPr>
          <w:sz w:val="22"/>
          <w:szCs w:val="22"/>
        </w:rPr>
        <w:t>.</w:t>
      </w:r>
      <w:r w:rsidRPr="00ED2DE6">
        <w:rPr>
          <w:sz w:val="22"/>
          <w:szCs w:val="22"/>
        </w:rPr>
        <w:t xml:space="preserve"> The silence of the second and fourth </w:t>
      </w:r>
      <w:r w:rsidR="00CD5C77">
        <w:rPr>
          <w:sz w:val="22"/>
          <w:szCs w:val="22"/>
        </w:rPr>
        <w:t>r</w:t>
      </w:r>
      <w:r w:rsidRPr="00ED2DE6">
        <w:rPr>
          <w:sz w:val="22"/>
          <w:szCs w:val="22"/>
        </w:rPr>
        <w:t>espondent</w:t>
      </w:r>
      <w:r w:rsidR="00CD5C77">
        <w:rPr>
          <w:sz w:val="22"/>
          <w:szCs w:val="22"/>
        </w:rPr>
        <w:t>s</w:t>
      </w:r>
      <w:r w:rsidRPr="00ED2DE6">
        <w:rPr>
          <w:sz w:val="22"/>
          <w:szCs w:val="22"/>
        </w:rPr>
        <w:t xml:space="preserve"> in the face of these damning allegations</w:t>
      </w:r>
      <w:r w:rsidR="00CD5C77">
        <w:rPr>
          <w:sz w:val="22"/>
          <w:szCs w:val="22"/>
        </w:rPr>
        <w:t xml:space="preserve"> </w:t>
      </w:r>
      <w:r w:rsidRPr="00ED2DE6">
        <w:rPr>
          <w:sz w:val="22"/>
          <w:szCs w:val="22"/>
        </w:rPr>
        <w:t>to my mind</w:t>
      </w:r>
      <w:r w:rsidR="00A569E8">
        <w:rPr>
          <w:sz w:val="22"/>
          <w:szCs w:val="22"/>
        </w:rPr>
        <w:t xml:space="preserve"> is</w:t>
      </w:r>
      <w:r w:rsidRPr="00ED2DE6">
        <w:rPr>
          <w:sz w:val="22"/>
          <w:szCs w:val="22"/>
        </w:rPr>
        <w:t xml:space="preserve"> </w:t>
      </w:r>
      <w:r w:rsidR="00CD5C77">
        <w:rPr>
          <w:sz w:val="22"/>
          <w:szCs w:val="22"/>
        </w:rPr>
        <w:t>telling</w:t>
      </w:r>
      <w:r w:rsidRPr="00ED2DE6">
        <w:rPr>
          <w:sz w:val="22"/>
          <w:szCs w:val="22"/>
        </w:rPr>
        <w:t>.  Importantly</w:t>
      </w:r>
      <w:r w:rsidR="00CD5C77">
        <w:rPr>
          <w:sz w:val="22"/>
          <w:szCs w:val="22"/>
        </w:rPr>
        <w:t>,</w:t>
      </w:r>
      <w:r w:rsidRPr="00ED2DE6">
        <w:rPr>
          <w:sz w:val="22"/>
          <w:szCs w:val="22"/>
        </w:rPr>
        <w:t xml:space="preserve"> this inv</w:t>
      </w:r>
      <w:r w:rsidR="00CD5C77">
        <w:rPr>
          <w:sz w:val="22"/>
          <w:szCs w:val="22"/>
        </w:rPr>
        <w:t>olves</w:t>
      </w:r>
      <w:r w:rsidRPr="00ED2DE6">
        <w:rPr>
          <w:sz w:val="22"/>
          <w:szCs w:val="22"/>
        </w:rPr>
        <w:t xml:space="preserve"> allegations of apparent collusion and fraudulent conduct involving millions of public monies</w:t>
      </w:r>
      <w:r w:rsidR="00A569E8">
        <w:rPr>
          <w:sz w:val="22"/>
          <w:szCs w:val="22"/>
        </w:rPr>
        <w:t>. . . .</w:t>
      </w:r>
      <w:r w:rsidRPr="00ED2DE6">
        <w:rPr>
          <w:sz w:val="22"/>
          <w:szCs w:val="22"/>
        </w:rPr>
        <w:t xml:space="preserve">” </w:t>
      </w:r>
      <w:r w:rsidRPr="00ED2DE6">
        <w:rPr>
          <w:sz w:val="22"/>
          <w:szCs w:val="22"/>
        </w:rPr>
        <w:tab/>
      </w:r>
    </w:p>
    <w:p w:rsidR="00951133" w:rsidRPr="00ED2DE6" w:rsidRDefault="00951133" w:rsidP="00ED2DE6">
      <w:pPr>
        <w:ind w:left="720"/>
        <w:jc w:val="both"/>
        <w:rPr>
          <w:sz w:val="22"/>
          <w:szCs w:val="22"/>
        </w:rPr>
      </w:pPr>
    </w:p>
    <w:p w:rsidR="00265AA8" w:rsidRDefault="00265AA8" w:rsidP="00265AA8">
      <w:pPr>
        <w:jc w:val="both"/>
        <w:rPr>
          <w:szCs w:val="24"/>
        </w:rPr>
      </w:pPr>
      <w:r w:rsidRPr="00265AA8">
        <w:rPr>
          <w:szCs w:val="24"/>
        </w:rPr>
        <w:t>[</w:t>
      </w:r>
      <w:r w:rsidR="00127B6B">
        <w:rPr>
          <w:szCs w:val="24"/>
        </w:rPr>
        <w:t>40</w:t>
      </w:r>
      <w:r w:rsidRPr="00265AA8">
        <w:rPr>
          <w:szCs w:val="24"/>
        </w:rPr>
        <w:t>]</w:t>
      </w:r>
      <w:r w:rsidRPr="00265AA8">
        <w:rPr>
          <w:szCs w:val="24"/>
        </w:rPr>
        <w:tab/>
        <w:t>The rescission application was head and granted by Keightley J on the</w:t>
      </w:r>
      <w:r w:rsidR="00920910">
        <w:rPr>
          <w:szCs w:val="24"/>
        </w:rPr>
        <w:t xml:space="preserve"> </w:t>
      </w:r>
      <w:r w:rsidRPr="00265AA8">
        <w:rPr>
          <w:szCs w:val="24"/>
        </w:rPr>
        <w:t>18</w:t>
      </w:r>
      <w:r w:rsidR="00920910" w:rsidRPr="00920910">
        <w:rPr>
          <w:szCs w:val="24"/>
          <w:vertAlign w:val="superscript"/>
        </w:rPr>
        <w:t>th</w:t>
      </w:r>
      <w:r w:rsidRPr="00265AA8">
        <w:rPr>
          <w:szCs w:val="24"/>
        </w:rPr>
        <w:t xml:space="preserve"> October 2019.  In her judgment Keightley J did not spare the </w:t>
      </w:r>
      <w:r w:rsidR="00EF196C">
        <w:rPr>
          <w:szCs w:val="24"/>
        </w:rPr>
        <w:t>r</w:t>
      </w:r>
      <w:r w:rsidRPr="00265AA8">
        <w:rPr>
          <w:szCs w:val="24"/>
        </w:rPr>
        <w:t>espondent and</w:t>
      </w:r>
      <w:r w:rsidR="00F44FB4">
        <w:rPr>
          <w:szCs w:val="24"/>
        </w:rPr>
        <w:t xml:space="preserve"> also</w:t>
      </w:r>
      <w:r w:rsidRPr="00265AA8">
        <w:rPr>
          <w:szCs w:val="24"/>
        </w:rPr>
        <w:t xml:space="preserve"> made scathing remarks about his collusive and fraudulent conduct with the office of the State Attorney.</w:t>
      </w:r>
    </w:p>
    <w:p w:rsidR="00951133" w:rsidRPr="00265AA8" w:rsidRDefault="00951133" w:rsidP="00265AA8">
      <w:pPr>
        <w:jc w:val="both"/>
        <w:rPr>
          <w:szCs w:val="24"/>
        </w:rPr>
      </w:pPr>
    </w:p>
    <w:p w:rsidR="00265AA8" w:rsidRDefault="00265AA8" w:rsidP="00265AA8">
      <w:pPr>
        <w:jc w:val="both"/>
        <w:rPr>
          <w:szCs w:val="24"/>
        </w:rPr>
      </w:pPr>
      <w:r w:rsidRPr="00265AA8">
        <w:rPr>
          <w:szCs w:val="24"/>
        </w:rPr>
        <w:t>[</w:t>
      </w:r>
      <w:r w:rsidR="004A3CB6">
        <w:rPr>
          <w:szCs w:val="24"/>
        </w:rPr>
        <w:t>4</w:t>
      </w:r>
      <w:r w:rsidR="00127B6B">
        <w:rPr>
          <w:szCs w:val="24"/>
        </w:rPr>
        <w:t>1</w:t>
      </w:r>
      <w:r w:rsidRPr="00265AA8">
        <w:rPr>
          <w:szCs w:val="24"/>
        </w:rPr>
        <w:t>]</w:t>
      </w:r>
      <w:r w:rsidRPr="00265AA8">
        <w:rPr>
          <w:szCs w:val="24"/>
        </w:rPr>
        <w:tab/>
        <w:t xml:space="preserve"> In</w:t>
      </w:r>
      <w:r w:rsidR="00DB4D7C">
        <w:rPr>
          <w:szCs w:val="24"/>
        </w:rPr>
        <w:t xml:space="preserve"> </w:t>
      </w:r>
      <w:r w:rsidRPr="00265AA8">
        <w:rPr>
          <w:szCs w:val="24"/>
        </w:rPr>
        <w:t>the judgment by</w:t>
      </w:r>
      <w:r w:rsidR="00DB4D7C">
        <w:rPr>
          <w:szCs w:val="24"/>
        </w:rPr>
        <w:t xml:space="preserve"> </w:t>
      </w:r>
      <w:r w:rsidRPr="00265AA8">
        <w:rPr>
          <w:szCs w:val="24"/>
        </w:rPr>
        <w:t xml:space="preserve">Keightley </w:t>
      </w:r>
      <w:r w:rsidR="00DB4D7C">
        <w:rPr>
          <w:szCs w:val="24"/>
        </w:rPr>
        <w:t xml:space="preserve">J </w:t>
      </w:r>
      <w:r w:rsidRPr="00265AA8">
        <w:rPr>
          <w:szCs w:val="24"/>
        </w:rPr>
        <w:t>the following is noted:</w:t>
      </w:r>
      <w:r w:rsidR="00DB4D7C">
        <w:rPr>
          <w:rStyle w:val="FootnoteReference"/>
          <w:szCs w:val="24"/>
        </w:rPr>
        <w:footnoteReference w:id="24"/>
      </w:r>
    </w:p>
    <w:p w:rsidR="00951133" w:rsidRPr="00265AA8" w:rsidRDefault="00951133" w:rsidP="00265AA8">
      <w:pPr>
        <w:jc w:val="both"/>
        <w:rPr>
          <w:szCs w:val="24"/>
        </w:rPr>
      </w:pPr>
    </w:p>
    <w:p w:rsidR="00265AA8" w:rsidRDefault="00265AA8" w:rsidP="00ED2DE6">
      <w:pPr>
        <w:ind w:left="720"/>
        <w:jc w:val="both"/>
        <w:rPr>
          <w:sz w:val="22"/>
          <w:szCs w:val="22"/>
        </w:rPr>
      </w:pPr>
      <w:r w:rsidRPr="00ED2DE6">
        <w:rPr>
          <w:sz w:val="22"/>
          <w:szCs w:val="22"/>
        </w:rPr>
        <w:t>“</w:t>
      </w:r>
      <w:r w:rsidR="00D50E53">
        <w:rPr>
          <w:sz w:val="22"/>
          <w:szCs w:val="22"/>
        </w:rPr>
        <w:t xml:space="preserve">. . . </w:t>
      </w:r>
      <w:r w:rsidRPr="00ED2DE6">
        <w:rPr>
          <w:sz w:val="22"/>
          <w:szCs w:val="22"/>
        </w:rPr>
        <w:t>For the present it is necessary only to explain that both Mr Lekabe and Mr Kajee face serious investigations by different authorities regarding allegations of unprofessional, fraudulent and corrupt conduct on their part.  The investigations arose from the manner in which it is alleged they dealt with, the Plaintiff’s case, but the allegations extend to what is alleged to be similar conduct on their part in other matters involving</w:t>
      </w:r>
      <w:r w:rsidR="009E577C">
        <w:rPr>
          <w:sz w:val="22"/>
          <w:szCs w:val="22"/>
        </w:rPr>
        <w:t>,</w:t>
      </w:r>
      <w:r w:rsidRPr="00ED2DE6">
        <w:rPr>
          <w:sz w:val="22"/>
          <w:szCs w:val="22"/>
        </w:rPr>
        <w:t xml:space="preserve"> among others</w:t>
      </w:r>
      <w:r w:rsidR="009E577C">
        <w:rPr>
          <w:sz w:val="22"/>
          <w:szCs w:val="22"/>
        </w:rPr>
        <w:t>,</w:t>
      </w:r>
      <w:r w:rsidRPr="00ED2DE6">
        <w:rPr>
          <w:sz w:val="22"/>
          <w:szCs w:val="22"/>
        </w:rPr>
        <w:t xml:space="preserve"> the </w:t>
      </w:r>
      <w:r w:rsidR="00D50E53">
        <w:rPr>
          <w:sz w:val="22"/>
          <w:szCs w:val="22"/>
        </w:rPr>
        <w:t>M</w:t>
      </w:r>
      <w:r w:rsidRPr="00ED2DE6">
        <w:rPr>
          <w:sz w:val="22"/>
          <w:szCs w:val="22"/>
        </w:rPr>
        <w:t>inister.”</w:t>
      </w:r>
    </w:p>
    <w:p w:rsidR="00951133" w:rsidRPr="00ED2DE6" w:rsidRDefault="00951133" w:rsidP="00ED2DE6">
      <w:pPr>
        <w:ind w:left="720"/>
        <w:jc w:val="both"/>
        <w:rPr>
          <w:sz w:val="22"/>
          <w:szCs w:val="22"/>
        </w:rPr>
      </w:pPr>
    </w:p>
    <w:p w:rsidR="00265AA8" w:rsidRDefault="00265AA8" w:rsidP="00265AA8">
      <w:pPr>
        <w:jc w:val="both"/>
        <w:rPr>
          <w:szCs w:val="24"/>
        </w:rPr>
      </w:pPr>
      <w:r w:rsidRPr="00265AA8">
        <w:rPr>
          <w:szCs w:val="24"/>
        </w:rPr>
        <w:lastRenderedPageBreak/>
        <w:t>[</w:t>
      </w:r>
      <w:r w:rsidR="004A3CB6">
        <w:rPr>
          <w:szCs w:val="24"/>
        </w:rPr>
        <w:t>4</w:t>
      </w:r>
      <w:r w:rsidR="00127B6B">
        <w:rPr>
          <w:szCs w:val="24"/>
        </w:rPr>
        <w:t>2</w:t>
      </w:r>
      <w:r w:rsidRPr="00265AA8">
        <w:rPr>
          <w:szCs w:val="24"/>
        </w:rPr>
        <w:t>]</w:t>
      </w:r>
      <w:r w:rsidRPr="00265AA8">
        <w:rPr>
          <w:szCs w:val="24"/>
        </w:rPr>
        <w:tab/>
        <w:t>Further</w:t>
      </w:r>
      <w:r w:rsidR="00A11D7A">
        <w:rPr>
          <w:szCs w:val="24"/>
        </w:rPr>
        <w:t>,</w:t>
      </w:r>
      <w:r w:rsidRPr="00265AA8">
        <w:rPr>
          <w:szCs w:val="24"/>
        </w:rPr>
        <w:t xml:space="preserve"> the judge said</w:t>
      </w:r>
      <w:r w:rsidR="00270DAD">
        <w:rPr>
          <w:rStyle w:val="FootnoteReference"/>
          <w:szCs w:val="24"/>
        </w:rPr>
        <w:footnoteReference w:id="25"/>
      </w:r>
      <w:r w:rsidRPr="00265AA8">
        <w:rPr>
          <w:szCs w:val="24"/>
        </w:rPr>
        <w:t xml:space="preserve"> the following about the relationship between Lekabe</w:t>
      </w:r>
      <w:r w:rsidR="00EF196C">
        <w:rPr>
          <w:szCs w:val="24"/>
        </w:rPr>
        <w:t>,</w:t>
      </w:r>
      <w:r w:rsidRPr="00265AA8">
        <w:rPr>
          <w:szCs w:val="24"/>
        </w:rPr>
        <w:t xml:space="preserve"> the State Attorney</w:t>
      </w:r>
      <w:r w:rsidR="00EF196C">
        <w:rPr>
          <w:szCs w:val="24"/>
        </w:rPr>
        <w:t>,</w:t>
      </w:r>
      <w:r w:rsidRPr="00265AA8">
        <w:rPr>
          <w:szCs w:val="24"/>
        </w:rPr>
        <w:t xml:space="preserve"> and the </w:t>
      </w:r>
      <w:r w:rsidR="00B3091A">
        <w:rPr>
          <w:szCs w:val="24"/>
        </w:rPr>
        <w:t>r</w:t>
      </w:r>
      <w:r w:rsidRPr="00265AA8">
        <w:rPr>
          <w:szCs w:val="24"/>
        </w:rPr>
        <w:t>espondent:</w:t>
      </w:r>
    </w:p>
    <w:p w:rsidR="00951133" w:rsidRPr="00265AA8" w:rsidRDefault="00951133" w:rsidP="00265AA8">
      <w:pPr>
        <w:jc w:val="both"/>
        <w:rPr>
          <w:szCs w:val="24"/>
        </w:rPr>
      </w:pPr>
    </w:p>
    <w:p w:rsidR="00951133" w:rsidRDefault="00265AA8" w:rsidP="00ED2DE6">
      <w:pPr>
        <w:ind w:left="720"/>
        <w:jc w:val="both"/>
        <w:rPr>
          <w:sz w:val="22"/>
          <w:szCs w:val="22"/>
        </w:rPr>
      </w:pPr>
      <w:r w:rsidRPr="00ED2DE6">
        <w:rPr>
          <w:sz w:val="22"/>
          <w:szCs w:val="22"/>
        </w:rPr>
        <w:t>“What lends further credence to this submission is the broader context of the relationship between Mr Lekabe and Mr Kajee and their actions subsequent to the concession on</w:t>
      </w:r>
      <w:r w:rsidR="00E01B49">
        <w:rPr>
          <w:sz w:val="22"/>
          <w:szCs w:val="22"/>
        </w:rPr>
        <w:t xml:space="preserve"> the</w:t>
      </w:r>
      <w:r w:rsidRPr="00ED2DE6">
        <w:rPr>
          <w:sz w:val="22"/>
          <w:szCs w:val="22"/>
        </w:rPr>
        <w:t xml:space="preserve"> merits. As I briefly explained earlier</w:t>
      </w:r>
      <w:r w:rsidR="00E01B49">
        <w:rPr>
          <w:sz w:val="22"/>
          <w:szCs w:val="22"/>
        </w:rPr>
        <w:t>,</w:t>
      </w:r>
      <w:r w:rsidRPr="00ED2DE6">
        <w:rPr>
          <w:sz w:val="22"/>
          <w:szCs w:val="22"/>
        </w:rPr>
        <w:t xml:space="preserve"> Mr Kajee started invoicing the State Attorney for work on the Plaintiff</w:t>
      </w:r>
      <w:r w:rsidR="00E01B49">
        <w:rPr>
          <w:sz w:val="22"/>
          <w:szCs w:val="22"/>
        </w:rPr>
        <w:t>’s</w:t>
      </w:r>
      <w:r w:rsidRPr="00ED2DE6">
        <w:rPr>
          <w:sz w:val="22"/>
          <w:szCs w:val="22"/>
        </w:rPr>
        <w:t xml:space="preserve"> defence of the quantum issue in December 2017. Both he and Mr Lekabe contend that he was briefed on 15 December 2017. What is alarming is the fact that the letter of instruction from the State Attorney briefing </w:t>
      </w:r>
      <w:r w:rsidR="00E01B49">
        <w:rPr>
          <w:sz w:val="22"/>
          <w:szCs w:val="22"/>
        </w:rPr>
        <w:t xml:space="preserve">Mr </w:t>
      </w:r>
      <w:r w:rsidRPr="00ED2DE6">
        <w:rPr>
          <w:sz w:val="22"/>
          <w:szCs w:val="22"/>
        </w:rPr>
        <w:t>Kajee is dated 14 February 2018.  Furthermore, the Regist</w:t>
      </w:r>
      <w:r w:rsidR="00E01B49">
        <w:rPr>
          <w:sz w:val="22"/>
          <w:szCs w:val="22"/>
        </w:rPr>
        <w:t xml:space="preserve">er </w:t>
      </w:r>
      <w:r w:rsidRPr="00ED2DE6">
        <w:rPr>
          <w:sz w:val="22"/>
          <w:szCs w:val="22"/>
        </w:rPr>
        <w:t>of Counsel briefed in matter for February 2018 also record</w:t>
      </w:r>
      <w:r w:rsidR="00E01B49">
        <w:rPr>
          <w:sz w:val="22"/>
          <w:szCs w:val="22"/>
        </w:rPr>
        <w:t>s,</w:t>
      </w:r>
      <w:r w:rsidRPr="00ED2DE6">
        <w:rPr>
          <w:sz w:val="22"/>
          <w:szCs w:val="22"/>
        </w:rPr>
        <w:t xml:space="preserve"> in Mr Lekabe’s ha</w:t>
      </w:r>
      <w:r w:rsidR="00E01B49">
        <w:rPr>
          <w:sz w:val="22"/>
          <w:szCs w:val="22"/>
        </w:rPr>
        <w:t>nd</w:t>
      </w:r>
      <w:r w:rsidRPr="00ED2DE6">
        <w:rPr>
          <w:sz w:val="22"/>
          <w:szCs w:val="22"/>
        </w:rPr>
        <w:t>writing</w:t>
      </w:r>
      <w:r w:rsidR="00E01B49">
        <w:rPr>
          <w:sz w:val="22"/>
          <w:szCs w:val="22"/>
        </w:rPr>
        <w:t>,</w:t>
      </w:r>
      <w:r w:rsidRPr="00ED2DE6">
        <w:rPr>
          <w:sz w:val="22"/>
          <w:szCs w:val="22"/>
        </w:rPr>
        <w:t xml:space="preserve"> that Mr Kajee and his junior counsel were briefed in the matter</w:t>
      </w:r>
      <w:r w:rsidR="00E01B49">
        <w:rPr>
          <w:sz w:val="22"/>
          <w:szCs w:val="22"/>
        </w:rPr>
        <w:t>s</w:t>
      </w:r>
      <w:r w:rsidRPr="00ED2DE6">
        <w:rPr>
          <w:sz w:val="22"/>
          <w:szCs w:val="22"/>
        </w:rPr>
        <w:t xml:space="preserve"> on 14 February 2018.  At the very least</w:t>
      </w:r>
      <w:r w:rsidR="00E01B49">
        <w:rPr>
          <w:sz w:val="22"/>
          <w:szCs w:val="22"/>
        </w:rPr>
        <w:t>,</w:t>
      </w:r>
      <w:r w:rsidRPr="00ED2DE6">
        <w:rPr>
          <w:sz w:val="22"/>
          <w:szCs w:val="22"/>
        </w:rPr>
        <w:t xml:space="preserve"> this gives rise to an inference that the relationship between Lekabe and Mr Kajee was such that Mr Kajee could invoice for work done on</w:t>
      </w:r>
      <w:r w:rsidR="00E01B49">
        <w:rPr>
          <w:sz w:val="22"/>
          <w:szCs w:val="22"/>
        </w:rPr>
        <w:t>,</w:t>
      </w:r>
      <w:r w:rsidRPr="00ED2DE6">
        <w:rPr>
          <w:sz w:val="22"/>
          <w:szCs w:val="22"/>
        </w:rPr>
        <w:t xml:space="preserve"> and would be paid for, matters in respect of which he had not yet received his brief.</w:t>
      </w:r>
      <w:r w:rsidR="00E01B49">
        <w:rPr>
          <w:sz w:val="22"/>
          <w:szCs w:val="22"/>
        </w:rPr>
        <w:t xml:space="preserve"> . . .</w:t>
      </w:r>
      <w:r w:rsidRPr="00ED2DE6">
        <w:rPr>
          <w:sz w:val="22"/>
          <w:szCs w:val="22"/>
        </w:rPr>
        <w:t xml:space="preserve">” </w:t>
      </w:r>
    </w:p>
    <w:p w:rsidR="00265AA8" w:rsidRPr="00ED2DE6" w:rsidRDefault="00265AA8" w:rsidP="00ED2DE6">
      <w:pPr>
        <w:ind w:left="720"/>
        <w:jc w:val="both"/>
        <w:rPr>
          <w:sz w:val="22"/>
          <w:szCs w:val="22"/>
        </w:rPr>
      </w:pPr>
      <w:r w:rsidRPr="00ED2DE6">
        <w:rPr>
          <w:sz w:val="22"/>
          <w:szCs w:val="22"/>
        </w:rPr>
        <w:t xml:space="preserve">   </w:t>
      </w:r>
    </w:p>
    <w:p w:rsidR="00265AA8" w:rsidRDefault="00265AA8" w:rsidP="00265AA8">
      <w:pPr>
        <w:jc w:val="both"/>
        <w:rPr>
          <w:szCs w:val="24"/>
        </w:rPr>
      </w:pPr>
      <w:r w:rsidRPr="00265AA8">
        <w:rPr>
          <w:szCs w:val="24"/>
        </w:rPr>
        <w:t>[</w:t>
      </w:r>
      <w:r w:rsidR="004A3CB6">
        <w:rPr>
          <w:szCs w:val="24"/>
        </w:rPr>
        <w:t>4</w:t>
      </w:r>
      <w:r w:rsidR="00127B6B">
        <w:rPr>
          <w:szCs w:val="24"/>
        </w:rPr>
        <w:t>3</w:t>
      </w:r>
      <w:r w:rsidRPr="00265AA8">
        <w:rPr>
          <w:szCs w:val="24"/>
        </w:rPr>
        <w:t>]</w:t>
      </w:r>
      <w:r w:rsidRPr="00265AA8">
        <w:rPr>
          <w:szCs w:val="24"/>
        </w:rPr>
        <w:tab/>
        <w:t xml:space="preserve">The nub of the complaint against the </w:t>
      </w:r>
      <w:r w:rsidR="00ED2DE6">
        <w:rPr>
          <w:szCs w:val="24"/>
        </w:rPr>
        <w:t>r</w:t>
      </w:r>
      <w:r w:rsidRPr="00265AA8">
        <w:rPr>
          <w:szCs w:val="24"/>
        </w:rPr>
        <w:t>espondent is captured in para</w:t>
      </w:r>
      <w:r w:rsidR="00ED2DE6">
        <w:rPr>
          <w:szCs w:val="24"/>
        </w:rPr>
        <w:t>s</w:t>
      </w:r>
      <w:r w:rsidRPr="00265AA8">
        <w:rPr>
          <w:szCs w:val="24"/>
        </w:rPr>
        <w:t xml:space="preserve"> 13-17 of the </w:t>
      </w:r>
      <w:r w:rsidR="00EF196C">
        <w:rPr>
          <w:szCs w:val="24"/>
        </w:rPr>
        <w:t>f</w:t>
      </w:r>
      <w:r w:rsidRPr="00265AA8">
        <w:rPr>
          <w:szCs w:val="24"/>
        </w:rPr>
        <w:t xml:space="preserve">ounding </w:t>
      </w:r>
      <w:r w:rsidR="00EF196C">
        <w:rPr>
          <w:szCs w:val="24"/>
        </w:rPr>
        <w:t>a</w:t>
      </w:r>
      <w:r w:rsidRPr="00265AA8">
        <w:rPr>
          <w:szCs w:val="24"/>
        </w:rPr>
        <w:t xml:space="preserve">ffidavit deposed to by the chairperson of the </w:t>
      </w:r>
      <w:r w:rsidR="00EF196C">
        <w:rPr>
          <w:szCs w:val="24"/>
        </w:rPr>
        <w:t>applicant</w:t>
      </w:r>
      <w:r w:rsidR="009E577C">
        <w:rPr>
          <w:szCs w:val="24"/>
        </w:rPr>
        <w:t>,</w:t>
      </w:r>
      <w:r w:rsidRPr="00265AA8">
        <w:rPr>
          <w:szCs w:val="24"/>
        </w:rPr>
        <w:t xml:space="preserve"> </w:t>
      </w:r>
      <w:r w:rsidR="009E577C">
        <w:rPr>
          <w:szCs w:val="24"/>
        </w:rPr>
        <w:t>a</w:t>
      </w:r>
      <w:r w:rsidRPr="00265AA8">
        <w:rPr>
          <w:szCs w:val="24"/>
        </w:rPr>
        <w:t xml:space="preserve">dvocate </w:t>
      </w:r>
      <w:r w:rsidR="00EF196C">
        <w:rPr>
          <w:szCs w:val="24"/>
        </w:rPr>
        <w:t>Ian</w:t>
      </w:r>
      <w:r w:rsidRPr="00265AA8">
        <w:rPr>
          <w:szCs w:val="24"/>
        </w:rPr>
        <w:t xml:space="preserve"> Green.  In brief he says that from documents presented to him including the judgments by Madau J and Keightley J</w:t>
      </w:r>
      <w:r w:rsidR="009E577C">
        <w:rPr>
          <w:szCs w:val="24"/>
        </w:rPr>
        <w:t>,</w:t>
      </w:r>
      <w:r w:rsidRPr="00265AA8">
        <w:rPr>
          <w:szCs w:val="24"/>
        </w:rPr>
        <w:t xml:space="preserve"> the </w:t>
      </w:r>
      <w:r w:rsidR="00ED2DE6">
        <w:rPr>
          <w:szCs w:val="24"/>
        </w:rPr>
        <w:t>r</w:t>
      </w:r>
      <w:r w:rsidRPr="00265AA8">
        <w:rPr>
          <w:szCs w:val="24"/>
        </w:rPr>
        <w:t>espondent has made himself guilty of serious misconduct in that:</w:t>
      </w:r>
    </w:p>
    <w:p w:rsidR="00951133" w:rsidRPr="00265AA8" w:rsidRDefault="00951133" w:rsidP="00265AA8">
      <w:pPr>
        <w:jc w:val="both"/>
        <w:rPr>
          <w:szCs w:val="24"/>
        </w:rPr>
      </w:pPr>
    </w:p>
    <w:p w:rsidR="00265AA8" w:rsidRDefault="00265AA8" w:rsidP="00ED2DE6">
      <w:pPr>
        <w:ind w:left="709"/>
        <w:jc w:val="both"/>
        <w:rPr>
          <w:szCs w:val="24"/>
        </w:rPr>
      </w:pPr>
      <w:r w:rsidRPr="00265AA8">
        <w:rPr>
          <w:szCs w:val="24"/>
        </w:rPr>
        <w:t>22.1</w:t>
      </w:r>
      <w:r w:rsidRPr="00265AA8">
        <w:rPr>
          <w:szCs w:val="24"/>
        </w:rPr>
        <w:tab/>
        <w:t>He received payment from the State Attorney in the sum of R34</w:t>
      </w:r>
      <w:r w:rsidR="00EF196C">
        <w:rPr>
          <w:szCs w:val="24"/>
        </w:rPr>
        <w:t> </w:t>
      </w:r>
      <w:r w:rsidRPr="00265AA8">
        <w:rPr>
          <w:szCs w:val="24"/>
        </w:rPr>
        <w:t>211</w:t>
      </w:r>
      <w:r w:rsidR="00EF196C">
        <w:rPr>
          <w:szCs w:val="24"/>
        </w:rPr>
        <w:t xml:space="preserve"> </w:t>
      </w:r>
      <w:r w:rsidRPr="00265AA8">
        <w:rPr>
          <w:szCs w:val="24"/>
        </w:rPr>
        <w:t>875.00 as fees for the period 1st April 2017 to 24 August 2018</w:t>
      </w:r>
      <w:r w:rsidR="009E577C">
        <w:rPr>
          <w:szCs w:val="24"/>
        </w:rPr>
        <w:t>;</w:t>
      </w:r>
    </w:p>
    <w:p w:rsidR="00951133" w:rsidRPr="00265AA8" w:rsidRDefault="00951133" w:rsidP="00ED2DE6">
      <w:pPr>
        <w:ind w:left="709"/>
        <w:jc w:val="both"/>
        <w:rPr>
          <w:szCs w:val="24"/>
        </w:rPr>
      </w:pPr>
    </w:p>
    <w:p w:rsidR="00265AA8" w:rsidRDefault="00265AA8" w:rsidP="00ED2DE6">
      <w:pPr>
        <w:ind w:left="709"/>
        <w:jc w:val="both"/>
        <w:rPr>
          <w:szCs w:val="24"/>
        </w:rPr>
      </w:pPr>
      <w:r w:rsidRPr="00265AA8">
        <w:rPr>
          <w:szCs w:val="24"/>
        </w:rPr>
        <w:t>22.2</w:t>
      </w:r>
      <w:r w:rsidRPr="00265AA8">
        <w:rPr>
          <w:szCs w:val="24"/>
        </w:rPr>
        <w:tab/>
        <w:t xml:space="preserve">When the </w:t>
      </w:r>
      <w:r w:rsidR="00ED2DE6">
        <w:rPr>
          <w:szCs w:val="24"/>
        </w:rPr>
        <w:t>r</w:t>
      </w:r>
      <w:r w:rsidRPr="00265AA8">
        <w:rPr>
          <w:szCs w:val="24"/>
        </w:rPr>
        <w:t>espondent was asked from comment his evasive response was that the fees were fair and reasonable without justifying how he arrived at such exorbitant fees and refused to give permission to the Bar Council to investigate the complaint</w:t>
      </w:r>
      <w:r w:rsidR="009E577C">
        <w:rPr>
          <w:szCs w:val="24"/>
        </w:rPr>
        <w:t>;</w:t>
      </w:r>
    </w:p>
    <w:p w:rsidR="00951133" w:rsidRPr="00265AA8" w:rsidRDefault="00951133" w:rsidP="00ED2DE6">
      <w:pPr>
        <w:ind w:left="709"/>
        <w:jc w:val="both"/>
        <w:rPr>
          <w:szCs w:val="24"/>
        </w:rPr>
      </w:pPr>
    </w:p>
    <w:p w:rsidR="00265AA8" w:rsidRDefault="00265AA8" w:rsidP="00ED2DE6">
      <w:pPr>
        <w:ind w:left="709"/>
        <w:jc w:val="both"/>
        <w:rPr>
          <w:szCs w:val="24"/>
        </w:rPr>
      </w:pPr>
      <w:r w:rsidRPr="00265AA8">
        <w:rPr>
          <w:szCs w:val="24"/>
        </w:rPr>
        <w:lastRenderedPageBreak/>
        <w:t>22.3</w:t>
      </w:r>
      <w:r w:rsidRPr="00265AA8">
        <w:rPr>
          <w:szCs w:val="24"/>
        </w:rPr>
        <w:tab/>
        <w:t xml:space="preserve">The </w:t>
      </w:r>
      <w:r w:rsidR="00ED2DE6">
        <w:rPr>
          <w:szCs w:val="24"/>
        </w:rPr>
        <w:t>r</w:t>
      </w:r>
      <w:r w:rsidRPr="00265AA8">
        <w:rPr>
          <w:szCs w:val="24"/>
        </w:rPr>
        <w:t>espondent at some point conceded that there had been instances of over</w:t>
      </w:r>
      <w:r w:rsidR="009E577C">
        <w:rPr>
          <w:szCs w:val="24"/>
        </w:rPr>
        <w:t>r</w:t>
      </w:r>
      <w:r w:rsidR="00EF196C">
        <w:rPr>
          <w:szCs w:val="24"/>
        </w:rPr>
        <w:t>e</w:t>
      </w:r>
      <w:r w:rsidRPr="00265AA8">
        <w:rPr>
          <w:szCs w:val="24"/>
        </w:rPr>
        <w:t>ac</w:t>
      </w:r>
      <w:r w:rsidR="009E577C">
        <w:rPr>
          <w:szCs w:val="24"/>
        </w:rPr>
        <w:t>hing</w:t>
      </w:r>
      <w:r w:rsidRPr="00265AA8">
        <w:rPr>
          <w:szCs w:val="24"/>
        </w:rPr>
        <w:t xml:space="preserve"> but that </w:t>
      </w:r>
      <w:r w:rsidR="00EF196C">
        <w:rPr>
          <w:szCs w:val="24"/>
        </w:rPr>
        <w:t xml:space="preserve">it </w:t>
      </w:r>
      <w:r w:rsidRPr="00265AA8">
        <w:rPr>
          <w:szCs w:val="24"/>
        </w:rPr>
        <w:t>was not deliberate.</w:t>
      </w:r>
      <w:r w:rsidR="004D067D">
        <w:rPr>
          <w:szCs w:val="24"/>
        </w:rPr>
        <w:t xml:space="preserve"> </w:t>
      </w:r>
      <w:r w:rsidRPr="00265AA8">
        <w:rPr>
          <w:szCs w:val="24"/>
        </w:rPr>
        <w:t xml:space="preserve">Despite such concession the </w:t>
      </w:r>
      <w:r w:rsidR="00EF196C">
        <w:rPr>
          <w:szCs w:val="24"/>
        </w:rPr>
        <w:t>r</w:t>
      </w:r>
      <w:r w:rsidRPr="00265AA8">
        <w:rPr>
          <w:szCs w:val="24"/>
        </w:rPr>
        <w:t xml:space="preserve">espondent steadfastly maintained that the </w:t>
      </w:r>
      <w:r w:rsidR="00ED2DE6">
        <w:rPr>
          <w:szCs w:val="24"/>
        </w:rPr>
        <w:t>a</w:t>
      </w:r>
      <w:r w:rsidRPr="00265AA8">
        <w:rPr>
          <w:szCs w:val="24"/>
        </w:rPr>
        <w:t>pplicant was not entitled to have access to his “fees notes”</w:t>
      </w:r>
      <w:r w:rsidR="009E577C">
        <w:rPr>
          <w:szCs w:val="24"/>
        </w:rPr>
        <w:t>,</w:t>
      </w:r>
      <w:r w:rsidRPr="00265AA8">
        <w:rPr>
          <w:szCs w:val="24"/>
        </w:rPr>
        <w:t xml:space="preserve"> his fee book as well as record over that period</w:t>
      </w:r>
      <w:r w:rsidR="009E577C">
        <w:rPr>
          <w:szCs w:val="24"/>
        </w:rPr>
        <w:t>;</w:t>
      </w:r>
    </w:p>
    <w:p w:rsidR="00951133" w:rsidRPr="00265AA8" w:rsidRDefault="00951133" w:rsidP="00ED2DE6">
      <w:pPr>
        <w:ind w:left="709"/>
        <w:jc w:val="both"/>
        <w:rPr>
          <w:szCs w:val="24"/>
        </w:rPr>
      </w:pPr>
    </w:p>
    <w:p w:rsidR="00265AA8" w:rsidRDefault="00265AA8" w:rsidP="00ED2DE6">
      <w:pPr>
        <w:ind w:left="709"/>
        <w:jc w:val="both"/>
        <w:rPr>
          <w:szCs w:val="24"/>
        </w:rPr>
      </w:pPr>
      <w:r w:rsidRPr="00265AA8">
        <w:rPr>
          <w:szCs w:val="24"/>
        </w:rPr>
        <w:t>22.4</w:t>
      </w:r>
      <w:r w:rsidRPr="00265AA8">
        <w:rPr>
          <w:szCs w:val="24"/>
        </w:rPr>
        <w:tab/>
        <w:t xml:space="preserve">In para 16 </w:t>
      </w:r>
      <w:r w:rsidR="00EF196C">
        <w:rPr>
          <w:szCs w:val="24"/>
        </w:rPr>
        <w:t>a</w:t>
      </w:r>
      <w:r w:rsidRPr="00265AA8">
        <w:rPr>
          <w:szCs w:val="24"/>
        </w:rPr>
        <w:t xml:space="preserve">dv Green points out that the amount R34 211 875.00 charged to the State Attorney by the </w:t>
      </w:r>
      <w:r w:rsidR="00ED2DE6">
        <w:rPr>
          <w:szCs w:val="24"/>
        </w:rPr>
        <w:t>r</w:t>
      </w:r>
      <w:r w:rsidRPr="00265AA8">
        <w:rPr>
          <w:szCs w:val="24"/>
        </w:rPr>
        <w:t xml:space="preserve">espondent equals to an amount of R66 950.83 per day every calendar day over a period of 511 days.  He says that this is impossible for any </w:t>
      </w:r>
      <w:r w:rsidR="00ED2DE6">
        <w:rPr>
          <w:szCs w:val="24"/>
        </w:rPr>
        <w:t>c</w:t>
      </w:r>
      <w:r w:rsidRPr="00265AA8">
        <w:rPr>
          <w:szCs w:val="24"/>
        </w:rPr>
        <w:t>ounsel whose highest hourly rate over that period was R2 500.00 per hour and R25 000.00 per day</w:t>
      </w:r>
      <w:r w:rsidR="009E577C">
        <w:rPr>
          <w:szCs w:val="24"/>
        </w:rPr>
        <w:t>;</w:t>
      </w:r>
    </w:p>
    <w:p w:rsidR="00951133" w:rsidRPr="00265AA8" w:rsidRDefault="00951133" w:rsidP="00ED2DE6">
      <w:pPr>
        <w:ind w:left="709"/>
        <w:jc w:val="both"/>
        <w:rPr>
          <w:szCs w:val="24"/>
        </w:rPr>
      </w:pPr>
    </w:p>
    <w:p w:rsidR="00265AA8" w:rsidRDefault="00265AA8" w:rsidP="00ED2DE6">
      <w:pPr>
        <w:ind w:left="709"/>
        <w:jc w:val="both"/>
        <w:rPr>
          <w:szCs w:val="24"/>
        </w:rPr>
      </w:pPr>
      <w:r w:rsidRPr="00265AA8">
        <w:rPr>
          <w:szCs w:val="24"/>
        </w:rPr>
        <w:t>22.5</w:t>
      </w:r>
      <w:r w:rsidRPr="00265AA8">
        <w:rPr>
          <w:szCs w:val="24"/>
        </w:rPr>
        <w:tab/>
        <w:t xml:space="preserve">The full and comprehensive list of payments made to the </w:t>
      </w:r>
      <w:r w:rsidR="00ED2DE6">
        <w:rPr>
          <w:szCs w:val="24"/>
        </w:rPr>
        <w:t>r</w:t>
      </w:r>
      <w:r w:rsidRPr="00265AA8">
        <w:rPr>
          <w:szCs w:val="24"/>
        </w:rPr>
        <w:t xml:space="preserve">espondent appears on </w:t>
      </w:r>
      <w:r w:rsidR="00B3091A">
        <w:rPr>
          <w:szCs w:val="24"/>
        </w:rPr>
        <w:t>a</w:t>
      </w:r>
      <w:r w:rsidRPr="00265AA8">
        <w:rPr>
          <w:szCs w:val="24"/>
        </w:rPr>
        <w:t>nnexure FA 24.</w:t>
      </w:r>
    </w:p>
    <w:p w:rsidR="00951133" w:rsidRPr="00265AA8" w:rsidRDefault="00951133" w:rsidP="00ED2DE6">
      <w:pPr>
        <w:ind w:left="709"/>
        <w:jc w:val="both"/>
        <w:rPr>
          <w:szCs w:val="24"/>
        </w:rPr>
      </w:pPr>
    </w:p>
    <w:p w:rsidR="00265AA8" w:rsidRDefault="00265AA8" w:rsidP="00265AA8">
      <w:pPr>
        <w:jc w:val="both"/>
        <w:rPr>
          <w:szCs w:val="24"/>
        </w:rPr>
      </w:pPr>
      <w:r w:rsidRPr="00265AA8">
        <w:rPr>
          <w:szCs w:val="24"/>
        </w:rPr>
        <w:t>[</w:t>
      </w:r>
      <w:r w:rsidR="004A3CB6">
        <w:rPr>
          <w:szCs w:val="24"/>
        </w:rPr>
        <w:t>4</w:t>
      </w:r>
      <w:r w:rsidR="00127B6B">
        <w:rPr>
          <w:szCs w:val="24"/>
        </w:rPr>
        <w:t>4</w:t>
      </w:r>
      <w:r w:rsidRPr="00265AA8">
        <w:rPr>
          <w:szCs w:val="24"/>
        </w:rPr>
        <w:t>]</w:t>
      </w:r>
      <w:r w:rsidRPr="00265AA8">
        <w:rPr>
          <w:szCs w:val="24"/>
        </w:rPr>
        <w:tab/>
        <w:t xml:space="preserve">In his </w:t>
      </w:r>
      <w:r w:rsidR="00EF196C">
        <w:rPr>
          <w:szCs w:val="24"/>
        </w:rPr>
        <w:t>a</w:t>
      </w:r>
      <w:r w:rsidRPr="00265AA8">
        <w:rPr>
          <w:szCs w:val="24"/>
        </w:rPr>
        <w:t xml:space="preserve">nswering </w:t>
      </w:r>
      <w:r w:rsidR="00EF196C">
        <w:rPr>
          <w:szCs w:val="24"/>
        </w:rPr>
        <w:t>a</w:t>
      </w:r>
      <w:r w:rsidRPr="00265AA8">
        <w:rPr>
          <w:szCs w:val="24"/>
        </w:rPr>
        <w:t>ffidavit</w:t>
      </w:r>
      <w:r w:rsidR="00EF196C">
        <w:rPr>
          <w:szCs w:val="24"/>
        </w:rPr>
        <w:t xml:space="preserve"> the respondent</w:t>
      </w:r>
      <w:r w:rsidRPr="00265AA8">
        <w:rPr>
          <w:szCs w:val="24"/>
        </w:rPr>
        <w:t xml:space="preserve"> does not deny having received payments as set out in Annexure FA 24. He however denies that all the amounts that appear an Annexure FA 24 were authorised by the office of the State Attorney.  He does not tell the Court then who could have done so if it was not the State Attorneys</w:t>
      </w:r>
      <w:r w:rsidR="00EF196C">
        <w:rPr>
          <w:szCs w:val="24"/>
        </w:rPr>
        <w:t>,</w:t>
      </w:r>
      <w:r w:rsidRPr="00265AA8">
        <w:rPr>
          <w:szCs w:val="24"/>
        </w:rPr>
        <w:t xml:space="preserve"> who were his </w:t>
      </w:r>
      <w:r w:rsidR="00D06EE1">
        <w:rPr>
          <w:szCs w:val="24"/>
        </w:rPr>
        <w:t>instructing attorneys</w:t>
      </w:r>
      <w:r w:rsidRPr="00265AA8">
        <w:rPr>
          <w:szCs w:val="24"/>
        </w:rPr>
        <w:t>.</w:t>
      </w:r>
    </w:p>
    <w:p w:rsidR="00951133" w:rsidRPr="00265AA8" w:rsidRDefault="00951133" w:rsidP="00265AA8">
      <w:pPr>
        <w:jc w:val="both"/>
        <w:rPr>
          <w:szCs w:val="24"/>
        </w:rPr>
      </w:pPr>
    </w:p>
    <w:p w:rsidR="00951133" w:rsidRDefault="00265AA8" w:rsidP="00265AA8">
      <w:pPr>
        <w:jc w:val="both"/>
        <w:rPr>
          <w:szCs w:val="24"/>
        </w:rPr>
      </w:pPr>
      <w:r w:rsidRPr="00265AA8">
        <w:rPr>
          <w:szCs w:val="24"/>
        </w:rPr>
        <w:t>[</w:t>
      </w:r>
      <w:r w:rsidR="004A3CB6">
        <w:rPr>
          <w:szCs w:val="24"/>
        </w:rPr>
        <w:t>4</w:t>
      </w:r>
      <w:r w:rsidR="00127B6B">
        <w:rPr>
          <w:szCs w:val="24"/>
        </w:rPr>
        <w:t>5</w:t>
      </w:r>
      <w:r w:rsidRPr="00265AA8">
        <w:rPr>
          <w:szCs w:val="24"/>
        </w:rPr>
        <w:t>]</w:t>
      </w:r>
      <w:r w:rsidRPr="00265AA8">
        <w:rPr>
          <w:szCs w:val="24"/>
        </w:rPr>
        <w:tab/>
        <w:t xml:space="preserve">The </w:t>
      </w:r>
      <w:r w:rsidR="00ED2DE6">
        <w:rPr>
          <w:szCs w:val="24"/>
        </w:rPr>
        <w:t>r</w:t>
      </w:r>
      <w:r w:rsidRPr="00265AA8">
        <w:rPr>
          <w:szCs w:val="24"/>
        </w:rPr>
        <w:t>espondent continues on this trajectory of denial without su</w:t>
      </w:r>
      <w:r w:rsidR="00F44FB4">
        <w:rPr>
          <w:szCs w:val="24"/>
        </w:rPr>
        <w:t>bstantiating facts</w:t>
      </w:r>
      <w:r w:rsidRPr="00265AA8">
        <w:rPr>
          <w:szCs w:val="24"/>
        </w:rPr>
        <w:t xml:space="preserve"> when he says that the allegations still had to be proved in the rescission application under case number 25544/2018.  The position is that the judgment by Keightley</w:t>
      </w:r>
      <w:r w:rsidR="00F44FB4">
        <w:rPr>
          <w:szCs w:val="24"/>
        </w:rPr>
        <w:t xml:space="preserve"> J</w:t>
      </w:r>
      <w:r w:rsidRPr="00265AA8">
        <w:rPr>
          <w:szCs w:val="24"/>
        </w:rPr>
        <w:t xml:space="preserve"> re-emphasized what Mudau J had already found about the collusive and fraudulent association between Lekabe</w:t>
      </w:r>
      <w:r w:rsidR="00EF196C">
        <w:rPr>
          <w:szCs w:val="24"/>
        </w:rPr>
        <w:t>,</w:t>
      </w:r>
      <w:r w:rsidRPr="00265AA8">
        <w:rPr>
          <w:szCs w:val="24"/>
        </w:rPr>
        <w:t xml:space="preserve"> the State Attorney</w:t>
      </w:r>
      <w:r w:rsidR="00D86BF1">
        <w:rPr>
          <w:szCs w:val="24"/>
        </w:rPr>
        <w:t>,</w:t>
      </w:r>
      <w:r w:rsidRPr="00265AA8">
        <w:rPr>
          <w:szCs w:val="24"/>
        </w:rPr>
        <w:t xml:space="preserve"> and </w:t>
      </w:r>
      <w:r w:rsidR="00EF196C">
        <w:rPr>
          <w:szCs w:val="24"/>
        </w:rPr>
        <w:t>the respondent</w:t>
      </w:r>
      <w:r w:rsidRPr="00265AA8">
        <w:rPr>
          <w:szCs w:val="24"/>
        </w:rPr>
        <w:t>.</w:t>
      </w:r>
    </w:p>
    <w:p w:rsidR="00265AA8" w:rsidRPr="00265AA8" w:rsidRDefault="00265AA8" w:rsidP="00265AA8">
      <w:pPr>
        <w:jc w:val="both"/>
        <w:rPr>
          <w:szCs w:val="24"/>
        </w:rPr>
      </w:pPr>
      <w:r w:rsidRPr="00265AA8">
        <w:rPr>
          <w:szCs w:val="24"/>
        </w:rPr>
        <w:tab/>
        <w:t xml:space="preserve"> </w:t>
      </w:r>
    </w:p>
    <w:p w:rsidR="00265AA8" w:rsidRDefault="00265AA8" w:rsidP="00265AA8">
      <w:pPr>
        <w:jc w:val="both"/>
        <w:rPr>
          <w:szCs w:val="24"/>
        </w:rPr>
      </w:pPr>
      <w:r w:rsidRPr="00265AA8">
        <w:rPr>
          <w:szCs w:val="24"/>
        </w:rPr>
        <w:t>[</w:t>
      </w:r>
      <w:r w:rsidR="004A3CB6">
        <w:rPr>
          <w:szCs w:val="24"/>
        </w:rPr>
        <w:t>4</w:t>
      </w:r>
      <w:r w:rsidR="00127B6B">
        <w:rPr>
          <w:szCs w:val="24"/>
        </w:rPr>
        <w:t>6]</w:t>
      </w:r>
      <w:r w:rsidRPr="00265AA8">
        <w:rPr>
          <w:szCs w:val="24"/>
        </w:rPr>
        <w:tab/>
        <w:t xml:space="preserve">What makes it worse is that the </w:t>
      </w:r>
      <w:r w:rsidR="00ED2DE6">
        <w:rPr>
          <w:szCs w:val="24"/>
        </w:rPr>
        <w:t>r</w:t>
      </w:r>
      <w:r w:rsidRPr="00265AA8">
        <w:rPr>
          <w:szCs w:val="24"/>
        </w:rPr>
        <w:t xml:space="preserve">espondent was requested by the </w:t>
      </w:r>
      <w:r w:rsidR="00EF196C">
        <w:rPr>
          <w:szCs w:val="24"/>
        </w:rPr>
        <w:t>a</w:t>
      </w:r>
      <w:r w:rsidRPr="00265AA8">
        <w:rPr>
          <w:szCs w:val="24"/>
        </w:rPr>
        <w:t>pplicant to submit his fee book and fee notes</w:t>
      </w:r>
      <w:r w:rsidR="00EF196C">
        <w:rPr>
          <w:szCs w:val="24"/>
        </w:rPr>
        <w:t>.</w:t>
      </w:r>
      <w:r w:rsidRPr="00265AA8">
        <w:rPr>
          <w:szCs w:val="24"/>
        </w:rPr>
        <w:t xml:space="preserve"> </w:t>
      </w:r>
      <w:r w:rsidR="00EF196C">
        <w:rPr>
          <w:szCs w:val="24"/>
        </w:rPr>
        <w:t>H</w:t>
      </w:r>
      <w:r w:rsidRPr="00265AA8">
        <w:rPr>
          <w:szCs w:val="24"/>
        </w:rPr>
        <w:t xml:space="preserve">e refused and instead decided to resign. Despite his </w:t>
      </w:r>
      <w:r w:rsidRPr="00265AA8">
        <w:rPr>
          <w:szCs w:val="24"/>
        </w:rPr>
        <w:lastRenderedPageBreak/>
        <w:t>resignation he was ordered by Mokgoathleng J and Modiba J in the urgent suspension application to submit his books to the Bar Council</w:t>
      </w:r>
      <w:r w:rsidR="00EF196C">
        <w:rPr>
          <w:szCs w:val="24"/>
        </w:rPr>
        <w:t>.</w:t>
      </w:r>
      <w:r w:rsidRPr="00265AA8">
        <w:rPr>
          <w:szCs w:val="24"/>
        </w:rPr>
        <w:t xml:space="preserve"> </w:t>
      </w:r>
      <w:r w:rsidR="00EF196C">
        <w:rPr>
          <w:szCs w:val="24"/>
        </w:rPr>
        <w:t>H</w:t>
      </w:r>
      <w:r w:rsidRPr="00265AA8">
        <w:rPr>
          <w:szCs w:val="24"/>
        </w:rPr>
        <w:t>e refused and told the Court that the Bar Council has no jurisdiction</w:t>
      </w:r>
      <w:r w:rsidR="00F44FB4">
        <w:rPr>
          <w:szCs w:val="24"/>
        </w:rPr>
        <w:t xml:space="preserve"> over him.</w:t>
      </w:r>
    </w:p>
    <w:p w:rsidR="00951133" w:rsidRPr="00265AA8" w:rsidRDefault="00951133" w:rsidP="00265AA8">
      <w:pPr>
        <w:jc w:val="both"/>
        <w:rPr>
          <w:szCs w:val="24"/>
        </w:rPr>
      </w:pPr>
    </w:p>
    <w:p w:rsidR="00951133" w:rsidRDefault="00265AA8" w:rsidP="00265AA8">
      <w:pPr>
        <w:jc w:val="both"/>
        <w:rPr>
          <w:szCs w:val="24"/>
        </w:rPr>
      </w:pPr>
      <w:r w:rsidRPr="00265AA8">
        <w:rPr>
          <w:szCs w:val="24"/>
        </w:rPr>
        <w:t>[</w:t>
      </w:r>
      <w:r w:rsidR="004A3CB6">
        <w:rPr>
          <w:szCs w:val="24"/>
        </w:rPr>
        <w:t>4</w:t>
      </w:r>
      <w:r w:rsidR="00127B6B">
        <w:rPr>
          <w:szCs w:val="24"/>
        </w:rPr>
        <w:t>7</w:t>
      </w:r>
      <w:r w:rsidRPr="00265AA8">
        <w:rPr>
          <w:szCs w:val="24"/>
        </w:rPr>
        <w:t>]</w:t>
      </w:r>
      <w:r w:rsidRPr="00265AA8">
        <w:rPr>
          <w:szCs w:val="24"/>
        </w:rPr>
        <w:tab/>
        <w:t>Section 7(1)(d) of the</w:t>
      </w:r>
      <w:r w:rsidR="00D86BF1">
        <w:rPr>
          <w:szCs w:val="24"/>
        </w:rPr>
        <w:t xml:space="preserve"> </w:t>
      </w:r>
      <w:r w:rsidRPr="00265AA8">
        <w:rPr>
          <w:szCs w:val="24"/>
        </w:rPr>
        <w:t>Advocate</w:t>
      </w:r>
      <w:r w:rsidR="00D86BF1">
        <w:rPr>
          <w:szCs w:val="24"/>
        </w:rPr>
        <w:t>s</w:t>
      </w:r>
      <w:r w:rsidRPr="00265AA8">
        <w:rPr>
          <w:szCs w:val="24"/>
        </w:rPr>
        <w:t xml:space="preserve"> Act allows a Court to suspend any person from practice as an advocate or to order that his or her name be struck off the roll of </w:t>
      </w:r>
      <w:r w:rsidR="00D86BF1">
        <w:rPr>
          <w:szCs w:val="24"/>
        </w:rPr>
        <w:t>a</w:t>
      </w:r>
      <w:r w:rsidRPr="00265AA8">
        <w:rPr>
          <w:szCs w:val="24"/>
        </w:rPr>
        <w:t xml:space="preserve">dvocates if the Court is satisfied that he or she is not a fit and proper person to continue to practice as an </w:t>
      </w:r>
      <w:r w:rsidR="00D86BF1">
        <w:rPr>
          <w:szCs w:val="24"/>
        </w:rPr>
        <w:t>a</w:t>
      </w:r>
      <w:r w:rsidRPr="00265AA8">
        <w:rPr>
          <w:szCs w:val="24"/>
        </w:rPr>
        <w:t>dvocate.  Nugent JA</w:t>
      </w:r>
      <w:r w:rsidR="00D86BF1">
        <w:rPr>
          <w:szCs w:val="24"/>
        </w:rPr>
        <w:t>,</w:t>
      </w:r>
      <w:r w:rsidRPr="00265AA8">
        <w:rPr>
          <w:szCs w:val="24"/>
        </w:rPr>
        <w:t xml:space="preserve"> in </w:t>
      </w:r>
      <w:r w:rsidRPr="00034D6B">
        <w:rPr>
          <w:i/>
          <w:iCs/>
          <w:szCs w:val="24"/>
        </w:rPr>
        <w:t>General Council of the Bar of SA v Geach and Others</w:t>
      </w:r>
      <w:r w:rsidR="00D86BF1">
        <w:rPr>
          <w:i/>
          <w:iCs/>
          <w:szCs w:val="24"/>
        </w:rPr>
        <w:t>,</w:t>
      </w:r>
      <w:r w:rsidR="00034D6B">
        <w:rPr>
          <w:rStyle w:val="FootnoteReference"/>
          <w:i/>
          <w:iCs/>
          <w:szCs w:val="24"/>
        </w:rPr>
        <w:footnoteReference w:id="26"/>
      </w:r>
      <w:r w:rsidRPr="00265AA8">
        <w:rPr>
          <w:szCs w:val="24"/>
        </w:rPr>
        <w:t xml:space="preserve"> writes as follows: </w:t>
      </w:r>
      <w:r w:rsidRPr="00265AA8">
        <w:rPr>
          <w:szCs w:val="24"/>
        </w:rPr>
        <w:tab/>
      </w:r>
    </w:p>
    <w:p w:rsidR="00265AA8" w:rsidRPr="00265AA8" w:rsidRDefault="00265AA8" w:rsidP="00265AA8">
      <w:pPr>
        <w:jc w:val="both"/>
        <w:rPr>
          <w:szCs w:val="24"/>
        </w:rPr>
      </w:pPr>
      <w:r w:rsidRPr="00265AA8">
        <w:rPr>
          <w:szCs w:val="24"/>
        </w:rPr>
        <w:t xml:space="preserve"> </w:t>
      </w:r>
    </w:p>
    <w:p w:rsidR="00265AA8" w:rsidRDefault="00265AA8" w:rsidP="00787279">
      <w:pPr>
        <w:ind w:left="709"/>
        <w:jc w:val="both"/>
        <w:rPr>
          <w:sz w:val="22"/>
          <w:szCs w:val="22"/>
        </w:rPr>
      </w:pPr>
      <w:r w:rsidRPr="00787279">
        <w:rPr>
          <w:sz w:val="22"/>
          <w:szCs w:val="22"/>
        </w:rPr>
        <w:tab/>
        <w:t>“It is trite that there are three steps in the enquiry whether such action should be taken.  In Malan and Another v Law Society</w:t>
      </w:r>
      <w:r w:rsidR="002E44FD">
        <w:rPr>
          <w:sz w:val="22"/>
          <w:szCs w:val="22"/>
        </w:rPr>
        <w:t>,</w:t>
      </w:r>
      <w:r w:rsidRPr="00787279">
        <w:rPr>
          <w:sz w:val="22"/>
          <w:szCs w:val="22"/>
        </w:rPr>
        <w:t xml:space="preserve"> Northern Provinces this court said</w:t>
      </w:r>
      <w:r w:rsidR="002E44FD">
        <w:rPr>
          <w:sz w:val="22"/>
          <w:szCs w:val="22"/>
        </w:rPr>
        <w:t>,</w:t>
      </w:r>
      <w:r w:rsidRPr="00787279">
        <w:rPr>
          <w:sz w:val="22"/>
          <w:szCs w:val="22"/>
        </w:rPr>
        <w:t xml:space="preserve"> in the context of the comparable provision of the Attorneys Act</w:t>
      </w:r>
      <w:r w:rsidR="00091D84" w:rsidRPr="00787279">
        <w:rPr>
          <w:rStyle w:val="FootnoteReference"/>
          <w:sz w:val="22"/>
          <w:szCs w:val="22"/>
        </w:rPr>
        <w:footnoteReference w:id="27"/>
      </w:r>
      <w:r w:rsidRPr="00787279">
        <w:rPr>
          <w:sz w:val="22"/>
          <w:szCs w:val="22"/>
        </w:rPr>
        <w:t xml:space="preserve"> relying upon what has been said to similar effect in </w:t>
      </w:r>
      <w:r w:rsidRPr="004A108A">
        <w:rPr>
          <w:i/>
          <w:iCs/>
          <w:sz w:val="22"/>
          <w:szCs w:val="22"/>
        </w:rPr>
        <w:t>Jassat v Natal Law Society</w:t>
      </w:r>
      <w:r w:rsidRPr="00787279">
        <w:rPr>
          <w:sz w:val="22"/>
          <w:szCs w:val="22"/>
        </w:rPr>
        <w:t>:</w:t>
      </w:r>
    </w:p>
    <w:p w:rsidR="00951133" w:rsidRPr="00787279" w:rsidRDefault="00951133" w:rsidP="00787279">
      <w:pPr>
        <w:ind w:left="709"/>
        <w:jc w:val="both"/>
        <w:rPr>
          <w:sz w:val="22"/>
          <w:szCs w:val="22"/>
        </w:rPr>
      </w:pPr>
    </w:p>
    <w:p w:rsidR="00265AA8" w:rsidRPr="00787279" w:rsidRDefault="002E44FD" w:rsidP="002E44FD">
      <w:pPr>
        <w:ind w:left="1418"/>
        <w:jc w:val="both"/>
        <w:rPr>
          <w:sz w:val="22"/>
          <w:szCs w:val="22"/>
        </w:rPr>
      </w:pPr>
      <w:r>
        <w:rPr>
          <w:sz w:val="22"/>
          <w:szCs w:val="22"/>
        </w:rPr>
        <w:t>‘</w:t>
      </w:r>
      <w:r w:rsidR="00265AA8" w:rsidRPr="00787279">
        <w:rPr>
          <w:sz w:val="22"/>
          <w:szCs w:val="22"/>
        </w:rPr>
        <w:t>First</w:t>
      </w:r>
      <w:r w:rsidR="004A108A">
        <w:rPr>
          <w:sz w:val="22"/>
          <w:szCs w:val="22"/>
        </w:rPr>
        <w:t>,</w:t>
      </w:r>
      <w:r w:rsidR="00265AA8" w:rsidRPr="00787279">
        <w:rPr>
          <w:sz w:val="22"/>
          <w:szCs w:val="22"/>
        </w:rPr>
        <w:t xml:space="preserve"> the </w:t>
      </w:r>
      <w:r w:rsidR="004A108A">
        <w:rPr>
          <w:sz w:val="22"/>
          <w:szCs w:val="22"/>
        </w:rPr>
        <w:t>c</w:t>
      </w:r>
      <w:r w:rsidR="00265AA8" w:rsidRPr="00787279">
        <w:rPr>
          <w:sz w:val="22"/>
          <w:szCs w:val="22"/>
        </w:rPr>
        <w:t>ourt must decide whether the alleged offending conduct has been established on a preponderance of probabilities</w:t>
      </w:r>
      <w:r w:rsidR="004A108A">
        <w:rPr>
          <w:sz w:val="22"/>
          <w:szCs w:val="22"/>
        </w:rPr>
        <w:t>,</w:t>
      </w:r>
      <w:r w:rsidR="00265AA8" w:rsidRPr="00787279">
        <w:rPr>
          <w:sz w:val="22"/>
          <w:szCs w:val="22"/>
        </w:rPr>
        <w:t xml:space="preserve"> which is a factual enquiry.</w:t>
      </w:r>
    </w:p>
    <w:p w:rsidR="00265AA8" w:rsidRPr="00787279" w:rsidRDefault="00265AA8" w:rsidP="002E44FD">
      <w:pPr>
        <w:ind w:left="1418"/>
        <w:jc w:val="both"/>
        <w:rPr>
          <w:sz w:val="22"/>
          <w:szCs w:val="22"/>
        </w:rPr>
      </w:pPr>
      <w:r w:rsidRPr="00787279">
        <w:rPr>
          <w:sz w:val="22"/>
          <w:szCs w:val="22"/>
        </w:rPr>
        <w:t>Second</w:t>
      </w:r>
      <w:r w:rsidR="004A108A">
        <w:rPr>
          <w:sz w:val="22"/>
          <w:szCs w:val="22"/>
        </w:rPr>
        <w:t>,</w:t>
      </w:r>
      <w:r w:rsidRPr="00787279">
        <w:rPr>
          <w:sz w:val="22"/>
          <w:szCs w:val="22"/>
        </w:rPr>
        <w:t xml:space="preserve"> it must consider whether the person concerned in the discretion of the </w:t>
      </w:r>
      <w:r w:rsidR="004A108A">
        <w:rPr>
          <w:sz w:val="22"/>
          <w:szCs w:val="22"/>
        </w:rPr>
        <w:t>c</w:t>
      </w:r>
      <w:r w:rsidRPr="00787279">
        <w:rPr>
          <w:sz w:val="22"/>
          <w:szCs w:val="22"/>
        </w:rPr>
        <w:t>ourt is not a fit and proper person to continue to practi</w:t>
      </w:r>
      <w:r w:rsidR="004A108A">
        <w:rPr>
          <w:sz w:val="22"/>
          <w:szCs w:val="22"/>
        </w:rPr>
        <w:t>s</w:t>
      </w:r>
      <w:r w:rsidRPr="00787279">
        <w:rPr>
          <w:sz w:val="22"/>
          <w:szCs w:val="22"/>
        </w:rPr>
        <w:t>e. This invoices a weighing up of the conduct complained of against the conduct expected of an attorney</w:t>
      </w:r>
      <w:r w:rsidR="004A108A">
        <w:rPr>
          <w:sz w:val="22"/>
          <w:szCs w:val="22"/>
        </w:rPr>
        <w:t>,</w:t>
      </w:r>
      <w:r w:rsidRPr="00787279">
        <w:rPr>
          <w:sz w:val="22"/>
          <w:szCs w:val="22"/>
        </w:rPr>
        <w:t xml:space="preserve"> and to this extent</w:t>
      </w:r>
      <w:r w:rsidR="004A108A">
        <w:rPr>
          <w:sz w:val="22"/>
          <w:szCs w:val="22"/>
        </w:rPr>
        <w:t>,</w:t>
      </w:r>
      <w:r w:rsidRPr="00787279">
        <w:rPr>
          <w:sz w:val="22"/>
          <w:szCs w:val="22"/>
        </w:rPr>
        <w:t xml:space="preserve"> is a value judgement. </w:t>
      </w:r>
    </w:p>
    <w:p w:rsidR="00265AA8" w:rsidRDefault="004A108A" w:rsidP="002E44FD">
      <w:pPr>
        <w:ind w:left="1418"/>
        <w:jc w:val="both"/>
        <w:rPr>
          <w:sz w:val="22"/>
          <w:szCs w:val="22"/>
        </w:rPr>
      </w:pPr>
      <w:r>
        <w:rPr>
          <w:sz w:val="22"/>
          <w:szCs w:val="22"/>
        </w:rPr>
        <w:t>And t</w:t>
      </w:r>
      <w:r w:rsidR="00265AA8" w:rsidRPr="00787279">
        <w:rPr>
          <w:sz w:val="22"/>
          <w:szCs w:val="22"/>
        </w:rPr>
        <w:t>hird</w:t>
      </w:r>
      <w:r>
        <w:rPr>
          <w:sz w:val="22"/>
          <w:szCs w:val="22"/>
        </w:rPr>
        <w:t>,</w:t>
      </w:r>
      <w:r w:rsidR="00265AA8" w:rsidRPr="00787279">
        <w:rPr>
          <w:sz w:val="22"/>
          <w:szCs w:val="22"/>
        </w:rPr>
        <w:t xml:space="preserve"> the </w:t>
      </w:r>
      <w:r>
        <w:rPr>
          <w:sz w:val="22"/>
          <w:szCs w:val="22"/>
        </w:rPr>
        <w:t>c</w:t>
      </w:r>
      <w:r w:rsidR="00265AA8" w:rsidRPr="00787279">
        <w:rPr>
          <w:sz w:val="22"/>
          <w:szCs w:val="22"/>
        </w:rPr>
        <w:t>ourt must enquire whether in all the circumstances the person in question is to be removed from the roll of attorneys or whether an order of suspension from practice would suffice.</w:t>
      </w:r>
      <w:r>
        <w:rPr>
          <w:sz w:val="22"/>
          <w:szCs w:val="22"/>
        </w:rPr>
        <w:t>’</w:t>
      </w:r>
      <w:r w:rsidR="00265AA8" w:rsidRPr="00787279">
        <w:rPr>
          <w:sz w:val="22"/>
          <w:szCs w:val="22"/>
        </w:rPr>
        <w:t>”</w:t>
      </w:r>
    </w:p>
    <w:p w:rsidR="00951133" w:rsidRPr="00787279" w:rsidRDefault="00951133" w:rsidP="002E44FD">
      <w:pPr>
        <w:ind w:left="1418"/>
        <w:jc w:val="both"/>
        <w:rPr>
          <w:sz w:val="22"/>
          <w:szCs w:val="22"/>
        </w:rPr>
      </w:pPr>
    </w:p>
    <w:p w:rsidR="00265AA8" w:rsidRDefault="00265AA8" w:rsidP="00265AA8">
      <w:pPr>
        <w:jc w:val="both"/>
        <w:rPr>
          <w:szCs w:val="24"/>
        </w:rPr>
      </w:pPr>
      <w:r w:rsidRPr="00265AA8">
        <w:rPr>
          <w:szCs w:val="24"/>
        </w:rPr>
        <w:t>[</w:t>
      </w:r>
      <w:r w:rsidR="004A3CB6">
        <w:rPr>
          <w:szCs w:val="24"/>
        </w:rPr>
        <w:t>4</w:t>
      </w:r>
      <w:r w:rsidR="00127B6B">
        <w:rPr>
          <w:szCs w:val="24"/>
        </w:rPr>
        <w:t>8</w:t>
      </w:r>
      <w:r w:rsidRPr="00265AA8">
        <w:rPr>
          <w:szCs w:val="24"/>
        </w:rPr>
        <w:t>]</w:t>
      </w:r>
      <w:r w:rsidRPr="00265AA8">
        <w:rPr>
          <w:szCs w:val="24"/>
        </w:rPr>
        <w:tab/>
        <w:t xml:space="preserve">In </w:t>
      </w:r>
      <w:r w:rsidRPr="00DB0861">
        <w:rPr>
          <w:i/>
          <w:iCs/>
          <w:szCs w:val="24"/>
        </w:rPr>
        <w:t>Johannesburg Society of Advocates and Another v Nthai and Others</w:t>
      </w:r>
      <w:r w:rsidR="00DB0861">
        <w:rPr>
          <w:rStyle w:val="FootnoteReference"/>
          <w:i/>
          <w:iCs/>
          <w:szCs w:val="24"/>
        </w:rPr>
        <w:footnoteReference w:id="28"/>
      </w:r>
      <w:r w:rsidRPr="00265AA8">
        <w:rPr>
          <w:szCs w:val="24"/>
        </w:rPr>
        <w:t xml:space="preserve">  Ponnan JA</w:t>
      </w:r>
      <w:r w:rsidR="00AD1CFA">
        <w:rPr>
          <w:szCs w:val="24"/>
        </w:rPr>
        <w:t>,</w:t>
      </w:r>
      <w:r w:rsidRPr="00265AA8">
        <w:rPr>
          <w:szCs w:val="24"/>
        </w:rPr>
        <w:t xml:space="preserve"> writing for the Court, reiterated that:</w:t>
      </w:r>
    </w:p>
    <w:p w:rsidR="00951133" w:rsidRPr="00265AA8" w:rsidRDefault="00951133" w:rsidP="00265AA8">
      <w:pPr>
        <w:jc w:val="both"/>
        <w:rPr>
          <w:szCs w:val="24"/>
        </w:rPr>
      </w:pPr>
    </w:p>
    <w:p w:rsidR="00265AA8" w:rsidRPr="00265AA8" w:rsidRDefault="00265AA8" w:rsidP="00854C49">
      <w:pPr>
        <w:ind w:left="709"/>
        <w:jc w:val="both"/>
        <w:rPr>
          <w:szCs w:val="24"/>
        </w:rPr>
      </w:pPr>
      <w:r w:rsidRPr="00265AA8">
        <w:rPr>
          <w:szCs w:val="24"/>
        </w:rPr>
        <w:t>-</w:t>
      </w:r>
      <w:r w:rsidRPr="00265AA8">
        <w:rPr>
          <w:szCs w:val="24"/>
        </w:rPr>
        <w:tab/>
        <w:t>Advocates are required to be of complete honesty, reliability and integrity</w:t>
      </w:r>
      <w:r w:rsidR="00C603F2">
        <w:rPr>
          <w:szCs w:val="24"/>
        </w:rPr>
        <w:t>;</w:t>
      </w:r>
    </w:p>
    <w:p w:rsidR="00265AA8" w:rsidRPr="00265AA8" w:rsidRDefault="00265AA8" w:rsidP="00AF360F">
      <w:pPr>
        <w:ind w:left="1418" w:hanging="709"/>
        <w:jc w:val="both"/>
        <w:rPr>
          <w:szCs w:val="24"/>
        </w:rPr>
      </w:pPr>
      <w:r w:rsidRPr="00265AA8">
        <w:rPr>
          <w:szCs w:val="24"/>
        </w:rPr>
        <w:t>-</w:t>
      </w:r>
      <w:r w:rsidRPr="00265AA8">
        <w:rPr>
          <w:szCs w:val="24"/>
        </w:rPr>
        <w:tab/>
        <w:t>The need for absolute honesty and integrity applies both in relation to the duties owed to their clients as well as to the Court</w:t>
      </w:r>
      <w:r w:rsidR="00C603F2">
        <w:rPr>
          <w:szCs w:val="24"/>
        </w:rPr>
        <w:t>;</w:t>
      </w:r>
    </w:p>
    <w:p w:rsidR="00265AA8" w:rsidRPr="00265AA8" w:rsidRDefault="00265AA8" w:rsidP="00854C49">
      <w:pPr>
        <w:ind w:left="709"/>
        <w:jc w:val="both"/>
        <w:rPr>
          <w:szCs w:val="24"/>
        </w:rPr>
      </w:pPr>
      <w:r w:rsidRPr="00265AA8">
        <w:rPr>
          <w:szCs w:val="24"/>
        </w:rPr>
        <w:t>-</w:t>
      </w:r>
      <w:r w:rsidRPr="00265AA8">
        <w:rPr>
          <w:szCs w:val="24"/>
        </w:rPr>
        <w:tab/>
        <w:t>The profession has strict ethical rules to protect malfeasance</w:t>
      </w:r>
      <w:r w:rsidR="00C603F2">
        <w:rPr>
          <w:szCs w:val="24"/>
        </w:rPr>
        <w:t>;</w:t>
      </w:r>
    </w:p>
    <w:p w:rsidR="00265AA8" w:rsidRDefault="00265AA8" w:rsidP="00F8089C">
      <w:pPr>
        <w:ind w:left="1418" w:hanging="709"/>
        <w:jc w:val="both"/>
        <w:rPr>
          <w:szCs w:val="24"/>
        </w:rPr>
      </w:pPr>
      <w:r w:rsidRPr="00265AA8">
        <w:rPr>
          <w:szCs w:val="24"/>
        </w:rPr>
        <w:t>-</w:t>
      </w:r>
      <w:r w:rsidRPr="00265AA8">
        <w:rPr>
          <w:szCs w:val="24"/>
        </w:rPr>
        <w:tab/>
        <w:t xml:space="preserve">Officers of the Court like </w:t>
      </w:r>
      <w:r w:rsidR="00D86BF1">
        <w:rPr>
          <w:szCs w:val="24"/>
        </w:rPr>
        <w:t>a</w:t>
      </w:r>
      <w:r w:rsidRPr="00265AA8">
        <w:rPr>
          <w:szCs w:val="24"/>
        </w:rPr>
        <w:t>dvocate</w:t>
      </w:r>
      <w:r w:rsidR="00D86BF1">
        <w:rPr>
          <w:szCs w:val="24"/>
        </w:rPr>
        <w:t>s</w:t>
      </w:r>
      <w:r w:rsidRPr="00265AA8">
        <w:rPr>
          <w:szCs w:val="24"/>
        </w:rPr>
        <w:t xml:space="preserve"> serve a necessary role in the proper administration of justice and given the unique position that they occupy the profession has strict ethical rules.</w:t>
      </w:r>
    </w:p>
    <w:p w:rsidR="00951133" w:rsidRPr="00265AA8" w:rsidRDefault="00951133" w:rsidP="00F8089C">
      <w:pPr>
        <w:ind w:left="1418" w:hanging="709"/>
        <w:jc w:val="both"/>
        <w:rPr>
          <w:szCs w:val="24"/>
        </w:rPr>
      </w:pPr>
    </w:p>
    <w:p w:rsidR="00265AA8" w:rsidRDefault="00265AA8" w:rsidP="00265AA8">
      <w:pPr>
        <w:jc w:val="both"/>
        <w:rPr>
          <w:szCs w:val="24"/>
        </w:rPr>
      </w:pPr>
      <w:r w:rsidRPr="00265AA8">
        <w:rPr>
          <w:szCs w:val="24"/>
        </w:rPr>
        <w:t>[</w:t>
      </w:r>
      <w:r w:rsidR="0057287E">
        <w:rPr>
          <w:szCs w:val="24"/>
        </w:rPr>
        <w:t>4</w:t>
      </w:r>
      <w:r w:rsidR="00127B6B">
        <w:rPr>
          <w:szCs w:val="24"/>
        </w:rPr>
        <w:t>9</w:t>
      </w:r>
      <w:r w:rsidRPr="00265AA8">
        <w:rPr>
          <w:szCs w:val="24"/>
        </w:rPr>
        <w:t>]</w:t>
      </w:r>
      <w:r w:rsidRPr="00265AA8">
        <w:rPr>
          <w:szCs w:val="24"/>
        </w:rPr>
        <w:tab/>
        <w:t xml:space="preserve">In </w:t>
      </w:r>
      <w:r w:rsidRPr="00854C49">
        <w:rPr>
          <w:i/>
          <w:iCs/>
          <w:szCs w:val="24"/>
        </w:rPr>
        <w:t>Van der Berg vs General Council of the Bar of SA</w:t>
      </w:r>
      <w:r w:rsidR="00854C49">
        <w:rPr>
          <w:rStyle w:val="FootnoteReference"/>
          <w:szCs w:val="24"/>
        </w:rPr>
        <w:footnoteReference w:id="29"/>
      </w:r>
      <w:r w:rsidRPr="00265AA8">
        <w:rPr>
          <w:szCs w:val="24"/>
        </w:rPr>
        <w:t xml:space="preserve">  it was held that:</w:t>
      </w:r>
    </w:p>
    <w:p w:rsidR="00951133" w:rsidRPr="00265AA8" w:rsidRDefault="00951133" w:rsidP="00265AA8">
      <w:pPr>
        <w:jc w:val="both"/>
        <w:rPr>
          <w:szCs w:val="24"/>
        </w:rPr>
      </w:pPr>
    </w:p>
    <w:p w:rsidR="00265AA8" w:rsidRDefault="00265AA8" w:rsidP="00854C49">
      <w:pPr>
        <w:ind w:left="709"/>
        <w:jc w:val="both"/>
        <w:rPr>
          <w:sz w:val="22"/>
          <w:szCs w:val="22"/>
        </w:rPr>
      </w:pPr>
      <w:r w:rsidRPr="00854C49">
        <w:rPr>
          <w:sz w:val="22"/>
          <w:szCs w:val="22"/>
        </w:rPr>
        <w:t>“</w:t>
      </w:r>
      <w:r w:rsidR="00AD1CFA">
        <w:rPr>
          <w:sz w:val="22"/>
          <w:szCs w:val="22"/>
        </w:rPr>
        <w:t xml:space="preserve">. . . </w:t>
      </w:r>
      <w:r w:rsidRPr="00854C49">
        <w:rPr>
          <w:sz w:val="22"/>
          <w:szCs w:val="22"/>
        </w:rPr>
        <w:t xml:space="preserve">The enquiry before a Court that is called upon to exercise its disciplinary powers is not what constitutes an appropriate punishment for a past transgression but rather what is required for the protection of the public in the future.  Some cases will require nothing less than the removal of the advocate from the roll forthwith.  In other cases, where a </w:t>
      </w:r>
      <w:r w:rsidR="00EF3549">
        <w:rPr>
          <w:sz w:val="22"/>
          <w:szCs w:val="22"/>
        </w:rPr>
        <w:t>c</w:t>
      </w:r>
      <w:r w:rsidRPr="00854C49">
        <w:rPr>
          <w:sz w:val="22"/>
          <w:szCs w:val="22"/>
        </w:rPr>
        <w:t>ourt is satisfied that a period of suspension will be sufficient</w:t>
      </w:r>
      <w:r w:rsidR="00EF3549">
        <w:rPr>
          <w:sz w:val="22"/>
          <w:szCs w:val="22"/>
        </w:rPr>
        <w:t>ly</w:t>
      </w:r>
      <w:r w:rsidRPr="00854C49">
        <w:rPr>
          <w:sz w:val="22"/>
          <w:szCs w:val="22"/>
        </w:rPr>
        <w:t xml:space="preserve"> corrective to avoid a re-occurrence</w:t>
      </w:r>
      <w:r w:rsidR="00EF3549">
        <w:rPr>
          <w:sz w:val="22"/>
          <w:szCs w:val="22"/>
        </w:rPr>
        <w:t>,</w:t>
      </w:r>
      <w:r w:rsidRPr="00854C49">
        <w:rPr>
          <w:sz w:val="22"/>
          <w:szCs w:val="22"/>
        </w:rPr>
        <w:t xml:space="preserve"> an order of suspension might suffice.”</w:t>
      </w:r>
    </w:p>
    <w:p w:rsidR="00951133" w:rsidRPr="00854C49" w:rsidRDefault="00951133" w:rsidP="00854C49">
      <w:pPr>
        <w:ind w:left="709"/>
        <w:jc w:val="both"/>
        <w:rPr>
          <w:sz w:val="22"/>
          <w:szCs w:val="22"/>
        </w:rPr>
      </w:pPr>
    </w:p>
    <w:p w:rsidR="00265AA8" w:rsidRDefault="00265AA8" w:rsidP="00265AA8">
      <w:pPr>
        <w:jc w:val="both"/>
        <w:rPr>
          <w:szCs w:val="24"/>
          <w:u w:val="single"/>
        </w:rPr>
      </w:pPr>
      <w:r w:rsidRPr="00013E9C">
        <w:rPr>
          <w:szCs w:val="24"/>
          <w:u w:val="single"/>
        </w:rPr>
        <w:t>DOES THE CONDUCT OF THE RESPONDENT AMOUNT TO A</w:t>
      </w:r>
      <w:r w:rsidR="00765AF1">
        <w:rPr>
          <w:szCs w:val="24"/>
          <w:u w:val="single"/>
        </w:rPr>
        <w:t xml:space="preserve"> JUSTIFIED</w:t>
      </w:r>
      <w:r w:rsidRPr="00013E9C">
        <w:rPr>
          <w:szCs w:val="24"/>
          <w:u w:val="single"/>
        </w:rPr>
        <w:t xml:space="preserve"> STRIKING </w:t>
      </w:r>
      <w:r w:rsidR="00907EFC">
        <w:rPr>
          <w:szCs w:val="24"/>
          <w:u w:val="single"/>
        </w:rPr>
        <w:t xml:space="preserve">FROM </w:t>
      </w:r>
      <w:r w:rsidRPr="00013E9C">
        <w:rPr>
          <w:szCs w:val="24"/>
          <w:u w:val="single"/>
        </w:rPr>
        <w:t>THE ROLL?</w:t>
      </w:r>
    </w:p>
    <w:p w:rsidR="004F2A27" w:rsidRPr="00013E9C" w:rsidRDefault="004F2A27" w:rsidP="00265AA8">
      <w:pPr>
        <w:jc w:val="both"/>
        <w:rPr>
          <w:szCs w:val="24"/>
          <w:u w:val="single"/>
        </w:rPr>
      </w:pPr>
    </w:p>
    <w:p w:rsidR="00265AA8" w:rsidRDefault="00265AA8" w:rsidP="00265AA8">
      <w:pPr>
        <w:jc w:val="both"/>
        <w:rPr>
          <w:szCs w:val="24"/>
        </w:rPr>
      </w:pPr>
      <w:r w:rsidRPr="00265AA8">
        <w:rPr>
          <w:szCs w:val="24"/>
        </w:rPr>
        <w:t>[</w:t>
      </w:r>
      <w:r w:rsidR="00127B6B">
        <w:rPr>
          <w:szCs w:val="24"/>
        </w:rPr>
        <w:t>50</w:t>
      </w:r>
      <w:r w:rsidRPr="00265AA8">
        <w:rPr>
          <w:szCs w:val="24"/>
        </w:rPr>
        <w:t>]</w:t>
      </w:r>
      <w:r w:rsidRPr="00265AA8">
        <w:rPr>
          <w:szCs w:val="24"/>
        </w:rPr>
        <w:tab/>
        <w:t>This question</w:t>
      </w:r>
      <w:r w:rsidR="00765AF1">
        <w:rPr>
          <w:szCs w:val="24"/>
        </w:rPr>
        <w:t>,</w:t>
      </w:r>
      <w:r w:rsidRPr="00265AA8">
        <w:rPr>
          <w:szCs w:val="24"/>
        </w:rPr>
        <w:t xml:space="preserve"> in </w:t>
      </w:r>
      <w:r w:rsidR="00765AF1">
        <w:rPr>
          <w:szCs w:val="24"/>
        </w:rPr>
        <w:t>our</w:t>
      </w:r>
      <w:r w:rsidRPr="00265AA8">
        <w:rPr>
          <w:szCs w:val="24"/>
        </w:rPr>
        <w:t xml:space="preserve"> view</w:t>
      </w:r>
      <w:r w:rsidR="00765AF1">
        <w:rPr>
          <w:szCs w:val="24"/>
        </w:rPr>
        <w:t>,</w:t>
      </w:r>
      <w:r w:rsidRPr="00265AA8">
        <w:rPr>
          <w:szCs w:val="24"/>
        </w:rPr>
        <w:t xml:space="preserve"> has been answered in the judgment of this </w:t>
      </w:r>
      <w:r w:rsidR="0069316F">
        <w:rPr>
          <w:szCs w:val="24"/>
        </w:rPr>
        <w:t>c</w:t>
      </w:r>
      <w:r w:rsidRPr="00265AA8">
        <w:rPr>
          <w:szCs w:val="24"/>
        </w:rPr>
        <w:t>ourt by Mudau J, Mokgoathleng J and Modiba J</w:t>
      </w:r>
      <w:r w:rsidR="00907EFC">
        <w:rPr>
          <w:szCs w:val="24"/>
        </w:rPr>
        <w:t xml:space="preserve"> </w:t>
      </w:r>
      <w:r w:rsidR="00765AF1">
        <w:rPr>
          <w:szCs w:val="24"/>
        </w:rPr>
        <w:t>as well as</w:t>
      </w:r>
      <w:r w:rsidRPr="00265AA8">
        <w:rPr>
          <w:szCs w:val="24"/>
        </w:rPr>
        <w:t xml:space="preserve"> Keightley J.  All three judgments were ad </w:t>
      </w:r>
      <w:r w:rsidR="00D86BF1">
        <w:rPr>
          <w:szCs w:val="24"/>
        </w:rPr>
        <w:t>idem</w:t>
      </w:r>
      <w:r w:rsidRPr="00265AA8">
        <w:rPr>
          <w:szCs w:val="24"/>
        </w:rPr>
        <w:t xml:space="preserve"> that the </w:t>
      </w:r>
      <w:r w:rsidR="00D86BF1">
        <w:rPr>
          <w:szCs w:val="24"/>
        </w:rPr>
        <w:t>r</w:t>
      </w:r>
      <w:r w:rsidRPr="00265AA8">
        <w:rPr>
          <w:szCs w:val="24"/>
        </w:rPr>
        <w:t xml:space="preserve">espondent made himself guilty of fraudulent conduct together with the State Attorney. This in our view amounts to nothing short of unprofessional conduct justifying a striking </w:t>
      </w:r>
      <w:r w:rsidR="00D86BF1">
        <w:rPr>
          <w:szCs w:val="24"/>
        </w:rPr>
        <w:t>from</w:t>
      </w:r>
      <w:r w:rsidRPr="00265AA8">
        <w:rPr>
          <w:szCs w:val="24"/>
        </w:rPr>
        <w:t xml:space="preserve"> the roll.</w:t>
      </w:r>
    </w:p>
    <w:p w:rsidR="00951133" w:rsidRPr="00265AA8" w:rsidRDefault="00951133" w:rsidP="00265AA8">
      <w:pPr>
        <w:jc w:val="both"/>
        <w:rPr>
          <w:szCs w:val="24"/>
        </w:rPr>
      </w:pPr>
    </w:p>
    <w:p w:rsidR="00265AA8" w:rsidRDefault="00265AA8" w:rsidP="00265AA8">
      <w:pPr>
        <w:jc w:val="both"/>
        <w:rPr>
          <w:szCs w:val="24"/>
        </w:rPr>
      </w:pPr>
      <w:r w:rsidRPr="00265AA8">
        <w:rPr>
          <w:szCs w:val="24"/>
        </w:rPr>
        <w:t>[</w:t>
      </w:r>
      <w:r w:rsidR="00984AA7">
        <w:rPr>
          <w:szCs w:val="24"/>
        </w:rPr>
        <w:t>5</w:t>
      </w:r>
      <w:r w:rsidR="00127B6B">
        <w:rPr>
          <w:szCs w:val="24"/>
        </w:rPr>
        <w:t>1</w:t>
      </w:r>
      <w:r w:rsidRPr="00265AA8">
        <w:rPr>
          <w:szCs w:val="24"/>
        </w:rPr>
        <w:t>]</w:t>
      </w:r>
      <w:r w:rsidRPr="00265AA8">
        <w:rPr>
          <w:szCs w:val="24"/>
        </w:rPr>
        <w:tab/>
        <w:t xml:space="preserve">In the </w:t>
      </w:r>
      <w:r w:rsidR="0069316F">
        <w:rPr>
          <w:szCs w:val="24"/>
        </w:rPr>
        <w:t>r</w:t>
      </w:r>
      <w:r w:rsidRPr="00265AA8">
        <w:rPr>
          <w:szCs w:val="24"/>
        </w:rPr>
        <w:t xml:space="preserve">escission application the </w:t>
      </w:r>
      <w:r w:rsidR="0069316F">
        <w:rPr>
          <w:szCs w:val="24"/>
        </w:rPr>
        <w:t>f</w:t>
      </w:r>
      <w:r w:rsidRPr="00265AA8">
        <w:rPr>
          <w:szCs w:val="24"/>
        </w:rPr>
        <w:t xml:space="preserve">ounding </w:t>
      </w:r>
      <w:r w:rsidR="0069316F">
        <w:rPr>
          <w:szCs w:val="24"/>
        </w:rPr>
        <w:t>a</w:t>
      </w:r>
      <w:r w:rsidRPr="00265AA8">
        <w:rPr>
          <w:szCs w:val="24"/>
        </w:rPr>
        <w:t xml:space="preserve">ffidavit by the Minister of Police sets out clear incidents where settlement in various matters involving the Department of Police where no instruction had been sourced or agreed to by the Department.  The Minister alluded to the fact that the </w:t>
      </w:r>
      <w:r w:rsidR="0069316F">
        <w:rPr>
          <w:szCs w:val="24"/>
        </w:rPr>
        <w:t>r</w:t>
      </w:r>
      <w:r w:rsidRPr="00265AA8">
        <w:rPr>
          <w:szCs w:val="24"/>
        </w:rPr>
        <w:t>espondent utilised an almost “</w:t>
      </w:r>
      <w:r w:rsidR="00D86BF1">
        <w:rPr>
          <w:szCs w:val="24"/>
        </w:rPr>
        <w:t>s</w:t>
      </w:r>
      <w:r w:rsidRPr="00265AA8">
        <w:rPr>
          <w:szCs w:val="24"/>
        </w:rPr>
        <w:t xml:space="preserve">tock </w:t>
      </w:r>
      <w:r w:rsidR="00D86BF1">
        <w:rPr>
          <w:szCs w:val="24"/>
        </w:rPr>
        <w:t>s</w:t>
      </w:r>
      <w:r w:rsidRPr="00265AA8">
        <w:rPr>
          <w:szCs w:val="24"/>
        </w:rPr>
        <w:t>tandard” memorandum titled “Memorandum on quantum and advice on settlement thereof” to motivate the conclusion of settlement agreements in matters in which the Minister and other organs of State were parties</w:t>
      </w:r>
      <w:r w:rsidR="00D86BF1">
        <w:rPr>
          <w:szCs w:val="24"/>
        </w:rPr>
        <w:t>,</w:t>
      </w:r>
      <w:r w:rsidRPr="00265AA8">
        <w:rPr>
          <w:szCs w:val="24"/>
        </w:rPr>
        <w:t xml:space="preserve"> and the model of concluding or contriving unauthorised settlement agreements was also followed in a number of other matters.</w:t>
      </w:r>
    </w:p>
    <w:p w:rsidR="00951133" w:rsidRPr="00265AA8" w:rsidRDefault="00951133" w:rsidP="00265AA8">
      <w:pPr>
        <w:jc w:val="both"/>
        <w:rPr>
          <w:szCs w:val="24"/>
        </w:rPr>
      </w:pPr>
    </w:p>
    <w:p w:rsidR="00951133" w:rsidRDefault="00265AA8" w:rsidP="00265AA8">
      <w:pPr>
        <w:jc w:val="both"/>
        <w:rPr>
          <w:szCs w:val="24"/>
        </w:rPr>
      </w:pPr>
      <w:r w:rsidRPr="00265AA8">
        <w:rPr>
          <w:szCs w:val="24"/>
        </w:rPr>
        <w:t>[</w:t>
      </w:r>
      <w:r w:rsidR="00984AA7">
        <w:rPr>
          <w:szCs w:val="24"/>
        </w:rPr>
        <w:t>5</w:t>
      </w:r>
      <w:r w:rsidR="00127B6B">
        <w:rPr>
          <w:szCs w:val="24"/>
        </w:rPr>
        <w:t>2</w:t>
      </w:r>
      <w:r w:rsidRPr="00265AA8">
        <w:rPr>
          <w:szCs w:val="24"/>
        </w:rPr>
        <w:t>]</w:t>
      </w:r>
      <w:r w:rsidRPr="00265AA8">
        <w:rPr>
          <w:szCs w:val="24"/>
        </w:rPr>
        <w:tab/>
        <w:t xml:space="preserve">The list of payments made to the </w:t>
      </w:r>
      <w:r w:rsidR="0069316F">
        <w:rPr>
          <w:szCs w:val="24"/>
        </w:rPr>
        <w:t>r</w:t>
      </w:r>
      <w:r w:rsidRPr="00265AA8">
        <w:rPr>
          <w:szCs w:val="24"/>
        </w:rPr>
        <w:t>espondent over the period 1st April 2017 to 30 August 2018 clearly indicate</w:t>
      </w:r>
      <w:r w:rsidR="00765AF1">
        <w:rPr>
          <w:szCs w:val="24"/>
        </w:rPr>
        <w:t>s</w:t>
      </w:r>
      <w:r w:rsidRPr="00265AA8">
        <w:rPr>
          <w:szCs w:val="24"/>
        </w:rPr>
        <w:t xml:space="preserve"> a sustained pattern of overrea</w:t>
      </w:r>
      <w:r w:rsidR="00765AF1">
        <w:rPr>
          <w:szCs w:val="24"/>
        </w:rPr>
        <w:t>ch</w:t>
      </w:r>
      <w:r w:rsidRPr="00265AA8">
        <w:rPr>
          <w:szCs w:val="24"/>
        </w:rPr>
        <w:t xml:space="preserve">ing.  The </w:t>
      </w:r>
      <w:r w:rsidR="0069316F">
        <w:rPr>
          <w:szCs w:val="24"/>
        </w:rPr>
        <w:t>c</w:t>
      </w:r>
      <w:r w:rsidRPr="00265AA8">
        <w:rPr>
          <w:szCs w:val="24"/>
        </w:rPr>
        <w:t xml:space="preserve">ourt in </w:t>
      </w:r>
      <w:r w:rsidRPr="00180ABF">
        <w:rPr>
          <w:i/>
          <w:iCs/>
          <w:szCs w:val="24"/>
        </w:rPr>
        <w:t>Geach</w:t>
      </w:r>
      <w:r w:rsidRPr="00265AA8">
        <w:rPr>
          <w:szCs w:val="24"/>
        </w:rPr>
        <w:t xml:space="preserve"> held that </w:t>
      </w:r>
      <w:r w:rsidR="0069316F">
        <w:rPr>
          <w:szCs w:val="24"/>
        </w:rPr>
        <w:t>a</w:t>
      </w:r>
      <w:r w:rsidRPr="00265AA8">
        <w:rPr>
          <w:szCs w:val="24"/>
        </w:rPr>
        <w:t>dvocates are only entitled to charge a reasonable fee and</w:t>
      </w:r>
      <w:r w:rsidR="00765AF1">
        <w:rPr>
          <w:szCs w:val="24"/>
        </w:rPr>
        <w:t>,</w:t>
      </w:r>
      <w:r w:rsidRPr="00265AA8">
        <w:rPr>
          <w:szCs w:val="24"/>
        </w:rPr>
        <w:t xml:space="preserve"> if they charge an unreasonable fee they are guilty of overrea</w:t>
      </w:r>
      <w:r w:rsidR="00D86BF1">
        <w:rPr>
          <w:szCs w:val="24"/>
        </w:rPr>
        <w:t>ch</w:t>
      </w:r>
      <w:r w:rsidRPr="00265AA8">
        <w:rPr>
          <w:szCs w:val="24"/>
        </w:rPr>
        <w:t xml:space="preserve">ing. </w:t>
      </w:r>
    </w:p>
    <w:p w:rsidR="00265AA8" w:rsidRPr="00265AA8" w:rsidRDefault="00265AA8" w:rsidP="00265AA8">
      <w:pPr>
        <w:jc w:val="both"/>
        <w:rPr>
          <w:szCs w:val="24"/>
        </w:rPr>
      </w:pPr>
      <w:r w:rsidRPr="00265AA8">
        <w:rPr>
          <w:szCs w:val="24"/>
        </w:rPr>
        <w:tab/>
      </w:r>
    </w:p>
    <w:p w:rsidR="00265AA8" w:rsidRDefault="00265AA8" w:rsidP="00265AA8">
      <w:pPr>
        <w:jc w:val="both"/>
        <w:rPr>
          <w:szCs w:val="24"/>
        </w:rPr>
      </w:pPr>
      <w:r w:rsidRPr="00265AA8">
        <w:rPr>
          <w:szCs w:val="24"/>
        </w:rPr>
        <w:t>[</w:t>
      </w:r>
      <w:r w:rsidR="00984AA7">
        <w:rPr>
          <w:szCs w:val="24"/>
        </w:rPr>
        <w:t>5</w:t>
      </w:r>
      <w:r w:rsidR="00127B6B">
        <w:rPr>
          <w:szCs w:val="24"/>
        </w:rPr>
        <w:t>3</w:t>
      </w:r>
      <w:r w:rsidRPr="00265AA8">
        <w:rPr>
          <w:szCs w:val="24"/>
        </w:rPr>
        <w:t>]</w:t>
      </w:r>
      <w:r w:rsidRPr="00265AA8">
        <w:rPr>
          <w:szCs w:val="24"/>
        </w:rPr>
        <w:tab/>
      </w:r>
      <w:r w:rsidR="0069316F">
        <w:rPr>
          <w:szCs w:val="24"/>
        </w:rPr>
        <w:t xml:space="preserve">We are </w:t>
      </w:r>
      <w:r w:rsidRPr="00265AA8">
        <w:rPr>
          <w:szCs w:val="24"/>
        </w:rPr>
        <w:t>satisfied that the offending conduct of dishonesty and overreaching</w:t>
      </w:r>
      <w:r w:rsidR="00982B38">
        <w:rPr>
          <w:szCs w:val="24"/>
        </w:rPr>
        <w:t>,</w:t>
      </w:r>
      <w:r w:rsidRPr="00265AA8">
        <w:rPr>
          <w:szCs w:val="24"/>
        </w:rPr>
        <w:t xml:space="preserve"> coupled with settling matters without a client’s mandate</w:t>
      </w:r>
      <w:r w:rsidR="00982B38">
        <w:rPr>
          <w:szCs w:val="24"/>
        </w:rPr>
        <w:t>,</w:t>
      </w:r>
      <w:r w:rsidRPr="00265AA8">
        <w:rPr>
          <w:szCs w:val="24"/>
        </w:rPr>
        <w:t xml:space="preserve"> have been proved</w:t>
      </w:r>
      <w:r w:rsidR="00765AF1">
        <w:rPr>
          <w:szCs w:val="24"/>
        </w:rPr>
        <w:t xml:space="preserve"> on a balance of probabilities</w:t>
      </w:r>
      <w:r w:rsidRPr="00265AA8">
        <w:rPr>
          <w:szCs w:val="24"/>
        </w:rPr>
        <w:t xml:space="preserve"> and this</w:t>
      </w:r>
      <w:r w:rsidR="00765AF1">
        <w:rPr>
          <w:szCs w:val="24"/>
        </w:rPr>
        <w:t>,</w:t>
      </w:r>
      <w:r w:rsidRPr="00265AA8">
        <w:rPr>
          <w:szCs w:val="24"/>
        </w:rPr>
        <w:t xml:space="preserve"> on its own</w:t>
      </w:r>
      <w:r w:rsidR="00765AF1">
        <w:rPr>
          <w:szCs w:val="24"/>
        </w:rPr>
        <w:t>,</w:t>
      </w:r>
      <w:r w:rsidRPr="00265AA8">
        <w:rPr>
          <w:szCs w:val="24"/>
        </w:rPr>
        <w:t xml:space="preserve"> makes </w:t>
      </w:r>
      <w:r w:rsidR="0069316F">
        <w:rPr>
          <w:szCs w:val="24"/>
        </w:rPr>
        <w:t>the respondent</w:t>
      </w:r>
      <w:r w:rsidRPr="00265AA8">
        <w:rPr>
          <w:szCs w:val="24"/>
        </w:rPr>
        <w:t xml:space="preserve"> an unfit person to continue to practice as an </w:t>
      </w:r>
      <w:r w:rsidR="0069316F">
        <w:rPr>
          <w:szCs w:val="24"/>
        </w:rPr>
        <w:t>a</w:t>
      </w:r>
      <w:r w:rsidRPr="00265AA8">
        <w:rPr>
          <w:szCs w:val="24"/>
        </w:rPr>
        <w:t xml:space="preserve">dvocate of this </w:t>
      </w:r>
      <w:r w:rsidR="0069316F">
        <w:rPr>
          <w:szCs w:val="24"/>
        </w:rPr>
        <w:t>c</w:t>
      </w:r>
      <w:r w:rsidRPr="00265AA8">
        <w:rPr>
          <w:szCs w:val="24"/>
        </w:rPr>
        <w:t xml:space="preserve">ourt.  The payment of the sum of R34 million to him by the office of the State Attorney resulted from a corrupt relationship between the </w:t>
      </w:r>
      <w:r w:rsidR="0069316F">
        <w:rPr>
          <w:szCs w:val="24"/>
        </w:rPr>
        <w:t>r</w:t>
      </w:r>
      <w:r w:rsidRPr="00265AA8">
        <w:rPr>
          <w:szCs w:val="24"/>
        </w:rPr>
        <w:t>espondent and the State Attorney. He</w:t>
      </w:r>
      <w:r w:rsidR="0069316F">
        <w:rPr>
          <w:szCs w:val="24"/>
        </w:rPr>
        <w:t>,</w:t>
      </w:r>
      <w:r w:rsidRPr="00265AA8">
        <w:rPr>
          <w:szCs w:val="24"/>
        </w:rPr>
        <w:t xml:space="preserve"> amongst other</w:t>
      </w:r>
      <w:r w:rsidR="0069316F">
        <w:rPr>
          <w:szCs w:val="24"/>
        </w:rPr>
        <w:t>s,</w:t>
      </w:r>
      <w:r w:rsidRPr="00265AA8">
        <w:rPr>
          <w:szCs w:val="24"/>
        </w:rPr>
        <w:t xml:space="preserve"> charged for work he had not performed.  That is fraud.</w:t>
      </w:r>
    </w:p>
    <w:p w:rsidR="004F2A27" w:rsidRPr="00265AA8" w:rsidRDefault="004F2A27" w:rsidP="00265AA8">
      <w:pPr>
        <w:jc w:val="both"/>
        <w:rPr>
          <w:szCs w:val="24"/>
        </w:rPr>
      </w:pPr>
    </w:p>
    <w:p w:rsidR="00265AA8" w:rsidRDefault="00265AA8" w:rsidP="00265AA8">
      <w:pPr>
        <w:jc w:val="both"/>
        <w:rPr>
          <w:szCs w:val="24"/>
        </w:rPr>
      </w:pPr>
      <w:r w:rsidRPr="00265AA8">
        <w:rPr>
          <w:szCs w:val="24"/>
        </w:rPr>
        <w:t>[</w:t>
      </w:r>
      <w:r w:rsidR="00984AA7">
        <w:rPr>
          <w:szCs w:val="24"/>
        </w:rPr>
        <w:t>5</w:t>
      </w:r>
      <w:r w:rsidR="00127B6B">
        <w:rPr>
          <w:szCs w:val="24"/>
        </w:rPr>
        <w:t>4</w:t>
      </w:r>
      <w:r w:rsidRPr="00265AA8">
        <w:rPr>
          <w:szCs w:val="24"/>
        </w:rPr>
        <w:t>]</w:t>
      </w:r>
      <w:r w:rsidRPr="00265AA8">
        <w:rPr>
          <w:szCs w:val="24"/>
        </w:rPr>
        <w:tab/>
        <w:t xml:space="preserve">In the </w:t>
      </w:r>
      <w:r w:rsidR="0069316F">
        <w:rPr>
          <w:szCs w:val="24"/>
        </w:rPr>
        <w:t>f</w:t>
      </w:r>
      <w:r w:rsidRPr="00265AA8">
        <w:rPr>
          <w:szCs w:val="24"/>
        </w:rPr>
        <w:t xml:space="preserve">ounding </w:t>
      </w:r>
      <w:r w:rsidR="0069316F">
        <w:rPr>
          <w:szCs w:val="24"/>
        </w:rPr>
        <w:t>a</w:t>
      </w:r>
      <w:r w:rsidRPr="00265AA8">
        <w:rPr>
          <w:szCs w:val="24"/>
        </w:rPr>
        <w:t>ffidavit</w:t>
      </w:r>
      <w:r w:rsidR="00765AF1">
        <w:rPr>
          <w:rStyle w:val="FootnoteReference"/>
          <w:szCs w:val="24"/>
        </w:rPr>
        <w:footnoteReference w:id="30"/>
      </w:r>
      <w:r w:rsidRPr="00265AA8">
        <w:rPr>
          <w:szCs w:val="24"/>
        </w:rPr>
        <w:t xml:space="preserve"> the </w:t>
      </w:r>
      <w:r w:rsidR="0069316F">
        <w:rPr>
          <w:szCs w:val="24"/>
        </w:rPr>
        <w:t>a</w:t>
      </w:r>
      <w:r w:rsidRPr="00265AA8">
        <w:rPr>
          <w:szCs w:val="24"/>
        </w:rPr>
        <w:t xml:space="preserve">pplicant makes mention of a serious issue about the fact that the invoices submitted by </w:t>
      </w:r>
      <w:r w:rsidR="0069316F">
        <w:rPr>
          <w:szCs w:val="24"/>
        </w:rPr>
        <w:t>the respondent</w:t>
      </w:r>
      <w:r w:rsidRPr="00265AA8">
        <w:rPr>
          <w:szCs w:val="24"/>
        </w:rPr>
        <w:t xml:space="preserve"> to the State Attorney for payment do not constitute tax invoices which </w:t>
      </w:r>
      <w:r w:rsidR="00982B38">
        <w:rPr>
          <w:szCs w:val="24"/>
        </w:rPr>
        <w:t xml:space="preserve">fact </w:t>
      </w:r>
      <w:r w:rsidRPr="00265AA8">
        <w:rPr>
          <w:szCs w:val="24"/>
        </w:rPr>
        <w:t xml:space="preserve">makes it clear that the </w:t>
      </w:r>
      <w:r w:rsidR="0069316F">
        <w:rPr>
          <w:szCs w:val="24"/>
        </w:rPr>
        <w:t>r</w:t>
      </w:r>
      <w:r w:rsidRPr="00265AA8">
        <w:rPr>
          <w:szCs w:val="24"/>
        </w:rPr>
        <w:t>espondent was not registered as</w:t>
      </w:r>
      <w:r w:rsidR="00765AF1">
        <w:rPr>
          <w:szCs w:val="24"/>
        </w:rPr>
        <w:t xml:space="preserve"> a</w:t>
      </w:r>
      <w:r w:rsidRPr="00265AA8">
        <w:rPr>
          <w:szCs w:val="24"/>
        </w:rPr>
        <w:t xml:space="preserve"> vendor in terms of the Value Added Tax Act</w:t>
      </w:r>
      <w:r w:rsidR="00982B38">
        <w:rPr>
          <w:rStyle w:val="FootnoteReference"/>
          <w:szCs w:val="24"/>
        </w:rPr>
        <w:footnoteReference w:id="31"/>
      </w:r>
      <w:r w:rsidRPr="00265AA8">
        <w:rPr>
          <w:szCs w:val="24"/>
        </w:rPr>
        <w:t xml:space="preserve"> and based on the amount </w:t>
      </w:r>
      <w:r w:rsidRPr="00265AA8">
        <w:rPr>
          <w:szCs w:val="24"/>
        </w:rPr>
        <w:lastRenderedPageBreak/>
        <w:t>of fees written by him in a two-month period in the Kunene matter alone</w:t>
      </w:r>
      <w:r w:rsidR="00982B38">
        <w:rPr>
          <w:szCs w:val="24"/>
        </w:rPr>
        <w:t>,</w:t>
      </w:r>
      <w:r w:rsidRPr="00265AA8">
        <w:rPr>
          <w:szCs w:val="24"/>
        </w:rPr>
        <w:t xml:space="preserve"> he is a vendor as defined in </w:t>
      </w:r>
      <w:r w:rsidR="00765AF1">
        <w:rPr>
          <w:szCs w:val="24"/>
        </w:rPr>
        <w:t>s</w:t>
      </w:r>
      <w:r w:rsidRPr="00265AA8">
        <w:rPr>
          <w:szCs w:val="24"/>
        </w:rPr>
        <w:t xml:space="preserve">ection 1 of the </w:t>
      </w:r>
      <w:r w:rsidR="00982B38">
        <w:rPr>
          <w:szCs w:val="24"/>
        </w:rPr>
        <w:t>Value Added Tax</w:t>
      </w:r>
      <w:r w:rsidRPr="00265AA8">
        <w:rPr>
          <w:szCs w:val="24"/>
        </w:rPr>
        <w:t xml:space="preserve"> Act. </w:t>
      </w:r>
    </w:p>
    <w:p w:rsidR="00951133" w:rsidRPr="00265AA8" w:rsidRDefault="00951133" w:rsidP="00265AA8">
      <w:pPr>
        <w:jc w:val="both"/>
        <w:rPr>
          <w:szCs w:val="24"/>
        </w:rPr>
      </w:pPr>
    </w:p>
    <w:p w:rsidR="00265AA8" w:rsidRDefault="00265AA8" w:rsidP="00265AA8">
      <w:pPr>
        <w:jc w:val="both"/>
        <w:rPr>
          <w:szCs w:val="24"/>
        </w:rPr>
      </w:pPr>
      <w:r w:rsidRPr="00265AA8">
        <w:rPr>
          <w:szCs w:val="24"/>
        </w:rPr>
        <w:t>[</w:t>
      </w:r>
      <w:r w:rsidR="00984AA7">
        <w:rPr>
          <w:szCs w:val="24"/>
        </w:rPr>
        <w:t>5</w:t>
      </w:r>
      <w:r w:rsidR="00127B6B">
        <w:rPr>
          <w:szCs w:val="24"/>
        </w:rPr>
        <w:t>5</w:t>
      </w:r>
      <w:r w:rsidRPr="00265AA8">
        <w:rPr>
          <w:szCs w:val="24"/>
        </w:rPr>
        <w:t>]</w:t>
      </w:r>
      <w:r w:rsidRPr="00265AA8">
        <w:rPr>
          <w:szCs w:val="24"/>
        </w:rPr>
        <w:tab/>
        <w:t xml:space="preserve"> The </w:t>
      </w:r>
      <w:r w:rsidR="00B3091A">
        <w:rPr>
          <w:szCs w:val="24"/>
        </w:rPr>
        <w:t>r</w:t>
      </w:r>
      <w:r w:rsidRPr="00265AA8">
        <w:rPr>
          <w:szCs w:val="24"/>
        </w:rPr>
        <w:t xml:space="preserve">espondent did not offer any explanation in his </w:t>
      </w:r>
      <w:r w:rsidR="0069316F">
        <w:rPr>
          <w:szCs w:val="24"/>
        </w:rPr>
        <w:t>a</w:t>
      </w:r>
      <w:r w:rsidRPr="00265AA8">
        <w:rPr>
          <w:szCs w:val="24"/>
        </w:rPr>
        <w:t xml:space="preserve">nswering </w:t>
      </w:r>
      <w:r w:rsidR="0069316F">
        <w:rPr>
          <w:szCs w:val="24"/>
        </w:rPr>
        <w:t>a</w:t>
      </w:r>
      <w:r w:rsidRPr="00265AA8">
        <w:rPr>
          <w:szCs w:val="24"/>
        </w:rPr>
        <w:t xml:space="preserve">ffidavit.  That statement in the </w:t>
      </w:r>
      <w:r w:rsidR="0069316F">
        <w:rPr>
          <w:szCs w:val="24"/>
        </w:rPr>
        <w:t>f</w:t>
      </w:r>
      <w:r w:rsidRPr="00265AA8">
        <w:rPr>
          <w:szCs w:val="24"/>
        </w:rPr>
        <w:t xml:space="preserve">ounding </w:t>
      </w:r>
      <w:r w:rsidR="0069316F">
        <w:rPr>
          <w:szCs w:val="24"/>
        </w:rPr>
        <w:t>a</w:t>
      </w:r>
      <w:r w:rsidRPr="00265AA8">
        <w:rPr>
          <w:szCs w:val="24"/>
        </w:rPr>
        <w:t>ffidavit remain</w:t>
      </w:r>
      <w:r w:rsidR="00982B38">
        <w:rPr>
          <w:szCs w:val="24"/>
        </w:rPr>
        <w:t>s</w:t>
      </w:r>
      <w:r w:rsidRPr="00265AA8">
        <w:rPr>
          <w:szCs w:val="24"/>
        </w:rPr>
        <w:t xml:space="preserve"> uncontested.  That means that he withheld payment of </w:t>
      </w:r>
      <w:r w:rsidR="00982B38">
        <w:rPr>
          <w:szCs w:val="24"/>
        </w:rPr>
        <w:t>value added tax</w:t>
      </w:r>
      <w:r w:rsidRPr="00265AA8">
        <w:rPr>
          <w:szCs w:val="24"/>
        </w:rPr>
        <w:t xml:space="preserve"> to </w:t>
      </w:r>
      <w:r w:rsidR="00982B38">
        <w:rPr>
          <w:szCs w:val="24"/>
        </w:rPr>
        <w:t>the South African Revenue Services (</w:t>
      </w:r>
      <w:r w:rsidRPr="00265AA8">
        <w:rPr>
          <w:szCs w:val="24"/>
        </w:rPr>
        <w:t>SARS</w:t>
      </w:r>
      <w:r w:rsidR="00982B38">
        <w:rPr>
          <w:szCs w:val="24"/>
        </w:rPr>
        <w:t>),</w:t>
      </w:r>
      <w:r w:rsidRPr="00265AA8">
        <w:rPr>
          <w:szCs w:val="24"/>
        </w:rPr>
        <w:t xml:space="preserve"> which effectively mean</w:t>
      </w:r>
      <w:r w:rsidR="00982B38">
        <w:rPr>
          <w:szCs w:val="24"/>
        </w:rPr>
        <w:t>s</w:t>
      </w:r>
      <w:r w:rsidRPr="00265AA8">
        <w:rPr>
          <w:szCs w:val="24"/>
        </w:rPr>
        <w:t xml:space="preserve"> he stole money from SARS.</w:t>
      </w:r>
    </w:p>
    <w:p w:rsidR="00951133" w:rsidRPr="00265AA8" w:rsidRDefault="00951133" w:rsidP="00265AA8">
      <w:pPr>
        <w:jc w:val="both"/>
        <w:rPr>
          <w:szCs w:val="24"/>
        </w:rPr>
      </w:pPr>
    </w:p>
    <w:p w:rsidR="00265AA8" w:rsidRDefault="00265AA8" w:rsidP="00265AA8">
      <w:pPr>
        <w:jc w:val="both"/>
        <w:rPr>
          <w:szCs w:val="24"/>
        </w:rPr>
      </w:pPr>
      <w:r w:rsidRPr="00265AA8">
        <w:rPr>
          <w:szCs w:val="24"/>
        </w:rPr>
        <w:t>[</w:t>
      </w:r>
      <w:r w:rsidR="00984AA7">
        <w:rPr>
          <w:szCs w:val="24"/>
        </w:rPr>
        <w:t>5</w:t>
      </w:r>
      <w:r w:rsidR="00127B6B">
        <w:rPr>
          <w:szCs w:val="24"/>
        </w:rPr>
        <w:t>6</w:t>
      </w:r>
      <w:r w:rsidRPr="00265AA8">
        <w:rPr>
          <w:szCs w:val="24"/>
        </w:rPr>
        <w:t>]</w:t>
      </w:r>
      <w:r w:rsidRPr="00265AA8">
        <w:rPr>
          <w:szCs w:val="24"/>
        </w:rPr>
        <w:tab/>
        <w:t xml:space="preserve"> The S</w:t>
      </w:r>
      <w:r w:rsidR="00982B38">
        <w:rPr>
          <w:szCs w:val="24"/>
        </w:rPr>
        <w:t>upreme Court of Appeal</w:t>
      </w:r>
      <w:r w:rsidRPr="00265AA8">
        <w:rPr>
          <w:szCs w:val="24"/>
        </w:rPr>
        <w:t xml:space="preserve"> in the appeal of the </w:t>
      </w:r>
      <w:r w:rsidR="0020391B">
        <w:rPr>
          <w:szCs w:val="24"/>
        </w:rPr>
        <w:t xml:space="preserve">judgment of </w:t>
      </w:r>
      <w:r w:rsidRPr="00265AA8">
        <w:rPr>
          <w:szCs w:val="24"/>
        </w:rPr>
        <w:t xml:space="preserve">Keightley </w:t>
      </w:r>
      <w:r w:rsidR="0020391B">
        <w:rPr>
          <w:szCs w:val="24"/>
        </w:rPr>
        <w:t xml:space="preserve">J, </w:t>
      </w:r>
      <w:r w:rsidRPr="00265AA8">
        <w:rPr>
          <w:szCs w:val="24"/>
        </w:rPr>
        <w:t xml:space="preserve">confirmed the serious findings by Keightley </w:t>
      </w:r>
      <w:r w:rsidR="0020391B">
        <w:rPr>
          <w:szCs w:val="24"/>
        </w:rPr>
        <w:t>J p</w:t>
      </w:r>
      <w:r w:rsidRPr="00265AA8">
        <w:rPr>
          <w:szCs w:val="24"/>
        </w:rPr>
        <w:t xml:space="preserve">ertaining to the </w:t>
      </w:r>
      <w:r w:rsidR="0069316F">
        <w:rPr>
          <w:szCs w:val="24"/>
        </w:rPr>
        <w:t>r</w:t>
      </w:r>
      <w:r w:rsidRPr="00265AA8">
        <w:rPr>
          <w:szCs w:val="24"/>
        </w:rPr>
        <w:t>espondent</w:t>
      </w:r>
      <w:r w:rsidR="0069316F">
        <w:rPr>
          <w:szCs w:val="24"/>
        </w:rPr>
        <w:t>’</w:t>
      </w:r>
      <w:r w:rsidRPr="00265AA8">
        <w:rPr>
          <w:szCs w:val="24"/>
        </w:rPr>
        <w:t xml:space="preserve">s dishonest conduct.  It found that the </w:t>
      </w:r>
      <w:r w:rsidR="0069316F">
        <w:rPr>
          <w:szCs w:val="24"/>
        </w:rPr>
        <w:t>r</w:t>
      </w:r>
      <w:r w:rsidRPr="00265AA8">
        <w:rPr>
          <w:szCs w:val="24"/>
        </w:rPr>
        <w:t>espondent</w:t>
      </w:r>
      <w:r w:rsidR="0069316F">
        <w:rPr>
          <w:szCs w:val="24"/>
        </w:rPr>
        <w:t>’</w:t>
      </w:r>
      <w:r w:rsidRPr="00265AA8">
        <w:rPr>
          <w:szCs w:val="24"/>
        </w:rPr>
        <w:t>s acts</w:t>
      </w:r>
      <w:r w:rsidR="00765AF1">
        <w:rPr>
          <w:szCs w:val="24"/>
        </w:rPr>
        <w:t>,</w:t>
      </w:r>
      <w:r w:rsidRPr="00265AA8">
        <w:rPr>
          <w:szCs w:val="24"/>
        </w:rPr>
        <w:t xml:space="preserve"> perpetrated in concert with the State Attorneys (Lekabe)</w:t>
      </w:r>
      <w:r w:rsidR="00907EFC">
        <w:rPr>
          <w:szCs w:val="24"/>
        </w:rPr>
        <w:t>,</w:t>
      </w:r>
      <w:r w:rsidRPr="00265AA8">
        <w:rPr>
          <w:szCs w:val="24"/>
        </w:rPr>
        <w:t xml:space="preserve"> were illegal</w:t>
      </w:r>
      <w:r w:rsidR="00522C38">
        <w:rPr>
          <w:szCs w:val="24"/>
        </w:rPr>
        <w:t>.</w:t>
      </w:r>
      <w:r w:rsidR="00522C38">
        <w:rPr>
          <w:rStyle w:val="FootnoteReference"/>
          <w:szCs w:val="24"/>
        </w:rPr>
        <w:footnoteReference w:id="32"/>
      </w:r>
    </w:p>
    <w:p w:rsidR="00951133" w:rsidRDefault="00951133" w:rsidP="00265AA8">
      <w:pPr>
        <w:jc w:val="both"/>
        <w:rPr>
          <w:szCs w:val="24"/>
        </w:rPr>
      </w:pPr>
    </w:p>
    <w:p w:rsidR="00765AF1" w:rsidRDefault="00765AF1" w:rsidP="00265AA8">
      <w:pPr>
        <w:jc w:val="both"/>
        <w:rPr>
          <w:szCs w:val="24"/>
          <w:u w:val="single"/>
        </w:rPr>
      </w:pPr>
      <w:r w:rsidRPr="00765AF1">
        <w:rPr>
          <w:szCs w:val="24"/>
          <w:u w:val="single"/>
        </w:rPr>
        <w:t>APPROPRIATE RELIEF</w:t>
      </w:r>
    </w:p>
    <w:p w:rsidR="00951133" w:rsidRPr="00765AF1" w:rsidRDefault="00951133" w:rsidP="00265AA8">
      <w:pPr>
        <w:jc w:val="both"/>
        <w:rPr>
          <w:szCs w:val="24"/>
          <w:u w:val="single"/>
        </w:rPr>
      </w:pPr>
    </w:p>
    <w:p w:rsidR="00265AA8" w:rsidRDefault="00265AA8" w:rsidP="00265AA8">
      <w:pPr>
        <w:jc w:val="both"/>
        <w:rPr>
          <w:szCs w:val="24"/>
        </w:rPr>
      </w:pPr>
      <w:r w:rsidRPr="00265AA8">
        <w:rPr>
          <w:szCs w:val="24"/>
        </w:rPr>
        <w:t>[</w:t>
      </w:r>
      <w:r w:rsidR="00984AA7">
        <w:rPr>
          <w:szCs w:val="24"/>
        </w:rPr>
        <w:t>5</w:t>
      </w:r>
      <w:r w:rsidR="00127B6B">
        <w:rPr>
          <w:szCs w:val="24"/>
        </w:rPr>
        <w:t>7</w:t>
      </w:r>
      <w:r w:rsidRPr="00265AA8">
        <w:rPr>
          <w:szCs w:val="24"/>
        </w:rPr>
        <w:t>]</w:t>
      </w:r>
      <w:r w:rsidRPr="00265AA8">
        <w:rPr>
          <w:szCs w:val="24"/>
        </w:rPr>
        <w:tab/>
        <w:t xml:space="preserve">The last question is whether the </w:t>
      </w:r>
      <w:r w:rsidR="0069316F">
        <w:rPr>
          <w:szCs w:val="24"/>
        </w:rPr>
        <w:t>r</w:t>
      </w:r>
      <w:r w:rsidRPr="00265AA8">
        <w:rPr>
          <w:szCs w:val="24"/>
        </w:rPr>
        <w:t>espondent</w:t>
      </w:r>
      <w:r w:rsidR="0069316F">
        <w:rPr>
          <w:szCs w:val="24"/>
        </w:rPr>
        <w:t>’</w:t>
      </w:r>
      <w:r w:rsidRPr="00265AA8">
        <w:rPr>
          <w:szCs w:val="24"/>
        </w:rPr>
        <w:t xml:space="preserve">s conduct deserves striking off or a suspension.  The </w:t>
      </w:r>
      <w:r w:rsidR="00B3091A">
        <w:rPr>
          <w:szCs w:val="24"/>
        </w:rPr>
        <w:t>r</w:t>
      </w:r>
      <w:r w:rsidRPr="00265AA8">
        <w:rPr>
          <w:szCs w:val="24"/>
        </w:rPr>
        <w:t>espondent has exhibited a serious flaw in that he clearly shows no remorse</w:t>
      </w:r>
      <w:r w:rsidR="009308C3">
        <w:rPr>
          <w:szCs w:val="24"/>
        </w:rPr>
        <w:t>,</w:t>
      </w:r>
      <w:r w:rsidRPr="00265AA8">
        <w:rPr>
          <w:szCs w:val="24"/>
        </w:rPr>
        <w:t xml:space="preserve"> and worse</w:t>
      </w:r>
      <w:r w:rsidR="009308C3">
        <w:rPr>
          <w:szCs w:val="24"/>
        </w:rPr>
        <w:t>,</w:t>
      </w:r>
      <w:r w:rsidRPr="00265AA8">
        <w:rPr>
          <w:szCs w:val="24"/>
        </w:rPr>
        <w:t xml:space="preserve"> </w:t>
      </w:r>
      <w:r w:rsidR="006D31FD">
        <w:rPr>
          <w:szCs w:val="24"/>
        </w:rPr>
        <w:t xml:space="preserve">he is </w:t>
      </w:r>
      <w:r w:rsidRPr="00265AA8">
        <w:rPr>
          <w:szCs w:val="24"/>
        </w:rPr>
        <w:t xml:space="preserve">still insisting that the Bar Council has no jurisdiction over him now that he has resigned.  He crowned this by </w:t>
      </w:r>
      <w:r w:rsidR="009308C3" w:rsidRPr="009308C3">
        <w:rPr>
          <w:szCs w:val="24"/>
        </w:rPr>
        <w:t xml:space="preserve">flatly </w:t>
      </w:r>
      <w:r w:rsidRPr="00265AA8">
        <w:rPr>
          <w:szCs w:val="24"/>
        </w:rPr>
        <w:t>disobeying the order by Mokogoathleng</w:t>
      </w:r>
      <w:r w:rsidR="009308C3">
        <w:rPr>
          <w:szCs w:val="24"/>
        </w:rPr>
        <w:t xml:space="preserve"> J</w:t>
      </w:r>
      <w:r w:rsidRPr="00265AA8">
        <w:rPr>
          <w:szCs w:val="24"/>
        </w:rPr>
        <w:t xml:space="preserve"> </w:t>
      </w:r>
      <w:r w:rsidR="0069316F">
        <w:rPr>
          <w:szCs w:val="24"/>
        </w:rPr>
        <w:t>a</w:t>
      </w:r>
      <w:r w:rsidRPr="00265AA8">
        <w:rPr>
          <w:szCs w:val="24"/>
        </w:rPr>
        <w:t>nd Modiba J</w:t>
      </w:r>
      <w:r w:rsidR="009308C3">
        <w:rPr>
          <w:szCs w:val="24"/>
        </w:rPr>
        <w:t xml:space="preserve"> after </w:t>
      </w:r>
      <w:r w:rsidRPr="00265AA8">
        <w:rPr>
          <w:szCs w:val="24"/>
        </w:rPr>
        <w:t xml:space="preserve">he had been ordered to submit his books of accounts to the Professional Ethics Committee of the Bar Council.  He is </w:t>
      </w:r>
      <w:r w:rsidR="0069316F">
        <w:rPr>
          <w:szCs w:val="24"/>
        </w:rPr>
        <w:t>c</w:t>
      </w:r>
      <w:r w:rsidRPr="00265AA8">
        <w:rPr>
          <w:szCs w:val="24"/>
        </w:rPr>
        <w:t>ounsel of many years</w:t>
      </w:r>
      <w:r w:rsidR="00270DAD">
        <w:rPr>
          <w:szCs w:val="24"/>
        </w:rPr>
        <w:t>,</w:t>
      </w:r>
      <w:r w:rsidRPr="00265AA8">
        <w:rPr>
          <w:szCs w:val="24"/>
        </w:rPr>
        <w:t xml:space="preserve"> and it was rather surprising for him to argue that there was no obligation on him to submit himself to the enquiry by his own profession body.</w:t>
      </w:r>
    </w:p>
    <w:p w:rsidR="00951133" w:rsidRPr="00265AA8" w:rsidRDefault="00951133" w:rsidP="00265AA8">
      <w:pPr>
        <w:jc w:val="both"/>
        <w:rPr>
          <w:szCs w:val="24"/>
        </w:rPr>
      </w:pPr>
    </w:p>
    <w:p w:rsidR="00FA3DB9" w:rsidRDefault="00F15706" w:rsidP="00A253A2">
      <w:pPr>
        <w:jc w:val="both"/>
        <w:rPr>
          <w:szCs w:val="24"/>
        </w:rPr>
      </w:pPr>
      <w:r>
        <w:rPr>
          <w:szCs w:val="24"/>
        </w:rPr>
        <w:t>[</w:t>
      </w:r>
      <w:r w:rsidR="0057287E">
        <w:rPr>
          <w:szCs w:val="24"/>
        </w:rPr>
        <w:t>5</w:t>
      </w:r>
      <w:r w:rsidR="00127B6B">
        <w:rPr>
          <w:szCs w:val="24"/>
        </w:rPr>
        <w:t>8</w:t>
      </w:r>
      <w:r>
        <w:rPr>
          <w:szCs w:val="24"/>
        </w:rPr>
        <w:t>]</w:t>
      </w:r>
      <w:r>
        <w:rPr>
          <w:szCs w:val="24"/>
        </w:rPr>
        <w:tab/>
        <w:t>The test to determine whether a person is a fit and proper is also well established.</w:t>
      </w:r>
      <w:r>
        <w:rPr>
          <w:rStyle w:val="FootnoteReference"/>
          <w:szCs w:val="24"/>
        </w:rPr>
        <w:footnoteReference w:id="33"/>
      </w:r>
      <w:r w:rsidR="00DF5826">
        <w:rPr>
          <w:szCs w:val="24"/>
        </w:rPr>
        <w:t xml:space="preserve"> The first </w:t>
      </w:r>
      <w:r w:rsidR="0020027B">
        <w:rPr>
          <w:szCs w:val="24"/>
        </w:rPr>
        <w:t xml:space="preserve">enquiry </w:t>
      </w:r>
      <w:r w:rsidR="00DF5826">
        <w:rPr>
          <w:szCs w:val="24"/>
        </w:rPr>
        <w:t xml:space="preserve">is to determine whether the offending conduct has been proven on a </w:t>
      </w:r>
      <w:r w:rsidR="00DF5826">
        <w:rPr>
          <w:szCs w:val="24"/>
        </w:rPr>
        <w:lastRenderedPageBreak/>
        <w:t>balance of probabilities. Once this is shown, the second enquiry is to determine whether the person is fit and proper taking into account the proven misconduct. The final enquiry is to determine whether the person concerned should be suspended from practice of a further period or should be struck off the roll.</w:t>
      </w:r>
      <w:r w:rsidR="00DF5826">
        <w:rPr>
          <w:rStyle w:val="FootnoteReference"/>
          <w:szCs w:val="24"/>
        </w:rPr>
        <w:footnoteReference w:id="34"/>
      </w:r>
    </w:p>
    <w:p w:rsidR="00951133" w:rsidRDefault="00951133" w:rsidP="00A253A2">
      <w:pPr>
        <w:jc w:val="both"/>
        <w:rPr>
          <w:szCs w:val="24"/>
        </w:rPr>
      </w:pPr>
    </w:p>
    <w:p w:rsidR="009308C3" w:rsidRDefault="00DF5826" w:rsidP="009308C3">
      <w:pPr>
        <w:spacing w:after="0"/>
        <w:jc w:val="both"/>
        <w:rPr>
          <w:szCs w:val="24"/>
        </w:rPr>
      </w:pPr>
      <w:r>
        <w:rPr>
          <w:szCs w:val="24"/>
        </w:rPr>
        <w:t>[</w:t>
      </w:r>
      <w:r w:rsidR="0057287E">
        <w:rPr>
          <w:szCs w:val="24"/>
        </w:rPr>
        <w:t>5</w:t>
      </w:r>
      <w:r w:rsidR="00127B6B">
        <w:rPr>
          <w:szCs w:val="24"/>
        </w:rPr>
        <w:t>9</w:t>
      </w:r>
      <w:r w:rsidR="0095406C">
        <w:rPr>
          <w:szCs w:val="24"/>
        </w:rPr>
        <w:t>]</w:t>
      </w:r>
      <w:r w:rsidR="0095406C">
        <w:rPr>
          <w:szCs w:val="24"/>
        </w:rPr>
        <w:tab/>
        <w:t>in terms of s</w:t>
      </w:r>
      <w:r w:rsidR="00180ABF">
        <w:rPr>
          <w:szCs w:val="24"/>
        </w:rPr>
        <w:t>ection</w:t>
      </w:r>
      <w:r w:rsidR="0095406C">
        <w:rPr>
          <w:szCs w:val="24"/>
        </w:rPr>
        <w:t xml:space="preserve"> 7 of the Advocates Act this court may suspend and advocate or order that the </w:t>
      </w:r>
      <w:r w:rsidR="005E1072">
        <w:rPr>
          <w:szCs w:val="24"/>
        </w:rPr>
        <w:t xml:space="preserve">name of the advocate be struck off the roll of advocates. </w:t>
      </w:r>
      <w:r w:rsidR="00344E9D">
        <w:rPr>
          <w:szCs w:val="24"/>
        </w:rPr>
        <w:t>There was some debate by counsel on behalf of the respondent that, if the court finds that his conduct is of such a nature that it requires a sanction, that a further suspension of the respondent from practice would be an appropriate sanction. It is so that s</w:t>
      </w:r>
      <w:r w:rsidR="003E42DE">
        <w:rPr>
          <w:szCs w:val="24"/>
        </w:rPr>
        <w:t>ection</w:t>
      </w:r>
      <w:r w:rsidR="00344E9D">
        <w:rPr>
          <w:szCs w:val="24"/>
        </w:rPr>
        <w:t xml:space="preserve"> 7 provides also for a suspension from practice, but it is clear that if a court is satisfied that such a person is not a fit and proper person to continue to practice as an advocate, the only sanction would be a striking off. </w:t>
      </w:r>
      <w:r w:rsidR="00C57E65">
        <w:rPr>
          <w:szCs w:val="24"/>
        </w:rPr>
        <w:t>In this regard, we may mention that both the attorneys</w:t>
      </w:r>
      <w:r w:rsidR="006D31FD">
        <w:rPr>
          <w:szCs w:val="24"/>
        </w:rPr>
        <w:t>’</w:t>
      </w:r>
      <w:r w:rsidR="00C57E65">
        <w:rPr>
          <w:szCs w:val="24"/>
        </w:rPr>
        <w:t xml:space="preserve"> and advocates</w:t>
      </w:r>
      <w:r w:rsidR="006D31FD">
        <w:rPr>
          <w:szCs w:val="24"/>
        </w:rPr>
        <w:t>’</w:t>
      </w:r>
      <w:r w:rsidR="00C57E65">
        <w:rPr>
          <w:szCs w:val="24"/>
        </w:rPr>
        <w:t xml:space="preserve"> profession have strict ethical rules </w:t>
      </w:r>
      <w:r w:rsidR="00E71966">
        <w:rPr>
          <w:szCs w:val="24"/>
        </w:rPr>
        <w:t>aimed at preventing their members from becoming parties to any untoward conduct. For this reason, absolute personal integrity and scrupulous honesty are demanded of each legal practitioner and practitioners who lack these qualities cannot be expected to play their part in preserving the high st</w:t>
      </w:r>
      <w:r w:rsidR="00825A4E">
        <w:rPr>
          <w:szCs w:val="24"/>
        </w:rPr>
        <w:t>andards of professional ethics.</w:t>
      </w:r>
      <w:r w:rsidR="00825A4E">
        <w:rPr>
          <w:rStyle w:val="FootnoteReference"/>
          <w:szCs w:val="24"/>
        </w:rPr>
        <w:footnoteReference w:id="35"/>
      </w:r>
      <w:r w:rsidR="00481374">
        <w:rPr>
          <w:szCs w:val="24"/>
        </w:rPr>
        <w:t xml:space="preserve"> The need for absolute honesty and integrity applies both in relation to advocates’ duties to their clients and duties to the cour</w:t>
      </w:r>
      <w:r w:rsidR="00D25047">
        <w:rPr>
          <w:szCs w:val="24"/>
        </w:rPr>
        <w:t>ts.</w:t>
      </w:r>
      <w:r w:rsidR="00D25047">
        <w:rPr>
          <w:rStyle w:val="FootnoteReference"/>
          <w:szCs w:val="24"/>
        </w:rPr>
        <w:footnoteReference w:id="36"/>
      </w:r>
      <w:r w:rsidR="000613ED">
        <w:rPr>
          <w:szCs w:val="24"/>
        </w:rPr>
        <w:t xml:space="preserve"> These qualities of honesty and integrity must continue to be displayed throughout and an advocate’s practice and conduct by an advocate in </w:t>
      </w:r>
      <w:r w:rsidR="008240F0">
        <w:rPr>
          <w:szCs w:val="24"/>
        </w:rPr>
        <w:t xml:space="preserve">the </w:t>
      </w:r>
      <w:r w:rsidR="000613ED">
        <w:rPr>
          <w:szCs w:val="24"/>
        </w:rPr>
        <w:t>course of hi</w:t>
      </w:r>
      <w:r w:rsidR="005A54E7">
        <w:rPr>
          <w:szCs w:val="24"/>
        </w:rPr>
        <w:t xml:space="preserve">s or </w:t>
      </w:r>
      <w:r w:rsidR="00327699">
        <w:rPr>
          <w:szCs w:val="24"/>
        </w:rPr>
        <w:t>her practice that demonstrates a lack of honest or integrity has been repeatedly held to l</w:t>
      </w:r>
      <w:r w:rsidR="008240F0">
        <w:rPr>
          <w:szCs w:val="24"/>
        </w:rPr>
        <w:t>ead to the conclusion that they</w:t>
      </w:r>
      <w:r w:rsidR="00327699">
        <w:rPr>
          <w:szCs w:val="24"/>
        </w:rPr>
        <w:t xml:space="preserve"> are no longer fit and proper persons to continue to practice as advocates.</w:t>
      </w:r>
      <w:r w:rsidR="00327699">
        <w:rPr>
          <w:rStyle w:val="FootnoteReference"/>
          <w:szCs w:val="24"/>
        </w:rPr>
        <w:footnoteReference w:id="37"/>
      </w:r>
      <w:r w:rsidR="00B31DFE">
        <w:rPr>
          <w:szCs w:val="24"/>
        </w:rPr>
        <w:t xml:space="preserve"> </w:t>
      </w:r>
      <w:r w:rsidR="009308C3">
        <w:rPr>
          <w:szCs w:val="24"/>
        </w:rPr>
        <w:t xml:space="preserve">See </w:t>
      </w:r>
      <w:r w:rsidR="009308C3" w:rsidRPr="009308C3">
        <w:rPr>
          <w:i/>
          <w:iCs/>
          <w:szCs w:val="24"/>
        </w:rPr>
        <w:t>Van der Berg</w:t>
      </w:r>
      <w:r w:rsidR="006D31FD">
        <w:rPr>
          <w:szCs w:val="24"/>
        </w:rPr>
        <w:t>.</w:t>
      </w:r>
      <w:r w:rsidR="006D31FD">
        <w:rPr>
          <w:rStyle w:val="FootnoteReference"/>
          <w:szCs w:val="24"/>
        </w:rPr>
        <w:footnoteReference w:id="38"/>
      </w:r>
    </w:p>
    <w:p w:rsidR="00951133" w:rsidRDefault="00951133" w:rsidP="009308C3">
      <w:pPr>
        <w:spacing w:after="0"/>
        <w:jc w:val="both"/>
        <w:rPr>
          <w:sz w:val="22"/>
          <w:szCs w:val="24"/>
        </w:rPr>
      </w:pPr>
    </w:p>
    <w:p w:rsidR="00C05B5D" w:rsidRDefault="00DF5826" w:rsidP="00C05B5D">
      <w:pPr>
        <w:jc w:val="both"/>
        <w:rPr>
          <w:szCs w:val="24"/>
        </w:rPr>
      </w:pPr>
      <w:r>
        <w:rPr>
          <w:szCs w:val="24"/>
        </w:rPr>
        <w:lastRenderedPageBreak/>
        <w:t>[</w:t>
      </w:r>
      <w:r w:rsidR="00127B6B">
        <w:rPr>
          <w:szCs w:val="24"/>
        </w:rPr>
        <w:t>60</w:t>
      </w:r>
      <w:r w:rsidR="004B5319">
        <w:rPr>
          <w:szCs w:val="24"/>
        </w:rPr>
        <w:t>]</w:t>
      </w:r>
      <w:r w:rsidR="004B5319">
        <w:rPr>
          <w:szCs w:val="24"/>
        </w:rPr>
        <w:tab/>
      </w:r>
      <w:r w:rsidR="00C05B5D">
        <w:rPr>
          <w:szCs w:val="24"/>
        </w:rPr>
        <w:t xml:space="preserve">In </w:t>
      </w:r>
      <w:r w:rsidR="00C05B5D" w:rsidRPr="00C05B5D">
        <w:rPr>
          <w:i/>
          <w:szCs w:val="24"/>
        </w:rPr>
        <w:t>Van der Ber</w:t>
      </w:r>
      <w:r w:rsidR="00C05B5D">
        <w:rPr>
          <w:szCs w:val="24"/>
        </w:rPr>
        <w:t>g</w:t>
      </w:r>
      <w:r w:rsidR="004051D4">
        <w:rPr>
          <w:rStyle w:val="FootnoteReference"/>
          <w:szCs w:val="24"/>
        </w:rPr>
        <w:footnoteReference w:id="39"/>
      </w:r>
      <w:r w:rsidR="00C05B5D">
        <w:rPr>
          <w:szCs w:val="24"/>
        </w:rPr>
        <w:t xml:space="preserve"> it was made clear that the enquiry does not turn on what constitutes an appropriate punishment for past transgressions </w:t>
      </w:r>
      <w:r w:rsidR="001C68A9">
        <w:rPr>
          <w:szCs w:val="24"/>
        </w:rPr>
        <w:t>but rather what is required fro</w:t>
      </w:r>
      <w:r w:rsidR="004B5319">
        <w:rPr>
          <w:szCs w:val="24"/>
        </w:rPr>
        <w:t xml:space="preserve">m </w:t>
      </w:r>
      <w:r w:rsidR="001C68A9">
        <w:rPr>
          <w:szCs w:val="24"/>
        </w:rPr>
        <w:t xml:space="preserve">the protection of the public in the future. </w:t>
      </w:r>
      <w:r w:rsidR="004B5319">
        <w:rPr>
          <w:szCs w:val="24"/>
        </w:rPr>
        <w:t xml:space="preserve">It is this need to protect the public that may justify an order for the striking off of an advocate. </w:t>
      </w:r>
    </w:p>
    <w:p w:rsidR="00951133" w:rsidRDefault="00951133" w:rsidP="00C05B5D">
      <w:pPr>
        <w:jc w:val="both"/>
        <w:rPr>
          <w:szCs w:val="24"/>
        </w:rPr>
      </w:pPr>
    </w:p>
    <w:p w:rsidR="000C7A27" w:rsidRDefault="00DF5826" w:rsidP="000C7A27">
      <w:pPr>
        <w:jc w:val="both"/>
        <w:rPr>
          <w:szCs w:val="24"/>
        </w:rPr>
      </w:pPr>
      <w:r>
        <w:rPr>
          <w:szCs w:val="24"/>
        </w:rPr>
        <w:t>[</w:t>
      </w:r>
      <w:r w:rsidR="00984AA7">
        <w:rPr>
          <w:szCs w:val="24"/>
        </w:rPr>
        <w:t>6</w:t>
      </w:r>
      <w:r w:rsidR="00127B6B">
        <w:rPr>
          <w:szCs w:val="24"/>
        </w:rPr>
        <w:t>1</w:t>
      </w:r>
      <w:r w:rsidR="000C7A27">
        <w:rPr>
          <w:szCs w:val="24"/>
        </w:rPr>
        <w:t>]</w:t>
      </w:r>
      <w:r w:rsidR="000C7A27">
        <w:rPr>
          <w:szCs w:val="24"/>
        </w:rPr>
        <w:tab/>
        <w:t>In the light of the respondent’s dishonest conduct exhibited thus far, the public, the fiscus and organs of state exposed to the respondent’s conduct should be protected from practitioners such as the respondent. The state attorney paid over in excess of R34,4 million to the respondent in a seventeen</w:t>
      </w:r>
      <w:r w:rsidR="003E42DE">
        <w:rPr>
          <w:szCs w:val="24"/>
        </w:rPr>
        <w:t>-</w:t>
      </w:r>
      <w:r w:rsidR="000C7A27">
        <w:rPr>
          <w:szCs w:val="24"/>
        </w:rPr>
        <w:t>month period. This is over and above the losses resulting from unauthorised settlement</w:t>
      </w:r>
      <w:r w:rsidR="008558D4">
        <w:rPr>
          <w:szCs w:val="24"/>
        </w:rPr>
        <w:t>s</w:t>
      </w:r>
      <w:r w:rsidR="000C7A27">
        <w:rPr>
          <w:szCs w:val="24"/>
        </w:rPr>
        <w:t xml:space="preserve">. There is no indication that the respondent’s dishonesty </w:t>
      </w:r>
      <w:r w:rsidR="0028507A">
        <w:rPr>
          <w:szCs w:val="24"/>
        </w:rPr>
        <w:t>will not reoccur. He has shown no contriti</w:t>
      </w:r>
      <w:r w:rsidR="008240F0">
        <w:rPr>
          <w:szCs w:val="24"/>
        </w:rPr>
        <w:t>on nor</w:t>
      </w:r>
      <w:r w:rsidR="0028507A">
        <w:rPr>
          <w:szCs w:val="24"/>
        </w:rPr>
        <w:t xml:space="preserve"> placed facts before this court that would ameliorate </w:t>
      </w:r>
      <w:r w:rsidR="008558D4">
        <w:rPr>
          <w:szCs w:val="24"/>
        </w:rPr>
        <w:t>he conduct. Indeed, his</w:t>
      </w:r>
      <w:r w:rsidR="00604EDF">
        <w:rPr>
          <w:szCs w:val="24"/>
        </w:rPr>
        <w:t xml:space="preserve"> refusal to give his cooperation</w:t>
      </w:r>
      <w:r w:rsidR="006E25F2">
        <w:rPr>
          <w:szCs w:val="24"/>
        </w:rPr>
        <w:t xml:space="preserve"> indicates the contrary. This was not a singular or isolated instance or a lapse of judgment that can be condoned. His conduct amounts to a considered effort over a prolonged period to irregularly obtain funds from the fiscus. As explained by Nugent JA </w:t>
      </w:r>
      <w:r w:rsidR="0000297F">
        <w:rPr>
          <w:szCs w:val="24"/>
        </w:rPr>
        <w:t xml:space="preserve">in </w:t>
      </w:r>
      <w:r w:rsidR="0000297F" w:rsidRPr="0000297F">
        <w:rPr>
          <w:i/>
          <w:szCs w:val="24"/>
        </w:rPr>
        <w:t>Geach</w:t>
      </w:r>
      <w:r w:rsidR="007C10CB" w:rsidRPr="007C10CB">
        <w:rPr>
          <w:szCs w:val="24"/>
        </w:rPr>
        <w:t>:</w:t>
      </w:r>
      <w:r w:rsidR="0000297F" w:rsidRPr="007C10CB">
        <w:rPr>
          <w:rStyle w:val="FootnoteReference"/>
          <w:szCs w:val="24"/>
        </w:rPr>
        <w:footnoteReference w:id="40"/>
      </w:r>
    </w:p>
    <w:p w:rsidR="00951133" w:rsidRDefault="00951133" w:rsidP="000C7A27">
      <w:pPr>
        <w:jc w:val="both"/>
        <w:rPr>
          <w:szCs w:val="24"/>
        </w:rPr>
      </w:pPr>
    </w:p>
    <w:p w:rsidR="007C10CB" w:rsidRDefault="007C10CB" w:rsidP="007C10CB">
      <w:pPr>
        <w:ind w:left="709"/>
        <w:jc w:val="both"/>
        <w:rPr>
          <w:sz w:val="22"/>
          <w:szCs w:val="24"/>
        </w:rPr>
      </w:pPr>
      <w:r>
        <w:rPr>
          <w:szCs w:val="24"/>
        </w:rPr>
        <w:tab/>
      </w:r>
      <w:r w:rsidR="00073419">
        <w:rPr>
          <w:sz w:val="22"/>
          <w:szCs w:val="24"/>
        </w:rPr>
        <w:t>“</w:t>
      </w:r>
      <w:r w:rsidR="009F1E50">
        <w:rPr>
          <w:sz w:val="22"/>
          <w:szCs w:val="24"/>
        </w:rPr>
        <w:t xml:space="preserve">It was said in </w:t>
      </w:r>
      <w:r w:rsidR="004A59EA" w:rsidRPr="00E07B3E">
        <w:rPr>
          <w:i/>
          <w:sz w:val="22"/>
          <w:szCs w:val="24"/>
        </w:rPr>
        <w:t>Malan v Law Society, Northern Province</w:t>
      </w:r>
      <w:r w:rsidR="00643A6A" w:rsidRPr="00E07B3E">
        <w:rPr>
          <w:i/>
          <w:sz w:val="22"/>
          <w:szCs w:val="24"/>
        </w:rPr>
        <w:t>s</w:t>
      </w:r>
      <w:r w:rsidR="004A59EA">
        <w:rPr>
          <w:sz w:val="22"/>
          <w:szCs w:val="24"/>
        </w:rPr>
        <w:t xml:space="preserve"> (footnote 57) </w:t>
      </w:r>
      <w:r w:rsidR="00643A6A">
        <w:rPr>
          <w:sz w:val="22"/>
          <w:szCs w:val="24"/>
        </w:rPr>
        <w:t xml:space="preserve">2009 (1) SA 216 (SCA) that </w:t>
      </w:r>
      <w:r w:rsidR="00F62FCB">
        <w:rPr>
          <w:sz w:val="22"/>
          <w:szCs w:val="24"/>
        </w:rPr>
        <w:t>‘</w:t>
      </w:r>
      <w:r w:rsidR="00643A6A">
        <w:rPr>
          <w:sz w:val="22"/>
          <w:szCs w:val="24"/>
        </w:rPr>
        <w:t>if a court finds dishonesty the circumstances must be exceptional before a court will order a suspension instead of a removal</w:t>
      </w:r>
      <w:r w:rsidR="00F62FCB">
        <w:rPr>
          <w:sz w:val="22"/>
          <w:szCs w:val="24"/>
        </w:rPr>
        <w:t>’</w:t>
      </w:r>
      <w:r w:rsidR="00643A6A">
        <w:rPr>
          <w:sz w:val="22"/>
          <w:szCs w:val="24"/>
        </w:rPr>
        <w:t xml:space="preserve">. That does not purport to lay down a rule of law but expresses what follows naturally from a finding of dishonesty. Once an advocate has exhibited dishonesty it might be inferred that the dishonesty will recur and for that reason he or she should ordinarily be barred from practice. What was said in </w:t>
      </w:r>
      <w:r w:rsidR="00643A6A" w:rsidRPr="00643A6A">
        <w:rPr>
          <w:i/>
          <w:sz w:val="22"/>
          <w:szCs w:val="24"/>
        </w:rPr>
        <w:t>Malan</w:t>
      </w:r>
      <w:r w:rsidR="00643A6A">
        <w:rPr>
          <w:sz w:val="22"/>
          <w:szCs w:val="24"/>
        </w:rPr>
        <w:t xml:space="preserve"> means only that when the person concerned has been shown to </w:t>
      </w:r>
      <w:r w:rsidR="00F62FCB">
        <w:rPr>
          <w:sz w:val="22"/>
          <w:szCs w:val="24"/>
        </w:rPr>
        <w:t>need</w:t>
      </w:r>
      <w:r w:rsidR="00643A6A">
        <w:rPr>
          <w:sz w:val="22"/>
          <w:szCs w:val="24"/>
        </w:rPr>
        <w:t xml:space="preserve"> be</w:t>
      </w:r>
      <w:r w:rsidR="00F62FCB">
        <w:rPr>
          <w:sz w:val="22"/>
          <w:szCs w:val="24"/>
        </w:rPr>
        <w:t>e</w:t>
      </w:r>
      <w:r w:rsidR="00643A6A">
        <w:rPr>
          <w:sz w:val="22"/>
          <w:szCs w:val="24"/>
        </w:rPr>
        <w:t>n dishonest a court will need to be satisfied that circumstances of the case are such that th</w:t>
      </w:r>
      <w:r w:rsidR="00F62FCB">
        <w:rPr>
          <w:sz w:val="22"/>
          <w:szCs w:val="24"/>
        </w:rPr>
        <w:t>at</w:t>
      </w:r>
      <w:r w:rsidR="00643A6A">
        <w:rPr>
          <w:sz w:val="22"/>
          <w:szCs w:val="24"/>
        </w:rPr>
        <w:t xml:space="preserve"> inference, exceptionally, need not been drawn</w:t>
      </w:r>
      <w:r w:rsidR="00F62FCB">
        <w:rPr>
          <w:sz w:val="22"/>
          <w:szCs w:val="24"/>
        </w:rPr>
        <w:t>, and</w:t>
      </w:r>
      <w:r w:rsidR="00643A6A">
        <w:rPr>
          <w:sz w:val="22"/>
          <w:szCs w:val="24"/>
        </w:rPr>
        <w:t xml:space="preserve"> thus </w:t>
      </w:r>
      <w:r w:rsidR="00F62FCB">
        <w:rPr>
          <w:sz w:val="22"/>
          <w:szCs w:val="24"/>
        </w:rPr>
        <w:t xml:space="preserve">that </w:t>
      </w:r>
      <w:r w:rsidR="00E07B3E">
        <w:rPr>
          <w:sz w:val="22"/>
          <w:szCs w:val="24"/>
        </w:rPr>
        <w:t>striking off need not follow. . . .</w:t>
      </w:r>
      <w:r w:rsidR="00073419">
        <w:rPr>
          <w:sz w:val="22"/>
          <w:szCs w:val="24"/>
        </w:rPr>
        <w:t>”</w:t>
      </w:r>
    </w:p>
    <w:p w:rsidR="00E07B3E" w:rsidRDefault="00DF5826" w:rsidP="00E07B3E">
      <w:pPr>
        <w:jc w:val="both"/>
        <w:rPr>
          <w:szCs w:val="24"/>
        </w:rPr>
      </w:pPr>
      <w:r>
        <w:rPr>
          <w:szCs w:val="24"/>
        </w:rPr>
        <w:t>[</w:t>
      </w:r>
      <w:r w:rsidR="0018457F">
        <w:rPr>
          <w:szCs w:val="24"/>
        </w:rPr>
        <w:t>6</w:t>
      </w:r>
      <w:r w:rsidR="00127B6B">
        <w:rPr>
          <w:szCs w:val="24"/>
        </w:rPr>
        <w:t>2</w:t>
      </w:r>
      <w:r w:rsidR="008558D4">
        <w:rPr>
          <w:szCs w:val="24"/>
        </w:rPr>
        <w:t xml:space="preserve">] </w:t>
      </w:r>
      <w:r w:rsidR="008558D4">
        <w:rPr>
          <w:szCs w:val="24"/>
        </w:rPr>
        <w:tab/>
        <w:t>There were</w:t>
      </w:r>
      <w:r w:rsidR="00E07B3E">
        <w:rPr>
          <w:szCs w:val="24"/>
        </w:rPr>
        <w:t xml:space="preserve"> no exceptional circumstances</w:t>
      </w:r>
      <w:r w:rsidR="008558D4">
        <w:rPr>
          <w:szCs w:val="24"/>
        </w:rPr>
        <w:t xml:space="preserve"> placed</w:t>
      </w:r>
      <w:r w:rsidR="00E07B3E">
        <w:rPr>
          <w:szCs w:val="24"/>
        </w:rPr>
        <w:t xml:space="preserve"> before this court that can justify </w:t>
      </w:r>
      <w:r w:rsidR="008240F0">
        <w:rPr>
          <w:szCs w:val="24"/>
        </w:rPr>
        <w:t>the exercise of a discretion i</w:t>
      </w:r>
      <w:r w:rsidR="0020027B">
        <w:rPr>
          <w:szCs w:val="24"/>
        </w:rPr>
        <w:t xml:space="preserve">n the respondent’s favour </w:t>
      </w:r>
      <w:r w:rsidR="004051D4">
        <w:rPr>
          <w:szCs w:val="24"/>
        </w:rPr>
        <w:t>for an</w:t>
      </w:r>
      <w:r w:rsidR="008240F0">
        <w:rPr>
          <w:szCs w:val="24"/>
        </w:rPr>
        <w:t xml:space="preserve"> order </w:t>
      </w:r>
      <w:r w:rsidR="00E07B3E">
        <w:rPr>
          <w:szCs w:val="24"/>
        </w:rPr>
        <w:t xml:space="preserve">that the respondent should be further suspended. </w:t>
      </w:r>
    </w:p>
    <w:p w:rsidR="00951133" w:rsidRDefault="00951133" w:rsidP="00E07B3E">
      <w:pPr>
        <w:jc w:val="both"/>
        <w:rPr>
          <w:szCs w:val="24"/>
        </w:rPr>
      </w:pPr>
    </w:p>
    <w:p w:rsidR="00033AAF" w:rsidRDefault="00DF5826" w:rsidP="00E07B3E">
      <w:pPr>
        <w:jc w:val="both"/>
        <w:rPr>
          <w:szCs w:val="24"/>
        </w:rPr>
      </w:pPr>
      <w:r>
        <w:rPr>
          <w:szCs w:val="24"/>
        </w:rPr>
        <w:t>[</w:t>
      </w:r>
      <w:r w:rsidR="00984AA7">
        <w:rPr>
          <w:szCs w:val="24"/>
        </w:rPr>
        <w:t>6</w:t>
      </w:r>
      <w:r w:rsidR="00127B6B">
        <w:rPr>
          <w:szCs w:val="24"/>
        </w:rPr>
        <w:t>3</w:t>
      </w:r>
      <w:r w:rsidR="00033AAF">
        <w:rPr>
          <w:szCs w:val="24"/>
        </w:rPr>
        <w:t>]</w:t>
      </w:r>
      <w:r w:rsidR="00033AAF">
        <w:rPr>
          <w:szCs w:val="24"/>
        </w:rPr>
        <w:tab/>
        <w:t xml:space="preserve">In our </w:t>
      </w:r>
      <w:r w:rsidR="008558D4">
        <w:rPr>
          <w:szCs w:val="24"/>
        </w:rPr>
        <w:t>view the respondent’s dishonest</w:t>
      </w:r>
      <w:r w:rsidR="00033AAF">
        <w:rPr>
          <w:szCs w:val="24"/>
        </w:rPr>
        <w:t xml:space="preserve"> conduct that forms the basis of the application effectively stands uncontested and has therefore been established o</w:t>
      </w:r>
      <w:r w:rsidR="009E29B9">
        <w:rPr>
          <w:szCs w:val="24"/>
        </w:rPr>
        <w:t>n preponderance of probability.</w:t>
      </w:r>
      <w:r w:rsidR="009E29B9">
        <w:rPr>
          <w:rStyle w:val="FootnoteReference"/>
          <w:szCs w:val="24"/>
        </w:rPr>
        <w:footnoteReference w:id="41"/>
      </w:r>
    </w:p>
    <w:p w:rsidR="00951133" w:rsidRDefault="00951133" w:rsidP="00E07B3E">
      <w:pPr>
        <w:jc w:val="both"/>
        <w:rPr>
          <w:szCs w:val="24"/>
        </w:rPr>
      </w:pPr>
    </w:p>
    <w:p w:rsidR="008558D4" w:rsidRDefault="00DF5826" w:rsidP="00E07B3E">
      <w:pPr>
        <w:jc w:val="both"/>
        <w:rPr>
          <w:szCs w:val="24"/>
        </w:rPr>
      </w:pPr>
      <w:r>
        <w:rPr>
          <w:szCs w:val="24"/>
        </w:rPr>
        <w:t>[</w:t>
      </w:r>
      <w:r w:rsidR="00984AA7">
        <w:rPr>
          <w:szCs w:val="24"/>
        </w:rPr>
        <w:t>6</w:t>
      </w:r>
      <w:r w:rsidR="00127B6B">
        <w:rPr>
          <w:szCs w:val="24"/>
        </w:rPr>
        <w:t>4</w:t>
      </w:r>
      <w:r w:rsidR="00E36A78">
        <w:rPr>
          <w:szCs w:val="24"/>
        </w:rPr>
        <w:t>]</w:t>
      </w:r>
      <w:r w:rsidR="00E36A78">
        <w:rPr>
          <w:szCs w:val="24"/>
        </w:rPr>
        <w:tab/>
        <w:t xml:space="preserve">The nature and extent of the respondent’s misconduct can lead to no </w:t>
      </w:r>
      <w:r w:rsidR="00941EB7">
        <w:rPr>
          <w:szCs w:val="24"/>
        </w:rPr>
        <w:t xml:space="preserve">other </w:t>
      </w:r>
      <w:r w:rsidR="00E36A78">
        <w:rPr>
          <w:szCs w:val="24"/>
        </w:rPr>
        <w:t xml:space="preserve">conclusion than that the respondent is not a fit and proper person to continue to practice as an advocate. </w:t>
      </w:r>
    </w:p>
    <w:p w:rsidR="00951133" w:rsidRDefault="00951133" w:rsidP="00E07B3E">
      <w:pPr>
        <w:jc w:val="both"/>
        <w:rPr>
          <w:szCs w:val="24"/>
        </w:rPr>
      </w:pPr>
    </w:p>
    <w:p w:rsidR="0050679C" w:rsidRDefault="0050679C" w:rsidP="00E07B3E">
      <w:pPr>
        <w:jc w:val="both"/>
        <w:rPr>
          <w:szCs w:val="24"/>
        </w:rPr>
      </w:pPr>
      <w:r>
        <w:rPr>
          <w:szCs w:val="24"/>
        </w:rPr>
        <w:t>[</w:t>
      </w:r>
      <w:r w:rsidR="00984AA7">
        <w:rPr>
          <w:szCs w:val="24"/>
        </w:rPr>
        <w:t>6</w:t>
      </w:r>
      <w:r w:rsidR="00127B6B">
        <w:rPr>
          <w:szCs w:val="24"/>
        </w:rPr>
        <w:t>5</w:t>
      </w:r>
      <w:r>
        <w:rPr>
          <w:szCs w:val="24"/>
        </w:rPr>
        <w:t>]</w:t>
      </w:r>
      <w:r>
        <w:rPr>
          <w:szCs w:val="24"/>
        </w:rPr>
        <w:tab/>
        <w:t xml:space="preserve">The applicant sought the costs of the attorney who assisted the applicant with this application. There was no contrary </w:t>
      </w:r>
      <w:r w:rsidR="003B0C2B">
        <w:rPr>
          <w:szCs w:val="24"/>
        </w:rPr>
        <w:t>submission,</w:t>
      </w:r>
      <w:r>
        <w:rPr>
          <w:szCs w:val="24"/>
        </w:rPr>
        <w:t xml:space="preserve"> and we are of the view that such costs order is justified.</w:t>
      </w:r>
    </w:p>
    <w:p w:rsidR="00951133" w:rsidRDefault="00951133" w:rsidP="00E07B3E">
      <w:pPr>
        <w:jc w:val="both"/>
        <w:rPr>
          <w:szCs w:val="24"/>
        </w:rPr>
      </w:pPr>
    </w:p>
    <w:p w:rsidR="003B0C2B" w:rsidRDefault="003B0C2B" w:rsidP="003B0C2B">
      <w:pPr>
        <w:spacing w:line="480" w:lineRule="auto"/>
        <w:jc w:val="both"/>
        <w:rPr>
          <w:rFonts w:eastAsiaTheme="minorHAnsi" w:cs="Arial"/>
          <w:i/>
          <w:szCs w:val="24"/>
        </w:rPr>
      </w:pPr>
      <w:r>
        <w:rPr>
          <w:szCs w:val="24"/>
        </w:rPr>
        <w:t>[66]</w:t>
      </w:r>
      <w:r>
        <w:rPr>
          <w:szCs w:val="24"/>
        </w:rPr>
        <w:tab/>
        <w:t xml:space="preserve">We express our appreciation to Mr Wessels, SC and Mr Mostert of the Johannesburg Society of Advocates who </w:t>
      </w:r>
      <w:r>
        <w:rPr>
          <w:rFonts w:cs="Arial"/>
          <w:szCs w:val="24"/>
        </w:rPr>
        <w:t xml:space="preserve">appeared for the applicant, </w:t>
      </w:r>
      <w:r>
        <w:rPr>
          <w:rFonts w:cs="Arial"/>
          <w:i/>
          <w:iCs/>
          <w:szCs w:val="24"/>
        </w:rPr>
        <w:t xml:space="preserve">pro bono. </w:t>
      </w:r>
    </w:p>
    <w:p w:rsidR="003B0C2B" w:rsidRDefault="003B0C2B" w:rsidP="00E07B3E">
      <w:pPr>
        <w:jc w:val="both"/>
        <w:rPr>
          <w:szCs w:val="24"/>
        </w:rPr>
      </w:pPr>
      <w:r>
        <w:rPr>
          <w:szCs w:val="24"/>
        </w:rPr>
        <w:tab/>
      </w:r>
    </w:p>
    <w:p w:rsidR="0050679C" w:rsidRDefault="0050679C" w:rsidP="00E07B3E">
      <w:pPr>
        <w:jc w:val="both"/>
        <w:rPr>
          <w:szCs w:val="24"/>
        </w:rPr>
      </w:pPr>
      <w:r>
        <w:rPr>
          <w:szCs w:val="24"/>
        </w:rPr>
        <w:t>[</w:t>
      </w:r>
      <w:r w:rsidR="00984AA7">
        <w:rPr>
          <w:szCs w:val="24"/>
        </w:rPr>
        <w:t>6</w:t>
      </w:r>
      <w:r w:rsidR="003B0C2B">
        <w:rPr>
          <w:szCs w:val="24"/>
        </w:rPr>
        <w:t>7</w:t>
      </w:r>
      <w:r>
        <w:rPr>
          <w:szCs w:val="24"/>
        </w:rPr>
        <w:t>]</w:t>
      </w:r>
      <w:r>
        <w:rPr>
          <w:szCs w:val="24"/>
        </w:rPr>
        <w:tab/>
        <w:t>In the circumstances, we issue the following order:</w:t>
      </w:r>
    </w:p>
    <w:p w:rsidR="004F2A27" w:rsidRDefault="004F2A27" w:rsidP="00E07B3E">
      <w:pPr>
        <w:jc w:val="both"/>
        <w:rPr>
          <w:szCs w:val="24"/>
        </w:rPr>
      </w:pPr>
    </w:p>
    <w:p w:rsidR="0050679C" w:rsidRDefault="008E3C92" w:rsidP="0050679C">
      <w:pPr>
        <w:ind w:left="1134" w:hanging="425"/>
        <w:jc w:val="both"/>
        <w:rPr>
          <w:szCs w:val="24"/>
        </w:rPr>
      </w:pPr>
      <w:r>
        <w:rPr>
          <w:szCs w:val="24"/>
        </w:rPr>
        <w:t>1.</w:t>
      </w:r>
      <w:r>
        <w:rPr>
          <w:szCs w:val="24"/>
        </w:rPr>
        <w:tab/>
        <w:t>The name of Has</w:t>
      </w:r>
      <w:r w:rsidR="0050679C">
        <w:rPr>
          <w:szCs w:val="24"/>
        </w:rPr>
        <w:t>san Ebrahim Kajee (the respondent) is struck</w:t>
      </w:r>
      <w:r w:rsidR="004051D4">
        <w:rPr>
          <w:szCs w:val="24"/>
        </w:rPr>
        <w:t xml:space="preserve"> from </w:t>
      </w:r>
      <w:r w:rsidR="0050679C">
        <w:rPr>
          <w:szCs w:val="24"/>
        </w:rPr>
        <w:t xml:space="preserve">the roll of advocates. </w:t>
      </w:r>
    </w:p>
    <w:p w:rsidR="00951133" w:rsidRDefault="00951133" w:rsidP="0050679C">
      <w:pPr>
        <w:ind w:left="1134" w:hanging="425"/>
        <w:jc w:val="both"/>
        <w:rPr>
          <w:szCs w:val="24"/>
        </w:rPr>
      </w:pPr>
    </w:p>
    <w:p w:rsidR="0050679C" w:rsidRDefault="0050679C" w:rsidP="0050679C">
      <w:pPr>
        <w:ind w:left="1134" w:hanging="425"/>
        <w:jc w:val="both"/>
        <w:rPr>
          <w:szCs w:val="24"/>
        </w:rPr>
      </w:pPr>
      <w:r>
        <w:rPr>
          <w:szCs w:val="24"/>
        </w:rPr>
        <w:t xml:space="preserve">2. </w:t>
      </w:r>
      <w:r w:rsidR="00CB56B6">
        <w:rPr>
          <w:szCs w:val="24"/>
        </w:rPr>
        <w:tab/>
      </w:r>
      <w:r>
        <w:rPr>
          <w:szCs w:val="24"/>
        </w:rPr>
        <w:t xml:space="preserve">The respondent shall pay the applicants costs of </w:t>
      </w:r>
      <w:r w:rsidR="00CB56B6">
        <w:rPr>
          <w:szCs w:val="24"/>
        </w:rPr>
        <w:t xml:space="preserve">this application limited to the </w:t>
      </w:r>
      <w:r>
        <w:rPr>
          <w:szCs w:val="24"/>
        </w:rPr>
        <w:t xml:space="preserve">costs incurred by the applicant </w:t>
      </w:r>
      <w:r w:rsidR="00121B78">
        <w:rPr>
          <w:szCs w:val="24"/>
        </w:rPr>
        <w:t>in respect of the services rendered</w:t>
      </w:r>
      <w:r w:rsidR="004E5D64">
        <w:rPr>
          <w:szCs w:val="24"/>
        </w:rPr>
        <w:t xml:space="preserve"> by its attorney or record (Lang</w:t>
      </w:r>
      <w:r w:rsidR="00121B78">
        <w:rPr>
          <w:szCs w:val="24"/>
        </w:rPr>
        <w:t>am Love</w:t>
      </w:r>
      <w:r w:rsidR="004E5D64">
        <w:rPr>
          <w:szCs w:val="24"/>
        </w:rPr>
        <w:t xml:space="preserve"> </w:t>
      </w:r>
      <w:r w:rsidR="004E5D64" w:rsidRPr="004E5D64">
        <w:rPr>
          <w:szCs w:val="24"/>
        </w:rPr>
        <w:t>Galbraith-Van Reenen</w:t>
      </w:r>
      <w:r w:rsidR="00121B78">
        <w:rPr>
          <w:szCs w:val="24"/>
        </w:rPr>
        <w:t xml:space="preserve"> Attorneys) </w:t>
      </w:r>
      <w:r w:rsidR="00CB56B6">
        <w:rPr>
          <w:szCs w:val="24"/>
        </w:rPr>
        <w:t>on a scale as between attorney and client.</w:t>
      </w:r>
    </w:p>
    <w:p w:rsidR="0050679C" w:rsidRDefault="0050679C" w:rsidP="00E07B3E">
      <w:pPr>
        <w:jc w:val="both"/>
        <w:rPr>
          <w:szCs w:val="24"/>
        </w:rPr>
      </w:pPr>
    </w:p>
    <w:p w:rsidR="00951133" w:rsidRPr="00E07B3E" w:rsidRDefault="00951133" w:rsidP="00E07B3E">
      <w:pPr>
        <w:jc w:val="both"/>
        <w:rPr>
          <w:szCs w:val="24"/>
        </w:rPr>
      </w:pPr>
    </w:p>
    <w:p w:rsidR="00073419" w:rsidRPr="00073419" w:rsidRDefault="00964047" w:rsidP="00073419">
      <w:pPr>
        <w:tabs>
          <w:tab w:val="right" w:pos="0"/>
        </w:tabs>
        <w:jc w:val="both"/>
        <w:rPr>
          <w:rFonts w:eastAsia="Times New Roman" w:cs="Arial"/>
          <w:szCs w:val="24"/>
          <w:lang w:eastAsia="en-GB"/>
        </w:rPr>
      </w:pPr>
      <w:r>
        <w:rPr>
          <w:sz w:val="22"/>
          <w:szCs w:val="24"/>
        </w:rPr>
        <w:t xml:space="preserve">  </w:t>
      </w:r>
    </w:p>
    <w:p w:rsidR="00073419" w:rsidRPr="00073419" w:rsidRDefault="00073419" w:rsidP="00073419">
      <w:pPr>
        <w:tabs>
          <w:tab w:val="right" w:pos="0"/>
        </w:tabs>
        <w:spacing w:before="0" w:after="0"/>
        <w:jc w:val="both"/>
        <w:rPr>
          <w:rFonts w:eastAsia="Times New Roman" w:cs="Arial"/>
          <w:szCs w:val="24"/>
          <w:lang w:eastAsia="en-GB"/>
        </w:rPr>
      </w:pPr>
      <w:r w:rsidRPr="00073419">
        <w:rPr>
          <w:rFonts w:eastAsia="Times New Roman" w:cs="Arial"/>
          <w:szCs w:val="24"/>
          <w:lang w:eastAsia="en-GB"/>
        </w:rPr>
        <w:tab/>
      </w:r>
      <w:r w:rsidRPr="00073419">
        <w:rPr>
          <w:rFonts w:eastAsia="Times New Roman" w:cs="Arial"/>
          <w:szCs w:val="24"/>
          <w:lang w:eastAsia="en-GB"/>
        </w:rPr>
        <w:tab/>
      </w:r>
      <w:r w:rsidRPr="00073419">
        <w:rPr>
          <w:rFonts w:eastAsia="Times New Roman" w:cs="Arial"/>
          <w:szCs w:val="24"/>
          <w:lang w:eastAsia="en-GB"/>
        </w:rPr>
        <w:tab/>
      </w:r>
      <w:r w:rsidRPr="00073419">
        <w:rPr>
          <w:rFonts w:eastAsia="Times New Roman" w:cs="Arial"/>
          <w:szCs w:val="24"/>
          <w:lang w:eastAsia="en-GB"/>
        </w:rPr>
        <w:tab/>
      </w:r>
      <w:r w:rsidRPr="00073419">
        <w:rPr>
          <w:rFonts w:eastAsia="Times New Roman" w:cs="Arial"/>
          <w:szCs w:val="24"/>
          <w:lang w:eastAsia="en-GB"/>
        </w:rPr>
        <w:tab/>
        <w:t>________________________________________</w:t>
      </w:r>
    </w:p>
    <w:p w:rsidR="00073419" w:rsidRPr="00073419" w:rsidRDefault="00073419" w:rsidP="00073419">
      <w:pPr>
        <w:tabs>
          <w:tab w:val="right" w:pos="0"/>
        </w:tabs>
        <w:spacing w:before="0" w:after="0" w:line="240" w:lineRule="auto"/>
        <w:jc w:val="both"/>
        <w:rPr>
          <w:rFonts w:eastAsia="Times New Roman" w:cs="Arial"/>
          <w:b/>
          <w:szCs w:val="24"/>
          <w:lang w:eastAsia="en-GB"/>
        </w:rPr>
      </w:pPr>
      <w:r w:rsidRPr="00073419">
        <w:rPr>
          <w:rFonts w:eastAsia="Times New Roman" w:cs="Arial"/>
          <w:szCs w:val="24"/>
          <w:lang w:eastAsia="en-GB"/>
        </w:rPr>
        <w:tab/>
      </w:r>
      <w:r w:rsidRPr="00073419">
        <w:rPr>
          <w:rFonts w:eastAsia="Times New Roman" w:cs="Arial"/>
          <w:szCs w:val="24"/>
          <w:lang w:eastAsia="en-GB"/>
        </w:rPr>
        <w:tab/>
      </w:r>
      <w:r w:rsidRPr="00073419">
        <w:rPr>
          <w:rFonts w:eastAsia="Times New Roman" w:cs="Arial"/>
          <w:szCs w:val="24"/>
          <w:lang w:eastAsia="en-GB"/>
        </w:rPr>
        <w:tab/>
      </w:r>
      <w:r w:rsidRPr="00073419">
        <w:rPr>
          <w:rFonts w:eastAsia="Times New Roman" w:cs="Arial"/>
          <w:szCs w:val="24"/>
          <w:lang w:eastAsia="en-GB"/>
        </w:rPr>
        <w:tab/>
      </w:r>
      <w:r w:rsidRPr="00073419">
        <w:rPr>
          <w:rFonts w:eastAsia="Times New Roman" w:cs="Arial"/>
          <w:szCs w:val="24"/>
          <w:lang w:eastAsia="en-GB"/>
        </w:rPr>
        <w:tab/>
      </w:r>
      <w:r w:rsidRPr="00073419">
        <w:rPr>
          <w:rFonts w:eastAsia="Times New Roman" w:cs="Arial"/>
          <w:szCs w:val="24"/>
          <w:lang w:eastAsia="en-GB"/>
        </w:rPr>
        <w:tab/>
      </w:r>
      <w:r w:rsidRPr="00073419">
        <w:rPr>
          <w:rFonts w:eastAsia="Times New Roman" w:cs="Arial"/>
          <w:szCs w:val="24"/>
          <w:lang w:eastAsia="en-GB"/>
        </w:rPr>
        <w:tab/>
        <w:t xml:space="preserve">       </w:t>
      </w:r>
      <w:r w:rsidRPr="00073419">
        <w:rPr>
          <w:rFonts w:eastAsia="Times New Roman" w:cs="Arial"/>
          <w:b/>
          <w:szCs w:val="24"/>
          <w:lang w:eastAsia="en-GB"/>
        </w:rPr>
        <w:t>M. A. MAKUME</w:t>
      </w:r>
    </w:p>
    <w:p w:rsidR="00073419" w:rsidRPr="00073419" w:rsidRDefault="00073419" w:rsidP="00073419">
      <w:pPr>
        <w:tabs>
          <w:tab w:val="right" w:pos="0"/>
        </w:tabs>
        <w:spacing w:before="0" w:after="0" w:line="240" w:lineRule="auto"/>
        <w:jc w:val="both"/>
        <w:rPr>
          <w:rFonts w:eastAsia="Times New Roman" w:cs="Arial"/>
          <w:b/>
          <w:szCs w:val="24"/>
          <w:lang w:eastAsia="en-GB"/>
        </w:rPr>
      </w:pPr>
      <w:r w:rsidRPr="00073419">
        <w:rPr>
          <w:rFonts w:eastAsia="Times New Roman" w:cs="Arial"/>
          <w:b/>
          <w:szCs w:val="24"/>
          <w:lang w:eastAsia="en-GB"/>
        </w:rPr>
        <w:tab/>
      </w:r>
      <w:r w:rsidRPr="00073419">
        <w:rPr>
          <w:rFonts w:eastAsia="Times New Roman" w:cs="Arial"/>
          <w:b/>
          <w:szCs w:val="24"/>
          <w:lang w:eastAsia="en-GB"/>
        </w:rPr>
        <w:tab/>
      </w:r>
      <w:r w:rsidRPr="00073419">
        <w:rPr>
          <w:rFonts w:eastAsia="Times New Roman" w:cs="Arial"/>
          <w:b/>
          <w:szCs w:val="24"/>
          <w:lang w:eastAsia="en-GB"/>
        </w:rPr>
        <w:tab/>
      </w:r>
      <w:r w:rsidRPr="00073419">
        <w:rPr>
          <w:rFonts w:eastAsia="Times New Roman" w:cs="Arial"/>
          <w:b/>
          <w:szCs w:val="24"/>
          <w:lang w:eastAsia="en-GB"/>
        </w:rPr>
        <w:tab/>
      </w:r>
      <w:r w:rsidRPr="00073419">
        <w:rPr>
          <w:rFonts w:eastAsia="Times New Roman" w:cs="Arial"/>
          <w:b/>
          <w:szCs w:val="24"/>
          <w:lang w:eastAsia="en-GB"/>
        </w:rPr>
        <w:tab/>
      </w:r>
      <w:r w:rsidRPr="00073419">
        <w:rPr>
          <w:rFonts w:eastAsia="Times New Roman" w:cs="Arial"/>
          <w:b/>
          <w:szCs w:val="24"/>
          <w:lang w:eastAsia="en-GB"/>
        </w:rPr>
        <w:tab/>
        <w:t xml:space="preserve">     JUDGE OF THE HIGH COURT</w:t>
      </w:r>
    </w:p>
    <w:p w:rsidR="00073419" w:rsidRPr="00073419" w:rsidRDefault="00073419" w:rsidP="00073419">
      <w:pPr>
        <w:tabs>
          <w:tab w:val="right" w:pos="0"/>
        </w:tabs>
        <w:spacing w:before="0" w:after="0" w:line="240" w:lineRule="auto"/>
        <w:jc w:val="center"/>
        <w:rPr>
          <w:rFonts w:eastAsia="Times New Roman" w:cs="Arial"/>
          <w:b/>
          <w:szCs w:val="24"/>
          <w:lang w:eastAsia="en-GB"/>
        </w:rPr>
      </w:pPr>
      <w:r w:rsidRPr="00073419">
        <w:rPr>
          <w:rFonts w:eastAsia="Times New Roman" w:cs="Arial"/>
          <w:b/>
          <w:szCs w:val="24"/>
          <w:lang w:eastAsia="en-GB"/>
        </w:rPr>
        <w:tab/>
      </w:r>
      <w:r w:rsidRPr="00073419">
        <w:rPr>
          <w:rFonts w:eastAsia="Times New Roman" w:cs="Arial"/>
          <w:b/>
          <w:szCs w:val="24"/>
          <w:lang w:eastAsia="en-GB"/>
        </w:rPr>
        <w:tab/>
      </w:r>
      <w:r w:rsidRPr="00073419">
        <w:rPr>
          <w:rFonts w:eastAsia="Times New Roman" w:cs="Arial"/>
          <w:b/>
          <w:szCs w:val="24"/>
          <w:lang w:eastAsia="en-GB"/>
        </w:rPr>
        <w:tab/>
      </w:r>
      <w:r w:rsidRPr="00073419">
        <w:rPr>
          <w:rFonts w:eastAsia="Times New Roman" w:cs="Arial"/>
          <w:b/>
          <w:szCs w:val="24"/>
          <w:lang w:eastAsia="en-GB"/>
        </w:rPr>
        <w:tab/>
      </w:r>
      <w:r w:rsidRPr="00073419">
        <w:rPr>
          <w:rFonts w:eastAsia="Times New Roman" w:cs="Arial"/>
          <w:b/>
          <w:szCs w:val="24"/>
          <w:lang w:eastAsia="en-GB"/>
        </w:rPr>
        <w:tab/>
      </w:r>
      <w:r w:rsidRPr="00073419">
        <w:rPr>
          <w:rFonts w:eastAsia="Times New Roman" w:cs="Arial"/>
          <w:b/>
          <w:szCs w:val="24"/>
          <w:lang w:eastAsia="en-GB"/>
        </w:rPr>
        <w:tab/>
        <w:t>GAUTENG DIVISION, JOHANNESBURG</w:t>
      </w:r>
    </w:p>
    <w:p w:rsidR="00073419" w:rsidRDefault="00073419" w:rsidP="00073419">
      <w:pPr>
        <w:tabs>
          <w:tab w:val="right" w:pos="0"/>
        </w:tabs>
        <w:spacing w:before="0" w:after="0" w:line="240" w:lineRule="auto"/>
        <w:jc w:val="center"/>
        <w:rPr>
          <w:rFonts w:eastAsia="Times New Roman" w:cs="Arial"/>
          <w:b/>
          <w:szCs w:val="24"/>
          <w:lang w:eastAsia="en-GB"/>
        </w:rPr>
      </w:pPr>
    </w:p>
    <w:p w:rsidR="00073419" w:rsidRDefault="00073419" w:rsidP="008C77B5">
      <w:pPr>
        <w:tabs>
          <w:tab w:val="right" w:pos="0"/>
        </w:tabs>
        <w:spacing w:before="0" w:after="0" w:line="240" w:lineRule="auto"/>
        <w:rPr>
          <w:rFonts w:eastAsia="Times New Roman" w:cs="Arial"/>
          <w:b/>
          <w:szCs w:val="24"/>
          <w:lang w:eastAsia="en-GB"/>
        </w:rPr>
      </w:pPr>
    </w:p>
    <w:p w:rsidR="00AB428C" w:rsidRDefault="00AB428C" w:rsidP="008C77B5">
      <w:pPr>
        <w:tabs>
          <w:tab w:val="right" w:pos="0"/>
        </w:tabs>
        <w:spacing w:before="0" w:after="0" w:line="240" w:lineRule="auto"/>
        <w:rPr>
          <w:rFonts w:eastAsia="Times New Roman" w:cs="Arial"/>
          <w:b/>
          <w:szCs w:val="24"/>
          <w:lang w:eastAsia="en-GB"/>
        </w:rPr>
      </w:pPr>
    </w:p>
    <w:p w:rsidR="00073419" w:rsidRPr="00073419" w:rsidRDefault="00073419" w:rsidP="00073419">
      <w:pPr>
        <w:tabs>
          <w:tab w:val="right" w:pos="0"/>
        </w:tabs>
        <w:spacing w:before="0" w:after="0" w:line="240" w:lineRule="auto"/>
        <w:rPr>
          <w:rFonts w:eastAsia="Times New Roman" w:cs="Arial"/>
          <w:bCs/>
          <w:szCs w:val="24"/>
          <w:lang w:eastAsia="en-GB"/>
        </w:rPr>
      </w:pPr>
    </w:p>
    <w:p w:rsidR="00073419" w:rsidRPr="00073419" w:rsidRDefault="00073419" w:rsidP="00073419">
      <w:pPr>
        <w:tabs>
          <w:tab w:val="right" w:pos="0"/>
        </w:tabs>
        <w:spacing w:before="0" w:after="0" w:line="240" w:lineRule="auto"/>
        <w:rPr>
          <w:rFonts w:eastAsia="Times New Roman" w:cs="Arial"/>
          <w:bCs/>
          <w:szCs w:val="24"/>
          <w:lang w:eastAsia="en-GB"/>
        </w:rPr>
      </w:pPr>
    </w:p>
    <w:p w:rsidR="00073419" w:rsidRDefault="00073419" w:rsidP="00073419">
      <w:pPr>
        <w:tabs>
          <w:tab w:val="right" w:pos="0"/>
        </w:tabs>
        <w:spacing w:before="0" w:after="0" w:line="240" w:lineRule="auto"/>
        <w:rPr>
          <w:rFonts w:eastAsia="Times New Roman" w:cs="Arial"/>
          <w:bCs/>
          <w:szCs w:val="24"/>
          <w:lang w:eastAsia="en-GB"/>
        </w:rPr>
      </w:pPr>
    </w:p>
    <w:p w:rsidR="00073419" w:rsidRPr="00073419" w:rsidRDefault="00073419" w:rsidP="00073419">
      <w:pPr>
        <w:tabs>
          <w:tab w:val="right" w:pos="0"/>
        </w:tabs>
        <w:spacing w:before="0" w:after="0" w:line="240" w:lineRule="auto"/>
        <w:rPr>
          <w:rFonts w:eastAsia="Times New Roman" w:cs="Arial"/>
          <w:bCs/>
          <w:szCs w:val="24"/>
          <w:lang w:eastAsia="en-GB"/>
        </w:rPr>
      </w:pPr>
    </w:p>
    <w:p w:rsidR="00073419" w:rsidRPr="00073419" w:rsidRDefault="00073419" w:rsidP="00073419">
      <w:pPr>
        <w:tabs>
          <w:tab w:val="right" w:pos="0"/>
        </w:tabs>
        <w:spacing w:before="0" w:after="0" w:line="240" w:lineRule="auto"/>
        <w:jc w:val="right"/>
        <w:rPr>
          <w:rFonts w:eastAsia="Times New Roman" w:cs="Arial"/>
          <w:bCs/>
          <w:szCs w:val="24"/>
          <w:lang w:eastAsia="en-GB"/>
        </w:rPr>
      </w:pPr>
      <w:r w:rsidRPr="00073419">
        <w:rPr>
          <w:rFonts w:eastAsia="Times New Roman" w:cs="Arial"/>
          <w:bCs/>
          <w:szCs w:val="24"/>
          <w:lang w:eastAsia="en-GB"/>
        </w:rPr>
        <w:t>________________________________________</w:t>
      </w:r>
    </w:p>
    <w:p w:rsidR="00073419" w:rsidRPr="00073419" w:rsidRDefault="00073419" w:rsidP="00073419">
      <w:pPr>
        <w:tabs>
          <w:tab w:val="right" w:pos="0"/>
        </w:tabs>
        <w:spacing w:before="0" w:after="0" w:line="240" w:lineRule="auto"/>
        <w:jc w:val="right"/>
        <w:rPr>
          <w:rFonts w:eastAsia="Times New Roman" w:cs="Arial"/>
          <w:bCs/>
          <w:szCs w:val="24"/>
          <w:lang w:eastAsia="en-GB"/>
        </w:rPr>
      </w:pPr>
    </w:p>
    <w:p w:rsidR="00073419" w:rsidRPr="00073419" w:rsidRDefault="00073419" w:rsidP="00073419">
      <w:pPr>
        <w:tabs>
          <w:tab w:val="right" w:pos="0"/>
        </w:tabs>
        <w:spacing w:before="0" w:after="0" w:line="240" w:lineRule="auto"/>
        <w:jc w:val="both"/>
        <w:rPr>
          <w:rFonts w:eastAsia="Times New Roman" w:cs="Arial"/>
          <w:b/>
          <w:szCs w:val="24"/>
          <w:lang w:eastAsia="en-GB"/>
        </w:rPr>
      </w:pPr>
      <w:r w:rsidRPr="00073419">
        <w:rPr>
          <w:rFonts w:eastAsia="Times New Roman" w:cs="Arial"/>
          <w:b/>
          <w:szCs w:val="24"/>
          <w:lang w:eastAsia="en-GB"/>
        </w:rPr>
        <w:t xml:space="preserve">                                                                                 W. L. WEPENER </w:t>
      </w:r>
    </w:p>
    <w:p w:rsidR="00073419" w:rsidRPr="00073419" w:rsidRDefault="00073419" w:rsidP="00073419">
      <w:pPr>
        <w:tabs>
          <w:tab w:val="right" w:pos="0"/>
        </w:tabs>
        <w:spacing w:before="0" w:after="0" w:line="240" w:lineRule="auto"/>
        <w:jc w:val="both"/>
        <w:rPr>
          <w:rFonts w:eastAsia="Times New Roman" w:cs="Arial"/>
          <w:b/>
          <w:szCs w:val="24"/>
          <w:lang w:eastAsia="en-GB"/>
        </w:rPr>
      </w:pPr>
      <w:r w:rsidRPr="00073419">
        <w:rPr>
          <w:rFonts w:eastAsia="Times New Roman" w:cs="Arial"/>
          <w:b/>
          <w:szCs w:val="24"/>
          <w:lang w:eastAsia="en-GB"/>
        </w:rPr>
        <w:t xml:space="preserve">                                                                       JUDGE OF THE HIGH COURT</w:t>
      </w:r>
    </w:p>
    <w:p w:rsidR="00073419" w:rsidRPr="00073419" w:rsidRDefault="00073419" w:rsidP="00073419">
      <w:pPr>
        <w:tabs>
          <w:tab w:val="right" w:pos="0"/>
        </w:tabs>
        <w:spacing w:before="0" w:after="0" w:line="240" w:lineRule="auto"/>
        <w:jc w:val="both"/>
        <w:rPr>
          <w:rFonts w:eastAsia="Times New Roman" w:cs="Arial"/>
          <w:b/>
          <w:szCs w:val="24"/>
          <w:lang w:eastAsia="en-GB"/>
        </w:rPr>
      </w:pPr>
      <w:r w:rsidRPr="00073419">
        <w:rPr>
          <w:rFonts w:eastAsia="Times New Roman" w:cs="Arial"/>
          <w:b/>
          <w:szCs w:val="24"/>
          <w:lang w:eastAsia="en-GB"/>
        </w:rPr>
        <w:t xml:space="preserve">                                                                 GAUTENG DIVISION, JOHANNESBURG</w:t>
      </w:r>
    </w:p>
    <w:p w:rsidR="00073419" w:rsidRPr="00073419" w:rsidRDefault="00073419" w:rsidP="00073419">
      <w:pPr>
        <w:tabs>
          <w:tab w:val="right" w:pos="0"/>
        </w:tabs>
        <w:spacing w:before="0" w:after="0" w:line="240" w:lineRule="auto"/>
        <w:jc w:val="both"/>
        <w:rPr>
          <w:rFonts w:eastAsia="Times New Roman" w:cs="Arial"/>
          <w:b/>
          <w:szCs w:val="24"/>
          <w:lang w:eastAsia="en-GB"/>
        </w:rPr>
      </w:pPr>
    </w:p>
    <w:p w:rsidR="00073419" w:rsidRDefault="00073419" w:rsidP="00073419">
      <w:pPr>
        <w:tabs>
          <w:tab w:val="right" w:pos="0"/>
        </w:tabs>
        <w:spacing w:before="0" w:after="0" w:line="240" w:lineRule="auto"/>
        <w:jc w:val="both"/>
        <w:rPr>
          <w:rFonts w:eastAsia="Times New Roman" w:cs="Arial"/>
          <w:b/>
          <w:szCs w:val="24"/>
          <w:u w:val="single"/>
          <w:lang w:val="en-GB" w:eastAsia="en-GB"/>
        </w:rPr>
      </w:pPr>
    </w:p>
    <w:p w:rsidR="00951133" w:rsidRDefault="00951133" w:rsidP="00073419">
      <w:pPr>
        <w:tabs>
          <w:tab w:val="right" w:pos="0"/>
        </w:tabs>
        <w:spacing w:before="0" w:after="0" w:line="240" w:lineRule="auto"/>
        <w:jc w:val="both"/>
        <w:rPr>
          <w:rFonts w:eastAsia="Times New Roman" w:cs="Arial"/>
          <w:b/>
          <w:szCs w:val="24"/>
          <w:u w:val="single"/>
          <w:lang w:val="en-GB" w:eastAsia="en-GB"/>
        </w:rPr>
      </w:pPr>
    </w:p>
    <w:p w:rsidR="00951133" w:rsidRDefault="00951133" w:rsidP="00073419">
      <w:pPr>
        <w:tabs>
          <w:tab w:val="right" w:pos="0"/>
        </w:tabs>
        <w:spacing w:before="0" w:after="0" w:line="240" w:lineRule="auto"/>
        <w:jc w:val="both"/>
        <w:rPr>
          <w:rFonts w:eastAsia="Times New Roman" w:cs="Arial"/>
          <w:b/>
          <w:szCs w:val="24"/>
          <w:u w:val="single"/>
          <w:lang w:val="en-GB" w:eastAsia="en-GB"/>
        </w:rPr>
      </w:pPr>
    </w:p>
    <w:p w:rsidR="00951133" w:rsidRDefault="00951133" w:rsidP="00073419">
      <w:pPr>
        <w:tabs>
          <w:tab w:val="right" w:pos="0"/>
        </w:tabs>
        <w:spacing w:before="0" w:after="0" w:line="240" w:lineRule="auto"/>
        <w:jc w:val="both"/>
        <w:rPr>
          <w:rFonts w:eastAsia="Times New Roman" w:cs="Arial"/>
          <w:b/>
          <w:szCs w:val="24"/>
          <w:u w:val="single"/>
          <w:lang w:val="en-GB" w:eastAsia="en-GB"/>
        </w:rPr>
      </w:pPr>
    </w:p>
    <w:p w:rsidR="00951133" w:rsidRDefault="00951133" w:rsidP="00073419">
      <w:pPr>
        <w:tabs>
          <w:tab w:val="right" w:pos="0"/>
        </w:tabs>
        <w:spacing w:before="0" w:after="0" w:line="240" w:lineRule="auto"/>
        <w:jc w:val="both"/>
        <w:rPr>
          <w:rFonts w:eastAsia="Times New Roman" w:cs="Arial"/>
          <w:b/>
          <w:szCs w:val="24"/>
          <w:u w:val="single"/>
          <w:lang w:val="en-GB" w:eastAsia="en-GB"/>
        </w:rPr>
      </w:pPr>
    </w:p>
    <w:p w:rsidR="00951133" w:rsidRDefault="00951133" w:rsidP="00073419">
      <w:pPr>
        <w:tabs>
          <w:tab w:val="right" w:pos="0"/>
        </w:tabs>
        <w:spacing w:before="0" w:after="0" w:line="240" w:lineRule="auto"/>
        <w:jc w:val="both"/>
        <w:rPr>
          <w:rFonts w:eastAsia="Times New Roman" w:cs="Arial"/>
          <w:b/>
          <w:szCs w:val="24"/>
          <w:u w:val="single"/>
          <w:lang w:val="en-GB" w:eastAsia="en-GB"/>
        </w:rPr>
      </w:pPr>
    </w:p>
    <w:p w:rsidR="00951133" w:rsidRDefault="00951133" w:rsidP="00073419">
      <w:pPr>
        <w:tabs>
          <w:tab w:val="right" w:pos="0"/>
        </w:tabs>
        <w:spacing w:before="0" w:after="0" w:line="240" w:lineRule="auto"/>
        <w:jc w:val="both"/>
        <w:rPr>
          <w:rFonts w:eastAsia="Times New Roman" w:cs="Arial"/>
          <w:b/>
          <w:szCs w:val="24"/>
          <w:u w:val="single"/>
          <w:lang w:val="en-GB" w:eastAsia="en-GB"/>
        </w:rPr>
      </w:pPr>
    </w:p>
    <w:p w:rsidR="00951133" w:rsidRDefault="00951133" w:rsidP="00073419">
      <w:pPr>
        <w:tabs>
          <w:tab w:val="right" w:pos="0"/>
        </w:tabs>
        <w:spacing w:before="0" w:after="0" w:line="240" w:lineRule="auto"/>
        <w:jc w:val="both"/>
        <w:rPr>
          <w:rFonts w:eastAsia="Times New Roman" w:cs="Arial"/>
          <w:b/>
          <w:szCs w:val="24"/>
          <w:u w:val="single"/>
          <w:lang w:val="en-GB" w:eastAsia="en-GB"/>
        </w:rPr>
      </w:pPr>
    </w:p>
    <w:p w:rsidR="004F2A27" w:rsidRDefault="004F2A27" w:rsidP="00073419">
      <w:pPr>
        <w:tabs>
          <w:tab w:val="right" w:pos="0"/>
        </w:tabs>
        <w:spacing w:before="0" w:after="0" w:line="240" w:lineRule="auto"/>
        <w:jc w:val="both"/>
        <w:rPr>
          <w:rFonts w:eastAsia="Times New Roman" w:cs="Arial"/>
          <w:b/>
          <w:szCs w:val="24"/>
          <w:u w:val="single"/>
          <w:lang w:val="en-GB" w:eastAsia="en-GB"/>
        </w:rPr>
      </w:pPr>
    </w:p>
    <w:p w:rsidR="004F2A27" w:rsidRDefault="004F2A27" w:rsidP="00073419">
      <w:pPr>
        <w:tabs>
          <w:tab w:val="right" w:pos="0"/>
        </w:tabs>
        <w:spacing w:before="0" w:after="0" w:line="240" w:lineRule="auto"/>
        <w:jc w:val="both"/>
        <w:rPr>
          <w:rFonts w:eastAsia="Times New Roman" w:cs="Arial"/>
          <w:b/>
          <w:szCs w:val="24"/>
          <w:u w:val="single"/>
          <w:lang w:val="en-GB" w:eastAsia="en-GB"/>
        </w:rPr>
      </w:pPr>
    </w:p>
    <w:p w:rsidR="004F2A27" w:rsidRDefault="004F2A27" w:rsidP="00073419">
      <w:pPr>
        <w:tabs>
          <w:tab w:val="right" w:pos="0"/>
        </w:tabs>
        <w:spacing w:before="0" w:after="0" w:line="240" w:lineRule="auto"/>
        <w:jc w:val="both"/>
        <w:rPr>
          <w:rFonts w:eastAsia="Times New Roman" w:cs="Arial"/>
          <w:b/>
          <w:szCs w:val="24"/>
          <w:u w:val="single"/>
          <w:lang w:val="en-GB" w:eastAsia="en-GB"/>
        </w:rPr>
      </w:pPr>
    </w:p>
    <w:p w:rsidR="004F2A27" w:rsidRDefault="004F2A27" w:rsidP="00073419">
      <w:pPr>
        <w:tabs>
          <w:tab w:val="right" w:pos="0"/>
        </w:tabs>
        <w:spacing w:before="0" w:after="0" w:line="240" w:lineRule="auto"/>
        <w:jc w:val="both"/>
        <w:rPr>
          <w:rFonts w:eastAsia="Times New Roman" w:cs="Arial"/>
          <w:b/>
          <w:szCs w:val="24"/>
          <w:u w:val="single"/>
          <w:lang w:val="en-GB" w:eastAsia="en-GB"/>
        </w:rPr>
      </w:pPr>
    </w:p>
    <w:p w:rsidR="004F2A27" w:rsidRDefault="004F2A27" w:rsidP="00073419">
      <w:pPr>
        <w:tabs>
          <w:tab w:val="right" w:pos="0"/>
        </w:tabs>
        <w:spacing w:before="0" w:after="0" w:line="240" w:lineRule="auto"/>
        <w:jc w:val="both"/>
        <w:rPr>
          <w:rFonts w:eastAsia="Times New Roman" w:cs="Arial"/>
          <w:b/>
          <w:szCs w:val="24"/>
          <w:u w:val="single"/>
          <w:lang w:val="en-GB" w:eastAsia="en-GB"/>
        </w:rPr>
      </w:pPr>
    </w:p>
    <w:p w:rsidR="004F2A27" w:rsidRDefault="004F2A27" w:rsidP="00073419">
      <w:pPr>
        <w:tabs>
          <w:tab w:val="right" w:pos="0"/>
        </w:tabs>
        <w:spacing w:before="0" w:after="0" w:line="240" w:lineRule="auto"/>
        <w:jc w:val="both"/>
        <w:rPr>
          <w:rFonts w:eastAsia="Times New Roman" w:cs="Arial"/>
          <w:b/>
          <w:szCs w:val="24"/>
          <w:u w:val="single"/>
          <w:lang w:val="en-GB" w:eastAsia="en-GB"/>
        </w:rPr>
      </w:pPr>
    </w:p>
    <w:p w:rsidR="004F2A27" w:rsidRDefault="004F2A27" w:rsidP="00073419">
      <w:pPr>
        <w:tabs>
          <w:tab w:val="right" w:pos="0"/>
        </w:tabs>
        <w:spacing w:before="0" w:after="0" w:line="240" w:lineRule="auto"/>
        <w:jc w:val="both"/>
        <w:rPr>
          <w:rFonts w:eastAsia="Times New Roman" w:cs="Arial"/>
          <w:b/>
          <w:szCs w:val="24"/>
          <w:u w:val="single"/>
          <w:lang w:val="en-GB" w:eastAsia="en-GB"/>
        </w:rPr>
      </w:pPr>
    </w:p>
    <w:p w:rsidR="004F2A27" w:rsidRDefault="004F2A27" w:rsidP="00073419">
      <w:pPr>
        <w:tabs>
          <w:tab w:val="right" w:pos="0"/>
        </w:tabs>
        <w:spacing w:before="0" w:after="0" w:line="240" w:lineRule="auto"/>
        <w:jc w:val="both"/>
        <w:rPr>
          <w:rFonts w:eastAsia="Times New Roman" w:cs="Arial"/>
          <w:b/>
          <w:szCs w:val="24"/>
          <w:u w:val="single"/>
          <w:lang w:val="en-GB" w:eastAsia="en-GB"/>
        </w:rPr>
      </w:pPr>
    </w:p>
    <w:p w:rsidR="004F2A27" w:rsidRDefault="004F2A27" w:rsidP="00073419">
      <w:pPr>
        <w:tabs>
          <w:tab w:val="right" w:pos="0"/>
        </w:tabs>
        <w:spacing w:before="0" w:after="0" w:line="240" w:lineRule="auto"/>
        <w:jc w:val="both"/>
        <w:rPr>
          <w:rFonts w:eastAsia="Times New Roman" w:cs="Arial"/>
          <w:b/>
          <w:szCs w:val="24"/>
          <w:u w:val="single"/>
          <w:lang w:val="en-GB" w:eastAsia="en-GB"/>
        </w:rPr>
      </w:pPr>
    </w:p>
    <w:p w:rsidR="004F2A27" w:rsidRDefault="004F2A27" w:rsidP="00073419">
      <w:pPr>
        <w:tabs>
          <w:tab w:val="right" w:pos="0"/>
        </w:tabs>
        <w:spacing w:before="0" w:after="0" w:line="240" w:lineRule="auto"/>
        <w:jc w:val="both"/>
        <w:rPr>
          <w:rFonts w:eastAsia="Times New Roman" w:cs="Arial"/>
          <w:b/>
          <w:szCs w:val="24"/>
          <w:u w:val="single"/>
          <w:lang w:val="en-GB" w:eastAsia="en-GB"/>
        </w:rPr>
      </w:pPr>
    </w:p>
    <w:p w:rsidR="00951133" w:rsidRDefault="00951133" w:rsidP="00073419">
      <w:pPr>
        <w:tabs>
          <w:tab w:val="right" w:pos="0"/>
        </w:tabs>
        <w:spacing w:before="0" w:after="0" w:line="240" w:lineRule="auto"/>
        <w:jc w:val="both"/>
        <w:rPr>
          <w:rFonts w:eastAsia="Times New Roman" w:cs="Arial"/>
          <w:b/>
          <w:szCs w:val="24"/>
          <w:u w:val="single"/>
          <w:lang w:val="en-GB" w:eastAsia="en-GB"/>
        </w:rPr>
      </w:pPr>
    </w:p>
    <w:p w:rsidR="00951133" w:rsidRDefault="00951133" w:rsidP="00073419">
      <w:pPr>
        <w:tabs>
          <w:tab w:val="right" w:pos="0"/>
        </w:tabs>
        <w:spacing w:before="0" w:after="0" w:line="240" w:lineRule="auto"/>
        <w:jc w:val="both"/>
        <w:rPr>
          <w:rFonts w:eastAsia="Times New Roman" w:cs="Arial"/>
          <w:b/>
          <w:szCs w:val="24"/>
          <w:u w:val="single"/>
          <w:lang w:val="en-GB" w:eastAsia="en-GB"/>
        </w:rPr>
      </w:pPr>
    </w:p>
    <w:p w:rsidR="00951133" w:rsidRDefault="00951133" w:rsidP="00073419">
      <w:pPr>
        <w:tabs>
          <w:tab w:val="right" w:pos="0"/>
        </w:tabs>
        <w:spacing w:before="0" w:after="0" w:line="240" w:lineRule="auto"/>
        <w:jc w:val="both"/>
        <w:rPr>
          <w:rFonts w:eastAsia="Times New Roman" w:cs="Arial"/>
          <w:b/>
          <w:szCs w:val="24"/>
          <w:u w:val="single"/>
          <w:lang w:val="en-GB" w:eastAsia="en-GB"/>
        </w:rPr>
      </w:pPr>
    </w:p>
    <w:p w:rsidR="00951133" w:rsidRDefault="00951133" w:rsidP="00073419">
      <w:pPr>
        <w:tabs>
          <w:tab w:val="right" w:pos="0"/>
        </w:tabs>
        <w:spacing w:before="0" w:after="0" w:line="240" w:lineRule="auto"/>
        <w:jc w:val="both"/>
        <w:rPr>
          <w:rFonts w:eastAsia="Times New Roman" w:cs="Arial"/>
          <w:b/>
          <w:szCs w:val="24"/>
          <w:u w:val="single"/>
          <w:lang w:val="en-GB" w:eastAsia="en-GB"/>
        </w:rPr>
      </w:pPr>
    </w:p>
    <w:p w:rsidR="0011663E" w:rsidRDefault="0011663E" w:rsidP="00073419">
      <w:pPr>
        <w:tabs>
          <w:tab w:val="right" w:pos="0"/>
        </w:tabs>
        <w:spacing w:before="0" w:after="0" w:line="240" w:lineRule="auto"/>
        <w:jc w:val="both"/>
        <w:rPr>
          <w:rFonts w:eastAsia="Times New Roman" w:cs="Arial"/>
          <w:b/>
          <w:szCs w:val="24"/>
          <w:u w:val="single"/>
          <w:lang w:val="en-GB" w:eastAsia="en-GB"/>
        </w:rPr>
      </w:pPr>
    </w:p>
    <w:p w:rsidR="00073419" w:rsidRPr="00073419" w:rsidRDefault="00073419" w:rsidP="00073419">
      <w:pPr>
        <w:tabs>
          <w:tab w:val="right" w:pos="0"/>
        </w:tabs>
        <w:spacing w:before="0" w:after="0" w:line="240" w:lineRule="auto"/>
        <w:jc w:val="both"/>
        <w:rPr>
          <w:rFonts w:eastAsia="Times New Roman" w:cs="Arial"/>
          <w:bCs/>
          <w:szCs w:val="24"/>
          <w:u w:val="single"/>
          <w:lang w:val="en-GB" w:eastAsia="en-GB"/>
        </w:rPr>
      </w:pPr>
      <w:r w:rsidRPr="00073419">
        <w:rPr>
          <w:rFonts w:eastAsia="Times New Roman" w:cs="Arial"/>
          <w:bCs/>
          <w:szCs w:val="24"/>
          <w:u w:val="single"/>
          <w:lang w:val="en-GB" w:eastAsia="en-GB"/>
        </w:rPr>
        <w:lastRenderedPageBreak/>
        <w:t>A</w:t>
      </w:r>
      <w:r w:rsidR="0011663E" w:rsidRPr="0011663E">
        <w:rPr>
          <w:rFonts w:eastAsia="Times New Roman" w:cs="Arial"/>
          <w:bCs/>
          <w:szCs w:val="24"/>
          <w:u w:val="single"/>
          <w:lang w:val="en-GB" w:eastAsia="en-GB"/>
        </w:rPr>
        <w:t>PPEARANCES</w:t>
      </w:r>
      <w:r w:rsidRPr="00073419">
        <w:rPr>
          <w:rFonts w:eastAsia="Times New Roman" w:cs="Arial"/>
          <w:bCs/>
          <w:szCs w:val="24"/>
          <w:u w:val="single"/>
          <w:lang w:val="en-GB" w:eastAsia="en-GB"/>
        </w:rPr>
        <w:t>:</w:t>
      </w:r>
    </w:p>
    <w:p w:rsidR="00073419" w:rsidRPr="00073419" w:rsidRDefault="00073419" w:rsidP="00073419">
      <w:pPr>
        <w:tabs>
          <w:tab w:val="right" w:pos="0"/>
        </w:tabs>
        <w:spacing w:before="0" w:after="0" w:line="240" w:lineRule="auto"/>
        <w:jc w:val="both"/>
        <w:rPr>
          <w:rFonts w:eastAsia="Times New Roman" w:cs="Arial"/>
          <w:bCs/>
          <w:szCs w:val="24"/>
          <w:lang w:val="en-GB" w:eastAsia="en-GB"/>
        </w:rPr>
      </w:pPr>
    </w:p>
    <w:p w:rsidR="00073419" w:rsidRPr="00073419" w:rsidRDefault="00073419" w:rsidP="00073419">
      <w:pPr>
        <w:tabs>
          <w:tab w:val="right" w:pos="0"/>
        </w:tabs>
        <w:spacing w:before="0" w:after="0" w:line="240" w:lineRule="auto"/>
        <w:jc w:val="both"/>
        <w:rPr>
          <w:rFonts w:eastAsia="Times New Roman" w:cs="Arial"/>
          <w:szCs w:val="24"/>
          <w:lang w:val="en-GB" w:eastAsia="en-GB"/>
        </w:rPr>
      </w:pPr>
      <w:r w:rsidRPr="00073419">
        <w:rPr>
          <w:rFonts w:eastAsia="Times New Roman" w:cs="Arial"/>
          <w:szCs w:val="24"/>
          <w:lang w:val="en-GB" w:eastAsia="en-GB"/>
        </w:rPr>
        <w:t>DATE OF HEARING</w:t>
      </w:r>
      <w:r w:rsidRPr="00073419">
        <w:rPr>
          <w:rFonts w:eastAsia="Times New Roman" w:cs="Arial"/>
          <w:szCs w:val="24"/>
          <w:lang w:val="en-GB" w:eastAsia="en-GB"/>
        </w:rPr>
        <w:tab/>
        <w:t>:</w:t>
      </w:r>
      <w:r w:rsidRPr="00073419">
        <w:rPr>
          <w:rFonts w:eastAsia="Times New Roman" w:cs="Arial"/>
          <w:szCs w:val="24"/>
          <w:lang w:val="en-GB" w:eastAsia="en-GB"/>
        </w:rPr>
        <w:tab/>
        <w:t>13 APRIL 2023</w:t>
      </w:r>
    </w:p>
    <w:p w:rsidR="00073419" w:rsidRPr="00073419" w:rsidRDefault="00073419" w:rsidP="00073419">
      <w:pPr>
        <w:tabs>
          <w:tab w:val="right" w:pos="0"/>
        </w:tabs>
        <w:spacing w:before="0" w:after="0" w:line="240" w:lineRule="auto"/>
        <w:jc w:val="both"/>
        <w:rPr>
          <w:rFonts w:eastAsia="Times New Roman" w:cs="Arial"/>
          <w:szCs w:val="24"/>
          <w:lang w:val="en-GB" w:eastAsia="en-GB"/>
        </w:rPr>
      </w:pPr>
      <w:r w:rsidRPr="00073419">
        <w:rPr>
          <w:rFonts w:eastAsia="Times New Roman" w:cs="Arial"/>
          <w:szCs w:val="24"/>
          <w:lang w:val="en-GB" w:eastAsia="en-GB"/>
        </w:rPr>
        <w:t>DATE OF JUDGMENT</w:t>
      </w:r>
      <w:r w:rsidRPr="00073419">
        <w:rPr>
          <w:rFonts w:eastAsia="Times New Roman" w:cs="Arial"/>
          <w:szCs w:val="24"/>
          <w:lang w:val="en-GB" w:eastAsia="en-GB"/>
        </w:rPr>
        <w:tab/>
        <w:t>:</w:t>
      </w:r>
      <w:r w:rsidRPr="00073419">
        <w:rPr>
          <w:rFonts w:eastAsia="Times New Roman" w:cs="Arial"/>
          <w:szCs w:val="24"/>
          <w:lang w:val="en-GB" w:eastAsia="en-GB"/>
        </w:rPr>
        <w:tab/>
        <w:t xml:space="preserve"> </w:t>
      </w:r>
      <w:r w:rsidR="008E6848">
        <w:rPr>
          <w:rFonts w:eastAsia="Times New Roman" w:cs="Arial"/>
          <w:szCs w:val="24"/>
          <w:lang w:val="en-GB" w:eastAsia="en-GB"/>
        </w:rPr>
        <w:t>06 JUNE</w:t>
      </w:r>
      <w:r w:rsidRPr="00073419">
        <w:rPr>
          <w:rFonts w:eastAsia="Times New Roman" w:cs="Arial"/>
          <w:szCs w:val="24"/>
          <w:lang w:val="en-GB" w:eastAsia="en-GB"/>
        </w:rPr>
        <w:t xml:space="preserve"> 2023</w:t>
      </w:r>
    </w:p>
    <w:p w:rsidR="00073419" w:rsidRPr="00073419" w:rsidRDefault="00073419" w:rsidP="00073419">
      <w:pPr>
        <w:tabs>
          <w:tab w:val="right" w:pos="0"/>
        </w:tabs>
        <w:spacing w:before="0" w:after="0" w:line="240" w:lineRule="auto"/>
        <w:jc w:val="both"/>
        <w:rPr>
          <w:rFonts w:eastAsia="Times New Roman" w:cs="Arial"/>
          <w:szCs w:val="24"/>
          <w:lang w:val="en-GB" w:eastAsia="en-GB"/>
        </w:rPr>
      </w:pPr>
    </w:p>
    <w:p w:rsidR="00073419" w:rsidRPr="00073419" w:rsidRDefault="00073419" w:rsidP="00073419">
      <w:pPr>
        <w:tabs>
          <w:tab w:val="right" w:pos="0"/>
        </w:tabs>
        <w:spacing w:before="0" w:after="0" w:line="240" w:lineRule="auto"/>
        <w:jc w:val="both"/>
        <w:rPr>
          <w:rFonts w:eastAsia="Times New Roman" w:cs="Arial"/>
          <w:szCs w:val="24"/>
          <w:lang w:val="en-GB" w:eastAsia="en-GB"/>
        </w:rPr>
      </w:pPr>
      <w:r w:rsidRPr="00073419">
        <w:rPr>
          <w:rFonts w:eastAsia="Times New Roman" w:cs="Arial"/>
          <w:szCs w:val="24"/>
          <w:lang w:val="en-GB" w:eastAsia="en-GB"/>
        </w:rPr>
        <w:t>FOR APPLICANT</w:t>
      </w:r>
      <w:r w:rsidRPr="00073419">
        <w:rPr>
          <w:rFonts w:eastAsia="Times New Roman" w:cs="Arial"/>
          <w:szCs w:val="24"/>
          <w:lang w:val="en-GB" w:eastAsia="en-GB"/>
        </w:rPr>
        <w:tab/>
      </w:r>
      <w:r w:rsidRPr="00073419">
        <w:rPr>
          <w:rFonts w:eastAsia="Times New Roman" w:cs="Arial"/>
          <w:szCs w:val="24"/>
          <w:lang w:val="en-GB" w:eastAsia="en-GB"/>
        </w:rPr>
        <w:tab/>
        <w:t>:</w:t>
      </w:r>
      <w:r w:rsidRPr="00073419">
        <w:rPr>
          <w:rFonts w:eastAsia="Times New Roman" w:cs="Arial"/>
          <w:szCs w:val="24"/>
          <w:lang w:val="en-GB" w:eastAsia="en-GB"/>
        </w:rPr>
        <w:tab/>
        <w:t>ADV WESSELS SC</w:t>
      </w:r>
    </w:p>
    <w:p w:rsidR="00073419" w:rsidRPr="00073419" w:rsidRDefault="00073419" w:rsidP="00073419">
      <w:pPr>
        <w:tabs>
          <w:tab w:val="right" w:pos="0"/>
        </w:tabs>
        <w:spacing w:before="0" w:after="0" w:line="240" w:lineRule="auto"/>
        <w:jc w:val="both"/>
        <w:rPr>
          <w:rFonts w:eastAsia="Times New Roman" w:cs="Arial"/>
          <w:szCs w:val="24"/>
          <w:lang w:val="en-GB" w:eastAsia="en-GB"/>
        </w:rPr>
      </w:pPr>
      <w:r w:rsidRPr="00073419">
        <w:rPr>
          <w:rFonts w:eastAsia="Times New Roman" w:cs="Arial"/>
          <w:szCs w:val="24"/>
          <w:lang w:val="en-GB" w:eastAsia="en-GB"/>
        </w:rPr>
        <w:t>WITH</w:t>
      </w:r>
      <w:r w:rsidRPr="00073419">
        <w:rPr>
          <w:rFonts w:eastAsia="Times New Roman" w:cs="Arial"/>
          <w:szCs w:val="24"/>
          <w:lang w:val="en-GB" w:eastAsia="en-GB"/>
        </w:rPr>
        <w:tab/>
      </w:r>
      <w:r w:rsidRPr="00073419">
        <w:rPr>
          <w:rFonts w:eastAsia="Times New Roman" w:cs="Arial"/>
          <w:szCs w:val="24"/>
          <w:lang w:val="en-GB" w:eastAsia="en-GB"/>
        </w:rPr>
        <w:tab/>
      </w:r>
      <w:r w:rsidRPr="00073419">
        <w:rPr>
          <w:rFonts w:eastAsia="Times New Roman" w:cs="Arial"/>
          <w:szCs w:val="24"/>
          <w:lang w:val="en-GB" w:eastAsia="en-GB"/>
        </w:rPr>
        <w:tab/>
      </w:r>
      <w:r w:rsidRPr="00073419">
        <w:rPr>
          <w:rFonts w:eastAsia="Times New Roman" w:cs="Arial"/>
          <w:szCs w:val="24"/>
          <w:lang w:val="en-GB" w:eastAsia="en-GB"/>
        </w:rPr>
        <w:tab/>
      </w:r>
      <w:r w:rsidRPr="00073419">
        <w:rPr>
          <w:rFonts w:eastAsia="Times New Roman" w:cs="Arial"/>
          <w:szCs w:val="24"/>
          <w:lang w:val="en-GB" w:eastAsia="en-GB"/>
        </w:rPr>
        <w:tab/>
        <w:t>ADV MOSTERT</w:t>
      </w:r>
    </w:p>
    <w:p w:rsidR="00073419" w:rsidRPr="00073419" w:rsidRDefault="00073419" w:rsidP="00073419">
      <w:pPr>
        <w:tabs>
          <w:tab w:val="right" w:pos="0"/>
        </w:tabs>
        <w:spacing w:before="0" w:after="0" w:line="240" w:lineRule="auto"/>
        <w:jc w:val="both"/>
        <w:rPr>
          <w:rFonts w:eastAsia="Times New Roman" w:cs="Arial"/>
          <w:szCs w:val="24"/>
          <w:lang w:val="en-GB" w:eastAsia="en-GB"/>
        </w:rPr>
      </w:pPr>
      <w:r w:rsidRPr="00073419">
        <w:rPr>
          <w:rFonts w:eastAsia="Times New Roman" w:cs="Arial"/>
          <w:szCs w:val="24"/>
          <w:lang w:val="en-GB" w:eastAsia="en-GB"/>
        </w:rPr>
        <w:t xml:space="preserve">AND              </w:t>
      </w:r>
      <w:r w:rsidRPr="00073419">
        <w:rPr>
          <w:rFonts w:eastAsia="Times New Roman" w:cs="Arial"/>
          <w:szCs w:val="24"/>
          <w:lang w:val="en-GB" w:eastAsia="en-GB"/>
        </w:rPr>
        <w:tab/>
      </w:r>
      <w:r w:rsidRPr="00073419">
        <w:rPr>
          <w:rFonts w:eastAsia="Times New Roman" w:cs="Arial"/>
          <w:szCs w:val="24"/>
          <w:lang w:val="en-GB" w:eastAsia="en-GB"/>
        </w:rPr>
        <w:tab/>
      </w:r>
      <w:r w:rsidRPr="00073419">
        <w:rPr>
          <w:rFonts w:eastAsia="Times New Roman" w:cs="Arial"/>
          <w:szCs w:val="24"/>
          <w:lang w:val="en-GB" w:eastAsia="en-GB"/>
        </w:rPr>
        <w:tab/>
        <w:t>ADV NTLOKO</w:t>
      </w:r>
    </w:p>
    <w:p w:rsidR="00073419" w:rsidRPr="00073419" w:rsidRDefault="00073419" w:rsidP="00073419">
      <w:pPr>
        <w:tabs>
          <w:tab w:val="right" w:pos="0"/>
        </w:tabs>
        <w:spacing w:before="0" w:after="0" w:line="240" w:lineRule="auto"/>
        <w:jc w:val="both"/>
        <w:rPr>
          <w:rFonts w:eastAsia="Times New Roman" w:cs="Arial"/>
          <w:szCs w:val="24"/>
          <w:lang w:val="en-GB" w:eastAsia="en-GB"/>
        </w:rPr>
      </w:pPr>
      <w:r w:rsidRPr="00073419">
        <w:rPr>
          <w:rFonts w:eastAsia="Times New Roman" w:cs="Arial"/>
          <w:szCs w:val="24"/>
          <w:lang w:val="en-GB" w:eastAsia="en-GB"/>
        </w:rPr>
        <w:t>INSTRUCTED BY</w:t>
      </w:r>
      <w:r w:rsidRPr="00073419">
        <w:rPr>
          <w:rFonts w:eastAsia="Times New Roman" w:cs="Arial"/>
          <w:szCs w:val="24"/>
          <w:lang w:val="en-GB" w:eastAsia="en-GB"/>
        </w:rPr>
        <w:tab/>
      </w:r>
      <w:r w:rsidRPr="00073419">
        <w:rPr>
          <w:rFonts w:eastAsia="Times New Roman" w:cs="Arial"/>
          <w:szCs w:val="24"/>
          <w:lang w:val="en-GB" w:eastAsia="en-GB"/>
        </w:rPr>
        <w:tab/>
        <w:t>:</w:t>
      </w:r>
      <w:r w:rsidRPr="00073419">
        <w:rPr>
          <w:rFonts w:eastAsia="Times New Roman" w:cs="Arial"/>
          <w:szCs w:val="24"/>
          <w:lang w:val="en-GB" w:eastAsia="en-GB"/>
        </w:rPr>
        <w:tab/>
        <w:t>LANHAM-LOVE GALBRAITH VAN REENEN</w:t>
      </w:r>
    </w:p>
    <w:p w:rsidR="00073419" w:rsidRPr="00073419" w:rsidRDefault="00073419" w:rsidP="00073419">
      <w:pPr>
        <w:tabs>
          <w:tab w:val="right" w:pos="0"/>
        </w:tabs>
        <w:spacing w:before="0" w:after="0" w:line="240" w:lineRule="auto"/>
        <w:jc w:val="both"/>
        <w:rPr>
          <w:rFonts w:eastAsia="Times New Roman" w:cs="Arial"/>
          <w:szCs w:val="24"/>
          <w:lang w:val="en-GB" w:eastAsia="en-GB"/>
        </w:rPr>
      </w:pPr>
      <w:r w:rsidRPr="00073419">
        <w:rPr>
          <w:rFonts w:eastAsia="Times New Roman" w:cs="Arial"/>
          <w:szCs w:val="24"/>
          <w:lang w:val="en-GB" w:eastAsia="en-GB"/>
        </w:rPr>
        <w:tab/>
      </w:r>
      <w:r w:rsidRPr="00073419">
        <w:rPr>
          <w:rFonts w:eastAsia="Times New Roman" w:cs="Arial"/>
          <w:szCs w:val="24"/>
          <w:lang w:val="en-GB" w:eastAsia="en-GB"/>
        </w:rPr>
        <w:tab/>
      </w:r>
      <w:r w:rsidRPr="00073419">
        <w:rPr>
          <w:rFonts w:eastAsia="Times New Roman" w:cs="Arial"/>
          <w:szCs w:val="24"/>
          <w:lang w:val="en-GB" w:eastAsia="en-GB"/>
        </w:rPr>
        <w:tab/>
      </w:r>
      <w:r w:rsidRPr="00073419">
        <w:rPr>
          <w:rFonts w:eastAsia="Times New Roman" w:cs="Arial"/>
          <w:szCs w:val="24"/>
          <w:lang w:val="en-GB" w:eastAsia="en-GB"/>
        </w:rPr>
        <w:tab/>
      </w:r>
      <w:r w:rsidRPr="00073419">
        <w:rPr>
          <w:rFonts w:eastAsia="Times New Roman" w:cs="Arial"/>
          <w:szCs w:val="24"/>
          <w:lang w:val="en-GB" w:eastAsia="en-GB"/>
        </w:rPr>
        <w:tab/>
        <w:t>ATTORNEYS</w:t>
      </w:r>
    </w:p>
    <w:p w:rsidR="00073419" w:rsidRPr="00073419" w:rsidRDefault="00073419" w:rsidP="00073419">
      <w:pPr>
        <w:tabs>
          <w:tab w:val="right" w:pos="0"/>
        </w:tabs>
        <w:spacing w:before="0" w:after="0" w:line="240" w:lineRule="auto"/>
        <w:jc w:val="both"/>
        <w:rPr>
          <w:rFonts w:eastAsia="Times New Roman" w:cs="Arial"/>
          <w:szCs w:val="24"/>
          <w:lang w:val="en-GB" w:eastAsia="en-GB"/>
        </w:rPr>
      </w:pPr>
    </w:p>
    <w:p w:rsidR="00073419" w:rsidRPr="00073419" w:rsidRDefault="00073419" w:rsidP="00073419">
      <w:pPr>
        <w:tabs>
          <w:tab w:val="right" w:pos="0"/>
        </w:tabs>
        <w:spacing w:before="0" w:after="0" w:line="240" w:lineRule="auto"/>
        <w:jc w:val="both"/>
        <w:rPr>
          <w:rFonts w:eastAsia="Times New Roman" w:cs="Arial"/>
          <w:szCs w:val="24"/>
          <w:lang w:val="en-GB" w:eastAsia="en-GB"/>
        </w:rPr>
      </w:pPr>
      <w:r w:rsidRPr="00073419">
        <w:rPr>
          <w:rFonts w:eastAsia="Times New Roman" w:cs="Arial"/>
          <w:szCs w:val="24"/>
          <w:lang w:val="en-GB" w:eastAsia="en-GB"/>
        </w:rPr>
        <w:t>FOR RESPONDENT</w:t>
      </w:r>
      <w:r w:rsidRPr="00073419">
        <w:rPr>
          <w:rFonts w:eastAsia="Times New Roman" w:cs="Arial"/>
          <w:szCs w:val="24"/>
          <w:lang w:val="en-GB" w:eastAsia="en-GB"/>
        </w:rPr>
        <w:tab/>
        <w:t>:</w:t>
      </w:r>
      <w:r w:rsidRPr="00073419">
        <w:rPr>
          <w:rFonts w:eastAsia="Times New Roman" w:cs="Arial"/>
          <w:szCs w:val="24"/>
          <w:lang w:val="en-GB" w:eastAsia="en-GB"/>
        </w:rPr>
        <w:tab/>
        <w:t>ADV MAKHAMBENI</w:t>
      </w:r>
    </w:p>
    <w:p w:rsidR="00073419" w:rsidRPr="00073419" w:rsidRDefault="00073419" w:rsidP="00073419">
      <w:pPr>
        <w:tabs>
          <w:tab w:val="right" w:pos="0"/>
        </w:tabs>
        <w:spacing w:before="0" w:after="0" w:line="240" w:lineRule="auto"/>
        <w:jc w:val="both"/>
        <w:rPr>
          <w:rFonts w:eastAsia="Times New Roman" w:cs="Arial"/>
          <w:szCs w:val="24"/>
          <w:lang w:val="en-GB" w:eastAsia="en-GB"/>
        </w:rPr>
      </w:pPr>
      <w:r w:rsidRPr="00073419">
        <w:rPr>
          <w:rFonts w:eastAsia="Times New Roman" w:cs="Arial"/>
          <w:szCs w:val="24"/>
          <w:lang w:val="en-GB" w:eastAsia="en-GB"/>
        </w:rPr>
        <w:t>WITH</w:t>
      </w:r>
      <w:r w:rsidRPr="00073419">
        <w:rPr>
          <w:rFonts w:eastAsia="Times New Roman" w:cs="Arial"/>
          <w:szCs w:val="24"/>
          <w:lang w:val="en-GB" w:eastAsia="en-GB"/>
        </w:rPr>
        <w:tab/>
      </w:r>
      <w:r w:rsidRPr="00073419">
        <w:rPr>
          <w:rFonts w:eastAsia="Times New Roman" w:cs="Arial"/>
          <w:szCs w:val="24"/>
          <w:lang w:val="en-GB" w:eastAsia="en-GB"/>
        </w:rPr>
        <w:tab/>
      </w:r>
      <w:r w:rsidRPr="00073419">
        <w:rPr>
          <w:rFonts w:eastAsia="Times New Roman" w:cs="Arial"/>
          <w:szCs w:val="24"/>
          <w:lang w:val="en-GB" w:eastAsia="en-GB"/>
        </w:rPr>
        <w:tab/>
      </w:r>
      <w:r w:rsidRPr="00073419">
        <w:rPr>
          <w:rFonts w:eastAsia="Times New Roman" w:cs="Arial"/>
          <w:szCs w:val="24"/>
          <w:lang w:val="en-GB" w:eastAsia="en-GB"/>
        </w:rPr>
        <w:tab/>
      </w:r>
      <w:r w:rsidRPr="00073419">
        <w:rPr>
          <w:rFonts w:eastAsia="Times New Roman" w:cs="Arial"/>
          <w:szCs w:val="24"/>
          <w:lang w:val="en-GB" w:eastAsia="en-GB"/>
        </w:rPr>
        <w:tab/>
        <w:t>ADV K MASEVBELANGA</w:t>
      </w:r>
    </w:p>
    <w:p w:rsidR="00E92EFC" w:rsidRPr="004E5D64" w:rsidRDefault="00073419" w:rsidP="00073419">
      <w:pPr>
        <w:jc w:val="both"/>
        <w:rPr>
          <w:sz w:val="22"/>
          <w:szCs w:val="24"/>
        </w:rPr>
      </w:pPr>
      <w:r w:rsidRPr="00073419">
        <w:rPr>
          <w:rFonts w:eastAsia="Times New Roman" w:cs="Arial"/>
          <w:szCs w:val="24"/>
          <w:lang w:val="en-GB" w:eastAsia="en-GB"/>
        </w:rPr>
        <w:t>INSTRUCTED BY</w:t>
      </w:r>
      <w:r w:rsidRPr="00073419">
        <w:rPr>
          <w:rFonts w:eastAsia="Times New Roman" w:cs="Arial"/>
          <w:szCs w:val="24"/>
          <w:lang w:val="en-GB" w:eastAsia="en-GB"/>
        </w:rPr>
        <w:tab/>
      </w:r>
      <w:r w:rsidRPr="00073419">
        <w:rPr>
          <w:rFonts w:eastAsia="Times New Roman" w:cs="Arial"/>
          <w:szCs w:val="24"/>
          <w:lang w:val="en-GB" w:eastAsia="en-GB"/>
        </w:rPr>
        <w:tab/>
        <w:t>:</w:t>
      </w:r>
      <w:r w:rsidRPr="00073419">
        <w:rPr>
          <w:rFonts w:eastAsia="Times New Roman" w:cs="Arial"/>
          <w:szCs w:val="24"/>
          <w:lang w:val="en-GB" w:eastAsia="en-GB"/>
        </w:rPr>
        <w:tab/>
        <w:t>MANILALL CHUNDER &amp; COMPANY ATTORNE</w:t>
      </w:r>
      <w:r>
        <w:rPr>
          <w:rFonts w:eastAsia="Times New Roman" w:cs="Arial"/>
          <w:szCs w:val="24"/>
          <w:lang w:val="en-GB" w:eastAsia="en-GB"/>
        </w:rPr>
        <w:t>YS</w:t>
      </w:r>
    </w:p>
    <w:p w:rsidR="00E92EFC" w:rsidRPr="00DA1628" w:rsidRDefault="00E92EFC" w:rsidP="004F7F5A">
      <w:pPr>
        <w:jc w:val="both"/>
        <w:rPr>
          <w:szCs w:val="24"/>
        </w:rPr>
      </w:pPr>
    </w:p>
    <w:p w:rsidR="00AC55AF" w:rsidRDefault="00AC55AF" w:rsidP="00822AD3">
      <w:pPr>
        <w:pStyle w:val="Unnumberedtext"/>
        <w:spacing w:after="0"/>
        <w:jc w:val="left"/>
      </w:pPr>
    </w:p>
    <w:p w:rsidR="003B6038" w:rsidRDefault="003B6038" w:rsidP="00822AD3">
      <w:pPr>
        <w:pStyle w:val="Unnumberedtext"/>
        <w:spacing w:after="0"/>
        <w:jc w:val="left"/>
      </w:pPr>
    </w:p>
    <w:p w:rsidR="003B6038" w:rsidRPr="003B6038" w:rsidRDefault="003B6038" w:rsidP="00822AD3">
      <w:pPr>
        <w:pStyle w:val="Unnumberedtext"/>
        <w:spacing w:after="0"/>
        <w:jc w:val="left"/>
        <w:rPr>
          <w:b/>
        </w:rPr>
      </w:pPr>
    </w:p>
    <w:p w:rsidR="00822AD3" w:rsidRDefault="00822AD3" w:rsidP="00822AD3">
      <w:pPr>
        <w:jc w:val="both"/>
        <w:rPr>
          <w:szCs w:val="24"/>
        </w:rPr>
      </w:pPr>
    </w:p>
    <w:p w:rsidR="00AC601C" w:rsidRPr="00AC601C" w:rsidRDefault="00AC601C" w:rsidP="00AC601C">
      <w:pPr>
        <w:jc w:val="both"/>
        <w:rPr>
          <w:szCs w:val="24"/>
        </w:rPr>
      </w:pPr>
      <w:r>
        <w:rPr>
          <w:szCs w:val="24"/>
        </w:rPr>
        <w:t xml:space="preserve">                          </w:t>
      </w:r>
    </w:p>
    <w:sectPr w:rsidR="00AC601C" w:rsidRPr="00AC601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0D1" w:rsidRDefault="009B40D1" w:rsidP="00021E06">
      <w:pPr>
        <w:spacing w:before="0" w:after="0" w:line="240" w:lineRule="auto"/>
      </w:pPr>
      <w:r>
        <w:separator/>
      </w:r>
    </w:p>
  </w:endnote>
  <w:endnote w:type="continuationSeparator" w:id="0">
    <w:p w:rsidR="009B40D1" w:rsidRDefault="009B40D1" w:rsidP="00021E0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0D1" w:rsidRDefault="009B40D1" w:rsidP="00021E06">
      <w:pPr>
        <w:spacing w:before="0" w:after="0" w:line="240" w:lineRule="auto"/>
      </w:pPr>
      <w:r>
        <w:separator/>
      </w:r>
    </w:p>
  </w:footnote>
  <w:footnote w:type="continuationSeparator" w:id="0">
    <w:p w:rsidR="009B40D1" w:rsidRDefault="009B40D1" w:rsidP="00021E06">
      <w:pPr>
        <w:spacing w:before="0" w:after="0" w:line="240" w:lineRule="auto"/>
      </w:pPr>
      <w:r>
        <w:continuationSeparator/>
      </w:r>
    </w:p>
  </w:footnote>
  <w:footnote w:id="1">
    <w:p w:rsidR="00BC75DE" w:rsidRPr="0075172C" w:rsidRDefault="00BC75DE">
      <w:pPr>
        <w:pStyle w:val="FootnoteText"/>
        <w:rPr>
          <w:sz w:val="18"/>
          <w:szCs w:val="18"/>
        </w:rPr>
      </w:pPr>
      <w:r w:rsidRPr="0075172C">
        <w:rPr>
          <w:rStyle w:val="FootnoteReference"/>
          <w:sz w:val="18"/>
          <w:szCs w:val="18"/>
        </w:rPr>
        <w:footnoteRef/>
      </w:r>
      <w:r w:rsidRPr="0075172C">
        <w:rPr>
          <w:sz w:val="18"/>
          <w:szCs w:val="18"/>
        </w:rPr>
        <w:t xml:space="preserve"> </w:t>
      </w:r>
      <w:r w:rsidRPr="0075172C">
        <w:rPr>
          <w:i/>
          <w:sz w:val="18"/>
          <w:szCs w:val="18"/>
        </w:rPr>
        <w:t>Society of Advocates of South Africa (Witwatersrand Local Division) v Edeling</w:t>
      </w:r>
      <w:r w:rsidRPr="0075172C">
        <w:rPr>
          <w:sz w:val="18"/>
          <w:szCs w:val="18"/>
        </w:rPr>
        <w:t xml:space="preserve"> 1998 (2) SA 852 (W) at 859I.</w:t>
      </w:r>
    </w:p>
  </w:footnote>
  <w:footnote w:id="2">
    <w:p w:rsidR="005A3091" w:rsidRPr="0075172C" w:rsidRDefault="005A3091">
      <w:pPr>
        <w:pStyle w:val="FootnoteText"/>
        <w:rPr>
          <w:sz w:val="18"/>
          <w:szCs w:val="18"/>
        </w:rPr>
      </w:pPr>
      <w:r w:rsidRPr="0075172C">
        <w:rPr>
          <w:rStyle w:val="FootnoteReference"/>
          <w:sz w:val="18"/>
          <w:szCs w:val="18"/>
        </w:rPr>
        <w:footnoteRef/>
      </w:r>
      <w:r w:rsidRPr="0075172C">
        <w:rPr>
          <w:sz w:val="18"/>
          <w:szCs w:val="18"/>
        </w:rPr>
        <w:t xml:space="preserve"> 1934 AD 401 at 408.</w:t>
      </w:r>
    </w:p>
  </w:footnote>
  <w:footnote w:id="3">
    <w:p w:rsidR="00D4187A" w:rsidRPr="0075172C" w:rsidRDefault="00D4187A" w:rsidP="00D4187A">
      <w:pPr>
        <w:pStyle w:val="FootnoteText"/>
        <w:jc w:val="both"/>
        <w:rPr>
          <w:sz w:val="18"/>
          <w:szCs w:val="18"/>
        </w:rPr>
      </w:pPr>
      <w:r w:rsidRPr="0075172C">
        <w:rPr>
          <w:rStyle w:val="FootnoteReference"/>
          <w:sz w:val="18"/>
          <w:szCs w:val="18"/>
        </w:rPr>
        <w:footnoteRef/>
      </w:r>
      <w:r w:rsidRPr="0075172C">
        <w:rPr>
          <w:sz w:val="18"/>
          <w:szCs w:val="18"/>
        </w:rPr>
        <w:t xml:space="preserve"> See also </w:t>
      </w:r>
      <w:r w:rsidRPr="0075172C">
        <w:rPr>
          <w:i/>
          <w:sz w:val="18"/>
          <w:szCs w:val="18"/>
        </w:rPr>
        <w:t>Hassim</w:t>
      </w:r>
      <w:r w:rsidRPr="0075172C">
        <w:rPr>
          <w:sz w:val="18"/>
          <w:szCs w:val="18"/>
        </w:rPr>
        <w:t xml:space="preserve"> </w:t>
      </w:r>
      <w:r w:rsidRPr="0075172C">
        <w:rPr>
          <w:i/>
          <w:sz w:val="18"/>
          <w:szCs w:val="18"/>
        </w:rPr>
        <w:t>(also known as Essack)</w:t>
      </w:r>
      <w:r w:rsidRPr="0075172C">
        <w:rPr>
          <w:sz w:val="18"/>
          <w:szCs w:val="18"/>
        </w:rPr>
        <w:t xml:space="preserve"> v Incorporated Law Society of Natal 1977 (2) SA 757 (A) at 767C--D; </w:t>
      </w:r>
      <w:r w:rsidRPr="0075172C">
        <w:rPr>
          <w:i/>
          <w:sz w:val="18"/>
          <w:szCs w:val="18"/>
        </w:rPr>
        <w:t>Cirota and Another v Law Society, Transvaal</w:t>
      </w:r>
      <w:r w:rsidRPr="0075172C">
        <w:rPr>
          <w:sz w:val="18"/>
          <w:szCs w:val="18"/>
        </w:rPr>
        <w:t xml:space="preserve"> 1979 (1) SA 172 (A) at 187G--H; </w:t>
      </w:r>
      <w:r w:rsidRPr="0075172C">
        <w:rPr>
          <w:i/>
          <w:sz w:val="18"/>
          <w:szCs w:val="18"/>
        </w:rPr>
        <w:t>Hurter and Another v Hough</w:t>
      </w:r>
      <w:r w:rsidRPr="0075172C">
        <w:rPr>
          <w:sz w:val="18"/>
          <w:szCs w:val="18"/>
        </w:rPr>
        <w:t xml:space="preserve"> 1987 (1) SA 380 (C) at 383H; </w:t>
      </w:r>
      <w:r w:rsidRPr="0075172C">
        <w:rPr>
          <w:i/>
          <w:sz w:val="18"/>
          <w:szCs w:val="18"/>
        </w:rPr>
        <w:t>Society of Advocates of South Africa (Witwatersrand  B Division) v Rottanburg</w:t>
      </w:r>
      <w:r w:rsidRPr="0075172C">
        <w:rPr>
          <w:sz w:val="18"/>
          <w:szCs w:val="18"/>
        </w:rPr>
        <w:t xml:space="preserve"> 1984 (4) SA 35 (T) at 38E; </w:t>
      </w:r>
      <w:r w:rsidRPr="0075172C">
        <w:rPr>
          <w:i/>
          <w:sz w:val="18"/>
          <w:szCs w:val="18"/>
        </w:rPr>
        <w:t>Law Society, Transvaal v Matthews</w:t>
      </w:r>
      <w:r w:rsidRPr="0075172C">
        <w:rPr>
          <w:sz w:val="18"/>
          <w:szCs w:val="18"/>
        </w:rPr>
        <w:t xml:space="preserve"> 1989 (4) SA 389 (T) at 393D--E and </w:t>
      </w:r>
      <w:r w:rsidRPr="0075172C">
        <w:rPr>
          <w:i/>
          <w:sz w:val="18"/>
          <w:szCs w:val="18"/>
        </w:rPr>
        <w:t>Prokureursorde van Transvaal v Kleynhans</w:t>
      </w:r>
      <w:r w:rsidRPr="0075172C">
        <w:rPr>
          <w:sz w:val="18"/>
          <w:szCs w:val="18"/>
        </w:rPr>
        <w:t xml:space="preserve"> 1995 (1) SA 839 (T) at 854F.</w:t>
      </w:r>
    </w:p>
  </w:footnote>
  <w:footnote w:id="4">
    <w:p w:rsidR="00C3349C" w:rsidRPr="0075172C" w:rsidRDefault="00C3349C">
      <w:pPr>
        <w:pStyle w:val="FootnoteText"/>
        <w:rPr>
          <w:sz w:val="18"/>
          <w:szCs w:val="18"/>
        </w:rPr>
      </w:pPr>
      <w:r w:rsidRPr="0075172C">
        <w:rPr>
          <w:rStyle w:val="FootnoteReference"/>
          <w:sz w:val="18"/>
          <w:szCs w:val="18"/>
        </w:rPr>
        <w:footnoteRef/>
      </w:r>
      <w:r w:rsidRPr="0075172C">
        <w:rPr>
          <w:sz w:val="18"/>
          <w:szCs w:val="18"/>
        </w:rPr>
        <w:t xml:space="preserve"> At 860B – 861F.</w:t>
      </w:r>
    </w:p>
  </w:footnote>
  <w:footnote w:id="5">
    <w:p w:rsidR="00561470" w:rsidRPr="00561470" w:rsidRDefault="00561470" w:rsidP="00561470">
      <w:pPr>
        <w:pStyle w:val="FootnoteText"/>
        <w:jc w:val="both"/>
        <w:rPr>
          <w:sz w:val="18"/>
          <w:szCs w:val="18"/>
          <w:lang w:val="en-GB"/>
        </w:rPr>
      </w:pPr>
      <w:r>
        <w:rPr>
          <w:rStyle w:val="FootnoteReference"/>
        </w:rPr>
        <w:footnoteRef/>
      </w:r>
      <w:r>
        <w:t xml:space="preserve"> </w:t>
      </w:r>
      <w:r w:rsidRPr="00561470">
        <w:rPr>
          <w:sz w:val="18"/>
          <w:szCs w:val="18"/>
          <w:lang w:val="en-GB"/>
        </w:rPr>
        <w:t>Loosely translated: The Admission of Advocates Act 74 of 1964 in section 7</w:t>
      </w:r>
      <w:r w:rsidR="00D17CBA">
        <w:rPr>
          <w:sz w:val="18"/>
          <w:szCs w:val="18"/>
          <w:lang w:val="en-GB"/>
        </w:rPr>
        <w:t>,</w:t>
      </w:r>
      <w:r w:rsidRPr="00561470">
        <w:rPr>
          <w:sz w:val="18"/>
          <w:szCs w:val="18"/>
          <w:lang w:val="en-GB"/>
        </w:rPr>
        <w:t xml:space="preserve"> acknowledges the statu</w:t>
      </w:r>
      <w:r w:rsidR="007B02A2">
        <w:rPr>
          <w:sz w:val="18"/>
          <w:szCs w:val="18"/>
          <w:lang w:val="en-GB"/>
        </w:rPr>
        <w:t>s</w:t>
      </w:r>
      <w:r w:rsidRPr="00561470">
        <w:rPr>
          <w:sz w:val="18"/>
          <w:szCs w:val="18"/>
          <w:lang w:val="en-GB"/>
        </w:rPr>
        <w:t xml:space="preserve"> of the Society of Advocates </w:t>
      </w:r>
      <w:r>
        <w:rPr>
          <w:sz w:val="18"/>
          <w:szCs w:val="18"/>
          <w:lang w:val="en-GB"/>
        </w:rPr>
        <w:t xml:space="preserve">and determines also that the court cannot strike an advocate </w:t>
      </w:r>
      <w:r w:rsidR="007B02A2">
        <w:rPr>
          <w:sz w:val="18"/>
          <w:szCs w:val="18"/>
          <w:lang w:val="en-GB"/>
        </w:rPr>
        <w:t>from</w:t>
      </w:r>
      <w:r>
        <w:rPr>
          <w:sz w:val="18"/>
          <w:szCs w:val="18"/>
          <w:lang w:val="en-GB"/>
        </w:rPr>
        <w:t xml:space="preserve"> the roll mero motu, and goes further and enacts what the Society of Advocates has locus standi to act against an advocate. It is clear and is also so understood by the Society that it has</w:t>
      </w:r>
      <w:r w:rsidR="007B02A2">
        <w:rPr>
          <w:sz w:val="18"/>
          <w:szCs w:val="18"/>
          <w:lang w:val="en-GB"/>
        </w:rPr>
        <w:t xml:space="preserve"> a duty as</w:t>
      </w:r>
      <w:r>
        <w:rPr>
          <w:sz w:val="18"/>
          <w:szCs w:val="18"/>
          <w:lang w:val="en-GB"/>
        </w:rPr>
        <w:t xml:space="preserve"> disciplinary authority, to act in the public interests in terms of the Act.</w:t>
      </w:r>
    </w:p>
  </w:footnote>
  <w:footnote w:id="6">
    <w:p w:rsidR="007023DC" w:rsidRPr="007023DC" w:rsidRDefault="007023DC" w:rsidP="00672BAD">
      <w:pPr>
        <w:pStyle w:val="FootnoteText"/>
        <w:jc w:val="both"/>
        <w:rPr>
          <w:lang w:val="en-GB"/>
        </w:rPr>
      </w:pPr>
      <w:r>
        <w:rPr>
          <w:rStyle w:val="FootnoteReference"/>
        </w:rPr>
        <w:footnoteRef/>
      </w:r>
      <w:r>
        <w:t xml:space="preserve"> </w:t>
      </w:r>
      <w:r w:rsidRPr="007023DC">
        <w:rPr>
          <w:sz w:val="18"/>
          <w:szCs w:val="18"/>
          <w:lang w:val="en-GB"/>
        </w:rPr>
        <w:t>Loosely translated:</w:t>
      </w:r>
      <w:r>
        <w:rPr>
          <w:lang w:val="en-GB"/>
        </w:rPr>
        <w:t xml:space="preserve"> That section is the statutory basis for the inherent requirement and right which the court has, in the exercise of its oversight </w:t>
      </w:r>
      <w:r w:rsidR="00672BAD">
        <w:rPr>
          <w:lang w:val="en-GB"/>
        </w:rPr>
        <w:t xml:space="preserve">duty </w:t>
      </w:r>
      <w:r>
        <w:rPr>
          <w:lang w:val="en-GB"/>
        </w:rPr>
        <w:t xml:space="preserve">over legal practitioners, </w:t>
      </w:r>
      <w:r w:rsidR="00672BAD">
        <w:rPr>
          <w:lang w:val="en-GB"/>
        </w:rPr>
        <w:t>for</w:t>
      </w:r>
      <w:r>
        <w:rPr>
          <w:lang w:val="en-GB"/>
        </w:rPr>
        <w:t xml:space="preserve"> a party that can place the information and evidential material before the court, in the</w:t>
      </w:r>
      <w:r w:rsidR="00672BAD">
        <w:rPr>
          <w:lang w:val="en-GB"/>
        </w:rPr>
        <w:t xml:space="preserve"> case</w:t>
      </w:r>
      <w:r>
        <w:rPr>
          <w:lang w:val="en-GB"/>
        </w:rPr>
        <w:t xml:space="preserve"> where doubt arises as to a legal practitioner’s fitness to remain on the roll.</w:t>
      </w:r>
    </w:p>
  </w:footnote>
  <w:footnote w:id="7">
    <w:p w:rsidR="00B102F6" w:rsidRPr="00B102F6" w:rsidRDefault="00B102F6" w:rsidP="00672BAD">
      <w:pPr>
        <w:pStyle w:val="FootnoteText"/>
        <w:jc w:val="both"/>
        <w:rPr>
          <w:sz w:val="18"/>
          <w:szCs w:val="18"/>
          <w:lang w:val="en-GB"/>
        </w:rPr>
      </w:pPr>
      <w:r>
        <w:rPr>
          <w:rStyle w:val="FootnoteReference"/>
        </w:rPr>
        <w:footnoteRef/>
      </w:r>
      <w:r>
        <w:t xml:space="preserve"> </w:t>
      </w:r>
      <w:r>
        <w:rPr>
          <w:sz w:val="18"/>
          <w:szCs w:val="18"/>
          <w:lang w:val="en-GB"/>
        </w:rPr>
        <w:t xml:space="preserve">Loosely translated: From the nature of the disciplinary proceedings it flows that it can be expected that a respondent must co-operate and furnish information where necessary in order to place the full facts before the court so that a correct and just consideration can be made. Vague denials, </w:t>
      </w:r>
      <w:r w:rsidR="00672BAD">
        <w:rPr>
          <w:sz w:val="18"/>
          <w:szCs w:val="18"/>
          <w:lang w:val="en-GB"/>
        </w:rPr>
        <w:t>eluding</w:t>
      </w:r>
      <w:r>
        <w:rPr>
          <w:sz w:val="18"/>
          <w:szCs w:val="18"/>
          <w:lang w:val="en-GB"/>
        </w:rPr>
        <w:t xml:space="preserve"> issues and obstructionism have no place in disciplinary proceedings.</w:t>
      </w:r>
    </w:p>
  </w:footnote>
  <w:footnote w:id="8">
    <w:p w:rsidR="00CD061B" w:rsidRPr="008C1A37" w:rsidRDefault="00CD061B" w:rsidP="00CD061B">
      <w:pPr>
        <w:pStyle w:val="FootnoteText"/>
        <w:jc w:val="both"/>
        <w:rPr>
          <w:sz w:val="18"/>
          <w:szCs w:val="18"/>
        </w:rPr>
      </w:pPr>
      <w:r w:rsidRPr="008C1A37">
        <w:rPr>
          <w:rStyle w:val="FootnoteReference"/>
          <w:sz w:val="18"/>
          <w:szCs w:val="18"/>
        </w:rPr>
        <w:footnoteRef/>
      </w:r>
      <w:r w:rsidRPr="008C1A37">
        <w:rPr>
          <w:sz w:val="18"/>
          <w:szCs w:val="18"/>
        </w:rPr>
        <w:t xml:space="preserve"> </w:t>
      </w:r>
      <w:r w:rsidR="00D275DA">
        <w:rPr>
          <w:sz w:val="18"/>
          <w:szCs w:val="18"/>
        </w:rPr>
        <w:t>“</w:t>
      </w:r>
      <w:r w:rsidRPr="008C1A37">
        <w:rPr>
          <w:sz w:val="18"/>
          <w:szCs w:val="18"/>
        </w:rPr>
        <w:t>Suspension of advocates from practise and the removal of their names from the roll of advocates</w:t>
      </w:r>
    </w:p>
    <w:p w:rsidR="00CD061B" w:rsidRPr="008C1A37" w:rsidRDefault="00CD061B" w:rsidP="00CD061B">
      <w:pPr>
        <w:pStyle w:val="FootnoteText"/>
        <w:jc w:val="both"/>
        <w:rPr>
          <w:sz w:val="18"/>
          <w:szCs w:val="18"/>
        </w:rPr>
      </w:pPr>
      <w:r w:rsidRPr="008C1A37">
        <w:rPr>
          <w:sz w:val="18"/>
          <w:szCs w:val="18"/>
        </w:rPr>
        <w:t>(1) Subject to the provisions of any other law, a court of any division may, upon application, suspend any person from practice as an advocate or order that the name of any person be struck off the roll of advocates—</w:t>
      </w:r>
    </w:p>
    <w:p w:rsidR="00CD061B" w:rsidRPr="008C1A37" w:rsidRDefault="00CD061B" w:rsidP="00CD061B">
      <w:pPr>
        <w:pStyle w:val="FootnoteText"/>
        <w:jc w:val="both"/>
        <w:rPr>
          <w:sz w:val="18"/>
          <w:szCs w:val="18"/>
        </w:rPr>
      </w:pPr>
      <w:r w:rsidRPr="008C1A37">
        <w:rPr>
          <w:sz w:val="18"/>
          <w:szCs w:val="18"/>
        </w:rPr>
        <w:t>(a) in the case of a person who was admitted to practise from the roll as an advocate in terms of subsection (1) of section 3 or is deemed to have been so admitted—</w:t>
      </w:r>
    </w:p>
    <w:p w:rsidR="00CD061B" w:rsidRPr="008C1A37" w:rsidRDefault="00CD061B" w:rsidP="00CD061B">
      <w:pPr>
        <w:pStyle w:val="FootnoteText"/>
        <w:jc w:val="both"/>
        <w:rPr>
          <w:sz w:val="18"/>
          <w:szCs w:val="18"/>
        </w:rPr>
      </w:pPr>
      <w:r w:rsidRPr="008C1A37">
        <w:rPr>
          <w:sz w:val="18"/>
          <w:szCs w:val="18"/>
        </w:rPr>
        <w:t>(i) if he has ceased to be a South African citizen; or</w:t>
      </w:r>
    </w:p>
    <w:p w:rsidR="00CD061B" w:rsidRPr="008C1A37" w:rsidRDefault="00CD061B" w:rsidP="00CD061B">
      <w:pPr>
        <w:pStyle w:val="FootnoteText"/>
        <w:jc w:val="both"/>
        <w:rPr>
          <w:sz w:val="18"/>
          <w:szCs w:val="18"/>
        </w:rPr>
      </w:pPr>
      <w:r w:rsidRPr="008C1A37">
        <w:rPr>
          <w:sz w:val="18"/>
          <w:szCs w:val="18"/>
        </w:rPr>
        <w:t>(ii) in the case of a person who is not a South African citizen, other than a person contemplated in subparagraph (iii), if he has failed to obtain a certificate of naturalisation in terms of the South African Citizenship Act, 1949 (Act 44 of 1949), within a period of six years from the date upon which before or after the commencement of this subparagraph he was admitted to the Republic for permanent residence therein or within such further period as the court either before or after the expiration of the said period for good cause may allow; or</w:t>
      </w:r>
    </w:p>
    <w:p w:rsidR="00CD061B" w:rsidRPr="008C1A37" w:rsidRDefault="00CD061B" w:rsidP="00CD061B">
      <w:pPr>
        <w:pStyle w:val="FootnoteText"/>
        <w:jc w:val="both"/>
        <w:rPr>
          <w:sz w:val="18"/>
          <w:szCs w:val="18"/>
        </w:rPr>
      </w:pPr>
      <w:r w:rsidRPr="008C1A37">
        <w:rPr>
          <w:sz w:val="18"/>
          <w:szCs w:val="18"/>
        </w:rPr>
        <w:t>[S 7(1)(a)(ii) subs by s 2(a) of Act 60 of 1984.]</w:t>
      </w:r>
    </w:p>
    <w:p w:rsidR="00CD061B" w:rsidRPr="008C1A37" w:rsidRDefault="00CD061B" w:rsidP="00CD061B">
      <w:pPr>
        <w:pStyle w:val="FootnoteText"/>
        <w:jc w:val="both"/>
        <w:rPr>
          <w:sz w:val="18"/>
          <w:szCs w:val="18"/>
        </w:rPr>
      </w:pPr>
      <w:r w:rsidRPr="008C1A37">
        <w:rPr>
          <w:sz w:val="18"/>
          <w:szCs w:val="18"/>
        </w:rPr>
        <w:t>(iii) ...</w:t>
      </w:r>
    </w:p>
    <w:p w:rsidR="00CD061B" w:rsidRPr="008C1A37" w:rsidRDefault="00CD061B" w:rsidP="00CD061B">
      <w:pPr>
        <w:pStyle w:val="FootnoteText"/>
        <w:jc w:val="both"/>
        <w:rPr>
          <w:sz w:val="18"/>
          <w:szCs w:val="18"/>
        </w:rPr>
      </w:pPr>
      <w:r w:rsidRPr="008C1A37">
        <w:rPr>
          <w:sz w:val="18"/>
          <w:szCs w:val="18"/>
        </w:rPr>
        <w:t>[S 7(1)(a)(iii) ins by s 2(b) of Act 60 of 1984; rep by s 3(a) of Act 55 of 1994.]</w:t>
      </w:r>
    </w:p>
    <w:p w:rsidR="00CD061B" w:rsidRPr="008C1A37" w:rsidRDefault="00CD061B" w:rsidP="00CD061B">
      <w:pPr>
        <w:pStyle w:val="FootnoteText"/>
        <w:jc w:val="both"/>
        <w:rPr>
          <w:sz w:val="18"/>
          <w:szCs w:val="18"/>
        </w:rPr>
      </w:pPr>
      <w:r w:rsidRPr="008C1A37">
        <w:rPr>
          <w:sz w:val="18"/>
          <w:szCs w:val="18"/>
        </w:rPr>
        <w:t>(b) ...</w:t>
      </w:r>
    </w:p>
    <w:p w:rsidR="00CD061B" w:rsidRPr="008C1A37" w:rsidRDefault="00CD061B" w:rsidP="00CD061B">
      <w:pPr>
        <w:pStyle w:val="FootnoteText"/>
        <w:jc w:val="both"/>
        <w:rPr>
          <w:sz w:val="18"/>
          <w:szCs w:val="18"/>
        </w:rPr>
      </w:pPr>
      <w:r w:rsidRPr="008C1A37">
        <w:rPr>
          <w:sz w:val="18"/>
          <w:szCs w:val="18"/>
        </w:rPr>
        <w:t>[S 7(1)(b) subs by s 2 of Act 73 of 1965; rep by s 2 of Act 33 of 1995.]</w:t>
      </w:r>
    </w:p>
    <w:p w:rsidR="00CD061B" w:rsidRPr="008C1A37" w:rsidRDefault="00CD061B" w:rsidP="00CD061B">
      <w:pPr>
        <w:pStyle w:val="FootnoteText"/>
        <w:jc w:val="both"/>
        <w:rPr>
          <w:sz w:val="18"/>
          <w:szCs w:val="18"/>
        </w:rPr>
      </w:pPr>
      <w:r w:rsidRPr="008C1A37">
        <w:rPr>
          <w:sz w:val="18"/>
          <w:szCs w:val="18"/>
        </w:rPr>
        <w:t>(c) in the case of a person who was admitted to practise as an advocate in terms of section 5, if it appears to the court that he has ceased to reside or to practise as an advocate in the designated country or territory in which he resided and practised at the time of his admission to practise as an advocate of the Supreme Court or that that country or territory has ceased to be a designated country or territory for the purposes of the said section; or</w:t>
      </w:r>
    </w:p>
    <w:p w:rsidR="00CD061B" w:rsidRPr="008C1A37" w:rsidRDefault="00CD061B" w:rsidP="00CD061B">
      <w:pPr>
        <w:pStyle w:val="FootnoteText"/>
        <w:jc w:val="both"/>
        <w:rPr>
          <w:sz w:val="18"/>
          <w:szCs w:val="18"/>
        </w:rPr>
      </w:pPr>
      <w:r w:rsidRPr="008C1A37">
        <w:rPr>
          <w:sz w:val="18"/>
          <w:szCs w:val="18"/>
        </w:rPr>
        <w:t>(d) if the court is satisfied that he is not a fit and proper person to continue to practise as an advocate; or</w:t>
      </w:r>
    </w:p>
    <w:p w:rsidR="00CD061B" w:rsidRPr="008C1A37" w:rsidRDefault="00CD061B" w:rsidP="00CD061B">
      <w:pPr>
        <w:pStyle w:val="FootnoteText"/>
        <w:jc w:val="both"/>
        <w:rPr>
          <w:sz w:val="18"/>
          <w:szCs w:val="18"/>
        </w:rPr>
      </w:pPr>
      <w:r w:rsidRPr="008C1A37">
        <w:rPr>
          <w:sz w:val="18"/>
          <w:szCs w:val="18"/>
        </w:rPr>
        <w:t>(e) on his own application.</w:t>
      </w:r>
      <w:r w:rsidR="00D275DA">
        <w:rPr>
          <w:sz w:val="18"/>
          <w:szCs w:val="18"/>
        </w:rPr>
        <w:t>”</w:t>
      </w:r>
    </w:p>
  </w:footnote>
  <w:footnote w:id="9">
    <w:p w:rsidR="00F7127C" w:rsidRPr="008C1A37" w:rsidRDefault="00F7127C" w:rsidP="003A158E">
      <w:pPr>
        <w:pStyle w:val="FootnoteText"/>
        <w:jc w:val="both"/>
        <w:rPr>
          <w:sz w:val="18"/>
          <w:szCs w:val="18"/>
        </w:rPr>
      </w:pPr>
      <w:r w:rsidRPr="008C1A37">
        <w:rPr>
          <w:rStyle w:val="FootnoteReference"/>
          <w:sz w:val="18"/>
          <w:szCs w:val="18"/>
        </w:rPr>
        <w:footnoteRef/>
      </w:r>
      <w:r w:rsidRPr="008C1A37">
        <w:rPr>
          <w:sz w:val="18"/>
          <w:szCs w:val="18"/>
        </w:rPr>
        <w:t xml:space="preserve"> Act 74 of 1964.</w:t>
      </w:r>
    </w:p>
  </w:footnote>
  <w:footnote w:id="10">
    <w:p w:rsidR="00A97EC8" w:rsidRPr="008C1A37" w:rsidRDefault="00A97EC8" w:rsidP="003A158E">
      <w:pPr>
        <w:pStyle w:val="FootnoteText"/>
        <w:jc w:val="both"/>
        <w:rPr>
          <w:sz w:val="18"/>
          <w:szCs w:val="18"/>
        </w:rPr>
      </w:pPr>
      <w:r w:rsidRPr="008C1A37">
        <w:rPr>
          <w:rStyle w:val="FootnoteReference"/>
          <w:sz w:val="18"/>
          <w:szCs w:val="18"/>
        </w:rPr>
        <w:footnoteRef/>
      </w:r>
      <w:r w:rsidRPr="008C1A37">
        <w:rPr>
          <w:sz w:val="18"/>
          <w:szCs w:val="18"/>
        </w:rPr>
        <w:t xml:space="preserve"> </w:t>
      </w:r>
      <w:r w:rsidR="003A158E" w:rsidRPr="008C1A37">
        <w:rPr>
          <w:sz w:val="18"/>
          <w:szCs w:val="18"/>
        </w:rPr>
        <w:t xml:space="preserve">Act 28 of 2014: </w:t>
      </w:r>
      <w:r w:rsidR="00D275DA">
        <w:rPr>
          <w:sz w:val="18"/>
          <w:szCs w:val="18"/>
        </w:rPr>
        <w:t>“</w:t>
      </w:r>
      <w:r w:rsidR="003A158E" w:rsidRPr="008C1A37">
        <w:rPr>
          <w:sz w:val="18"/>
          <w:szCs w:val="18"/>
        </w:rPr>
        <w:t>(2) Any proceedings in respect of the suspension of any person from practice as an advocate, attorney, conveyancer or notary or in respect of the removal of the name of any person from the roll of advocates, attorneys, conveyancers or notaries which have been instituted in terms of any law repealed by this Act, and which have not been concluded at the date referred to in section 120(4), must be continued and concluded as if that law had not been repealed, and for that purpose a reference in the provisions relating to such suspension or removal, to the General Council of the Bar of South Africa, any Bar Council, any Society of Advocates, any society or the State Attorney must be construed as a reference to the Council.</w:t>
      </w:r>
      <w:r w:rsidR="00D275DA">
        <w:rPr>
          <w:sz w:val="18"/>
          <w:szCs w:val="18"/>
        </w:rPr>
        <w:t>”</w:t>
      </w:r>
    </w:p>
  </w:footnote>
  <w:footnote w:id="11">
    <w:p w:rsidR="00E21E94" w:rsidRPr="00511A93" w:rsidRDefault="00E21E94" w:rsidP="00511A93">
      <w:pPr>
        <w:pStyle w:val="FootnoteText"/>
        <w:jc w:val="both"/>
        <w:rPr>
          <w:sz w:val="18"/>
        </w:rPr>
      </w:pPr>
      <w:r>
        <w:rPr>
          <w:rStyle w:val="FootnoteReference"/>
        </w:rPr>
        <w:footnoteRef/>
      </w:r>
      <w:r>
        <w:t xml:space="preserve"> </w:t>
      </w:r>
      <w:r w:rsidRPr="00511A93">
        <w:rPr>
          <w:sz w:val="18"/>
        </w:rPr>
        <w:t xml:space="preserve">The applicant brought an urgent application to this court under a different case number in which it sought the respondent’s suspension from practice pending either an enquiry to be held by the applicants professional committee or an application to this court to strike the applicant’s named of the roll of advocates. The order was granted on 2 October 2018. It is of some importance </w:t>
      </w:r>
      <w:r w:rsidR="002D5B41" w:rsidRPr="00511A93">
        <w:rPr>
          <w:sz w:val="18"/>
        </w:rPr>
        <w:t>to note that the order suspending the respondent from practice wa</w:t>
      </w:r>
      <w:r w:rsidR="00964CB6" w:rsidRPr="00511A93">
        <w:rPr>
          <w:sz w:val="18"/>
        </w:rPr>
        <w:t xml:space="preserve">s issued after the respondent, who was personally present at court, had agreed to the order. The order issued on 2 October 2018 also required the respondent to make certain documents regarding his fees and accounts available to the legal applicant forthwith. We shall deal with the relevance hereof later. </w:t>
      </w:r>
    </w:p>
  </w:footnote>
  <w:footnote w:id="12">
    <w:p w:rsidR="008C2960" w:rsidRDefault="008C2960">
      <w:pPr>
        <w:pStyle w:val="FootnoteText"/>
      </w:pPr>
      <w:r>
        <w:rPr>
          <w:rStyle w:val="FootnoteReference"/>
        </w:rPr>
        <w:footnoteRef/>
      </w:r>
      <w:r>
        <w:t xml:space="preserve"> At </w:t>
      </w:r>
      <w:r w:rsidRPr="008C2960">
        <w:t>para 17A</w:t>
      </w:r>
      <w:r>
        <w:t>.</w:t>
      </w:r>
    </w:p>
  </w:footnote>
  <w:footnote w:id="13">
    <w:p w:rsidR="0020533F" w:rsidRDefault="0020533F">
      <w:pPr>
        <w:pStyle w:val="FootnoteText"/>
      </w:pPr>
      <w:r>
        <w:rPr>
          <w:rStyle w:val="FootnoteReference"/>
        </w:rPr>
        <w:footnoteRef/>
      </w:r>
      <w:r>
        <w:t xml:space="preserve"> </w:t>
      </w:r>
      <w:r w:rsidRPr="00BB2C24">
        <w:rPr>
          <w:sz w:val="18"/>
          <w:szCs w:val="18"/>
        </w:rPr>
        <w:t>Act 2 of 2000.</w:t>
      </w:r>
    </w:p>
  </w:footnote>
  <w:footnote w:id="14">
    <w:p w:rsidR="002108DF" w:rsidRPr="008840E7" w:rsidRDefault="002108DF">
      <w:pPr>
        <w:pStyle w:val="FootnoteText"/>
        <w:rPr>
          <w:sz w:val="18"/>
          <w:szCs w:val="18"/>
        </w:rPr>
      </w:pPr>
      <w:r>
        <w:rPr>
          <w:rStyle w:val="FootnoteReference"/>
        </w:rPr>
        <w:footnoteRef/>
      </w:r>
      <w:r>
        <w:t xml:space="preserve"> </w:t>
      </w:r>
      <w:r w:rsidRPr="008840E7">
        <w:rPr>
          <w:sz w:val="18"/>
          <w:szCs w:val="18"/>
        </w:rPr>
        <w:t>1992 (2) SA 703 (W) at 706.</w:t>
      </w:r>
    </w:p>
  </w:footnote>
  <w:footnote w:id="15">
    <w:p w:rsidR="003730F1" w:rsidRPr="008840E7" w:rsidRDefault="003730F1">
      <w:pPr>
        <w:pStyle w:val="FootnoteText"/>
        <w:rPr>
          <w:sz w:val="18"/>
          <w:szCs w:val="18"/>
        </w:rPr>
      </w:pPr>
      <w:r w:rsidRPr="008840E7">
        <w:rPr>
          <w:rStyle w:val="FootnoteReference"/>
          <w:sz w:val="18"/>
          <w:szCs w:val="18"/>
        </w:rPr>
        <w:footnoteRef/>
      </w:r>
      <w:r w:rsidRPr="008840E7">
        <w:rPr>
          <w:sz w:val="18"/>
          <w:szCs w:val="18"/>
        </w:rPr>
        <w:t xml:space="preserve"> See also Barclays National Bank Limited v Love 1975 (2) SA 514 (D). </w:t>
      </w:r>
    </w:p>
  </w:footnote>
  <w:footnote w:id="16">
    <w:p w:rsidR="00851CA9" w:rsidRPr="008840E7" w:rsidRDefault="00851CA9">
      <w:pPr>
        <w:pStyle w:val="FootnoteText"/>
        <w:rPr>
          <w:sz w:val="18"/>
          <w:szCs w:val="18"/>
        </w:rPr>
      </w:pPr>
      <w:r w:rsidRPr="008840E7">
        <w:rPr>
          <w:rStyle w:val="FootnoteReference"/>
          <w:sz w:val="18"/>
          <w:szCs w:val="18"/>
        </w:rPr>
        <w:footnoteRef/>
      </w:r>
      <w:r w:rsidRPr="008840E7">
        <w:rPr>
          <w:sz w:val="18"/>
          <w:szCs w:val="18"/>
        </w:rPr>
        <w:t xml:space="preserve"> Act 3 of 2000. </w:t>
      </w:r>
    </w:p>
  </w:footnote>
  <w:footnote w:id="17">
    <w:p w:rsidR="00A850B4" w:rsidRPr="00A850B4" w:rsidRDefault="00AC71A5" w:rsidP="00A850B4">
      <w:pPr>
        <w:pStyle w:val="FootnoteText"/>
        <w:jc w:val="both"/>
        <w:rPr>
          <w:sz w:val="18"/>
        </w:rPr>
      </w:pPr>
      <w:r>
        <w:rPr>
          <w:rStyle w:val="FootnoteReference"/>
        </w:rPr>
        <w:footnoteRef/>
      </w:r>
      <w:r w:rsidR="00B46304">
        <w:rPr>
          <w:sz w:val="18"/>
        </w:rPr>
        <w:t>“</w:t>
      </w:r>
      <w:r w:rsidR="00A850B4" w:rsidRPr="00A850B4">
        <w:rPr>
          <w:sz w:val="18"/>
        </w:rPr>
        <w:t>4.7 On 25 September 2018, after launching the urgent application the applicant sent an email requesting the respondent to furnish his fee book, and invoices.</w:t>
      </w:r>
    </w:p>
    <w:p w:rsidR="00A850B4" w:rsidRPr="00A850B4" w:rsidRDefault="00A850B4" w:rsidP="00A850B4">
      <w:pPr>
        <w:pStyle w:val="FootnoteText"/>
        <w:jc w:val="both"/>
        <w:rPr>
          <w:sz w:val="18"/>
        </w:rPr>
      </w:pPr>
      <w:r w:rsidRPr="00A850B4">
        <w:rPr>
          <w:sz w:val="18"/>
        </w:rPr>
        <w:t>4.8 What becomes evident from the above is that apart from not following its own constitution the applicant ignored the Promotion of Administrative Justice Act, No.3 of 2000 in that it was not compliant in  relation to Section 3 (1) of the said Act which reads as follows: -</w:t>
      </w:r>
    </w:p>
    <w:p w:rsidR="00A850B4" w:rsidRPr="00A850B4" w:rsidRDefault="00A850B4" w:rsidP="00A850B4">
      <w:pPr>
        <w:pStyle w:val="FootnoteText"/>
        <w:jc w:val="both"/>
        <w:rPr>
          <w:sz w:val="18"/>
        </w:rPr>
      </w:pPr>
      <w:r w:rsidRPr="00A850B4">
        <w:rPr>
          <w:sz w:val="18"/>
        </w:rPr>
        <w:t>3. Procedurally fair administrative affecting any person</w:t>
      </w:r>
    </w:p>
    <w:p w:rsidR="00A850B4" w:rsidRPr="00A850B4" w:rsidRDefault="00A850B4" w:rsidP="00A850B4">
      <w:pPr>
        <w:pStyle w:val="FootnoteText"/>
        <w:jc w:val="both"/>
        <w:rPr>
          <w:sz w:val="18"/>
        </w:rPr>
      </w:pPr>
      <w:r w:rsidRPr="00A850B4">
        <w:rPr>
          <w:sz w:val="18"/>
        </w:rPr>
        <w:t>(1) Administrative action which materially and adversely affects the rights of legitimate expectations of any person must be procedurally fair.</w:t>
      </w:r>
    </w:p>
    <w:p w:rsidR="00A850B4" w:rsidRPr="00A850B4" w:rsidRDefault="00A850B4" w:rsidP="00A850B4">
      <w:pPr>
        <w:pStyle w:val="FootnoteText"/>
        <w:jc w:val="both"/>
        <w:rPr>
          <w:sz w:val="18"/>
        </w:rPr>
      </w:pPr>
      <w:r w:rsidRPr="00A850B4">
        <w:rPr>
          <w:sz w:val="18"/>
        </w:rPr>
        <w:t xml:space="preserve"> 4.9 The language used is peremptory and leaves no grounds for compromise to the section nor any room for discretion.</w:t>
      </w:r>
    </w:p>
    <w:p w:rsidR="00A850B4" w:rsidRPr="00A850B4" w:rsidRDefault="00A850B4" w:rsidP="00A850B4">
      <w:pPr>
        <w:pStyle w:val="FootnoteText"/>
        <w:jc w:val="both"/>
        <w:rPr>
          <w:sz w:val="18"/>
        </w:rPr>
      </w:pPr>
      <w:r w:rsidRPr="00A850B4">
        <w:rPr>
          <w:sz w:val="18"/>
        </w:rPr>
        <w:t>4.10 It is manifestly clear that the applicant ignored the fact that its decision would materially and adversely affect the right of legitimate expectation apropos the respondent as the respondent was never given a procedurally fair hearing and a decision to suspend the respondent</w:t>
      </w:r>
      <w:r>
        <w:rPr>
          <w:sz w:val="18"/>
        </w:rPr>
        <w:t xml:space="preserve"> </w:t>
      </w:r>
      <w:r w:rsidRPr="00A850B4">
        <w:rPr>
          <w:sz w:val="18"/>
        </w:rPr>
        <w:t xml:space="preserve">was taken even before the respondent was given an opportunity to reply to the applicant’s letter of the 6 September 2018. </w:t>
      </w:r>
    </w:p>
    <w:p w:rsidR="00A850B4" w:rsidRPr="00A850B4" w:rsidRDefault="00A850B4" w:rsidP="00A850B4">
      <w:pPr>
        <w:pStyle w:val="FootnoteText"/>
        <w:jc w:val="both"/>
        <w:rPr>
          <w:sz w:val="18"/>
        </w:rPr>
      </w:pPr>
      <w:r w:rsidRPr="00A850B4">
        <w:rPr>
          <w:sz w:val="18"/>
        </w:rPr>
        <w:t xml:space="preserve">4.11 Given the fact that it was not procedurally fair in terms of Section (3) of PAJA No. 3 of 2000, it stands to reason that the procedural unfairness should be grounds enough to have this application and the suspension application brought under case number 35095/2018 dismissed by the powers given to this Honourable Court has inherent power in terms of Section 172 (1) (a) (b) (i) &amp; (b) (ii) of the Constitution. </w:t>
      </w:r>
    </w:p>
    <w:p w:rsidR="00AC71A5" w:rsidRPr="00A850B4" w:rsidRDefault="00A850B4" w:rsidP="00A850B4">
      <w:pPr>
        <w:pStyle w:val="FootnoteText"/>
        <w:jc w:val="both"/>
        <w:rPr>
          <w:sz w:val="18"/>
        </w:rPr>
      </w:pPr>
      <w:r w:rsidRPr="00A850B4">
        <w:rPr>
          <w:sz w:val="18"/>
        </w:rPr>
        <w:t>4.12. In light of the aforegoing, it is respectfully submitted that the applicant’s breach of Section 3(1) of the PAJA No. 3 of 2000, which is meant to give effect to Section 33(1) Of the Constitution of the RSA (supra) renders both this application, as well as, the suspension application, legal nullities.</w:t>
      </w:r>
    </w:p>
  </w:footnote>
  <w:footnote w:id="18">
    <w:p w:rsidR="00907BEB" w:rsidRPr="00907BEB" w:rsidRDefault="00907BEB">
      <w:pPr>
        <w:pStyle w:val="FootnoteText"/>
        <w:rPr>
          <w:lang w:val="en-GB"/>
        </w:rPr>
      </w:pPr>
      <w:r>
        <w:rPr>
          <w:rStyle w:val="FootnoteReference"/>
        </w:rPr>
        <w:footnoteRef/>
      </w:r>
      <w:r>
        <w:t xml:space="preserve"> </w:t>
      </w:r>
      <w:r w:rsidR="004274F5" w:rsidRPr="00E307B8">
        <w:rPr>
          <w:i/>
          <w:iCs/>
          <w:sz w:val="18"/>
          <w:lang w:val="en-GB"/>
        </w:rPr>
        <w:t>Hewe</w:t>
      </w:r>
      <w:r w:rsidRPr="00E307B8">
        <w:rPr>
          <w:i/>
          <w:iCs/>
          <w:sz w:val="18"/>
          <w:lang w:val="en-GB"/>
        </w:rPr>
        <w:t>tson v The Law Society of the Free State</w:t>
      </w:r>
      <w:r w:rsidRPr="00907BEB">
        <w:rPr>
          <w:sz w:val="18"/>
          <w:lang w:val="en-GB"/>
        </w:rPr>
        <w:t xml:space="preserve"> 9948/2018) ZASCA 49 (5 May 2020).</w:t>
      </w:r>
    </w:p>
  </w:footnote>
  <w:footnote w:id="19">
    <w:p w:rsidR="00DA1628" w:rsidRPr="0080401D" w:rsidRDefault="00DA1628">
      <w:pPr>
        <w:pStyle w:val="FootnoteText"/>
        <w:rPr>
          <w:sz w:val="18"/>
        </w:rPr>
      </w:pPr>
      <w:r>
        <w:rPr>
          <w:rStyle w:val="FootnoteReference"/>
        </w:rPr>
        <w:footnoteRef/>
      </w:r>
      <w:r>
        <w:t xml:space="preserve"> </w:t>
      </w:r>
      <w:r w:rsidRPr="0080401D">
        <w:rPr>
          <w:sz w:val="18"/>
        </w:rPr>
        <w:t>Act 16 of 1963.</w:t>
      </w:r>
    </w:p>
  </w:footnote>
  <w:footnote w:id="20">
    <w:p w:rsidR="00A253A2" w:rsidRPr="0080401D" w:rsidRDefault="00A253A2">
      <w:pPr>
        <w:pStyle w:val="FootnoteText"/>
        <w:rPr>
          <w:sz w:val="18"/>
        </w:rPr>
      </w:pPr>
      <w:r>
        <w:rPr>
          <w:rStyle w:val="FootnoteReference"/>
        </w:rPr>
        <w:footnoteRef/>
      </w:r>
      <w:r>
        <w:t xml:space="preserve"> </w:t>
      </w:r>
      <w:r w:rsidRPr="0080401D">
        <w:rPr>
          <w:sz w:val="18"/>
        </w:rPr>
        <w:t xml:space="preserve">At para 14. </w:t>
      </w:r>
    </w:p>
  </w:footnote>
  <w:footnote w:id="21">
    <w:p w:rsidR="0086040A" w:rsidRPr="0086040A" w:rsidRDefault="008E448E" w:rsidP="0086040A">
      <w:pPr>
        <w:pStyle w:val="FootnoteText"/>
        <w:jc w:val="both"/>
        <w:rPr>
          <w:sz w:val="18"/>
        </w:rPr>
      </w:pPr>
      <w:r>
        <w:rPr>
          <w:rStyle w:val="FootnoteReference"/>
        </w:rPr>
        <w:footnoteRef/>
      </w:r>
      <w:r>
        <w:t xml:space="preserve"> </w:t>
      </w:r>
      <w:r w:rsidRPr="0080401D">
        <w:rPr>
          <w:sz w:val="18"/>
        </w:rPr>
        <w:t xml:space="preserve">Act 45 of </w:t>
      </w:r>
      <w:r w:rsidR="0086040A">
        <w:rPr>
          <w:sz w:val="18"/>
        </w:rPr>
        <w:t xml:space="preserve">1988: </w:t>
      </w:r>
      <w:r w:rsidR="00CC0E9C">
        <w:rPr>
          <w:sz w:val="18"/>
        </w:rPr>
        <w:t>“</w:t>
      </w:r>
      <w:r w:rsidR="0086040A">
        <w:rPr>
          <w:sz w:val="18"/>
        </w:rPr>
        <w:t>3(1) Subject to the provisions of any other l</w:t>
      </w:r>
      <w:r w:rsidR="0086040A" w:rsidRPr="0086040A">
        <w:rPr>
          <w:sz w:val="18"/>
        </w:rPr>
        <w:t>aw,</w:t>
      </w:r>
      <w:r w:rsidR="0086040A">
        <w:rPr>
          <w:sz w:val="18"/>
        </w:rPr>
        <w:t xml:space="preserve"> hearsay evidence shall not be admitted as </w:t>
      </w:r>
      <w:r w:rsidR="0086040A" w:rsidRPr="0086040A">
        <w:rPr>
          <w:sz w:val="18"/>
        </w:rPr>
        <w:t>evidence at criminal or civil proceedings, unless-</w:t>
      </w:r>
    </w:p>
    <w:p w:rsidR="0086040A" w:rsidRPr="0086040A" w:rsidRDefault="0086040A" w:rsidP="0086040A">
      <w:pPr>
        <w:pStyle w:val="FootnoteText"/>
        <w:jc w:val="both"/>
        <w:rPr>
          <w:sz w:val="18"/>
        </w:rPr>
      </w:pPr>
      <w:r w:rsidRPr="0086040A">
        <w:rPr>
          <w:sz w:val="18"/>
        </w:rPr>
        <w:t xml:space="preserve">(a) each party against whom the evidence </w:t>
      </w:r>
      <w:r>
        <w:rPr>
          <w:sz w:val="18"/>
        </w:rPr>
        <w:t xml:space="preserve">is to be adduced agrees to the </w:t>
      </w:r>
      <w:r w:rsidRPr="0086040A">
        <w:rPr>
          <w:sz w:val="18"/>
        </w:rPr>
        <w:t xml:space="preserve">admission thereof as evidence at such proceedings; · </w:t>
      </w:r>
    </w:p>
    <w:p w:rsidR="0086040A" w:rsidRPr="0086040A" w:rsidRDefault="0086040A" w:rsidP="0086040A">
      <w:pPr>
        <w:pStyle w:val="FootnoteText"/>
        <w:jc w:val="both"/>
        <w:rPr>
          <w:sz w:val="18"/>
        </w:rPr>
      </w:pPr>
      <w:r w:rsidRPr="0086040A">
        <w:rPr>
          <w:sz w:val="18"/>
        </w:rPr>
        <w:t>(b) the person upon whose credibility the pr</w:t>
      </w:r>
      <w:r>
        <w:rPr>
          <w:sz w:val="18"/>
        </w:rPr>
        <w:t xml:space="preserve">obative value of such evidence </w:t>
      </w:r>
      <w:r w:rsidRPr="0086040A">
        <w:rPr>
          <w:sz w:val="18"/>
        </w:rPr>
        <w:t>depends, himself t</w:t>
      </w:r>
      <w:r>
        <w:rPr>
          <w:sz w:val="18"/>
        </w:rPr>
        <w:t xml:space="preserve">estifies at such </w:t>
      </w:r>
      <w:r w:rsidRPr="0086040A">
        <w:rPr>
          <w:sz w:val="18"/>
        </w:rPr>
        <w:t xml:space="preserve">proceedings; or </w:t>
      </w:r>
    </w:p>
    <w:p w:rsidR="0086040A" w:rsidRPr="0086040A" w:rsidRDefault="0086040A" w:rsidP="0086040A">
      <w:pPr>
        <w:pStyle w:val="FootnoteText"/>
        <w:jc w:val="both"/>
        <w:rPr>
          <w:sz w:val="18"/>
        </w:rPr>
      </w:pPr>
      <w:r w:rsidRPr="0086040A">
        <w:rPr>
          <w:sz w:val="18"/>
        </w:rPr>
        <w:t>(c) the court, having regard to-</w:t>
      </w:r>
    </w:p>
    <w:p w:rsidR="0086040A" w:rsidRPr="0086040A" w:rsidRDefault="0086040A" w:rsidP="0086040A">
      <w:pPr>
        <w:pStyle w:val="FootnoteText"/>
        <w:jc w:val="both"/>
        <w:rPr>
          <w:sz w:val="18"/>
        </w:rPr>
      </w:pPr>
      <w:r w:rsidRPr="0086040A">
        <w:rPr>
          <w:sz w:val="18"/>
        </w:rPr>
        <w:t xml:space="preserve">(i) the nature of the proceedings; </w:t>
      </w:r>
    </w:p>
    <w:p w:rsidR="0086040A" w:rsidRPr="0086040A" w:rsidRDefault="0086040A" w:rsidP="0086040A">
      <w:pPr>
        <w:pStyle w:val="FootnoteText"/>
        <w:jc w:val="both"/>
        <w:rPr>
          <w:sz w:val="18"/>
        </w:rPr>
      </w:pPr>
      <w:r w:rsidRPr="0086040A">
        <w:rPr>
          <w:sz w:val="18"/>
        </w:rPr>
        <w:t>(ii) th</w:t>
      </w:r>
      <w:r>
        <w:rPr>
          <w:sz w:val="18"/>
        </w:rPr>
        <w:t xml:space="preserve">e nature of the evidence; </w:t>
      </w:r>
    </w:p>
    <w:p w:rsidR="0086040A" w:rsidRPr="0086040A" w:rsidRDefault="0086040A" w:rsidP="0086040A">
      <w:pPr>
        <w:pStyle w:val="FootnoteText"/>
        <w:jc w:val="both"/>
        <w:rPr>
          <w:sz w:val="18"/>
        </w:rPr>
      </w:pPr>
      <w:r w:rsidRPr="0086040A">
        <w:rPr>
          <w:sz w:val="18"/>
        </w:rPr>
        <w:t xml:space="preserve">(iii) the purpose for which the evidence is tendered; </w:t>
      </w:r>
    </w:p>
    <w:p w:rsidR="0086040A" w:rsidRPr="0086040A" w:rsidRDefault="0086040A" w:rsidP="0086040A">
      <w:pPr>
        <w:pStyle w:val="FootnoteText"/>
        <w:jc w:val="both"/>
        <w:rPr>
          <w:sz w:val="18"/>
        </w:rPr>
      </w:pPr>
      <w:r w:rsidRPr="0086040A">
        <w:rPr>
          <w:sz w:val="18"/>
        </w:rPr>
        <w:t>(iv) the probat</w:t>
      </w:r>
      <w:r>
        <w:rPr>
          <w:sz w:val="18"/>
        </w:rPr>
        <w:t>ive value of the evidence;</w:t>
      </w:r>
    </w:p>
    <w:p w:rsidR="0086040A" w:rsidRPr="0086040A" w:rsidRDefault="0086040A" w:rsidP="0086040A">
      <w:pPr>
        <w:pStyle w:val="FootnoteText"/>
        <w:jc w:val="both"/>
        <w:rPr>
          <w:sz w:val="18"/>
        </w:rPr>
      </w:pPr>
      <w:r w:rsidRPr="0086040A">
        <w:rPr>
          <w:sz w:val="18"/>
        </w:rPr>
        <w:t xml:space="preserve">(v) the reason why the evidence is not </w:t>
      </w:r>
      <w:r>
        <w:rPr>
          <w:sz w:val="18"/>
        </w:rPr>
        <w:t xml:space="preserve">given by the person upon whose </w:t>
      </w:r>
      <w:r w:rsidRPr="0086040A">
        <w:rPr>
          <w:sz w:val="18"/>
        </w:rPr>
        <w:t xml:space="preserve">credibility the probative value of such evidence depends; </w:t>
      </w:r>
    </w:p>
    <w:p w:rsidR="0086040A" w:rsidRDefault="0086040A" w:rsidP="0086040A">
      <w:pPr>
        <w:pStyle w:val="FootnoteText"/>
        <w:jc w:val="both"/>
        <w:rPr>
          <w:sz w:val="18"/>
        </w:rPr>
      </w:pPr>
      <w:r w:rsidRPr="0086040A">
        <w:rPr>
          <w:sz w:val="18"/>
        </w:rPr>
        <w:t>(vi) any prejudice to a party which the ad</w:t>
      </w:r>
      <w:r>
        <w:rPr>
          <w:sz w:val="18"/>
        </w:rPr>
        <w:t xml:space="preserve">mission of such evidence might </w:t>
      </w:r>
      <w:r w:rsidRPr="0086040A">
        <w:rPr>
          <w:sz w:val="18"/>
        </w:rPr>
        <w:t>enta</w:t>
      </w:r>
      <w:r>
        <w:rPr>
          <w:sz w:val="18"/>
        </w:rPr>
        <w:t>il; and</w:t>
      </w:r>
    </w:p>
    <w:p w:rsidR="008E448E" w:rsidRPr="0086040A" w:rsidRDefault="0086040A" w:rsidP="0086040A">
      <w:pPr>
        <w:pStyle w:val="FootnoteText"/>
        <w:jc w:val="both"/>
        <w:rPr>
          <w:sz w:val="18"/>
        </w:rPr>
      </w:pPr>
      <w:r>
        <w:rPr>
          <w:sz w:val="18"/>
        </w:rPr>
        <w:t>(vii</w:t>
      </w:r>
      <w:r w:rsidRPr="0086040A">
        <w:rPr>
          <w:sz w:val="18"/>
        </w:rPr>
        <w:t>) any other factor which should m the opm1</w:t>
      </w:r>
      <w:r>
        <w:rPr>
          <w:sz w:val="18"/>
        </w:rPr>
        <w:t xml:space="preserve">0n of the court be taken into account, </w:t>
      </w:r>
      <w:r w:rsidRPr="0086040A">
        <w:rPr>
          <w:sz w:val="18"/>
        </w:rPr>
        <w:t>is of the opinion that such evidence should b</w:t>
      </w:r>
      <w:r>
        <w:rPr>
          <w:sz w:val="18"/>
        </w:rPr>
        <w:t>e admitted in the interests of justice.</w:t>
      </w:r>
      <w:r w:rsidR="00CC0E9C">
        <w:rPr>
          <w:sz w:val="18"/>
        </w:rPr>
        <w:t>”</w:t>
      </w:r>
    </w:p>
  </w:footnote>
  <w:footnote w:id="22">
    <w:p w:rsidR="00917E86" w:rsidRPr="00917E86" w:rsidRDefault="00917E86">
      <w:pPr>
        <w:pStyle w:val="FootnoteText"/>
        <w:rPr>
          <w:lang w:val="en-GB"/>
        </w:rPr>
      </w:pPr>
      <w:r>
        <w:rPr>
          <w:rStyle w:val="FootnoteReference"/>
        </w:rPr>
        <w:footnoteRef/>
      </w:r>
      <w:r>
        <w:t xml:space="preserve"> </w:t>
      </w:r>
      <w:r w:rsidRPr="00C46806">
        <w:rPr>
          <w:sz w:val="18"/>
          <w:szCs w:val="18"/>
          <w:lang w:val="en-GB"/>
        </w:rPr>
        <w:t xml:space="preserve">At para </w:t>
      </w:r>
      <w:r w:rsidR="00C46806" w:rsidRPr="00C46806">
        <w:rPr>
          <w:sz w:val="18"/>
          <w:szCs w:val="18"/>
          <w:lang w:val="en-GB"/>
        </w:rPr>
        <w:t>4.</w:t>
      </w:r>
    </w:p>
  </w:footnote>
  <w:footnote w:id="23">
    <w:p w:rsidR="00B21E15" w:rsidRPr="00B21E15" w:rsidRDefault="00B21E15">
      <w:pPr>
        <w:pStyle w:val="FootnoteText"/>
        <w:rPr>
          <w:lang w:val="en-GB"/>
        </w:rPr>
      </w:pPr>
      <w:r>
        <w:rPr>
          <w:rStyle w:val="FootnoteReference"/>
        </w:rPr>
        <w:footnoteRef/>
      </w:r>
      <w:r>
        <w:t xml:space="preserve"> </w:t>
      </w:r>
      <w:r w:rsidRPr="00B21E15">
        <w:rPr>
          <w:sz w:val="18"/>
          <w:szCs w:val="18"/>
          <w:lang w:val="en-GB"/>
        </w:rPr>
        <w:t>At para 14.</w:t>
      </w:r>
    </w:p>
  </w:footnote>
  <w:footnote w:id="24">
    <w:p w:rsidR="00DB4D7C" w:rsidRPr="00DB4D7C" w:rsidRDefault="00DB4D7C">
      <w:pPr>
        <w:pStyle w:val="FootnoteText"/>
        <w:rPr>
          <w:lang w:val="en-GB"/>
        </w:rPr>
      </w:pPr>
      <w:r>
        <w:rPr>
          <w:rStyle w:val="FootnoteReference"/>
        </w:rPr>
        <w:footnoteRef/>
      </w:r>
      <w:r>
        <w:t xml:space="preserve"> </w:t>
      </w:r>
      <w:r w:rsidRPr="00DB4D7C">
        <w:rPr>
          <w:sz w:val="18"/>
          <w:szCs w:val="18"/>
          <w:lang w:val="en-GB"/>
        </w:rPr>
        <w:t>At para 8</w:t>
      </w:r>
      <w:r>
        <w:rPr>
          <w:lang w:val="en-GB"/>
        </w:rPr>
        <w:t>.</w:t>
      </w:r>
    </w:p>
  </w:footnote>
  <w:footnote w:id="25">
    <w:p w:rsidR="00270DAD" w:rsidRPr="00270DAD" w:rsidRDefault="00270DAD">
      <w:pPr>
        <w:pStyle w:val="FootnoteText"/>
        <w:rPr>
          <w:lang w:val="en-GB"/>
        </w:rPr>
      </w:pPr>
      <w:r>
        <w:rPr>
          <w:rStyle w:val="FootnoteReference"/>
        </w:rPr>
        <w:footnoteRef/>
      </w:r>
      <w:r>
        <w:t xml:space="preserve"> </w:t>
      </w:r>
      <w:r>
        <w:rPr>
          <w:lang w:val="en-GB"/>
        </w:rPr>
        <w:t xml:space="preserve">At </w:t>
      </w:r>
      <w:r w:rsidRPr="00270DAD">
        <w:rPr>
          <w:lang w:val="en-GB"/>
        </w:rPr>
        <w:t>para 68 to 69</w:t>
      </w:r>
      <w:r>
        <w:rPr>
          <w:lang w:val="en-GB"/>
        </w:rPr>
        <w:t>.</w:t>
      </w:r>
    </w:p>
  </w:footnote>
  <w:footnote w:id="26">
    <w:p w:rsidR="00034D6B" w:rsidRPr="00034D6B" w:rsidRDefault="00034D6B">
      <w:pPr>
        <w:pStyle w:val="FootnoteText"/>
        <w:rPr>
          <w:sz w:val="18"/>
          <w:szCs w:val="18"/>
        </w:rPr>
      </w:pPr>
      <w:r>
        <w:rPr>
          <w:rStyle w:val="FootnoteReference"/>
        </w:rPr>
        <w:footnoteRef/>
      </w:r>
      <w:r>
        <w:t xml:space="preserve"> </w:t>
      </w:r>
      <w:r w:rsidRPr="00034D6B">
        <w:rPr>
          <w:sz w:val="18"/>
          <w:szCs w:val="18"/>
        </w:rPr>
        <w:t>2013 (2) SA 52 (SCA) at 68E-H.</w:t>
      </w:r>
    </w:p>
  </w:footnote>
  <w:footnote w:id="27">
    <w:p w:rsidR="00091D84" w:rsidRDefault="00091D84">
      <w:pPr>
        <w:pStyle w:val="FootnoteText"/>
      </w:pPr>
      <w:r>
        <w:rPr>
          <w:rStyle w:val="FootnoteReference"/>
        </w:rPr>
        <w:footnoteRef/>
      </w:r>
      <w:r>
        <w:t xml:space="preserve"> </w:t>
      </w:r>
      <w:r w:rsidRPr="00091D84">
        <w:rPr>
          <w:sz w:val="18"/>
          <w:szCs w:val="18"/>
        </w:rPr>
        <w:t>Act 53 of 1979</w:t>
      </w:r>
      <w:r>
        <w:t>.</w:t>
      </w:r>
    </w:p>
  </w:footnote>
  <w:footnote w:id="28">
    <w:p w:rsidR="00DB0861" w:rsidRPr="00DB0861" w:rsidRDefault="00DB0861">
      <w:pPr>
        <w:pStyle w:val="FootnoteText"/>
        <w:rPr>
          <w:sz w:val="18"/>
          <w:szCs w:val="18"/>
        </w:rPr>
      </w:pPr>
      <w:r>
        <w:rPr>
          <w:rStyle w:val="FootnoteReference"/>
        </w:rPr>
        <w:footnoteRef/>
      </w:r>
      <w:r>
        <w:t xml:space="preserve"> </w:t>
      </w:r>
      <w:r w:rsidRPr="00DB0861">
        <w:rPr>
          <w:sz w:val="18"/>
          <w:szCs w:val="18"/>
        </w:rPr>
        <w:t>2021 (2) SA 343 (SCA).</w:t>
      </w:r>
    </w:p>
  </w:footnote>
  <w:footnote w:id="29">
    <w:p w:rsidR="00854C49" w:rsidRDefault="00854C49">
      <w:pPr>
        <w:pStyle w:val="FootnoteText"/>
      </w:pPr>
      <w:r>
        <w:rPr>
          <w:rStyle w:val="FootnoteReference"/>
        </w:rPr>
        <w:footnoteRef/>
      </w:r>
      <w:r>
        <w:t xml:space="preserve"> </w:t>
      </w:r>
      <w:r w:rsidRPr="00854C49">
        <w:rPr>
          <w:sz w:val="18"/>
          <w:szCs w:val="18"/>
        </w:rPr>
        <w:t>[2007] 2 All SA 499 (SCA) para 50</w:t>
      </w:r>
      <w:r>
        <w:t>.</w:t>
      </w:r>
    </w:p>
  </w:footnote>
  <w:footnote w:id="30">
    <w:p w:rsidR="00765AF1" w:rsidRDefault="00765AF1">
      <w:pPr>
        <w:pStyle w:val="FootnoteText"/>
      </w:pPr>
      <w:r>
        <w:rPr>
          <w:rStyle w:val="FootnoteReference"/>
        </w:rPr>
        <w:footnoteRef/>
      </w:r>
      <w:r>
        <w:t xml:space="preserve"> At </w:t>
      </w:r>
      <w:r w:rsidRPr="00765AF1">
        <w:t>para 110 to 113</w:t>
      </w:r>
      <w:r>
        <w:t>.</w:t>
      </w:r>
    </w:p>
  </w:footnote>
  <w:footnote w:id="31">
    <w:p w:rsidR="00982B38" w:rsidRPr="00982B38" w:rsidRDefault="00982B38">
      <w:pPr>
        <w:pStyle w:val="FootnoteText"/>
        <w:rPr>
          <w:lang w:val="en-GB"/>
        </w:rPr>
      </w:pPr>
      <w:r>
        <w:rPr>
          <w:rStyle w:val="FootnoteReference"/>
        </w:rPr>
        <w:footnoteRef/>
      </w:r>
      <w:r>
        <w:t xml:space="preserve"> </w:t>
      </w:r>
      <w:r w:rsidRPr="00982B38">
        <w:rPr>
          <w:sz w:val="18"/>
          <w:szCs w:val="18"/>
        </w:rPr>
        <w:t>Act 89 of 1991</w:t>
      </w:r>
      <w:r>
        <w:rPr>
          <w:sz w:val="18"/>
          <w:szCs w:val="18"/>
        </w:rPr>
        <w:t>.</w:t>
      </w:r>
    </w:p>
  </w:footnote>
  <w:footnote w:id="32">
    <w:p w:rsidR="00522C38" w:rsidRPr="00522C38" w:rsidRDefault="00522C38">
      <w:pPr>
        <w:pStyle w:val="FootnoteText"/>
        <w:rPr>
          <w:lang w:val="en-GB"/>
        </w:rPr>
      </w:pPr>
      <w:r>
        <w:rPr>
          <w:rStyle w:val="FootnoteReference"/>
        </w:rPr>
        <w:footnoteRef/>
      </w:r>
      <w:r>
        <w:t xml:space="preserve"> At p</w:t>
      </w:r>
      <w:r w:rsidRPr="00522C38">
        <w:t>ara 35</w:t>
      </w:r>
      <w:r>
        <w:t>.</w:t>
      </w:r>
    </w:p>
  </w:footnote>
  <w:footnote w:id="33">
    <w:p w:rsidR="00F15706" w:rsidRPr="008D5E45" w:rsidRDefault="00F15706" w:rsidP="00E86FF3">
      <w:pPr>
        <w:pStyle w:val="FootnoteText"/>
        <w:jc w:val="both"/>
        <w:rPr>
          <w:sz w:val="18"/>
          <w:szCs w:val="18"/>
        </w:rPr>
      </w:pPr>
      <w:r w:rsidRPr="008D5E45">
        <w:rPr>
          <w:rStyle w:val="FootnoteReference"/>
          <w:sz w:val="18"/>
          <w:szCs w:val="18"/>
        </w:rPr>
        <w:footnoteRef/>
      </w:r>
      <w:r w:rsidRPr="008D5E45">
        <w:rPr>
          <w:sz w:val="18"/>
          <w:szCs w:val="18"/>
        </w:rPr>
        <w:t xml:space="preserve"> </w:t>
      </w:r>
      <w:r w:rsidRPr="008D5E45">
        <w:rPr>
          <w:i/>
          <w:sz w:val="18"/>
          <w:szCs w:val="18"/>
        </w:rPr>
        <w:t>General Council of the Bar of South Africa v Jiba and Others</w:t>
      </w:r>
      <w:r w:rsidRPr="008D5E45">
        <w:rPr>
          <w:sz w:val="18"/>
          <w:szCs w:val="18"/>
        </w:rPr>
        <w:t xml:space="preserve"> [2019] ZACC 23; 2019 (8) BCLR 919 (CC) para 20. </w:t>
      </w:r>
      <w:r w:rsidRPr="008D5E45">
        <w:rPr>
          <w:i/>
          <w:sz w:val="18"/>
          <w:szCs w:val="18"/>
        </w:rPr>
        <w:t>Jiba and Another v General Council of the Bar of South Africa and Another, Mrwebi v General Council of the Bar of South Africa</w:t>
      </w:r>
      <w:r w:rsidRPr="008D5E45">
        <w:rPr>
          <w:sz w:val="18"/>
          <w:szCs w:val="18"/>
        </w:rPr>
        <w:t xml:space="preserve"> [2018] ZASCA 103; [2018] 3 All SA 622 (SCA); 2019 (1) SA 130 (SCA); 2019 (1) SACR 154 (SCA) para 6. </w:t>
      </w:r>
      <w:r w:rsidRPr="008D5E45">
        <w:rPr>
          <w:i/>
          <w:sz w:val="18"/>
          <w:szCs w:val="18"/>
        </w:rPr>
        <w:t>Malan and Another v Law Society of the Northern Provinces</w:t>
      </w:r>
      <w:r w:rsidRPr="008D5E45">
        <w:rPr>
          <w:sz w:val="18"/>
          <w:szCs w:val="18"/>
        </w:rPr>
        <w:t xml:space="preserve"> [2008] ZASCA 90; 2009 (1) SA 216 (SCA); [2009] 1 All SA 133 (SCA) para 4. </w:t>
      </w:r>
      <w:r w:rsidRPr="008D5E45">
        <w:rPr>
          <w:i/>
          <w:sz w:val="18"/>
          <w:szCs w:val="18"/>
        </w:rPr>
        <w:t>General Council of the Bar of South Africa v Geach and Others, Pillay and Others v Pretoria Society of Advocates and Another, Bezuidenhout v Pretoria Society of Advocates</w:t>
      </w:r>
      <w:r w:rsidRPr="008D5E45">
        <w:rPr>
          <w:sz w:val="18"/>
          <w:szCs w:val="18"/>
        </w:rPr>
        <w:t xml:space="preserve"> [2012] ZASCA 175; [2013] 1 All SA 393 (SCA); 2013 (2) SA 52 (SCA) para 50. </w:t>
      </w:r>
      <w:r w:rsidRPr="008D5E45">
        <w:rPr>
          <w:i/>
          <w:sz w:val="18"/>
          <w:szCs w:val="18"/>
        </w:rPr>
        <w:t>Jasat v Natal Law Society</w:t>
      </w:r>
      <w:r w:rsidRPr="008D5E45">
        <w:rPr>
          <w:sz w:val="18"/>
          <w:szCs w:val="18"/>
        </w:rPr>
        <w:t xml:space="preserve"> 2000 (3) SA 44 (SCA); [2000] 2 All SA 310 (SCA) para 10.</w:t>
      </w:r>
    </w:p>
  </w:footnote>
  <w:footnote w:id="34">
    <w:p w:rsidR="00DF5826" w:rsidRPr="008D5E45" w:rsidRDefault="00DF5826">
      <w:pPr>
        <w:pStyle w:val="FootnoteText"/>
        <w:rPr>
          <w:sz w:val="18"/>
          <w:szCs w:val="18"/>
        </w:rPr>
      </w:pPr>
      <w:r w:rsidRPr="008D5E45">
        <w:rPr>
          <w:rStyle w:val="FootnoteReference"/>
          <w:sz w:val="18"/>
          <w:szCs w:val="18"/>
        </w:rPr>
        <w:footnoteRef/>
      </w:r>
      <w:r w:rsidRPr="008D5E45">
        <w:rPr>
          <w:sz w:val="18"/>
          <w:szCs w:val="18"/>
        </w:rPr>
        <w:t xml:space="preserve"> </w:t>
      </w:r>
      <w:r w:rsidRPr="008D5E45">
        <w:rPr>
          <w:i/>
          <w:sz w:val="18"/>
          <w:szCs w:val="18"/>
        </w:rPr>
        <w:t>Hewetson</w:t>
      </w:r>
      <w:r w:rsidRPr="008D5E45">
        <w:rPr>
          <w:sz w:val="18"/>
          <w:szCs w:val="18"/>
        </w:rPr>
        <w:t xml:space="preserve"> para 4.</w:t>
      </w:r>
    </w:p>
  </w:footnote>
  <w:footnote w:id="35">
    <w:p w:rsidR="00825A4E" w:rsidRPr="00180ABF" w:rsidRDefault="00825A4E">
      <w:pPr>
        <w:pStyle w:val="FootnoteText"/>
        <w:rPr>
          <w:sz w:val="18"/>
          <w:szCs w:val="18"/>
        </w:rPr>
      </w:pPr>
      <w:r>
        <w:rPr>
          <w:rStyle w:val="FootnoteReference"/>
        </w:rPr>
        <w:footnoteRef/>
      </w:r>
      <w:r>
        <w:t xml:space="preserve"> </w:t>
      </w:r>
      <w:r w:rsidRPr="00180ABF">
        <w:rPr>
          <w:i/>
          <w:sz w:val="18"/>
          <w:szCs w:val="18"/>
        </w:rPr>
        <w:t>Kekana v The Society of Advocates of South Africa</w:t>
      </w:r>
      <w:r w:rsidRPr="00180ABF">
        <w:rPr>
          <w:sz w:val="18"/>
          <w:szCs w:val="18"/>
        </w:rPr>
        <w:t xml:space="preserve"> 1998 (4) 649 (SCA) at 655I – 656B.</w:t>
      </w:r>
    </w:p>
  </w:footnote>
  <w:footnote w:id="36">
    <w:p w:rsidR="00D25047" w:rsidRPr="00180ABF" w:rsidRDefault="00D25047">
      <w:pPr>
        <w:pStyle w:val="FootnoteText"/>
        <w:rPr>
          <w:sz w:val="18"/>
          <w:szCs w:val="18"/>
        </w:rPr>
      </w:pPr>
      <w:r w:rsidRPr="00180ABF">
        <w:rPr>
          <w:rStyle w:val="FootnoteReference"/>
          <w:sz w:val="18"/>
          <w:szCs w:val="18"/>
        </w:rPr>
        <w:footnoteRef/>
      </w:r>
      <w:r w:rsidRPr="00180ABF">
        <w:rPr>
          <w:sz w:val="18"/>
          <w:szCs w:val="18"/>
        </w:rPr>
        <w:t xml:space="preserve"> </w:t>
      </w:r>
      <w:r w:rsidRPr="00180ABF">
        <w:rPr>
          <w:i/>
          <w:sz w:val="18"/>
          <w:szCs w:val="18"/>
        </w:rPr>
        <w:t>General Council of the Bar of South Africa v Geach</w:t>
      </w:r>
      <w:r w:rsidRPr="00180ABF">
        <w:rPr>
          <w:sz w:val="18"/>
          <w:szCs w:val="18"/>
        </w:rPr>
        <w:t xml:space="preserve"> 2013 (2) SA 52 (SCA) para 126.</w:t>
      </w:r>
    </w:p>
  </w:footnote>
  <w:footnote w:id="37">
    <w:p w:rsidR="00327699" w:rsidRPr="004051D4" w:rsidRDefault="00327699">
      <w:pPr>
        <w:pStyle w:val="FootnoteText"/>
        <w:rPr>
          <w:sz w:val="18"/>
          <w:szCs w:val="18"/>
        </w:rPr>
      </w:pPr>
      <w:r w:rsidRPr="004051D4">
        <w:rPr>
          <w:rStyle w:val="FootnoteReference"/>
          <w:sz w:val="18"/>
          <w:szCs w:val="18"/>
        </w:rPr>
        <w:footnoteRef/>
      </w:r>
      <w:r w:rsidRPr="004051D4">
        <w:rPr>
          <w:sz w:val="18"/>
          <w:szCs w:val="18"/>
        </w:rPr>
        <w:t xml:space="preserve"> </w:t>
      </w:r>
      <w:r w:rsidRPr="004051D4">
        <w:rPr>
          <w:i/>
          <w:sz w:val="18"/>
          <w:szCs w:val="18"/>
        </w:rPr>
        <w:t>Ge</w:t>
      </w:r>
      <w:r w:rsidR="00941EB7" w:rsidRPr="004051D4">
        <w:rPr>
          <w:i/>
          <w:sz w:val="18"/>
          <w:szCs w:val="18"/>
        </w:rPr>
        <w:t>a</w:t>
      </w:r>
      <w:r w:rsidRPr="004051D4">
        <w:rPr>
          <w:i/>
          <w:sz w:val="18"/>
          <w:szCs w:val="18"/>
        </w:rPr>
        <w:t>ch</w:t>
      </w:r>
      <w:r w:rsidRPr="004051D4">
        <w:rPr>
          <w:sz w:val="18"/>
          <w:szCs w:val="18"/>
        </w:rPr>
        <w:t xml:space="preserve"> at 127.</w:t>
      </w:r>
    </w:p>
  </w:footnote>
  <w:footnote w:id="38">
    <w:p w:rsidR="006D31FD" w:rsidRPr="004051D4" w:rsidRDefault="006D31FD">
      <w:pPr>
        <w:pStyle w:val="FootnoteText"/>
        <w:rPr>
          <w:sz w:val="18"/>
          <w:szCs w:val="18"/>
        </w:rPr>
      </w:pPr>
      <w:r w:rsidRPr="004051D4">
        <w:rPr>
          <w:rStyle w:val="FootnoteReference"/>
          <w:sz w:val="18"/>
          <w:szCs w:val="18"/>
        </w:rPr>
        <w:footnoteRef/>
      </w:r>
      <w:r w:rsidRPr="004051D4">
        <w:rPr>
          <w:sz w:val="18"/>
          <w:szCs w:val="18"/>
        </w:rPr>
        <w:t xml:space="preserve"> Supra.</w:t>
      </w:r>
    </w:p>
  </w:footnote>
  <w:footnote w:id="39">
    <w:p w:rsidR="004051D4" w:rsidRPr="004051D4" w:rsidRDefault="004051D4">
      <w:pPr>
        <w:pStyle w:val="FootnoteText"/>
        <w:rPr>
          <w:sz w:val="18"/>
          <w:szCs w:val="18"/>
        </w:rPr>
      </w:pPr>
      <w:r w:rsidRPr="004051D4">
        <w:rPr>
          <w:rStyle w:val="FootnoteReference"/>
          <w:sz w:val="18"/>
          <w:szCs w:val="18"/>
        </w:rPr>
        <w:footnoteRef/>
      </w:r>
      <w:r w:rsidRPr="004051D4">
        <w:rPr>
          <w:sz w:val="18"/>
          <w:szCs w:val="18"/>
        </w:rPr>
        <w:t xml:space="preserve"> </w:t>
      </w:r>
      <w:r>
        <w:rPr>
          <w:sz w:val="18"/>
          <w:szCs w:val="18"/>
        </w:rPr>
        <w:t xml:space="preserve">Supra at </w:t>
      </w:r>
      <w:r w:rsidRPr="004051D4">
        <w:rPr>
          <w:sz w:val="18"/>
          <w:szCs w:val="18"/>
        </w:rPr>
        <w:t>para 50.</w:t>
      </w:r>
    </w:p>
  </w:footnote>
  <w:footnote w:id="40">
    <w:p w:rsidR="0000297F" w:rsidRPr="004051D4" w:rsidRDefault="0000297F">
      <w:pPr>
        <w:pStyle w:val="FootnoteText"/>
        <w:rPr>
          <w:sz w:val="18"/>
          <w:szCs w:val="18"/>
        </w:rPr>
      </w:pPr>
      <w:r w:rsidRPr="004051D4">
        <w:rPr>
          <w:rStyle w:val="FootnoteReference"/>
          <w:sz w:val="18"/>
          <w:szCs w:val="18"/>
        </w:rPr>
        <w:footnoteRef/>
      </w:r>
      <w:r w:rsidRPr="004051D4">
        <w:rPr>
          <w:sz w:val="18"/>
          <w:szCs w:val="18"/>
        </w:rPr>
        <w:t xml:space="preserve"> At para 69.</w:t>
      </w:r>
    </w:p>
  </w:footnote>
  <w:footnote w:id="41">
    <w:p w:rsidR="009E29B9" w:rsidRPr="00F12A9B" w:rsidRDefault="009E29B9">
      <w:pPr>
        <w:pStyle w:val="FootnoteText"/>
        <w:rPr>
          <w:sz w:val="18"/>
          <w:szCs w:val="18"/>
        </w:rPr>
      </w:pPr>
      <w:r w:rsidRPr="00F12A9B">
        <w:rPr>
          <w:rStyle w:val="FootnoteReference"/>
          <w:sz w:val="18"/>
          <w:szCs w:val="18"/>
        </w:rPr>
        <w:footnoteRef/>
      </w:r>
      <w:r w:rsidRPr="00F12A9B">
        <w:rPr>
          <w:sz w:val="18"/>
          <w:szCs w:val="18"/>
        </w:rPr>
        <w:t xml:space="preserve"> </w:t>
      </w:r>
      <w:r w:rsidRPr="00F12A9B">
        <w:rPr>
          <w:i/>
          <w:sz w:val="18"/>
          <w:szCs w:val="18"/>
        </w:rPr>
        <w:t>Kekana</w:t>
      </w:r>
      <w:r w:rsidRPr="00F12A9B">
        <w:rPr>
          <w:sz w:val="18"/>
          <w:szCs w:val="18"/>
        </w:rPr>
        <w:t xml:space="preserve"> v Society of Advocates 1998 (4) SA 649 (SCA) at 654C-E.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389930"/>
      <w:docPartObj>
        <w:docPartGallery w:val="Page Numbers (Top of Page)"/>
        <w:docPartUnique/>
      </w:docPartObj>
    </w:sdtPr>
    <w:sdtEndPr>
      <w:rPr>
        <w:noProof/>
      </w:rPr>
    </w:sdtEndPr>
    <w:sdtContent>
      <w:p w:rsidR="00964FD1" w:rsidRDefault="00964FD1">
        <w:pPr>
          <w:pStyle w:val="Header"/>
          <w:jc w:val="right"/>
        </w:pPr>
        <w:r>
          <w:fldChar w:fldCharType="begin"/>
        </w:r>
        <w:r>
          <w:instrText xml:space="preserve"> PAGE   \* MERGEFORMAT </w:instrText>
        </w:r>
        <w:r>
          <w:fldChar w:fldCharType="separate"/>
        </w:r>
        <w:r w:rsidR="00C5083B">
          <w:rPr>
            <w:noProof/>
          </w:rPr>
          <w:t>2</w:t>
        </w:r>
        <w:r>
          <w:rPr>
            <w:noProof/>
          </w:rPr>
          <w:fldChar w:fldCharType="end"/>
        </w:r>
      </w:p>
    </w:sdtContent>
  </w:sdt>
  <w:p w:rsidR="00964FD1" w:rsidRDefault="00964F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48E712FA"/>
    <w:multiLevelType w:val="hybridMultilevel"/>
    <w:tmpl w:val="78283542"/>
    <w:lvl w:ilvl="0" w:tplc="F3C09CDE">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4D237CFE"/>
    <w:multiLevelType w:val="hybridMultilevel"/>
    <w:tmpl w:val="65446322"/>
    <w:lvl w:ilvl="0" w:tplc="651C82D4">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6EE75CE6"/>
    <w:multiLevelType w:val="hybridMultilevel"/>
    <w:tmpl w:val="761A4C82"/>
    <w:lvl w:ilvl="0" w:tplc="D7F0D5B8">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1C"/>
    <w:rsid w:val="0000156D"/>
    <w:rsid w:val="0000297F"/>
    <w:rsid w:val="000040DD"/>
    <w:rsid w:val="00005E16"/>
    <w:rsid w:val="00013E9C"/>
    <w:rsid w:val="00021E06"/>
    <w:rsid w:val="00025ED8"/>
    <w:rsid w:val="00033829"/>
    <w:rsid w:val="00033AAF"/>
    <w:rsid w:val="00034D6B"/>
    <w:rsid w:val="00053157"/>
    <w:rsid w:val="000544F3"/>
    <w:rsid w:val="000613ED"/>
    <w:rsid w:val="00073419"/>
    <w:rsid w:val="00075186"/>
    <w:rsid w:val="00085CC6"/>
    <w:rsid w:val="00091D84"/>
    <w:rsid w:val="00095B0B"/>
    <w:rsid w:val="00097DEC"/>
    <w:rsid w:val="000B54D6"/>
    <w:rsid w:val="000C25FD"/>
    <w:rsid w:val="000C3BFE"/>
    <w:rsid w:val="000C4AFD"/>
    <w:rsid w:val="000C7A27"/>
    <w:rsid w:val="000E42AF"/>
    <w:rsid w:val="00104C34"/>
    <w:rsid w:val="0011663E"/>
    <w:rsid w:val="00121B78"/>
    <w:rsid w:val="001276AC"/>
    <w:rsid w:val="00127B6B"/>
    <w:rsid w:val="00133178"/>
    <w:rsid w:val="00140254"/>
    <w:rsid w:val="00141A5B"/>
    <w:rsid w:val="001429A7"/>
    <w:rsid w:val="001533D3"/>
    <w:rsid w:val="001743D8"/>
    <w:rsid w:val="00176A06"/>
    <w:rsid w:val="00180ABF"/>
    <w:rsid w:val="0018457F"/>
    <w:rsid w:val="001958FB"/>
    <w:rsid w:val="001A6A99"/>
    <w:rsid w:val="001A6F0F"/>
    <w:rsid w:val="001C68A9"/>
    <w:rsid w:val="001D512D"/>
    <w:rsid w:val="001D7162"/>
    <w:rsid w:val="001E19A5"/>
    <w:rsid w:val="001E30AB"/>
    <w:rsid w:val="001F1475"/>
    <w:rsid w:val="001F22DF"/>
    <w:rsid w:val="0020027B"/>
    <w:rsid w:val="00200EDD"/>
    <w:rsid w:val="0020391B"/>
    <w:rsid w:val="0020533F"/>
    <w:rsid w:val="002108DF"/>
    <w:rsid w:val="00213B75"/>
    <w:rsid w:val="00220D6C"/>
    <w:rsid w:val="00231C5D"/>
    <w:rsid w:val="00233CA8"/>
    <w:rsid w:val="00265AA8"/>
    <w:rsid w:val="00267C03"/>
    <w:rsid w:val="00270DAD"/>
    <w:rsid w:val="00275072"/>
    <w:rsid w:val="00283550"/>
    <w:rsid w:val="00283EA9"/>
    <w:rsid w:val="00283FE3"/>
    <w:rsid w:val="0028507A"/>
    <w:rsid w:val="002923AE"/>
    <w:rsid w:val="00292994"/>
    <w:rsid w:val="0029371B"/>
    <w:rsid w:val="002B1FFC"/>
    <w:rsid w:val="002B721C"/>
    <w:rsid w:val="002D3DBB"/>
    <w:rsid w:val="002D5B41"/>
    <w:rsid w:val="002D6DDF"/>
    <w:rsid w:val="002E44FD"/>
    <w:rsid w:val="002F3A5F"/>
    <w:rsid w:val="002F51AA"/>
    <w:rsid w:val="002F7F74"/>
    <w:rsid w:val="0030272C"/>
    <w:rsid w:val="00305A83"/>
    <w:rsid w:val="00317683"/>
    <w:rsid w:val="003259E6"/>
    <w:rsid w:val="00327699"/>
    <w:rsid w:val="00344941"/>
    <w:rsid w:val="00344E9D"/>
    <w:rsid w:val="0035316E"/>
    <w:rsid w:val="00360DA5"/>
    <w:rsid w:val="00370DFF"/>
    <w:rsid w:val="003711DD"/>
    <w:rsid w:val="003730F1"/>
    <w:rsid w:val="00376A2A"/>
    <w:rsid w:val="00385398"/>
    <w:rsid w:val="003A158E"/>
    <w:rsid w:val="003A234D"/>
    <w:rsid w:val="003A6F1C"/>
    <w:rsid w:val="003B02D3"/>
    <w:rsid w:val="003B0C2B"/>
    <w:rsid w:val="003B4116"/>
    <w:rsid w:val="003B6038"/>
    <w:rsid w:val="003C058D"/>
    <w:rsid w:val="003D6E36"/>
    <w:rsid w:val="003E42DE"/>
    <w:rsid w:val="003E548F"/>
    <w:rsid w:val="003E6C60"/>
    <w:rsid w:val="003F236F"/>
    <w:rsid w:val="004051D4"/>
    <w:rsid w:val="00416E67"/>
    <w:rsid w:val="0042460B"/>
    <w:rsid w:val="004263E7"/>
    <w:rsid w:val="004274F5"/>
    <w:rsid w:val="00440FD4"/>
    <w:rsid w:val="00442919"/>
    <w:rsid w:val="00452967"/>
    <w:rsid w:val="00455A89"/>
    <w:rsid w:val="0045740D"/>
    <w:rsid w:val="00463481"/>
    <w:rsid w:val="00481374"/>
    <w:rsid w:val="0048390D"/>
    <w:rsid w:val="004A0C67"/>
    <w:rsid w:val="004A108A"/>
    <w:rsid w:val="004A3CB6"/>
    <w:rsid w:val="004A59EA"/>
    <w:rsid w:val="004B0C9A"/>
    <w:rsid w:val="004B5319"/>
    <w:rsid w:val="004C699C"/>
    <w:rsid w:val="004D067D"/>
    <w:rsid w:val="004D7417"/>
    <w:rsid w:val="004E5D64"/>
    <w:rsid w:val="004F2A27"/>
    <w:rsid w:val="004F7F5A"/>
    <w:rsid w:val="0050249B"/>
    <w:rsid w:val="0050371B"/>
    <w:rsid w:val="0050679C"/>
    <w:rsid w:val="0051049C"/>
    <w:rsid w:val="00511A93"/>
    <w:rsid w:val="00514175"/>
    <w:rsid w:val="00522C38"/>
    <w:rsid w:val="00524E8B"/>
    <w:rsid w:val="00531998"/>
    <w:rsid w:val="005419F0"/>
    <w:rsid w:val="00546129"/>
    <w:rsid w:val="00561470"/>
    <w:rsid w:val="00567083"/>
    <w:rsid w:val="0057287E"/>
    <w:rsid w:val="00573303"/>
    <w:rsid w:val="0057384F"/>
    <w:rsid w:val="0058272A"/>
    <w:rsid w:val="00590FD6"/>
    <w:rsid w:val="005A3091"/>
    <w:rsid w:val="005A54E7"/>
    <w:rsid w:val="005A7A38"/>
    <w:rsid w:val="005B1547"/>
    <w:rsid w:val="005B2ABE"/>
    <w:rsid w:val="005B7A04"/>
    <w:rsid w:val="005C0389"/>
    <w:rsid w:val="005E1072"/>
    <w:rsid w:val="005E1DBE"/>
    <w:rsid w:val="005E2191"/>
    <w:rsid w:val="005E7DF7"/>
    <w:rsid w:val="005F062D"/>
    <w:rsid w:val="005F4881"/>
    <w:rsid w:val="005F53A4"/>
    <w:rsid w:val="005F6C3C"/>
    <w:rsid w:val="005F6C6A"/>
    <w:rsid w:val="00600699"/>
    <w:rsid w:val="006024C3"/>
    <w:rsid w:val="00604EDF"/>
    <w:rsid w:val="0060797C"/>
    <w:rsid w:val="00607D2D"/>
    <w:rsid w:val="006149A8"/>
    <w:rsid w:val="0062568B"/>
    <w:rsid w:val="00637F86"/>
    <w:rsid w:val="00640E83"/>
    <w:rsid w:val="00643A6A"/>
    <w:rsid w:val="00645D86"/>
    <w:rsid w:val="0065259D"/>
    <w:rsid w:val="00653C87"/>
    <w:rsid w:val="00672BAD"/>
    <w:rsid w:val="006817A7"/>
    <w:rsid w:val="0069316F"/>
    <w:rsid w:val="006941B8"/>
    <w:rsid w:val="00696DA4"/>
    <w:rsid w:val="006A608B"/>
    <w:rsid w:val="006C07A9"/>
    <w:rsid w:val="006C61D6"/>
    <w:rsid w:val="006D14BF"/>
    <w:rsid w:val="006D31FD"/>
    <w:rsid w:val="006E1B56"/>
    <w:rsid w:val="006E25F2"/>
    <w:rsid w:val="006E61B6"/>
    <w:rsid w:val="007023DC"/>
    <w:rsid w:val="00705B2C"/>
    <w:rsid w:val="00713B71"/>
    <w:rsid w:val="00714166"/>
    <w:rsid w:val="00717900"/>
    <w:rsid w:val="00745D90"/>
    <w:rsid w:val="0075172C"/>
    <w:rsid w:val="00765AF1"/>
    <w:rsid w:val="00767DB3"/>
    <w:rsid w:val="00785254"/>
    <w:rsid w:val="00787279"/>
    <w:rsid w:val="00787D18"/>
    <w:rsid w:val="00796CCA"/>
    <w:rsid w:val="007A0D51"/>
    <w:rsid w:val="007B02A2"/>
    <w:rsid w:val="007C10CB"/>
    <w:rsid w:val="007C1A84"/>
    <w:rsid w:val="007D1432"/>
    <w:rsid w:val="007E205F"/>
    <w:rsid w:val="007E471F"/>
    <w:rsid w:val="007E6D2C"/>
    <w:rsid w:val="0080401D"/>
    <w:rsid w:val="00814651"/>
    <w:rsid w:val="008214E3"/>
    <w:rsid w:val="00822AD3"/>
    <w:rsid w:val="008240F0"/>
    <w:rsid w:val="00825A4E"/>
    <w:rsid w:val="008416B1"/>
    <w:rsid w:val="00851CA9"/>
    <w:rsid w:val="00854C49"/>
    <w:rsid w:val="00855390"/>
    <w:rsid w:val="008558D4"/>
    <w:rsid w:val="008573AD"/>
    <w:rsid w:val="0086040A"/>
    <w:rsid w:val="00871052"/>
    <w:rsid w:val="008840E7"/>
    <w:rsid w:val="00890514"/>
    <w:rsid w:val="00893CBB"/>
    <w:rsid w:val="008A53BC"/>
    <w:rsid w:val="008B333A"/>
    <w:rsid w:val="008B61B6"/>
    <w:rsid w:val="008B62C6"/>
    <w:rsid w:val="008C1A37"/>
    <w:rsid w:val="008C2960"/>
    <w:rsid w:val="008C2F10"/>
    <w:rsid w:val="008C77B5"/>
    <w:rsid w:val="008D5E45"/>
    <w:rsid w:val="008E12C9"/>
    <w:rsid w:val="008E22A5"/>
    <w:rsid w:val="008E3C92"/>
    <w:rsid w:val="008E448E"/>
    <w:rsid w:val="008E6848"/>
    <w:rsid w:val="008F186A"/>
    <w:rsid w:val="00901DE2"/>
    <w:rsid w:val="00906487"/>
    <w:rsid w:val="00907BEB"/>
    <w:rsid w:val="00907EFC"/>
    <w:rsid w:val="00913171"/>
    <w:rsid w:val="00917E86"/>
    <w:rsid w:val="00920910"/>
    <w:rsid w:val="00930888"/>
    <w:rsid w:val="009308C3"/>
    <w:rsid w:val="00941EB7"/>
    <w:rsid w:val="00950423"/>
    <w:rsid w:val="00951133"/>
    <w:rsid w:val="0095406C"/>
    <w:rsid w:val="00956D00"/>
    <w:rsid w:val="00964047"/>
    <w:rsid w:val="00964CB6"/>
    <w:rsid w:val="00964FD1"/>
    <w:rsid w:val="00977416"/>
    <w:rsid w:val="009774D2"/>
    <w:rsid w:val="00982B38"/>
    <w:rsid w:val="00984AA7"/>
    <w:rsid w:val="00984F8C"/>
    <w:rsid w:val="009A34C4"/>
    <w:rsid w:val="009B2F29"/>
    <w:rsid w:val="009B40D1"/>
    <w:rsid w:val="009B545E"/>
    <w:rsid w:val="009C437A"/>
    <w:rsid w:val="009D12E5"/>
    <w:rsid w:val="009E29B9"/>
    <w:rsid w:val="009E4835"/>
    <w:rsid w:val="009E577C"/>
    <w:rsid w:val="009F1E50"/>
    <w:rsid w:val="009F2A4B"/>
    <w:rsid w:val="009F2DF8"/>
    <w:rsid w:val="00A05A01"/>
    <w:rsid w:val="00A06E4A"/>
    <w:rsid w:val="00A11D7A"/>
    <w:rsid w:val="00A16FF1"/>
    <w:rsid w:val="00A236B6"/>
    <w:rsid w:val="00A253A2"/>
    <w:rsid w:val="00A4170E"/>
    <w:rsid w:val="00A47514"/>
    <w:rsid w:val="00A528D9"/>
    <w:rsid w:val="00A565DA"/>
    <w:rsid w:val="00A569E8"/>
    <w:rsid w:val="00A6441D"/>
    <w:rsid w:val="00A714BD"/>
    <w:rsid w:val="00A830DF"/>
    <w:rsid w:val="00A850B4"/>
    <w:rsid w:val="00A9581D"/>
    <w:rsid w:val="00A97EC8"/>
    <w:rsid w:val="00AB428C"/>
    <w:rsid w:val="00AC2595"/>
    <w:rsid w:val="00AC4D49"/>
    <w:rsid w:val="00AC55AF"/>
    <w:rsid w:val="00AC601C"/>
    <w:rsid w:val="00AC71A5"/>
    <w:rsid w:val="00AD1CFA"/>
    <w:rsid w:val="00AE7DF3"/>
    <w:rsid w:val="00AF148B"/>
    <w:rsid w:val="00AF360F"/>
    <w:rsid w:val="00AF4F3D"/>
    <w:rsid w:val="00B00F7E"/>
    <w:rsid w:val="00B01E01"/>
    <w:rsid w:val="00B102F6"/>
    <w:rsid w:val="00B21E15"/>
    <w:rsid w:val="00B23174"/>
    <w:rsid w:val="00B27186"/>
    <w:rsid w:val="00B3091A"/>
    <w:rsid w:val="00B31DFE"/>
    <w:rsid w:val="00B33692"/>
    <w:rsid w:val="00B36AE5"/>
    <w:rsid w:val="00B41094"/>
    <w:rsid w:val="00B46304"/>
    <w:rsid w:val="00B62A74"/>
    <w:rsid w:val="00B67B0C"/>
    <w:rsid w:val="00B746CE"/>
    <w:rsid w:val="00B82E4B"/>
    <w:rsid w:val="00BA50FF"/>
    <w:rsid w:val="00BA570D"/>
    <w:rsid w:val="00BB133D"/>
    <w:rsid w:val="00BB15AE"/>
    <w:rsid w:val="00BB15FF"/>
    <w:rsid w:val="00BB2C24"/>
    <w:rsid w:val="00BC1CC6"/>
    <w:rsid w:val="00BC75DE"/>
    <w:rsid w:val="00BC7E9C"/>
    <w:rsid w:val="00C05B5D"/>
    <w:rsid w:val="00C15A0C"/>
    <w:rsid w:val="00C3349C"/>
    <w:rsid w:val="00C41A6D"/>
    <w:rsid w:val="00C420E5"/>
    <w:rsid w:val="00C46806"/>
    <w:rsid w:val="00C5083B"/>
    <w:rsid w:val="00C57CFB"/>
    <w:rsid w:val="00C57E65"/>
    <w:rsid w:val="00C603F2"/>
    <w:rsid w:val="00C67839"/>
    <w:rsid w:val="00C7444A"/>
    <w:rsid w:val="00C872C7"/>
    <w:rsid w:val="00C95AF2"/>
    <w:rsid w:val="00C95B5B"/>
    <w:rsid w:val="00CA31D2"/>
    <w:rsid w:val="00CA5D81"/>
    <w:rsid w:val="00CB56B6"/>
    <w:rsid w:val="00CC049D"/>
    <w:rsid w:val="00CC0E9C"/>
    <w:rsid w:val="00CD061B"/>
    <w:rsid w:val="00CD372C"/>
    <w:rsid w:val="00CD5C77"/>
    <w:rsid w:val="00CF1FAD"/>
    <w:rsid w:val="00CF3915"/>
    <w:rsid w:val="00D06EE1"/>
    <w:rsid w:val="00D12B3F"/>
    <w:rsid w:val="00D15ECE"/>
    <w:rsid w:val="00D17CBA"/>
    <w:rsid w:val="00D25047"/>
    <w:rsid w:val="00D2560E"/>
    <w:rsid w:val="00D275DA"/>
    <w:rsid w:val="00D36AAC"/>
    <w:rsid w:val="00D4187A"/>
    <w:rsid w:val="00D50E53"/>
    <w:rsid w:val="00D52BC9"/>
    <w:rsid w:val="00D64578"/>
    <w:rsid w:val="00D67771"/>
    <w:rsid w:val="00D70E63"/>
    <w:rsid w:val="00D7313B"/>
    <w:rsid w:val="00D755D7"/>
    <w:rsid w:val="00D75802"/>
    <w:rsid w:val="00D773A6"/>
    <w:rsid w:val="00D811E4"/>
    <w:rsid w:val="00D86BF1"/>
    <w:rsid w:val="00D91D9A"/>
    <w:rsid w:val="00D92752"/>
    <w:rsid w:val="00DA0381"/>
    <w:rsid w:val="00DA1628"/>
    <w:rsid w:val="00DA1D7E"/>
    <w:rsid w:val="00DB0861"/>
    <w:rsid w:val="00DB0DF0"/>
    <w:rsid w:val="00DB4D7C"/>
    <w:rsid w:val="00DC1AF6"/>
    <w:rsid w:val="00DD62FC"/>
    <w:rsid w:val="00DD6ED4"/>
    <w:rsid w:val="00DF5826"/>
    <w:rsid w:val="00E01B49"/>
    <w:rsid w:val="00E05E37"/>
    <w:rsid w:val="00E07B3E"/>
    <w:rsid w:val="00E21E94"/>
    <w:rsid w:val="00E2291E"/>
    <w:rsid w:val="00E307B8"/>
    <w:rsid w:val="00E36A78"/>
    <w:rsid w:val="00E52D08"/>
    <w:rsid w:val="00E54232"/>
    <w:rsid w:val="00E55CB0"/>
    <w:rsid w:val="00E64C2B"/>
    <w:rsid w:val="00E71966"/>
    <w:rsid w:val="00E727B6"/>
    <w:rsid w:val="00E856DB"/>
    <w:rsid w:val="00E86FF3"/>
    <w:rsid w:val="00E92863"/>
    <w:rsid w:val="00E92D9E"/>
    <w:rsid w:val="00E92EFC"/>
    <w:rsid w:val="00E96820"/>
    <w:rsid w:val="00E97211"/>
    <w:rsid w:val="00EA1C18"/>
    <w:rsid w:val="00EA6817"/>
    <w:rsid w:val="00EB0E91"/>
    <w:rsid w:val="00EC0C84"/>
    <w:rsid w:val="00EC7DCE"/>
    <w:rsid w:val="00ED2DE6"/>
    <w:rsid w:val="00ED5659"/>
    <w:rsid w:val="00EE30F8"/>
    <w:rsid w:val="00EF196C"/>
    <w:rsid w:val="00EF3549"/>
    <w:rsid w:val="00EF4F85"/>
    <w:rsid w:val="00F12A9B"/>
    <w:rsid w:val="00F13B51"/>
    <w:rsid w:val="00F15706"/>
    <w:rsid w:val="00F23B8F"/>
    <w:rsid w:val="00F264BB"/>
    <w:rsid w:val="00F446DA"/>
    <w:rsid w:val="00F44FB4"/>
    <w:rsid w:val="00F47FD2"/>
    <w:rsid w:val="00F54C75"/>
    <w:rsid w:val="00F55868"/>
    <w:rsid w:val="00F62FCB"/>
    <w:rsid w:val="00F63533"/>
    <w:rsid w:val="00F7127C"/>
    <w:rsid w:val="00F73CB9"/>
    <w:rsid w:val="00F754B4"/>
    <w:rsid w:val="00F8089C"/>
    <w:rsid w:val="00F8095A"/>
    <w:rsid w:val="00F9077D"/>
    <w:rsid w:val="00F960D3"/>
    <w:rsid w:val="00FA30A5"/>
    <w:rsid w:val="00FA3BE3"/>
    <w:rsid w:val="00FA3DB9"/>
    <w:rsid w:val="00FE0DC6"/>
    <w:rsid w:val="00FE33A1"/>
    <w:rsid w:val="00FF66D4"/>
    <w:rsid w:val="00FF6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75064-1CC7-40F7-B8A0-7DEF0D80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C601C"/>
    <w:pPr>
      <w:spacing w:before="120" w:after="120" w:line="360" w:lineRule="auto"/>
    </w:pPr>
    <w:rPr>
      <w:rFonts w:ascii="Arial" w:eastAsia="Calibri" w:hAnsi="Arial" w:cs="Times New Roman"/>
      <w:sz w:val="24"/>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numberedtext">
    <w:name w:val="Unnumbered text"/>
    <w:basedOn w:val="Normal"/>
    <w:qFormat/>
    <w:rsid w:val="00AC601C"/>
    <w:pPr>
      <w:jc w:val="both"/>
    </w:pPr>
  </w:style>
  <w:style w:type="paragraph" w:customStyle="1" w:styleId="Textinlines">
    <w:name w:val="Text in lines"/>
    <w:basedOn w:val="Normal"/>
    <w:next w:val="Unnumberedtext"/>
    <w:uiPriority w:val="1"/>
    <w:qFormat/>
    <w:rsid w:val="00AC601C"/>
    <w:pPr>
      <w:pBdr>
        <w:top w:val="single" w:sz="12" w:space="6" w:color="auto"/>
        <w:bottom w:val="single" w:sz="12" w:space="1" w:color="auto"/>
      </w:pBdr>
      <w:tabs>
        <w:tab w:val="left" w:pos="5954"/>
      </w:tabs>
      <w:spacing w:before="480" w:after="480"/>
      <w:jc w:val="center"/>
    </w:pPr>
    <w:rPr>
      <w:b/>
      <w:caps/>
    </w:rPr>
  </w:style>
  <w:style w:type="paragraph" w:styleId="BalloonText">
    <w:name w:val="Balloon Text"/>
    <w:basedOn w:val="Normal"/>
    <w:link w:val="BalloonTextChar"/>
    <w:uiPriority w:val="99"/>
    <w:semiHidden/>
    <w:unhideWhenUsed/>
    <w:rsid w:val="00D52BC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BC9"/>
    <w:rPr>
      <w:rFonts w:ascii="Segoe UI" w:eastAsia="Calibri" w:hAnsi="Segoe UI" w:cs="Segoe UI"/>
      <w:sz w:val="18"/>
      <w:szCs w:val="18"/>
      <w:lang w:val="en-ZA"/>
    </w:rPr>
  </w:style>
  <w:style w:type="paragraph" w:styleId="FootnoteText">
    <w:name w:val="footnote text"/>
    <w:basedOn w:val="Normal"/>
    <w:link w:val="FootnoteTextChar"/>
    <w:uiPriority w:val="99"/>
    <w:semiHidden/>
    <w:unhideWhenUsed/>
    <w:rsid w:val="00021E06"/>
    <w:pPr>
      <w:spacing w:before="0" w:after="0" w:line="240" w:lineRule="auto"/>
    </w:pPr>
    <w:rPr>
      <w:sz w:val="20"/>
    </w:rPr>
  </w:style>
  <w:style w:type="character" w:customStyle="1" w:styleId="FootnoteTextChar">
    <w:name w:val="Footnote Text Char"/>
    <w:basedOn w:val="DefaultParagraphFont"/>
    <w:link w:val="FootnoteText"/>
    <w:uiPriority w:val="99"/>
    <w:semiHidden/>
    <w:rsid w:val="00021E06"/>
    <w:rPr>
      <w:rFonts w:ascii="Arial" w:eastAsia="Calibri" w:hAnsi="Arial" w:cs="Times New Roman"/>
      <w:sz w:val="20"/>
      <w:szCs w:val="20"/>
      <w:lang w:val="en-ZA"/>
    </w:rPr>
  </w:style>
  <w:style w:type="character" w:styleId="FootnoteReference">
    <w:name w:val="footnote reference"/>
    <w:basedOn w:val="DefaultParagraphFont"/>
    <w:uiPriority w:val="99"/>
    <w:semiHidden/>
    <w:unhideWhenUsed/>
    <w:rsid w:val="00021E06"/>
    <w:rPr>
      <w:vertAlign w:val="superscript"/>
    </w:rPr>
  </w:style>
  <w:style w:type="paragraph" w:styleId="BodyText">
    <w:name w:val="Body Text"/>
    <w:basedOn w:val="Normal"/>
    <w:link w:val="BodyTextChar"/>
    <w:uiPriority w:val="1"/>
    <w:qFormat/>
    <w:rsid w:val="00AC2595"/>
    <w:pPr>
      <w:widowControl w:val="0"/>
      <w:autoSpaceDE w:val="0"/>
      <w:autoSpaceDN w:val="0"/>
      <w:spacing w:before="0" w:after="0" w:line="240" w:lineRule="auto"/>
    </w:pPr>
    <w:rPr>
      <w:rFonts w:eastAsia="Arial" w:cs="Arial"/>
      <w:szCs w:val="24"/>
      <w:lang w:val="en-US"/>
    </w:rPr>
  </w:style>
  <w:style w:type="character" w:customStyle="1" w:styleId="BodyTextChar">
    <w:name w:val="Body Text Char"/>
    <w:basedOn w:val="DefaultParagraphFont"/>
    <w:link w:val="BodyText"/>
    <w:uiPriority w:val="1"/>
    <w:rsid w:val="00AC2595"/>
    <w:rPr>
      <w:rFonts w:ascii="Arial" w:eastAsia="Arial" w:hAnsi="Arial" w:cs="Arial"/>
      <w:sz w:val="24"/>
      <w:szCs w:val="24"/>
    </w:rPr>
  </w:style>
  <w:style w:type="paragraph" w:styleId="ListParagraph">
    <w:name w:val="List Paragraph"/>
    <w:basedOn w:val="Normal"/>
    <w:uiPriority w:val="34"/>
    <w:qFormat/>
    <w:rsid w:val="00AC71A5"/>
    <w:pPr>
      <w:ind w:left="720"/>
      <w:contextualSpacing/>
    </w:pPr>
  </w:style>
  <w:style w:type="paragraph" w:styleId="Header">
    <w:name w:val="header"/>
    <w:basedOn w:val="Normal"/>
    <w:link w:val="HeaderChar"/>
    <w:uiPriority w:val="99"/>
    <w:unhideWhenUsed/>
    <w:rsid w:val="00964FD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64FD1"/>
    <w:rPr>
      <w:rFonts w:ascii="Arial" w:eastAsia="Calibri" w:hAnsi="Arial" w:cs="Times New Roman"/>
      <w:sz w:val="24"/>
      <w:szCs w:val="20"/>
      <w:lang w:val="en-ZA"/>
    </w:rPr>
  </w:style>
  <w:style w:type="paragraph" w:styleId="Footer">
    <w:name w:val="footer"/>
    <w:basedOn w:val="Normal"/>
    <w:link w:val="FooterChar"/>
    <w:uiPriority w:val="99"/>
    <w:unhideWhenUsed/>
    <w:rsid w:val="00964FD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64FD1"/>
    <w:rPr>
      <w:rFonts w:ascii="Arial" w:eastAsia="Calibri" w:hAnsi="Arial" w:cs="Times New Roman"/>
      <w:sz w:val="24"/>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33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D5F0A-FCDB-4206-AB90-E91E3E444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7480</Words>
  <Characters>42642</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Mornay Moolman</dc:creator>
  <cp:keywords/>
  <dc:description/>
  <cp:lastModifiedBy>Mokone</cp:lastModifiedBy>
  <cp:revision>2</cp:revision>
  <cp:lastPrinted>2023-06-06T11:06:00Z</cp:lastPrinted>
  <dcterms:created xsi:type="dcterms:W3CDTF">2023-06-07T09:01:00Z</dcterms:created>
  <dcterms:modified xsi:type="dcterms:W3CDTF">2023-06-07T09:01:00Z</dcterms:modified>
</cp:coreProperties>
</file>