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13E0F" w14:textId="7B7BDEEB" w:rsidR="000708A0" w:rsidRDefault="000708A0" w:rsidP="00CD56FB">
      <w:pPr>
        <w:pStyle w:val="LegalTitle"/>
        <w:spacing w:after="0" w:line="360" w:lineRule="auto"/>
        <w:rPr>
          <w:u w:val="single"/>
        </w:rPr>
      </w:pPr>
      <w:bookmarkStart w:id="0" w:name="_GoBack"/>
      <w:bookmarkEnd w:id="0"/>
      <w:r>
        <w:rPr>
          <w:u w:val="single"/>
        </w:rPr>
        <w:t>REPUBLIC OF SOUTH AFRICA</w:t>
      </w:r>
    </w:p>
    <w:p w14:paraId="79251C61" w14:textId="5B263AA2" w:rsidR="00781994" w:rsidRDefault="000B38D0" w:rsidP="00DA376E">
      <w:pPr>
        <w:pStyle w:val="LegalTitle"/>
        <w:spacing w:before="120" w:after="120" w:line="360" w:lineRule="auto"/>
        <w:rPr>
          <w:u w:val="single"/>
        </w:rPr>
      </w:pPr>
      <w:r>
        <w:rPr>
          <w:noProof/>
          <w:lang w:val="en-US" w:eastAsia="en-US"/>
        </w:rPr>
        <w:drawing>
          <wp:anchor distT="0" distB="0" distL="114300" distR="114300" simplePos="0" relativeHeight="251662336" behindDoc="0" locked="0" layoutInCell="1" allowOverlap="1" wp14:anchorId="496FA9F9" wp14:editId="0335FA19">
            <wp:simplePos x="0" y="0"/>
            <wp:positionH relativeFrom="column">
              <wp:posOffset>1831975</wp:posOffset>
            </wp:positionH>
            <wp:positionV relativeFrom="paragraph">
              <wp:posOffset>50800</wp:posOffset>
            </wp:positionV>
            <wp:extent cx="1536065" cy="153606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anchor>
        </w:drawing>
      </w:r>
      <w:r w:rsidR="007F45B5">
        <w:rPr>
          <w:u w:val="single"/>
        </w:rPr>
        <w:br w:type="textWrapping" w:clear="all"/>
      </w:r>
      <w:r w:rsidR="00781994">
        <w:rPr>
          <w:u w:val="single"/>
        </w:rPr>
        <w:t>IN THE HIGH COURT OF SOUTH AFRICA</w:t>
      </w:r>
    </w:p>
    <w:p w14:paraId="1FBEBA63" w14:textId="0D6724D0" w:rsidR="00520591" w:rsidRPr="00520591" w:rsidRDefault="000301C4" w:rsidP="006377C9">
      <w:pPr>
        <w:pStyle w:val="LegalTitle"/>
        <w:spacing w:line="360" w:lineRule="auto"/>
        <w:rPr>
          <w:u w:val="single"/>
        </w:rPr>
      </w:pPr>
      <w:r>
        <w:rPr>
          <w:rFonts w:eastAsiaTheme="minorEastAsia"/>
          <w:noProof/>
          <w:lang w:val="en-US" w:eastAsia="en-US"/>
        </w:rPr>
        <mc:AlternateContent>
          <mc:Choice Requires="wps">
            <w:drawing>
              <wp:anchor distT="0" distB="0" distL="114300" distR="114300" simplePos="0" relativeHeight="251661312" behindDoc="0" locked="0" layoutInCell="1" allowOverlap="1" wp14:anchorId="497C16BE" wp14:editId="3881428D">
                <wp:simplePos x="0" y="0"/>
                <wp:positionH relativeFrom="column">
                  <wp:posOffset>-51435</wp:posOffset>
                </wp:positionH>
                <wp:positionV relativeFrom="paragraph">
                  <wp:posOffset>369570</wp:posOffset>
                </wp:positionV>
                <wp:extent cx="3657600" cy="847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7725"/>
                        </a:xfrm>
                        <a:prstGeom prst="rect">
                          <a:avLst/>
                        </a:prstGeom>
                        <a:solidFill>
                          <a:srgbClr val="FFFFFF"/>
                        </a:solidFill>
                        <a:ln w="9525">
                          <a:solidFill>
                            <a:srgbClr val="000000"/>
                          </a:solidFill>
                          <a:miter lim="800000"/>
                          <a:headEnd/>
                          <a:tailEnd/>
                        </a:ln>
                      </wps:spPr>
                      <wps:txbx>
                        <w:txbxContent>
                          <w:p w14:paraId="47A14B25" w14:textId="77777777" w:rsidR="00611DB7" w:rsidRPr="0038792A" w:rsidRDefault="00611DB7" w:rsidP="006B247E">
                            <w:pPr>
                              <w:numPr>
                                <w:ilvl w:val="0"/>
                                <w:numId w:val="4"/>
                              </w:numPr>
                              <w:suppressAutoHyphens w:val="0"/>
                              <w:rPr>
                                <w:rFonts w:ascii="Century Gothic" w:hAnsi="Century Gothic"/>
                                <w:sz w:val="20"/>
                                <w:szCs w:val="20"/>
                              </w:rPr>
                            </w:pPr>
                            <w:r>
                              <w:rPr>
                                <w:rFonts w:ascii="Century Gothic" w:hAnsi="Century Gothic"/>
                                <w:sz w:val="20"/>
                                <w:szCs w:val="20"/>
                              </w:rPr>
                              <w:t xml:space="preserve">REPORTABLE: </w:t>
                            </w:r>
                            <w:r>
                              <w:rPr>
                                <w:rFonts w:ascii="Century Gothic" w:hAnsi="Century Gothic"/>
                                <w:b/>
                                <w:i/>
                                <w:sz w:val="20"/>
                                <w:szCs w:val="20"/>
                              </w:rPr>
                              <w:t>NO</w:t>
                            </w:r>
                          </w:p>
                          <w:p w14:paraId="11CCB717" w14:textId="77777777" w:rsidR="00611DB7" w:rsidRPr="0038792A" w:rsidRDefault="00611DB7" w:rsidP="006B247E">
                            <w:pPr>
                              <w:numPr>
                                <w:ilvl w:val="0"/>
                                <w:numId w:val="4"/>
                              </w:numPr>
                              <w:suppressAutoHyphens w:val="0"/>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Pr>
                                <w:rFonts w:ascii="Century Gothic" w:hAnsi="Century Gothic"/>
                                <w:b/>
                                <w:i/>
                                <w:sz w:val="20"/>
                                <w:szCs w:val="20"/>
                              </w:rPr>
                              <w:t>NO</w:t>
                            </w:r>
                          </w:p>
                          <w:p w14:paraId="7598AF5D" w14:textId="77777777" w:rsidR="00611DB7" w:rsidRPr="0038792A" w:rsidRDefault="00611DB7" w:rsidP="006B247E">
                            <w:pPr>
                              <w:numPr>
                                <w:ilvl w:val="0"/>
                                <w:numId w:val="4"/>
                              </w:numPr>
                              <w:suppressAutoHyphens w:val="0"/>
                              <w:spacing w:after="120"/>
                              <w:ind w:left="901"/>
                              <w:rPr>
                                <w:rFonts w:ascii="Century Gothic" w:hAnsi="Century Gothic"/>
                                <w:sz w:val="20"/>
                                <w:szCs w:val="20"/>
                              </w:rPr>
                            </w:pPr>
                            <w:r w:rsidRPr="0038792A">
                              <w:rPr>
                                <w:rFonts w:ascii="Century Gothic" w:hAnsi="Century Gothic"/>
                                <w:sz w:val="20"/>
                                <w:szCs w:val="20"/>
                              </w:rPr>
                              <w:t xml:space="preserve">REVISED: </w:t>
                            </w:r>
                          </w:p>
                          <w:p w14:paraId="7D8C83F5" w14:textId="30EB86AD" w:rsidR="00611DB7" w:rsidRPr="000C3AF7" w:rsidRDefault="00611DB7" w:rsidP="000C3AF7">
                            <w:pPr>
                              <w:rPr>
                                <w:rFonts w:ascii="Century Gothic" w:hAnsi="Century Gothic"/>
                                <w:sz w:val="22"/>
                                <w:szCs w:val="22"/>
                              </w:rPr>
                            </w:pPr>
                            <w:r>
                              <w:rPr>
                                <w:rFonts w:ascii="Century Gothic" w:hAnsi="Century Gothic"/>
                                <w:sz w:val="22"/>
                                <w:szCs w:val="22"/>
                              </w:rPr>
                              <w:t xml:space="preserve">Date: </w:t>
                            </w:r>
                            <w:r w:rsidR="000B5E85">
                              <w:rPr>
                                <w:rFonts w:ascii="Century Gothic" w:hAnsi="Century Gothic"/>
                                <w:sz w:val="22"/>
                                <w:szCs w:val="22"/>
                              </w:rPr>
                              <w:t>6</w:t>
                            </w:r>
                            <w:r w:rsidRPr="00837062">
                              <w:rPr>
                                <w:rFonts w:ascii="Century Gothic" w:hAnsi="Century Gothic"/>
                                <w:b/>
                                <w:i/>
                                <w:sz w:val="22"/>
                                <w:szCs w:val="22"/>
                                <w:u w:val="single"/>
                                <w:vertAlign w:val="superscript"/>
                              </w:rPr>
                              <w:t>th</w:t>
                            </w:r>
                            <w:r>
                              <w:rPr>
                                <w:rFonts w:ascii="Century Gothic" w:hAnsi="Century Gothic"/>
                                <w:b/>
                                <w:i/>
                                <w:sz w:val="22"/>
                                <w:szCs w:val="22"/>
                                <w:u w:val="single"/>
                              </w:rPr>
                              <w:t xml:space="preserve"> June 2023</w:t>
                            </w:r>
                            <w:r w:rsidRPr="0070234A">
                              <w:rPr>
                                <w:rFonts w:ascii="Century Gothic" w:hAnsi="Century Gothic"/>
                                <w:b/>
                                <w:i/>
                                <w:sz w:val="22"/>
                                <w:szCs w:val="22"/>
                              </w:rPr>
                              <w:t xml:space="preserve"> </w:t>
                            </w:r>
                            <w:r>
                              <w:rPr>
                                <w:rFonts w:ascii="Century Gothic" w:hAnsi="Century Gothic"/>
                                <w:sz w:val="22"/>
                                <w:szCs w:val="22"/>
                              </w:rPr>
                              <w:t>Signature: __________________</w:t>
                            </w:r>
                          </w:p>
                          <w:p w14:paraId="12AF53E7" w14:textId="77777777" w:rsidR="00611DB7" w:rsidRDefault="00611DB7" w:rsidP="000C3AF7">
                            <w:pPr>
                              <w:rPr>
                                <w:rFonts w:ascii="Century Gothic" w:hAnsi="Century Gothic"/>
                                <w:sz w:val="28"/>
                                <w:szCs w:val="28"/>
                              </w:rPr>
                            </w:pPr>
                          </w:p>
                          <w:p w14:paraId="6B328F2B" w14:textId="77777777" w:rsidR="00611DB7" w:rsidRDefault="00611DB7" w:rsidP="000C3AF7">
                            <w:pPr>
                              <w:rPr>
                                <w:rFonts w:ascii="Century Gothic" w:hAnsi="Century Gothic"/>
                                <w:sz w:val="28"/>
                                <w:szCs w:val="28"/>
                              </w:rPr>
                            </w:pPr>
                            <w:r>
                              <w:rPr>
                                <w:rFonts w:ascii="Century Gothic" w:hAnsi="Century Gothic"/>
                                <w:sz w:val="28"/>
                                <w:szCs w:val="28"/>
                              </w:rPr>
                              <w:t>____________________        ____________________</w:t>
                            </w:r>
                          </w:p>
                          <w:p w14:paraId="0DAB650D" w14:textId="77777777" w:rsidR="00611DB7" w:rsidRDefault="00611DB7" w:rsidP="000C3AF7">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03506417" w14:textId="77777777" w:rsidR="00611DB7" w:rsidRDefault="00611DB7" w:rsidP="000C3AF7">
                            <w:pPr>
                              <w:rPr>
                                <w:rFonts w:ascii="Century Gothic" w:hAnsi="Century Gothic"/>
                                <w:sz w:val="28"/>
                                <w:szCs w:val="28"/>
                              </w:rPr>
                            </w:pPr>
                          </w:p>
                          <w:p w14:paraId="3E1C7AF5" w14:textId="77777777" w:rsidR="00611DB7" w:rsidRDefault="00611DB7" w:rsidP="000C3AF7">
                            <w:pPr>
                              <w:rPr>
                                <w:rFonts w:ascii="Century Gothic" w:hAnsi="Century Gothic"/>
                                <w:sz w:val="28"/>
                                <w:szCs w:val="28"/>
                              </w:rPr>
                            </w:pPr>
                          </w:p>
                          <w:p w14:paraId="65A5D01C" w14:textId="77777777" w:rsidR="00611DB7" w:rsidRDefault="00611DB7" w:rsidP="000C3AF7">
                            <w:pPr>
                              <w:rPr>
                                <w:rFonts w:ascii="Century Gothic" w:hAnsi="Century Gothic"/>
                                <w:sz w:val="28"/>
                                <w:szCs w:val="28"/>
                              </w:rPr>
                            </w:pPr>
                          </w:p>
                          <w:p w14:paraId="252DC17A" w14:textId="77777777" w:rsidR="00611DB7" w:rsidRPr="009533D5" w:rsidRDefault="00611DB7" w:rsidP="000C3AF7">
                            <w:pPr>
                              <w:rPr>
                                <w:rFonts w:ascii="Century Gothic" w:hAnsi="Century Gothic"/>
                                <w:sz w:val="28"/>
                                <w:szCs w:val="28"/>
                              </w:rPr>
                            </w:pPr>
                          </w:p>
                          <w:p w14:paraId="67643019" w14:textId="77777777" w:rsidR="00611DB7" w:rsidRDefault="00611DB7" w:rsidP="000C3AF7">
                            <w:pPr>
                              <w:rPr>
                                <w:rFonts w:ascii="Century Gothic" w:hAnsi="Century Gothic"/>
                                <w:b/>
                                <w:sz w:val="18"/>
                                <w:szCs w:val="18"/>
                              </w:rPr>
                            </w:pPr>
                          </w:p>
                          <w:p w14:paraId="09961391" w14:textId="77777777" w:rsidR="00611DB7" w:rsidRDefault="00611DB7" w:rsidP="000C3AF7">
                            <w:pPr>
                              <w:rPr>
                                <w:rFonts w:ascii="Century Gothic" w:hAnsi="Century Gothic"/>
                                <w:b/>
                                <w:sz w:val="18"/>
                                <w:szCs w:val="18"/>
                              </w:rPr>
                            </w:pPr>
                          </w:p>
                          <w:p w14:paraId="5D79450A" w14:textId="77777777" w:rsidR="00611DB7" w:rsidRDefault="00611DB7" w:rsidP="000C3AF7">
                            <w:pPr>
                              <w:rPr>
                                <w:rFonts w:ascii="Century Gothic" w:hAnsi="Century Gothic"/>
                                <w:b/>
                                <w:sz w:val="18"/>
                                <w:szCs w:val="18"/>
                              </w:rPr>
                            </w:pPr>
                          </w:p>
                          <w:p w14:paraId="105A86A6" w14:textId="77777777" w:rsidR="00611DB7" w:rsidRPr="00B93709" w:rsidRDefault="00611DB7" w:rsidP="000C3AF7">
                            <w:pPr>
                              <w:rPr>
                                <w:rFonts w:ascii="Century Gothic" w:hAnsi="Century Gothic"/>
                                <w:b/>
                                <w:sz w:val="18"/>
                                <w:szCs w:val="18"/>
                              </w:rPr>
                            </w:pPr>
                          </w:p>
                          <w:p w14:paraId="7BEC4500" w14:textId="77777777" w:rsidR="00611DB7" w:rsidRPr="00B93709" w:rsidRDefault="00611DB7" w:rsidP="000C3AF7">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497C16BE" id="_x0000_t202" coordsize="21600,21600" o:spt="202" path="m,l,21600r21600,l21600,xe">
                <v:stroke joinstyle="miter"/>
                <v:path gradientshapeok="t" o:connecttype="rect"/>
              </v:shapetype>
              <v:shape id="Text Box 1" o:spid="_x0000_s1026" type="#_x0000_t202" style="position:absolute;left:0;text-align:left;margin-left:-4.05pt;margin-top:29.1pt;width:4in;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">
                <v:textbox>
                  <w:txbxContent>
                    <w:p w14:paraId="47A14B25" w14:textId="77777777" w:rsidR="00611DB7" w:rsidRPr="0038792A" w:rsidRDefault="00611DB7" w:rsidP="006B247E">
                      <w:pPr>
                        <w:numPr>
                          <w:ilvl w:val="0"/>
                          <w:numId w:val="4"/>
                        </w:numPr>
                        <w:suppressAutoHyphens w:val="0"/>
                        <w:rPr>
                          <w:rFonts w:ascii="Century Gothic" w:hAnsi="Century Gothic"/>
                          <w:sz w:val="20"/>
                          <w:szCs w:val="20"/>
                        </w:rPr>
                      </w:pPr>
                      <w:r>
                        <w:rPr>
                          <w:rFonts w:ascii="Century Gothic" w:hAnsi="Century Gothic"/>
                          <w:sz w:val="20"/>
                          <w:szCs w:val="20"/>
                        </w:rPr>
                        <w:t xml:space="preserve">REPORTABLE: </w:t>
                      </w:r>
                      <w:r>
                        <w:rPr>
                          <w:rFonts w:ascii="Century Gothic" w:hAnsi="Century Gothic"/>
                          <w:b/>
                          <w:i/>
                          <w:sz w:val="20"/>
                          <w:szCs w:val="20"/>
                        </w:rPr>
                        <w:t>NO</w:t>
                      </w:r>
                    </w:p>
                    <w:p w14:paraId="11CCB717" w14:textId="77777777" w:rsidR="00611DB7" w:rsidRPr="0038792A" w:rsidRDefault="00611DB7" w:rsidP="006B247E">
                      <w:pPr>
                        <w:numPr>
                          <w:ilvl w:val="0"/>
                          <w:numId w:val="4"/>
                        </w:numPr>
                        <w:suppressAutoHyphens w:val="0"/>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Pr>
                          <w:rFonts w:ascii="Century Gothic" w:hAnsi="Century Gothic"/>
                          <w:b/>
                          <w:i/>
                          <w:sz w:val="20"/>
                          <w:szCs w:val="20"/>
                        </w:rPr>
                        <w:t>NO</w:t>
                      </w:r>
                    </w:p>
                    <w:p w14:paraId="7598AF5D" w14:textId="77777777" w:rsidR="00611DB7" w:rsidRPr="0038792A" w:rsidRDefault="00611DB7" w:rsidP="006B247E">
                      <w:pPr>
                        <w:numPr>
                          <w:ilvl w:val="0"/>
                          <w:numId w:val="4"/>
                        </w:numPr>
                        <w:suppressAutoHyphens w:val="0"/>
                        <w:spacing w:after="120"/>
                        <w:ind w:left="901"/>
                        <w:rPr>
                          <w:rFonts w:ascii="Century Gothic" w:hAnsi="Century Gothic"/>
                          <w:sz w:val="20"/>
                          <w:szCs w:val="20"/>
                        </w:rPr>
                      </w:pPr>
                      <w:r w:rsidRPr="0038792A">
                        <w:rPr>
                          <w:rFonts w:ascii="Century Gothic" w:hAnsi="Century Gothic"/>
                          <w:sz w:val="20"/>
                          <w:szCs w:val="20"/>
                        </w:rPr>
                        <w:t xml:space="preserve">REVISED: </w:t>
                      </w:r>
                    </w:p>
                    <w:p w14:paraId="7D8C83F5" w14:textId="30EB86AD" w:rsidR="00611DB7" w:rsidRPr="000C3AF7" w:rsidRDefault="00611DB7" w:rsidP="000C3AF7">
                      <w:pPr>
                        <w:rPr>
                          <w:rFonts w:ascii="Century Gothic" w:hAnsi="Century Gothic"/>
                          <w:sz w:val="22"/>
                          <w:szCs w:val="22"/>
                        </w:rPr>
                      </w:pPr>
                      <w:r>
                        <w:rPr>
                          <w:rFonts w:ascii="Century Gothic" w:hAnsi="Century Gothic"/>
                          <w:sz w:val="22"/>
                          <w:szCs w:val="22"/>
                        </w:rPr>
                        <w:t xml:space="preserve">Date: </w:t>
                      </w:r>
                      <w:r w:rsidR="000B5E85">
                        <w:rPr>
                          <w:rFonts w:ascii="Century Gothic" w:hAnsi="Century Gothic"/>
                          <w:sz w:val="22"/>
                          <w:szCs w:val="22"/>
                        </w:rPr>
                        <w:t>6</w:t>
                      </w:r>
                      <w:r w:rsidRPr="00837062">
                        <w:rPr>
                          <w:rFonts w:ascii="Century Gothic" w:hAnsi="Century Gothic"/>
                          <w:b/>
                          <w:i/>
                          <w:sz w:val="22"/>
                          <w:szCs w:val="22"/>
                          <w:u w:val="single"/>
                          <w:vertAlign w:val="superscript"/>
                        </w:rPr>
                        <w:t>th</w:t>
                      </w:r>
                      <w:r>
                        <w:rPr>
                          <w:rFonts w:ascii="Century Gothic" w:hAnsi="Century Gothic"/>
                          <w:b/>
                          <w:i/>
                          <w:sz w:val="22"/>
                          <w:szCs w:val="22"/>
                          <w:u w:val="single"/>
                        </w:rPr>
                        <w:t xml:space="preserve"> June 2023</w:t>
                      </w:r>
                      <w:r w:rsidRPr="0070234A">
                        <w:rPr>
                          <w:rFonts w:ascii="Century Gothic" w:hAnsi="Century Gothic"/>
                          <w:b/>
                          <w:i/>
                          <w:sz w:val="22"/>
                          <w:szCs w:val="22"/>
                        </w:rPr>
                        <w:t xml:space="preserve"> </w:t>
                      </w:r>
                      <w:r>
                        <w:rPr>
                          <w:rFonts w:ascii="Century Gothic" w:hAnsi="Century Gothic"/>
                          <w:sz w:val="22"/>
                          <w:szCs w:val="22"/>
                        </w:rPr>
                        <w:t>Signature: __________________</w:t>
                      </w:r>
                    </w:p>
                    <w:p w14:paraId="12AF53E7" w14:textId="77777777" w:rsidR="00611DB7" w:rsidRDefault="00611DB7" w:rsidP="000C3AF7">
                      <w:pPr>
                        <w:rPr>
                          <w:rFonts w:ascii="Century Gothic" w:hAnsi="Century Gothic"/>
                          <w:sz w:val="28"/>
                          <w:szCs w:val="28"/>
                        </w:rPr>
                      </w:pPr>
                    </w:p>
                    <w:p w14:paraId="6B328F2B" w14:textId="77777777" w:rsidR="00611DB7" w:rsidRDefault="00611DB7" w:rsidP="000C3AF7">
                      <w:pPr>
                        <w:rPr>
                          <w:rFonts w:ascii="Century Gothic" w:hAnsi="Century Gothic"/>
                          <w:sz w:val="28"/>
                          <w:szCs w:val="28"/>
                        </w:rPr>
                      </w:pPr>
                      <w:r>
                        <w:rPr>
                          <w:rFonts w:ascii="Century Gothic" w:hAnsi="Century Gothic"/>
                          <w:sz w:val="28"/>
                          <w:szCs w:val="28"/>
                        </w:rPr>
                        <w:t>____________________        ____________________</w:t>
                      </w:r>
                    </w:p>
                    <w:p w14:paraId="0DAB650D" w14:textId="77777777" w:rsidR="00611DB7" w:rsidRDefault="00611DB7" w:rsidP="000C3AF7">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03506417" w14:textId="77777777" w:rsidR="00611DB7" w:rsidRDefault="00611DB7" w:rsidP="000C3AF7">
                      <w:pPr>
                        <w:rPr>
                          <w:rFonts w:ascii="Century Gothic" w:hAnsi="Century Gothic"/>
                          <w:sz w:val="28"/>
                          <w:szCs w:val="28"/>
                        </w:rPr>
                      </w:pPr>
                    </w:p>
                    <w:p w14:paraId="3E1C7AF5" w14:textId="77777777" w:rsidR="00611DB7" w:rsidRDefault="00611DB7" w:rsidP="000C3AF7">
                      <w:pPr>
                        <w:rPr>
                          <w:rFonts w:ascii="Century Gothic" w:hAnsi="Century Gothic"/>
                          <w:sz w:val="28"/>
                          <w:szCs w:val="28"/>
                        </w:rPr>
                      </w:pPr>
                    </w:p>
                    <w:p w14:paraId="65A5D01C" w14:textId="77777777" w:rsidR="00611DB7" w:rsidRDefault="00611DB7" w:rsidP="000C3AF7">
                      <w:pPr>
                        <w:rPr>
                          <w:rFonts w:ascii="Century Gothic" w:hAnsi="Century Gothic"/>
                          <w:sz w:val="28"/>
                          <w:szCs w:val="28"/>
                        </w:rPr>
                      </w:pPr>
                    </w:p>
                    <w:p w14:paraId="252DC17A" w14:textId="77777777" w:rsidR="00611DB7" w:rsidRPr="009533D5" w:rsidRDefault="00611DB7" w:rsidP="000C3AF7">
                      <w:pPr>
                        <w:rPr>
                          <w:rFonts w:ascii="Century Gothic" w:hAnsi="Century Gothic"/>
                          <w:sz w:val="28"/>
                          <w:szCs w:val="28"/>
                        </w:rPr>
                      </w:pPr>
                    </w:p>
                    <w:p w14:paraId="67643019" w14:textId="77777777" w:rsidR="00611DB7" w:rsidRDefault="00611DB7" w:rsidP="000C3AF7">
                      <w:pPr>
                        <w:rPr>
                          <w:rFonts w:ascii="Century Gothic" w:hAnsi="Century Gothic"/>
                          <w:b/>
                          <w:sz w:val="18"/>
                          <w:szCs w:val="18"/>
                        </w:rPr>
                      </w:pPr>
                    </w:p>
                    <w:p w14:paraId="09961391" w14:textId="77777777" w:rsidR="00611DB7" w:rsidRDefault="00611DB7" w:rsidP="000C3AF7">
                      <w:pPr>
                        <w:rPr>
                          <w:rFonts w:ascii="Century Gothic" w:hAnsi="Century Gothic"/>
                          <w:b/>
                          <w:sz w:val="18"/>
                          <w:szCs w:val="18"/>
                        </w:rPr>
                      </w:pPr>
                    </w:p>
                    <w:p w14:paraId="5D79450A" w14:textId="77777777" w:rsidR="00611DB7" w:rsidRDefault="00611DB7" w:rsidP="000C3AF7">
                      <w:pPr>
                        <w:rPr>
                          <w:rFonts w:ascii="Century Gothic" w:hAnsi="Century Gothic"/>
                          <w:b/>
                          <w:sz w:val="18"/>
                          <w:szCs w:val="18"/>
                        </w:rPr>
                      </w:pPr>
                    </w:p>
                    <w:p w14:paraId="105A86A6" w14:textId="77777777" w:rsidR="00611DB7" w:rsidRPr="00B93709" w:rsidRDefault="00611DB7" w:rsidP="000C3AF7">
                      <w:pPr>
                        <w:rPr>
                          <w:rFonts w:ascii="Century Gothic" w:hAnsi="Century Gothic"/>
                          <w:b/>
                          <w:sz w:val="18"/>
                          <w:szCs w:val="18"/>
                        </w:rPr>
                      </w:pPr>
                    </w:p>
                    <w:p w14:paraId="7BEC4500" w14:textId="77777777" w:rsidR="00611DB7" w:rsidRPr="00B93709" w:rsidRDefault="00611DB7" w:rsidP="000C3AF7">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v:shape>
            </w:pict>
          </mc:Fallback>
        </mc:AlternateContent>
      </w:r>
      <w:r w:rsidR="00520591" w:rsidRPr="00520591">
        <w:rPr>
          <w:u w:val="single"/>
        </w:rPr>
        <w:t xml:space="preserve">GAUTENG DIVISION, </w:t>
      </w:r>
      <w:r w:rsidR="000B38D0">
        <w:rPr>
          <w:u w:val="single"/>
        </w:rPr>
        <w:t>JOHANNESBURG</w:t>
      </w:r>
    </w:p>
    <w:p w14:paraId="73013942" w14:textId="77777777" w:rsidR="00781994" w:rsidRDefault="00781994" w:rsidP="00EB0478">
      <w:pPr>
        <w:pStyle w:val="LegalAnnexure"/>
        <w:spacing w:after="240" w:line="360" w:lineRule="auto"/>
        <w:rPr>
          <w:u w:val="single"/>
        </w:rPr>
      </w:pPr>
    </w:p>
    <w:p w14:paraId="10FE9C41" w14:textId="77777777" w:rsidR="004A6C63" w:rsidRDefault="004A6C63" w:rsidP="0044143F">
      <w:pPr>
        <w:pStyle w:val="LegalAnnexure"/>
        <w:spacing w:after="120" w:line="360" w:lineRule="auto"/>
        <w:rPr>
          <w:u w:val="single"/>
        </w:rPr>
      </w:pPr>
    </w:p>
    <w:p w14:paraId="12BD2615" w14:textId="670759B6" w:rsidR="009314F3" w:rsidRDefault="001E5D90" w:rsidP="00C95B02">
      <w:pPr>
        <w:pStyle w:val="LegalAnnexure"/>
        <w:spacing w:before="120" w:after="0" w:line="360" w:lineRule="auto"/>
        <w:rPr>
          <w:b w:val="0"/>
        </w:rPr>
      </w:pPr>
      <w:r>
        <w:rPr>
          <w:u w:val="single"/>
        </w:rPr>
        <w:t xml:space="preserve">APPEAL </w:t>
      </w:r>
      <w:r w:rsidR="009314F3" w:rsidRPr="00A84826">
        <w:rPr>
          <w:u w:val="single"/>
        </w:rPr>
        <w:t>CASE NO</w:t>
      </w:r>
      <w:r w:rsidR="009314F3" w:rsidRPr="0080126D">
        <w:t>:</w:t>
      </w:r>
      <w:r w:rsidR="00F86558">
        <w:t xml:space="preserve"> </w:t>
      </w:r>
      <w:r w:rsidR="000B38D0" w:rsidRPr="004A6C63">
        <w:rPr>
          <w:b w:val="0"/>
        </w:rPr>
        <w:t>A50</w:t>
      </w:r>
      <w:r w:rsidR="00837062">
        <w:rPr>
          <w:b w:val="0"/>
        </w:rPr>
        <w:t>83</w:t>
      </w:r>
      <w:r w:rsidR="00F86558" w:rsidRPr="004A6C63">
        <w:rPr>
          <w:b w:val="0"/>
        </w:rPr>
        <w:t>/</w:t>
      </w:r>
      <w:r w:rsidR="00DD67D3">
        <w:rPr>
          <w:b w:val="0"/>
        </w:rPr>
        <w:t>20</w:t>
      </w:r>
      <w:r w:rsidR="006D09B0">
        <w:rPr>
          <w:b w:val="0"/>
        </w:rPr>
        <w:t>2</w:t>
      </w:r>
      <w:r w:rsidR="007476FE">
        <w:rPr>
          <w:b w:val="0"/>
        </w:rPr>
        <w:t>1</w:t>
      </w:r>
    </w:p>
    <w:p w14:paraId="153FEAD1" w14:textId="2A30FAAF" w:rsidR="001E5D90" w:rsidRDefault="001E5D90" w:rsidP="001E5D90">
      <w:pPr>
        <w:pStyle w:val="LegalAnnexure"/>
        <w:spacing w:after="0" w:line="360" w:lineRule="auto"/>
        <w:rPr>
          <w:b w:val="0"/>
        </w:rPr>
      </w:pPr>
      <w:r>
        <w:rPr>
          <w:u w:val="single"/>
        </w:rPr>
        <w:t xml:space="preserve">COURT </w:t>
      </w:r>
      <w:r w:rsidRPr="001E5D90">
        <w:rPr>
          <w:i/>
          <w:u w:val="single"/>
        </w:rPr>
        <w:t>A QUO</w:t>
      </w:r>
      <w:r>
        <w:rPr>
          <w:u w:val="single"/>
        </w:rPr>
        <w:t xml:space="preserve"> </w:t>
      </w:r>
      <w:r w:rsidRPr="00A84826">
        <w:rPr>
          <w:u w:val="single"/>
        </w:rPr>
        <w:t>CASE NO</w:t>
      </w:r>
      <w:r w:rsidRPr="0080126D">
        <w:t>:</w:t>
      </w:r>
      <w:r>
        <w:t xml:space="preserve"> </w:t>
      </w:r>
      <w:r w:rsidR="007476FE">
        <w:rPr>
          <w:b w:val="0"/>
        </w:rPr>
        <w:t>19617</w:t>
      </w:r>
      <w:r w:rsidRPr="004A6C63">
        <w:rPr>
          <w:b w:val="0"/>
        </w:rPr>
        <w:t>/</w:t>
      </w:r>
      <w:r w:rsidR="007476FE">
        <w:rPr>
          <w:b w:val="0"/>
        </w:rPr>
        <w:t>20</w:t>
      </w:r>
      <w:r w:rsidR="00DA376E">
        <w:rPr>
          <w:b w:val="0"/>
        </w:rPr>
        <w:t>1</w:t>
      </w:r>
      <w:r w:rsidR="007476FE">
        <w:rPr>
          <w:b w:val="0"/>
        </w:rPr>
        <w:t>7</w:t>
      </w:r>
    </w:p>
    <w:p w14:paraId="0537C233" w14:textId="02ABC197" w:rsidR="00C95B02" w:rsidRDefault="00C95B02" w:rsidP="00C95B02">
      <w:pPr>
        <w:pStyle w:val="LegalAnnexure"/>
        <w:spacing w:after="120" w:line="360" w:lineRule="auto"/>
      </w:pPr>
      <w:r>
        <w:rPr>
          <w:u w:val="single"/>
        </w:rPr>
        <w:t>DATE</w:t>
      </w:r>
      <w:r w:rsidRPr="0080126D">
        <w:t>:</w:t>
      </w:r>
      <w:r>
        <w:t xml:space="preserve"> </w:t>
      </w:r>
      <w:r w:rsidR="00837062">
        <w:rPr>
          <w:b w:val="0"/>
        </w:rPr>
        <w:t>6</w:t>
      </w:r>
      <w:r w:rsidR="00837062" w:rsidRPr="00837062">
        <w:rPr>
          <w:b w:val="0"/>
          <w:vertAlign w:val="superscript"/>
        </w:rPr>
        <w:t>th</w:t>
      </w:r>
      <w:r w:rsidR="0069638C">
        <w:rPr>
          <w:b w:val="0"/>
        </w:rPr>
        <w:t xml:space="preserve"> </w:t>
      </w:r>
      <w:r w:rsidR="00837062">
        <w:rPr>
          <w:b w:val="0"/>
        </w:rPr>
        <w:t xml:space="preserve">JUNE </w:t>
      </w:r>
      <w:r>
        <w:rPr>
          <w:b w:val="0"/>
        </w:rPr>
        <w:t>202</w:t>
      </w:r>
      <w:r w:rsidR="00DA376E">
        <w:rPr>
          <w:b w:val="0"/>
        </w:rPr>
        <w:t>3</w:t>
      </w:r>
    </w:p>
    <w:p w14:paraId="0C535D76" w14:textId="77777777" w:rsidR="009314F3" w:rsidRPr="00A84826" w:rsidRDefault="009314F3" w:rsidP="00DA376E">
      <w:pPr>
        <w:pStyle w:val="LegalNormal"/>
        <w:spacing w:after="240" w:line="360" w:lineRule="auto"/>
      </w:pPr>
      <w:r w:rsidRPr="00A84826">
        <w:t>In the matter between:</w:t>
      </w:r>
    </w:p>
    <w:p w14:paraId="095CD3F8" w14:textId="1220A7BC" w:rsidR="00837062" w:rsidRDefault="00837062" w:rsidP="00837062">
      <w:pPr>
        <w:pStyle w:val="LegalPlainDef"/>
        <w:spacing w:after="0" w:line="360" w:lineRule="auto"/>
      </w:pPr>
      <w:r w:rsidRPr="00837062">
        <w:rPr>
          <w:b/>
          <w:u w:val="single"/>
        </w:rPr>
        <w:t>ELIA</w:t>
      </w:r>
      <w:r>
        <w:rPr>
          <w:b/>
        </w:rPr>
        <w:t xml:space="preserve">, ANDREAS DEMETRIOU  </w:t>
      </w:r>
      <w:r w:rsidR="007925EA">
        <w:rPr>
          <w:b/>
        </w:rPr>
        <w:t xml:space="preserve"> </w:t>
      </w:r>
      <w:r w:rsidR="0080126D">
        <w:rPr>
          <w:b/>
        </w:rPr>
        <w:tab/>
      </w:r>
      <w:r>
        <w:t>First A</w:t>
      </w:r>
      <w:r w:rsidR="000B38D0">
        <w:t>ppellant</w:t>
      </w:r>
    </w:p>
    <w:p w14:paraId="4151752F" w14:textId="23554937" w:rsidR="00837062" w:rsidRDefault="00837062" w:rsidP="00837062">
      <w:pPr>
        <w:pStyle w:val="LegalPlainDef"/>
        <w:spacing w:after="0" w:line="360" w:lineRule="auto"/>
      </w:pPr>
      <w:r>
        <w:rPr>
          <w:b/>
          <w:u w:val="single"/>
        </w:rPr>
        <w:t>KYRIACOU</w:t>
      </w:r>
      <w:r>
        <w:rPr>
          <w:b/>
        </w:rPr>
        <w:t xml:space="preserve">, KYRIACOS   </w:t>
      </w:r>
      <w:r>
        <w:rPr>
          <w:b/>
        </w:rPr>
        <w:tab/>
      </w:r>
      <w:r>
        <w:t xml:space="preserve">Second Appellant </w:t>
      </w:r>
    </w:p>
    <w:p w14:paraId="2D2531A9" w14:textId="2B9CF11E" w:rsidR="00837062" w:rsidRDefault="00837062" w:rsidP="00837062">
      <w:pPr>
        <w:pStyle w:val="LegalPlainDef"/>
        <w:spacing w:after="120" w:line="360" w:lineRule="auto"/>
      </w:pPr>
      <w:r>
        <w:rPr>
          <w:b/>
          <w:u w:val="single"/>
        </w:rPr>
        <w:t>KYRIACOU</w:t>
      </w:r>
      <w:r>
        <w:rPr>
          <w:b/>
        </w:rPr>
        <w:t xml:space="preserve">, IRENE   </w:t>
      </w:r>
      <w:r>
        <w:rPr>
          <w:b/>
        </w:rPr>
        <w:tab/>
      </w:r>
      <w:r>
        <w:t xml:space="preserve">Third Appellant </w:t>
      </w:r>
    </w:p>
    <w:p w14:paraId="60946A6B" w14:textId="77777777" w:rsidR="009314F3" w:rsidRPr="00A84826" w:rsidRDefault="009314F3" w:rsidP="00DA376E">
      <w:pPr>
        <w:pStyle w:val="LegalNormal"/>
        <w:spacing w:after="120" w:line="360" w:lineRule="auto"/>
      </w:pPr>
      <w:r w:rsidRPr="00A84826">
        <w:t>and</w:t>
      </w:r>
    </w:p>
    <w:p w14:paraId="38C382D5" w14:textId="561DBB27" w:rsidR="00AA1951" w:rsidRDefault="00837062" w:rsidP="00837062">
      <w:pPr>
        <w:pStyle w:val="LegalPlainDef"/>
        <w:spacing w:after="240" w:line="360" w:lineRule="auto"/>
      </w:pPr>
      <w:r>
        <w:rPr>
          <w:b/>
        </w:rPr>
        <w:t>ABSA BANK</w:t>
      </w:r>
      <w:r w:rsidR="00DA376E">
        <w:rPr>
          <w:b/>
        </w:rPr>
        <w:t xml:space="preserve"> LIMITED</w:t>
      </w:r>
      <w:r w:rsidR="00C95B02">
        <w:rPr>
          <w:b/>
        </w:rPr>
        <w:t xml:space="preserve"> </w:t>
      </w:r>
      <w:r w:rsidR="00C95B02">
        <w:rPr>
          <w:b/>
        </w:rPr>
        <w:tab/>
      </w:r>
      <w:r w:rsidR="00C95B02">
        <w:t>First R</w:t>
      </w:r>
      <w:r w:rsidR="00AA1951">
        <w:t>espondent</w:t>
      </w:r>
    </w:p>
    <w:p w14:paraId="2C534C98" w14:textId="03CEB02A" w:rsidR="00E020F7" w:rsidRDefault="00E020F7" w:rsidP="006634AE">
      <w:pPr>
        <w:suppressAutoHyphens w:val="0"/>
        <w:spacing w:after="120" w:line="360" w:lineRule="auto"/>
        <w:ind w:left="1985" w:hanging="1985"/>
        <w:jc w:val="both"/>
        <w:rPr>
          <w:rFonts w:cs="Arial"/>
          <w:i/>
          <w:lang w:val="en-ZA" w:eastAsia="en-US"/>
        </w:rPr>
      </w:pPr>
      <w:r>
        <w:rPr>
          <w:rFonts w:cs="Arial"/>
          <w:b/>
          <w:bCs/>
          <w:lang w:val="en-ZA" w:eastAsia="en-US"/>
        </w:rPr>
        <w:t>Neutral Citation</w:t>
      </w:r>
      <w:r>
        <w:rPr>
          <w:rFonts w:cs="Arial"/>
          <w:lang w:val="en-ZA" w:eastAsia="en-US"/>
        </w:rPr>
        <w:t>:</w:t>
      </w:r>
      <w:r>
        <w:rPr>
          <w:rFonts w:cs="Arial"/>
          <w:lang w:val="en-ZA" w:eastAsia="en-US"/>
        </w:rPr>
        <w:tab/>
      </w:r>
      <w:r w:rsidR="000B5E85" w:rsidRPr="00036D55">
        <w:rPr>
          <w:rFonts w:cs="Arial"/>
          <w:i/>
          <w:lang w:val="en-ZA" w:eastAsia="en-US"/>
        </w:rPr>
        <w:t>Elia Andreas Demetriou and others vs Absa Bank Ltd</w:t>
      </w:r>
      <w:r w:rsidRPr="00036D55">
        <w:rPr>
          <w:rFonts w:cs="Arial"/>
          <w:i/>
          <w:lang w:val="en-ZA" w:eastAsia="en-US"/>
        </w:rPr>
        <w:t xml:space="preserve"> </w:t>
      </w:r>
      <w:r>
        <w:rPr>
          <w:rFonts w:cs="Arial"/>
          <w:i/>
          <w:lang w:val="en-ZA" w:eastAsia="en-US"/>
        </w:rPr>
        <w:t>(A50</w:t>
      </w:r>
      <w:r w:rsidR="000B5E85">
        <w:rPr>
          <w:rFonts w:cs="Arial"/>
          <w:i/>
          <w:lang w:val="en-ZA" w:eastAsia="en-US"/>
        </w:rPr>
        <w:t>83</w:t>
      </w:r>
      <w:r>
        <w:rPr>
          <w:rFonts w:cs="Arial"/>
          <w:i/>
          <w:lang w:val="en-ZA" w:eastAsia="en-US"/>
        </w:rPr>
        <w:t>/202</w:t>
      </w:r>
      <w:r w:rsidR="000B5E85">
        <w:rPr>
          <w:rFonts w:cs="Arial"/>
          <w:i/>
          <w:lang w:val="en-ZA" w:eastAsia="en-US"/>
        </w:rPr>
        <w:t>1</w:t>
      </w:r>
      <w:r>
        <w:rPr>
          <w:rFonts w:cs="Arial"/>
          <w:i/>
          <w:lang w:val="en-ZA" w:eastAsia="en-US"/>
        </w:rPr>
        <w:t xml:space="preserve">) </w:t>
      </w:r>
      <w:r>
        <w:rPr>
          <w:rFonts w:cs="Arial"/>
          <w:b/>
          <w:lang w:val="en-ZA" w:eastAsia="en-US"/>
        </w:rPr>
        <w:t xml:space="preserve">[2023] ZAGPJHC </w:t>
      </w:r>
      <w:r w:rsidR="00053601">
        <w:rPr>
          <w:rFonts w:cs="Arial"/>
          <w:b/>
          <w:lang w:val="en-ZA" w:eastAsia="en-US"/>
        </w:rPr>
        <w:t>649</w:t>
      </w:r>
      <w:r>
        <w:rPr>
          <w:rFonts w:cs="Arial"/>
          <w:b/>
          <w:lang w:val="en-ZA" w:eastAsia="en-US"/>
        </w:rPr>
        <w:t xml:space="preserve"> </w:t>
      </w:r>
      <w:r>
        <w:rPr>
          <w:rFonts w:cs="Arial"/>
          <w:lang w:val="en-ZA" w:eastAsia="en-US"/>
        </w:rPr>
        <w:t>(</w:t>
      </w:r>
      <w:r w:rsidR="00837062">
        <w:rPr>
          <w:rFonts w:cs="Arial"/>
          <w:lang w:val="en-ZA" w:eastAsia="en-US"/>
        </w:rPr>
        <w:t>06</w:t>
      </w:r>
      <w:r>
        <w:rPr>
          <w:rFonts w:cs="Arial"/>
          <w:lang w:val="en-ZA" w:eastAsia="en-US"/>
        </w:rPr>
        <w:t xml:space="preserve"> </w:t>
      </w:r>
      <w:r w:rsidR="00837062">
        <w:rPr>
          <w:rFonts w:cs="Arial"/>
          <w:lang w:val="en-ZA" w:eastAsia="en-US"/>
        </w:rPr>
        <w:t>June</w:t>
      </w:r>
      <w:r>
        <w:rPr>
          <w:rFonts w:cs="Arial"/>
          <w:lang w:val="en-ZA" w:eastAsia="en-US"/>
        </w:rPr>
        <w:t xml:space="preserve"> 2023)</w:t>
      </w:r>
      <w:r>
        <w:rPr>
          <w:rFonts w:cs="Arial"/>
          <w:b/>
          <w:lang w:val="en-ZA" w:eastAsia="en-US"/>
        </w:rPr>
        <w:t xml:space="preserve"> </w:t>
      </w:r>
      <w:r>
        <w:rPr>
          <w:rFonts w:cs="Arial"/>
          <w:i/>
          <w:lang w:val="en-ZA" w:eastAsia="en-US"/>
        </w:rPr>
        <w:t xml:space="preserve"> </w:t>
      </w:r>
    </w:p>
    <w:p w14:paraId="3F7EF7CD" w14:textId="7971F98B" w:rsidR="006377C9" w:rsidRDefault="006377C9" w:rsidP="00E020F7">
      <w:pPr>
        <w:keepNext/>
        <w:suppressAutoHyphens w:val="0"/>
        <w:spacing w:after="120" w:line="360" w:lineRule="auto"/>
        <w:ind w:left="1440" w:hanging="1440"/>
        <w:rPr>
          <w:rFonts w:cs="Arial"/>
          <w:lang w:val="en-ZA" w:eastAsia="en-US"/>
        </w:rPr>
      </w:pPr>
      <w:r>
        <w:rPr>
          <w:rFonts w:cs="Arial"/>
          <w:b/>
          <w:bCs/>
          <w:lang w:val="en-ZA" w:eastAsia="en-US"/>
        </w:rPr>
        <w:t>Coram:</w:t>
      </w:r>
      <w:r w:rsidR="00D145C3">
        <w:rPr>
          <w:rFonts w:cs="Arial"/>
          <w:lang w:val="en-ZA" w:eastAsia="en-US"/>
        </w:rPr>
        <w:tab/>
      </w:r>
      <w:r w:rsidR="00837062">
        <w:rPr>
          <w:rFonts w:cs="Arial"/>
          <w:lang w:val="en-ZA" w:eastAsia="en-US"/>
        </w:rPr>
        <w:t>Wepener</w:t>
      </w:r>
      <w:r w:rsidR="00DA376E">
        <w:rPr>
          <w:rFonts w:cs="Arial"/>
          <w:lang w:val="en-ZA" w:eastAsia="en-US"/>
        </w:rPr>
        <w:t xml:space="preserve">, </w:t>
      </w:r>
      <w:r w:rsidR="001428B6">
        <w:rPr>
          <w:rFonts w:cs="Arial"/>
          <w:lang w:val="en-ZA" w:eastAsia="en-US"/>
        </w:rPr>
        <w:t>Adams</w:t>
      </w:r>
      <w:r w:rsidR="007925EA">
        <w:rPr>
          <w:rFonts w:cs="Arial"/>
          <w:lang w:val="en-ZA" w:eastAsia="en-US"/>
        </w:rPr>
        <w:t xml:space="preserve"> </w:t>
      </w:r>
      <w:r>
        <w:rPr>
          <w:rFonts w:cs="Arial"/>
          <w:i/>
          <w:lang w:val="en-ZA" w:eastAsia="en-US"/>
        </w:rPr>
        <w:t>et</w:t>
      </w:r>
      <w:r>
        <w:rPr>
          <w:rFonts w:cs="Arial"/>
          <w:lang w:val="en-ZA" w:eastAsia="en-US"/>
        </w:rPr>
        <w:t xml:space="preserve"> </w:t>
      </w:r>
      <w:r w:rsidR="00837062">
        <w:rPr>
          <w:rFonts w:cs="Arial"/>
          <w:lang w:val="en-ZA" w:eastAsia="en-US"/>
        </w:rPr>
        <w:t>Mahalelo</w:t>
      </w:r>
      <w:r w:rsidR="00DA376E">
        <w:rPr>
          <w:rFonts w:cs="Arial"/>
          <w:lang w:val="en-ZA" w:eastAsia="en-US"/>
        </w:rPr>
        <w:t xml:space="preserve"> </w:t>
      </w:r>
      <w:r w:rsidR="008B1422">
        <w:rPr>
          <w:rFonts w:cs="Arial"/>
          <w:lang w:val="en-ZA" w:eastAsia="en-US"/>
        </w:rPr>
        <w:t>J</w:t>
      </w:r>
      <w:r w:rsidR="00DD67D3">
        <w:rPr>
          <w:rFonts w:cs="Arial"/>
          <w:lang w:val="en-ZA" w:eastAsia="en-US"/>
        </w:rPr>
        <w:t>J</w:t>
      </w:r>
    </w:p>
    <w:p w14:paraId="04F545D3" w14:textId="62D95B70" w:rsidR="00D145C3" w:rsidRDefault="00D145C3" w:rsidP="00D145C3">
      <w:pPr>
        <w:suppressAutoHyphens w:val="0"/>
        <w:spacing w:after="120" w:line="360" w:lineRule="auto"/>
        <w:ind w:left="1440" w:hanging="1440"/>
        <w:jc w:val="both"/>
        <w:rPr>
          <w:rFonts w:cs="Arial"/>
          <w:b/>
          <w:lang w:val="en-ZA" w:eastAsia="en-US"/>
        </w:rPr>
      </w:pPr>
      <w:r>
        <w:rPr>
          <w:rFonts w:cs="Arial"/>
          <w:b/>
          <w:bCs/>
          <w:lang w:val="en-ZA" w:eastAsia="en-US"/>
        </w:rPr>
        <w:t>Heard</w:t>
      </w:r>
      <w:r>
        <w:rPr>
          <w:rFonts w:cs="Arial"/>
          <w:lang w:val="en-ZA" w:eastAsia="en-US"/>
        </w:rPr>
        <w:t>:</w:t>
      </w:r>
      <w:r>
        <w:rPr>
          <w:rFonts w:cs="Arial"/>
          <w:lang w:val="en-ZA" w:eastAsia="en-US"/>
        </w:rPr>
        <w:tab/>
      </w:r>
      <w:r w:rsidR="00837062">
        <w:rPr>
          <w:rFonts w:cs="Arial"/>
          <w:lang w:val="en-ZA" w:eastAsia="en-US"/>
        </w:rPr>
        <w:t>8</w:t>
      </w:r>
      <w:r>
        <w:rPr>
          <w:rFonts w:cs="Arial"/>
          <w:lang w:val="en-ZA" w:eastAsia="en-US"/>
        </w:rPr>
        <w:t xml:space="preserve"> </w:t>
      </w:r>
      <w:r w:rsidR="00837062">
        <w:rPr>
          <w:rFonts w:cs="Arial"/>
          <w:lang w:val="en-ZA" w:eastAsia="en-US"/>
        </w:rPr>
        <w:t>March</w:t>
      </w:r>
      <w:r w:rsidR="00DA376E">
        <w:rPr>
          <w:rFonts w:cs="Arial"/>
          <w:lang w:val="en-ZA" w:eastAsia="en-US"/>
        </w:rPr>
        <w:t xml:space="preserve"> 2023</w:t>
      </w:r>
    </w:p>
    <w:p w14:paraId="508454AB" w14:textId="4F55FB84" w:rsidR="00D145C3" w:rsidRDefault="00D145C3" w:rsidP="00D145C3">
      <w:pPr>
        <w:suppressAutoHyphens w:val="0"/>
        <w:spacing w:after="120" w:line="360" w:lineRule="auto"/>
        <w:ind w:left="1440" w:hanging="1440"/>
        <w:jc w:val="both"/>
        <w:rPr>
          <w:rFonts w:cs="Arial"/>
          <w:lang w:val="en-ZA" w:eastAsia="en-US"/>
        </w:rPr>
      </w:pPr>
      <w:r>
        <w:rPr>
          <w:rFonts w:cs="Arial"/>
          <w:b/>
          <w:lang w:val="en-ZA" w:eastAsia="en-US"/>
        </w:rPr>
        <w:t>Delivered:</w:t>
      </w:r>
      <w:r>
        <w:rPr>
          <w:rFonts w:cs="Arial"/>
          <w:b/>
          <w:lang w:val="en-ZA" w:eastAsia="en-US"/>
        </w:rPr>
        <w:tab/>
      </w:r>
      <w:r w:rsidR="00837062">
        <w:rPr>
          <w:rFonts w:cs="Arial"/>
          <w:lang w:val="en-ZA" w:eastAsia="en-US"/>
        </w:rPr>
        <w:t>0</w:t>
      </w:r>
      <w:r w:rsidR="000B5E85">
        <w:rPr>
          <w:rFonts w:cs="Arial"/>
          <w:lang w:val="en-ZA" w:eastAsia="en-US"/>
        </w:rPr>
        <w:t>6</w:t>
      </w:r>
      <w:r w:rsidR="00CE2028">
        <w:rPr>
          <w:rFonts w:cs="Arial"/>
          <w:lang w:val="en-ZA" w:eastAsia="en-US"/>
        </w:rPr>
        <w:t xml:space="preserve"> </w:t>
      </w:r>
      <w:r w:rsidR="00837062">
        <w:rPr>
          <w:rFonts w:cs="Arial"/>
          <w:lang w:val="en-ZA" w:eastAsia="en-US"/>
        </w:rPr>
        <w:t>June</w:t>
      </w:r>
      <w:r w:rsidR="00DA376E">
        <w:rPr>
          <w:rFonts w:cs="Arial"/>
          <w:lang w:val="en-ZA" w:eastAsia="en-US"/>
        </w:rPr>
        <w:t xml:space="preserve"> 2023</w:t>
      </w:r>
      <w:r>
        <w:rPr>
          <w:rFonts w:cs="Arial"/>
          <w:lang w:val="en-ZA" w:eastAsia="en-US"/>
        </w:rPr>
        <w:t xml:space="preserve"> – This judgment was handed down electronically by circulation to the parties' representatives </w:t>
      </w:r>
      <w:r w:rsidR="00073CFE" w:rsidRPr="000C2D84">
        <w:rPr>
          <w:rFonts w:cs="Arial"/>
          <w:i/>
          <w:lang w:val="en-ZA" w:eastAsia="en-US"/>
        </w:rPr>
        <w:t>via</w:t>
      </w:r>
      <w:r>
        <w:rPr>
          <w:rFonts w:cs="Arial"/>
          <w:lang w:val="en-ZA" w:eastAsia="en-US"/>
        </w:rPr>
        <w:t xml:space="preserve"> email, by being </w:t>
      </w:r>
      <w:r>
        <w:rPr>
          <w:rFonts w:cs="Arial"/>
          <w:lang w:val="en-ZA" w:eastAsia="en-US"/>
        </w:rPr>
        <w:lastRenderedPageBreak/>
        <w:t xml:space="preserve">uploaded to </w:t>
      </w:r>
      <w:r>
        <w:rPr>
          <w:rFonts w:cs="Arial"/>
          <w:i/>
          <w:lang w:val="en-ZA" w:eastAsia="en-US"/>
        </w:rPr>
        <w:t>CaseLines</w:t>
      </w:r>
      <w:r>
        <w:rPr>
          <w:rFonts w:cs="Arial"/>
          <w:lang w:val="en-ZA" w:eastAsia="en-US"/>
        </w:rPr>
        <w:t xml:space="preserve"> and by release to SAFLII. The date and time </w:t>
      </w:r>
      <w:r w:rsidR="00872F18">
        <w:rPr>
          <w:rFonts w:cs="Arial"/>
          <w:lang w:val="en-ZA" w:eastAsia="en-US"/>
        </w:rPr>
        <w:t>for hand-down is deemed to be 10</w:t>
      </w:r>
      <w:r w:rsidR="003E4B76">
        <w:rPr>
          <w:rFonts w:cs="Arial"/>
          <w:lang w:val="en-ZA" w:eastAsia="en-US"/>
        </w:rPr>
        <w:t>:</w:t>
      </w:r>
      <w:r w:rsidR="006634AE">
        <w:rPr>
          <w:rFonts w:cs="Arial"/>
          <w:lang w:val="en-ZA" w:eastAsia="en-US"/>
        </w:rPr>
        <w:t>3</w:t>
      </w:r>
      <w:r>
        <w:rPr>
          <w:rFonts w:cs="Arial"/>
          <w:lang w:val="en-ZA" w:eastAsia="en-US"/>
        </w:rPr>
        <w:t xml:space="preserve">0 on </w:t>
      </w:r>
      <w:r w:rsidR="00837062">
        <w:rPr>
          <w:rFonts w:cs="Arial"/>
          <w:lang w:val="en-ZA" w:eastAsia="en-US"/>
        </w:rPr>
        <w:t>0</w:t>
      </w:r>
      <w:r w:rsidR="000B5E85">
        <w:rPr>
          <w:rFonts w:cs="Arial"/>
          <w:lang w:val="en-ZA" w:eastAsia="en-US"/>
        </w:rPr>
        <w:t>6</w:t>
      </w:r>
      <w:r>
        <w:rPr>
          <w:rFonts w:cs="Arial"/>
          <w:lang w:val="en-ZA" w:eastAsia="en-US"/>
        </w:rPr>
        <w:t xml:space="preserve"> </w:t>
      </w:r>
      <w:r w:rsidR="00837062">
        <w:rPr>
          <w:rFonts w:cs="Arial"/>
          <w:lang w:val="en-ZA" w:eastAsia="en-US"/>
        </w:rPr>
        <w:t>June</w:t>
      </w:r>
      <w:r w:rsidR="000B7D1E">
        <w:rPr>
          <w:rFonts w:cs="Arial"/>
          <w:lang w:val="en-ZA" w:eastAsia="en-US"/>
        </w:rPr>
        <w:t xml:space="preserve"> 2023</w:t>
      </w:r>
      <w:r>
        <w:rPr>
          <w:rFonts w:cs="Arial"/>
          <w:lang w:val="en-ZA" w:eastAsia="en-US"/>
        </w:rPr>
        <w:t>.</w:t>
      </w:r>
    </w:p>
    <w:p w14:paraId="691CA3C0" w14:textId="0FC20107" w:rsidR="00814F50" w:rsidRDefault="006377C9" w:rsidP="00CF7615">
      <w:pPr>
        <w:spacing w:line="360" w:lineRule="auto"/>
        <w:jc w:val="both"/>
      </w:pPr>
      <w:r w:rsidRPr="00E9240D">
        <w:rPr>
          <w:rFonts w:cs="Arial"/>
          <w:b/>
          <w:bCs/>
          <w:lang w:val="en-ZA" w:eastAsia="en-US"/>
        </w:rPr>
        <w:t>Summary:</w:t>
      </w:r>
      <w:r w:rsidRPr="00E9240D">
        <w:rPr>
          <w:rFonts w:cs="Arial"/>
          <w:b/>
          <w:bCs/>
          <w:lang w:val="en-ZA" w:eastAsia="en-US"/>
        </w:rPr>
        <w:tab/>
      </w:r>
      <w:r w:rsidR="00814F50" w:rsidRPr="00814F50">
        <w:t>Judgments and orders –</w:t>
      </w:r>
      <w:r w:rsidR="00656383">
        <w:t xml:space="preserve"> </w:t>
      </w:r>
      <w:r w:rsidR="00814F50">
        <w:t>rescission – rescission</w:t>
      </w:r>
      <w:r w:rsidR="00814F50" w:rsidRPr="00814F50">
        <w:t xml:space="preserve"> in terms of the Uniform Rule 42(1)(a) </w:t>
      </w:r>
      <w:r w:rsidR="00814F50">
        <w:t xml:space="preserve">and/or the common law </w:t>
      </w:r>
      <w:r w:rsidR="00814F50" w:rsidRPr="00814F50">
        <w:t>– grounds</w:t>
      </w:r>
      <w:r w:rsidR="00814F50">
        <w:t xml:space="preserve"> </w:t>
      </w:r>
      <w:r w:rsidR="00656383">
        <w:t>for</w:t>
      </w:r>
      <w:r w:rsidR="00814F50">
        <w:t xml:space="preserve"> </w:t>
      </w:r>
      <w:r w:rsidR="00814F50" w:rsidRPr="00814F50">
        <w:t>rescissi</w:t>
      </w:r>
      <w:r w:rsidR="00814F50">
        <w:t>on</w:t>
      </w:r>
      <w:r w:rsidR="00814F50" w:rsidRPr="00814F50">
        <w:t xml:space="preserve"> of </w:t>
      </w:r>
      <w:r w:rsidR="00440C77">
        <w:t xml:space="preserve">judgment </w:t>
      </w:r>
      <w:r w:rsidR="00656383">
        <w:t xml:space="preserve">– summons and notice of application for default judgment did not come to the attention of the appellants – </w:t>
      </w:r>
      <w:r w:rsidR="00440C77">
        <w:t>cause on which default judgment based had been compromised</w:t>
      </w:r>
      <w:r w:rsidR="00656383">
        <w:t xml:space="preserve"> – also that claims time-barred</w:t>
      </w:r>
      <w:r w:rsidR="00440C77">
        <w:t xml:space="preserve"> – explanation for default and </w:t>
      </w:r>
      <w:r w:rsidR="00440C77" w:rsidRPr="00656383">
        <w:rPr>
          <w:i/>
        </w:rPr>
        <w:t>bona fide</w:t>
      </w:r>
      <w:r w:rsidR="00440C77">
        <w:t xml:space="preserve"> defence equate to ‘good cause’, entitling appellant to rescission of the default judgment – </w:t>
      </w:r>
    </w:p>
    <w:p w14:paraId="33F92BE9" w14:textId="2D7F3CAD" w:rsidR="00DC2405" w:rsidRDefault="00DC2405" w:rsidP="00D93E59">
      <w:pPr>
        <w:spacing w:after="240" w:line="360" w:lineRule="auto"/>
        <w:jc w:val="both"/>
      </w:pPr>
      <w:r>
        <w:t xml:space="preserve">Appeal upheld. </w:t>
      </w:r>
    </w:p>
    <w:p w14:paraId="19DF7C1D" w14:textId="77777777" w:rsidR="006377C9" w:rsidRDefault="006377C9" w:rsidP="00EF3EE8">
      <w:pPr>
        <w:pStyle w:val="LegalTramLines"/>
        <w:keepNext/>
        <w:spacing w:after="360"/>
      </w:pPr>
      <w:r>
        <w:t>ORDER</w:t>
      </w:r>
    </w:p>
    <w:p w14:paraId="2DA9256D" w14:textId="15141EBF" w:rsidR="006377C9" w:rsidRDefault="006377C9" w:rsidP="007829F1">
      <w:pPr>
        <w:pStyle w:val="LegalMAINHEADING"/>
        <w:spacing w:before="0" w:after="120" w:line="360" w:lineRule="auto"/>
        <w:rPr>
          <w:rFonts w:cs="Arial"/>
          <w:b w:val="0"/>
          <w:caps w:val="0"/>
          <w:lang w:eastAsia="en-US"/>
        </w:rPr>
      </w:pPr>
      <w:r>
        <w:rPr>
          <w:rFonts w:cs="Arial"/>
          <w:caps w:val="0"/>
          <w:lang w:eastAsia="en-US"/>
        </w:rPr>
        <w:t xml:space="preserve">On appeal from: </w:t>
      </w:r>
      <w:r>
        <w:rPr>
          <w:rFonts w:cs="Arial"/>
          <w:b w:val="0"/>
          <w:caps w:val="0"/>
          <w:lang w:eastAsia="en-US"/>
        </w:rPr>
        <w:t xml:space="preserve">The Gauteng Division of the High Court, </w:t>
      </w:r>
      <w:r w:rsidR="00D978CF">
        <w:rPr>
          <w:rFonts w:cs="Arial"/>
          <w:b w:val="0"/>
          <w:caps w:val="0"/>
          <w:lang w:eastAsia="en-US"/>
        </w:rPr>
        <w:t>Johannesburg</w:t>
      </w:r>
      <w:r>
        <w:rPr>
          <w:rFonts w:cs="Arial"/>
          <w:b w:val="0"/>
          <w:caps w:val="0"/>
          <w:lang w:eastAsia="en-US"/>
        </w:rPr>
        <w:t xml:space="preserve"> (</w:t>
      </w:r>
      <w:r w:rsidR="00B11E4D">
        <w:rPr>
          <w:rFonts w:cs="Arial"/>
          <w:b w:val="0"/>
          <w:caps w:val="0"/>
          <w:lang w:eastAsia="en-US"/>
        </w:rPr>
        <w:t>Matojane</w:t>
      </w:r>
      <w:r w:rsidR="00A172CD">
        <w:rPr>
          <w:rFonts w:cs="Arial"/>
          <w:b w:val="0"/>
          <w:caps w:val="0"/>
          <w:lang w:eastAsia="en-US"/>
        </w:rPr>
        <w:t> </w:t>
      </w:r>
      <w:r>
        <w:rPr>
          <w:rFonts w:cs="Arial"/>
          <w:b w:val="0"/>
          <w:caps w:val="0"/>
          <w:lang w:eastAsia="en-US"/>
        </w:rPr>
        <w:t>J sitting as Court of first instance):</w:t>
      </w:r>
    </w:p>
    <w:p w14:paraId="6373F2B6" w14:textId="77777777" w:rsidR="00B11E4D" w:rsidRDefault="00B11E4D" w:rsidP="00B11E4D">
      <w:pPr>
        <w:pStyle w:val="LegalList1"/>
        <w:numPr>
          <w:ilvl w:val="0"/>
          <w:numId w:val="11"/>
        </w:numPr>
        <w:spacing w:after="120" w:line="360" w:lineRule="auto"/>
        <w:ind w:left="567" w:hanging="567"/>
      </w:pPr>
      <w:r>
        <w:t xml:space="preserve">The appellants’ appeal against the order of the court </w:t>
      </w:r>
      <w:r w:rsidRPr="002D2AF2">
        <w:rPr>
          <w:i/>
        </w:rPr>
        <w:t>a quo</w:t>
      </w:r>
      <w:r>
        <w:t xml:space="preserve"> is upheld, with costs.</w:t>
      </w:r>
    </w:p>
    <w:p w14:paraId="72330C20" w14:textId="77777777" w:rsidR="00B11E4D" w:rsidRDefault="00B11E4D" w:rsidP="00B11E4D">
      <w:pPr>
        <w:pStyle w:val="LegalList1"/>
        <w:numPr>
          <w:ilvl w:val="0"/>
          <w:numId w:val="11"/>
        </w:numPr>
        <w:spacing w:after="0" w:line="360" w:lineRule="auto"/>
        <w:ind w:left="567" w:hanging="567"/>
      </w:pPr>
      <w:r>
        <w:t xml:space="preserve">The order of the court </w:t>
      </w:r>
      <w:r w:rsidRPr="000A688E">
        <w:rPr>
          <w:i/>
        </w:rPr>
        <w:t>a quo</w:t>
      </w:r>
      <w:r>
        <w:t xml:space="preserve"> is set aside and in its place is substituted the following: - </w:t>
      </w:r>
    </w:p>
    <w:p w14:paraId="2B6529ED" w14:textId="77777777" w:rsidR="00B11E4D" w:rsidRDefault="00B11E4D" w:rsidP="00B11E4D">
      <w:pPr>
        <w:spacing w:after="120" w:line="360" w:lineRule="auto"/>
        <w:ind w:left="851" w:hanging="567"/>
        <w:jc w:val="both"/>
        <w:rPr>
          <w:sz w:val="22"/>
          <w:szCs w:val="22"/>
        </w:rPr>
      </w:pPr>
      <w:r w:rsidRPr="002C2298">
        <w:rPr>
          <w:color w:val="000000"/>
          <w:sz w:val="22"/>
          <w:szCs w:val="22"/>
        </w:rPr>
        <w:t>‘(a)</w:t>
      </w:r>
      <w:r w:rsidRPr="002C2298">
        <w:rPr>
          <w:color w:val="000000"/>
          <w:sz w:val="22"/>
          <w:szCs w:val="22"/>
        </w:rPr>
        <w:tab/>
      </w:r>
      <w:r>
        <w:rPr>
          <w:sz w:val="22"/>
          <w:szCs w:val="22"/>
        </w:rPr>
        <w:t>The default judgment granted against the first, second and third defendants in favour of the plaintiff on 27 August 2019 under case number 19617/2017 be and is hereby rescinded;</w:t>
      </w:r>
    </w:p>
    <w:p w14:paraId="63063E24" w14:textId="77777777" w:rsidR="00B11E4D" w:rsidRDefault="00B11E4D" w:rsidP="00B11E4D">
      <w:pPr>
        <w:spacing w:after="120" w:line="360" w:lineRule="auto"/>
        <w:ind w:left="851" w:hanging="567"/>
        <w:jc w:val="both"/>
        <w:rPr>
          <w:sz w:val="22"/>
          <w:szCs w:val="22"/>
        </w:rPr>
      </w:pPr>
      <w:r>
        <w:rPr>
          <w:sz w:val="22"/>
          <w:szCs w:val="22"/>
        </w:rPr>
        <w:t xml:space="preserve"> (b)</w:t>
      </w:r>
      <w:r>
        <w:rPr>
          <w:sz w:val="22"/>
          <w:szCs w:val="22"/>
        </w:rPr>
        <w:tab/>
        <w:t>the first, second and third defendants shall deliver their plea within twenty days from date of the granting of this order, being 6 June 2023.</w:t>
      </w:r>
    </w:p>
    <w:p w14:paraId="018ACB24" w14:textId="77777777" w:rsidR="00B11E4D" w:rsidRPr="002C2298" w:rsidRDefault="00B11E4D" w:rsidP="00B11E4D">
      <w:pPr>
        <w:spacing w:after="120" w:line="360" w:lineRule="auto"/>
        <w:ind w:left="851" w:hanging="567"/>
        <w:jc w:val="both"/>
        <w:rPr>
          <w:color w:val="000000"/>
          <w:sz w:val="22"/>
          <w:szCs w:val="22"/>
        </w:rPr>
      </w:pPr>
      <w:r>
        <w:rPr>
          <w:sz w:val="22"/>
          <w:szCs w:val="22"/>
        </w:rPr>
        <w:t xml:space="preserve"> (c)</w:t>
      </w:r>
      <w:r>
        <w:rPr>
          <w:sz w:val="22"/>
          <w:szCs w:val="22"/>
        </w:rPr>
        <w:tab/>
        <w:t>The costs of the first, second and third defendants’ application for rescission shall be in the course of the main action’.</w:t>
      </w:r>
    </w:p>
    <w:p w14:paraId="449FD24F" w14:textId="77777777" w:rsidR="00B11E4D" w:rsidRDefault="00B11E4D" w:rsidP="00B11E4D">
      <w:pPr>
        <w:pStyle w:val="LegalList1"/>
        <w:numPr>
          <w:ilvl w:val="0"/>
          <w:numId w:val="11"/>
        </w:numPr>
        <w:spacing w:after="240" w:line="360" w:lineRule="auto"/>
        <w:ind w:left="567" w:hanging="567"/>
      </w:pPr>
      <w:r>
        <w:t xml:space="preserve">The respondent shall pay the appellants’ costs of the appeal, including the costs of the application for leave to appeal to the court </w:t>
      </w:r>
      <w:r w:rsidRPr="00577B0B">
        <w:rPr>
          <w:i/>
        </w:rPr>
        <w:t>a quo</w:t>
      </w:r>
      <w:r>
        <w:t xml:space="preserve"> and the costs of the application for leave to appeal to the Supreme Court of Appeal.</w:t>
      </w:r>
    </w:p>
    <w:p w14:paraId="10A51433" w14:textId="77777777" w:rsidR="009314F3" w:rsidRPr="005E3F79" w:rsidRDefault="00F41CA8" w:rsidP="00C55460">
      <w:pPr>
        <w:pStyle w:val="LegalTramLines"/>
        <w:keepNext/>
        <w:spacing w:after="360"/>
        <w:rPr>
          <w:rFonts w:ascii="Arial" w:hAnsi="Arial" w:cs="Arial"/>
        </w:rPr>
      </w:pPr>
      <w:r w:rsidRPr="005E3F79">
        <w:rPr>
          <w:rFonts w:ascii="Arial" w:hAnsi="Arial" w:cs="Arial"/>
        </w:rPr>
        <w:lastRenderedPageBreak/>
        <w:t>JUDGMENT</w:t>
      </w:r>
    </w:p>
    <w:p w14:paraId="2804AF1D" w14:textId="5D735D71" w:rsidR="00D63801" w:rsidRPr="00FC489D" w:rsidRDefault="00440C77" w:rsidP="00013A48">
      <w:pPr>
        <w:pStyle w:val="LegalMAINHEADING"/>
        <w:spacing w:before="0" w:after="240" w:line="360" w:lineRule="auto"/>
      </w:pPr>
      <w:r>
        <w:rPr>
          <w:caps w:val="0"/>
        </w:rPr>
        <w:t>Mahalelo</w:t>
      </w:r>
      <w:r w:rsidR="00FC7402">
        <w:rPr>
          <w:caps w:val="0"/>
        </w:rPr>
        <w:t xml:space="preserve"> J</w:t>
      </w:r>
      <w:r w:rsidR="00A94BD0">
        <w:rPr>
          <w:caps w:val="0"/>
        </w:rPr>
        <w:t xml:space="preserve"> (</w:t>
      </w:r>
      <w:r>
        <w:rPr>
          <w:caps w:val="0"/>
        </w:rPr>
        <w:t>Wepener</w:t>
      </w:r>
      <w:r w:rsidR="00CD56FB">
        <w:rPr>
          <w:caps w:val="0"/>
        </w:rPr>
        <w:t xml:space="preserve"> </w:t>
      </w:r>
      <w:r w:rsidR="00FF1BE6" w:rsidRPr="0035131E">
        <w:rPr>
          <w:i/>
          <w:caps w:val="0"/>
        </w:rPr>
        <w:t>et</w:t>
      </w:r>
      <w:r w:rsidR="00FF1BE6">
        <w:rPr>
          <w:caps w:val="0"/>
        </w:rPr>
        <w:t xml:space="preserve"> </w:t>
      </w:r>
      <w:r>
        <w:rPr>
          <w:caps w:val="0"/>
        </w:rPr>
        <w:t>Adams</w:t>
      </w:r>
      <w:r w:rsidR="000C018C">
        <w:rPr>
          <w:caps w:val="0"/>
        </w:rPr>
        <w:t xml:space="preserve"> </w:t>
      </w:r>
      <w:r w:rsidR="008B1422">
        <w:rPr>
          <w:caps w:val="0"/>
        </w:rPr>
        <w:t>J</w:t>
      </w:r>
      <w:r w:rsidR="00FF1BE6">
        <w:rPr>
          <w:caps w:val="0"/>
        </w:rPr>
        <w:t>J</w:t>
      </w:r>
      <w:r w:rsidR="00FC7402">
        <w:rPr>
          <w:caps w:val="0"/>
        </w:rPr>
        <w:t xml:space="preserve"> concurring</w:t>
      </w:r>
      <w:r w:rsidR="00CD56FB">
        <w:rPr>
          <w:caps w:val="0"/>
        </w:rPr>
        <w:t>)</w:t>
      </w:r>
      <w:r w:rsidR="00FC489D" w:rsidRPr="00FC489D">
        <w:rPr>
          <w:caps w:val="0"/>
        </w:rPr>
        <w:t>:</w:t>
      </w:r>
    </w:p>
    <w:p w14:paraId="36096CB5" w14:textId="38B6C03A" w:rsidR="00E56F16" w:rsidRPr="00013A48" w:rsidRDefault="00E56F16" w:rsidP="00013A48">
      <w:pPr>
        <w:pStyle w:val="ListParagraph"/>
        <w:spacing w:after="120" w:line="360" w:lineRule="auto"/>
        <w:ind w:left="0"/>
        <w:jc w:val="both"/>
        <w:rPr>
          <w:color w:val="000000"/>
        </w:rPr>
      </w:pPr>
      <w:r w:rsidRPr="00013A48">
        <w:rPr>
          <w:rFonts w:cs="Arial"/>
          <w:b/>
          <w:iCs/>
        </w:rPr>
        <w:t>Introduction</w:t>
      </w:r>
    </w:p>
    <w:p w14:paraId="5EA10FCD" w14:textId="6B156FF5" w:rsidR="00E56F16" w:rsidRPr="00013A48" w:rsidRDefault="00E56F16" w:rsidP="00013A48">
      <w:pPr>
        <w:pStyle w:val="ListParagraph"/>
        <w:numPr>
          <w:ilvl w:val="0"/>
          <w:numId w:val="5"/>
        </w:numPr>
        <w:tabs>
          <w:tab w:val="clear" w:pos="567"/>
        </w:tabs>
        <w:spacing w:after="240" w:line="360" w:lineRule="auto"/>
        <w:ind w:left="0" w:firstLine="0"/>
        <w:jc w:val="both"/>
        <w:rPr>
          <w:color w:val="000000"/>
        </w:rPr>
      </w:pPr>
      <w:r w:rsidRPr="00013A48">
        <w:rPr>
          <w:rFonts w:cs="Arial"/>
          <w:lang w:val="en-US"/>
        </w:rPr>
        <w:t>This is an appeal against an order of the High Court dismissing an application for rescission of judgment granted by default against the appellants on 27 August 2019. The appeal is with leave from Supreme Court of Appeal.</w:t>
      </w:r>
    </w:p>
    <w:p w14:paraId="63E81CB0" w14:textId="2A64C9DD" w:rsidR="00E56F16" w:rsidRPr="00013A48" w:rsidRDefault="00E56F16" w:rsidP="00013A48">
      <w:pPr>
        <w:pStyle w:val="ListParagraph"/>
        <w:spacing w:after="120" w:line="360" w:lineRule="auto"/>
        <w:ind w:left="0"/>
        <w:jc w:val="both"/>
        <w:rPr>
          <w:color w:val="000000"/>
        </w:rPr>
      </w:pPr>
      <w:r w:rsidRPr="00013A48">
        <w:rPr>
          <w:rFonts w:cs="Arial"/>
          <w:b/>
          <w:bCs/>
          <w:iCs/>
          <w:lang w:val="en-US"/>
        </w:rPr>
        <w:t xml:space="preserve">Background </w:t>
      </w:r>
    </w:p>
    <w:p w14:paraId="49473719" w14:textId="77777777" w:rsidR="00013A48" w:rsidRPr="00013A48" w:rsidRDefault="00E56F16" w:rsidP="00013A48">
      <w:pPr>
        <w:pStyle w:val="ListParagraph"/>
        <w:numPr>
          <w:ilvl w:val="0"/>
          <w:numId w:val="5"/>
        </w:numPr>
        <w:tabs>
          <w:tab w:val="clear" w:pos="567"/>
        </w:tabs>
        <w:spacing w:after="120" w:line="360" w:lineRule="auto"/>
        <w:ind w:left="0" w:firstLine="0"/>
        <w:jc w:val="both"/>
        <w:rPr>
          <w:color w:val="000000"/>
        </w:rPr>
      </w:pPr>
      <w:r w:rsidRPr="00013A48">
        <w:rPr>
          <w:rFonts w:cs="Arial"/>
          <w:lang w:val="en-US"/>
        </w:rPr>
        <w:t xml:space="preserve">The foundation of the debt on which the respondent’s judgment is based are four agreements entered into between the respondent and Lightworks Imaging (Pty) Ltd (Lightworks) between 2006 and 2008 for the purchase of various </w:t>
      </w:r>
      <w:r w:rsidR="00013A48">
        <w:rPr>
          <w:rFonts w:cs="Arial"/>
          <w:lang w:val="en-US"/>
        </w:rPr>
        <w:t xml:space="preserve">pieces of </w:t>
      </w:r>
      <w:r w:rsidRPr="00013A48">
        <w:rPr>
          <w:rFonts w:cs="Arial"/>
          <w:lang w:val="en-US"/>
        </w:rPr>
        <w:t>equipment. The appellants signed sureties for and on behalf of Lightworks in favour of the respondent for any debts owed by Lightworks to the respondent. On 10 July 2009 Lightworks</w:t>
      </w:r>
      <w:r w:rsidR="00013A48">
        <w:rPr>
          <w:rFonts w:cs="Arial"/>
          <w:lang w:val="en-US"/>
        </w:rPr>
        <w:t xml:space="preserve"> was placed under final winding-</w:t>
      </w:r>
      <w:r w:rsidRPr="00013A48">
        <w:rPr>
          <w:rFonts w:cs="Arial"/>
          <w:lang w:val="en-US"/>
        </w:rPr>
        <w:t>up. On 2 April 2014, at the first meeting of creditors, the respondent submitted claims related to the afore mentioned agreements. The respondent’s claims against the estate of Lightworks were rejected.</w:t>
      </w:r>
    </w:p>
    <w:p w14:paraId="413914EF" w14:textId="77777777" w:rsidR="00013A48" w:rsidRPr="00013A48" w:rsidRDefault="00E56F16" w:rsidP="00013A48">
      <w:pPr>
        <w:pStyle w:val="ListParagraph"/>
        <w:numPr>
          <w:ilvl w:val="0"/>
          <w:numId w:val="5"/>
        </w:numPr>
        <w:tabs>
          <w:tab w:val="clear" w:pos="567"/>
        </w:tabs>
        <w:spacing w:after="120" w:line="360" w:lineRule="auto"/>
        <w:ind w:left="0" w:firstLine="0"/>
        <w:jc w:val="both"/>
        <w:rPr>
          <w:color w:val="000000"/>
        </w:rPr>
      </w:pPr>
      <w:r w:rsidRPr="00013A48">
        <w:rPr>
          <w:rFonts w:cs="Arial"/>
          <w:lang w:val="en-US"/>
        </w:rPr>
        <w:t xml:space="preserve">On 26 June 2016 the respondent herein issued summons wherein </w:t>
      </w:r>
      <w:r w:rsidR="00013A48">
        <w:rPr>
          <w:rFonts w:cs="Arial"/>
          <w:lang w:val="en-US"/>
        </w:rPr>
        <w:t>it</w:t>
      </w:r>
      <w:r w:rsidRPr="00013A48">
        <w:rPr>
          <w:rFonts w:cs="Arial"/>
          <w:lang w:val="en-US"/>
        </w:rPr>
        <w:t xml:space="preserve"> sought an order for payment of monies resulting from breach of those agreements by Lightworks against the defendants (appellants herein) as sureties.</w:t>
      </w:r>
    </w:p>
    <w:p w14:paraId="7E801F9C" w14:textId="77777777" w:rsidR="00013A48" w:rsidRPr="00013A48" w:rsidRDefault="00E56F16" w:rsidP="00013A48">
      <w:pPr>
        <w:pStyle w:val="ListParagraph"/>
        <w:numPr>
          <w:ilvl w:val="0"/>
          <w:numId w:val="5"/>
        </w:numPr>
        <w:tabs>
          <w:tab w:val="clear" w:pos="567"/>
        </w:tabs>
        <w:spacing w:after="120" w:line="360" w:lineRule="auto"/>
        <w:ind w:left="0" w:firstLine="0"/>
        <w:jc w:val="both"/>
        <w:rPr>
          <w:color w:val="000000"/>
        </w:rPr>
      </w:pPr>
      <w:r w:rsidRPr="00013A48">
        <w:rPr>
          <w:rFonts w:cs="Arial"/>
          <w:lang w:val="en-US"/>
        </w:rPr>
        <w:t xml:space="preserve">The summons, </w:t>
      </w:r>
      <w:r w:rsidR="00013A48">
        <w:rPr>
          <w:rFonts w:cs="Arial"/>
          <w:lang w:val="en-US"/>
        </w:rPr>
        <w:t xml:space="preserve">the </w:t>
      </w:r>
      <w:r w:rsidRPr="00013A48">
        <w:rPr>
          <w:rFonts w:cs="Arial"/>
          <w:lang w:val="en-US"/>
        </w:rPr>
        <w:t xml:space="preserve">application for default judgment and </w:t>
      </w:r>
      <w:r w:rsidR="00013A48">
        <w:rPr>
          <w:rFonts w:cs="Arial"/>
          <w:lang w:val="en-US"/>
        </w:rPr>
        <w:t xml:space="preserve">the </w:t>
      </w:r>
      <w:r w:rsidRPr="00013A48">
        <w:rPr>
          <w:rFonts w:cs="Arial"/>
          <w:lang w:val="en-US"/>
        </w:rPr>
        <w:t xml:space="preserve">notice of set down were </w:t>
      </w:r>
      <w:r w:rsidR="00013A48">
        <w:rPr>
          <w:rFonts w:cs="Arial"/>
          <w:lang w:val="en-US"/>
        </w:rPr>
        <w:t xml:space="preserve">all </w:t>
      </w:r>
      <w:r w:rsidRPr="00013A48">
        <w:rPr>
          <w:rFonts w:cs="Arial"/>
          <w:lang w:val="en-US"/>
        </w:rPr>
        <w:t xml:space="preserve">served at the chosen </w:t>
      </w:r>
      <w:r w:rsidRPr="00013A48">
        <w:rPr>
          <w:rFonts w:cs="Arial"/>
          <w:i/>
          <w:iCs/>
          <w:lang w:val="en-US"/>
        </w:rPr>
        <w:t xml:space="preserve">domicilium </w:t>
      </w:r>
      <w:r w:rsidRPr="00013A48">
        <w:rPr>
          <w:rFonts w:cs="Arial"/>
          <w:lang w:val="en-US"/>
        </w:rPr>
        <w:t>address of the appellants</w:t>
      </w:r>
      <w:r w:rsidR="00013A48">
        <w:rPr>
          <w:rFonts w:cs="Arial"/>
          <w:lang w:val="en-US"/>
        </w:rPr>
        <w:t>,</w:t>
      </w:r>
      <w:r w:rsidRPr="00013A48">
        <w:rPr>
          <w:rFonts w:cs="Arial"/>
          <w:lang w:val="en-US"/>
        </w:rPr>
        <w:t xml:space="preserve"> namely 180 Corlett Drive, Bramley, Johannesburg. On 27 August 2019, the respondent took judgment against the appellants before Mtati AJ in their absence.</w:t>
      </w:r>
    </w:p>
    <w:p w14:paraId="68112AE0" w14:textId="04B6EC30" w:rsidR="00E56F16" w:rsidRPr="00AE7D28" w:rsidRDefault="00E56F16" w:rsidP="00013A48">
      <w:pPr>
        <w:pStyle w:val="ListParagraph"/>
        <w:numPr>
          <w:ilvl w:val="0"/>
          <w:numId w:val="5"/>
        </w:numPr>
        <w:tabs>
          <w:tab w:val="clear" w:pos="567"/>
        </w:tabs>
        <w:spacing w:after="120" w:line="360" w:lineRule="auto"/>
        <w:ind w:left="0" w:firstLine="0"/>
        <w:jc w:val="both"/>
        <w:rPr>
          <w:color w:val="000000"/>
        </w:rPr>
      </w:pPr>
      <w:r w:rsidRPr="00013A48">
        <w:rPr>
          <w:rFonts w:cs="Arial"/>
        </w:rPr>
        <w:t>Being dissatisfied with the judgment by default, the appellants filed an application for rescission of the default judgment.</w:t>
      </w:r>
      <w:r w:rsidR="00013A48">
        <w:rPr>
          <w:rFonts w:cs="Arial"/>
        </w:rPr>
        <w:t xml:space="preserve"> </w:t>
      </w:r>
      <w:r w:rsidRPr="00013A48">
        <w:rPr>
          <w:rFonts w:cs="Arial"/>
        </w:rPr>
        <w:t xml:space="preserve">In the </w:t>
      </w:r>
      <w:r w:rsidR="00013A48">
        <w:rPr>
          <w:rFonts w:cs="Arial"/>
        </w:rPr>
        <w:t xml:space="preserve">said </w:t>
      </w:r>
      <w:r w:rsidRPr="00013A48">
        <w:rPr>
          <w:rFonts w:cs="Arial"/>
        </w:rPr>
        <w:t xml:space="preserve">application, the appellants’ case was that the order was erroneously sought and granted against them as the summons did not come to their attention but were only served with </w:t>
      </w:r>
      <w:r w:rsidRPr="00013A48">
        <w:rPr>
          <w:rFonts w:cs="Arial"/>
        </w:rPr>
        <w:lastRenderedPageBreak/>
        <w:t xml:space="preserve">the warrant of execution issued pursuant to the default judgment. The appellants contended that they had vacated the </w:t>
      </w:r>
      <w:r w:rsidR="00013A48" w:rsidRPr="00013A48">
        <w:rPr>
          <w:rFonts w:cs="Arial"/>
          <w:i/>
        </w:rPr>
        <w:t>domicilium</w:t>
      </w:r>
      <w:r w:rsidRPr="00013A48">
        <w:rPr>
          <w:rFonts w:cs="Arial"/>
        </w:rPr>
        <w:t xml:space="preserve"> address and had given Mr</w:t>
      </w:r>
      <w:r w:rsidR="00013A48">
        <w:rPr>
          <w:rFonts w:cs="Arial"/>
        </w:rPr>
        <w:t> </w:t>
      </w:r>
      <w:r w:rsidRPr="00013A48">
        <w:rPr>
          <w:rFonts w:cs="Arial"/>
        </w:rPr>
        <w:t>Geo</w:t>
      </w:r>
      <w:r w:rsidR="00B42973">
        <w:rPr>
          <w:rFonts w:cs="Arial"/>
        </w:rPr>
        <w:t>r</w:t>
      </w:r>
      <w:r w:rsidRPr="00013A48">
        <w:rPr>
          <w:rFonts w:cs="Arial"/>
        </w:rPr>
        <w:t>giades, an attorney acting for the respondent, their new contact information. The</w:t>
      </w:r>
      <w:r w:rsidRPr="00013A48">
        <w:rPr>
          <w:rFonts w:cs="Arial"/>
          <w:lang w:val="en-US"/>
        </w:rPr>
        <w:t xml:space="preserve"> appellants alleged that service at the chosen </w:t>
      </w:r>
      <w:r w:rsidR="00013A48" w:rsidRPr="00013A48">
        <w:rPr>
          <w:rFonts w:cs="Arial"/>
          <w:i/>
          <w:iCs/>
          <w:lang w:val="en-US"/>
        </w:rPr>
        <w:t>domicilium</w:t>
      </w:r>
      <w:r w:rsidRPr="00013A48">
        <w:rPr>
          <w:rFonts w:cs="Arial"/>
          <w:i/>
          <w:iCs/>
          <w:lang w:val="en-US"/>
        </w:rPr>
        <w:t xml:space="preserve"> </w:t>
      </w:r>
      <w:r w:rsidRPr="00013A48">
        <w:rPr>
          <w:rFonts w:cs="Arial"/>
          <w:lang w:val="en-US"/>
        </w:rPr>
        <w:t xml:space="preserve">address of the summons and the application for default judgment does not constitute good service under the circumstances where the respondent knew that the principal debtor no longer traded from this address and the sureties had no presence there. </w:t>
      </w:r>
      <w:r w:rsidRPr="00013A48">
        <w:rPr>
          <w:rFonts w:cs="Arial"/>
        </w:rPr>
        <w:t xml:space="preserve">They submitted that because the summons and the default judgment application did not come to their knowledge they were not in wilful default for not opposing the matter. They submitted that they have a good and </w:t>
      </w:r>
      <w:r w:rsidRPr="00AE7D28">
        <w:rPr>
          <w:rFonts w:cs="Arial"/>
          <w:i/>
        </w:rPr>
        <w:t>bona fide</w:t>
      </w:r>
      <w:r w:rsidRPr="00013A48">
        <w:rPr>
          <w:rFonts w:cs="Arial"/>
        </w:rPr>
        <w:t xml:space="preserve"> defence which carries with it prospects of success </w:t>
      </w:r>
      <w:r w:rsidRPr="00013A48">
        <w:rPr>
          <w:rFonts w:cs="Arial"/>
          <w:lang w:val="en-US"/>
        </w:rPr>
        <w:t>and that they are entitled to a rescission of the judgment in terms Rule 42(1)(a)</w:t>
      </w:r>
      <w:r w:rsidR="00AE7D28">
        <w:rPr>
          <w:rFonts w:cs="Arial"/>
          <w:lang w:val="en-US"/>
        </w:rPr>
        <w:t>,</w:t>
      </w:r>
      <w:r w:rsidRPr="00013A48">
        <w:rPr>
          <w:rFonts w:cs="Arial"/>
          <w:lang w:val="en-US"/>
        </w:rPr>
        <w:t xml:space="preserve"> alternatively,</w:t>
      </w:r>
      <w:r w:rsidR="00AE7D28">
        <w:rPr>
          <w:rFonts w:cs="Arial"/>
          <w:lang w:val="en-US"/>
        </w:rPr>
        <w:t xml:space="preserve"> in terms of</w:t>
      </w:r>
      <w:r w:rsidRPr="00013A48">
        <w:rPr>
          <w:rFonts w:cs="Arial"/>
          <w:lang w:val="en-US"/>
        </w:rPr>
        <w:t xml:space="preserve"> the Common law.</w:t>
      </w:r>
    </w:p>
    <w:p w14:paraId="6108A467" w14:textId="77777777" w:rsidR="005301E4" w:rsidRPr="005301E4" w:rsidRDefault="00E56F16" w:rsidP="00AE7D28">
      <w:pPr>
        <w:pStyle w:val="ListParagraph"/>
        <w:numPr>
          <w:ilvl w:val="0"/>
          <w:numId w:val="5"/>
        </w:numPr>
        <w:tabs>
          <w:tab w:val="clear" w:pos="567"/>
        </w:tabs>
        <w:spacing w:after="120" w:line="360" w:lineRule="auto"/>
        <w:ind w:left="0" w:firstLine="0"/>
        <w:jc w:val="both"/>
        <w:rPr>
          <w:color w:val="000000"/>
        </w:rPr>
      </w:pPr>
      <w:r w:rsidRPr="00AE7D28">
        <w:rPr>
          <w:rFonts w:cs="Arial"/>
        </w:rPr>
        <w:t xml:space="preserve">In response, the respondent’s case was that </w:t>
      </w:r>
      <w:r w:rsidRPr="00AE7D28">
        <w:rPr>
          <w:rFonts w:cs="Arial"/>
          <w:lang w:val="en-US"/>
        </w:rPr>
        <w:t xml:space="preserve">it is not correct that the summons did not come to the knowledge of the appellants because the first appellant was aware of the pending action as far back as 2018, but nevertheless chose not to enter an appearance to defend. Furthermore, the respondent and his attorney did not effect service at the home address of the first appellant because the home address of the first appellant was not his chosen </w:t>
      </w:r>
      <w:r w:rsidRPr="00AE7D28">
        <w:rPr>
          <w:rFonts w:cs="Arial"/>
          <w:i/>
          <w:iCs/>
          <w:lang w:val="en-US"/>
        </w:rPr>
        <w:t>domicilium.</w:t>
      </w:r>
      <w:r w:rsidRPr="00AE7D28">
        <w:rPr>
          <w:rFonts w:cs="Arial"/>
          <w:lang w:val="en-US"/>
        </w:rPr>
        <w:t xml:space="preserve"> The respondent submitted that clause 12 of the written suretyship agreement signed by the appellants provided that the </w:t>
      </w:r>
      <w:r w:rsidRPr="00AE7D28">
        <w:rPr>
          <w:rFonts w:cs="Arial"/>
          <w:i/>
          <w:iCs/>
          <w:lang w:val="en-US"/>
        </w:rPr>
        <w:t xml:space="preserve">domicilium </w:t>
      </w:r>
      <w:r w:rsidRPr="00AE7D28">
        <w:rPr>
          <w:rFonts w:cs="Arial"/>
          <w:lang w:val="en-US"/>
        </w:rPr>
        <w:t>address may only be changed by giving proper written notice thereof to the respondent and the change shall only be effective on receipt by the respondent of such written notice, and if the respondent does not object to the suitability thereof.</w:t>
      </w:r>
    </w:p>
    <w:p w14:paraId="18BCCCB8" w14:textId="3A6B68E4" w:rsidR="00E56F16" w:rsidRPr="005301E4" w:rsidRDefault="00E56F16" w:rsidP="005301E4">
      <w:pPr>
        <w:pStyle w:val="ListParagraph"/>
        <w:numPr>
          <w:ilvl w:val="0"/>
          <w:numId w:val="5"/>
        </w:numPr>
        <w:tabs>
          <w:tab w:val="clear" w:pos="567"/>
        </w:tabs>
        <w:spacing w:after="120" w:line="360" w:lineRule="auto"/>
        <w:ind w:left="0" w:firstLine="0"/>
        <w:jc w:val="both"/>
        <w:rPr>
          <w:color w:val="000000"/>
        </w:rPr>
      </w:pPr>
      <w:r w:rsidRPr="005301E4">
        <w:rPr>
          <w:rFonts w:cs="Arial"/>
          <w:lang w:val="en-US"/>
        </w:rPr>
        <w:t xml:space="preserve">Having heard arguments from both sides the learned judge dismissed the rescission application. The application for leave to appeal was similarly dismissed on 28 May 2021. The appellants then petitioned the Supreme Court of Appeal on the grounds that the judgment refusing rescission misconstrued and misapplied the test for rescission and failed to consider certain material facts which have a direct bearing on the willful default leg of a </w:t>
      </w:r>
      <w:r w:rsidR="005301E4" w:rsidRPr="005301E4">
        <w:rPr>
          <w:rFonts w:cs="Arial"/>
          <w:lang w:val="en-US"/>
        </w:rPr>
        <w:t>rescission</w:t>
      </w:r>
      <w:r w:rsidRPr="005301E4">
        <w:rPr>
          <w:rFonts w:cs="Arial"/>
          <w:lang w:val="en-US"/>
        </w:rPr>
        <w:t xml:space="preserve"> inquiry. The Supreme Court of Appeal granted the appellants leave to appeal.</w:t>
      </w:r>
    </w:p>
    <w:p w14:paraId="4C21F651" w14:textId="77777777" w:rsidR="005301E4" w:rsidRPr="005301E4" w:rsidRDefault="00E56F16" w:rsidP="005301E4">
      <w:pPr>
        <w:pStyle w:val="ListParagraph"/>
        <w:numPr>
          <w:ilvl w:val="0"/>
          <w:numId w:val="5"/>
        </w:numPr>
        <w:tabs>
          <w:tab w:val="clear" w:pos="567"/>
        </w:tabs>
        <w:spacing w:after="120" w:line="360" w:lineRule="auto"/>
        <w:ind w:left="0" w:firstLine="0"/>
        <w:jc w:val="both"/>
        <w:rPr>
          <w:color w:val="000000"/>
        </w:rPr>
      </w:pPr>
      <w:r w:rsidRPr="005301E4">
        <w:rPr>
          <w:rFonts w:cs="Arial"/>
        </w:rPr>
        <w:lastRenderedPageBreak/>
        <w:t xml:space="preserve">It is against the decision dismissing the application for rescission of </w:t>
      </w:r>
      <w:r w:rsidR="005301E4">
        <w:rPr>
          <w:rFonts w:cs="Arial"/>
        </w:rPr>
        <w:t>the</w:t>
      </w:r>
      <w:r w:rsidRPr="005301E4">
        <w:rPr>
          <w:rFonts w:cs="Arial"/>
        </w:rPr>
        <w:t xml:space="preserve"> default judgment that the appellants noted the present appeal. The appellants raised various grounds on which they allege rescission ought to have been granted, amongst them that:</w:t>
      </w:r>
    </w:p>
    <w:p w14:paraId="7A800136" w14:textId="1A16EC2F" w:rsidR="00E56F16" w:rsidRPr="002866FE" w:rsidRDefault="00E56F16" w:rsidP="005301E4">
      <w:pPr>
        <w:pStyle w:val="ListParagraph"/>
        <w:numPr>
          <w:ilvl w:val="0"/>
          <w:numId w:val="20"/>
        </w:numPr>
        <w:spacing w:after="120" w:line="360" w:lineRule="auto"/>
        <w:ind w:left="567" w:hanging="567"/>
        <w:jc w:val="both"/>
        <w:rPr>
          <w:color w:val="000000"/>
        </w:rPr>
      </w:pPr>
      <w:r w:rsidRPr="002866FE">
        <w:rPr>
          <w:rFonts w:cs="Arial"/>
        </w:rPr>
        <w:t xml:space="preserve">The court </w:t>
      </w:r>
      <w:r w:rsidR="005301E4" w:rsidRPr="002866FE">
        <w:rPr>
          <w:rFonts w:cs="Arial"/>
          <w:i/>
        </w:rPr>
        <w:t>a quo</w:t>
      </w:r>
      <w:r w:rsidR="005301E4" w:rsidRPr="002866FE">
        <w:rPr>
          <w:rFonts w:cs="Arial"/>
        </w:rPr>
        <w:t xml:space="preserve"> </w:t>
      </w:r>
      <w:r w:rsidRPr="002866FE">
        <w:rPr>
          <w:rFonts w:cs="Arial"/>
        </w:rPr>
        <w:t xml:space="preserve">erred in not accepting </w:t>
      </w:r>
      <w:r w:rsidR="002866FE" w:rsidRPr="002866FE">
        <w:rPr>
          <w:rFonts w:cs="Arial"/>
        </w:rPr>
        <w:t xml:space="preserve">as a </w:t>
      </w:r>
      <w:r w:rsidRPr="002866FE">
        <w:rPr>
          <w:rFonts w:cs="Arial"/>
        </w:rPr>
        <w:t xml:space="preserve">fact that Mr Georgiades was in receipt of the appellants’ contact details and had assured them that they </w:t>
      </w:r>
      <w:r w:rsidRPr="002866FE">
        <w:rPr>
          <w:rFonts w:cs="Arial"/>
          <w:color w:val="232323"/>
        </w:rPr>
        <w:t>wou</w:t>
      </w:r>
      <w:r w:rsidRPr="002866FE">
        <w:rPr>
          <w:rFonts w:cs="Arial"/>
          <w:color w:val="232323"/>
          <w:spacing w:val="5"/>
        </w:rPr>
        <w:t>l</w:t>
      </w:r>
      <w:r w:rsidRPr="002866FE">
        <w:rPr>
          <w:rFonts w:cs="Arial"/>
          <w:color w:val="232323"/>
        </w:rPr>
        <w:t>d</w:t>
      </w:r>
      <w:r w:rsidRPr="002866FE">
        <w:rPr>
          <w:rFonts w:cs="Arial"/>
          <w:color w:val="232323"/>
          <w:spacing w:val="-5"/>
        </w:rPr>
        <w:t xml:space="preserve"> </w:t>
      </w:r>
      <w:r w:rsidRPr="002866FE">
        <w:rPr>
          <w:rFonts w:cs="Arial"/>
          <w:color w:val="111111"/>
        </w:rPr>
        <w:t>be</w:t>
      </w:r>
      <w:r w:rsidRPr="002866FE">
        <w:rPr>
          <w:rFonts w:cs="Arial"/>
          <w:color w:val="111111"/>
          <w:spacing w:val="-9"/>
        </w:rPr>
        <w:t xml:space="preserve"> </w:t>
      </w:r>
      <w:r w:rsidRPr="002866FE">
        <w:rPr>
          <w:rFonts w:cs="Arial"/>
          <w:color w:val="111111"/>
        </w:rPr>
        <w:t>notified</w:t>
      </w:r>
      <w:r w:rsidRPr="002866FE">
        <w:rPr>
          <w:rFonts w:cs="Arial"/>
          <w:color w:val="111111"/>
          <w:spacing w:val="6"/>
        </w:rPr>
        <w:t xml:space="preserve"> </w:t>
      </w:r>
      <w:r w:rsidRPr="002866FE">
        <w:rPr>
          <w:rFonts w:cs="Arial"/>
          <w:color w:val="232323"/>
        </w:rPr>
        <w:t>should</w:t>
      </w:r>
      <w:r w:rsidRPr="002866FE">
        <w:rPr>
          <w:rFonts w:cs="Arial"/>
          <w:color w:val="232323"/>
          <w:spacing w:val="3"/>
        </w:rPr>
        <w:t xml:space="preserve"> </w:t>
      </w:r>
      <w:r w:rsidRPr="002866FE">
        <w:rPr>
          <w:rFonts w:cs="Arial"/>
          <w:color w:val="232323"/>
        </w:rPr>
        <w:t>he</w:t>
      </w:r>
      <w:r w:rsidRPr="002866FE">
        <w:rPr>
          <w:rFonts w:cs="Arial"/>
          <w:color w:val="232323"/>
          <w:spacing w:val="-10"/>
        </w:rPr>
        <w:t xml:space="preserve"> </w:t>
      </w:r>
      <w:r w:rsidRPr="002866FE">
        <w:rPr>
          <w:rFonts w:cs="Arial"/>
          <w:color w:val="232323"/>
        </w:rPr>
        <w:t xml:space="preserve">seek </w:t>
      </w:r>
      <w:r w:rsidRPr="002866FE">
        <w:rPr>
          <w:rFonts w:cs="Arial"/>
          <w:color w:val="111111"/>
        </w:rPr>
        <w:t>to</w:t>
      </w:r>
      <w:r w:rsidRPr="002866FE">
        <w:rPr>
          <w:rFonts w:cs="Arial"/>
          <w:color w:val="111111"/>
          <w:spacing w:val="25"/>
        </w:rPr>
        <w:t xml:space="preserve"> </w:t>
      </w:r>
      <w:r w:rsidRPr="002866FE">
        <w:rPr>
          <w:rFonts w:cs="Arial"/>
          <w:color w:val="111111"/>
        </w:rPr>
        <w:t>institute</w:t>
      </w:r>
      <w:r w:rsidRPr="002866FE">
        <w:rPr>
          <w:rFonts w:cs="Arial"/>
          <w:color w:val="111111"/>
          <w:spacing w:val="21"/>
        </w:rPr>
        <w:t xml:space="preserve"> </w:t>
      </w:r>
      <w:r w:rsidR="002866FE">
        <w:rPr>
          <w:rFonts w:cs="Arial"/>
          <w:color w:val="111111"/>
          <w:spacing w:val="-21"/>
        </w:rPr>
        <w:t>legal</w:t>
      </w:r>
      <w:r w:rsidRPr="002866FE">
        <w:rPr>
          <w:rFonts w:cs="Arial"/>
          <w:color w:val="111111"/>
          <w:spacing w:val="26"/>
        </w:rPr>
        <w:t xml:space="preserve"> </w:t>
      </w:r>
      <w:r w:rsidRPr="002866FE">
        <w:rPr>
          <w:rFonts w:cs="Arial"/>
          <w:color w:val="232323"/>
        </w:rPr>
        <w:t>pr</w:t>
      </w:r>
      <w:r w:rsidRPr="002866FE">
        <w:rPr>
          <w:rFonts w:cs="Arial"/>
          <w:color w:val="232323"/>
          <w:spacing w:val="1"/>
        </w:rPr>
        <w:t>o</w:t>
      </w:r>
      <w:r w:rsidRPr="002866FE">
        <w:rPr>
          <w:rFonts w:cs="Arial"/>
          <w:color w:val="3F3D3F"/>
          <w:spacing w:val="5"/>
        </w:rPr>
        <w:t>c</w:t>
      </w:r>
      <w:r w:rsidRPr="002866FE">
        <w:rPr>
          <w:rFonts w:cs="Arial"/>
          <w:color w:val="232323"/>
        </w:rPr>
        <w:t>eedings</w:t>
      </w:r>
      <w:r w:rsidRPr="002866FE">
        <w:rPr>
          <w:rFonts w:cs="Arial"/>
          <w:color w:val="232323"/>
          <w:spacing w:val="33"/>
        </w:rPr>
        <w:t xml:space="preserve"> </w:t>
      </w:r>
      <w:r w:rsidRPr="002866FE">
        <w:rPr>
          <w:rFonts w:cs="Arial"/>
          <w:color w:val="111111"/>
        </w:rPr>
        <w:t>in</w:t>
      </w:r>
      <w:r w:rsidRPr="002866FE">
        <w:rPr>
          <w:rFonts w:cs="Arial"/>
          <w:color w:val="111111"/>
          <w:spacing w:val="-7"/>
        </w:rPr>
        <w:t xml:space="preserve"> </w:t>
      </w:r>
      <w:r w:rsidRPr="002866FE">
        <w:rPr>
          <w:rFonts w:cs="Arial"/>
          <w:color w:val="111111"/>
        </w:rPr>
        <w:t>the</w:t>
      </w:r>
      <w:r w:rsidRPr="002866FE">
        <w:rPr>
          <w:rFonts w:cs="Arial"/>
          <w:color w:val="111111"/>
          <w:spacing w:val="17"/>
        </w:rPr>
        <w:t xml:space="preserve"> </w:t>
      </w:r>
      <w:r w:rsidRPr="002866FE">
        <w:rPr>
          <w:rFonts w:cs="Arial"/>
          <w:color w:val="111111"/>
        </w:rPr>
        <w:t xml:space="preserve">future. </w:t>
      </w:r>
      <w:r w:rsidRPr="002866FE">
        <w:rPr>
          <w:rFonts w:cs="Arial"/>
          <w:color w:val="232323"/>
        </w:rPr>
        <w:t>T</w:t>
      </w:r>
      <w:r w:rsidRPr="002866FE">
        <w:rPr>
          <w:rFonts w:cs="Arial"/>
          <w:color w:val="232323"/>
          <w:spacing w:val="2"/>
        </w:rPr>
        <w:t>h</w:t>
      </w:r>
      <w:r w:rsidRPr="002866FE">
        <w:rPr>
          <w:rFonts w:cs="Arial"/>
          <w:color w:val="3F3D3F"/>
        </w:rPr>
        <w:t>e</w:t>
      </w:r>
      <w:r w:rsidRPr="002866FE">
        <w:rPr>
          <w:rFonts w:cs="Arial"/>
          <w:color w:val="3F3D3F"/>
          <w:spacing w:val="31"/>
        </w:rPr>
        <w:t xml:space="preserve"> </w:t>
      </w:r>
      <w:r w:rsidRPr="002866FE">
        <w:rPr>
          <w:rFonts w:eastAsia="Calibri" w:cs="Arial"/>
          <w:color w:val="111111"/>
          <w:spacing w:val="-21"/>
          <w:lang w:val="en-US"/>
        </w:rPr>
        <w:t>court</w:t>
      </w:r>
      <w:r w:rsidRPr="002866FE">
        <w:rPr>
          <w:rFonts w:eastAsia="Calibri" w:cs="Arial"/>
          <w:color w:val="111111"/>
          <w:spacing w:val="28"/>
          <w:lang w:val="en-US"/>
        </w:rPr>
        <w:t xml:space="preserve"> </w:t>
      </w:r>
      <w:r w:rsidRPr="002866FE">
        <w:rPr>
          <w:rFonts w:eastAsia="Calibri" w:cs="Arial"/>
          <w:color w:val="111111"/>
          <w:lang w:val="en-US"/>
        </w:rPr>
        <w:t>found</w:t>
      </w:r>
      <w:r w:rsidRPr="002866FE">
        <w:rPr>
          <w:rFonts w:eastAsia="Calibri" w:cs="Arial"/>
          <w:color w:val="111111"/>
          <w:spacing w:val="2"/>
          <w:lang w:val="en-US"/>
        </w:rPr>
        <w:t xml:space="preserve"> </w:t>
      </w:r>
      <w:r w:rsidRPr="002866FE">
        <w:rPr>
          <w:rFonts w:eastAsia="Calibri" w:cs="Arial"/>
          <w:color w:val="111111"/>
          <w:lang w:val="en-US"/>
        </w:rPr>
        <w:t>that</w:t>
      </w:r>
      <w:r w:rsidRPr="002866FE">
        <w:rPr>
          <w:rFonts w:eastAsia="Calibri" w:cs="Arial"/>
          <w:color w:val="111111"/>
          <w:spacing w:val="15"/>
          <w:lang w:val="en-US"/>
        </w:rPr>
        <w:t xml:space="preserve"> </w:t>
      </w:r>
      <w:r w:rsidRPr="002866FE">
        <w:rPr>
          <w:rFonts w:eastAsia="Calibri" w:cs="Arial"/>
          <w:color w:val="111111"/>
          <w:lang w:val="en-US"/>
        </w:rPr>
        <w:t>the</w:t>
      </w:r>
      <w:r w:rsidRPr="002866FE">
        <w:rPr>
          <w:rFonts w:eastAsia="Calibri" w:cs="Arial"/>
          <w:color w:val="111111"/>
          <w:spacing w:val="7"/>
          <w:lang w:val="en-US"/>
        </w:rPr>
        <w:t xml:space="preserve"> </w:t>
      </w:r>
      <w:r w:rsidR="002866FE">
        <w:rPr>
          <w:rFonts w:eastAsia="Calibri" w:cs="Arial"/>
          <w:color w:val="424244"/>
          <w:spacing w:val="9"/>
          <w:lang w:val="en-US"/>
        </w:rPr>
        <w:t>‘</w:t>
      </w:r>
      <w:r w:rsidRPr="002866FE">
        <w:rPr>
          <w:rFonts w:eastAsia="Calibri" w:cs="Arial"/>
          <w:color w:val="282628"/>
          <w:lang w:val="en-US"/>
        </w:rPr>
        <w:t>summons</w:t>
      </w:r>
      <w:r w:rsidRPr="002866FE">
        <w:rPr>
          <w:rFonts w:eastAsia="Calibri" w:cs="Arial"/>
          <w:color w:val="282628"/>
          <w:spacing w:val="26"/>
          <w:lang w:val="en-US"/>
        </w:rPr>
        <w:t xml:space="preserve"> </w:t>
      </w:r>
      <w:r w:rsidRPr="002866FE">
        <w:rPr>
          <w:rFonts w:eastAsia="Calibri" w:cs="Arial"/>
          <w:color w:val="111111"/>
          <w:lang w:val="en-US"/>
        </w:rPr>
        <w:t>did not</w:t>
      </w:r>
      <w:r w:rsidRPr="002866FE">
        <w:rPr>
          <w:rFonts w:eastAsia="Calibri" w:cs="Arial"/>
          <w:color w:val="111111"/>
          <w:spacing w:val="48"/>
          <w:lang w:val="en-US"/>
        </w:rPr>
        <w:t xml:space="preserve"> </w:t>
      </w:r>
      <w:r w:rsidRPr="002866FE">
        <w:rPr>
          <w:rFonts w:eastAsia="Calibri" w:cs="Arial"/>
          <w:color w:val="282628"/>
          <w:lang w:val="en-US"/>
        </w:rPr>
        <w:t>come</w:t>
      </w:r>
      <w:r w:rsidRPr="002866FE">
        <w:rPr>
          <w:rFonts w:eastAsia="Calibri" w:cs="Arial"/>
          <w:color w:val="282628"/>
          <w:spacing w:val="32"/>
          <w:lang w:val="en-US"/>
        </w:rPr>
        <w:t xml:space="preserve"> </w:t>
      </w:r>
      <w:r w:rsidRPr="002866FE">
        <w:rPr>
          <w:rFonts w:eastAsia="Calibri" w:cs="Arial"/>
          <w:color w:val="111111"/>
          <w:lang w:val="en-US"/>
        </w:rPr>
        <w:t>to</w:t>
      </w:r>
      <w:r w:rsidRPr="002866FE">
        <w:rPr>
          <w:rFonts w:eastAsia="Calibri" w:cs="Arial"/>
          <w:color w:val="111111"/>
          <w:spacing w:val="25"/>
          <w:lang w:val="en-US"/>
        </w:rPr>
        <w:t xml:space="preserve"> </w:t>
      </w:r>
      <w:r w:rsidRPr="002866FE">
        <w:rPr>
          <w:rFonts w:eastAsia="Calibri" w:cs="Arial"/>
          <w:color w:val="111111"/>
          <w:lang w:val="en-US"/>
        </w:rPr>
        <w:t>the</w:t>
      </w:r>
      <w:r w:rsidRPr="002866FE">
        <w:rPr>
          <w:rFonts w:eastAsia="Calibri" w:cs="Arial"/>
          <w:color w:val="111111"/>
          <w:spacing w:val="31"/>
          <w:lang w:val="en-US"/>
        </w:rPr>
        <w:t xml:space="preserve"> </w:t>
      </w:r>
      <w:r w:rsidRPr="002866FE">
        <w:rPr>
          <w:rFonts w:eastAsia="Calibri" w:cs="Arial"/>
          <w:color w:val="111111"/>
          <w:lang w:val="en-US"/>
        </w:rPr>
        <w:t>applicants'</w:t>
      </w:r>
      <w:r w:rsidRPr="002866FE">
        <w:rPr>
          <w:rFonts w:eastAsia="Calibri" w:cs="Arial"/>
          <w:color w:val="111111"/>
          <w:spacing w:val="51"/>
          <w:lang w:val="en-US"/>
        </w:rPr>
        <w:t xml:space="preserve"> </w:t>
      </w:r>
      <w:r w:rsidRPr="002866FE">
        <w:rPr>
          <w:rFonts w:eastAsia="Calibri" w:cs="Arial"/>
          <w:color w:val="282628"/>
          <w:lang w:val="en-US"/>
        </w:rPr>
        <w:t>attention</w:t>
      </w:r>
      <w:r w:rsidRPr="002866FE">
        <w:rPr>
          <w:rFonts w:eastAsia="Calibri" w:cs="Arial"/>
          <w:color w:val="282628"/>
          <w:spacing w:val="49"/>
          <w:lang w:val="en-US"/>
        </w:rPr>
        <w:t xml:space="preserve"> </w:t>
      </w:r>
      <w:r w:rsidRPr="002866FE">
        <w:rPr>
          <w:rFonts w:eastAsia="Calibri" w:cs="Arial"/>
          <w:color w:val="111111"/>
          <w:lang w:val="en-US"/>
        </w:rPr>
        <w:t>due</w:t>
      </w:r>
      <w:r w:rsidRPr="002866FE">
        <w:rPr>
          <w:rFonts w:eastAsia="Calibri" w:cs="Arial"/>
          <w:color w:val="111111"/>
          <w:spacing w:val="37"/>
          <w:lang w:val="en-US"/>
        </w:rPr>
        <w:t xml:space="preserve"> </w:t>
      </w:r>
      <w:r w:rsidRPr="002866FE">
        <w:rPr>
          <w:rFonts w:eastAsia="Calibri" w:cs="Arial"/>
          <w:color w:val="111111"/>
          <w:lang w:val="en-US"/>
        </w:rPr>
        <w:t>to</w:t>
      </w:r>
      <w:r w:rsidRPr="002866FE">
        <w:rPr>
          <w:rFonts w:eastAsia="Calibri" w:cs="Arial"/>
          <w:color w:val="111111"/>
          <w:spacing w:val="25"/>
          <w:lang w:val="en-US"/>
        </w:rPr>
        <w:t xml:space="preserve"> </w:t>
      </w:r>
      <w:r w:rsidRPr="002866FE">
        <w:rPr>
          <w:rFonts w:eastAsia="Calibri" w:cs="Arial"/>
          <w:color w:val="111111"/>
          <w:lang w:val="en-US"/>
        </w:rPr>
        <w:t>the</w:t>
      </w:r>
      <w:r w:rsidRPr="002866FE">
        <w:rPr>
          <w:rFonts w:eastAsia="Calibri" w:cs="Arial"/>
          <w:color w:val="111111"/>
          <w:spacing w:val="26"/>
          <w:lang w:val="en-US"/>
        </w:rPr>
        <w:t xml:space="preserve"> </w:t>
      </w:r>
      <w:r w:rsidRPr="002866FE">
        <w:rPr>
          <w:rFonts w:eastAsia="Calibri" w:cs="Arial"/>
          <w:color w:val="282628"/>
          <w:lang w:val="en-US"/>
        </w:rPr>
        <w:t>changed</w:t>
      </w:r>
      <w:r w:rsidRPr="002866FE">
        <w:rPr>
          <w:rFonts w:eastAsia="Calibri" w:cs="Arial"/>
          <w:color w:val="282628"/>
          <w:spacing w:val="43"/>
          <w:lang w:val="en-US"/>
        </w:rPr>
        <w:t xml:space="preserve"> </w:t>
      </w:r>
      <w:r w:rsidRPr="002866FE">
        <w:rPr>
          <w:rFonts w:eastAsia="Calibri" w:cs="Arial"/>
          <w:color w:val="282628"/>
          <w:lang w:val="en-US"/>
        </w:rPr>
        <w:t>circumstances</w:t>
      </w:r>
      <w:r w:rsidR="002866FE">
        <w:rPr>
          <w:rFonts w:eastAsia="Calibri" w:cs="Arial"/>
          <w:color w:val="424244"/>
          <w:lang w:val="en-US"/>
        </w:rPr>
        <w:t>’</w:t>
      </w:r>
      <w:r w:rsidRPr="002866FE">
        <w:rPr>
          <w:rFonts w:eastAsia="Calibri" w:cs="Arial"/>
          <w:color w:val="424244"/>
          <w:lang w:val="en-US"/>
        </w:rPr>
        <w:t>,</w:t>
      </w:r>
      <w:r w:rsidRPr="002866FE">
        <w:rPr>
          <w:rFonts w:eastAsia="Calibri" w:cs="Arial"/>
          <w:color w:val="424244"/>
          <w:spacing w:val="28"/>
          <w:lang w:val="en-US"/>
        </w:rPr>
        <w:t xml:space="preserve"> </w:t>
      </w:r>
      <w:r w:rsidRPr="002866FE">
        <w:rPr>
          <w:rFonts w:eastAsia="Calibri" w:cs="Arial"/>
          <w:color w:val="111111"/>
          <w:lang w:val="en-US"/>
        </w:rPr>
        <w:t>therefore the court</w:t>
      </w:r>
      <w:r w:rsidRPr="002866FE">
        <w:rPr>
          <w:rFonts w:eastAsia="Calibri" w:cs="Arial"/>
          <w:color w:val="111111"/>
          <w:spacing w:val="56"/>
          <w:w w:val="99"/>
          <w:lang w:val="en-US"/>
        </w:rPr>
        <w:t xml:space="preserve"> </w:t>
      </w:r>
      <w:r w:rsidRPr="002866FE">
        <w:rPr>
          <w:rFonts w:eastAsia="Calibri" w:cs="Arial"/>
          <w:color w:val="111111"/>
          <w:lang w:val="en-US"/>
        </w:rPr>
        <w:t>ought</w:t>
      </w:r>
      <w:r w:rsidRPr="002866FE">
        <w:rPr>
          <w:rFonts w:eastAsia="Calibri" w:cs="Arial"/>
          <w:color w:val="111111"/>
          <w:spacing w:val="19"/>
          <w:lang w:val="en-US"/>
        </w:rPr>
        <w:t xml:space="preserve"> </w:t>
      </w:r>
      <w:r w:rsidRPr="002866FE">
        <w:rPr>
          <w:rFonts w:eastAsia="Calibri" w:cs="Arial"/>
          <w:color w:val="111111"/>
          <w:lang w:val="en-US"/>
        </w:rPr>
        <w:t>to</w:t>
      </w:r>
      <w:r w:rsidRPr="002866FE">
        <w:rPr>
          <w:rFonts w:eastAsia="Calibri" w:cs="Arial"/>
          <w:color w:val="111111"/>
          <w:spacing w:val="29"/>
          <w:lang w:val="en-US"/>
        </w:rPr>
        <w:t xml:space="preserve"> </w:t>
      </w:r>
      <w:r w:rsidRPr="002866FE">
        <w:rPr>
          <w:rFonts w:eastAsia="Calibri" w:cs="Arial"/>
          <w:color w:val="111111"/>
          <w:lang w:val="en-US"/>
        </w:rPr>
        <w:t>have</w:t>
      </w:r>
      <w:r w:rsidRPr="002866FE">
        <w:rPr>
          <w:rFonts w:eastAsia="Calibri" w:cs="Arial"/>
          <w:color w:val="111111"/>
          <w:spacing w:val="17"/>
          <w:lang w:val="en-US"/>
        </w:rPr>
        <w:t xml:space="preserve"> </w:t>
      </w:r>
      <w:r w:rsidRPr="002866FE">
        <w:rPr>
          <w:rFonts w:eastAsia="Calibri" w:cs="Arial"/>
          <w:color w:val="111111"/>
          <w:lang w:val="en-US"/>
        </w:rPr>
        <w:t>found</w:t>
      </w:r>
      <w:r w:rsidRPr="002866FE">
        <w:rPr>
          <w:rFonts w:eastAsia="Calibri" w:cs="Arial"/>
          <w:color w:val="111111"/>
          <w:spacing w:val="32"/>
          <w:lang w:val="en-US"/>
        </w:rPr>
        <w:t xml:space="preserve"> </w:t>
      </w:r>
      <w:r w:rsidRPr="002866FE">
        <w:rPr>
          <w:rFonts w:eastAsia="Calibri" w:cs="Arial"/>
          <w:color w:val="111111"/>
          <w:lang w:val="en-US"/>
        </w:rPr>
        <w:t>tha</w:t>
      </w:r>
      <w:r w:rsidRPr="002866FE">
        <w:rPr>
          <w:rFonts w:eastAsia="Calibri" w:cs="Arial"/>
          <w:color w:val="111111"/>
          <w:spacing w:val="21"/>
          <w:lang w:val="en-US"/>
        </w:rPr>
        <w:t>t</w:t>
      </w:r>
      <w:r w:rsidRPr="002866FE">
        <w:rPr>
          <w:rFonts w:eastAsia="Calibri" w:cs="Arial"/>
          <w:color w:val="424244"/>
          <w:spacing w:val="6"/>
          <w:lang w:val="en-US"/>
        </w:rPr>
        <w:t xml:space="preserve"> </w:t>
      </w:r>
      <w:r w:rsidRPr="002866FE">
        <w:rPr>
          <w:rFonts w:eastAsia="Calibri" w:cs="Arial"/>
          <w:color w:val="111111"/>
          <w:spacing w:val="-16"/>
          <w:lang w:val="en-US"/>
        </w:rPr>
        <w:t>i</w:t>
      </w:r>
      <w:r w:rsidRPr="002866FE">
        <w:rPr>
          <w:rFonts w:eastAsia="Calibri" w:cs="Arial"/>
          <w:color w:val="111111"/>
          <w:lang w:val="en-US"/>
        </w:rPr>
        <w:t>n</w:t>
      </w:r>
      <w:r w:rsidRPr="002866FE">
        <w:rPr>
          <w:rFonts w:eastAsia="Calibri" w:cs="Arial"/>
          <w:color w:val="111111"/>
          <w:spacing w:val="3"/>
          <w:lang w:val="en-US"/>
        </w:rPr>
        <w:t xml:space="preserve"> </w:t>
      </w:r>
      <w:r w:rsidRPr="002866FE">
        <w:rPr>
          <w:rFonts w:eastAsia="Calibri" w:cs="Arial"/>
          <w:color w:val="111111"/>
          <w:lang w:val="en-US"/>
        </w:rPr>
        <w:t>addition</w:t>
      </w:r>
      <w:r w:rsidRPr="002866FE">
        <w:rPr>
          <w:rFonts w:eastAsia="Calibri" w:cs="Arial"/>
          <w:color w:val="111111"/>
          <w:spacing w:val="26"/>
          <w:lang w:val="en-US"/>
        </w:rPr>
        <w:t xml:space="preserve"> </w:t>
      </w:r>
      <w:r w:rsidRPr="002866FE">
        <w:rPr>
          <w:rFonts w:eastAsia="Calibri" w:cs="Arial"/>
          <w:color w:val="111111"/>
          <w:lang w:val="en-US"/>
        </w:rPr>
        <w:t>to</w:t>
      </w:r>
      <w:r w:rsidRPr="002866FE">
        <w:rPr>
          <w:rFonts w:eastAsia="Calibri" w:cs="Arial"/>
          <w:color w:val="111111"/>
          <w:spacing w:val="23"/>
          <w:lang w:val="en-US"/>
        </w:rPr>
        <w:t xml:space="preserve"> </w:t>
      </w:r>
      <w:r w:rsidRPr="002866FE">
        <w:rPr>
          <w:rFonts w:eastAsia="Calibri" w:cs="Arial"/>
          <w:color w:val="111111"/>
          <w:lang w:val="en-US"/>
        </w:rPr>
        <w:t>the</w:t>
      </w:r>
      <w:r w:rsidRPr="002866FE">
        <w:rPr>
          <w:rFonts w:eastAsia="Calibri" w:cs="Arial"/>
          <w:color w:val="111111"/>
          <w:spacing w:val="32"/>
          <w:lang w:val="en-US"/>
        </w:rPr>
        <w:t xml:space="preserve"> </w:t>
      </w:r>
      <w:r w:rsidRPr="002866FE">
        <w:rPr>
          <w:rFonts w:eastAsia="Calibri" w:cs="Arial"/>
          <w:color w:val="111111"/>
          <w:lang w:val="en-US"/>
        </w:rPr>
        <w:t>summons</w:t>
      </w:r>
      <w:r w:rsidRPr="002866FE">
        <w:rPr>
          <w:rFonts w:eastAsia="Calibri" w:cs="Arial"/>
          <w:color w:val="111111"/>
          <w:spacing w:val="-30"/>
          <w:lang w:val="en-US"/>
        </w:rPr>
        <w:t>,</w:t>
      </w:r>
      <w:r w:rsidRPr="002866FE">
        <w:rPr>
          <w:rFonts w:eastAsia="Calibri" w:cs="Arial"/>
          <w:color w:val="424244"/>
          <w:spacing w:val="47"/>
          <w:lang w:val="en-US"/>
        </w:rPr>
        <w:t xml:space="preserve"> </w:t>
      </w:r>
      <w:r w:rsidRPr="002866FE">
        <w:rPr>
          <w:rFonts w:eastAsia="Calibri" w:cs="Arial"/>
          <w:color w:val="111111"/>
          <w:lang w:val="en-US"/>
        </w:rPr>
        <w:t>the application</w:t>
      </w:r>
      <w:r w:rsidRPr="002866FE">
        <w:rPr>
          <w:rFonts w:eastAsia="Calibri" w:cs="Arial"/>
          <w:color w:val="111111"/>
          <w:spacing w:val="28"/>
          <w:lang w:val="en-US"/>
        </w:rPr>
        <w:t xml:space="preserve"> </w:t>
      </w:r>
      <w:r w:rsidRPr="002866FE">
        <w:rPr>
          <w:rFonts w:eastAsia="Calibri" w:cs="Arial"/>
          <w:color w:val="111111"/>
          <w:lang w:val="en-US"/>
        </w:rPr>
        <w:t>for</w:t>
      </w:r>
      <w:r w:rsidRPr="002866FE">
        <w:rPr>
          <w:rFonts w:eastAsia="Calibri" w:cs="Arial"/>
          <w:color w:val="111111"/>
          <w:spacing w:val="31"/>
          <w:lang w:val="en-US"/>
        </w:rPr>
        <w:t xml:space="preserve"> </w:t>
      </w:r>
      <w:r w:rsidRPr="002866FE">
        <w:rPr>
          <w:rFonts w:eastAsia="Calibri" w:cs="Arial"/>
          <w:color w:val="111111"/>
          <w:lang w:val="en-US"/>
        </w:rPr>
        <w:t>default</w:t>
      </w:r>
      <w:r w:rsidRPr="002866FE">
        <w:rPr>
          <w:rFonts w:eastAsia="Calibri" w:cs="Arial"/>
          <w:color w:val="111111"/>
          <w:spacing w:val="13"/>
          <w:lang w:val="en-US"/>
        </w:rPr>
        <w:t xml:space="preserve"> </w:t>
      </w:r>
      <w:r w:rsidRPr="002866FE">
        <w:rPr>
          <w:rFonts w:eastAsia="Calibri" w:cs="Arial"/>
          <w:color w:val="111111"/>
          <w:lang w:val="en-US"/>
        </w:rPr>
        <w:t>judgment</w:t>
      </w:r>
      <w:r w:rsidRPr="002866FE">
        <w:rPr>
          <w:rFonts w:eastAsia="Calibri" w:cs="Arial"/>
          <w:color w:val="111111"/>
          <w:spacing w:val="51"/>
          <w:lang w:val="en-US"/>
        </w:rPr>
        <w:t xml:space="preserve"> </w:t>
      </w:r>
      <w:r w:rsidRPr="002866FE">
        <w:rPr>
          <w:rFonts w:eastAsia="Calibri" w:cs="Arial"/>
          <w:color w:val="111111"/>
          <w:lang w:val="en-US"/>
        </w:rPr>
        <w:t>and</w:t>
      </w:r>
      <w:r w:rsidRPr="002866FE">
        <w:rPr>
          <w:rFonts w:eastAsia="Calibri" w:cs="Arial"/>
          <w:color w:val="111111"/>
          <w:spacing w:val="8"/>
          <w:lang w:val="en-US"/>
        </w:rPr>
        <w:t xml:space="preserve"> </w:t>
      </w:r>
      <w:r w:rsidRPr="002866FE">
        <w:rPr>
          <w:rFonts w:eastAsia="Calibri" w:cs="Arial"/>
          <w:color w:val="111111"/>
          <w:lang w:val="en-US"/>
        </w:rPr>
        <w:t>the</w:t>
      </w:r>
      <w:r w:rsidRPr="002866FE">
        <w:rPr>
          <w:rFonts w:eastAsia="Calibri" w:cs="Arial"/>
          <w:color w:val="111111"/>
          <w:spacing w:val="33"/>
          <w:lang w:val="en-US"/>
        </w:rPr>
        <w:t xml:space="preserve"> </w:t>
      </w:r>
      <w:r w:rsidRPr="002866FE">
        <w:rPr>
          <w:rFonts w:eastAsia="Calibri" w:cs="Arial"/>
          <w:color w:val="111111"/>
          <w:lang w:val="en-US"/>
        </w:rPr>
        <w:t>notice</w:t>
      </w:r>
      <w:r w:rsidRPr="002866FE">
        <w:rPr>
          <w:rFonts w:eastAsia="Calibri" w:cs="Arial"/>
          <w:color w:val="111111"/>
          <w:spacing w:val="11"/>
          <w:lang w:val="en-US"/>
        </w:rPr>
        <w:t xml:space="preserve"> </w:t>
      </w:r>
      <w:r w:rsidRPr="002866FE">
        <w:rPr>
          <w:rFonts w:eastAsia="Calibri" w:cs="Arial"/>
          <w:color w:val="111111"/>
          <w:lang w:val="en-US"/>
        </w:rPr>
        <w:t>of</w:t>
      </w:r>
      <w:r w:rsidRPr="002866FE">
        <w:rPr>
          <w:rFonts w:eastAsia="Calibri" w:cs="Arial"/>
          <w:color w:val="111111"/>
          <w:spacing w:val="16"/>
          <w:lang w:val="en-US"/>
        </w:rPr>
        <w:t xml:space="preserve"> </w:t>
      </w:r>
      <w:r w:rsidRPr="002866FE">
        <w:rPr>
          <w:rFonts w:eastAsia="Calibri" w:cs="Arial"/>
          <w:color w:val="111111"/>
          <w:lang w:val="en-US"/>
        </w:rPr>
        <w:t>set</w:t>
      </w:r>
      <w:r w:rsidRPr="002866FE">
        <w:rPr>
          <w:rFonts w:eastAsia="Calibri" w:cs="Arial"/>
          <w:color w:val="111111"/>
          <w:spacing w:val="22"/>
          <w:lang w:val="en-US"/>
        </w:rPr>
        <w:t xml:space="preserve"> </w:t>
      </w:r>
      <w:r w:rsidRPr="002866FE">
        <w:rPr>
          <w:rFonts w:eastAsia="Calibri" w:cs="Arial"/>
          <w:color w:val="111111"/>
          <w:lang w:val="en-US"/>
        </w:rPr>
        <w:t>down</w:t>
      </w:r>
      <w:r w:rsidRPr="002866FE">
        <w:rPr>
          <w:rFonts w:eastAsia="Calibri" w:cs="Arial"/>
          <w:color w:val="111111"/>
          <w:spacing w:val="29"/>
          <w:lang w:val="en-US"/>
        </w:rPr>
        <w:t xml:space="preserve"> </w:t>
      </w:r>
      <w:r w:rsidRPr="002866FE">
        <w:rPr>
          <w:rFonts w:eastAsia="Calibri" w:cs="Arial"/>
          <w:color w:val="111111"/>
          <w:lang w:val="en-US"/>
        </w:rPr>
        <w:t>did</w:t>
      </w:r>
      <w:r w:rsidRPr="002866FE">
        <w:rPr>
          <w:rFonts w:eastAsia="Calibri" w:cs="Arial"/>
          <w:color w:val="111111"/>
          <w:spacing w:val="27"/>
          <w:lang w:val="en-US"/>
        </w:rPr>
        <w:t xml:space="preserve"> </w:t>
      </w:r>
      <w:r w:rsidRPr="002866FE">
        <w:rPr>
          <w:rFonts w:eastAsia="Calibri" w:cs="Arial"/>
          <w:color w:val="111111"/>
          <w:lang w:val="en-US"/>
        </w:rPr>
        <w:t>not</w:t>
      </w:r>
      <w:r w:rsidRPr="002866FE">
        <w:rPr>
          <w:rFonts w:eastAsia="Calibri" w:cs="Arial"/>
          <w:color w:val="111111"/>
          <w:spacing w:val="8"/>
          <w:lang w:val="en-US"/>
        </w:rPr>
        <w:t xml:space="preserve"> </w:t>
      </w:r>
      <w:r w:rsidRPr="002866FE">
        <w:rPr>
          <w:rFonts w:eastAsia="Calibri" w:cs="Arial"/>
          <w:color w:val="111111"/>
          <w:lang w:val="en-US"/>
        </w:rPr>
        <w:t>come</w:t>
      </w:r>
      <w:r w:rsidRPr="002866FE">
        <w:rPr>
          <w:rFonts w:eastAsia="Calibri" w:cs="Arial"/>
          <w:color w:val="111111"/>
          <w:spacing w:val="8"/>
          <w:lang w:val="en-US"/>
        </w:rPr>
        <w:t xml:space="preserve"> </w:t>
      </w:r>
      <w:r w:rsidRPr="002866FE">
        <w:rPr>
          <w:rFonts w:eastAsia="Calibri" w:cs="Arial"/>
          <w:color w:val="111111"/>
          <w:lang w:val="en-US"/>
        </w:rPr>
        <w:t>to</w:t>
      </w:r>
      <w:r w:rsidRPr="002866FE">
        <w:rPr>
          <w:rFonts w:eastAsia="Calibri" w:cs="Arial"/>
          <w:color w:val="111111"/>
          <w:spacing w:val="17"/>
          <w:lang w:val="en-US"/>
        </w:rPr>
        <w:t xml:space="preserve"> </w:t>
      </w:r>
      <w:r w:rsidRPr="002866FE">
        <w:rPr>
          <w:rFonts w:eastAsia="Calibri" w:cs="Arial"/>
          <w:color w:val="111111"/>
          <w:lang w:val="en-US"/>
        </w:rPr>
        <w:t>the applicants'</w:t>
      </w:r>
      <w:r w:rsidRPr="002866FE">
        <w:rPr>
          <w:rFonts w:eastAsia="Calibri" w:cs="Arial"/>
          <w:color w:val="111111"/>
          <w:spacing w:val="31"/>
          <w:lang w:val="en-US"/>
        </w:rPr>
        <w:t xml:space="preserve"> </w:t>
      </w:r>
      <w:r w:rsidRPr="002866FE">
        <w:rPr>
          <w:rFonts w:eastAsia="Calibri" w:cs="Arial"/>
          <w:color w:val="111111"/>
          <w:lang w:val="en-US"/>
        </w:rPr>
        <w:t>attention</w:t>
      </w:r>
      <w:r w:rsidRPr="002866FE">
        <w:rPr>
          <w:rFonts w:eastAsia="Calibri" w:cs="Arial"/>
          <w:color w:val="111111"/>
          <w:spacing w:val="13"/>
          <w:lang w:val="en-US"/>
        </w:rPr>
        <w:t xml:space="preserve"> </w:t>
      </w:r>
      <w:r w:rsidRPr="002866FE">
        <w:rPr>
          <w:rFonts w:eastAsia="Calibri" w:cs="Arial"/>
          <w:color w:val="111111"/>
          <w:lang w:val="en-US"/>
        </w:rPr>
        <w:t>for</w:t>
      </w:r>
      <w:r w:rsidRPr="002866FE">
        <w:rPr>
          <w:rFonts w:eastAsia="Calibri" w:cs="Arial"/>
          <w:color w:val="111111"/>
          <w:spacing w:val="15"/>
          <w:lang w:val="en-US"/>
        </w:rPr>
        <w:t xml:space="preserve"> </w:t>
      </w:r>
      <w:r w:rsidRPr="002866FE">
        <w:rPr>
          <w:rFonts w:eastAsia="Calibri" w:cs="Arial"/>
          <w:color w:val="111111"/>
          <w:lang w:val="en-US"/>
        </w:rPr>
        <w:t>the</w:t>
      </w:r>
      <w:r w:rsidRPr="002866FE">
        <w:rPr>
          <w:rFonts w:eastAsia="Calibri" w:cs="Arial"/>
          <w:color w:val="111111"/>
          <w:spacing w:val="24"/>
          <w:lang w:val="en-US"/>
        </w:rPr>
        <w:t xml:space="preserve"> </w:t>
      </w:r>
      <w:r w:rsidRPr="002866FE">
        <w:rPr>
          <w:rFonts w:eastAsia="Calibri" w:cs="Arial"/>
          <w:color w:val="111111"/>
          <w:lang w:val="en-US"/>
        </w:rPr>
        <w:t>same</w:t>
      </w:r>
      <w:r w:rsidRPr="002866FE">
        <w:rPr>
          <w:rFonts w:eastAsia="Calibri" w:cs="Arial"/>
          <w:color w:val="111111"/>
          <w:spacing w:val="23"/>
          <w:lang w:val="en-US"/>
        </w:rPr>
        <w:t xml:space="preserve"> </w:t>
      </w:r>
      <w:r w:rsidRPr="002866FE">
        <w:rPr>
          <w:rFonts w:eastAsia="Calibri" w:cs="Arial"/>
          <w:color w:val="282628"/>
          <w:lang w:val="en-US"/>
        </w:rPr>
        <w:t xml:space="preserve">reason and </w:t>
      </w:r>
      <w:r w:rsidRPr="002866FE">
        <w:rPr>
          <w:rFonts w:cs="Arial"/>
          <w:color w:val="232323"/>
        </w:rPr>
        <w:t>ought</w:t>
      </w:r>
      <w:r w:rsidRPr="002866FE">
        <w:rPr>
          <w:rFonts w:cs="Arial"/>
          <w:color w:val="232323"/>
          <w:spacing w:val="55"/>
        </w:rPr>
        <w:t xml:space="preserve"> </w:t>
      </w:r>
      <w:r w:rsidRPr="002866FE">
        <w:rPr>
          <w:rFonts w:cs="Arial"/>
          <w:color w:val="111111"/>
        </w:rPr>
        <w:t>to</w:t>
      </w:r>
      <w:r w:rsidRPr="002866FE">
        <w:rPr>
          <w:rFonts w:cs="Arial"/>
          <w:color w:val="111111"/>
          <w:spacing w:val="4"/>
        </w:rPr>
        <w:t xml:space="preserve"> </w:t>
      </w:r>
      <w:r w:rsidRPr="002866FE">
        <w:rPr>
          <w:rFonts w:cs="Arial"/>
          <w:color w:val="111111"/>
        </w:rPr>
        <w:t>have</w:t>
      </w:r>
      <w:r w:rsidRPr="002866FE">
        <w:rPr>
          <w:rFonts w:cs="Arial"/>
          <w:color w:val="111111"/>
          <w:spacing w:val="51"/>
        </w:rPr>
        <w:t xml:space="preserve"> </w:t>
      </w:r>
      <w:r w:rsidRPr="002866FE">
        <w:rPr>
          <w:rFonts w:cs="Arial"/>
          <w:color w:val="232323"/>
        </w:rPr>
        <w:t>app</w:t>
      </w:r>
      <w:r w:rsidRPr="002866FE">
        <w:rPr>
          <w:rFonts w:cs="Arial"/>
          <w:color w:val="232323"/>
          <w:spacing w:val="5"/>
        </w:rPr>
        <w:t>l</w:t>
      </w:r>
      <w:r w:rsidRPr="002866FE">
        <w:rPr>
          <w:rFonts w:cs="Arial"/>
          <w:color w:val="232323"/>
          <w:spacing w:val="-21"/>
        </w:rPr>
        <w:t>i</w:t>
      </w:r>
      <w:r w:rsidRPr="002866FE">
        <w:rPr>
          <w:rFonts w:cs="Arial"/>
          <w:color w:val="232323"/>
        </w:rPr>
        <w:t>ed</w:t>
      </w:r>
      <w:r w:rsidRPr="002866FE">
        <w:rPr>
          <w:rFonts w:cs="Arial"/>
          <w:color w:val="232323"/>
          <w:spacing w:val="38"/>
        </w:rPr>
        <w:t xml:space="preserve"> </w:t>
      </w:r>
      <w:r w:rsidRPr="002866FE">
        <w:rPr>
          <w:rFonts w:cs="Arial"/>
          <w:color w:val="232323"/>
        </w:rPr>
        <w:t>these facts</w:t>
      </w:r>
      <w:r w:rsidRPr="002866FE">
        <w:rPr>
          <w:rFonts w:cs="Arial"/>
          <w:color w:val="232323"/>
          <w:spacing w:val="47"/>
        </w:rPr>
        <w:t xml:space="preserve"> </w:t>
      </w:r>
      <w:r w:rsidRPr="002866FE">
        <w:rPr>
          <w:rFonts w:cs="Arial"/>
          <w:color w:val="111111"/>
          <w:spacing w:val="-16"/>
        </w:rPr>
        <w:t>i</w:t>
      </w:r>
      <w:r w:rsidRPr="002866FE">
        <w:rPr>
          <w:rFonts w:cs="Arial"/>
          <w:color w:val="111111"/>
        </w:rPr>
        <w:t>n</w:t>
      </w:r>
      <w:r w:rsidRPr="002866FE">
        <w:rPr>
          <w:rFonts w:cs="Arial"/>
          <w:color w:val="111111"/>
          <w:w w:val="109"/>
        </w:rPr>
        <w:t xml:space="preserve"> </w:t>
      </w:r>
      <w:r w:rsidRPr="002866FE">
        <w:rPr>
          <w:rFonts w:cs="Arial"/>
          <w:color w:val="232323"/>
        </w:rPr>
        <w:t>coming</w:t>
      </w:r>
      <w:r w:rsidRPr="002866FE">
        <w:rPr>
          <w:rFonts w:cs="Arial"/>
          <w:color w:val="232323"/>
          <w:spacing w:val="7"/>
        </w:rPr>
        <w:t xml:space="preserve"> </w:t>
      </w:r>
      <w:r w:rsidRPr="002866FE">
        <w:rPr>
          <w:rFonts w:cs="Arial"/>
          <w:color w:val="111111"/>
        </w:rPr>
        <w:t>to</w:t>
      </w:r>
      <w:r w:rsidRPr="002866FE">
        <w:rPr>
          <w:rFonts w:cs="Arial"/>
          <w:color w:val="111111"/>
          <w:spacing w:val="3"/>
        </w:rPr>
        <w:t xml:space="preserve"> </w:t>
      </w:r>
      <w:r w:rsidRPr="002866FE">
        <w:rPr>
          <w:rFonts w:cs="Arial"/>
          <w:color w:val="232323"/>
        </w:rPr>
        <w:t>a</w:t>
      </w:r>
      <w:r w:rsidRPr="002866FE">
        <w:rPr>
          <w:rFonts w:cs="Arial"/>
          <w:color w:val="232323"/>
          <w:spacing w:val="2"/>
        </w:rPr>
        <w:t xml:space="preserve"> </w:t>
      </w:r>
      <w:r w:rsidRPr="002866FE">
        <w:rPr>
          <w:rFonts w:cs="Arial"/>
          <w:color w:val="232323"/>
        </w:rPr>
        <w:t>determination</w:t>
      </w:r>
      <w:r w:rsidRPr="002866FE">
        <w:rPr>
          <w:rFonts w:cs="Arial"/>
          <w:color w:val="232323"/>
          <w:spacing w:val="29"/>
        </w:rPr>
        <w:t xml:space="preserve"> </w:t>
      </w:r>
      <w:r w:rsidRPr="002866FE">
        <w:rPr>
          <w:rFonts w:cs="Arial"/>
          <w:color w:val="232323"/>
        </w:rPr>
        <w:t>of</w:t>
      </w:r>
      <w:r w:rsidRPr="002866FE">
        <w:rPr>
          <w:rFonts w:cs="Arial"/>
          <w:color w:val="232323"/>
          <w:spacing w:val="8"/>
        </w:rPr>
        <w:t xml:space="preserve"> </w:t>
      </w:r>
      <w:r w:rsidRPr="002866FE">
        <w:rPr>
          <w:rFonts w:cs="Arial"/>
          <w:color w:val="111111"/>
        </w:rPr>
        <w:t>the</w:t>
      </w:r>
      <w:r w:rsidRPr="002866FE">
        <w:rPr>
          <w:rFonts w:cs="Arial"/>
          <w:color w:val="111111"/>
          <w:spacing w:val="6"/>
        </w:rPr>
        <w:t xml:space="preserve"> </w:t>
      </w:r>
      <w:r w:rsidRPr="002866FE">
        <w:rPr>
          <w:rFonts w:cs="Arial"/>
          <w:color w:val="111111"/>
        </w:rPr>
        <w:t>test</w:t>
      </w:r>
      <w:r w:rsidRPr="002866FE">
        <w:rPr>
          <w:rFonts w:cs="Arial"/>
          <w:color w:val="111111"/>
          <w:spacing w:val="7"/>
        </w:rPr>
        <w:t xml:space="preserve"> </w:t>
      </w:r>
      <w:r w:rsidRPr="002866FE">
        <w:rPr>
          <w:rFonts w:cs="Arial"/>
          <w:color w:val="232323"/>
        </w:rPr>
        <w:t>for</w:t>
      </w:r>
      <w:r w:rsidRPr="002866FE">
        <w:rPr>
          <w:rFonts w:cs="Arial"/>
          <w:color w:val="232323"/>
          <w:spacing w:val="27"/>
        </w:rPr>
        <w:t xml:space="preserve"> </w:t>
      </w:r>
      <w:r w:rsidRPr="002866FE">
        <w:rPr>
          <w:rFonts w:cs="Arial"/>
          <w:color w:val="111111"/>
        </w:rPr>
        <w:t>rescission.</w:t>
      </w:r>
    </w:p>
    <w:p w14:paraId="1BBB6516" w14:textId="60A6FE5A" w:rsidR="00E56F16" w:rsidRPr="002866FE" w:rsidRDefault="002866FE" w:rsidP="002866FE">
      <w:pPr>
        <w:pStyle w:val="ListParagraph"/>
        <w:numPr>
          <w:ilvl w:val="0"/>
          <w:numId w:val="20"/>
        </w:numPr>
        <w:spacing w:after="120" w:line="360" w:lineRule="auto"/>
        <w:ind w:left="567" w:hanging="567"/>
        <w:jc w:val="both"/>
        <w:rPr>
          <w:color w:val="000000"/>
        </w:rPr>
      </w:pPr>
      <w:r>
        <w:rPr>
          <w:rFonts w:cs="Arial"/>
        </w:rPr>
        <w:t xml:space="preserve">The court </w:t>
      </w:r>
      <w:r w:rsidRPr="002866FE">
        <w:rPr>
          <w:rFonts w:cs="Arial"/>
          <w:i/>
        </w:rPr>
        <w:t>a quo</w:t>
      </w:r>
      <w:r>
        <w:rPr>
          <w:rFonts w:cs="Arial"/>
        </w:rPr>
        <w:t xml:space="preserve"> found that </w:t>
      </w:r>
      <w:r w:rsidR="00E56F16" w:rsidRPr="002866FE">
        <w:rPr>
          <w:color w:val="282628"/>
        </w:rPr>
        <w:t>service</w:t>
      </w:r>
      <w:r w:rsidR="00E56F16" w:rsidRPr="002866FE">
        <w:rPr>
          <w:color w:val="282628"/>
          <w:spacing w:val="57"/>
        </w:rPr>
        <w:t xml:space="preserve"> </w:t>
      </w:r>
      <w:r w:rsidR="00E56F16" w:rsidRPr="002866FE">
        <w:rPr>
          <w:color w:val="111111"/>
        </w:rPr>
        <w:t>at</w:t>
      </w:r>
      <w:r w:rsidR="00E56F16" w:rsidRPr="002866FE">
        <w:rPr>
          <w:color w:val="111111"/>
          <w:spacing w:val="36"/>
        </w:rPr>
        <w:t xml:space="preserve"> </w:t>
      </w:r>
      <w:r w:rsidR="00E56F16" w:rsidRPr="002866FE">
        <w:rPr>
          <w:color w:val="111111"/>
        </w:rPr>
        <w:t>the</w:t>
      </w:r>
      <w:r w:rsidR="00E56F16" w:rsidRPr="002866FE">
        <w:rPr>
          <w:i/>
          <w:color w:val="111111"/>
        </w:rPr>
        <w:t xml:space="preserve"> domicilium</w:t>
      </w:r>
      <w:r w:rsidR="00E56F16" w:rsidRPr="002866FE">
        <w:rPr>
          <w:i/>
          <w:color w:val="111111"/>
          <w:spacing w:val="25"/>
        </w:rPr>
        <w:t xml:space="preserve"> </w:t>
      </w:r>
      <w:r w:rsidR="00E56F16" w:rsidRPr="002866FE">
        <w:rPr>
          <w:color w:val="111111"/>
        </w:rPr>
        <w:t>address</w:t>
      </w:r>
      <w:r w:rsidR="00E56F16" w:rsidRPr="002866FE">
        <w:rPr>
          <w:color w:val="111111"/>
          <w:spacing w:val="9"/>
        </w:rPr>
        <w:t xml:space="preserve"> </w:t>
      </w:r>
      <w:r w:rsidR="00E56F16" w:rsidRPr="002866FE">
        <w:rPr>
          <w:color w:val="111111"/>
        </w:rPr>
        <w:t>was</w:t>
      </w:r>
      <w:r w:rsidR="00E56F16" w:rsidRPr="002866FE">
        <w:rPr>
          <w:color w:val="111111"/>
          <w:spacing w:val="14"/>
        </w:rPr>
        <w:t xml:space="preserve"> </w:t>
      </w:r>
      <w:r w:rsidR="00E56F16" w:rsidRPr="002866FE">
        <w:rPr>
          <w:color w:val="282628"/>
        </w:rPr>
        <w:t>effective,</w:t>
      </w:r>
      <w:r w:rsidR="00E56F16" w:rsidRPr="002866FE">
        <w:rPr>
          <w:color w:val="282628"/>
          <w:spacing w:val="24"/>
        </w:rPr>
        <w:t xml:space="preserve"> </w:t>
      </w:r>
      <w:r w:rsidR="00E56F16" w:rsidRPr="002866FE">
        <w:rPr>
          <w:color w:val="111111"/>
        </w:rPr>
        <w:t>despite</w:t>
      </w:r>
      <w:r w:rsidR="00E56F16" w:rsidRPr="002866FE">
        <w:rPr>
          <w:color w:val="111111"/>
          <w:spacing w:val="31"/>
        </w:rPr>
        <w:t xml:space="preserve"> </w:t>
      </w:r>
      <w:r w:rsidR="00E56F16" w:rsidRPr="002866FE">
        <w:rPr>
          <w:color w:val="111111"/>
        </w:rPr>
        <w:t>having</w:t>
      </w:r>
      <w:r w:rsidR="00E56F16" w:rsidRPr="002866FE">
        <w:rPr>
          <w:color w:val="111111"/>
          <w:spacing w:val="9"/>
        </w:rPr>
        <w:t xml:space="preserve"> </w:t>
      </w:r>
      <w:r w:rsidR="00E56F16" w:rsidRPr="002866FE">
        <w:rPr>
          <w:color w:val="111111"/>
        </w:rPr>
        <w:t>found</w:t>
      </w:r>
      <w:r w:rsidR="00E56F16" w:rsidRPr="002866FE">
        <w:rPr>
          <w:color w:val="111111"/>
          <w:spacing w:val="16"/>
        </w:rPr>
        <w:t xml:space="preserve"> </w:t>
      </w:r>
      <w:r w:rsidR="00E56F16" w:rsidRPr="002866FE">
        <w:rPr>
          <w:color w:val="111111"/>
        </w:rPr>
        <w:t>that</w:t>
      </w:r>
      <w:r w:rsidR="00E56F16" w:rsidRPr="002866FE">
        <w:rPr>
          <w:color w:val="111111"/>
          <w:spacing w:val="18"/>
        </w:rPr>
        <w:t xml:space="preserve"> </w:t>
      </w:r>
      <w:r w:rsidR="00E56F16" w:rsidRPr="002866FE">
        <w:rPr>
          <w:color w:val="282628"/>
        </w:rPr>
        <w:t>the</w:t>
      </w:r>
      <w:r w:rsidR="00E56F16" w:rsidRPr="002866FE">
        <w:rPr>
          <w:color w:val="282628"/>
          <w:spacing w:val="10"/>
        </w:rPr>
        <w:t xml:space="preserve"> </w:t>
      </w:r>
      <w:r w:rsidR="00E56F16" w:rsidRPr="002866FE">
        <w:rPr>
          <w:color w:val="111111"/>
        </w:rPr>
        <w:t>applicants had</w:t>
      </w:r>
      <w:r w:rsidR="00E56F16" w:rsidRPr="002866FE">
        <w:rPr>
          <w:color w:val="111111"/>
          <w:spacing w:val="3"/>
        </w:rPr>
        <w:t xml:space="preserve"> </w:t>
      </w:r>
      <w:r w:rsidR="00E56F16" w:rsidRPr="002866FE">
        <w:rPr>
          <w:color w:val="111111"/>
        </w:rPr>
        <w:t>vacated</w:t>
      </w:r>
      <w:r w:rsidR="00E56F16" w:rsidRPr="002866FE">
        <w:rPr>
          <w:color w:val="111111"/>
          <w:spacing w:val="14"/>
        </w:rPr>
        <w:t xml:space="preserve"> </w:t>
      </w:r>
      <w:r w:rsidR="00E56F16" w:rsidRPr="002866FE">
        <w:rPr>
          <w:color w:val="111111"/>
        </w:rPr>
        <w:t>that</w:t>
      </w:r>
      <w:r w:rsidR="00E56F16" w:rsidRPr="002866FE">
        <w:rPr>
          <w:color w:val="111111"/>
          <w:spacing w:val="24"/>
        </w:rPr>
        <w:t xml:space="preserve"> </w:t>
      </w:r>
      <w:r w:rsidR="00E56F16" w:rsidRPr="002866FE">
        <w:rPr>
          <w:color w:val="111111"/>
        </w:rPr>
        <w:t>address</w:t>
      </w:r>
      <w:r w:rsidR="00E56F16" w:rsidRPr="002866FE">
        <w:rPr>
          <w:color w:val="111111"/>
          <w:spacing w:val="26"/>
        </w:rPr>
        <w:t xml:space="preserve"> </w:t>
      </w:r>
      <w:r w:rsidR="00E56F16" w:rsidRPr="002866FE">
        <w:rPr>
          <w:color w:val="111111"/>
        </w:rPr>
        <w:t>and</w:t>
      </w:r>
      <w:r w:rsidR="00E56F16">
        <w:t xml:space="preserve"> </w:t>
      </w:r>
      <w:r w:rsidR="00E56F16" w:rsidRPr="002866FE">
        <w:rPr>
          <w:color w:val="111111"/>
        </w:rPr>
        <w:t>did</w:t>
      </w:r>
      <w:r w:rsidR="00E56F16" w:rsidRPr="002866FE">
        <w:rPr>
          <w:color w:val="111111"/>
          <w:spacing w:val="22"/>
        </w:rPr>
        <w:t xml:space="preserve"> </w:t>
      </w:r>
      <w:r w:rsidR="00E56F16" w:rsidRPr="002866FE">
        <w:rPr>
          <w:color w:val="111111"/>
        </w:rPr>
        <w:t>not</w:t>
      </w:r>
      <w:r w:rsidR="00E56F16" w:rsidRPr="002866FE">
        <w:rPr>
          <w:color w:val="111111"/>
          <w:spacing w:val="11"/>
        </w:rPr>
        <w:t xml:space="preserve"> </w:t>
      </w:r>
      <w:r w:rsidR="00E56F16" w:rsidRPr="002866FE">
        <w:rPr>
          <w:color w:val="111111"/>
        </w:rPr>
        <w:t>become</w:t>
      </w:r>
      <w:r w:rsidR="00E56F16" w:rsidRPr="002866FE">
        <w:rPr>
          <w:color w:val="111111"/>
          <w:spacing w:val="14"/>
        </w:rPr>
        <w:t xml:space="preserve"> </w:t>
      </w:r>
      <w:r w:rsidR="00E56F16" w:rsidRPr="002866FE">
        <w:rPr>
          <w:color w:val="111111"/>
        </w:rPr>
        <w:t>aware</w:t>
      </w:r>
      <w:r w:rsidR="00E56F16" w:rsidRPr="002866FE">
        <w:rPr>
          <w:color w:val="111111"/>
          <w:spacing w:val="7"/>
        </w:rPr>
        <w:t xml:space="preserve"> </w:t>
      </w:r>
      <w:r w:rsidR="00E56F16" w:rsidRPr="002866FE">
        <w:rPr>
          <w:color w:val="111111"/>
        </w:rPr>
        <w:t>of</w:t>
      </w:r>
      <w:r w:rsidR="00E56F16" w:rsidRPr="002866FE">
        <w:rPr>
          <w:color w:val="111111"/>
          <w:spacing w:val="11"/>
        </w:rPr>
        <w:t xml:space="preserve"> </w:t>
      </w:r>
      <w:r w:rsidR="00E56F16" w:rsidRPr="002866FE">
        <w:rPr>
          <w:color w:val="111111"/>
        </w:rPr>
        <w:t>the</w:t>
      </w:r>
      <w:r w:rsidR="00E56F16" w:rsidRPr="002866FE">
        <w:rPr>
          <w:color w:val="111111"/>
          <w:spacing w:val="14"/>
        </w:rPr>
        <w:t xml:space="preserve"> </w:t>
      </w:r>
      <w:r w:rsidR="00E56F16" w:rsidRPr="002866FE">
        <w:rPr>
          <w:color w:val="111111"/>
        </w:rPr>
        <w:t>documents</w:t>
      </w:r>
      <w:r w:rsidR="00E56F16" w:rsidRPr="002866FE">
        <w:rPr>
          <w:color w:val="111111"/>
          <w:spacing w:val="26"/>
        </w:rPr>
        <w:t xml:space="preserve"> </w:t>
      </w:r>
      <w:r w:rsidR="00E56F16" w:rsidRPr="002866FE">
        <w:rPr>
          <w:color w:val="111111"/>
        </w:rPr>
        <w:t>served</w:t>
      </w:r>
      <w:r w:rsidR="00E56F16" w:rsidRPr="002866FE">
        <w:rPr>
          <w:color w:val="111111"/>
          <w:spacing w:val="22"/>
        </w:rPr>
        <w:t xml:space="preserve"> </w:t>
      </w:r>
      <w:r w:rsidR="00E56F16" w:rsidRPr="002866FE">
        <w:rPr>
          <w:color w:val="282628"/>
        </w:rPr>
        <w:t>at</w:t>
      </w:r>
      <w:r w:rsidR="00E56F16" w:rsidRPr="002866FE">
        <w:rPr>
          <w:color w:val="282628"/>
          <w:spacing w:val="6"/>
        </w:rPr>
        <w:t xml:space="preserve"> </w:t>
      </w:r>
      <w:r w:rsidR="00E56F16" w:rsidRPr="002866FE">
        <w:rPr>
          <w:color w:val="111111"/>
        </w:rPr>
        <w:t>that</w:t>
      </w:r>
      <w:r w:rsidR="00E56F16" w:rsidRPr="002866FE">
        <w:rPr>
          <w:color w:val="111111"/>
          <w:spacing w:val="15"/>
        </w:rPr>
        <w:t xml:space="preserve"> </w:t>
      </w:r>
      <w:r w:rsidR="00E56F16" w:rsidRPr="002866FE">
        <w:rPr>
          <w:color w:val="282628"/>
        </w:rPr>
        <w:t>addres</w:t>
      </w:r>
      <w:r w:rsidR="00E56F16" w:rsidRPr="002866FE">
        <w:rPr>
          <w:color w:val="282628"/>
          <w:spacing w:val="22"/>
        </w:rPr>
        <w:t>s</w:t>
      </w:r>
      <w:r w:rsidR="00E56F16" w:rsidRPr="002866FE">
        <w:rPr>
          <w:color w:val="424244"/>
        </w:rPr>
        <w:t xml:space="preserve">. </w:t>
      </w:r>
      <w:r w:rsidR="00E56F16" w:rsidRPr="002866FE">
        <w:rPr>
          <w:color w:val="0E0E0E"/>
        </w:rPr>
        <w:t xml:space="preserve">The </w:t>
      </w:r>
      <w:r w:rsidR="00E56F16" w:rsidRPr="002866FE">
        <w:rPr>
          <w:color w:val="0E0E0E"/>
          <w:spacing w:val="1"/>
        </w:rPr>
        <w:t>court</w:t>
      </w:r>
      <w:r w:rsidR="00E56F16" w:rsidRPr="002866FE">
        <w:rPr>
          <w:color w:val="0E0E0E"/>
          <w:spacing w:val="62"/>
        </w:rPr>
        <w:t xml:space="preserve"> </w:t>
      </w:r>
      <w:r w:rsidR="00E56F16" w:rsidRPr="002866FE">
        <w:rPr>
          <w:color w:val="0E0E0E"/>
        </w:rPr>
        <w:t>ought</w:t>
      </w:r>
      <w:r w:rsidR="00E56F16" w:rsidRPr="002866FE">
        <w:rPr>
          <w:color w:val="0E0E0E"/>
          <w:spacing w:val="49"/>
        </w:rPr>
        <w:t xml:space="preserve"> </w:t>
      </w:r>
      <w:r w:rsidR="00E56F16" w:rsidRPr="002866FE">
        <w:rPr>
          <w:color w:val="1F1F1F"/>
        </w:rPr>
        <w:t xml:space="preserve">to </w:t>
      </w:r>
      <w:r w:rsidR="00E56F16" w:rsidRPr="002866FE">
        <w:rPr>
          <w:color w:val="1F1F1F"/>
          <w:spacing w:val="3"/>
        </w:rPr>
        <w:t>have</w:t>
      </w:r>
      <w:r w:rsidR="00E56F16" w:rsidRPr="002866FE">
        <w:rPr>
          <w:color w:val="1F1F1F"/>
          <w:spacing w:val="33"/>
        </w:rPr>
        <w:t xml:space="preserve"> </w:t>
      </w:r>
      <w:r w:rsidR="00E56F16" w:rsidRPr="002866FE">
        <w:rPr>
          <w:color w:val="1F1F1F"/>
        </w:rPr>
        <w:t xml:space="preserve">found that, </w:t>
      </w:r>
      <w:r w:rsidR="00E56F16" w:rsidRPr="002866FE">
        <w:rPr>
          <w:color w:val="0E0E0E"/>
        </w:rPr>
        <w:t>notwith</w:t>
      </w:r>
      <w:r w:rsidR="00E56F16" w:rsidRPr="002866FE">
        <w:rPr>
          <w:color w:val="0E0E0E"/>
          <w:spacing w:val="4"/>
        </w:rPr>
        <w:t>s</w:t>
      </w:r>
      <w:r w:rsidR="00E56F16" w:rsidRPr="002866FE">
        <w:rPr>
          <w:color w:val="363636"/>
        </w:rPr>
        <w:t>tand</w:t>
      </w:r>
      <w:r w:rsidR="00E56F16" w:rsidRPr="002866FE">
        <w:rPr>
          <w:color w:val="363636"/>
          <w:spacing w:val="13"/>
        </w:rPr>
        <w:t>i</w:t>
      </w:r>
      <w:r w:rsidR="00E56F16" w:rsidRPr="002866FE">
        <w:rPr>
          <w:color w:val="363636"/>
        </w:rPr>
        <w:t>ng</w:t>
      </w:r>
      <w:r w:rsidR="00E56F16" w:rsidRPr="002866FE">
        <w:rPr>
          <w:color w:val="363636"/>
          <w:spacing w:val="39"/>
        </w:rPr>
        <w:t xml:space="preserve"> </w:t>
      </w:r>
      <w:r w:rsidR="00E56F16" w:rsidRPr="002866FE">
        <w:rPr>
          <w:color w:val="1F1F1F"/>
        </w:rPr>
        <w:t>the</w:t>
      </w:r>
      <w:r w:rsidR="00E56F16" w:rsidRPr="002866FE">
        <w:rPr>
          <w:color w:val="1F1F1F"/>
          <w:spacing w:val="60"/>
        </w:rPr>
        <w:t xml:space="preserve"> </w:t>
      </w:r>
      <w:r w:rsidR="00E56F16" w:rsidRPr="002866FE">
        <w:rPr>
          <w:i/>
          <w:color w:val="1F1F1F"/>
        </w:rPr>
        <w:t xml:space="preserve">domicilium </w:t>
      </w:r>
      <w:r w:rsidR="00E56F16" w:rsidRPr="002866FE">
        <w:rPr>
          <w:color w:val="363636"/>
          <w:spacing w:val="3"/>
        </w:rPr>
        <w:t>c</w:t>
      </w:r>
      <w:r w:rsidR="00E56F16" w:rsidRPr="002866FE">
        <w:rPr>
          <w:color w:val="0E0E0E"/>
          <w:spacing w:val="-21"/>
        </w:rPr>
        <w:t>l</w:t>
      </w:r>
      <w:r w:rsidR="00E56F16" w:rsidRPr="002866FE">
        <w:rPr>
          <w:color w:val="0E0E0E"/>
        </w:rPr>
        <w:t>ause</w:t>
      </w:r>
      <w:r w:rsidR="00E56F16" w:rsidRPr="002866FE">
        <w:rPr>
          <w:color w:val="0E0E0E"/>
          <w:spacing w:val="31"/>
        </w:rPr>
        <w:t xml:space="preserve"> </w:t>
      </w:r>
      <w:r w:rsidR="00E56F16" w:rsidRPr="002866FE">
        <w:rPr>
          <w:color w:val="0E0E0E"/>
          <w:spacing w:val="-8"/>
        </w:rPr>
        <w:t>i</w:t>
      </w:r>
      <w:r w:rsidR="00E56F16" w:rsidRPr="002866FE">
        <w:rPr>
          <w:color w:val="0E0E0E"/>
          <w:spacing w:val="-11"/>
        </w:rPr>
        <w:t>n</w:t>
      </w:r>
      <w:r w:rsidR="00E56F16" w:rsidRPr="002866FE">
        <w:rPr>
          <w:color w:val="0E0E0E"/>
          <w:spacing w:val="-6"/>
        </w:rPr>
        <w:t xml:space="preserve"> </w:t>
      </w:r>
      <w:r w:rsidR="00E56F16" w:rsidRPr="002866FE">
        <w:rPr>
          <w:color w:val="0E0E0E"/>
        </w:rPr>
        <w:t>the</w:t>
      </w:r>
      <w:r w:rsidR="00E56F16" w:rsidRPr="002866FE">
        <w:rPr>
          <w:color w:val="0E0E0E"/>
          <w:spacing w:val="22"/>
        </w:rPr>
        <w:t xml:space="preserve"> </w:t>
      </w:r>
      <w:r w:rsidR="00E56F16" w:rsidRPr="002866FE">
        <w:rPr>
          <w:color w:val="0E0E0E"/>
        </w:rPr>
        <w:t>agreemen</w:t>
      </w:r>
      <w:r w:rsidR="00E56F16" w:rsidRPr="002866FE">
        <w:rPr>
          <w:color w:val="0E0E0E"/>
          <w:spacing w:val="26"/>
        </w:rPr>
        <w:t>t</w:t>
      </w:r>
      <w:r w:rsidR="00E56F16" w:rsidRPr="002866FE">
        <w:rPr>
          <w:color w:val="4D4D4D"/>
        </w:rPr>
        <w:t>,</w:t>
      </w:r>
      <w:r w:rsidR="00E56F16" w:rsidRPr="002866FE">
        <w:rPr>
          <w:color w:val="4D4D4D"/>
          <w:spacing w:val="4"/>
        </w:rPr>
        <w:t xml:space="preserve"> </w:t>
      </w:r>
      <w:r w:rsidR="00E56F16" w:rsidRPr="002866FE">
        <w:rPr>
          <w:color w:val="1F1F1F"/>
        </w:rPr>
        <w:t>service</w:t>
      </w:r>
      <w:r w:rsidR="00E56F16" w:rsidRPr="002866FE">
        <w:rPr>
          <w:color w:val="1F1F1F"/>
          <w:spacing w:val="39"/>
        </w:rPr>
        <w:t xml:space="preserve"> </w:t>
      </w:r>
      <w:r w:rsidR="00E56F16" w:rsidRPr="002866FE">
        <w:rPr>
          <w:color w:val="1F1F1F"/>
        </w:rPr>
        <w:t>at</w:t>
      </w:r>
      <w:r w:rsidR="00E56F16" w:rsidRPr="002866FE">
        <w:rPr>
          <w:color w:val="1F1F1F"/>
          <w:spacing w:val="16"/>
        </w:rPr>
        <w:t xml:space="preserve"> </w:t>
      </w:r>
      <w:r w:rsidR="00E56F16" w:rsidRPr="002866FE">
        <w:rPr>
          <w:color w:val="0E0E0E"/>
        </w:rPr>
        <w:t>that</w:t>
      </w:r>
      <w:r w:rsidR="00E56F16" w:rsidRPr="002866FE">
        <w:rPr>
          <w:color w:val="0E0E0E"/>
          <w:spacing w:val="25"/>
        </w:rPr>
        <w:t xml:space="preserve"> </w:t>
      </w:r>
      <w:r w:rsidR="00E56F16" w:rsidRPr="002866FE">
        <w:rPr>
          <w:color w:val="1F1F1F"/>
        </w:rPr>
        <w:t xml:space="preserve">address </w:t>
      </w:r>
      <w:r w:rsidR="00E56F16" w:rsidRPr="002866FE">
        <w:rPr>
          <w:color w:val="0E0E0E"/>
        </w:rPr>
        <w:t>did</w:t>
      </w:r>
      <w:r w:rsidR="00E56F16" w:rsidRPr="002866FE">
        <w:rPr>
          <w:color w:val="0E0E0E"/>
          <w:spacing w:val="30"/>
        </w:rPr>
        <w:t xml:space="preserve"> </w:t>
      </w:r>
      <w:r w:rsidR="00E56F16" w:rsidRPr="002866FE">
        <w:rPr>
          <w:color w:val="0E0E0E"/>
        </w:rPr>
        <w:t>not</w:t>
      </w:r>
      <w:r w:rsidR="00E56F16" w:rsidRPr="002866FE">
        <w:rPr>
          <w:color w:val="0E0E0E"/>
          <w:spacing w:val="10"/>
        </w:rPr>
        <w:t xml:space="preserve"> </w:t>
      </w:r>
      <w:r w:rsidR="00E56F16" w:rsidRPr="002866FE">
        <w:rPr>
          <w:color w:val="1F1F1F"/>
        </w:rPr>
        <w:t>come</w:t>
      </w:r>
      <w:r w:rsidR="00E56F16" w:rsidRPr="002866FE">
        <w:rPr>
          <w:color w:val="1F1F1F"/>
          <w:spacing w:val="6"/>
        </w:rPr>
        <w:t xml:space="preserve"> </w:t>
      </w:r>
      <w:r w:rsidR="00E56F16" w:rsidRPr="002866FE">
        <w:rPr>
          <w:color w:val="0E0E0E"/>
        </w:rPr>
        <w:t>to</w:t>
      </w:r>
      <w:r w:rsidR="00E56F16" w:rsidRPr="002866FE">
        <w:rPr>
          <w:color w:val="0E0E0E"/>
          <w:spacing w:val="10"/>
        </w:rPr>
        <w:t xml:space="preserve"> </w:t>
      </w:r>
      <w:r w:rsidR="00E56F16" w:rsidRPr="002866FE">
        <w:rPr>
          <w:color w:val="0E0E0E"/>
        </w:rPr>
        <w:t>the</w:t>
      </w:r>
      <w:r w:rsidR="00E56F16" w:rsidRPr="002866FE">
        <w:rPr>
          <w:color w:val="0E0E0E"/>
          <w:spacing w:val="21"/>
        </w:rPr>
        <w:t xml:space="preserve"> </w:t>
      </w:r>
      <w:r w:rsidR="00E56F16" w:rsidRPr="002866FE">
        <w:rPr>
          <w:color w:val="1F1F1F"/>
        </w:rPr>
        <w:t>appellants'</w:t>
      </w:r>
      <w:r w:rsidR="00E56F16" w:rsidRPr="002866FE">
        <w:rPr>
          <w:color w:val="1F1F1F"/>
          <w:spacing w:val="34"/>
        </w:rPr>
        <w:t xml:space="preserve"> </w:t>
      </w:r>
      <w:r w:rsidR="00E56F16" w:rsidRPr="002866FE">
        <w:rPr>
          <w:color w:val="0E0E0E"/>
        </w:rPr>
        <w:t>attention;</w:t>
      </w:r>
      <w:r w:rsidR="00E56F16" w:rsidRPr="002866FE">
        <w:rPr>
          <w:color w:val="0E0E0E"/>
          <w:spacing w:val="22"/>
        </w:rPr>
        <w:t xml:space="preserve"> </w:t>
      </w:r>
      <w:r w:rsidR="00E56F16" w:rsidRPr="002866FE">
        <w:rPr>
          <w:color w:val="1F1F1F"/>
        </w:rPr>
        <w:t>and constituted</w:t>
      </w:r>
      <w:r w:rsidR="00E56F16" w:rsidRPr="002866FE">
        <w:rPr>
          <w:color w:val="1F1F1F"/>
          <w:spacing w:val="10"/>
        </w:rPr>
        <w:t xml:space="preserve"> </w:t>
      </w:r>
      <w:r w:rsidR="00E56F16" w:rsidRPr="002866FE">
        <w:rPr>
          <w:color w:val="0E0E0E"/>
        </w:rPr>
        <w:t>ineffective</w:t>
      </w:r>
      <w:r w:rsidR="00E56F16" w:rsidRPr="002866FE">
        <w:rPr>
          <w:color w:val="0E0E0E"/>
          <w:spacing w:val="3"/>
        </w:rPr>
        <w:t xml:space="preserve"> </w:t>
      </w:r>
      <w:r w:rsidR="00E56F16" w:rsidRPr="002866FE">
        <w:rPr>
          <w:color w:val="1F1F1F"/>
        </w:rPr>
        <w:t>service</w:t>
      </w:r>
      <w:r w:rsidR="00E56F16" w:rsidRPr="002866FE">
        <w:rPr>
          <w:color w:val="1F1F1F"/>
          <w:spacing w:val="-6"/>
        </w:rPr>
        <w:t xml:space="preserve"> </w:t>
      </w:r>
      <w:r w:rsidR="00E56F16" w:rsidRPr="002866FE">
        <w:rPr>
          <w:color w:val="0E0E0E"/>
        </w:rPr>
        <w:t>as</w:t>
      </w:r>
      <w:r w:rsidR="00E56F16" w:rsidRPr="002866FE">
        <w:rPr>
          <w:color w:val="0E0E0E"/>
          <w:spacing w:val="-18"/>
        </w:rPr>
        <w:t xml:space="preserve"> </w:t>
      </w:r>
      <w:r w:rsidR="00E56F16" w:rsidRPr="002866FE">
        <w:rPr>
          <w:color w:val="0E0E0E"/>
        </w:rPr>
        <w:t>the</w:t>
      </w:r>
      <w:r w:rsidR="00E56F16" w:rsidRPr="002866FE">
        <w:rPr>
          <w:color w:val="0E0E0E"/>
          <w:spacing w:val="2"/>
        </w:rPr>
        <w:t xml:space="preserve"> </w:t>
      </w:r>
      <w:r w:rsidR="00E56F16" w:rsidRPr="002866FE">
        <w:rPr>
          <w:color w:val="0E0E0E"/>
        </w:rPr>
        <w:t>respondent</w:t>
      </w:r>
      <w:r w:rsidR="00E56F16" w:rsidRPr="002866FE">
        <w:rPr>
          <w:color w:val="0E0E0E"/>
          <w:spacing w:val="22"/>
        </w:rPr>
        <w:t xml:space="preserve"> </w:t>
      </w:r>
      <w:r w:rsidR="00E56F16" w:rsidRPr="002866FE">
        <w:rPr>
          <w:color w:val="363636"/>
        </w:rPr>
        <w:t>knew</w:t>
      </w:r>
      <w:r w:rsidR="00E56F16" w:rsidRPr="002866FE">
        <w:rPr>
          <w:color w:val="363636"/>
          <w:spacing w:val="-10"/>
        </w:rPr>
        <w:t xml:space="preserve"> </w:t>
      </w:r>
      <w:r w:rsidR="00E56F16" w:rsidRPr="002866FE">
        <w:rPr>
          <w:color w:val="1F1F1F"/>
        </w:rPr>
        <w:t>that the</w:t>
      </w:r>
      <w:r w:rsidR="00E56F16" w:rsidRPr="002866FE">
        <w:rPr>
          <w:color w:val="1F1F1F"/>
          <w:spacing w:val="3"/>
        </w:rPr>
        <w:t xml:space="preserve"> </w:t>
      </w:r>
      <w:r w:rsidR="00E56F16" w:rsidRPr="002866FE">
        <w:rPr>
          <w:color w:val="1F1F1F"/>
          <w:spacing w:val="-1"/>
        </w:rPr>
        <w:t>appellants</w:t>
      </w:r>
      <w:r w:rsidR="00E56F16" w:rsidRPr="002866FE">
        <w:rPr>
          <w:color w:val="1F1F1F"/>
          <w:spacing w:val="27"/>
          <w:w w:val="98"/>
        </w:rPr>
        <w:t xml:space="preserve"> </w:t>
      </w:r>
      <w:r w:rsidR="00E56F16" w:rsidRPr="002866FE">
        <w:rPr>
          <w:color w:val="0E0E0E"/>
        </w:rPr>
        <w:t>had</w:t>
      </w:r>
      <w:r w:rsidR="00E56F16" w:rsidRPr="002866FE">
        <w:rPr>
          <w:color w:val="0E0E0E"/>
          <w:spacing w:val="38"/>
        </w:rPr>
        <w:t xml:space="preserve"> </w:t>
      </w:r>
      <w:r w:rsidR="00E56F16" w:rsidRPr="002866FE">
        <w:rPr>
          <w:color w:val="0E0E0E"/>
        </w:rPr>
        <w:t>no</w:t>
      </w:r>
      <w:r w:rsidR="00E56F16" w:rsidRPr="002866FE">
        <w:rPr>
          <w:color w:val="0E0E0E"/>
          <w:spacing w:val="45"/>
        </w:rPr>
        <w:t xml:space="preserve"> </w:t>
      </w:r>
      <w:r w:rsidR="00E56F16" w:rsidRPr="002866FE">
        <w:rPr>
          <w:color w:val="1F1F1F"/>
        </w:rPr>
        <w:t>presence</w:t>
      </w:r>
      <w:r w:rsidR="00E56F16" w:rsidRPr="002866FE">
        <w:rPr>
          <w:color w:val="1F1F1F"/>
          <w:spacing w:val="41"/>
        </w:rPr>
        <w:t xml:space="preserve"> </w:t>
      </w:r>
      <w:r w:rsidR="00E56F16" w:rsidRPr="002866FE">
        <w:rPr>
          <w:color w:val="0E0E0E"/>
        </w:rPr>
        <w:t>there</w:t>
      </w:r>
      <w:r w:rsidR="00E56F16" w:rsidRPr="002866FE">
        <w:rPr>
          <w:color w:val="0E0E0E"/>
          <w:spacing w:val="55"/>
        </w:rPr>
        <w:t xml:space="preserve"> </w:t>
      </w:r>
      <w:r w:rsidR="00E56F16" w:rsidRPr="002866FE">
        <w:rPr>
          <w:color w:val="1F1F1F"/>
        </w:rPr>
        <w:t>and</w:t>
      </w:r>
      <w:r w:rsidR="00E56F16" w:rsidRPr="002866FE">
        <w:rPr>
          <w:color w:val="1F1F1F"/>
          <w:spacing w:val="40"/>
        </w:rPr>
        <w:t xml:space="preserve"> </w:t>
      </w:r>
      <w:r w:rsidR="00E56F16" w:rsidRPr="002866FE">
        <w:rPr>
          <w:color w:val="1F1F1F"/>
        </w:rPr>
        <w:t>would</w:t>
      </w:r>
      <w:r w:rsidR="00E56F16" w:rsidRPr="002866FE">
        <w:rPr>
          <w:color w:val="1F1F1F"/>
          <w:spacing w:val="47"/>
        </w:rPr>
        <w:t xml:space="preserve"> </w:t>
      </w:r>
      <w:r w:rsidR="00E56F16" w:rsidRPr="002866FE">
        <w:rPr>
          <w:color w:val="1F1F1F"/>
        </w:rPr>
        <w:t>not</w:t>
      </w:r>
      <w:r w:rsidR="00E56F16" w:rsidRPr="002866FE">
        <w:rPr>
          <w:color w:val="1F1F1F"/>
          <w:spacing w:val="48"/>
        </w:rPr>
        <w:t xml:space="preserve"> </w:t>
      </w:r>
      <w:r w:rsidR="00E56F16" w:rsidRPr="002866FE">
        <w:rPr>
          <w:color w:val="0E0E0E"/>
        </w:rPr>
        <w:t>receive</w:t>
      </w:r>
      <w:r w:rsidR="00E56F16" w:rsidRPr="002866FE">
        <w:rPr>
          <w:color w:val="0E0E0E"/>
          <w:spacing w:val="49"/>
        </w:rPr>
        <w:t xml:space="preserve"> </w:t>
      </w:r>
      <w:r w:rsidR="00E56F16" w:rsidRPr="002866FE">
        <w:rPr>
          <w:color w:val="1F1F1F"/>
        </w:rPr>
        <w:t>any</w:t>
      </w:r>
      <w:r w:rsidR="00E56F16" w:rsidRPr="002866FE">
        <w:rPr>
          <w:color w:val="1F1F1F"/>
          <w:spacing w:val="38"/>
        </w:rPr>
        <w:t xml:space="preserve"> </w:t>
      </w:r>
      <w:r w:rsidR="00E56F16" w:rsidRPr="002866FE">
        <w:rPr>
          <w:color w:val="1F1F1F"/>
        </w:rPr>
        <w:t>documents</w:t>
      </w:r>
      <w:r w:rsidR="00E56F16" w:rsidRPr="002866FE">
        <w:rPr>
          <w:color w:val="1F1F1F"/>
          <w:spacing w:val="59"/>
        </w:rPr>
        <w:t xml:space="preserve"> </w:t>
      </w:r>
      <w:r w:rsidR="00E56F16" w:rsidRPr="002866FE">
        <w:rPr>
          <w:color w:val="1F1F1F"/>
        </w:rPr>
        <w:t>served</w:t>
      </w:r>
      <w:r w:rsidR="00E56F16" w:rsidRPr="002866FE">
        <w:rPr>
          <w:color w:val="1F1F1F"/>
          <w:spacing w:val="21"/>
          <w:w w:val="98"/>
        </w:rPr>
        <w:t xml:space="preserve"> </w:t>
      </w:r>
      <w:r w:rsidR="00E56F16" w:rsidRPr="002866FE">
        <w:rPr>
          <w:color w:val="1F1F1F"/>
        </w:rPr>
        <w:t>there</w:t>
      </w:r>
      <w:r w:rsidR="00E56F16" w:rsidRPr="002866FE">
        <w:rPr>
          <w:color w:val="1F1F1F"/>
          <w:spacing w:val="31"/>
        </w:rPr>
        <w:t xml:space="preserve"> </w:t>
      </w:r>
      <w:r w:rsidR="00E56F16" w:rsidRPr="002866FE">
        <w:rPr>
          <w:color w:val="1F1F1F"/>
        </w:rPr>
        <w:t>(in</w:t>
      </w:r>
      <w:r w:rsidR="00E56F16" w:rsidRPr="002866FE">
        <w:rPr>
          <w:color w:val="1F1F1F"/>
          <w:spacing w:val="15"/>
        </w:rPr>
        <w:t xml:space="preserve"> </w:t>
      </w:r>
      <w:r w:rsidR="00E56F16" w:rsidRPr="002866FE">
        <w:rPr>
          <w:color w:val="1F1F1F"/>
          <w:spacing w:val="-1"/>
        </w:rPr>
        <w:t>particular</w:t>
      </w:r>
      <w:r w:rsidR="00E56F16" w:rsidRPr="002866FE">
        <w:rPr>
          <w:color w:val="1F1F1F"/>
          <w:spacing w:val="11"/>
        </w:rPr>
        <w:t xml:space="preserve"> </w:t>
      </w:r>
      <w:r w:rsidR="00E56F16" w:rsidRPr="002866FE">
        <w:rPr>
          <w:color w:val="0E0E0E"/>
        </w:rPr>
        <w:t>the</w:t>
      </w:r>
      <w:r w:rsidR="00E56F16" w:rsidRPr="002866FE">
        <w:rPr>
          <w:color w:val="0E0E0E"/>
          <w:spacing w:val="10"/>
        </w:rPr>
        <w:t xml:space="preserve"> </w:t>
      </w:r>
      <w:r w:rsidR="00E56F16" w:rsidRPr="002866FE">
        <w:rPr>
          <w:color w:val="1F1F1F"/>
          <w:spacing w:val="-1"/>
        </w:rPr>
        <w:t>application</w:t>
      </w:r>
      <w:r w:rsidR="00E56F16" w:rsidRPr="002866FE">
        <w:rPr>
          <w:color w:val="1F1F1F"/>
          <w:spacing w:val="13"/>
        </w:rPr>
        <w:t xml:space="preserve"> </w:t>
      </w:r>
      <w:r w:rsidR="00E56F16" w:rsidRPr="002866FE">
        <w:rPr>
          <w:color w:val="1F1F1F"/>
        </w:rPr>
        <w:t>for</w:t>
      </w:r>
      <w:r w:rsidR="00E56F16" w:rsidRPr="002866FE">
        <w:rPr>
          <w:color w:val="1F1F1F"/>
          <w:spacing w:val="20"/>
        </w:rPr>
        <w:t xml:space="preserve"> </w:t>
      </w:r>
      <w:r w:rsidR="00E56F16" w:rsidRPr="002866FE">
        <w:rPr>
          <w:color w:val="1F1F1F"/>
        </w:rPr>
        <w:t>default</w:t>
      </w:r>
      <w:r w:rsidR="00E56F16" w:rsidRPr="002866FE">
        <w:rPr>
          <w:color w:val="1F1F1F"/>
          <w:spacing w:val="12"/>
        </w:rPr>
        <w:t xml:space="preserve"> </w:t>
      </w:r>
      <w:r w:rsidR="00E56F16" w:rsidRPr="002866FE">
        <w:rPr>
          <w:color w:val="0E0E0E"/>
        </w:rPr>
        <w:t>judgment</w:t>
      </w:r>
      <w:r w:rsidR="00E56F16" w:rsidRPr="002866FE">
        <w:rPr>
          <w:color w:val="0E0E0E"/>
          <w:spacing w:val="42"/>
        </w:rPr>
        <w:t xml:space="preserve"> </w:t>
      </w:r>
      <w:r w:rsidR="00E56F16" w:rsidRPr="002866FE">
        <w:rPr>
          <w:color w:val="1F1F1F"/>
        </w:rPr>
        <w:t>and</w:t>
      </w:r>
      <w:r>
        <w:rPr>
          <w:color w:val="1F1F1F"/>
        </w:rPr>
        <w:t xml:space="preserve"> the</w:t>
      </w:r>
      <w:r w:rsidR="00E56F16" w:rsidRPr="002866FE">
        <w:rPr>
          <w:color w:val="1F1F1F"/>
          <w:spacing w:val="24"/>
        </w:rPr>
        <w:t xml:space="preserve"> </w:t>
      </w:r>
      <w:r w:rsidR="00E56F16" w:rsidRPr="002866FE">
        <w:rPr>
          <w:color w:val="1F1F1F"/>
          <w:spacing w:val="-2"/>
        </w:rPr>
        <w:t>notice</w:t>
      </w:r>
      <w:r w:rsidR="00E56F16" w:rsidRPr="002866FE">
        <w:rPr>
          <w:color w:val="1F1F1F"/>
          <w:spacing w:val="10"/>
        </w:rPr>
        <w:t xml:space="preserve"> </w:t>
      </w:r>
      <w:r w:rsidR="00E56F16" w:rsidRPr="002866FE">
        <w:rPr>
          <w:color w:val="1F1F1F"/>
        </w:rPr>
        <w:t>of</w:t>
      </w:r>
      <w:r w:rsidR="00E56F16" w:rsidRPr="002866FE">
        <w:rPr>
          <w:color w:val="1F1F1F"/>
          <w:spacing w:val="9"/>
        </w:rPr>
        <w:t xml:space="preserve"> </w:t>
      </w:r>
      <w:r w:rsidR="00E56F16" w:rsidRPr="002866FE">
        <w:rPr>
          <w:color w:val="1F1F1F"/>
        </w:rPr>
        <w:t>set</w:t>
      </w:r>
      <w:r w:rsidR="00E56F16" w:rsidRPr="002866FE">
        <w:rPr>
          <w:color w:val="1F1F1F"/>
          <w:spacing w:val="31"/>
          <w:w w:val="96"/>
        </w:rPr>
        <w:t xml:space="preserve"> </w:t>
      </w:r>
      <w:r w:rsidR="00E56F16" w:rsidRPr="002866FE">
        <w:rPr>
          <w:color w:val="1F1F1F"/>
        </w:rPr>
        <w:t>down).</w:t>
      </w:r>
    </w:p>
    <w:p w14:paraId="7F21C931" w14:textId="66B399C2" w:rsidR="00E56F16" w:rsidRPr="002866FE" w:rsidRDefault="00E56F16" w:rsidP="002866FE">
      <w:pPr>
        <w:pStyle w:val="ListParagraph"/>
        <w:numPr>
          <w:ilvl w:val="0"/>
          <w:numId w:val="20"/>
        </w:numPr>
        <w:spacing w:after="120" w:line="360" w:lineRule="auto"/>
        <w:ind w:left="567" w:hanging="567"/>
        <w:jc w:val="both"/>
        <w:rPr>
          <w:color w:val="000000"/>
        </w:rPr>
      </w:pPr>
      <w:r w:rsidRPr="002866FE">
        <w:rPr>
          <w:rFonts w:eastAsia="Calibri" w:hAnsi="Calibri"/>
          <w:color w:val="0E0E0E"/>
        </w:rPr>
        <w:t>T</w:t>
      </w:r>
      <w:r w:rsidRPr="002866FE">
        <w:rPr>
          <w:rFonts w:eastAsia="Calibri" w:hAnsi="Calibri"/>
          <w:color w:val="0E0E0E"/>
          <w:spacing w:val="4"/>
        </w:rPr>
        <w:t>h</w:t>
      </w:r>
      <w:r w:rsidRPr="002866FE">
        <w:rPr>
          <w:rFonts w:eastAsia="Calibri" w:hAnsi="Calibri"/>
          <w:color w:val="363636"/>
        </w:rPr>
        <w:t xml:space="preserve">e </w:t>
      </w:r>
      <w:r w:rsidRPr="002866FE">
        <w:rPr>
          <w:rFonts w:eastAsia="Calibri" w:hAnsi="Calibri"/>
          <w:color w:val="0E0E0E"/>
        </w:rPr>
        <w:t>court</w:t>
      </w:r>
      <w:r w:rsidR="002866FE" w:rsidRPr="002866FE">
        <w:rPr>
          <w:rFonts w:eastAsia="Calibri" w:hAnsi="Calibri"/>
          <w:color w:val="0E0E0E"/>
        </w:rPr>
        <w:t xml:space="preserve"> a quo</w:t>
      </w:r>
      <w:r w:rsidRPr="002866FE">
        <w:rPr>
          <w:rFonts w:eastAsia="Calibri" w:hAnsi="Calibri"/>
          <w:color w:val="1F1F1F"/>
          <w:spacing w:val="8"/>
        </w:rPr>
        <w:t xml:space="preserve"> </w:t>
      </w:r>
      <w:r w:rsidRPr="002866FE">
        <w:rPr>
          <w:rFonts w:eastAsia="Calibri" w:hAnsi="Calibri"/>
          <w:color w:val="0E0E0E"/>
        </w:rPr>
        <w:t>found</w:t>
      </w:r>
      <w:r w:rsidRPr="002866FE">
        <w:rPr>
          <w:rFonts w:eastAsia="Calibri" w:hAnsi="Calibri"/>
          <w:color w:val="0E0E0E"/>
          <w:spacing w:val="3"/>
        </w:rPr>
        <w:t xml:space="preserve"> </w:t>
      </w:r>
      <w:r w:rsidRPr="002866FE">
        <w:rPr>
          <w:rFonts w:eastAsia="Calibri" w:hAnsi="Calibri"/>
          <w:color w:val="363636"/>
        </w:rPr>
        <w:t>that</w:t>
      </w:r>
      <w:r w:rsidR="002866FE">
        <w:rPr>
          <w:rFonts w:eastAsia="Calibri" w:hAnsi="Calibri"/>
          <w:color w:val="363636"/>
          <w:spacing w:val="26"/>
        </w:rPr>
        <w:t xml:space="preserve"> </w:t>
      </w:r>
      <w:r w:rsidR="002866FE">
        <w:rPr>
          <w:rFonts w:eastAsia="Calibri" w:hAnsi="Calibri"/>
          <w:color w:val="363636"/>
          <w:spacing w:val="26"/>
        </w:rPr>
        <w:t>‘</w:t>
      </w:r>
      <w:r w:rsidR="002866FE">
        <w:rPr>
          <w:rFonts w:eastAsia="Calibri" w:hAnsi="Calibri"/>
          <w:color w:val="363636"/>
          <w:spacing w:val="26"/>
        </w:rPr>
        <w:t xml:space="preserve">[a]s </w:t>
      </w:r>
      <w:r w:rsidRPr="002866FE">
        <w:rPr>
          <w:rFonts w:eastAsia="Calibri" w:hAnsi="Calibri"/>
          <w:color w:val="1F1F1F"/>
        </w:rPr>
        <w:t>the</w:t>
      </w:r>
      <w:r w:rsidRPr="002866FE">
        <w:rPr>
          <w:rFonts w:eastAsia="Calibri" w:hAnsi="Calibri"/>
          <w:color w:val="1F1F1F"/>
          <w:spacing w:val="-12"/>
        </w:rPr>
        <w:t xml:space="preserve"> </w:t>
      </w:r>
      <w:r w:rsidRPr="002866FE">
        <w:rPr>
          <w:rFonts w:eastAsia="Calibri" w:hAnsi="Calibri"/>
          <w:color w:val="363636"/>
        </w:rPr>
        <w:t xml:space="preserve">summons </w:t>
      </w:r>
      <w:r w:rsidRPr="002866FE">
        <w:rPr>
          <w:rFonts w:eastAsia="Calibri" w:hAnsi="Calibri"/>
          <w:color w:val="1F1F1F"/>
        </w:rPr>
        <w:t>and</w:t>
      </w:r>
      <w:r w:rsidRPr="002866FE">
        <w:rPr>
          <w:rFonts w:eastAsia="Calibri" w:hAnsi="Calibri"/>
          <w:color w:val="1F1F1F"/>
          <w:spacing w:val="12"/>
        </w:rPr>
        <w:t xml:space="preserve"> </w:t>
      </w:r>
      <w:r w:rsidRPr="002866FE">
        <w:rPr>
          <w:rFonts w:eastAsia="Calibri" w:hAnsi="Calibri"/>
          <w:color w:val="1F1F1F"/>
        </w:rPr>
        <w:t>notice</w:t>
      </w:r>
      <w:r w:rsidRPr="002866FE">
        <w:rPr>
          <w:rFonts w:eastAsia="Calibri" w:hAnsi="Calibri"/>
          <w:color w:val="1F1F1F"/>
          <w:spacing w:val="28"/>
        </w:rPr>
        <w:t xml:space="preserve"> </w:t>
      </w:r>
      <w:r w:rsidRPr="002866FE">
        <w:rPr>
          <w:rFonts w:eastAsia="Calibri" w:hAnsi="Calibri"/>
          <w:color w:val="1F1F1F"/>
        </w:rPr>
        <w:t>of</w:t>
      </w:r>
      <w:r w:rsidRPr="002866FE">
        <w:rPr>
          <w:rFonts w:eastAsia="Calibri" w:hAnsi="Calibri"/>
          <w:color w:val="1F1F1F"/>
          <w:spacing w:val="21"/>
        </w:rPr>
        <w:t xml:space="preserve"> </w:t>
      </w:r>
      <w:r w:rsidRPr="002866FE">
        <w:rPr>
          <w:rFonts w:eastAsia="Calibri" w:hAnsi="Calibri"/>
          <w:color w:val="363636"/>
        </w:rPr>
        <w:t>set</w:t>
      </w:r>
      <w:r w:rsidRPr="002866FE">
        <w:rPr>
          <w:rFonts w:eastAsia="Calibri" w:hAnsi="Calibri"/>
          <w:color w:val="363636"/>
          <w:spacing w:val="20"/>
        </w:rPr>
        <w:t xml:space="preserve"> </w:t>
      </w:r>
      <w:r w:rsidRPr="002866FE">
        <w:rPr>
          <w:rFonts w:eastAsia="Calibri" w:hAnsi="Calibri"/>
          <w:color w:val="1F1F1F"/>
        </w:rPr>
        <w:t>down</w:t>
      </w:r>
      <w:r w:rsidRPr="002866FE">
        <w:rPr>
          <w:rFonts w:eastAsia="Calibri" w:hAnsi="Calibri"/>
          <w:color w:val="1F1F1F"/>
          <w:spacing w:val="27"/>
        </w:rPr>
        <w:t xml:space="preserve"> </w:t>
      </w:r>
      <w:r w:rsidRPr="002866FE">
        <w:rPr>
          <w:rFonts w:eastAsia="Calibri" w:hAnsi="Calibri"/>
          <w:color w:val="1F1F1F"/>
        </w:rPr>
        <w:t>were</w:t>
      </w:r>
      <w:r w:rsidRPr="002866FE">
        <w:rPr>
          <w:rFonts w:eastAsia="Calibri" w:hAnsi="Calibri"/>
          <w:color w:val="1F1F1F"/>
          <w:spacing w:val="-9"/>
        </w:rPr>
        <w:t xml:space="preserve"> </w:t>
      </w:r>
      <w:r w:rsidRPr="002866FE">
        <w:rPr>
          <w:rFonts w:eastAsia="Calibri" w:hAnsi="Calibri"/>
          <w:color w:val="1F1F1F"/>
        </w:rPr>
        <w:t>properly</w:t>
      </w:r>
      <w:r w:rsidRPr="002866FE">
        <w:rPr>
          <w:rFonts w:eastAsia="Calibri" w:hAnsi="Calibri"/>
          <w:color w:val="1F1F1F"/>
          <w:spacing w:val="36"/>
        </w:rPr>
        <w:t xml:space="preserve"> </w:t>
      </w:r>
      <w:r w:rsidRPr="002866FE">
        <w:rPr>
          <w:rFonts w:eastAsia="Calibri" w:hAnsi="Calibri"/>
          <w:color w:val="363636"/>
        </w:rPr>
        <w:t>served</w:t>
      </w:r>
      <w:r w:rsidRPr="002866FE">
        <w:rPr>
          <w:rFonts w:eastAsia="Calibri" w:hAnsi="Calibri"/>
          <w:color w:val="363636"/>
          <w:spacing w:val="21"/>
        </w:rPr>
        <w:t xml:space="preserve"> </w:t>
      </w:r>
      <w:r w:rsidRPr="002866FE">
        <w:rPr>
          <w:rFonts w:eastAsia="Calibri" w:hAnsi="Calibri"/>
          <w:color w:val="1F1F1F"/>
        </w:rPr>
        <w:t>on</w:t>
      </w:r>
      <w:r w:rsidRPr="002866FE">
        <w:rPr>
          <w:rFonts w:eastAsia="Calibri" w:hAnsi="Calibri"/>
          <w:color w:val="1F1F1F"/>
          <w:spacing w:val="23"/>
        </w:rPr>
        <w:t xml:space="preserve"> </w:t>
      </w:r>
      <w:r w:rsidRPr="002866FE">
        <w:rPr>
          <w:rFonts w:eastAsia="Calibri" w:hAnsi="Calibri"/>
          <w:color w:val="1F1F1F"/>
        </w:rPr>
        <w:t>the</w:t>
      </w:r>
      <w:r w:rsidRPr="002866FE">
        <w:rPr>
          <w:rFonts w:eastAsia="Calibri" w:hAnsi="Calibri"/>
          <w:color w:val="1F1F1F"/>
          <w:spacing w:val="16"/>
        </w:rPr>
        <w:t xml:space="preserve"> </w:t>
      </w:r>
      <w:r w:rsidRPr="002866FE">
        <w:rPr>
          <w:rFonts w:eastAsia="Calibri" w:hAnsi="Calibri"/>
          <w:color w:val="1F1F1F"/>
          <w:spacing w:val="-1"/>
        </w:rPr>
        <w:t>[applicants]</w:t>
      </w:r>
      <w:r w:rsidRPr="002866FE">
        <w:rPr>
          <w:rFonts w:eastAsia="Calibri" w:hAnsi="Calibri"/>
          <w:color w:val="1F1F1F"/>
          <w:spacing w:val="17"/>
        </w:rPr>
        <w:t xml:space="preserve"> </w:t>
      </w:r>
      <w:r w:rsidRPr="002866FE">
        <w:rPr>
          <w:rFonts w:eastAsia="Calibri" w:hAnsi="Calibri"/>
          <w:color w:val="363636"/>
        </w:rPr>
        <w:t>at</w:t>
      </w:r>
      <w:r w:rsidRPr="002866FE">
        <w:rPr>
          <w:rFonts w:eastAsia="Calibri" w:hAnsi="Calibri"/>
          <w:color w:val="363636"/>
          <w:spacing w:val="17"/>
        </w:rPr>
        <w:t xml:space="preserve"> </w:t>
      </w:r>
      <w:r w:rsidRPr="002866FE">
        <w:rPr>
          <w:rFonts w:eastAsia="Calibri" w:hAnsi="Calibri"/>
          <w:color w:val="1F1F1F"/>
        </w:rPr>
        <w:t>their</w:t>
      </w:r>
      <w:r w:rsidRPr="002866FE">
        <w:rPr>
          <w:rFonts w:eastAsia="Calibri" w:hAnsi="Calibri"/>
          <w:color w:val="1F1F1F"/>
          <w:spacing w:val="14"/>
        </w:rPr>
        <w:t xml:space="preserve"> </w:t>
      </w:r>
      <w:r w:rsidRPr="002866FE">
        <w:rPr>
          <w:rFonts w:eastAsia="Calibri" w:hAnsi="Calibri"/>
          <w:color w:val="363636"/>
        </w:rPr>
        <w:t>chosen</w:t>
      </w:r>
      <w:r w:rsidRPr="002866FE">
        <w:rPr>
          <w:rFonts w:eastAsia="Calibri" w:hAnsi="Calibri"/>
          <w:color w:val="363636"/>
          <w:spacing w:val="28"/>
        </w:rPr>
        <w:t xml:space="preserve"> </w:t>
      </w:r>
      <w:r w:rsidRPr="002866FE">
        <w:rPr>
          <w:rFonts w:eastAsia="Calibri" w:hAnsi="Calibri"/>
          <w:i/>
          <w:color w:val="1F1F1F"/>
        </w:rPr>
        <w:t>domicilium</w:t>
      </w:r>
      <w:r w:rsidRPr="002866FE">
        <w:rPr>
          <w:rFonts w:eastAsia="Calibri" w:hAnsi="Calibri"/>
          <w:color w:val="1F1F1F"/>
        </w:rPr>
        <w:t>,</w:t>
      </w:r>
      <w:r w:rsidRPr="002866FE">
        <w:rPr>
          <w:rFonts w:eastAsia="Calibri" w:hAnsi="Calibri"/>
          <w:color w:val="1F1F1F"/>
          <w:spacing w:val="26"/>
        </w:rPr>
        <w:t xml:space="preserve"> </w:t>
      </w:r>
      <w:r w:rsidRPr="002866FE">
        <w:rPr>
          <w:rFonts w:eastAsia="Calibri" w:hAnsi="Calibri"/>
          <w:color w:val="1F1F1F"/>
        </w:rPr>
        <w:t>the</w:t>
      </w:r>
      <w:r w:rsidRPr="002866FE">
        <w:rPr>
          <w:rFonts w:eastAsia="Calibri" w:hAnsi="Calibri"/>
          <w:color w:val="1F1F1F"/>
          <w:spacing w:val="5"/>
        </w:rPr>
        <w:t xml:space="preserve"> </w:t>
      </w:r>
      <w:r w:rsidRPr="002866FE">
        <w:rPr>
          <w:rFonts w:eastAsia="Calibri" w:hAnsi="Calibri"/>
          <w:color w:val="1F1F1F"/>
        </w:rPr>
        <w:t>respondent</w:t>
      </w:r>
      <w:r w:rsidRPr="002866FE">
        <w:rPr>
          <w:rFonts w:eastAsia="Calibri" w:hAnsi="Calibri"/>
          <w:color w:val="1F1F1F"/>
          <w:spacing w:val="41"/>
        </w:rPr>
        <w:t xml:space="preserve"> </w:t>
      </w:r>
      <w:r w:rsidRPr="002866FE">
        <w:rPr>
          <w:rFonts w:eastAsia="Calibri" w:hAnsi="Calibri"/>
          <w:color w:val="1F1F1F"/>
        </w:rPr>
        <w:t>was</w:t>
      </w:r>
      <w:r w:rsidRPr="002866FE">
        <w:rPr>
          <w:rFonts w:eastAsia="Calibri" w:hAnsi="Calibri"/>
          <w:color w:val="1F1F1F"/>
          <w:spacing w:val="-9"/>
        </w:rPr>
        <w:t xml:space="preserve"> </w:t>
      </w:r>
      <w:r w:rsidRPr="002866FE">
        <w:rPr>
          <w:rFonts w:eastAsia="Calibri" w:hAnsi="Calibri"/>
          <w:color w:val="1F1F1F"/>
        </w:rPr>
        <w:t>procedurally</w:t>
      </w:r>
      <w:r w:rsidRPr="002866FE">
        <w:rPr>
          <w:rFonts w:eastAsia="Calibri" w:hAnsi="Calibri"/>
          <w:color w:val="1F1F1F"/>
          <w:spacing w:val="38"/>
        </w:rPr>
        <w:t xml:space="preserve"> </w:t>
      </w:r>
      <w:r w:rsidRPr="002866FE">
        <w:rPr>
          <w:rFonts w:eastAsia="Calibri" w:hAnsi="Calibri"/>
          <w:color w:val="363636"/>
        </w:rPr>
        <w:t>entitled</w:t>
      </w:r>
      <w:r w:rsidRPr="002866FE">
        <w:rPr>
          <w:rFonts w:eastAsia="Calibri" w:hAnsi="Calibri"/>
          <w:color w:val="363636"/>
          <w:spacing w:val="15"/>
        </w:rPr>
        <w:t xml:space="preserve"> </w:t>
      </w:r>
      <w:r w:rsidRPr="002866FE">
        <w:rPr>
          <w:rFonts w:eastAsia="Calibri" w:hAnsi="Calibri"/>
          <w:color w:val="1F1F1F"/>
        </w:rPr>
        <w:t>to</w:t>
      </w:r>
      <w:r w:rsidRPr="002866FE">
        <w:rPr>
          <w:rFonts w:eastAsia="Calibri" w:hAnsi="Calibri"/>
          <w:color w:val="1F1F1F"/>
          <w:spacing w:val="-5"/>
        </w:rPr>
        <w:t xml:space="preserve"> </w:t>
      </w:r>
      <w:r w:rsidRPr="002866FE">
        <w:rPr>
          <w:rFonts w:eastAsia="Calibri" w:hAnsi="Calibri"/>
          <w:color w:val="363636"/>
        </w:rPr>
        <w:t>a</w:t>
      </w:r>
      <w:r w:rsidRPr="002866FE">
        <w:rPr>
          <w:rFonts w:eastAsia="Calibri" w:hAnsi="Calibri"/>
          <w:color w:val="363636"/>
          <w:spacing w:val="-7"/>
        </w:rPr>
        <w:t xml:space="preserve"> </w:t>
      </w:r>
      <w:r w:rsidRPr="002866FE">
        <w:rPr>
          <w:rFonts w:eastAsia="Calibri" w:hAnsi="Calibri"/>
          <w:color w:val="363636"/>
        </w:rPr>
        <w:t>default</w:t>
      </w:r>
      <w:r w:rsidRPr="002866FE">
        <w:rPr>
          <w:rFonts w:eastAsia="Calibri" w:hAnsi="Calibri"/>
          <w:color w:val="363636"/>
          <w:spacing w:val="-20"/>
        </w:rPr>
        <w:t xml:space="preserve"> </w:t>
      </w:r>
      <w:r w:rsidRPr="002866FE">
        <w:rPr>
          <w:rFonts w:eastAsia="Calibri" w:hAnsi="Calibri"/>
          <w:color w:val="1F1F1F"/>
        </w:rPr>
        <w:t>judgment</w:t>
      </w:r>
      <w:r w:rsidR="002866FE">
        <w:rPr>
          <w:rFonts w:eastAsia="Calibri" w:hAnsi="Calibri"/>
          <w:color w:val="1F1F1F"/>
          <w:spacing w:val="12"/>
        </w:rPr>
        <w:t xml:space="preserve"> </w:t>
      </w:r>
      <w:r w:rsidR="002866FE">
        <w:rPr>
          <w:rFonts w:eastAsia="Calibri" w:hAnsi="Calibri"/>
          <w:color w:val="1F1F1F"/>
          <w:spacing w:val="12"/>
        </w:rPr>
        <w:t>…’</w:t>
      </w:r>
      <w:r w:rsidRPr="002866FE">
        <w:rPr>
          <w:rFonts w:eastAsia="Calibri" w:hAnsi="Calibri"/>
          <w:color w:val="5E5E5E"/>
          <w:spacing w:val="5"/>
        </w:rPr>
        <w:t>.</w:t>
      </w:r>
      <w:r w:rsidRPr="002866FE">
        <w:rPr>
          <w:rFonts w:eastAsia="Calibri" w:hAnsi="Calibri"/>
          <w:iCs/>
          <w:color w:val="5E5E5E"/>
          <w:spacing w:val="5"/>
        </w:rPr>
        <w:t xml:space="preserve"> </w:t>
      </w:r>
      <w:r w:rsidRPr="002866FE">
        <w:rPr>
          <w:color w:val="161516"/>
        </w:rPr>
        <w:t>In making</w:t>
      </w:r>
      <w:r w:rsidRPr="002866FE">
        <w:rPr>
          <w:color w:val="161516"/>
          <w:spacing w:val="2"/>
        </w:rPr>
        <w:t xml:space="preserve"> </w:t>
      </w:r>
      <w:r w:rsidRPr="002866FE">
        <w:rPr>
          <w:color w:val="161516"/>
        </w:rPr>
        <w:t>these</w:t>
      </w:r>
      <w:r w:rsidRPr="002866FE">
        <w:rPr>
          <w:color w:val="161516"/>
          <w:spacing w:val="22"/>
        </w:rPr>
        <w:t xml:space="preserve"> </w:t>
      </w:r>
      <w:r w:rsidRPr="002866FE">
        <w:rPr>
          <w:color w:val="161516"/>
        </w:rPr>
        <w:t>findings</w:t>
      </w:r>
      <w:r w:rsidRPr="002866FE">
        <w:rPr>
          <w:color w:val="3F3F41"/>
          <w:spacing w:val="2"/>
        </w:rPr>
        <w:t>,</w:t>
      </w:r>
      <w:r w:rsidRPr="002866FE">
        <w:rPr>
          <w:color w:val="3F3F41"/>
          <w:spacing w:val="-10"/>
        </w:rPr>
        <w:t xml:space="preserve"> </w:t>
      </w:r>
      <w:r w:rsidRPr="002866FE">
        <w:rPr>
          <w:color w:val="161516"/>
        </w:rPr>
        <w:t>the</w:t>
      </w:r>
      <w:r w:rsidRPr="002866FE">
        <w:rPr>
          <w:color w:val="161516"/>
          <w:spacing w:val="30"/>
        </w:rPr>
        <w:t xml:space="preserve"> </w:t>
      </w:r>
      <w:r w:rsidRPr="002866FE">
        <w:rPr>
          <w:color w:val="28282A"/>
        </w:rPr>
        <w:t>court</w:t>
      </w:r>
      <w:r w:rsidRPr="002866FE">
        <w:rPr>
          <w:color w:val="161516"/>
          <w:spacing w:val="56"/>
        </w:rPr>
        <w:t xml:space="preserve"> </w:t>
      </w:r>
      <w:r w:rsidRPr="002866FE">
        <w:rPr>
          <w:color w:val="28282A"/>
        </w:rPr>
        <w:t>conflated</w:t>
      </w:r>
      <w:r w:rsidRPr="002866FE">
        <w:rPr>
          <w:color w:val="28282A"/>
          <w:spacing w:val="32"/>
        </w:rPr>
        <w:t xml:space="preserve"> </w:t>
      </w:r>
      <w:r w:rsidRPr="002866FE">
        <w:rPr>
          <w:color w:val="161516"/>
        </w:rPr>
        <w:t>the</w:t>
      </w:r>
      <w:r w:rsidRPr="002866FE">
        <w:rPr>
          <w:color w:val="161516"/>
          <w:spacing w:val="22"/>
        </w:rPr>
        <w:t xml:space="preserve"> </w:t>
      </w:r>
      <w:r w:rsidRPr="002866FE">
        <w:rPr>
          <w:color w:val="28282A"/>
        </w:rPr>
        <w:t>considerations</w:t>
      </w:r>
      <w:r w:rsidRPr="002866FE">
        <w:rPr>
          <w:color w:val="28282A"/>
          <w:spacing w:val="52"/>
        </w:rPr>
        <w:t xml:space="preserve"> </w:t>
      </w:r>
      <w:r w:rsidRPr="002866FE">
        <w:rPr>
          <w:color w:val="28282A"/>
        </w:rPr>
        <w:t>of</w:t>
      </w:r>
      <w:r w:rsidRPr="002866FE">
        <w:rPr>
          <w:color w:val="28282A"/>
          <w:spacing w:val="23"/>
          <w:w w:val="102"/>
        </w:rPr>
        <w:t xml:space="preserve"> </w:t>
      </w:r>
      <w:r w:rsidRPr="002866FE">
        <w:rPr>
          <w:color w:val="161516"/>
          <w:spacing w:val="-1"/>
        </w:rPr>
        <w:t>service</w:t>
      </w:r>
      <w:r w:rsidRPr="002866FE">
        <w:rPr>
          <w:color w:val="161516"/>
          <w:spacing w:val="32"/>
        </w:rPr>
        <w:t xml:space="preserve"> </w:t>
      </w:r>
      <w:r w:rsidRPr="002866FE">
        <w:rPr>
          <w:color w:val="161516"/>
        </w:rPr>
        <w:t>in</w:t>
      </w:r>
      <w:r w:rsidRPr="002866FE">
        <w:rPr>
          <w:color w:val="161516"/>
          <w:spacing w:val="20"/>
        </w:rPr>
        <w:t xml:space="preserve"> </w:t>
      </w:r>
      <w:r w:rsidRPr="002866FE">
        <w:rPr>
          <w:color w:val="161516"/>
        </w:rPr>
        <w:t>accordance</w:t>
      </w:r>
      <w:r w:rsidRPr="002866FE">
        <w:rPr>
          <w:color w:val="161516"/>
          <w:spacing w:val="36"/>
        </w:rPr>
        <w:t xml:space="preserve"> </w:t>
      </w:r>
      <w:r w:rsidRPr="002866FE">
        <w:rPr>
          <w:color w:val="161516"/>
          <w:spacing w:val="-2"/>
        </w:rPr>
        <w:t>with</w:t>
      </w:r>
      <w:r w:rsidRPr="002866FE">
        <w:rPr>
          <w:color w:val="161516"/>
          <w:spacing w:val="22"/>
        </w:rPr>
        <w:t xml:space="preserve"> </w:t>
      </w:r>
      <w:r w:rsidRPr="002866FE">
        <w:rPr>
          <w:color w:val="161516"/>
        </w:rPr>
        <w:t>the</w:t>
      </w:r>
      <w:r w:rsidRPr="002866FE">
        <w:rPr>
          <w:color w:val="161516"/>
          <w:spacing w:val="48"/>
        </w:rPr>
        <w:t xml:space="preserve"> </w:t>
      </w:r>
      <w:r w:rsidRPr="002866FE">
        <w:rPr>
          <w:color w:val="161516"/>
        </w:rPr>
        <w:t>Uniform</w:t>
      </w:r>
      <w:r w:rsidRPr="002866FE">
        <w:rPr>
          <w:color w:val="161516"/>
          <w:spacing w:val="40"/>
        </w:rPr>
        <w:t xml:space="preserve"> </w:t>
      </w:r>
      <w:r w:rsidRPr="002866FE">
        <w:rPr>
          <w:color w:val="161516"/>
        </w:rPr>
        <w:t>Rules</w:t>
      </w:r>
      <w:r w:rsidRPr="002866FE">
        <w:rPr>
          <w:color w:val="161516"/>
          <w:spacing w:val="28"/>
        </w:rPr>
        <w:t xml:space="preserve"> </w:t>
      </w:r>
      <w:r w:rsidRPr="002866FE">
        <w:rPr>
          <w:color w:val="161516"/>
        </w:rPr>
        <w:t>on</w:t>
      </w:r>
      <w:r w:rsidRPr="002866FE">
        <w:rPr>
          <w:color w:val="161516"/>
          <w:spacing w:val="21"/>
        </w:rPr>
        <w:t xml:space="preserve"> </w:t>
      </w:r>
      <w:r w:rsidRPr="002866FE">
        <w:rPr>
          <w:color w:val="161516"/>
        </w:rPr>
        <w:t>the</w:t>
      </w:r>
      <w:r w:rsidRPr="002866FE">
        <w:rPr>
          <w:color w:val="161516"/>
          <w:spacing w:val="24"/>
        </w:rPr>
        <w:t xml:space="preserve"> </w:t>
      </w:r>
      <w:r w:rsidRPr="002866FE">
        <w:rPr>
          <w:color w:val="161516"/>
        </w:rPr>
        <w:t>one</w:t>
      </w:r>
      <w:r w:rsidRPr="002866FE">
        <w:rPr>
          <w:color w:val="161516"/>
          <w:spacing w:val="31"/>
        </w:rPr>
        <w:t xml:space="preserve"> </w:t>
      </w:r>
      <w:r w:rsidRPr="002866FE">
        <w:rPr>
          <w:color w:val="161516"/>
          <w:spacing w:val="1"/>
        </w:rPr>
        <w:t>hand</w:t>
      </w:r>
      <w:r w:rsidRPr="002866FE">
        <w:rPr>
          <w:color w:val="3F3F41"/>
        </w:rPr>
        <w:t>,</w:t>
      </w:r>
      <w:r w:rsidRPr="002866FE">
        <w:rPr>
          <w:color w:val="3F3F41"/>
          <w:spacing w:val="1"/>
        </w:rPr>
        <w:t xml:space="preserve"> </w:t>
      </w:r>
      <w:r w:rsidRPr="002866FE">
        <w:rPr>
          <w:color w:val="161516"/>
        </w:rPr>
        <w:t>and</w:t>
      </w:r>
      <w:r w:rsidRPr="002866FE">
        <w:rPr>
          <w:color w:val="161516"/>
          <w:spacing w:val="16"/>
        </w:rPr>
        <w:t xml:space="preserve"> </w:t>
      </w:r>
      <w:r w:rsidRPr="002866FE">
        <w:rPr>
          <w:color w:val="28282A"/>
        </w:rPr>
        <w:t>the</w:t>
      </w:r>
      <w:r w:rsidRPr="002866FE">
        <w:rPr>
          <w:color w:val="28282A"/>
          <w:spacing w:val="28"/>
        </w:rPr>
        <w:t xml:space="preserve"> </w:t>
      </w:r>
      <w:r w:rsidRPr="002866FE">
        <w:rPr>
          <w:color w:val="161516"/>
          <w:spacing w:val="-1"/>
        </w:rPr>
        <w:t>requirements</w:t>
      </w:r>
      <w:r w:rsidRPr="002866FE">
        <w:rPr>
          <w:color w:val="161516"/>
          <w:spacing w:val="24"/>
        </w:rPr>
        <w:t xml:space="preserve"> </w:t>
      </w:r>
      <w:r w:rsidRPr="002866FE">
        <w:rPr>
          <w:color w:val="161516"/>
        </w:rPr>
        <w:t>of</w:t>
      </w:r>
      <w:r w:rsidRPr="002866FE">
        <w:rPr>
          <w:color w:val="161516"/>
          <w:spacing w:val="28"/>
        </w:rPr>
        <w:t xml:space="preserve"> </w:t>
      </w:r>
      <w:r w:rsidRPr="002866FE">
        <w:rPr>
          <w:color w:val="161516"/>
        </w:rPr>
        <w:t>rescission</w:t>
      </w:r>
      <w:r w:rsidRPr="002866FE">
        <w:rPr>
          <w:color w:val="161516"/>
          <w:spacing w:val="22"/>
        </w:rPr>
        <w:t xml:space="preserve"> </w:t>
      </w:r>
      <w:r w:rsidRPr="002866FE">
        <w:rPr>
          <w:color w:val="161516"/>
        </w:rPr>
        <w:t>on</w:t>
      </w:r>
      <w:r w:rsidRPr="002866FE">
        <w:rPr>
          <w:color w:val="161516"/>
          <w:spacing w:val="18"/>
        </w:rPr>
        <w:t xml:space="preserve"> </w:t>
      </w:r>
      <w:r w:rsidRPr="002866FE">
        <w:rPr>
          <w:color w:val="161516"/>
        </w:rPr>
        <w:t>the</w:t>
      </w:r>
      <w:r w:rsidRPr="002866FE">
        <w:rPr>
          <w:color w:val="161516"/>
          <w:spacing w:val="22"/>
        </w:rPr>
        <w:t xml:space="preserve"> </w:t>
      </w:r>
      <w:r w:rsidRPr="002866FE">
        <w:rPr>
          <w:color w:val="28282A"/>
          <w:spacing w:val="3"/>
        </w:rPr>
        <w:t>other</w:t>
      </w:r>
      <w:r w:rsidRPr="002866FE">
        <w:rPr>
          <w:color w:val="505050"/>
          <w:spacing w:val="2"/>
        </w:rPr>
        <w:t xml:space="preserve">. </w:t>
      </w:r>
      <w:r w:rsidRPr="002866FE">
        <w:rPr>
          <w:color w:val="161516"/>
        </w:rPr>
        <w:t>The</w:t>
      </w:r>
      <w:r w:rsidRPr="002866FE">
        <w:rPr>
          <w:color w:val="161516"/>
          <w:spacing w:val="36"/>
        </w:rPr>
        <w:t xml:space="preserve"> </w:t>
      </w:r>
      <w:r w:rsidRPr="002866FE">
        <w:rPr>
          <w:color w:val="161516"/>
        </w:rPr>
        <w:t>court</w:t>
      </w:r>
      <w:r w:rsidRPr="002866FE">
        <w:rPr>
          <w:color w:val="161516"/>
          <w:spacing w:val="50"/>
        </w:rPr>
        <w:t xml:space="preserve"> </w:t>
      </w:r>
      <w:r w:rsidRPr="002866FE">
        <w:rPr>
          <w:color w:val="161516"/>
        </w:rPr>
        <w:t>ought</w:t>
      </w:r>
      <w:r w:rsidRPr="002866FE">
        <w:rPr>
          <w:color w:val="161516"/>
          <w:spacing w:val="26"/>
        </w:rPr>
        <w:t xml:space="preserve"> </w:t>
      </w:r>
      <w:r w:rsidRPr="002866FE">
        <w:rPr>
          <w:color w:val="161516"/>
        </w:rPr>
        <w:t>to</w:t>
      </w:r>
      <w:r w:rsidRPr="002866FE">
        <w:rPr>
          <w:color w:val="161516"/>
          <w:spacing w:val="29"/>
        </w:rPr>
        <w:t xml:space="preserve"> </w:t>
      </w:r>
      <w:r w:rsidRPr="002866FE">
        <w:rPr>
          <w:color w:val="161516"/>
        </w:rPr>
        <w:t>have</w:t>
      </w:r>
      <w:r w:rsidRPr="002866FE">
        <w:rPr>
          <w:color w:val="161516"/>
          <w:spacing w:val="24"/>
        </w:rPr>
        <w:t xml:space="preserve"> </w:t>
      </w:r>
      <w:r w:rsidRPr="002866FE">
        <w:rPr>
          <w:color w:val="161516"/>
        </w:rPr>
        <w:t>considered</w:t>
      </w:r>
      <w:r w:rsidRPr="002866FE">
        <w:rPr>
          <w:color w:val="161516"/>
          <w:spacing w:val="29"/>
        </w:rPr>
        <w:t xml:space="preserve"> </w:t>
      </w:r>
      <w:r w:rsidRPr="002866FE">
        <w:rPr>
          <w:color w:val="161516"/>
        </w:rPr>
        <w:t>the</w:t>
      </w:r>
      <w:r w:rsidRPr="002866FE">
        <w:rPr>
          <w:color w:val="161516"/>
          <w:spacing w:val="15"/>
        </w:rPr>
        <w:t xml:space="preserve"> </w:t>
      </w:r>
      <w:r w:rsidR="005301E4" w:rsidRPr="002866FE">
        <w:rPr>
          <w:color w:val="161516"/>
        </w:rPr>
        <w:t>wilful</w:t>
      </w:r>
      <w:r w:rsidRPr="002866FE">
        <w:rPr>
          <w:color w:val="161516"/>
          <w:spacing w:val="30"/>
        </w:rPr>
        <w:t xml:space="preserve"> </w:t>
      </w:r>
      <w:r w:rsidRPr="002866FE">
        <w:rPr>
          <w:color w:val="161516"/>
        </w:rPr>
        <w:t>default</w:t>
      </w:r>
      <w:r w:rsidRPr="002866FE">
        <w:rPr>
          <w:color w:val="161516"/>
          <w:spacing w:val="45"/>
        </w:rPr>
        <w:t xml:space="preserve"> </w:t>
      </w:r>
      <w:r w:rsidRPr="002866FE">
        <w:rPr>
          <w:color w:val="28282A"/>
        </w:rPr>
        <w:t>requirement</w:t>
      </w:r>
      <w:r w:rsidRPr="002866FE">
        <w:rPr>
          <w:color w:val="28282A"/>
          <w:spacing w:val="33"/>
        </w:rPr>
        <w:t xml:space="preserve"> </w:t>
      </w:r>
      <w:r w:rsidRPr="002866FE">
        <w:rPr>
          <w:color w:val="161516"/>
        </w:rPr>
        <w:t>of</w:t>
      </w:r>
      <w:r w:rsidRPr="002866FE">
        <w:rPr>
          <w:color w:val="161516"/>
          <w:spacing w:val="12"/>
        </w:rPr>
        <w:t xml:space="preserve"> </w:t>
      </w:r>
      <w:r w:rsidRPr="002866FE">
        <w:rPr>
          <w:color w:val="161516"/>
        </w:rPr>
        <w:t>a</w:t>
      </w:r>
      <w:r w:rsidRPr="002866FE">
        <w:rPr>
          <w:color w:val="161516"/>
          <w:w w:val="96"/>
        </w:rPr>
        <w:t xml:space="preserve"> </w:t>
      </w:r>
      <w:r w:rsidRPr="002866FE">
        <w:rPr>
          <w:color w:val="161516"/>
        </w:rPr>
        <w:t>rescission</w:t>
      </w:r>
      <w:r w:rsidRPr="002866FE">
        <w:rPr>
          <w:color w:val="161516"/>
          <w:spacing w:val="48"/>
        </w:rPr>
        <w:t xml:space="preserve"> </w:t>
      </w:r>
      <w:r w:rsidRPr="002866FE">
        <w:rPr>
          <w:color w:val="161516"/>
        </w:rPr>
        <w:t>separate</w:t>
      </w:r>
      <w:r w:rsidRPr="002866FE">
        <w:rPr>
          <w:color w:val="161516"/>
          <w:spacing w:val="40"/>
        </w:rPr>
        <w:t xml:space="preserve"> </w:t>
      </w:r>
      <w:r w:rsidRPr="002866FE">
        <w:rPr>
          <w:color w:val="161516"/>
        </w:rPr>
        <w:t>to</w:t>
      </w:r>
      <w:r w:rsidRPr="002866FE">
        <w:rPr>
          <w:color w:val="161516"/>
          <w:spacing w:val="40"/>
        </w:rPr>
        <w:t xml:space="preserve"> </w:t>
      </w:r>
      <w:r w:rsidRPr="002866FE">
        <w:rPr>
          <w:color w:val="161516"/>
        </w:rPr>
        <w:t>the</w:t>
      </w:r>
      <w:r w:rsidRPr="002866FE">
        <w:rPr>
          <w:color w:val="161516"/>
          <w:spacing w:val="40"/>
        </w:rPr>
        <w:t xml:space="preserve"> </w:t>
      </w:r>
      <w:r w:rsidRPr="002866FE">
        <w:rPr>
          <w:color w:val="161516"/>
        </w:rPr>
        <w:t>question</w:t>
      </w:r>
      <w:r w:rsidRPr="002866FE">
        <w:rPr>
          <w:color w:val="161516"/>
          <w:spacing w:val="52"/>
        </w:rPr>
        <w:t xml:space="preserve"> </w:t>
      </w:r>
      <w:r w:rsidRPr="002866FE">
        <w:rPr>
          <w:color w:val="161516"/>
        </w:rPr>
        <w:t>of</w:t>
      </w:r>
      <w:r w:rsidRPr="002866FE">
        <w:rPr>
          <w:color w:val="161516"/>
          <w:spacing w:val="39"/>
        </w:rPr>
        <w:t xml:space="preserve"> </w:t>
      </w:r>
      <w:r w:rsidRPr="002866FE">
        <w:rPr>
          <w:color w:val="161516"/>
        </w:rPr>
        <w:t>whether</w:t>
      </w:r>
      <w:r w:rsidRPr="002866FE">
        <w:rPr>
          <w:color w:val="161516"/>
          <w:spacing w:val="10"/>
        </w:rPr>
        <w:t xml:space="preserve"> </w:t>
      </w:r>
      <w:r w:rsidRPr="002866FE">
        <w:rPr>
          <w:color w:val="161516"/>
        </w:rPr>
        <w:t>or</w:t>
      </w:r>
      <w:r w:rsidRPr="002866FE">
        <w:rPr>
          <w:color w:val="161516"/>
          <w:spacing w:val="50"/>
        </w:rPr>
        <w:t xml:space="preserve"> </w:t>
      </w:r>
      <w:r w:rsidRPr="002866FE">
        <w:rPr>
          <w:color w:val="161516"/>
        </w:rPr>
        <w:t>not</w:t>
      </w:r>
      <w:r w:rsidRPr="002866FE">
        <w:rPr>
          <w:color w:val="161516"/>
          <w:spacing w:val="39"/>
        </w:rPr>
        <w:t xml:space="preserve"> </w:t>
      </w:r>
      <w:r w:rsidRPr="002866FE">
        <w:rPr>
          <w:color w:val="161516"/>
        </w:rPr>
        <w:t>service</w:t>
      </w:r>
      <w:r w:rsidRPr="002866FE">
        <w:rPr>
          <w:color w:val="161516"/>
          <w:spacing w:val="33"/>
        </w:rPr>
        <w:t xml:space="preserve"> </w:t>
      </w:r>
      <w:r w:rsidRPr="002866FE">
        <w:rPr>
          <w:color w:val="28282A"/>
        </w:rPr>
        <w:t>was</w:t>
      </w:r>
      <w:r w:rsidRPr="002866FE">
        <w:rPr>
          <w:color w:val="28282A"/>
          <w:spacing w:val="49"/>
        </w:rPr>
        <w:t xml:space="preserve"> </w:t>
      </w:r>
      <w:r w:rsidRPr="002866FE">
        <w:rPr>
          <w:color w:val="28282A"/>
        </w:rPr>
        <w:t>effected</w:t>
      </w:r>
      <w:r w:rsidRPr="002866FE">
        <w:rPr>
          <w:color w:val="28282A"/>
          <w:spacing w:val="57"/>
        </w:rPr>
        <w:t xml:space="preserve"> </w:t>
      </w:r>
      <w:r w:rsidRPr="002866FE">
        <w:rPr>
          <w:color w:val="161516"/>
        </w:rPr>
        <w:t>in</w:t>
      </w:r>
      <w:r w:rsidRPr="002866FE">
        <w:rPr>
          <w:color w:val="161516"/>
          <w:w w:val="105"/>
        </w:rPr>
        <w:t xml:space="preserve"> </w:t>
      </w:r>
      <w:r w:rsidRPr="002866FE">
        <w:rPr>
          <w:color w:val="161516"/>
        </w:rPr>
        <w:t>accordance</w:t>
      </w:r>
      <w:r w:rsidRPr="002866FE">
        <w:rPr>
          <w:color w:val="161516"/>
          <w:spacing w:val="31"/>
        </w:rPr>
        <w:t xml:space="preserve"> </w:t>
      </w:r>
      <w:r w:rsidRPr="002866FE">
        <w:rPr>
          <w:color w:val="161516"/>
        </w:rPr>
        <w:t>with</w:t>
      </w:r>
      <w:r w:rsidRPr="002866FE">
        <w:rPr>
          <w:color w:val="161516"/>
          <w:spacing w:val="20"/>
        </w:rPr>
        <w:t xml:space="preserve"> </w:t>
      </w:r>
      <w:r w:rsidRPr="002866FE">
        <w:rPr>
          <w:color w:val="161516"/>
        </w:rPr>
        <w:t>the</w:t>
      </w:r>
      <w:r w:rsidRPr="002866FE">
        <w:rPr>
          <w:color w:val="161516"/>
          <w:spacing w:val="27"/>
        </w:rPr>
        <w:t xml:space="preserve"> </w:t>
      </w:r>
      <w:r w:rsidRPr="002866FE">
        <w:rPr>
          <w:color w:val="161516"/>
          <w:spacing w:val="-21"/>
        </w:rPr>
        <w:t>l</w:t>
      </w:r>
      <w:r w:rsidRPr="002866FE">
        <w:rPr>
          <w:color w:val="161516"/>
        </w:rPr>
        <w:t>etter</w:t>
      </w:r>
      <w:r w:rsidRPr="002866FE">
        <w:rPr>
          <w:color w:val="161516"/>
          <w:spacing w:val="27"/>
        </w:rPr>
        <w:t xml:space="preserve"> </w:t>
      </w:r>
      <w:r w:rsidRPr="002866FE">
        <w:rPr>
          <w:color w:val="161516"/>
        </w:rPr>
        <w:t>of</w:t>
      </w:r>
      <w:r w:rsidRPr="002866FE">
        <w:rPr>
          <w:color w:val="161516"/>
          <w:spacing w:val="8"/>
        </w:rPr>
        <w:t xml:space="preserve"> </w:t>
      </w:r>
      <w:r w:rsidRPr="002866FE">
        <w:rPr>
          <w:color w:val="161516"/>
        </w:rPr>
        <w:t>the</w:t>
      </w:r>
      <w:r w:rsidRPr="002866FE">
        <w:rPr>
          <w:color w:val="161516"/>
          <w:spacing w:val="36"/>
        </w:rPr>
        <w:t xml:space="preserve"> </w:t>
      </w:r>
      <w:r w:rsidRPr="002866FE">
        <w:rPr>
          <w:color w:val="161516"/>
        </w:rPr>
        <w:t>Un</w:t>
      </w:r>
      <w:r w:rsidRPr="002866FE">
        <w:rPr>
          <w:color w:val="161516"/>
          <w:spacing w:val="-22"/>
        </w:rPr>
        <w:t>i</w:t>
      </w:r>
      <w:r w:rsidRPr="002866FE">
        <w:rPr>
          <w:color w:val="161516"/>
        </w:rPr>
        <w:t>form</w:t>
      </w:r>
      <w:r w:rsidRPr="002866FE">
        <w:rPr>
          <w:color w:val="161516"/>
          <w:spacing w:val="36"/>
        </w:rPr>
        <w:t xml:space="preserve"> </w:t>
      </w:r>
      <w:r w:rsidRPr="002866FE">
        <w:rPr>
          <w:color w:val="161516"/>
        </w:rPr>
        <w:t>Ru</w:t>
      </w:r>
      <w:r w:rsidRPr="002866FE">
        <w:rPr>
          <w:color w:val="161516"/>
          <w:spacing w:val="-15"/>
        </w:rPr>
        <w:t>l</w:t>
      </w:r>
      <w:r w:rsidRPr="002866FE">
        <w:rPr>
          <w:color w:val="161516"/>
        </w:rPr>
        <w:t>es.</w:t>
      </w:r>
    </w:p>
    <w:p w14:paraId="4E305296" w14:textId="0977A7E8" w:rsidR="00E56F16" w:rsidRPr="002866FE" w:rsidRDefault="002866FE" w:rsidP="002866FE">
      <w:pPr>
        <w:pStyle w:val="ListParagraph"/>
        <w:numPr>
          <w:ilvl w:val="0"/>
          <w:numId w:val="20"/>
        </w:numPr>
        <w:spacing w:after="120" w:line="360" w:lineRule="auto"/>
        <w:ind w:left="567" w:hanging="567"/>
        <w:jc w:val="both"/>
        <w:rPr>
          <w:color w:val="000000"/>
        </w:rPr>
      </w:pPr>
      <w:r>
        <w:rPr>
          <w:rFonts w:eastAsia="Calibri" w:hAnsi="Calibri"/>
          <w:color w:val="0E0E0E"/>
        </w:rPr>
        <w:lastRenderedPageBreak/>
        <w:t xml:space="preserve">The court quo dismissed the application, having </w:t>
      </w:r>
      <w:r w:rsidR="00E56F16" w:rsidRPr="002866FE">
        <w:rPr>
          <w:color w:val="161516"/>
        </w:rPr>
        <w:t>found</w:t>
      </w:r>
      <w:r w:rsidR="00E56F16" w:rsidRPr="002866FE">
        <w:rPr>
          <w:color w:val="161516"/>
          <w:spacing w:val="34"/>
        </w:rPr>
        <w:t xml:space="preserve"> </w:t>
      </w:r>
      <w:r w:rsidR="00E56F16" w:rsidRPr="002866FE">
        <w:rPr>
          <w:color w:val="161516"/>
        </w:rPr>
        <w:t>no</w:t>
      </w:r>
      <w:r w:rsidR="00E56F16" w:rsidRPr="002866FE">
        <w:rPr>
          <w:color w:val="161516"/>
          <w:spacing w:val="-1"/>
        </w:rPr>
        <w:t xml:space="preserve"> </w:t>
      </w:r>
      <w:r>
        <w:rPr>
          <w:color w:val="161516"/>
          <w:spacing w:val="-1"/>
        </w:rPr>
        <w:t>‘</w:t>
      </w:r>
      <w:r w:rsidR="00E56F16" w:rsidRPr="002866FE">
        <w:rPr>
          <w:color w:val="161516"/>
        </w:rPr>
        <w:t>good</w:t>
      </w:r>
      <w:r w:rsidR="00E56F16" w:rsidRPr="002866FE">
        <w:rPr>
          <w:color w:val="161516"/>
          <w:spacing w:val="17"/>
        </w:rPr>
        <w:t xml:space="preserve"> </w:t>
      </w:r>
      <w:r w:rsidR="00E56F16" w:rsidRPr="002866FE">
        <w:rPr>
          <w:color w:val="28282A"/>
        </w:rPr>
        <w:t>cause</w:t>
      </w:r>
      <w:r>
        <w:rPr>
          <w:color w:val="28282A"/>
        </w:rPr>
        <w:t>’</w:t>
      </w:r>
      <w:r w:rsidR="00E56F16" w:rsidRPr="002866FE">
        <w:rPr>
          <w:color w:val="28282A"/>
          <w:spacing w:val="6"/>
        </w:rPr>
        <w:t xml:space="preserve"> </w:t>
      </w:r>
      <w:r w:rsidR="00E56F16" w:rsidRPr="002866FE">
        <w:rPr>
          <w:color w:val="28282A"/>
        </w:rPr>
        <w:t>for</w:t>
      </w:r>
      <w:r w:rsidR="00E56F16" w:rsidRPr="002866FE">
        <w:rPr>
          <w:color w:val="28282A"/>
          <w:spacing w:val="18"/>
        </w:rPr>
        <w:t xml:space="preserve"> </w:t>
      </w:r>
      <w:r w:rsidR="00E56F16" w:rsidRPr="002866FE">
        <w:rPr>
          <w:color w:val="3F3F41"/>
        </w:rPr>
        <w:t>cond</w:t>
      </w:r>
      <w:r w:rsidR="00E56F16" w:rsidRPr="002866FE">
        <w:rPr>
          <w:color w:val="3F3F41"/>
          <w:spacing w:val="26"/>
        </w:rPr>
        <w:t>o</w:t>
      </w:r>
      <w:r w:rsidR="00E56F16" w:rsidRPr="002866FE">
        <w:rPr>
          <w:color w:val="161516"/>
        </w:rPr>
        <w:t>nation</w:t>
      </w:r>
      <w:r w:rsidR="00E56F16" w:rsidRPr="002866FE">
        <w:rPr>
          <w:color w:val="161516"/>
          <w:spacing w:val="11"/>
        </w:rPr>
        <w:t xml:space="preserve"> </w:t>
      </w:r>
      <w:r w:rsidR="00E56F16" w:rsidRPr="002866FE">
        <w:rPr>
          <w:color w:val="28282A"/>
        </w:rPr>
        <w:t>in</w:t>
      </w:r>
      <w:r w:rsidR="00E56F16" w:rsidRPr="002866FE">
        <w:rPr>
          <w:color w:val="28282A"/>
          <w:spacing w:val="52"/>
        </w:rPr>
        <w:t xml:space="preserve"> </w:t>
      </w:r>
      <w:r w:rsidR="00E56F16" w:rsidRPr="002866FE">
        <w:rPr>
          <w:color w:val="28282A"/>
        </w:rPr>
        <w:t>circumstances</w:t>
      </w:r>
      <w:r w:rsidR="00E56F16" w:rsidRPr="002866FE">
        <w:rPr>
          <w:color w:val="28282A"/>
          <w:spacing w:val="32"/>
        </w:rPr>
        <w:t xml:space="preserve"> </w:t>
      </w:r>
      <w:r w:rsidR="00E56F16" w:rsidRPr="002866FE">
        <w:rPr>
          <w:color w:val="161516"/>
        </w:rPr>
        <w:t>wher</w:t>
      </w:r>
      <w:r w:rsidR="00E56F16" w:rsidRPr="002866FE">
        <w:rPr>
          <w:color w:val="161516"/>
          <w:spacing w:val="27"/>
        </w:rPr>
        <w:t xml:space="preserve">e </w:t>
      </w:r>
      <w:r w:rsidR="00E56F16" w:rsidRPr="002866FE">
        <w:rPr>
          <w:color w:val="505050"/>
        </w:rPr>
        <w:t xml:space="preserve">he </w:t>
      </w:r>
      <w:r w:rsidR="00E56F16" w:rsidRPr="002866FE">
        <w:rPr>
          <w:color w:val="232323"/>
        </w:rPr>
        <w:t>had</w:t>
      </w:r>
      <w:r w:rsidR="00E56F16" w:rsidRPr="002866FE">
        <w:rPr>
          <w:color w:val="232323"/>
          <w:spacing w:val="-10"/>
        </w:rPr>
        <w:t xml:space="preserve"> </w:t>
      </w:r>
      <w:r w:rsidR="00E56F16" w:rsidRPr="002866FE">
        <w:rPr>
          <w:color w:val="232323"/>
        </w:rPr>
        <w:t>a</w:t>
      </w:r>
      <w:r w:rsidR="00E56F16" w:rsidRPr="002866FE">
        <w:rPr>
          <w:color w:val="232323"/>
          <w:spacing w:val="-2"/>
        </w:rPr>
        <w:t>l</w:t>
      </w:r>
      <w:r w:rsidR="00E56F16" w:rsidRPr="002866FE">
        <w:rPr>
          <w:color w:val="232323"/>
        </w:rPr>
        <w:t>ready</w:t>
      </w:r>
      <w:r w:rsidR="00E56F16" w:rsidRPr="002866FE">
        <w:rPr>
          <w:color w:val="232323"/>
          <w:spacing w:val="-2"/>
        </w:rPr>
        <w:t xml:space="preserve"> </w:t>
      </w:r>
      <w:r w:rsidR="00E56F16" w:rsidRPr="002866FE">
        <w:rPr>
          <w:color w:val="111113"/>
        </w:rPr>
        <w:t>found</w:t>
      </w:r>
      <w:r w:rsidR="00E56F16" w:rsidRPr="002866FE">
        <w:rPr>
          <w:color w:val="111113"/>
          <w:spacing w:val="13"/>
        </w:rPr>
        <w:t xml:space="preserve"> </w:t>
      </w:r>
      <w:r w:rsidR="00E56F16" w:rsidRPr="002866FE">
        <w:rPr>
          <w:color w:val="111113"/>
        </w:rPr>
        <w:t>that</w:t>
      </w:r>
      <w:r w:rsidR="00E56F16" w:rsidRPr="002866FE">
        <w:rPr>
          <w:color w:val="111113"/>
          <w:spacing w:val="-5"/>
        </w:rPr>
        <w:t xml:space="preserve"> </w:t>
      </w:r>
      <w:r w:rsidR="00E56F16" w:rsidRPr="002866FE">
        <w:rPr>
          <w:color w:val="111113"/>
        </w:rPr>
        <w:t>the</w:t>
      </w:r>
      <w:r w:rsidR="00E56F16" w:rsidRPr="002866FE">
        <w:rPr>
          <w:color w:val="111113"/>
          <w:spacing w:val="-4"/>
        </w:rPr>
        <w:t xml:space="preserve"> </w:t>
      </w:r>
      <w:r w:rsidR="00E56F16" w:rsidRPr="002866FE">
        <w:rPr>
          <w:color w:val="232323"/>
        </w:rPr>
        <w:t>applica</w:t>
      </w:r>
      <w:r w:rsidR="00E56F16" w:rsidRPr="002866FE">
        <w:rPr>
          <w:color w:val="232323"/>
          <w:spacing w:val="16"/>
        </w:rPr>
        <w:t>t</w:t>
      </w:r>
      <w:r w:rsidR="00E56F16" w:rsidRPr="002866FE">
        <w:rPr>
          <w:color w:val="494949"/>
          <w:spacing w:val="-10"/>
        </w:rPr>
        <w:t>i</w:t>
      </w:r>
      <w:r w:rsidR="00E56F16" w:rsidRPr="002866FE">
        <w:rPr>
          <w:color w:val="232323"/>
        </w:rPr>
        <w:t>on</w:t>
      </w:r>
      <w:r w:rsidR="00E56F16" w:rsidRPr="002866FE">
        <w:rPr>
          <w:color w:val="232323"/>
          <w:spacing w:val="-11"/>
        </w:rPr>
        <w:t xml:space="preserve"> </w:t>
      </w:r>
      <w:r w:rsidR="00E56F16" w:rsidRPr="002866FE">
        <w:rPr>
          <w:color w:val="232323"/>
        </w:rPr>
        <w:t>was</w:t>
      </w:r>
      <w:r w:rsidR="00E56F16" w:rsidRPr="002866FE">
        <w:rPr>
          <w:color w:val="232323"/>
          <w:spacing w:val="13"/>
        </w:rPr>
        <w:t xml:space="preserve"> </w:t>
      </w:r>
      <w:r w:rsidR="00E56F16" w:rsidRPr="002866FE">
        <w:rPr>
          <w:color w:val="232323"/>
        </w:rPr>
        <w:t>one</w:t>
      </w:r>
      <w:r w:rsidR="00E56F16" w:rsidRPr="002866FE">
        <w:rPr>
          <w:color w:val="232323"/>
          <w:spacing w:val="8"/>
        </w:rPr>
        <w:t xml:space="preserve"> </w:t>
      </w:r>
      <w:r w:rsidR="00E56F16" w:rsidRPr="002866FE">
        <w:rPr>
          <w:color w:val="363636"/>
          <w:spacing w:val="-16"/>
        </w:rPr>
        <w:t>i</w:t>
      </w:r>
      <w:r w:rsidR="00E56F16" w:rsidRPr="002866FE">
        <w:rPr>
          <w:color w:val="111113"/>
        </w:rPr>
        <w:t>n</w:t>
      </w:r>
      <w:r w:rsidR="00E56F16" w:rsidRPr="002866FE">
        <w:rPr>
          <w:color w:val="111113"/>
          <w:spacing w:val="-24"/>
        </w:rPr>
        <w:t xml:space="preserve"> </w:t>
      </w:r>
      <w:r w:rsidR="00E56F16" w:rsidRPr="002866FE">
        <w:rPr>
          <w:color w:val="232323"/>
        </w:rPr>
        <w:t>terms</w:t>
      </w:r>
      <w:r w:rsidR="00E56F16" w:rsidRPr="002866FE">
        <w:rPr>
          <w:color w:val="232323"/>
          <w:w w:val="98"/>
        </w:rPr>
        <w:t xml:space="preserve"> </w:t>
      </w:r>
      <w:r w:rsidR="00E56F16" w:rsidRPr="002866FE">
        <w:rPr>
          <w:color w:val="111113"/>
        </w:rPr>
        <w:t>of</w:t>
      </w:r>
      <w:r w:rsidR="00E56F16" w:rsidRPr="002866FE">
        <w:rPr>
          <w:color w:val="111113"/>
          <w:spacing w:val="28"/>
        </w:rPr>
        <w:t xml:space="preserve"> </w:t>
      </w:r>
      <w:r w:rsidR="00E56F16" w:rsidRPr="002866FE">
        <w:rPr>
          <w:color w:val="111113"/>
        </w:rPr>
        <w:t>Uniform</w:t>
      </w:r>
      <w:r w:rsidR="00E56F16" w:rsidRPr="002866FE">
        <w:rPr>
          <w:color w:val="111113"/>
          <w:spacing w:val="40"/>
        </w:rPr>
        <w:t xml:space="preserve"> </w:t>
      </w:r>
      <w:r w:rsidR="00E56F16" w:rsidRPr="002866FE">
        <w:rPr>
          <w:color w:val="111113"/>
        </w:rPr>
        <w:t>Ru</w:t>
      </w:r>
      <w:r w:rsidR="00E56F16" w:rsidRPr="002866FE">
        <w:rPr>
          <w:color w:val="111113"/>
          <w:spacing w:val="-15"/>
        </w:rPr>
        <w:t>l</w:t>
      </w:r>
      <w:r w:rsidR="00E56F16" w:rsidRPr="002866FE">
        <w:rPr>
          <w:color w:val="111113"/>
        </w:rPr>
        <w:t>e</w:t>
      </w:r>
      <w:r w:rsidR="00E56F16" w:rsidRPr="002866FE">
        <w:rPr>
          <w:color w:val="111113"/>
          <w:spacing w:val="2"/>
        </w:rPr>
        <w:t xml:space="preserve"> </w:t>
      </w:r>
      <w:r w:rsidR="00E56F16" w:rsidRPr="002866FE">
        <w:rPr>
          <w:color w:val="232323"/>
        </w:rPr>
        <w:t>42</w:t>
      </w:r>
      <w:r w:rsidR="00E56F16" w:rsidRPr="002866FE">
        <w:rPr>
          <w:color w:val="232323"/>
          <w:spacing w:val="21"/>
        </w:rPr>
        <w:t xml:space="preserve"> </w:t>
      </w:r>
      <w:r w:rsidR="00E56F16" w:rsidRPr="002866FE">
        <w:rPr>
          <w:color w:val="232323"/>
        </w:rPr>
        <w:t>and</w:t>
      </w:r>
      <w:r w:rsidR="00E56F16" w:rsidRPr="002866FE">
        <w:rPr>
          <w:color w:val="232323"/>
          <w:spacing w:val="12"/>
        </w:rPr>
        <w:t xml:space="preserve"> </w:t>
      </w:r>
      <w:r w:rsidR="00E56F16" w:rsidRPr="002866FE">
        <w:rPr>
          <w:color w:val="111113"/>
        </w:rPr>
        <w:t>the</w:t>
      </w:r>
      <w:r w:rsidR="00E56F16" w:rsidRPr="002866FE">
        <w:rPr>
          <w:color w:val="111113"/>
          <w:spacing w:val="22"/>
        </w:rPr>
        <w:t xml:space="preserve"> </w:t>
      </w:r>
      <w:r w:rsidR="00E56F16" w:rsidRPr="002866FE">
        <w:rPr>
          <w:color w:val="232323"/>
        </w:rPr>
        <w:t>common</w:t>
      </w:r>
      <w:r w:rsidR="00E56F16" w:rsidRPr="002866FE">
        <w:rPr>
          <w:color w:val="232323"/>
          <w:spacing w:val="40"/>
        </w:rPr>
        <w:t xml:space="preserve"> </w:t>
      </w:r>
      <w:r w:rsidR="00E56F16" w:rsidRPr="002866FE">
        <w:rPr>
          <w:color w:val="111113"/>
          <w:spacing w:val="-21"/>
        </w:rPr>
        <w:t>l</w:t>
      </w:r>
      <w:r w:rsidR="00E56F16" w:rsidRPr="002866FE">
        <w:rPr>
          <w:color w:val="111113"/>
        </w:rPr>
        <w:t>a</w:t>
      </w:r>
      <w:r w:rsidR="00E56F16" w:rsidRPr="002866FE">
        <w:rPr>
          <w:color w:val="111113"/>
          <w:spacing w:val="9"/>
        </w:rPr>
        <w:t>w</w:t>
      </w:r>
      <w:r w:rsidR="00E56F16" w:rsidRPr="002866FE">
        <w:rPr>
          <w:color w:val="494949"/>
        </w:rPr>
        <w:t>;</w:t>
      </w:r>
      <w:r w:rsidR="00E56F16" w:rsidRPr="002866FE">
        <w:rPr>
          <w:color w:val="494949"/>
          <w:spacing w:val="-14"/>
        </w:rPr>
        <w:t xml:space="preserve"> </w:t>
      </w:r>
      <w:r w:rsidR="00E56F16" w:rsidRPr="002866FE">
        <w:rPr>
          <w:color w:val="111113"/>
        </w:rPr>
        <w:t xml:space="preserve">and </w:t>
      </w:r>
      <w:r w:rsidR="00E56F16" w:rsidRPr="002866FE">
        <w:rPr>
          <w:color w:val="232323"/>
        </w:rPr>
        <w:t>condonation</w:t>
      </w:r>
      <w:r w:rsidR="00E56F16" w:rsidRPr="002866FE">
        <w:rPr>
          <w:color w:val="232323"/>
          <w:spacing w:val="15"/>
        </w:rPr>
        <w:t xml:space="preserve"> </w:t>
      </w:r>
      <w:r w:rsidR="00E56F16" w:rsidRPr="002866FE">
        <w:rPr>
          <w:color w:val="232323"/>
        </w:rPr>
        <w:t>was</w:t>
      </w:r>
      <w:r w:rsidR="00E56F16" w:rsidRPr="002866FE">
        <w:rPr>
          <w:color w:val="232323"/>
          <w:spacing w:val="30"/>
        </w:rPr>
        <w:t xml:space="preserve"> </w:t>
      </w:r>
      <w:r w:rsidR="00E56F16" w:rsidRPr="002866FE">
        <w:rPr>
          <w:color w:val="111113"/>
        </w:rPr>
        <w:t>not</w:t>
      </w:r>
      <w:r w:rsidR="00E56F16" w:rsidRPr="002866FE">
        <w:rPr>
          <w:color w:val="111113"/>
          <w:spacing w:val="19"/>
        </w:rPr>
        <w:t xml:space="preserve"> </w:t>
      </w:r>
      <w:r w:rsidR="00E56F16" w:rsidRPr="002866FE">
        <w:rPr>
          <w:color w:val="111113"/>
        </w:rPr>
        <w:t>required.</w:t>
      </w:r>
    </w:p>
    <w:p w14:paraId="27D0168C" w14:textId="6E1474C1" w:rsidR="005301E4" w:rsidRPr="002866FE" w:rsidRDefault="00E56F16" w:rsidP="002866FE">
      <w:pPr>
        <w:pStyle w:val="ListParagraph"/>
        <w:numPr>
          <w:ilvl w:val="0"/>
          <w:numId w:val="20"/>
        </w:numPr>
        <w:spacing w:after="120" w:line="360" w:lineRule="auto"/>
        <w:ind w:left="567" w:hanging="567"/>
        <w:jc w:val="both"/>
        <w:rPr>
          <w:color w:val="000000"/>
        </w:rPr>
      </w:pPr>
      <w:r w:rsidRPr="002866FE">
        <w:rPr>
          <w:color w:val="111113"/>
        </w:rPr>
        <w:t>The</w:t>
      </w:r>
      <w:r w:rsidRPr="002866FE">
        <w:rPr>
          <w:color w:val="111113"/>
          <w:spacing w:val="54"/>
        </w:rPr>
        <w:t xml:space="preserve"> </w:t>
      </w:r>
      <w:r w:rsidRPr="002866FE">
        <w:rPr>
          <w:color w:val="111113"/>
        </w:rPr>
        <w:t>court</w:t>
      </w:r>
      <w:r w:rsidRPr="002866FE">
        <w:rPr>
          <w:color w:val="111113"/>
          <w:spacing w:val="53"/>
        </w:rPr>
        <w:t xml:space="preserve"> </w:t>
      </w:r>
      <w:r w:rsidRPr="002866FE">
        <w:rPr>
          <w:color w:val="232323"/>
        </w:rPr>
        <w:t>found</w:t>
      </w:r>
      <w:r w:rsidRPr="002866FE">
        <w:rPr>
          <w:color w:val="232323"/>
          <w:spacing w:val="49"/>
        </w:rPr>
        <w:t xml:space="preserve"> </w:t>
      </w:r>
      <w:r w:rsidRPr="002866FE">
        <w:rPr>
          <w:color w:val="111113"/>
        </w:rPr>
        <w:t>that</w:t>
      </w:r>
      <w:r w:rsidRPr="002866FE">
        <w:rPr>
          <w:color w:val="111113"/>
          <w:spacing w:val="42"/>
        </w:rPr>
        <w:t xml:space="preserve"> </w:t>
      </w:r>
      <w:r w:rsidRPr="002866FE">
        <w:rPr>
          <w:color w:val="232323"/>
        </w:rPr>
        <w:t>the</w:t>
      </w:r>
      <w:r w:rsidRPr="002866FE">
        <w:rPr>
          <w:color w:val="232323"/>
          <w:spacing w:val="42"/>
        </w:rPr>
        <w:t xml:space="preserve"> </w:t>
      </w:r>
      <w:r w:rsidR="002866FE">
        <w:rPr>
          <w:color w:val="232323"/>
        </w:rPr>
        <w:t>appellants</w:t>
      </w:r>
      <w:r w:rsidRPr="002866FE">
        <w:rPr>
          <w:color w:val="232323"/>
        </w:rPr>
        <w:t xml:space="preserve"> </w:t>
      </w:r>
      <w:r w:rsidRPr="002866FE">
        <w:rPr>
          <w:color w:val="111113"/>
        </w:rPr>
        <w:t>were</w:t>
      </w:r>
      <w:r w:rsidRPr="002866FE">
        <w:rPr>
          <w:color w:val="111113"/>
          <w:spacing w:val="29"/>
        </w:rPr>
        <w:t xml:space="preserve"> </w:t>
      </w:r>
      <w:r w:rsidRPr="002866FE">
        <w:rPr>
          <w:color w:val="111113"/>
        </w:rPr>
        <w:t>under</w:t>
      </w:r>
      <w:r w:rsidRPr="002866FE">
        <w:rPr>
          <w:color w:val="111113"/>
          <w:spacing w:val="23"/>
        </w:rPr>
        <w:t xml:space="preserve"> </w:t>
      </w:r>
      <w:r w:rsidRPr="002866FE">
        <w:rPr>
          <w:color w:val="111113"/>
        </w:rPr>
        <w:t>an</w:t>
      </w:r>
      <w:r w:rsidRPr="002866FE">
        <w:rPr>
          <w:color w:val="111113"/>
          <w:spacing w:val="15"/>
        </w:rPr>
        <w:t xml:space="preserve"> </w:t>
      </w:r>
      <w:r w:rsidRPr="002866FE">
        <w:rPr>
          <w:color w:val="111113"/>
        </w:rPr>
        <w:t>obligation</w:t>
      </w:r>
      <w:r w:rsidRPr="002866FE">
        <w:rPr>
          <w:color w:val="111113"/>
          <w:spacing w:val="14"/>
        </w:rPr>
        <w:t xml:space="preserve"> </w:t>
      </w:r>
      <w:r w:rsidRPr="002866FE">
        <w:rPr>
          <w:color w:val="111113"/>
        </w:rPr>
        <w:t>to</w:t>
      </w:r>
      <w:r w:rsidRPr="002866FE">
        <w:rPr>
          <w:color w:val="111113"/>
          <w:spacing w:val="19"/>
        </w:rPr>
        <w:t xml:space="preserve"> </w:t>
      </w:r>
      <w:r w:rsidRPr="002866FE">
        <w:rPr>
          <w:color w:val="111113"/>
        </w:rPr>
        <w:t>proactively</w:t>
      </w:r>
      <w:r w:rsidRPr="002866FE">
        <w:rPr>
          <w:color w:val="111113"/>
          <w:spacing w:val="31"/>
        </w:rPr>
        <w:t xml:space="preserve"> </w:t>
      </w:r>
      <w:r w:rsidRPr="002866FE">
        <w:rPr>
          <w:color w:val="111113"/>
        </w:rPr>
        <w:t>monitor</w:t>
      </w:r>
      <w:r w:rsidRPr="002866FE">
        <w:rPr>
          <w:color w:val="111113"/>
          <w:spacing w:val="6"/>
        </w:rPr>
        <w:t xml:space="preserve"> </w:t>
      </w:r>
      <w:r w:rsidRPr="002866FE">
        <w:rPr>
          <w:color w:val="111113"/>
        </w:rPr>
        <w:t>the</w:t>
      </w:r>
      <w:r w:rsidRPr="002866FE">
        <w:rPr>
          <w:color w:val="111113"/>
          <w:spacing w:val="21"/>
        </w:rPr>
        <w:t xml:space="preserve"> </w:t>
      </w:r>
      <w:r w:rsidRPr="002866FE">
        <w:rPr>
          <w:color w:val="111113"/>
        </w:rPr>
        <w:t>progress</w:t>
      </w:r>
      <w:r w:rsidRPr="002866FE">
        <w:rPr>
          <w:color w:val="111113"/>
          <w:spacing w:val="14"/>
        </w:rPr>
        <w:t xml:space="preserve"> </w:t>
      </w:r>
      <w:r w:rsidRPr="002866FE">
        <w:rPr>
          <w:color w:val="111113"/>
        </w:rPr>
        <w:t>of</w:t>
      </w:r>
      <w:r w:rsidRPr="002866FE">
        <w:rPr>
          <w:color w:val="111113"/>
          <w:spacing w:val="1"/>
        </w:rPr>
        <w:t xml:space="preserve"> </w:t>
      </w:r>
      <w:r w:rsidRPr="002866FE">
        <w:rPr>
          <w:color w:val="111113"/>
        </w:rPr>
        <w:t>threatened</w:t>
      </w:r>
      <w:r w:rsidRPr="002866FE">
        <w:rPr>
          <w:color w:val="111113"/>
          <w:spacing w:val="39"/>
        </w:rPr>
        <w:t xml:space="preserve"> </w:t>
      </w:r>
      <w:r w:rsidRPr="002866FE">
        <w:rPr>
          <w:color w:val="111113"/>
        </w:rPr>
        <w:t>legal</w:t>
      </w:r>
      <w:r w:rsidRPr="002866FE">
        <w:rPr>
          <w:color w:val="111113"/>
          <w:w w:val="102"/>
        </w:rPr>
        <w:t xml:space="preserve"> </w:t>
      </w:r>
      <w:r w:rsidRPr="002866FE">
        <w:rPr>
          <w:color w:val="111113"/>
        </w:rPr>
        <w:t>action,</w:t>
      </w:r>
      <w:r w:rsidRPr="002866FE">
        <w:rPr>
          <w:color w:val="111113"/>
          <w:spacing w:val="54"/>
        </w:rPr>
        <w:t xml:space="preserve"> </w:t>
      </w:r>
      <w:r w:rsidRPr="002866FE">
        <w:rPr>
          <w:color w:val="111113"/>
        </w:rPr>
        <w:t>despite</w:t>
      </w:r>
      <w:r w:rsidRPr="002866FE">
        <w:rPr>
          <w:color w:val="363636"/>
        </w:rPr>
        <w:t xml:space="preserve"> </w:t>
      </w:r>
      <w:r w:rsidRPr="002866FE">
        <w:rPr>
          <w:color w:val="111113"/>
        </w:rPr>
        <w:t>having</w:t>
      </w:r>
      <w:r w:rsidRPr="002866FE">
        <w:rPr>
          <w:color w:val="111113"/>
          <w:spacing w:val="13"/>
        </w:rPr>
        <w:t xml:space="preserve"> </w:t>
      </w:r>
      <w:r w:rsidRPr="002866FE">
        <w:rPr>
          <w:color w:val="111113"/>
          <w:spacing w:val="-1"/>
        </w:rPr>
        <w:t>already</w:t>
      </w:r>
      <w:r w:rsidRPr="002866FE">
        <w:rPr>
          <w:color w:val="111113"/>
          <w:spacing w:val="9"/>
        </w:rPr>
        <w:t xml:space="preserve"> </w:t>
      </w:r>
      <w:r w:rsidRPr="002866FE">
        <w:rPr>
          <w:color w:val="111113"/>
        </w:rPr>
        <w:t>found</w:t>
      </w:r>
      <w:r w:rsidRPr="002866FE">
        <w:rPr>
          <w:color w:val="111113"/>
          <w:spacing w:val="27"/>
        </w:rPr>
        <w:t xml:space="preserve"> </w:t>
      </w:r>
      <w:r w:rsidRPr="002866FE">
        <w:rPr>
          <w:color w:val="111113"/>
        </w:rPr>
        <w:t>that</w:t>
      </w:r>
      <w:r w:rsidRPr="002866FE">
        <w:rPr>
          <w:color w:val="111113"/>
          <w:spacing w:val="33"/>
        </w:rPr>
        <w:t xml:space="preserve"> </w:t>
      </w:r>
      <w:r w:rsidRPr="002866FE">
        <w:rPr>
          <w:color w:val="232323"/>
        </w:rPr>
        <w:t>service</w:t>
      </w:r>
      <w:r w:rsidRPr="002866FE">
        <w:rPr>
          <w:color w:val="232323"/>
          <w:spacing w:val="28"/>
        </w:rPr>
        <w:t xml:space="preserve"> </w:t>
      </w:r>
      <w:r w:rsidRPr="002866FE">
        <w:rPr>
          <w:color w:val="232323"/>
        </w:rPr>
        <w:t>of</w:t>
      </w:r>
      <w:r w:rsidRPr="002866FE">
        <w:rPr>
          <w:color w:val="232323"/>
          <w:spacing w:val="3"/>
        </w:rPr>
        <w:t xml:space="preserve"> </w:t>
      </w:r>
      <w:r w:rsidRPr="002866FE">
        <w:rPr>
          <w:color w:val="111113"/>
        </w:rPr>
        <w:t>the</w:t>
      </w:r>
      <w:r w:rsidRPr="002866FE">
        <w:rPr>
          <w:color w:val="111113"/>
          <w:spacing w:val="22"/>
        </w:rPr>
        <w:t xml:space="preserve"> </w:t>
      </w:r>
      <w:r w:rsidRPr="002866FE">
        <w:rPr>
          <w:color w:val="111113"/>
        </w:rPr>
        <w:t>proceedings</w:t>
      </w:r>
      <w:r w:rsidRPr="002866FE">
        <w:rPr>
          <w:color w:val="111113"/>
          <w:spacing w:val="43"/>
        </w:rPr>
        <w:t xml:space="preserve"> </w:t>
      </w:r>
      <w:r w:rsidRPr="002866FE">
        <w:rPr>
          <w:color w:val="232323"/>
        </w:rPr>
        <w:t>and</w:t>
      </w:r>
      <w:r w:rsidRPr="002866FE">
        <w:rPr>
          <w:color w:val="232323"/>
          <w:spacing w:val="13"/>
        </w:rPr>
        <w:t xml:space="preserve"> </w:t>
      </w:r>
      <w:r w:rsidRPr="002866FE">
        <w:rPr>
          <w:color w:val="111113"/>
        </w:rPr>
        <w:t>the</w:t>
      </w:r>
      <w:r w:rsidRPr="002866FE">
        <w:rPr>
          <w:color w:val="111113"/>
          <w:spacing w:val="21"/>
        </w:rPr>
        <w:t xml:space="preserve"> </w:t>
      </w:r>
      <w:r w:rsidRPr="002866FE">
        <w:rPr>
          <w:color w:val="232323"/>
        </w:rPr>
        <w:t>summons</w:t>
      </w:r>
      <w:r w:rsidRPr="002866FE">
        <w:rPr>
          <w:color w:val="232323"/>
          <w:spacing w:val="24"/>
        </w:rPr>
        <w:t xml:space="preserve"> </w:t>
      </w:r>
      <w:r w:rsidRPr="002866FE">
        <w:rPr>
          <w:color w:val="111113"/>
        </w:rPr>
        <w:t>had</w:t>
      </w:r>
      <w:r w:rsidRPr="002866FE">
        <w:rPr>
          <w:color w:val="111113"/>
          <w:spacing w:val="16"/>
        </w:rPr>
        <w:t xml:space="preserve"> </w:t>
      </w:r>
      <w:r w:rsidRPr="002866FE">
        <w:rPr>
          <w:color w:val="111113"/>
        </w:rPr>
        <w:t>not</w:t>
      </w:r>
      <w:r w:rsidRPr="002866FE">
        <w:rPr>
          <w:color w:val="111113"/>
          <w:spacing w:val="10"/>
        </w:rPr>
        <w:t xml:space="preserve"> </w:t>
      </w:r>
      <w:r w:rsidRPr="002866FE">
        <w:rPr>
          <w:color w:val="232323"/>
        </w:rPr>
        <w:t>come</w:t>
      </w:r>
      <w:r w:rsidRPr="002866FE">
        <w:rPr>
          <w:color w:val="232323"/>
          <w:spacing w:val="8"/>
        </w:rPr>
        <w:t xml:space="preserve"> </w:t>
      </w:r>
      <w:r w:rsidRPr="002866FE">
        <w:rPr>
          <w:color w:val="111113"/>
        </w:rPr>
        <w:t>to</w:t>
      </w:r>
      <w:r w:rsidRPr="002866FE">
        <w:rPr>
          <w:color w:val="111113"/>
          <w:spacing w:val="11"/>
        </w:rPr>
        <w:t xml:space="preserve"> </w:t>
      </w:r>
      <w:r w:rsidRPr="002866FE">
        <w:rPr>
          <w:color w:val="111113"/>
        </w:rPr>
        <w:t>the</w:t>
      </w:r>
      <w:r w:rsidRPr="002866FE">
        <w:rPr>
          <w:color w:val="111113"/>
          <w:spacing w:val="11"/>
        </w:rPr>
        <w:t xml:space="preserve"> </w:t>
      </w:r>
      <w:r w:rsidR="002866FE">
        <w:rPr>
          <w:color w:val="232323"/>
        </w:rPr>
        <w:t>appellants’</w:t>
      </w:r>
      <w:r w:rsidRPr="002866FE">
        <w:rPr>
          <w:color w:val="494949"/>
          <w:spacing w:val="9"/>
        </w:rPr>
        <w:t xml:space="preserve"> </w:t>
      </w:r>
      <w:r w:rsidRPr="002866FE">
        <w:rPr>
          <w:color w:val="232323"/>
        </w:rPr>
        <w:t>attention;</w:t>
      </w:r>
      <w:r w:rsidRPr="002866FE">
        <w:rPr>
          <w:color w:val="232323"/>
          <w:spacing w:val="30"/>
        </w:rPr>
        <w:t xml:space="preserve"> </w:t>
      </w:r>
      <w:r w:rsidRPr="002866FE">
        <w:rPr>
          <w:color w:val="111113"/>
        </w:rPr>
        <w:t>and</w:t>
      </w:r>
      <w:r>
        <w:t xml:space="preserve"> </w:t>
      </w:r>
      <w:r w:rsidRPr="002866FE">
        <w:rPr>
          <w:color w:val="111113"/>
        </w:rPr>
        <w:t>Mr</w:t>
      </w:r>
      <w:r w:rsidR="005301E4" w:rsidRPr="002866FE">
        <w:rPr>
          <w:color w:val="111113"/>
        </w:rPr>
        <w:t xml:space="preserve"> Georgiades’ </w:t>
      </w:r>
      <w:r w:rsidRPr="002866FE">
        <w:rPr>
          <w:color w:val="494949"/>
        </w:rPr>
        <w:t>undertaking</w:t>
      </w:r>
      <w:r w:rsidR="005301E4" w:rsidRPr="002866FE">
        <w:rPr>
          <w:color w:val="111113"/>
        </w:rPr>
        <w:t xml:space="preserve"> to notify</w:t>
      </w:r>
      <w:r w:rsidRPr="002866FE">
        <w:rPr>
          <w:color w:val="111113"/>
          <w:spacing w:val="31"/>
        </w:rPr>
        <w:t xml:space="preserve"> </w:t>
      </w:r>
      <w:r w:rsidRPr="002866FE">
        <w:rPr>
          <w:color w:val="232323"/>
        </w:rPr>
        <w:t>the</w:t>
      </w:r>
      <w:r w:rsidR="005301E4" w:rsidRPr="002866FE">
        <w:rPr>
          <w:color w:val="232323"/>
        </w:rPr>
        <w:t xml:space="preserve"> </w:t>
      </w:r>
      <w:r w:rsidR="002866FE">
        <w:rPr>
          <w:color w:val="232323"/>
        </w:rPr>
        <w:t>appellants</w:t>
      </w:r>
      <w:r w:rsidRPr="002866FE">
        <w:rPr>
          <w:color w:val="232323"/>
        </w:rPr>
        <w:t xml:space="preserve"> if the matter</w:t>
      </w:r>
      <w:r w:rsidRPr="002866FE">
        <w:rPr>
          <w:color w:val="232323"/>
          <w:spacing w:val="33"/>
        </w:rPr>
        <w:t xml:space="preserve"> </w:t>
      </w:r>
      <w:r w:rsidRPr="002866FE">
        <w:rPr>
          <w:color w:val="111113"/>
        </w:rPr>
        <w:t>proceeded</w:t>
      </w:r>
      <w:r w:rsidRPr="002866FE">
        <w:rPr>
          <w:color w:val="111113"/>
          <w:spacing w:val="22"/>
        </w:rPr>
        <w:t xml:space="preserve"> </w:t>
      </w:r>
      <w:r w:rsidRPr="002866FE">
        <w:rPr>
          <w:color w:val="111113"/>
        </w:rPr>
        <w:t>in</w:t>
      </w:r>
      <w:r w:rsidRPr="002866FE">
        <w:rPr>
          <w:color w:val="111113"/>
          <w:spacing w:val="-4"/>
        </w:rPr>
        <w:t xml:space="preserve"> </w:t>
      </w:r>
      <w:r w:rsidRPr="002866FE">
        <w:rPr>
          <w:color w:val="111113"/>
        </w:rPr>
        <w:t>the</w:t>
      </w:r>
      <w:r w:rsidRPr="002866FE">
        <w:rPr>
          <w:color w:val="111113"/>
          <w:spacing w:val="11"/>
        </w:rPr>
        <w:t xml:space="preserve"> </w:t>
      </w:r>
      <w:r w:rsidRPr="002866FE">
        <w:rPr>
          <w:color w:val="111113"/>
        </w:rPr>
        <w:t>future</w:t>
      </w:r>
      <w:r w:rsidRPr="002866FE">
        <w:rPr>
          <w:color w:val="494949"/>
        </w:rPr>
        <w:t xml:space="preserve">. The court </w:t>
      </w:r>
      <w:r w:rsidRPr="002866FE">
        <w:rPr>
          <w:color w:val="111113"/>
        </w:rPr>
        <w:t>ought</w:t>
      </w:r>
      <w:r w:rsidRPr="002866FE">
        <w:rPr>
          <w:color w:val="111113"/>
          <w:spacing w:val="16"/>
        </w:rPr>
        <w:t xml:space="preserve"> </w:t>
      </w:r>
      <w:r w:rsidRPr="002866FE">
        <w:rPr>
          <w:color w:val="111113"/>
        </w:rPr>
        <w:t>to</w:t>
      </w:r>
      <w:r w:rsidRPr="002866FE">
        <w:rPr>
          <w:color w:val="111113"/>
          <w:spacing w:val="30"/>
        </w:rPr>
        <w:t xml:space="preserve"> </w:t>
      </w:r>
      <w:r w:rsidRPr="002866FE">
        <w:rPr>
          <w:color w:val="111113"/>
        </w:rPr>
        <w:t>have</w:t>
      </w:r>
      <w:r w:rsidRPr="002866FE">
        <w:rPr>
          <w:color w:val="111113"/>
          <w:spacing w:val="-2"/>
        </w:rPr>
        <w:t xml:space="preserve"> </w:t>
      </w:r>
      <w:r w:rsidRPr="002866FE">
        <w:rPr>
          <w:color w:val="111113"/>
        </w:rPr>
        <w:t>found</w:t>
      </w:r>
      <w:r w:rsidRPr="002866FE">
        <w:rPr>
          <w:color w:val="111113"/>
          <w:spacing w:val="24"/>
        </w:rPr>
        <w:t xml:space="preserve"> </w:t>
      </w:r>
      <w:r w:rsidRPr="002866FE">
        <w:rPr>
          <w:color w:val="111113"/>
        </w:rPr>
        <w:t>that the</w:t>
      </w:r>
      <w:r w:rsidRPr="002866FE">
        <w:rPr>
          <w:color w:val="111113"/>
          <w:spacing w:val="24"/>
        </w:rPr>
        <w:t xml:space="preserve"> </w:t>
      </w:r>
      <w:r w:rsidRPr="002866FE">
        <w:rPr>
          <w:color w:val="111113"/>
        </w:rPr>
        <w:t>proceedings</w:t>
      </w:r>
      <w:r w:rsidRPr="002866FE">
        <w:rPr>
          <w:color w:val="111113"/>
          <w:spacing w:val="32"/>
        </w:rPr>
        <w:t xml:space="preserve"> </w:t>
      </w:r>
      <w:r w:rsidRPr="002866FE">
        <w:rPr>
          <w:color w:val="111113"/>
        </w:rPr>
        <w:t>had</w:t>
      </w:r>
      <w:r w:rsidRPr="002866FE">
        <w:rPr>
          <w:color w:val="111113"/>
          <w:spacing w:val="13"/>
        </w:rPr>
        <w:t xml:space="preserve"> </w:t>
      </w:r>
      <w:r w:rsidRPr="002866FE">
        <w:rPr>
          <w:color w:val="111113"/>
        </w:rPr>
        <w:t>not</w:t>
      </w:r>
      <w:r w:rsidRPr="002866FE">
        <w:rPr>
          <w:color w:val="111113"/>
          <w:spacing w:val="13"/>
        </w:rPr>
        <w:t xml:space="preserve"> </w:t>
      </w:r>
      <w:r w:rsidRPr="002866FE">
        <w:rPr>
          <w:color w:val="232323"/>
        </w:rPr>
        <w:t>been effectively</w:t>
      </w:r>
      <w:r w:rsidRPr="002866FE">
        <w:rPr>
          <w:color w:val="232323"/>
          <w:spacing w:val="23"/>
        </w:rPr>
        <w:t xml:space="preserve"> </w:t>
      </w:r>
      <w:r w:rsidRPr="002866FE">
        <w:rPr>
          <w:color w:val="232323"/>
        </w:rPr>
        <w:t>served</w:t>
      </w:r>
      <w:r w:rsidRPr="002866FE">
        <w:rPr>
          <w:color w:val="232323"/>
          <w:spacing w:val="23"/>
        </w:rPr>
        <w:t xml:space="preserve"> </w:t>
      </w:r>
      <w:r w:rsidRPr="002866FE">
        <w:rPr>
          <w:color w:val="232323"/>
        </w:rPr>
        <w:t>on</w:t>
      </w:r>
      <w:r w:rsidRPr="002866FE">
        <w:rPr>
          <w:color w:val="232323"/>
          <w:spacing w:val="3"/>
        </w:rPr>
        <w:t xml:space="preserve"> </w:t>
      </w:r>
      <w:r w:rsidRPr="002866FE">
        <w:rPr>
          <w:color w:val="232323"/>
        </w:rPr>
        <w:t>the</w:t>
      </w:r>
      <w:r w:rsidRPr="002866FE">
        <w:rPr>
          <w:color w:val="232323"/>
          <w:spacing w:val="16"/>
        </w:rPr>
        <w:t xml:space="preserve"> </w:t>
      </w:r>
      <w:r w:rsidR="002866FE">
        <w:rPr>
          <w:color w:val="232323"/>
        </w:rPr>
        <w:t>appellants</w:t>
      </w:r>
      <w:r w:rsidRPr="002866FE">
        <w:rPr>
          <w:color w:val="646464"/>
        </w:rPr>
        <w:t xml:space="preserve">, </w:t>
      </w:r>
      <w:r w:rsidRPr="002866FE">
        <w:rPr>
          <w:color w:val="232323"/>
        </w:rPr>
        <w:t>the</w:t>
      </w:r>
      <w:r w:rsidRPr="002866FE">
        <w:rPr>
          <w:color w:val="232323"/>
          <w:spacing w:val="26"/>
        </w:rPr>
        <w:t xml:space="preserve"> </w:t>
      </w:r>
      <w:r w:rsidRPr="002866FE">
        <w:rPr>
          <w:color w:val="232323"/>
        </w:rPr>
        <w:t>proceedings</w:t>
      </w:r>
      <w:r w:rsidRPr="002866FE">
        <w:rPr>
          <w:color w:val="232323"/>
          <w:spacing w:val="11"/>
        </w:rPr>
        <w:t xml:space="preserve"> </w:t>
      </w:r>
      <w:r w:rsidRPr="002866FE">
        <w:rPr>
          <w:color w:val="111113"/>
        </w:rPr>
        <w:t>had</w:t>
      </w:r>
      <w:r w:rsidRPr="002866FE">
        <w:rPr>
          <w:color w:val="111113"/>
          <w:spacing w:val="14"/>
        </w:rPr>
        <w:t xml:space="preserve"> </w:t>
      </w:r>
      <w:r w:rsidRPr="002866FE">
        <w:rPr>
          <w:color w:val="232323"/>
        </w:rPr>
        <w:t>not</w:t>
      </w:r>
      <w:r w:rsidRPr="002866FE">
        <w:rPr>
          <w:color w:val="232323"/>
          <w:spacing w:val="7"/>
        </w:rPr>
        <w:t xml:space="preserve"> </w:t>
      </w:r>
      <w:r w:rsidRPr="002866FE">
        <w:rPr>
          <w:color w:val="232323"/>
        </w:rPr>
        <w:t>come</w:t>
      </w:r>
      <w:r w:rsidRPr="002866FE">
        <w:rPr>
          <w:color w:val="232323"/>
          <w:spacing w:val="17"/>
        </w:rPr>
        <w:t xml:space="preserve"> </w:t>
      </w:r>
      <w:r w:rsidRPr="002866FE">
        <w:rPr>
          <w:color w:val="232323"/>
        </w:rPr>
        <w:t>to</w:t>
      </w:r>
      <w:r w:rsidRPr="002866FE">
        <w:rPr>
          <w:color w:val="232323"/>
          <w:spacing w:val="16"/>
        </w:rPr>
        <w:t xml:space="preserve"> </w:t>
      </w:r>
      <w:r w:rsidRPr="002866FE">
        <w:rPr>
          <w:color w:val="111113"/>
        </w:rPr>
        <w:t>their</w:t>
      </w:r>
      <w:r w:rsidRPr="002866FE">
        <w:rPr>
          <w:color w:val="111113"/>
          <w:spacing w:val="26"/>
        </w:rPr>
        <w:t xml:space="preserve"> </w:t>
      </w:r>
      <w:r w:rsidRPr="002866FE">
        <w:rPr>
          <w:color w:val="111113"/>
          <w:spacing w:val="1"/>
        </w:rPr>
        <w:t>knowledge</w:t>
      </w:r>
      <w:r w:rsidRPr="002866FE">
        <w:rPr>
          <w:color w:val="646464"/>
          <w:spacing w:val="-31"/>
        </w:rPr>
        <w:t xml:space="preserve"> </w:t>
      </w:r>
      <w:r w:rsidRPr="002866FE">
        <w:rPr>
          <w:color w:val="232323"/>
        </w:rPr>
        <w:t>and</w:t>
      </w:r>
      <w:r w:rsidRPr="002866FE">
        <w:rPr>
          <w:color w:val="232323"/>
          <w:spacing w:val="14"/>
        </w:rPr>
        <w:t xml:space="preserve"> </w:t>
      </w:r>
      <w:r w:rsidRPr="002866FE">
        <w:rPr>
          <w:color w:val="232323"/>
        </w:rPr>
        <w:t>as</w:t>
      </w:r>
      <w:r w:rsidRPr="002866FE">
        <w:rPr>
          <w:color w:val="232323"/>
          <w:spacing w:val="19"/>
        </w:rPr>
        <w:t xml:space="preserve"> </w:t>
      </w:r>
      <w:r w:rsidRPr="002866FE">
        <w:rPr>
          <w:color w:val="232323"/>
        </w:rPr>
        <w:t>such judgment</w:t>
      </w:r>
      <w:r w:rsidRPr="002866FE">
        <w:rPr>
          <w:color w:val="232323"/>
          <w:spacing w:val="43"/>
        </w:rPr>
        <w:t xml:space="preserve"> </w:t>
      </w:r>
      <w:r w:rsidRPr="002866FE">
        <w:rPr>
          <w:color w:val="232323"/>
        </w:rPr>
        <w:t>was</w:t>
      </w:r>
      <w:r w:rsidRPr="002866FE">
        <w:rPr>
          <w:color w:val="232323"/>
          <w:spacing w:val="34"/>
        </w:rPr>
        <w:t xml:space="preserve"> </w:t>
      </w:r>
      <w:r w:rsidRPr="002866FE">
        <w:rPr>
          <w:color w:val="111113"/>
        </w:rPr>
        <w:t>improperly</w:t>
      </w:r>
      <w:r w:rsidRPr="002866FE">
        <w:rPr>
          <w:color w:val="111113"/>
          <w:spacing w:val="28"/>
        </w:rPr>
        <w:t xml:space="preserve"> </w:t>
      </w:r>
      <w:r w:rsidRPr="002866FE">
        <w:rPr>
          <w:color w:val="232323"/>
        </w:rPr>
        <w:t>sought</w:t>
      </w:r>
      <w:r w:rsidRPr="002866FE">
        <w:rPr>
          <w:color w:val="232323"/>
          <w:spacing w:val="26"/>
        </w:rPr>
        <w:t xml:space="preserve"> </w:t>
      </w:r>
      <w:r w:rsidRPr="002866FE">
        <w:rPr>
          <w:color w:val="232323"/>
        </w:rPr>
        <w:t>and</w:t>
      </w:r>
      <w:r w:rsidRPr="002866FE">
        <w:rPr>
          <w:color w:val="232323"/>
          <w:spacing w:val="14"/>
        </w:rPr>
        <w:t xml:space="preserve"> </w:t>
      </w:r>
      <w:r w:rsidRPr="002866FE">
        <w:rPr>
          <w:color w:val="232323"/>
          <w:spacing w:val="2"/>
        </w:rPr>
        <w:t>granted</w:t>
      </w:r>
      <w:r w:rsidRPr="002866FE">
        <w:rPr>
          <w:color w:val="494949"/>
          <w:spacing w:val="1"/>
        </w:rPr>
        <w:t>.</w:t>
      </w:r>
    </w:p>
    <w:p w14:paraId="76FAD0DB" w14:textId="4AF5D1D2" w:rsidR="00E56F16" w:rsidRPr="002866FE" w:rsidRDefault="00E56F16" w:rsidP="006627CA">
      <w:pPr>
        <w:pStyle w:val="ListParagraph"/>
        <w:numPr>
          <w:ilvl w:val="0"/>
          <w:numId w:val="20"/>
        </w:numPr>
        <w:spacing w:after="120" w:line="360" w:lineRule="auto"/>
        <w:ind w:left="567" w:hanging="567"/>
        <w:jc w:val="both"/>
        <w:rPr>
          <w:color w:val="000000"/>
        </w:rPr>
      </w:pPr>
      <w:r w:rsidRPr="002866FE">
        <w:rPr>
          <w:rFonts w:cs="Arial"/>
        </w:rPr>
        <w:t>The court</w:t>
      </w:r>
      <w:r w:rsidR="002866FE">
        <w:rPr>
          <w:rFonts w:cs="Arial"/>
        </w:rPr>
        <w:t xml:space="preserve"> </w:t>
      </w:r>
      <w:r w:rsidR="002866FE" w:rsidRPr="002866FE">
        <w:rPr>
          <w:rFonts w:cs="Arial"/>
          <w:i/>
        </w:rPr>
        <w:t>a quo</w:t>
      </w:r>
      <w:r w:rsidRPr="002866FE">
        <w:rPr>
          <w:rFonts w:cs="Arial"/>
        </w:rPr>
        <w:t xml:space="preserve"> did not consider the admissibility of the respondent’s answering affidavit and also failed to consider that the appellants have a </w:t>
      </w:r>
      <w:r w:rsidRPr="002866FE">
        <w:rPr>
          <w:rFonts w:cs="Arial"/>
          <w:i/>
          <w:iCs/>
        </w:rPr>
        <w:t>bona fide</w:t>
      </w:r>
      <w:r w:rsidRPr="002866FE">
        <w:rPr>
          <w:rFonts w:cs="Arial"/>
        </w:rPr>
        <w:t xml:space="preserve"> defence which </w:t>
      </w:r>
      <w:r w:rsidRPr="006627CA">
        <w:rPr>
          <w:rFonts w:cs="Arial"/>
          <w:i/>
        </w:rPr>
        <w:t>prima facie</w:t>
      </w:r>
      <w:r w:rsidRPr="002866FE">
        <w:rPr>
          <w:rFonts w:cs="Arial"/>
        </w:rPr>
        <w:t xml:space="preserve"> has prospects of success.</w:t>
      </w:r>
    </w:p>
    <w:p w14:paraId="2C7D8DC0" w14:textId="6C498C7E" w:rsidR="005301E4" w:rsidRPr="006627CA" w:rsidRDefault="00E56F16" w:rsidP="006627CA">
      <w:pPr>
        <w:pStyle w:val="ListParagraph"/>
        <w:numPr>
          <w:ilvl w:val="0"/>
          <w:numId w:val="5"/>
        </w:numPr>
        <w:tabs>
          <w:tab w:val="clear" w:pos="567"/>
        </w:tabs>
        <w:spacing w:after="240" w:line="360" w:lineRule="auto"/>
        <w:ind w:left="0" w:firstLine="0"/>
        <w:jc w:val="both"/>
        <w:rPr>
          <w:color w:val="000000"/>
        </w:rPr>
      </w:pPr>
      <w:r w:rsidRPr="005301E4">
        <w:rPr>
          <w:rFonts w:cs="Arial"/>
        </w:rPr>
        <w:t>Before dealing with the issues raised it is important to first set out the legal principles governing rescission of judgments.</w:t>
      </w:r>
    </w:p>
    <w:p w14:paraId="0A86B34D" w14:textId="3E1995C5" w:rsidR="00E56F16" w:rsidRPr="006627CA" w:rsidRDefault="00E56F16" w:rsidP="006627CA">
      <w:pPr>
        <w:pStyle w:val="ListParagraph"/>
        <w:spacing w:after="120" w:line="360" w:lineRule="auto"/>
        <w:ind w:left="0"/>
        <w:jc w:val="both"/>
        <w:rPr>
          <w:color w:val="000000"/>
        </w:rPr>
      </w:pPr>
      <w:r w:rsidRPr="006627CA">
        <w:rPr>
          <w:b/>
          <w:bCs/>
          <w:iCs/>
          <w:color w:val="494949"/>
          <w:spacing w:val="1"/>
        </w:rPr>
        <w:t>Legal Framework</w:t>
      </w:r>
    </w:p>
    <w:p w14:paraId="6A2039DF" w14:textId="77777777" w:rsidR="006627CA" w:rsidRDefault="00E56F16" w:rsidP="00F37560">
      <w:pPr>
        <w:pStyle w:val="ListParagraph"/>
        <w:numPr>
          <w:ilvl w:val="0"/>
          <w:numId w:val="5"/>
        </w:numPr>
        <w:tabs>
          <w:tab w:val="clear" w:pos="567"/>
        </w:tabs>
        <w:spacing w:line="360" w:lineRule="auto"/>
        <w:ind w:left="0" w:firstLine="0"/>
        <w:jc w:val="both"/>
        <w:rPr>
          <w:color w:val="000000"/>
        </w:rPr>
      </w:pPr>
      <w:r w:rsidRPr="005301E4">
        <w:rPr>
          <w:rFonts w:cs="Arial"/>
        </w:rPr>
        <w:t xml:space="preserve">As indicated earlier, the appellants contend that they are entitled to rescission of the order in terms of either Rule 42 (1) (a) of the </w:t>
      </w:r>
      <w:r w:rsidR="006627CA">
        <w:rPr>
          <w:rFonts w:cs="Arial"/>
        </w:rPr>
        <w:t xml:space="preserve">Uniform </w:t>
      </w:r>
      <w:r w:rsidRPr="005301E4">
        <w:rPr>
          <w:rFonts w:cs="Arial"/>
        </w:rPr>
        <w:t>Rules</w:t>
      </w:r>
      <w:r w:rsidR="006627CA">
        <w:rPr>
          <w:rFonts w:cs="Arial"/>
        </w:rPr>
        <w:t xml:space="preserve"> of Court</w:t>
      </w:r>
      <w:r w:rsidRPr="005301E4">
        <w:rPr>
          <w:rFonts w:cs="Arial"/>
        </w:rPr>
        <w:t xml:space="preserve"> or the Common law. </w:t>
      </w:r>
      <w:r w:rsidRPr="005301E4">
        <w:rPr>
          <w:rFonts w:cs="Arial"/>
          <w:color w:val="494949"/>
          <w:spacing w:val="1"/>
        </w:rPr>
        <w:t xml:space="preserve">The test for a rescission under Common law is trite, namely that good cause must be shown.  </w:t>
      </w:r>
      <w:r w:rsidRPr="005301E4">
        <w:rPr>
          <w:rFonts w:cs="Arial"/>
          <w:lang w:val="en-ZA"/>
        </w:rPr>
        <w:t>In order to establish good cause</w:t>
      </w:r>
      <w:r w:rsidR="006627CA">
        <w:rPr>
          <w:rFonts w:cs="Arial"/>
          <w:lang w:val="en-ZA"/>
        </w:rPr>
        <w:t>,</w:t>
      </w:r>
      <w:r w:rsidRPr="005301E4">
        <w:rPr>
          <w:rFonts w:cs="Arial"/>
          <w:lang w:val="en-ZA"/>
        </w:rPr>
        <w:t xml:space="preserve"> an applicant must set forth a reasonable explanation for the default and</w:t>
      </w:r>
      <w:r w:rsidR="006627CA">
        <w:rPr>
          <w:rFonts w:cs="Arial"/>
          <w:lang w:val="en-ZA"/>
        </w:rPr>
        <w:t xml:space="preserve"> a</w:t>
      </w:r>
      <w:r w:rsidRPr="005301E4">
        <w:rPr>
          <w:rFonts w:cs="Arial"/>
          <w:lang w:val="en-ZA"/>
        </w:rPr>
        <w:t xml:space="preserve"> </w:t>
      </w:r>
      <w:r w:rsidRPr="005301E4">
        <w:rPr>
          <w:rFonts w:cs="Arial"/>
          <w:i/>
          <w:lang w:val="en-ZA"/>
        </w:rPr>
        <w:t>bona fide</w:t>
      </w:r>
      <w:r w:rsidRPr="005301E4">
        <w:rPr>
          <w:rFonts w:cs="Arial"/>
          <w:lang w:val="en-ZA"/>
        </w:rPr>
        <w:t xml:space="preserve"> defence/s. </w:t>
      </w:r>
      <w:bookmarkStart w:id="1" w:name="_Hlk136696494"/>
      <w:r w:rsidR="006627CA">
        <w:rPr>
          <w:rFonts w:cs="Arial"/>
          <w:color w:val="242121"/>
          <w:lang w:eastAsia="en-ZA"/>
        </w:rPr>
        <w:t>Regarding the issue of ‘good cause shown’</w:t>
      </w:r>
      <w:r w:rsidRPr="005301E4">
        <w:rPr>
          <w:rFonts w:cs="Arial"/>
          <w:color w:val="242121"/>
          <w:lang w:eastAsia="en-ZA"/>
        </w:rPr>
        <w:t xml:space="preserve"> in an application for rescission</w:t>
      </w:r>
      <w:r w:rsidR="006627CA">
        <w:rPr>
          <w:rFonts w:cs="Arial"/>
          <w:color w:val="242121"/>
          <w:lang w:eastAsia="en-ZA"/>
        </w:rPr>
        <w:t>,</w:t>
      </w:r>
      <w:r w:rsidRPr="005301E4">
        <w:rPr>
          <w:rFonts w:cs="Arial"/>
          <w:color w:val="242121"/>
          <w:lang w:eastAsia="en-ZA"/>
        </w:rPr>
        <w:t xml:space="preserve"> the </w:t>
      </w:r>
      <w:r w:rsidR="006627CA">
        <w:rPr>
          <w:rFonts w:cs="Arial"/>
          <w:color w:val="242121"/>
          <w:lang w:eastAsia="en-ZA"/>
        </w:rPr>
        <w:t xml:space="preserve">following </w:t>
      </w:r>
      <w:r w:rsidRPr="005301E4">
        <w:rPr>
          <w:rFonts w:cs="Arial"/>
          <w:color w:val="242121"/>
          <w:lang w:eastAsia="en-ZA"/>
        </w:rPr>
        <w:t>dictum in the matter of </w:t>
      </w:r>
      <w:r w:rsidRPr="005301E4">
        <w:rPr>
          <w:rFonts w:cs="Arial"/>
          <w:i/>
          <w:iCs/>
          <w:color w:val="242121"/>
          <w:lang w:eastAsia="en-ZA"/>
        </w:rPr>
        <w:t>Chetty v Law Society, Transvaal</w:t>
      </w:r>
      <w:r w:rsidR="006627CA">
        <w:rPr>
          <w:rStyle w:val="FootnoteReference"/>
          <w:i/>
          <w:iCs/>
          <w:color w:val="242121"/>
          <w:lang w:eastAsia="en-ZA"/>
        </w:rPr>
        <w:footnoteReference w:id="1"/>
      </w:r>
      <w:r w:rsidR="006627CA">
        <w:rPr>
          <w:color w:val="000000"/>
        </w:rPr>
        <w:t xml:space="preserve">, </w:t>
      </w:r>
      <w:r w:rsidRPr="006627CA">
        <w:rPr>
          <w:rFonts w:cs="Arial"/>
          <w:color w:val="242121"/>
          <w:lang w:eastAsia="en-ZA"/>
        </w:rPr>
        <w:t>is apposite:</w:t>
      </w:r>
    </w:p>
    <w:p w14:paraId="51A401C3" w14:textId="40DB6779" w:rsidR="00E56F16" w:rsidRPr="00F37560" w:rsidRDefault="00F37560" w:rsidP="00F37560">
      <w:pPr>
        <w:pStyle w:val="ListParagraph"/>
        <w:spacing w:line="360" w:lineRule="auto"/>
        <w:ind w:left="0"/>
        <w:jc w:val="both"/>
        <w:rPr>
          <w:rStyle w:val="Hyperlink"/>
          <w:rFonts w:cs="Arial"/>
          <w:color w:val="000000"/>
          <w:sz w:val="20"/>
          <w:szCs w:val="20"/>
          <w:u w:val="none"/>
        </w:rPr>
      </w:pPr>
      <w:r>
        <w:rPr>
          <w:rFonts w:cs="Arial"/>
          <w:color w:val="242121"/>
          <w:sz w:val="20"/>
          <w:szCs w:val="20"/>
          <w:lang w:eastAsia="en-ZA"/>
        </w:rPr>
        <w:t>‘</w:t>
      </w:r>
      <w:r w:rsidR="00E56F16" w:rsidRPr="00F37560">
        <w:rPr>
          <w:rFonts w:cs="Arial"/>
          <w:iCs/>
          <w:color w:val="242121"/>
          <w:sz w:val="20"/>
          <w:szCs w:val="20"/>
          <w:lang w:eastAsia="en-ZA"/>
        </w:rPr>
        <w:t xml:space="preserve">The Appellant’s claim for rescission of judgment confirming the </w:t>
      </w:r>
      <w:r w:rsidR="00E56F16" w:rsidRPr="00F37560">
        <w:rPr>
          <w:rFonts w:cs="Arial"/>
          <w:i/>
          <w:iCs/>
          <w:color w:val="242121"/>
          <w:sz w:val="20"/>
          <w:szCs w:val="20"/>
          <w:lang w:eastAsia="en-ZA"/>
        </w:rPr>
        <w:t>rule nisi</w:t>
      </w:r>
      <w:r w:rsidR="00E56F16" w:rsidRPr="00F37560">
        <w:rPr>
          <w:rFonts w:cs="Arial"/>
          <w:iCs/>
          <w:color w:val="242121"/>
          <w:sz w:val="20"/>
          <w:szCs w:val="20"/>
          <w:lang w:eastAsia="en-ZA"/>
        </w:rPr>
        <w:t xml:space="preserve"> cannot be brought under Rule 31 (2) or Rule 42 (1), but must be considered in terms of the common law, which empowers the Court to rescind a judgment obtained on default of appearance, provided sufficient cause </w:t>
      </w:r>
      <w:r w:rsidR="00E56F16" w:rsidRPr="00F37560">
        <w:rPr>
          <w:rFonts w:cs="Arial"/>
          <w:iCs/>
          <w:color w:val="242121"/>
          <w:sz w:val="20"/>
          <w:szCs w:val="20"/>
          <w:lang w:eastAsia="en-ZA"/>
        </w:rPr>
        <w:lastRenderedPageBreak/>
        <w:t>therefore has been shown. (See </w:t>
      </w:r>
      <w:r w:rsidR="00E56F16" w:rsidRPr="00F37560">
        <w:rPr>
          <w:rFonts w:cs="Arial"/>
          <w:i/>
          <w:iCs/>
          <w:sz w:val="20"/>
          <w:szCs w:val="20"/>
          <w:lang w:eastAsia="en-ZA"/>
        </w:rPr>
        <w:t>De Wet and Others v Western Bank</w:t>
      </w:r>
      <w:r w:rsidR="00E56F16" w:rsidRPr="00F37560">
        <w:rPr>
          <w:rFonts w:cs="Arial"/>
          <w:iCs/>
          <w:sz w:val="20"/>
          <w:szCs w:val="20"/>
          <w:lang w:eastAsia="en-ZA"/>
        </w:rPr>
        <w:t> </w:t>
      </w:r>
      <w:hyperlink r:id="rId9" w:tooltip="View LawCiteRecord" w:history="1">
        <w:r w:rsidR="00E56F16" w:rsidRPr="00F37560">
          <w:rPr>
            <w:rStyle w:val="Hyperlink"/>
            <w:rFonts w:cs="Arial"/>
            <w:color w:val="auto"/>
            <w:sz w:val="20"/>
            <w:szCs w:val="20"/>
            <w:u w:val="none"/>
            <w:lang w:eastAsia="en-ZA"/>
          </w:rPr>
          <w:t>1979 (2) SA 1031</w:t>
        </w:r>
      </w:hyperlink>
      <w:r w:rsidR="00E56F16" w:rsidRPr="00F37560">
        <w:rPr>
          <w:rFonts w:cs="Arial"/>
          <w:iCs/>
          <w:sz w:val="20"/>
          <w:szCs w:val="20"/>
          <w:lang w:eastAsia="en-ZA"/>
        </w:rPr>
        <w:t> (A) </w:t>
      </w:r>
      <w:r w:rsidR="00E56F16" w:rsidRPr="00F37560">
        <w:rPr>
          <w:rFonts w:cs="Arial"/>
          <w:sz w:val="20"/>
          <w:szCs w:val="20"/>
          <w:lang w:eastAsia="en-ZA"/>
        </w:rPr>
        <w:t>at 1042 and </w:t>
      </w:r>
      <w:r w:rsidR="00E56F16" w:rsidRPr="00F37560">
        <w:rPr>
          <w:rFonts w:cs="Arial"/>
          <w:i/>
          <w:iCs/>
          <w:sz w:val="20"/>
          <w:szCs w:val="20"/>
          <w:lang w:eastAsia="en-ZA"/>
        </w:rPr>
        <w:t>Childerly Estate Stores v Standard Bank SA Ltd</w:t>
      </w:r>
      <w:r w:rsidR="00E56F16" w:rsidRPr="00F37560">
        <w:rPr>
          <w:rFonts w:cs="Arial"/>
          <w:iCs/>
          <w:sz w:val="20"/>
          <w:szCs w:val="20"/>
          <w:lang w:eastAsia="en-ZA"/>
        </w:rPr>
        <w:t> </w:t>
      </w:r>
      <w:hyperlink r:id="rId10" w:tooltip="View LawCiteRecord" w:history="1">
        <w:r w:rsidR="00E56F16" w:rsidRPr="00F37560">
          <w:rPr>
            <w:rStyle w:val="Hyperlink"/>
            <w:rFonts w:cs="Arial"/>
            <w:color w:val="auto"/>
            <w:sz w:val="20"/>
            <w:szCs w:val="20"/>
            <w:u w:val="none"/>
            <w:lang w:eastAsia="en-ZA"/>
          </w:rPr>
          <w:t>1924 OPD 163.)</w:t>
        </w:r>
      </w:hyperlink>
    </w:p>
    <w:p w14:paraId="1BE48975" w14:textId="289A95EB" w:rsidR="00E56F16" w:rsidRPr="00F37560" w:rsidRDefault="00E56F16" w:rsidP="00F37560">
      <w:pPr>
        <w:pStyle w:val="ListParagraph"/>
        <w:spacing w:line="360" w:lineRule="auto"/>
        <w:ind w:left="0"/>
        <w:jc w:val="both"/>
        <w:rPr>
          <w:sz w:val="20"/>
          <w:szCs w:val="20"/>
        </w:rPr>
      </w:pPr>
      <w:r w:rsidRPr="00F37560">
        <w:rPr>
          <w:rFonts w:cs="Arial"/>
          <w:iCs/>
          <w:sz w:val="20"/>
          <w:szCs w:val="20"/>
          <w:lang w:val="en-US" w:eastAsia="en-ZA"/>
        </w:rPr>
        <w:t xml:space="preserve">The term “sufficient cause” (or </w:t>
      </w:r>
      <w:r w:rsidR="00F37560">
        <w:rPr>
          <w:rFonts w:cs="Arial"/>
          <w:iCs/>
          <w:sz w:val="20"/>
          <w:szCs w:val="20"/>
          <w:lang w:val="en-US" w:eastAsia="en-ZA"/>
        </w:rPr>
        <w:t>“</w:t>
      </w:r>
      <w:r w:rsidRPr="00F37560">
        <w:rPr>
          <w:rFonts w:cs="Arial"/>
          <w:iCs/>
          <w:sz w:val="20"/>
          <w:szCs w:val="20"/>
          <w:lang w:val="en-US" w:eastAsia="en-ZA"/>
        </w:rPr>
        <w:t xml:space="preserve">good cause”) defies precise or comprehensive definition, for many and various factors </w:t>
      </w:r>
      <w:r w:rsidR="00F37560">
        <w:rPr>
          <w:rFonts w:cs="Arial"/>
          <w:iCs/>
          <w:sz w:val="20"/>
          <w:szCs w:val="20"/>
          <w:lang w:val="en-US" w:eastAsia="en-ZA"/>
        </w:rPr>
        <w:t>are required to be considered</w:t>
      </w:r>
      <w:r w:rsidRPr="00F37560">
        <w:rPr>
          <w:rFonts w:cs="Arial"/>
          <w:iCs/>
          <w:sz w:val="20"/>
          <w:szCs w:val="20"/>
          <w:lang w:val="en-US" w:eastAsia="en-ZA"/>
        </w:rPr>
        <w:t xml:space="preserve"> (See </w:t>
      </w:r>
      <w:r w:rsidRPr="00F37560">
        <w:rPr>
          <w:rFonts w:cs="Arial"/>
          <w:i/>
          <w:iCs/>
          <w:sz w:val="20"/>
          <w:szCs w:val="20"/>
          <w:lang w:val="en-US" w:eastAsia="en-ZA"/>
        </w:rPr>
        <w:t>Cairn’s Executors v Gaarn</w:t>
      </w:r>
      <w:r w:rsidRPr="00F37560">
        <w:rPr>
          <w:rFonts w:cs="Arial"/>
          <w:iCs/>
          <w:sz w:val="20"/>
          <w:szCs w:val="20"/>
          <w:lang w:val="en-US" w:eastAsia="en-ZA"/>
        </w:rPr>
        <w:t> </w:t>
      </w:r>
      <w:hyperlink r:id="rId11" w:tooltip="View LawCiteRecord" w:history="1">
        <w:r w:rsidRPr="00F37560">
          <w:rPr>
            <w:rStyle w:val="Hyperlink"/>
            <w:rFonts w:cs="Arial"/>
            <w:color w:val="auto"/>
            <w:sz w:val="20"/>
            <w:szCs w:val="20"/>
            <w:u w:val="none"/>
            <w:lang w:val="en-US" w:eastAsia="en-ZA"/>
          </w:rPr>
          <w:t>1912 AD 181</w:t>
        </w:r>
      </w:hyperlink>
      <w:r w:rsidRPr="00F37560">
        <w:rPr>
          <w:rFonts w:cs="Arial"/>
          <w:sz w:val="20"/>
          <w:szCs w:val="20"/>
          <w:lang w:val="en-US" w:eastAsia="en-ZA"/>
        </w:rPr>
        <w:t xml:space="preserve"> at 186 per </w:t>
      </w:r>
      <w:r w:rsidR="00F37560">
        <w:rPr>
          <w:rFonts w:cs="Arial"/>
          <w:sz w:val="20"/>
          <w:szCs w:val="20"/>
          <w:lang w:val="en-US" w:eastAsia="en-ZA"/>
        </w:rPr>
        <w:t>Innes JA</w:t>
      </w:r>
      <w:r w:rsidRPr="00F37560">
        <w:rPr>
          <w:rFonts w:cs="Arial"/>
          <w:sz w:val="20"/>
          <w:szCs w:val="20"/>
          <w:lang w:val="en-US" w:eastAsia="en-ZA"/>
        </w:rPr>
        <w:t>)</w:t>
      </w:r>
      <w:r w:rsidR="00F37560">
        <w:rPr>
          <w:rFonts w:cs="Arial"/>
          <w:sz w:val="20"/>
          <w:szCs w:val="20"/>
          <w:lang w:val="en-US" w:eastAsia="en-ZA"/>
        </w:rPr>
        <w:t>,</w:t>
      </w:r>
      <w:r w:rsidRPr="00F37560">
        <w:rPr>
          <w:rFonts w:cs="Arial"/>
          <w:sz w:val="20"/>
          <w:szCs w:val="20"/>
          <w:lang w:eastAsia="en-ZA"/>
        </w:rPr>
        <w:t> </w:t>
      </w:r>
      <w:r w:rsidR="00F37560">
        <w:rPr>
          <w:rFonts w:cs="Arial"/>
          <w:iCs/>
          <w:sz w:val="20"/>
          <w:szCs w:val="20"/>
          <w:lang w:val="en-US" w:eastAsia="en-ZA"/>
        </w:rPr>
        <w:t xml:space="preserve">but it is clear that </w:t>
      </w:r>
      <w:r w:rsidRPr="00F37560">
        <w:rPr>
          <w:rFonts w:cs="Arial"/>
          <w:iCs/>
          <w:sz w:val="20"/>
          <w:szCs w:val="20"/>
          <w:lang w:val="en-US" w:eastAsia="en-ZA"/>
        </w:rPr>
        <w:t>in principle and in the long-standing practice of our courts two essential elements </w:t>
      </w:r>
      <w:r w:rsidRPr="00F37560">
        <w:rPr>
          <w:rFonts w:cs="Arial"/>
          <w:sz w:val="20"/>
          <w:szCs w:val="20"/>
          <w:lang w:eastAsia="en-ZA"/>
        </w:rPr>
        <w:t>“sufficient cause” “for rescission of a judgment by default” </w:t>
      </w:r>
      <w:r w:rsidRPr="00F37560">
        <w:rPr>
          <w:rFonts w:cs="Arial"/>
          <w:iCs/>
          <w:sz w:val="20"/>
          <w:szCs w:val="20"/>
          <w:lang w:val="en-US" w:eastAsia="en-ZA"/>
        </w:rPr>
        <w:t>are:</w:t>
      </w:r>
    </w:p>
    <w:p w14:paraId="3CA3D1CF" w14:textId="77777777" w:rsidR="00F37560" w:rsidRPr="00F37560" w:rsidRDefault="006627CA" w:rsidP="00F37560">
      <w:pPr>
        <w:pStyle w:val="ListParagraph"/>
        <w:numPr>
          <w:ilvl w:val="0"/>
          <w:numId w:val="22"/>
        </w:numPr>
        <w:spacing w:line="360" w:lineRule="auto"/>
        <w:ind w:left="567" w:hanging="567"/>
        <w:jc w:val="both"/>
        <w:rPr>
          <w:sz w:val="20"/>
          <w:szCs w:val="20"/>
        </w:rPr>
      </w:pPr>
      <w:r w:rsidRPr="00F37560">
        <w:rPr>
          <w:rFonts w:cs="Arial"/>
          <w:iCs/>
          <w:sz w:val="20"/>
          <w:szCs w:val="20"/>
          <w:lang w:val="en-US" w:eastAsia="en-ZA"/>
        </w:rPr>
        <w:t xml:space="preserve">that the </w:t>
      </w:r>
      <w:r w:rsidR="00E56F16" w:rsidRPr="00F37560">
        <w:rPr>
          <w:rFonts w:cs="Arial"/>
          <w:iCs/>
          <w:sz w:val="20"/>
          <w:szCs w:val="20"/>
          <w:lang w:val="en-US" w:eastAsia="en-ZA"/>
        </w:rPr>
        <w:t xml:space="preserve">party seeking relief must </w:t>
      </w:r>
      <w:r w:rsidR="00F37560">
        <w:rPr>
          <w:rFonts w:cs="Arial"/>
          <w:iCs/>
          <w:sz w:val="20"/>
          <w:szCs w:val="20"/>
          <w:lang w:val="en-US" w:eastAsia="en-ZA"/>
        </w:rPr>
        <w:t xml:space="preserve">present </w:t>
      </w:r>
      <w:r w:rsidR="00E56F16" w:rsidRPr="00F37560">
        <w:rPr>
          <w:rFonts w:cs="Arial"/>
          <w:iCs/>
          <w:sz w:val="20"/>
          <w:szCs w:val="20"/>
          <w:lang w:val="en-US" w:eastAsia="en-ZA"/>
        </w:rPr>
        <w:t>a reasonable and acceptable explanation for his default; and</w:t>
      </w:r>
    </w:p>
    <w:p w14:paraId="4A13FCE1" w14:textId="40B632AD" w:rsidR="00E56F16" w:rsidRPr="00F37560" w:rsidRDefault="00E56F16" w:rsidP="007166D5">
      <w:pPr>
        <w:pStyle w:val="ListParagraph"/>
        <w:numPr>
          <w:ilvl w:val="0"/>
          <w:numId w:val="22"/>
        </w:numPr>
        <w:spacing w:after="120" w:line="360" w:lineRule="auto"/>
        <w:ind w:left="567" w:hanging="567"/>
        <w:jc w:val="both"/>
        <w:rPr>
          <w:sz w:val="20"/>
          <w:szCs w:val="20"/>
        </w:rPr>
      </w:pPr>
      <w:r w:rsidRPr="00F37560">
        <w:rPr>
          <w:rFonts w:cs="Arial"/>
          <w:iCs/>
          <w:sz w:val="20"/>
          <w:szCs w:val="20"/>
          <w:lang w:val="en-US" w:eastAsia="en-ZA"/>
        </w:rPr>
        <w:t xml:space="preserve">that on the merits such party has a </w:t>
      </w:r>
      <w:r w:rsidRPr="007166D5">
        <w:rPr>
          <w:rFonts w:cs="Arial"/>
          <w:i/>
          <w:iCs/>
          <w:sz w:val="20"/>
          <w:szCs w:val="20"/>
          <w:lang w:val="en-US" w:eastAsia="en-ZA"/>
        </w:rPr>
        <w:t>bona</w:t>
      </w:r>
      <w:r w:rsidR="007166D5" w:rsidRPr="007166D5">
        <w:rPr>
          <w:rFonts w:cs="Arial"/>
          <w:i/>
          <w:iCs/>
          <w:sz w:val="20"/>
          <w:szCs w:val="20"/>
          <w:lang w:val="en-US" w:eastAsia="en-ZA"/>
        </w:rPr>
        <w:t xml:space="preserve"> </w:t>
      </w:r>
      <w:r w:rsidRPr="007166D5">
        <w:rPr>
          <w:rFonts w:cs="Arial"/>
          <w:i/>
          <w:iCs/>
          <w:sz w:val="20"/>
          <w:szCs w:val="20"/>
          <w:lang w:val="en-US" w:eastAsia="en-ZA"/>
        </w:rPr>
        <w:t>fide</w:t>
      </w:r>
      <w:r w:rsidRPr="00F37560">
        <w:rPr>
          <w:rFonts w:cs="Arial"/>
          <w:iCs/>
          <w:sz w:val="20"/>
          <w:szCs w:val="20"/>
          <w:lang w:val="en-US" w:eastAsia="en-ZA"/>
        </w:rPr>
        <w:t xml:space="preserve"> defence which, </w:t>
      </w:r>
      <w:r w:rsidRPr="007166D5">
        <w:rPr>
          <w:rFonts w:cs="Arial"/>
          <w:i/>
          <w:iCs/>
          <w:sz w:val="20"/>
          <w:szCs w:val="20"/>
          <w:lang w:val="en-US" w:eastAsia="en-ZA"/>
        </w:rPr>
        <w:t>prima facie</w:t>
      </w:r>
      <w:r w:rsidRPr="00F37560">
        <w:rPr>
          <w:rFonts w:cs="Arial"/>
          <w:iCs/>
          <w:sz w:val="20"/>
          <w:szCs w:val="20"/>
          <w:lang w:val="en-US" w:eastAsia="en-ZA"/>
        </w:rPr>
        <w:t>, carries some prospect of success (</w:t>
      </w:r>
      <w:r w:rsidRPr="007166D5">
        <w:rPr>
          <w:rFonts w:cs="Arial"/>
          <w:i/>
          <w:iCs/>
          <w:sz w:val="20"/>
          <w:szCs w:val="20"/>
          <w:lang w:val="en-US" w:eastAsia="en-ZA"/>
        </w:rPr>
        <w:t>De Wet’s</w:t>
      </w:r>
      <w:r w:rsidRPr="00F37560">
        <w:rPr>
          <w:rFonts w:cs="Arial"/>
          <w:iCs/>
          <w:sz w:val="20"/>
          <w:szCs w:val="20"/>
          <w:lang w:val="en-US" w:eastAsia="en-ZA"/>
        </w:rPr>
        <w:t> </w:t>
      </w:r>
      <w:r w:rsidRPr="00F37560">
        <w:rPr>
          <w:rFonts w:cs="Arial"/>
          <w:sz w:val="20"/>
          <w:szCs w:val="20"/>
          <w:lang w:val="en-US" w:eastAsia="en-ZA"/>
        </w:rPr>
        <w:t>case supra at 1042</w:t>
      </w:r>
      <w:r w:rsidRPr="00F37560">
        <w:rPr>
          <w:rFonts w:cs="Arial"/>
          <w:iCs/>
          <w:sz w:val="20"/>
          <w:szCs w:val="20"/>
          <w:lang w:val="en-US" w:eastAsia="en-ZA"/>
        </w:rPr>
        <w:t xml:space="preserve">; </w:t>
      </w:r>
      <w:r w:rsidRPr="007166D5">
        <w:rPr>
          <w:rFonts w:cs="Arial"/>
          <w:i/>
          <w:iCs/>
          <w:sz w:val="20"/>
          <w:szCs w:val="20"/>
          <w:lang w:val="en-US" w:eastAsia="en-ZA"/>
        </w:rPr>
        <w:t>PE</w:t>
      </w:r>
      <w:r w:rsidRPr="007166D5">
        <w:rPr>
          <w:rFonts w:cs="Arial"/>
          <w:b/>
          <w:bCs/>
          <w:i/>
          <w:iCs/>
          <w:sz w:val="20"/>
          <w:szCs w:val="20"/>
          <w:lang w:val="en-US" w:eastAsia="en-ZA"/>
        </w:rPr>
        <w:t xml:space="preserve"> </w:t>
      </w:r>
      <w:r w:rsidRPr="007166D5">
        <w:rPr>
          <w:rFonts w:cs="Arial"/>
          <w:i/>
          <w:iCs/>
          <w:sz w:val="20"/>
          <w:szCs w:val="20"/>
          <w:lang w:val="en-US" w:eastAsia="en-ZA"/>
        </w:rPr>
        <w:t>Bosman Transport Works Committee and Others v Piet Bosman Transport (Pty) Ltd</w:t>
      </w:r>
      <w:r w:rsidRPr="00F37560">
        <w:rPr>
          <w:rFonts w:cs="Arial"/>
          <w:iCs/>
          <w:sz w:val="20"/>
          <w:szCs w:val="20"/>
          <w:lang w:val="en-US" w:eastAsia="en-ZA"/>
        </w:rPr>
        <w:t> </w:t>
      </w:r>
      <w:hyperlink r:id="rId12" w:tooltip="View LawCiteRecord" w:history="1">
        <w:r w:rsidRPr="00F37560">
          <w:rPr>
            <w:rStyle w:val="Hyperlink"/>
            <w:rFonts w:cs="Arial"/>
            <w:color w:val="auto"/>
            <w:sz w:val="20"/>
            <w:szCs w:val="20"/>
            <w:u w:val="none"/>
            <w:lang w:val="en-US" w:eastAsia="en-ZA"/>
          </w:rPr>
          <w:t>1980 (4) SA 799</w:t>
        </w:r>
      </w:hyperlink>
      <w:r w:rsidRPr="00F37560">
        <w:rPr>
          <w:rFonts w:cs="Arial"/>
          <w:sz w:val="20"/>
          <w:szCs w:val="20"/>
          <w:lang w:val="en-US" w:eastAsia="en-ZA"/>
        </w:rPr>
        <w:t> (A); </w:t>
      </w:r>
      <w:r w:rsidR="007166D5" w:rsidRPr="007166D5">
        <w:rPr>
          <w:rFonts w:cs="Arial"/>
          <w:i/>
          <w:iCs/>
          <w:sz w:val="20"/>
          <w:szCs w:val="20"/>
          <w:lang w:val="en-US" w:eastAsia="en-ZA"/>
        </w:rPr>
        <w:t>Smith N O v Brummer N O and Another; Smith N </w:t>
      </w:r>
      <w:r w:rsidRPr="007166D5">
        <w:rPr>
          <w:rFonts w:cs="Arial"/>
          <w:i/>
          <w:iCs/>
          <w:sz w:val="20"/>
          <w:szCs w:val="20"/>
          <w:lang w:val="en-US" w:eastAsia="en-ZA"/>
        </w:rPr>
        <w:t>O v Brummer</w:t>
      </w:r>
      <w:r w:rsidRPr="00F37560">
        <w:rPr>
          <w:rFonts w:cs="Arial"/>
          <w:iCs/>
          <w:sz w:val="20"/>
          <w:szCs w:val="20"/>
          <w:lang w:val="en-US" w:eastAsia="en-ZA"/>
        </w:rPr>
        <w:t> </w:t>
      </w:r>
      <w:hyperlink r:id="rId13" w:tooltip="View LawCiteRecord" w:history="1">
        <w:r w:rsidRPr="00F37560">
          <w:rPr>
            <w:rStyle w:val="Hyperlink"/>
            <w:rFonts w:cs="Arial"/>
            <w:color w:val="auto"/>
            <w:sz w:val="20"/>
            <w:szCs w:val="20"/>
            <w:u w:val="none"/>
            <w:lang w:val="en-US" w:eastAsia="en-ZA"/>
          </w:rPr>
          <w:t>1954 (3)</w:t>
        </w:r>
      </w:hyperlink>
      <w:hyperlink r:id="rId14" w:tooltip="View LawCiteRecord" w:history="1">
        <w:r w:rsidRPr="00F37560">
          <w:rPr>
            <w:rStyle w:val="Hyperlink"/>
            <w:rFonts w:cs="Arial"/>
            <w:color w:val="auto"/>
            <w:sz w:val="20"/>
            <w:szCs w:val="20"/>
            <w:u w:val="none"/>
            <w:lang w:val="en-US" w:eastAsia="en-ZA"/>
          </w:rPr>
          <w:t> SA 352</w:t>
        </w:r>
      </w:hyperlink>
      <w:r w:rsidRPr="00F37560">
        <w:rPr>
          <w:rFonts w:cs="Arial"/>
          <w:sz w:val="20"/>
          <w:szCs w:val="20"/>
          <w:lang w:eastAsia="en-ZA"/>
        </w:rPr>
        <w:t> (O) at 357-8).</w:t>
      </w:r>
      <w:r w:rsidR="007166D5">
        <w:rPr>
          <w:rFonts w:cs="Arial"/>
          <w:sz w:val="20"/>
          <w:szCs w:val="20"/>
          <w:lang w:eastAsia="en-ZA"/>
        </w:rPr>
        <w:t>’</w:t>
      </w:r>
    </w:p>
    <w:bookmarkEnd w:id="1"/>
    <w:p w14:paraId="01225246" w14:textId="7C223B8A" w:rsidR="006627CA" w:rsidRPr="006627CA" w:rsidRDefault="00E56F16" w:rsidP="007166D5">
      <w:pPr>
        <w:pStyle w:val="ListParagraph"/>
        <w:numPr>
          <w:ilvl w:val="0"/>
          <w:numId w:val="5"/>
        </w:numPr>
        <w:tabs>
          <w:tab w:val="clear" w:pos="567"/>
        </w:tabs>
        <w:spacing w:line="360" w:lineRule="auto"/>
        <w:ind w:left="0" w:firstLine="0"/>
        <w:jc w:val="both"/>
        <w:rPr>
          <w:color w:val="000000"/>
        </w:rPr>
      </w:pPr>
      <w:r w:rsidRPr="006627CA">
        <w:rPr>
          <w:rFonts w:cs="Arial"/>
        </w:rPr>
        <w:t xml:space="preserve">In Zuma </w:t>
      </w:r>
      <w:r w:rsidRPr="006627CA">
        <w:rPr>
          <w:rFonts w:cs="Arial"/>
          <w:i/>
          <w:iCs/>
        </w:rPr>
        <w:t>v Secretary of the Judicial Commission of Inquiry into Allegations of State Capture, Corruption and Fraud in the Public Sector Including Organs of State and Others</w:t>
      </w:r>
      <w:r w:rsidR="006627CA">
        <w:rPr>
          <w:rStyle w:val="FootnoteReference"/>
          <w:i/>
          <w:iCs/>
        </w:rPr>
        <w:footnoteReference w:id="2"/>
      </w:r>
      <w:r w:rsidR="006627CA">
        <w:rPr>
          <w:rFonts w:cs="Arial"/>
          <w:i/>
          <w:iCs/>
        </w:rPr>
        <w:t>,</w:t>
      </w:r>
      <w:r w:rsidR="006627CA">
        <w:rPr>
          <w:rFonts w:cs="Arial"/>
        </w:rPr>
        <w:t xml:space="preserve"> </w:t>
      </w:r>
      <w:r w:rsidRPr="006627CA">
        <w:rPr>
          <w:rFonts w:cs="Arial"/>
        </w:rPr>
        <w:t xml:space="preserve">the Constitutional Court restated the two requirements </w:t>
      </w:r>
      <w:r w:rsidR="006627CA">
        <w:rPr>
          <w:rFonts w:cs="Arial"/>
        </w:rPr>
        <w:t xml:space="preserve">for the granting of an application for rescission </w:t>
      </w:r>
      <w:r w:rsidRPr="006627CA">
        <w:rPr>
          <w:rFonts w:cs="Arial"/>
        </w:rPr>
        <w:t>that need to be satisfied under the common law as being the following:</w:t>
      </w:r>
    </w:p>
    <w:p w14:paraId="53A3E4B0" w14:textId="04F53ECE" w:rsidR="00E56F16" w:rsidRPr="007166D5" w:rsidRDefault="007166D5" w:rsidP="007166D5">
      <w:pPr>
        <w:pStyle w:val="ListParagraph"/>
        <w:spacing w:after="120" w:line="360" w:lineRule="auto"/>
        <w:ind w:left="0"/>
        <w:jc w:val="both"/>
        <w:rPr>
          <w:color w:val="000000"/>
          <w:sz w:val="20"/>
          <w:szCs w:val="20"/>
        </w:rPr>
      </w:pPr>
      <w:r>
        <w:rPr>
          <w:rFonts w:cs="Arial"/>
          <w:sz w:val="20"/>
          <w:szCs w:val="20"/>
        </w:rPr>
        <w:t>‘</w:t>
      </w:r>
      <w:r w:rsidR="00E56F16" w:rsidRPr="007166D5">
        <w:rPr>
          <w:rFonts w:cs="Arial"/>
          <w:iCs/>
          <w:sz w:val="20"/>
          <w:szCs w:val="20"/>
          <w:lang w:val="en-ZA"/>
        </w:rPr>
        <w:t xml:space="preserve">First, the applicant must furnish a reasonable and satisfactory explanation for its default. Second, it must show that it has a </w:t>
      </w:r>
      <w:r w:rsidR="00E56F16" w:rsidRPr="007166D5">
        <w:rPr>
          <w:rFonts w:cs="Arial"/>
          <w:i/>
          <w:iCs/>
          <w:sz w:val="20"/>
          <w:szCs w:val="20"/>
          <w:lang w:val="en-ZA"/>
        </w:rPr>
        <w:t>bona fide</w:t>
      </w:r>
      <w:r w:rsidR="00E56F16" w:rsidRPr="007166D5">
        <w:rPr>
          <w:rFonts w:cs="Arial"/>
          <w:iCs/>
          <w:sz w:val="20"/>
          <w:szCs w:val="20"/>
          <w:lang w:val="en-ZA"/>
        </w:rPr>
        <w:t xml:space="preserve"> defence which </w:t>
      </w:r>
      <w:r w:rsidR="00E56F16" w:rsidRPr="007166D5">
        <w:rPr>
          <w:rFonts w:cs="Arial"/>
          <w:i/>
          <w:iCs/>
          <w:sz w:val="20"/>
          <w:szCs w:val="20"/>
          <w:lang w:val="en-ZA"/>
        </w:rPr>
        <w:t>prima facie</w:t>
      </w:r>
      <w:r w:rsidR="00E56F16" w:rsidRPr="007166D5">
        <w:rPr>
          <w:rFonts w:cs="Arial"/>
          <w:iCs/>
          <w:sz w:val="20"/>
          <w:szCs w:val="20"/>
          <w:lang w:val="en-ZA"/>
        </w:rPr>
        <w:t xml:space="preserve"> carries some prospect of success on the merits. Proof of these requirements is taken as showing that there is sufficient cause for an order to be rescinded. A failure to meet one of them may result in ref</w:t>
      </w:r>
      <w:r>
        <w:rPr>
          <w:rFonts w:cs="Arial"/>
          <w:iCs/>
          <w:sz w:val="20"/>
          <w:szCs w:val="20"/>
          <w:lang w:val="en-ZA"/>
        </w:rPr>
        <w:t>usal of the request to rescind.’</w:t>
      </w:r>
    </w:p>
    <w:p w14:paraId="46D01BE8" w14:textId="77777777" w:rsidR="00CF2CDB" w:rsidRPr="00CF2CDB" w:rsidRDefault="00E56F16" w:rsidP="00CF2CDB">
      <w:pPr>
        <w:pStyle w:val="ListParagraph"/>
        <w:numPr>
          <w:ilvl w:val="0"/>
          <w:numId w:val="5"/>
        </w:numPr>
        <w:tabs>
          <w:tab w:val="clear" w:pos="567"/>
        </w:tabs>
        <w:spacing w:after="120" w:line="360" w:lineRule="auto"/>
        <w:ind w:left="0" w:firstLine="0"/>
        <w:jc w:val="both"/>
        <w:rPr>
          <w:color w:val="000000"/>
        </w:rPr>
      </w:pPr>
      <w:r w:rsidRPr="006627CA">
        <w:rPr>
          <w:rFonts w:cs="Arial"/>
          <w:i/>
          <w:lang w:val="en-ZA"/>
        </w:rPr>
        <w:t>Silber v Ozen Wholesalers</w:t>
      </w:r>
      <w:r w:rsidR="00CF2CDB">
        <w:rPr>
          <w:rStyle w:val="FootnoteReference"/>
          <w:i/>
          <w:lang w:val="en-ZA"/>
        </w:rPr>
        <w:footnoteReference w:id="3"/>
      </w:r>
      <w:r w:rsidR="00CF2CDB">
        <w:rPr>
          <w:color w:val="000000"/>
        </w:rPr>
        <w:t xml:space="preserve"> </w:t>
      </w:r>
      <w:r w:rsidRPr="00CF2CDB">
        <w:rPr>
          <w:rFonts w:cs="Arial"/>
          <w:lang w:val="en-ZA"/>
        </w:rPr>
        <w:t>remains authority for the proposition that an applicant’s explanation must be sufficiently full to enable the court to understand how the default came about and assess the applicant’s conduct.</w:t>
      </w:r>
    </w:p>
    <w:p w14:paraId="743375BF" w14:textId="77777777" w:rsidR="00CF2CDB" w:rsidRPr="00CF2CDB" w:rsidRDefault="00E56F16" w:rsidP="00CF2CDB">
      <w:pPr>
        <w:pStyle w:val="ListParagraph"/>
        <w:numPr>
          <w:ilvl w:val="0"/>
          <w:numId w:val="5"/>
        </w:numPr>
        <w:tabs>
          <w:tab w:val="clear" w:pos="567"/>
        </w:tabs>
        <w:spacing w:after="120" w:line="360" w:lineRule="auto"/>
        <w:ind w:left="0" w:firstLine="0"/>
        <w:jc w:val="both"/>
        <w:rPr>
          <w:color w:val="000000"/>
        </w:rPr>
      </w:pPr>
      <w:r w:rsidRPr="00CF2CDB">
        <w:rPr>
          <w:rFonts w:cs="Arial"/>
          <w:lang w:val="en-ZA"/>
        </w:rPr>
        <w:t xml:space="preserve">An element of the explanation for the default is that the applicant must show that he was not in wilful default. If the case the applicant makes out on wilful default is not persuasive, that is not the end of the enquiry </w:t>
      </w:r>
      <w:r w:rsidR="00CF2CDB">
        <w:rPr>
          <w:rFonts w:cs="Arial"/>
          <w:lang w:val="en-ZA"/>
        </w:rPr>
        <w:t>–</w:t>
      </w:r>
      <w:r w:rsidRPr="00CF2CDB">
        <w:rPr>
          <w:rFonts w:cs="Arial"/>
          <w:lang w:val="en-ZA"/>
        </w:rPr>
        <w:t xml:space="preserve"> the</w:t>
      </w:r>
      <w:r w:rsidR="00CF2CDB">
        <w:rPr>
          <w:rFonts w:cs="Arial"/>
          <w:lang w:val="en-ZA"/>
        </w:rPr>
        <w:t xml:space="preserve"> </w:t>
      </w:r>
      <w:r w:rsidRPr="00CF2CDB">
        <w:rPr>
          <w:rFonts w:cs="Arial"/>
          <w:lang w:val="en-ZA"/>
        </w:rPr>
        <w:t xml:space="preserve">applicant’s case may be rescued if a </w:t>
      </w:r>
      <w:r w:rsidRPr="00CF2CDB">
        <w:rPr>
          <w:rFonts w:cs="Arial"/>
          <w:i/>
          <w:lang w:val="en-ZA"/>
        </w:rPr>
        <w:t>bona fide</w:t>
      </w:r>
      <w:r w:rsidRPr="00CF2CDB">
        <w:rPr>
          <w:rFonts w:cs="Arial"/>
          <w:lang w:val="en-ZA"/>
        </w:rPr>
        <w:t xml:space="preserve"> defence is demonstrated</w:t>
      </w:r>
      <w:r w:rsidR="00CF2CDB">
        <w:rPr>
          <w:rFonts w:cs="Arial"/>
          <w:lang w:val="en-ZA"/>
        </w:rPr>
        <w:t>.</w:t>
      </w:r>
      <w:r w:rsidR="00CF2CDB">
        <w:rPr>
          <w:rStyle w:val="FootnoteReference"/>
          <w:lang w:val="en-ZA"/>
        </w:rPr>
        <w:footnoteReference w:id="4"/>
      </w:r>
    </w:p>
    <w:p w14:paraId="227AD01F" w14:textId="2F53FDA0" w:rsidR="00E56F16" w:rsidRPr="00CF2CDB" w:rsidRDefault="00E56F16" w:rsidP="00CF2CDB">
      <w:pPr>
        <w:pStyle w:val="ListParagraph"/>
        <w:numPr>
          <w:ilvl w:val="0"/>
          <w:numId w:val="5"/>
        </w:numPr>
        <w:tabs>
          <w:tab w:val="clear" w:pos="567"/>
        </w:tabs>
        <w:spacing w:after="120" w:line="360" w:lineRule="auto"/>
        <w:ind w:left="0" w:firstLine="0"/>
        <w:jc w:val="both"/>
        <w:rPr>
          <w:color w:val="000000"/>
        </w:rPr>
      </w:pPr>
      <w:r w:rsidRPr="00CF2CDB">
        <w:rPr>
          <w:rFonts w:cs="Arial"/>
          <w:color w:val="494949"/>
          <w:spacing w:val="1"/>
        </w:rPr>
        <w:t xml:space="preserve">The defences raised must not only be decided against the backdrop of the full context of the case but must also be </w:t>
      </w:r>
      <w:r w:rsidRPr="00CF2CDB">
        <w:rPr>
          <w:rFonts w:cs="Arial"/>
          <w:i/>
          <w:color w:val="494949"/>
          <w:spacing w:val="1"/>
        </w:rPr>
        <w:t>bona fide</w:t>
      </w:r>
      <w:r w:rsidRPr="00CF2CDB">
        <w:rPr>
          <w:rFonts w:cs="Arial"/>
          <w:color w:val="494949"/>
          <w:spacing w:val="1"/>
        </w:rPr>
        <w:t xml:space="preserve"> and the nature of the </w:t>
      </w:r>
      <w:r w:rsidRPr="00CF2CDB">
        <w:rPr>
          <w:rFonts w:cs="Arial"/>
          <w:color w:val="494949"/>
          <w:spacing w:val="1"/>
        </w:rPr>
        <w:lastRenderedPageBreak/>
        <w:t>grounds of the defence and the material facts relied upon must be fully disclosed.</w:t>
      </w:r>
      <w:r>
        <w:rPr>
          <w:rStyle w:val="FootnoteReference"/>
          <w:rFonts w:cs="Arial"/>
          <w:color w:val="494949"/>
          <w:spacing w:val="1"/>
          <w:sz w:val="24"/>
        </w:rPr>
        <w:footnoteReference w:id="5"/>
      </w:r>
    </w:p>
    <w:p w14:paraId="081B8B99" w14:textId="77777777" w:rsidR="00CF2CDB" w:rsidRPr="00CF2CDB" w:rsidRDefault="00E56F16" w:rsidP="007166D5">
      <w:pPr>
        <w:pStyle w:val="ListParagraph"/>
        <w:numPr>
          <w:ilvl w:val="0"/>
          <w:numId w:val="5"/>
        </w:numPr>
        <w:tabs>
          <w:tab w:val="clear" w:pos="567"/>
        </w:tabs>
        <w:spacing w:line="360" w:lineRule="auto"/>
        <w:ind w:left="0" w:firstLine="0"/>
        <w:jc w:val="both"/>
        <w:rPr>
          <w:color w:val="000000"/>
        </w:rPr>
      </w:pPr>
      <w:r w:rsidRPr="00CF2CDB">
        <w:rPr>
          <w:rFonts w:cs="Arial"/>
        </w:rPr>
        <w:t>It is also trite that the court has the power to rescind its orders or judgment in terms of rule 42 (1) (a)</w:t>
      </w:r>
      <w:r w:rsidR="00CF2CDB">
        <w:rPr>
          <w:rFonts w:cs="Arial"/>
        </w:rPr>
        <w:t>,</w:t>
      </w:r>
      <w:r w:rsidRPr="00CF2CDB">
        <w:rPr>
          <w:rFonts w:cs="Arial"/>
        </w:rPr>
        <w:t xml:space="preserve"> which provides as follows:</w:t>
      </w:r>
    </w:p>
    <w:p w14:paraId="71EDC78B" w14:textId="6BD68646" w:rsidR="00E56F16" w:rsidRPr="007166D5" w:rsidRDefault="007166D5" w:rsidP="007166D5">
      <w:pPr>
        <w:pStyle w:val="ListParagraph"/>
        <w:spacing w:line="360" w:lineRule="auto"/>
        <w:ind w:left="0"/>
        <w:jc w:val="both"/>
        <w:rPr>
          <w:b/>
          <w:color w:val="000000"/>
          <w:sz w:val="20"/>
          <w:szCs w:val="20"/>
        </w:rPr>
      </w:pPr>
      <w:r>
        <w:rPr>
          <w:rFonts w:cs="Arial"/>
          <w:iCs/>
          <w:sz w:val="20"/>
          <w:szCs w:val="20"/>
        </w:rPr>
        <w:t>‘</w:t>
      </w:r>
      <w:r w:rsidR="00E56F16" w:rsidRPr="007166D5">
        <w:rPr>
          <w:rFonts w:cs="Arial"/>
          <w:b/>
          <w:iCs/>
          <w:sz w:val="20"/>
          <w:szCs w:val="20"/>
        </w:rPr>
        <w:t>Variation and rescission of orders:</w:t>
      </w:r>
    </w:p>
    <w:p w14:paraId="749A06F1" w14:textId="6894EEA9" w:rsidR="00E56F16" w:rsidRPr="007166D5" w:rsidRDefault="00E56F16" w:rsidP="007166D5">
      <w:pPr>
        <w:pStyle w:val="ListParagraph"/>
        <w:numPr>
          <w:ilvl w:val="0"/>
          <w:numId w:val="23"/>
        </w:numPr>
        <w:spacing w:line="360" w:lineRule="auto"/>
        <w:ind w:left="567" w:hanging="567"/>
        <w:jc w:val="both"/>
        <w:rPr>
          <w:color w:val="000000"/>
          <w:sz w:val="20"/>
          <w:szCs w:val="20"/>
        </w:rPr>
      </w:pPr>
      <w:r w:rsidRPr="007166D5">
        <w:rPr>
          <w:rFonts w:cs="Arial"/>
          <w:iCs/>
          <w:sz w:val="20"/>
          <w:szCs w:val="20"/>
        </w:rPr>
        <w:t xml:space="preserve">The court may, in addition to any other powers it may have, </w:t>
      </w:r>
      <w:r w:rsidRPr="007166D5">
        <w:rPr>
          <w:rFonts w:cs="Arial"/>
          <w:i/>
          <w:iCs/>
          <w:sz w:val="20"/>
          <w:szCs w:val="20"/>
        </w:rPr>
        <w:t>mero motu</w:t>
      </w:r>
      <w:r w:rsidRPr="007166D5">
        <w:rPr>
          <w:rFonts w:cs="Arial"/>
          <w:iCs/>
          <w:sz w:val="20"/>
          <w:szCs w:val="20"/>
        </w:rPr>
        <w:t xml:space="preserve"> or upon the application of any party affected, rescind or vary:</w:t>
      </w:r>
    </w:p>
    <w:p w14:paraId="015EB773" w14:textId="66E3F184" w:rsidR="00E56F16" w:rsidRPr="007166D5" w:rsidRDefault="00E56F16" w:rsidP="007166D5">
      <w:pPr>
        <w:pStyle w:val="ListParagraph"/>
        <w:numPr>
          <w:ilvl w:val="0"/>
          <w:numId w:val="24"/>
        </w:numPr>
        <w:spacing w:line="360" w:lineRule="auto"/>
        <w:jc w:val="both"/>
        <w:rPr>
          <w:color w:val="000000"/>
          <w:sz w:val="20"/>
          <w:szCs w:val="20"/>
        </w:rPr>
      </w:pPr>
      <w:r w:rsidRPr="007166D5">
        <w:rPr>
          <w:rFonts w:cs="Arial"/>
          <w:iCs/>
          <w:sz w:val="20"/>
          <w:szCs w:val="20"/>
        </w:rPr>
        <w:t>an order or judgment erroneously</w:t>
      </w:r>
      <w:r w:rsidR="00CF2CDB" w:rsidRPr="007166D5">
        <w:rPr>
          <w:rFonts w:cs="Arial"/>
          <w:iCs/>
          <w:sz w:val="20"/>
          <w:szCs w:val="20"/>
        </w:rPr>
        <w:t xml:space="preserve"> sought or erroneously granted </w:t>
      </w:r>
      <w:r w:rsidRPr="007166D5">
        <w:rPr>
          <w:rFonts w:cs="Arial"/>
          <w:iCs/>
          <w:sz w:val="20"/>
          <w:szCs w:val="20"/>
        </w:rPr>
        <w:t>in the absence of any party affected thereby;</w:t>
      </w:r>
    </w:p>
    <w:p w14:paraId="51B54A11" w14:textId="2A403A97" w:rsidR="007166D5" w:rsidRPr="007166D5" w:rsidRDefault="007166D5" w:rsidP="007166D5">
      <w:pPr>
        <w:pStyle w:val="ListParagraph"/>
        <w:numPr>
          <w:ilvl w:val="0"/>
          <w:numId w:val="24"/>
        </w:numPr>
        <w:spacing w:after="120" w:line="360" w:lineRule="auto"/>
        <w:ind w:left="714" w:hanging="357"/>
        <w:jc w:val="both"/>
        <w:rPr>
          <w:color w:val="000000"/>
          <w:sz w:val="20"/>
          <w:szCs w:val="20"/>
        </w:rPr>
      </w:pPr>
      <w:r>
        <w:rPr>
          <w:rFonts w:cs="Arial"/>
          <w:iCs/>
          <w:sz w:val="20"/>
          <w:szCs w:val="20"/>
        </w:rPr>
        <w:t>… … …’.</w:t>
      </w:r>
    </w:p>
    <w:p w14:paraId="29A26D0E" w14:textId="77777777" w:rsidR="00CF2CDB" w:rsidRPr="00CF2CDB" w:rsidRDefault="00E56F16" w:rsidP="007166D5">
      <w:pPr>
        <w:pStyle w:val="ListParagraph"/>
        <w:numPr>
          <w:ilvl w:val="0"/>
          <w:numId w:val="5"/>
        </w:numPr>
        <w:tabs>
          <w:tab w:val="clear" w:pos="567"/>
        </w:tabs>
        <w:spacing w:line="360" w:lineRule="auto"/>
        <w:ind w:left="0" w:firstLine="0"/>
        <w:jc w:val="both"/>
        <w:rPr>
          <w:color w:val="000000"/>
        </w:rPr>
      </w:pPr>
      <w:r w:rsidRPr="00CF2CDB">
        <w:rPr>
          <w:rFonts w:cs="Arial"/>
        </w:rPr>
        <w:t xml:space="preserve">The import of Rule 42 was explained by the Constitutional Court in the </w:t>
      </w:r>
      <w:r w:rsidRPr="00CF2CDB">
        <w:rPr>
          <w:rFonts w:cs="Arial"/>
          <w:i/>
        </w:rPr>
        <w:t>Zuma</w:t>
      </w:r>
      <w:r w:rsidRPr="00CF2CDB">
        <w:rPr>
          <w:rFonts w:cs="Arial"/>
        </w:rPr>
        <w:t xml:space="preserve"> matter supra, in the following terms:</w:t>
      </w:r>
    </w:p>
    <w:p w14:paraId="00E90240" w14:textId="155AA15A" w:rsidR="00CF2CDB" w:rsidRPr="007166D5" w:rsidRDefault="007166D5" w:rsidP="007166D5">
      <w:pPr>
        <w:pStyle w:val="ListParagraph"/>
        <w:spacing w:after="120" w:line="360" w:lineRule="auto"/>
        <w:ind w:left="0"/>
        <w:jc w:val="both"/>
        <w:rPr>
          <w:color w:val="000000"/>
          <w:sz w:val="20"/>
          <w:szCs w:val="20"/>
        </w:rPr>
      </w:pPr>
      <w:r>
        <w:rPr>
          <w:rFonts w:cs="Arial"/>
          <w:sz w:val="20"/>
          <w:szCs w:val="20"/>
        </w:rPr>
        <w:t>‘</w:t>
      </w:r>
      <w:r>
        <w:rPr>
          <w:rFonts w:cs="Arial"/>
          <w:iCs/>
          <w:sz w:val="20"/>
          <w:szCs w:val="20"/>
        </w:rPr>
        <w:t>[53]</w:t>
      </w:r>
      <w:r>
        <w:rPr>
          <w:rFonts w:cs="Arial"/>
          <w:iCs/>
          <w:sz w:val="20"/>
          <w:szCs w:val="20"/>
        </w:rPr>
        <w:tab/>
      </w:r>
      <w:r w:rsidR="00E56F16" w:rsidRPr="007166D5">
        <w:rPr>
          <w:rFonts w:cs="Arial"/>
          <w:iCs/>
          <w:sz w:val="20"/>
          <w:szCs w:val="20"/>
        </w:rPr>
        <w:t>It should be pointed out that once an applicant has met the requirements for rescission, a court is merely endowed with a discretion to rescind its order. The precise wording of rule 42, after all, postulates that a court "may", not "must", rescind or vary its order – the rule is merely an "empowering section and does not compel the court" to set aside or rescind anything. This discretio</w:t>
      </w:r>
      <w:r>
        <w:rPr>
          <w:rFonts w:cs="Arial"/>
          <w:iCs/>
          <w:sz w:val="20"/>
          <w:szCs w:val="20"/>
        </w:rPr>
        <w:t>n must be exercised judicially.’</w:t>
      </w:r>
      <w:r w:rsidR="00E56F16" w:rsidRPr="007166D5">
        <w:rPr>
          <w:rFonts w:cs="Arial"/>
          <w:sz w:val="20"/>
          <w:szCs w:val="20"/>
        </w:rPr>
        <w:t xml:space="preserve"> </w:t>
      </w:r>
    </w:p>
    <w:p w14:paraId="01347D9D" w14:textId="77777777" w:rsidR="00CF2CDB" w:rsidRPr="00CF2CDB" w:rsidRDefault="00E56F16" w:rsidP="00CF2CDB">
      <w:pPr>
        <w:pStyle w:val="ListParagraph"/>
        <w:numPr>
          <w:ilvl w:val="0"/>
          <w:numId w:val="5"/>
        </w:numPr>
        <w:tabs>
          <w:tab w:val="clear" w:pos="567"/>
        </w:tabs>
        <w:spacing w:after="240" w:line="360" w:lineRule="auto"/>
        <w:ind w:left="0" w:firstLine="0"/>
        <w:jc w:val="both"/>
        <w:rPr>
          <w:color w:val="000000"/>
        </w:rPr>
      </w:pPr>
      <w:r w:rsidRPr="00CF2CDB">
        <w:rPr>
          <w:rFonts w:cs="Arial"/>
        </w:rPr>
        <w:t xml:space="preserve">As stated in the </w:t>
      </w:r>
      <w:r w:rsidRPr="00CF2CDB">
        <w:rPr>
          <w:rFonts w:cs="Arial"/>
          <w:i/>
        </w:rPr>
        <w:t>Zuma</w:t>
      </w:r>
      <w:r w:rsidRPr="00CF2CDB">
        <w:rPr>
          <w:rFonts w:cs="Arial"/>
        </w:rPr>
        <w:t xml:space="preserve"> matter, to sati</w:t>
      </w:r>
      <w:r w:rsidR="00CF2CDB">
        <w:rPr>
          <w:rFonts w:cs="Arial"/>
        </w:rPr>
        <w:t>sfy the requirements of Rule 42(1)</w:t>
      </w:r>
      <w:r w:rsidRPr="00CF2CDB">
        <w:rPr>
          <w:rFonts w:cs="Arial"/>
        </w:rPr>
        <w:t>(a), the applicant must show the existence of both the requirements that the order or judgment was granted in his or her absence and that it was erroneously granted or sought. However, the court retains the discretion to grant or refuse the rescission of an order having regard to fairness and justice.</w:t>
      </w:r>
    </w:p>
    <w:p w14:paraId="10DE29CA" w14:textId="72CEE908" w:rsidR="00E56F16" w:rsidRPr="00CF2CDB" w:rsidRDefault="00E56F16" w:rsidP="00CF2CDB">
      <w:pPr>
        <w:pStyle w:val="ListParagraph"/>
        <w:spacing w:after="120" w:line="360" w:lineRule="auto"/>
        <w:ind w:left="0"/>
        <w:jc w:val="both"/>
        <w:rPr>
          <w:color w:val="000000"/>
        </w:rPr>
      </w:pPr>
      <w:r w:rsidRPr="00CF2CDB">
        <w:rPr>
          <w:rFonts w:cs="Arial"/>
          <w:b/>
          <w:bCs/>
          <w:iCs/>
        </w:rPr>
        <w:t>Explanation of Default</w:t>
      </w:r>
    </w:p>
    <w:p w14:paraId="35F5D265" w14:textId="3D750D64" w:rsidR="00E56F16" w:rsidRPr="001E3848" w:rsidRDefault="00E56F16" w:rsidP="001E3848">
      <w:pPr>
        <w:pStyle w:val="ListParagraph"/>
        <w:numPr>
          <w:ilvl w:val="0"/>
          <w:numId w:val="5"/>
        </w:numPr>
        <w:tabs>
          <w:tab w:val="clear" w:pos="567"/>
        </w:tabs>
        <w:spacing w:after="120" w:line="360" w:lineRule="auto"/>
        <w:ind w:left="0" w:firstLine="0"/>
        <w:jc w:val="both"/>
        <w:rPr>
          <w:color w:val="000000"/>
        </w:rPr>
      </w:pPr>
      <w:r w:rsidRPr="00CF2CDB">
        <w:rPr>
          <w:rFonts w:cs="Arial"/>
          <w:lang w:val="en-US"/>
        </w:rPr>
        <w:t>The appellants submitted that they did not oppose the proceedings because they were not aware of it. They contended that service was never effected on them. They say that the respondent failed to effect service at a different address which was known to it because the warrant of execution was served at the address of the first appellant ‘s residence. They submitted that this is substantiated by the fact that Mr</w:t>
      </w:r>
      <w:r w:rsidR="001E3848">
        <w:rPr>
          <w:rFonts w:cs="Arial"/>
          <w:lang w:val="en-US"/>
        </w:rPr>
        <w:t xml:space="preserve"> </w:t>
      </w:r>
      <w:r w:rsidRPr="00CF2CDB">
        <w:rPr>
          <w:rFonts w:cs="Arial"/>
          <w:lang w:val="en-US"/>
        </w:rPr>
        <w:t xml:space="preserve">Georgiades knew that the appellants had vacated the </w:t>
      </w:r>
      <w:r w:rsidR="001E3848" w:rsidRPr="00CF2CDB">
        <w:rPr>
          <w:rFonts w:cs="Arial"/>
          <w:i/>
          <w:iCs/>
          <w:lang w:val="en-US"/>
        </w:rPr>
        <w:t>domicilium</w:t>
      </w:r>
      <w:r w:rsidRPr="00CF2CDB">
        <w:rPr>
          <w:rFonts w:cs="Arial"/>
          <w:lang w:val="en-US"/>
        </w:rPr>
        <w:t xml:space="preserve"> address.  They contended that service of the summons and </w:t>
      </w:r>
      <w:r w:rsidR="001E3848">
        <w:rPr>
          <w:rFonts w:cs="Arial"/>
          <w:lang w:val="en-US"/>
        </w:rPr>
        <w:t xml:space="preserve">the </w:t>
      </w:r>
      <w:r w:rsidRPr="00CF2CDB">
        <w:rPr>
          <w:rFonts w:cs="Arial"/>
          <w:lang w:val="en-US"/>
        </w:rPr>
        <w:t xml:space="preserve">application for default judgment on the Corlett Drive address was </w:t>
      </w:r>
      <w:r w:rsidRPr="00CF2CDB">
        <w:rPr>
          <w:rFonts w:cs="Arial"/>
          <w:lang w:val="en-US"/>
        </w:rPr>
        <w:lastRenderedPageBreak/>
        <w:t xml:space="preserve">intended to evade the appellants.  In developing this argument, they relied on the case of </w:t>
      </w:r>
      <w:r w:rsidRPr="00CF2CDB">
        <w:rPr>
          <w:rFonts w:cs="Arial"/>
          <w:i/>
          <w:iCs/>
          <w:lang w:val="en-US"/>
        </w:rPr>
        <w:t>Steinberg v Cosmopolitan National Bank of Chicago</w:t>
      </w:r>
      <w:r w:rsidR="001E3848">
        <w:rPr>
          <w:rStyle w:val="FootnoteReference"/>
          <w:lang w:val="en-US"/>
        </w:rPr>
        <w:footnoteReference w:id="6"/>
      </w:r>
      <w:r w:rsidR="001E3848">
        <w:rPr>
          <w:color w:val="000000"/>
        </w:rPr>
        <w:t xml:space="preserve">, </w:t>
      </w:r>
      <w:r w:rsidRPr="001E3848">
        <w:rPr>
          <w:rFonts w:cs="Arial"/>
          <w:lang w:val="en-US"/>
        </w:rPr>
        <w:t xml:space="preserve">where the court </w:t>
      </w:r>
      <w:r w:rsidR="001E3848">
        <w:rPr>
          <w:rFonts w:cs="Arial"/>
          <w:lang w:val="en-US"/>
        </w:rPr>
        <w:t>opined ‘</w:t>
      </w:r>
      <w:r w:rsidRPr="001E3848">
        <w:rPr>
          <w:rFonts w:cs="Arial"/>
          <w:iCs/>
          <w:lang w:val="en-US"/>
        </w:rPr>
        <w:t>that it is a cornerstone of our legal system that a person is entitled to notice of legal proc</w:t>
      </w:r>
      <w:r w:rsidR="001E3848">
        <w:rPr>
          <w:rFonts w:cs="Arial"/>
          <w:iCs/>
          <w:lang w:val="en-US"/>
        </w:rPr>
        <w:t>eedings instituted against him’.</w:t>
      </w:r>
      <w:r w:rsidRPr="001E3848">
        <w:rPr>
          <w:rFonts w:cs="Arial"/>
          <w:lang w:val="en-US"/>
        </w:rPr>
        <w:t xml:space="preserve"> They also relied on other cases amongst them</w:t>
      </w:r>
      <w:r w:rsidR="001E3848">
        <w:rPr>
          <w:rFonts w:cs="Arial"/>
          <w:lang w:val="en-US"/>
        </w:rPr>
        <w:t xml:space="preserve"> </w:t>
      </w:r>
      <w:r w:rsidR="001E3848" w:rsidRPr="001E3848">
        <w:rPr>
          <w:i/>
          <w:color w:val="000000"/>
        </w:rPr>
        <w:t>First Rand Bank v Gazu</w:t>
      </w:r>
      <w:r w:rsidR="001E3848">
        <w:rPr>
          <w:rStyle w:val="FootnoteReference"/>
          <w:color w:val="000000"/>
        </w:rPr>
        <w:footnoteReference w:id="7"/>
      </w:r>
      <w:r w:rsidR="001E3848">
        <w:rPr>
          <w:color w:val="000000"/>
        </w:rPr>
        <w:t xml:space="preserve"> </w:t>
      </w:r>
      <w:r w:rsidRPr="001E3848">
        <w:rPr>
          <w:rFonts w:cs="Arial"/>
          <w:lang w:val="en-US"/>
        </w:rPr>
        <w:t xml:space="preserve">and </w:t>
      </w:r>
      <w:r w:rsidR="001E3848" w:rsidRPr="001E3848">
        <w:rPr>
          <w:i/>
          <w:color w:val="000000"/>
        </w:rPr>
        <w:t>Sandton Square Finance (Pty) Ltd and others v Biagi, Bertola and Vasco and Another</w:t>
      </w:r>
      <w:r w:rsidR="001E3848">
        <w:rPr>
          <w:rStyle w:val="FootnoteReference"/>
          <w:color w:val="000000"/>
        </w:rPr>
        <w:footnoteReference w:id="8"/>
      </w:r>
      <w:r w:rsidR="001E3848">
        <w:rPr>
          <w:color w:val="000000"/>
        </w:rPr>
        <w:t xml:space="preserve"> </w:t>
      </w:r>
      <w:r w:rsidRPr="001E3848">
        <w:rPr>
          <w:rFonts w:cs="Arial"/>
          <w:lang w:val="en-US"/>
        </w:rPr>
        <w:t>to strengthen their argument on effective service.</w:t>
      </w:r>
    </w:p>
    <w:p w14:paraId="6F548DB8" w14:textId="77777777" w:rsidR="001E3848" w:rsidRPr="001E3848" w:rsidRDefault="00E56F16" w:rsidP="00A41F4C">
      <w:pPr>
        <w:pStyle w:val="ListParagraph"/>
        <w:numPr>
          <w:ilvl w:val="0"/>
          <w:numId w:val="5"/>
        </w:numPr>
        <w:tabs>
          <w:tab w:val="clear" w:pos="567"/>
        </w:tabs>
        <w:spacing w:line="360" w:lineRule="auto"/>
        <w:ind w:left="0" w:firstLine="0"/>
        <w:jc w:val="both"/>
        <w:rPr>
          <w:color w:val="000000"/>
        </w:rPr>
      </w:pPr>
      <w:r w:rsidRPr="001E3848">
        <w:rPr>
          <w:rFonts w:cs="Arial"/>
          <w:color w:val="242121"/>
          <w:lang w:eastAsia="en-ZA"/>
        </w:rPr>
        <w:t xml:space="preserve">In considering whether the appellants were in wilful default I bear in mind what was said in </w:t>
      </w:r>
      <w:r w:rsidRPr="001E3848">
        <w:rPr>
          <w:rFonts w:cs="Arial"/>
          <w:i/>
          <w:iCs/>
          <w:color w:val="242121"/>
          <w:lang w:eastAsia="en-ZA"/>
        </w:rPr>
        <w:t>Harris v ABSA Bank Ltd Volkskas</w:t>
      </w:r>
      <w:r w:rsidR="001E3848">
        <w:rPr>
          <w:rStyle w:val="FootnoteReference"/>
          <w:color w:val="242121"/>
          <w:lang w:eastAsia="en-ZA"/>
        </w:rPr>
        <w:footnoteReference w:id="9"/>
      </w:r>
      <w:r w:rsidR="001E3848">
        <w:rPr>
          <w:color w:val="000000"/>
        </w:rPr>
        <w:t xml:space="preserve"> </w:t>
      </w:r>
      <w:r w:rsidRPr="001E3848">
        <w:rPr>
          <w:rFonts w:cs="Arial"/>
          <w:color w:val="242121"/>
          <w:lang w:eastAsia="en-ZA"/>
        </w:rPr>
        <w:t>that:</w:t>
      </w:r>
    </w:p>
    <w:p w14:paraId="23B9E157" w14:textId="60BE921C" w:rsidR="00E56F16" w:rsidRPr="00A41F4C" w:rsidRDefault="00A41F4C" w:rsidP="00A41F4C">
      <w:pPr>
        <w:pStyle w:val="ListParagraph"/>
        <w:spacing w:after="120" w:line="360" w:lineRule="auto"/>
        <w:ind w:left="0"/>
        <w:jc w:val="both"/>
        <w:rPr>
          <w:color w:val="000000"/>
          <w:sz w:val="20"/>
          <w:szCs w:val="20"/>
        </w:rPr>
      </w:pPr>
      <w:r>
        <w:rPr>
          <w:rFonts w:cs="Arial"/>
          <w:iCs/>
          <w:color w:val="242121"/>
          <w:sz w:val="20"/>
          <w:szCs w:val="20"/>
          <w:lang w:eastAsia="en-ZA"/>
        </w:rPr>
        <w:t>‘[</w:t>
      </w:r>
      <w:r w:rsidR="00E56F16" w:rsidRPr="00A41F4C">
        <w:rPr>
          <w:rFonts w:cs="Arial"/>
          <w:iCs/>
          <w:color w:val="242121"/>
          <w:sz w:val="20"/>
          <w:szCs w:val="20"/>
          <w:lang w:eastAsia="en-ZA"/>
        </w:rPr>
        <w:t>8</w:t>
      </w:r>
      <w:r>
        <w:rPr>
          <w:rFonts w:cs="Arial"/>
          <w:iCs/>
          <w:color w:val="242121"/>
          <w:sz w:val="20"/>
          <w:szCs w:val="20"/>
          <w:lang w:eastAsia="en-ZA"/>
        </w:rPr>
        <w:t>]</w:t>
      </w:r>
      <w:r>
        <w:rPr>
          <w:rFonts w:cs="Arial"/>
          <w:iCs/>
          <w:color w:val="242121"/>
          <w:sz w:val="20"/>
          <w:szCs w:val="20"/>
          <w:lang w:eastAsia="en-ZA"/>
        </w:rPr>
        <w:tab/>
      </w:r>
      <w:r w:rsidR="00E56F16" w:rsidRPr="00A41F4C">
        <w:rPr>
          <w:rFonts w:cs="Arial"/>
          <w:iCs/>
          <w:color w:val="242121"/>
          <w:sz w:val="20"/>
          <w:szCs w:val="20"/>
          <w:lang w:eastAsia="en-ZA"/>
        </w:rPr>
        <w:t>Before an applicant in a rescission of judgment application can be said to be in “wilful default’’ he or she must bear knowledge of the action brought against him or her and of the steps required to avoid the default. Such an applicant must deliberately, being free to do so, fail or omit to take the step which would avoid the default and must appreciate the legal consequences of his or her actions. A decision freely taken to reform from filing a notice to defend or a plea or from appearing would ordinarily weigh heavily against an Applicant required t</w:t>
      </w:r>
      <w:r>
        <w:rPr>
          <w:rFonts w:cs="Arial"/>
          <w:iCs/>
          <w:color w:val="242121"/>
          <w:sz w:val="20"/>
          <w:szCs w:val="20"/>
          <w:lang w:eastAsia="en-ZA"/>
        </w:rPr>
        <w:t>o establish sufficient cause.’</w:t>
      </w:r>
    </w:p>
    <w:p w14:paraId="2D0681E0" w14:textId="054BCD50" w:rsidR="00E56F16" w:rsidRPr="00A41F4C" w:rsidRDefault="00E56F16" w:rsidP="00A41F4C">
      <w:pPr>
        <w:pStyle w:val="ListParagraph"/>
        <w:numPr>
          <w:ilvl w:val="0"/>
          <w:numId w:val="5"/>
        </w:numPr>
        <w:tabs>
          <w:tab w:val="clear" w:pos="567"/>
        </w:tabs>
        <w:spacing w:after="120" w:line="360" w:lineRule="auto"/>
        <w:ind w:left="0" w:firstLine="0"/>
        <w:jc w:val="both"/>
        <w:rPr>
          <w:color w:val="000000"/>
          <w:sz w:val="20"/>
          <w:szCs w:val="20"/>
        </w:rPr>
      </w:pPr>
      <w:r w:rsidRPr="00A41F4C">
        <w:rPr>
          <w:rFonts w:cs="Arial"/>
          <w:color w:val="242121"/>
          <w:shd w:val="clear" w:color="auto" w:fill="FFFFFF"/>
        </w:rPr>
        <w:t xml:space="preserve">It is quite apparent from the facts of this case that the appellants did not receive the summons and the application for default judgment. </w:t>
      </w:r>
      <w:r w:rsidRPr="00A41F4C">
        <w:rPr>
          <w:rFonts w:cs="Arial"/>
          <w:color w:val="242121"/>
          <w:shd w:val="clear" w:color="auto" w:fill="FFFFFF"/>
          <w:lang w:val="en-US"/>
        </w:rPr>
        <w:t>While there is nothing inherently wrong with service at a domiciliary address</w:t>
      </w:r>
      <w:r w:rsidR="00A41F4C">
        <w:rPr>
          <w:rFonts w:cs="Arial"/>
          <w:color w:val="242121"/>
          <w:shd w:val="clear" w:color="auto" w:fill="FFFFFF"/>
          <w:lang w:val="en-US"/>
        </w:rPr>
        <w:t>,</w:t>
      </w:r>
      <w:r w:rsidRPr="00A41F4C">
        <w:rPr>
          <w:rFonts w:cs="Arial"/>
          <w:color w:val="242121"/>
          <w:shd w:val="clear" w:color="auto" w:fill="FFFFFF"/>
          <w:lang w:val="en-US"/>
        </w:rPr>
        <w:t xml:space="preserve"> it is my view that a plaintiff, and particularly one that has knowledge of alternate means of effecting proper service, should effect service in a manner that is likely to ensure that a defendant is informed of the intended action against him.</w:t>
      </w:r>
      <w:r>
        <w:rPr>
          <w:rStyle w:val="FootnoteReference"/>
          <w:rFonts w:cs="Arial"/>
          <w:color w:val="242121"/>
          <w:sz w:val="24"/>
          <w:shd w:val="clear" w:color="auto" w:fill="FFFFFF"/>
          <w:lang w:val="en-US"/>
        </w:rPr>
        <w:footnoteReference w:id="10"/>
      </w:r>
      <w:r w:rsidRPr="00A41F4C">
        <w:rPr>
          <w:rFonts w:cs="Arial"/>
          <w:color w:val="242121"/>
          <w:shd w:val="clear" w:color="auto" w:fill="FFFFFF"/>
          <w:lang w:val="en-US"/>
        </w:rPr>
        <w:t xml:space="preserve"> </w:t>
      </w:r>
      <w:r w:rsidRPr="00A41F4C">
        <w:rPr>
          <w:rFonts w:cs="Arial"/>
          <w:color w:val="242121"/>
          <w:shd w:val="clear" w:color="auto" w:fill="FFFFFF"/>
        </w:rPr>
        <w:t>In the circumstances</w:t>
      </w:r>
      <w:r w:rsidR="00A41F4C">
        <w:rPr>
          <w:rFonts w:cs="Arial"/>
          <w:color w:val="242121"/>
          <w:shd w:val="clear" w:color="auto" w:fill="FFFFFF"/>
        </w:rPr>
        <w:t>,</w:t>
      </w:r>
      <w:r w:rsidRPr="00A41F4C">
        <w:rPr>
          <w:rFonts w:cs="Arial"/>
          <w:color w:val="242121"/>
          <w:shd w:val="clear" w:color="auto" w:fill="FFFFFF"/>
        </w:rPr>
        <w:t xml:space="preserve"> I cannot find that the appellants were wilful in not entering an appearance to defend.</w:t>
      </w:r>
    </w:p>
    <w:p w14:paraId="6DB13BD9" w14:textId="7720D501" w:rsidR="00E56F16" w:rsidRPr="00A41F4C" w:rsidRDefault="00E56F16" w:rsidP="00A41F4C">
      <w:pPr>
        <w:pStyle w:val="ListParagraph"/>
        <w:numPr>
          <w:ilvl w:val="0"/>
          <w:numId w:val="5"/>
        </w:numPr>
        <w:tabs>
          <w:tab w:val="clear" w:pos="567"/>
        </w:tabs>
        <w:spacing w:after="240" w:line="360" w:lineRule="auto"/>
        <w:ind w:left="0" w:firstLine="0"/>
        <w:jc w:val="both"/>
        <w:rPr>
          <w:color w:val="000000"/>
          <w:sz w:val="20"/>
          <w:szCs w:val="20"/>
        </w:rPr>
      </w:pPr>
      <w:r w:rsidRPr="00A41F4C">
        <w:rPr>
          <w:rFonts w:cs="Arial"/>
          <w:color w:val="242121"/>
          <w:lang w:eastAsia="en-ZA"/>
        </w:rPr>
        <w:t>In the circumstances I find that the Court </w:t>
      </w:r>
      <w:r w:rsidRPr="00A41F4C">
        <w:rPr>
          <w:rFonts w:cs="Arial"/>
          <w:i/>
          <w:iCs/>
          <w:color w:val="242121"/>
          <w:lang w:eastAsia="en-ZA"/>
        </w:rPr>
        <w:t xml:space="preserve">a quo </w:t>
      </w:r>
      <w:r w:rsidRPr="00A41F4C">
        <w:rPr>
          <w:rFonts w:cs="Arial"/>
          <w:color w:val="242121"/>
          <w:lang w:eastAsia="en-ZA"/>
        </w:rPr>
        <w:t>ought to have found that there was no wilful default by the appellants in not defending the proceedings against them.</w:t>
      </w:r>
    </w:p>
    <w:p w14:paraId="4351ECFE" w14:textId="7F9EFF6A" w:rsidR="00E56F16" w:rsidRPr="00A41F4C" w:rsidRDefault="00E56F16" w:rsidP="00A41F4C">
      <w:pPr>
        <w:pStyle w:val="ListParagraph"/>
        <w:spacing w:after="120" w:line="360" w:lineRule="auto"/>
        <w:ind w:left="0"/>
        <w:jc w:val="both"/>
        <w:rPr>
          <w:color w:val="000000"/>
          <w:sz w:val="20"/>
          <w:szCs w:val="20"/>
        </w:rPr>
      </w:pPr>
      <w:r w:rsidRPr="007166D5">
        <w:rPr>
          <w:rFonts w:cs="Arial"/>
          <w:b/>
          <w:bCs/>
          <w:i/>
          <w:iCs/>
        </w:rPr>
        <w:lastRenderedPageBreak/>
        <w:t>Bona fide</w:t>
      </w:r>
      <w:r w:rsidRPr="00A41F4C">
        <w:rPr>
          <w:rFonts w:cs="Arial"/>
          <w:b/>
          <w:bCs/>
          <w:iCs/>
        </w:rPr>
        <w:t xml:space="preserve"> Defence</w:t>
      </w:r>
    </w:p>
    <w:p w14:paraId="38FD9B2C" w14:textId="7709E2B2" w:rsidR="00E56F16" w:rsidRPr="00A41F4C" w:rsidRDefault="00E56F16" w:rsidP="00A41F4C">
      <w:pPr>
        <w:pStyle w:val="ListParagraph"/>
        <w:numPr>
          <w:ilvl w:val="0"/>
          <w:numId w:val="5"/>
        </w:numPr>
        <w:tabs>
          <w:tab w:val="clear" w:pos="567"/>
        </w:tabs>
        <w:spacing w:line="360" w:lineRule="auto"/>
        <w:ind w:left="0" w:firstLine="0"/>
        <w:jc w:val="both"/>
        <w:rPr>
          <w:color w:val="000000"/>
          <w:sz w:val="20"/>
          <w:szCs w:val="20"/>
        </w:rPr>
      </w:pPr>
      <w:r w:rsidRPr="00A41F4C">
        <w:rPr>
          <w:rFonts w:cs="Arial"/>
          <w:color w:val="242121"/>
          <w:shd w:val="clear" w:color="auto" w:fill="FFFFFF"/>
        </w:rPr>
        <w:t>The second stage of the inquiry is whether the appellants have raised a </w:t>
      </w:r>
      <w:r w:rsidRPr="00A41F4C">
        <w:rPr>
          <w:rFonts w:cs="Arial"/>
          <w:i/>
          <w:iCs/>
          <w:color w:val="242121"/>
          <w:shd w:val="clear" w:color="auto" w:fill="FFFFFF"/>
        </w:rPr>
        <w:t>bona fide </w:t>
      </w:r>
      <w:r w:rsidRPr="00A41F4C">
        <w:rPr>
          <w:rFonts w:cs="Arial"/>
          <w:color w:val="242121"/>
          <w:shd w:val="clear" w:color="auto" w:fill="FFFFFF"/>
        </w:rPr>
        <w:t xml:space="preserve">defence to the respondent’s claim against them. </w:t>
      </w:r>
      <w:r w:rsidRPr="00A41F4C">
        <w:rPr>
          <w:rFonts w:cs="Arial"/>
          <w:color w:val="242121"/>
          <w:lang w:eastAsia="en-ZA"/>
        </w:rPr>
        <w:t>In</w:t>
      </w:r>
      <w:r w:rsidR="00A41F4C">
        <w:rPr>
          <w:rFonts w:cs="Arial"/>
          <w:color w:val="242121"/>
          <w:lang w:eastAsia="en-ZA"/>
        </w:rPr>
        <w:t xml:space="preserve"> the</w:t>
      </w:r>
      <w:r w:rsidRPr="00A41F4C">
        <w:rPr>
          <w:rFonts w:cs="Arial"/>
          <w:color w:val="242121"/>
          <w:lang w:eastAsia="en-ZA"/>
        </w:rPr>
        <w:t xml:space="preserve"> </w:t>
      </w:r>
      <w:r w:rsidRPr="00A41F4C">
        <w:rPr>
          <w:rFonts w:cs="Arial"/>
          <w:i/>
          <w:iCs/>
          <w:color w:val="242121"/>
          <w:lang w:eastAsia="en-ZA"/>
        </w:rPr>
        <w:t>Harris</w:t>
      </w:r>
      <w:r w:rsidRPr="00A41F4C">
        <w:rPr>
          <w:rFonts w:cs="Arial"/>
          <w:color w:val="242121"/>
          <w:lang w:eastAsia="en-ZA"/>
        </w:rPr>
        <w:t xml:space="preserve"> decision supra, Moseneke J stated thus:</w:t>
      </w:r>
    </w:p>
    <w:p w14:paraId="7436CB16" w14:textId="0B46B28E" w:rsidR="00E56F16" w:rsidRPr="00A41F4C" w:rsidRDefault="00A41F4C" w:rsidP="00A41F4C">
      <w:pPr>
        <w:pStyle w:val="ListParagraph"/>
        <w:spacing w:line="360" w:lineRule="auto"/>
        <w:ind w:left="0"/>
        <w:jc w:val="both"/>
        <w:rPr>
          <w:rFonts w:cs="Arial"/>
          <w:color w:val="000000"/>
          <w:sz w:val="20"/>
          <w:szCs w:val="20"/>
        </w:rPr>
      </w:pPr>
      <w:r>
        <w:rPr>
          <w:rFonts w:cs="Arial"/>
          <w:iCs/>
          <w:color w:val="000000"/>
          <w:sz w:val="20"/>
          <w:szCs w:val="20"/>
          <w:lang w:eastAsia="en-ZA"/>
        </w:rPr>
        <w:t>‘[10]</w:t>
      </w:r>
      <w:r>
        <w:rPr>
          <w:rFonts w:cs="Arial"/>
          <w:iCs/>
          <w:color w:val="000000"/>
          <w:sz w:val="20"/>
          <w:szCs w:val="20"/>
          <w:lang w:eastAsia="en-ZA"/>
        </w:rPr>
        <w:tab/>
      </w:r>
      <w:r w:rsidR="00E56F16" w:rsidRPr="00A41F4C">
        <w:rPr>
          <w:rFonts w:cs="Arial"/>
          <w:iCs/>
          <w:color w:val="000000"/>
          <w:sz w:val="20"/>
          <w:szCs w:val="20"/>
          <w:lang w:eastAsia="en-ZA"/>
        </w:rPr>
        <w:t>A steady body of judicial authorities has held that a court seized with an application for rescission of judgment should not, in determining whether good or sufficient cause has been proven, look at the adequacy or otherwise of the explanation of the default or failure in isolation.</w:t>
      </w:r>
    </w:p>
    <w:p w14:paraId="7519FE9B" w14:textId="5A1A8ED9" w:rsidR="00E56F16" w:rsidRPr="00A41F4C" w:rsidRDefault="00A41F4C" w:rsidP="00A41F4C">
      <w:pPr>
        <w:pStyle w:val="ListParagraph"/>
        <w:spacing w:after="120" w:line="360" w:lineRule="auto"/>
        <w:ind w:left="0"/>
        <w:jc w:val="both"/>
        <w:rPr>
          <w:rFonts w:cs="Arial"/>
          <w:color w:val="000000"/>
          <w:sz w:val="20"/>
          <w:szCs w:val="20"/>
        </w:rPr>
      </w:pPr>
      <w:r>
        <w:rPr>
          <w:rFonts w:cs="Arial"/>
          <w:iCs/>
          <w:color w:val="000000"/>
          <w:sz w:val="20"/>
          <w:szCs w:val="20"/>
          <w:lang w:eastAsia="en-ZA"/>
        </w:rPr>
        <w:t>“</w:t>
      </w:r>
      <w:r w:rsidR="00E56F16" w:rsidRPr="00A41F4C">
        <w:rPr>
          <w:rFonts w:cs="Arial"/>
          <w:iCs/>
          <w:color w:val="000000"/>
          <w:sz w:val="20"/>
          <w:szCs w:val="20"/>
          <w:lang w:eastAsia="en-ZA"/>
        </w:rPr>
        <w:t>Instead, the explanation, be it good, bad or indifferent, must be considered in the light of the nature of the defence, which is an important consideration, and in the light of all the facts and circumstances of the case as a whole</w:t>
      </w:r>
      <w:r>
        <w:rPr>
          <w:rFonts w:cs="Arial"/>
          <w:iCs/>
          <w:color w:val="000000"/>
          <w:sz w:val="20"/>
          <w:szCs w:val="20"/>
          <w:lang w:eastAsia="en-ZA"/>
        </w:rPr>
        <w:t>”</w:t>
      </w:r>
      <w:r w:rsidR="00E56F16" w:rsidRPr="00A41F4C">
        <w:rPr>
          <w:rFonts w:cs="Arial"/>
          <w:iCs/>
          <w:color w:val="000000"/>
          <w:sz w:val="20"/>
          <w:szCs w:val="20"/>
          <w:lang w:eastAsia="en-ZA"/>
        </w:rPr>
        <w:t>.'</w:t>
      </w:r>
    </w:p>
    <w:p w14:paraId="77A6A371" w14:textId="4AC5C6BE" w:rsidR="00E56F16" w:rsidRPr="00A41F4C" w:rsidRDefault="00E56F16" w:rsidP="00A41F4C">
      <w:pPr>
        <w:pStyle w:val="ListParagraph"/>
        <w:numPr>
          <w:ilvl w:val="0"/>
          <w:numId w:val="5"/>
        </w:numPr>
        <w:tabs>
          <w:tab w:val="clear" w:pos="567"/>
        </w:tabs>
        <w:spacing w:after="120" w:line="360" w:lineRule="auto"/>
        <w:ind w:left="0" w:firstLine="0"/>
        <w:jc w:val="both"/>
        <w:rPr>
          <w:color w:val="000000"/>
          <w:sz w:val="20"/>
          <w:szCs w:val="20"/>
        </w:rPr>
      </w:pPr>
      <w:r w:rsidRPr="00A41F4C">
        <w:rPr>
          <w:rFonts w:cs="Arial"/>
          <w:lang w:val="en-US"/>
        </w:rPr>
        <w:t xml:space="preserve">It is the appellants’ case that they have a </w:t>
      </w:r>
      <w:r w:rsidRPr="00A41F4C">
        <w:rPr>
          <w:rFonts w:cs="Arial"/>
          <w:i/>
          <w:iCs/>
          <w:lang w:val="en-US"/>
        </w:rPr>
        <w:t>bona fide</w:t>
      </w:r>
      <w:r w:rsidRPr="00A41F4C">
        <w:rPr>
          <w:rFonts w:cs="Arial"/>
          <w:lang w:val="en-US"/>
        </w:rPr>
        <w:t xml:space="preserve"> defence with a reasonable prospect of success. The appellants raise two defences namely that the respondent’s claims were compromised and that they have prescribed. With regard to compromise the appellants alleged that they concluded a settlement agreement with the respondent and cla</w:t>
      </w:r>
      <w:r w:rsidR="00A41F4C">
        <w:rPr>
          <w:rFonts w:cs="Arial"/>
          <w:lang w:val="en-US"/>
        </w:rPr>
        <w:t>use 5.1 thereof provided that: ‘</w:t>
      </w:r>
      <w:r w:rsidRPr="00A41F4C">
        <w:rPr>
          <w:rFonts w:cs="Arial"/>
          <w:iCs/>
          <w:lang w:val="en-US"/>
        </w:rPr>
        <w:t>this Agreement shall be in full and final settlement of all or any claims that any Party may have against one or more of the other Parties to this Agreemen</w:t>
      </w:r>
      <w:r w:rsidR="00A41F4C">
        <w:rPr>
          <w:rFonts w:cs="Arial"/>
          <w:iCs/>
          <w:lang w:val="en-US"/>
        </w:rPr>
        <w:t>t’.</w:t>
      </w:r>
    </w:p>
    <w:p w14:paraId="4ED92B46" w14:textId="5C7DE689" w:rsidR="00E56F16" w:rsidRPr="00611DB7" w:rsidRDefault="00E56F16" w:rsidP="00611DB7">
      <w:pPr>
        <w:pStyle w:val="ListParagraph"/>
        <w:numPr>
          <w:ilvl w:val="0"/>
          <w:numId w:val="5"/>
        </w:numPr>
        <w:tabs>
          <w:tab w:val="clear" w:pos="567"/>
        </w:tabs>
        <w:spacing w:line="360" w:lineRule="auto"/>
        <w:ind w:left="0" w:firstLine="0"/>
        <w:jc w:val="both"/>
        <w:rPr>
          <w:color w:val="000000"/>
          <w:sz w:val="20"/>
          <w:szCs w:val="20"/>
        </w:rPr>
      </w:pPr>
      <w:r w:rsidRPr="00A41F4C">
        <w:rPr>
          <w:rFonts w:cs="Arial"/>
          <w:lang w:val="en-US"/>
        </w:rPr>
        <w:t xml:space="preserve">In developing this </w:t>
      </w:r>
      <w:r w:rsidR="00611DB7" w:rsidRPr="00A41F4C">
        <w:rPr>
          <w:rFonts w:cs="Arial"/>
          <w:lang w:val="en-US"/>
        </w:rPr>
        <w:t>argument,</w:t>
      </w:r>
      <w:r w:rsidRPr="00A41F4C">
        <w:rPr>
          <w:rFonts w:cs="Arial"/>
          <w:lang w:val="en-US"/>
        </w:rPr>
        <w:t xml:space="preserve"> the appellants referred to the case of </w:t>
      </w:r>
      <w:r w:rsidRPr="00A41F4C">
        <w:rPr>
          <w:rFonts w:cs="Arial"/>
          <w:i/>
          <w:iCs/>
          <w:lang w:val="en-US"/>
        </w:rPr>
        <w:t>Man Financial Services SA (Pty) Ltd v Phaphoakane Transport and Another</w:t>
      </w:r>
      <w:r w:rsidR="00611DB7">
        <w:rPr>
          <w:rStyle w:val="FootnoteReference"/>
          <w:i/>
          <w:iCs/>
          <w:lang w:val="en-US"/>
        </w:rPr>
        <w:footnoteReference w:id="11"/>
      </w:r>
      <w:r w:rsidR="00611DB7">
        <w:rPr>
          <w:color w:val="000000"/>
        </w:rPr>
        <w:t>,</w:t>
      </w:r>
      <w:r w:rsidR="00611DB7">
        <w:rPr>
          <w:color w:val="000000"/>
          <w:sz w:val="20"/>
          <w:szCs w:val="20"/>
        </w:rPr>
        <w:t xml:space="preserve"> </w:t>
      </w:r>
      <w:r w:rsidRPr="00611DB7">
        <w:rPr>
          <w:rFonts w:cs="Arial"/>
          <w:lang w:val="en-US"/>
        </w:rPr>
        <w:t>where the court found</w:t>
      </w:r>
      <w:r w:rsidR="00611DB7">
        <w:rPr>
          <w:rFonts w:cs="Arial"/>
          <w:lang w:val="en-US"/>
        </w:rPr>
        <w:t xml:space="preserve"> as follows</w:t>
      </w:r>
      <w:r w:rsidRPr="00611DB7">
        <w:rPr>
          <w:rFonts w:cs="Arial"/>
          <w:lang w:val="en-US"/>
        </w:rPr>
        <w:t>:</w:t>
      </w:r>
    </w:p>
    <w:p w14:paraId="7C5E0028" w14:textId="3FBB8286" w:rsidR="00E56F16" w:rsidRPr="00611DB7" w:rsidRDefault="00611DB7" w:rsidP="00611DB7">
      <w:pPr>
        <w:pStyle w:val="ListParagraph"/>
        <w:spacing w:line="360" w:lineRule="auto"/>
        <w:ind w:left="0"/>
        <w:jc w:val="both"/>
        <w:rPr>
          <w:color w:val="000000"/>
          <w:sz w:val="20"/>
          <w:szCs w:val="20"/>
        </w:rPr>
      </w:pPr>
      <w:r w:rsidRPr="00611DB7">
        <w:rPr>
          <w:rFonts w:cs="Arial"/>
          <w:sz w:val="20"/>
          <w:szCs w:val="20"/>
          <w:lang w:val="en-US"/>
        </w:rPr>
        <w:t>‘[T]</w:t>
      </w:r>
      <w:r w:rsidR="00E56F16" w:rsidRPr="00611DB7">
        <w:rPr>
          <w:rFonts w:cs="Arial"/>
          <w:iCs/>
          <w:color w:val="242121"/>
          <w:sz w:val="20"/>
          <w:szCs w:val="20"/>
          <w:shd w:val="clear" w:color="auto" w:fill="FFFFFF"/>
        </w:rPr>
        <w:t>he settlement agreement, in my view, ended the relationship between the parties as far as the rental agreements and suretyships were concerned and a new relationship commenced.  The agreement reads that it is in full and final settlement of the applicant’s claims against the first and second respondents with regard to the rental agreements in question.  The agreement was consequently a transaction in the legal sense.  In </w:t>
      </w:r>
      <w:r w:rsidR="00E56F16" w:rsidRPr="00611DB7">
        <w:rPr>
          <w:rFonts w:cs="Arial"/>
          <w:i/>
          <w:iCs/>
          <w:color w:val="242121"/>
          <w:sz w:val="20"/>
          <w:szCs w:val="20"/>
          <w:shd w:val="clear" w:color="auto" w:fill="FFFFFF"/>
        </w:rPr>
        <w:t>Gollach &amp; Gomperts (1967) (Pty) Limited vs Universal Mills &amp; Produce Co (Pty) Limited &amp; Others</w:t>
      </w:r>
      <w:r w:rsidR="00E56F16" w:rsidRPr="00611DB7">
        <w:rPr>
          <w:rFonts w:cs="Arial"/>
          <w:iCs/>
          <w:color w:val="242121"/>
          <w:sz w:val="20"/>
          <w:szCs w:val="20"/>
          <w:shd w:val="clear" w:color="auto" w:fill="FFFFFF"/>
        </w:rPr>
        <w:t> </w:t>
      </w:r>
      <w:hyperlink r:id="rId15" w:tooltip="View LawCiteRecord" w:history="1">
        <w:r w:rsidR="00E56F16" w:rsidRPr="00611DB7">
          <w:rPr>
            <w:rStyle w:val="Hyperlink"/>
            <w:rFonts w:cs="Arial"/>
            <w:iCs/>
            <w:color w:val="auto"/>
            <w:sz w:val="20"/>
            <w:szCs w:val="20"/>
            <w:u w:val="none"/>
            <w:shd w:val="clear" w:color="auto" w:fill="FFFFFF"/>
          </w:rPr>
          <w:t>1978 (1) SA 914</w:t>
        </w:r>
      </w:hyperlink>
      <w:r w:rsidRPr="00611DB7">
        <w:rPr>
          <w:rFonts w:cs="Arial"/>
          <w:iCs/>
          <w:sz w:val="20"/>
          <w:szCs w:val="20"/>
          <w:shd w:val="clear" w:color="auto" w:fill="FFFFFF"/>
        </w:rPr>
        <w:t> (A) … …</w:t>
      </w:r>
    </w:p>
    <w:p w14:paraId="3D38F5AB" w14:textId="117D70EA" w:rsidR="00E56F16" w:rsidRPr="00611DB7" w:rsidRDefault="00E56F16" w:rsidP="00611DB7">
      <w:pPr>
        <w:pStyle w:val="ListParagraph"/>
        <w:spacing w:after="120" w:line="360" w:lineRule="auto"/>
        <w:ind w:left="0"/>
        <w:jc w:val="both"/>
        <w:rPr>
          <w:color w:val="000000"/>
          <w:sz w:val="20"/>
          <w:szCs w:val="20"/>
        </w:rPr>
      </w:pPr>
      <w:r w:rsidRPr="00611DB7">
        <w:rPr>
          <w:rFonts w:cs="Arial"/>
          <w:iCs/>
          <w:color w:val="242121"/>
          <w:sz w:val="20"/>
          <w:szCs w:val="20"/>
          <w:shd w:val="clear" w:color="auto" w:fill="FFFFFF"/>
        </w:rPr>
        <w:t>It is also settled law that a transaction can be entered extra judicially as have been held in </w:t>
      </w:r>
      <w:r w:rsidRPr="00611DB7">
        <w:rPr>
          <w:rFonts w:cs="Arial"/>
          <w:i/>
          <w:iCs/>
          <w:color w:val="242121"/>
          <w:sz w:val="20"/>
          <w:szCs w:val="20"/>
          <w:shd w:val="clear" w:color="auto" w:fill="FFFFFF"/>
        </w:rPr>
        <w:t>Gollach</w:t>
      </w:r>
      <w:r w:rsidRPr="00611DB7">
        <w:rPr>
          <w:rFonts w:cs="Arial"/>
          <w:iCs/>
          <w:color w:val="242121"/>
          <w:sz w:val="20"/>
          <w:szCs w:val="20"/>
          <w:shd w:val="clear" w:color="auto" w:fill="FFFFFF"/>
        </w:rPr>
        <w:t> at p 922.  The general principle in our law is that such a transaction or compromise terminates the parties’ original rights and obligations and gives rise to new rights and obligations under the new agreement</w:t>
      </w:r>
      <w:r w:rsidR="00611DB7" w:rsidRPr="00611DB7">
        <w:rPr>
          <w:rFonts w:cs="Arial"/>
          <w:color w:val="242121"/>
          <w:sz w:val="20"/>
          <w:szCs w:val="20"/>
          <w:shd w:val="clear" w:color="auto" w:fill="FFFFFF"/>
        </w:rPr>
        <w:t>.’</w:t>
      </w:r>
      <w:r w:rsidRPr="00611DB7">
        <w:rPr>
          <w:rFonts w:cs="Arial"/>
          <w:color w:val="242121"/>
          <w:sz w:val="20"/>
          <w:szCs w:val="20"/>
          <w:shd w:val="clear" w:color="auto" w:fill="FFFFFF"/>
        </w:rPr>
        <w:t xml:space="preserve"> </w:t>
      </w:r>
    </w:p>
    <w:p w14:paraId="4D3573C4" w14:textId="445C1314" w:rsidR="00E56F16" w:rsidRPr="00611DB7" w:rsidRDefault="00E56F16" w:rsidP="00611DB7">
      <w:pPr>
        <w:pStyle w:val="ListParagraph"/>
        <w:numPr>
          <w:ilvl w:val="0"/>
          <w:numId w:val="5"/>
        </w:numPr>
        <w:tabs>
          <w:tab w:val="clear" w:pos="567"/>
        </w:tabs>
        <w:spacing w:line="360" w:lineRule="auto"/>
        <w:ind w:left="0" w:firstLine="0"/>
        <w:jc w:val="both"/>
        <w:rPr>
          <w:color w:val="000000"/>
          <w:sz w:val="20"/>
          <w:szCs w:val="20"/>
        </w:rPr>
      </w:pPr>
      <w:r w:rsidRPr="00611DB7">
        <w:rPr>
          <w:rFonts w:cs="Arial"/>
          <w:color w:val="242121"/>
          <w:shd w:val="clear" w:color="auto" w:fill="FFFFFF"/>
        </w:rPr>
        <w:t xml:space="preserve">They further argued that the </w:t>
      </w:r>
      <w:r w:rsidRPr="00611DB7">
        <w:rPr>
          <w:rFonts w:cs="Arial"/>
          <w:color w:val="242121"/>
          <w:shd w:val="clear" w:color="auto" w:fill="FFFFFF"/>
          <w:lang w:val="en-US"/>
        </w:rPr>
        <w:t xml:space="preserve">settlement agreement contained no reservation of </w:t>
      </w:r>
      <w:r w:rsidR="0017157D">
        <w:rPr>
          <w:rFonts w:cs="Arial"/>
          <w:color w:val="242121"/>
          <w:shd w:val="clear" w:color="auto" w:fill="FFFFFF"/>
          <w:lang w:val="en-US"/>
        </w:rPr>
        <w:t>the respondent’s rights. I</w:t>
      </w:r>
      <w:r w:rsidRPr="00611DB7">
        <w:rPr>
          <w:rFonts w:cs="Arial"/>
          <w:color w:val="242121"/>
          <w:shd w:val="clear" w:color="auto" w:fill="FFFFFF"/>
          <w:lang w:val="en-US"/>
        </w:rPr>
        <w:t xml:space="preserve">t was a total compromise in full and final </w:t>
      </w:r>
      <w:r w:rsidRPr="00611DB7">
        <w:rPr>
          <w:rFonts w:cs="Arial"/>
          <w:color w:val="242121"/>
          <w:shd w:val="clear" w:color="auto" w:fill="FFFFFF"/>
          <w:lang w:val="en-US"/>
        </w:rPr>
        <w:lastRenderedPageBreak/>
        <w:t xml:space="preserve">settlement of all or any claims which included those claims which the respondent asserts in its summons. In this regard they relied on what was held in </w:t>
      </w:r>
      <w:r w:rsidRPr="0017157D">
        <w:rPr>
          <w:rFonts w:cs="Arial"/>
          <w:i/>
          <w:iCs/>
          <w:color w:val="242121"/>
          <w:shd w:val="clear" w:color="auto" w:fill="FFFFFF"/>
          <w:lang w:val="en-US"/>
        </w:rPr>
        <w:t>Road Accident Fund v Ngubani</w:t>
      </w:r>
      <w:r w:rsidR="0017157D">
        <w:rPr>
          <w:rStyle w:val="FootnoteReference"/>
          <w:color w:val="242121"/>
          <w:shd w:val="clear" w:color="auto" w:fill="FFFFFF"/>
          <w:lang w:val="en-US"/>
        </w:rPr>
        <w:footnoteReference w:id="12"/>
      </w:r>
      <w:r w:rsidR="00611DB7">
        <w:rPr>
          <w:color w:val="000000"/>
          <w:sz w:val="20"/>
          <w:szCs w:val="20"/>
        </w:rPr>
        <w:t xml:space="preserve"> </w:t>
      </w:r>
      <w:r w:rsidRPr="00611DB7">
        <w:rPr>
          <w:rFonts w:cs="Arial"/>
          <w:color w:val="242121"/>
          <w:shd w:val="clear" w:color="auto" w:fill="FFFFFF"/>
          <w:lang w:val="en-US"/>
        </w:rPr>
        <w:t xml:space="preserve">that: </w:t>
      </w:r>
    </w:p>
    <w:p w14:paraId="16A70D75" w14:textId="31B23174" w:rsidR="00E56F16" w:rsidRPr="0017157D" w:rsidRDefault="00E56F16" w:rsidP="0017157D">
      <w:pPr>
        <w:pStyle w:val="ListParagraph"/>
        <w:spacing w:line="360" w:lineRule="auto"/>
        <w:ind w:left="0"/>
        <w:jc w:val="both"/>
        <w:rPr>
          <w:rFonts w:cs="Arial"/>
          <w:color w:val="000000"/>
          <w:sz w:val="20"/>
          <w:szCs w:val="20"/>
        </w:rPr>
      </w:pPr>
      <w:r w:rsidRPr="0017157D">
        <w:rPr>
          <w:rFonts w:cs="Arial"/>
          <w:color w:val="242121"/>
          <w:sz w:val="20"/>
          <w:szCs w:val="20"/>
        </w:rPr>
        <w:t>‘</w:t>
      </w:r>
      <w:r w:rsidRPr="0017157D">
        <w:rPr>
          <w:rFonts w:cs="Arial"/>
          <w:iCs/>
          <w:color w:val="242121"/>
          <w:sz w:val="20"/>
          <w:szCs w:val="20"/>
        </w:rPr>
        <w:t>Unless reserved in the compromise, parties thereto are precluded from enforcing the rights and obligations ari</w:t>
      </w:r>
      <w:r w:rsidR="0017157D">
        <w:rPr>
          <w:rFonts w:cs="Arial"/>
          <w:iCs/>
          <w:color w:val="242121"/>
          <w:sz w:val="20"/>
          <w:szCs w:val="20"/>
        </w:rPr>
        <w:t xml:space="preserve">sing from the compromised claim. </w:t>
      </w:r>
      <w:r w:rsidRPr="0017157D">
        <w:rPr>
          <w:rFonts w:cs="Arial"/>
          <w:iCs/>
          <w:color w:val="242121"/>
          <w:sz w:val="20"/>
          <w:szCs w:val="20"/>
        </w:rPr>
        <w:t>In </w:t>
      </w:r>
      <w:r w:rsidRPr="0017157D">
        <w:rPr>
          <w:rFonts w:cs="Arial"/>
          <w:i/>
          <w:iCs/>
          <w:color w:val="242121"/>
          <w:sz w:val="20"/>
          <w:szCs w:val="20"/>
        </w:rPr>
        <w:t>Hamilton vs Van Zyl</w:t>
      </w:r>
      <w:r w:rsidRPr="0017157D">
        <w:rPr>
          <w:rFonts w:cs="Arial"/>
          <w:iCs/>
          <w:color w:val="242121"/>
          <w:sz w:val="20"/>
          <w:szCs w:val="20"/>
        </w:rPr>
        <w:t> </w:t>
      </w:r>
      <w:hyperlink r:id="rId16" w:tooltip="View LawCiteRecord" w:history="1">
        <w:r w:rsidRPr="0017157D">
          <w:rPr>
            <w:rStyle w:val="Hyperlink"/>
            <w:rFonts w:cs="Arial"/>
            <w:iCs/>
            <w:color w:val="auto"/>
            <w:sz w:val="20"/>
            <w:szCs w:val="20"/>
            <w:u w:val="none"/>
          </w:rPr>
          <w:t>1983 (4) SA 379</w:t>
        </w:r>
      </w:hyperlink>
      <w:r w:rsidRPr="0017157D">
        <w:rPr>
          <w:rFonts w:cs="Arial"/>
          <w:iCs/>
          <w:sz w:val="20"/>
          <w:szCs w:val="20"/>
        </w:rPr>
        <w:t> (E) th</w:t>
      </w:r>
      <w:r w:rsidRPr="0017157D">
        <w:rPr>
          <w:rFonts w:cs="Arial"/>
          <w:iCs/>
          <w:color w:val="242121"/>
          <w:sz w:val="20"/>
          <w:szCs w:val="20"/>
        </w:rPr>
        <w:t>e court said at 383 (E – H):</w:t>
      </w:r>
    </w:p>
    <w:p w14:paraId="21BC0085" w14:textId="5A7496E0" w:rsidR="00E56F16" w:rsidRPr="0017157D" w:rsidRDefault="00E56F16" w:rsidP="0017157D">
      <w:pPr>
        <w:pStyle w:val="ListParagraph"/>
        <w:spacing w:line="360" w:lineRule="auto"/>
        <w:ind w:left="567"/>
        <w:jc w:val="both"/>
        <w:rPr>
          <w:rFonts w:cs="Arial"/>
          <w:color w:val="000000"/>
          <w:sz w:val="20"/>
          <w:szCs w:val="20"/>
        </w:rPr>
      </w:pPr>
      <w:r w:rsidRPr="0017157D">
        <w:rPr>
          <w:rFonts w:cs="Arial"/>
          <w:iCs/>
          <w:color w:val="242121"/>
          <w:sz w:val="20"/>
          <w:szCs w:val="20"/>
          <w:lang w:eastAsia="en-ZA"/>
        </w:rPr>
        <w:t xml:space="preserve">“A compromise need not necessary however follow upon a disputed contractual claim.  Any kind of doubtful right can </w:t>
      </w:r>
      <w:r w:rsidR="0017157D">
        <w:rPr>
          <w:rFonts w:cs="Arial"/>
          <w:iCs/>
          <w:color w:val="242121"/>
          <w:sz w:val="20"/>
          <w:szCs w:val="20"/>
          <w:lang w:eastAsia="en-ZA"/>
        </w:rPr>
        <w:t>be subject of a compromise …</w:t>
      </w:r>
      <w:r w:rsidRPr="0017157D">
        <w:rPr>
          <w:rFonts w:cs="Arial"/>
          <w:iCs/>
          <w:color w:val="242121"/>
          <w:sz w:val="20"/>
          <w:szCs w:val="20"/>
          <w:lang w:eastAsia="en-ZA"/>
        </w:rPr>
        <w:t xml:space="preserve"> Delictual claims are, for example, frequently the subject of a compromise.  Nor need the claim be even </w:t>
      </w:r>
      <w:r w:rsidRPr="0017157D">
        <w:rPr>
          <w:rFonts w:cs="Arial"/>
          <w:i/>
          <w:iCs/>
          <w:color w:val="242121"/>
          <w:sz w:val="20"/>
          <w:szCs w:val="20"/>
          <w:lang w:eastAsia="en-ZA"/>
        </w:rPr>
        <w:t>prima facie</w:t>
      </w:r>
      <w:r w:rsidRPr="0017157D">
        <w:rPr>
          <w:rFonts w:cs="Arial"/>
          <w:iCs/>
          <w:color w:val="242121"/>
          <w:sz w:val="20"/>
          <w:szCs w:val="20"/>
          <w:lang w:eastAsia="en-ZA"/>
        </w:rPr>
        <w:t> actionable in law. A valid compromise may be entered into to avoid even a clearly spurious claim and defendants frequently, for various reasons, settle claims which they know or believe the plaintiff will not succeed in enforcing by action. </w:t>
      </w:r>
    </w:p>
    <w:p w14:paraId="446CBEF0" w14:textId="1053DD14" w:rsidR="00E56F16" w:rsidRPr="0017157D" w:rsidRDefault="00E56F16" w:rsidP="0017157D">
      <w:pPr>
        <w:pStyle w:val="ListParagraph"/>
        <w:spacing w:after="120" w:line="360" w:lineRule="auto"/>
        <w:ind w:left="567"/>
        <w:jc w:val="both"/>
        <w:rPr>
          <w:rFonts w:cs="Arial"/>
          <w:color w:val="000000"/>
          <w:sz w:val="20"/>
          <w:szCs w:val="20"/>
        </w:rPr>
      </w:pPr>
      <w:r w:rsidRPr="0017157D">
        <w:rPr>
          <w:rFonts w:cs="Arial"/>
          <w:iCs/>
          <w:color w:val="242121"/>
          <w:sz w:val="20"/>
          <w:szCs w:val="20"/>
          <w:lang w:eastAsia="en-ZA"/>
        </w:rPr>
        <w:t>An agreement of compromise in the absence of an express or implied reservation of the right to proceed on the original cause of action, bars the bringing of proceedings based on such ori</w:t>
      </w:r>
      <w:r w:rsidR="0017157D">
        <w:rPr>
          <w:rFonts w:cs="Arial"/>
          <w:iCs/>
          <w:color w:val="242121"/>
          <w:sz w:val="20"/>
          <w:szCs w:val="20"/>
          <w:lang w:eastAsia="en-ZA"/>
        </w:rPr>
        <w:t>ginal cause of action …</w:t>
      </w:r>
      <w:r w:rsidRPr="0017157D">
        <w:rPr>
          <w:rFonts w:cs="Arial"/>
          <w:iCs/>
          <w:color w:val="242121"/>
          <w:sz w:val="20"/>
          <w:szCs w:val="20"/>
          <w:lang w:eastAsia="en-ZA"/>
        </w:rPr>
        <w:t xml:space="preserve"> Not only can the original cause of action no longer be relied upon, but a defendant is not entitled to go behind the compromise and raise defences to the original cause of action when sued on the compromise.</w:t>
      </w:r>
      <w:r w:rsidR="0017157D">
        <w:rPr>
          <w:rFonts w:cs="Arial"/>
          <w:iCs/>
          <w:color w:val="242121"/>
          <w:sz w:val="20"/>
          <w:szCs w:val="20"/>
          <w:lang w:eastAsia="en-ZA"/>
        </w:rPr>
        <w:t>”</w:t>
      </w:r>
    </w:p>
    <w:p w14:paraId="1AE5E81D" w14:textId="350187AF" w:rsidR="00E56F16" w:rsidRPr="00611DB7" w:rsidRDefault="00E56F16" w:rsidP="0017157D">
      <w:pPr>
        <w:pStyle w:val="ListParagraph"/>
        <w:numPr>
          <w:ilvl w:val="0"/>
          <w:numId w:val="5"/>
        </w:numPr>
        <w:tabs>
          <w:tab w:val="clear" w:pos="567"/>
        </w:tabs>
        <w:spacing w:after="120" w:line="360" w:lineRule="auto"/>
        <w:ind w:left="0" w:firstLine="0"/>
        <w:jc w:val="both"/>
        <w:rPr>
          <w:color w:val="000000"/>
          <w:sz w:val="20"/>
          <w:szCs w:val="20"/>
        </w:rPr>
      </w:pPr>
      <w:r w:rsidRPr="00611DB7">
        <w:rPr>
          <w:rFonts w:cs="Arial"/>
          <w:color w:val="242121"/>
          <w:lang w:val="en-US" w:eastAsia="en-ZA"/>
        </w:rPr>
        <w:t>The appellants contended that even if the settlement agreement did not compromise the respondents claim under the suretyships, because the principal debt had been extinguished by the settlement agreement, there is no debt enforceable against the appellants as sureties.</w:t>
      </w:r>
    </w:p>
    <w:p w14:paraId="01065BBC" w14:textId="6CE7A5E0" w:rsidR="00E56F16" w:rsidRPr="0017157D" w:rsidRDefault="00E56F16" w:rsidP="0017157D">
      <w:pPr>
        <w:pStyle w:val="ListParagraph"/>
        <w:numPr>
          <w:ilvl w:val="0"/>
          <w:numId w:val="5"/>
        </w:numPr>
        <w:tabs>
          <w:tab w:val="clear" w:pos="567"/>
        </w:tabs>
        <w:spacing w:after="120" w:line="360" w:lineRule="auto"/>
        <w:ind w:left="0" w:firstLine="0"/>
        <w:jc w:val="both"/>
        <w:rPr>
          <w:color w:val="000000"/>
          <w:sz w:val="20"/>
          <w:szCs w:val="20"/>
        </w:rPr>
      </w:pPr>
      <w:r w:rsidRPr="00611DB7">
        <w:rPr>
          <w:rFonts w:cs="Arial"/>
          <w:color w:val="242121"/>
          <w:lang w:val="en-US" w:eastAsia="en-ZA"/>
        </w:rPr>
        <w:t xml:space="preserve">With regard to prescription, they submitted that in terms of section 13(1)(g) of the </w:t>
      </w:r>
      <w:r w:rsidRPr="00611DB7">
        <w:rPr>
          <w:rFonts w:cs="Arial"/>
          <w:lang w:val="en-US" w:eastAsia="en-ZA"/>
        </w:rPr>
        <w:t>Prescription Act 16 of 1968</w:t>
      </w:r>
      <w:r w:rsidR="0017157D">
        <w:rPr>
          <w:rFonts w:cs="Arial"/>
          <w:lang w:val="en-US" w:eastAsia="en-ZA"/>
        </w:rPr>
        <w:t>,</w:t>
      </w:r>
      <w:r w:rsidRPr="00611DB7">
        <w:rPr>
          <w:rFonts w:cs="Arial"/>
          <w:lang w:val="en-US" w:eastAsia="en-ZA"/>
        </w:rPr>
        <w:t xml:space="preserve"> the </w:t>
      </w:r>
      <w:r w:rsidRPr="00611DB7">
        <w:rPr>
          <w:rFonts w:cs="Arial"/>
          <w:color w:val="242121"/>
          <w:lang w:val="en-US" w:eastAsia="en-ZA"/>
        </w:rPr>
        <w:t>respondent ought to have instituted summons on or before 3 April 2015 which is a year after its claims were rejected at the meeting of creditors. The appellants submitted that because the respondent’s summons was only instituted on 23 June 2017</w:t>
      </w:r>
      <w:r w:rsidR="00B318B0">
        <w:rPr>
          <w:rFonts w:cs="Arial"/>
          <w:color w:val="242121"/>
          <w:lang w:val="en-US" w:eastAsia="en-ZA"/>
        </w:rPr>
        <w:t>,</w:t>
      </w:r>
      <w:r w:rsidRPr="00611DB7">
        <w:rPr>
          <w:rFonts w:cs="Arial"/>
          <w:color w:val="242121"/>
          <w:lang w:val="en-US" w:eastAsia="en-ZA"/>
        </w:rPr>
        <w:t xml:space="preserve"> this being more than three years after its claims had been rejected, the claims had prescribed. According to the appellants</w:t>
      </w:r>
      <w:r w:rsidR="0017157D">
        <w:rPr>
          <w:rFonts w:cs="Arial"/>
          <w:color w:val="242121"/>
          <w:lang w:val="en-US" w:eastAsia="en-ZA"/>
        </w:rPr>
        <w:t>,</w:t>
      </w:r>
      <w:r w:rsidRPr="00611DB7">
        <w:rPr>
          <w:rFonts w:cs="Arial"/>
          <w:color w:val="242121"/>
          <w:lang w:val="en-US" w:eastAsia="en-ZA"/>
        </w:rPr>
        <w:t xml:space="preserve"> the respondent’s contention that the resubmission of its claims reignited the prescribed claims is flawed in law </w:t>
      </w:r>
      <w:r w:rsidR="0017157D">
        <w:rPr>
          <w:rFonts w:cs="Arial"/>
          <w:color w:val="242121"/>
          <w:lang w:val="en-US" w:eastAsia="en-ZA"/>
        </w:rPr>
        <w:t>as well as</w:t>
      </w:r>
      <w:r w:rsidRPr="00611DB7">
        <w:rPr>
          <w:rFonts w:cs="Arial"/>
          <w:color w:val="242121"/>
          <w:lang w:val="en-US" w:eastAsia="en-ZA"/>
        </w:rPr>
        <w:t xml:space="preserve"> in fact, prescription having occurred, the claims become unenforceable.</w:t>
      </w:r>
    </w:p>
    <w:p w14:paraId="6BF9DB70" w14:textId="251807DE" w:rsidR="00E56F16" w:rsidRPr="00B318B0" w:rsidRDefault="00E56F16" w:rsidP="00B318B0">
      <w:pPr>
        <w:pStyle w:val="ListParagraph"/>
        <w:numPr>
          <w:ilvl w:val="0"/>
          <w:numId w:val="5"/>
        </w:numPr>
        <w:tabs>
          <w:tab w:val="clear" w:pos="567"/>
        </w:tabs>
        <w:spacing w:after="240" w:line="360" w:lineRule="auto"/>
        <w:ind w:left="0" w:firstLine="0"/>
        <w:jc w:val="both"/>
        <w:rPr>
          <w:color w:val="000000"/>
          <w:sz w:val="20"/>
          <w:szCs w:val="20"/>
        </w:rPr>
      </w:pPr>
      <w:r w:rsidRPr="0017157D">
        <w:rPr>
          <w:rFonts w:cs="Arial"/>
          <w:lang w:val="en-US"/>
        </w:rPr>
        <w:t xml:space="preserve">The respondent countered that the claim that was granted by </w:t>
      </w:r>
      <w:r w:rsidR="00B318B0">
        <w:rPr>
          <w:rFonts w:cs="Arial"/>
          <w:lang w:val="en-US"/>
        </w:rPr>
        <w:t xml:space="preserve">the </w:t>
      </w:r>
      <w:r w:rsidRPr="0017157D">
        <w:rPr>
          <w:rFonts w:cs="Arial"/>
          <w:lang w:val="en-US"/>
        </w:rPr>
        <w:t xml:space="preserve">court on default does not involve the agreements that formed part of the settlement </w:t>
      </w:r>
      <w:r w:rsidRPr="0017157D">
        <w:rPr>
          <w:rFonts w:cs="Arial"/>
          <w:lang w:val="en-US"/>
        </w:rPr>
        <w:lastRenderedPageBreak/>
        <w:t>agreement and those agreements were not compromised. With regard to prescription the respondent countered that in terms of section 13(1)(g) of the Prescription Act, prescription becomes interrupted due to any actions of filling a claim in a person’s estate and that prescription runs up until one year after the finalization of the liquidation and distribution account.</w:t>
      </w:r>
    </w:p>
    <w:p w14:paraId="6B6454F7" w14:textId="2C1E1242" w:rsidR="00E56F16" w:rsidRPr="00B318B0" w:rsidRDefault="00E56F16" w:rsidP="00B318B0">
      <w:pPr>
        <w:pStyle w:val="ListParagraph"/>
        <w:spacing w:after="120" w:line="360" w:lineRule="auto"/>
        <w:ind w:left="0"/>
        <w:jc w:val="both"/>
        <w:rPr>
          <w:color w:val="000000"/>
          <w:sz w:val="20"/>
          <w:szCs w:val="20"/>
        </w:rPr>
      </w:pPr>
      <w:r w:rsidRPr="00B318B0">
        <w:rPr>
          <w:rFonts w:cs="Arial"/>
          <w:b/>
          <w:bCs/>
          <w:iCs/>
          <w:lang w:val="en-US"/>
        </w:rPr>
        <w:t>Analysis</w:t>
      </w:r>
    </w:p>
    <w:p w14:paraId="1CF42F3B" w14:textId="77777777" w:rsidR="00B318B0" w:rsidRPr="00B318B0" w:rsidRDefault="00E56F16" w:rsidP="00B318B0">
      <w:pPr>
        <w:pStyle w:val="ListParagraph"/>
        <w:numPr>
          <w:ilvl w:val="0"/>
          <w:numId w:val="5"/>
        </w:numPr>
        <w:tabs>
          <w:tab w:val="clear" w:pos="567"/>
        </w:tabs>
        <w:spacing w:line="360" w:lineRule="auto"/>
        <w:ind w:left="0" w:firstLine="0"/>
        <w:jc w:val="both"/>
        <w:rPr>
          <w:color w:val="000000"/>
        </w:rPr>
      </w:pPr>
      <w:r w:rsidRPr="00B318B0">
        <w:rPr>
          <w:rFonts w:cs="Arial"/>
          <w:color w:val="242121"/>
          <w:shd w:val="clear" w:color="auto" w:fill="FFFFFF"/>
        </w:rPr>
        <w:t>It is trite that an applicant for rescission must demonstrate an existence of a substantial defence and not necessarily a probability of success. It is sufficient that in his evidence he shows a </w:t>
      </w:r>
      <w:r w:rsidRPr="00B318B0">
        <w:rPr>
          <w:rFonts w:cs="Arial"/>
          <w:i/>
          <w:iCs/>
          <w:color w:val="242121"/>
          <w:shd w:val="clear" w:color="auto" w:fill="FFFFFF"/>
        </w:rPr>
        <w:t>prima facie </w:t>
      </w:r>
      <w:r w:rsidRPr="00B318B0">
        <w:rPr>
          <w:rFonts w:cs="Arial"/>
          <w:color w:val="242121"/>
          <w:shd w:val="clear" w:color="auto" w:fill="FFFFFF"/>
        </w:rPr>
        <w:t xml:space="preserve">case which raises triable issues. The appellants in this matter have fully and sufficiently explained their defences. The defences raised by the appellants in my view raise triable issues. My view is fortified by what was said in the case of </w:t>
      </w:r>
      <w:r w:rsidR="00B318B0" w:rsidRPr="00B318B0">
        <w:rPr>
          <w:i/>
          <w:color w:val="000000"/>
        </w:rPr>
        <w:t>Van Deventer and Another v Nedbank Ltd</w:t>
      </w:r>
      <w:r w:rsidR="00B318B0">
        <w:rPr>
          <w:rStyle w:val="FootnoteReference"/>
          <w:color w:val="000000"/>
        </w:rPr>
        <w:footnoteReference w:id="13"/>
      </w:r>
      <w:r w:rsidR="00B318B0">
        <w:rPr>
          <w:color w:val="000000"/>
        </w:rPr>
        <w:t xml:space="preserve"> </w:t>
      </w:r>
      <w:r w:rsidRPr="00B318B0">
        <w:rPr>
          <w:rFonts w:cs="Arial"/>
          <w:color w:val="242121"/>
          <w:shd w:val="clear" w:color="auto" w:fill="FFFFFF"/>
        </w:rPr>
        <w:t>regarding when the impediment ceased to exist in a respondent’s claim where the court said:</w:t>
      </w:r>
    </w:p>
    <w:p w14:paraId="460B656D" w14:textId="48CF5E55" w:rsidR="00B318B0" w:rsidRPr="00B318B0" w:rsidRDefault="00B318B0" w:rsidP="00B318B0">
      <w:pPr>
        <w:pStyle w:val="ListParagraph"/>
        <w:spacing w:after="120" w:line="360" w:lineRule="auto"/>
        <w:ind w:left="0"/>
        <w:jc w:val="both"/>
        <w:rPr>
          <w:color w:val="000000"/>
          <w:sz w:val="20"/>
          <w:szCs w:val="20"/>
        </w:rPr>
      </w:pPr>
      <w:r>
        <w:rPr>
          <w:sz w:val="20"/>
          <w:szCs w:val="20"/>
        </w:rPr>
        <w:t>‘</w:t>
      </w:r>
      <w:r w:rsidR="00E56F16" w:rsidRPr="00B318B0">
        <w:rPr>
          <w:rFonts w:cs="Arial"/>
          <w:iCs/>
          <w:sz w:val="20"/>
          <w:szCs w:val="20"/>
        </w:rPr>
        <w:t>The precise event which causes a debt to become the object of a filed claim for purposes of s 13(1)(g) is yet to be determined by our highest courts.</w:t>
      </w:r>
      <w:r>
        <w:rPr>
          <w:rFonts w:cs="Arial"/>
          <w:iCs/>
          <w:sz w:val="20"/>
          <w:szCs w:val="20"/>
        </w:rPr>
        <w:t>’</w:t>
      </w:r>
      <w:r w:rsidR="00E56F16" w:rsidRPr="00B318B0">
        <w:rPr>
          <w:rFonts w:cs="Arial"/>
          <w:color w:val="242121"/>
          <w:sz w:val="20"/>
          <w:szCs w:val="20"/>
          <w:shd w:val="clear" w:color="auto" w:fill="FFFFFF"/>
        </w:rPr>
        <w:t xml:space="preserve"> </w:t>
      </w:r>
    </w:p>
    <w:p w14:paraId="031C8816" w14:textId="35C2198E" w:rsidR="00E56F16" w:rsidRPr="00B318B0" w:rsidRDefault="00E56F16" w:rsidP="00B318B0">
      <w:pPr>
        <w:pStyle w:val="ListParagraph"/>
        <w:numPr>
          <w:ilvl w:val="0"/>
          <w:numId w:val="5"/>
        </w:numPr>
        <w:tabs>
          <w:tab w:val="clear" w:pos="567"/>
        </w:tabs>
        <w:spacing w:after="240" w:line="360" w:lineRule="auto"/>
        <w:ind w:left="0" w:firstLine="0"/>
        <w:jc w:val="both"/>
        <w:rPr>
          <w:color w:val="000000"/>
        </w:rPr>
      </w:pPr>
      <w:r w:rsidRPr="00B318B0">
        <w:rPr>
          <w:rFonts w:cs="Arial"/>
          <w:color w:val="242121"/>
          <w:shd w:val="clear" w:color="auto" w:fill="FFFFFF"/>
        </w:rPr>
        <w:t>In any event, the argument advanced by the respondent is that the impediment cease to exist one year after the Master of the High Court has confirmed the distribution and liquidation account and not when the claim is filed. I am unpersuaded by this argument. I find myself in agreement with the appellants’ submission that the impediment cease</w:t>
      </w:r>
      <w:r w:rsidR="00B318B0">
        <w:rPr>
          <w:rFonts w:cs="Arial"/>
          <w:color w:val="242121"/>
          <w:shd w:val="clear" w:color="auto" w:fill="FFFFFF"/>
        </w:rPr>
        <w:t>s</w:t>
      </w:r>
      <w:r w:rsidRPr="00B318B0">
        <w:rPr>
          <w:rFonts w:cs="Arial"/>
          <w:color w:val="242121"/>
          <w:shd w:val="clear" w:color="auto" w:fill="FFFFFF"/>
        </w:rPr>
        <w:t xml:space="preserve"> to exist one year after the rejection of the claim in accordance with what is provided for in section 13(1)(g) and that the respondent’s view that the resubmission of the claims three years after they were rejected reignites them is flawed. There is therefore merit in the appellant</w:t>
      </w:r>
      <w:r w:rsidR="00036D55">
        <w:rPr>
          <w:rFonts w:cs="Arial"/>
          <w:color w:val="242121"/>
          <w:shd w:val="clear" w:color="auto" w:fill="FFFFFF"/>
        </w:rPr>
        <w:t>s’</w:t>
      </w:r>
      <w:r w:rsidRPr="00B318B0">
        <w:rPr>
          <w:rFonts w:cs="Arial"/>
          <w:color w:val="242121"/>
          <w:shd w:val="clear" w:color="auto" w:fill="FFFFFF"/>
        </w:rPr>
        <w:t xml:space="preserve"> submissions which ought to have persuaded the Court </w:t>
      </w:r>
      <w:r w:rsidRPr="00B318B0">
        <w:rPr>
          <w:rFonts w:cs="Arial"/>
          <w:i/>
          <w:iCs/>
          <w:color w:val="242121"/>
          <w:shd w:val="clear" w:color="auto" w:fill="FFFFFF"/>
        </w:rPr>
        <w:t>a quo </w:t>
      </w:r>
      <w:r w:rsidRPr="00B318B0">
        <w:rPr>
          <w:rFonts w:cs="Arial"/>
          <w:color w:val="242121"/>
          <w:shd w:val="clear" w:color="auto" w:fill="FFFFFF"/>
        </w:rPr>
        <w:t>to allow the said issues to be ventilated in Court by granting the rescission of the judgment. Having adopted this view, it is not necessary to deal with other grounds of appeal.</w:t>
      </w:r>
    </w:p>
    <w:p w14:paraId="789D6D4F" w14:textId="0FB75F44" w:rsidR="00E56F16" w:rsidRPr="00B318B0" w:rsidRDefault="00E56F16" w:rsidP="007166D5">
      <w:pPr>
        <w:pStyle w:val="ListParagraph"/>
        <w:keepNext/>
        <w:spacing w:after="120" w:line="360" w:lineRule="auto"/>
        <w:ind w:left="0"/>
        <w:jc w:val="both"/>
        <w:rPr>
          <w:color w:val="000000"/>
        </w:rPr>
      </w:pPr>
      <w:r w:rsidRPr="00B318B0">
        <w:rPr>
          <w:rFonts w:cs="Arial"/>
          <w:b/>
          <w:bCs/>
          <w:iCs/>
          <w:color w:val="242121"/>
          <w:lang w:eastAsia="en-ZA"/>
        </w:rPr>
        <w:lastRenderedPageBreak/>
        <w:t>Conclusion</w:t>
      </w:r>
    </w:p>
    <w:p w14:paraId="4A776E2E" w14:textId="10AC086F" w:rsidR="00E56F16" w:rsidRPr="009C3885" w:rsidRDefault="00E56F16" w:rsidP="007166D5">
      <w:pPr>
        <w:pStyle w:val="ListParagraph"/>
        <w:numPr>
          <w:ilvl w:val="0"/>
          <w:numId w:val="5"/>
        </w:numPr>
        <w:tabs>
          <w:tab w:val="clear" w:pos="567"/>
        </w:tabs>
        <w:spacing w:after="240" w:line="360" w:lineRule="auto"/>
        <w:ind w:left="0" w:firstLine="0"/>
        <w:jc w:val="both"/>
        <w:rPr>
          <w:color w:val="000000"/>
        </w:rPr>
      </w:pPr>
      <w:r w:rsidRPr="00B318B0">
        <w:rPr>
          <w:rFonts w:cs="Arial"/>
          <w:color w:val="242121"/>
          <w:lang w:eastAsia="en-ZA"/>
        </w:rPr>
        <w:t>In the circumstances</w:t>
      </w:r>
      <w:r w:rsidR="00B318B0">
        <w:rPr>
          <w:rFonts w:cs="Arial"/>
          <w:color w:val="242121"/>
          <w:lang w:eastAsia="en-ZA"/>
        </w:rPr>
        <w:t>,</w:t>
      </w:r>
      <w:r w:rsidRPr="00B318B0">
        <w:rPr>
          <w:rFonts w:cs="Arial"/>
          <w:color w:val="242121"/>
          <w:lang w:eastAsia="en-ZA"/>
        </w:rPr>
        <w:t xml:space="preserve"> I find that the Court </w:t>
      </w:r>
      <w:r w:rsidRPr="00B318B0">
        <w:rPr>
          <w:rFonts w:cs="Arial"/>
          <w:i/>
          <w:iCs/>
          <w:color w:val="242121"/>
          <w:lang w:eastAsia="en-ZA"/>
        </w:rPr>
        <w:t>a quo </w:t>
      </w:r>
      <w:r w:rsidRPr="00B318B0">
        <w:rPr>
          <w:rFonts w:cs="Arial"/>
          <w:color w:val="242121"/>
          <w:lang w:eastAsia="en-ZA"/>
        </w:rPr>
        <w:t>erred in its dismissal of the appellants’ application for rescission. The Court </w:t>
      </w:r>
      <w:r w:rsidRPr="00B318B0">
        <w:rPr>
          <w:rFonts w:cs="Arial"/>
          <w:i/>
          <w:iCs/>
          <w:color w:val="242121"/>
          <w:lang w:eastAsia="en-ZA"/>
        </w:rPr>
        <w:t>a quo </w:t>
      </w:r>
      <w:r w:rsidRPr="00B318B0">
        <w:rPr>
          <w:rFonts w:cs="Arial"/>
          <w:color w:val="242121"/>
          <w:lang w:eastAsia="en-ZA"/>
        </w:rPr>
        <w:t>ought to have found the existence of both the absence of wilful default and the presence of </w:t>
      </w:r>
      <w:r w:rsidRPr="00B318B0">
        <w:rPr>
          <w:rFonts w:cs="Arial"/>
          <w:i/>
          <w:iCs/>
          <w:color w:val="242121"/>
          <w:lang w:eastAsia="en-ZA"/>
        </w:rPr>
        <w:t>bona fide </w:t>
      </w:r>
      <w:r w:rsidRPr="00B318B0">
        <w:rPr>
          <w:rFonts w:cs="Arial"/>
          <w:color w:val="242121"/>
          <w:lang w:eastAsia="en-ZA"/>
        </w:rPr>
        <w:t>defence which has prospects of success.</w:t>
      </w:r>
    </w:p>
    <w:p w14:paraId="41F6FD4F" w14:textId="77777777" w:rsidR="00F922A4" w:rsidRDefault="00F922A4" w:rsidP="00F922A4">
      <w:pPr>
        <w:pStyle w:val="LegalMAINHEADING"/>
        <w:spacing w:before="0" w:after="120" w:line="360" w:lineRule="auto"/>
      </w:pPr>
      <w:r>
        <w:rPr>
          <w:caps w:val="0"/>
        </w:rPr>
        <w:t>Order</w:t>
      </w:r>
    </w:p>
    <w:p w14:paraId="3B6087C8" w14:textId="77777777" w:rsidR="00447076" w:rsidRPr="00F922A4" w:rsidRDefault="00447076" w:rsidP="006B247E">
      <w:pPr>
        <w:pStyle w:val="LegalList1"/>
        <w:numPr>
          <w:ilvl w:val="0"/>
          <w:numId w:val="5"/>
        </w:numPr>
        <w:tabs>
          <w:tab w:val="clear" w:pos="567"/>
        </w:tabs>
        <w:spacing w:after="120" w:line="360" w:lineRule="auto"/>
        <w:ind w:left="0" w:firstLine="0"/>
        <w:rPr>
          <w:color w:val="000000"/>
        </w:rPr>
      </w:pPr>
      <w:r>
        <w:t xml:space="preserve">In the result, </w:t>
      </w:r>
      <w:r w:rsidR="005D0D24">
        <w:t>the following order</w:t>
      </w:r>
      <w:r w:rsidR="00D82EB8">
        <w:t xml:space="preserve"> is </w:t>
      </w:r>
      <w:r w:rsidR="002911F6">
        <w:t>made: -</w:t>
      </w:r>
    </w:p>
    <w:p w14:paraId="079D0A9C" w14:textId="4B675AF9" w:rsidR="005C30E9" w:rsidRDefault="009C3885" w:rsidP="00F37560">
      <w:pPr>
        <w:pStyle w:val="LegalList1"/>
        <w:numPr>
          <w:ilvl w:val="0"/>
          <w:numId w:val="21"/>
        </w:numPr>
        <w:spacing w:after="120" w:line="360" w:lineRule="auto"/>
        <w:ind w:left="567" w:hanging="567"/>
      </w:pPr>
      <w:r>
        <w:t xml:space="preserve">The </w:t>
      </w:r>
      <w:r w:rsidR="007166D5">
        <w:t xml:space="preserve">first, second and third </w:t>
      </w:r>
      <w:r>
        <w:t>appellant</w:t>
      </w:r>
      <w:r w:rsidR="005C30E9">
        <w:t>s</w:t>
      </w:r>
      <w:r>
        <w:t xml:space="preserve">’ </w:t>
      </w:r>
      <w:r w:rsidR="005C30E9">
        <w:t xml:space="preserve">appeal against the order of the court </w:t>
      </w:r>
      <w:r w:rsidR="005C30E9" w:rsidRPr="002D2AF2">
        <w:rPr>
          <w:i/>
        </w:rPr>
        <w:t>a quo</w:t>
      </w:r>
      <w:r w:rsidR="005C30E9">
        <w:t xml:space="preserve"> is upheld, with costs.</w:t>
      </w:r>
    </w:p>
    <w:p w14:paraId="2EACAD28" w14:textId="0E494F46" w:rsidR="005C30E9" w:rsidRDefault="005C30E9" w:rsidP="00F37560">
      <w:pPr>
        <w:pStyle w:val="LegalList1"/>
        <w:numPr>
          <w:ilvl w:val="0"/>
          <w:numId w:val="21"/>
        </w:numPr>
        <w:spacing w:after="0" w:line="360" w:lineRule="auto"/>
        <w:ind w:left="567" w:hanging="567"/>
      </w:pPr>
      <w:r>
        <w:t xml:space="preserve">The order </w:t>
      </w:r>
      <w:r w:rsidR="00E4734A">
        <w:t xml:space="preserve">of </w:t>
      </w:r>
      <w:r>
        <w:t xml:space="preserve">the court </w:t>
      </w:r>
      <w:r w:rsidRPr="000A688E">
        <w:rPr>
          <w:i/>
        </w:rPr>
        <w:t>a quo</w:t>
      </w:r>
      <w:r>
        <w:t xml:space="preserve"> is set aside and in its place is substituted the following: - </w:t>
      </w:r>
    </w:p>
    <w:p w14:paraId="2641AF48" w14:textId="77777777" w:rsidR="009C3885" w:rsidRDefault="005C30E9" w:rsidP="00B11E4D">
      <w:pPr>
        <w:spacing w:line="360" w:lineRule="auto"/>
        <w:ind w:left="851" w:hanging="567"/>
        <w:jc w:val="both"/>
        <w:rPr>
          <w:sz w:val="22"/>
          <w:szCs w:val="22"/>
        </w:rPr>
      </w:pPr>
      <w:r w:rsidRPr="002C2298">
        <w:rPr>
          <w:color w:val="000000"/>
          <w:sz w:val="22"/>
          <w:szCs w:val="22"/>
        </w:rPr>
        <w:t>‘(a)</w:t>
      </w:r>
      <w:r w:rsidRPr="002C2298">
        <w:rPr>
          <w:color w:val="000000"/>
          <w:sz w:val="22"/>
          <w:szCs w:val="22"/>
        </w:rPr>
        <w:tab/>
      </w:r>
      <w:r>
        <w:rPr>
          <w:sz w:val="22"/>
          <w:szCs w:val="22"/>
        </w:rPr>
        <w:t xml:space="preserve">The </w:t>
      </w:r>
      <w:r w:rsidR="009C3885">
        <w:rPr>
          <w:sz w:val="22"/>
          <w:szCs w:val="22"/>
        </w:rPr>
        <w:t>default judgment granted against the first, second and third defendants in favour of the plaintiff on 27 August 2019 under case number 19617/2017 be and is hereby rescinded;</w:t>
      </w:r>
    </w:p>
    <w:p w14:paraId="661699D8" w14:textId="5F5AE4EC" w:rsidR="009C3885" w:rsidRDefault="005C30E9" w:rsidP="00B11E4D">
      <w:pPr>
        <w:spacing w:line="360" w:lineRule="auto"/>
        <w:ind w:left="851" w:hanging="567"/>
        <w:jc w:val="both"/>
        <w:rPr>
          <w:sz w:val="22"/>
          <w:szCs w:val="22"/>
        </w:rPr>
      </w:pPr>
      <w:r>
        <w:rPr>
          <w:sz w:val="22"/>
          <w:szCs w:val="22"/>
        </w:rPr>
        <w:t xml:space="preserve"> </w:t>
      </w:r>
      <w:r w:rsidR="009C3885">
        <w:rPr>
          <w:sz w:val="22"/>
          <w:szCs w:val="22"/>
        </w:rPr>
        <w:t>(b)</w:t>
      </w:r>
      <w:r w:rsidR="009C3885">
        <w:rPr>
          <w:sz w:val="22"/>
          <w:szCs w:val="22"/>
        </w:rPr>
        <w:tab/>
        <w:t>the first, second and third defendants shall deliver their plea within twenty days from date of the granting of this order, being 6 June 2023.</w:t>
      </w:r>
    </w:p>
    <w:p w14:paraId="317BB0FF" w14:textId="03ADE0C9" w:rsidR="005C30E9" w:rsidRPr="002C2298" w:rsidRDefault="005C30E9" w:rsidP="005C30E9">
      <w:pPr>
        <w:spacing w:after="120" w:line="360" w:lineRule="auto"/>
        <w:ind w:left="851" w:hanging="567"/>
        <w:jc w:val="both"/>
        <w:rPr>
          <w:color w:val="000000"/>
          <w:sz w:val="22"/>
          <w:szCs w:val="22"/>
        </w:rPr>
      </w:pPr>
      <w:r>
        <w:rPr>
          <w:sz w:val="22"/>
          <w:szCs w:val="22"/>
        </w:rPr>
        <w:t xml:space="preserve"> </w:t>
      </w:r>
      <w:r w:rsidR="009C3885">
        <w:rPr>
          <w:sz w:val="22"/>
          <w:szCs w:val="22"/>
        </w:rPr>
        <w:t>(c)</w:t>
      </w:r>
      <w:r w:rsidR="009C3885">
        <w:rPr>
          <w:sz w:val="22"/>
          <w:szCs w:val="22"/>
        </w:rPr>
        <w:tab/>
        <w:t>The costs of the first, second and third defendants’ application for rescission shall be in the course of the main action</w:t>
      </w:r>
      <w:r>
        <w:rPr>
          <w:sz w:val="22"/>
          <w:szCs w:val="22"/>
        </w:rPr>
        <w:t>’</w:t>
      </w:r>
      <w:r w:rsidR="009C3885">
        <w:rPr>
          <w:sz w:val="22"/>
          <w:szCs w:val="22"/>
        </w:rPr>
        <w:t>.</w:t>
      </w:r>
    </w:p>
    <w:p w14:paraId="7141FBD4" w14:textId="65338735" w:rsidR="005C30E9" w:rsidRDefault="00577B0B" w:rsidP="00F37560">
      <w:pPr>
        <w:pStyle w:val="LegalList1"/>
        <w:numPr>
          <w:ilvl w:val="0"/>
          <w:numId w:val="21"/>
        </w:numPr>
        <w:spacing w:after="240" w:line="360" w:lineRule="auto"/>
        <w:ind w:left="567" w:hanging="567"/>
      </w:pPr>
      <w:r>
        <w:t>The respondent shall pay the appellant</w:t>
      </w:r>
      <w:r w:rsidR="005C30E9">
        <w:t>s</w:t>
      </w:r>
      <w:r>
        <w:t>’</w:t>
      </w:r>
      <w:r w:rsidR="005C30E9">
        <w:t xml:space="preserve"> costs of the appeal, including the costs of the application for leave to appeal to the court </w:t>
      </w:r>
      <w:r w:rsidR="005C30E9" w:rsidRPr="00577B0B">
        <w:rPr>
          <w:i/>
        </w:rPr>
        <w:t>a quo</w:t>
      </w:r>
      <w:r w:rsidR="005C30E9">
        <w:t xml:space="preserve"> and the costs of the application for leave to appeal to the Supreme Court of A</w:t>
      </w:r>
      <w:r>
        <w:t>ppeal</w:t>
      </w:r>
      <w:r w:rsidR="005C30E9">
        <w:t>.</w:t>
      </w:r>
    </w:p>
    <w:p w14:paraId="56FFBC86" w14:textId="77777777" w:rsidR="00C55B3C" w:rsidRPr="00C55B3C" w:rsidRDefault="00872370" w:rsidP="00DF5060">
      <w:pPr>
        <w:pStyle w:val="ListParagraph"/>
        <w:keepNext/>
        <w:keepLines/>
        <w:tabs>
          <w:tab w:val="left" w:pos="0"/>
        </w:tabs>
        <w:spacing w:before="1200"/>
        <w:jc w:val="right"/>
        <w:rPr>
          <w:b/>
          <w:u w:val="single"/>
        </w:rPr>
      </w:pPr>
      <w:r>
        <w:rPr>
          <w:b/>
          <w:u w:val="single"/>
        </w:rPr>
        <w:t>______</w:t>
      </w:r>
      <w:r w:rsidR="00C55B3C" w:rsidRPr="00C55B3C">
        <w:rPr>
          <w:b/>
          <w:u w:val="single"/>
        </w:rPr>
        <w:t>__________________________</w:t>
      </w:r>
    </w:p>
    <w:p w14:paraId="2BF04A41" w14:textId="12BC3032" w:rsidR="00C55B3C" w:rsidRPr="00C55B3C" w:rsidRDefault="00B11E4D" w:rsidP="00CD56FB">
      <w:pPr>
        <w:pStyle w:val="ListParagraph"/>
        <w:keepNext/>
        <w:jc w:val="right"/>
        <w:rPr>
          <w:rFonts w:cs="Arial"/>
          <w:b/>
        </w:rPr>
      </w:pPr>
      <w:r>
        <w:rPr>
          <w:rFonts w:cs="Arial"/>
          <w:b/>
        </w:rPr>
        <w:t>M B MAHALELO</w:t>
      </w:r>
    </w:p>
    <w:p w14:paraId="3C5D76D5" w14:textId="77777777" w:rsidR="00C55B3C" w:rsidRPr="00C55B3C" w:rsidRDefault="00C55B3C" w:rsidP="00CD56FB">
      <w:pPr>
        <w:pStyle w:val="ListParagraph"/>
        <w:keepNext/>
        <w:jc w:val="right"/>
        <w:rPr>
          <w:rFonts w:cs="Arial"/>
          <w:i/>
        </w:rPr>
      </w:pPr>
      <w:r w:rsidRPr="00C55B3C">
        <w:rPr>
          <w:rFonts w:cs="Arial"/>
          <w:i/>
        </w:rPr>
        <w:t>Judge of the High Court</w:t>
      </w:r>
    </w:p>
    <w:p w14:paraId="68A48D56" w14:textId="1DE48458" w:rsidR="00C55B3C" w:rsidRDefault="00C55B3C" w:rsidP="00FC7402">
      <w:pPr>
        <w:pStyle w:val="ListParagraph"/>
        <w:spacing w:after="120" w:line="360" w:lineRule="auto"/>
        <w:jc w:val="right"/>
        <w:rPr>
          <w:rFonts w:cs="Arial"/>
          <w:i/>
        </w:rPr>
      </w:pPr>
      <w:r w:rsidRPr="00C55B3C">
        <w:rPr>
          <w:rFonts w:cs="Arial"/>
          <w:i/>
        </w:rPr>
        <w:t>Gauteng Division, Johannesburg</w:t>
      </w:r>
    </w:p>
    <w:p w14:paraId="0BCF12C8" w14:textId="77777777" w:rsidR="00341D13" w:rsidRDefault="00341D13" w:rsidP="00C55B3C">
      <w:pPr>
        <w:pBdr>
          <w:bottom w:val="single" w:sz="6" w:space="1" w:color="auto"/>
        </w:pBdr>
        <w:spacing w:after="360"/>
        <w:rPr>
          <w:rFonts w:cs="Arial"/>
          <w:i/>
        </w:rPr>
      </w:pPr>
    </w:p>
    <w:p w14:paraId="3B5FBB07" w14:textId="77777777" w:rsidR="00DF5060" w:rsidRDefault="00DF5060">
      <w:pPr>
        <w:suppressAutoHyphens w:val="0"/>
      </w:pPr>
      <w:r>
        <w:br w:type="page"/>
      </w:r>
    </w:p>
    <w:tbl>
      <w:tblPr>
        <w:tblW w:w="0" w:type="auto"/>
        <w:tblLook w:val="04A0" w:firstRow="1" w:lastRow="0" w:firstColumn="1" w:lastColumn="0" w:noHBand="0" w:noVBand="1"/>
      </w:tblPr>
      <w:tblGrid>
        <w:gridCol w:w="4263"/>
        <w:gridCol w:w="4239"/>
      </w:tblGrid>
      <w:tr w:rsidR="00595DE2" w14:paraId="7FF36FAB" w14:textId="77777777" w:rsidTr="00595DE2">
        <w:tc>
          <w:tcPr>
            <w:tcW w:w="4263" w:type="dxa"/>
            <w:tcMar>
              <w:top w:w="32" w:type="dxa"/>
              <w:left w:w="108" w:type="dxa"/>
              <w:bottom w:w="32" w:type="dxa"/>
              <w:right w:w="108" w:type="dxa"/>
            </w:tcMar>
            <w:vAlign w:val="center"/>
            <w:hideMark/>
          </w:tcPr>
          <w:p w14:paraId="221043C5" w14:textId="58851F5F" w:rsidR="00595DE2" w:rsidRPr="00595DE2" w:rsidRDefault="00595DE2" w:rsidP="00154F14">
            <w:pPr>
              <w:keepNext/>
              <w:spacing w:before="120" w:after="120"/>
            </w:pPr>
            <w:r>
              <w:lastRenderedPageBreak/>
              <w:t>HEARD ON: </w:t>
            </w:r>
          </w:p>
        </w:tc>
        <w:tc>
          <w:tcPr>
            <w:tcW w:w="4239" w:type="dxa"/>
            <w:tcMar>
              <w:top w:w="32" w:type="dxa"/>
              <w:left w:w="108" w:type="dxa"/>
              <w:bottom w:w="32" w:type="dxa"/>
              <w:right w:w="108" w:type="dxa"/>
            </w:tcMar>
            <w:vAlign w:val="center"/>
            <w:hideMark/>
          </w:tcPr>
          <w:p w14:paraId="6504B07C" w14:textId="0302C99B" w:rsidR="00595DE2" w:rsidRPr="00595DE2" w:rsidRDefault="00577B0B" w:rsidP="00956D50">
            <w:pPr>
              <w:keepNext/>
              <w:spacing w:before="120" w:after="120"/>
              <w:jc w:val="both"/>
            </w:pPr>
            <w:r>
              <w:t>8 March</w:t>
            </w:r>
            <w:r w:rsidR="00E020F7">
              <w:t xml:space="preserve"> 2023</w:t>
            </w:r>
          </w:p>
        </w:tc>
      </w:tr>
      <w:tr w:rsidR="00595DE2" w14:paraId="33F45B32" w14:textId="77777777" w:rsidTr="00595DE2">
        <w:tc>
          <w:tcPr>
            <w:tcW w:w="4263" w:type="dxa"/>
            <w:tcMar>
              <w:top w:w="32" w:type="dxa"/>
              <w:left w:w="108" w:type="dxa"/>
              <w:bottom w:w="32" w:type="dxa"/>
              <w:right w:w="108" w:type="dxa"/>
            </w:tcMar>
            <w:vAlign w:val="center"/>
            <w:hideMark/>
          </w:tcPr>
          <w:p w14:paraId="390FDF2B" w14:textId="77777777" w:rsidR="00595DE2" w:rsidRPr="00595DE2" w:rsidRDefault="00595DE2" w:rsidP="00154F14">
            <w:pPr>
              <w:keepNext/>
              <w:spacing w:before="120" w:after="120"/>
            </w:pPr>
            <w:r>
              <w:t>JUDGMENT DATE: </w:t>
            </w:r>
          </w:p>
        </w:tc>
        <w:tc>
          <w:tcPr>
            <w:tcW w:w="4239" w:type="dxa"/>
            <w:tcMar>
              <w:top w:w="32" w:type="dxa"/>
              <w:left w:w="108" w:type="dxa"/>
              <w:bottom w:w="32" w:type="dxa"/>
              <w:right w:w="108" w:type="dxa"/>
            </w:tcMar>
            <w:vAlign w:val="center"/>
            <w:hideMark/>
          </w:tcPr>
          <w:p w14:paraId="30F14BC4" w14:textId="7C56CC80" w:rsidR="00595DE2" w:rsidRDefault="00956D50" w:rsidP="00956D50">
            <w:pPr>
              <w:keepNext/>
              <w:spacing w:before="120" w:after="120"/>
              <w:jc w:val="both"/>
            </w:pPr>
            <w:r>
              <w:t>6</w:t>
            </w:r>
            <w:r w:rsidR="00577B0B">
              <w:t xml:space="preserve"> June</w:t>
            </w:r>
            <w:r w:rsidR="00E020F7">
              <w:t xml:space="preserve"> 2023</w:t>
            </w:r>
            <w:r w:rsidR="00595DE2">
              <w:t xml:space="preserve"> – judgment handed down electronically</w:t>
            </w:r>
          </w:p>
        </w:tc>
      </w:tr>
      <w:tr w:rsidR="00595DE2" w14:paraId="57088DC0" w14:textId="77777777" w:rsidTr="00595DE2">
        <w:tc>
          <w:tcPr>
            <w:tcW w:w="4263" w:type="dxa"/>
            <w:tcMar>
              <w:top w:w="32" w:type="dxa"/>
              <w:left w:w="108" w:type="dxa"/>
              <w:bottom w:w="32" w:type="dxa"/>
              <w:right w:w="108" w:type="dxa"/>
            </w:tcMar>
            <w:vAlign w:val="center"/>
            <w:hideMark/>
          </w:tcPr>
          <w:p w14:paraId="405B6175" w14:textId="744EF61A" w:rsidR="00595DE2" w:rsidRPr="00595DE2" w:rsidRDefault="00595DE2" w:rsidP="00E020F7">
            <w:pPr>
              <w:keepNext/>
              <w:spacing w:before="120" w:after="120"/>
            </w:pPr>
            <w:r>
              <w:t xml:space="preserve">FOR THE </w:t>
            </w:r>
            <w:r w:rsidR="00577B0B">
              <w:t xml:space="preserve">FIRST, SECOND AND THIRD </w:t>
            </w:r>
            <w:r w:rsidR="00865385">
              <w:t>APPELLANT</w:t>
            </w:r>
            <w:r w:rsidR="00577B0B">
              <w:t>S</w:t>
            </w:r>
            <w:r>
              <w:t>: </w:t>
            </w:r>
          </w:p>
        </w:tc>
        <w:tc>
          <w:tcPr>
            <w:tcW w:w="4239" w:type="dxa"/>
            <w:tcMar>
              <w:top w:w="32" w:type="dxa"/>
              <w:left w:w="108" w:type="dxa"/>
              <w:bottom w:w="32" w:type="dxa"/>
              <w:right w:w="108" w:type="dxa"/>
            </w:tcMar>
            <w:vAlign w:val="center"/>
            <w:hideMark/>
          </w:tcPr>
          <w:p w14:paraId="0CB6AC9C" w14:textId="676B573C" w:rsidR="00595DE2" w:rsidRPr="00595DE2" w:rsidRDefault="00B32C3A" w:rsidP="00577B0B">
            <w:pPr>
              <w:keepNext/>
              <w:spacing w:before="120" w:after="120"/>
            </w:pPr>
            <w:r>
              <w:t>Adv</w:t>
            </w:r>
            <w:r w:rsidR="00595DE2">
              <w:t xml:space="preserve"> </w:t>
            </w:r>
            <w:r w:rsidR="00577B0B">
              <w:t>Marc</w:t>
            </w:r>
            <w:r w:rsidR="00A94BD0">
              <w:t xml:space="preserve"> </w:t>
            </w:r>
            <w:r w:rsidR="00577B0B">
              <w:t>J Cooke</w:t>
            </w:r>
          </w:p>
        </w:tc>
      </w:tr>
      <w:tr w:rsidR="00595DE2" w14:paraId="67BDB5ED" w14:textId="77777777" w:rsidTr="00595DE2">
        <w:tc>
          <w:tcPr>
            <w:tcW w:w="4263" w:type="dxa"/>
            <w:tcMar>
              <w:top w:w="32" w:type="dxa"/>
              <w:left w:w="108" w:type="dxa"/>
              <w:bottom w:w="32" w:type="dxa"/>
              <w:right w:w="108" w:type="dxa"/>
            </w:tcMar>
            <w:vAlign w:val="center"/>
            <w:hideMark/>
          </w:tcPr>
          <w:p w14:paraId="7E32D79D" w14:textId="77777777" w:rsidR="00595DE2" w:rsidRPr="00595DE2" w:rsidRDefault="00595DE2" w:rsidP="00154F14">
            <w:pPr>
              <w:keepNext/>
              <w:spacing w:before="120" w:after="120"/>
            </w:pPr>
            <w:r>
              <w:t>INSTRUCTED BY: </w:t>
            </w:r>
          </w:p>
        </w:tc>
        <w:tc>
          <w:tcPr>
            <w:tcW w:w="4239" w:type="dxa"/>
            <w:tcMar>
              <w:top w:w="32" w:type="dxa"/>
              <w:left w:w="108" w:type="dxa"/>
              <w:bottom w:w="32" w:type="dxa"/>
              <w:right w:w="108" w:type="dxa"/>
            </w:tcMar>
            <w:vAlign w:val="center"/>
            <w:hideMark/>
          </w:tcPr>
          <w:p w14:paraId="7F868C34" w14:textId="17D3A63C" w:rsidR="00595DE2" w:rsidRPr="00595DE2" w:rsidRDefault="00577B0B" w:rsidP="00577B0B">
            <w:pPr>
              <w:keepNext/>
              <w:spacing w:before="120" w:after="120"/>
            </w:pPr>
            <w:r>
              <w:t>Ryan D Lewis Incorporated</w:t>
            </w:r>
            <w:r w:rsidR="00486326">
              <w:t>,</w:t>
            </w:r>
            <w:r w:rsidR="00E020F7">
              <w:t xml:space="preserve"> </w:t>
            </w:r>
            <w:r>
              <w:t>Rivonia</w:t>
            </w:r>
            <w:r w:rsidR="00E020F7">
              <w:t>,</w:t>
            </w:r>
            <w:r>
              <w:t> Sandton</w:t>
            </w:r>
          </w:p>
        </w:tc>
      </w:tr>
      <w:tr w:rsidR="00595DE2" w14:paraId="5B80B11B" w14:textId="77777777" w:rsidTr="00595DE2">
        <w:tc>
          <w:tcPr>
            <w:tcW w:w="4263" w:type="dxa"/>
            <w:tcMar>
              <w:top w:w="32" w:type="dxa"/>
              <w:left w:w="108" w:type="dxa"/>
              <w:bottom w:w="32" w:type="dxa"/>
              <w:right w:w="108" w:type="dxa"/>
            </w:tcMar>
            <w:vAlign w:val="center"/>
            <w:hideMark/>
          </w:tcPr>
          <w:p w14:paraId="73F93BDB" w14:textId="2778AB4E" w:rsidR="00595DE2" w:rsidRPr="00595DE2" w:rsidRDefault="00595DE2" w:rsidP="00577B0B">
            <w:pPr>
              <w:keepNext/>
              <w:spacing w:before="120" w:after="120"/>
            </w:pPr>
            <w:r>
              <w:t xml:space="preserve">FOR THE </w:t>
            </w:r>
            <w:r w:rsidR="00E020F7">
              <w:t>RESPONDENT</w:t>
            </w:r>
            <w:r>
              <w:t>: </w:t>
            </w:r>
          </w:p>
        </w:tc>
        <w:tc>
          <w:tcPr>
            <w:tcW w:w="4239" w:type="dxa"/>
            <w:tcMar>
              <w:top w:w="32" w:type="dxa"/>
              <w:left w:w="108" w:type="dxa"/>
              <w:bottom w:w="32" w:type="dxa"/>
              <w:right w:w="108" w:type="dxa"/>
            </w:tcMar>
            <w:vAlign w:val="center"/>
            <w:hideMark/>
          </w:tcPr>
          <w:p w14:paraId="3B7A3CF1" w14:textId="613176A2" w:rsidR="00595DE2" w:rsidRDefault="00F933D8" w:rsidP="00B11E4D">
            <w:pPr>
              <w:keepNext/>
              <w:spacing w:before="120" w:after="120"/>
            </w:pPr>
            <w:r>
              <w:t>Adv</w:t>
            </w:r>
            <w:r w:rsidR="00595DE2">
              <w:t xml:space="preserve"> </w:t>
            </w:r>
            <w:r w:rsidR="00B11E4D">
              <w:t>F</w:t>
            </w:r>
            <w:r w:rsidR="00E020F7">
              <w:t xml:space="preserve"> </w:t>
            </w:r>
            <w:r w:rsidR="00B11E4D">
              <w:t>Bezuidenhout, together with Adv M Masemola</w:t>
            </w:r>
            <w:r>
              <w:t xml:space="preserve"> </w:t>
            </w:r>
          </w:p>
        </w:tc>
      </w:tr>
      <w:tr w:rsidR="00595DE2" w14:paraId="4F06BB27" w14:textId="77777777" w:rsidTr="00595DE2">
        <w:tc>
          <w:tcPr>
            <w:tcW w:w="4263" w:type="dxa"/>
            <w:tcMar>
              <w:top w:w="32" w:type="dxa"/>
              <w:left w:w="108" w:type="dxa"/>
              <w:bottom w:w="32" w:type="dxa"/>
              <w:right w:w="108" w:type="dxa"/>
            </w:tcMar>
            <w:vAlign w:val="center"/>
            <w:hideMark/>
          </w:tcPr>
          <w:p w14:paraId="7317448D" w14:textId="77777777" w:rsidR="00595DE2" w:rsidRPr="00595DE2" w:rsidRDefault="00595DE2" w:rsidP="00154F14">
            <w:pPr>
              <w:keepNext/>
              <w:spacing w:before="120" w:after="120"/>
            </w:pPr>
            <w:r>
              <w:t>INSTRUCTED BY: </w:t>
            </w:r>
          </w:p>
        </w:tc>
        <w:tc>
          <w:tcPr>
            <w:tcW w:w="4239" w:type="dxa"/>
            <w:tcMar>
              <w:top w:w="32" w:type="dxa"/>
              <w:left w:w="108" w:type="dxa"/>
              <w:bottom w:w="32" w:type="dxa"/>
              <w:right w:w="108" w:type="dxa"/>
            </w:tcMar>
            <w:vAlign w:val="center"/>
            <w:hideMark/>
          </w:tcPr>
          <w:p w14:paraId="5EADDD11" w14:textId="3BE1F2F1" w:rsidR="00595DE2" w:rsidRPr="00595DE2" w:rsidRDefault="00B11E4D" w:rsidP="00B11E4D">
            <w:pPr>
              <w:keepNext/>
              <w:spacing w:before="120" w:after="120"/>
            </w:pPr>
            <w:r>
              <w:t>Jay Mothobi</w:t>
            </w:r>
            <w:r w:rsidR="00894503">
              <w:t xml:space="preserve"> Incorporated</w:t>
            </w:r>
            <w:r w:rsidR="00486326">
              <w:t xml:space="preserve">, </w:t>
            </w:r>
            <w:r>
              <w:t>Rosebank</w:t>
            </w:r>
            <w:r w:rsidR="00894503">
              <w:t>, Johannesburg</w:t>
            </w:r>
            <w:r w:rsidR="002D2AF2">
              <w:t xml:space="preserve"> </w:t>
            </w:r>
            <w:r w:rsidR="00595DE2">
              <w:t xml:space="preserve">  </w:t>
            </w:r>
          </w:p>
        </w:tc>
      </w:tr>
    </w:tbl>
    <w:p w14:paraId="5046A92C" w14:textId="77777777" w:rsidR="002F15F5" w:rsidRPr="00D63801" w:rsidRDefault="002F15F5" w:rsidP="00B11E4D">
      <w:pPr>
        <w:keepNext/>
        <w:keepLines/>
        <w:tabs>
          <w:tab w:val="left" w:pos="0"/>
        </w:tabs>
        <w:rPr>
          <w:b/>
        </w:rPr>
      </w:pPr>
    </w:p>
    <w:sectPr w:rsidR="002F15F5" w:rsidRPr="00D63801" w:rsidSect="005E3F79">
      <w:headerReference w:type="even" r:id="rId17"/>
      <w:headerReference w:type="default" r:id="rId18"/>
      <w:headerReference w:type="first" r:id="rId19"/>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4C743" w14:textId="77777777" w:rsidR="00AE471A" w:rsidRDefault="00AE471A">
      <w:pPr>
        <w:spacing w:line="20" w:lineRule="exact"/>
      </w:pPr>
    </w:p>
  </w:endnote>
  <w:endnote w:type="continuationSeparator" w:id="0">
    <w:p w14:paraId="3EEE62AD" w14:textId="77777777" w:rsidR="00AE471A" w:rsidRDefault="00AE471A">
      <w:r>
        <w:t xml:space="preserve"> </w:t>
      </w:r>
    </w:p>
  </w:endnote>
  <w:endnote w:type="continuationNotice" w:id="1">
    <w:p w14:paraId="3CB64DAC" w14:textId="77777777" w:rsidR="00AE471A" w:rsidRDefault="00AE471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9F7A5" w14:textId="77777777" w:rsidR="00AE471A" w:rsidRDefault="00AE471A">
      <w:r>
        <w:separator/>
      </w:r>
    </w:p>
  </w:footnote>
  <w:footnote w:type="continuationSeparator" w:id="0">
    <w:p w14:paraId="41ADB7C7" w14:textId="77777777" w:rsidR="00AE471A" w:rsidRDefault="00AE471A">
      <w:r>
        <w:continuationSeparator/>
      </w:r>
    </w:p>
  </w:footnote>
  <w:footnote w:id="1">
    <w:p w14:paraId="746215AE" w14:textId="4FAE64BC" w:rsidR="00611DB7" w:rsidRDefault="00611DB7">
      <w:pPr>
        <w:pStyle w:val="FootnoteText"/>
      </w:pPr>
      <w:r>
        <w:rPr>
          <w:rStyle w:val="FootnoteReference"/>
        </w:rPr>
        <w:footnoteRef/>
      </w:r>
      <w:r>
        <w:t xml:space="preserve"> </w:t>
      </w:r>
      <w:r w:rsidRPr="005301E4">
        <w:rPr>
          <w:rFonts w:cs="Arial"/>
          <w:i/>
          <w:iCs/>
          <w:color w:val="242121"/>
          <w:lang w:eastAsia="en-ZA"/>
        </w:rPr>
        <w:t>Chetty v Law Society, Transvaal </w:t>
      </w:r>
      <w:r w:rsidRPr="006627CA">
        <w:rPr>
          <w:color w:val="000000"/>
        </w:rPr>
        <w:t>1985 (2) SA 756 (A) 1985 (2) SA 746J to 765 C</w:t>
      </w:r>
      <w:r>
        <w:rPr>
          <w:color w:val="000000"/>
        </w:rPr>
        <w:t xml:space="preserve">; </w:t>
      </w:r>
    </w:p>
  </w:footnote>
  <w:footnote w:id="2">
    <w:p w14:paraId="3AEB2B0A" w14:textId="742B2165" w:rsidR="00611DB7" w:rsidRPr="00CF2CDB" w:rsidRDefault="00611DB7">
      <w:pPr>
        <w:pStyle w:val="FootnoteText"/>
        <w:rPr>
          <w:szCs w:val="18"/>
        </w:rPr>
      </w:pPr>
      <w:r w:rsidRPr="00CF2CDB">
        <w:rPr>
          <w:rStyle w:val="FootnoteReference"/>
          <w:sz w:val="18"/>
          <w:szCs w:val="18"/>
        </w:rPr>
        <w:footnoteRef/>
      </w:r>
      <w:r w:rsidRPr="00CF2CDB">
        <w:rPr>
          <w:szCs w:val="18"/>
        </w:rPr>
        <w:t xml:space="preserve"> </w:t>
      </w:r>
      <w:r w:rsidRPr="00CF2CDB">
        <w:rPr>
          <w:color w:val="000000"/>
          <w:szCs w:val="18"/>
        </w:rPr>
        <w:t xml:space="preserve">[2021] ZACC 28; </w:t>
      </w:r>
    </w:p>
  </w:footnote>
  <w:footnote w:id="3">
    <w:p w14:paraId="1BA230B6" w14:textId="7B436C94" w:rsidR="00611DB7" w:rsidRPr="00CF2CDB" w:rsidRDefault="00611DB7">
      <w:pPr>
        <w:pStyle w:val="FootnoteText"/>
        <w:rPr>
          <w:szCs w:val="18"/>
        </w:rPr>
      </w:pPr>
      <w:r w:rsidRPr="00CF2CDB">
        <w:rPr>
          <w:rStyle w:val="FootnoteReference"/>
          <w:sz w:val="18"/>
          <w:szCs w:val="18"/>
        </w:rPr>
        <w:footnoteRef/>
      </w:r>
      <w:r w:rsidRPr="00CF2CDB">
        <w:rPr>
          <w:szCs w:val="18"/>
        </w:rPr>
        <w:t xml:space="preserve"> </w:t>
      </w:r>
      <w:r w:rsidRPr="00CF2CDB">
        <w:rPr>
          <w:rFonts w:cs="Arial"/>
          <w:i/>
          <w:szCs w:val="18"/>
          <w:lang w:val="en-ZA"/>
        </w:rPr>
        <w:t xml:space="preserve">Silber v Ozen Wholesalers </w:t>
      </w:r>
      <w:r w:rsidRPr="00CF2CDB">
        <w:rPr>
          <w:color w:val="000000"/>
          <w:szCs w:val="18"/>
        </w:rPr>
        <w:t xml:space="preserve">1954 (2) SA 345 (A) at 353; </w:t>
      </w:r>
    </w:p>
  </w:footnote>
  <w:footnote w:id="4">
    <w:p w14:paraId="47B29426" w14:textId="15A24FDB" w:rsidR="00611DB7" w:rsidRPr="00CF2CDB" w:rsidRDefault="00611DB7">
      <w:pPr>
        <w:pStyle w:val="FootnoteText"/>
        <w:rPr>
          <w:szCs w:val="18"/>
        </w:rPr>
      </w:pPr>
      <w:r w:rsidRPr="00CF2CDB">
        <w:rPr>
          <w:rStyle w:val="FootnoteReference"/>
          <w:sz w:val="18"/>
          <w:szCs w:val="18"/>
        </w:rPr>
        <w:footnoteRef/>
      </w:r>
      <w:r w:rsidRPr="00CF2CDB">
        <w:rPr>
          <w:szCs w:val="18"/>
        </w:rPr>
        <w:t xml:space="preserve"> </w:t>
      </w:r>
      <w:r w:rsidRPr="00CF2CDB">
        <w:rPr>
          <w:i/>
          <w:color w:val="000000"/>
          <w:szCs w:val="18"/>
        </w:rPr>
        <w:t>Harris v ABSA Bank Ltd t/a Volkskas</w:t>
      </w:r>
      <w:r w:rsidRPr="00CF2CDB">
        <w:rPr>
          <w:color w:val="000000"/>
          <w:szCs w:val="18"/>
        </w:rPr>
        <w:t xml:space="preserve"> 2006 (4) SA 527 (T) at [8] – [10], </w:t>
      </w:r>
      <w:r w:rsidRPr="00CF2CDB">
        <w:rPr>
          <w:i/>
          <w:color w:val="000000"/>
          <w:szCs w:val="18"/>
        </w:rPr>
        <w:t>Melane v Santam Insurance Co Ltd</w:t>
      </w:r>
      <w:r w:rsidRPr="00CF2CDB">
        <w:rPr>
          <w:color w:val="000000"/>
          <w:szCs w:val="18"/>
        </w:rPr>
        <w:t xml:space="preserve"> 1962 (4) SA 531 (A) at 532C-F; </w:t>
      </w:r>
    </w:p>
  </w:footnote>
  <w:footnote w:id="5">
    <w:p w14:paraId="61920DA1" w14:textId="37F5FA8E" w:rsidR="00611DB7" w:rsidRPr="00CF2CDB" w:rsidRDefault="00611DB7" w:rsidP="00E56F16">
      <w:pPr>
        <w:pStyle w:val="FootnoteText"/>
        <w:rPr>
          <w:rFonts w:cs="Arial"/>
          <w:szCs w:val="18"/>
        </w:rPr>
      </w:pPr>
      <w:r w:rsidRPr="00CF2CDB">
        <w:rPr>
          <w:rStyle w:val="FootnoteReference"/>
          <w:rFonts w:cs="Arial"/>
          <w:sz w:val="18"/>
          <w:szCs w:val="18"/>
        </w:rPr>
        <w:footnoteRef/>
      </w:r>
      <w:r w:rsidRPr="00CF2CDB">
        <w:rPr>
          <w:rFonts w:cs="Arial"/>
          <w:szCs w:val="18"/>
        </w:rPr>
        <w:t xml:space="preserve"> </w:t>
      </w:r>
      <w:r w:rsidRPr="00CF2CDB">
        <w:rPr>
          <w:rFonts w:cs="Arial"/>
          <w:i/>
          <w:szCs w:val="18"/>
        </w:rPr>
        <w:t>Standard Bank of SA Ltd v EI-Naddaf</w:t>
      </w:r>
      <w:r w:rsidRPr="00CF2CDB">
        <w:rPr>
          <w:rFonts w:cs="Arial"/>
          <w:szCs w:val="18"/>
        </w:rPr>
        <w:t xml:space="preserve"> 1999 (4) SA 779 (W) at 784 D-F</w:t>
      </w:r>
      <w:r>
        <w:rPr>
          <w:rFonts w:cs="Arial"/>
          <w:szCs w:val="18"/>
        </w:rPr>
        <w:t xml:space="preserve">; </w:t>
      </w:r>
    </w:p>
  </w:footnote>
  <w:footnote w:id="6">
    <w:p w14:paraId="4C70C3ED" w14:textId="4A61958C" w:rsidR="00611DB7" w:rsidRPr="001E3848" w:rsidRDefault="00611DB7">
      <w:pPr>
        <w:pStyle w:val="FootnoteText"/>
        <w:rPr>
          <w:szCs w:val="18"/>
        </w:rPr>
      </w:pPr>
      <w:r w:rsidRPr="001E3848">
        <w:rPr>
          <w:rStyle w:val="FootnoteReference"/>
          <w:sz w:val="18"/>
          <w:szCs w:val="18"/>
        </w:rPr>
        <w:footnoteRef/>
      </w:r>
      <w:r w:rsidRPr="001E3848">
        <w:rPr>
          <w:szCs w:val="18"/>
        </w:rPr>
        <w:t xml:space="preserve"> </w:t>
      </w:r>
      <w:r w:rsidRPr="001E3848">
        <w:rPr>
          <w:rFonts w:cs="Arial"/>
          <w:i/>
          <w:iCs/>
          <w:szCs w:val="18"/>
          <w:lang w:val="en-US"/>
        </w:rPr>
        <w:t>Steinberg v Cosmopolitan National Bank of Chicago</w:t>
      </w:r>
      <w:r w:rsidRPr="001E3848">
        <w:rPr>
          <w:rFonts w:cs="Arial"/>
          <w:szCs w:val="18"/>
          <w:lang w:val="en-US"/>
        </w:rPr>
        <w:t xml:space="preserve"> </w:t>
      </w:r>
      <w:r w:rsidRPr="001E3848">
        <w:rPr>
          <w:color w:val="000000"/>
          <w:szCs w:val="18"/>
        </w:rPr>
        <w:t xml:space="preserve">1973 (3) SA 885 (RA); </w:t>
      </w:r>
    </w:p>
  </w:footnote>
  <w:footnote w:id="7">
    <w:p w14:paraId="2CCAB7B8" w14:textId="130C784B" w:rsidR="00611DB7" w:rsidRPr="001E3848" w:rsidRDefault="00611DB7">
      <w:pPr>
        <w:pStyle w:val="FootnoteText"/>
        <w:rPr>
          <w:szCs w:val="18"/>
        </w:rPr>
      </w:pPr>
      <w:r w:rsidRPr="001E3848">
        <w:rPr>
          <w:rStyle w:val="FootnoteReference"/>
          <w:sz w:val="18"/>
          <w:szCs w:val="18"/>
        </w:rPr>
        <w:footnoteRef/>
      </w:r>
      <w:r w:rsidRPr="001E3848">
        <w:rPr>
          <w:szCs w:val="18"/>
        </w:rPr>
        <w:t xml:space="preserve"> </w:t>
      </w:r>
      <w:r w:rsidRPr="001E3848">
        <w:rPr>
          <w:i/>
          <w:color w:val="000000"/>
          <w:szCs w:val="18"/>
        </w:rPr>
        <w:t>First Rand Bank v Gazu</w:t>
      </w:r>
      <w:r w:rsidRPr="001E3848">
        <w:rPr>
          <w:color w:val="000000"/>
          <w:szCs w:val="18"/>
        </w:rPr>
        <w:t xml:space="preserve"> 2011 (1) SA 45 (KZP); </w:t>
      </w:r>
    </w:p>
  </w:footnote>
  <w:footnote w:id="8">
    <w:p w14:paraId="175DE8AA" w14:textId="35C23154" w:rsidR="00611DB7" w:rsidRPr="001E3848" w:rsidRDefault="00611DB7">
      <w:pPr>
        <w:pStyle w:val="FootnoteText"/>
        <w:rPr>
          <w:szCs w:val="18"/>
        </w:rPr>
      </w:pPr>
      <w:r w:rsidRPr="001E3848">
        <w:rPr>
          <w:rStyle w:val="FootnoteReference"/>
          <w:sz w:val="18"/>
          <w:szCs w:val="18"/>
        </w:rPr>
        <w:footnoteRef/>
      </w:r>
      <w:r w:rsidRPr="001E3848">
        <w:rPr>
          <w:szCs w:val="18"/>
        </w:rPr>
        <w:t xml:space="preserve"> </w:t>
      </w:r>
      <w:r w:rsidRPr="001E3848">
        <w:rPr>
          <w:i/>
          <w:color w:val="000000"/>
          <w:szCs w:val="18"/>
        </w:rPr>
        <w:t>Sandton Square Finance (Pty) Ltd and others v Biagi, Bertola and Vasco and Another</w:t>
      </w:r>
      <w:r w:rsidRPr="001E3848">
        <w:rPr>
          <w:color w:val="000000"/>
          <w:szCs w:val="18"/>
        </w:rPr>
        <w:t xml:space="preserve"> 1997 (1) SA 258 (W); </w:t>
      </w:r>
    </w:p>
  </w:footnote>
  <w:footnote w:id="9">
    <w:p w14:paraId="06F3B93A" w14:textId="6C92934D" w:rsidR="00611DB7" w:rsidRPr="001E3848" w:rsidRDefault="00611DB7">
      <w:pPr>
        <w:pStyle w:val="FootnoteText"/>
        <w:rPr>
          <w:szCs w:val="18"/>
        </w:rPr>
      </w:pPr>
      <w:r w:rsidRPr="001E3848">
        <w:rPr>
          <w:rStyle w:val="FootnoteReference"/>
          <w:sz w:val="18"/>
          <w:szCs w:val="18"/>
        </w:rPr>
        <w:footnoteRef/>
      </w:r>
      <w:r w:rsidRPr="001E3848">
        <w:rPr>
          <w:szCs w:val="18"/>
        </w:rPr>
        <w:t xml:space="preserve"> </w:t>
      </w:r>
      <w:r w:rsidRPr="001E3848">
        <w:rPr>
          <w:rFonts w:cs="Arial"/>
          <w:i/>
          <w:iCs/>
          <w:color w:val="242121"/>
          <w:szCs w:val="18"/>
          <w:lang w:eastAsia="en-ZA"/>
        </w:rPr>
        <w:t>Harris v ABSA Bank Ltd Volkskas</w:t>
      </w:r>
      <w:r w:rsidRPr="001E3848">
        <w:rPr>
          <w:rFonts w:cs="Arial"/>
          <w:color w:val="242121"/>
          <w:szCs w:val="18"/>
          <w:lang w:eastAsia="en-ZA"/>
        </w:rPr>
        <w:t> </w:t>
      </w:r>
      <w:r w:rsidRPr="001E3848">
        <w:rPr>
          <w:color w:val="000000"/>
          <w:szCs w:val="18"/>
        </w:rPr>
        <w:t xml:space="preserve">2006 (4) SA 527 (T); </w:t>
      </w:r>
    </w:p>
  </w:footnote>
  <w:footnote w:id="10">
    <w:p w14:paraId="6FD75D9E" w14:textId="77777777" w:rsidR="00611DB7" w:rsidRPr="00A41F4C" w:rsidRDefault="00611DB7" w:rsidP="00E56F16">
      <w:pPr>
        <w:pStyle w:val="FootnoteText"/>
        <w:rPr>
          <w:rFonts w:cs="Arial"/>
          <w:i/>
          <w:szCs w:val="18"/>
        </w:rPr>
      </w:pPr>
      <w:r w:rsidRPr="00A41F4C">
        <w:rPr>
          <w:rStyle w:val="FootnoteReference"/>
          <w:rFonts w:cs="Arial"/>
          <w:i/>
          <w:sz w:val="18"/>
          <w:szCs w:val="18"/>
        </w:rPr>
        <w:footnoteRef/>
      </w:r>
      <w:bookmarkStart w:id="2" w:name="_Hlk136725380"/>
      <w:r w:rsidRPr="00A41F4C">
        <w:rPr>
          <w:rFonts w:cs="Arial"/>
          <w:i/>
          <w:szCs w:val="18"/>
        </w:rPr>
        <w:t xml:space="preserve"> Supra</w:t>
      </w:r>
      <w:bookmarkEnd w:id="2"/>
    </w:p>
  </w:footnote>
  <w:footnote w:id="11">
    <w:p w14:paraId="18CCC75B" w14:textId="3EF2CA54" w:rsidR="00611DB7" w:rsidRPr="00611DB7" w:rsidRDefault="00611DB7">
      <w:pPr>
        <w:pStyle w:val="FootnoteText"/>
        <w:rPr>
          <w:szCs w:val="18"/>
        </w:rPr>
      </w:pPr>
      <w:r w:rsidRPr="00611DB7">
        <w:rPr>
          <w:rStyle w:val="FootnoteReference"/>
          <w:sz w:val="18"/>
          <w:szCs w:val="18"/>
        </w:rPr>
        <w:footnoteRef/>
      </w:r>
      <w:r w:rsidRPr="00611DB7">
        <w:rPr>
          <w:szCs w:val="18"/>
        </w:rPr>
        <w:t xml:space="preserve"> </w:t>
      </w:r>
      <w:r w:rsidRPr="00611DB7">
        <w:rPr>
          <w:rFonts w:cs="Arial"/>
          <w:i/>
          <w:iCs/>
          <w:szCs w:val="18"/>
          <w:lang w:val="en-US"/>
        </w:rPr>
        <w:t xml:space="preserve">Man Financial Services SA (Pty) Ltd v Phaphoakane Transport and Another </w:t>
      </w:r>
      <w:r w:rsidRPr="00611DB7">
        <w:rPr>
          <w:color w:val="000000"/>
          <w:szCs w:val="18"/>
        </w:rPr>
        <w:t>2017(5) SA 526 (GJ) at para 9 and 10</w:t>
      </w:r>
      <w:r>
        <w:rPr>
          <w:color w:val="000000"/>
          <w:szCs w:val="18"/>
        </w:rPr>
        <w:t xml:space="preserve">; </w:t>
      </w:r>
    </w:p>
  </w:footnote>
  <w:footnote w:id="12">
    <w:p w14:paraId="3110A4B8" w14:textId="36AAB97A" w:rsidR="0017157D" w:rsidRPr="0017157D" w:rsidRDefault="0017157D">
      <w:pPr>
        <w:pStyle w:val="FootnoteText"/>
        <w:rPr>
          <w:szCs w:val="18"/>
        </w:rPr>
      </w:pPr>
      <w:r w:rsidRPr="0017157D">
        <w:rPr>
          <w:rStyle w:val="FootnoteReference"/>
          <w:sz w:val="18"/>
          <w:szCs w:val="18"/>
        </w:rPr>
        <w:footnoteRef/>
      </w:r>
      <w:r w:rsidRPr="0017157D">
        <w:rPr>
          <w:szCs w:val="18"/>
        </w:rPr>
        <w:t xml:space="preserve"> </w:t>
      </w:r>
      <w:r w:rsidRPr="0017157D">
        <w:rPr>
          <w:rFonts w:cs="Arial"/>
          <w:i/>
          <w:iCs/>
          <w:color w:val="242121"/>
          <w:szCs w:val="18"/>
          <w:shd w:val="clear" w:color="auto" w:fill="FFFFFF"/>
          <w:lang w:val="en-US"/>
        </w:rPr>
        <w:t>Road Accident Fund v Ngubani</w:t>
      </w:r>
      <w:r w:rsidRPr="0017157D">
        <w:rPr>
          <w:rFonts w:cs="Arial"/>
          <w:color w:val="242121"/>
          <w:szCs w:val="18"/>
          <w:shd w:val="clear" w:color="auto" w:fill="FFFFFF"/>
          <w:lang w:val="en-US"/>
        </w:rPr>
        <w:t xml:space="preserve"> </w:t>
      </w:r>
      <w:r w:rsidRPr="0017157D">
        <w:rPr>
          <w:color w:val="000000"/>
          <w:szCs w:val="18"/>
        </w:rPr>
        <w:t>2008 (1) SA 432 (SCA) at p43</w:t>
      </w:r>
      <w:r>
        <w:rPr>
          <w:color w:val="000000"/>
          <w:szCs w:val="18"/>
        </w:rPr>
        <w:t>;</w:t>
      </w:r>
    </w:p>
  </w:footnote>
  <w:footnote w:id="13">
    <w:p w14:paraId="14631B48" w14:textId="4964E9CF" w:rsidR="00B318B0" w:rsidRPr="00B318B0" w:rsidRDefault="00B318B0">
      <w:pPr>
        <w:pStyle w:val="FootnoteText"/>
        <w:rPr>
          <w:szCs w:val="18"/>
        </w:rPr>
      </w:pPr>
      <w:r w:rsidRPr="00B318B0">
        <w:rPr>
          <w:rStyle w:val="FootnoteReference"/>
          <w:sz w:val="18"/>
          <w:szCs w:val="18"/>
        </w:rPr>
        <w:footnoteRef/>
      </w:r>
      <w:r w:rsidRPr="00B318B0">
        <w:rPr>
          <w:szCs w:val="18"/>
        </w:rPr>
        <w:t xml:space="preserve"> </w:t>
      </w:r>
      <w:r w:rsidRPr="00B318B0">
        <w:rPr>
          <w:i/>
          <w:color w:val="000000"/>
          <w:szCs w:val="18"/>
        </w:rPr>
        <w:t>Van Deventer and Another v Nedbank Ltd</w:t>
      </w:r>
      <w:r w:rsidRPr="00B318B0">
        <w:rPr>
          <w:color w:val="000000"/>
          <w:szCs w:val="18"/>
        </w:rPr>
        <w:t xml:space="preserve"> 2016 (3) SA 622 (WCC);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8AEB2" w14:textId="77777777" w:rsidR="00611DB7" w:rsidRDefault="00611D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D2ADE5" w14:textId="77777777" w:rsidR="00611DB7" w:rsidRDefault="00611D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300283"/>
      <w:docPartObj>
        <w:docPartGallery w:val="Page Numbers (Top of Page)"/>
        <w:docPartUnique/>
      </w:docPartObj>
    </w:sdtPr>
    <w:sdtEndPr>
      <w:rPr>
        <w:noProof/>
      </w:rPr>
    </w:sdtEndPr>
    <w:sdtContent>
      <w:p w14:paraId="4612227B" w14:textId="242C0D62" w:rsidR="00611DB7" w:rsidRDefault="00611DB7">
        <w:pPr>
          <w:pStyle w:val="Header"/>
          <w:jc w:val="right"/>
        </w:pPr>
        <w:r>
          <w:fldChar w:fldCharType="begin"/>
        </w:r>
        <w:r>
          <w:instrText xml:space="preserve"> PAGE   \* MERGEFORMAT </w:instrText>
        </w:r>
        <w:r>
          <w:fldChar w:fldCharType="separate"/>
        </w:r>
        <w:r w:rsidR="00140031">
          <w:rPr>
            <w:noProof/>
          </w:rPr>
          <w:t>3</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40E0F" w14:textId="77777777" w:rsidR="00611DB7" w:rsidRDefault="00611DB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A75CE"/>
    <w:multiLevelType w:val="hybridMultilevel"/>
    <w:tmpl w:val="9596386A"/>
    <w:lvl w:ilvl="0" w:tplc="2D08DB60">
      <w:start w:val="1"/>
      <w:numFmt w:val="lowerLetter"/>
      <w:lvlText w:val="(%1)"/>
      <w:lvlJc w:val="left"/>
      <w:pPr>
        <w:ind w:left="1090" w:hanging="7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E9F7FDE"/>
    <w:multiLevelType w:val="hybridMultilevel"/>
    <w:tmpl w:val="10ECA656"/>
    <w:lvl w:ilvl="0" w:tplc="AEC2F894">
      <w:start w:val="1"/>
      <w:numFmt w:val="lowerLetter"/>
      <w:lvlText w:val="(%1)"/>
      <w:lvlJc w:val="left"/>
      <w:pPr>
        <w:ind w:left="720" w:hanging="360"/>
      </w:pPr>
      <w:rPr>
        <w:rFonts w:cs="Arial"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FEC6001"/>
    <w:multiLevelType w:val="hybridMultilevel"/>
    <w:tmpl w:val="B264368A"/>
    <w:lvl w:ilvl="0" w:tplc="3044F2C6">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08B1F7D"/>
    <w:multiLevelType w:val="hybridMultilevel"/>
    <w:tmpl w:val="0D84DD2C"/>
    <w:lvl w:ilvl="0" w:tplc="0714FF62">
      <w:start w:val="1"/>
      <w:numFmt w:val="lowerLetter"/>
      <w:lvlText w:val="(%1)"/>
      <w:lvlJc w:val="left"/>
      <w:pPr>
        <w:ind w:left="2050" w:hanging="360"/>
      </w:pPr>
    </w:lvl>
    <w:lvl w:ilvl="1" w:tplc="1C090019">
      <w:start w:val="1"/>
      <w:numFmt w:val="lowerLetter"/>
      <w:lvlText w:val="%2."/>
      <w:lvlJc w:val="left"/>
      <w:pPr>
        <w:ind w:left="2770" w:hanging="360"/>
      </w:pPr>
    </w:lvl>
    <w:lvl w:ilvl="2" w:tplc="1C09001B">
      <w:start w:val="1"/>
      <w:numFmt w:val="lowerRoman"/>
      <w:lvlText w:val="%3."/>
      <w:lvlJc w:val="right"/>
      <w:pPr>
        <w:ind w:left="3490" w:hanging="180"/>
      </w:pPr>
    </w:lvl>
    <w:lvl w:ilvl="3" w:tplc="1C09000F">
      <w:start w:val="1"/>
      <w:numFmt w:val="decimal"/>
      <w:lvlText w:val="%4."/>
      <w:lvlJc w:val="left"/>
      <w:pPr>
        <w:ind w:left="4210" w:hanging="360"/>
      </w:pPr>
    </w:lvl>
    <w:lvl w:ilvl="4" w:tplc="1C090019">
      <w:start w:val="1"/>
      <w:numFmt w:val="lowerLetter"/>
      <w:lvlText w:val="%5."/>
      <w:lvlJc w:val="left"/>
      <w:pPr>
        <w:ind w:left="4930" w:hanging="360"/>
      </w:pPr>
    </w:lvl>
    <w:lvl w:ilvl="5" w:tplc="1C09001B">
      <w:start w:val="1"/>
      <w:numFmt w:val="lowerRoman"/>
      <w:lvlText w:val="%6."/>
      <w:lvlJc w:val="right"/>
      <w:pPr>
        <w:ind w:left="5650" w:hanging="180"/>
      </w:pPr>
    </w:lvl>
    <w:lvl w:ilvl="6" w:tplc="1C09000F">
      <w:start w:val="1"/>
      <w:numFmt w:val="decimal"/>
      <w:lvlText w:val="%7."/>
      <w:lvlJc w:val="left"/>
      <w:pPr>
        <w:ind w:left="6370" w:hanging="360"/>
      </w:pPr>
    </w:lvl>
    <w:lvl w:ilvl="7" w:tplc="1C090019">
      <w:start w:val="1"/>
      <w:numFmt w:val="lowerLetter"/>
      <w:lvlText w:val="%8."/>
      <w:lvlJc w:val="left"/>
      <w:pPr>
        <w:ind w:left="7090" w:hanging="360"/>
      </w:pPr>
    </w:lvl>
    <w:lvl w:ilvl="8" w:tplc="1C09001B">
      <w:start w:val="1"/>
      <w:numFmt w:val="lowerRoman"/>
      <w:lvlText w:val="%9."/>
      <w:lvlJc w:val="right"/>
      <w:pPr>
        <w:ind w:left="7810" w:hanging="180"/>
      </w:pPr>
    </w:lvl>
  </w:abstractNum>
  <w:abstractNum w:abstractNumId="7">
    <w:nsid w:val="2BB03D6E"/>
    <w:multiLevelType w:val="hybridMultilevel"/>
    <w:tmpl w:val="DDF8F946"/>
    <w:lvl w:ilvl="0" w:tplc="10E68ED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4944A1D"/>
    <w:multiLevelType w:val="hybridMultilevel"/>
    <w:tmpl w:val="AEB04A62"/>
    <w:lvl w:ilvl="0" w:tplc="53488B98">
      <w:start w:val="1"/>
      <w:numFmt w:val="decimal"/>
      <w:lvlText w:val="(%1)"/>
      <w:lvlJc w:val="left"/>
      <w:pPr>
        <w:ind w:left="720" w:hanging="360"/>
      </w:pPr>
      <w:rPr>
        <w:rFonts w:cs="Arial"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6064CE6"/>
    <w:multiLevelType w:val="hybridMultilevel"/>
    <w:tmpl w:val="125EDF7A"/>
    <w:lvl w:ilvl="0" w:tplc="09B4C348">
      <w:start w:val="1"/>
      <w:numFmt w:val="decimal"/>
      <w:lvlText w:val="%1."/>
      <w:lvlJc w:val="left"/>
      <w:pPr>
        <w:ind w:left="630" w:hanging="360"/>
      </w:pPr>
    </w:lvl>
    <w:lvl w:ilvl="1" w:tplc="1C090019">
      <w:start w:val="1"/>
      <w:numFmt w:val="lowerLetter"/>
      <w:lvlText w:val="%2."/>
      <w:lvlJc w:val="left"/>
      <w:pPr>
        <w:ind w:left="1350" w:hanging="360"/>
      </w:pPr>
    </w:lvl>
    <w:lvl w:ilvl="2" w:tplc="1C09001B">
      <w:start w:val="1"/>
      <w:numFmt w:val="lowerRoman"/>
      <w:lvlText w:val="%3."/>
      <w:lvlJc w:val="right"/>
      <w:pPr>
        <w:ind w:left="2070" w:hanging="180"/>
      </w:pPr>
    </w:lvl>
    <w:lvl w:ilvl="3" w:tplc="1C09000F">
      <w:start w:val="1"/>
      <w:numFmt w:val="decimal"/>
      <w:lvlText w:val="%4."/>
      <w:lvlJc w:val="left"/>
      <w:pPr>
        <w:ind w:left="2790" w:hanging="360"/>
      </w:pPr>
    </w:lvl>
    <w:lvl w:ilvl="4" w:tplc="1C090019">
      <w:start w:val="1"/>
      <w:numFmt w:val="lowerLetter"/>
      <w:lvlText w:val="%5."/>
      <w:lvlJc w:val="left"/>
      <w:pPr>
        <w:ind w:left="3510" w:hanging="360"/>
      </w:pPr>
    </w:lvl>
    <w:lvl w:ilvl="5" w:tplc="1C09001B">
      <w:start w:val="1"/>
      <w:numFmt w:val="lowerRoman"/>
      <w:lvlText w:val="%6."/>
      <w:lvlJc w:val="right"/>
      <w:pPr>
        <w:ind w:left="4230" w:hanging="180"/>
      </w:pPr>
    </w:lvl>
    <w:lvl w:ilvl="6" w:tplc="1C09000F">
      <w:start w:val="1"/>
      <w:numFmt w:val="decimal"/>
      <w:lvlText w:val="%7."/>
      <w:lvlJc w:val="left"/>
      <w:pPr>
        <w:ind w:left="4950" w:hanging="360"/>
      </w:pPr>
    </w:lvl>
    <w:lvl w:ilvl="7" w:tplc="1C090019">
      <w:start w:val="1"/>
      <w:numFmt w:val="lowerLetter"/>
      <w:lvlText w:val="%8."/>
      <w:lvlJc w:val="left"/>
      <w:pPr>
        <w:ind w:left="5670" w:hanging="360"/>
      </w:pPr>
    </w:lvl>
    <w:lvl w:ilvl="8" w:tplc="1C09001B">
      <w:start w:val="1"/>
      <w:numFmt w:val="lowerRoman"/>
      <w:lvlText w:val="%9."/>
      <w:lvlJc w:val="right"/>
      <w:pPr>
        <w:ind w:left="6390" w:hanging="180"/>
      </w:pPr>
    </w:lvl>
  </w:abstractNum>
  <w:abstractNum w:abstractNumId="10">
    <w:nsid w:val="3ED94DD7"/>
    <w:multiLevelType w:val="hybridMultilevel"/>
    <w:tmpl w:val="EEE8EE6E"/>
    <w:lvl w:ilvl="0" w:tplc="01B4C88A">
      <w:start w:val="1"/>
      <w:numFmt w:val="decimal"/>
      <w:lvlText w:val="(%1)"/>
      <w:lvlJc w:val="left"/>
      <w:pPr>
        <w:ind w:left="1900" w:hanging="360"/>
      </w:pPr>
    </w:lvl>
    <w:lvl w:ilvl="1" w:tplc="1C090019">
      <w:start w:val="1"/>
      <w:numFmt w:val="lowerLetter"/>
      <w:lvlText w:val="%2."/>
      <w:lvlJc w:val="left"/>
      <w:pPr>
        <w:ind w:left="2620" w:hanging="360"/>
      </w:pPr>
    </w:lvl>
    <w:lvl w:ilvl="2" w:tplc="1C09001B">
      <w:start w:val="1"/>
      <w:numFmt w:val="lowerRoman"/>
      <w:lvlText w:val="%3."/>
      <w:lvlJc w:val="right"/>
      <w:pPr>
        <w:ind w:left="3340" w:hanging="180"/>
      </w:pPr>
    </w:lvl>
    <w:lvl w:ilvl="3" w:tplc="1C09000F">
      <w:start w:val="1"/>
      <w:numFmt w:val="decimal"/>
      <w:lvlText w:val="%4."/>
      <w:lvlJc w:val="left"/>
      <w:pPr>
        <w:ind w:left="4060" w:hanging="360"/>
      </w:pPr>
    </w:lvl>
    <w:lvl w:ilvl="4" w:tplc="1C090019">
      <w:start w:val="1"/>
      <w:numFmt w:val="lowerLetter"/>
      <w:lvlText w:val="%5."/>
      <w:lvlJc w:val="left"/>
      <w:pPr>
        <w:ind w:left="4780" w:hanging="360"/>
      </w:pPr>
    </w:lvl>
    <w:lvl w:ilvl="5" w:tplc="1C09001B">
      <w:start w:val="1"/>
      <w:numFmt w:val="lowerRoman"/>
      <w:lvlText w:val="%6."/>
      <w:lvlJc w:val="right"/>
      <w:pPr>
        <w:ind w:left="5500" w:hanging="180"/>
      </w:pPr>
    </w:lvl>
    <w:lvl w:ilvl="6" w:tplc="1C09000F">
      <w:start w:val="1"/>
      <w:numFmt w:val="decimal"/>
      <w:lvlText w:val="%7."/>
      <w:lvlJc w:val="left"/>
      <w:pPr>
        <w:ind w:left="6220" w:hanging="360"/>
      </w:pPr>
    </w:lvl>
    <w:lvl w:ilvl="7" w:tplc="1C090019">
      <w:start w:val="1"/>
      <w:numFmt w:val="lowerLetter"/>
      <w:lvlText w:val="%8."/>
      <w:lvlJc w:val="left"/>
      <w:pPr>
        <w:ind w:left="6940" w:hanging="360"/>
      </w:pPr>
    </w:lvl>
    <w:lvl w:ilvl="8" w:tplc="1C09001B">
      <w:start w:val="1"/>
      <w:numFmt w:val="lowerRoman"/>
      <w:lvlText w:val="%9."/>
      <w:lvlJc w:val="right"/>
      <w:pPr>
        <w:ind w:left="7660" w:hanging="180"/>
      </w:pPr>
    </w:lvl>
  </w:abstractNum>
  <w:abstractNum w:abstractNumId="11">
    <w:nsid w:val="401A6F9A"/>
    <w:multiLevelType w:val="hybridMultilevel"/>
    <w:tmpl w:val="C03C514C"/>
    <w:lvl w:ilvl="0" w:tplc="8E2C96B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51C0287"/>
    <w:multiLevelType w:val="multilevel"/>
    <w:tmpl w:val="98CEC410"/>
    <w:lvl w:ilvl="0">
      <w:start w:val="1"/>
      <w:numFmt w:val="decimal"/>
      <w:lvlText w:val="[%1]"/>
      <w:lvlJc w:val="left"/>
      <w:pPr>
        <w:tabs>
          <w:tab w:val="num" w:pos="567"/>
        </w:tabs>
        <w:ind w:left="567" w:hanging="567"/>
      </w:pPr>
      <w:rPr>
        <w:rFonts w:hint="default"/>
        <w:b w:val="0"/>
        <w:i w:val="0"/>
        <w:strike w:val="0"/>
        <w:color w:val="auto"/>
        <w:sz w:val="24"/>
        <w:szCs w:val="24"/>
        <w:u w:val="single" w:color="FFFFFF" w:themeColor="background1"/>
      </w:rPr>
    </w:lvl>
    <w:lvl w:ilvl="1">
      <w:start w:val="1"/>
      <w:numFmt w:val="decimal"/>
      <w:pStyle w:val="LegalHeading2"/>
      <w:lvlText w:val="%1.%2"/>
      <w:lvlJc w:val="left"/>
      <w:pPr>
        <w:tabs>
          <w:tab w:val="num" w:pos="2269"/>
        </w:tabs>
        <w:ind w:left="2269"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3">
    <w:nsid w:val="560D7F66"/>
    <w:multiLevelType w:val="hybridMultilevel"/>
    <w:tmpl w:val="7B109A50"/>
    <w:lvl w:ilvl="0" w:tplc="31C8273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9FE33ED"/>
    <w:multiLevelType w:val="hybridMultilevel"/>
    <w:tmpl w:val="2EE673DC"/>
    <w:lvl w:ilvl="0" w:tplc="004241E8">
      <w:start w:val="1"/>
      <w:numFmt w:val="decimal"/>
      <w:lvlText w:val="[%1]."/>
      <w:lvlJc w:val="left"/>
      <w:pPr>
        <w:ind w:left="720" w:hanging="360"/>
      </w:pPr>
      <w:rPr>
        <w:rFonts w:hint="default"/>
      </w:rPr>
    </w:lvl>
    <w:lvl w:ilvl="1" w:tplc="0BC013F6">
      <w:start w:val="1"/>
      <w:numFmt w:val="lowerLetter"/>
      <w:lvlText w:val="(%2)."/>
      <w:lvlJc w:val="left"/>
      <w:pPr>
        <w:ind w:left="1440" w:hanging="360"/>
      </w:pPr>
      <w:rPr>
        <w:rFonts w:hint="default"/>
      </w:rPr>
    </w:lvl>
    <w:lvl w:ilvl="2" w:tplc="A1FA804E">
      <w:start w:val="1"/>
      <w:numFmt w:val="lowerRoman"/>
      <w:lvlText w:val="(%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A1948A1"/>
    <w:multiLevelType w:val="hybridMultilevel"/>
    <w:tmpl w:val="3522E77C"/>
    <w:lvl w:ilvl="0" w:tplc="71DA48A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9B1714F"/>
    <w:multiLevelType w:val="hybridMultilevel"/>
    <w:tmpl w:val="0680B938"/>
    <w:lvl w:ilvl="0" w:tplc="BE265BE6">
      <w:start w:val="1"/>
      <w:numFmt w:val="lowerRoman"/>
      <w:lvlText w:val="(%1)"/>
      <w:lvlJc w:val="left"/>
      <w:pPr>
        <w:ind w:left="1080" w:hanging="720"/>
      </w:pPr>
      <w:rPr>
        <w:rFonts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B3C3B41"/>
    <w:multiLevelType w:val="hybridMultilevel"/>
    <w:tmpl w:val="4F280EA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0443999"/>
    <w:multiLevelType w:val="hybridMultilevel"/>
    <w:tmpl w:val="AEFA256A"/>
    <w:lvl w:ilvl="0" w:tplc="12361B8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70F4967"/>
    <w:multiLevelType w:val="hybridMultilevel"/>
    <w:tmpl w:val="7FC62F2A"/>
    <w:lvl w:ilvl="0" w:tplc="387C64E8">
      <w:start w:val="5"/>
      <w:numFmt w:val="decimal"/>
      <w:lvlText w:val="%1."/>
      <w:lvlJc w:val="left"/>
      <w:pPr>
        <w:ind w:left="690" w:hanging="360"/>
      </w:pPr>
      <w:rPr>
        <w:rFonts w:ascii="Arial" w:hAnsi="Arial" w:cs="Times New Roman" w:hint="default"/>
        <w:b w:val="0"/>
      </w:rPr>
    </w:lvl>
    <w:lvl w:ilvl="1" w:tplc="1C090019">
      <w:start w:val="1"/>
      <w:numFmt w:val="lowerLetter"/>
      <w:lvlText w:val="%2."/>
      <w:lvlJc w:val="left"/>
      <w:pPr>
        <w:ind w:left="1410" w:hanging="360"/>
      </w:pPr>
    </w:lvl>
    <w:lvl w:ilvl="2" w:tplc="1C09001B">
      <w:start w:val="1"/>
      <w:numFmt w:val="lowerRoman"/>
      <w:lvlText w:val="%3."/>
      <w:lvlJc w:val="right"/>
      <w:pPr>
        <w:ind w:left="2130" w:hanging="180"/>
      </w:pPr>
    </w:lvl>
    <w:lvl w:ilvl="3" w:tplc="1C09000F">
      <w:start w:val="1"/>
      <w:numFmt w:val="decimal"/>
      <w:lvlText w:val="%4."/>
      <w:lvlJc w:val="left"/>
      <w:pPr>
        <w:ind w:left="2850" w:hanging="360"/>
      </w:pPr>
    </w:lvl>
    <w:lvl w:ilvl="4" w:tplc="1C090019">
      <w:start w:val="1"/>
      <w:numFmt w:val="lowerLetter"/>
      <w:lvlText w:val="%5."/>
      <w:lvlJc w:val="left"/>
      <w:pPr>
        <w:ind w:left="3570" w:hanging="360"/>
      </w:pPr>
    </w:lvl>
    <w:lvl w:ilvl="5" w:tplc="1C09001B">
      <w:start w:val="1"/>
      <w:numFmt w:val="lowerRoman"/>
      <w:lvlText w:val="%6."/>
      <w:lvlJc w:val="right"/>
      <w:pPr>
        <w:ind w:left="4290" w:hanging="180"/>
      </w:pPr>
    </w:lvl>
    <w:lvl w:ilvl="6" w:tplc="1C09000F">
      <w:start w:val="1"/>
      <w:numFmt w:val="decimal"/>
      <w:lvlText w:val="%7."/>
      <w:lvlJc w:val="left"/>
      <w:pPr>
        <w:ind w:left="5010" w:hanging="360"/>
      </w:pPr>
    </w:lvl>
    <w:lvl w:ilvl="7" w:tplc="1C090019">
      <w:start w:val="1"/>
      <w:numFmt w:val="lowerLetter"/>
      <w:lvlText w:val="%8."/>
      <w:lvlJc w:val="left"/>
      <w:pPr>
        <w:ind w:left="5730" w:hanging="360"/>
      </w:pPr>
    </w:lvl>
    <w:lvl w:ilvl="8" w:tplc="1C09001B">
      <w:start w:val="1"/>
      <w:numFmt w:val="lowerRoman"/>
      <w:lvlText w:val="%9."/>
      <w:lvlJc w:val="right"/>
      <w:pPr>
        <w:ind w:left="6450" w:hanging="180"/>
      </w:pPr>
    </w:lvl>
  </w:abstractNum>
  <w:abstractNum w:abstractNumId="21">
    <w:nsid w:val="784947AC"/>
    <w:multiLevelType w:val="hybridMultilevel"/>
    <w:tmpl w:val="5C9673CC"/>
    <w:lvl w:ilvl="0" w:tplc="A9F81D4C">
      <w:start w:val="1"/>
      <w:numFmt w:val="lowerLetter"/>
      <w:lvlText w:val="(%1)"/>
      <w:lvlJc w:val="left"/>
      <w:pPr>
        <w:ind w:left="720" w:hanging="360"/>
      </w:pPr>
      <w:rPr>
        <w:rFonts w:cs="Arial"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9AB5A52"/>
    <w:multiLevelType w:val="multilevel"/>
    <w:tmpl w:val="FFFFFFFF"/>
    <w:lvl w:ilvl="0">
      <w:start w:val="1"/>
      <w:numFmt w:val="decimal"/>
      <w:pStyle w:val="centreagreement"/>
      <w:suff w:val="nothing"/>
      <w:lvlText w:val="%1"/>
      <w:lvlJc w:val="left"/>
      <w:pPr>
        <w:ind w:left="0" w:firstLine="4253"/>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701"/>
        </w:tabs>
        <w:ind w:left="1701" w:hanging="1701"/>
      </w:pPr>
      <w:rPr>
        <w:rFonts w:cs="Times New Roman"/>
      </w:rPr>
    </w:lvl>
    <w:lvl w:ilvl="3">
      <w:start w:val="1"/>
      <w:numFmt w:val="decimal"/>
      <w:lvlText w:val="%1.%2.%3.%4"/>
      <w:lvlJc w:val="left"/>
      <w:pPr>
        <w:tabs>
          <w:tab w:val="num" w:pos="2268"/>
        </w:tabs>
        <w:ind w:left="2268" w:hanging="2268"/>
      </w:pPr>
      <w:rPr>
        <w:rFonts w:cs="Times New Roman"/>
      </w:rPr>
    </w:lvl>
    <w:lvl w:ilvl="4">
      <w:start w:val="1"/>
      <w:numFmt w:val="decimal"/>
      <w:lvlText w:val="%1.%2.%3.%4.%5"/>
      <w:lvlJc w:val="left"/>
      <w:pPr>
        <w:tabs>
          <w:tab w:val="num" w:pos="2835"/>
        </w:tabs>
        <w:ind w:left="2835" w:hanging="2835"/>
      </w:pPr>
      <w:rPr>
        <w:rFonts w:cs="Times New Roman"/>
      </w:rPr>
    </w:lvl>
    <w:lvl w:ilvl="5">
      <w:start w:val="1"/>
      <w:numFmt w:val="decimal"/>
      <w:lvlText w:val="%1.%2.%3.%4.%5.%6"/>
      <w:lvlJc w:val="left"/>
      <w:pPr>
        <w:tabs>
          <w:tab w:val="num" w:pos="3402"/>
        </w:tabs>
        <w:ind w:left="3402" w:hanging="3402"/>
      </w:pPr>
      <w:rPr>
        <w:rFonts w:cs="Times New Roman"/>
      </w:rPr>
    </w:lvl>
    <w:lvl w:ilvl="6">
      <w:start w:val="1"/>
      <w:numFmt w:val="decimal"/>
      <w:lvlText w:val="%1.%2.%3.%4.%5.%6.%7"/>
      <w:lvlJc w:val="left"/>
      <w:pPr>
        <w:tabs>
          <w:tab w:val="num" w:pos="3969"/>
        </w:tabs>
        <w:ind w:left="3969" w:hanging="3969"/>
      </w:pPr>
      <w:rPr>
        <w:rFonts w:cs="Times New Roman"/>
      </w:rPr>
    </w:lvl>
    <w:lvl w:ilvl="7">
      <w:start w:val="1"/>
      <w:numFmt w:val="decimal"/>
      <w:lvlText w:val="%1.%2.%3.%4.%5.%6.%7.%8"/>
      <w:lvlJc w:val="left"/>
      <w:pPr>
        <w:tabs>
          <w:tab w:val="num" w:pos="4536"/>
        </w:tabs>
        <w:ind w:left="4536" w:hanging="4536"/>
      </w:pPr>
      <w:rPr>
        <w:rFonts w:cs="Times New Roman"/>
      </w:rPr>
    </w:lvl>
    <w:lvl w:ilvl="8">
      <w:start w:val="1"/>
      <w:numFmt w:val="decimal"/>
      <w:lvlText w:val="%1.%2.%3.%4.%5.%6.%7.%8.%9"/>
      <w:lvlJc w:val="left"/>
      <w:pPr>
        <w:tabs>
          <w:tab w:val="num" w:pos="5103"/>
        </w:tabs>
        <w:ind w:left="5103" w:hanging="5103"/>
      </w:pPr>
      <w:rPr>
        <w:rFonts w:cs="Times New Roman"/>
      </w:rPr>
    </w:lvl>
  </w:abstractNum>
  <w:abstractNum w:abstractNumId="23">
    <w:nsid w:val="7E1A771B"/>
    <w:multiLevelType w:val="hybridMultilevel"/>
    <w:tmpl w:val="463006D4"/>
    <w:lvl w:ilvl="0" w:tplc="0226A88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6"/>
  </w:num>
  <w:num w:numId="3">
    <w:abstractNumId w:val="2"/>
    <w:lvlOverride w:ilvl="0">
      <w:startOverride w:val="1"/>
    </w:lvlOverride>
  </w:num>
  <w:num w:numId="4">
    <w:abstractNumId w:val="1"/>
  </w:num>
  <w:num w:numId="5">
    <w:abstractNumId w:val="12"/>
  </w:num>
  <w:num w:numId="6">
    <w:abstractNumId w:val="13"/>
  </w:num>
  <w:num w:numId="7">
    <w:abstractNumId w:val="23"/>
  </w:num>
  <w:num w:numId="8">
    <w:abstractNumId w:val="0"/>
  </w:num>
  <w:num w:numId="9">
    <w:abstractNumId w:val="19"/>
  </w:num>
  <w:num w:numId="10">
    <w:abstractNumId w:val="5"/>
  </w:num>
  <w:num w:numId="11">
    <w:abstractNumId w:val="15"/>
  </w:num>
  <w:num w:numId="12">
    <w:abstractNumId w:val="11"/>
  </w:num>
  <w:num w:numId="13">
    <w:abstractNumId w:val="18"/>
  </w:num>
  <w:num w:numId="14">
    <w:abstractNumId w:val="14"/>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7"/>
  </w:num>
  <w:num w:numId="22">
    <w:abstractNumId w:val="17"/>
  </w:num>
  <w:num w:numId="23">
    <w:abstractNumId w:val="8"/>
  </w:num>
  <w:num w:numId="2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05ED"/>
    <w:rsid w:val="00001A89"/>
    <w:rsid w:val="00002455"/>
    <w:rsid w:val="000024F0"/>
    <w:rsid w:val="00003BAE"/>
    <w:rsid w:val="00004F5A"/>
    <w:rsid w:val="00005D83"/>
    <w:rsid w:val="0000675A"/>
    <w:rsid w:val="00006C41"/>
    <w:rsid w:val="0000770E"/>
    <w:rsid w:val="00007A2E"/>
    <w:rsid w:val="00007F86"/>
    <w:rsid w:val="00010637"/>
    <w:rsid w:val="0001379D"/>
    <w:rsid w:val="00013A48"/>
    <w:rsid w:val="0001683C"/>
    <w:rsid w:val="00016ACF"/>
    <w:rsid w:val="000171A3"/>
    <w:rsid w:val="00020326"/>
    <w:rsid w:val="00020E36"/>
    <w:rsid w:val="000217A4"/>
    <w:rsid w:val="00022C07"/>
    <w:rsid w:val="00022CE5"/>
    <w:rsid w:val="0002492C"/>
    <w:rsid w:val="000262AA"/>
    <w:rsid w:val="0002728A"/>
    <w:rsid w:val="000275FC"/>
    <w:rsid w:val="0002792E"/>
    <w:rsid w:val="00027F68"/>
    <w:rsid w:val="00027F86"/>
    <w:rsid w:val="000301C4"/>
    <w:rsid w:val="000314D4"/>
    <w:rsid w:val="000315D8"/>
    <w:rsid w:val="000319B4"/>
    <w:rsid w:val="000319BB"/>
    <w:rsid w:val="0003241F"/>
    <w:rsid w:val="00034508"/>
    <w:rsid w:val="0003454F"/>
    <w:rsid w:val="00034EFC"/>
    <w:rsid w:val="00036698"/>
    <w:rsid w:val="00036BB0"/>
    <w:rsid w:val="00036CD5"/>
    <w:rsid w:val="00036D55"/>
    <w:rsid w:val="00037036"/>
    <w:rsid w:val="00037CD0"/>
    <w:rsid w:val="00037F15"/>
    <w:rsid w:val="00040B1D"/>
    <w:rsid w:val="00040F61"/>
    <w:rsid w:val="0004105F"/>
    <w:rsid w:val="00041D6B"/>
    <w:rsid w:val="0004218C"/>
    <w:rsid w:val="00043C05"/>
    <w:rsid w:val="00043C8C"/>
    <w:rsid w:val="000445C8"/>
    <w:rsid w:val="0004474A"/>
    <w:rsid w:val="0004491D"/>
    <w:rsid w:val="000450CE"/>
    <w:rsid w:val="0004588C"/>
    <w:rsid w:val="00046070"/>
    <w:rsid w:val="000462E1"/>
    <w:rsid w:val="00046699"/>
    <w:rsid w:val="000469B4"/>
    <w:rsid w:val="00050FB2"/>
    <w:rsid w:val="00051D9D"/>
    <w:rsid w:val="00051E65"/>
    <w:rsid w:val="00052792"/>
    <w:rsid w:val="00052DA4"/>
    <w:rsid w:val="00053601"/>
    <w:rsid w:val="00054823"/>
    <w:rsid w:val="00055012"/>
    <w:rsid w:val="00055E03"/>
    <w:rsid w:val="000564BD"/>
    <w:rsid w:val="00056998"/>
    <w:rsid w:val="000600F8"/>
    <w:rsid w:val="000603DC"/>
    <w:rsid w:val="00060E74"/>
    <w:rsid w:val="00066C27"/>
    <w:rsid w:val="000702FA"/>
    <w:rsid w:val="000708A0"/>
    <w:rsid w:val="00070D07"/>
    <w:rsid w:val="00071315"/>
    <w:rsid w:val="00071EDF"/>
    <w:rsid w:val="0007272F"/>
    <w:rsid w:val="00073CC1"/>
    <w:rsid w:val="00073CFE"/>
    <w:rsid w:val="00075A0A"/>
    <w:rsid w:val="00076C12"/>
    <w:rsid w:val="00076EE7"/>
    <w:rsid w:val="0007774E"/>
    <w:rsid w:val="00080618"/>
    <w:rsid w:val="000814F0"/>
    <w:rsid w:val="00081D5F"/>
    <w:rsid w:val="0008206F"/>
    <w:rsid w:val="00084043"/>
    <w:rsid w:val="000844E8"/>
    <w:rsid w:val="000861BF"/>
    <w:rsid w:val="00086BE3"/>
    <w:rsid w:val="00090189"/>
    <w:rsid w:val="0009051B"/>
    <w:rsid w:val="000905B3"/>
    <w:rsid w:val="00090E9C"/>
    <w:rsid w:val="00090F50"/>
    <w:rsid w:val="00091D8C"/>
    <w:rsid w:val="00092D03"/>
    <w:rsid w:val="00093F31"/>
    <w:rsid w:val="0009464C"/>
    <w:rsid w:val="00095356"/>
    <w:rsid w:val="0009626A"/>
    <w:rsid w:val="0009689B"/>
    <w:rsid w:val="00096997"/>
    <w:rsid w:val="0009781C"/>
    <w:rsid w:val="00097EE7"/>
    <w:rsid w:val="000A0353"/>
    <w:rsid w:val="000A12C9"/>
    <w:rsid w:val="000A4AE1"/>
    <w:rsid w:val="000A56BA"/>
    <w:rsid w:val="000A64D0"/>
    <w:rsid w:val="000A688E"/>
    <w:rsid w:val="000A6A3D"/>
    <w:rsid w:val="000A779C"/>
    <w:rsid w:val="000A7A28"/>
    <w:rsid w:val="000B1D71"/>
    <w:rsid w:val="000B2B7F"/>
    <w:rsid w:val="000B38D0"/>
    <w:rsid w:val="000B4222"/>
    <w:rsid w:val="000B53AD"/>
    <w:rsid w:val="000B5E85"/>
    <w:rsid w:val="000B64EF"/>
    <w:rsid w:val="000B6C12"/>
    <w:rsid w:val="000B7D1E"/>
    <w:rsid w:val="000C018C"/>
    <w:rsid w:val="000C03D3"/>
    <w:rsid w:val="000C0D64"/>
    <w:rsid w:val="000C1EFC"/>
    <w:rsid w:val="000C2989"/>
    <w:rsid w:val="000C2D84"/>
    <w:rsid w:val="000C3AF7"/>
    <w:rsid w:val="000C5C39"/>
    <w:rsid w:val="000C6C30"/>
    <w:rsid w:val="000C75C8"/>
    <w:rsid w:val="000D0AF6"/>
    <w:rsid w:val="000D2A1D"/>
    <w:rsid w:val="000D3121"/>
    <w:rsid w:val="000D4571"/>
    <w:rsid w:val="000D4ED5"/>
    <w:rsid w:val="000D5219"/>
    <w:rsid w:val="000D5CD8"/>
    <w:rsid w:val="000D5E2F"/>
    <w:rsid w:val="000D6A4C"/>
    <w:rsid w:val="000D6C0E"/>
    <w:rsid w:val="000D7C8C"/>
    <w:rsid w:val="000E0159"/>
    <w:rsid w:val="000E01DD"/>
    <w:rsid w:val="000E11A8"/>
    <w:rsid w:val="000E1836"/>
    <w:rsid w:val="000E2107"/>
    <w:rsid w:val="000E34F7"/>
    <w:rsid w:val="000E398A"/>
    <w:rsid w:val="000E3A95"/>
    <w:rsid w:val="000E3AAB"/>
    <w:rsid w:val="000E536D"/>
    <w:rsid w:val="000E5424"/>
    <w:rsid w:val="000E7536"/>
    <w:rsid w:val="000E777B"/>
    <w:rsid w:val="000E7BDD"/>
    <w:rsid w:val="000F095B"/>
    <w:rsid w:val="000F0DCE"/>
    <w:rsid w:val="000F1A69"/>
    <w:rsid w:val="000F3421"/>
    <w:rsid w:val="000F3B88"/>
    <w:rsid w:val="000F3E77"/>
    <w:rsid w:val="000F546B"/>
    <w:rsid w:val="000F580C"/>
    <w:rsid w:val="000F5FA5"/>
    <w:rsid w:val="000F6192"/>
    <w:rsid w:val="000F6BF8"/>
    <w:rsid w:val="000F70C7"/>
    <w:rsid w:val="00100AEB"/>
    <w:rsid w:val="0010163F"/>
    <w:rsid w:val="00105056"/>
    <w:rsid w:val="00105D82"/>
    <w:rsid w:val="001068F2"/>
    <w:rsid w:val="00106C97"/>
    <w:rsid w:val="00107110"/>
    <w:rsid w:val="00112284"/>
    <w:rsid w:val="00112BE9"/>
    <w:rsid w:val="00113951"/>
    <w:rsid w:val="00113E53"/>
    <w:rsid w:val="0011424F"/>
    <w:rsid w:val="00114D0F"/>
    <w:rsid w:val="00114F15"/>
    <w:rsid w:val="00116135"/>
    <w:rsid w:val="00116661"/>
    <w:rsid w:val="00116675"/>
    <w:rsid w:val="00116AAE"/>
    <w:rsid w:val="00116EF2"/>
    <w:rsid w:val="00117191"/>
    <w:rsid w:val="001171EE"/>
    <w:rsid w:val="001177E5"/>
    <w:rsid w:val="001218BA"/>
    <w:rsid w:val="0012206B"/>
    <w:rsid w:val="0012276A"/>
    <w:rsid w:val="001239B5"/>
    <w:rsid w:val="00123FBA"/>
    <w:rsid w:val="00124452"/>
    <w:rsid w:val="00124B7A"/>
    <w:rsid w:val="00126001"/>
    <w:rsid w:val="00126288"/>
    <w:rsid w:val="00126B66"/>
    <w:rsid w:val="00126F44"/>
    <w:rsid w:val="00127394"/>
    <w:rsid w:val="00127B2C"/>
    <w:rsid w:val="00130737"/>
    <w:rsid w:val="001309B4"/>
    <w:rsid w:val="00131CC6"/>
    <w:rsid w:val="001325AC"/>
    <w:rsid w:val="00132E8D"/>
    <w:rsid w:val="0013390C"/>
    <w:rsid w:val="00134332"/>
    <w:rsid w:val="00134952"/>
    <w:rsid w:val="001358D0"/>
    <w:rsid w:val="0013636C"/>
    <w:rsid w:val="00136E94"/>
    <w:rsid w:val="00137FF9"/>
    <w:rsid w:val="00140031"/>
    <w:rsid w:val="00140558"/>
    <w:rsid w:val="0014119D"/>
    <w:rsid w:val="0014132C"/>
    <w:rsid w:val="00141478"/>
    <w:rsid w:val="00141657"/>
    <w:rsid w:val="001416FB"/>
    <w:rsid w:val="001428B6"/>
    <w:rsid w:val="001429C4"/>
    <w:rsid w:val="00143175"/>
    <w:rsid w:val="00143EBB"/>
    <w:rsid w:val="001443EA"/>
    <w:rsid w:val="00145C2D"/>
    <w:rsid w:val="00145DD9"/>
    <w:rsid w:val="00146288"/>
    <w:rsid w:val="00146B2A"/>
    <w:rsid w:val="0015032C"/>
    <w:rsid w:val="001504E7"/>
    <w:rsid w:val="00151A7E"/>
    <w:rsid w:val="0015237E"/>
    <w:rsid w:val="00152616"/>
    <w:rsid w:val="00152C26"/>
    <w:rsid w:val="00152D6A"/>
    <w:rsid w:val="00153684"/>
    <w:rsid w:val="0015369D"/>
    <w:rsid w:val="00154F14"/>
    <w:rsid w:val="00155381"/>
    <w:rsid w:val="001554B4"/>
    <w:rsid w:val="00155B87"/>
    <w:rsid w:val="00155F46"/>
    <w:rsid w:val="00156546"/>
    <w:rsid w:val="001579D0"/>
    <w:rsid w:val="00157D59"/>
    <w:rsid w:val="0016029A"/>
    <w:rsid w:val="00160706"/>
    <w:rsid w:val="00160AC8"/>
    <w:rsid w:val="00160DA1"/>
    <w:rsid w:val="00160E8B"/>
    <w:rsid w:val="001618DF"/>
    <w:rsid w:val="00161C04"/>
    <w:rsid w:val="00161EB4"/>
    <w:rsid w:val="00161FC2"/>
    <w:rsid w:val="001628F3"/>
    <w:rsid w:val="00162E7D"/>
    <w:rsid w:val="00163C01"/>
    <w:rsid w:val="00164997"/>
    <w:rsid w:val="00164FDF"/>
    <w:rsid w:val="00165035"/>
    <w:rsid w:val="00165357"/>
    <w:rsid w:val="0016589D"/>
    <w:rsid w:val="00165D11"/>
    <w:rsid w:val="0016658A"/>
    <w:rsid w:val="001669C3"/>
    <w:rsid w:val="00166C2B"/>
    <w:rsid w:val="00167E11"/>
    <w:rsid w:val="00171416"/>
    <w:rsid w:val="0017157D"/>
    <w:rsid w:val="00172D07"/>
    <w:rsid w:val="00172FAC"/>
    <w:rsid w:val="001730A8"/>
    <w:rsid w:val="00173B7F"/>
    <w:rsid w:val="00173FD2"/>
    <w:rsid w:val="00175544"/>
    <w:rsid w:val="00176115"/>
    <w:rsid w:val="00177071"/>
    <w:rsid w:val="001773CD"/>
    <w:rsid w:val="001773DD"/>
    <w:rsid w:val="00177C74"/>
    <w:rsid w:val="0018024F"/>
    <w:rsid w:val="00180970"/>
    <w:rsid w:val="00180A33"/>
    <w:rsid w:val="001814B3"/>
    <w:rsid w:val="00182A17"/>
    <w:rsid w:val="00183384"/>
    <w:rsid w:val="00183726"/>
    <w:rsid w:val="00185055"/>
    <w:rsid w:val="001855CE"/>
    <w:rsid w:val="0019003C"/>
    <w:rsid w:val="0019053A"/>
    <w:rsid w:val="001913C3"/>
    <w:rsid w:val="00191957"/>
    <w:rsid w:val="00192037"/>
    <w:rsid w:val="00192546"/>
    <w:rsid w:val="001927D7"/>
    <w:rsid w:val="001928BF"/>
    <w:rsid w:val="001933D1"/>
    <w:rsid w:val="0019383F"/>
    <w:rsid w:val="00193869"/>
    <w:rsid w:val="00193988"/>
    <w:rsid w:val="00196291"/>
    <w:rsid w:val="0019694E"/>
    <w:rsid w:val="00196C48"/>
    <w:rsid w:val="001970BD"/>
    <w:rsid w:val="00197B48"/>
    <w:rsid w:val="001A0219"/>
    <w:rsid w:val="001A0D29"/>
    <w:rsid w:val="001A1893"/>
    <w:rsid w:val="001A2240"/>
    <w:rsid w:val="001A29C9"/>
    <w:rsid w:val="001A3CF2"/>
    <w:rsid w:val="001A4F07"/>
    <w:rsid w:val="001A5D9E"/>
    <w:rsid w:val="001A6A2E"/>
    <w:rsid w:val="001A6DB9"/>
    <w:rsid w:val="001A7168"/>
    <w:rsid w:val="001B0076"/>
    <w:rsid w:val="001B016E"/>
    <w:rsid w:val="001B030C"/>
    <w:rsid w:val="001B04D1"/>
    <w:rsid w:val="001B0615"/>
    <w:rsid w:val="001B257A"/>
    <w:rsid w:val="001B2D32"/>
    <w:rsid w:val="001B447F"/>
    <w:rsid w:val="001B47C1"/>
    <w:rsid w:val="001B4D89"/>
    <w:rsid w:val="001B762A"/>
    <w:rsid w:val="001B76E0"/>
    <w:rsid w:val="001C0074"/>
    <w:rsid w:val="001C0331"/>
    <w:rsid w:val="001C086A"/>
    <w:rsid w:val="001C0A0D"/>
    <w:rsid w:val="001C0EF4"/>
    <w:rsid w:val="001C1B17"/>
    <w:rsid w:val="001C2344"/>
    <w:rsid w:val="001C29CE"/>
    <w:rsid w:val="001C3329"/>
    <w:rsid w:val="001C34AD"/>
    <w:rsid w:val="001C4A43"/>
    <w:rsid w:val="001C4DAD"/>
    <w:rsid w:val="001C5067"/>
    <w:rsid w:val="001C5257"/>
    <w:rsid w:val="001C5F8C"/>
    <w:rsid w:val="001C6E8C"/>
    <w:rsid w:val="001C7045"/>
    <w:rsid w:val="001D14F8"/>
    <w:rsid w:val="001D3495"/>
    <w:rsid w:val="001D3F24"/>
    <w:rsid w:val="001D3F89"/>
    <w:rsid w:val="001D44C7"/>
    <w:rsid w:val="001D49D6"/>
    <w:rsid w:val="001D5D9C"/>
    <w:rsid w:val="001D6ACD"/>
    <w:rsid w:val="001D6AE1"/>
    <w:rsid w:val="001D6DA8"/>
    <w:rsid w:val="001D79C6"/>
    <w:rsid w:val="001E04C6"/>
    <w:rsid w:val="001E15CA"/>
    <w:rsid w:val="001E1E02"/>
    <w:rsid w:val="001E32CB"/>
    <w:rsid w:val="001E3848"/>
    <w:rsid w:val="001E3948"/>
    <w:rsid w:val="001E3ED0"/>
    <w:rsid w:val="001E4304"/>
    <w:rsid w:val="001E43BE"/>
    <w:rsid w:val="001E534D"/>
    <w:rsid w:val="001E5D90"/>
    <w:rsid w:val="001E6837"/>
    <w:rsid w:val="001F109D"/>
    <w:rsid w:val="001F1E80"/>
    <w:rsid w:val="001F2460"/>
    <w:rsid w:val="001F3695"/>
    <w:rsid w:val="001F3975"/>
    <w:rsid w:val="001F4049"/>
    <w:rsid w:val="001F4C69"/>
    <w:rsid w:val="001F57B4"/>
    <w:rsid w:val="001F581D"/>
    <w:rsid w:val="001F654D"/>
    <w:rsid w:val="001F6D44"/>
    <w:rsid w:val="001F78C4"/>
    <w:rsid w:val="00200BB5"/>
    <w:rsid w:val="00200F5C"/>
    <w:rsid w:val="002011F8"/>
    <w:rsid w:val="002015D4"/>
    <w:rsid w:val="002022C2"/>
    <w:rsid w:val="002027EC"/>
    <w:rsid w:val="00202AB1"/>
    <w:rsid w:val="00203FC0"/>
    <w:rsid w:val="00205865"/>
    <w:rsid w:val="00205E09"/>
    <w:rsid w:val="00206022"/>
    <w:rsid w:val="00206218"/>
    <w:rsid w:val="0020664E"/>
    <w:rsid w:val="0021007F"/>
    <w:rsid w:val="002100E1"/>
    <w:rsid w:val="00210E02"/>
    <w:rsid w:val="00211645"/>
    <w:rsid w:val="00211B96"/>
    <w:rsid w:val="0021225B"/>
    <w:rsid w:val="00212FA8"/>
    <w:rsid w:val="00213B9F"/>
    <w:rsid w:val="00214522"/>
    <w:rsid w:val="00214E3A"/>
    <w:rsid w:val="0021531D"/>
    <w:rsid w:val="00215DB3"/>
    <w:rsid w:val="00216346"/>
    <w:rsid w:val="002172C8"/>
    <w:rsid w:val="00217BDD"/>
    <w:rsid w:val="00220B1A"/>
    <w:rsid w:val="00220F12"/>
    <w:rsid w:val="0022110D"/>
    <w:rsid w:val="002212EB"/>
    <w:rsid w:val="002227A1"/>
    <w:rsid w:val="002229D4"/>
    <w:rsid w:val="00222B14"/>
    <w:rsid w:val="00222D4A"/>
    <w:rsid w:val="0022346B"/>
    <w:rsid w:val="00224B09"/>
    <w:rsid w:val="00224EDB"/>
    <w:rsid w:val="002251A2"/>
    <w:rsid w:val="00227F9F"/>
    <w:rsid w:val="00230307"/>
    <w:rsid w:val="00230DF6"/>
    <w:rsid w:val="00231436"/>
    <w:rsid w:val="00232075"/>
    <w:rsid w:val="002320B2"/>
    <w:rsid w:val="002327C9"/>
    <w:rsid w:val="00232D4F"/>
    <w:rsid w:val="002331E9"/>
    <w:rsid w:val="00233A6E"/>
    <w:rsid w:val="00234FC7"/>
    <w:rsid w:val="00235EBC"/>
    <w:rsid w:val="002379B1"/>
    <w:rsid w:val="0024000A"/>
    <w:rsid w:val="00240BDD"/>
    <w:rsid w:val="00240E46"/>
    <w:rsid w:val="00241E10"/>
    <w:rsid w:val="00243E66"/>
    <w:rsid w:val="0024474C"/>
    <w:rsid w:val="00245430"/>
    <w:rsid w:val="00245999"/>
    <w:rsid w:val="00247E96"/>
    <w:rsid w:val="00250EF2"/>
    <w:rsid w:val="0025141A"/>
    <w:rsid w:val="002515D4"/>
    <w:rsid w:val="0025160C"/>
    <w:rsid w:val="00252153"/>
    <w:rsid w:val="00253C44"/>
    <w:rsid w:val="00253CA9"/>
    <w:rsid w:val="0025547B"/>
    <w:rsid w:val="00256B5F"/>
    <w:rsid w:val="00257B4D"/>
    <w:rsid w:val="00257D52"/>
    <w:rsid w:val="00257DCC"/>
    <w:rsid w:val="00260B86"/>
    <w:rsid w:val="00260F93"/>
    <w:rsid w:val="0026120B"/>
    <w:rsid w:val="0026158F"/>
    <w:rsid w:val="002616F0"/>
    <w:rsid w:val="002616F6"/>
    <w:rsid w:val="0026210F"/>
    <w:rsid w:val="0026226E"/>
    <w:rsid w:val="00262C50"/>
    <w:rsid w:val="0026313D"/>
    <w:rsid w:val="0026330F"/>
    <w:rsid w:val="00264161"/>
    <w:rsid w:val="0026464D"/>
    <w:rsid w:val="00264E4B"/>
    <w:rsid w:val="00265504"/>
    <w:rsid w:val="00265F45"/>
    <w:rsid w:val="002671D8"/>
    <w:rsid w:val="00267564"/>
    <w:rsid w:val="00267EC5"/>
    <w:rsid w:val="00271071"/>
    <w:rsid w:val="00272260"/>
    <w:rsid w:val="0027346B"/>
    <w:rsid w:val="00275860"/>
    <w:rsid w:val="00275F90"/>
    <w:rsid w:val="00280B63"/>
    <w:rsid w:val="002819F8"/>
    <w:rsid w:val="00282C16"/>
    <w:rsid w:val="00284751"/>
    <w:rsid w:val="002855D6"/>
    <w:rsid w:val="002855DF"/>
    <w:rsid w:val="00286241"/>
    <w:rsid w:val="002866FE"/>
    <w:rsid w:val="00286F5F"/>
    <w:rsid w:val="002870F1"/>
    <w:rsid w:val="002911F6"/>
    <w:rsid w:val="00291414"/>
    <w:rsid w:val="00291440"/>
    <w:rsid w:val="002920DC"/>
    <w:rsid w:val="002924E6"/>
    <w:rsid w:val="00293134"/>
    <w:rsid w:val="002932CB"/>
    <w:rsid w:val="00296BB2"/>
    <w:rsid w:val="00297970"/>
    <w:rsid w:val="002A13C6"/>
    <w:rsid w:val="002A235D"/>
    <w:rsid w:val="002A2443"/>
    <w:rsid w:val="002A2A37"/>
    <w:rsid w:val="002A2A44"/>
    <w:rsid w:val="002A30BD"/>
    <w:rsid w:val="002A312D"/>
    <w:rsid w:val="002A47E3"/>
    <w:rsid w:val="002A4952"/>
    <w:rsid w:val="002A4B8E"/>
    <w:rsid w:val="002A52E4"/>
    <w:rsid w:val="002A7B19"/>
    <w:rsid w:val="002A7E9F"/>
    <w:rsid w:val="002B08E6"/>
    <w:rsid w:val="002B09E2"/>
    <w:rsid w:val="002B0F1B"/>
    <w:rsid w:val="002B16B0"/>
    <w:rsid w:val="002B1ABA"/>
    <w:rsid w:val="002B1DC8"/>
    <w:rsid w:val="002B211A"/>
    <w:rsid w:val="002B2A59"/>
    <w:rsid w:val="002B30F1"/>
    <w:rsid w:val="002B40DA"/>
    <w:rsid w:val="002B4740"/>
    <w:rsid w:val="002B4F7A"/>
    <w:rsid w:val="002B561E"/>
    <w:rsid w:val="002B6B65"/>
    <w:rsid w:val="002B74C5"/>
    <w:rsid w:val="002C08C3"/>
    <w:rsid w:val="002C0FDD"/>
    <w:rsid w:val="002C13EF"/>
    <w:rsid w:val="002C15A4"/>
    <w:rsid w:val="002C2298"/>
    <w:rsid w:val="002C29D7"/>
    <w:rsid w:val="002C4087"/>
    <w:rsid w:val="002C4B45"/>
    <w:rsid w:val="002C59F2"/>
    <w:rsid w:val="002C5A0D"/>
    <w:rsid w:val="002C5E33"/>
    <w:rsid w:val="002C672A"/>
    <w:rsid w:val="002C686B"/>
    <w:rsid w:val="002C6BC7"/>
    <w:rsid w:val="002C73DB"/>
    <w:rsid w:val="002C7929"/>
    <w:rsid w:val="002C7E04"/>
    <w:rsid w:val="002D2125"/>
    <w:rsid w:val="002D2216"/>
    <w:rsid w:val="002D26C7"/>
    <w:rsid w:val="002D2AF2"/>
    <w:rsid w:val="002D2AF4"/>
    <w:rsid w:val="002D3048"/>
    <w:rsid w:val="002D3E08"/>
    <w:rsid w:val="002D53C3"/>
    <w:rsid w:val="002D59A6"/>
    <w:rsid w:val="002D5D72"/>
    <w:rsid w:val="002D693C"/>
    <w:rsid w:val="002D69BC"/>
    <w:rsid w:val="002D7081"/>
    <w:rsid w:val="002D7D86"/>
    <w:rsid w:val="002E0905"/>
    <w:rsid w:val="002E14D4"/>
    <w:rsid w:val="002E1CED"/>
    <w:rsid w:val="002E1D7A"/>
    <w:rsid w:val="002E2C11"/>
    <w:rsid w:val="002E3469"/>
    <w:rsid w:val="002E47C9"/>
    <w:rsid w:val="002E49A9"/>
    <w:rsid w:val="002E5934"/>
    <w:rsid w:val="002E5CDA"/>
    <w:rsid w:val="002E654A"/>
    <w:rsid w:val="002E65A0"/>
    <w:rsid w:val="002E7DFE"/>
    <w:rsid w:val="002F0055"/>
    <w:rsid w:val="002F0279"/>
    <w:rsid w:val="002F15F5"/>
    <w:rsid w:val="002F2DC2"/>
    <w:rsid w:val="002F355B"/>
    <w:rsid w:val="002F3B8D"/>
    <w:rsid w:val="002F3CFD"/>
    <w:rsid w:val="002F3EA5"/>
    <w:rsid w:val="002F4D1F"/>
    <w:rsid w:val="002F572F"/>
    <w:rsid w:val="002F5AE7"/>
    <w:rsid w:val="002F6423"/>
    <w:rsid w:val="002F6A0D"/>
    <w:rsid w:val="002F6AEF"/>
    <w:rsid w:val="00300053"/>
    <w:rsid w:val="0030029A"/>
    <w:rsid w:val="0030047F"/>
    <w:rsid w:val="00300A80"/>
    <w:rsid w:val="00300EBA"/>
    <w:rsid w:val="00301CBD"/>
    <w:rsid w:val="00301CC2"/>
    <w:rsid w:val="0030348A"/>
    <w:rsid w:val="00304DBB"/>
    <w:rsid w:val="00305093"/>
    <w:rsid w:val="003058A6"/>
    <w:rsid w:val="003058FB"/>
    <w:rsid w:val="00306560"/>
    <w:rsid w:val="00306B39"/>
    <w:rsid w:val="0030724D"/>
    <w:rsid w:val="003075B5"/>
    <w:rsid w:val="00307F74"/>
    <w:rsid w:val="00310F8B"/>
    <w:rsid w:val="00311156"/>
    <w:rsid w:val="00311321"/>
    <w:rsid w:val="00312373"/>
    <w:rsid w:val="00312F40"/>
    <w:rsid w:val="00313A0A"/>
    <w:rsid w:val="00313AA9"/>
    <w:rsid w:val="0031518B"/>
    <w:rsid w:val="00315F1D"/>
    <w:rsid w:val="00316678"/>
    <w:rsid w:val="00316C2D"/>
    <w:rsid w:val="00317219"/>
    <w:rsid w:val="00320124"/>
    <w:rsid w:val="00320BF9"/>
    <w:rsid w:val="003220A4"/>
    <w:rsid w:val="0032287C"/>
    <w:rsid w:val="003233F9"/>
    <w:rsid w:val="00324E14"/>
    <w:rsid w:val="003307F7"/>
    <w:rsid w:val="0033191D"/>
    <w:rsid w:val="003321FE"/>
    <w:rsid w:val="003322B1"/>
    <w:rsid w:val="00332C64"/>
    <w:rsid w:val="003331E4"/>
    <w:rsid w:val="00333485"/>
    <w:rsid w:val="00334479"/>
    <w:rsid w:val="00335C28"/>
    <w:rsid w:val="0033620F"/>
    <w:rsid w:val="003409FA"/>
    <w:rsid w:val="00341D13"/>
    <w:rsid w:val="00341FA6"/>
    <w:rsid w:val="003423D1"/>
    <w:rsid w:val="00343A76"/>
    <w:rsid w:val="003458CA"/>
    <w:rsid w:val="00345ADF"/>
    <w:rsid w:val="003460A3"/>
    <w:rsid w:val="00346D30"/>
    <w:rsid w:val="00347B0C"/>
    <w:rsid w:val="00347FD0"/>
    <w:rsid w:val="00350BC6"/>
    <w:rsid w:val="00350DC2"/>
    <w:rsid w:val="00350E29"/>
    <w:rsid w:val="0035131E"/>
    <w:rsid w:val="003516E1"/>
    <w:rsid w:val="00353027"/>
    <w:rsid w:val="00353CE9"/>
    <w:rsid w:val="00353FBF"/>
    <w:rsid w:val="00355620"/>
    <w:rsid w:val="0035614B"/>
    <w:rsid w:val="003564AA"/>
    <w:rsid w:val="00356747"/>
    <w:rsid w:val="00356A32"/>
    <w:rsid w:val="00356E1C"/>
    <w:rsid w:val="003575D7"/>
    <w:rsid w:val="00357D35"/>
    <w:rsid w:val="00360372"/>
    <w:rsid w:val="00361759"/>
    <w:rsid w:val="00361DFA"/>
    <w:rsid w:val="00363701"/>
    <w:rsid w:val="003638D4"/>
    <w:rsid w:val="00363A0F"/>
    <w:rsid w:val="00363A97"/>
    <w:rsid w:val="00363DE1"/>
    <w:rsid w:val="00364EEF"/>
    <w:rsid w:val="00364F91"/>
    <w:rsid w:val="00364FE9"/>
    <w:rsid w:val="00365AB1"/>
    <w:rsid w:val="00365D46"/>
    <w:rsid w:val="0036670F"/>
    <w:rsid w:val="003668D2"/>
    <w:rsid w:val="0036750F"/>
    <w:rsid w:val="003675DA"/>
    <w:rsid w:val="0037102D"/>
    <w:rsid w:val="00371C46"/>
    <w:rsid w:val="0037249E"/>
    <w:rsid w:val="00372865"/>
    <w:rsid w:val="00373F4F"/>
    <w:rsid w:val="003740F7"/>
    <w:rsid w:val="00374176"/>
    <w:rsid w:val="003748F7"/>
    <w:rsid w:val="003750F5"/>
    <w:rsid w:val="003759CD"/>
    <w:rsid w:val="00375DCC"/>
    <w:rsid w:val="0037722F"/>
    <w:rsid w:val="0037738F"/>
    <w:rsid w:val="00380B0C"/>
    <w:rsid w:val="003819AF"/>
    <w:rsid w:val="00381B82"/>
    <w:rsid w:val="00381D9E"/>
    <w:rsid w:val="00382B81"/>
    <w:rsid w:val="003831C1"/>
    <w:rsid w:val="003833AA"/>
    <w:rsid w:val="0038384D"/>
    <w:rsid w:val="00384A2E"/>
    <w:rsid w:val="00385145"/>
    <w:rsid w:val="00385F8D"/>
    <w:rsid w:val="00386B21"/>
    <w:rsid w:val="00386E27"/>
    <w:rsid w:val="00387CC1"/>
    <w:rsid w:val="003919A1"/>
    <w:rsid w:val="00391C9E"/>
    <w:rsid w:val="003921B4"/>
    <w:rsid w:val="0039230F"/>
    <w:rsid w:val="00392AC0"/>
    <w:rsid w:val="00392F03"/>
    <w:rsid w:val="003931C7"/>
    <w:rsid w:val="00393874"/>
    <w:rsid w:val="00395A5F"/>
    <w:rsid w:val="00395BFD"/>
    <w:rsid w:val="00395D66"/>
    <w:rsid w:val="0039603A"/>
    <w:rsid w:val="00396231"/>
    <w:rsid w:val="003969C2"/>
    <w:rsid w:val="00397ED4"/>
    <w:rsid w:val="003A0D1E"/>
    <w:rsid w:val="003A0FB9"/>
    <w:rsid w:val="003A0FED"/>
    <w:rsid w:val="003A1B93"/>
    <w:rsid w:val="003A1FE4"/>
    <w:rsid w:val="003A202C"/>
    <w:rsid w:val="003A2810"/>
    <w:rsid w:val="003A3A1A"/>
    <w:rsid w:val="003A4D14"/>
    <w:rsid w:val="003A5774"/>
    <w:rsid w:val="003A6CDA"/>
    <w:rsid w:val="003A73DA"/>
    <w:rsid w:val="003B0322"/>
    <w:rsid w:val="003B04CC"/>
    <w:rsid w:val="003B1FE9"/>
    <w:rsid w:val="003B22DD"/>
    <w:rsid w:val="003B29E1"/>
    <w:rsid w:val="003B2D8F"/>
    <w:rsid w:val="003B52DA"/>
    <w:rsid w:val="003B58C3"/>
    <w:rsid w:val="003B6AE7"/>
    <w:rsid w:val="003C2BFE"/>
    <w:rsid w:val="003C30DF"/>
    <w:rsid w:val="003C3CA6"/>
    <w:rsid w:val="003C51CE"/>
    <w:rsid w:val="003C5886"/>
    <w:rsid w:val="003C5FEE"/>
    <w:rsid w:val="003C6C58"/>
    <w:rsid w:val="003C6F44"/>
    <w:rsid w:val="003C7448"/>
    <w:rsid w:val="003D03FD"/>
    <w:rsid w:val="003D1632"/>
    <w:rsid w:val="003D1F45"/>
    <w:rsid w:val="003D285C"/>
    <w:rsid w:val="003D3E2A"/>
    <w:rsid w:val="003D4482"/>
    <w:rsid w:val="003D4FEF"/>
    <w:rsid w:val="003D5A5C"/>
    <w:rsid w:val="003D5E3B"/>
    <w:rsid w:val="003E257F"/>
    <w:rsid w:val="003E2A28"/>
    <w:rsid w:val="003E33C3"/>
    <w:rsid w:val="003E33C4"/>
    <w:rsid w:val="003E3A13"/>
    <w:rsid w:val="003E3A2B"/>
    <w:rsid w:val="003E438B"/>
    <w:rsid w:val="003E4B76"/>
    <w:rsid w:val="003E624C"/>
    <w:rsid w:val="003E7222"/>
    <w:rsid w:val="003E7590"/>
    <w:rsid w:val="003E7988"/>
    <w:rsid w:val="003F0384"/>
    <w:rsid w:val="003F16DA"/>
    <w:rsid w:val="003F22DC"/>
    <w:rsid w:val="003F23BD"/>
    <w:rsid w:val="003F2A54"/>
    <w:rsid w:val="003F2FF2"/>
    <w:rsid w:val="003F35F4"/>
    <w:rsid w:val="003F45C3"/>
    <w:rsid w:val="003F4719"/>
    <w:rsid w:val="003F4FDE"/>
    <w:rsid w:val="003F57FE"/>
    <w:rsid w:val="003F5D3C"/>
    <w:rsid w:val="003F637D"/>
    <w:rsid w:val="003F6478"/>
    <w:rsid w:val="003F687C"/>
    <w:rsid w:val="003F710F"/>
    <w:rsid w:val="003F73E7"/>
    <w:rsid w:val="003F7774"/>
    <w:rsid w:val="0040022B"/>
    <w:rsid w:val="0040128B"/>
    <w:rsid w:val="004012AE"/>
    <w:rsid w:val="00401C96"/>
    <w:rsid w:val="004028E9"/>
    <w:rsid w:val="00402D96"/>
    <w:rsid w:val="00403BD5"/>
    <w:rsid w:val="00405FF1"/>
    <w:rsid w:val="00406625"/>
    <w:rsid w:val="00407D88"/>
    <w:rsid w:val="004104E0"/>
    <w:rsid w:val="004108D0"/>
    <w:rsid w:val="00410A52"/>
    <w:rsid w:val="00410C05"/>
    <w:rsid w:val="004112E8"/>
    <w:rsid w:val="00412548"/>
    <w:rsid w:val="00412EB6"/>
    <w:rsid w:val="00412EF8"/>
    <w:rsid w:val="00413331"/>
    <w:rsid w:val="004137A4"/>
    <w:rsid w:val="00413B62"/>
    <w:rsid w:val="0041403F"/>
    <w:rsid w:val="00414CFD"/>
    <w:rsid w:val="004166C4"/>
    <w:rsid w:val="0042102F"/>
    <w:rsid w:val="00421AC5"/>
    <w:rsid w:val="00422DE9"/>
    <w:rsid w:val="00422E2C"/>
    <w:rsid w:val="00422FA4"/>
    <w:rsid w:val="00423ECC"/>
    <w:rsid w:val="00424049"/>
    <w:rsid w:val="0042406C"/>
    <w:rsid w:val="00424EE4"/>
    <w:rsid w:val="004254DE"/>
    <w:rsid w:val="00425E58"/>
    <w:rsid w:val="00426135"/>
    <w:rsid w:val="00426702"/>
    <w:rsid w:val="004271FA"/>
    <w:rsid w:val="00427D7F"/>
    <w:rsid w:val="0043101D"/>
    <w:rsid w:val="0043109C"/>
    <w:rsid w:val="0043118E"/>
    <w:rsid w:val="0043159D"/>
    <w:rsid w:val="004315FB"/>
    <w:rsid w:val="00431BEA"/>
    <w:rsid w:val="00431BFE"/>
    <w:rsid w:val="00431E96"/>
    <w:rsid w:val="004320D7"/>
    <w:rsid w:val="004328BE"/>
    <w:rsid w:val="0043304E"/>
    <w:rsid w:val="0043381C"/>
    <w:rsid w:val="00434B38"/>
    <w:rsid w:val="00435406"/>
    <w:rsid w:val="00435990"/>
    <w:rsid w:val="00435C25"/>
    <w:rsid w:val="004368FD"/>
    <w:rsid w:val="00437E87"/>
    <w:rsid w:val="00440C77"/>
    <w:rsid w:val="0044143F"/>
    <w:rsid w:val="00443282"/>
    <w:rsid w:val="0044368B"/>
    <w:rsid w:val="00443B18"/>
    <w:rsid w:val="0044478D"/>
    <w:rsid w:val="004457B3"/>
    <w:rsid w:val="004459C6"/>
    <w:rsid w:val="004460B7"/>
    <w:rsid w:val="00446479"/>
    <w:rsid w:val="004465DC"/>
    <w:rsid w:val="0044670A"/>
    <w:rsid w:val="00447076"/>
    <w:rsid w:val="004511C1"/>
    <w:rsid w:val="004515E6"/>
    <w:rsid w:val="00451ACF"/>
    <w:rsid w:val="00451F69"/>
    <w:rsid w:val="00452228"/>
    <w:rsid w:val="00453830"/>
    <w:rsid w:val="00454E7A"/>
    <w:rsid w:val="004556C2"/>
    <w:rsid w:val="00455AFD"/>
    <w:rsid w:val="00455C10"/>
    <w:rsid w:val="00456058"/>
    <w:rsid w:val="00456135"/>
    <w:rsid w:val="00456543"/>
    <w:rsid w:val="00456D9C"/>
    <w:rsid w:val="00460609"/>
    <w:rsid w:val="00460C6C"/>
    <w:rsid w:val="00460D4D"/>
    <w:rsid w:val="004616E0"/>
    <w:rsid w:val="004623D6"/>
    <w:rsid w:val="00464253"/>
    <w:rsid w:val="00464E13"/>
    <w:rsid w:val="00465D90"/>
    <w:rsid w:val="00466594"/>
    <w:rsid w:val="00466C76"/>
    <w:rsid w:val="00466FDF"/>
    <w:rsid w:val="004676FF"/>
    <w:rsid w:val="0047037F"/>
    <w:rsid w:val="00470F99"/>
    <w:rsid w:val="0047183C"/>
    <w:rsid w:val="00472215"/>
    <w:rsid w:val="004725E6"/>
    <w:rsid w:val="004737A6"/>
    <w:rsid w:val="0047436C"/>
    <w:rsid w:val="00474852"/>
    <w:rsid w:val="004754F7"/>
    <w:rsid w:val="00475D2C"/>
    <w:rsid w:val="00476815"/>
    <w:rsid w:val="00477000"/>
    <w:rsid w:val="0047728D"/>
    <w:rsid w:val="0048045C"/>
    <w:rsid w:val="00480709"/>
    <w:rsid w:val="00480C54"/>
    <w:rsid w:val="00481537"/>
    <w:rsid w:val="00481C8F"/>
    <w:rsid w:val="00481FDD"/>
    <w:rsid w:val="004827FF"/>
    <w:rsid w:val="004836A8"/>
    <w:rsid w:val="00486326"/>
    <w:rsid w:val="004866CA"/>
    <w:rsid w:val="00487186"/>
    <w:rsid w:val="00487D66"/>
    <w:rsid w:val="00493890"/>
    <w:rsid w:val="00496C79"/>
    <w:rsid w:val="00496CB7"/>
    <w:rsid w:val="004A0717"/>
    <w:rsid w:val="004A1F96"/>
    <w:rsid w:val="004A2A57"/>
    <w:rsid w:val="004A69D3"/>
    <w:rsid w:val="004A6BFC"/>
    <w:rsid w:val="004A6C63"/>
    <w:rsid w:val="004A6D6E"/>
    <w:rsid w:val="004A72AE"/>
    <w:rsid w:val="004B0B7F"/>
    <w:rsid w:val="004B1029"/>
    <w:rsid w:val="004B1512"/>
    <w:rsid w:val="004B20DB"/>
    <w:rsid w:val="004B218A"/>
    <w:rsid w:val="004B3CCF"/>
    <w:rsid w:val="004B3CD2"/>
    <w:rsid w:val="004B4386"/>
    <w:rsid w:val="004B4812"/>
    <w:rsid w:val="004B495A"/>
    <w:rsid w:val="004B4BCA"/>
    <w:rsid w:val="004B567D"/>
    <w:rsid w:val="004B6483"/>
    <w:rsid w:val="004B73BE"/>
    <w:rsid w:val="004C0503"/>
    <w:rsid w:val="004C140F"/>
    <w:rsid w:val="004C1F3F"/>
    <w:rsid w:val="004C3286"/>
    <w:rsid w:val="004D0041"/>
    <w:rsid w:val="004D070F"/>
    <w:rsid w:val="004D092B"/>
    <w:rsid w:val="004D25E1"/>
    <w:rsid w:val="004D29FB"/>
    <w:rsid w:val="004D2A40"/>
    <w:rsid w:val="004D2C91"/>
    <w:rsid w:val="004D43C2"/>
    <w:rsid w:val="004D4678"/>
    <w:rsid w:val="004D4C7D"/>
    <w:rsid w:val="004D4CB5"/>
    <w:rsid w:val="004D4E20"/>
    <w:rsid w:val="004D5D47"/>
    <w:rsid w:val="004D6A4F"/>
    <w:rsid w:val="004D7D69"/>
    <w:rsid w:val="004E1221"/>
    <w:rsid w:val="004E1EEB"/>
    <w:rsid w:val="004E2632"/>
    <w:rsid w:val="004E284E"/>
    <w:rsid w:val="004E337D"/>
    <w:rsid w:val="004E37E0"/>
    <w:rsid w:val="004E41D3"/>
    <w:rsid w:val="004E4F3C"/>
    <w:rsid w:val="004E510C"/>
    <w:rsid w:val="004E5356"/>
    <w:rsid w:val="004E7355"/>
    <w:rsid w:val="004E7EFD"/>
    <w:rsid w:val="004E7F80"/>
    <w:rsid w:val="004F017E"/>
    <w:rsid w:val="004F1173"/>
    <w:rsid w:val="004F2B4D"/>
    <w:rsid w:val="004F2E24"/>
    <w:rsid w:val="004F34F5"/>
    <w:rsid w:val="004F396E"/>
    <w:rsid w:val="004F3BD2"/>
    <w:rsid w:val="004F58CF"/>
    <w:rsid w:val="004F5E96"/>
    <w:rsid w:val="004F67F1"/>
    <w:rsid w:val="004F7E41"/>
    <w:rsid w:val="00500864"/>
    <w:rsid w:val="00500D81"/>
    <w:rsid w:val="00500E1E"/>
    <w:rsid w:val="00501AFF"/>
    <w:rsid w:val="00501E0C"/>
    <w:rsid w:val="00502033"/>
    <w:rsid w:val="00503A07"/>
    <w:rsid w:val="00503CE9"/>
    <w:rsid w:val="0050408F"/>
    <w:rsid w:val="0050667F"/>
    <w:rsid w:val="00506D74"/>
    <w:rsid w:val="00507377"/>
    <w:rsid w:val="005111FC"/>
    <w:rsid w:val="005118A6"/>
    <w:rsid w:val="00511A0B"/>
    <w:rsid w:val="00511D03"/>
    <w:rsid w:val="00511F38"/>
    <w:rsid w:val="005123AB"/>
    <w:rsid w:val="0051265E"/>
    <w:rsid w:val="00512916"/>
    <w:rsid w:val="005139A8"/>
    <w:rsid w:val="00513C65"/>
    <w:rsid w:val="00514A25"/>
    <w:rsid w:val="00514B23"/>
    <w:rsid w:val="00515851"/>
    <w:rsid w:val="00516335"/>
    <w:rsid w:val="005166E4"/>
    <w:rsid w:val="005173BB"/>
    <w:rsid w:val="00517DC2"/>
    <w:rsid w:val="00520591"/>
    <w:rsid w:val="005212DB"/>
    <w:rsid w:val="00521CCF"/>
    <w:rsid w:val="00521EE2"/>
    <w:rsid w:val="00522466"/>
    <w:rsid w:val="00523F39"/>
    <w:rsid w:val="00524317"/>
    <w:rsid w:val="00524FE4"/>
    <w:rsid w:val="005265C1"/>
    <w:rsid w:val="0052729C"/>
    <w:rsid w:val="0052767A"/>
    <w:rsid w:val="00530033"/>
    <w:rsid w:val="005301E4"/>
    <w:rsid w:val="0053049C"/>
    <w:rsid w:val="005306DB"/>
    <w:rsid w:val="005322AF"/>
    <w:rsid w:val="005330A7"/>
    <w:rsid w:val="00533C08"/>
    <w:rsid w:val="005344EB"/>
    <w:rsid w:val="00535335"/>
    <w:rsid w:val="005353D0"/>
    <w:rsid w:val="00535930"/>
    <w:rsid w:val="00536155"/>
    <w:rsid w:val="00536A1D"/>
    <w:rsid w:val="0054074D"/>
    <w:rsid w:val="00540982"/>
    <w:rsid w:val="00540D08"/>
    <w:rsid w:val="005425A5"/>
    <w:rsid w:val="00542869"/>
    <w:rsid w:val="00542EDC"/>
    <w:rsid w:val="00543339"/>
    <w:rsid w:val="00543568"/>
    <w:rsid w:val="0054426A"/>
    <w:rsid w:val="005446B2"/>
    <w:rsid w:val="005449DE"/>
    <w:rsid w:val="00544BC7"/>
    <w:rsid w:val="00545309"/>
    <w:rsid w:val="0054562C"/>
    <w:rsid w:val="00545A66"/>
    <w:rsid w:val="00545CA8"/>
    <w:rsid w:val="005460F0"/>
    <w:rsid w:val="0054657F"/>
    <w:rsid w:val="00546620"/>
    <w:rsid w:val="00547B0A"/>
    <w:rsid w:val="005509A5"/>
    <w:rsid w:val="00552371"/>
    <w:rsid w:val="005527AB"/>
    <w:rsid w:val="0055292A"/>
    <w:rsid w:val="005529AF"/>
    <w:rsid w:val="00552AD6"/>
    <w:rsid w:val="00552BC5"/>
    <w:rsid w:val="0055313C"/>
    <w:rsid w:val="005546F9"/>
    <w:rsid w:val="00554806"/>
    <w:rsid w:val="0055482B"/>
    <w:rsid w:val="00555166"/>
    <w:rsid w:val="005556B7"/>
    <w:rsid w:val="00555EEB"/>
    <w:rsid w:val="00562776"/>
    <w:rsid w:val="00562B50"/>
    <w:rsid w:val="005637EA"/>
    <w:rsid w:val="005639D2"/>
    <w:rsid w:val="00563A97"/>
    <w:rsid w:val="005642BB"/>
    <w:rsid w:val="00565746"/>
    <w:rsid w:val="0056589D"/>
    <w:rsid w:val="00565A95"/>
    <w:rsid w:val="005665D4"/>
    <w:rsid w:val="005675F3"/>
    <w:rsid w:val="00567D89"/>
    <w:rsid w:val="005712CF"/>
    <w:rsid w:val="005717F2"/>
    <w:rsid w:val="00571D14"/>
    <w:rsid w:val="00572554"/>
    <w:rsid w:val="005728CC"/>
    <w:rsid w:val="00573679"/>
    <w:rsid w:val="00573ADC"/>
    <w:rsid w:val="00573C19"/>
    <w:rsid w:val="00573CD2"/>
    <w:rsid w:val="00575835"/>
    <w:rsid w:val="0057661C"/>
    <w:rsid w:val="00576AA4"/>
    <w:rsid w:val="00577B0B"/>
    <w:rsid w:val="005800B3"/>
    <w:rsid w:val="00580A5E"/>
    <w:rsid w:val="00581E0E"/>
    <w:rsid w:val="00581FBE"/>
    <w:rsid w:val="00582486"/>
    <w:rsid w:val="0058255D"/>
    <w:rsid w:val="0058260D"/>
    <w:rsid w:val="005829F8"/>
    <w:rsid w:val="00583006"/>
    <w:rsid w:val="00583255"/>
    <w:rsid w:val="00583EF7"/>
    <w:rsid w:val="00585BE0"/>
    <w:rsid w:val="00586028"/>
    <w:rsid w:val="00586FD7"/>
    <w:rsid w:val="00587D42"/>
    <w:rsid w:val="00590032"/>
    <w:rsid w:val="005910A3"/>
    <w:rsid w:val="00591596"/>
    <w:rsid w:val="00591A75"/>
    <w:rsid w:val="0059298A"/>
    <w:rsid w:val="00592D1C"/>
    <w:rsid w:val="00593A1F"/>
    <w:rsid w:val="00594408"/>
    <w:rsid w:val="00595201"/>
    <w:rsid w:val="005955F0"/>
    <w:rsid w:val="005958D4"/>
    <w:rsid w:val="00595D7F"/>
    <w:rsid w:val="00595DE2"/>
    <w:rsid w:val="0059679A"/>
    <w:rsid w:val="00596A09"/>
    <w:rsid w:val="00596B0F"/>
    <w:rsid w:val="00596E5B"/>
    <w:rsid w:val="005A0A54"/>
    <w:rsid w:val="005A216A"/>
    <w:rsid w:val="005A297F"/>
    <w:rsid w:val="005A2BE1"/>
    <w:rsid w:val="005A3D86"/>
    <w:rsid w:val="005A43A6"/>
    <w:rsid w:val="005A5A2C"/>
    <w:rsid w:val="005A5F14"/>
    <w:rsid w:val="005A5F64"/>
    <w:rsid w:val="005A625C"/>
    <w:rsid w:val="005A6E66"/>
    <w:rsid w:val="005A7E95"/>
    <w:rsid w:val="005A7F00"/>
    <w:rsid w:val="005B009F"/>
    <w:rsid w:val="005B088E"/>
    <w:rsid w:val="005B0A20"/>
    <w:rsid w:val="005B0FDD"/>
    <w:rsid w:val="005B12A3"/>
    <w:rsid w:val="005B1BB2"/>
    <w:rsid w:val="005B2CAC"/>
    <w:rsid w:val="005B3981"/>
    <w:rsid w:val="005B5043"/>
    <w:rsid w:val="005B64C4"/>
    <w:rsid w:val="005B6767"/>
    <w:rsid w:val="005B6F45"/>
    <w:rsid w:val="005B6F92"/>
    <w:rsid w:val="005B7482"/>
    <w:rsid w:val="005C01E9"/>
    <w:rsid w:val="005C2264"/>
    <w:rsid w:val="005C23F3"/>
    <w:rsid w:val="005C30E9"/>
    <w:rsid w:val="005C3560"/>
    <w:rsid w:val="005C37E0"/>
    <w:rsid w:val="005C511C"/>
    <w:rsid w:val="005C5220"/>
    <w:rsid w:val="005C5505"/>
    <w:rsid w:val="005C5F0D"/>
    <w:rsid w:val="005C6C5A"/>
    <w:rsid w:val="005C7221"/>
    <w:rsid w:val="005C763B"/>
    <w:rsid w:val="005C7813"/>
    <w:rsid w:val="005C7F63"/>
    <w:rsid w:val="005D0832"/>
    <w:rsid w:val="005D0C11"/>
    <w:rsid w:val="005D0CFA"/>
    <w:rsid w:val="005D0D24"/>
    <w:rsid w:val="005D1019"/>
    <w:rsid w:val="005D1799"/>
    <w:rsid w:val="005D2B22"/>
    <w:rsid w:val="005D3786"/>
    <w:rsid w:val="005D4EB5"/>
    <w:rsid w:val="005D6599"/>
    <w:rsid w:val="005D6F9A"/>
    <w:rsid w:val="005D7057"/>
    <w:rsid w:val="005E0B91"/>
    <w:rsid w:val="005E1428"/>
    <w:rsid w:val="005E1975"/>
    <w:rsid w:val="005E3402"/>
    <w:rsid w:val="005E3606"/>
    <w:rsid w:val="005E3F79"/>
    <w:rsid w:val="005E4026"/>
    <w:rsid w:val="005E4D06"/>
    <w:rsid w:val="005E512B"/>
    <w:rsid w:val="005E5B8D"/>
    <w:rsid w:val="005E6A10"/>
    <w:rsid w:val="005E7500"/>
    <w:rsid w:val="005E7F1B"/>
    <w:rsid w:val="005F00FF"/>
    <w:rsid w:val="005F0301"/>
    <w:rsid w:val="005F0586"/>
    <w:rsid w:val="005F49F5"/>
    <w:rsid w:val="005F5471"/>
    <w:rsid w:val="005F55E7"/>
    <w:rsid w:val="005F5D37"/>
    <w:rsid w:val="005F68FD"/>
    <w:rsid w:val="005F72E9"/>
    <w:rsid w:val="005F790E"/>
    <w:rsid w:val="005F7E1D"/>
    <w:rsid w:val="0060018A"/>
    <w:rsid w:val="00600841"/>
    <w:rsid w:val="00600E49"/>
    <w:rsid w:val="00600F23"/>
    <w:rsid w:val="006018C0"/>
    <w:rsid w:val="00602C15"/>
    <w:rsid w:val="00605D39"/>
    <w:rsid w:val="00606248"/>
    <w:rsid w:val="00606862"/>
    <w:rsid w:val="006068F3"/>
    <w:rsid w:val="00607745"/>
    <w:rsid w:val="0061038C"/>
    <w:rsid w:val="006106C9"/>
    <w:rsid w:val="006107F6"/>
    <w:rsid w:val="00610976"/>
    <w:rsid w:val="0061136C"/>
    <w:rsid w:val="00611DB7"/>
    <w:rsid w:val="00613FCD"/>
    <w:rsid w:val="006142FC"/>
    <w:rsid w:val="00614DB9"/>
    <w:rsid w:val="0061534E"/>
    <w:rsid w:val="0061564B"/>
    <w:rsid w:val="00615E2A"/>
    <w:rsid w:val="00616C68"/>
    <w:rsid w:val="00617A44"/>
    <w:rsid w:val="00620693"/>
    <w:rsid w:val="00620C51"/>
    <w:rsid w:val="00622E68"/>
    <w:rsid w:val="00623029"/>
    <w:rsid w:val="00623FF2"/>
    <w:rsid w:val="006248A6"/>
    <w:rsid w:val="00625BBD"/>
    <w:rsid w:val="00626303"/>
    <w:rsid w:val="006265D1"/>
    <w:rsid w:val="00626A64"/>
    <w:rsid w:val="00626C6A"/>
    <w:rsid w:val="00627B32"/>
    <w:rsid w:val="00627C4C"/>
    <w:rsid w:val="00630A08"/>
    <w:rsid w:val="00630C4E"/>
    <w:rsid w:val="00630FAF"/>
    <w:rsid w:val="006313C9"/>
    <w:rsid w:val="0063160C"/>
    <w:rsid w:val="0063174A"/>
    <w:rsid w:val="00631B31"/>
    <w:rsid w:val="00631C75"/>
    <w:rsid w:val="00632181"/>
    <w:rsid w:val="00636A69"/>
    <w:rsid w:val="00636F09"/>
    <w:rsid w:val="0063756B"/>
    <w:rsid w:val="006377C9"/>
    <w:rsid w:val="00637FB7"/>
    <w:rsid w:val="00642074"/>
    <w:rsid w:val="00642A81"/>
    <w:rsid w:val="0064353B"/>
    <w:rsid w:val="00644718"/>
    <w:rsid w:val="006455CE"/>
    <w:rsid w:val="00646160"/>
    <w:rsid w:val="006510F2"/>
    <w:rsid w:val="00651A67"/>
    <w:rsid w:val="0065292C"/>
    <w:rsid w:val="006531B8"/>
    <w:rsid w:val="00654CEF"/>
    <w:rsid w:val="00654FC4"/>
    <w:rsid w:val="0065569F"/>
    <w:rsid w:val="00656383"/>
    <w:rsid w:val="00657245"/>
    <w:rsid w:val="00657643"/>
    <w:rsid w:val="00660376"/>
    <w:rsid w:val="0066205C"/>
    <w:rsid w:val="006625F0"/>
    <w:rsid w:val="006627CA"/>
    <w:rsid w:val="006634AE"/>
    <w:rsid w:val="00663831"/>
    <w:rsid w:val="0066473E"/>
    <w:rsid w:val="00664F31"/>
    <w:rsid w:val="00666603"/>
    <w:rsid w:val="006677B0"/>
    <w:rsid w:val="00670C48"/>
    <w:rsid w:val="0067184D"/>
    <w:rsid w:val="00672D0E"/>
    <w:rsid w:val="00673F37"/>
    <w:rsid w:val="00676D30"/>
    <w:rsid w:val="006774A9"/>
    <w:rsid w:val="006808B3"/>
    <w:rsid w:val="00681C24"/>
    <w:rsid w:val="00681EBF"/>
    <w:rsid w:val="00683129"/>
    <w:rsid w:val="00684FB7"/>
    <w:rsid w:val="006874FC"/>
    <w:rsid w:val="00687842"/>
    <w:rsid w:val="00687D77"/>
    <w:rsid w:val="00690068"/>
    <w:rsid w:val="00690B2C"/>
    <w:rsid w:val="00691C51"/>
    <w:rsid w:val="0069319B"/>
    <w:rsid w:val="00693D26"/>
    <w:rsid w:val="006941E1"/>
    <w:rsid w:val="00694473"/>
    <w:rsid w:val="00695932"/>
    <w:rsid w:val="00695B54"/>
    <w:rsid w:val="00695F98"/>
    <w:rsid w:val="0069638C"/>
    <w:rsid w:val="00696FA5"/>
    <w:rsid w:val="00697E88"/>
    <w:rsid w:val="006A0256"/>
    <w:rsid w:val="006A0365"/>
    <w:rsid w:val="006A0722"/>
    <w:rsid w:val="006A0AA9"/>
    <w:rsid w:val="006A0FCA"/>
    <w:rsid w:val="006A1277"/>
    <w:rsid w:val="006A1594"/>
    <w:rsid w:val="006A28A8"/>
    <w:rsid w:val="006A2FCB"/>
    <w:rsid w:val="006A489C"/>
    <w:rsid w:val="006A6ACB"/>
    <w:rsid w:val="006A7ADE"/>
    <w:rsid w:val="006B11D3"/>
    <w:rsid w:val="006B247E"/>
    <w:rsid w:val="006B2C63"/>
    <w:rsid w:val="006B2E09"/>
    <w:rsid w:val="006B2E96"/>
    <w:rsid w:val="006B31C4"/>
    <w:rsid w:val="006B3AEB"/>
    <w:rsid w:val="006B3EBD"/>
    <w:rsid w:val="006B4667"/>
    <w:rsid w:val="006B4765"/>
    <w:rsid w:val="006B5026"/>
    <w:rsid w:val="006B5760"/>
    <w:rsid w:val="006B5A42"/>
    <w:rsid w:val="006B6D3A"/>
    <w:rsid w:val="006B7CDD"/>
    <w:rsid w:val="006C06CB"/>
    <w:rsid w:val="006C0FF9"/>
    <w:rsid w:val="006C1043"/>
    <w:rsid w:val="006C1948"/>
    <w:rsid w:val="006C27DB"/>
    <w:rsid w:val="006C3A43"/>
    <w:rsid w:val="006C5D17"/>
    <w:rsid w:val="006C6D01"/>
    <w:rsid w:val="006C703B"/>
    <w:rsid w:val="006C71C8"/>
    <w:rsid w:val="006C7595"/>
    <w:rsid w:val="006C75AB"/>
    <w:rsid w:val="006C7E88"/>
    <w:rsid w:val="006D09B0"/>
    <w:rsid w:val="006D20BE"/>
    <w:rsid w:val="006D2407"/>
    <w:rsid w:val="006D32B8"/>
    <w:rsid w:val="006D3B49"/>
    <w:rsid w:val="006D4572"/>
    <w:rsid w:val="006D4A09"/>
    <w:rsid w:val="006D4C57"/>
    <w:rsid w:val="006D640C"/>
    <w:rsid w:val="006D67A1"/>
    <w:rsid w:val="006D6833"/>
    <w:rsid w:val="006D7364"/>
    <w:rsid w:val="006D7938"/>
    <w:rsid w:val="006D7BD6"/>
    <w:rsid w:val="006E027E"/>
    <w:rsid w:val="006E09F2"/>
    <w:rsid w:val="006E0A66"/>
    <w:rsid w:val="006E0E17"/>
    <w:rsid w:val="006E1F10"/>
    <w:rsid w:val="006E2455"/>
    <w:rsid w:val="006E2C4F"/>
    <w:rsid w:val="006E2DD2"/>
    <w:rsid w:val="006E386D"/>
    <w:rsid w:val="006E3BDC"/>
    <w:rsid w:val="006E4602"/>
    <w:rsid w:val="006E5AB1"/>
    <w:rsid w:val="006E5ABC"/>
    <w:rsid w:val="006E6879"/>
    <w:rsid w:val="006E68E6"/>
    <w:rsid w:val="006E769A"/>
    <w:rsid w:val="006E7B4B"/>
    <w:rsid w:val="006F0019"/>
    <w:rsid w:val="006F07FB"/>
    <w:rsid w:val="006F16B8"/>
    <w:rsid w:val="006F1D23"/>
    <w:rsid w:val="006F246C"/>
    <w:rsid w:val="006F262D"/>
    <w:rsid w:val="006F278A"/>
    <w:rsid w:val="006F292A"/>
    <w:rsid w:val="006F3DB5"/>
    <w:rsid w:val="006F54DC"/>
    <w:rsid w:val="006F5A97"/>
    <w:rsid w:val="006F617B"/>
    <w:rsid w:val="006F6369"/>
    <w:rsid w:val="006F6906"/>
    <w:rsid w:val="006F7182"/>
    <w:rsid w:val="0070015E"/>
    <w:rsid w:val="00700254"/>
    <w:rsid w:val="00701273"/>
    <w:rsid w:val="0070234A"/>
    <w:rsid w:val="007024BC"/>
    <w:rsid w:val="007029A5"/>
    <w:rsid w:val="00702F8A"/>
    <w:rsid w:val="00704302"/>
    <w:rsid w:val="00704391"/>
    <w:rsid w:val="00704659"/>
    <w:rsid w:val="007049E7"/>
    <w:rsid w:val="00704B88"/>
    <w:rsid w:val="00705418"/>
    <w:rsid w:val="00705E2F"/>
    <w:rsid w:val="00706232"/>
    <w:rsid w:val="00707AC9"/>
    <w:rsid w:val="00710722"/>
    <w:rsid w:val="00711D9D"/>
    <w:rsid w:val="007133C4"/>
    <w:rsid w:val="00714288"/>
    <w:rsid w:val="007144FE"/>
    <w:rsid w:val="007149EC"/>
    <w:rsid w:val="00715F2C"/>
    <w:rsid w:val="007166D5"/>
    <w:rsid w:val="00716FC5"/>
    <w:rsid w:val="00717D05"/>
    <w:rsid w:val="007204C5"/>
    <w:rsid w:val="007221E2"/>
    <w:rsid w:val="00722981"/>
    <w:rsid w:val="0072349E"/>
    <w:rsid w:val="0072354D"/>
    <w:rsid w:val="0072372C"/>
    <w:rsid w:val="00724A71"/>
    <w:rsid w:val="00724B4A"/>
    <w:rsid w:val="00725E16"/>
    <w:rsid w:val="00725E2C"/>
    <w:rsid w:val="00726291"/>
    <w:rsid w:val="00726C25"/>
    <w:rsid w:val="0072772E"/>
    <w:rsid w:val="00727B75"/>
    <w:rsid w:val="00730B84"/>
    <w:rsid w:val="00731749"/>
    <w:rsid w:val="00732BB2"/>
    <w:rsid w:val="00733068"/>
    <w:rsid w:val="007338D1"/>
    <w:rsid w:val="00733BC9"/>
    <w:rsid w:val="00733E81"/>
    <w:rsid w:val="00734A23"/>
    <w:rsid w:val="00734F3D"/>
    <w:rsid w:val="00735FBC"/>
    <w:rsid w:val="007362B7"/>
    <w:rsid w:val="007367C5"/>
    <w:rsid w:val="00736F1A"/>
    <w:rsid w:val="0073706F"/>
    <w:rsid w:val="00737519"/>
    <w:rsid w:val="00737C72"/>
    <w:rsid w:val="00740581"/>
    <w:rsid w:val="00740675"/>
    <w:rsid w:val="00740E18"/>
    <w:rsid w:val="00741B88"/>
    <w:rsid w:val="00742EBA"/>
    <w:rsid w:val="0074384F"/>
    <w:rsid w:val="00743AA6"/>
    <w:rsid w:val="00743F1D"/>
    <w:rsid w:val="007446F2"/>
    <w:rsid w:val="0074480A"/>
    <w:rsid w:val="007458A7"/>
    <w:rsid w:val="00745C2A"/>
    <w:rsid w:val="007471B7"/>
    <w:rsid w:val="00747611"/>
    <w:rsid w:val="007476FE"/>
    <w:rsid w:val="007501B7"/>
    <w:rsid w:val="007508E2"/>
    <w:rsid w:val="00750B14"/>
    <w:rsid w:val="00751BF3"/>
    <w:rsid w:val="00752A9F"/>
    <w:rsid w:val="00753177"/>
    <w:rsid w:val="00753D5F"/>
    <w:rsid w:val="00754944"/>
    <w:rsid w:val="00755318"/>
    <w:rsid w:val="00755537"/>
    <w:rsid w:val="0075582B"/>
    <w:rsid w:val="007561DF"/>
    <w:rsid w:val="0075624D"/>
    <w:rsid w:val="0075679A"/>
    <w:rsid w:val="00756B8F"/>
    <w:rsid w:val="00756C78"/>
    <w:rsid w:val="00757642"/>
    <w:rsid w:val="00757CF5"/>
    <w:rsid w:val="00757D83"/>
    <w:rsid w:val="007602EA"/>
    <w:rsid w:val="007611AE"/>
    <w:rsid w:val="0076135E"/>
    <w:rsid w:val="00761FA7"/>
    <w:rsid w:val="007631E1"/>
    <w:rsid w:val="00763355"/>
    <w:rsid w:val="00763D7C"/>
    <w:rsid w:val="00764DCA"/>
    <w:rsid w:val="00765E70"/>
    <w:rsid w:val="00765F94"/>
    <w:rsid w:val="00765FD6"/>
    <w:rsid w:val="0076623D"/>
    <w:rsid w:val="0076682A"/>
    <w:rsid w:val="00766E81"/>
    <w:rsid w:val="007673AC"/>
    <w:rsid w:val="00770E07"/>
    <w:rsid w:val="00773103"/>
    <w:rsid w:val="00773754"/>
    <w:rsid w:val="0077388E"/>
    <w:rsid w:val="00775522"/>
    <w:rsid w:val="00775D88"/>
    <w:rsid w:val="00776375"/>
    <w:rsid w:val="0077721E"/>
    <w:rsid w:val="00781994"/>
    <w:rsid w:val="00781A1C"/>
    <w:rsid w:val="00781E7A"/>
    <w:rsid w:val="00781EBF"/>
    <w:rsid w:val="00781FB9"/>
    <w:rsid w:val="007829F1"/>
    <w:rsid w:val="00782B4E"/>
    <w:rsid w:val="007845AF"/>
    <w:rsid w:val="007855C0"/>
    <w:rsid w:val="007867F9"/>
    <w:rsid w:val="00787A4F"/>
    <w:rsid w:val="00791B60"/>
    <w:rsid w:val="00791B6A"/>
    <w:rsid w:val="007925EA"/>
    <w:rsid w:val="00792936"/>
    <w:rsid w:val="00792C5A"/>
    <w:rsid w:val="007954F2"/>
    <w:rsid w:val="0079569A"/>
    <w:rsid w:val="0079585B"/>
    <w:rsid w:val="00795B16"/>
    <w:rsid w:val="00797161"/>
    <w:rsid w:val="00797A36"/>
    <w:rsid w:val="007A0108"/>
    <w:rsid w:val="007A0658"/>
    <w:rsid w:val="007A0821"/>
    <w:rsid w:val="007A0869"/>
    <w:rsid w:val="007A10AD"/>
    <w:rsid w:val="007A138E"/>
    <w:rsid w:val="007A1C09"/>
    <w:rsid w:val="007A1C5A"/>
    <w:rsid w:val="007A2B58"/>
    <w:rsid w:val="007A31F6"/>
    <w:rsid w:val="007A3EE0"/>
    <w:rsid w:val="007A4012"/>
    <w:rsid w:val="007A4056"/>
    <w:rsid w:val="007A4BD0"/>
    <w:rsid w:val="007A5295"/>
    <w:rsid w:val="007A68AA"/>
    <w:rsid w:val="007A7AED"/>
    <w:rsid w:val="007A7B2A"/>
    <w:rsid w:val="007B0D94"/>
    <w:rsid w:val="007B2826"/>
    <w:rsid w:val="007B282E"/>
    <w:rsid w:val="007B2EED"/>
    <w:rsid w:val="007B3414"/>
    <w:rsid w:val="007B3A09"/>
    <w:rsid w:val="007B3A9E"/>
    <w:rsid w:val="007B3AB3"/>
    <w:rsid w:val="007B4BC1"/>
    <w:rsid w:val="007B4E3B"/>
    <w:rsid w:val="007B4E6C"/>
    <w:rsid w:val="007B5A0B"/>
    <w:rsid w:val="007B5AF2"/>
    <w:rsid w:val="007C18A4"/>
    <w:rsid w:val="007C2A67"/>
    <w:rsid w:val="007C2C0B"/>
    <w:rsid w:val="007C2CE1"/>
    <w:rsid w:val="007C2D93"/>
    <w:rsid w:val="007C388F"/>
    <w:rsid w:val="007C431A"/>
    <w:rsid w:val="007C4779"/>
    <w:rsid w:val="007C4A59"/>
    <w:rsid w:val="007C556B"/>
    <w:rsid w:val="007C6E32"/>
    <w:rsid w:val="007C6F7A"/>
    <w:rsid w:val="007C7EA3"/>
    <w:rsid w:val="007D08E9"/>
    <w:rsid w:val="007D0D56"/>
    <w:rsid w:val="007D165A"/>
    <w:rsid w:val="007D1B3C"/>
    <w:rsid w:val="007D1D62"/>
    <w:rsid w:val="007D1F8D"/>
    <w:rsid w:val="007D2510"/>
    <w:rsid w:val="007D2655"/>
    <w:rsid w:val="007D2A9D"/>
    <w:rsid w:val="007D3873"/>
    <w:rsid w:val="007D3987"/>
    <w:rsid w:val="007D58F8"/>
    <w:rsid w:val="007D5B04"/>
    <w:rsid w:val="007D5F42"/>
    <w:rsid w:val="007D600C"/>
    <w:rsid w:val="007D6329"/>
    <w:rsid w:val="007D7B75"/>
    <w:rsid w:val="007D7C2F"/>
    <w:rsid w:val="007E00C9"/>
    <w:rsid w:val="007E012D"/>
    <w:rsid w:val="007E0B2E"/>
    <w:rsid w:val="007E2350"/>
    <w:rsid w:val="007E2669"/>
    <w:rsid w:val="007E2C1A"/>
    <w:rsid w:val="007E2C20"/>
    <w:rsid w:val="007E2E4F"/>
    <w:rsid w:val="007E342A"/>
    <w:rsid w:val="007E35AF"/>
    <w:rsid w:val="007E3655"/>
    <w:rsid w:val="007E39F4"/>
    <w:rsid w:val="007E5105"/>
    <w:rsid w:val="007E62D2"/>
    <w:rsid w:val="007E648D"/>
    <w:rsid w:val="007E66CE"/>
    <w:rsid w:val="007E67BB"/>
    <w:rsid w:val="007E6E8B"/>
    <w:rsid w:val="007E7DBC"/>
    <w:rsid w:val="007E7DE7"/>
    <w:rsid w:val="007F14DC"/>
    <w:rsid w:val="007F2FC0"/>
    <w:rsid w:val="007F315B"/>
    <w:rsid w:val="007F3DB4"/>
    <w:rsid w:val="007F3FB4"/>
    <w:rsid w:val="007F431C"/>
    <w:rsid w:val="007F44F9"/>
    <w:rsid w:val="007F45B5"/>
    <w:rsid w:val="007F7AE1"/>
    <w:rsid w:val="00800F99"/>
    <w:rsid w:val="0080111C"/>
    <w:rsid w:val="0080126D"/>
    <w:rsid w:val="0080226C"/>
    <w:rsid w:val="00802904"/>
    <w:rsid w:val="008035B8"/>
    <w:rsid w:val="00804C8A"/>
    <w:rsid w:val="00804D29"/>
    <w:rsid w:val="0080597E"/>
    <w:rsid w:val="008061B9"/>
    <w:rsid w:val="00806FCA"/>
    <w:rsid w:val="008079AD"/>
    <w:rsid w:val="00810FED"/>
    <w:rsid w:val="0081170B"/>
    <w:rsid w:val="00811B25"/>
    <w:rsid w:val="00812BA7"/>
    <w:rsid w:val="00812FFA"/>
    <w:rsid w:val="00814126"/>
    <w:rsid w:val="00814541"/>
    <w:rsid w:val="00814F50"/>
    <w:rsid w:val="008157E0"/>
    <w:rsid w:val="00815C99"/>
    <w:rsid w:val="0081654A"/>
    <w:rsid w:val="0082008C"/>
    <w:rsid w:val="00820BA8"/>
    <w:rsid w:val="00820BD5"/>
    <w:rsid w:val="008215DA"/>
    <w:rsid w:val="00821C74"/>
    <w:rsid w:val="00822C92"/>
    <w:rsid w:val="008232BD"/>
    <w:rsid w:val="00824975"/>
    <w:rsid w:val="008256BE"/>
    <w:rsid w:val="0082657C"/>
    <w:rsid w:val="0082682F"/>
    <w:rsid w:val="0082690D"/>
    <w:rsid w:val="0082705A"/>
    <w:rsid w:val="00827EB8"/>
    <w:rsid w:val="00830130"/>
    <w:rsid w:val="008302C6"/>
    <w:rsid w:val="00831200"/>
    <w:rsid w:val="00831AB2"/>
    <w:rsid w:val="00834122"/>
    <w:rsid w:val="00834979"/>
    <w:rsid w:val="00834B98"/>
    <w:rsid w:val="00835F57"/>
    <w:rsid w:val="00836C74"/>
    <w:rsid w:val="00837062"/>
    <w:rsid w:val="008370EA"/>
    <w:rsid w:val="008371D2"/>
    <w:rsid w:val="008376A1"/>
    <w:rsid w:val="008379EC"/>
    <w:rsid w:val="00840E99"/>
    <w:rsid w:val="00841360"/>
    <w:rsid w:val="00841BB6"/>
    <w:rsid w:val="00842598"/>
    <w:rsid w:val="00842ED0"/>
    <w:rsid w:val="00843A04"/>
    <w:rsid w:val="00845264"/>
    <w:rsid w:val="00845C1A"/>
    <w:rsid w:val="00847243"/>
    <w:rsid w:val="0084771B"/>
    <w:rsid w:val="00847A40"/>
    <w:rsid w:val="00847BFB"/>
    <w:rsid w:val="00847EDD"/>
    <w:rsid w:val="008526BD"/>
    <w:rsid w:val="008530C1"/>
    <w:rsid w:val="00854EE9"/>
    <w:rsid w:val="00855086"/>
    <w:rsid w:val="00855095"/>
    <w:rsid w:val="0085560F"/>
    <w:rsid w:val="00856B33"/>
    <w:rsid w:val="00860324"/>
    <w:rsid w:val="008605B5"/>
    <w:rsid w:val="00860A03"/>
    <w:rsid w:val="00860C31"/>
    <w:rsid w:val="0086121B"/>
    <w:rsid w:val="00862A24"/>
    <w:rsid w:val="008639AD"/>
    <w:rsid w:val="008639D1"/>
    <w:rsid w:val="00863AC6"/>
    <w:rsid w:val="00865325"/>
    <w:rsid w:val="00865385"/>
    <w:rsid w:val="00866B92"/>
    <w:rsid w:val="00867245"/>
    <w:rsid w:val="00867F0B"/>
    <w:rsid w:val="00870844"/>
    <w:rsid w:val="008721A5"/>
    <w:rsid w:val="00872370"/>
    <w:rsid w:val="008724DE"/>
    <w:rsid w:val="00872693"/>
    <w:rsid w:val="00872F18"/>
    <w:rsid w:val="00874659"/>
    <w:rsid w:val="008747D8"/>
    <w:rsid w:val="0087674C"/>
    <w:rsid w:val="0087789E"/>
    <w:rsid w:val="00877C2B"/>
    <w:rsid w:val="00880157"/>
    <w:rsid w:val="008808ED"/>
    <w:rsid w:val="008811FB"/>
    <w:rsid w:val="0088180B"/>
    <w:rsid w:val="00882726"/>
    <w:rsid w:val="008827A5"/>
    <w:rsid w:val="00883096"/>
    <w:rsid w:val="00883ABD"/>
    <w:rsid w:val="0088405B"/>
    <w:rsid w:val="00884690"/>
    <w:rsid w:val="008858A0"/>
    <w:rsid w:val="00886610"/>
    <w:rsid w:val="008868A1"/>
    <w:rsid w:val="00890934"/>
    <w:rsid w:val="00890FCD"/>
    <w:rsid w:val="0089177F"/>
    <w:rsid w:val="0089190A"/>
    <w:rsid w:val="00894503"/>
    <w:rsid w:val="008958F2"/>
    <w:rsid w:val="008959D2"/>
    <w:rsid w:val="0089611D"/>
    <w:rsid w:val="008967B8"/>
    <w:rsid w:val="00897F57"/>
    <w:rsid w:val="008A0E56"/>
    <w:rsid w:val="008A1B9F"/>
    <w:rsid w:val="008A472E"/>
    <w:rsid w:val="008A509C"/>
    <w:rsid w:val="008A5291"/>
    <w:rsid w:val="008A56B5"/>
    <w:rsid w:val="008A5749"/>
    <w:rsid w:val="008A5EEC"/>
    <w:rsid w:val="008A6039"/>
    <w:rsid w:val="008A603B"/>
    <w:rsid w:val="008A7C9D"/>
    <w:rsid w:val="008B00D0"/>
    <w:rsid w:val="008B092C"/>
    <w:rsid w:val="008B10FB"/>
    <w:rsid w:val="008B1422"/>
    <w:rsid w:val="008B1556"/>
    <w:rsid w:val="008B3633"/>
    <w:rsid w:val="008B3FFD"/>
    <w:rsid w:val="008B4F0A"/>
    <w:rsid w:val="008B5038"/>
    <w:rsid w:val="008B6B2A"/>
    <w:rsid w:val="008B6C6D"/>
    <w:rsid w:val="008B6E91"/>
    <w:rsid w:val="008B6FF9"/>
    <w:rsid w:val="008B723A"/>
    <w:rsid w:val="008B77D6"/>
    <w:rsid w:val="008C128F"/>
    <w:rsid w:val="008C308C"/>
    <w:rsid w:val="008C386E"/>
    <w:rsid w:val="008C390E"/>
    <w:rsid w:val="008C422E"/>
    <w:rsid w:val="008C4F64"/>
    <w:rsid w:val="008C535C"/>
    <w:rsid w:val="008C5D74"/>
    <w:rsid w:val="008C6B7A"/>
    <w:rsid w:val="008C6E46"/>
    <w:rsid w:val="008C7E0F"/>
    <w:rsid w:val="008D0352"/>
    <w:rsid w:val="008D03DA"/>
    <w:rsid w:val="008D1209"/>
    <w:rsid w:val="008D2CA9"/>
    <w:rsid w:val="008D2E6F"/>
    <w:rsid w:val="008D37B4"/>
    <w:rsid w:val="008D4169"/>
    <w:rsid w:val="008D5B35"/>
    <w:rsid w:val="008D6ACE"/>
    <w:rsid w:val="008E040E"/>
    <w:rsid w:val="008E09F1"/>
    <w:rsid w:val="008E102C"/>
    <w:rsid w:val="008E1630"/>
    <w:rsid w:val="008E1AD5"/>
    <w:rsid w:val="008E1DF1"/>
    <w:rsid w:val="008E4025"/>
    <w:rsid w:val="008E4DD4"/>
    <w:rsid w:val="008E551F"/>
    <w:rsid w:val="008E5563"/>
    <w:rsid w:val="008E561D"/>
    <w:rsid w:val="008E6648"/>
    <w:rsid w:val="008E6752"/>
    <w:rsid w:val="008E6A1C"/>
    <w:rsid w:val="008F01BA"/>
    <w:rsid w:val="008F2E2F"/>
    <w:rsid w:val="008F39ED"/>
    <w:rsid w:val="008F3B1B"/>
    <w:rsid w:val="008F4562"/>
    <w:rsid w:val="008F4C38"/>
    <w:rsid w:val="008F609C"/>
    <w:rsid w:val="008F6ADE"/>
    <w:rsid w:val="008F6FBF"/>
    <w:rsid w:val="008F7758"/>
    <w:rsid w:val="00900348"/>
    <w:rsid w:val="009005BC"/>
    <w:rsid w:val="00900939"/>
    <w:rsid w:val="00900DC1"/>
    <w:rsid w:val="009012D8"/>
    <w:rsid w:val="0090139D"/>
    <w:rsid w:val="00901ACC"/>
    <w:rsid w:val="009045CD"/>
    <w:rsid w:val="009051D2"/>
    <w:rsid w:val="00906F3E"/>
    <w:rsid w:val="0090749C"/>
    <w:rsid w:val="00910CE2"/>
    <w:rsid w:val="00910F07"/>
    <w:rsid w:val="0091159C"/>
    <w:rsid w:val="009115DE"/>
    <w:rsid w:val="00911BC4"/>
    <w:rsid w:val="0091209F"/>
    <w:rsid w:val="00912855"/>
    <w:rsid w:val="00912AA9"/>
    <w:rsid w:val="00913242"/>
    <w:rsid w:val="009145B1"/>
    <w:rsid w:val="00914A22"/>
    <w:rsid w:val="00914F3D"/>
    <w:rsid w:val="00915507"/>
    <w:rsid w:val="00915A7A"/>
    <w:rsid w:val="00915BAA"/>
    <w:rsid w:val="00915BD0"/>
    <w:rsid w:val="00916D7D"/>
    <w:rsid w:val="00917008"/>
    <w:rsid w:val="00917329"/>
    <w:rsid w:val="0091748B"/>
    <w:rsid w:val="00920109"/>
    <w:rsid w:val="009213F2"/>
    <w:rsid w:val="00921740"/>
    <w:rsid w:val="00922C75"/>
    <w:rsid w:val="0092431C"/>
    <w:rsid w:val="009255A3"/>
    <w:rsid w:val="00925636"/>
    <w:rsid w:val="009256AD"/>
    <w:rsid w:val="00925783"/>
    <w:rsid w:val="00925CE0"/>
    <w:rsid w:val="00925FC0"/>
    <w:rsid w:val="0092650D"/>
    <w:rsid w:val="00926B8C"/>
    <w:rsid w:val="00926D86"/>
    <w:rsid w:val="009271C5"/>
    <w:rsid w:val="00927C0C"/>
    <w:rsid w:val="00930027"/>
    <w:rsid w:val="0093021C"/>
    <w:rsid w:val="009303A1"/>
    <w:rsid w:val="009304A4"/>
    <w:rsid w:val="009313C3"/>
    <w:rsid w:val="009313C5"/>
    <w:rsid w:val="009314F3"/>
    <w:rsid w:val="00932414"/>
    <w:rsid w:val="00934333"/>
    <w:rsid w:val="00935966"/>
    <w:rsid w:val="00935D7D"/>
    <w:rsid w:val="009404B0"/>
    <w:rsid w:val="00940966"/>
    <w:rsid w:val="00941EA1"/>
    <w:rsid w:val="00942342"/>
    <w:rsid w:val="00943043"/>
    <w:rsid w:val="009443A8"/>
    <w:rsid w:val="00945322"/>
    <w:rsid w:val="00946F23"/>
    <w:rsid w:val="00947191"/>
    <w:rsid w:val="0094736F"/>
    <w:rsid w:val="00947E36"/>
    <w:rsid w:val="00950539"/>
    <w:rsid w:val="00951216"/>
    <w:rsid w:val="009514E6"/>
    <w:rsid w:val="00952064"/>
    <w:rsid w:val="00952079"/>
    <w:rsid w:val="0095289B"/>
    <w:rsid w:val="00952F30"/>
    <w:rsid w:val="00953A0B"/>
    <w:rsid w:val="00953A19"/>
    <w:rsid w:val="00953CCE"/>
    <w:rsid w:val="009564A7"/>
    <w:rsid w:val="00956D50"/>
    <w:rsid w:val="009603BB"/>
    <w:rsid w:val="009608D9"/>
    <w:rsid w:val="009610C4"/>
    <w:rsid w:val="00961BAC"/>
    <w:rsid w:val="00961FAA"/>
    <w:rsid w:val="00962EBC"/>
    <w:rsid w:val="009632BC"/>
    <w:rsid w:val="0096333F"/>
    <w:rsid w:val="00963AE3"/>
    <w:rsid w:val="00964BF7"/>
    <w:rsid w:val="00964C19"/>
    <w:rsid w:val="00964D57"/>
    <w:rsid w:val="00965DFD"/>
    <w:rsid w:val="00965E8B"/>
    <w:rsid w:val="00966B92"/>
    <w:rsid w:val="00966D06"/>
    <w:rsid w:val="00967D07"/>
    <w:rsid w:val="00970376"/>
    <w:rsid w:val="009704CC"/>
    <w:rsid w:val="00970F5B"/>
    <w:rsid w:val="00971499"/>
    <w:rsid w:val="0097165B"/>
    <w:rsid w:val="00971856"/>
    <w:rsid w:val="00972FB6"/>
    <w:rsid w:val="00973243"/>
    <w:rsid w:val="00974839"/>
    <w:rsid w:val="009752B5"/>
    <w:rsid w:val="009757AD"/>
    <w:rsid w:val="00976E82"/>
    <w:rsid w:val="00977702"/>
    <w:rsid w:val="00980229"/>
    <w:rsid w:val="00981168"/>
    <w:rsid w:val="009812F7"/>
    <w:rsid w:val="00981FEC"/>
    <w:rsid w:val="00982963"/>
    <w:rsid w:val="00982CD6"/>
    <w:rsid w:val="00982F62"/>
    <w:rsid w:val="0098342F"/>
    <w:rsid w:val="00984E7A"/>
    <w:rsid w:val="009876A4"/>
    <w:rsid w:val="00987D97"/>
    <w:rsid w:val="00990E3B"/>
    <w:rsid w:val="00991F70"/>
    <w:rsid w:val="0099237C"/>
    <w:rsid w:val="00992AA6"/>
    <w:rsid w:val="00992DFC"/>
    <w:rsid w:val="00993738"/>
    <w:rsid w:val="00993DF1"/>
    <w:rsid w:val="009A0BEF"/>
    <w:rsid w:val="009A3E79"/>
    <w:rsid w:val="009A4B16"/>
    <w:rsid w:val="009A5024"/>
    <w:rsid w:val="009A606E"/>
    <w:rsid w:val="009A659B"/>
    <w:rsid w:val="009A6E13"/>
    <w:rsid w:val="009A7E98"/>
    <w:rsid w:val="009B0533"/>
    <w:rsid w:val="009B1265"/>
    <w:rsid w:val="009B1268"/>
    <w:rsid w:val="009B1D96"/>
    <w:rsid w:val="009B2E80"/>
    <w:rsid w:val="009B3069"/>
    <w:rsid w:val="009B48F4"/>
    <w:rsid w:val="009B49FC"/>
    <w:rsid w:val="009B4DE8"/>
    <w:rsid w:val="009B56E5"/>
    <w:rsid w:val="009B586B"/>
    <w:rsid w:val="009B691C"/>
    <w:rsid w:val="009B78F8"/>
    <w:rsid w:val="009B7FD9"/>
    <w:rsid w:val="009C0272"/>
    <w:rsid w:val="009C13C1"/>
    <w:rsid w:val="009C1564"/>
    <w:rsid w:val="009C2069"/>
    <w:rsid w:val="009C20CD"/>
    <w:rsid w:val="009C20CF"/>
    <w:rsid w:val="009C230E"/>
    <w:rsid w:val="009C2F0B"/>
    <w:rsid w:val="009C3885"/>
    <w:rsid w:val="009C5162"/>
    <w:rsid w:val="009C532A"/>
    <w:rsid w:val="009C67AD"/>
    <w:rsid w:val="009C7001"/>
    <w:rsid w:val="009D0575"/>
    <w:rsid w:val="009D15B1"/>
    <w:rsid w:val="009D25C0"/>
    <w:rsid w:val="009D2F96"/>
    <w:rsid w:val="009D4310"/>
    <w:rsid w:val="009D52A9"/>
    <w:rsid w:val="009D5AFF"/>
    <w:rsid w:val="009D64A9"/>
    <w:rsid w:val="009D7335"/>
    <w:rsid w:val="009D7A09"/>
    <w:rsid w:val="009D7B03"/>
    <w:rsid w:val="009E07F6"/>
    <w:rsid w:val="009E0BD7"/>
    <w:rsid w:val="009E1743"/>
    <w:rsid w:val="009E2377"/>
    <w:rsid w:val="009E2E82"/>
    <w:rsid w:val="009E301F"/>
    <w:rsid w:val="009E31C2"/>
    <w:rsid w:val="009E3F19"/>
    <w:rsid w:val="009E4764"/>
    <w:rsid w:val="009E599C"/>
    <w:rsid w:val="009E59D0"/>
    <w:rsid w:val="009E5A66"/>
    <w:rsid w:val="009E5CB7"/>
    <w:rsid w:val="009E6A74"/>
    <w:rsid w:val="009E792E"/>
    <w:rsid w:val="009E7B20"/>
    <w:rsid w:val="009F10FD"/>
    <w:rsid w:val="009F1F29"/>
    <w:rsid w:val="009F2CCB"/>
    <w:rsid w:val="009F3463"/>
    <w:rsid w:val="009F3E5E"/>
    <w:rsid w:val="009F5172"/>
    <w:rsid w:val="009F5249"/>
    <w:rsid w:val="009F5D6E"/>
    <w:rsid w:val="009F6C26"/>
    <w:rsid w:val="009F7800"/>
    <w:rsid w:val="009F7AB3"/>
    <w:rsid w:val="00A00293"/>
    <w:rsid w:val="00A00A33"/>
    <w:rsid w:val="00A018AF"/>
    <w:rsid w:val="00A02D07"/>
    <w:rsid w:val="00A03928"/>
    <w:rsid w:val="00A03AB5"/>
    <w:rsid w:val="00A03B2A"/>
    <w:rsid w:val="00A042B8"/>
    <w:rsid w:val="00A04697"/>
    <w:rsid w:val="00A05396"/>
    <w:rsid w:val="00A056DE"/>
    <w:rsid w:val="00A05747"/>
    <w:rsid w:val="00A06B58"/>
    <w:rsid w:val="00A0736B"/>
    <w:rsid w:val="00A07606"/>
    <w:rsid w:val="00A111DE"/>
    <w:rsid w:val="00A11793"/>
    <w:rsid w:val="00A12F0E"/>
    <w:rsid w:val="00A13D95"/>
    <w:rsid w:val="00A15F10"/>
    <w:rsid w:val="00A172CD"/>
    <w:rsid w:val="00A1750E"/>
    <w:rsid w:val="00A1765E"/>
    <w:rsid w:val="00A17B1F"/>
    <w:rsid w:val="00A17CA5"/>
    <w:rsid w:val="00A203F4"/>
    <w:rsid w:val="00A20823"/>
    <w:rsid w:val="00A20D4F"/>
    <w:rsid w:val="00A2171C"/>
    <w:rsid w:val="00A22398"/>
    <w:rsid w:val="00A22480"/>
    <w:rsid w:val="00A2271E"/>
    <w:rsid w:val="00A22938"/>
    <w:rsid w:val="00A239E0"/>
    <w:rsid w:val="00A23CF6"/>
    <w:rsid w:val="00A2434F"/>
    <w:rsid w:val="00A2552E"/>
    <w:rsid w:val="00A26A2F"/>
    <w:rsid w:val="00A26B23"/>
    <w:rsid w:val="00A27EF9"/>
    <w:rsid w:val="00A3090D"/>
    <w:rsid w:val="00A309AB"/>
    <w:rsid w:val="00A3141B"/>
    <w:rsid w:val="00A31973"/>
    <w:rsid w:val="00A31F9D"/>
    <w:rsid w:val="00A32117"/>
    <w:rsid w:val="00A32B45"/>
    <w:rsid w:val="00A3331A"/>
    <w:rsid w:val="00A3426F"/>
    <w:rsid w:val="00A348A1"/>
    <w:rsid w:val="00A34932"/>
    <w:rsid w:val="00A34C44"/>
    <w:rsid w:val="00A34C86"/>
    <w:rsid w:val="00A351D9"/>
    <w:rsid w:val="00A366EA"/>
    <w:rsid w:val="00A36F01"/>
    <w:rsid w:val="00A37F9A"/>
    <w:rsid w:val="00A41F4C"/>
    <w:rsid w:val="00A42397"/>
    <w:rsid w:val="00A424FC"/>
    <w:rsid w:val="00A42788"/>
    <w:rsid w:val="00A43C9B"/>
    <w:rsid w:val="00A44EFD"/>
    <w:rsid w:val="00A450B4"/>
    <w:rsid w:val="00A45629"/>
    <w:rsid w:val="00A46163"/>
    <w:rsid w:val="00A472E7"/>
    <w:rsid w:val="00A47796"/>
    <w:rsid w:val="00A47DB5"/>
    <w:rsid w:val="00A51D51"/>
    <w:rsid w:val="00A51E86"/>
    <w:rsid w:val="00A52FC3"/>
    <w:rsid w:val="00A53445"/>
    <w:rsid w:val="00A54410"/>
    <w:rsid w:val="00A55736"/>
    <w:rsid w:val="00A566D9"/>
    <w:rsid w:val="00A5695A"/>
    <w:rsid w:val="00A57025"/>
    <w:rsid w:val="00A57346"/>
    <w:rsid w:val="00A57C8A"/>
    <w:rsid w:val="00A6095D"/>
    <w:rsid w:val="00A60B45"/>
    <w:rsid w:val="00A6116B"/>
    <w:rsid w:val="00A614EE"/>
    <w:rsid w:val="00A6157A"/>
    <w:rsid w:val="00A62701"/>
    <w:rsid w:val="00A636C4"/>
    <w:rsid w:val="00A64701"/>
    <w:rsid w:val="00A64891"/>
    <w:rsid w:val="00A64C0B"/>
    <w:rsid w:val="00A66D0F"/>
    <w:rsid w:val="00A6711B"/>
    <w:rsid w:val="00A67E64"/>
    <w:rsid w:val="00A70B1A"/>
    <w:rsid w:val="00A70CDF"/>
    <w:rsid w:val="00A70E7C"/>
    <w:rsid w:val="00A73B4D"/>
    <w:rsid w:val="00A7426C"/>
    <w:rsid w:val="00A74308"/>
    <w:rsid w:val="00A7514E"/>
    <w:rsid w:val="00A7536E"/>
    <w:rsid w:val="00A75924"/>
    <w:rsid w:val="00A75F46"/>
    <w:rsid w:val="00A75FCD"/>
    <w:rsid w:val="00A76D0D"/>
    <w:rsid w:val="00A774EF"/>
    <w:rsid w:val="00A80D38"/>
    <w:rsid w:val="00A811F0"/>
    <w:rsid w:val="00A81EFD"/>
    <w:rsid w:val="00A82947"/>
    <w:rsid w:val="00A82F34"/>
    <w:rsid w:val="00A830DA"/>
    <w:rsid w:val="00A8327C"/>
    <w:rsid w:val="00A8372A"/>
    <w:rsid w:val="00A83E23"/>
    <w:rsid w:val="00A84826"/>
    <w:rsid w:val="00A84A99"/>
    <w:rsid w:val="00A850CE"/>
    <w:rsid w:val="00A8540F"/>
    <w:rsid w:val="00A85661"/>
    <w:rsid w:val="00A86E41"/>
    <w:rsid w:val="00A87399"/>
    <w:rsid w:val="00A87C30"/>
    <w:rsid w:val="00A903A4"/>
    <w:rsid w:val="00A919E9"/>
    <w:rsid w:val="00A92E18"/>
    <w:rsid w:val="00A936DC"/>
    <w:rsid w:val="00A93CA5"/>
    <w:rsid w:val="00A946DB"/>
    <w:rsid w:val="00A94BD0"/>
    <w:rsid w:val="00A94DDE"/>
    <w:rsid w:val="00A95E59"/>
    <w:rsid w:val="00A95FF1"/>
    <w:rsid w:val="00A961FA"/>
    <w:rsid w:val="00A979B7"/>
    <w:rsid w:val="00A97BC0"/>
    <w:rsid w:val="00AA092F"/>
    <w:rsid w:val="00AA1951"/>
    <w:rsid w:val="00AA22F2"/>
    <w:rsid w:val="00AA2EB8"/>
    <w:rsid w:val="00AA3C6A"/>
    <w:rsid w:val="00AA4254"/>
    <w:rsid w:val="00AA5335"/>
    <w:rsid w:val="00AA61BA"/>
    <w:rsid w:val="00AA7260"/>
    <w:rsid w:val="00AB02E5"/>
    <w:rsid w:val="00AB1528"/>
    <w:rsid w:val="00AB1BD1"/>
    <w:rsid w:val="00AB1EFE"/>
    <w:rsid w:val="00AB24E9"/>
    <w:rsid w:val="00AB3555"/>
    <w:rsid w:val="00AB3C9D"/>
    <w:rsid w:val="00AB49DF"/>
    <w:rsid w:val="00AB4C9C"/>
    <w:rsid w:val="00AB5D2D"/>
    <w:rsid w:val="00AB6B1A"/>
    <w:rsid w:val="00AB70D9"/>
    <w:rsid w:val="00AB74F0"/>
    <w:rsid w:val="00AC0256"/>
    <w:rsid w:val="00AC0562"/>
    <w:rsid w:val="00AC0595"/>
    <w:rsid w:val="00AC0EC0"/>
    <w:rsid w:val="00AC1DFC"/>
    <w:rsid w:val="00AC2341"/>
    <w:rsid w:val="00AC2A27"/>
    <w:rsid w:val="00AC3358"/>
    <w:rsid w:val="00AC34F5"/>
    <w:rsid w:val="00AC3A9C"/>
    <w:rsid w:val="00AC4262"/>
    <w:rsid w:val="00AC4F0A"/>
    <w:rsid w:val="00AC5BB4"/>
    <w:rsid w:val="00AC69D0"/>
    <w:rsid w:val="00AC6ED9"/>
    <w:rsid w:val="00AD239E"/>
    <w:rsid w:val="00AD25E6"/>
    <w:rsid w:val="00AD2A5A"/>
    <w:rsid w:val="00AD2DEB"/>
    <w:rsid w:val="00AD32FF"/>
    <w:rsid w:val="00AD3E8F"/>
    <w:rsid w:val="00AD4E45"/>
    <w:rsid w:val="00AD50C7"/>
    <w:rsid w:val="00AD5E00"/>
    <w:rsid w:val="00AD63ED"/>
    <w:rsid w:val="00AD675B"/>
    <w:rsid w:val="00AE201C"/>
    <w:rsid w:val="00AE3B29"/>
    <w:rsid w:val="00AE471A"/>
    <w:rsid w:val="00AE54DE"/>
    <w:rsid w:val="00AE654D"/>
    <w:rsid w:val="00AE69F5"/>
    <w:rsid w:val="00AE6FEB"/>
    <w:rsid w:val="00AE7280"/>
    <w:rsid w:val="00AE7AB7"/>
    <w:rsid w:val="00AE7D28"/>
    <w:rsid w:val="00AF1D18"/>
    <w:rsid w:val="00AF262A"/>
    <w:rsid w:val="00AF280B"/>
    <w:rsid w:val="00AF2FAA"/>
    <w:rsid w:val="00AF2FE4"/>
    <w:rsid w:val="00AF4148"/>
    <w:rsid w:val="00AF44C3"/>
    <w:rsid w:val="00AF6993"/>
    <w:rsid w:val="00AF702A"/>
    <w:rsid w:val="00AF7C5E"/>
    <w:rsid w:val="00B00722"/>
    <w:rsid w:val="00B0191C"/>
    <w:rsid w:val="00B0217F"/>
    <w:rsid w:val="00B02D0E"/>
    <w:rsid w:val="00B031A8"/>
    <w:rsid w:val="00B037B0"/>
    <w:rsid w:val="00B05E39"/>
    <w:rsid w:val="00B060DC"/>
    <w:rsid w:val="00B10ACA"/>
    <w:rsid w:val="00B111C1"/>
    <w:rsid w:val="00B11DBC"/>
    <w:rsid w:val="00B11E4D"/>
    <w:rsid w:val="00B12D38"/>
    <w:rsid w:val="00B1444A"/>
    <w:rsid w:val="00B144C3"/>
    <w:rsid w:val="00B14750"/>
    <w:rsid w:val="00B14866"/>
    <w:rsid w:val="00B14985"/>
    <w:rsid w:val="00B14CFE"/>
    <w:rsid w:val="00B155CE"/>
    <w:rsid w:val="00B1621E"/>
    <w:rsid w:val="00B162AD"/>
    <w:rsid w:val="00B16BBA"/>
    <w:rsid w:val="00B17416"/>
    <w:rsid w:val="00B177C6"/>
    <w:rsid w:val="00B179DB"/>
    <w:rsid w:val="00B200FE"/>
    <w:rsid w:val="00B2042A"/>
    <w:rsid w:val="00B21CD0"/>
    <w:rsid w:val="00B22C27"/>
    <w:rsid w:val="00B25670"/>
    <w:rsid w:val="00B25AA5"/>
    <w:rsid w:val="00B25BBE"/>
    <w:rsid w:val="00B30389"/>
    <w:rsid w:val="00B306A4"/>
    <w:rsid w:val="00B308E8"/>
    <w:rsid w:val="00B30BD1"/>
    <w:rsid w:val="00B317A2"/>
    <w:rsid w:val="00B318B0"/>
    <w:rsid w:val="00B31B6D"/>
    <w:rsid w:val="00B32004"/>
    <w:rsid w:val="00B324BE"/>
    <w:rsid w:val="00B32C3A"/>
    <w:rsid w:val="00B33307"/>
    <w:rsid w:val="00B33578"/>
    <w:rsid w:val="00B339B9"/>
    <w:rsid w:val="00B352BF"/>
    <w:rsid w:val="00B35E2D"/>
    <w:rsid w:val="00B368AB"/>
    <w:rsid w:val="00B36B3D"/>
    <w:rsid w:val="00B374C2"/>
    <w:rsid w:val="00B37723"/>
    <w:rsid w:val="00B37A94"/>
    <w:rsid w:val="00B37CD7"/>
    <w:rsid w:val="00B404EF"/>
    <w:rsid w:val="00B40C60"/>
    <w:rsid w:val="00B40FB9"/>
    <w:rsid w:val="00B41DF4"/>
    <w:rsid w:val="00B42973"/>
    <w:rsid w:val="00B429B6"/>
    <w:rsid w:val="00B449DC"/>
    <w:rsid w:val="00B44CC5"/>
    <w:rsid w:val="00B46760"/>
    <w:rsid w:val="00B50880"/>
    <w:rsid w:val="00B50B75"/>
    <w:rsid w:val="00B51B6D"/>
    <w:rsid w:val="00B52CA7"/>
    <w:rsid w:val="00B5666D"/>
    <w:rsid w:val="00B5770C"/>
    <w:rsid w:val="00B605EF"/>
    <w:rsid w:val="00B60D3C"/>
    <w:rsid w:val="00B611BB"/>
    <w:rsid w:val="00B61FBF"/>
    <w:rsid w:val="00B624CF"/>
    <w:rsid w:val="00B62AD2"/>
    <w:rsid w:val="00B62B51"/>
    <w:rsid w:val="00B642AF"/>
    <w:rsid w:val="00B642F4"/>
    <w:rsid w:val="00B64A37"/>
    <w:rsid w:val="00B64AA6"/>
    <w:rsid w:val="00B64DDB"/>
    <w:rsid w:val="00B66A4B"/>
    <w:rsid w:val="00B67D92"/>
    <w:rsid w:val="00B70619"/>
    <w:rsid w:val="00B72D35"/>
    <w:rsid w:val="00B72E46"/>
    <w:rsid w:val="00B738EA"/>
    <w:rsid w:val="00B7493D"/>
    <w:rsid w:val="00B74B43"/>
    <w:rsid w:val="00B76290"/>
    <w:rsid w:val="00B764F1"/>
    <w:rsid w:val="00B764FC"/>
    <w:rsid w:val="00B7727A"/>
    <w:rsid w:val="00B77793"/>
    <w:rsid w:val="00B818A8"/>
    <w:rsid w:val="00B8304C"/>
    <w:rsid w:val="00B837AA"/>
    <w:rsid w:val="00B83CD2"/>
    <w:rsid w:val="00B8403F"/>
    <w:rsid w:val="00B84047"/>
    <w:rsid w:val="00B85096"/>
    <w:rsid w:val="00B8552F"/>
    <w:rsid w:val="00B86D7B"/>
    <w:rsid w:val="00B87665"/>
    <w:rsid w:val="00B8786C"/>
    <w:rsid w:val="00B87AEA"/>
    <w:rsid w:val="00B87E15"/>
    <w:rsid w:val="00B9020E"/>
    <w:rsid w:val="00B9193F"/>
    <w:rsid w:val="00B92B7B"/>
    <w:rsid w:val="00B93203"/>
    <w:rsid w:val="00B93A86"/>
    <w:rsid w:val="00B93C48"/>
    <w:rsid w:val="00B944F0"/>
    <w:rsid w:val="00B95F7E"/>
    <w:rsid w:val="00B966A7"/>
    <w:rsid w:val="00B968E3"/>
    <w:rsid w:val="00B96E6F"/>
    <w:rsid w:val="00B96F80"/>
    <w:rsid w:val="00B974CC"/>
    <w:rsid w:val="00B975D6"/>
    <w:rsid w:val="00BA0885"/>
    <w:rsid w:val="00BA13E9"/>
    <w:rsid w:val="00BA17E3"/>
    <w:rsid w:val="00BA1F07"/>
    <w:rsid w:val="00BA22B6"/>
    <w:rsid w:val="00BA2641"/>
    <w:rsid w:val="00BA28C5"/>
    <w:rsid w:val="00BA357D"/>
    <w:rsid w:val="00BA3E3B"/>
    <w:rsid w:val="00BA41DC"/>
    <w:rsid w:val="00BA59CD"/>
    <w:rsid w:val="00BA5F50"/>
    <w:rsid w:val="00BA63F7"/>
    <w:rsid w:val="00BA68F5"/>
    <w:rsid w:val="00BA697C"/>
    <w:rsid w:val="00BA7652"/>
    <w:rsid w:val="00BA7881"/>
    <w:rsid w:val="00BA78E6"/>
    <w:rsid w:val="00BB0E72"/>
    <w:rsid w:val="00BB114B"/>
    <w:rsid w:val="00BB123E"/>
    <w:rsid w:val="00BB1A7F"/>
    <w:rsid w:val="00BB27E8"/>
    <w:rsid w:val="00BB30AC"/>
    <w:rsid w:val="00BB3686"/>
    <w:rsid w:val="00BB4AFE"/>
    <w:rsid w:val="00BB4FBB"/>
    <w:rsid w:val="00BB567F"/>
    <w:rsid w:val="00BB5856"/>
    <w:rsid w:val="00BB5C9F"/>
    <w:rsid w:val="00BB5EF3"/>
    <w:rsid w:val="00BB6CE2"/>
    <w:rsid w:val="00BB6F1B"/>
    <w:rsid w:val="00BC125B"/>
    <w:rsid w:val="00BC13C4"/>
    <w:rsid w:val="00BC1DAE"/>
    <w:rsid w:val="00BC1EB5"/>
    <w:rsid w:val="00BC22AA"/>
    <w:rsid w:val="00BC34ED"/>
    <w:rsid w:val="00BC4204"/>
    <w:rsid w:val="00BC5842"/>
    <w:rsid w:val="00BC6C3F"/>
    <w:rsid w:val="00BC7036"/>
    <w:rsid w:val="00BC7848"/>
    <w:rsid w:val="00BD0648"/>
    <w:rsid w:val="00BD0BBE"/>
    <w:rsid w:val="00BD10EF"/>
    <w:rsid w:val="00BD231A"/>
    <w:rsid w:val="00BD279E"/>
    <w:rsid w:val="00BD2BCA"/>
    <w:rsid w:val="00BD3A7F"/>
    <w:rsid w:val="00BD4F39"/>
    <w:rsid w:val="00BD6CE1"/>
    <w:rsid w:val="00BD6F06"/>
    <w:rsid w:val="00BD76C3"/>
    <w:rsid w:val="00BD7B71"/>
    <w:rsid w:val="00BD7C00"/>
    <w:rsid w:val="00BE26F7"/>
    <w:rsid w:val="00BE2DB1"/>
    <w:rsid w:val="00BE34C3"/>
    <w:rsid w:val="00BE39B4"/>
    <w:rsid w:val="00BE3FF2"/>
    <w:rsid w:val="00BE4356"/>
    <w:rsid w:val="00BE46C4"/>
    <w:rsid w:val="00BE4917"/>
    <w:rsid w:val="00BE4BE4"/>
    <w:rsid w:val="00BE4CC4"/>
    <w:rsid w:val="00BE4D8C"/>
    <w:rsid w:val="00BE51E6"/>
    <w:rsid w:val="00BE580E"/>
    <w:rsid w:val="00BE6AC8"/>
    <w:rsid w:val="00BF0326"/>
    <w:rsid w:val="00BF03CC"/>
    <w:rsid w:val="00BF4192"/>
    <w:rsid w:val="00BF5386"/>
    <w:rsid w:val="00BF554B"/>
    <w:rsid w:val="00BF6988"/>
    <w:rsid w:val="00BF7681"/>
    <w:rsid w:val="00BF7E1C"/>
    <w:rsid w:val="00C00CCC"/>
    <w:rsid w:val="00C0382B"/>
    <w:rsid w:val="00C03BB7"/>
    <w:rsid w:val="00C04027"/>
    <w:rsid w:val="00C04D03"/>
    <w:rsid w:val="00C04FE4"/>
    <w:rsid w:val="00C059F1"/>
    <w:rsid w:val="00C06345"/>
    <w:rsid w:val="00C0654E"/>
    <w:rsid w:val="00C06A47"/>
    <w:rsid w:val="00C06CB9"/>
    <w:rsid w:val="00C07048"/>
    <w:rsid w:val="00C07127"/>
    <w:rsid w:val="00C101BE"/>
    <w:rsid w:val="00C102B9"/>
    <w:rsid w:val="00C11058"/>
    <w:rsid w:val="00C1137B"/>
    <w:rsid w:val="00C11690"/>
    <w:rsid w:val="00C11DE9"/>
    <w:rsid w:val="00C1204E"/>
    <w:rsid w:val="00C12BFC"/>
    <w:rsid w:val="00C15573"/>
    <w:rsid w:val="00C15E21"/>
    <w:rsid w:val="00C16F1A"/>
    <w:rsid w:val="00C174A9"/>
    <w:rsid w:val="00C17851"/>
    <w:rsid w:val="00C17C33"/>
    <w:rsid w:val="00C2023E"/>
    <w:rsid w:val="00C202E5"/>
    <w:rsid w:val="00C204FF"/>
    <w:rsid w:val="00C2103D"/>
    <w:rsid w:val="00C21767"/>
    <w:rsid w:val="00C22611"/>
    <w:rsid w:val="00C227F3"/>
    <w:rsid w:val="00C22A4E"/>
    <w:rsid w:val="00C22A64"/>
    <w:rsid w:val="00C237F1"/>
    <w:rsid w:val="00C2412B"/>
    <w:rsid w:val="00C24561"/>
    <w:rsid w:val="00C2576D"/>
    <w:rsid w:val="00C26C55"/>
    <w:rsid w:val="00C26C99"/>
    <w:rsid w:val="00C27671"/>
    <w:rsid w:val="00C277EC"/>
    <w:rsid w:val="00C27973"/>
    <w:rsid w:val="00C27BFE"/>
    <w:rsid w:val="00C30AB3"/>
    <w:rsid w:val="00C31797"/>
    <w:rsid w:val="00C32450"/>
    <w:rsid w:val="00C33066"/>
    <w:rsid w:val="00C33E37"/>
    <w:rsid w:val="00C36105"/>
    <w:rsid w:val="00C36FB1"/>
    <w:rsid w:val="00C37402"/>
    <w:rsid w:val="00C379AD"/>
    <w:rsid w:val="00C379D7"/>
    <w:rsid w:val="00C37F92"/>
    <w:rsid w:val="00C40BC5"/>
    <w:rsid w:val="00C40EA0"/>
    <w:rsid w:val="00C422E3"/>
    <w:rsid w:val="00C437FB"/>
    <w:rsid w:val="00C43B14"/>
    <w:rsid w:val="00C44291"/>
    <w:rsid w:val="00C45E3A"/>
    <w:rsid w:val="00C461F1"/>
    <w:rsid w:val="00C462FA"/>
    <w:rsid w:val="00C465A0"/>
    <w:rsid w:val="00C467B4"/>
    <w:rsid w:val="00C46C6C"/>
    <w:rsid w:val="00C4726C"/>
    <w:rsid w:val="00C5038D"/>
    <w:rsid w:val="00C511CE"/>
    <w:rsid w:val="00C51B68"/>
    <w:rsid w:val="00C51CB2"/>
    <w:rsid w:val="00C52A7F"/>
    <w:rsid w:val="00C52EB0"/>
    <w:rsid w:val="00C53334"/>
    <w:rsid w:val="00C54A52"/>
    <w:rsid w:val="00C55197"/>
    <w:rsid w:val="00C55460"/>
    <w:rsid w:val="00C5587A"/>
    <w:rsid w:val="00C558DC"/>
    <w:rsid w:val="00C55B3C"/>
    <w:rsid w:val="00C563D3"/>
    <w:rsid w:val="00C56732"/>
    <w:rsid w:val="00C57975"/>
    <w:rsid w:val="00C57A97"/>
    <w:rsid w:val="00C57C9A"/>
    <w:rsid w:val="00C60510"/>
    <w:rsid w:val="00C6055B"/>
    <w:rsid w:val="00C60C3E"/>
    <w:rsid w:val="00C60D40"/>
    <w:rsid w:val="00C61046"/>
    <w:rsid w:val="00C61E65"/>
    <w:rsid w:val="00C62271"/>
    <w:rsid w:val="00C627E6"/>
    <w:rsid w:val="00C6311D"/>
    <w:rsid w:val="00C63B10"/>
    <w:rsid w:val="00C64433"/>
    <w:rsid w:val="00C645B1"/>
    <w:rsid w:val="00C65436"/>
    <w:rsid w:val="00C65DCF"/>
    <w:rsid w:val="00C66738"/>
    <w:rsid w:val="00C66D7D"/>
    <w:rsid w:val="00C6783F"/>
    <w:rsid w:val="00C70143"/>
    <w:rsid w:val="00C7419C"/>
    <w:rsid w:val="00C747C7"/>
    <w:rsid w:val="00C75943"/>
    <w:rsid w:val="00C77A4E"/>
    <w:rsid w:val="00C8037F"/>
    <w:rsid w:val="00C80BAB"/>
    <w:rsid w:val="00C80DDA"/>
    <w:rsid w:val="00C815D7"/>
    <w:rsid w:val="00C818CC"/>
    <w:rsid w:val="00C82096"/>
    <w:rsid w:val="00C82B5B"/>
    <w:rsid w:val="00C82FE5"/>
    <w:rsid w:val="00C83321"/>
    <w:rsid w:val="00C8430B"/>
    <w:rsid w:val="00C85E38"/>
    <w:rsid w:val="00C86849"/>
    <w:rsid w:val="00C869A2"/>
    <w:rsid w:val="00C870DC"/>
    <w:rsid w:val="00C91944"/>
    <w:rsid w:val="00C93265"/>
    <w:rsid w:val="00C93335"/>
    <w:rsid w:val="00C94478"/>
    <w:rsid w:val="00C95B02"/>
    <w:rsid w:val="00C95EE9"/>
    <w:rsid w:val="00C963F2"/>
    <w:rsid w:val="00C96854"/>
    <w:rsid w:val="00C96A24"/>
    <w:rsid w:val="00C97079"/>
    <w:rsid w:val="00C974BB"/>
    <w:rsid w:val="00C9764C"/>
    <w:rsid w:val="00C97D49"/>
    <w:rsid w:val="00CA07F2"/>
    <w:rsid w:val="00CA0FE7"/>
    <w:rsid w:val="00CA137A"/>
    <w:rsid w:val="00CA17AB"/>
    <w:rsid w:val="00CA1DC9"/>
    <w:rsid w:val="00CA2132"/>
    <w:rsid w:val="00CA2DDE"/>
    <w:rsid w:val="00CA2EFC"/>
    <w:rsid w:val="00CA2F29"/>
    <w:rsid w:val="00CA3A3F"/>
    <w:rsid w:val="00CA4B4D"/>
    <w:rsid w:val="00CA5CA7"/>
    <w:rsid w:val="00CA796F"/>
    <w:rsid w:val="00CB00DE"/>
    <w:rsid w:val="00CB0118"/>
    <w:rsid w:val="00CB106F"/>
    <w:rsid w:val="00CB1B49"/>
    <w:rsid w:val="00CB1F81"/>
    <w:rsid w:val="00CB20C0"/>
    <w:rsid w:val="00CB2BEA"/>
    <w:rsid w:val="00CB30BE"/>
    <w:rsid w:val="00CB3B4B"/>
    <w:rsid w:val="00CB40DD"/>
    <w:rsid w:val="00CB492C"/>
    <w:rsid w:val="00CB4E23"/>
    <w:rsid w:val="00CB5224"/>
    <w:rsid w:val="00CB55F6"/>
    <w:rsid w:val="00CB5734"/>
    <w:rsid w:val="00CB5BAB"/>
    <w:rsid w:val="00CB629C"/>
    <w:rsid w:val="00CB64FE"/>
    <w:rsid w:val="00CB7248"/>
    <w:rsid w:val="00CB7E48"/>
    <w:rsid w:val="00CB7ED7"/>
    <w:rsid w:val="00CC1622"/>
    <w:rsid w:val="00CC225F"/>
    <w:rsid w:val="00CC3842"/>
    <w:rsid w:val="00CC3880"/>
    <w:rsid w:val="00CC3911"/>
    <w:rsid w:val="00CC40E7"/>
    <w:rsid w:val="00CC49B0"/>
    <w:rsid w:val="00CC57BE"/>
    <w:rsid w:val="00CC66F1"/>
    <w:rsid w:val="00CC69E4"/>
    <w:rsid w:val="00CD02B0"/>
    <w:rsid w:val="00CD03FA"/>
    <w:rsid w:val="00CD05B8"/>
    <w:rsid w:val="00CD12D6"/>
    <w:rsid w:val="00CD1374"/>
    <w:rsid w:val="00CD1C3C"/>
    <w:rsid w:val="00CD259E"/>
    <w:rsid w:val="00CD2DC0"/>
    <w:rsid w:val="00CD2F33"/>
    <w:rsid w:val="00CD37A3"/>
    <w:rsid w:val="00CD3A8A"/>
    <w:rsid w:val="00CD56F2"/>
    <w:rsid w:val="00CD56FB"/>
    <w:rsid w:val="00CD5726"/>
    <w:rsid w:val="00CD616E"/>
    <w:rsid w:val="00CD6DA9"/>
    <w:rsid w:val="00CE02E1"/>
    <w:rsid w:val="00CE0657"/>
    <w:rsid w:val="00CE0BF9"/>
    <w:rsid w:val="00CE0CED"/>
    <w:rsid w:val="00CE134C"/>
    <w:rsid w:val="00CE2028"/>
    <w:rsid w:val="00CE3785"/>
    <w:rsid w:val="00CE437C"/>
    <w:rsid w:val="00CE5EBE"/>
    <w:rsid w:val="00CE5F0E"/>
    <w:rsid w:val="00CE6144"/>
    <w:rsid w:val="00CE6357"/>
    <w:rsid w:val="00CF01CD"/>
    <w:rsid w:val="00CF0DCC"/>
    <w:rsid w:val="00CF18E6"/>
    <w:rsid w:val="00CF19D8"/>
    <w:rsid w:val="00CF208C"/>
    <w:rsid w:val="00CF2109"/>
    <w:rsid w:val="00CF2CDB"/>
    <w:rsid w:val="00CF3D56"/>
    <w:rsid w:val="00CF3F2A"/>
    <w:rsid w:val="00CF72F5"/>
    <w:rsid w:val="00CF7615"/>
    <w:rsid w:val="00CF7F0A"/>
    <w:rsid w:val="00D00157"/>
    <w:rsid w:val="00D01545"/>
    <w:rsid w:val="00D02BE0"/>
    <w:rsid w:val="00D02DAA"/>
    <w:rsid w:val="00D0306D"/>
    <w:rsid w:val="00D03F65"/>
    <w:rsid w:val="00D041F6"/>
    <w:rsid w:val="00D1154B"/>
    <w:rsid w:val="00D11D45"/>
    <w:rsid w:val="00D12949"/>
    <w:rsid w:val="00D12984"/>
    <w:rsid w:val="00D12C7C"/>
    <w:rsid w:val="00D1398A"/>
    <w:rsid w:val="00D145C3"/>
    <w:rsid w:val="00D155AA"/>
    <w:rsid w:val="00D1737C"/>
    <w:rsid w:val="00D20719"/>
    <w:rsid w:val="00D2094A"/>
    <w:rsid w:val="00D2127F"/>
    <w:rsid w:val="00D21E9F"/>
    <w:rsid w:val="00D223E2"/>
    <w:rsid w:val="00D22ED7"/>
    <w:rsid w:val="00D24A16"/>
    <w:rsid w:val="00D250EA"/>
    <w:rsid w:val="00D2522D"/>
    <w:rsid w:val="00D26B7A"/>
    <w:rsid w:val="00D3050F"/>
    <w:rsid w:val="00D30A84"/>
    <w:rsid w:val="00D31218"/>
    <w:rsid w:val="00D31D26"/>
    <w:rsid w:val="00D324D6"/>
    <w:rsid w:val="00D32986"/>
    <w:rsid w:val="00D32BFA"/>
    <w:rsid w:val="00D32E82"/>
    <w:rsid w:val="00D33197"/>
    <w:rsid w:val="00D335FE"/>
    <w:rsid w:val="00D34396"/>
    <w:rsid w:val="00D35082"/>
    <w:rsid w:val="00D3517B"/>
    <w:rsid w:val="00D3646B"/>
    <w:rsid w:val="00D367B8"/>
    <w:rsid w:val="00D36B11"/>
    <w:rsid w:val="00D36C6D"/>
    <w:rsid w:val="00D36EB0"/>
    <w:rsid w:val="00D3701B"/>
    <w:rsid w:val="00D37848"/>
    <w:rsid w:val="00D37870"/>
    <w:rsid w:val="00D379F1"/>
    <w:rsid w:val="00D37C97"/>
    <w:rsid w:val="00D40D99"/>
    <w:rsid w:val="00D40FD9"/>
    <w:rsid w:val="00D41370"/>
    <w:rsid w:val="00D4232D"/>
    <w:rsid w:val="00D42513"/>
    <w:rsid w:val="00D4258B"/>
    <w:rsid w:val="00D42E07"/>
    <w:rsid w:val="00D4400C"/>
    <w:rsid w:val="00D45645"/>
    <w:rsid w:val="00D4579B"/>
    <w:rsid w:val="00D458AC"/>
    <w:rsid w:val="00D4785E"/>
    <w:rsid w:val="00D500BD"/>
    <w:rsid w:val="00D5150A"/>
    <w:rsid w:val="00D52A67"/>
    <w:rsid w:val="00D537B2"/>
    <w:rsid w:val="00D542A6"/>
    <w:rsid w:val="00D545E5"/>
    <w:rsid w:val="00D548C5"/>
    <w:rsid w:val="00D54C2F"/>
    <w:rsid w:val="00D54E77"/>
    <w:rsid w:val="00D55175"/>
    <w:rsid w:val="00D5549D"/>
    <w:rsid w:val="00D55524"/>
    <w:rsid w:val="00D566CC"/>
    <w:rsid w:val="00D56B92"/>
    <w:rsid w:val="00D57593"/>
    <w:rsid w:val="00D57AB5"/>
    <w:rsid w:val="00D60E78"/>
    <w:rsid w:val="00D6134F"/>
    <w:rsid w:val="00D613AF"/>
    <w:rsid w:val="00D62956"/>
    <w:rsid w:val="00D62F7D"/>
    <w:rsid w:val="00D63193"/>
    <w:rsid w:val="00D63801"/>
    <w:rsid w:val="00D641CE"/>
    <w:rsid w:val="00D66175"/>
    <w:rsid w:val="00D663BC"/>
    <w:rsid w:val="00D66687"/>
    <w:rsid w:val="00D67195"/>
    <w:rsid w:val="00D67707"/>
    <w:rsid w:val="00D67B8E"/>
    <w:rsid w:val="00D67C00"/>
    <w:rsid w:val="00D67C20"/>
    <w:rsid w:val="00D709FA"/>
    <w:rsid w:val="00D742AB"/>
    <w:rsid w:val="00D760BA"/>
    <w:rsid w:val="00D775A8"/>
    <w:rsid w:val="00D77F22"/>
    <w:rsid w:val="00D80298"/>
    <w:rsid w:val="00D814DE"/>
    <w:rsid w:val="00D82EB8"/>
    <w:rsid w:val="00D8310E"/>
    <w:rsid w:val="00D8322C"/>
    <w:rsid w:val="00D842C0"/>
    <w:rsid w:val="00D84BCA"/>
    <w:rsid w:val="00D84E91"/>
    <w:rsid w:val="00D8536C"/>
    <w:rsid w:val="00D854AA"/>
    <w:rsid w:val="00D86119"/>
    <w:rsid w:val="00D86A65"/>
    <w:rsid w:val="00D86D64"/>
    <w:rsid w:val="00D8797F"/>
    <w:rsid w:val="00D91274"/>
    <w:rsid w:val="00D9246C"/>
    <w:rsid w:val="00D9263E"/>
    <w:rsid w:val="00D9380A"/>
    <w:rsid w:val="00D93E59"/>
    <w:rsid w:val="00D93E87"/>
    <w:rsid w:val="00D9529B"/>
    <w:rsid w:val="00D952B8"/>
    <w:rsid w:val="00D96008"/>
    <w:rsid w:val="00D962F4"/>
    <w:rsid w:val="00D96D5A"/>
    <w:rsid w:val="00D96E0F"/>
    <w:rsid w:val="00D9717D"/>
    <w:rsid w:val="00D974D3"/>
    <w:rsid w:val="00D978CF"/>
    <w:rsid w:val="00D97D8C"/>
    <w:rsid w:val="00DA02E1"/>
    <w:rsid w:val="00DA053E"/>
    <w:rsid w:val="00DA1159"/>
    <w:rsid w:val="00DA13DF"/>
    <w:rsid w:val="00DA1F7C"/>
    <w:rsid w:val="00DA376E"/>
    <w:rsid w:val="00DA3B53"/>
    <w:rsid w:val="00DA434B"/>
    <w:rsid w:val="00DA4714"/>
    <w:rsid w:val="00DA4BEF"/>
    <w:rsid w:val="00DA51DA"/>
    <w:rsid w:val="00DA54EB"/>
    <w:rsid w:val="00DA5E46"/>
    <w:rsid w:val="00DA6EB7"/>
    <w:rsid w:val="00DA6EDC"/>
    <w:rsid w:val="00DA6F73"/>
    <w:rsid w:val="00DA6FB9"/>
    <w:rsid w:val="00DA7485"/>
    <w:rsid w:val="00DA763F"/>
    <w:rsid w:val="00DB0C4F"/>
    <w:rsid w:val="00DB13E8"/>
    <w:rsid w:val="00DB1CDB"/>
    <w:rsid w:val="00DB1F68"/>
    <w:rsid w:val="00DB24DB"/>
    <w:rsid w:val="00DB453C"/>
    <w:rsid w:val="00DC0767"/>
    <w:rsid w:val="00DC147F"/>
    <w:rsid w:val="00DC148A"/>
    <w:rsid w:val="00DC20BD"/>
    <w:rsid w:val="00DC2405"/>
    <w:rsid w:val="00DC36A2"/>
    <w:rsid w:val="00DC3E47"/>
    <w:rsid w:val="00DC4C5F"/>
    <w:rsid w:val="00DC4FCB"/>
    <w:rsid w:val="00DC603C"/>
    <w:rsid w:val="00DC658B"/>
    <w:rsid w:val="00DC6CA3"/>
    <w:rsid w:val="00DC766D"/>
    <w:rsid w:val="00DC7B2C"/>
    <w:rsid w:val="00DD03BC"/>
    <w:rsid w:val="00DD0BA4"/>
    <w:rsid w:val="00DD1506"/>
    <w:rsid w:val="00DD1BEC"/>
    <w:rsid w:val="00DD2128"/>
    <w:rsid w:val="00DD2E24"/>
    <w:rsid w:val="00DD55AF"/>
    <w:rsid w:val="00DD5F72"/>
    <w:rsid w:val="00DD67D3"/>
    <w:rsid w:val="00DD74BB"/>
    <w:rsid w:val="00DD7623"/>
    <w:rsid w:val="00DE0054"/>
    <w:rsid w:val="00DE0937"/>
    <w:rsid w:val="00DE16CB"/>
    <w:rsid w:val="00DE226A"/>
    <w:rsid w:val="00DE25F1"/>
    <w:rsid w:val="00DE28B8"/>
    <w:rsid w:val="00DE384C"/>
    <w:rsid w:val="00DE50B4"/>
    <w:rsid w:val="00DE5ED2"/>
    <w:rsid w:val="00DE5F74"/>
    <w:rsid w:val="00DE694F"/>
    <w:rsid w:val="00DE6E6D"/>
    <w:rsid w:val="00DE7B3B"/>
    <w:rsid w:val="00DF09B2"/>
    <w:rsid w:val="00DF1AD2"/>
    <w:rsid w:val="00DF20CB"/>
    <w:rsid w:val="00DF2D5B"/>
    <w:rsid w:val="00DF3093"/>
    <w:rsid w:val="00DF34B1"/>
    <w:rsid w:val="00DF5060"/>
    <w:rsid w:val="00DF5B0A"/>
    <w:rsid w:val="00DF5C52"/>
    <w:rsid w:val="00DF7585"/>
    <w:rsid w:val="00DF7D25"/>
    <w:rsid w:val="00E020F7"/>
    <w:rsid w:val="00E02FB2"/>
    <w:rsid w:val="00E03057"/>
    <w:rsid w:val="00E04B6F"/>
    <w:rsid w:val="00E04CC7"/>
    <w:rsid w:val="00E05383"/>
    <w:rsid w:val="00E05A72"/>
    <w:rsid w:val="00E0711D"/>
    <w:rsid w:val="00E10801"/>
    <w:rsid w:val="00E10A18"/>
    <w:rsid w:val="00E1139F"/>
    <w:rsid w:val="00E11BA0"/>
    <w:rsid w:val="00E130A5"/>
    <w:rsid w:val="00E13146"/>
    <w:rsid w:val="00E136EC"/>
    <w:rsid w:val="00E1588F"/>
    <w:rsid w:val="00E15D78"/>
    <w:rsid w:val="00E1634B"/>
    <w:rsid w:val="00E17F08"/>
    <w:rsid w:val="00E206ED"/>
    <w:rsid w:val="00E20811"/>
    <w:rsid w:val="00E20F4A"/>
    <w:rsid w:val="00E226AC"/>
    <w:rsid w:val="00E233E4"/>
    <w:rsid w:val="00E237DC"/>
    <w:rsid w:val="00E23FC1"/>
    <w:rsid w:val="00E241FD"/>
    <w:rsid w:val="00E251DD"/>
    <w:rsid w:val="00E2629A"/>
    <w:rsid w:val="00E26F14"/>
    <w:rsid w:val="00E30837"/>
    <w:rsid w:val="00E321FE"/>
    <w:rsid w:val="00E32282"/>
    <w:rsid w:val="00E32689"/>
    <w:rsid w:val="00E33321"/>
    <w:rsid w:val="00E3363D"/>
    <w:rsid w:val="00E3454C"/>
    <w:rsid w:val="00E34A98"/>
    <w:rsid w:val="00E35C3B"/>
    <w:rsid w:val="00E35C5E"/>
    <w:rsid w:val="00E36079"/>
    <w:rsid w:val="00E36644"/>
    <w:rsid w:val="00E37518"/>
    <w:rsid w:val="00E378FA"/>
    <w:rsid w:val="00E40A8A"/>
    <w:rsid w:val="00E40B44"/>
    <w:rsid w:val="00E413D1"/>
    <w:rsid w:val="00E42526"/>
    <w:rsid w:val="00E43CD3"/>
    <w:rsid w:val="00E4537D"/>
    <w:rsid w:val="00E45D67"/>
    <w:rsid w:val="00E46FC6"/>
    <w:rsid w:val="00E4734A"/>
    <w:rsid w:val="00E47A52"/>
    <w:rsid w:val="00E47E82"/>
    <w:rsid w:val="00E5020B"/>
    <w:rsid w:val="00E50DB4"/>
    <w:rsid w:val="00E51307"/>
    <w:rsid w:val="00E51848"/>
    <w:rsid w:val="00E52036"/>
    <w:rsid w:val="00E52B9C"/>
    <w:rsid w:val="00E52DB4"/>
    <w:rsid w:val="00E5433D"/>
    <w:rsid w:val="00E54CF7"/>
    <w:rsid w:val="00E54DF1"/>
    <w:rsid w:val="00E5577D"/>
    <w:rsid w:val="00E55E7E"/>
    <w:rsid w:val="00E5622A"/>
    <w:rsid w:val="00E569AF"/>
    <w:rsid w:val="00E56A32"/>
    <w:rsid w:val="00E56E24"/>
    <w:rsid w:val="00E56F16"/>
    <w:rsid w:val="00E5772E"/>
    <w:rsid w:val="00E57763"/>
    <w:rsid w:val="00E60255"/>
    <w:rsid w:val="00E606CC"/>
    <w:rsid w:val="00E61536"/>
    <w:rsid w:val="00E62243"/>
    <w:rsid w:val="00E625C3"/>
    <w:rsid w:val="00E62A99"/>
    <w:rsid w:val="00E631E7"/>
    <w:rsid w:val="00E63847"/>
    <w:rsid w:val="00E63A64"/>
    <w:rsid w:val="00E64577"/>
    <w:rsid w:val="00E663B7"/>
    <w:rsid w:val="00E667B9"/>
    <w:rsid w:val="00E66BEA"/>
    <w:rsid w:val="00E67C92"/>
    <w:rsid w:val="00E71E80"/>
    <w:rsid w:val="00E724AF"/>
    <w:rsid w:val="00E72C2D"/>
    <w:rsid w:val="00E72E57"/>
    <w:rsid w:val="00E73EF7"/>
    <w:rsid w:val="00E7490F"/>
    <w:rsid w:val="00E74979"/>
    <w:rsid w:val="00E74F5F"/>
    <w:rsid w:val="00E750D6"/>
    <w:rsid w:val="00E751D1"/>
    <w:rsid w:val="00E755E9"/>
    <w:rsid w:val="00E761D9"/>
    <w:rsid w:val="00E779FB"/>
    <w:rsid w:val="00E820CD"/>
    <w:rsid w:val="00E826EF"/>
    <w:rsid w:val="00E832ED"/>
    <w:rsid w:val="00E83BE5"/>
    <w:rsid w:val="00E83E06"/>
    <w:rsid w:val="00E87964"/>
    <w:rsid w:val="00E90C82"/>
    <w:rsid w:val="00E91345"/>
    <w:rsid w:val="00E91A2B"/>
    <w:rsid w:val="00E91F60"/>
    <w:rsid w:val="00E92128"/>
    <w:rsid w:val="00E9224A"/>
    <w:rsid w:val="00E9240D"/>
    <w:rsid w:val="00E930B5"/>
    <w:rsid w:val="00E935AD"/>
    <w:rsid w:val="00E9465C"/>
    <w:rsid w:val="00E95115"/>
    <w:rsid w:val="00E9592B"/>
    <w:rsid w:val="00E96193"/>
    <w:rsid w:val="00E96407"/>
    <w:rsid w:val="00E97995"/>
    <w:rsid w:val="00EA0335"/>
    <w:rsid w:val="00EA096E"/>
    <w:rsid w:val="00EA13B5"/>
    <w:rsid w:val="00EA200E"/>
    <w:rsid w:val="00EA221B"/>
    <w:rsid w:val="00EA25C7"/>
    <w:rsid w:val="00EA5EB2"/>
    <w:rsid w:val="00EA62E9"/>
    <w:rsid w:val="00EA79F1"/>
    <w:rsid w:val="00EB0478"/>
    <w:rsid w:val="00EB0FD8"/>
    <w:rsid w:val="00EB10AE"/>
    <w:rsid w:val="00EB1D98"/>
    <w:rsid w:val="00EB2D4C"/>
    <w:rsid w:val="00EB419E"/>
    <w:rsid w:val="00EB4CC9"/>
    <w:rsid w:val="00EB4CFC"/>
    <w:rsid w:val="00EB50AD"/>
    <w:rsid w:val="00EB6693"/>
    <w:rsid w:val="00EC0E8C"/>
    <w:rsid w:val="00EC1410"/>
    <w:rsid w:val="00EC265A"/>
    <w:rsid w:val="00EC2E5F"/>
    <w:rsid w:val="00EC3376"/>
    <w:rsid w:val="00EC47A4"/>
    <w:rsid w:val="00EC4B6D"/>
    <w:rsid w:val="00EC5728"/>
    <w:rsid w:val="00EC59D3"/>
    <w:rsid w:val="00EC5BEC"/>
    <w:rsid w:val="00EC5E00"/>
    <w:rsid w:val="00EC5E9E"/>
    <w:rsid w:val="00EC62D7"/>
    <w:rsid w:val="00EC7F92"/>
    <w:rsid w:val="00ED13C2"/>
    <w:rsid w:val="00ED1897"/>
    <w:rsid w:val="00ED1923"/>
    <w:rsid w:val="00ED3583"/>
    <w:rsid w:val="00ED41E0"/>
    <w:rsid w:val="00ED4502"/>
    <w:rsid w:val="00ED4AFC"/>
    <w:rsid w:val="00ED4D36"/>
    <w:rsid w:val="00ED51DC"/>
    <w:rsid w:val="00ED5DB8"/>
    <w:rsid w:val="00ED6272"/>
    <w:rsid w:val="00ED65ED"/>
    <w:rsid w:val="00ED671E"/>
    <w:rsid w:val="00ED6A45"/>
    <w:rsid w:val="00ED6E36"/>
    <w:rsid w:val="00ED780A"/>
    <w:rsid w:val="00EE02C2"/>
    <w:rsid w:val="00EE0604"/>
    <w:rsid w:val="00EE0A2C"/>
    <w:rsid w:val="00EE1409"/>
    <w:rsid w:val="00EE183D"/>
    <w:rsid w:val="00EE2A25"/>
    <w:rsid w:val="00EE3473"/>
    <w:rsid w:val="00EE3A37"/>
    <w:rsid w:val="00EE3D84"/>
    <w:rsid w:val="00EE3E25"/>
    <w:rsid w:val="00EE4B25"/>
    <w:rsid w:val="00EE6546"/>
    <w:rsid w:val="00EE7ADB"/>
    <w:rsid w:val="00EE7B1D"/>
    <w:rsid w:val="00EF187A"/>
    <w:rsid w:val="00EF1BEC"/>
    <w:rsid w:val="00EF3C59"/>
    <w:rsid w:val="00EF3EE8"/>
    <w:rsid w:val="00EF430F"/>
    <w:rsid w:val="00EF551B"/>
    <w:rsid w:val="00EF5A2C"/>
    <w:rsid w:val="00EF5C19"/>
    <w:rsid w:val="00EF629B"/>
    <w:rsid w:val="00EF6551"/>
    <w:rsid w:val="00EF6AD2"/>
    <w:rsid w:val="00EF782E"/>
    <w:rsid w:val="00EF7871"/>
    <w:rsid w:val="00EF7D89"/>
    <w:rsid w:val="00F002F6"/>
    <w:rsid w:val="00F00A58"/>
    <w:rsid w:val="00F00E38"/>
    <w:rsid w:val="00F00F56"/>
    <w:rsid w:val="00F01762"/>
    <w:rsid w:val="00F026D3"/>
    <w:rsid w:val="00F02BCE"/>
    <w:rsid w:val="00F0314B"/>
    <w:rsid w:val="00F033F4"/>
    <w:rsid w:val="00F047E2"/>
    <w:rsid w:val="00F05559"/>
    <w:rsid w:val="00F1011B"/>
    <w:rsid w:val="00F10D6A"/>
    <w:rsid w:val="00F118FC"/>
    <w:rsid w:val="00F12773"/>
    <w:rsid w:val="00F1277D"/>
    <w:rsid w:val="00F12DE2"/>
    <w:rsid w:val="00F144D4"/>
    <w:rsid w:val="00F148A6"/>
    <w:rsid w:val="00F15313"/>
    <w:rsid w:val="00F16437"/>
    <w:rsid w:val="00F16586"/>
    <w:rsid w:val="00F16AD0"/>
    <w:rsid w:val="00F176FA"/>
    <w:rsid w:val="00F20820"/>
    <w:rsid w:val="00F21850"/>
    <w:rsid w:val="00F23591"/>
    <w:rsid w:val="00F2579D"/>
    <w:rsid w:val="00F263FE"/>
    <w:rsid w:val="00F264B6"/>
    <w:rsid w:val="00F269D2"/>
    <w:rsid w:val="00F26E7E"/>
    <w:rsid w:val="00F27364"/>
    <w:rsid w:val="00F27486"/>
    <w:rsid w:val="00F30F3C"/>
    <w:rsid w:val="00F31510"/>
    <w:rsid w:val="00F31BAB"/>
    <w:rsid w:val="00F31CF2"/>
    <w:rsid w:val="00F34E17"/>
    <w:rsid w:val="00F35F53"/>
    <w:rsid w:val="00F36481"/>
    <w:rsid w:val="00F367B9"/>
    <w:rsid w:val="00F36954"/>
    <w:rsid w:val="00F36C53"/>
    <w:rsid w:val="00F36F65"/>
    <w:rsid w:val="00F37560"/>
    <w:rsid w:val="00F3763A"/>
    <w:rsid w:val="00F40A81"/>
    <w:rsid w:val="00F40D5A"/>
    <w:rsid w:val="00F41882"/>
    <w:rsid w:val="00F41CA8"/>
    <w:rsid w:val="00F41D70"/>
    <w:rsid w:val="00F42365"/>
    <w:rsid w:val="00F43813"/>
    <w:rsid w:val="00F43C5D"/>
    <w:rsid w:val="00F446A6"/>
    <w:rsid w:val="00F463BC"/>
    <w:rsid w:val="00F46447"/>
    <w:rsid w:val="00F46C19"/>
    <w:rsid w:val="00F472B8"/>
    <w:rsid w:val="00F51434"/>
    <w:rsid w:val="00F52440"/>
    <w:rsid w:val="00F545DC"/>
    <w:rsid w:val="00F548E7"/>
    <w:rsid w:val="00F5534A"/>
    <w:rsid w:val="00F57038"/>
    <w:rsid w:val="00F578D2"/>
    <w:rsid w:val="00F57973"/>
    <w:rsid w:val="00F61545"/>
    <w:rsid w:val="00F6158B"/>
    <w:rsid w:val="00F61CDB"/>
    <w:rsid w:val="00F63E54"/>
    <w:rsid w:val="00F647E9"/>
    <w:rsid w:val="00F64CF9"/>
    <w:rsid w:val="00F65400"/>
    <w:rsid w:val="00F66604"/>
    <w:rsid w:val="00F66764"/>
    <w:rsid w:val="00F66E3D"/>
    <w:rsid w:val="00F66E91"/>
    <w:rsid w:val="00F670EB"/>
    <w:rsid w:val="00F6718D"/>
    <w:rsid w:val="00F67CC5"/>
    <w:rsid w:val="00F67F55"/>
    <w:rsid w:val="00F7020D"/>
    <w:rsid w:val="00F7039F"/>
    <w:rsid w:val="00F70CF8"/>
    <w:rsid w:val="00F7161D"/>
    <w:rsid w:val="00F71A2E"/>
    <w:rsid w:val="00F7243D"/>
    <w:rsid w:val="00F7348C"/>
    <w:rsid w:val="00F737E3"/>
    <w:rsid w:val="00F741F5"/>
    <w:rsid w:val="00F74495"/>
    <w:rsid w:val="00F758E1"/>
    <w:rsid w:val="00F76392"/>
    <w:rsid w:val="00F7672C"/>
    <w:rsid w:val="00F779F3"/>
    <w:rsid w:val="00F77C10"/>
    <w:rsid w:val="00F8050C"/>
    <w:rsid w:val="00F81585"/>
    <w:rsid w:val="00F8162C"/>
    <w:rsid w:val="00F81D10"/>
    <w:rsid w:val="00F81DFE"/>
    <w:rsid w:val="00F8294B"/>
    <w:rsid w:val="00F86558"/>
    <w:rsid w:val="00F86670"/>
    <w:rsid w:val="00F912CF"/>
    <w:rsid w:val="00F91F56"/>
    <w:rsid w:val="00F922A4"/>
    <w:rsid w:val="00F933D8"/>
    <w:rsid w:val="00F94A0D"/>
    <w:rsid w:val="00F9561A"/>
    <w:rsid w:val="00F95715"/>
    <w:rsid w:val="00F96613"/>
    <w:rsid w:val="00F96811"/>
    <w:rsid w:val="00F978F6"/>
    <w:rsid w:val="00F97F13"/>
    <w:rsid w:val="00FA056F"/>
    <w:rsid w:val="00FA11D9"/>
    <w:rsid w:val="00FA1F4F"/>
    <w:rsid w:val="00FA21E7"/>
    <w:rsid w:val="00FA2688"/>
    <w:rsid w:val="00FA3EE2"/>
    <w:rsid w:val="00FA3F80"/>
    <w:rsid w:val="00FA58F0"/>
    <w:rsid w:val="00FA59E0"/>
    <w:rsid w:val="00FA5F90"/>
    <w:rsid w:val="00FB0530"/>
    <w:rsid w:val="00FB0FD6"/>
    <w:rsid w:val="00FB138C"/>
    <w:rsid w:val="00FB1E88"/>
    <w:rsid w:val="00FB43AB"/>
    <w:rsid w:val="00FB5255"/>
    <w:rsid w:val="00FB5962"/>
    <w:rsid w:val="00FB5AE2"/>
    <w:rsid w:val="00FB649E"/>
    <w:rsid w:val="00FB69AE"/>
    <w:rsid w:val="00FB7220"/>
    <w:rsid w:val="00FC02FD"/>
    <w:rsid w:val="00FC0BCD"/>
    <w:rsid w:val="00FC0D65"/>
    <w:rsid w:val="00FC1224"/>
    <w:rsid w:val="00FC3428"/>
    <w:rsid w:val="00FC489D"/>
    <w:rsid w:val="00FC4EFE"/>
    <w:rsid w:val="00FC5E53"/>
    <w:rsid w:val="00FC6AEF"/>
    <w:rsid w:val="00FC7402"/>
    <w:rsid w:val="00FD01F3"/>
    <w:rsid w:val="00FD07DC"/>
    <w:rsid w:val="00FD12A3"/>
    <w:rsid w:val="00FD2418"/>
    <w:rsid w:val="00FD3B83"/>
    <w:rsid w:val="00FD422A"/>
    <w:rsid w:val="00FD61F1"/>
    <w:rsid w:val="00FD7260"/>
    <w:rsid w:val="00FD7282"/>
    <w:rsid w:val="00FE0E84"/>
    <w:rsid w:val="00FE2511"/>
    <w:rsid w:val="00FE2697"/>
    <w:rsid w:val="00FE2871"/>
    <w:rsid w:val="00FE3013"/>
    <w:rsid w:val="00FE44B6"/>
    <w:rsid w:val="00FE56ED"/>
    <w:rsid w:val="00FE57B0"/>
    <w:rsid w:val="00FE5CB2"/>
    <w:rsid w:val="00FE62A4"/>
    <w:rsid w:val="00FE6700"/>
    <w:rsid w:val="00FE681F"/>
    <w:rsid w:val="00FE7075"/>
    <w:rsid w:val="00FE75C6"/>
    <w:rsid w:val="00FE7D9D"/>
    <w:rsid w:val="00FE7F40"/>
    <w:rsid w:val="00FF03CD"/>
    <w:rsid w:val="00FF0418"/>
    <w:rsid w:val="00FF1BE6"/>
    <w:rsid w:val="00FF256E"/>
    <w:rsid w:val="00FF2A30"/>
    <w:rsid w:val="00FF38B6"/>
    <w:rsid w:val="00FF52E7"/>
    <w:rsid w:val="00FF56A2"/>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811BD"/>
  <w15:docId w15:val="{C954F5C3-9F2B-49CC-AD89-BCC8E952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2ED"/>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832ED"/>
    <w:pPr>
      <w:tabs>
        <w:tab w:val="left" w:pos="340"/>
      </w:tabs>
      <w:spacing w:after="60"/>
      <w:ind w:left="340" w:hanging="340"/>
      <w:jc w:val="both"/>
    </w:pPr>
    <w:rPr>
      <w:sz w:val="20"/>
      <w:szCs w:val="20"/>
    </w:rPr>
  </w:style>
  <w:style w:type="character" w:styleId="EndnoteReference">
    <w:name w:val="endnote reference"/>
    <w:semiHidden/>
    <w:rsid w:val="00E832ED"/>
    <w:rPr>
      <w:rFonts w:cs="Times New Roman"/>
      <w:vertAlign w:val="superscript"/>
    </w:rPr>
  </w:style>
  <w:style w:type="paragraph" w:styleId="FootnoteText">
    <w:name w:val="footnote text"/>
    <w:basedOn w:val="Normal"/>
    <w:link w:val="FootnoteTextChar"/>
    <w:uiPriority w:val="99"/>
    <w:rsid w:val="00E832ED"/>
    <w:pPr>
      <w:tabs>
        <w:tab w:val="left" w:pos="340"/>
      </w:tabs>
      <w:spacing w:after="60"/>
      <w:ind w:left="340" w:hanging="340"/>
      <w:jc w:val="both"/>
    </w:pPr>
    <w:rPr>
      <w:sz w:val="18"/>
      <w:szCs w:val="20"/>
    </w:rPr>
  </w:style>
  <w:style w:type="character" w:styleId="FootnoteReference">
    <w:name w:val="footnote reference"/>
    <w:uiPriority w:val="99"/>
    <w:rsid w:val="00E832ED"/>
    <w:rPr>
      <w:rFonts w:cs="Times New Roman"/>
      <w:sz w:val="22"/>
      <w:vertAlign w:val="superscript"/>
    </w:rPr>
  </w:style>
  <w:style w:type="paragraph" w:styleId="TOC1">
    <w:name w:val="toc 1"/>
    <w:basedOn w:val="Normal"/>
    <w:next w:val="Normal"/>
    <w:autoRedefine/>
    <w:semiHidden/>
    <w:rsid w:val="00E832ED"/>
    <w:pPr>
      <w:tabs>
        <w:tab w:val="left" w:pos="567"/>
        <w:tab w:val="right" w:leader="dot" w:pos="8448"/>
      </w:tabs>
      <w:spacing w:before="120"/>
      <w:jc w:val="both"/>
    </w:pPr>
    <w:rPr>
      <w:caps/>
    </w:rPr>
  </w:style>
  <w:style w:type="paragraph" w:styleId="TOC2">
    <w:name w:val="toc 2"/>
    <w:basedOn w:val="Normal"/>
    <w:next w:val="Normal"/>
    <w:autoRedefine/>
    <w:semiHidden/>
    <w:rsid w:val="00E832ED"/>
    <w:pPr>
      <w:tabs>
        <w:tab w:val="left" w:pos="1134"/>
        <w:tab w:val="right" w:leader="dot" w:pos="8448"/>
      </w:tabs>
      <w:spacing w:before="120"/>
      <w:jc w:val="both"/>
    </w:pPr>
  </w:style>
  <w:style w:type="paragraph" w:styleId="TOC3">
    <w:name w:val="toc 3"/>
    <w:basedOn w:val="Normal"/>
    <w:next w:val="Normal"/>
    <w:autoRedefine/>
    <w:semiHidden/>
    <w:rsid w:val="00E832ED"/>
    <w:pPr>
      <w:tabs>
        <w:tab w:val="left" w:pos="1701"/>
        <w:tab w:val="right" w:leader="dot" w:pos="8448"/>
      </w:tabs>
      <w:spacing w:before="120"/>
      <w:jc w:val="both"/>
    </w:pPr>
  </w:style>
  <w:style w:type="paragraph" w:styleId="TOC4">
    <w:name w:val="toc 4"/>
    <w:basedOn w:val="Normal"/>
    <w:next w:val="Normal"/>
    <w:autoRedefine/>
    <w:semiHidden/>
    <w:rsid w:val="00E832ED"/>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E832ED"/>
    <w:pPr>
      <w:tabs>
        <w:tab w:val="center" w:pos="4253"/>
        <w:tab w:val="right" w:pos="8505"/>
      </w:tabs>
      <w:jc w:val="both"/>
    </w:pPr>
  </w:style>
  <w:style w:type="character" w:styleId="PageNumber">
    <w:name w:val="page number"/>
    <w:semiHidden/>
    <w:rsid w:val="00E832ED"/>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E832ED"/>
    <w:pPr>
      <w:tabs>
        <w:tab w:val="center" w:pos="4253"/>
        <w:tab w:val="right" w:pos="8505"/>
      </w:tabs>
      <w:jc w:val="both"/>
    </w:pPr>
  </w:style>
  <w:style w:type="character" w:customStyle="1" w:styleId="Filename">
    <w:name w:val="Filename"/>
    <w:semiHidden/>
    <w:rsid w:val="00E832ED"/>
    <w:rPr>
      <w:rFonts w:cs="Times New Roman"/>
      <w:sz w:val="13"/>
    </w:rPr>
  </w:style>
  <w:style w:type="paragraph" w:customStyle="1" w:styleId="LegalList1">
    <w:name w:val="Legal_List1"/>
    <w:basedOn w:val="LegalHeading1"/>
    <w:uiPriority w:val="99"/>
    <w:semiHidden/>
    <w:rsid w:val="00E832ED"/>
    <w:pPr>
      <w:keepNext w:val="0"/>
      <w:spacing w:before="0"/>
    </w:pPr>
    <w:rPr>
      <w:b w:val="0"/>
      <w:caps w:val="0"/>
    </w:rPr>
  </w:style>
  <w:style w:type="paragraph" w:customStyle="1" w:styleId="LegalAnnexList1">
    <w:name w:val="Legal_AnnexList1"/>
    <w:basedOn w:val="LegalNormal"/>
    <w:semiHidden/>
    <w:rsid w:val="00E832ED"/>
    <w:pPr>
      <w:numPr>
        <w:numId w:val="1"/>
      </w:numPr>
      <w:outlineLvl w:val="0"/>
    </w:pPr>
  </w:style>
  <w:style w:type="paragraph" w:customStyle="1" w:styleId="LegalAnnexList2">
    <w:name w:val="Legal_AnnexList2"/>
    <w:basedOn w:val="LegalNormal"/>
    <w:semiHidden/>
    <w:rsid w:val="00E832ED"/>
    <w:pPr>
      <w:numPr>
        <w:ilvl w:val="1"/>
        <w:numId w:val="1"/>
      </w:numPr>
      <w:tabs>
        <w:tab w:val="left" w:pos="3402"/>
        <w:tab w:val="left" w:pos="3969"/>
      </w:tabs>
      <w:outlineLvl w:val="1"/>
    </w:pPr>
  </w:style>
  <w:style w:type="paragraph" w:customStyle="1" w:styleId="LegalAnnexList3">
    <w:name w:val="Legal_AnnexList3"/>
    <w:basedOn w:val="LegalNormal"/>
    <w:semiHidden/>
    <w:rsid w:val="00E832ED"/>
    <w:pPr>
      <w:numPr>
        <w:ilvl w:val="2"/>
        <w:numId w:val="1"/>
      </w:numPr>
      <w:tabs>
        <w:tab w:val="left" w:pos="3969"/>
        <w:tab w:val="left" w:pos="4536"/>
      </w:tabs>
      <w:outlineLvl w:val="2"/>
    </w:pPr>
  </w:style>
  <w:style w:type="paragraph" w:customStyle="1" w:styleId="LegalAnnexList4">
    <w:name w:val="Legal_AnnexList4"/>
    <w:basedOn w:val="LegalNormal"/>
    <w:semiHidden/>
    <w:rsid w:val="00E832ED"/>
    <w:pPr>
      <w:numPr>
        <w:ilvl w:val="3"/>
        <w:numId w:val="1"/>
      </w:numPr>
      <w:outlineLvl w:val="3"/>
    </w:pPr>
  </w:style>
  <w:style w:type="paragraph" w:customStyle="1" w:styleId="LegalAnnexList5">
    <w:name w:val="Legal_AnnexList5"/>
    <w:basedOn w:val="LegalNormal"/>
    <w:semiHidden/>
    <w:rsid w:val="00E832ED"/>
    <w:pPr>
      <w:numPr>
        <w:ilvl w:val="4"/>
        <w:numId w:val="1"/>
      </w:numPr>
      <w:outlineLvl w:val="4"/>
    </w:pPr>
  </w:style>
  <w:style w:type="paragraph" w:styleId="DocumentMap">
    <w:name w:val="Document Map"/>
    <w:basedOn w:val="Normal"/>
    <w:semiHidden/>
    <w:rsid w:val="00E832ED"/>
    <w:pPr>
      <w:shd w:val="clear" w:color="auto" w:fill="000080"/>
    </w:pPr>
    <w:rPr>
      <w:rFonts w:ascii="Tahoma" w:hAnsi="Tahoma" w:cs="Tahoma"/>
      <w:sz w:val="20"/>
      <w:szCs w:val="20"/>
    </w:rPr>
  </w:style>
  <w:style w:type="paragraph" w:customStyle="1" w:styleId="LegalList2">
    <w:name w:val="Legal_List2"/>
    <w:basedOn w:val="LegalHeading2"/>
    <w:semiHidden/>
    <w:rsid w:val="00E832ED"/>
    <w:pPr>
      <w:keepNext w:val="0"/>
    </w:pPr>
    <w:rPr>
      <w:b w:val="0"/>
    </w:rPr>
  </w:style>
  <w:style w:type="paragraph" w:customStyle="1" w:styleId="LegalAnnexure">
    <w:name w:val="Legal_Annexure"/>
    <w:basedOn w:val="LegalNormal"/>
    <w:next w:val="LegalNormal"/>
    <w:semiHidden/>
    <w:rsid w:val="00E832ED"/>
    <w:pPr>
      <w:keepNext/>
      <w:jc w:val="right"/>
    </w:pPr>
    <w:rPr>
      <w:b/>
      <w:caps/>
    </w:rPr>
  </w:style>
  <w:style w:type="paragraph" w:customStyle="1" w:styleId="LegalBodyText1">
    <w:name w:val="Legal_BodyText1"/>
    <w:basedOn w:val="LegalNormal"/>
    <w:semiHidden/>
    <w:rsid w:val="00E832ED"/>
    <w:pPr>
      <w:ind w:left="567"/>
    </w:pPr>
  </w:style>
  <w:style w:type="paragraph" w:customStyle="1" w:styleId="LegalBodyText10">
    <w:name w:val="Legal_BodyText10"/>
    <w:basedOn w:val="LegalNormal"/>
    <w:semiHidden/>
    <w:rsid w:val="00E832ED"/>
    <w:pPr>
      <w:ind w:left="5670"/>
    </w:pPr>
  </w:style>
  <w:style w:type="paragraph" w:customStyle="1" w:styleId="LegalBodyText2">
    <w:name w:val="Legal_BodyText2"/>
    <w:basedOn w:val="LegalNormal"/>
    <w:semiHidden/>
    <w:rsid w:val="00E832ED"/>
    <w:pPr>
      <w:tabs>
        <w:tab w:val="left" w:pos="3402"/>
        <w:tab w:val="left" w:pos="3969"/>
      </w:tabs>
      <w:ind w:left="1134"/>
    </w:pPr>
  </w:style>
  <w:style w:type="paragraph" w:customStyle="1" w:styleId="LegalBodyText3">
    <w:name w:val="Legal_BodyText3"/>
    <w:basedOn w:val="LegalNormal"/>
    <w:semiHidden/>
    <w:rsid w:val="00E832ED"/>
    <w:pPr>
      <w:tabs>
        <w:tab w:val="left" w:pos="3969"/>
        <w:tab w:val="left" w:pos="4536"/>
      </w:tabs>
      <w:ind w:left="1701"/>
    </w:pPr>
  </w:style>
  <w:style w:type="paragraph" w:customStyle="1" w:styleId="LegalBodyText4">
    <w:name w:val="Legal_BodyText4"/>
    <w:basedOn w:val="LegalNormal"/>
    <w:semiHidden/>
    <w:rsid w:val="00E832ED"/>
    <w:pPr>
      <w:ind w:left="2268"/>
    </w:pPr>
  </w:style>
  <w:style w:type="paragraph" w:customStyle="1" w:styleId="LegalBodyText5">
    <w:name w:val="Legal_BodyText5"/>
    <w:basedOn w:val="LegalNormal"/>
    <w:semiHidden/>
    <w:rsid w:val="00E832ED"/>
    <w:pPr>
      <w:ind w:left="2835"/>
    </w:pPr>
  </w:style>
  <w:style w:type="paragraph" w:customStyle="1" w:styleId="LegalBodyText6">
    <w:name w:val="Legal_BodyText6"/>
    <w:basedOn w:val="LegalNormal"/>
    <w:semiHidden/>
    <w:rsid w:val="00E832ED"/>
    <w:pPr>
      <w:ind w:left="3402"/>
    </w:pPr>
  </w:style>
  <w:style w:type="paragraph" w:customStyle="1" w:styleId="LegalBodyText7">
    <w:name w:val="Legal_BodyText7"/>
    <w:basedOn w:val="LegalNormal"/>
    <w:semiHidden/>
    <w:rsid w:val="00E832ED"/>
    <w:pPr>
      <w:ind w:left="3969"/>
    </w:pPr>
  </w:style>
  <w:style w:type="paragraph" w:customStyle="1" w:styleId="LegalBodyText8">
    <w:name w:val="Legal_BodyText8"/>
    <w:basedOn w:val="LegalNormal"/>
    <w:semiHidden/>
    <w:rsid w:val="00E832ED"/>
    <w:pPr>
      <w:ind w:left="4536"/>
    </w:pPr>
  </w:style>
  <w:style w:type="paragraph" w:customStyle="1" w:styleId="LegalBodyText9">
    <w:name w:val="Legal_BodyText9"/>
    <w:basedOn w:val="LegalNormal"/>
    <w:semiHidden/>
    <w:rsid w:val="00E832ED"/>
    <w:pPr>
      <w:ind w:left="5103"/>
    </w:pPr>
  </w:style>
  <w:style w:type="paragraph" w:customStyle="1" w:styleId="LegalHeading1">
    <w:name w:val="Legal_Heading1"/>
    <w:basedOn w:val="LegalNormal"/>
    <w:next w:val="LegalBodyText1"/>
    <w:semiHidden/>
    <w:rsid w:val="00E832ED"/>
    <w:pPr>
      <w:keepNext/>
      <w:spacing w:before="480"/>
      <w:outlineLvl w:val="0"/>
    </w:pPr>
    <w:rPr>
      <w:b/>
      <w:caps/>
    </w:rPr>
  </w:style>
  <w:style w:type="paragraph" w:customStyle="1" w:styleId="LegalHeading2">
    <w:name w:val="Legal_Heading2"/>
    <w:basedOn w:val="LegalNormal"/>
    <w:next w:val="LegalBodyText2"/>
    <w:semiHidden/>
    <w:rsid w:val="00E832ED"/>
    <w:pPr>
      <w:keepNext/>
      <w:numPr>
        <w:ilvl w:val="1"/>
        <w:numId w:val="5"/>
      </w:numPr>
      <w:tabs>
        <w:tab w:val="left" w:pos="3402"/>
        <w:tab w:val="left" w:pos="3969"/>
      </w:tabs>
      <w:outlineLvl w:val="1"/>
    </w:pPr>
    <w:rPr>
      <w:b/>
    </w:rPr>
  </w:style>
  <w:style w:type="paragraph" w:customStyle="1" w:styleId="LegalHeading3">
    <w:name w:val="Legal_Heading3"/>
    <w:basedOn w:val="LegalNormal"/>
    <w:next w:val="LegalBodyText3"/>
    <w:semiHidden/>
    <w:rsid w:val="00E832ED"/>
    <w:pPr>
      <w:keepNext/>
      <w:numPr>
        <w:ilvl w:val="2"/>
        <w:numId w:val="5"/>
      </w:numPr>
      <w:tabs>
        <w:tab w:val="left" w:pos="3969"/>
        <w:tab w:val="left" w:pos="4536"/>
      </w:tabs>
      <w:outlineLvl w:val="2"/>
    </w:pPr>
    <w:rPr>
      <w:b/>
    </w:rPr>
  </w:style>
  <w:style w:type="paragraph" w:customStyle="1" w:styleId="LegalHeading4">
    <w:name w:val="Legal_Heading4"/>
    <w:basedOn w:val="LegalNormal"/>
    <w:next w:val="LegalBodyText4"/>
    <w:semiHidden/>
    <w:rsid w:val="00E832ED"/>
    <w:pPr>
      <w:keepNext/>
      <w:numPr>
        <w:ilvl w:val="3"/>
        <w:numId w:val="5"/>
      </w:numPr>
      <w:spacing w:after="240"/>
      <w:outlineLvl w:val="3"/>
    </w:pPr>
    <w:rPr>
      <w:b/>
    </w:rPr>
  </w:style>
  <w:style w:type="paragraph" w:customStyle="1" w:styleId="LegalHeading5">
    <w:name w:val="Legal_Heading5"/>
    <w:basedOn w:val="LegalNormal"/>
    <w:next w:val="LegalBodyText5"/>
    <w:semiHidden/>
    <w:rsid w:val="00E832ED"/>
    <w:pPr>
      <w:keepNext/>
      <w:numPr>
        <w:ilvl w:val="4"/>
        <w:numId w:val="5"/>
      </w:numPr>
      <w:spacing w:after="240"/>
      <w:outlineLvl w:val="4"/>
    </w:pPr>
    <w:rPr>
      <w:b/>
    </w:rPr>
  </w:style>
  <w:style w:type="paragraph" w:customStyle="1" w:styleId="LegalTitle">
    <w:name w:val="Legal_Title"/>
    <w:basedOn w:val="LegalNormal"/>
    <w:next w:val="LegalNormal"/>
    <w:semiHidden/>
    <w:rsid w:val="00E832ED"/>
    <w:pPr>
      <w:keepNext/>
      <w:jc w:val="center"/>
    </w:pPr>
    <w:rPr>
      <w:b/>
      <w:caps/>
    </w:rPr>
  </w:style>
  <w:style w:type="paragraph" w:customStyle="1" w:styleId="LegalList3">
    <w:name w:val="Legal_List3"/>
    <w:basedOn w:val="LegalHeading3"/>
    <w:semiHidden/>
    <w:rsid w:val="00E832ED"/>
    <w:pPr>
      <w:keepNext w:val="0"/>
    </w:pPr>
    <w:rPr>
      <w:b w:val="0"/>
    </w:rPr>
  </w:style>
  <w:style w:type="paragraph" w:customStyle="1" w:styleId="LegalAlpha">
    <w:name w:val="Legal_Alpha"/>
    <w:basedOn w:val="LegalNormal"/>
    <w:semiHidden/>
    <w:rsid w:val="00E832ED"/>
    <w:pPr>
      <w:keepNext/>
      <w:numPr>
        <w:numId w:val="3"/>
      </w:numPr>
    </w:pPr>
    <w:rPr>
      <w:b/>
      <w:caps/>
      <w:spacing w:val="2"/>
    </w:rPr>
  </w:style>
  <w:style w:type="paragraph" w:customStyle="1" w:styleId="LegalCitation">
    <w:name w:val="Legal_Citation"/>
    <w:basedOn w:val="LegalNormal"/>
    <w:semiHidden/>
    <w:rsid w:val="00E832ED"/>
    <w:pPr>
      <w:numPr>
        <w:numId w:val="2"/>
      </w:numPr>
    </w:pPr>
    <w:rPr>
      <w:spacing w:val="2"/>
    </w:rPr>
  </w:style>
  <w:style w:type="paragraph" w:customStyle="1" w:styleId="LegalList4">
    <w:name w:val="Legal_List4"/>
    <w:basedOn w:val="LegalHeading4"/>
    <w:semiHidden/>
    <w:rsid w:val="00E832ED"/>
    <w:pPr>
      <w:keepNext w:val="0"/>
    </w:pPr>
    <w:rPr>
      <w:b w:val="0"/>
    </w:rPr>
  </w:style>
  <w:style w:type="paragraph" w:customStyle="1" w:styleId="LegalList5">
    <w:name w:val="Legal_List5"/>
    <w:basedOn w:val="LegalHeading5"/>
    <w:semiHidden/>
    <w:rsid w:val="00E832ED"/>
    <w:pPr>
      <w:keepNext w:val="0"/>
    </w:pPr>
    <w:rPr>
      <w:b w:val="0"/>
    </w:rPr>
  </w:style>
  <w:style w:type="table" w:styleId="TableGrid">
    <w:name w:val="Table Grid"/>
    <w:basedOn w:val="TableNormal"/>
    <w:semiHidden/>
    <w:rsid w:val="00E832ED"/>
    <w:pPr>
      <w:suppressAutoHyphens/>
      <w:spacing w:before="40" w:after="40" w:line="264" w:lineRule="auto"/>
    </w:pPr>
    <w:rPr>
      <w:sz w:val="18"/>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qFormat/>
    <w:rsid w:val="00E832ED"/>
    <w:pPr>
      <w:keepNext/>
      <w:jc w:val="center"/>
    </w:pPr>
    <w:rPr>
      <w:rFonts w:cs="Arial"/>
      <w:b/>
      <w:bCs/>
      <w:caps/>
      <w:szCs w:val="32"/>
    </w:rPr>
  </w:style>
  <w:style w:type="character" w:styleId="CommentReference">
    <w:name w:val="annotation reference"/>
    <w:uiPriority w:val="99"/>
    <w:semiHidden/>
    <w:rsid w:val="00E832ED"/>
    <w:rPr>
      <w:rFonts w:cs="Times New Roman"/>
      <w:sz w:val="16"/>
      <w:szCs w:val="16"/>
    </w:rPr>
  </w:style>
  <w:style w:type="paragraph" w:styleId="CommentText">
    <w:name w:val="annotation text"/>
    <w:basedOn w:val="Normal"/>
    <w:semiHidden/>
    <w:rsid w:val="00E832ED"/>
    <w:rPr>
      <w:sz w:val="16"/>
      <w:szCs w:val="20"/>
    </w:rPr>
  </w:style>
  <w:style w:type="paragraph" w:styleId="CommentSubject">
    <w:name w:val="annotation subject"/>
    <w:basedOn w:val="CommentText"/>
    <w:next w:val="CommentText"/>
    <w:semiHidden/>
    <w:rsid w:val="00E832ED"/>
    <w:rPr>
      <w:b/>
      <w:bCs/>
    </w:rPr>
  </w:style>
  <w:style w:type="paragraph" w:styleId="BalloonText">
    <w:name w:val="Balloon Text"/>
    <w:basedOn w:val="Normal"/>
    <w:semiHidden/>
    <w:rsid w:val="00E832ED"/>
    <w:rPr>
      <w:rFonts w:ascii="Tahoma" w:hAnsi="Tahoma" w:cs="Tahoma"/>
      <w:sz w:val="16"/>
      <w:szCs w:val="16"/>
    </w:rPr>
  </w:style>
  <w:style w:type="paragraph" w:customStyle="1" w:styleId="LegalMAINHEADING">
    <w:name w:val="Legal_MAINHEADING"/>
    <w:basedOn w:val="LegalNormal"/>
    <w:next w:val="LegalNormal"/>
    <w:semiHidden/>
    <w:rsid w:val="00E832ED"/>
    <w:pPr>
      <w:keepNext/>
      <w:spacing w:before="480"/>
    </w:pPr>
    <w:rPr>
      <w:b/>
      <w:caps/>
    </w:rPr>
  </w:style>
  <w:style w:type="paragraph" w:customStyle="1" w:styleId="LegalTramLines">
    <w:name w:val="Legal_TramLines"/>
    <w:basedOn w:val="LegalNormal"/>
    <w:next w:val="LegalNormal"/>
    <w:semiHidden/>
    <w:rsid w:val="00E832ED"/>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E832ED"/>
    <w:pPr>
      <w:tabs>
        <w:tab w:val="right" w:pos="8789"/>
      </w:tabs>
    </w:pPr>
  </w:style>
  <w:style w:type="paragraph" w:customStyle="1" w:styleId="LegalNormal">
    <w:name w:val="Legal_Normal"/>
    <w:basedOn w:val="Normal"/>
    <w:rsid w:val="00E832ED"/>
    <w:pPr>
      <w:spacing w:after="360" w:line="480" w:lineRule="auto"/>
      <w:jc w:val="both"/>
    </w:pPr>
  </w:style>
  <w:style w:type="paragraph" w:customStyle="1" w:styleId="LegalAddressee">
    <w:name w:val="Legal_Addressee"/>
    <w:basedOn w:val="Normal"/>
    <w:next w:val="LegalNormal"/>
    <w:semiHidden/>
    <w:rsid w:val="00E832ED"/>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E832ED"/>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E832ED"/>
    <w:pPr>
      <w:suppressAutoHyphens w:val="0"/>
      <w:spacing w:before="480" w:after="960"/>
    </w:pPr>
    <w:rPr>
      <w:bCs/>
      <w:szCs w:val="20"/>
      <w:lang w:eastAsia="en-US"/>
    </w:rPr>
  </w:style>
  <w:style w:type="paragraph" w:customStyle="1" w:styleId="LegalSalutation">
    <w:name w:val="Legal_Salutation"/>
    <w:basedOn w:val="Normal"/>
    <w:next w:val="Normal"/>
    <w:semiHidden/>
    <w:rsid w:val="00E832ED"/>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E832ED"/>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styleId="Revision">
    <w:name w:val="Revision"/>
    <w:hidden/>
    <w:uiPriority w:val="99"/>
    <w:semiHidden/>
    <w:rsid w:val="005955F0"/>
    <w:rPr>
      <w:rFonts w:ascii="Arial" w:hAnsi="Arial"/>
      <w:sz w:val="24"/>
      <w:szCs w:val="24"/>
      <w:lang w:val="en-GB" w:eastAsia="en-GB"/>
    </w:rPr>
  </w:style>
  <w:style w:type="character" w:customStyle="1" w:styleId="FootnoteTextChar">
    <w:name w:val="Footnote Text Char"/>
    <w:basedOn w:val="DefaultParagraphFont"/>
    <w:link w:val="FootnoteText"/>
    <w:uiPriority w:val="99"/>
    <w:rsid w:val="002227A1"/>
    <w:rPr>
      <w:rFonts w:ascii="Arial" w:hAnsi="Arial"/>
      <w:sz w:val="18"/>
      <w:lang w:val="en-GB" w:eastAsia="en-GB"/>
    </w:rPr>
  </w:style>
  <w:style w:type="paragraph" w:customStyle="1" w:styleId="centreagreement">
    <w:name w:val="centre agreement"/>
    <w:basedOn w:val="Normal"/>
    <w:uiPriority w:val="99"/>
    <w:rsid w:val="00E56F16"/>
    <w:pPr>
      <w:numPr>
        <w:numId w:val="15"/>
      </w:numPr>
      <w:suppressAutoHyphens w:val="0"/>
      <w:spacing w:after="240" w:line="360" w:lineRule="auto"/>
      <w:jc w:val="both"/>
    </w:pPr>
    <w:rPr>
      <w:rFonts w:ascii="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128548413">
      <w:bodyDiv w:val="1"/>
      <w:marLeft w:val="0"/>
      <w:marRight w:val="0"/>
      <w:marTop w:val="0"/>
      <w:marBottom w:val="0"/>
      <w:divBdr>
        <w:top w:val="none" w:sz="0" w:space="0" w:color="auto"/>
        <w:left w:val="none" w:sz="0" w:space="0" w:color="auto"/>
        <w:bottom w:val="none" w:sz="0" w:space="0" w:color="auto"/>
        <w:right w:val="none" w:sz="0" w:space="0" w:color="auto"/>
      </w:divBdr>
    </w:div>
    <w:div w:id="204290951">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40943315">
      <w:bodyDiv w:val="1"/>
      <w:marLeft w:val="0"/>
      <w:marRight w:val="0"/>
      <w:marTop w:val="0"/>
      <w:marBottom w:val="0"/>
      <w:divBdr>
        <w:top w:val="none" w:sz="0" w:space="0" w:color="auto"/>
        <w:left w:val="none" w:sz="0" w:space="0" w:color="auto"/>
        <w:bottom w:val="none" w:sz="0" w:space="0" w:color="auto"/>
        <w:right w:val="none" w:sz="0" w:space="0" w:color="auto"/>
      </w:divBdr>
      <w:divsChild>
        <w:div w:id="1141269749">
          <w:marLeft w:val="1293"/>
          <w:marRight w:val="0"/>
          <w:marTop w:val="0"/>
          <w:marBottom w:val="180"/>
          <w:divBdr>
            <w:top w:val="none" w:sz="0" w:space="0" w:color="auto"/>
            <w:left w:val="none" w:sz="0" w:space="0" w:color="auto"/>
            <w:bottom w:val="none" w:sz="0" w:space="0" w:color="auto"/>
            <w:right w:val="none" w:sz="0" w:space="0" w:color="auto"/>
          </w:divBdr>
        </w:div>
        <w:div w:id="1979457009">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60871692">
      <w:bodyDiv w:val="1"/>
      <w:marLeft w:val="0"/>
      <w:marRight w:val="0"/>
      <w:marTop w:val="0"/>
      <w:marBottom w:val="0"/>
      <w:divBdr>
        <w:top w:val="none" w:sz="0" w:space="0" w:color="auto"/>
        <w:left w:val="none" w:sz="0" w:space="0" w:color="auto"/>
        <w:bottom w:val="none" w:sz="0" w:space="0" w:color="auto"/>
        <w:right w:val="none" w:sz="0" w:space="0" w:color="auto"/>
      </w:divBdr>
    </w:div>
    <w:div w:id="568273792">
      <w:bodyDiv w:val="1"/>
      <w:marLeft w:val="0"/>
      <w:marRight w:val="0"/>
      <w:marTop w:val="0"/>
      <w:marBottom w:val="0"/>
      <w:divBdr>
        <w:top w:val="none" w:sz="0" w:space="0" w:color="auto"/>
        <w:left w:val="none" w:sz="0" w:space="0" w:color="auto"/>
        <w:bottom w:val="none" w:sz="0" w:space="0" w:color="auto"/>
        <w:right w:val="none" w:sz="0" w:space="0" w:color="auto"/>
      </w:divBdr>
    </w:div>
    <w:div w:id="622883493">
      <w:bodyDiv w:val="1"/>
      <w:marLeft w:val="0"/>
      <w:marRight w:val="0"/>
      <w:marTop w:val="0"/>
      <w:marBottom w:val="0"/>
      <w:divBdr>
        <w:top w:val="none" w:sz="0" w:space="0" w:color="auto"/>
        <w:left w:val="none" w:sz="0" w:space="0" w:color="auto"/>
        <w:bottom w:val="none" w:sz="0" w:space="0" w:color="auto"/>
        <w:right w:val="none" w:sz="0" w:space="0" w:color="auto"/>
      </w:divBdr>
    </w:div>
    <w:div w:id="693305688">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64426624">
      <w:bodyDiv w:val="1"/>
      <w:marLeft w:val="0"/>
      <w:marRight w:val="0"/>
      <w:marTop w:val="0"/>
      <w:marBottom w:val="0"/>
      <w:divBdr>
        <w:top w:val="none" w:sz="0" w:space="0" w:color="auto"/>
        <w:left w:val="none" w:sz="0" w:space="0" w:color="auto"/>
        <w:bottom w:val="none" w:sz="0" w:space="0" w:color="auto"/>
        <w:right w:val="none" w:sz="0" w:space="0" w:color="auto"/>
      </w:divBdr>
    </w:div>
    <w:div w:id="895627579">
      <w:bodyDiv w:val="1"/>
      <w:marLeft w:val="0"/>
      <w:marRight w:val="0"/>
      <w:marTop w:val="0"/>
      <w:marBottom w:val="0"/>
      <w:divBdr>
        <w:top w:val="none" w:sz="0" w:space="0" w:color="auto"/>
        <w:left w:val="none" w:sz="0" w:space="0" w:color="auto"/>
        <w:bottom w:val="none" w:sz="0" w:space="0" w:color="auto"/>
        <w:right w:val="none" w:sz="0" w:space="0" w:color="auto"/>
      </w:divBdr>
    </w:div>
    <w:div w:id="1004475087">
      <w:bodyDiv w:val="1"/>
      <w:marLeft w:val="0"/>
      <w:marRight w:val="0"/>
      <w:marTop w:val="0"/>
      <w:marBottom w:val="0"/>
      <w:divBdr>
        <w:top w:val="none" w:sz="0" w:space="0" w:color="auto"/>
        <w:left w:val="none" w:sz="0" w:space="0" w:color="auto"/>
        <w:bottom w:val="none" w:sz="0" w:space="0" w:color="auto"/>
        <w:right w:val="none" w:sz="0" w:space="0" w:color="auto"/>
      </w:divBdr>
    </w:div>
    <w:div w:id="1068767069">
      <w:bodyDiv w:val="1"/>
      <w:marLeft w:val="0"/>
      <w:marRight w:val="0"/>
      <w:marTop w:val="0"/>
      <w:marBottom w:val="0"/>
      <w:divBdr>
        <w:top w:val="none" w:sz="0" w:space="0" w:color="auto"/>
        <w:left w:val="none" w:sz="0" w:space="0" w:color="auto"/>
        <w:bottom w:val="none" w:sz="0" w:space="0" w:color="auto"/>
        <w:right w:val="none" w:sz="0" w:space="0" w:color="auto"/>
      </w:divBdr>
    </w:div>
    <w:div w:id="1072847152">
      <w:bodyDiv w:val="1"/>
      <w:marLeft w:val="0"/>
      <w:marRight w:val="0"/>
      <w:marTop w:val="0"/>
      <w:marBottom w:val="0"/>
      <w:divBdr>
        <w:top w:val="none" w:sz="0" w:space="0" w:color="auto"/>
        <w:left w:val="none" w:sz="0" w:space="0" w:color="auto"/>
        <w:bottom w:val="none" w:sz="0" w:space="0" w:color="auto"/>
        <w:right w:val="none" w:sz="0" w:space="0" w:color="auto"/>
      </w:divBdr>
    </w:div>
    <w:div w:id="1149052917">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196232308">
      <w:bodyDiv w:val="1"/>
      <w:marLeft w:val="0"/>
      <w:marRight w:val="0"/>
      <w:marTop w:val="0"/>
      <w:marBottom w:val="0"/>
      <w:divBdr>
        <w:top w:val="none" w:sz="0" w:space="0" w:color="auto"/>
        <w:left w:val="none" w:sz="0" w:space="0" w:color="auto"/>
        <w:bottom w:val="none" w:sz="0" w:space="0" w:color="auto"/>
        <w:right w:val="none" w:sz="0" w:space="0" w:color="auto"/>
      </w:divBdr>
    </w:div>
    <w:div w:id="1265532195">
      <w:bodyDiv w:val="1"/>
      <w:marLeft w:val="0"/>
      <w:marRight w:val="0"/>
      <w:marTop w:val="0"/>
      <w:marBottom w:val="0"/>
      <w:divBdr>
        <w:top w:val="none" w:sz="0" w:space="0" w:color="auto"/>
        <w:left w:val="none" w:sz="0" w:space="0" w:color="auto"/>
        <w:bottom w:val="none" w:sz="0" w:space="0" w:color="auto"/>
        <w:right w:val="none" w:sz="0" w:space="0" w:color="auto"/>
      </w:divBdr>
    </w:div>
    <w:div w:id="1367832476">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591543565">
      <w:bodyDiv w:val="1"/>
      <w:marLeft w:val="0"/>
      <w:marRight w:val="0"/>
      <w:marTop w:val="0"/>
      <w:marBottom w:val="0"/>
      <w:divBdr>
        <w:top w:val="none" w:sz="0" w:space="0" w:color="auto"/>
        <w:left w:val="none" w:sz="0" w:space="0" w:color="auto"/>
        <w:bottom w:val="none" w:sz="0" w:space="0" w:color="auto"/>
        <w:right w:val="none" w:sz="0" w:space="0" w:color="auto"/>
      </w:divBdr>
    </w:div>
    <w:div w:id="1659922064">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204489324">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1095172718">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 w:id="2134058105">
          <w:marLeft w:val="0"/>
          <w:marRight w:val="0"/>
          <w:marTop w:val="120"/>
          <w:marBottom w:val="120"/>
          <w:divBdr>
            <w:top w:val="none" w:sz="0" w:space="0" w:color="auto"/>
            <w:left w:val="none" w:sz="0" w:space="0" w:color="auto"/>
            <w:bottom w:val="none" w:sz="0" w:space="0" w:color="auto"/>
            <w:right w:val="none" w:sz="0" w:space="0" w:color="auto"/>
          </w:divBdr>
        </w:div>
      </w:divsChild>
    </w:div>
    <w:div w:id="214611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flii.org/cgi-bin/LawCite?cit=1954%20%283%29%20SA%2035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aflii.org/cgi-bin/LawCite?cit=1980%20%284%29%20SA%2079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aflii.org/cgi-bin/LawCite?cit=1983%20%284%29%20SA%2037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lii.org/cgi-bin/LawCite?cit=1912%20AD%20181" TargetMode="External"/><Relationship Id="rId5" Type="http://schemas.openxmlformats.org/officeDocument/2006/relationships/webSettings" Target="webSettings.xml"/><Relationship Id="rId15" Type="http://schemas.openxmlformats.org/officeDocument/2006/relationships/hyperlink" Target="http://www.saflii.org/cgi-bin/LawCite?cit=1978%20%281%29%20SA%20914" TargetMode="External"/><Relationship Id="rId10" Type="http://schemas.openxmlformats.org/officeDocument/2006/relationships/hyperlink" Target="https://www.saflii.org/cgi-bin/LawCite?cit=1924%20OPD%20163"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aflii.org/cgi-bin/LawCite?cit=1979%20%282%29%20SA%201031" TargetMode="External"/><Relationship Id="rId14" Type="http://schemas.openxmlformats.org/officeDocument/2006/relationships/hyperlink" Target="https://www.saflii.org/cgi-bin/LawCite?cit=1954%20%283%29%20SA%203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CE09C-A4B0-4183-8F2F-B2EC1098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0</TotalTime>
  <Pages>14</Pages>
  <Words>3911</Words>
  <Characters>22298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Swart v RAF - Judgment - 2015.11.24</vt:lpstr>
    </vt:vector>
  </TitlesOfParts>
  <Company>.</Company>
  <LinksUpToDate>false</LinksUpToDate>
  <CharactersWithSpaces>26157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Swart v RAF - Judgment - 2015.11.24</dc:title>
  <dc:subject/>
  <dc:creator>ladams</dc:creator>
  <cp:keywords/>
  <dc:description/>
  <cp:lastModifiedBy>Mokone</cp:lastModifiedBy>
  <cp:revision>2</cp:revision>
  <cp:lastPrinted>2023-06-06T12:13:00Z</cp:lastPrinted>
  <dcterms:created xsi:type="dcterms:W3CDTF">2023-06-07T12:45:00Z</dcterms:created>
  <dcterms:modified xsi:type="dcterms:W3CDTF">2023-06-07T12:45:00Z</dcterms:modified>
</cp:coreProperties>
</file>