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1CC0" w14:textId="77777777" w:rsidR="000204AC" w:rsidRDefault="008C4626">
      <w:pPr>
        <w:spacing w:after="177" w:line="259" w:lineRule="auto"/>
        <w:ind w:left="0" w:right="3" w:firstLine="0"/>
        <w:jc w:val="center"/>
      </w:pPr>
      <w:r>
        <w:rPr>
          <w:noProof/>
        </w:rPr>
        <w:drawing>
          <wp:inline distT="0" distB="0" distL="0" distR="0" wp14:anchorId="4F56F772" wp14:editId="565FB006">
            <wp:extent cx="1536065" cy="153606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7"/>
                    <a:stretch>
                      <a:fillRect/>
                    </a:stretch>
                  </pic:blipFill>
                  <pic:spPr>
                    <a:xfrm>
                      <a:off x="0" y="0"/>
                      <a:ext cx="1536065" cy="1536065"/>
                    </a:xfrm>
                    <a:prstGeom prst="rect">
                      <a:avLst/>
                    </a:prstGeom>
                  </pic:spPr>
                </pic:pic>
              </a:graphicData>
            </a:graphic>
          </wp:inline>
        </w:drawing>
      </w:r>
      <w:r>
        <w:rPr>
          <w:b/>
        </w:rPr>
        <w:t xml:space="preserve"> </w:t>
      </w:r>
    </w:p>
    <w:p w14:paraId="4067ED75" w14:textId="77777777" w:rsidR="008C4626" w:rsidRDefault="008C4626">
      <w:pPr>
        <w:pStyle w:val="Heading1"/>
      </w:pPr>
      <w:r>
        <w:t xml:space="preserve">IN THE HIGH COURT OF SOUTH AFRICA, </w:t>
      </w:r>
    </w:p>
    <w:p w14:paraId="6E0D7725" w14:textId="77777777" w:rsidR="000204AC" w:rsidRDefault="008C4626">
      <w:pPr>
        <w:pStyle w:val="Heading1"/>
      </w:pPr>
      <w:r>
        <w:t xml:space="preserve">GAUTENG DIVISION, JOHANNESBURG </w:t>
      </w:r>
    </w:p>
    <w:p w14:paraId="15A0B7E3" w14:textId="77777777" w:rsidR="000204AC" w:rsidRDefault="008C4626">
      <w:pPr>
        <w:spacing w:after="0" w:line="259" w:lineRule="auto"/>
        <w:ind w:left="0" w:firstLine="0"/>
        <w:jc w:val="left"/>
      </w:pPr>
      <w:r>
        <w:rPr>
          <w:b/>
        </w:rPr>
        <w:t xml:space="preserve"> </w:t>
      </w:r>
    </w:p>
    <w:p w14:paraId="51BB333D" w14:textId="77777777" w:rsidR="000204AC" w:rsidRDefault="008C4626">
      <w:pPr>
        <w:spacing w:after="106" w:line="259" w:lineRule="auto"/>
        <w:ind w:left="2472" w:right="47"/>
        <w:jc w:val="right"/>
      </w:pPr>
      <w:r>
        <w:rPr>
          <w:b/>
        </w:rPr>
        <w:t xml:space="preserve">CASE NO: 2021/20343 </w:t>
      </w:r>
    </w:p>
    <w:p w14:paraId="15A998B5" w14:textId="77777777" w:rsidR="000204AC" w:rsidRDefault="008C4626">
      <w:pPr>
        <w:tabs>
          <w:tab w:val="right" w:pos="8614"/>
        </w:tabs>
        <w:spacing w:after="0" w:line="259" w:lineRule="auto"/>
        <w:ind w:left="-1" w:firstLine="0"/>
        <w:jc w:val="left"/>
      </w:pPr>
      <w:r>
        <w:rPr>
          <w:rFonts w:ascii="Calibri" w:eastAsia="Calibri" w:hAnsi="Calibri" w:cs="Calibri"/>
          <w:noProof/>
        </w:rPr>
        <mc:AlternateContent>
          <mc:Choice Requires="wpg">
            <w:drawing>
              <wp:inline distT="0" distB="0" distL="0" distR="0" wp14:anchorId="2FF0A754" wp14:editId="3E50107E">
                <wp:extent cx="3314700" cy="1592580"/>
                <wp:effectExtent l="0" t="0" r="19050" b="26670"/>
                <wp:docPr id="4627" name="Group 4627"/>
                <wp:cNvGraphicFramePr/>
                <a:graphic xmlns:a="http://schemas.openxmlformats.org/drawingml/2006/main">
                  <a:graphicData uri="http://schemas.microsoft.com/office/word/2010/wordprocessingGroup">
                    <wpg:wgp>
                      <wpg:cNvGrpSpPr/>
                      <wpg:grpSpPr>
                        <a:xfrm>
                          <a:off x="0" y="0"/>
                          <a:ext cx="3314700" cy="1592580"/>
                          <a:chOff x="0" y="0"/>
                          <a:chExt cx="3314700" cy="1592580"/>
                        </a:xfrm>
                      </wpg:grpSpPr>
                      <wps:wsp>
                        <wps:cNvPr id="16" name="Rectangle 16"/>
                        <wps:cNvSpPr/>
                        <wps:spPr>
                          <a:xfrm>
                            <a:off x="686" y="197470"/>
                            <a:ext cx="51809" cy="207922"/>
                          </a:xfrm>
                          <a:prstGeom prst="rect">
                            <a:avLst/>
                          </a:prstGeom>
                          <a:ln>
                            <a:noFill/>
                          </a:ln>
                        </wps:spPr>
                        <wps:txbx>
                          <w:txbxContent>
                            <w:p w14:paraId="053251BA" w14:textId="77777777" w:rsidR="000204AC" w:rsidRDefault="008C4626">
                              <w:pPr>
                                <w:spacing w:after="160" w:line="259" w:lineRule="auto"/>
                                <w:ind w:left="0" w:firstLine="0"/>
                                <w:jc w:val="left"/>
                              </w:pPr>
                              <w:r>
                                <w:t xml:space="preserve"> </w:t>
                              </w:r>
                            </w:p>
                          </w:txbxContent>
                        </wps:txbx>
                        <wps:bodyPr horzOverflow="overflow" vert="horz" lIns="0" tIns="0" rIns="0" bIns="0" rtlCol="0">
                          <a:noAutofit/>
                        </wps:bodyPr>
                      </wps:wsp>
                      <wps:wsp>
                        <wps:cNvPr id="17" name="Rectangle 17"/>
                        <wps:cNvSpPr/>
                        <wps:spPr>
                          <a:xfrm>
                            <a:off x="686" y="438262"/>
                            <a:ext cx="51809" cy="207922"/>
                          </a:xfrm>
                          <a:prstGeom prst="rect">
                            <a:avLst/>
                          </a:prstGeom>
                          <a:ln>
                            <a:noFill/>
                          </a:ln>
                        </wps:spPr>
                        <wps:txbx>
                          <w:txbxContent>
                            <w:p w14:paraId="2A901FA4" w14:textId="77777777" w:rsidR="000204AC" w:rsidRDefault="008C4626">
                              <w:pPr>
                                <w:spacing w:after="160" w:line="259" w:lineRule="auto"/>
                                <w:ind w:left="0" w:firstLine="0"/>
                                <w:jc w:val="left"/>
                              </w:pPr>
                              <w:r>
                                <w:t xml:space="preserve"> </w:t>
                              </w:r>
                            </w:p>
                          </w:txbxContent>
                        </wps:txbx>
                        <wps:bodyPr horzOverflow="overflow" vert="horz" lIns="0" tIns="0" rIns="0" bIns="0" rtlCol="0">
                          <a:noAutofit/>
                        </wps:bodyPr>
                      </wps:wsp>
                      <wps:wsp>
                        <wps:cNvPr id="18" name="Rectangle 18"/>
                        <wps:cNvSpPr/>
                        <wps:spPr>
                          <a:xfrm>
                            <a:off x="686" y="679054"/>
                            <a:ext cx="51809" cy="207921"/>
                          </a:xfrm>
                          <a:prstGeom prst="rect">
                            <a:avLst/>
                          </a:prstGeom>
                          <a:ln>
                            <a:noFill/>
                          </a:ln>
                        </wps:spPr>
                        <wps:txbx>
                          <w:txbxContent>
                            <w:p w14:paraId="77791B5A" w14:textId="77777777" w:rsidR="000204AC" w:rsidRDefault="008C4626">
                              <w:pPr>
                                <w:spacing w:after="160" w:line="259" w:lineRule="auto"/>
                                <w:ind w:left="0" w:firstLine="0"/>
                                <w:jc w:val="left"/>
                              </w:pPr>
                              <w:r>
                                <w:t xml:space="preserve"> </w:t>
                              </w:r>
                            </w:p>
                          </w:txbxContent>
                        </wps:txbx>
                        <wps:bodyPr horzOverflow="overflow" vert="horz" lIns="0" tIns="0" rIns="0" bIns="0" rtlCol="0">
                          <a:noAutofit/>
                        </wps:bodyPr>
                      </wps:wsp>
                      <wps:wsp>
                        <wps:cNvPr id="19" name="Rectangle 19"/>
                        <wps:cNvSpPr/>
                        <wps:spPr>
                          <a:xfrm>
                            <a:off x="686" y="921370"/>
                            <a:ext cx="51809" cy="207921"/>
                          </a:xfrm>
                          <a:prstGeom prst="rect">
                            <a:avLst/>
                          </a:prstGeom>
                          <a:ln>
                            <a:noFill/>
                          </a:ln>
                        </wps:spPr>
                        <wps:txbx>
                          <w:txbxContent>
                            <w:p w14:paraId="3DF68B68" w14:textId="77777777" w:rsidR="000204AC" w:rsidRDefault="008C4626">
                              <w:pPr>
                                <w:spacing w:after="160" w:line="259" w:lineRule="auto"/>
                                <w:ind w:left="0" w:firstLine="0"/>
                                <w:jc w:val="left"/>
                              </w:pPr>
                              <w:r>
                                <w:t xml:space="preserve"> </w:t>
                              </w:r>
                            </w:p>
                          </w:txbxContent>
                        </wps:txbx>
                        <wps:bodyPr horzOverflow="overflow" vert="horz" lIns="0" tIns="0" rIns="0" bIns="0" rtlCol="0">
                          <a:noAutofit/>
                        </wps:bodyPr>
                      </wps:wsp>
                      <wps:wsp>
                        <wps:cNvPr id="20" name="Rectangle 20"/>
                        <wps:cNvSpPr/>
                        <wps:spPr>
                          <a:xfrm>
                            <a:off x="686" y="1242934"/>
                            <a:ext cx="51809" cy="207921"/>
                          </a:xfrm>
                          <a:prstGeom prst="rect">
                            <a:avLst/>
                          </a:prstGeom>
                          <a:ln>
                            <a:noFill/>
                          </a:ln>
                        </wps:spPr>
                        <wps:txbx>
                          <w:txbxContent>
                            <w:p w14:paraId="0BB52BFE" w14:textId="77777777" w:rsidR="000204AC" w:rsidRDefault="008C4626">
                              <w:pPr>
                                <w:spacing w:after="160" w:line="259" w:lineRule="auto"/>
                                <w:ind w:left="0" w:firstLine="0"/>
                                <w:jc w:val="left"/>
                              </w:pPr>
                              <w:r>
                                <w:t xml:space="preserve"> </w:t>
                              </w:r>
                            </w:p>
                          </w:txbxContent>
                        </wps:txbx>
                        <wps:bodyPr horzOverflow="overflow" vert="horz" lIns="0" tIns="0" rIns="0" bIns="0" rtlCol="0">
                          <a:noAutofit/>
                        </wps:bodyPr>
                      </wps:wsp>
                      <wps:wsp>
                        <wps:cNvPr id="53" name="Shape 53"/>
                        <wps:cNvSpPr/>
                        <wps:spPr>
                          <a:xfrm>
                            <a:off x="0" y="0"/>
                            <a:ext cx="3314700" cy="1592580"/>
                          </a:xfrm>
                          <a:custGeom>
                            <a:avLst/>
                            <a:gdLst/>
                            <a:ahLst/>
                            <a:cxnLst/>
                            <a:rect l="0" t="0" r="0" b="0"/>
                            <a:pathLst>
                              <a:path w="3314700" h="1592580">
                                <a:moveTo>
                                  <a:pt x="0" y="1592580"/>
                                </a:moveTo>
                                <a:lnTo>
                                  <a:pt x="3314700" y="1592580"/>
                                </a:lnTo>
                                <a:lnTo>
                                  <a:pt x="3314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4" name="Rectangle 54"/>
                        <wps:cNvSpPr/>
                        <wps:spPr>
                          <a:xfrm>
                            <a:off x="1657604" y="84710"/>
                            <a:ext cx="47106" cy="163223"/>
                          </a:xfrm>
                          <a:prstGeom prst="rect">
                            <a:avLst/>
                          </a:prstGeom>
                          <a:ln>
                            <a:noFill/>
                          </a:ln>
                        </wps:spPr>
                        <wps:txbx>
                          <w:txbxContent>
                            <w:p w14:paraId="0B0902C1" w14:textId="77777777" w:rsidR="000204AC" w:rsidRDefault="008C4626">
                              <w:pPr>
                                <w:spacing w:after="160" w:line="259" w:lineRule="auto"/>
                                <w:ind w:left="0" w:firstLine="0"/>
                                <w:jc w:val="left"/>
                              </w:pPr>
                              <w:r>
                                <w:rPr>
                                  <w:rFonts w:ascii="Century Gothic" w:eastAsia="Century Gothic" w:hAnsi="Century Gothic" w:cs="Century Gothic"/>
                                  <w:b/>
                                  <w:sz w:val="20"/>
                                </w:rPr>
                                <w:t xml:space="preserve"> </w:t>
                              </w:r>
                            </w:p>
                          </w:txbxContent>
                        </wps:txbx>
                        <wps:bodyPr horzOverflow="overflow" vert="horz" lIns="0" tIns="0" rIns="0" bIns="0" rtlCol="0">
                          <a:noAutofit/>
                        </wps:bodyPr>
                      </wps:wsp>
                      <wps:wsp>
                        <wps:cNvPr id="55" name="Rectangle 55"/>
                        <wps:cNvSpPr/>
                        <wps:spPr>
                          <a:xfrm>
                            <a:off x="210947" y="240157"/>
                            <a:ext cx="217864" cy="163223"/>
                          </a:xfrm>
                          <a:prstGeom prst="rect">
                            <a:avLst/>
                          </a:prstGeom>
                          <a:ln>
                            <a:noFill/>
                          </a:ln>
                        </wps:spPr>
                        <wps:txbx>
                          <w:txbxContent>
                            <w:p w14:paraId="779C2E2D" w14:textId="77777777" w:rsidR="000204AC" w:rsidRDefault="008C4626">
                              <w:pPr>
                                <w:spacing w:after="160" w:line="259" w:lineRule="auto"/>
                                <w:ind w:left="0" w:firstLine="0"/>
                                <w:jc w:val="left"/>
                              </w:pPr>
                              <w:r>
                                <w:rPr>
                                  <w:rFonts w:ascii="Century Gothic" w:eastAsia="Century Gothic" w:hAnsi="Century Gothic" w:cs="Century Gothic"/>
                                  <w:sz w:val="20"/>
                                </w:rPr>
                                <w:t>(1)</w:t>
                              </w:r>
                            </w:p>
                          </w:txbxContent>
                        </wps:txbx>
                        <wps:bodyPr horzOverflow="overflow" vert="horz" lIns="0" tIns="0" rIns="0" bIns="0" rtlCol="0">
                          <a:noAutofit/>
                        </wps:bodyPr>
                      </wps:wsp>
                      <wps:wsp>
                        <wps:cNvPr id="56" name="Rectangle 56"/>
                        <wps:cNvSpPr/>
                        <wps:spPr>
                          <a:xfrm>
                            <a:off x="375539" y="220551"/>
                            <a:ext cx="46741" cy="187581"/>
                          </a:xfrm>
                          <a:prstGeom prst="rect">
                            <a:avLst/>
                          </a:prstGeom>
                          <a:ln>
                            <a:noFill/>
                          </a:ln>
                        </wps:spPr>
                        <wps:txbx>
                          <w:txbxContent>
                            <w:p w14:paraId="68BC1B1B" w14:textId="77777777" w:rsidR="000204AC" w:rsidRDefault="008C4626">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57" name="Rectangle 57"/>
                        <wps:cNvSpPr/>
                        <wps:spPr>
                          <a:xfrm>
                            <a:off x="668147" y="240157"/>
                            <a:ext cx="1095542" cy="163223"/>
                          </a:xfrm>
                          <a:prstGeom prst="rect">
                            <a:avLst/>
                          </a:prstGeom>
                          <a:ln>
                            <a:noFill/>
                          </a:ln>
                        </wps:spPr>
                        <wps:txbx>
                          <w:txbxContent>
                            <w:p w14:paraId="36650DC2" w14:textId="77777777" w:rsidR="000204AC" w:rsidRDefault="008C4626">
                              <w:pPr>
                                <w:spacing w:after="160" w:line="259" w:lineRule="auto"/>
                                <w:ind w:left="0" w:firstLine="0"/>
                                <w:jc w:val="left"/>
                              </w:pPr>
                              <w:r>
                                <w:rPr>
                                  <w:rFonts w:ascii="Century Gothic" w:eastAsia="Century Gothic" w:hAnsi="Century Gothic" w:cs="Century Gothic"/>
                                  <w:sz w:val="20"/>
                                </w:rPr>
                                <w:t xml:space="preserve">REPORTABLE: </w:t>
                              </w:r>
                            </w:p>
                          </w:txbxContent>
                        </wps:txbx>
                        <wps:bodyPr horzOverflow="overflow" vert="horz" lIns="0" tIns="0" rIns="0" bIns="0" rtlCol="0">
                          <a:noAutofit/>
                        </wps:bodyPr>
                      </wps:wsp>
                      <wps:wsp>
                        <wps:cNvPr id="58" name="Rectangle 58"/>
                        <wps:cNvSpPr/>
                        <wps:spPr>
                          <a:xfrm>
                            <a:off x="1494536" y="240157"/>
                            <a:ext cx="269838" cy="163223"/>
                          </a:xfrm>
                          <a:prstGeom prst="rect">
                            <a:avLst/>
                          </a:prstGeom>
                          <a:ln>
                            <a:noFill/>
                          </a:ln>
                        </wps:spPr>
                        <wps:txbx>
                          <w:txbxContent>
                            <w:p w14:paraId="32E1E1E7" w14:textId="77777777" w:rsidR="000204AC" w:rsidRDefault="008C4626">
                              <w:pPr>
                                <w:spacing w:after="160" w:line="259" w:lineRule="auto"/>
                                <w:ind w:left="0" w:firstLine="0"/>
                                <w:jc w:val="left"/>
                              </w:pPr>
                              <w:r>
                                <w:rPr>
                                  <w:rFonts w:ascii="Century Gothic" w:eastAsia="Century Gothic" w:hAnsi="Century Gothic" w:cs="Century Gothic"/>
                                  <w:sz w:val="20"/>
                                </w:rPr>
                                <w:t>NO</w:t>
                              </w:r>
                            </w:p>
                          </w:txbxContent>
                        </wps:txbx>
                        <wps:bodyPr horzOverflow="overflow" vert="horz" lIns="0" tIns="0" rIns="0" bIns="0" rtlCol="0">
                          <a:noAutofit/>
                        </wps:bodyPr>
                      </wps:wsp>
                      <wps:wsp>
                        <wps:cNvPr id="59" name="Rectangle 59"/>
                        <wps:cNvSpPr/>
                        <wps:spPr>
                          <a:xfrm>
                            <a:off x="1698752" y="240157"/>
                            <a:ext cx="46601" cy="163223"/>
                          </a:xfrm>
                          <a:prstGeom prst="rect">
                            <a:avLst/>
                          </a:prstGeom>
                          <a:ln>
                            <a:noFill/>
                          </a:ln>
                        </wps:spPr>
                        <wps:txbx>
                          <w:txbxContent>
                            <w:p w14:paraId="1D046297" w14:textId="77777777" w:rsidR="000204AC" w:rsidRDefault="008C4626">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60" name="Rectangle 60"/>
                        <wps:cNvSpPr/>
                        <wps:spPr>
                          <a:xfrm>
                            <a:off x="210947" y="395605"/>
                            <a:ext cx="217864" cy="163223"/>
                          </a:xfrm>
                          <a:prstGeom prst="rect">
                            <a:avLst/>
                          </a:prstGeom>
                          <a:ln>
                            <a:noFill/>
                          </a:ln>
                        </wps:spPr>
                        <wps:txbx>
                          <w:txbxContent>
                            <w:p w14:paraId="5A514C1B" w14:textId="77777777" w:rsidR="000204AC" w:rsidRDefault="008C4626">
                              <w:pPr>
                                <w:spacing w:after="160" w:line="259" w:lineRule="auto"/>
                                <w:ind w:left="0" w:firstLine="0"/>
                                <w:jc w:val="left"/>
                              </w:pPr>
                              <w:r>
                                <w:rPr>
                                  <w:rFonts w:ascii="Century Gothic" w:eastAsia="Century Gothic" w:hAnsi="Century Gothic" w:cs="Century Gothic"/>
                                  <w:sz w:val="20"/>
                                </w:rPr>
                                <w:t>(2)</w:t>
                              </w:r>
                            </w:p>
                          </w:txbxContent>
                        </wps:txbx>
                        <wps:bodyPr horzOverflow="overflow" vert="horz" lIns="0" tIns="0" rIns="0" bIns="0" rtlCol="0">
                          <a:noAutofit/>
                        </wps:bodyPr>
                      </wps:wsp>
                      <wps:wsp>
                        <wps:cNvPr id="61" name="Rectangle 61"/>
                        <wps:cNvSpPr/>
                        <wps:spPr>
                          <a:xfrm>
                            <a:off x="375539" y="375999"/>
                            <a:ext cx="46741" cy="187581"/>
                          </a:xfrm>
                          <a:prstGeom prst="rect">
                            <a:avLst/>
                          </a:prstGeom>
                          <a:ln>
                            <a:noFill/>
                          </a:ln>
                        </wps:spPr>
                        <wps:txbx>
                          <w:txbxContent>
                            <w:p w14:paraId="19288196" w14:textId="77777777" w:rsidR="000204AC" w:rsidRDefault="008C4626">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62" name="Rectangle 62"/>
                        <wps:cNvSpPr/>
                        <wps:spPr>
                          <a:xfrm>
                            <a:off x="668147" y="395605"/>
                            <a:ext cx="2473550" cy="163223"/>
                          </a:xfrm>
                          <a:prstGeom prst="rect">
                            <a:avLst/>
                          </a:prstGeom>
                          <a:ln>
                            <a:noFill/>
                          </a:ln>
                        </wps:spPr>
                        <wps:txbx>
                          <w:txbxContent>
                            <w:p w14:paraId="18554AE3" w14:textId="77777777" w:rsidR="000204AC" w:rsidRDefault="008C4626">
                              <w:pPr>
                                <w:spacing w:after="160" w:line="259" w:lineRule="auto"/>
                                <w:ind w:left="0" w:firstLine="0"/>
                                <w:jc w:val="left"/>
                              </w:pPr>
                              <w:r>
                                <w:rPr>
                                  <w:rFonts w:ascii="Century Gothic" w:eastAsia="Century Gothic" w:hAnsi="Century Gothic" w:cs="Century Gothic"/>
                                  <w:sz w:val="20"/>
                                </w:rPr>
                                <w:t>OF INTEREST TO OTHER JUDGES</w:t>
                              </w:r>
                            </w:p>
                          </w:txbxContent>
                        </wps:txbx>
                        <wps:bodyPr horzOverflow="overflow" vert="horz" lIns="0" tIns="0" rIns="0" bIns="0" rtlCol="0">
                          <a:noAutofit/>
                        </wps:bodyPr>
                      </wps:wsp>
                      <wps:wsp>
                        <wps:cNvPr id="4023" name="Rectangle 4023"/>
                        <wps:cNvSpPr/>
                        <wps:spPr>
                          <a:xfrm>
                            <a:off x="2529332" y="395605"/>
                            <a:ext cx="46601" cy="163223"/>
                          </a:xfrm>
                          <a:prstGeom prst="rect">
                            <a:avLst/>
                          </a:prstGeom>
                          <a:ln>
                            <a:noFill/>
                          </a:ln>
                        </wps:spPr>
                        <wps:txbx>
                          <w:txbxContent>
                            <w:p w14:paraId="34ACF00C" w14:textId="77777777" w:rsidR="000204AC" w:rsidRDefault="008C4626">
                              <w:pPr>
                                <w:spacing w:after="160" w:line="259" w:lineRule="auto"/>
                                <w:ind w:left="0" w:firstLine="0"/>
                                <w:jc w:val="left"/>
                              </w:pPr>
                              <w:r>
                                <w:rPr>
                                  <w:rFonts w:ascii="Century Gothic" w:eastAsia="Century Gothic" w:hAnsi="Century Gothic" w:cs="Century Gothic"/>
                                  <w:sz w:val="20"/>
                                </w:rPr>
                                <w:t>:</w:t>
                              </w:r>
                            </w:p>
                          </w:txbxContent>
                        </wps:txbx>
                        <wps:bodyPr horzOverflow="overflow" vert="horz" lIns="0" tIns="0" rIns="0" bIns="0" rtlCol="0">
                          <a:noAutofit/>
                        </wps:bodyPr>
                      </wps:wsp>
                      <wps:wsp>
                        <wps:cNvPr id="4024" name="Rectangle 4024"/>
                        <wps:cNvSpPr/>
                        <wps:spPr>
                          <a:xfrm>
                            <a:off x="2564370" y="395605"/>
                            <a:ext cx="318300" cy="163223"/>
                          </a:xfrm>
                          <a:prstGeom prst="rect">
                            <a:avLst/>
                          </a:prstGeom>
                          <a:ln>
                            <a:noFill/>
                          </a:ln>
                        </wps:spPr>
                        <wps:txbx>
                          <w:txbxContent>
                            <w:p w14:paraId="365664F1" w14:textId="77777777" w:rsidR="000204AC" w:rsidRDefault="008C4626">
                              <w:pPr>
                                <w:spacing w:after="160" w:line="259" w:lineRule="auto"/>
                                <w:ind w:left="0" w:firstLine="0"/>
                                <w:jc w:val="left"/>
                              </w:pPr>
                              <w:r>
                                <w:rPr>
                                  <w:rFonts w:ascii="Century Gothic" w:eastAsia="Century Gothic" w:hAnsi="Century Gothic" w:cs="Century Gothic"/>
                                  <w:sz w:val="20"/>
                                </w:rPr>
                                <w:t xml:space="preserve"> NO</w:t>
                              </w:r>
                            </w:p>
                          </w:txbxContent>
                        </wps:txbx>
                        <wps:bodyPr horzOverflow="overflow" vert="horz" lIns="0" tIns="0" rIns="0" bIns="0" rtlCol="0">
                          <a:noAutofit/>
                        </wps:bodyPr>
                      </wps:wsp>
                      <wps:wsp>
                        <wps:cNvPr id="64" name="Rectangle 64"/>
                        <wps:cNvSpPr/>
                        <wps:spPr>
                          <a:xfrm>
                            <a:off x="2805176" y="395605"/>
                            <a:ext cx="46601" cy="163223"/>
                          </a:xfrm>
                          <a:prstGeom prst="rect">
                            <a:avLst/>
                          </a:prstGeom>
                          <a:ln>
                            <a:noFill/>
                          </a:ln>
                        </wps:spPr>
                        <wps:txbx>
                          <w:txbxContent>
                            <w:p w14:paraId="4A443A86" w14:textId="77777777" w:rsidR="000204AC" w:rsidRDefault="008C4626">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65" name="Rectangle 65"/>
                        <wps:cNvSpPr/>
                        <wps:spPr>
                          <a:xfrm>
                            <a:off x="210947" y="551054"/>
                            <a:ext cx="46601" cy="163223"/>
                          </a:xfrm>
                          <a:prstGeom prst="rect">
                            <a:avLst/>
                          </a:prstGeom>
                          <a:ln>
                            <a:noFill/>
                          </a:ln>
                        </wps:spPr>
                        <wps:txbx>
                          <w:txbxContent>
                            <w:p w14:paraId="4CA98D2E" w14:textId="77777777" w:rsidR="000204AC" w:rsidRDefault="008C4626">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66" name="Rectangle 66"/>
                        <wps:cNvSpPr/>
                        <wps:spPr>
                          <a:xfrm>
                            <a:off x="96698" y="701929"/>
                            <a:ext cx="42565" cy="147491"/>
                          </a:xfrm>
                          <a:prstGeom prst="rect">
                            <a:avLst/>
                          </a:prstGeom>
                          <a:ln>
                            <a:noFill/>
                          </a:ln>
                        </wps:spPr>
                        <wps:txbx>
                          <w:txbxContent>
                            <w:p w14:paraId="706A3183" w14:textId="77777777" w:rsidR="000204AC" w:rsidRDefault="008C4626">
                              <w:pPr>
                                <w:spacing w:after="160" w:line="259" w:lineRule="auto"/>
                                <w:ind w:left="0" w:firstLine="0"/>
                                <w:jc w:val="left"/>
                              </w:pPr>
                              <w:r>
                                <w:rPr>
                                  <w:rFonts w:ascii="Century Gothic" w:eastAsia="Century Gothic" w:hAnsi="Century Gothic" w:cs="Century Gothic"/>
                                  <w:b/>
                                  <w:sz w:val="18"/>
                                </w:rPr>
                                <w:t xml:space="preserve"> </w:t>
                              </w:r>
                            </w:p>
                          </w:txbxContent>
                        </wps:txbx>
                        <wps:bodyPr horzOverflow="overflow" vert="horz" lIns="0" tIns="0" rIns="0" bIns="0" rtlCol="0">
                          <a:noAutofit/>
                        </wps:bodyPr>
                      </wps:wsp>
                      <wps:wsp>
                        <wps:cNvPr id="67" name="Rectangle 67"/>
                        <wps:cNvSpPr/>
                        <wps:spPr>
                          <a:xfrm>
                            <a:off x="1657604" y="918337"/>
                            <a:ext cx="1021568" cy="147491"/>
                          </a:xfrm>
                          <a:prstGeom prst="rect">
                            <a:avLst/>
                          </a:prstGeom>
                          <a:ln>
                            <a:noFill/>
                          </a:ln>
                        </wps:spPr>
                        <wps:txbx>
                          <w:txbxContent>
                            <w:p w14:paraId="067373C1" w14:textId="77777777" w:rsidR="000204AC" w:rsidRDefault="008C4626">
                              <w:pPr>
                                <w:spacing w:after="160" w:line="259" w:lineRule="auto"/>
                                <w:ind w:left="0" w:firstLine="0"/>
                                <w:jc w:val="left"/>
                              </w:pPr>
                              <w:r>
                                <w:rPr>
                                  <w:rFonts w:ascii="Century Gothic" w:eastAsia="Century Gothic" w:hAnsi="Century Gothic" w:cs="Century Gothic"/>
                                  <w:b/>
                                  <w:sz w:val="24"/>
                                  <w:vertAlign w:val="superscript"/>
                                </w:rPr>
                                <w:t xml:space="preserve">                        </w:t>
                              </w:r>
                            </w:p>
                          </w:txbxContent>
                        </wps:txbx>
                        <wps:bodyPr horzOverflow="overflow" vert="horz" lIns="0" tIns="0" rIns="0" bIns="0" rtlCol="0">
                          <a:noAutofit/>
                        </wps:bodyPr>
                      </wps:wsp>
                      <wps:wsp>
                        <wps:cNvPr id="68" name="Rectangle 68"/>
                        <wps:cNvSpPr/>
                        <wps:spPr>
                          <a:xfrm>
                            <a:off x="2425700" y="852043"/>
                            <a:ext cx="150479" cy="261551"/>
                          </a:xfrm>
                          <a:prstGeom prst="rect">
                            <a:avLst/>
                          </a:prstGeom>
                          <a:ln>
                            <a:noFill/>
                          </a:ln>
                        </wps:spPr>
                        <wps:txbx>
                          <w:txbxContent>
                            <w:p w14:paraId="429EC70D" w14:textId="77777777" w:rsidR="000204AC" w:rsidRDefault="008C4626">
                              <w:pPr>
                                <w:spacing w:after="160" w:line="259" w:lineRule="auto"/>
                                <w:ind w:left="0" w:firstLine="0"/>
                                <w:jc w:val="left"/>
                              </w:pPr>
                              <w:r>
                                <w:rPr>
                                  <w:rFonts w:ascii="Century Gothic" w:eastAsia="Century Gothic" w:hAnsi="Century Gothic" w:cs="Century Gothic"/>
                                  <w:b/>
                                  <w:sz w:val="32"/>
                                </w:rPr>
                                <w:t xml:space="preserve">  </w:t>
                              </w:r>
                            </w:p>
                          </w:txbxContent>
                        </wps:txbx>
                        <wps:bodyPr horzOverflow="overflow" vert="horz" lIns="0" tIns="0" rIns="0" bIns="0" rtlCol="0">
                          <a:noAutofit/>
                        </wps:bodyPr>
                      </wps:wsp>
                      <wps:wsp>
                        <wps:cNvPr id="69" name="Rectangle 69"/>
                        <wps:cNvSpPr/>
                        <wps:spPr>
                          <a:xfrm>
                            <a:off x="2538476" y="820626"/>
                            <a:ext cx="74898" cy="300582"/>
                          </a:xfrm>
                          <a:prstGeom prst="rect">
                            <a:avLst/>
                          </a:prstGeom>
                          <a:ln>
                            <a:noFill/>
                          </a:ln>
                        </wps:spPr>
                        <wps:txbx>
                          <w:txbxContent>
                            <w:p w14:paraId="215FEC7F" w14:textId="77777777" w:rsidR="000204AC" w:rsidRDefault="008C4626">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70" name="Rectangle 70"/>
                        <wps:cNvSpPr/>
                        <wps:spPr>
                          <a:xfrm>
                            <a:off x="96698" y="1076833"/>
                            <a:ext cx="170261" cy="147491"/>
                          </a:xfrm>
                          <a:prstGeom prst="rect">
                            <a:avLst/>
                          </a:prstGeom>
                          <a:ln>
                            <a:noFill/>
                          </a:ln>
                        </wps:spPr>
                        <wps:txbx>
                          <w:txbxContent>
                            <w:p w14:paraId="48214F5E" w14:textId="77777777" w:rsidR="000204AC" w:rsidRDefault="008C4626">
                              <w:pPr>
                                <w:spacing w:after="160" w:line="259" w:lineRule="auto"/>
                                <w:ind w:left="0" w:firstLine="0"/>
                                <w:jc w:val="left"/>
                              </w:pPr>
                              <w:r>
                                <w:rPr>
                                  <w:rFonts w:ascii="Century Gothic" w:eastAsia="Century Gothic" w:hAnsi="Century Gothic" w:cs="Century Gothic"/>
                                  <w:b/>
                                  <w:sz w:val="18"/>
                                </w:rPr>
                                <w:t xml:space="preserve">    </w:t>
                              </w:r>
                            </w:p>
                          </w:txbxContent>
                        </wps:txbx>
                        <wps:bodyPr horzOverflow="overflow" vert="horz" lIns="0" tIns="0" rIns="0" bIns="0" rtlCol="0">
                          <a:noAutofit/>
                        </wps:bodyPr>
                      </wps:wsp>
                      <wps:wsp>
                        <wps:cNvPr id="71" name="Rectangle 71"/>
                        <wps:cNvSpPr/>
                        <wps:spPr>
                          <a:xfrm>
                            <a:off x="224663" y="1076833"/>
                            <a:ext cx="127696" cy="147491"/>
                          </a:xfrm>
                          <a:prstGeom prst="rect">
                            <a:avLst/>
                          </a:prstGeom>
                          <a:ln>
                            <a:noFill/>
                          </a:ln>
                        </wps:spPr>
                        <wps:txbx>
                          <w:txbxContent>
                            <w:p w14:paraId="1CD02284" w14:textId="77777777" w:rsidR="000204AC" w:rsidRDefault="008C4626">
                              <w:pPr>
                                <w:spacing w:after="160" w:line="259" w:lineRule="auto"/>
                                <w:ind w:left="0" w:firstLine="0"/>
                                <w:jc w:val="left"/>
                              </w:pPr>
                              <w:r>
                                <w:rPr>
                                  <w:rFonts w:ascii="Century Gothic" w:eastAsia="Century Gothic" w:hAnsi="Century Gothic" w:cs="Century Gothic"/>
                                  <w:b/>
                                  <w:sz w:val="18"/>
                                </w:rPr>
                                <w:t xml:space="preserve">   </w:t>
                              </w:r>
                            </w:p>
                          </w:txbxContent>
                        </wps:txbx>
                        <wps:bodyPr horzOverflow="overflow" vert="horz" lIns="0" tIns="0" rIns="0" bIns="0" rtlCol="0">
                          <a:noAutofit/>
                        </wps:bodyPr>
                      </wps:wsp>
                      <wps:wsp>
                        <wps:cNvPr id="72" name="Rectangle 72"/>
                        <wps:cNvSpPr/>
                        <wps:spPr>
                          <a:xfrm>
                            <a:off x="320675" y="1076833"/>
                            <a:ext cx="505311" cy="147491"/>
                          </a:xfrm>
                          <a:prstGeom prst="rect">
                            <a:avLst/>
                          </a:prstGeom>
                          <a:ln>
                            <a:noFill/>
                          </a:ln>
                        </wps:spPr>
                        <wps:txbx>
                          <w:txbxContent>
                            <w:p w14:paraId="72E3BE43" w14:textId="77777777" w:rsidR="000204AC" w:rsidRDefault="008C4626">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73" name="Rectangle 73"/>
                        <wps:cNvSpPr/>
                        <wps:spPr>
                          <a:xfrm>
                            <a:off x="701675" y="1076833"/>
                            <a:ext cx="371078" cy="147491"/>
                          </a:xfrm>
                          <a:prstGeom prst="rect">
                            <a:avLst/>
                          </a:prstGeom>
                          <a:ln>
                            <a:noFill/>
                          </a:ln>
                        </wps:spPr>
                        <wps:txbx>
                          <w:txbxContent>
                            <w:p w14:paraId="76FE82A8" w14:textId="77777777" w:rsidR="000204AC" w:rsidRDefault="008C4626">
                              <w:pPr>
                                <w:spacing w:after="160" w:line="259" w:lineRule="auto"/>
                                <w:ind w:left="0" w:firstLine="0"/>
                                <w:jc w:val="left"/>
                              </w:pPr>
                              <w:r>
                                <w:rPr>
                                  <w:rFonts w:ascii="Century Gothic" w:eastAsia="Century Gothic" w:hAnsi="Century Gothic" w:cs="Century Gothic"/>
                                  <w:sz w:val="18"/>
                                </w:rPr>
                                <w:t>DATE</w:t>
                              </w:r>
                            </w:p>
                          </w:txbxContent>
                        </wps:txbx>
                        <wps:bodyPr horzOverflow="overflow" vert="horz" lIns="0" tIns="0" rIns="0" bIns="0" rtlCol="0">
                          <a:noAutofit/>
                        </wps:bodyPr>
                      </wps:wsp>
                      <wps:wsp>
                        <wps:cNvPr id="74" name="Rectangle 74"/>
                        <wps:cNvSpPr/>
                        <wps:spPr>
                          <a:xfrm>
                            <a:off x="980567" y="1076833"/>
                            <a:ext cx="42109" cy="147491"/>
                          </a:xfrm>
                          <a:prstGeom prst="rect">
                            <a:avLst/>
                          </a:prstGeom>
                          <a:ln>
                            <a:noFill/>
                          </a:ln>
                        </wps:spPr>
                        <wps:txbx>
                          <w:txbxContent>
                            <w:p w14:paraId="71767CE3" w14:textId="77777777" w:rsidR="000204AC" w:rsidRDefault="008C4626">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75" name="Rectangle 75"/>
                        <wps:cNvSpPr/>
                        <wps:spPr>
                          <a:xfrm>
                            <a:off x="1011047" y="1076833"/>
                            <a:ext cx="42109" cy="147491"/>
                          </a:xfrm>
                          <a:prstGeom prst="rect">
                            <a:avLst/>
                          </a:prstGeom>
                          <a:ln>
                            <a:noFill/>
                          </a:ln>
                        </wps:spPr>
                        <wps:txbx>
                          <w:txbxContent>
                            <w:p w14:paraId="085AEDF9" w14:textId="77777777" w:rsidR="000204AC" w:rsidRDefault="008C4626">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76" name="Rectangle 76"/>
                        <wps:cNvSpPr/>
                        <wps:spPr>
                          <a:xfrm>
                            <a:off x="1468628" y="1076833"/>
                            <a:ext cx="42109" cy="147491"/>
                          </a:xfrm>
                          <a:prstGeom prst="rect">
                            <a:avLst/>
                          </a:prstGeom>
                          <a:ln>
                            <a:noFill/>
                          </a:ln>
                        </wps:spPr>
                        <wps:txbx>
                          <w:txbxContent>
                            <w:p w14:paraId="6E21D7DD" w14:textId="77777777" w:rsidR="000204AC" w:rsidRDefault="008C4626">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77" name="Rectangle 77"/>
                        <wps:cNvSpPr/>
                        <wps:spPr>
                          <a:xfrm>
                            <a:off x="1925828" y="1076833"/>
                            <a:ext cx="337330" cy="147491"/>
                          </a:xfrm>
                          <a:prstGeom prst="rect">
                            <a:avLst/>
                          </a:prstGeom>
                          <a:ln>
                            <a:noFill/>
                          </a:ln>
                        </wps:spPr>
                        <wps:txbx>
                          <w:txbxContent>
                            <w:p w14:paraId="2BF857C1" w14:textId="77777777" w:rsidR="000204AC" w:rsidRDefault="008C4626">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78" name="Rectangle 78"/>
                        <wps:cNvSpPr/>
                        <wps:spPr>
                          <a:xfrm>
                            <a:off x="2180336" y="1076833"/>
                            <a:ext cx="804637" cy="147491"/>
                          </a:xfrm>
                          <a:prstGeom prst="rect">
                            <a:avLst/>
                          </a:prstGeom>
                          <a:ln>
                            <a:noFill/>
                          </a:ln>
                        </wps:spPr>
                        <wps:txbx>
                          <w:txbxContent>
                            <w:p w14:paraId="7157FEE4" w14:textId="77777777" w:rsidR="000204AC" w:rsidRDefault="008C4626">
                              <w:pPr>
                                <w:spacing w:after="160" w:line="259" w:lineRule="auto"/>
                                <w:ind w:left="0" w:firstLine="0"/>
                                <w:jc w:val="left"/>
                              </w:pPr>
                              <w:r>
                                <w:rPr>
                                  <w:rFonts w:ascii="Century Gothic" w:eastAsia="Century Gothic" w:hAnsi="Century Gothic" w:cs="Century Gothic"/>
                                  <w:sz w:val="18"/>
                                </w:rPr>
                                <w:t>SIGNATURE</w:t>
                              </w:r>
                            </w:p>
                          </w:txbxContent>
                        </wps:txbx>
                        <wps:bodyPr horzOverflow="overflow" vert="horz" lIns="0" tIns="0" rIns="0" bIns="0" rtlCol="0">
                          <a:noAutofit/>
                        </wps:bodyPr>
                      </wps:wsp>
                      <wps:wsp>
                        <wps:cNvPr id="79" name="Rectangle 79"/>
                        <wps:cNvSpPr/>
                        <wps:spPr>
                          <a:xfrm>
                            <a:off x="2785364" y="1076833"/>
                            <a:ext cx="42109" cy="147491"/>
                          </a:xfrm>
                          <a:prstGeom prst="rect">
                            <a:avLst/>
                          </a:prstGeom>
                          <a:ln>
                            <a:noFill/>
                          </a:ln>
                        </wps:spPr>
                        <wps:txbx>
                          <w:txbxContent>
                            <w:p w14:paraId="70A2637F" w14:textId="77777777" w:rsidR="000204AC" w:rsidRDefault="008C4626">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4025" name="Rectangle 4025"/>
                        <wps:cNvSpPr/>
                        <wps:spPr>
                          <a:xfrm>
                            <a:off x="666636" y="913240"/>
                            <a:ext cx="225393" cy="190519"/>
                          </a:xfrm>
                          <a:prstGeom prst="rect">
                            <a:avLst/>
                          </a:prstGeom>
                          <a:ln>
                            <a:noFill/>
                          </a:ln>
                        </wps:spPr>
                        <wps:txbx>
                          <w:txbxContent>
                            <w:p w14:paraId="667ADEAA" w14:textId="77777777" w:rsidR="000204AC" w:rsidRDefault="000204AC">
                              <w:pPr>
                                <w:spacing w:after="160" w:line="259" w:lineRule="auto"/>
                                <w:ind w:left="0" w:firstLine="0"/>
                                <w:jc w:val="left"/>
                              </w:pPr>
                            </w:p>
                          </w:txbxContent>
                        </wps:txbx>
                        <wps:bodyPr horzOverflow="overflow" vert="horz" lIns="0" tIns="0" rIns="0" bIns="0" rtlCol="0">
                          <a:noAutofit/>
                        </wps:bodyPr>
                      </wps:wsp>
                      <wps:wsp>
                        <wps:cNvPr id="4027" name="Rectangle 4027"/>
                        <wps:cNvSpPr/>
                        <wps:spPr>
                          <a:xfrm>
                            <a:off x="836105" y="913240"/>
                            <a:ext cx="56348" cy="190519"/>
                          </a:xfrm>
                          <a:prstGeom prst="rect">
                            <a:avLst/>
                          </a:prstGeom>
                          <a:ln>
                            <a:noFill/>
                          </a:ln>
                        </wps:spPr>
                        <wps:txbx>
                          <w:txbxContent>
                            <w:p w14:paraId="78893FB0" w14:textId="77777777" w:rsidR="000204AC" w:rsidRDefault="000204AC">
                              <w:pPr>
                                <w:spacing w:after="160" w:line="259" w:lineRule="auto"/>
                                <w:ind w:left="0" w:firstLine="0"/>
                                <w:jc w:val="left"/>
                              </w:pPr>
                            </w:p>
                          </w:txbxContent>
                        </wps:txbx>
                        <wps:bodyPr horzOverflow="overflow" vert="horz" lIns="0" tIns="0" rIns="0" bIns="0" rtlCol="0">
                          <a:noAutofit/>
                        </wps:bodyPr>
                      </wps:wsp>
                    </wpg:wgp>
                  </a:graphicData>
                </a:graphic>
              </wp:inline>
            </w:drawing>
          </mc:Choice>
          <mc:Fallback>
            <w:pict>
              <v:group id="Group 4627" o:spid="_x0000_s1026" style="width:261pt;height:125.4pt;mso-position-horizontal-relative:char;mso-position-vertical-relative:line" coordsize="33147,1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">
                <v:rect id="Rectangle 16" o:spid="_x0000_s1027" style="position:absolute;left:6;top:197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0204AC" w:rsidRDefault="008C4626">
                        <w:pPr>
                          <w:spacing w:after="160" w:line="259" w:lineRule="auto"/>
                          <w:ind w:left="0" w:firstLine="0"/>
                          <w:jc w:val="left"/>
                        </w:pPr>
                        <w:r>
                          <w:t xml:space="preserve"> </w:t>
                        </w:r>
                      </w:p>
                    </w:txbxContent>
                  </v:textbox>
                </v:rect>
                <v:rect id="Rectangle 17" o:spid="_x0000_s1028" style="position:absolute;left:6;top:438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0204AC" w:rsidRDefault="008C4626">
                        <w:pPr>
                          <w:spacing w:after="160" w:line="259" w:lineRule="auto"/>
                          <w:ind w:left="0" w:firstLine="0"/>
                          <w:jc w:val="left"/>
                        </w:pPr>
                        <w:r>
                          <w:t xml:space="preserve"> </w:t>
                        </w:r>
                      </w:p>
                    </w:txbxContent>
                  </v:textbox>
                </v:rect>
                <v:rect id="Rectangle 18" o:spid="_x0000_s1029" style="position:absolute;left:6;top:679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0204AC" w:rsidRDefault="008C4626">
                        <w:pPr>
                          <w:spacing w:after="160" w:line="259" w:lineRule="auto"/>
                          <w:ind w:left="0" w:firstLine="0"/>
                          <w:jc w:val="left"/>
                        </w:pPr>
                        <w:r>
                          <w:t xml:space="preserve"> </w:t>
                        </w:r>
                      </w:p>
                    </w:txbxContent>
                  </v:textbox>
                </v:rect>
                <v:rect id="Rectangle 19" o:spid="_x0000_s1030" style="position:absolute;left:6;top:921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0204AC" w:rsidRDefault="008C4626">
                        <w:pPr>
                          <w:spacing w:after="160" w:line="259" w:lineRule="auto"/>
                          <w:ind w:left="0" w:firstLine="0"/>
                          <w:jc w:val="left"/>
                        </w:pPr>
                        <w:r>
                          <w:t xml:space="preserve"> </w:t>
                        </w:r>
                      </w:p>
                    </w:txbxContent>
                  </v:textbox>
                </v:rect>
                <v:rect id="Rectangle 20" o:spid="_x0000_s1031" style="position:absolute;left:6;top:1242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0204AC" w:rsidRDefault="008C4626">
                        <w:pPr>
                          <w:spacing w:after="160" w:line="259" w:lineRule="auto"/>
                          <w:ind w:left="0" w:firstLine="0"/>
                          <w:jc w:val="left"/>
                        </w:pPr>
                        <w:r>
                          <w:t xml:space="preserve"> </w:t>
                        </w:r>
                      </w:p>
                    </w:txbxContent>
                  </v:textbox>
                </v:rect>
                <v:shape id="Shape 53" o:spid="_x0000_s1032" style="position:absolute;width:33147;height:15925;visibility:visible;mso-wrap-style:square;v-text-anchor:top" coordsize="3314700,159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" path="m,1592580r3314700,l3314700,,,,,1592580xe" filled="f">
                  <v:stroke miterlimit="83231f" joinstyle="miter"/>
                  <v:path arrowok="t" textboxrect="0,0,3314700,1592580"/>
                </v:shape>
                <v:rect id="Rectangle 54" o:spid="_x0000_s1033" style="position:absolute;left:16576;top:847;width:471;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0204AC" w:rsidRDefault="008C4626">
                        <w:pPr>
                          <w:spacing w:after="160" w:line="259" w:lineRule="auto"/>
                          <w:ind w:left="0" w:firstLine="0"/>
                          <w:jc w:val="left"/>
                        </w:pPr>
                        <w:r>
                          <w:rPr>
                            <w:rFonts w:ascii="Century Gothic" w:eastAsia="Century Gothic" w:hAnsi="Century Gothic" w:cs="Century Gothic"/>
                            <w:b/>
                            <w:sz w:val="20"/>
                          </w:rPr>
                          <w:t xml:space="preserve"> </w:t>
                        </w:r>
                      </w:p>
                    </w:txbxContent>
                  </v:textbox>
                </v:rect>
                <v:rect id="Rectangle 55" o:spid="_x0000_s1034" style="position:absolute;left:2109;top:2401;width:2179;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0204AC" w:rsidRDefault="008C4626">
                        <w:pPr>
                          <w:spacing w:after="160" w:line="259" w:lineRule="auto"/>
                          <w:ind w:left="0" w:firstLine="0"/>
                          <w:jc w:val="left"/>
                        </w:pPr>
                        <w:r>
                          <w:rPr>
                            <w:rFonts w:ascii="Century Gothic" w:eastAsia="Century Gothic" w:hAnsi="Century Gothic" w:cs="Century Gothic"/>
                            <w:sz w:val="20"/>
                          </w:rPr>
                          <w:t>(1)</w:t>
                        </w:r>
                      </w:p>
                    </w:txbxContent>
                  </v:textbox>
                </v:rect>
                <v:rect id="Rectangle 56" o:spid="_x0000_s1035" style="position:absolute;left:3755;top:220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0204AC" w:rsidRDefault="008C4626">
                        <w:pPr>
                          <w:spacing w:after="160" w:line="259" w:lineRule="auto"/>
                          <w:ind w:left="0" w:firstLine="0"/>
                          <w:jc w:val="left"/>
                        </w:pPr>
                        <w:r>
                          <w:rPr>
                            <w:sz w:val="20"/>
                          </w:rPr>
                          <w:t xml:space="preserve"> </w:t>
                        </w:r>
                      </w:p>
                    </w:txbxContent>
                  </v:textbox>
                </v:rect>
                <v:rect id="Rectangle 57" o:spid="_x0000_s1036" style="position:absolute;left:6681;top:2401;width:10955;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0204AC" w:rsidRDefault="008C4626">
                        <w:pPr>
                          <w:spacing w:after="160" w:line="259" w:lineRule="auto"/>
                          <w:ind w:left="0" w:firstLine="0"/>
                          <w:jc w:val="left"/>
                        </w:pPr>
                        <w:r>
                          <w:rPr>
                            <w:rFonts w:ascii="Century Gothic" w:eastAsia="Century Gothic" w:hAnsi="Century Gothic" w:cs="Century Gothic"/>
                            <w:sz w:val="20"/>
                          </w:rPr>
                          <w:t xml:space="preserve">REPORTABLE: </w:t>
                        </w:r>
                      </w:p>
                    </w:txbxContent>
                  </v:textbox>
                </v:rect>
                <v:rect id="Rectangle 58" o:spid="_x0000_s1037" style="position:absolute;left:14945;top:2401;width:2698;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0204AC" w:rsidRDefault="008C4626">
                        <w:pPr>
                          <w:spacing w:after="160" w:line="259" w:lineRule="auto"/>
                          <w:ind w:left="0" w:firstLine="0"/>
                          <w:jc w:val="left"/>
                        </w:pPr>
                        <w:r>
                          <w:rPr>
                            <w:rFonts w:ascii="Century Gothic" w:eastAsia="Century Gothic" w:hAnsi="Century Gothic" w:cs="Century Gothic"/>
                            <w:sz w:val="20"/>
                          </w:rPr>
                          <w:t>NO</w:t>
                        </w:r>
                      </w:p>
                    </w:txbxContent>
                  </v:textbox>
                </v:rect>
                <v:rect id="Rectangle 59" o:spid="_x0000_s1038" style="position:absolute;left:16987;top:2401;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0204AC" w:rsidRDefault="008C4626">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60" o:spid="_x0000_s1039" style="position:absolute;left:2109;top:3956;width:2179;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0204AC" w:rsidRDefault="008C4626">
                        <w:pPr>
                          <w:spacing w:after="160" w:line="259" w:lineRule="auto"/>
                          <w:ind w:left="0" w:firstLine="0"/>
                          <w:jc w:val="left"/>
                        </w:pPr>
                        <w:r>
                          <w:rPr>
                            <w:rFonts w:ascii="Century Gothic" w:eastAsia="Century Gothic" w:hAnsi="Century Gothic" w:cs="Century Gothic"/>
                            <w:sz w:val="20"/>
                          </w:rPr>
                          <w:t>(2)</w:t>
                        </w:r>
                      </w:p>
                    </w:txbxContent>
                  </v:textbox>
                </v:rect>
                <v:rect id="Rectangle 61" o:spid="_x0000_s1040" style="position:absolute;left:3755;top:375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0204AC" w:rsidRDefault="008C4626">
                        <w:pPr>
                          <w:spacing w:after="160" w:line="259" w:lineRule="auto"/>
                          <w:ind w:left="0" w:firstLine="0"/>
                          <w:jc w:val="left"/>
                        </w:pPr>
                        <w:r>
                          <w:rPr>
                            <w:sz w:val="20"/>
                          </w:rPr>
                          <w:t xml:space="preserve"> </w:t>
                        </w:r>
                      </w:p>
                    </w:txbxContent>
                  </v:textbox>
                </v:rect>
                <v:rect id="Rectangle 62" o:spid="_x0000_s1041" style="position:absolute;left:6681;top:3956;width:24735;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0204AC" w:rsidRDefault="008C4626">
                        <w:pPr>
                          <w:spacing w:after="160" w:line="259" w:lineRule="auto"/>
                          <w:ind w:left="0" w:firstLine="0"/>
                          <w:jc w:val="left"/>
                        </w:pPr>
                        <w:r>
                          <w:rPr>
                            <w:rFonts w:ascii="Century Gothic" w:eastAsia="Century Gothic" w:hAnsi="Century Gothic" w:cs="Century Gothic"/>
                            <w:sz w:val="20"/>
                          </w:rPr>
                          <w:t>OF INTEREST TO OTHER JUDGES</w:t>
                        </w:r>
                      </w:p>
                    </w:txbxContent>
                  </v:textbox>
                </v:rect>
                <v:rect id="Rectangle 4023" o:spid="_x0000_s1042" style="position:absolute;left:25293;top:3956;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" filled="f" stroked="f">
                  <v:textbox inset="0,0,0,0">
                    <w:txbxContent>
                      <w:p w:rsidR="000204AC" w:rsidRDefault="008C4626">
                        <w:pPr>
                          <w:spacing w:after="160" w:line="259" w:lineRule="auto"/>
                          <w:ind w:left="0" w:firstLine="0"/>
                          <w:jc w:val="left"/>
                        </w:pPr>
                        <w:r>
                          <w:rPr>
                            <w:rFonts w:ascii="Century Gothic" w:eastAsia="Century Gothic" w:hAnsi="Century Gothic" w:cs="Century Gothic"/>
                            <w:sz w:val="20"/>
                          </w:rPr>
                          <w:t>:</w:t>
                        </w:r>
                      </w:p>
                    </w:txbxContent>
                  </v:textbox>
                </v:rect>
                <v:rect id="Rectangle 4024" o:spid="_x0000_s1043" style="position:absolute;left:25643;top:3956;width:318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" filled="f" stroked="f">
                  <v:textbox inset="0,0,0,0">
                    <w:txbxContent>
                      <w:p w:rsidR="000204AC" w:rsidRDefault="008C4626">
                        <w:pPr>
                          <w:spacing w:after="160" w:line="259" w:lineRule="auto"/>
                          <w:ind w:left="0" w:firstLine="0"/>
                          <w:jc w:val="left"/>
                        </w:pPr>
                        <w:r>
                          <w:rPr>
                            <w:rFonts w:ascii="Century Gothic" w:eastAsia="Century Gothic" w:hAnsi="Century Gothic" w:cs="Century Gothic"/>
                            <w:sz w:val="20"/>
                          </w:rPr>
                          <w:t xml:space="preserve"> NO</w:t>
                        </w:r>
                      </w:p>
                    </w:txbxContent>
                  </v:textbox>
                </v:rect>
                <v:rect id="Rectangle 64" o:spid="_x0000_s1044" style="position:absolute;left:28051;top:3956;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0204AC" w:rsidRDefault="008C4626">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65" o:spid="_x0000_s1045" style="position:absolute;left:2109;top:5510;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0204AC" w:rsidRDefault="008C4626">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66" o:spid="_x0000_s1046" style="position:absolute;left:966;top:7019;width:42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0204AC" w:rsidRDefault="008C4626">
                        <w:pPr>
                          <w:spacing w:after="160" w:line="259" w:lineRule="auto"/>
                          <w:ind w:left="0" w:firstLine="0"/>
                          <w:jc w:val="left"/>
                        </w:pPr>
                        <w:r>
                          <w:rPr>
                            <w:rFonts w:ascii="Century Gothic" w:eastAsia="Century Gothic" w:hAnsi="Century Gothic" w:cs="Century Gothic"/>
                            <w:b/>
                            <w:sz w:val="18"/>
                          </w:rPr>
                          <w:t xml:space="preserve"> </w:t>
                        </w:r>
                      </w:p>
                    </w:txbxContent>
                  </v:textbox>
                </v:rect>
                <v:rect id="Rectangle 67" o:spid="_x0000_s1047" style="position:absolute;left:16576;top:9183;width:1021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0204AC" w:rsidRDefault="008C4626">
                        <w:pPr>
                          <w:spacing w:after="160" w:line="259" w:lineRule="auto"/>
                          <w:ind w:left="0" w:firstLine="0"/>
                          <w:jc w:val="left"/>
                        </w:pPr>
                        <w:r>
                          <w:rPr>
                            <w:rFonts w:ascii="Century Gothic" w:eastAsia="Century Gothic" w:hAnsi="Century Gothic" w:cs="Century Gothic"/>
                            <w:b/>
                            <w:sz w:val="24"/>
                            <w:vertAlign w:val="superscript"/>
                          </w:rPr>
                          <w:t xml:space="preserve">                        </w:t>
                        </w:r>
                      </w:p>
                    </w:txbxContent>
                  </v:textbox>
                </v:rect>
                <v:rect id="Rectangle 68" o:spid="_x0000_s1048" style="position:absolute;left:24257;top:8520;width:1504;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0204AC" w:rsidRDefault="008C4626">
                        <w:pPr>
                          <w:spacing w:after="160" w:line="259" w:lineRule="auto"/>
                          <w:ind w:left="0" w:firstLine="0"/>
                          <w:jc w:val="left"/>
                        </w:pPr>
                        <w:r>
                          <w:rPr>
                            <w:rFonts w:ascii="Century Gothic" w:eastAsia="Century Gothic" w:hAnsi="Century Gothic" w:cs="Century Gothic"/>
                            <w:b/>
                            <w:sz w:val="32"/>
                          </w:rPr>
                          <w:t xml:space="preserve">  </w:t>
                        </w:r>
                      </w:p>
                    </w:txbxContent>
                  </v:textbox>
                </v:rect>
                <v:rect id="Rectangle 69" o:spid="_x0000_s1049" style="position:absolute;left:25384;top:8206;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0204AC" w:rsidRDefault="008C4626">
                        <w:pPr>
                          <w:spacing w:after="160" w:line="259" w:lineRule="auto"/>
                          <w:ind w:left="0" w:firstLine="0"/>
                          <w:jc w:val="left"/>
                        </w:pPr>
                        <w:r>
                          <w:rPr>
                            <w:sz w:val="32"/>
                          </w:rPr>
                          <w:t xml:space="preserve"> </w:t>
                        </w:r>
                      </w:p>
                    </w:txbxContent>
                  </v:textbox>
                </v:rect>
                <v:rect id="Rectangle 70" o:spid="_x0000_s1050" style="position:absolute;left:966;top:10768;width:170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0204AC" w:rsidRDefault="008C4626">
                        <w:pPr>
                          <w:spacing w:after="160" w:line="259" w:lineRule="auto"/>
                          <w:ind w:left="0" w:firstLine="0"/>
                          <w:jc w:val="left"/>
                        </w:pPr>
                        <w:r>
                          <w:rPr>
                            <w:rFonts w:ascii="Century Gothic" w:eastAsia="Century Gothic" w:hAnsi="Century Gothic" w:cs="Century Gothic"/>
                            <w:b/>
                            <w:sz w:val="18"/>
                          </w:rPr>
                          <w:t xml:space="preserve">    </w:t>
                        </w:r>
                      </w:p>
                    </w:txbxContent>
                  </v:textbox>
                </v:rect>
                <v:rect id="Rectangle 71" o:spid="_x0000_s1051" style="position:absolute;left:2246;top:10768;width:127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0204AC" w:rsidRDefault="008C4626">
                        <w:pPr>
                          <w:spacing w:after="160" w:line="259" w:lineRule="auto"/>
                          <w:ind w:left="0" w:firstLine="0"/>
                          <w:jc w:val="left"/>
                        </w:pPr>
                        <w:r>
                          <w:rPr>
                            <w:rFonts w:ascii="Century Gothic" w:eastAsia="Century Gothic" w:hAnsi="Century Gothic" w:cs="Century Gothic"/>
                            <w:b/>
                            <w:sz w:val="18"/>
                          </w:rPr>
                          <w:t xml:space="preserve">   </w:t>
                        </w:r>
                      </w:p>
                    </w:txbxContent>
                  </v:textbox>
                </v:rect>
                <v:rect id="Rectangle 72" o:spid="_x0000_s1052" style="position:absolute;left:3206;top:10768;width:505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0204AC" w:rsidRDefault="008C4626">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73" o:spid="_x0000_s1053" style="position:absolute;left:7016;top:10768;width:371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0204AC" w:rsidRDefault="008C4626">
                        <w:pPr>
                          <w:spacing w:after="160" w:line="259" w:lineRule="auto"/>
                          <w:ind w:left="0" w:firstLine="0"/>
                          <w:jc w:val="left"/>
                        </w:pPr>
                        <w:r>
                          <w:rPr>
                            <w:rFonts w:ascii="Century Gothic" w:eastAsia="Century Gothic" w:hAnsi="Century Gothic" w:cs="Century Gothic"/>
                            <w:sz w:val="18"/>
                          </w:rPr>
                          <w:t>DATE</w:t>
                        </w:r>
                      </w:p>
                    </w:txbxContent>
                  </v:textbox>
                </v:rect>
                <v:rect id="Rectangle 74" o:spid="_x0000_s1054" style="position:absolute;left:9805;top:10768;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0204AC" w:rsidRDefault="008C4626">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75" o:spid="_x0000_s1055" style="position:absolute;left:10110;top:10768;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0204AC" w:rsidRDefault="008C4626">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76" o:spid="_x0000_s1056" style="position:absolute;left:14686;top:10768;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0204AC" w:rsidRDefault="008C4626">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77" o:spid="_x0000_s1057" style="position:absolute;left:19258;top:10768;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0204AC" w:rsidRDefault="008C4626">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78" o:spid="_x0000_s1058" style="position:absolute;left:21803;top:10768;width:804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0204AC" w:rsidRDefault="008C4626">
                        <w:pPr>
                          <w:spacing w:after="160" w:line="259" w:lineRule="auto"/>
                          <w:ind w:left="0" w:firstLine="0"/>
                          <w:jc w:val="left"/>
                        </w:pPr>
                        <w:r>
                          <w:rPr>
                            <w:rFonts w:ascii="Century Gothic" w:eastAsia="Century Gothic" w:hAnsi="Century Gothic" w:cs="Century Gothic"/>
                            <w:sz w:val="18"/>
                          </w:rPr>
                          <w:t>SIGNATURE</w:t>
                        </w:r>
                      </w:p>
                    </w:txbxContent>
                  </v:textbox>
                </v:rect>
                <v:rect id="Rectangle 79" o:spid="_x0000_s1059" style="position:absolute;left:27853;top:10768;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0204AC" w:rsidRDefault="008C4626">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4025" o:spid="_x0000_s1060" style="position:absolute;left:6666;top:9132;width:225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" filled="f" stroked="f">
                  <v:textbox inset="0,0,0,0">
                    <w:txbxContent>
                      <w:p w:rsidR="000204AC" w:rsidRDefault="000204AC">
                        <w:pPr>
                          <w:spacing w:after="160" w:line="259" w:lineRule="auto"/>
                          <w:ind w:left="0" w:firstLine="0"/>
                          <w:jc w:val="left"/>
                        </w:pPr>
                      </w:p>
                    </w:txbxContent>
                  </v:textbox>
                </v:rect>
                <v:rect id="Rectangle 4027" o:spid="_x0000_s1061" style="position:absolute;left:8361;top:9132;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" filled="f" stroked="f">
                  <v:textbox inset="0,0,0,0">
                    <w:txbxContent>
                      <w:p w:rsidR="000204AC" w:rsidRDefault="000204AC">
                        <w:pPr>
                          <w:spacing w:after="160" w:line="259" w:lineRule="auto"/>
                          <w:ind w:left="0" w:firstLine="0"/>
                          <w:jc w:val="left"/>
                        </w:pPr>
                      </w:p>
                    </w:txbxContent>
                  </v:textbox>
                </v:rect>
                <w10:anchorlock/>
              </v:group>
            </w:pict>
          </mc:Fallback>
        </mc:AlternateContent>
      </w:r>
      <w:r>
        <w:tab/>
        <w:t xml:space="preserve"> </w:t>
      </w:r>
    </w:p>
    <w:tbl>
      <w:tblPr>
        <w:tblStyle w:val="TableGrid"/>
        <w:tblW w:w="8504" w:type="dxa"/>
        <w:tblInd w:w="0" w:type="dxa"/>
        <w:tblLook w:val="04A0" w:firstRow="1" w:lastRow="0" w:firstColumn="1" w:lastColumn="0" w:noHBand="0" w:noVBand="1"/>
      </w:tblPr>
      <w:tblGrid>
        <w:gridCol w:w="7394"/>
        <w:gridCol w:w="1110"/>
      </w:tblGrid>
      <w:tr w:rsidR="000204AC" w14:paraId="737A25BE" w14:textId="77777777">
        <w:trPr>
          <w:trHeight w:val="880"/>
        </w:trPr>
        <w:tc>
          <w:tcPr>
            <w:tcW w:w="7394" w:type="dxa"/>
            <w:tcBorders>
              <w:top w:val="nil"/>
              <w:left w:val="nil"/>
              <w:bottom w:val="nil"/>
              <w:right w:val="nil"/>
            </w:tcBorders>
          </w:tcPr>
          <w:p w14:paraId="265420A9" w14:textId="77777777" w:rsidR="000204AC" w:rsidRDefault="008C4626">
            <w:pPr>
              <w:spacing w:after="230" w:line="259" w:lineRule="auto"/>
              <w:ind w:left="0" w:firstLine="0"/>
              <w:jc w:val="left"/>
            </w:pPr>
            <w:r>
              <w:t xml:space="preserve"> </w:t>
            </w:r>
          </w:p>
          <w:p w14:paraId="0475C31F" w14:textId="77777777" w:rsidR="000204AC" w:rsidRDefault="008C4626">
            <w:pPr>
              <w:spacing w:after="0" w:line="259" w:lineRule="auto"/>
              <w:ind w:left="0" w:firstLine="0"/>
              <w:jc w:val="left"/>
            </w:pPr>
            <w:r>
              <w:t xml:space="preserve">In the matter between: </w:t>
            </w:r>
          </w:p>
        </w:tc>
        <w:tc>
          <w:tcPr>
            <w:tcW w:w="1110" w:type="dxa"/>
            <w:tcBorders>
              <w:top w:val="nil"/>
              <w:left w:val="nil"/>
              <w:bottom w:val="nil"/>
              <w:right w:val="nil"/>
            </w:tcBorders>
          </w:tcPr>
          <w:p w14:paraId="34CB39EE" w14:textId="77777777" w:rsidR="000204AC" w:rsidRDefault="000204AC">
            <w:pPr>
              <w:spacing w:after="160" w:line="259" w:lineRule="auto"/>
              <w:ind w:left="0" w:firstLine="0"/>
              <w:jc w:val="left"/>
            </w:pPr>
          </w:p>
        </w:tc>
      </w:tr>
      <w:tr w:rsidR="000204AC" w14:paraId="0E009D0E" w14:textId="77777777">
        <w:trPr>
          <w:trHeight w:val="507"/>
        </w:trPr>
        <w:tc>
          <w:tcPr>
            <w:tcW w:w="7394" w:type="dxa"/>
            <w:tcBorders>
              <w:top w:val="nil"/>
              <w:left w:val="nil"/>
              <w:bottom w:val="nil"/>
              <w:right w:val="nil"/>
            </w:tcBorders>
            <w:vAlign w:val="center"/>
          </w:tcPr>
          <w:p w14:paraId="3006D266" w14:textId="77777777" w:rsidR="000204AC" w:rsidRDefault="008C4626">
            <w:pPr>
              <w:spacing w:after="0" w:line="259" w:lineRule="auto"/>
              <w:ind w:left="108" w:firstLine="0"/>
              <w:jc w:val="left"/>
            </w:pPr>
            <w:r>
              <w:rPr>
                <w:b/>
              </w:rPr>
              <w:t xml:space="preserve">CHLOORKOP MOTOR CITY CC </w:t>
            </w:r>
          </w:p>
        </w:tc>
        <w:tc>
          <w:tcPr>
            <w:tcW w:w="1110" w:type="dxa"/>
            <w:tcBorders>
              <w:top w:val="nil"/>
              <w:left w:val="nil"/>
              <w:bottom w:val="nil"/>
              <w:right w:val="nil"/>
            </w:tcBorders>
            <w:vAlign w:val="center"/>
          </w:tcPr>
          <w:p w14:paraId="10C26DF2" w14:textId="77777777" w:rsidR="000204AC" w:rsidRDefault="008C4626">
            <w:pPr>
              <w:spacing w:after="0" w:line="259" w:lineRule="auto"/>
              <w:ind w:left="0" w:right="63" w:firstLine="0"/>
              <w:jc w:val="right"/>
            </w:pPr>
            <w:r>
              <w:t xml:space="preserve">Plaintiff </w:t>
            </w:r>
          </w:p>
        </w:tc>
      </w:tr>
      <w:tr w:rsidR="000204AC" w14:paraId="6CCB1FD2" w14:textId="77777777">
        <w:trPr>
          <w:trHeight w:val="506"/>
        </w:trPr>
        <w:tc>
          <w:tcPr>
            <w:tcW w:w="7394" w:type="dxa"/>
            <w:tcBorders>
              <w:top w:val="nil"/>
              <w:left w:val="nil"/>
              <w:bottom w:val="nil"/>
              <w:right w:val="nil"/>
            </w:tcBorders>
            <w:vAlign w:val="center"/>
          </w:tcPr>
          <w:p w14:paraId="4895E825" w14:textId="77777777" w:rsidR="000204AC" w:rsidRDefault="008C4626">
            <w:pPr>
              <w:spacing w:after="0" w:line="259" w:lineRule="auto"/>
              <w:ind w:left="108" w:firstLine="0"/>
              <w:jc w:val="left"/>
            </w:pPr>
            <w:r>
              <w:t xml:space="preserve">and   </w:t>
            </w:r>
          </w:p>
        </w:tc>
        <w:tc>
          <w:tcPr>
            <w:tcW w:w="1110" w:type="dxa"/>
            <w:tcBorders>
              <w:top w:val="nil"/>
              <w:left w:val="nil"/>
              <w:bottom w:val="nil"/>
              <w:right w:val="nil"/>
            </w:tcBorders>
            <w:vAlign w:val="center"/>
          </w:tcPr>
          <w:p w14:paraId="39F7A6EA" w14:textId="77777777" w:rsidR="000204AC" w:rsidRDefault="008C4626">
            <w:pPr>
              <w:spacing w:after="0" w:line="259" w:lineRule="auto"/>
              <w:ind w:left="0" w:firstLine="0"/>
              <w:jc w:val="right"/>
            </w:pPr>
            <w:r>
              <w:t xml:space="preserve"> </w:t>
            </w:r>
          </w:p>
        </w:tc>
      </w:tr>
      <w:tr w:rsidR="000204AC" w14:paraId="73D93C1D" w14:textId="77777777">
        <w:trPr>
          <w:trHeight w:val="376"/>
        </w:trPr>
        <w:tc>
          <w:tcPr>
            <w:tcW w:w="7394" w:type="dxa"/>
            <w:tcBorders>
              <w:top w:val="nil"/>
              <w:left w:val="nil"/>
              <w:bottom w:val="nil"/>
              <w:right w:val="nil"/>
            </w:tcBorders>
            <w:vAlign w:val="bottom"/>
          </w:tcPr>
          <w:p w14:paraId="479099B3" w14:textId="77777777" w:rsidR="000204AC" w:rsidRDefault="008C4626">
            <w:pPr>
              <w:spacing w:after="0" w:line="259" w:lineRule="auto"/>
              <w:ind w:left="108" w:firstLine="0"/>
              <w:jc w:val="left"/>
            </w:pPr>
            <w:r>
              <w:rPr>
                <w:b/>
              </w:rPr>
              <w:t xml:space="preserve">MYBUYA AFRICA PANEL BEATING AND MECHANICAL CC </w:t>
            </w:r>
          </w:p>
        </w:tc>
        <w:tc>
          <w:tcPr>
            <w:tcW w:w="1110" w:type="dxa"/>
            <w:tcBorders>
              <w:top w:val="nil"/>
              <w:left w:val="nil"/>
              <w:bottom w:val="nil"/>
              <w:right w:val="nil"/>
            </w:tcBorders>
            <w:vAlign w:val="bottom"/>
          </w:tcPr>
          <w:p w14:paraId="11653CC6" w14:textId="77777777" w:rsidR="000204AC" w:rsidRDefault="008C4626">
            <w:pPr>
              <w:spacing w:after="0" w:line="259" w:lineRule="auto"/>
              <w:ind w:left="34" w:firstLine="0"/>
            </w:pPr>
            <w:r>
              <w:t xml:space="preserve">Defendant </w:t>
            </w:r>
          </w:p>
        </w:tc>
      </w:tr>
    </w:tbl>
    <w:p w14:paraId="6FE4099C" w14:textId="77777777" w:rsidR="000204AC" w:rsidRDefault="008C4626">
      <w:pPr>
        <w:spacing w:after="107" w:line="259" w:lineRule="auto"/>
        <w:ind w:left="0" w:firstLine="0"/>
        <w:jc w:val="left"/>
      </w:pPr>
      <w:r>
        <w:t xml:space="preserve"> </w:t>
      </w:r>
    </w:p>
    <w:p w14:paraId="1A51A73A" w14:textId="77777777" w:rsidR="000204AC" w:rsidRDefault="008C4626">
      <w:pPr>
        <w:spacing w:after="0" w:line="259" w:lineRule="auto"/>
        <w:ind w:left="0" w:firstLine="0"/>
        <w:jc w:val="left"/>
      </w:pPr>
      <w:r>
        <w:t xml:space="preserve"> </w:t>
      </w:r>
    </w:p>
    <w:p w14:paraId="498911CB" w14:textId="77777777" w:rsidR="000204AC" w:rsidRDefault="008C4626">
      <w:pPr>
        <w:spacing w:after="7" w:line="259" w:lineRule="auto"/>
        <w:ind w:left="-29" w:firstLine="0"/>
        <w:jc w:val="left"/>
      </w:pPr>
      <w:r>
        <w:rPr>
          <w:rFonts w:ascii="Calibri" w:eastAsia="Calibri" w:hAnsi="Calibri" w:cs="Calibri"/>
          <w:noProof/>
        </w:rPr>
        <mc:AlternateContent>
          <mc:Choice Requires="wpg">
            <w:drawing>
              <wp:inline distT="0" distB="0" distL="0" distR="0" wp14:anchorId="2095767C" wp14:editId="20EF3C2E">
                <wp:extent cx="5467477" cy="6096"/>
                <wp:effectExtent l="0" t="0" r="0" b="0"/>
                <wp:docPr id="4624" name="Group 4624"/>
                <wp:cNvGraphicFramePr/>
                <a:graphic xmlns:a="http://schemas.openxmlformats.org/drawingml/2006/main">
                  <a:graphicData uri="http://schemas.microsoft.com/office/word/2010/wordprocessingGroup">
                    <wpg:wgp>
                      <wpg:cNvGrpSpPr/>
                      <wpg:grpSpPr>
                        <a:xfrm>
                          <a:off x="0" y="0"/>
                          <a:ext cx="5467477" cy="6096"/>
                          <a:chOff x="0" y="0"/>
                          <a:chExt cx="5467477" cy="6096"/>
                        </a:xfrm>
                      </wpg:grpSpPr>
                      <wps:wsp>
                        <wps:cNvPr id="5507" name="Shape 5507"/>
                        <wps:cNvSpPr/>
                        <wps:spPr>
                          <a:xfrm>
                            <a:off x="0" y="0"/>
                            <a:ext cx="5467477" cy="9144"/>
                          </a:xfrm>
                          <a:custGeom>
                            <a:avLst/>
                            <a:gdLst/>
                            <a:ahLst/>
                            <a:cxnLst/>
                            <a:rect l="0" t="0" r="0" b="0"/>
                            <a:pathLst>
                              <a:path w="5467477" h="9144">
                                <a:moveTo>
                                  <a:pt x="0" y="0"/>
                                </a:moveTo>
                                <a:lnTo>
                                  <a:pt x="5467477" y="0"/>
                                </a:lnTo>
                                <a:lnTo>
                                  <a:pt x="54674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24" style="width:430.51pt;height:0.47998pt;mso-position-horizontal-relative:char;mso-position-vertical-relative:line" coordsize="54674,60">
                <v:shape id="Shape 5508" style="position:absolute;width:54674;height:91;left:0;top:0;" coordsize="5467477,9144" path="m0,0l5467477,0l5467477,9144l0,9144l0,0">
                  <v:stroke weight="0pt" endcap="flat" joinstyle="miter" miterlimit="10" on="false" color="#000000" opacity="0"/>
                  <v:fill on="true" color="#000000"/>
                </v:shape>
              </v:group>
            </w:pict>
          </mc:Fallback>
        </mc:AlternateContent>
      </w:r>
    </w:p>
    <w:p w14:paraId="2A7C7BA7" w14:textId="77777777" w:rsidR="000204AC" w:rsidRDefault="008C4626">
      <w:pPr>
        <w:spacing w:after="19" w:line="259" w:lineRule="auto"/>
        <w:ind w:left="0" w:firstLine="0"/>
        <w:jc w:val="left"/>
      </w:pPr>
      <w:r>
        <w:t xml:space="preserve"> </w:t>
      </w:r>
    </w:p>
    <w:p w14:paraId="04A08685" w14:textId="77777777" w:rsidR="000204AC" w:rsidRDefault="008C4626">
      <w:pPr>
        <w:pStyle w:val="Heading1"/>
        <w:ind w:right="64"/>
      </w:pPr>
      <w:r>
        <w:t xml:space="preserve">JUDGMENT </w:t>
      </w:r>
    </w:p>
    <w:p w14:paraId="1D554F6C" w14:textId="77777777" w:rsidR="000204AC" w:rsidRDefault="008C4626">
      <w:pPr>
        <w:spacing w:after="0" w:line="259" w:lineRule="auto"/>
        <w:ind w:left="0" w:firstLine="0"/>
        <w:jc w:val="left"/>
      </w:pPr>
      <w:r>
        <w:t xml:space="preserve"> </w:t>
      </w:r>
    </w:p>
    <w:p w14:paraId="6CD49110" w14:textId="77777777" w:rsidR="000204AC" w:rsidRDefault="008C4626">
      <w:pPr>
        <w:spacing w:after="11" w:line="259" w:lineRule="auto"/>
        <w:ind w:left="-29" w:firstLine="0"/>
        <w:jc w:val="left"/>
      </w:pPr>
      <w:r>
        <w:rPr>
          <w:rFonts w:ascii="Calibri" w:eastAsia="Calibri" w:hAnsi="Calibri" w:cs="Calibri"/>
          <w:noProof/>
        </w:rPr>
        <mc:AlternateContent>
          <mc:Choice Requires="wpg">
            <w:drawing>
              <wp:inline distT="0" distB="0" distL="0" distR="0" wp14:anchorId="14E46EFB" wp14:editId="1A82447D">
                <wp:extent cx="5467477" cy="6097"/>
                <wp:effectExtent l="0" t="0" r="0" b="0"/>
                <wp:docPr id="4625" name="Group 4625"/>
                <wp:cNvGraphicFramePr/>
                <a:graphic xmlns:a="http://schemas.openxmlformats.org/drawingml/2006/main">
                  <a:graphicData uri="http://schemas.microsoft.com/office/word/2010/wordprocessingGroup">
                    <wpg:wgp>
                      <wpg:cNvGrpSpPr/>
                      <wpg:grpSpPr>
                        <a:xfrm>
                          <a:off x="0" y="0"/>
                          <a:ext cx="5467477" cy="6097"/>
                          <a:chOff x="0" y="0"/>
                          <a:chExt cx="5467477" cy="6097"/>
                        </a:xfrm>
                      </wpg:grpSpPr>
                      <wps:wsp>
                        <wps:cNvPr id="5509" name="Shape 5509"/>
                        <wps:cNvSpPr/>
                        <wps:spPr>
                          <a:xfrm>
                            <a:off x="0" y="0"/>
                            <a:ext cx="5467477" cy="9144"/>
                          </a:xfrm>
                          <a:custGeom>
                            <a:avLst/>
                            <a:gdLst/>
                            <a:ahLst/>
                            <a:cxnLst/>
                            <a:rect l="0" t="0" r="0" b="0"/>
                            <a:pathLst>
                              <a:path w="5467477" h="9144">
                                <a:moveTo>
                                  <a:pt x="0" y="0"/>
                                </a:moveTo>
                                <a:lnTo>
                                  <a:pt x="5467477" y="0"/>
                                </a:lnTo>
                                <a:lnTo>
                                  <a:pt x="54674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25" style="width:430.51pt;height:0.480042pt;mso-position-horizontal-relative:char;mso-position-vertical-relative:line" coordsize="54674,60">
                <v:shape id="Shape 5510" style="position:absolute;width:54674;height:91;left:0;top:0;" coordsize="5467477,9144" path="m0,0l5467477,0l5467477,9144l0,9144l0,0">
                  <v:stroke weight="0pt" endcap="flat" joinstyle="miter" miterlimit="10" on="false" color="#000000" opacity="0"/>
                  <v:fill on="true" color="#000000"/>
                </v:shape>
              </v:group>
            </w:pict>
          </mc:Fallback>
        </mc:AlternateContent>
      </w:r>
    </w:p>
    <w:p w14:paraId="31CE00CF" w14:textId="77777777" w:rsidR="000204AC" w:rsidRDefault="008C4626">
      <w:pPr>
        <w:spacing w:after="233" w:line="259" w:lineRule="auto"/>
        <w:ind w:left="0" w:firstLine="0"/>
        <w:jc w:val="left"/>
      </w:pPr>
      <w:r>
        <w:rPr>
          <w:b/>
        </w:rPr>
        <w:t xml:space="preserve"> </w:t>
      </w:r>
    </w:p>
    <w:p w14:paraId="4701D18D" w14:textId="77777777" w:rsidR="000204AC" w:rsidRDefault="008C4626">
      <w:pPr>
        <w:spacing w:after="0" w:line="259" w:lineRule="auto"/>
        <w:ind w:left="0" w:firstLine="0"/>
        <w:jc w:val="left"/>
      </w:pPr>
      <w:r>
        <w:rPr>
          <w:b/>
        </w:rPr>
        <w:t xml:space="preserve">MOORCROFT AJ: </w:t>
      </w:r>
    </w:p>
    <w:p w14:paraId="2BD0EB96" w14:textId="77777777" w:rsidR="008C4626" w:rsidRDefault="008C4626">
      <w:pPr>
        <w:spacing w:after="713" w:line="259" w:lineRule="auto"/>
        <w:ind w:left="0" w:firstLine="0"/>
        <w:jc w:val="left"/>
        <w:rPr>
          <w:i/>
          <w:u w:val="single" w:color="000000"/>
        </w:rPr>
      </w:pPr>
    </w:p>
    <w:p w14:paraId="08EA9969" w14:textId="77777777" w:rsidR="000204AC" w:rsidRDefault="008C4626">
      <w:pPr>
        <w:spacing w:after="713" w:line="259" w:lineRule="auto"/>
        <w:ind w:left="0" w:firstLine="0"/>
        <w:jc w:val="left"/>
      </w:pPr>
      <w:r>
        <w:rPr>
          <w:i/>
          <w:u w:val="single" w:color="000000"/>
        </w:rPr>
        <w:t>Summary</w:t>
      </w:r>
      <w:r>
        <w:rPr>
          <w:i/>
        </w:rPr>
        <w:t xml:space="preserve"> </w:t>
      </w:r>
    </w:p>
    <w:p w14:paraId="2B0C024D" w14:textId="77777777" w:rsidR="000204AC" w:rsidRDefault="008C4626">
      <w:pPr>
        <w:spacing w:after="478" w:line="481" w:lineRule="auto"/>
        <w:ind w:left="-5" w:right="48"/>
      </w:pPr>
      <w:r>
        <w:rPr>
          <w:i/>
        </w:rPr>
        <w:lastRenderedPageBreak/>
        <w:t xml:space="preserve">Summary judgment – not a suitable remedy when claim not clearly established – Rule 30 application – non-compliance with time periods in Rule 32 – rendered moot by judgment on the summary judgment application </w:t>
      </w:r>
    </w:p>
    <w:p w14:paraId="06C0FD72" w14:textId="77777777" w:rsidR="000204AC" w:rsidRDefault="008C4626">
      <w:pPr>
        <w:pStyle w:val="Heading2"/>
        <w:ind w:left="-5"/>
      </w:pPr>
      <w:r>
        <w:t>Order</w:t>
      </w:r>
      <w:r>
        <w:rPr>
          <w:u w:val="none"/>
        </w:rPr>
        <w:t xml:space="preserve"> </w:t>
      </w:r>
    </w:p>
    <w:p w14:paraId="34C7BE1B" w14:textId="75ABDAAD" w:rsidR="000204AC" w:rsidRDefault="006D6BB8" w:rsidP="006D6BB8">
      <w:pPr>
        <w:ind w:left="566" w:right="49" w:hanging="566"/>
      </w:pPr>
      <w:r>
        <w:rPr>
          <w:u w:color="000000"/>
        </w:rPr>
        <w:t>[1]</w:t>
      </w:r>
      <w:r>
        <w:rPr>
          <w:u w:color="000000"/>
        </w:rPr>
        <w:tab/>
      </w:r>
      <w:r w:rsidR="008C4626">
        <w:t xml:space="preserve">In this matter I make the following order: </w:t>
      </w:r>
    </w:p>
    <w:p w14:paraId="6DD4D46B" w14:textId="5235D150" w:rsidR="000204AC" w:rsidRDefault="006D6BB8" w:rsidP="006D6BB8">
      <w:pPr>
        <w:spacing w:after="339" w:line="267" w:lineRule="auto"/>
        <w:ind w:left="1118" w:hanging="559"/>
        <w:jc w:val="left"/>
      </w:pPr>
      <w:r>
        <w:rPr>
          <w:i/>
          <w:iCs/>
          <w:sz w:val="20"/>
          <w:szCs w:val="20"/>
          <w:u w:color="000000"/>
        </w:rPr>
        <w:t>1.</w:t>
      </w:r>
      <w:r>
        <w:rPr>
          <w:i/>
          <w:iCs/>
          <w:sz w:val="20"/>
          <w:szCs w:val="20"/>
          <w:u w:color="000000"/>
        </w:rPr>
        <w:tab/>
      </w:r>
      <w:r w:rsidR="008C4626">
        <w:rPr>
          <w:i/>
          <w:sz w:val="20"/>
        </w:rPr>
        <w:t xml:space="preserve">The application for summary judgment is dismissed; </w:t>
      </w:r>
    </w:p>
    <w:p w14:paraId="18E5F912" w14:textId="7BB10C67" w:rsidR="000204AC" w:rsidRDefault="006D6BB8" w:rsidP="006D6BB8">
      <w:pPr>
        <w:spacing w:after="238" w:line="362" w:lineRule="auto"/>
        <w:ind w:left="1118" w:hanging="559"/>
        <w:jc w:val="left"/>
      </w:pPr>
      <w:r>
        <w:rPr>
          <w:i/>
          <w:iCs/>
          <w:sz w:val="20"/>
          <w:szCs w:val="20"/>
          <w:u w:color="000000"/>
        </w:rPr>
        <w:t>2.</w:t>
      </w:r>
      <w:r>
        <w:rPr>
          <w:i/>
          <w:iCs/>
          <w:sz w:val="20"/>
          <w:szCs w:val="20"/>
          <w:u w:color="000000"/>
        </w:rPr>
        <w:tab/>
      </w:r>
      <w:r w:rsidR="008C4626">
        <w:rPr>
          <w:i/>
          <w:sz w:val="20"/>
        </w:rPr>
        <w:t xml:space="preserve">The plaintiff is granted leave to defend and to file a replication, if so advised, as well as a plea to the counterclaim within fifteen (15) days from the date of this </w:t>
      </w:r>
      <w:proofErr w:type="gramStart"/>
      <w:r w:rsidR="008C4626">
        <w:rPr>
          <w:i/>
          <w:sz w:val="20"/>
        </w:rPr>
        <w:t>order;</w:t>
      </w:r>
      <w:proofErr w:type="gramEnd"/>
      <w:r w:rsidR="008C4626">
        <w:rPr>
          <w:i/>
          <w:sz w:val="20"/>
        </w:rPr>
        <w:t xml:space="preserve"> </w:t>
      </w:r>
    </w:p>
    <w:p w14:paraId="4990E61B" w14:textId="7761BD88" w:rsidR="000204AC" w:rsidRDefault="006D6BB8" w:rsidP="006D6BB8">
      <w:pPr>
        <w:spacing w:after="339" w:line="267" w:lineRule="auto"/>
        <w:ind w:left="1118" w:hanging="559"/>
        <w:jc w:val="left"/>
      </w:pPr>
      <w:r>
        <w:rPr>
          <w:i/>
          <w:iCs/>
          <w:sz w:val="20"/>
          <w:szCs w:val="20"/>
          <w:u w:color="000000"/>
        </w:rPr>
        <w:t>3.</w:t>
      </w:r>
      <w:r>
        <w:rPr>
          <w:i/>
          <w:iCs/>
          <w:sz w:val="20"/>
          <w:szCs w:val="20"/>
          <w:u w:color="000000"/>
        </w:rPr>
        <w:tab/>
      </w:r>
      <w:r w:rsidR="008C4626">
        <w:rPr>
          <w:i/>
          <w:sz w:val="20"/>
        </w:rPr>
        <w:t xml:space="preserve">The application in terms of Rule 30 is dismissed; </w:t>
      </w:r>
    </w:p>
    <w:p w14:paraId="56D866FC" w14:textId="79B6DDA3" w:rsidR="000204AC" w:rsidRDefault="006D6BB8" w:rsidP="006D6BB8">
      <w:pPr>
        <w:spacing w:after="601" w:line="267" w:lineRule="auto"/>
        <w:ind w:left="1118" w:hanging="559"/>
        <w:jc w:val="left"/>
      </w:pPr>
      <w:r>
        <w:rPr>
          <w:i/>
          <w:iCs/>
          <w:sz w:val="20"/>
          <w:szCs w:val="20"/>
          <w:u w:color="000000"/>
        </w:rPr>
        <w:t>4.</w:t>
      </w:r>
      <w:r>
        <w:rPr>
          <w:i/>
          <w:iCs/>
          <w:sz w:val="20"/>
          <w:szCs w:val="20"/>
          <w:u w:color="000000"/>
        </w:rPr>
        <w:tab/>
      </w:r>
      <w:r w:rsidR="008C4626">
        <w:rPr>
          <w:i/>
          <w:sz w:val="20"/>
        </w:rPr>
        <w:t xml:space="preserve">The costs of both applications shall be costs in the cause of the action. </w:t>
      </w:r>
    </w:p>
    <w:p w14:paraId="46F3AED5" w14:textId="31969AA1" w:rsidR="000204AC" w:rsidRDefault="006D6BB8" w:rsidP="006D6BB8">
      <w:pPr>
        <w:spacing w:after="514"/>
        <w:ind w:left="566" w:right="49" w:hanging="566"/>
      </w:pPr>
      <w:r>
        <w:rPr>
          <w:u w:color="000000"/>
        </w:rPr>
        <w:t>[2]</w:t>
      </w:r>
      <w:r>
        <w:rPr>
          <w:u w:color="000000"/>
        </w:rPr>
        <w:tab/>
      </w:r>
      <w:r w:rsidR="008C4626">
        <w:t xml:space="preserve">The reasons for the order follow below. </w:t>
      </w:r>
    </w:p>
    <w:p w14:paraId="0D8700B1" w14:textId="77777777" w:rsidR="000204AC" w:rsidRDefault="008C4626">
      <w:pPr>
        <w:pStyle w:val="Heading2"/>
        <w:ind w:left="-5"/>
      </w:pPr>
      <w:r>
        <w:t>Introduction</w:t>
      </w:r>
      <w:r>
        <w:rPr>
          <w:u w:val="none"/>
        </w:rPr>
        <w:t xml:space="preserve"> </w:t>
      </w:r>
    </w:p>
    <w:p w14:paraId="0F323B94" w14:textId="798D021A" w:rsidR="000204AC" w:rsidRDefault="006D6BB8" w:rsidP="006D6BB8">
      <w:pPr>
        <w:ind w:left="566" w:right="49" w:hanging="566"/>
      </w:pPr>
      <w:r>
        <w:rPr>
          <w:u w:color="000000"/>
        </w:rPr>
        <w:t>[3]</w:t>
      </w:r>
      <w:r>
        <w:rPr>
          <w:u w:color="000000"/>
        </w:rPr>
        <w:tab/>
      </w:r>
      <w:r w:rsidR="008C4626">
        <w:t xml:space="preserve">The plaintiff seeks summary judgment and relies on an oral lease agreement </w:t>
      </w:r>
      <w:proofErr w:type="gramStart"/>
      <w:r w:rsidR="008C4626">
        <w:t>entered into</w:t>
      </w:r>
      <w:proofErr w:type="gramEnd"/>
      <w:r w:rsidR="008C4626">
        <w:t xml:space="preserve"> in May 2018 in terms of which the plaintiff would let property to the defendant for a monthly rental consideration of R12 500.00 payable in advance on the first day of every month. The lease commenced on 1 May 2018 on a month-to-month basis. </w:t>
      </w:r>
    </w:p>
    <w:p w14:paraId="152455DD" w14:textId="480EC449" w:rsidR="000204AC" w:rsidRDefault="006D6BB8" w:rsidP="006D6BB8">
      <w:pPr>
        <w:spacing w:after="0"/>
        <w:ind w:left="566" w:right="49" w:hanging="566"/>
      </w:pPr>
      <w:r>
        <w:rPr>
          <w:u w:color="000000"/>
        </w:rPr>
        <w:t>[4]</w:t>
      </w:r>
      <w:r>
        <w:rPr>
          <w:u w:color="000000"/>
        </w:rPr>
        <w:tab/>
      </w:r>
      <w:r w:rsidR="008C4626">
        <w:t xml:space="preserve">It is alleged that the defendant breached the lease by failing to pay monthly rental and charges, and that the defendant was in arrears in the sum of R402 935.56 as at </w:t>
      </w:r>
    </w:p>
    <w:p w14:paraId="2DFEC27F" w14:textId="77777777" w:rsidR="000204AC" w:rsidRDefault="008C4626">
      <w:pPr>
        <w:spacing w:after="506"/>
        <w:ind w:left="-5" w:right="49"/>
      </w:pPr>
      <w:r>
        <w:lastRenderedPageBreak/>
        <w:t xml:space="preserve">March 2021. In substantiation of the allegation the plaintiff relies on a statement listing outstanding invoices totalling R402 935.56. </w:t>
      </w:r>
    </w:p>
    <w:p w14:paraId="2178595B" w14:textId="724E7C98" w:rsidR="000204AC" w:rsidRDefault="006D6BB8" w:rsidP="006D6BB8">
      <w:pPr>
        <w:spacing w:after="33"/>
        <w:ind w:left="566" w:right="49" w:hanging="566"/>
      </w:pPr>
      <w:r>
        <w:rPr>
          <w:u w:color="000000"/>
        </w:rPr>
        <w:t>[5]</w:t>
      </w:r>
      <w:r>
        <w:rPr>
          <w:u w:color="000000"/>
        </w:rPr>
        <w:tab/>
      </w:r>
      <w:r w:rsidR="008C4626">
        <w:t xml:space="preserve">The plaintiff then terminated the lease </w:t>
      </w:r>
      <w:proofErr w:type="gramStart"/>
      <w:r w:rsidR="008C4626">
        <w:t>agreement</w:t>
      </w:r>
      <w:proofErr w:type="gramEnd"/>
      <w:r w:rsidR="008C4626">
        <w:t xml:space="preserve"> but the defendant refused to vacate the property. The plaintiff has however since obtained an eviction order in the </w:t>
      </w:r>
    </w:p>
    <w:p w14:paraId="2108BC05" w14:textId="77777777" w:rsidR="000204AC" w:rsidRDefault="008C4626">
      <w:pPr>
        <w:ind w:left="-5" w:right="49"/>
      </w:pPr>
      <w:r>
        <w:t xml:space="preserve">Magistrates’ Court and the only relief sought in this application is the money judgment for arrear rental. </w:t>
      </w:r>
    </w:p>
    <w:p w14:paraId="6721DBFD" w14:textId="5797B6D9" w:rsidR="000204AC" w:rsidRDefault="006D6BB8" w:rsidP="006D6BB8">
      <w:pPr>
        <w:spacing w:after="514"/>
        <w:ind w:left="566" w:right="49" w:hanging="566"/>
      </w:pPr>
      <w:r>
        <w:rPr>
          <w:u w:color="000000"/>
        </w:rPr>
        <w:t>[6]</w:t>
      </w:r>
      <w:r>
        <w:rPr>
          <w:u w:color="000000"/>
        </w:rPr>
        <w:tab/>
      </w:r>
      <w:r w:rsidR="008C4626">
        <w:t xml:space="preserve">In the plea the defendant relies on an oral lease agreement </w:t>
      </w:r>
      <w:proofErr w:type="gramStart"/>
      <w:r w:rsidR="008C4626">
        <w:t>entered into</w:t>
      </w:r>
      <w:proofErr w:type="gramEnd"/>
      <w:r w:rsidR="008C4626">
        <w:t xml:space="preserve"> in 2012 in terms of which the defendant took occupation on 1 May 2012, which was superseded in May 2013 by a sale agreement in terms of which the property was sold to the defendant. A copy of this agreement is annexed to the plea and counterclaim. It is alleged that the plaintiff breached the agreement of sale and the defendant in its counterclaim prays for judgment in the amount of R755 000.00, being the amount allegedly paid towards the purchase price.  </w:t>
      </w:r>
    </w:p>
    <w:p w14:paraId="19016064" w14:textId="0C23E1BD" w:rsidR="000204AC" w:rsidRDefault="006D6BB8" w:rsidP="006D6BB8">
      <w:pPr>
        <w:spacing w:after="503"/>
        <w:ind w:left="566" w:right="49" w:hanging="566"/>
      </w:pPr>
      <w:r>
        <w:rPr>
          <w:u w:color="000000"/>
        </w:rPr>
        <w:t>[7]</w:t>
      </w:r>
      <w:r>
        <w:rPr>
          <w:u w:color="000000"/>
        </w:rPr>
        <w:tab/>
      </w:r>
      <w:r w:rsidR="008C4626">
        <w:t>In the affidavit in support of the summary judgment application the plaintiff’s deponent (the sole member of the plaintiff) purports to verify the causes of action contained in the summons. The deponent deals with the draft agreement of sale of 2018</w:t>
      </w:r>
      <w:r w:rsidR="008C4626">
        <w:rPr>
          <w:vertAlign w:val="superscript"/>
        </w:rPr>
        <w:footnoteReference w:id="1"/>
      </w:r>
      <w:r w:rsidR="008C4626">
        <w:t xml:space="preserve"> that it is common cause was never signed but fails to deal with comprehensively with the agreement of sale signed in 2013.  </w:t>
      </w:r>
    </w:p>
    <w:p w14:paraId="64DB89E2" w14:textId="77C999F2" w:rsidR="000204AC" w:rsidRDefault="006D6BB8" w:rsidP="006D6BB8">
      <w:pPr>
        <w:ind w:left="566" w:right="49" w:hanging="566"/>
      </w:pPr>
      <w:r>
        <w:rPr>
          <w:u w:color="000000"/>
        </w:rPr>
        <w:lastRenderedPageBreak/>
        <w:t>[8]</w:t>
      </w:r>
      <w:r>
        <w:rPr>
          <w:u w:color="000000"/>
        </w:rPr>
        <w:tab/>
      </w:r>
      <w:r w:rsidR="008C4626">
        <w:t xml:space="preserve">It is also alleged that the plaintiff’s claim is founded upon liquid </w:t>
      </w:r>
      <w:proofErr w:type="gramStart"/>
      <w:r w:rsidR="008C4626">
        <w:t>documents</w:t>
      </w:r>
      <w:r w:rsidR="008C4626">
        <w:rPr>
          <w:vertAlign w:val="superscript"/>
        </w:rPr>
        <w:t>2</w:t>
      </w:r>
      <w:proofErr w:type="gramEnd"/>
      <w:r w:rsidR="008C4626">
        <w:t xml:space="preserve"> but a perusal of the pleadings indicate that the claim is not founded on liquid documents. </w:t>
      </w:r>
    </w:p>
    <w:p w14:paraId="55458DB9" w14:textId="63CAD7E7" w:rsidR="000204AC" w:rsidRDefault="006D6BB8" w:rsidP="006D6BB8">
      <w:pPr>
        <w:spacing w:after="612"/>
        <w:ind w:left="566" w:right="49" w:hanging="566"/>
      </w:pPr>
      <w:r>
        <w:rPr>
          <w:u w:color="000000"/>
        </w:rPr>
        <w:t>[9]</w:t>
      </w:r>
      <w:r>
        <w:rPr>
          <w:u w:color="000000"/>
        </w:rPr>
        <w:tab/>
      </w:r>
      <w:r w:rsidR="008C4626">
        <w:t xml:space="preserve">The plaintiff in its affidavit in support of the summary judgment application </w:t>
      </w:r>
      <w:proofErr w:type="gramStart"/>
      <w:r w:rsidR="008C4626">
        <w:t>makes</w:t>
      </w:r>
      <w:proofErr w:type="gramEnd"/>
      <w:r w:rsidR="008C4626">
        <w:t xml:space="preserve"> </w:t>
      </w:r>
    </w:p>
    <w:p w14:paraId="685ADE40" w14:textId="77777777" w:rsidR="000204AC" w:rsidRDefault="008C4626">
      <w:pPr>
        <w:spacing w:after="0" w:line="259" w:lineRule="auto"/>
        <w:ind w:left="0" w:firstLine="0"/>
        <w:jc w:val="left"/>
      </w:pPr>
      <w:r>
        <w:rPr>
          <w:rFonts w:ascii="Calibri" w:eastAsia="Calibri" w:hAnsi="Calibri" w:cs="Calibri"/>
          <w:noProof/>
        </w:rPr>
        <mc:AlternateContent>
          <mc:Choice Requires="wpg">
            <w:drawing>
              <wp:inline distT="0" distB="0" distL="0" distR="0" wp14:anchorId="128A36D2" wp14:editId="5B65CDBC">
                <wp:extent cx="1829054" cy="7620"/>
                <wp:effectExtent l="0" t="0" r="0" b="0"/>
                <wp:docPr id="4152" name="Group 4152"/>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5511" name="Shape 5511"/>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52" style="width:144.02pt;height:0.600037pt;mso-position-horizontal-relative:char;mso-position-vertical-relative:line" coordsize="18290,76">
                <v:shape id="Shape 5512"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010D3A9C" w14:textId="77777777" w:rsidR="000204AC" w:rsidRDefault="008C4626">
      <w:pPr>
        <w:spacing w:after="505"/>
        <w:ind w:left="-5" w:right="49"/>
      </w:pPr>
      <w:r>
        <w:t>the bald statement that the agreement of sale of 2013 is invalid.</w:t>
      </w:r>
      <w:r>
        <w:rPr>
          <w:vertAlign w:val="superscript"/>
        </w:rPr>
        <w:footnoteReference w:id="2"/>
      </w:r>
      <w:r>
        <w:t xml:space="preserve"> Questions relating to the validity and breach of the agreement of sale of 2013 need not be decided in this application but the failure of the deponent to deal more fully with the agreement of 2013 is not satisfactory. </w:t>
      </w:r>
    </w:p>
    <w:p w14:paraId="738E21B9" w14:textId="46CDE4AF" w:rsidR="000204AC" w:rsidRDefault="006D6BB8" w:rsidP="006D6BB8">
      <w:pPr>
        <w:ind w:left="566" w:right="49" w:hanging="566"/>
      </w:pPr>
      <w:r>
        <w:rPr>
          <w:u w:color="000000"/>
        </w:rPr>
        <w:t>[10]</w:t>
      </w:r>
      <w:r>
        <w:rPr>
          <w:u w:color="000000"/>
        </w:rPr>
        <w:tab/>
      </w:r>
      <w:r w:rsidR="008C4626">
        <w:t xml:space="preserve">The plaintiff also relies on a ‘letter annexed to the plea.’ This letter is in fact a letter written by the plaintiff’s attorneys setting out the plaintiff’s instructions. It does not constitute evidence of anything more than that. </w:t>
      </w:r>
    </w:p>
    <w:p w14:paraId="2EB0B91C" w14:textId="1FE59D3D" w:rsidR="000204AC" w:rsidRDefault="006D6BB8" w:rsidP="006D6BB8">
      <w:pPr>
        <w:ind w:left="566" w:right="49" w:hanging="566"/>
      </w:pPr>
      <w:r>
        <w:rPr>
          <w:u w:color="000000"/>
        </w:rPr>
        <w:t>[11]</w:t>
      </w:r>
      <w:r>
        <w:rPr>
          <w:u w:color="000000"/>
        </w:rPr>
        <w:tab/>
      </w:r>
      <w:r w:rsidR="008C4626">
        <w:t xml:space="preserve">The defendant also refers to and attaches the draft deed of sale dated in 2018, and alleges that the defendant coerced the defendant into signing the agreement. This allegation is at odds with the document itself: The document was signed by the plaintiff as seller but not by the defendant as purchaser. It is therefore common cause on the papers that there is no valid agreement of sale dated in 2018. </w:t>
      </w:r>
    </w:p>
    <w:p w14:paraId="4CBA32C6" w14:textId="229A98D3" w:rsidR="000204AC" w:rsidRDefault="006D6BB8" w:rsidP="006D6BB8">
      <w:pPr>
        <w:spacing w:after="478" w:line="481" w:lineRule="auto"/>
        <w:ind w:left="566" w:right="49" w:hanging="566"/>
      </w:pPr>
      <w:r>
        <w:rPr>
          <w:u w:color="000000"/>
        </w:rPr>
        <w:t>[12]</w:t>
      </w:r>
      <w:r>
        <w:rPr>
          <w:u w:color="000000"/>
        </w:rPr>
        <w:tab/>
      </w:r>
      <w:r w:rsidR="008C4626">
        <w:t xml:space="preserve">The authors of </w:t>
      </w:r>
      <w:r w:rsidR="008C4626">
        <w:rPr>
          <w:i/>
        </w:rPr>
        <w:t>Superior Court Practice</w:t>
      </w:r>
      <w:r w:rsidR="008C4626">
        <w:rPr>
          <w:vertAlign w:val="superscript"/>
        </w:rPr>
        <w:footnoteReference w:id="3"/>
      </w:r>
      <w:r w:rsidR="008C4626">
        <w:t xml:space="preserve"> state with reference to the remedy of summary judgement that: </w:t>
      </w:r>
      <w:r w:rsidR="008C4626">
        <w:rPr>
          <w:i/>
        </w:rPr>
        <w:t xml:space="preserve">“The remedy should be resorted to and accorded only where the plaintiff can establish his claim clearly and the defendant fails to set up a </w:t>
      </w:r>
      <w:r w:rsidR="008C4626">
        <w:rPr>
          <w:i/>
        </w:rPr>
        <w:lastRenderedPageBreak/>
        <w:t xml:space="preserve">bona fide defence.” </w:t>
      </w:r>
      <w:r w:rsidR="008C4626">
        <w:t xml:space="preserve">The plaintiff has not succeeded in establishing its claim clearly and leave to defend should be granted. </w:t>
      </w:r>
    </w:p>
    <w:p w14:paraId="1E3ABA56" w14:textId="3ADE9CC4" w:rsidR="000204AC" w:rsidRDefault="006D6BB8" w:rsidP="006D6BB8">
      <w:pPr>
        <w:spacing w:after="318"/>
        <w:ind w:left="566" w:right="49" w:hanging="566"/>
      </w:pPr>
      <w:r>
        <w:rPr>
          <w:u w:color="000000"/>
        </w:rPr>
        <w:t>[13]</w:t>
      </w:r>
      <w:r>
        <w:rPr>
          <w:u w:color="000000"/>
        </w:rPr>
        <w:tab/>
      </w:r>
      <w:r w:rsidR="008C4626">
        <w:t xml:space="preserve">The plaintiff launched its application for summary judgment after expiry of the 15day period provided for in Rule 32. This prompted the defendant to bring an application in terms of Rule 30, alleging that the summary judgment constituted an irregular step. The plaintiff countered by referring to correspondence in support of the argument that the </w:t>
      </w:r>
    </w:p>
    <w:p w14:paraId="4E0B3801" w14:textId="77777777" w:rsidR="000204AC" w:rsidRDefault="008C4626">
      <w:pPr>
        <w:spacing w:after="0" w:line="259" w:lineRule="auto"/>
        <w:ind w:left="0" w:firstLine="0"/>
        <w:jc w:val="left"/>
      </w:pPr>
      <w:r>
        <w:rPr>
          <w:rFonts w:ascii="Calibri" w:eastAsia="Calibri" w:hAnsi="Calibri" w:cs="Calibri"/>
          <w:noProof/>
        </w:rPr>
        <mc:AlternateContent>
          <mc:Choice Requires="wpg">
            <w:drawing>
              <wp:inline distT="0" distB="0" distL="0" distR="0" wp14:anchorId="6B928F05" wp14:editId="708597F8">
                <wp:extent cx="1829054" cy="7620"/>
                <wp:effectExtent l="0" t="0" r="0" b="0"/>
                <wp:docPr id="4429" name="Group 4429"/>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5513" name="Shape 5513"/>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29" style="width:144.02pt;height:0.599976pt;mso-position-horizontal-relative:char;mso-position-vertical-relative:line" coordsize="18290,76">
                <v:shape id="Shape 5514"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1F705223" w14:textId="77777777" w:rsidR="000204AC" w:rsidRDefault="008C4626">
      <w:pPr>
        <w:ind w:left="-5" w:right="49"/>
      </w:pPr>
      <w:r>
        <w:t xml:space="preserve">parties had expressly agreed to hold time periods in abeyance pending settlement discussions that eventually failed. When the discussions failed the plaintiff served its application for summary judgment. </w:t>
      </w:r>
    </w:p>
    <w:p w14:paraId="330BBF0A" w14:textId="1A8D5410" w:rsidR="000204AC" w:rsidRDefault="006D6BB8" w:rsidP="006D6BB8">
      <w:pPr>
        <w:ind w:left="566" w:right="49" w:hanging="566"/>
      </w:pPr>
      <w:r>
        <w:rPr>
          <w:u w:color="000000"/>
        </w:rPr>
        <w:t>[14]</w:t>
      </w:r>
      <w:r>
        <w:rPr>
          <w:u w:color="000000"/>
        </w:rPr>
        <w:tab/>
      </w:r>
      <w:r w:rsidR="008C4626">
        <w:t xml:space="preserve">The summons was served on 4 October 2021 and appearance to defend was entered on 15 October 2021. The plea, special plea and counterclaim was served on 18 October 2021 and in November 2021 there were settlement discussions between the parties’ legal representatives. It was agreed to hold over the time periods pending settlement discussions. </w:t>
      </w:r>
    </w:p>
    <w:p w14:paraId="64ACB08E" w14:textId="05654ED1" w:rsidR="000204AC" w:rsidRDefault="006D6BB8" w:rsidP="006D6BB8">
      <w:pPr>
        <w:ind w:left="566" w:right="49" w:hanging="566"/>
      </w:pPr>
      <w:r>
        <w:rPr>
          <w:u w:color="000000"/>
        </w:rPr>
        <w:t>[15]</w:t>
      </w:r>
      <w:r>
        <w:rPr>
          <w:u w:color="000000"/>
        </w:rPr>
        <w:tab/>
      </w:r>
      <w:r w:rsidR="008C4626">
        <w:t xml:space="preserve">The discussions broke down in January 2022 and the summary judgment application was then delivered on 25 January 2022. The notice in terms of Rule 30 followed on 21 February 2022. </w:t>
      </w:r>
    </w:p>
    <w:p w14:paraId="4FFE3431" w14:textId="30494192" w:rsidR="000204AC" w:rsidRDefault="006D6BB8" w:rsidP="006D6BB8">
      <w:pPr>
        <w:ind w:left="566" w:right="49" w:hanging="566"/>
      </w:pPr>
      <w:r>
        <w:rPr>
          <w:u w:color="000000"/>
        </w:rPr>
        <w:t>[16]</w:t>
      </w:r>
      <w:r>
        <w:rPr>
          <w:u w:color="000000"/>
        </w:rPr>
        <w:tab/>
      </w:r>
      <w:r w:rsidR="008C4626">
        <w:t xml:space="preserve">When the Rule 30 application came before </w:t>
      </w:r>
      <w:proofErr w:type="spellStart"/>
      <w:r w:rsidR="008C4626">
        <w:t>Matsemela</w:t>
      </w:r>
      <w:proofErr w:type="spellEnd"/>
      <w:r w:rsidR="008C4626">
        <w:t xml:space="preserve"> AJ on 16 May 2022 the learned Judge ordered that the Rule 30 application be heard with the summary judgment application.  </w:t>
      </w:r>
    </w:p>
    <w:p w14:paraId="66251843" w14:textId="1EBF69C4" w:rsidR="000204AC" w:rsidRDefault="006D6BB8" w:rsidP="006D6BB8">
      <w:pPr>
        <w:ind w:left="566" w:right="49" w:hanging="566"/>
      </w:pPr>
      <w:r>
        <w:rPr>
          <w:u w:color="000000"/>
        </w:rPr>
        <w:lastRenderedPageBreak/>
        <w:t>[17]</w:t>
      </w:r>
      <w:r>
        <w:rPr>
          <w:u w:color="000000"/>
        </w:rPr>
        <w:tab/>
      </w:r>
      <w:r w:rsidR="008C4626">
        <w:t xml:space="preserve">The issue of non-compliance with the notice period in Rule 32 could have been raised in the summary judgment application. There was no need for a separate application in terms of Rule 30. Because of the view I take of the summary judgment application the application in terms of Rule 30 has become moot. </w:t>
      </w:r>
    </w:p>
    <w:p w14:paraId="3820A1B9" w14:textId="4D0A49D6" w:rsidR="000204AC" w:rsidRDefault="006D6BB8" w:rsidP="006D6BB8">
      <w:pPr>
        <w:spacing w:after="504"/>
        <w:ind w:left="566" w:right="49" w:hanging="566"/>
      </w:pPr>
      <w:r>
        <w:rPr>
          <w:u w:color="000000"/>
        </w:rPr>
        <w:t>[18]</w:t>
      </w:r>
      <w:r>
        <w:rPr>
          <w:u w:color="000000"/>
        </w:rPr>
        <w:tab/>
      </w:r>
      <w:r w:rsidR="008C4626">
        <w:t xml:space="preserve">I therefore make the order as set out above. </w:t>
      </w:r>
    </w:p>
    <w:p w14:paraId="56E918D0" w14:textId="77777777" w:rsidR="000204AC" w:rsidRDefault="008C4626">
      <w:pPr>
        <w:spacing w:after="105" w:line="259" w:lineRule="auto"/>
        <w:ind w:left="0" w:firstLine="0"/>
        <w:jc w:val="right"/>
      </w:pPr>
      <w:r>
        <w:rPr>
          <w:b/>
        </w:rPr>
        <w:t xml:space="preserve"> </w:t>
      </w:r>
    </w:p>
    <w:p w14:paraId="4769BEE6" w14:textId="77777777" w:rsidR="000204AC" w:rsidRDefault="008C4626">
      <w:pPr>
        <w:spacing w:after="106" w:line="259" w:lineRule="auto"/>
        <w:ind w:left="2472" w:right="47"/>
        <w:jc w:val="right"/>
      </w:pPr>
      <w:r>
        <w:rPr>
          <w:b/>
        </w:rPr>
        <w:t xml:space="preserve">_____________ </w:t>
      </w:r>
    </w:p>
    <w:p w14:paraId="3ECD6781" w14:textId="77777777" w:rsidR="000204AC" w:rsidRDefault="008C4626">
      <w:pPr>
        <w:spacing w:after="106" w:line="358" w:lineRule="auto"/>
        <w:ind w:left="2472" w:right="47"/>
        <w:jc w:val="right"/>
      </w:pPr>
      <w:r>
        <w:rPr>
          <w:b/>
        </w:rPr>
        <w:t xml:space="preserve">J MOORCROFT ACTING JUDGE OF THE HIGH COURT OF SOUTH AFRICA GAUTENG DIVISION </w:t>
      </w:r>
    </w:p>
    <w:p w14:paraId="6908938E" w14:textId="77777777" w:rsidR="000204AC" w:rsidRDefault="008C4626">
      <w:pPr>
        <w:spacing w:after="106" w:line="259" w:lineRule="auto"/>
        <w:ind w:left="2472" w:right="47"/>
        <w:jc w:val="right"/>
      </w:pPr>
      <w:r>
        <w:rPr>
          <w:b/>
        </w:rPr>
        <w:t xml:space="preserve">JOHANNESBURG </w:t>
      </w:r>
    </w:p>
    <w:p w14:paraId="0911AAAC" w14:textId="77777777" w:rsidR="000204AC" w:rsidRDefault="008C4626">
      <w:pPr>
        <w:spacing w:after="110" w:line="259" w:lineRule="auto"/>
        <w:ind w:left="0" w:right="3" w:firstLine="0"/>
        <w:jc w:val="center"/>
      </w:pPr>
      <w:r>
        <w:rPr>
          <w:b/>
        </w:rPr>
        <w:t xml:space="preserve"> </w:t>
      </w:r>
    </w:p>
    <w:p w14:paraId="05CD342C" w14:textId="77777777" w:rsidR="000204AC" w:rsidRDefault="008C4626">
      <w:pPr>
        <w:spacing w:after="227" w:line="259" w:lineRule="auto"/>
        <w:ind w:left="0" w:right="62" w:firstLine="0"/>
        <w:jc w:val="right"/>
      </w:pPr>
      <w:r>
        <w:rPr>
          <w:b/>
          <w:i/>
        </w:rPr>
        <w:t xml:space="preserve">Electronically </w:t>
      </w:r>
      <w:proofErr w:type="gramStart"/>
      <w:r>
        <w:rPr>
          <w:b/>
          <w:i/>
        </w:rPr>
        <w:t>submitted</w:t>
      </w:r>
      <w:proofErr w:type="gramEnd"/>
      <w:r>
        <w:rPr>
          <w:b/>
          <w:i/>
        </w:rPr>
        <w:t xml:space="preserve"> </w:t>
      </w:r>
    </w:p>
    <w:p w14:paraId="2C572B7E" w14:textId="77777777" w:rsidR="000204AC" w:rsidRDefault="008C4626">
      <w:pPr>
        <w:spacing w:after="107" w:line="259" w:lineRule="auto"/>
        <w:ind w:left="0" w:firstLine="0"/>
        <w:jc w:val="left"/>
      </w:pPr>
      <w:r>
        <w:t xml:space="preserve"> </w:t>
      </w:r>
    </w:p>
    <w:p w14:paraId="272C3A65" w14:textId="77777777" w:rsidR="000204AC" w:rsidRDefault="008C4626">
      <w:pPr>
        <w:spacing w:after="0" w:line="239" w:lineRule="auto"/>
        <w:ind w:left="0" w:right="2" w:firstLine="0"/>
        <w:jc w:val="left"/>
      </w:pPr>
      <w:r>
        <w:t xml:space="preserve">Delivered: This judgement was prepared and authored by the Acting Judge whose name is reflected and is handed down electronically by circulation to the Parties / their legal representatives by email and by uploading it to the electronic file of this matter on </w:t>
      </w:r>
      <w:proofErr w:type="spellStart"/>
      <w:r>
        <w:t>CaseLines</w:t>
      </w:r>
      <w:proofErr w:type="spellEnd"/>
      <w:r>
        <w:t xml:space="preserve">. The date of the judgment is deemed to be </w:t>
      </w:r>
      <w:r>
        <w:rPr>
          <w:b/>
        </w:rPr>
        <w:t>1 FEBRUARY 2023</w:t>
      </w:r>
      <w:r>
        <w:t xml:space="preserve">. </w:t>
      </w:r>
    </w:p>
    <w:p w14:paraId="66C90251" w14:textId="77777777" w:rsidR="000204AC" w:rsidRDefault="008C4626">
      <w:pPr>
        <w:spacing w:after="105" w:line="259" w:lineRule="auto"/>
        <w:ind w:left="0" w:right="3" w:firstLine="0"/>
        <w:jc w:val="center"/>
      </w:pPr>
      <w:r>
        <w:rPr>
          <w:b/>
        </w:rPr>
        <w:t xml:space="preserve"> </w:t>
      </w:r>
    </w:p>
    <w:p w14:paraId="486ABE28" w14:textId="77777777" w:rsidR="000204AC" w:rsidRDefault="008C4626">
      <w:pPr>
        <w:tabs>
          <w:tab w:val="right" w:pos="8614"/>
        </w:tabs>
        <w:spacing w:after="0" w:line="259" w:lineRule="auto"/>
        <w:ind w:left="0" w:firstLine="0"/>
        <w:jc w:val="left"/>
      </w:pPr>
      <w:r>
        <w:t xml:space="preserve">COUNSEL FOR THE PLAINTIFF: </w:t>
      </w:r>
      <w:r>
        <w:tab/>
        <w:t xml:space="preserve">MS N LATIF </w:t>
      </w:r>
    </w:p>
    <w:tbl>
      <w:tblPr>
        <w:tblStyle w:val="TableGrid"/>
        <w:tblW w:w="8458" w:type="dxa"/>
        <w:tblInd w:w="108" w:type="dxa"/>
        <w:tblLook w:val="04A0" w:firstRow="1" w:lastRow="0" w:firstColumn="1" w:lastColumn="0" w:noHBand="0" w:noVBand="1"/>
      </w:tblPr>
      <w:tblGrid>
        <w:gridCol w:w="5744"/>
        <w:gridCol w:w="2714"/>
      </w:tblGrid>
      <w:tr w:rsidR="000204AC" w14:paraId="0BE8C296" w14:textId="77777777">
        <w:trPr>
          <w:trHeight w:val="313"/>
        </w:trPr>
        <w:tc>
          <w:tcPr>
            <w:tcW w:w="5744" w:type="dxa"/>
            <w:tcBorders>
              <w:top w:val="nil"/>
              <w:left w:val="nil"/>
              <w:bottom w:val="nil"/>
              <w:right w:val="nil"/>
            </w:tcBorders>
          </w:tcPr>
          <w:p w14:paraId="420DF17A" w14:textId="77777777" w:rsidR="000204AC" w:rsidRDefault="008C4626">
            <w:pPr>
              <w:spacing w:after="0" w:line="259" w:lineRule="auto"/>
              <w:ind w:left="0" w:firstLine="0"/>
              <w:jc w:val="left"/>
            </w:pPr>
            <w:r>
              <w:t xml:space="preserve">INSTRUCTED BY: </w:t>
            </w:r>
          </w:p>
        </w:tc>
        <w:tc>
          <w:tcPr>
            <w:tcW w:w="2714" w:type="dxa"/>
            <w:tcBorders>
              <w:top w:val="nil"/>
              <w:left w:val="nil"/>
              <w:bottom w:val="nil"/>
              <w:right w:val="nil"/>
            </w:tcBorders>
          </w:tcPr>
          <w:p w14:paraId="2BF5B335" w14:textId="77777777" w:rsidR="000204AC" w:rsidRDefault="008C4626">
            <w:pPr>
              <w:spacing w:after="0" w:line="259" w:lineRule="auto"/>
              <w:ind w:left="146" w:firstLine="0"/>
              <w:jc w:val="left"/>
            </w:pPr>
            <w:r>
              <w:t xml:space="preserve">STUPEL &amp; BERMAN INC </w:t>
            </w:r>
          </w:p>
        </w:tc>
      </w:tr>
      <w:tr w:rsidR="000204AC" w14:paraId="14EF3C40" w14:textId="77777777">
        <w:trPr>
          <w:trHeight w:val="380"/>
        </w:trPr>
        <w:tc>
          <w:tcPr>
            <w:tcW w:w="5744" w:type="dxa"/>
            <w:tcBorders>
              <w:top w:val="nil"/>
              <w:left w:val="nil"/>
              <w:bottom w:val="nil"/>
              <w:right w:val="nil"/>
            </w:tcBorders>
          </w:tcPr>
          <w:p w14:paraId="7B7DAF28" w14:textId="77777777" w:rsidR="000204AC" w:rsidRDefault="008C4626">
            <w:pPr>
              <w:spacing w:after="0" w:line="259" w:lineRule="auto"/>
              <w:ind w:left="0" w:firstLine="0"/>
              <w:jc w:val="left"/>
            </w:pPr>
            <w:r>
              <w:t xml:space="preserve">COUNSEL FOR DEFENDANT: </w:t>
            </w:r>
          </w:p>
        </w:tc>
        <w:tc>
          <w:tcPr>
            <w:tcW w:w="2714" w:type="dxa"/>
            <w:tcBorders>
              <w:top w:val="nil"/>
              <w:left w:val="nil"/>
              <w:bottom w:val="nil"/>
              <w:right w:val="nil"/>
            </w:tcBorders>
          </w:tcPr>
          <w:p w14:paraId="1FB59A5A" w14:textId="77777777" w:rsidR="000204AC" w:rsidRDefault="008C4626">
            <w:pPr>
              <w:spacing w:after="0" w:line="259" w:lineRule="auto"/>
              <w:ind w:left="0" w:right="62" w:firstLine="0"/>
              <w:jc w:val="right"/>
            </w:pPr>
            <w:r>
              <w:t xml:space="preserve">MS A C ROESTORF </w:t>
            </w:r>
          </w:p>
        </w:tc>
      </w:tr>
      <w:tr w:rsidR="000204AC" w14:paraId="478C4D06" w14:textId="77777777">
        <w:trPr>
          <w:trHeight w:val="380"/>
        </w:trPr>
        <w:tc>
          <w:tcPr>
            <w:tcW w:w="5744" w:type="dxa"/>
            <w:tcBorders>
              <w:top w:val="nil"/>
              <w:left w:val="nil"/>
              <w:bottom w:val="nil"/>
              <w:right w:val="nil"/>
            </w:tcBorders>
          </w:tcPr>
          <w:p w14:paraId="38E716A7" w14:textId="77777777" w:rsidR="000204AC" w:rsidRDefault="008C4626">
            <w:pPr>
              <w:spacing w:after="0" w:line="259" w:lineRule="auto"/>
              <w:ind w:left="0" w:firstLine="0"/>
              <w:jc w:val="left"/>
            </w:pPr>
            <w:r>
              <w:t xml:space="preserve">INSTRUCTED BY: </w:t>
            </w:r>
          </w:p>
        </w:tc>
        <w:tc>
          <w:tcPr>
            <w:tcW w:w="2714" w:type="dxa"/>
            <w:tcBorders>
              <w:top w:val="nil"/>
              <w:left w:val="nil"/>
              <w:bottom w:val="nil"/>
              <w:right w:val="nil"/>
            </w:tcBorders>
          </w:tcPr>
          <w:p w14:paraId="145CCF60" w14:textId="77777777" w:rsidR="000204AC" w:rsidRDefault="008C4626">
            <w:pPr>
              <w:spacing w:after="0" w:line="259" w:lineRule="auto"/>
              <w:ind w:left="0" w:firstLine="0"/>
            </w:pPr>
            <w:r>
              <w:t xml:space="preserve">TENTE I RASJNYALO INC </w:t>
            </w:r>
          </w:p>
        </w:tc>
      </w:tr>
      <w:tr w:rsidR="000204AC" w14:paraId="24025472" w14:textId="77777777">
        <w:trPr>
          <w:trHeight w:val="379"/>
        </w:trPr>
        <w:tc>
          <w:tcPr>
            <w:tcW w:w="5744" w:type="dxa"/>
            <w:tcBorders>
              <w:top w:val="nil"/>
              <w:left w:val="nil"/>
              <w:bottom w:val="nil"/>
              <w:right w:val="nil"/>
            </w:tcBorders>
          </w:tcPr>
          <w:p w14:paraId="6C73AD07" w14:textId="77777777" w:rsidR="000204AC" w:rsidRDefault="008C4626">
            <w:pPr>
              <w:spacing w:after="0" w:line="259" w:lineRule="auto"/>
              <w:ind w:left="0" w:firstLine="0"/>
              <w:jc w:val="left"/>
            </w:pPr>
            <w:r>
              <w:t xml:space="preserve">DATE OF THE HEARING: </w:t>
            </w:r>
          </w:p>
        </w:tc>
        <w:tc>
          <w:tcPr>
            <w:tcW w:w="2714" w:type="dxa"/>
            <w:tcBorders>
              <w:top w:val="nil"/>
              <w:left w:val="nil"/>
              <w:bottom w:val="nil"/>
              <w:right w:val="nil"/>
            </w:tcBorders>
          </w:tcPr>
          <w:p w14:paraId="2CC1DB2F" w14:textId="77777777" w:rsidR="000204AC" w:rsidRDefault="008C4626">
            <w:pPr>
              <w:spacing w:after="0" w:line="259" w:lineRule="auto"/>
              <w:ind w:left="0" w:right="62" w:firstLine="0"/>
              <w:jc w:val="right"/>
            </w:pPr>
            <w:r>
              <w:t xml:space="preserve">26 JANUARY 2023 </w:t>
            </w:r>
          </w:p>
        </w:tc>
      </w:tr>
      <w:tr w:rsidR="000204AC" w14:paraId="0D72BA03" w14:textId="77777777">
        <w:trPr>
          <w:trHeight w:val="379"/>
        </w:trPr>
        <w:tc>
          <w:tcPr>
            <w:tcW w:w="5744" w:type="dxa"/>
            <w:tcBorders>
              <w:top w:val="nil"/>
              <w:left w:val="nil"/>
              <w:bottom w:val="nil"/>
              <w:right w:val="nil"/>
            </w:tcBorders>
          </w:tcPr>
          <w:p w14:paraId="086E6000" w14:textId="77777777" w:rsidR="000204AC" w:rsidRDefault="008C4626">
            <w:pPr>
              <w:spacing w:after="0" w:line="259" w:lineRule="auto"/>
              <w:ind w:left="0" w:firstLine="0"/>
              <w:jc w:val="left"/>
            </w:pPr>
            <w:r>
              <w:t xml:space="preserve">DATE OF ORDER: </w:t>
            </w:r>
          </w:p>
        </w:tc>
        <w:tc>
          <w:tcPr>
            <w:tcW w:w="2714" w:type="dxa"/>
            <w:tcBorders>
              <w:top w:val="nil"/>
              <w:left w:val="nil"/>
              <w:bottom w:val="nil"/>
              <w:right w:val="nil"/>
            </w:tcBorders>
          </w:tcPr>
          <w:p w14:paraId="0D659786" w14:textId="77777777" w:rsidR="000204AC" w:rsidRDefault="008C4626">
            <w:pPr>
              <w:spacing w:after="0" w:line="259" w:lineRule="auto"/>
              <w:ind w:left="0" w:right="61" w:firstLine="0"/>
              <w:jc w:val="right"/>
            </w:pPr>
            <w:r>
              <w:t xml:space="preserve">1 FEBRUARY 2023 </w:t>
            </w:r>
          </w:p>
        </w:tc>
      </w:tr>
      <w:tr w:rsidR="000204AC" w14:paraId="70C53939" w14:textId="77777777">
        <w:trPr>
          <w:trHeight w:val="313"/>
        </w:trPr>
        <w:tc>
          <w:tcPr>
            <w:tcW w:w="5744" w:type="dxa"/>
            <w:tcBorders>
              <w:top w:val="nil"/>
              <w:left w:val="nil"/>
              <w:bottom w:val="nil"/>
              <w:right w:val="nil"/>
            </w:tcBorders>
          </w:tcPr>
          <w:p w14:paraId="0556BFC3" w14:textId="77777777" w:rsidR="000204AC" w:rsidRDefault="008C4626">
            <w:pPr>
              <w:spacing w:after="0" w:line="259" w:lineRule="auto"/>
              <w:ind w:left="0" w:firstLine="0"/>
              <w:jc w:val="left"/>
            </w:pPr>
            <w:r>
              <w:t xml:space="preserve">DATE OF JUDGMENT: </w:t>
            </w:r>
          </w:p>
        </w:tc>
        <w:tc>
          <w:tcPr>
            <w:tcW w:w="2714" w:type="dxa"/>
            <w:tcBorders>
              <w:top w:val="nil"/>
              <w:left w:val="nil"/>
              <w:bottom w:val="nil"/>
              <w:right w:val="nil"/>
            </w:tcBorders>
          </w:tcPr>
          <w:p w14:paraId="6C0757EE" w14:textId="77777777" w:rsidR="000204AC" w:rsidRDefault="008C4626">
            <w:pPr>
              <w:spacing w:after="0" w:line="259" w:lineRule="auto"/>
              <w:ind w:left="0" w:right="61" w:firstLine="0"/>
              <w:jc w:val="right"/>
            </w:pPr>
            <w:r>
              <w:t xml:space="preserve">1 FEBRUARY 2023 </w:t>
            </w:r>
          </w:p>
        </w:tc>
      </w:tr>
    </w:tbl>
    <w:p w14:paraId="593131F9" w14:textId="77777777" w:rsidR="000204AC" w:rsidRDefault="008C4626">
      <w:pPr>
        <w:spacing w:after="0" w:line="259" w:lineRule="auto"/>
        <w:ind w:left="0" w:firstLine="0"/>
        <w:jc w:val="left"/>
      </w:pPr>
      <w:r>
        <w:t xml:space="preserve"> </w:t>
      </w:r>
    </w:p>
    <w:sectPr w:rsidR="000204AC">
      <w:headerReference w:type="even" r:id="rId8"/>
      <w:headerReference w:type="default" r:id="rId9"/>
      <w:headerReference w:type="first" r:id="rId10"/>
      <w:pgSz w:w="11906" w:h="16838"/>
      <w:pgMar w:top="1440" w:right="1494" w:bottom="1276" w:left="179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A7945" w14:textId="77777777" w:rsidR="009A4FB0" w:rsidRDefault="009A4FB0">
      <w:pPr>
        <w:spacing w:after="0" w:line="240" w:lineRule="auto"/>
      </w:pPr>
      <w:r>
        <w:separator/>
      </w:r>
    </w:p>
  </w:endnote>
  <w:endnote w:type="continuationSeparator" w:id="0">
    <w:p w14:paraId="498DE5BB" w14:textId="77777777" w:rsidR="009A4FB0" w:rsidRDefault="009A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1800A" w14:textId="77777777" w:rsidR="009A4FB0" w:rsidRDefault="009A4FB0">
      <w:pPr>
        <w:spacing w:after="0" w:line="242" w:lineRule="auto"/>
        <w:ind w:left="0" w:right="71" w:firstLine="0"/>
      </w:pPr>
      <w:r>
        <w:separator/>
      </w:r>
    </w:p>
  </w:footnote>
  <w:footnote w:type="continuationSeparator" w:id="0">
    <w:p w14:paraId="3154FA67" w14:textId="77777777" w:rsidR="009A4FB0" w:rsidRDefault="009A4FB0">
      <w:pPr>
        <w:spacing w:after="0" w:line="242" w:lineRule="auto"/>
        <w:ind w:left="0" w:right="71" w:firstLine="0"/>
      </w:pPr>
      <w:r>
        <w:continuationSeparator/>
      </w:r>
    </w:p>
  </w:footnote>
  <w:footnote w:id="1">
    <w:p w14:paraId="378ECBE1" w14:textId="77777777" w:rsidR="000204AC" w:rsidRDefault="008C4626">
      <w:pPr>
        <w:pStyle w:val="footnotedescription"/>
        <w:spacing w:line="242" w:lineRule="auto"/>
        <w:ind w:right="71"/>
        <w:jc w:val="both"/>
      </w:pPr>
      <w:r>
        <w:rPr>
          <w:rStyle w:val="footnotemark"/>
        </w:rPr>
        <w:footnoteRef/>
      </w:r>
      <w:r>
        <w:t xml:space="preserve"> Paragraph 20 of affidavit. The reference to a proposed deed of sale implies a reference to the 2018 draft rather than the 2013 deed of sale that the defendant relies on. </w:t>
      </w:r>
      <w:proofErr w:type="gramStart"/>
      <w:r>
        <w:rPr>
          <w:vertAlign w:val="superscript"/>
        </w:rPr>
        <w:t>2</w:t>
      </w:r>
      <w:r>
        <w:t xml:space="preserve">  Paragraph</w:t>
      </w:r>
      <w:proofErr w:type="gramEnd"/>
      <w:r>
        <w:t xml:space="preserve"> 35 of affidavit. </w:t>
      </w:r>
    </w:p>
  </w:footnote>
  <w:footnote w:id="2">
    <w:p w14:paraId="7C3041D0" w14:textId="77777777" w:rsidR="000204AC" w:rsidRDefault="008C4626">
      <w:pPr>
        <w:pStyle w:val="footnotedescription"/>
        <w:spacing w:line="259" w:lineRule="auto"/>
      </w:pPr>
      <w:r>
        <w:rPr>
          <w:rStyle w:val="footnotemark"/>
        </w:rPr>
        <w:footnoteRef/>
      </w:r>
      <w:r>
        <w:t xml:space="preserve"> Paragraph 28 of affidavit. </w:t>
      </w:r>
    </w:p>
  </w:footnote>
  <w:footnote w:id="3">
    <w:p w14:paraId="6259C8EA" w14:textId="77777777" w:rsidR="000204AC" w:rsidRDefault="008C4626">
      <w:pPr>
        <w:pStyle w:val="footnotedescription"/>
        <w:spacing w:line="245" w:lineRule="auto"/>
        <w:ind w:left="341" w:hanging="341"/>
        <w:jc w:val="both"/>
      </w:pPr>
      <w:r>
        <w:rPr>
          <w:rStyle w:val="footnotemark"/>
        </w:rPr>
        <w:footnoteRef/>
      </w:r>
      <w:r>
        <w:t xml:space="preserve"> Van </w:t>
      </w:r>
      <w:proofErr w:type="spellStart"/>
      <w:r>
        <w:t>Loggerenberg</w:t>
      </w:r>
      <w:proofErr w:type="spellEnd"/>
      <w:r>
        <w:t xml:space="preserve"> &amp; Bertelsmann </w:t>
      </w:r>
      <w:r>
        <w:rPr>
          <w:i/>
        </w:rPr>
        <w:t>Erasmus: Superior Court Practice</w:t>
      </w:r>
      <w:r>
        <w:t xml:space="preserve"> RS 17, 2021, D1-383. See also the analysis by the Supreme Court of Appeal in </w:t>
      </w:r>
      <w:proofErr w:type="spellStart"/>
      <w:r>
        <w:t>Joob</w:t>
      </w:r>
      <w:proofErr w:type="spellEnd"/>
      <w:r>
        <w:t xml:space="preserve"> </w:t>
      </w:r>
      <w:proofErr w:type="spellStart"/>
      <w:r>
        <w:t>Joob</w:t>
      </w:r>
      <w:proofErr w:type="spellEnd"/>
      <w:r>
        <w:t xml:space="preserve"> Investments (Pty) Ltd </w:t>
      </w:r>
      <w:proofErr w:type="gramStart"/>
      <w:r>
        <w:t>v</w:t>
      </w:r>
      <w:proofErr w:type="gramEnd"/>
      <w:r>
        <w:t xml:space="preserve"> </w:t>
      </w:r>
    </w:p>
    <w:p w14:paraId="297D98B1" w14:textId="77777777" w:rsidR="000204AC" w:rsidRDefault="008C4626">
      <w:pPr>
        <w:pStyle w:val="footnotedescription"/>
        <w:spacing w:line="259" w:lineRule="auto"/>
        <w:ind w:left="341"/>
      </w:pPr>
      <w:r>
        <w:t xml:space="preserve">Stocks </w:t>
      </w:r>
      <w:proofErr w:type="spellStart"/>
      <w:r>
        <w:t>Mavundla</w:t>
      </w:r>
      <w:proofErr w:type="spellEnd"/>
      <w:r>
        <w:t xml:space="preserve"> Zek Joint Venture 2009 (5) SA 1 (SCA)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AE89" w14:textId="77777777" w:rsidR="000204AC" w:rsidRDefault="008C4626">
    <w:pPr>
      <w:spacing w:after="38" w:line="259" w:lineRule="auto"/>
      <w:ind w:left="0" w:firstLine="0"/>
      <w:jc w:val="lef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2B777511" w14:textId="77777777" w:rsidR="000204AC" w:rsidRDefault="008C4626">
    <w:pPr>
      <w:spacing w:after="16" w:line="259" w:lineRule="auto"/>
      <w:ind w:left="0" w:firstLine="0"/>
      <w:jc w:val="right"/>
    </w:pPr>
    <w:r>
      <w:t xml:space="preserve"> </w:t>
    </w:r>
  </w:p>
  <w:p w14:paraId="20D2E8F7" w14:textId="77777777" w:rsidR="000204AC" w:rsidRDefault="008C4626">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A42B" w14:textId="77777777" w:rsidR="000204AC" w:rsidRDefault="008C4626">
    <w:pPr>
      <w:spacing w:after="38" w:line="259" w:lineRule="auto"/>
      <w:ind w:left="0" w:firstLine="0"/>
      <w:jc w:val="left"/>
    </w:pPr>
    <w:r>
      <w:fldChar w:fldCharType="begin"/>
    </w:r>
    <w:r>
      <w:instrText xml:space="preserve"> PAGE   \* MERGEFORMAT </w:instrText>
    </w:r>
    <w:r>
      <w:fldChar w:fldCharType="separate"/>
    </w:r>
    <w:r w:rsidR="00701A7B" w:rsidRPr="00701A7B">
      <w:rPr>
        <w:noProof/>
        <w:sz w:val="20"/>
      </w:rPr>
      <w:t>6</w:t>
    </w:r>
    <w:r>
      <w:rPr>
        <w:sz w:val="20"/>
      </w:rPr>
      <w:fldChar w:fldCharType="end"/>
    </w:r>
    <w:r>
      <w:rPr>
        <w:sz w:val="20"/>
      </w:rPr>
      <w:t xml:space="preserve"> </w:t>
    </w:r>
  </w:p>
  <w:p w14:paraId="2CD303F4" w14:textId="77777777" w:rsidR="000204AC" w:rsidRDefault="008C4626">
    <w:pPr>
      <w:spacing w:after="16" w:line="259" w:lineRule="auto"/>
      <w:ind w:left="0" w:firstLine="0"/>
      <w:jc w:val="right"/>
    </w:pPr>
    <w:r>
      <w:t xml:space="preserve"> </w:t>
    </w:r>
  </w:p>
  <w:p w14:paraId="364B64B5" w14:textId="77777777" w:rsidR="000204AC" w:rsidRDefault="008C4626">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2F6F" w14:textId="77777777" w:rsidR="000204AC" w:rsidRDefault="000204AC">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622EF"/>
    <w:multiLevelType w:val="hybridMultilevel"/>
    <w:tmpl w:val="CA1ADD86"/>
    <w:lvl w:ilvl="0" w:tplc="FFF4E2B6">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AE5516">
      <w:start w:val="1"/>
      <w:numFmt w:val="decimal"/>
      <w:lvlText w:val="%2."/>
      <w:lvlJc w:val="left"/>
      <w:pPr>
        <w:ind w:left="111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8B863882">
      <w:start w:val="1"/>
      <w:numFmt w:val="lowerRoman"/>
      <w:lvlText w:val="%3"/>
      <w:lvlJc w:val="left"/>
      <w:pPr>
        <w:ind w:left="165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40A8D020">
      <w:start w:val="1"/>
      <w:numFmt w:val="decimal"/>
      <w:lvlText w:val="%4"/>
      <w:lvlJc w:val="left"/>
      <w:pPr>
        <w:ind w:left="237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03065E06">
      <w:start w:val="1"/>
      <w:numFmt w:val="lowerLetter"/>
      <w:lvlText w:val="%5"/>
      <w:lvlJc w:val="left"/>
      <w:pPr>
        <w:ind w:left="30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605E8D56">
      <w:start w:val="1"/>
      <w:numFmt w:val="lowerRoman"/>
      <w:lvlText w:val="%6"/>
      <w:lvlJc w:val="left"/>
      <w:pPr>
        <w:ind w:left="38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C88AF1B2">
      <w:start w:val="1"/>
      <w:numFmt w:val="decimal"/>
      <w:lvlText w:val="%7"/>
      <w:lvlJc w:val="left"/>
      <w:pPr>
        <w:ind w:left="453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DDD031C4">
      <w:start w:val="1"/>
      <w:numFmt w:val="lowerLetter"/>
      <w:lvlText w:val="%8"/>
      <w:lvlJc w:val="left"/>
      <w:pPr>
        <w:ind w:left="525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85209B0C">
      <w:start w:val="1"/>
      <w:numFmt w:val="lowerRoman"/>
      <w:lvlText w:val="%9"/>
      <w:lvlJc w:val="left"/>
      <w:pPr>
        <w:ind w:left="597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14C7185"/>
    <w:multiLevelType w:val="hybridMultilevel"/>
    <w:tmpl w:val="7D6406D4"/>
    <w:lvl w:ilvl="0" w:tplc="644C4F70">
      <w:start w:val="3"/>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E6CE8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66F9F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66188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187A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40953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3026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2E35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F2373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96550261">
    <w:abstractNumId w:val="0"/>
  </w:num>
  <w:num w:numId="2" w16cid:durableId="645472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4AC"/>
    <w:rsid w:val="000204AC"/>
    <w:rsid w:val="004C0C89"/>
    <w:rsid w:val="006D6BB8"/>
    <w:rsid w:val="00701A7B"/>
    <w:rsid w:val="008C4626"/>
    <w:rsid w:val="00900E1C"/>
    <w:rsid w:val="009707A9"/>
    <w:rsid w:val="009A4F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F1C5"/>
  <w15:docId w15:val="{ED56B904-413E-44A8-9FB4-7877505C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75" w:line="483"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right="62" w:hanging="10"/>
      <w:jc w:val="center"/>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562" w:line="420" w:lineRule="auto"/>
      <w:ind w:left="10" w:hanging="10"/>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color w:val="000000"/>
      <w:sz w:val="22"/>
      <w:u w:val="single" w:color="000000"/>
    </w:rPr>
  </w:style>
  <w:style w:type="paragraph" w:customStyle="1" w:styleId="footnotedescription">
    <w:name w:val="footnote description"/>
    <w:next w:val="Normal"/>
    <w:link w:val="footnotedescriptionChar"/>
    <w:hidden/>
    <w:pPr>
      <w:spacing w:after="0" w:line="252"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980</Words>
  <Characters>5786</Characters>
  <Application>Microsoft Office Word</Application>
  <DocSecurity>0</DocSecurity>
  <Lines>526</Lines>
  <Paragraphs>397</Paragraphs>
  <ScaleCrop>false</ScaleCrop>
  <HeadingPairs>
    <vt:vector size="2" baseType="variant">
      <vt:variant>
        <vt:lpstr>Title</vt:lpstr>
      </vt:variant>
      <vt:variant>
        <vt:i4>1</vt:i4>
      </vt:variant>
    </vt:vector>
  </HeadingPairs>
  <TitlesOfParts>
    <vt:vector size="1" baseType="lpstr">
      <vt:lpstr>JUDGMENT</vt:lpstr>
    </vt:vector>
  </TitlesOfParts>
  <Company>HP Inc.</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cp:lastModifiedBy>Mariana Anguelov</cp:lastModifiedBy>
  <cp:revision>3</cp:revision>
  <dcterms:created xsi:type="dcterms:W3CDTF">2023-02-06T19:36:00Z</dcterms:created>
  <dcterms:modified xsi:type="dcterms:W3CDTF">2023-02-06T19:37:00Z</dcterms:modified>
</cp:coreProperties>
</file>