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7EA" w:rsidRDefault="00AB67EA" w:rsidP="00AB67EA">
      <w:pPr>
        <w:pStyle w:val="LegalTitle"/>
        <w:spacing w:after="120" w:line="360" w:lineRule="auto"/>
        <w:rPr>
          <w:u w:val="single"/>
        </w:rPr>
      </w:pPr>
      <w:r>
        <w:rPr>
          <w:u w:val="single"/>
        </w:rPr>
        <w:t>REPUBLIC OF SOUTH AFRICA</w:t>
      </w:r>
    </w:p>
    <w:p w:rsidR="000C3AF7" w:rsidRPr="000C3AF7" w:rsidRDefault="00E30837" w:rsidP="00027B5A">
      <w:pPr>
        <w:pStyle w:val="LegalNormal"/>
        <w:spacing w:after="0" w:line="360" w:lineRule="auto"/>
        <w:jc w:val="center"/>
      </w:pPr>
      <w:r>
        <w:rPr>
          <w:noProof/>
          <w:lang w:val="en-US" w:eastAsia="en-US"/>
        </w:rPr>
        <w:drawing>
          <wp:inline distT="0" distB="0" distL="0" distR="0" wp14:anchorId="7D78611B" wp14:editId="0E32487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781994" w:rsidRDefault="00781994" w:rsidP="00655628">
      <w:pPr>
        <w:pStyle w:val="LegalTitle"/>
        <w:spacing w:after="0" w:line="360" w:lineRule="auto"/>
        <w:rPr>
          <w:u w:val="single"/>
        </w:rPr>
      </w:pPr>
      <w:r>
        <w:rPr>
          <w:u w:val="single"/>
        </w:rPr>
        <w:t>IN THE HIGH COURT OF SOUTH AFRICA</w:t>
      </w:r>
    </w:p>
    <w:p w:rsidR="00520591" w:rsidRPr="00520591" w:rsidRDefault="000C3AF7" w:rsidP="00520591">
      <w:pPr>
        <w:pStyle w:val="LegalTitle"/>
        <w:rPr>
          <w:u w:val="single"/>
        </w:rPr>
      </w:pPr>
      <w:r w:rsidRPr="00C51D56">
        <w:rPr>
          <w:rFonts w:eastAsiaTheme="minorEastAsia"/>
          <w:noProof/>
          <w:lang w:val="en-US" w:eastAsia="en-US"/>
        </w:rPr>
        <mc:AlternateContent>
          <mc:Choice Requires="wps">
            <w:drawing>
              <wp:anchor distT="0" distB="0" distL="114300" distR="114300" simplePos="0" relativeHeight="251661312" behindDoc="0" locked="0" layoutInCell="1" allowOverlap="1" wp14:anchorId="55190B56" wp14:editId="3CD4B3D7">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236346" w:rsidRPr="0038792A" w:rsidRDefault="00F14E1B" w:rsidP="00F14E1B">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rsidR="00236346" w:rsidRPr="0038792A" w:rsidRDefault="00F14E1B" w:rsidP="00F14E1B">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rsidR="00236346" w:rsidRPr="0038792A" w:rsidRDefault="00F14E1B" w:rsidP="00F14E1B">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1B6850">
                              <w:rPr>
                                <w:rFonts w:ascii="Century Gothic" w:hAnsi="Century Gothic"/>
                                <w:b/>
                                <w:i/>
                                <w:sz w:val="22"/>
                                <w:szCs w:val="22"/>
                                <w:u w:val="single"/>
                              </w:rPr>
                              <w:t>7</w:t>
                            </w:r>
                            <w:r w:rsidR="001B6850" w:rsidRPr="001B6850">
                              <w:rPr>
                                <w:rFonts w:ascii="Century Gothic" w:hAnsi="Century Gothic"/>
                                <w:b/>
                                <w:i/>
                                <w:sz w:val="22"/>
                                <w:szCs w:val="22"/>
                                <w:u w:val="single"/>
                                <w:vertAlign w:val="superscript"/>
                              </w:rPr>
                              <w:t>th</w:t>
                            </w:r>
                            <w:r w:rsidR="001B6850">
                              <w:rPr>
                                <w:rFonts w:ascii="Century Gothic" w:hAnsi="Century Gothic"/>
                                <w:b/>
                                <w:i/>
                                <w:sz w:val="22"/>
                                <w:szCs w:val="22"/>
                                <w:u w:val="single"/>
                              </w:rPr>
                              <w:t xml:space="preserve"> June</w:t>
                            </w:r>
                            <w:r>
                              <w:rPr>
                                <w:rFonts w:ascii="Century Gothic" w:hAnsi="Century Gothic"/>
                                <w:b/>
                                <w:i/>
                                <w:sz w:val="22"/>
                                <w:szCs w:val="22"/>
                                <w:u w:val="single"/>
                              </w:rPr>
                              <w:t xml:space="preserve"> 202</w:t>
                            </w:r>
                            <w:r w:rsidR="003B47B7">
                              <w:rPr>
                                <w:rFonts w:ascii="Century Gothic" w:hAnsi="Century Gothic"/>
                                <w:b/>
                                <w:i/>
                                <w:sz w:val="22"/>
                                <w:szCs w:val="22"/>
                                <w:u w:val="single"/>
                              </w:rPr>
                              <w:t>3</w:t>
                            </w:r>
                            <w:r>
                              <w:rPr>
                                <w:rFonts w:ascii="Century Gothic" w:hAnsi="Century Gothic"/>
                                <w:sz w:val="22"/>
                                <w:szCs w:val="22"/>
                              </w:rPr>
                              <w:t xml:space="preserve"> Signature: </w:t>
                            </w:r>
                            <w:r w:rsidR="002D5770">
                              <w:rPr>
                                <w:rFonts w:ascii="Century Gothic" w:hAnsi="Century Gothic"/>
                                <w:b/>
                                <w:i/>
                                <w:sz w:val="22"/>
                                <w:szCs w:val="22"/>
                                <w:u w:val="single"/>
                              </w:rPr>
                              <w:t>_______</w:t>
                            </w:r>
                            <w:r w:rsidR="00955957">
                              <w:rPr>
                                <w:rFonts w:ascii="Century Gothic" w:hAnsi="Century Gothic"/>
                                <w:b/>
                                <w:i/>
                                <w:sz w:val="22"/>
                                <w:szCs w:val="22"/>
                                <w:u w:val="single"/>
                              </w:rPr>
                              <w:t>__</w:t>
                            </w:r>
                            <w:r w:rsidR="003B47B7">
                              <w:rPr>
                                <w:rFonts w:ascii="Century Gothic" w:hAnsi="Century Gothic"/>
                                <w:b/>
                                <w:i/>
                                <w:sz w:val="22"/>
                                <w:szCs w:val="22"/>
                                <w:u w:val="single"/>
                              </w:rPr>
                              <w:t>__</w:t>
                            </w:r>
                            <w:r w:rsidR="00955957">
                              <w:rPr>
                                <w:rFonts w:ascii="Century Gothic" w:hAnsi="Century Gothic"/>
                                <w:b/>
                                <w:i/>
                                <w:sz w:val="22"/>
                                <w:szCs w:val="22"/>
                                <w:u w:val="single"/>
                              </w:rPr>
                              <w:t>_</w:t>
                            </w:r>
                            <w:r w:rsidR="002D5770">
                              <w:rPr>
                                <w:rFonts w:ascii="Century Gothic" w:hAnsi="Century Gothic"/>
                                <w:b/>
                                <w:i/>
                                <w:sz w:val="22"/>
                                <w:szCs w:val="22"/>
                                <w:u w:val="single"/>
                              </w:rPr>
                              <w:t>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0B56"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">
                <v:textbox>
                  <w:txbxContent>
                    <w:p w:rsidR="00236346" w:rsidRPr="0038792A" w:rsidRDefault="00F14E1B" w:rsidP="00F14E1B">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rsidR="00236346" w:rsidRPr="0038792A" w:rsidRDefault="00F14E1B" w:rsidP="00F14E1B">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rsidR="00236346" w:rsidRPr="0038792A" w:rsidRDefault="00F14E1B" w:rsidP="00F14E1B">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1B6850">
                        <w:rPr>
                          <w:rFonts w:ascii="Century Gothic" w:hAnsi="Century Gothic"/>
                          <w:b/>
                          <w:i/>
                          <w:sz w:val="22"/>
                          <w:szCs w:val="22"/>
                          <w:u w:val="single"/>
                        </w:rPr>
                        <w:t>7</w:t>
                      </w:r>
                      <w:r w:rsidR="001B6850" w:rsidRPr="001B6850">
                        <w:rPr>
                          <w:rFonts w:ascii="Century Gothic" w:hAnsi="Century Gothic"/>
                          <w:b/>
                          <w:i/>
                          <w:sz w:val="22"/>
                          <w:szCs w:val="22"/>
                          <w:u w:val="single"/>
                          <w:vertAlign w:val="superscript"/>
                        </w:rPr>
                        <w:t>th</w:t>
                      </w:r>
                      <w:r w:rsidR="001B6850">
                        <w:rPr>
                          <w:rFonts w:ascii="Century Gothic" w:hAnsi="Century Gothic"/>
                          <w:b/>
                          <w:i/>
                          <w:sz w:val="22"/>
                          <w:szCs w:val="22"/>
                          <w:u w:val="single"/>
                        </w:rPr>
                        <w:t xml:space="preserve"> June</w:t>
                      </w:r>
                      <w:r>
                        <w:rPr>
                          <w:rFonts w:ascii="Century Gothic" w:hAnsi="Century Gothic"/>
                          <w:b/>
                          <w:i/>
                          <w:sz w:val="22"/>
                          <w:szCs w:val="22"/>
                          <w:u w:val="single"/>
                        </w:rPr>
                        <w:t xml:space="preserve"> 202</w:t>
                      </w:r>
                      <w:r w:rsidR="003B47B7">
                        <w:rPr>
                          <w:rFonts w:ascii="Century Gothic" w:hAnsi="Century Gothic"/>
                          <w:b/>
                          <w:i/>
                          <w:sz w:val="22"/>
                          <w:szCs w:val="22"/>
                          <w:u w:val="single"/>
                        </w:rPr>
                        <w:t>3</w:t>
                      </w:r>
                      <w:r>
                        <w:rPr>
                          <w:rFonts w:ascii="Century Gothic" w:hAnsi="Century Gothic"/>
                          <w:sz w:val="22"/>
                          <w:szCs w:val="22"/>
                        </w:rPr>
                        <w:t xml:space="preserve"> Signature: </w:t>
                      </w:r>
                      <w:r w:rsidR="002D5770">
                        <w:rPr>
                          <w:rFonts w:ascii="Century Gothic" w:hAnsi="Century Gothic"/>
                          <w:b/>
                          <w:i/>
                          <w:sz w:val="22"/>
                          <w:szCs w:val="22"/>
                          <w:u w:val="single"/>
                        </w:rPr>
                        <w:t>_______</w:t>
                      </w:r>
                      <w:r w:rsidR="00955957">
                        <w:rPr>
                          <w:rFonts w:ascii="Century Gothic" w:hAnsi="Century Gothic"/>
                          <w:b/>
                          <w:i/>
                          <w:sz w:val="22"/>
                          <w:szCs w:val="22"/>
                          <w:u w:val="single"/>
                        </w:rPr>
                        <w:t>__</w:t>
                      </w:r>
                      <w:r w:rsidR="003B47B7">
                        <w:rPr>
                          <w:rFonts w:ascii="Century Gothic" w:hAnsi="Century Gothic"/>
                          <w:b/>
                          <w:i/>
                          <w:sz w:val="22"/>
                          <w:szCs w:val="22"/>
                          <w:u w:val="single"/>
                        </w:rPr>
                        <w:t>__</w:t>
                      </w:r>
                      <w:r w:rsidR="00955957">
                        <w:rPr>
                          <w:rFonts w:ascii="Century Gothic" w:hAnsi="Century Gothic"/>
                          <w:b/>
                          <w:i/>
                          <w:sz w:val="22"/>
                          <w:szCs w:val="22"/>
                          <w:u w:val="single"/>
                        </w:rPr>
                        <w:t>_</w:t>
                      </w:r>
                      <w:r w:rsidR="002D5770">
                        <w:rPr>
                          <w:rFonts w:ascii="Century Gothic" w:hAnsi="Century Gothic"/>
                          <w:b/>
                          <w:i/>
                          <w:sz w:val="22"/>
                          <w:szCs w:val="22"/>
                          <w:u w:val="single"/>
                        </w:rPr>
                        <w:t>________</w:t>
                      </w:r>
                    </w:p>
                  </w:txbxContent>
                </v:textbox>
              </v:shape>
            </w:pict>
          </mc:Fallback>
        </mc:AlternateContent>
      </w:r>
      <w:r w:rsidR="00520591" w:rsidRPr="00520591">
        <w:rPr>
          <w:u w:val="single"/>
        </w:rPr>
        <w:t xml:space="preserve">GAUTENG DIVISION, </w:t>
      </w:r>
      <w:r w:rsidR="00027B5A">
        <w:rPr>
          <w:u w:val="single"/>
        </w:rPr>
        <w:t>JOHANNESBURG</w:t>
      </w:r>
    </w:p>
    <w:p w:rsidR="00781994" w:rsidRDefault="00781994" w:rsidP="00592459">
      <w:pPr>
        <w:pStyle w:val="LegalAnnexure"/>
        <w:spacing w:after="480"/>
        <w:rPr>
          <w:u w:val="single"/>
        </w:rPr>
      </w:pPr>
    </w:p>
    <w:p w:rsidR="009314F3" w:rsidRDefault="009314F3" w:rsidP="00027B5A">
      <w:pPr>
        <w:pStyle w:val="LegalAnnexure"/>
        <w:spacing w:after="0" w:line="360" w:lineRule="auto"/>
      </w:pPr>
      <w:r w:rsidRPr="00A84826">
        <w:rPr>
          <w:u w:val="single"/>
        </w:rPr>
        <w:t>CASE NO</w:t>
      </w:r>
      <w:r w:rsidRPr="0080126D">
        <w:t>:</w:t>
      </w:r>
      <w:r w:rsidR="00F86558">
        <w:t xml:space="preserve"> </w:t>
      </w:r>
      <w:r w:rsidR="00C07C73">
        <w:rPr>
          <w:b w:val="0"/>
        </w:rPr>
        <w:t>32917</w:t>
      </w:r>
      <w:r w:rsidR="00F86558" w:rsidRPr="004E00FA">
        <w:rPr>
          <w:b w:val="0"/>
        </w:rPr>
        <w:t>/</w:t>
      </w:r>
      <w:r w:rsidR="00F94A41">
        <w:rPr>
          <w:b w:val="0"/>
        </w:rPr>
        <w:t>20</w:t>
      </w:r>
      <w:r w:rsidR="00955957">
        <w:rPr>
          <w:b w:val="0"/>
        </w:rPr>
        <w:t>2</w:t>
      </w:r>
      <w:r w:rsidR="00C07C73">
        <w:rPr>
          <w:b w:val="0"/>
        </w:rPr>
        <w:t>1</w:t>
      </w:r>
    </w:p>
    <w:p w:rsidR="004E00FA" w:rsidRDefault="004E00FA" w:rsidP="004E00FA">
      <w:pPr>
        <w:pStyle w:val="LegalAnnexure"/>
        <w:spacing w:after="0" w:line="360" w:lineRule="auto"/>
      </w:pPr>
      <w:r>
        <w:rPr>
          <w:u w:val="single"/>
        </w:rPr>
        <w:t>DATE</w:t>
      </w:r>
      <w:r w:rsidRPr="0080126D">
        <w:t>:</w:t>
      </w:r>
      <w:r>
        <w:t xml:space="preserve"> </w:t>
      </w:r>
      <w:r w:rsidR="001B6850">
        <w:rPr>
          <w:b w:val="0"/>
        </w:rPr>
        <w:t>7</w:t>
      </w:r>
      <w:r w:rsidR="001B6850" w:rsidRPr="001B6850">
        <w:rPr>
          <w:b w:val="0"/>
          <w:vertAlign w:val="superscript"/>
        </w:rPr>
        <w:t>th</w:t>
      </w:r>
      <w:r w:rsidR="001B6850">
        <w:rPr>
          <w:b w:val="0"/>
        </w:rPr>
        <w:t xml:space="preserve"> june</w:t>
      </w:r>
      <w:r w:rsidR="00592459">
        <w:rPr>
          <w:b w:val="0"/>
        </w:rPr>
        <w:t xml:space="preserve"> </w:t>
      </w:r>
      <w:r w:rsidR="0062393B">
        <w:rPr>
          <w:b w:val="0"/>
        </w:rPr>
        <w:t>20</w:t>
      </w:r>
      <w:r w:rsidR="00BE3209">
        <w:rPr>
          <w:b w:val="0"/>
        </w:rPr>
        <w:t>2</w:t>
      </w:r>
      <w:r w:rsidR="003B47B7">
        <w:rPr>
          <w:b w:val="0"/>
        </w:rPr>
        <w:t>3</w:t>
      </w:r>
    </w:p>
    <w:p w:rsidR="009314F3" w:rsidRPr="00A84826" w:rsidRDefault="009314F3" w:rsidP="0006059E">
      <w:pPr>
        <w:pStyle w:val="LegalNormal"/>
        <w:spacing w:after="120" w:line="360" w:lineRule="auto"/>
      </w:pPr>
      <w:r w:rsidRPr="00A84826">
        <w:t>In the matter between:</w:t>
      </w:r>
    </w:p>
    <w:p w:rsidR="00027B5A" w:rsidRDefault="00C07C73" w:rsidP="00955957">
      <w:pPr>
        <w:pStyle w:val="LegalPlainDef"/>
        <w:spacing w:after="120" w:line="360" w:lineRule="auto"/>
      </w:pPr>
      <w:r>
        <w:rPr>
          <w:b/>
          <w:u w:val="single"/>
        </w:rPr>
        <w:t>PRINGLE</w:t>
      </w:r>
      <w:r>
        <w:rPr>
          <w:b/>
        </w:rPr>
        <w:t>, GLEN ANDREW</w:t>
      </w:r>
      <w:r w:rsidR="00F94A41">
        <w:rPr>
          <w:b/>
        </w:rPr>
        <w:t xml:space="preserve"> </w:t>
      </w:r>
      <w:r w:rsidR="00027B5A">
        <w:rPr>
          <w:b/>
        </w:rPr>
        <w:tab/>
      </w:r>
      <w:r w:rsidR="002D5770">
        <w:t>A</w:t>
      </w:r>
      <w:r w:rsidR="00027B5A">
        <w:t>pplicant</w:t>
      </w:r>
    </w:p>
    <w:p w:rsidR="009314F3" w:rsidRPr="00A84826" w:rsidRDefault="009314F3" w:rsidP="0006059E">
      <w:pPr>
        <w:pStyle w:val="LegalNormal"/>
        <w:spacing w:after="120" w:line="360" w:lineRule="auto"/>
      </w:pPr>
      <w:r w:rsidRPr="00A84826">
        <w:t>and</w:t>
      </w:r>
    </w:p>
    <w:p w:rsidR="007D4738" w:rsidRDefault="00C07C73" w:rsidP="00C07C73">
      <w:pPr>
        <w:pStyle w:val="LegalPlainDef"/>
        <w:spacing w:after="0" w:line="360" w:lineRule="auto"/>
      </w:pPr>
      <w:r>
        <w:rPr>
          <w:b/>
          <w:bCs/>
          <w:lang w:val="en-US"/>
        </w:rPr>
        <w:t>VITAL SALES GROUP</w:t>
      </w:r>
      <w:r w:rsidR="003B47B7">
        <w:rPr>
          <w:b/>
          <w:bCs/>
          <w:lang w:val="en-US"/>
        </w:rPr>
        <w:t xml:space="preserve"> (PTY) LIMITED</w:t>
      </w:r>
      <w:r w:rsidR="007D4738" w:rsidRPr="00DE6787">
        <w:rPr>
          <w:b/>
        </w:rPr>
        <w:tab/>
      </w:r>
      <w:r>
        <w:t>First R</w:t>
      </w:r>
      <w:r w:rsidR="007D4738">
        <w:t>espondent</w:t>
      </w:r>
    </w:p>
    <w:p w:rsidR="00C07C73" w:rsidRDefault="00C07C73" w:rsidP="002B6384">
      <w:pPr>
        <w:pStyle w:val="LegalPlainDef"/>
        <w:spacing w:after="0" w:line="360" w:lineRule="auto"/>
      </w:pPr>
      <w:r>
        <w:rPr>
          <w:b/>
          <w:bCs/>
          <w:u w:val="single"/>
          <w:lang w:val="en-US"/>
        </w:rPr>
        <w:t>PRINGLE</w:t>
      </w:r>
      <w:r>
        <w:rPr>
          <w:b/>
          <w:bCs/>
          <w:lang w:val="en-US"/>
        </w:rPr>
        <w:t>, DOD</w:t>
      </w:r>
      <w:r w:rsidR="00BD3D25">
        <w:rPr>
          <w:b/>
          <w:bCs/>
          <w:lang w:val="en-US"/>
        </w:rPr>
        <w:t>D</w:t>
      </w:r>
      <w:r>
        <w:rPr>
          <w:b/>
          <w:bCs/>
          <w:lang w:val="en-US"/>
        </w:rPr>
        <w:t>S BEAUMONT</w:t>
      </w:r>
      <w:r w:rsidRPr="00DE6787">
        <w:rPr>
          <w:b/>
        </w:rPr>
        <w:tab/>
      </w:r>
      <w:r>
        <w:t>Second Respondent</w:t>
      </w:r>
    </w:p>
    <w:p w:rsidR="002B6384" w:rsidRDefault="002B6384" w:rsidP="002B6384">
      <w:pPr>
        <w:pStyle w:val="LegalPlainDef"/>
        <w:spacing w:after="240" w:line="360" w:lineRule="auto"/>
      </w:pPr>
      <w:r>
        <w:rPr>
          <w:b/>
          <w:bCs/>
          <w:lang w:val="en-US"/>
        </w:rPr>
        <w:t>VITAL SALES CAPE TOWN (PTY) LIMITED</w:t>
      </w:r>
      <w:r w:rsidRPr="00DE6787">
        <w:rPr>
          <w:b/>
        </w:rPr>
        <w:tab/>
      </w:r>
      <w:r>
        <w:t>Intended Intervening Party</w:t>
      </w:r>
    </w:p>
    <w:p w:rsidR="00690ECB" w:rsidRDefault="00690ECB" w:rsidP="00690ECB">
      <w:pPr>
        <w:suppressAutoHyphens w:val="0"/>
        <w:spacing w:after="12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Pr>
          <w:rFonts w:cs="Arial"/>
          <w:i/>
          <w:lang w:val="en-ZA" w:eastAsia="en-US"/>
        </w:rPr>
        <w:t xml:space="preserve">Pringle v Vital Sales Group and Another (32917/2021) </w:t>
      </w:r>
      <w:r>
        <w:rPr>
          <w:rFonts w:cs="Arial"/>
          <w:b/>
          <w:lang w:val="en-ZA" w:eastAsia="en-US"/>
        </w:rPr>
        <w:t xml:space="preserve">[2023] ZAGPJHC </w:t>
      </w:r>
      <w:r w:rsidR="0017065F">
        <w:rPr>
          <w:rFonts w:cs="Arial"/>
          <w:b/>
          <w:lang w:val="en-ZA" w:eastAsia="en-US"/>
        </w:rPr>
        <w:t>656</w:t>
      </w:r>
      <w:r>
        <w:rPr>
          <w:rFonts w:cs="Arial"/>
          <w:b/>
          <w:lang w:val="en-ZA" w:eastAsia="en-US"/>
        </w:rPr>
        <w:t xml:space="preserve"> </w:t>
      </w:r>
      <w:r>
        <w:rPr>
          <w:rFonts w:cs="Arial"/>
          <w:lang w:val="en-ZA" w:eastAsia="en-US"/>
        </w:rPr>
        <w:t>(</w:t>
      </w:r>
      <w:r w:rsidR="002B6384">
        <w:rPr>
          <w:rFonts w:cs="Arial"/>
          <w:lang w:val="en-ZA" w:eastAsia="en-US"/>
        </w:rPr>
        <w:t>07</w:t>
      </w:r>
      <w:r>
        <w:rPr>
          <w:rFonts w:cs="Arial"/>
          <w:lang w:val="en-ZA" w:eastAsia="en-US"/>
        </w:rPr>
        <w:t xml:space="preserve"> </w:t>
      </w:r>
      <w:r w:rsidR="002B6384">
        <w:rPr>
          <w:rFonts w:cs="Arial"/>
          <w:lang w:val="en-ZA" w:eastAsia="en-US"/>
        </w:rPr>
        <w:t>June</w:t>
      </w:r>
      <w:r>
        <w:rPr>
          <w:rFonts w:cs="Arial"/>
          <w:lang w:val="en-ZA" w:eastAsia="en-US"/>
        </w:rPr>
        <w:t xml:space="preserve"> 2023)</w:t>
      </w:r>
      <w:r>
        <w:rPr>
          <w:rFonts w:cs="Arial"/>
          <w:b/>
          <w:lang w:val="en-ZA" w:eastAsia="en-US"/>
        </w:rPr>
        <w:t xml:space="preserve"> </w:t>
      </w:r>
      <w:r>
        <w:rPr>
          <w:rFonts w:cs="Arial"/>
          <w:i/>
          <w:lang w:val="en-ZA" w:eastAsia="en-US"/>
        </w:rPr>
        <w:t xml:space="preserve"> </w:t>
      </w:r>
    </w:p>
    <w:p w:rsidR="00DA3FFC" w:rsidRPr="00DA3FFC" w:rsidRDefault="006D3032" w:rsidP="006D4550">
      <w:pPr>
        <w:suppressAutoHyphens w:val="0"/>
        <w:spacing w:line="360" w:lineRule="auto"/>
        <w:ind w:left="851" w:hanging="851"/>
        <w:rPr>
          <w:rFonts w:cs="Arial"/>
          <w:lang w:val="en-ZA" w:eastAsia="en-US"/>
        </w:rPr>
      </w:pPr>
      <w:r>
        <w:rPr>
          <w:rFonts w:cs="Arial"/>
          <w:b/>
          <w:bCs/>
          <w:lang w:val="en-ZA" w:eastAsia="en-US"/>
        </w:rPr>
        <w:t>Coram</w:t>
      </w:r>
      <w:r w:rsidR="00DA3FFC" w:rsidRPr="00DA3FFC">
        <w:rPr>
          <w:rFonts w:cs="Arial"/>
          <w:b/>
          <w:bCs/>
          <w:lang w:val="en-ZA" w:eastAsia="en-US"/>
        </w:rPr>
        <w:t>:</w:t>
      </w:r>
      <w:r w:rsidR="00DA3FFC">
        <w:rPr>
          <w:rFonts w:cs="Arial"/>
          <w:lang w:val="en-ZA" w:eastAsia="en-US"/>
        </w:rPr>
        <w:tab/>
      </w:r>
      <w:r w:rsidR="00DA3FFC">
        <w:rPr>
          <w:rFonts w:cs="Arial"/>
          <w:lang w:val="en-ZA" w:eastAsia="en-US"/>
        </w:rPr>
        <w:tab/>
      </w:r>
      <w:r w:rsidR="007A7170">
        <w:rPr>
          <w:rFonts w:cs="Arial"/>
          <w:lang w:val="en-ZA" w:eastAsia="en-US"/>
        </w:rPr>
        <w:t>Adams J</w:t>
      </w:r>
    </w:p>
    <w:p w:rsidR="004F6C0A" w:rsidRPr="00DA3FFC" w:rsidRDefault="00DA3FFC" w:rsidP="006D4550">
      <w:pPr>
        <w:suppressAutoHyphens w:val="0"/>
        <w:spacing w:line="360" w:lineRule="auto"/>
        <w:ind w:left="851" w:hanging="851"/>
        <w:jc w:val="both"/>
        <w:rPr>
          <w:rFonts w:cs="Arial"/>
          <w:b/>
          <w:lang w:val="en-ZA" w:eastAsia="en-US"/>
        </w:rPr>
      </w:pPr>
      <w:r w:rsidRPr="00DA3FFC">
        <w:rPr>
          <w:rFonts w:cs="Arial"/>
          <w:b/>
          <w:bCs/>
          <w:lang w:val="en-ZA" w:eastAsia="en-US"/>
        </w:rPr>
        <w:t>Heard</w:t>
      </w:r>
      <w:r w:rsidR="004F6C0A">
        <w:rPr>
          <w:rFonts w:cs="Arial"/>
          <w:lang w:val="en-ZA" w:eastAsia="en-US"/>
        </w:rPr>
        <w:t>:</w:t>
      </w:r>
      <w:r w:rsidR="004F6C0A">
        <w:rPr>
          <w:rFonts w:cs="Arial"/>
          <w:lang w:val="en-ZA" w:eastAsia="en-US"/>
        </w:rPr>
        <w:tab/>
      </w:r>
      <w:r w:rsidR="003B47B7">
        <w:rPr>
          <w:rFonts w:cs="Arial"/>
          <w:lang w:val="en-ZA" w:eastAsia="en-US"/>
        </w:rPr>
        <w:tab/>
        <w:t>27</w:t>
      </w:r>
      <w:r>
        <w:rPr>
          <w:rFonts w:cs="Arial"/>
          <w:lang w:val="en-ZA" w:eastAsia="en-US"/>
        </w:rPr>
        <w:t xml:space="preserve"> </w:t>
      </w:r>
      <w:r w:rsidR="003B47B7">
        <w:rPr>
          <w:rFonts w:cs="Arial"/>
          <w:lang w:val="en-ZA" w:eastAsia="en-US"/>
        </w:rPr>
        <w:t>February</w:t>
      </w:r>
      <w:r w:rsidRPr="00DA3FFC">
        <w:rPr>
          <w:rFonts w:cs="Arial"/>
          <w:lang w:val="en-ZA" w:eastAsia="en-US"/>
        </w:rPr>
        <w:t xml:space="preserve"> 20</w:t>
      </w:r>
      <w:r w:rsidR="003B47B7">
        <w:rPr>
          <w:rFonts w:cs="Arial"/>
          <w:lang w:val="en-ZA" w:eastAsia="en-US"/>
        </w:rPr>
        <w:t>23</w:t>
      </w:r>
    </w:p>
    <w:p w:rsidR="00DA3FFC" w:rsidRPr="00DA3FFC" w:rsidRDefault="00DA3FFC" w:rsidP="003B47B7">
      <w:pPr>
        <w:suppressAutoHyphens w:val="0"/>
        <w:spacing w:after="120" w:line="360" w:lineRule="auto"/>
        <w:ind w:left="1418" w:hanging="1418"/>
        <w:jc w:val="both"/>
        <w:rPr>
          <w:rFonts w:cs="Arial"/>
          <w:lang w:val="en-ZA" w:eastAsia="en-US"/>
        </w:rPr>
      </w:pPr>
      <w:r w:rsidRPr="00DA3FFC">
        <w:rPr>
          <w:rFonts w:cs="Arial"/>
          <w:b/>
          <w:lang w:val="en-ZA" w:eastAsia="en-US"/>
        </w:rPr>
        <w:t>Delivered:</w:t>
      </w:r>
      <w:r w:rsidRPr="00DA3FFC">
        <w:rPr>
          <w:rFonts w:cs="Arial"/>
          <w:b/>
          <w:lang w:val="en-ZA" w:eastAsia="en-US"/>
        </w:rPr>
        <w:tab/>
      </w:r>
      <w:r w:rsidR="001B6850">
        <w:rPr>
          <w:rFonts w:cs="Arial"/>
          <w:lang w:val="en-ZA" w:eastAsia="en-US"/>
        </w:rPr>
        <w:t>07</w:t>
      </w:r>
      <w:r w:rsidR="002149EC">
        <w:rPr>
          <w:rFonts w:cs="Arial"/>
          <w:lang w:val="en-ZA" w:eastAsia="en-US"/>
        </w:rPr>
        <w:t xml:space="preserve"> </w:t>
      </w:r>
      <w:r w:rsidR="001B6850">
        <w:rPr>
          <w:rFonts w:cs="Arial"/>
          <w:lang w:val="en-ZA" w:eastAsia="en-US"/>
        </w:rPr>
        <w:t>June</w:t>
      </w:r>
      <w:r w:rsidR="003B47B7">
        <w:rPr>
          <w:rFonts w:cs="Arial"/>
          <w:lang w:val="en-ZA" w:eastAsia="en-US"/>
        </w:rPr>
        <w:t xml:space="preserve"> 2023</w:t>
      </w:r>
      <w:r w:rsidR="002149EC">
        <w:rPr>
          <w:rFonts w:cs="Arial"/>
          <w:lang w:val="en-ZA" w:eastAsia="en-US"/>
        </w:rPr>
        <w:t xml:space="preserve"> – This judgment was handed down electronically by circulation to the parties' representatives by email, by being uploaded to </w:t>
      </w:r>
      <w:r w:rsidR="002149EC" w:rsidRPr="002149EC">
        <w:rPr>
          <w:rFonts w:cs="Arial"/>
          <w:i/>
          <w:lang w:val="en-ZA" w:eastAsia="en-US"/>
        </w:rPr>
        <w:t>CaseLines</w:t>
      </w:r>
      <w:r w:rsidR="002149EC">
        <w:rPr>
          <w:rFonts w:cs="Arial"/>
          <w:lang w:val="en-ZA" w:eastAsia="en-US"/>
        </w:rPr>
        <w:t xml:space="preserve"> and by release to SAFLII. The date and time for hand-down is deemed to be </w:t>
      </w:r>
      <w:r w:rsidR="00BE0BC1">
        <w:rPr>
          <w:rFonts w:cs="Arial"/>
          <w:lang w:val="en-ZA" w:eastAsia="en-US"/>
        </w:rPr>
        <w:t>1</w:t>
      </w:r>
      <w:r w:rsidR="0017065F">
        <w:rPr>
          <w:rFonts w:cs="Arial"/>
          <w:lang w:val="en-ZA" w:eastAsia="en-US"/>
        </w:rPr>
        <w:t>2</w:t>
      </w:r>
      <w:r w:rsidR="00A6546E">
        <w:rPr>
          <w:rFonts w:cs="Arial"/>
          <w:lang w:val="en-ZA" w:eastAsia="en-US"/>
        </w:rPr>
        <w:t>:</w:t>
      </w:r>
      <w:r w:rsidR="002B151F">
        <w:rPr>
          <w:rFonts w:cs="Arial"/>
          <w:lang w:val="en-ZA" w:eastAsia="en-US"/>
        </w:rPr>
        <w:t>3</w:t>
      </w:r>
      <w:r w:rsidR="00123792">
        <w:rPr>
          <w:rFonts w:cs="Arial"/>
          <w:lang w:val="en-ZA" w:eastAsia="en-US"/>
        </w:rPr>
        <w:t>0</w:t>
      </w:r>
      <w:r w:rsidR="002149EC">
        <w:rPr>
          <w:rFonts w:cs="Arial"/>
          <w:lang w:val="en-ZA" w:eastAsia="en-US"/>
        </w:rPr>
        <w:t xml:space="preserve"> on </w:t>
      </w:r>
      <w:r w:rsidR="001B6850">
        <w:rPr>
          <w:rFonts w:cs="Arial"/>
          <w:lang w:val="en-ZA" w:eastAsia="en-US"/>
        </w:rPr>
        <w:t>07</w:t>
      </w:r>
      <w:r w:rsidR="002149EC">
        <w:rPr>
          <w:rFonts w:cs="Arial"/>
          <w:lang w:val="en-ZA" w:eastAsia="en-US"/>
        </w:rPr>
        <w:t xml:space="preserve"> </w:t>
      </w:r>
      <w:r w:rsidR="001B6850">
        <w:rPr>
          <w:rFonts w:cs="Arial"/>
          <w:lang w:val="en-ZA" w:eastAsia="en-US"/>
        </w:rPr>
        <w:t>June</w:t>
      </w:r>
      <w:r w:rsidR="003B47B7">
        <w:rPr>
          <w:rFonts w:cs="Arial"/>
          <w:lang w:val="en-ZA" w:eastAsia="en-US"/>
        </w:rPr>
        <w:t xml:space="preserve"> 2023</w:t>
      </w:r>
      <w:r w:rsidR="002149EC">
        <w:rPr>
          <w:rFonts w:cs="Arial"/>
          <w:lang w:val="en-ZA" w:eastAsia="en-US"/>
        </w:rPr>
        <w:t>.</w:t>
      </w:r>
    </w:p>
    <w:p w:rsidR="00C40F29" w:rsidRDefault="00DA3FFC" w:rsidP="00F70011">
      <w:pPr>
        <w:spacing w:line="360" w:lineRule="auto"/>
        <w:jc w:val="both"/>
        <w:rPr>
          <w:rFonts w:cs="Arial"/>
          <w:lang w:val="en-ZA"/>
        </w:rPr>
      </w:pPr>
      <w:r w:rsidRPr="00DA3FFC">
        <w:rPr>
          <w:rFonts w:cs="Arial"/>
          <w:b/>
          <w:bCs/>
          <w:lang w:val="en-ZA" w:eastAsia="en-US"/>
        </w:rPr>
        <w:lastRenderedPageBreak/>
        <w:t>Summary:</w:t>
      </w:r>
      <w:r w:rsidRPr="00DA3FFC">
        <w:rPr>
          <w:rFonts w:cs="Arial"/>
          <w:b/>
          <w:bCs/>
          <w:lang w:val="en-ZA" w:eastAsia="en-US"/>
        </w:rPr>
        <w:tab/>
      </w:r>
      <w:r w:rsidR="00FC765E" w:rsidRPr="00FC765E">
        <w:rPr>
          <w:rFonts w:cs="Arial"/>
        </w:rPr>
        <w:t xml:space="preserve">Liquidation – </w:t>
      </w:r>
      <w:r w:rsidR="00DD3F8C">
        <w:rPr>
          <w:rFonts w:cs="Arial"/>
        </w:rPr>
        <w:t>company – a</w:t>
      </w:r>
      <w:r w:rsidR="00FC765E" w:rsidRPr="00FC765E">
        <w:rPr>
          <w:rFonts w:cs="Arial"/>
        </w:rPr>
        <w:t xml:space="preserve">pplication for </w:t>
      </w:r>
      <w:r w:rsidR="00F27390">
        <w:rPr>
          <w:rFonts w:cs="Arial"/>
        </w:rPr>
        <w:t>final</w:t>
      </w:r>
      <w:r w:rsidR="00FC765E" w:rsidRPr="00FC765E">
        <w:rPr>
          <w:rFonts w:cs="Arial"/>
        </w:rPr>
        <w:t xml:space="preserve"> winding-up order </w:t>
      </w:r>
      <w:r w:rsidR="00C40F29">
        <w:rPr>
          <w:rFonts w:cs="Arial"/>
        </w:rPr>
        <w:t>in terms of s</w:t>
      </w:r>
      <w:r w:rsidR="00C40F29" w:rsidRPr="00C40F29">
        <w:rPr>
          <w:rFonts w:cs="Arial"/>
        </w:rPr>
        <w:t>ection 3</w:t>
      </w:r>
      <w:r w:rsidR="00C40F29">
        <w:rPr>
          <w:rFonts w:cs="Arial"/>
        </w:rPr>
        <w:t xml:space="preserve">44(h) of the 2008 Companies Act – a Court </w:t>
      </w:r>
      <w:r w:rsidR="00C40F29" w:rsidRPr="00C40F29">
        <w:rPr>
          <w:rFonts w:cs="Arial"/>
        </w:rPr>
        <w:t xml:space="preserve">may </w:t>
      </w:r>
      <w:r w:rsidR="00C40F29">
        <w:rPr>
          <w:rFonts w:cs="Arial"/>
        </w:rPr>
        <w:t>wind</w:t>
      </w:r>
      <w:r w:rsidR="00C40F29" w:rsidRPr="00C40F29">
        <w:rPr>
          <w:rFonts w:cs="Arial"/>
        </w:rPr>
        <w:t xml:space="preserve"> up </w:t>
      </w:r>
      <w:r w:rsidR="00C40F29">
        <w:rPr>
          <w:rFonts w:cs="Arial"/>
        </w:rPr>
        <w:t xml:space="preserve">a company if it </w:t>
      </w:r>
      <w:r w:rsidR="00C40F29" w:rsidRPr="00C40F29">
        <w:rPr>
          <w:rFonts w:cs="Arial"/>
        </w:rPr>
        <w:t>is just and equitable that the company should be wound up</w:t>
      </w:r>
      <w:r w:rsidR="00C40F29">
        <w:rPr>
          <w:rFonts w:cs="Arial"/>
        </w:rPr>
        <w:t xml:space="preserve"> – shareholders and directors continuously fighting</w:t>
      </w:r>
      <w:r w:rsidR="002B151F">
        <w:rPr>
          <w:rFonts w:cs="Arial"/>
        </w:rPr>
        <w:t xml:space="preserve"> and consistently at logger-heads</w:t>
      </w:r>
      <w:r w:rsidR="00C40F29">
        <w:rPr>
          <w:rFonts w:cs="Arial"/>
        </w:rPr>
        <w:t xml:space="preserve"> – impossible to convene shareholders’ meetings – company unable to take any decisions – therefore, just and equitable to liquidate company – </w:t>
      </w:r>
    </w:p>
    <w:p w:rsidR="002B151F" w:rsidRDefault="00B36C8A" w:rsidP="00B36C8A">
      <w:pPr>
        <w:spacing w:line="360" w:lineRule="auto"/>
        <w:jc w:val="both"/>
        <w:rPr>
          <w:rFonts w:cs="Arial"/>
          <w:lang w:val="en-ZA"/>
        </w:rPr>
      </w:pPr>
      <w:r w:rsidRPr="00B36C8A">
        <w:rPr>
          <w:rFonts w:cs="Arial"/>
          <w:lang w:val="en-ZA"/>
        </w:rPr>
        <w:t xml:space="preserve">Section 163 of the 2008 Companies Act </w:t>
      </w:r>
      <w:r>
        <w:rPr>
          <w:rFonts w:cs="Arial"/>
          <w:lang w:val="en-ZA"/>
        </w:rPr>
        <w:t>– r</w:t>
      </w:r>
      <w:r w:rsidRPr="00B36C8A">
        <w:rPr>
          <w:rFonts w:cs="Arial"/>
          <w:lang w:val="en-ZA"/>
        </w:rPr>
        <w:t>elief</w:t>
      </w:r>
      <w:r>
        <w:rPr>
          <w:rFonts w:cs="Arial"/>
          <w:lang w:val="en-ZA"/>
        </w:rPr>
        <w:t xml:space="preserve"> </w:t>
      </w:r>
      <w:r w:rsidRPr="00B36C8A">
        <w:rPr>
          <w:rFonts w:cs="Arial"/>
          <w:lang w:val="en-ZA"/>
        </w:rPr>
        <w:t>from oppressive or prejudicial conduct or from abuse of separate juristic personality of company</w:t>
      </w:r>
      <w:r>
        <w:rPr>
          <w:rFonts w:cs="Arial"/>
          <w:lang w:val="en-ZA"/>
        </w:rPr>
        <w:t xml:space="preserve"> – </w:t>
      </w:r>
      <w:r w:rsidR="002B151F">
        <w:rPr>
          <w:rFonts w:cs="Arial"/>
          <w:lang w:val="en-ZA"/>
        </w:rPr>
        <w:t>conduct complained of – not c</w:t>
      </w:r>
      <w:r w:rsidR="002B151F" w:rsidRPr="002B151F">
        <w:rPr>
          <w:rFonts w:cs="Arial"/>
          <w:lang w:val="en-ZA"/>
        </w:rPr>
        <w:t xml:space="preserve">onduct of a </w:t>
      </w:r>
      <w:r w:rsidR="002B151F">
        <w:rPr>
          <w:rFonts w:cs="Arial"/>
          <w:lang w:val="en-ZA"/>
        </w:rPr>
        <w:t>‘</w:t>
      </w:r>
      <w:r w:rsidR="002B151F" w:rsidRPr="002B151F">
        <w:rPr>
          <w:rFonts w:cs="Arial"/>
          <w:lang w:val="en-ZA"/>
        </w:rPr>
        <w:t>related person</w:t>
      </w:r>
      <w:r w:rsidR="002B151F">
        <w:rPr>
          <w:rFonts w:cs="Arial"/>
          <w:lang w:val="en-ZA"/>
        </w:rPr>
        <w:t xml:space="preserve">’ – </w:t>
      </w:r>
    </w:p>
    <w:p w:rsidR="00B56ACD" w:rsidRDefault="00B36C8A" w:rsidP="00B36C8A">
      <w:pPr>
        <w:spacing w:after="240" w:line="360" w:lineRule="auto"/>
        <w:jc w:val="both"/>
        <w:rPr>
          <w:rFonts w:cs="Arial"/>
          <w:lang w:val="en-ZA"/>
        </w:rPr>
      </w:pPr>
      <w:r>
        <w:rPr>
          <w:rFonts w:cs="Arial"/>
          <w:lang w:val="en-ZA"/>
        </w:rPr>
        <w:t>Final</w:t>
      </w:r>
      <w:r w:rsidR="00F70011">
        <w:rPr>
          <w:rFonts w:cs="Arial"/>
          <w:lang w:val="en-ZA"/>
        </w:rPr>
        <w:t xml:space="preserve"> winding-up order granted </w:t>
      </w:r>
      <w:r>
        <w:rPr>
          <w:rFonts w:cs="Arial"/>
          <w:lang w:val="en-ZA"/>
        </w:rPr>
        <w:t>– counter-application in terms of s163 dismissed.</w:t>
      </w:r>
    </w:p>
    <w:p w:rsidR="00DA3FFC" w:rsidRPr="00DA3FFC" w:rsidRDefault="00DA3FFC" w:rsidP="00663DE2">
      <w:pPr>
        <w:pBdr>
          <w:top w:val="single" w:sz="4" w:space="18" w:color="auto"/>
          <w:bottom w:val="single" w:sz="4" w:space="18" w:color="auto"/>
        </w:pBdr>
        <w:spacing w:after="240"/>
        <w:jc w:val="center"/>
        <w:rPr>
          <w:rFonts w:ascii="Arial Bold" w:hAnsi="Arial Bold"/>
          <w:b/>
        </w:rPr>
      </w:pPr>
      <w:r w:rsidRPr="00DA3FFC">
        <w:rPr>
          <w:rFonts w:ascii="Arial Bold" w:hAnsi="Arial Bold"/>
          <w:b/>
        </w:rPr>
        <w:t>ORDER</w:t>
      </w:r>
    </w:p>
    <w:p w:rsidR="005B0D7E" w:rsidRDefault="00F14E1B" w:rsidP="00F14E1B">
      <w:pPr>
        <w:pStyle w:val="LegalBodyText1"/>
        <w:spacing w:after="120" w:line="360" w:lineRule="auto"/>
        <w:ind w:left="561" w:hanging="561"/>
      </w:pPr>
      <w:r>
        <w:t>(1)</w:t>
      </w:r>
      <w:r>
        <w:tab/>
      </w:r>
      <w:r w:rsidR="004613B7">
        <w:t xml:space="preserve">The </w:t>
      </w:r>
      <w:r w:rsidR="00663DE2">
        <w:t xml:space="preserve">first </w:t>
      </w:r>
      <w:r w:rsidR="005B0D7E">
        <w:t>respondent</w:t>
      </w:r>
      <w:r w:rsidR="00DD3F8C">
        <w:t xml:space="preserve">, </w:t>
      </w:r>
      <w:r w:rsidR="00663DE2">
        <w:t>Vital Sales Group</w:t>
      </w:r>
      <w:r w:rsidR="00DD3F8C">
        <w:t xml:space="preserve"> (Pty) Limited, with registration number </w:t>
      </w:r>
      <w:r w:rsidR="00663DE2">
        <w:t>1999</w:t>
      </w:r>
      <w:r w:rsidR="00DD3F8C">
        <w:t>/</w:t>
      </w:r>
      <w:r w:rsidR="00663DE2">
        <w:t>005997</w:t>
      </w:r>
      <w:r w:rsidR="00DD3F8C">
        <w:t>/07,</w:t>
      </w:r>
      <w:r w:rsidR="005B0D7E">
        <w:t xml:space="preserve"> be and is hereby </w:t>
      </w:r>
      <w:r w:rsidR="00663DE2">
        <w:t xml:space="preserve">finally wound-up and </w:t>
      </w:r>
      <w:r w:rsidR="005B0D7E">
        <w:t xml:space="preserve">placed under </w:t>
      </w:r>
      <w:r w:rsidR="00663DE2">
        <w:t>final</w:t>
      </w:r>
      <w:r w:rsidR="005B0D7E">
        <w:t xml:space="preserve"> liquidation in the hands of the Master</w:t>
      </w:r>
      <w:r w:rsidR="00785311">
        <w:t xml:space="preserve"> of the High Court, Johannesburg</w:t>
      </w:r>
      <w:r w:rsidR="005B0D7E">
        <w:t>.</w:t>
      </w:r>
    </w:p>
    <w:p w:rsidR="00663DE2" w:rsidRDefault="00F14E1B" w:rsidP="00F14E1B">
      <w:pPr>
        <w:pStyle w:val="LegalBodyText1"/>
        <w:spacing w:after="120" w:line="360" w:lineRule="auto"/>
        <w:ind w:left="561" w:hanging="561"/>
      </w:pPr>
      <w:r>
        <w:t>(2</w:t>
      </w:r>
      <w:bookmarkStart w:id="0" w:name="_GoBack"/>
      <w:bookmarkEnd w:id="0"/>
      <w:r>
        <w:t>)</w:t>
      </w:r>
      <w:r>
        <w:tab/>
      </w:r>
      <w:r w:rsidR="00663DE2">
        <w:t>The second respondent shall pay the applicant’s costs of the liquidation application, such costs to include the costs of two Counsel, one being Senior Counsel (where so employed).</w:t>
      </w:r>
    </w:p>
    <w:p w:rsidR="00663DE2" w:rsidRPr="00663DE2" w:rsidRDefault="00F14E1B" w:rsidP="00F14E1B">
      <w:pPr>
        <w:pStyle w:val="LegalBodyText1"/>
        <w:spacing w:after="120" w:line="360" w:lineRule="auto"/>
        <w:ind w:left="561" w:hanging="561"/>
      </w:pPr>
      <w:r w:rsidRPr="00663DE2">
        <w:t>(3)</w:t>
      </w:r>
      <w:r w:rsidRPr="00663DE2">
        <w:tab/>
      </w:r>
      <w:r w:rsidR="00663DE2">
        <w:t xml:space="preserve">The second respondent’s counter-application is dismissed with costs, such costs to </w:t>
      </w:r>
      <w:r w:rsidR="00663DE2" w:rsidRPr="00663DE2">
        <w:t>include the costs of two Counsel, one being Senior Counsel</w:t>
      </w:r>
      <w:r w:rsidR="00663DE2">
        <w:t xml:space="preserve"> (where so employed)</w:t>
      </w:r>
      <w:r w:rsidR="00663DE2" w:rsidRPr="00663DE2">
        <w:t>.</w:t>
      </w:r>
    </w:p>
    <w:p w:rsidR="00663DE2" w:rsidRPr="00663DE2" w:rsidRDefault="00F14E1B" w:rsidP="00F14E1B">
      <w:pPr>
        <w:pStyle w:val="LegalBodyText1"/>
        <w:spacing w:after="240" w:line="360" w:lineRule="auto"/>
        <w:ind w:left="561" w:hanging="561"/>
      </w:pPr>
      <w:r w:rsidRPr="00663DE2">
        <w:t>(4)</w:t>
      </w:r>
      <w:r w:rsidRPr="00663DE2">
        <w:tab/>
      </w:r>
      <w:r w:rsidR="00663DE2" w:rsidRPr="00663DE2">
        <w:t>The</w:t>
      </w:r>
      <w:r w:rsidR="00F27390">
        <w:t xml:space="preserve"> application to intervene in these proceedings by the</w:t>
      </w:r>
      <w:r w:rsidR="00663DE2" w:rsidRPr="00663DE2">
        <w:t xml:space="preserve"> </w:t>
      </w:r>
      <w:r w:rsidR="00663DE2">
        <w:t xml:space="preserve">Intended Intervening </w:t>
      </w:r>
      <w:r w:rsidR="00F27390">
        <w:t>Party (Vital Signs Cape Town (Pty) Limited)</w:t>
      </w:r>
      <w:r w:rsidR="00663DE2" w:rsidRPr="00663DE2">
        <w:t xml:space="preserve"> is dismissed with costs, such costs to </w:t>
      </w:r>
      <w:r w:rsidR="00D11BC1">
        <w:t xml:space="preserve">be paid by the second respondent and are to </w:t>
      </w:r>
      <w:r w:rsidR="00663DE2" w:rsidRPr="00663DE2">
        <w:t>include the costs of two Counsel, one being Senior Counsel (where so employed).</w:t>
      </w:r>
    </w:p>
    <w:p w:rsidR="009314F3" w:rsidRPr="00A84826" w:rsidRDefault="00F86558" w:rsidP="00A31AA0">
      <w:pPr>
        <w:pStyle w:val="LegalTramLines"/>
        <w:keepNext/>
        <w:spacing w:after="240"/>
      </w:pPr>
      <w:r>
        <w:lastRenderedPageBreak/>
        <w:t xml:space="preserve">JUDGMENT </w:t>
      </w:r>
    </w:p>
    <w:p w:rsidR="007D27AD" w:rsidRPr="007D27AD" w:rsidRDefault="007D27AD" w:rsidP="00630DF9">
      <w:pPr>
        <w:keepNext/>
        <w:spacing w:before="120" w:after="120" w:line="360" w:lineRule="auto"/>
        <w:jc w:val="both"/>
        <w:rPr>
          <w:b/>
          <w:caps/>
        </w:rPr>
      </w:pPr>
      <w:r w:rsidRPr="007D27AD">
        <w:rPr>
          <w:b/>
        </w:rPr>
        <w:t>Adams J:</w:t>
      </w:r>
    </w:p>
    <w:p w:rsidR="003641D4" w:rsidRPr="003641D4" w:rsidRDefault="00F14E1B" w:rsidP="00F14E1B">
      <w:pPr>
        <w:spacing w:after="120" w:line="360" w:lineRule="auto"/>
        <w:jc w:val="both"/>
        <w:outlineLvl w:val="0"/>
        <w:rPr>
          <w:color w:val="000000"/>
          <w:lang w:val="en-ZA"/>
        </w:rPr>
      </w:pPr>
      <w:r w:rsidRPr="003641D4">
        <w:rPr>
          <w:color w:val="000000"/>
          <w:lang w:val="en-ZA"/>
        </w:rPr>
        <w:t>[1].</w:t>
      </w:r>
      <w:r w:rsidRPr="003641D4">
        <w:rPr>
          <w:color w:val="000000"/>
          <w:lang w:val="en-ZA"/>
        </w:rPr>
        <w:tab/>
      </w:r>
      <w:r w:rsidR="00BD3D25">
        <w:rPr>
          <w:color w:val="000000"/>
        </w:rPr>
        <w:t>The applicant (‘Glen’) and the second respondent (‘Dodds’) are brothers and they have been in business together for many years. I refer to these parties in this judgment by their first names as it is convenient to do so</w:t>
      </w:r>
      <w:r w:rsidR="003641D4">
        <w:rPr>
          <w:color w:val="000000"/>
        </w:rPr>
        <w:t>,</w:t>
      </w:r>
      <w:r w:rsidR="00BD3D25">
        <w:rPr>
          <w:color w:val="000000"/>
        </w:rPr>
        <w:t xml:space="preserve"> since they share </w:t>
      </w:r>
      <w:r w:rsidR="007F6CA0">
        <w:rPr>
          <w:color w:val="000000"/>
        </w:rPr>
        <w:t>the same</w:t>
      </w:r>
      <w:r w:rsidR="00BD3D25">
        <w:rPr>
          <w:color w:val="000000"/>
        </w:rPr>
        <w:t xml:space="preserve"> surname a</w:t>
      </w:r>
      <w:r w:rsidR="003641D4">
        <w:rPr>
          <w:color w:val="000000"/>
        </w:rPr>
        <w:t>nd not because any disrespect is</w:t>
      </w:r>
      <w:r w:rsidR="00BD3D25">
        <w:rPr>
          <w:color w:val="000000"/>
        </w:rPr>
        <w:t xml:space="preserve"> intended. Since 1999, they have been equal shareholders</w:t>
      </w:r>
      <w:r w:rsidR="003641D4">
        <w:rPr>
          <w:color w:val="000000"/>
        </w:rPr>
        <w:t xml:space="preserve"> – each owning fifty percent shareholding –</w:t>
      </w:r>
      <w:r w:rsidR="00BD3D25">
        <w:rPr>
          <w:color w:val="000000"/>
        </w:rPr>
        <w:t xml:space="preserve"> in the first respondent (‘VSG’</w:t>
      </w:r>
      <w:r w:rsidR="003641D4">
        <w:rPr>
          <w:color w:val="000000"/>
        </w:rPr>
        <w:t xml:space="preserve">), a company which </w:t>
      </w:r>
      <w:r w:rsidR="003641D4" w:rsidRPr="003641D4">
        <w:rPr>
          <w:color w:val="000000"/>
        </w:rPr>
        <w:t>does not actively trade, owns no assets and is merely a majority shareholding company</w:t>
      </w:r>
      <w:r w:rsidR="003641D4">
        <w:rPr>
          <w:color w:val="000000"/>
        </w:rPr>
        <w:t xml:space="preserve">. </w:t>
      </w:r>
      <w:r w:rsidR="00E6461E">
        <w:rPr>
          <w:color w:val="000000"/>
        </w:rPr>
        <w:t>They</w:t>
      </w:r>
      <w:r w:rsidR="003641D4">
        <w:rPr>
          <w:color w:val="000000"/>
        </w:rPr>
        <w:t xml:space="preserve"> </w:t>
      </w:r>
      <w:r w:rsidR="00E6461E">
        <w:rPr>
          <w:color w:val="000000"/>
        </w:rPr>
        <w:t xml:space="preserve">have also since 1999 been and presently </w:t>
      </w:r>
      <w:r w:rsidR="003641D4">
        <w:rPr>
          <w:color w:val="000000"/>
        </w:rPr>
        <w:t>are the sole directors of VSG</w:t>
      </w:r>
      <w:r w:rsidR="00E6461E">
        <w:rPr>
          <w:color w:val="000000"/>
        </w:rPr>
        <w:t xml:space="preserve">, which </w:t>
      </w:r>
      <w:r w:rsidR="003641D4">
        <w:rPr>
          <w:color w:val="000000"/>
        </w:rPr>
        <w:t>is a seventy percent shareholder in a company by the name of Vital Sales Cape Town (‘VSCT’)</w:t>
      </w:r>
      <w:r w:rsidR="00E6461E">
        <w:rPr>
          <w:color w:val="000000"/>
        </w:rPr>
        <w:t xml:space="preserve">, </w:t>
      </w:r>
      <w:r w:rsidR="003641D4">
        <w:rPr>
          <w:color w:val="000000"/>
        </w:rPr>
        <w:t>together with an unrelated third party, a Mr Thorpe, who owns thirty percent shares in the said company. Dod</w:t>
      </w:r>
      <w:r w:rsidR="00E6461E">
        <w:rPr>
          <w:color w:val="000000"/>
        </w:rPr>
        <w:t xml:space="preserve">ds </w:t>
      </w:r>
      <w:r w:rsidR="007F6CA0">
        <w:rPr>
          <w:color w:val="000000"/>
        </w:rPr>
        <w:t>is</w:t>
      </w:r>
      <w:r w:rsidR="00E6461E">
        <w:rPr>
          <w:color w:val="000000"/>
        </w:rPr>
        <w:t xml:space="preserve"> the sole director of VSCT.</w:t>
      </w:r>
    </w:p>
    <w:p w:rsidR="003641D4" w:rsidRPr="003641D4" w:rsidRDefault="00F14E1B" w:rsidP="00F14E1B">
      <w:pPr>
        <w:spacing w:after="120" w:line="360" w:lineRule="auto"/>
        <w:jc w:val="both"/>
        <w:outlineLvl w:val="0"/>
        <w:rPr>
          <w:color w:val="000000"/>
          <w:lang w:val="en-ZA"/>
        </w:rPr>
      </w:pPr>
      <w:r w:rsidRPr="003641D4">
        <w:rPr>
          <w:color w:val="000000"/>
          <w:lang w:val="en-ZA"/>
        </w:rPr>
        <w:t>[2].</w:t>
      </w:r>
      <w:r w:rsidRPr="003641D4">
        <w:rPr>
          <w:color w:val="000000"/>
          <w:lang w:val="en-ZA"/>
        </w:rPr>
        <w:tab/>
      </w:r>
      <w:r w:rsidR="00E6461E">
        <w:rPr>
          <w:color w:val="000000"/>
        </w:rPr>
        <w:t xml:space="preserve">The relationship between Glen and his older brother, Dodds, has, to put it euphemistically, soured. </w:t>
      </w:r>
      <w:r w:rsidR="00F664B0">
        <w:rPr>
          <w:color w:val="000000"/>
        </w:rPr>
        <w:t xml:space="preserve">From during 2018, when a business related dispute escalated into a physical altercation, during which Dodds shot and wounded Glen, they have been embroiled in ongoing fights and never-ending </w:t>
      </w:r>
      <w:r w:rsidR="00B36C8A">
        <w:rPr>
          <w:color w:val="000000"/>
        </w:rPr>
        <w:t xml:space="preserve">rather acrimonious </w:t>
      </w:r>
      <w:r w:rsidR="00F664B0">
        <w:rPr>
          <w:color w:val="000000"/>
        </w:rPr>
        <w:t xml:space="preserve">litigation. By all accounts, they do not see eye to eye and doing business together has become nigh impossible </w:t>
      </w:r>
      <w:r w:rsidR="0036163B">
        <w:rPr>
          <w:color w:val="000000"/>
        </w:rPr>
        <w:t>–</w:t>
      </w:r>
      <w:r w:rsidR="00F664B0">
        <w:rPr>
          <w:color w:val="000000"/>
        </w:rPr>
        <w:t xml:space="preserve"> </w:t>
      </w:r>
      <w:r w:rsidR="00C40F29">
        <w:rPr>
          <w:color w:val="000000"/>
        </w:rPr>
        <w:t xml:space="preserve">especially </w:t>
      </w:r>
      <w:r w:rsidR="0036163B">
        <w:rPr>
          <w:color w:val="000000"/>
        </w:rPr>
        <w:t>so in their relationship as co-directors of and joint shareholders in VSG, which needless to say adversely affects the running of VSCT.</w:t>
      </w:r>
    </w:p>
    <w:p w:rsidR="002C1FC6" w:rsidRDefault="00F14E1B" w:rsidP="00F14E1B">
      <w:pPr>
        <w:spacing w:after="120" w:line="360" w:lineRule="auto"/>
        <w:jc w:val="both"/>
        <w:outlineLvl w:val="0"/>
        <w:rPr>
          <w:color w:val="000000"/>
          <w:lang w:val="en-ZA"/>
        </w:rPr>
      </w:pPr>
      <w:r>
        <w:rPr>
          <w:color w:val="000000"/>
          <w:lang w:val="en-ZA"/>
        </w:rPr>
        <w:t>[3].</w:t>
      </w:r>
      <w:r>
        <w:rPr>
          <w:color w:val="000000"/>
          <w:lang w:val="en-ZA"/>
        </w:rPr>
        <w:tab/>
      </w:r>
      <w:r w:rsidR="0036163B">
        <w:rPr>
          <w:color w:val="000000"/>
          <w:lang w:val="en-ZA"/>
        </w:rPr>
        <w:t xml:space="preserve">Before me is an application by Glen </w:t>
      </w:r>
      <w:r w:rsidR="00073C85" w:rsidRPr="0036163B">
        <w:rPr>
          <w:color w:val="000000"/>
          <w:lang w:val="en-ZA"/>
        </w:rPr>
        <w:t xml:space="preserve">for the final winding-up of </w:t>
      </w:r>
      <w:r w:rsidR="0036163B">
        <w:rPr>
          <w:color w:val="000000"/>
          <w:lang w:val="en-ZA"/>
        </w:rPr>
        <w:t xml:space="preserve">VSG, which application is opposed by Dodds, who has also brought a counter-application in terms of s 163 of the 2008 Companies </w:t>
      </w:r>
      <w:r w:rsidR="0036163B" w:rsidRPr="0036163B">
        <w:rPr>
          <w:color w:val="000000"/>
          <w:lang w:val="en-ZA"/>
        </w:rPr>
        <w:t>Act</w:t>
      </w:r>
      <w:r w:rsidR="0036163B">
        <w:rPr>
          <w:rStyle w:val="FootnoteReference"/>
          <w:color w:val="000000"/>
          <w:lang w:val="en-ZA"/>
        </w:rPr>
        <w:footnoteReference w:id="1"/>
      </w:r>
      <w:r w:rsidR="0036163B" w:rsidRPr="0036163B">
        <w:rPr>
          <w:color w:val="000000"/>
          <w:lang w:val="en-ZA"/>
        </w:rPr>
        <w:t xml:space="preserve"> </w:t>
      </w:r>
      <w:r w:rsidR="002C1FC6" w:rsidRPr="002C1FC6">
        <w:rPr>
          <w:i/>
          <w:color w:val="000000"/>
          <w:lang w:val="en-ZA"/>
        </w:rPr>
        <w:t>inter alia</w:t>
      </w:r>
      <w:r w:rsidR="002C1FC6">
        <w:rPr>
          <w:color w:val="000000"/>
          <w:lang w:val="en-ZA"/>
        </w:rPr>
        <w:t xml:space="preserve"> </w:t>
      </w:r>
      <w:r w:rsidR="00073C85" w:rsidRPr="0036163B">
        <w:rPr>
          <w:color w:val="000000"/>
          <w:lang w:val="en-ZA"/>
        </w:rPr>
        <w:t xml:space="preserve">for an order that the majority shareholding held by </w:t>
      </w:r>
      <w:r w:rsidR="002C1FC6">
        <w:rPr>
          <w:color w:val="000000"/>
          <w:lang w:val="en-ZA"/>
        </w:rPr>
        <w:t xml:space="preserve">VSG </w:t>
      </w:r>
      <w:r w:rsidR="00073C85" w:rsidRPr="0036163B">
        <w:rPr>
          <w:color w:val="000000"/>
          <w:lang w:val="en-ZA"/>
        </w:rPr>
        <w:t xml:space="preserve">in </w:t>
      </w:r>
      <w:r w:rsidR="002C1FC6">
        <w:rPr>
          <w:color w:val="000000"/>
          <w:lang w:val="en-ZA"/>
        </w:rPr>
        <w:t xml:space="preserve">VSCT </w:t>
      </w:r>
      <w:r w:rsidR="00073C85" w:rsidRPr="0036163B">
        <w:rPr>
          <w:color w:val="000000"/>
          <w:lang w:val="en-ZA"/>
        </w:rPr>
        <w:t>be transferred to him</w:t>
      </w:r>
      <w:r w:rsidR="002C1FC6">
        <w:rPr>
          <w:color w:val="000000"/>
          <w:lang w:val="en-ZA"/>
        </w:rPr>
        <w:t xml:space="preserve">. A third application by Dodds, on behalf of VSCT to intervene as an applicant in </w:t>
      </w:r>
      <w:r w:rsidR="007F6CA0">
        <w:rPr>
          <w:color w:val="000000"/>
          <w:lang w:val="en-ZA"/>
        </w:rPr>
        <w:t xml:space="preserve">the </w:t>
      </w:r>
      <w:r w:rsidR="002C1FC6">
        <w:rPr>
          <w:color w:val="000000"/>
          <w:lang w:val="en-ZA"/>
        </w:rPr>
        <w:t xml:space="preserve">counter-application, is also before me. In my view, a consideration of and a decision relating to the </w:t>
      </w:r>
      <w:r w:rsidR="002C1FC6">
        <w:rPr>
          <w:color w:val="000000"/>
          <w:lang w:val="en-ZA"/>
        </w:rPr>
        <w:lastRenderedPageBreak/>
        <w:t xml:space="preserve">liquidation application would also take care of the other two applications and </w:t>
      </w:r>
      <w:r w:rsidR="00C40F29">
        <w:rPr>
          <w:color w:val="000000"/>
          <w:lang w:val="en-ZA"/>
        </w:rPr>
        <w:t>I therefore deal with the former</w:t>
      </w:r>
      <w:r w:rsidR="002C1FC6">
        <w:rPr>
          <w:color w:val="000000"/>
          <w:lang w:val="en-ZA"/>
        </w:rPr>
        <w:t xml:space="preserve"> application first. </w:t>
      </w:r>
    </w:p>
    <w:p w:rsidR="0098649C" w:rsidRDefault="00F14E1B" w:rsidP="00F14E1B">
      <w:pPr>
        <w:spacing w:line="360" w:lineRule="auto"/>
        <w:jc w:val="both"/>
        <w:outlineLvl w:val="0"/>
        <w:rPr>
          <w:color w:val="000000"/>
          <w:lang w:val="en-ZA"/>
        </w:rPr>
      </w:pPr>
      <w:r>
        <w:rPr>
          <w:color w:val="000000"/>
          <w:lang w:val="en-ZA"/>
        </w:rPr>
        <w:t>[4].</w:t>
      </w:r>
      <w:r>
        <w:rPr>
          <w:color w:val="000000"/>
          <w:lang w:val="en-ZA"/>
        </w:rPr>
        <w:tab/>
      </w:r>
      <w:r w:rsidR="007F6CA0">
        <w:rPr>
          <w:color w:val="000000"/>
          <w:lang w:val="en-ZA"/>
        </w:rPr>
        <w:t xml:space="preserve">The main question to be considered in this matter is whether Glen has made out a case for the liquidation of VSG, which application is </w:t>
      </w:r>
      <w:r w:rsidR="007F6CA0" w:rsidRPr="007F6CA0">
        <w:rPr>
          <w:color w:val="000000"/>
          <w:lang w:val="en-ZA"/>
        </w:rPr>
        <w:t xml:space="preserve">premised on </w:t>
      </w:r>
      <w:r w:rsidR="007F6CA0">
        <w:rPr>
          <w:color w:val="000000"/>
          <w:lang w:val="en-ZA"/>
        </w:rPr>
        <w:t xml:space="preserve">the basis </w:t>
      </w:r>
      <w:r w:rsidR="007F6CA0" w:rsidRPr="007F6CA0">
        <w:rPr>
          <w:color w:val="000000"/>
          <w:lang w:val="en-ZA"/>
        </w:rPr>
        <w:t>that it would be ‘just and equitabl</w:t>
      </w:r>
      <w:r w:rsidR="00B36C8A">
        <w:rPr>
          <w:color w:val="000000"/>
          <w:lang w:val="en-ZA"/>
        </w:rPr>
        <w:t>e’ to wi</w:t>
      </w:r>
      <w:r w:rsidR="007F6CA0" w:rsidRPr="007F6CA0">
        <w:rPr>
          <w:color w:val="000000"/>
          <w:lang w:val="en-ZA"/>
        </w:rPr>
        <w:t xml:space="preserve">nd-up </w:t>
      </w:r>
      <w:r w:rsidR="008E4273">
        <w:rPr>
          <w:color w:val="000000"/>
          <w:lang w:val="en-ZA"/>
        </w:rPr>
        <w:t xml:space="preserve">the said company and is brought </w:t>
      </w:r>
      <w:r w:rsidR="007F6CA0" w:rsidRPr="008E4273">
        <w:rPr>
          <w:color w:val="000000"/>
          <w:lang w:val="en-ZA"/>
        </w:rPr>
        <w:t>in terms of section 3</w:t>
      </w:r>
      <w:r w:rsidR="008E4273">
        <w:rPr>
          <w:color w:val="000000"/>
          <w:lang w:val="en-ZA"/>
        </w:rPr>
        <w:t>44(h) of the 1973 Companies Act</w:t>
      </w:r>
      <w:r w:rsidR="008E4273">
        <w:rPr>
          <w:rStyle w:val="FootnoteReference"/>
          <w:color w:val="000000"/>
          <w:lang w:val="en-ZA"/>
        </w:rPr>
        <w:footnoteReference w:id="2"/>
      </w:r>
      <w:r w:rsidR="008E4273">
        <w:rPr>
          <w:color w:val="000000"/>
          <w:lang w:val="en-ZA"/>
        </w:rPr>
        <w:t xml:space="preserve">, </w:t>
      </w:r>
      <w:r w:rsidR="007F6CA0" w:rsidRPr="008E4273">
        <w:rPr>
          <w:color w:val="000000"/>
          <w:lang w:val="en-ZA"/>
        </w:rPr>
        <w:t xml:space="preserve"> as </w:t>
      </w:r>
      <w:r w:rsidR="0098649C">
        <w:rPr>
          <w:color w:val="000000"/>
          <w:lang w:val="en-ZA"/>
        </w:rPr>
        <w:t>read with s </w:t>
      </w:r>
      <w:r w:rsidR="0098649C" w:rsidRPr="0098649C">
        <w:rPr>
          <w:color w:val="000000"/>
          <w:lang w:val="en-ZA"/>
        </w:rPr>
        <w:t xml:space="preserve">81(1)(d)(iii) of the </w:t>
      </w:r>
      <w:r w:rsidR="0098649C">
        <w:rPr>
          <w:color w:val="000000"/>
          <w:lang w:val="en-ZA"/>
        </w:rPr>
        <w:t xml:space="preserve">2008 </w:t>
      </w:r>
      <w:r w:rsidR="0098649C" w:rsidRPr="0098649C">
        <w:rPr>
          <w:color w:val="000000"/>
          <w:lang w:val="en-ZA"/>
        </w:rPr>
        <w:t>Companies Act</w:t>
      </w:r>
      <w:r w:rsidR="0098649C">
        <w:rPr>
          <w:color w:val="000000"/>
          <w:lang w:val="en-ZA"/>
        </w:rPr>
        <w:t>, which provides as follows</w:t>
      </w:r>
      <w:r w:rsidR="0098649C" w:rsidRPr="0098649C">
        <w:rPr>
          <w:color w:val="000000"/>
          <w:lang w:val="en-ZA"/>
        </w:rPr>
        <w:t>:</w:t>
      </w:r>
      <w:r w:rsidR="0098649C">
        <w:rPr>
          <w:color w:val="000000"/>
          <w:lang w:val="en-ZA"/>
        </w:rPr>
        <w:t xml:space="preserve"> - </w:t>
      </w:r>
    </w:p>
    <w:p w:rsidR="0098649C" w:rsidRPr="0098649C" w:rsidRDefault="0098649C" w:rsidP="0098649C">
      <w:pPr>
        <w:spacing w:line="360" w:lineRule="auto"/>
        <w:jc w:val="both"/>
        <w:outlineLvl w:val="0"/>
        <w:rPr>
          <w:color w:val="000000"/>
          <w:sz w:val="20"/>
          <w:szCs w:val="20"/>
          <w:lang w:val="en-ZA"/>
        </w:rPr>
      </w:pPr>
      <w:r w:rsidRPr="0098649C">
        <w:rPr>
          <w:color w:val="000000"/>
          <w:sz w:val="20"/>
          <w:szCs w:val="20"/>
          <w:lang w:val="en-ZA"/>
        </w:rPr>
        <w:t>‘81</w:t>
      </w:r>
      <w:r w:rsidRPr="0098649C">
        <w:rPr>
          <w:color w:val="000000"/>
          <w:sz w:val="20"/>
          <w:szCs w:val="20"/>
          <w:lang w:val="en-ZA"/>
        </w:rPr>
        <w:tab/>
      </w:r>
      <w:r w:rsidRPr="0098649C">
        <w:rPr>
          <w:b/>
          <w:color w:val="000000"/>
          <w:sz w:val="20"/>
          <w:szCs w:val="20"/>
          <w:lang w:val="en-ZA"/>
        </w:rPr>
        <w:t>Winding-up of solvent companies by court order –</w:t>
      </w:r>
      <w:r w:rsidRPr="0098649C">
        <w:rPr>
          <w:color w:val="000000"/>
          <w:sz w:val="20"/>
          <w:szCs w:val="20"/>
          <w:lang w:val="en-ZA"/>
        </w:rPr>
        <w:t xml:space="preserve"> </w:t>
      </w:r>
    </w:p>
    <w:p w:rsidR="0098649C" w:rsidRPr="00F14E1B" w:rsidRDefault="00F14E1B" w:rsidP="00F14E1B">
      <w:pPr>
        <w:spacing w:line="360" w:lineRule="auto"/>
        <w:ind w:left="567" w:hanging="283"/>
        <w:jc w:val="both"/>
        <w:outlineLvl w:val="0"/>
        <w:rPr>
          <w:color w:val="000000"/>
          <w:sz w:val="20"/>
          <w:szCs w:val="20"/>
          <w:lang w:val="en-ZA"/>
        </w:rPr>
      </w:pPr>
      <w:r>
        <w:rPr>
          <w:color w:val="000000"/>
          <w:sz w:val="20"/>
          <w:szCs w:val="20"/>
          <w:lang w:val="en-ZA"/>
        </w:rPr>
        <w:t>(1)</w:t>
      </w:r>
      <w:r>
        <w:rPr>
          <w:color w:val="000000"/>
          <w:sz w:val="20"/>
          <w:szCs w:val="20"/>
          <w:lang w:val="en-ZA"/>
        </w:rPr>
        <w:tab/>
      </w:r>
      <w:r w:rsidR="0098649C" w:rsidRPr="00F14E1B">
        <w:rPr>
          <w:color w:val="000000"/>
          <w:sz w:val="20"/>
          <w:szCs w:val="20"/>
          <w:lang w:val="en-ZA"/>
        </w:rPr>
        <w:t xml:space="preserve">A court may order a solvent company to be wound up if – </w:t>
      </w:r>
    </w:p>
    <w:p w:rsidR="0098649C" w:rsidRPr="0098649C" w:rsidRDefault="0098649C" w:rsidP="0098649C">
      <w:pPr>
        <w:pStyle w:val="ListParagraph"/>
        <w:spacing w:line="360" w:lineRule="auto"/>
        <w:jc w:val="both"/>
        <w:outlineLvl w:val="0"/>
        <w:rPr>
          <w:color w:val="000000"/>
          <w:sz w:val="20"/>
          <w:szCs w:val="20"/>
          <w:lang w:val="en-ZA"/>
        </w:rPr>
      </w:pPr>
      <w:r>
        <w:rPr>
          <w:color w:val="000000"/>
          <w:sz w:val="20"/>
          <w:szCs w:val="20"/>
          <w:lang w:val="en-ZA"/>
        </w:rPr>
        <w:t xml:space="preserve">… … … </w:t>
      </w:r>
    </w:p>
    <w:p w:rsidR="0098649C" w:rsidRDefault="0098649C" w:rsidP="0098649C">
      <w:pPr>
        <w:spacing w:line="360" w:lineRule="auto"/>
        <w:ind w:left="1134" w:hanging="567"/>
        <w:jc w:val="both"/>
        <w:outlineLvl w:val="0"/>
        <w:rPr>
          <w:color w:val="000000"/>
          <w:sz w:val="20"/>
          <w:szCs w:val="20"/>
          <w:lang w:val="en-ZA"/>
        </w:rPr>
      </w:pPr>
      <w:r w:rsidRPr="0098649C">
        <w:rPr>
          <w:color w:val="000000"/>
          <w:sz w:val="20"/>
          <w:szCs w:val="20"/>
          <w:lang w:val="en-ZA"/>
        </w:rPr>
        <w:t xml:space="preserve"> </w:t>
      </w:r>
      <w:r>
        <w:rPr>
          <w:color w:val="000000"/>
          <w:sz w:val="20"/>
          <w:szCs w:val="20"/>
          <w:lang w:val="en-ZA"/>
        </w:rPr>
        <w:t>(d)</w:t>
      </w:r>
      <w:r>
        <w:rPr>
          <w:color w:val="000000"/>
          <w:sz w:val="20"/>
          <w:szCs w:val="20"/>
          <w:lang w:val="en-ZA"/>
        </w:rPr>
        <w:tab/>
      </w:r>
      <w:r w:rsidRPr="0098649C">
        <w:rPr>
          <w:color w:val="000000"/>
          <w:sz w:val="20"/>
          <w:szCs w:val="20"/>
          <w:lang w:val="en-ZA"/>
        </w:rPr>
        <w:t xml:space="preserve">the company, one or more directors or one or more shareholders have applied to the court for an order to wind up the company on the grounds that – </w:t>
      </w:r>
    </w:p>
    <w:p w:rsidR="0098649C" w:rsidRPr="0098649C" w:rsidRDefault="0098649C" w:rsidP="0098649C">
      <w:pPr>
        <w:spacing w:line="360" w:lineRule="auto"/>
        <w:ind w:left="1134" w:hanging="567"/>
        <w:jc w:val="both"/>
        <w:outlineLvl w:val="0"/>
        <w:rPr>
          <w:color w:val="000000"/>
          <w:sz w:val="20"/>
          <w:szCs w:val="20"/>
          <w:lang w:val="en-ZA"/>
        </w:rPr>
      </w:pPr>
      <w:r>
        <w:rPr>
          <w:color w:val="000000"/>
          <w:sz w:val="20"/>
          <w:szCs w:val="20"/>
          <w:lang w:val="en-ZA"/>
        </w:rPr>
        <w:tab/>
        <w:t xml:space="preserve">… … … </w:t>
      </w:r>
    </w:p>
    <w:p w:rsidR="0098649C" w:rsidRPr="00F14E1B" w:rsidRDefault="00F14E1B" w:rsidP="00F14E1B">
      <w:pPr>
        <w:spacing w:after="120" w:line="360" w:lineRule="auto"/>
        <w:ind w:left="1854" w:hanging="720"/>
        <w:jc w:val="both"/>
        <w:outlineLvl w:val="0"/>
        <w:rPr>
          <w:color w:val="000000"/>
          <w:sz w:val="20"/>
          <w:szCs w:val="20"/>
          <w:lang w:val="en-ZA"/>
        </w:rPr>
      </w:pPr>
      <w:r w:rsidRPr="0098649C">
        <w:rPr>
          <w:color w:val="000000"/>
          <w:sz w:val="20"/>
          <w:szCs w:val="20"/>
          <w:lang w:val="en-ZA"/>
        </w:rPr>
        <w:t>(ii)</w:t>
      </w:r>
      <w:r w:rsidRPr="0098649C">
        <w:rPr>
          <w:color w:val="000000"/>
          <w:sz w:val="20"/>
          <w:szCs w:val="20"/>
          <w:lang w:val="en-ZA"/>
        </w:rPr>
        <w:tab/>
      </w:r>
      <w:r w:rsidR="0098649C" w:rsidRPr="00F14E1B">
        <w:rPr>
          <w:color w:val="000000"/>
          <w:sz w:val="20"/>
          <w:szCs w:val="20"/>
          <w:lang w:val="en-ZA"/>
        </w:rPr>
        <w:t>it is otherwise just and equitable for the company to be wound up.’</w:t>
      </w:r>
    </w:p>
    <w:p w:rsidR="007F6CA0" w:rsidRPr="001A6206" w:rsidRDefault="00F14E1B" w:rsidP="00F14E1B">
      <w:pPr>
        <w:spacing w:after="120" w:line="360" w:lineRule="auto"/>
        <w:jc w:val="both"/>
        <w:outlineLvl w:val="0"/>
        <w:rPr>
          <w:color w:val="000000"/>
          <w:lang w:val="en-ZA"/>
        </w:rPr>
      </w:pPr>
      <w:r w:rsidRPr="001A6206">
        <w:rPr>
          <w:color w:val="000000"/>
          <w:lang w:val="en-ZA"/>
        </w:rPr>
        <w:t>[5].</w:t>
      </w:r>
      <w:r w:rsidRPr="001A6206">
        <w:rPr>
          <w:color w:val="000000"/>
          <w:lang w:val="en-ZA"/>
        </w:rPr>
        <w:tab/>
      </w:r>
      <w:r w:rsidR="0098649C">
        <w:rPr>
          <w:color w:val="000000"/>
          <w:lang w:val="en-ZA"/>
        </w:rPr>
        <w:t xml:space="preserve">Section 344(h) of the 2008 Companies Act simply </w:t>
      </w:r>
      <w:r w:rsidR="001A6206">
        <w:rPr>
          <w:color w:val="000000"/>
          <w:lang w:val="en-ZA"/>
        </w:rPr>
        <w:t xml:space="preserve">provides that ‘a </w:t>
      </w:r>
      <w:r w:rsidR="0098649C" w:rsidRPr="001A6206">
        <w:rPr>
          <w:color w:val="000000"/>
          <w:lang w:val="en-ZA"/>
        </w:rPr>
        <w:t xml:space="preserve">company </w:t>
      </w:r>
      <w:r w:rsidR="001A6206">
        <w:rPr>
          <w:color w:val="000000"/>
          <w:lang w:val="en-ZA"/>
        </w:rPr>
        <w:t xml:space="preserve">may be wound up by the Court if … </w:t>
      </w:r>
      <w:r w:rsidR="0098649C" w:rsidRPr="001A6206">
        <w:rPr>
          <w:color w:val="000000"/>
          <w:lang w:val="en-ZA"/>
        </w:rPr>
        <w:t>it appears to the Court that it is just and equitable that the company should be wound up</w:t>
      </w:r>
      <w:r w:rsidR="001A6206">
        <w:rPr>
          <w:color w:val="000000"/>
          <w:lang w:val="en-ZA"/>
        </w:rPr>
        <w:t>’</w:t>
      </w:r>
      <w:r w:rsidR="0098649C" w:rsidRPr="001A6206">
        <w:rPr>
          <w:color w:val="000000"/>
          <w:lang w:val="en-ZA"/>
        </w:rPr>
        <w:t>.</w:t>
      </w:r>
    </w:p>
    <w:p w:rsidR="00073C85" w:rsidRPr="00073C85" w:rsidRDefault="00F14E1B" w:rsidP="00F14E1B">
      <w:pPr>
        <w:spacing w:after="120" w:line="360" w:lineRule="auto"/>
        <w:jc w:val="both"/>
        <w:outlineLvl w:val="0"/>
        <w:rPr>
          <w:color w:val="000000"/>
          <w:lang w:val="en-ZA"/>
        </w:rPr>
      </w:pPr>
      <w:r w:rsidRPr="00073C85">
        <w:rPr>
          <w:color w:val="000000"/>
          <w:lang w:val="en-ZA"/>
        </w:rPr>
        <w:t>[6].</w:t>
      </w:r>
      <w:r w:rsidRPr="00073C85">
        <w:rPr>
          <w:color w:val="000000"/>
          <w:lang w:val="en-ZA"/>
        </w:rPr>
        <w:tab/>
      </w:r>
      <w:r w:rsidR="001A6206">
        <w:rPr>
          <w:color w:val="000000"/>
          <w:lang w:val="en-ZA"/>
        </w:rPr>
        <w:t>This issue is to be decided against the factual backdrop of the matter as per the facts set out in the paragraphs which follows.</w:t>
      </w:r>
    </w:p>
    <w:p w:rsidR="001A6206" w:rsidRDefault="00F14E1B" w:rsidP="00F14E1B">
      <w:pPr>
        <w:spacing w:after="120" w:line="360" w:lineRule="auto"/>
        <w:jc w:val="both"/>
        <w:outlineLvl w:val="0"/>
        <w:rPr>
          <w:color w:val="000000"/>
          <w:lang w:val="en-ZA"/>
        </w:rPr>
      </w:pPr>
      <w:r>
        <w:rPr>
          <w:color w:val="000000"/>
          <w:lang w:val="en-ZA"/>
        </w:rPr>
        <w:t>[7].</w:t>
      </w:r>
      <w:r>
        <w:rPr>
          <w:color w:val="000000"/>
          <w:lang w:val="en-ZA"/>
        </w:rPr>
        <w:tab/>
      </w:r>
      <w:r w:rsidR="001A6206">
        <w:rPr>
          <w:color w:val="000000"/>
          <w:lang w:val="en-ZA"/>
        </w:rPr>
        <w:t>It is common cause between the parties that a</w:t>
      </w:r>
      <w:r w:rsidR="00073C85" w:rsidRPr="00073C85">
        <w:rPr>
          <w:color w:val="000000"/>
          <w:lang w:val="en-ZA"/>
        </w:rPr>
        <w:t xml:space="preserve"> formal and substantive deadlock exists between </w:t>
      </w:r>
      <w:r w:rsidR="001A6206">
        <w:rPr>
          <w:color w:val="000000"/>
          <w:lang w:val="en-ZA"/>
        </w:rPr>
        <w:t>Glen and</w:t>
      </w:r>
      <w:r w:rsidR="00073C85" w:rsidRPr="00073C85">
        <w:rPr>
          <w:color w:val="000000"/>
          <w:lang w:val="en-ZA"/>
        </w:rPr>
        <w:t xml:space="preserve"> Dodds</w:t>
      </w:r>
      <w:r w:rsidR="0049056C">
        <w:rPr>
          <w:color w:val="000000"/>
          <w:lang w:val="en-ZA"/>
        </w:rPr>
        <w:t xml:space="preserve"> </w:t>
      </w:r>
      <w:r w:rsidR="00073C85" w:rsidRPr="0049056C">
        <w:rPr>
          <w:color w:val="000000"/>
          <w:lang w:val="en-ZA"/>
        </w:rPr>
        <w:t xml:space="preserve">– both as directors and </w:t>
      </w:r>
      <w:r w:rsidR="00B36C8A">
        <w:rPr>
          <w:color w:val="000000"/>
          <w:lang w:val="en-ZA"/>
        </w:rPr>
        <w:t xml:space="preserve">as </w:t>
      </w:r>
      <w:r w:rsidR="00073C85" w:rsidRPr="0049056C">
        <w:rPr>
          <w:color w:val="000000"/>
          <w:lang w:val="en-ZA"/>
        </w:rPr>
        <w:t>shareholde</w:t>
      </w:r>
      <w:r w:rsidR="0049056C">
        <w:rPr>
          <w:color w:val="000000"/>
          <w:lang w:val="en-ZA"/>
        </w:rPr>
        <w:t>rs</w:t>
      </w:r>
      <w:r w:rsidR="001A6206">
        <w:rPr>
          <w:color w:val="000000"/>
          <w:lang w:val="en-ZA"/>
        </w:rPr>
        <w:t xml:space="preserve"> of VSG. They have not been able to convene as a board of directors for a considerable period of time. When Glen was able to convene a board meeting, they were unable to agree on the passing of any resolutions, notably those ones relating to the holding of an ordinary shareholders meeting or a special shareholders meeting. </w:t>
      </w:r>
    </w:p>
    <w:p w:rsidR="00073C85" w:rsidRPr="0062325B" w:rsidRDefault="00F14E1B" w:rsidP="00F14E1B">
      <w:pPr>
        <w:spacing w:line="360" w:lineRule="auto"/>
        <w:jc w:val="both"/>
        <w:outlineLvl w:val="0"/>
        <w:rPr>
          <w:color w:val="000000"/>
          <w:lang w:val="en-ZA"/>
        </w:rPr>
      </w:pPr>
      <w:r w:rsidRPr="0062325B">
        <w:rPr>
          <w:color w:val="000000"/>
          <w:lang w:val="en-ZA"/>
        </w:rPr>
        <w:t>[8].</w:t>
      </w:r>
      <w:r w:rsidRPr="0062325B">
        <w:rPr>
          <w:color w:val="000000"/>
          <w:lang w:val="en-ZA"/>
        </w:rPr>
        <w:tab/>
      </w:r>
      <w:r w:rsidR="0062325B">
        <w:rPr>
          <w:color w:val="000000"/>
          <w:lang w:val="en-ZA"/>
        </w:rPr>
        <w:t xml:space="preserve">On this basis alone, VSG should be wound-up. As was held in </w:t>
      </w:r>
      <w:r w:rsidR="00073C85" w:rsidRPr="0062325B">
        <w:rPr>
          <w:i/>
          <w:color w:val="000000"/>
          <w:lang w:val="en-ZA"/>
        </w:rPr>
        <w:t>Thunder Cats Investment 92 (Pty) Ltd and Another v Nkonjane Economy Prospecting and Investment (Pty) Ltd and Others</w:t>
      </w:r>
      <w:r w:rsidR="0062325B">
        <w:rPr>
          <w:rStyle w:val="FootnoteReference"/>
          <w:i/>
          <w:color w:val="000000"/>
          <w:lang w:val="en-ZA"/>
        </w:rPr>
        <w:footnoteReference w:id="3"/>
      </w:r>
      <w:r w:rsidR="00073C85" w:rsidRPr="0062325B">
        <w:rPr>
          <w:color w:val="000000"/>
          <w:lang w:val="en-ZA"/>
        </w:rPr>
        <w:t>:</w:t>
      </w:r>
    </w:p>
    <w:p w:rsidR="00073C85" w:rsidRPr="0062325B" w:rsidRDefault="0062325B" w:rsidP="0062325B">
      <w:pPr>
        <w:spacing w:after="120" w:line="360" w:lineRule="auto"/>
        <w:jc w:val="both"/>
        <w:outlineLvl w:val="0"/>
        <w:rPr>
          <w:color w:val="000000"/>
          <w:sz w:val="20"/>
          <w:szCs w:val="20"/>
          <w:lang w:val="en-ZA"/>
        </w:rPr>
      </w:pPr>
      <w:r w:rsidRPr="0062325B">
        <w:rPr>
          <w:color w:val="000000"/>
          <w:sz w:val="20"/>
          <w:szCs w:val="20"/>
          <w:lang w:val="en-ZA"/>
        </w:rPr>
        <w:lastRenderedPageBreak/>
        <w:t>‘</w:t>
      </w:r>
      <w:r w:rsidR="00073C85" w:rsidRPr="0062325B">
        <w:rPr>
          <w:color w:val="000000"/>
          <w:sz w:val="20"/>
          <w:szCs w:val="20"/>
          <w:lang w:val="en-ZA"/>
        </w:rPr>
        <w:t>A liquidation application based on the said general rule postulates not facts but only a broad conclusion of law, justice and equi</w:t>
      </w:r>
      <w:r w:rsidRPr="0062325B">
        <w:rPr>
          <w:color w:val="000000"/>
          <w:sz w:val="20"/>
          <w:szCs w:val="20"/>
          <w:lang w:val="en-ZA"/>
        </w:rPr>
        <w:t>ty, as a ground for winding-up.’</w:t>
      </w:r>
    </w:p>
    <w:p w:rsidR="00F518D2" w:rsidRPr="00171116" w:rsidRDefault="00F14E1B" w:rsidP="00F14E1B">
      <w:pPr>
        <w:spacing w:after="120" w:line="360" w:lineRule="auto"/>
        <w:jc w:val="both"/>
        <w:outlineLvl w:val="0"/>
        <w:rPr>
          <w:color w:val="000000"/>
          <w:lang w:val="en-ZA"/>
        </w:rPr>
      </w:pPr>
      <w:r w:rsidRPr="00171116">
        <w:rPr>
          <w:color w:val="000000"/>
          <w:lang w:val="en-ZA"/>
        </w:rPr>
        <w:t>[9].</w:t>
      </w:r>
      <w:r w:rsidRPr="00171116">
        <w:rPr>
          <w:color w:val="000000"/>
          <w:lang w:val="en-ZA"/>
        </w:rPr>
        <w:tab/>
      </w:r>
      <w:r w:rsidR="0062325B">
        <w:rPr>
          <w:color w:val="000000"/>
          <w:lang w:val="en-ZA"/>
        </w:rPr>
        <w:t xml:space="preserve">The point </w:t>
      </w:r>
      <w:r w:rsidR="0062325B" w:rsidRPr="0062325B">
        <w:rPr>
          <w:i/>
          <w:color w:val="000000"/>
          <w:lang w:val="en-ZA"/>
        </w:rPr>
        <w:t>in casu</w:t>
      </w:r>
      <w:r w:rsidR="0062325B">
        <w:rPr>
          <w:color w:val="000000"/>
          <w:lang w:val="en-ZA"/>
        </w:rPr>
        <w:t xml:space="preserve"> is simply that, in the circumstances of this matter, the ineluctable conclusion</w:t>
      </w:r>
      <w:r w:rsidR="00171116">
        <w:rPr>
          <w:color w:val="000000"/>
          <w:lang w:val="en-ZA"/>
        </w:rPr>
        <w:t xml:space="preserve"> is that</w:t>
      </w:r>
      <w:r w:rsidR="0062325B">
        <w:rPr>
          <w:color w:val="000000"/>
          <w:lang w:val="en-ZA"/>
        </w:rPr>
        <w:t xml:space="preserve"> it is just and equitable for VSG to be wound up.</w:t>
      </w:r>
      <w:r w:rsidR="00171116">
        <w:rPr>
          <w:color w:val="000000"/>
          <w:lang w:val="en-ZA"/>
        </w:rPr>
        <w:t xml:space="preserve"> The shareholders and the directors of that company find themselves in a ‘complete deadlock’, as well as in ‘substantive deadlock’ as envisaged by </w:t>
      </w:r>
      <w:r w:rsidR="00073C85" w:rsidRPr="00171116">
        <w:rPr>
          <w:i/>
          <w:color w:val="000000"/>
          <w:lang w:val="en-ZA"/>
        </w:rPr>
        <w:t>Cilliers NO and Others v Duin &amp; See (Pty) Ltd</w:t>
      </w:r>
      <w:r w:rsidR="00171116">
        <w:rPr>
          <w:rStyle w:val="FootnoteReference"/>
          <w:color w:val="000000"/>
          <w:lang w:val="en-ZA"/>
        </w:rPr>
        <w:footnoteReference w:id="4"/>
      </w:r>
      <w:r w:rsidR="00171116">
        <w:rPr>
          <w:color w:val="000000"/>
          <w:lang w:val="en-ZA"/>
        </w:rPr>
        <w:t>. T</w:t>
      </w:r>
      <w:r w:rsidR="00073C85" w:rsidRPr="00171116">
        <w:rPr>
          <w:color w:val="000000"/>
          <w:lang w:val="en-ZA"/>
        </w:rPr>
        <w:t xml:space="preserve">he directors on the first level and </w:t>
      </w:r>
      <w:r w:rsidR="00171116">
        <w:rPr>
          <w:color w:val="000000"/>
          <w:lang w:val="en-ZA"/>
        </w:rPr>
        <w:t xml:space="preserve">the </w:t>
      </w:r>
      <w:r w:rsidR="00073C85" w:rsidRPr="00171116">
        <w:rPr>
          <w:color w:val="000000"/>
          <w:lang w:val="en-ZA"/>
        </w:rPr>
        <w:t xml:space="preserve">shareholders on the next level are deadlocked and it is impossible for </w:t>
      </w:r>
      <w:r w:rsidR="00F518D2" w:rsidRPr="00171116">
        <w:rPr>
          <w:color w:val="000000"/>
          <w:lang w:val="en-ZA"/>
        </w:rPr>
        <w:t xml:space="preserve">the </w:t>
      </w:r>
      <w:r w:rsidR="00171116">
        <w:rPr>
          <w:color w:val="000000"/>
          <w:lang w:val="en-ZA"/>
        </w:rPr>
        <w:t>company</w:t>
      </w:r>
      <w:r w:rsidR="00F518D2" w:rsidRPr="00171116">
        <w:rPr>
          <w:color w:val="000000"/>
          <w:lang w:val="en-ZA"/>
        </w:rPr>
        <w:t xml:space="preserve"> to take a decision. (</w:t>
      </w:r>
      <w:r w:rsidR="00F518D2" w:rsidRPr="00171116">
        <w:rPr>
          <w:i/>
          <w:color w:val="000000"/>
          <w:lang w:val="en-ZA"/>
        </w:rPr>
        <w:t>Navigator Property Investments (Pty) Ltd v Silver Lakes Crossing Shopping Centre (Pty) Ltd and Others</w:t>
      </w:r>
      <w:r w:rsidR="00171116">
        <w:rPr>
          <w:rStyle w:val="FootnoteReference"/>
          <w:color w:val="000000"/>
          <w:lang w:val="en-ZA"/>
        </w:rPr>
        <w:footnoteReference w:id="5"/>
      </w:r>
      <w:r w:rsidR="00171116">
        <w:rPr>
          <w:color w:val="000000"/>
          <w:lang w:val="en-ZA"/>
        </w:rPr>
        <w:t>)</w:t>
      </w:r>
      <w:r w:rsidR="00F518D2" w:rsidRPr="00171116">
        <w:rPr>
          <w:color w:val="000000"/>
          <w:lang w:val="en-ZA"/>
        </w:rPr>
        <w:t>.</w:t>
      </w:r>
    </w:p>
    <w:p w:rsidR="00705FBA" w:rsidRDefault="00F14E1B" w:rsidP="00F14E1B">
      <w:pPr>
        <w:spacing w:after="120" w:line="360" w:lineRule="auto"/>
        <w:jc w:val="both"/>
        <w:outlineLvl w:val="0"/>
        <w:rPr>
          <w:color w:val="000000"/>
          <w:lang w:val="en-ZA"/>
        </w:rPr>
      </w:pPr>
      <w:r>
        <w:rPr>
          <w:color w:val="000000"/>
          <w:lang w:val="en-ZA"/>
        </w:rPr>
        <w:t>[10].</w:t>
      </w:r>
      <w:r>
        <w:rPr>
          <w:color w:val="000000"/>
          <w:lang w:val="en-ZA"/>
        </w:rPr>
        <w:tab/>
      </w:r>
      <w:r w:rsidR="00171116">
        <w:rPr>
          <w:color w:val="000000"/>
          <w:lang w:val="en-ZA"/>
        </w:rPr>
        <w:t xml:space="preserve">Moreover, </w:t>
      </w:r>
      <w:r w:rsidR="004E36DB">
        <w:rPr>
          <w:color w:val="000000"/>
          <w:lang w:val="en-ZA"/>
        </w:rPr>
        <w:t xml:space="preserve">VSG can safely be described as small domestic company. This means that </w:t>
      </w:r>
      <w:r w:rsidR="00073C85" w:rsidRPr="00073C85">
        <w:rPr>
          <w:color w:val="000000"/>
          <w:lang w:val="en-ZA"/>
        </w:rPr>
        <w:t>there</w:t>
      </w:r>
      <w:r w:rsidR="00B36C8A">
        <w:rPr>
          <w:color w:val="000000"/>
          <w:lang w:val="en-ZA"/>
        </w:rPr>
        <w:t xml:space="preserve"> probably</w:t>
      </w:r>
      <w:r w:rsidR="00073C85" w:rsidRPr="00073C85">
        <w:rPr>
          <w:color w:val="000000"/>
          <w:lang w:val="en-ZA"/>
        </w:rPr>
        <w:t xml:space="preserve"> exists</w:t>
      </w:r>
      <w:r w:rsidR="00B36C8A">
        <w:rPr>
          <w:color w:val="000000"/>
          <w:lang w:val="en-ZA"/>
        </w:rPr>
        <w:t xml:space="preserve"> or should exist</w:t>
      </w:r>
      <w:r w:rsidR="00705FBA">
        <w:rPr>
          <w:color w:val="000000"/>
          <w:lang w:val="en-ZA"/>
        </w:rPr>
        <w:t xml:space="preserve"> </w:t>
      </w:r>
      <w:r w:rsidR="00073C85" w:rsidRPr="00705FBA">
        <w:rPr>
          <w:color w:val="000000"/>
          <w:lang w:val="en-ZA"/>
        </w:rPr>
        <w:t>between the members</w:t>
      </w:r>
      <w:r w:rsidR="004E36DB">
        <w:rPr>
          <w:color w:val="000000"/>
          <w:lang w:val="en-ZA"/>
        </w:rPr>
        <w:t>,</w:t>
      </w:r>
      <w:r w:rsidR="00073C85" w:rsidRPr="00705FBA">
        <w:rPr>
          <w:color w:val="000000"/>
          <w:lang w:val="en-ZA"/>
        </w:rPr>
        <w:t xml:space="preserve"> in regard to the company’s affairs</w:t>
      </w:r>
      <w:r w:rsidR="004E36DB">
        <w:rPr>
          <w:color w:val="000000"/>
          <w:lang w:val="en-ZA"/>
        </w:rPr>
        <w:t>,</w:t>
      </w:r>
      <w:r w:rsidR="00073C85" w:rsidRPr="00705FBA">
        <w:rPr>
          <w:color w:val="000000"/>
          <w:lang w:val="en-ZA"/>
        </w:rPr>
        <w:t xml:space="preserve"> a particular personal relationship of confidence and trust similar to that existing between partners in regard to the partnership business. </w:t>
      </w:r>
      <w:r w:rsidR="004E36DB">
        <w:rPr>
          <w:color w:val="000000"/>
          <w:lang w:val="en-ZA"/>
        </w:rPr>
        <w:t>By their</w:t>
      </w:r>
      <w:r w:rsidR="00073C85" w:rsidRPr="00705FBA">
        <w:rPr>
          <w:color w:val="000000"/>
          <w:lang w:val="en-ZA"/>
        </w:rPr>
        <w:t xml:space="preserve"> conduct </w:t>
      </w:r>
      <w:r w:rsidR="004E36DB">
        <w:rPr>
          <w:color w:val="000000"/>
          <w:lang w:val="en-ZA"/>
        </w:rPr>
        <w:t xml:space="preserve">the </w:t>
      </w:r>
      <w:r w:rsidR="00073C85" w:rsidRPr="00705FBA">
        <w:rPr>
          <w:color w:val="000000"/>
          <w:lang w:val="en-ZA"/>
        </w:rPr>
        <w:t xml:space="preserve">members </w:t>
      </w:r>
      <w:r w:rsidR="004E36DB">
        <w:rPr>
          <w:color w:val="000000"/>
          <w:lang w:val="en-ZA"/>
        </w:rPr>
        <w:t>of VSG have destroyed</w:t>
      </w:r>
      <w:r w:rsidR="00073C85" w:rsidRPr="00705FBA">
        <w:rPr>
          <w:color w:val="000000"/>
          <w:lang w:val="en-ZA"/>
        </w:rPr>
        <w:t xml:space="preserve"> that relationship, </w:t>
      </w:r>
      <w:r w:rsidR="004E36DB">
        <w:rPr>
          <w:color w:val="000000"/>
          <w:lang w:val="en-ZA"/>
        </w:rPr>
        <w:t>which, in turn, means that a member</w:t>
      </w:r>
      <w:r w:rsidR="00073C85" w:rsidRPr="00705FBA">
        <w:rPr>
          <w:color w:val="000000"/>
          <w:lang w:val="en-ZA"/>
        </w:rPr>
        <w:t xml:space="preserve"> is entitled to claim that it is just and equitable that the company should be wound up.</w:t>
      </w:r>
    </w:p>
    <w:p w:rsidR="0058056F" w:rsidRDefault="00F14E1B" w:rsidP="00F14E1B">
      <w:pPr>
        <w:spacing w:after="120" w:line="360" w:lineRule="auto"/>
        <w:jc w:val="both"/>
        <w:outlineLvl w:val="0"/>
        <w:rPr>
          <w:color w:val="000000"/>
          <w:lang w:val="en-ZA"/>
        </w:rPr>
      </w:pPr>
      <w:r>
        <w:rPr>
          <w:color w:val="000000"/>
          <w:lang w:val="en-ZA"/>
        </w:rPr>
        <w:t>[11].</w:t>
      </w:r>
      <w:r>
        <w:rPr>
          <w:color w:val="000000"/>
          <w:lang w:val="en-ZA"/>
        </w:rPr>
        <w:tab/>
      </w:r>
      <w:r w:rsidR="004E36DB">
        <w:rPr>
          <w:color w:val="000000"/>
          <w:lang w:val="en-ZA"/>
        </w:rPr>
        <w:t xml:space="preserve">It bears emphasising that the two brothers </w:t>
      </w:r>
      <w:r w:rsidR="00073C85" w:rsidRPr="00073C85">
        <w:rPr>
          <w:color w:val="000000"/>
          <w:lang w:val="en-ZA"/>
        </w:rPr>
        <w:t>have had physical altercations (the shooting incident), pursuant to which Glen obtained a final domestic violence interdict against Dodds</w:t>
      </w:r>
      <w:r w:rsidR="004E36DB">
        <w:rPr>
          <w:color w:val="000000"/>
          <w:lang w:val="en-ZA"/>
        </w:rPr>
        <w:t>. They are</w:t>
      </w:r>
      <w:r w:rsidR="00073C85" w:rsidRPr="00073C85">
        <w:rPr>
          <w:color w:val="000000"/>
          <w:lang w:val="en-ZA"/>
        </w:rPr>
        <w:t xml:space="preserve"> and have been embroiled in numerous litigation against each other in both their personal and representative capacities (as directors and as shareholders).</w:t>
      </w:r>
      <w:r w:rsidR="004E36DB">
        <w:rPr>
          <w:color w:val="000000"/>
          <w:lang w:val="en-ZA"/>
        </w:rPr>
        <w:t xml:space="preserve"> There can be little doubt that </w:t>
      </w:r>
      <w:r w:rsidR="00073C85" w:rsidRPr="004E36DB">
        <w:rPr>
          <w:color w:val="000000"/>
          <w:lang w:val="en-ZA"/>
        </w:rPr>
        <w:t xml:space="preserve">there is an irretrievable breakdown in their relationship and that there is no longer a possibility of managing </w:t>
      </w:r>
      <w:r w:rsidR="004E36DB">
        <w:rPr>
          <w:color w:val="000000"/>
          <w:lang w:val="en-ZA"/>
        </w:rPr>
        <w:t xml:space="preserve">VSG </w:t>
      </w:r>
      <w:r w:rsidR="00073C85" w:rsidRPr="004E36DB">
        <w:rPr>
          <w:color w:val="000000"/>
          <w:lang w:val="en-ZA"/>
        </w:rPr>
        <w:t>though the majority shareholders’ vote in terms of and in accordance with the basic arrangement between the shareholders.</w:t>
      </w:r>
      <w:r w:rsidR="004E36DB">
        <w:rPr>
          <w:color w:val="000000"/>
          <w:lang w:val="en-ZA"/>
        </w:rPr>
        <w:t xml:space="preserve"> Dodds has clearly indicated that he </w:t>
      </w:r>
      <w:r w:rsidR="00073C85" w:rsidRPr="004E36DB">
        <w:rPr>
          <w:color w:val="000000"/>
          <w:lang w:val="en-ZA"/>
        </w:rPr>
        <w:t>can no longer trust Glen and has no confidence in him as a director.</w:t>
      </w:r>
      <w:r w:rsidR="0058056F">
        <w:rPr>
          <w:color w:val="000000"/>
          <w:lang w:val="en-ZA"/>
        </w:rPr>
        <w:t xml:space="preserve"> </w:t>
      </w:r>
      <w:r w:rsidR="00073C85" w:rsidRPr="0058056F">
        <w:rPr>
          <w:color w:val="000000"/>
          <w:lang w:val="en-ZA"/>
        </w:rPr>
        <w:t xml:space="preserve">It is not disputed that Glen and Dodds, in their capacity as the </w:t>
      </w:r>
      <w:r w:rsidR="0058056F">
        <w:rPr>
          <w:color w:val="000000"/>
          <w:lang w:val="en-ZA"/>
        </w:rPr>
        <w:t xml:space="preserve">only two </w:t>
      </w:r>
      <w:r w:rsidR="00073C85" w:rsidRPr="0058056F">
        <w:rPr>
          <w:color w:val="000000"/>
          <w:lang w:val="en-ZA"/>
        </w:rPr>
        <w:t xml:space="preserve">directors of </w:t>
      </w:r>
      <w:r w:rsidR="0058056F">
        <w:rPr>
          <w:color w:val="000000"/>
          <w:lang w:val="en-ZA"/>
        </w:rPr>
        <w:t>VSG</w:t>
      </w:r>
      <w:r w:rsidR="00073C85" w:rsidRPr="0058056F">
        <w:rPr>
          <w:color w:val="000000"/>
          <w:lang w:val="en-ZA"/>
        </w:rPr>
        <w:t xml:space="preserve">, have been unable to pass a resolution material to the </w:t>
      </w:r>
      <w:r w:rsidR="00073C85" w:rsidRPr="0058056F">
        <w:rPr>
          <w:color w:val="000000"/>
          <w:lang w:val="en-ZA"/>
        </w:rPr>
        <w:lastRenderedPageBreak/>
        <w:t xml:space="preserve">shareholding of </w:t>
      </w:r>
      <w:r w:rsidR="0058056F">
        <w:rPr>
          <w:color w:val="000000"/>
          <w:lang w:val="en-ZA"/>
        </w:rPr>
        <w:t xml:space="preserve">VSG </w:t>
      </w:r>
      <w:r w:rsidR="00073C85" w:rsidRPr="0058056F">
        <w:rPr>
          <w:color w:val="000000"/>
          <w:lang w:val="en-ZA"/>
        </w:rPr>
        <w:t xml:space="preserve">in </w:t>
      </w:r>
      <w:r w:rsidR="0058056F">
        <w:rPr>
          <w:color w:val="000000"/>
          <w:lang w:val="en-ZA"/>
        </w:rPr>
        <w:t>VSCT, thus stifling in a serious way the operations of the latter company.</w:t>
      </w:r>
    </w:p>
    <w:p w:rsidR="0058056F" w:rsidRDefault="00F14E1B" w:rsidP="00F14E1B">
      <w:pPr>
        <w:spacing w:after="120" w:line="360" w:lineRule="auto"/>
        <w:jc w:val="both"/>
        <w:outlineLvl w:val="0"/>
        <w:rPr>
          <w:color w:val="000000"/>
          <w:lang w:val="en-ZA"/>
        </w:rPr>
      </w:pPr>
      <w:r>
        <w:rPr>
          <w:color w:val="000000"/>
          <w:lang w:val="en-ZA"/>
        </w:rPr>
        <w:t>[12].</w:t>
      </w:r>
      <w:r>
        <w:rPr>
          <w:color w:val="000000"/>
          <w:lang w:val="en-ZA"/>
        </w:rPr>
        <w:tab/>
      </w:r>
      <w:r w:rsidR="0058056F">
        <w:rPr>
          <w:color w:val="000000"/>
          <w:lang w:val="en-ZA"/>
        </w:rPr>
        <w:t>In sum, the evidence before me confirms that</w:t>
      </w:r>
      <w:r w:rsidR="00073C85" w:rsidRPr="0058056F">
        <w:rPr>
          <w:color w:val="000000"/>
          <w:lang w:val="en-ZA"/>
        </w:rPr>
        <w:t xml:space="preserve"> th</w:t>
      </w:r>
      <w:r w:rsidR="0058056F">
        <w:rPr>
          <w:color w:val="000000"/>
          <w:lang w:val="en-ZA"/>
        </w:rPr>
        <w:t xml:space="preserve">e relationship between the two </w:t>
      </w:r>
      <w:r w:rsidR="00073C85" w:rsidRPr="0058056F">
        <w:rPr>
          <w:color w:val="000000"/>
          <w:lang w:val="en-ZA"/>
        </w:rPr>
        <w:t xml:space="preserve">brothers has been destroyed and irretrievably broken both at the level </w:t>
      </w:r>
      <w:r w:rsidR="00223755">
        <w:rPr>
          <w:color w:val="000000"/>
          <w:lang w:val="en-ZA"/>
        </w:rPr>
        <w:t>where they are</w:t>
      </w:r>
      <w:r w:rsidR="00073C85" w:rsidRPr="0058056F">
        <w:rPr>
          <w:color w:val="000000"/>
          <w:lang w:val="en-ZA"/>
        </w:rPr>
        <w:t xml:space="preserve"> the only two directors</w:t>
      </w:r>
      <w:r w:rsidR="00223755">
        <w:rPr>
          <w:color w:val="000000"/>
          <w:lang w:val="en-ZA"/>
        </w:rPr>
        <w:t>,</w:t>
      </w:r>
      <w:r w:rsidR="00073C85" w:rsidRPr="0058056F">
        <w:rPr>
          <w:color w:val="000000"/>
          <w:lang w:val="en-ZA"/>
        </w:rPr>
        <w:t xml:space="preserve"> as well as at the level </w:t>
      </w:r>
      <w:r w:rsidR="00223755">
        <w:rPr>
          <w:color w:val="000000"/>
          <w:lang w:val="en-ZA"/>
        </w:rPr>
        <w:t>where they are</w:t>
      </w:r>
      <w:r w:rsidR="00073C85" w:rsidRPr="0058056F">
        <w:rPr>
          <w:color w:val="000000"/>
          <w:lang w:val="en-ZA"/>
        </w:rPr>
        <w:t xml:space="preserve"> the only two shareholders of </w:t>
      </w:r>
      <w:r w:rsidR="0058056F">
        <w:rPr>
          <w:color w:val="000000"/>
          <w:lang w:val="en-ZA"/>
        </w:rPr>
        <w:t>VSG. I</w:t>
      </w:r>
      <w:r w:rsidR="00073C85" w:rsidRPr="0058056F">
        <w:rPr>
          <w:color w:val="000000"/>
          <w:lang w:val="en-ZA"/>
        </w:rPr>
        <w:t xml:space="preserve">t is not possible for </w:t>
      </w:r>
      <w:r w:rsidR="0058056F">
        <w:rPr>
          <w:color w:val="000000"/>
          <w:lang w:val="en-ZA"/>
        </w:rPr>
        <w:t xml:space="preserve">VSG </w:t>
      </w:r>
      <w:r w:rsidR="00073C85" w:rsidRPr="0058056F">
        <w:rPr>
          <w:color w:val="000000"/>
          <w:lang w:val="en-ZA"/>
        </w:rPr>
        <w:t>to take any decision on the management of the company</w:t>
      </w:r>
      <w:r w:rsidR="0058056F">
        <w:rPr>
          <w:color w:val="000000"/>
          <w:lang w:val="en-ZA"/>
        </w:rPr>
        <w:t>. T</w:t>
      </w:r>
      <w:r w:rsidR="00073C85" w:rsidRPr="0058056F">
        <w:rPr>
          <w:color w:val="000000"/>
          <w:lang w:val="en-ZA"/>
        </w:rPr>
        <w:t>aking into account competing interests, the broad conclusions of law, justice and equity</w:t>
      </w:r>
      <w:r w:rsidR="0058056F">
        <w:rPr>
          <w:color w:val="000000"/>
          <w:lang w:val="en-ZA"/>
        </w:rPr>
        <w:t xml:space="preserve">, I am of the view that I ought to exercise my discretion </w:t>
      </w:r>
      <w:r w:rsidR="00073C85" w:rsidRPr="0058056F">
        <w:rPr>
          <w:color w:val="000000"/>
          <w:lang w:val="en-ZA"/>
        </w:rPr>
        <w:t xml:space="preserve">in favour of the winding-up of </w:t>
      </w:r>
      <w:r w:rsidR="0058056F">
        <w:rPr>
          <w:color w:val="000000"/>
          <w:lang w:val="en-ZA"/>
        </w:rPr>
        <w:t>VSG.</w:t>
      </w:r>
    </w:p>
    <w:p w:rsidR="00001A13" w:rsidRDefault="00F14E1B" w:rsidP="00F14E1B">
      <w:pPr>
        <w:spacing w:after="120" w:line="360" w:lineRule="auto"/>
        <w:jc w:val="both"/>
        <w:outlineLvl w:val="0"/>
        <w:rPr>
          <w:color w:val="000000"/>
          <w:lang w:val="en-ZA"/>
        </w:rPr>
      </w:pPr>
      <w:r>
        <w:rPr>
          <w:color w:val="000000"/>
          <w:lang w:val="en-ZA"/>
        </w:rPr>
        <w:t>[13].</w:t>
      </w:r>
      <w:r>
        <w:rPr>
          <w:color w:val="000000"/>
          <w:lang w:val="en-ZA"/>
        </w:rPr>
        <w:tab/>
      </w:r>
      <w:r w:rsidR="00001A13">
        <w:rPr>
          <w:color w:val="000000"/>
          <w:lang w:val="en-ZA"/>
        </w:rPr>
        <w:t xml:space="preserve">For these reasons, the second respondent’s counter-application, which </w:t>
      </w:r>
      <w:r w:rsidR="00073C85" w:rsidRPr="00001A13">
        <w:rPr>
          <w:color w:val="000000"/>
          <w:lang w:val="en-ZA"/>
        </w:rPr>
        <w:t xml:space="preserve">is </w:t>
      </w:r>
      <w:r w:rsidR="00001A13">
        <w:rPr>
          <w:color w:val="000000"/>
          <w:lang w:val="en-ZA"/>
        </w:rPr>
        <w:t xml:space="preserve">brought in terms of the </w:t>
      </w:r>
      <w:r w:rsidR="00073C85" w:rsidRPr="00001A13">
        <w:rPr>
          <w:color w:val="000000"/>
          <w:lang w:val="en-ZA"/>
        </w:rPr>
        <w:t>provisions of s</w:t>
      </w:r>
      <w:r w:rsidR="00F95AAE" w:rsidRPr="00001A13">
        <w:rPr>
          <w:color w:val="000000"/>
          <w:lang w:val="en-ZA"/>
        </w:rPr>
        <w:t xml:space="preserve"> 163 of the</w:t>
      </w:r>
      <w:r w:rsidR="00001A13">
        <w:rPr>
          <w:color w:val="000000"/>
          <w:lang w:val="en-ZA"/>
        </w:rPr>
        <w:t xml:space="preserve"> 2008 Companies Act, should also be dismissed. The point is simply that the company stands to be liquidated so that the interest of the members can be realised. </w:t>
      </w:r>
    </w:p>
    <w:p w:rsidR="00073C85" w:rsidRPr="00073C85" w:rsidRDefault="00F14E1B" w:rsidP="00F14E1B">
      <w:pPr>
        <w:spacing w:after="120" w:line="360" w:lineRule="auto"/>
        <w:jc w:val="both"/>
        <w:outlineLvl w:val="0"/>
        <w:rPr>
          <w:color w:val="000000"/>
          <w:lang w:val="en-ZA"/>
        </w:rPr>
      </w:pPr>
      <w:r w:rsidRPr="00073C85">
        <w:rPr>
          <w:color w:val="000000"/>
          <w:lang w:val="en-ZA"/>
        </w:rPr>
        <w:t>[14].</w:t>
      </w:r>
      <w:r w:rsidRPr="00073C85">
        <w:rPr>
          <w:color w:val="000000"/>
          <w:lang w:val="en-ZA"/>
        </w:rPr>
        <w:tab/>
      </w:r>
      <w:r w:rsidR="00001A13">
        <w:rPr>
          <w:color w:val="000000"/>
          <w:lang w:val="en-ZA"/>
        </w:rPr>
        <w:t xml:space="preserve">There are other reasons why the counter-application should be refused. </w:t>
      </w:r>
    </w:p>
    <w:p w:rsidR="00073C85" w:rsidRPr="00073C85" w:rsidRDefault="00F14E1B" w:rsidP="00F14E1B">
      <w:pPr>
        <w:spacing w:line="360" w:lineRule="auto"/>
        <w:jc w:val="both"/>
        <w:outlineLvl w:val="0"/>
        <w:rPr>
          <w:color w:val="000000"/>
          <w:lang w:val="en-ZA"/>
        </w:rPr>
      </w:pPr>
      <w:r w:rsidRPr="00073C85">
        <w:rPr>
          <w:color w:val="000000"/>
          <w:lang w:val="en-ZA"/>
        </w:rPr>
        <w:t>[15].</w:t>
      </w:r>
      <w:r w:rsidRPr="00073C85">
        <w:rPr>
          <w:color w:val="000000"/>
          <w:lang w:val="en-ZA"/>
        </w:rPr>
        <w:tab/>
      </w:r>
      <w:r w:rsidR="00073C85" w:rsidRPr="00073C85">
        <w:rPr>
          <w:color w:val="000000"/>
          <w:lang w:val="en-ZA"/>
        </w:rPr>
        <w:t>Section 163 of the 2008 Companies Act reads as follows:</w:t>
      </w:r>
    </w:p>
    <w:p w:rsidR="00073C85" w:rsidRPr="007748E7" w:rsidRDefault="00001A13" w:rsidP="007748E7">
      <w:pPr>
        <w:spacing w:line="360" w:lineRule="auto"/>
        <w:ind w:left="567" w:hanging="567"/>
        <w:jc w:val="both"/>
        <w:outlineLvl w:val="0"/>
        <w:rPr>
          <w:color w:val="000000"/>
          <w:sz w:val="20"/>
          <w:szCs w:val="20"/>
          <w:lang w:val="en-ZA"/>
        </w:rPr>
      </w:pPr>
      <w:r w:rsidRPr="007748E7">
        <w:rPr>
          <w:color w:val="000000"/>
          <w:sz w:val="20"/>
          <w:szCs w:val="20"/>
          <w:lang w:val="en-ZA"/>
        </w:rPr>
        <w:t>‘163</w:t>
      </w:r>
      <w:r w:rsidRPr="007748E7">
        <w:rPr>
          <w:color w:val="000000"/>
          <w:sz w:val="20"/>
          <w:szCs w:val="20"/>
          <w:lang w:val="en-ZA"/>
        </w:rPr>
        <w:tab/>
      </w:r>
      <w:r w:rsidR="00073C85" w:rsidRPr="007748E7">
        <w:rPr>
          <w:b/>
          <w:color w:val="000000"/>
          <w:sz w:val="20"/>
          <w:szCs w:val="20"/>
          <w:lang w:val="en-ZA"/>
        </w:rPr>
        <w:t>Relief from oppressive or prejudicial conduct or from abuse of separate</w:t>
      </w:r>
      <w:r w:rsidR="00F95AAE" w:rsidRPr="007748E7">
        <w:rPr>
          <w:b/>
          <w:color w:val="000000"/>
          <w:sz w:val="20"/>
          <w:szCs w:val="20"/>
          <w:lang w:val="en-ZA"/>
        </w:rPr>
        <w:t xml:space="preserve"> </w:t>
      </w:r>
      <w:r w:rsidR="00073C85" w:rsidRPr="007748E7">
        <w:rPr>
          <w:b/>
          <w:color w:val="000000"/>
          <w:sz w:val="20"/>
          <w:szCs w:val="20"/>
          <w:lang w:val="en-ZA"/>
        </w:rPr>
        <w:t>juristic personality of company</w:t>
      </w:r>
    </w:p>
    <w:p w:rsidR="00073C85" w:rsidRPr="007748E7" w:rsidRDefault="00001A13" w:rsidP="007748E7">
      <w:pPr>
        <w:spacing w:line="360" w:lineRule="auto"/>
        <w:ind w:left="851" w:hanging="567"/>
        <w:jc w:val="both"/>
        <w:outlineLvl w:val="0"/>
        <w:rPr>
          <w:color w:val="000000"/>
          <w:sz w:val="20"/>
          <w:szCs w:val="20"/>
          <w:lang w:val="en-ZA"/>
        </w:rPr>
      </w:pPr>
      <w:r w:rsidRPr="007748E7">
        <w:rPr>
          <w:color w:val="000000"/>
          <w:sz w:val="20"/>
          <w:szCs w:val="20"/>
          <w:lang w:val="en-ZA"/>
        </w:rPr>
        <w:t>(1)</w:t>
      </w:r>
      <w:r w:rsidRPr="007748E7">
        <w:rPr>
          <w:color w:val="000000"/>
          <w:sz w:val="20"/>
          <w:szCs w:val="20"/>
          <w:lang w:val="en-ZA"/>
        </w:rPr>
        <w:tab/>
      </w:r>
      <w:r w:rsidR="00073C85" w:rsidRPr="007748E7">
        <w:rPr>
          <w:color w:val="000000"/>
          <w:sz w:val="20"/>
          <w:szCs w:val="20"/>
          <w:lang w:val="en-ZA"/>
        </w:rPr>
        <w:t>A shareholder or a director of a company may</w:t>
      </w:r>
      <w:r w:rsidR="00F95AAE" w:rsidRPr="007748E7">
        <w:rPr>
          <w:color w:val="000000"/>
          <w:sz w:val="20"/>
          <w:szCs w:val="20"/>
          <w:lang w:val="en-ZA"/>
        </w:rPr>
        <w:t xml:space="preserve"> apply to a court for relief if – </w:t>
      </w:r>
    </w:p>
    <w:p w:rsidR="00073C85" w:rsidRPr="007748E7" w:rsidRDefault="007748E7" w:rsidP="007748E7">
      <w:pPr>
        <w:spacing w:line="360" w:lineRule="auto"/>
        <w:ind w:left="1134" w:hanging="567"/>
        <w:jc w:val="both"/>
        <w:outlineLvl w:val="0"/>
        <w:rPr>
          <w:color w:val="000000"/>
          <w:sz w:val="20"/>
          <w:szCs w:val="20"/>
          <w:lang w:val="en-ZA"/>
        </w:rPr>
      </w:pPr>
      <w:r>
        <w:rPr>
          <w:color w:val="000000"/>
          <w:sz w:val="20"/>
          <w:szCs w:val="20"/>
          <w:lang w:val="en-ZA"/>
        </w:rPr>
        <w:t>(a)</w:t>
      </w:r>
      <w:r>
        <w:rPr>
          <w:color w:val="000000"/>
          <w:sz w:val="20"/>
          <w:szCs w:val="20"/>
          <w:lang w:val="en-ZA"/>
        </w:rPr>
        <w:tab/>
      </w:r>
      <w:r w:rsidR="00073C85" w:rsidRPr="007748E7">
        <w:rPr>
          <w:color w:val="000000"/>
          <w:sz w:val="20"/>
          <w:szCs w:val="20"/>
          <w:lang w:val="en-ZA"/>
        </w:rPr>
        <w:t>any act or omission of the company, or a related person, has had a result that is oppressive or unfairly prejudicial to, or that unfairly disregards the interests of, the applicant;</w:t>
      </w:r>
    </w:p>
    <w:p w:rsidR="00073C85" w:rsidRPr="007748E7" w:rsidRDefault="00073C85" w:rsidP="007748E7">
      <w:pPr>
        <w:spacing w:line="360" w:lineRule="auto"/>
        <w:ind w:left="1134" w:hanging="567"/>
        <w:jc w:val="both"/>
        <w:outlineLvl w:val="0"/>
        <w:rPr>
          <w:color w:val="000000"/>
          <w:sz w:val="20"/>
          <w:szCs w:val="20"/>
          <w:lang w:val="en-ZA"/>
        </w:rPr>
      </w:pPr>
      <w:r w:rsidRPr="007748E7">
        <w:rPr>
          <w:color w:val="000000"/>
          <w:sz w:val="20"/>
          <w:szCs w:val="20"/>
          <w:lang w:val="en-ZA"/>
        </w:rPr>
        <w:t>(b)</w:t>
      </w:r>
      <w:r w:rsidRPr="007748E7">
        <w:rPr>
          <w:color w:val="000000"/>
          <w:sz w:val="20"/>
          <w:szCs w:val="20"/>
          <w:lang w:val="en-ZA"/>
        </w:rPr>
        <w:tab/>
        <w:t>the business of the company, or a related person, is being or has been carried on or conducted in a manner that is oppressive or unfairly prejudicial to, or that unfairly disregards the interests of, the applicant; or</w:t>
      </w:r>
    </w:p>
    <w:p w:rsidR="00073C85" w:rsidRPr="007748E7" w:rsidRDefault="00073C85" w:rsidP="007748E7">
      <w:pPr>
        <w:spacing w:after="120" w:line="360" w:lineRule="auto"/>
        <w:ind w:left="1134" w:hanging="567"/>
        <w:jc w:val="both"/>
        <w:outlineLvl w:val="0"/>
        <w:rPr>
          <w:color w:val="000000"/>
          <w:sz w:val="20"/>
          <w:szCs w:val="20"/>
          <w:lang w:val="en-ZA"/>
        </w:rPr>
      </w:pPr>
      <w:r w:rsidRPr="007748E7">
        <w:rPr>
          <w:color w:val="000000"/>
          <w:sz w:val="20"/>
          <w:szCs w:val="20"/>
          <w:lang w:val="en-ZA"/>
        </w:rPr>
        <w:t>(c)</w:t>
      </w:r>
      <w:r w:rsidRPr="007748E7">
        <w:rPr>
          <w:color w:val="000000"/>
          <w:sz w:val="20"/>
          <w:szCs w:val="20"/>
          <w:lang w:val="en-ZA"/>
        </w:rPr>
        <w:tab/>
        <w:t>the powers of a director or prescribed officer of the company, or a person related to the company, are being or have been exercised in a manner that is oppressive or unfairly prejudicial to, or that unfairly disregards t</w:t>
      </w:r>
      <w:r w:rsidR="00001A13" w:rsidRPr="007748E7">
        <w:rPr>
          <w:color w:val="000000"/>
          <w:sz w:val="20"/>
          <w:szCs w:val="20"/>
          <w:lang w:val="en-ZA"/>
        </w:rPr>
        <w:t>he interests of, the applicant.’</w:t>
      </w:r>
    </w:p>
    <w:p w:rsidR="00073C85" w:rsidRPr="0091692D" w:rsidRDefault="00F14E1B" w:rsidP="00F14E1B">
      <w:pPr>
        <w:spacing w:after="120" w:line="360" w:lineRule="auto"/>
        <w:jc w:val="both"/>
        <w:outlineLvl w:val="0"/>
        <w:rPr>
          <w:color w:val="000000"/>
          <w:lang w:val="en-ZA"/>
        </w:rPr>
      </w:pPr>
      <w:r w:rsidRPr="0091692D">
        <w:rPr>
          <w:color w:val="000000"/>
          <w:lang w:val="en-ZA"/>
        </w:rPr>
        <w:t>[16].</w:t>
      </w:r>
      <w:r w:rsidRPr="0091692D">
        <w:rPr>
          <w:color w:val="000000"/>
          <w:lang w:val="en-ZA"/>
        </w:rPr>
        <w:tab/>
      </w:r>
      <w:r w:rsidR="0091692D">
        <w:rPr>
          <w:color w:val="000000"/>
          <w:lang w:val="en-ZA"/>
        </w:rPr>
        <w:t xml:space="preserve">The starting point for a discussion on s 163 has to be the fact that </w:t>
      </w:r>
      <w:r w:rsidR="00073C85" w:rsidRPr="00073C85">
        <w:rPr>
          <w:color w:val="000000"/>
          <w:lang w:val="en-ZA"/>
        </w:rPr>
        <w:t>the conduct of the majority shareholders must be evaluated in light of the fundamental corporate law principle that, by becoming a shareholder, one undertakes to be bound by the decisions of the majority shareholders</w:t>
      </w:r>
      <w:r w:rsidR="0091692D">
        <w:rPr>
          <w:color w:val="000000"/>
          <w:lang w:val="en-ZA"/>
        </w:rPr>
        <w:t>. Therefore,</w:t>
      </w:r>
      <w:r w:rsidR="00073C85" w:rsidRPr="0091692D">
        <w:rPr>
          <w:color w:val="000000"/>
          <w:lang w:val="en-ZA"/>
        </w:rPr>
        <w:t xml:space="preserve"> not all acts which prejudicially affect shareholders or directors, or which disregard </w:t>
      </w:r>
      <w:r w:rsidR="00073C85" w:rsidRPr="0091692D">
        <w:rPr>
          <w:color w:val="000000"/>
          <w:lang w:val="en-ZA"/>
        </w:rPr>
        <w:lastRenderedPageBreak/>
        <w:t>their interest</w:t>
      </w:r>
      <w:r w:rsidR="0091692D">
        <w:rPr>
          <w:color w:val="000000"/>
          <w:lang w:val="en-ZA"/>
        </w:rPr>
        <w:t xml:space="preserve">s, will entitle them to relief – </w:t>
      </w:r>
      <w:r w:rsidR="00073C85" w:rsidRPr="0091692D">
        <w:rPr>
          <w:color w:val="000000"/>
          <w:lang w:val="en-ZA"/>
        </w:rPr>
        <w:t>it</w:t>
      </w:r>
      <w:r w:rsidR="0091692D">
        <w:rPr>
          <w:color w:val="000000"/>
          <w:lang w:val="en-ZA"/>
        </w:rPr>
        <w:t xml:space="preserve"> </w:t>
      </w:r>
      <w:r w:rsidR="00073C85" w:rsidRPr="0091692D">
        <w:rPr>
          <w:color w:val="000000"/>
          <w:lang w:val="en-ZA"/>
        </w:rPr>
        <w:t>must be shown that the conduct is not only prejudicial or disregardful but als</w:t>
      </w:r>
      <w:r w:rsidR="0091692D">
        <w:rPr>
          <w:color w:val="000000"/>
          <w:lang w:val="en-ZA"/>
        </w:rPr>
        <w:t>o that it is unfairly so.</w:t>
      </w:r>
    </w:p>
    <w:p w:rsidR="0091692D" w:rsidRPr="0091692D" w:rsidRDefault="00F14E1B" w:rsidP="00F14E1B">
      <w:pPr>
        <w:spacing w:after="120" w:line="360" w:lineRule="auto"/>
        <w:jc w:val="both"/>
        <w:outlineLvl w:val="0"/>
        <w:rPr>
          <w:color w:val="000000"/>
          <w:lang w:val="en-ZA"/>
        </w:rPr>
      </w:pPr>
      <w:r w:rsidRPr="0091692D">
        <w:rPr>
          <w:color w:val="000000"/>
          <w:lang w:val="en-ZA"/>
        </w:rPr>
        <w:t>[17].</w:t>
      </w:r>
      <w:r w:rsidRPr="0091692D">
        <w:rPr>
          <w:color w:val="000000"/>
          <w:lang w:val="en-ZA"/>
        </w:rPr>
        <w:tab/>
      </w:r>
      <w:r w:rsidR="00073C85" w:rsidRPr="00073C85">
        <w:rPr>
          <w:color w:val="000000"/>
          <w:lang w:val="en-ZA"/>
        </w:rPr>
        <w:t>The conduct of the majority shareholders should also always be judged in the li</w:t>
      </w:r>
      <w:r w:rsidR="0091692D">
        <w:rPr>
          <w:color w:val="000000"/>
          <w:lang w:val="en-ZA"/>
        </w:rPr>
        <w:t>ght of the principle that ‘…</w:t>
      </w:r>
      <w:r w:rsidR="00073C85" w:rsidRPr="00073C85">
        <w:rPr>
          <w:color w:val="000000"/>
          <w:lang w:val="en-ZA"/>
        </w:rPr>
        <w:t xml:space="preserve"> by becoming a shareholder in a company a person undertakes by his contract to be bound by the decisions of the prescribed majority of shareholders, if those decisions on the affairs of the company are arrived at in accordance with the law, even where they adversely affect h</w:t>
      </w:r>
      <w:r w:rsidR="0091692D">
        <w:rPr>
          <w:color w:val="000000"/>
          <w:lang w:val="en-ZA"/>
        </w:rPr>
        <w:t>is own rights as a shareholder’.</w:t>
      </w:r>
      <w:r w:rsidR="00073C85" w:rsidRPr="00073C85">
        <w:rPr>
          <w:color w:val="000000"/>
          <w:lang w:val="en-ZA"/>
        </w:rPr>
        <w:t xml:space="preserve"> </w:t>
      </w:r>
      <w:r w:rsidR="0091692D">
        <w:rPr>
          <w:color w:val="000000"/>
          <w:lang w:val="en-ZA"/>
        </w:rPr>
        <w:t>(</w:t>
      </w:r>
      <w:r w:rsidR="0091692D" w:rsidRPr="0091692D">
        <w:rPr>
          <w:i/>
          <w:color w:val="000000"/>
          <w:lang w:val="en-ZA"/>
        </w:rPr>
        <w:t>Sammel v President Brand Gold Mining Co Ltd</w:t>
      </w:r>
      <w:r w:rsidR="0091692D">
        <w:rPr>
          <w:color w:val="000000"/>
          <w:lang w:val="en-ZA"/>
        </w:rPr>
        <w:t xml:space="preserve"> 1969</w:t>
      </w:r>
      <w:r w:rsidR="0091692D">
        <w:rPr>
          <w:rStyle w:val="FootnoteReference"/>
          <w:color w:val="000000"/>
          <w:lang w:val="en-ZA"/>
        </w:rPr>
        <w:footnoteReference w:id="6"/>
      </w:r>
      <w:r w:rsidR="0091692D">
        <w:rPr>
          <w:color w:val="000000"/>
          <w:lang w:val="en-ZA"/>
        </w:rPr>
        <w:t xml:space="preserve">; </w:t>
      </w:r>
      <w:r w:rsidR="0091692D" w:rsidRPr="0091692D">
        <w:rPr>
          <w:i/>
          <w:color w:val="000000"/>
          <w:lang w:val="en-ZA"/>
        </w:rPr>
        <w:t>Louw and Others v Richtersveld Agricultural Holdings Company (Pty) Ltd and Others</w:t>
      </w:r>
      <w:r w:rsidR="0091692D">
        <w:rPr>
          <w:rStyle w:val="FootnoteReference"/>
          <w:color w:val="000000"/>
          <w:lang w:val="en-ZA"/>
        </w:rPr>
        <w:footnoteReference w:id="7"/>
      </w:r>
      <w:r w:rsidR="0091692D" w:rsidRPr="0091692D">
        <w:rPr>
          <w:color w:val="000000"/>
          <w:lang w:val="en-ZA"/>
        </w:rPr>
        <w:t xml:space="preserve">; </w:t>
      </w:r>
      <w:r w:rsidR="0091692D" w:rsidRPr="0091692D">
        <w:rPr>
          <w:i/>
          <w:color w:val="000000"/>
          <w:lang w:val="en-ZA"/>
        </w:rPr>
        <w:t>Visser Sitrus (Pty) Ltd v Goede Hoop Sitrus (Pty) Ltd and Others</w:t>
      </w:r>
      <w:r w:rsidR="00C52464">
        <w:rPr>
          <w:rStyle w:val="FootnoteReference"/>
          <w:color w:val="000000"/>
          <w:lang w:val="en-ZA"/>
        </w:rPr>
        <w:footnoteReference w:id="8"/>
      </w:r>
      <w:r w:rsidR="00C52464">
        <w:rPr>
          <w:color w:val="000000"/>
          <w:lang w:val="en-ZA"/>
        </w:rPr>
        <w:t>)</w:t>
      </w:r>
      <w:r w:rsidR="0091692D" w:rsidRPr="0091692D">
        <w:rPr>
          <w:color w:val="000000"/>
          <w:lang w:val="en-ZA"/>
        </w:rPr>
        <w:t>.</w:t>
      </w:r>
    </w:p>
    <w:p w:rsidR="00223755" w:rsidRDefault="00F14E1B" w:rsidP="00F14E1B">
      <w:pPr>
        <w:spacing w:after="120" w:line="360" w:lineRule="auto"/>
        <w:jc w:val="both"/>
        <w:outlineLvl w:val="0"/>
        <w:rPr>
          <w:color w:val="000000"/>
          <w:lang w:val="en-ZA"/>
        </w:rPr>
      </w:pPr>
      <w:r>
        <w:rPr>
          <w:color w:val="000000"/>
          <w:lang w:val="en-ZA"/>
        </w:rPr>
        <w:t>[18].</w:t>
      </w:r>
      <w:r>
        <w:rPr>
          <w:color w:val="000000"/>
          <w:lang w:val="en-ZA"/>
        </w:rPr>
        <w:tab/>
      </w:r>
      <w:r w:rsidR="00223755">
        <w:rPr>
          <w:color w:val="000000"/>
          <w:lang w:val="en-ZA"/>
        </w:rPr>
        <w:t>The f</w:t>
      </w:r>
      <w:r w:rsidR="00073C85" w:rsidRPr="00073C85">
        <w:rPr>
          <w:color w:val="000000"/>
          <w:lang w:val="en-ZA"/>
        </w:rPr>
        <w:t xml:space="preserve">actual basis </w:t>
      </w:r>
      <w:r w:rsidR="00223755">
        <w:rPr>
          <w:color w:val="000000"/>
          <w:lang w:val="en-ZA"/>
        </w:rPr>
        <w:t xml:space="preserve">on which </w:t>
      </w:r>
      <w:r w:rsidR="00073C85" w:rsidRPr="00073C85">
        <w:rPr>
          <w:color w:val="000000"/>
          <w:lang w:val="en-ZA"/>
        </w:rPr>
        <w:t>Dodds</w:t>
      </w:r>
      <w:r w:rsidR="00223755">
        <w:rPr>
          <w:color w:val="000000"/>
          <w:lang w:val="en-ZA"/>
        </w:rPr>
        <w:t>, as director and shareholder of VSG, relies</w:t>
      </w:r>
      <w:r w:rsidR="00073C85" w:rsidRPr="00073C85">
        <w:rPr>
          <w:color w:val="000000"/>
          <w:lang w:val="en-ZA"/>
        </w:rPr>
        <w:t xml:space="preserve"> for an order in terms of s 163</w:t>
      </w:r>
      <w:r w:rsidR="00223755">
        <w:rPr>
          <w:color w:val="000000"/>
          <w:lang w:val="en-ZA"/>
        </w:rPr>
        <w:t xml:space="preserve"> is that, according to him, </w:t>
      </w:r>
      <w:r w:rsidR="00073C85" w:rsidRPr="00223755">
        <w:rPr>
          <w:color w:val="000000"/>
          <w:lang w:val="en-ZA"/>
        </w:rPr>
        <w:t xml:space="preserve">Glen has been prejudicial to </w:t>
      </w:r>
      <w:r w:rsidR="00223755">
        <w:rPr>
          <w:color w:val="000000"/>
          <w:lang w:val="en-ZA"/>
        </w:rPr>
        <w:t xml:space="preserve">VSG, </w:t>
      </w:r>
      <w:r w:rsidR="00073C85" w:rsidRPr="00223755">
        <w:rPr>
          <w:color w:val="000000"/>
          <w:lang w:val="en-ZA"/>
        </w:rPr>
        <w:t xml:space="preserve">has unfairly disregarded </w:t>
      </w:r>
      <w:r w:rsidR="00223755">
        <w:rPr>
          <w:color w:val="000000"/>
          <w:lang w:val="en-ZA"/>
        </w:rPr>
        <w:t xml:space="preserve">his (Dodds’) </w:t>
      </w:r>
      <w:r w:rsidR="00073C85" w:rsidRPr="00223755">
        <w:rPr>
          <w:color w:val="000000"/>
          <w:lang w:val="en-ZA"/>
        </w:rPr>
        <w:t xml:space="preserve">interest to and in </w:t>
      </w:r>
      <w:r w:rsidR="00223755">
        <w:rPr>
          <w:color w:val="000000"/>
          <w:lang w:val="en-ZA"/>
        </w:rPr>
        <w:t>the said company</w:t>
      </w:r>
      <w:r w:rsidR="00073C85" w:rsidRPr="00223755">
        <w:rPr>
          <w:color w:val="000000"/>
          <w:lang w:val="en-ZA"/>
        </w:rPr>
        <w:t xml:space="preserve"> and/or that Glen has been prejudicial to </w:t>
      </w:r>
      <w:r w:rsidR="00223755">
        <w:rPr>
          <w:color w:val="000000"/>
          <w:lang w:val="en-ZA"/>
        </w:rPr>
        <w:t>VSG.</w:t>
      </w:r>
    </w:p>
    <w:p w:rsidR="00801FFB" w:rsidRDefault="00F14E1B" w:rsidP="00F14E1B">
      <w:pPr>
        <w:spacing w:after="120" w:line="360" w:lineRule="auto"/>
        <w:jc w:val="both"/>
        <w:outlineLvl w:val="0"/>
        <w:rPr>
          <w:color w:val="000000"/>
          <w:lang w:val="en-ZA"/>
        </w:rPr>
      </w:pPr>
      <w:r>
        <w:rPr>
          <w:color w:val="000000"/>
          <w:lang w:val="en-ZA"/>
        </w:rPr>
        <w:t>[19].</w:t>
      </w:r>
      <w:r>
        <w:rPr>
          <w:color w:val="000000"/>
          <w:lang w:val="en-ZA"/>
        </w:rPr>
        <w:tab/>
      </w:r>
      <w:r w:rsidR="00223755">
        <w:rPr>
          <w:color w:val="000000"/>
          <w:lang w:val="en-ZA"/>
        </w:rPr>
        <w:t xml:space="preserve">In my view, there is no evidence proffered by Dodds in support of his case in that regard. Moreover, as was contended by Mr Malan SC, who appeared in the matter on behalf Glen with Mr </w:t>
      </w:r>
      <w:r w:rsidR="00801FFB">
        <w:rPr>
          <w:color w:val="000000"/>
          <w:lang w:val="en-ZA"/>
        </w:rPr>
        <w:t xml:space="preserve">Van Rhyn van Tonder, in his founding papers in the counter-application, </w:t>
      </w:r>
      <w:r w:rsidR="00073C85" w:rsidRPr="00801FFB">
        <w:rPr>
          <w:color w:val="000000"/>
          <w:lang w:val="en-ZA"/>
        </w:rPr>
        <w:t>Dodds failed to disclose a cause of action</w:t>
      </w:r>
      <w:r w:rsidR="00801FFB">
        <w:rPr>
          <w:color w:val="000000"/>
          <w:lang w:val="en-ZA"/>
        </w:rPr>
        <w:t xml:space="preserve">. I say so for the simple reason that </w:t>
      </w:r>
      <w:r w:rsidR="00073C85" w:rsidRPr="00801FFB">
        <w:rPr>
          <w:color w:val="000000"/>
          <w:lang w:val="en-ZA"/>
        </w:rPr>
        <w:t>in terms of VSCT’s Articles of Association</w:t>
      </w:r>
      <w:r w:rsidR="00801FFB">
        <w:rPr>
          <w:color w:val="000000"/>
          <w:lang w:val="en-ZA"/>
        </w:rPr>
        <w:t xml:space="preserve">, its other shareholder, Mr Thorpe, who, it will be recalled, owns thirty percent of the shareholding, has the right of first refusal in respect of the sale of shares in VSCT by VSG. Mr Thorpe has not been joined in these proceedings and for that reason alone, the counter-application by Dodds is fatally defective. He should at the very least have been given notice of the claim for a transfer of the shares to Dodds </w:t>
      </w:r>
      <w:r w:rsidR="001338C7">
        <w:rPr>
          <w:color w:val="000000"/>
          <w:lang w:val="en-ZA"/>
        </w:rPr>
        <w:t>from VSG, and he ought to have been given the option to make an equal to or better that the proposal as per the counter-claim.</w:t>
      </w:r>
    </w:p>
    <w:p w:rsidR="001338C7" w:rsidRDefault="00F14E1B" w:rsidP="00F14E1B">
      <w:pPr>
        <w:spacing w:after="120" w:line="360" w:lineRule="auto"/>
        <w:jc w:val="both"/>
        <w:outlineLvl w:val="0"/>
        <w:rPr>
          <w:color w:val="000000"/>
          <w:lang w:val="en-ZA"/>
        </w:rPr>
      </w:pPr>
      <w:r>
        <w:rPr>
          <w:color w:val="000000"/>
          <w:lang w:val="en-ZA"/>
        </w:rPr>
        <w:lastRenderedPageBreak/>
        <w:t>[20].</w:t>
      </w:r>
      <w:r>
        <w:rPr>
          <w:color w:val="000000"/>
          <w:lang w:val="en-ZA"/>
        </w:rPr>
        <w:tab/>
      </w:r>
      <w:r w:rsidR="001338C7">
        <w:rPr>
          <w:color w:val="000000"/>
          <w:lang w:val="en-ZA"/>
        </w:rPr>
        <w:t xml:space="preserve">In any event, howsoever one views this matter and Dodds’ averments in the counterclaim, it cannot possibly be said that Glen’s </w:t>
      </w:r>
      <w:r w:rsidR="00073C85" w:rsidRPr="001338C7">
        <w:rPr>
          <w:color w:val="000000"/>
          <w:lang w:val="en-ZA"/>
        </w:rPr>
        <w:t>conduct (complained of by Dodds) constitute conduct of a related person for purposes of grantin</w:t>
      </w:r>
      <w:r w:rsidR="001338C7">
        <w:rPr>
          <w:color w:val="000000"/>
          <w:lang w:val="en-ZA"/>
        </w:rPr>
        <w:t xml:space="preserve">g any relief in terms of s 163. </w:t>
      </w:r>
      <w:r w:rsidR="00073C85" w:rsidRPr="001338C7">
        <w:rPr>
          <w:color w:val="000000"/>
          <w:lang w:val="en-ZA"/>
        </w:rPr>
        <w:t>Simply put,</w:t>
      </w:r>
      <w:r w:rsidR="001338C7">
        <w:rPr>
          <w:color w:val="000000"/>
          <w:lang w:val="en-ZA"/>
        </w:rPr>
        <w:t xml:space="preserve"> and as submitted on behalf of Glen,</w:t>
      </w:r>
      <w:r w:rsidR="00073C85" w:rsidRPr="001338C7">
        <w:rPr>
          <w:color w:val="000000"/>
          <w:lang w:val="en-ZA"/>
        </w:rPr>
        <w:t xml:space="preserve"> there is no evidence before the court that Glen directly or indirectly controls either </w:t>
      </w:r>
      <w:r w:rsidR="001338C7">
        <w:rPr>
          <w:color w:val="000000"/>
          <w:lang w:val="en-ZA"/>
        </w:rPr>
        <w:t>VSG or VSCT. Because, if he did, there would have been no reason for him to bring the application for the liquidation of VSG, which, by all accounts, is presently rudderless. It cannot make any decisions, let alone important ones, as has been demonstrated by the attempt by Glen to convene a shareholders meeting, which attempts failed. How then, I ask rhetorically, can it be said that the Glen control either VSG or VSCT?</w:t>
      </w:r>
    </w:p>
    <w:p w:rsidR="0098724F" w:rsidRPr="0098724F" w:rsidRDefault="00F14E1B" w:rsidP="00F14E1B">
      <w:pPr>
        <w:spacing w:after="120" w:line="360" w:lineRule="auto"/>
        <w:jc w:val="both"/>
        <w:outlineLvl w:val="0"/>
        <w:rPr>
          <w:color w:val="000000"/>
          <w:lang w:val="en-ZA"/>
        </w:rPr>
      </w:pPr>
      <w:r w:rsidRPr="0098724F">
        <w:rPr>
          <w:color w:val="000000"/>
          <w:lang w:val="en-ZA"/>
        </w:rPr>
        <w:t>[21].</w:t>
      </w:r>
      <w:r w:rsidRPr="0098724F">
        <w:rPr>
          <w:color w:val="000000"/>
          <w:lang w:val="en-ZA"/>
        </w:rPr>
        <w:tab/>
      </w:r>
      <w:r w:rsidR="00073C85" w:rsidRPr="00073C85">
        <w:rPr>
          <w:color w:val="000000"/>
          <w:lang w:val="en-ZA"/>
        </w:rPr>
        <w:t xml:space="preserve">Whether a person has control will depend on the circumstances. The question is unavoidably a factual one. It can include the situation where the controlling person, a minority or equal shareholder, has </w:t>
      </w:r>
      <w:r w:rsidR="00073C85" w:rsidRPr="001338C7">
        <w:rPr>
          <w:i/>
          <w:color w:val="000000"/>
          <w:lang w:val="en-ZA"/>
        </w:rPr>
        <w:t>de facto</w:t>
      </w:r>
      <w:r w:rsidR="00073C85" w:rsidRPr="00073C85">
        <w:rPr>
          <w:color w:val="000000"/>
          <w:lang w:val="en-ZA"/>
        </w:rPr>
        <w:t xml:space="preserve"> control to materially influence the policy of the company, akin to a person who has </w:t>
      </w:r>
      <w:r w:rsidR="00073C85" w:rsidRPr="001338C7">
        <w:rPr>
          <w:i/>
          <w:color w:val="000000"/>
          <w:lang w:val="en-ZA"/>
        </w:rPr>
        <w:t>de jure</w:t>
      </w:r>
      <w:r w:rsidR="00073C85" w:rsidRPr="00073C85">
        <w:rPr>
          <w:color w:val="000000"/>
          <w:lang w:val="en-ZA"/>
        </w:rPr>
        <w:t xml:space="preserve"> majority control. Thus, it is possible for a person to control a juristic person despite not having </w:t>
      </w:r>
      <w:r w:rsidR="00073C85" w:rsidRPr="001338C7">
        <w:rPr>
          <w:i/>
          <w:color w:val="000000"/>
          <w:lang w:val="en-ZA"/>
        </w:rPr>
        <w:t>de jure</w:t>
      </w:r>
      <w:r w:rsidR="00073C85" w:rsidRPr="00073C85">
        <w:rPr>
          <w:color w:val="000000"/>
          <w:lang w:val="en-ZA"/>
        </w:rPr>
        <w:t xml:space="preserve"> control or the majority of con</w:t>
      </w:r>
      <w:r w:rsidR="0098724F">
        <w:rPr>
          <w:color w:val="000000"/>
          <w:lang w:val="en-ZA"/>
        </w:rPr>
        <w:t xml:space="preserve">trolling votes in the company. </w:t>
      </w:r>
      <w:r w:rsidR="001338C7">
        <w:rPr>
          <w:color w:val="000000"/>
          <w:lang w:val="en-ZA"/>
        </w:rPr>
        <w:t>In that regard, see</w:t>
      </w:r>
      <w:r w:rsidR="0098724F">
        <w:rPr>
          <w:color w:val="000000"/>
          <w:lang w:val="en-ZA"/>
        </w:rPr>
        <w:t xml:space="preserve"> </w:t>
      </w:r>
      <w:r w:rsidR="0098724F" w:rsidRPr="0098724F">
        <w:rPr>
          <w:i/>
          <w:color w:val="000000"/>
          <w:lang w:val="en-ZA"/>
        </w:rPr>
        <w:t>De Klerk v Ferreira and Others</w:t>
      </w:r>
      <w:r w:rsidR="001338C7">
        <w:rPr>
          <w:rStyle w:val="FootnoteReference"/>
          <w:color w:val="000000"/>
          <w:lang w:val="en-ZA"/>
        </w:rPr>
        <w:footnoteReference w:id="9"/>
      </w:r>
      <w:r w:rsidR="0098724F" w:rsidRPr="0098724F">
        <w:rPr>
          <w:color w:val="000000"/>
          <w:lang w:val="en-ZA"/>
        </w:rPr>
        <w:t>.</w:t>
      </w:r>
    </w:p>
    <w:p w:rsidR="000A040D" w:rsidRDefault="00F14E1B" w:rsidP="00F14E1B">
      <w:pPr>
        <w:spacing w:after="120" w:line="360" w:lineRule="auto"/>
        <w:jc w:val="both"/>
        <w:outlineLvl w:val="0"/>
        <w:rPr>
          <w:color w:val="000000"/>
          <w:lang w:val="en-ZA"/>
        </w:rPr>
      </w:pPr>
      <w:r>
        <w:rPr>
          <w:color w:val="000000"/>
          <w:lang w:val="en-ZA"/>
        </w:rPr>
        <w:t>[22].</w:t>
      </w:r>
      <w:r>
        <w:rPr>
          <w:color w:val="000000"/>
          <w:lang w:val="en-ZA"/>
        </w:rPr>
        <w:tab/>
      </w:r>
      <w:r w:rsidR="006458A2">
        <w:rPr>
          <w:color w:val="000000"/>
          <w:lang w:val="en-ZA"/>
        </w:rPr>
        <w:t xml:space="preserve">That is clearly not the case </w:t>
      </w:r>
      <w:r w:rsidR="006458A2" w:rsidRPr="006458A2">
        <w:rPr>
          <w:i/>
          <w:color w:val="000000"/>
          <w:lang w:val="en-ZA"/>
        </w:rPr>
        <w:t>in casu</w:t>
      </w:r>
      <w:r w:rsidR="006458A2">
        <w:rPr>
          <w:color w:val="000000"/>
          <w:lang w:val="en-ZA"/>
        </w:rPr>
        <w:t xml:space="preserve">. </w:t>
      </w:r>
      <w:r w:rsidR="00073C85" w:rsidRPr="00073C85">
        <w:rPr>
          <w:color w:val="000000"/>
          <w:lang w:val="en-ZA"/>
        </w:rPr>
        <w:t>Glen is not a re</w:t>
      </w:r>
      <w:r w:rsidR="006458A2">
        <w:rPr>
          <w:color w:val="000000"/>
          <w:lang w:val="en-ZA"/>
        </w:rPr>
        <w:t>lated person in terms of s</w:t>
      </w:r>
      <w:r w:rsidR="00073C85" w:rsidRPr="00073C85">
        <w:rPr>
          <w:color w:val="000000"/>
          <w:lang w:val="en-ZA"/>
        </w:rPr>
        <w:t xml:space="preserve"> 2 of the 2008 Companies Act</w:t>
      </w:r>
      <w:r w:rsidR="006458A2">
        <w:rPr>
          <w:color w:val="000000"/>
          <w:lang w:val="en-ZA"/>
        </w:rPr>
        <w:t xml:space="preserve">. This then means that </w:t>
      </w:r>
      <w:r w:rsidR="00073C85" w:rsidRPr="00073C85">
        <w:rPr>
          <w:color w:val="000000"/>
          <w:lang w:val="en-ZA"/>
        </w:rPr>
        <w:t>Dodds</w:t>
      </w:r>
      <w:r w:rsidR="006458A2">
        <w:rPr>
          <w:color w:val="000000"/>
          <w:lang w:val="en-ZA"/>
        </w:rPr>
        <w:t xml:space="preserve"> is not entitled to </w:t>
      </w:r>
      <w:r w:rsidR="00073C85" w:rsidRPr="00073C85">
        <w:rPr>
          <w:color w:val="000000"/>
          <w:lang w:val="en-ZA"/>
        </w:rPr>
        <w:t>the rel</w:t>
      </w:r>
      <w:r w:rsidR="006458A2">
        <w:rPr>
          <w:color w:val="000000"/>
          <w:lang w:val="en-ZA"/>
        </w:rPr>
        <w:t>ief he seeks in terms of s</w:t>
      </w:r>
      <w:r w:rsidR="00073C85" w:rsidRPr="00073C85">
        <w:rPr>
          <w:color w:val="000000"/>
          <w:lang w:val="en-ZA"/>
        </w:rPr>
        <w:t xml:space="preserve"> 163 of the </w:t>
      </w:r>
      <w:r w:rsidR="006458A2">
        <w:rPr>
          <w:color w:val="000000"/>
          <w:lang w:val="en-ZA"/>
        </w:rPr>
        <w:t xml:space="preserve">2008 </w:t>
      </w:r>
      <w:r w:rsidR="00073C85" w:rsidRPr="00073C85">
        <w:rPr>
          <w:color w:val="000000"/>
          <w:lang w:val="en-ZA"/>
        </w:rPr>
        <w:t>Companies Act.</w:t>
      </w:r>
      <w:r w:rsidR="006458A2">
        <w:rPr>
          <w:color w:val="000000"/>
          <w:lang w:val="en-ZA"/>
        </w:rPr>
        <w:t xml:space="preserve"> What is more is that </w:t>
      </w:r>
      <w:r w:rsidR="00073C85" w:rsidRPr="006458A2">
        <w:rPr>
          <w:color w:val="000000"/>
          <w:lang w:val="en-ZA"/>
        </w:rPr>
        <w:t xml:space="preserve">Glen’s alleged unlawful behaviour and/or conduct </w:t>
      </w:r>
      <w:r w:rsidR="006458A2">
        <w:rPr>
          <w:color w:val="000000"/>
          <w:lang w:val="en-ZA"/>
        </w:rPr>
        <w:t xml:space="preserve">(of which </w:t>
      </w:r>
      <w:r w:rsidR="00073C85" w:rsidRPr="006458A2">
        <w:rPr>
          <w:color w:val="000000"/>
          <w:lang w:val="en-ZA"/>
        </w:rPr>
        <w:t xml:space="preserve">Dodds </w:t>
      </w:r>
      <w:r w:rsidR="006458A2">
        <w:rPr>
          <w:color w:val="000000"/>
          <w:lang w:val="en-ZA"/>
        </w:rPr>
        <w:t xml:space="preserve">complains in his counter-application) </w:t>
      </w:r>
      <w:r w:rsidR="00073C85" w:rsidRPr="006458A2">
        <w:rPr>
          <w:color w:val="000000"/>
          <w:lang w:val="en-ZA"/>
        </w:rPr>
        <w:t>does not trans</w:t>
      </w:r>
      <w:r w:rsidR="0098724F" w:rsidRPr="006458A2">
        <w:rPr>
          <w:color w:val="000000"/>
          <w:lang w:val="en-ZA"/>
        </w:rPr>
        <w:t xml:space="preserve">cend to </w:t>
      </w:r>
      <w:r w:rsidR="006458A2">
        <w:rPr>
          <w:color w:val="000000"/>
          <w:lang w:val="en-ZA"/>
        </w:rPr>
        <w:t>VSCT. It bears repeating that it is VSG, and not Glen, which</w:t>
      </w:r>
      <w:r w:rsidR="00073C85" w:rsidRPr="006458A2">
        <w:rPr>
          <w:color w:val="000000"/>
          <w:lang w:val="en-ZA"/>
        </w:rPr>
        <w:t xml:space="preserve"> is </w:t>
      </w:r>
      <w:r w:rsidR="006458A2">
        <w:rPr>
          <w:color w:val="000000"/>
          <w:lang w:val="en-ZA"/>
        </w:rPr>
        <w:t>the</w:t>
      </w:r>
      <w:r w:rsidR="00073C85" w:rsidRPr="006458A2">
        <w:rPr>
          <w:color w:val="000000"/>
          <w:lang w:val="en-ZA"/>
        </w:rPr>
        <w:t xml:space="preserve"> </w:t>
      </w:r>
      <w:r w:rsidR="006458A2">
        <w:rPr>
          <w:color w:val="000000"/>
          <w:lang w:val="en-ZA"/>
        </w:rPr>
        <w:t>seventy percent s</w:t>
      </w:r>
      <w:r w:rsidR="00073C85" w:rsidRPr="006458A2">
        <w:rPr>
          <w:color w:val="000000"/>
          <w:lang w:val="en-ZA"/>
        </w:rPr>
        <w:t>hareho</w:t>
      </w:r>
      <w:r w:rsidR="0098724F" w:rsidRPr="006458A2">
        <w:rPr>
          <w:color w:val="000000"/>
          <w:lang w:val="en-ZA"/>
        </w:rPr>
        <w:t xml:space="preserve">lder of </w:t>
      </w:r>
      <w:r w:rsidR="006458A2">
        <w:rPr>
          <w:color w:val="000000"/>
          <w:lang w:val="en-ZA"/>
        </w:rPr>
        <w:t>VSCT. It (VSG) is therefore a ‘related party’</w:t>
      </w:r>
      <w:r w:rsidR="00073C85" w:rsidRPr="006458A2">
        <w:rPr>
          <w:color w:val="000000"/>
          <w:lang w:val="en-ZA"/>
        </w:rPr>
        <w:t xml:space="preserve"> to </w:t>
      </w:r>
      <w:r w:rsidR="006458A2">
        <w:rPr>
          <w:color w:val="000000"/>
          <w:lang w:val="en-ZA"/>
        </w:rPr>
        <w:t xml:space="preserve">VSCT for </w:t>
      </w:r>
      <w:r w:rsidR="00073C85" w:rsidRPr="006458A2">
        <w:rPr>
          <w:color w:val="000000"/>
          <w:lang w:val="en-ZA"/>
        </w:rPr>
        <w:t>purposes of section 163</w:t>
      </w:r>
      <w:r w:rsidR="006458A2">
        <w:rPr>
          <w:color w:val="000000"/>
          <w:lang w:val="en-ZA"/>
        </w:rPr>
        <w:t>.</w:t>
      </w:r>
      <w:r w:rsidR="00073C85" w:rsidRPr="006458A2">
        <w:rPr>
          <w:color w:val="000000"/>
          <w:lang w:val="en-ZA"/>
        </w:rPr>
        <w:t>, read with section 2, of the Companies Act.</w:t>
      </w:r>
      <w:r w:rsidR="006458A2">
        <w:rPr>
          <w:color w:val="000000"/>
          <w:lang w:val="en-ZA"/>
        </w:rPr>
        <w:t xml:space="preserve"> </w:t>
      </w:r>
      <w:r w:rsidR="00073C85" w:rsidRPr="006458A2">
        <w:rPr>
          <w:color w:val="000000"/>
          <w:lang w:val="en-ZA"/>
        </w:rPr>
        <w:t xml:space="preserve">In other words, </w:t>
      </w:r>
      <w:r w:rsidR="006458A2">
        <w:rPr>
          <w:color w:val="000000"/>
          <w:lang w:val="en-ZA"/>
        </w:rPr>
        <w:t xml:space="preserve">VSG </w:t>
      </w:r>
      <w:r w:rsidR="00073C85" w:rsidRPr="006458A2">
        <w:rPr>
          <w:color w:val="000000"/>
          <w:lang w:val="en-ZA"/>
        </w:rPr>
        <w:t>exercise</w:t>
      </w:r>
      <w:r w:rsidR="006458A2">
        <w:rPr>
          <w:color w:val="000000"/>
          <w:lang w:val="en-ZA"/>
        </w:rPr>
        <w:t>s</w:t>
      </w:r>
      <w:r w:rsidR="00073C85" w:rsidRPr="006458A2">
        <w:rPr>
          <w:color w:val="000000"/>
          <w:lang w:val="en-ZA"/>
        </w:rPr>
        <w:t xml:space="preserve"> direct or indirect control over </w:t>
      </w:r>
      <w:r w:rsidR="006458A2">
        <w:rPr>
          <w:color w:val="000000"/>
          <w:lang w:val="en-ZA"/>
        </w:rPr>
        <w:t>VSCT</w:t>
      </w:r>
      <w:r w:rsidR="00073C85" w:rsidRPr="006458A2">
        <w:rPr>
          <w:color w:val="000000"/>
          <w:lang w:val="en-ZA"/>
        </w:rPr>
        <w:t xml:space="preserve">. </w:t>
      </w:r>
      <w:r w:rsidR="000A040D">
        <w:rPr>
          <w:color w:val="000000"/>
          <w:lang w:val="en-ZA"/>
        </w:rPr>
        <w:t xml:space="preserve">I reiterate that the fact that VSG has historically been unable to effectively exercise this control </w:t>
      </w:r>
      <w:r w:rsidR="00073C85" w:rsidRPr="000A040D">
        <w:rPr>
          <w:color w:val="000000"/>
          <w:lang w:val="en-ZA"/>
        </w:rPr>
        <w:t xml:space="preserve">is the proximate cause as to why </w:t>
      </w:r>
      <w:r w:rsidR="000A040D">
        <w:rPr>
          <w:color w:val="000000"/>
          <w:lang w:val="en-ZA"/>
        </w:rPr>
        <w:t xml:space="preserve">it </w:t>
      </w:r>
      <w:r w:rsidR="00073C85" w:rsidRPr="000A040D">
        <w:rPr>
          <w:color w:val="000000"/>
          <w:lang w:val="en-ZA"/>
        </w:rPr>
        <w:t>falls to be wound-up</w:t>
      </w:r>
      <w:r w:rsidR="000A040D">
        <w:rPr>
          <w:color w:val="000000"/>
          <w:lang w:val="en-ZA"/>
        </w:rPr>
        <w:t xml:space="preserve">, which application is </w:t>
      </w:r>
      <w:r w:rsidR="00073C85" w:rsidRPr="000A040D">
        <w:rPr>
          <w:color w:val="000000"/>
          <w:lang w:val="en-ZA"/>
        </w:rPr>
        <w:t>premised on the existence</w:t>
      </w:r>
      <w:r w:rsidR="000A040D">
        <w:rPr>
          <w:color w:val="000000"/>
          <w:lang w:val="en-ZA"/>
        </w:rPr>
        <w:t xml:space="preserve">, as found </w:t>
      </w:r>
      <w:r w:rsidR="000A040D" w:rsidRPr="000A040D">
        <w:rPr>
          <w:i/>
          <w:color w:val="000000"/>
          <w:lang w:val="en-ZA"/>
        </w:rPr>
        <w:t>supra</w:t>
      </w:r>
      <w:r w:rsidR="000A040D">
        <w:rPr>
          <w:color w:val="000000"/>
          <w:lang w:val="en-ZA"/>
        </w:rPr>
        <w:t>,</w:t>
      </w:r>
      <w:r w:rsidR="00073C85" w:rsidRPr="000A040D">
        <w:rPr>
          <w:color w:val="000000"/>
          <w:lang w:val="en-ZA"/>
        </w:rPr>
        <w:t xml:space="preserve"> of both the formal and substantive deadlock</w:t>
      </w:r>
      <w:r w:rsidR="000A040D">
        <w:rPr>
          <w:color w:val="000000"/>
          <w:lang w:val="en-ZA"/>
        </w:rPr>
        <w:t>.</w:t>
      </w:r>
    </w:p>
    <w:p w:rsidR="00073C85" w:rsidRDefault="00F14E1B" w:rsidP="00F14E1B">
      <w:pPr>
        <w:spacing w:after="120" w:line="360" w:lineRule="auto"/>
        <w:jc w:val="both"/>
        <w:outlineLvl w:val="0"/>
        <w:rPr>
          <w:color w:val="000000"/>
          <w:lang w:val="en-ZA"/>
        </w:rPr>
      </w:pPr>
      <w:r>
        <w:rPr>
          <w:color w:val="000000"/>
          <w:lang w:val="en-ZA"/>
        </w:rPr>
        <w:lastRenderedPageBreak/>
        <w:t>[23].</w:t>
      </w:r>
      <w:r>
        <w:rPr>
          <w:color w:val="000000"/>
          <w:lang w:val="en-ZA"/>
        </w:rPr>
        <w:tab/>
      </w:r>
      <w:r w:rsidR="000A040D">
        <w:rPr>
          <w:color w:val="000000"/>
          <w:lang w:val="en-ZA"/>
        </w:rPr>
        <w:t xml:space="preserve">In sum, the point is simply that </w:t>
      </w:r>
      <w:r w:rsidR="00073C85" w:rsidRPr="00073C85">
        <w:rPr>
          <w:color w:val="000000"/>
          <w:lang w:val="en-ZA"/>
        </w:rPr>
        <w:t xml:space="preserve">a consideration of </w:t>
      </w:r>
      <w:r w:rsidR="000A040D">
        <w:rPr>
          <w:color w:val="000000"/>
          <w:lang w:val="en-ZA"/>
        </w:rPr>
        <w:t>s</w:t>
      </w:r>
      <w:r w:rsidR="00073C85" w:rsidRPr="00073C85">
        <w:rPr>
          <w:color w:val="000000"/>
          <w:lang w:val="en-ZA"/>
        </w:rPr>
        <w:t xml:space="preserve"> 163(1) of the 2008 Companies Act – for</w:t>
      </w:r>
      <w:r w:rsidR="000A040D">
        <w:rPr>
          <w:color w:val="000000"/>
          <w:lang w:val="en-ZA"/>
        </w:rPr>
        <w:t xml:space="preserve"> </w:t>
      </w:r>
      <w:r w:rsidR="00073C85" w:rsidRPr="00073C85">
        <w:rPr>
          <w:color w:val="000000"/>
          <w:lang w:val="en-ZA"/>
        </w:rPr>
        <w:t>purposes of the counter-application and the exercise of the Court’s discretionary sa</w:t>
      </w:r>
      <w:r w:rsidR="000A040D">
        <w:rPr>
          <w:color w:val="000000"/>
          <w:lang w:val="en-ZA"/>
        </w:rPr>
        <w:t>nctions as stipulated in s</w:t>
      </w:r>
      <w:r w:rsidR="00073C85" w:rsidRPr="00073C85">
        <w:rPr>
          <w:color w:val="000000"/>
          <w:lang w:val="en-ZA"/>
        </w:rPr>
        <w:t xml:space="preserve"> 163(2) – requires oppressive, prejudicial or unfair pract</w:t>
      </w:r>
      <w:r w:rsidR="000A040D">
        <w:rPr>
          <w:color w:val="000000"/>
          <w:lang w:val="en-ZA"/>
        </w:rPr>
        <w:t xml:space="preserve">ice or conduct to occur within VSG </w:t>
      </w:r>
      <w:r w:rsidR="00073C85" w:rsidRPr="00073C85">
        <w:rPr>
          <w:color w:val="000000"/>
          <w:lang w:val="en-ZA"/>
        </w:rPr>
        <w:t>or ‘the related party’</w:t>
      </w:r>
      <w:r w:rsidR="000A040D">
        <w:rPr>
          <w:color w:val="000000"/>
          <w:lang w:val="en-ZA"/>
        </w:rPr>
        <w:t xml:space="preserve">, being VSCT. In that regard, Glen submitted that Dodds’ complaints of </w:t>
      </w:r>
      <w:r w:rsidR="004225CF" w:rsidRPr="000A040D">
        <w:rPr>
          <w:color w:val="000000"/>
          <w:lang w:val="en-ZA"/>
        </w:rPr>
        <w:t>unlawful conduct</w:t>
      </w:r>
      <w:r w:rsidR="000A040D">
        <w:rPr>
          <w:color w:val="000000"/>
          <w:lang w:val="en-ZA"/>
        </w:rPr>
        <w:t xml:space="preserve"> and</w:t>
      </w:r>
      <w:r w:rsidR="00073C85" w:rsidRPr="000A040D">
        <w:rPr>
          <w:color w:val="000000"/>
          <w:lang w:val="en-ZA"/>
        </w:rPr>
        <w:t xml:space="preserve"> </w:t>
      </w:r>
      <w:r w:rsidR="000A040D">
        <w:rPr>
          <w:color w:val="000000"/>
          <w:lang w:val="en-ZA"/>
        </w:rPr>
        <w:t xml:space="preserve">offensive </w:t>
      </w:r>
      <w:r w:rsidR="00073C85" w:rsidRPr="000A040D">
        <w:rPr>
          <w:color w:val="000000"/>
          <w:lang w:val="en-ZA"/>
        </w:rPr>
        <w:t xml:space="preserve">behaviour allegedly suffered by </w:t>
      </w:r>
      <w:r w:rsidR="000A040D">
        <w:rPr>
          <w:color w:val="000000"/>
          <w:lang w:val="en-ZA"/>
        </w:rPr>
        <w:t xml:space="preserve">VSG or VSCT were factually at the hands of other entities, such as </w:t>
      </w:r>
      <w:r w:rsidR="00073C85" w:rsidRPr="000A040D">
        <w:rPr>
          <w:color w:val="000000"/>
          <w:lang w:val="en-ZA"/>
        </w:rPr>
        <w:t>Vital Engineering (Pty) Ltd</w:t>
      </w:r>
      <w:r w:rsidR="00491C4A">
        <w:rPr>
          <w:color w:val="000000"/>
          <w:lang w:val="en-ZA"/>
        </w:rPr>
        <w:t>, B</w:t>
      </w:r>
      <w:r w:rsidR="00073C85" w:rsidRPr="000A040D">
        <w:rPr>
          <w:color w:val="000000"/>
          <w:lang w:val="en-ZA"/>
        </w:rPr>
        <w:t>road Market Trading 242 (Pty) Ltd</w:t>
      </w:r>
      <w:r w:rsidR="00491C4A">
        <w:rPr>
          <w:color w:val="000000"/>
          <w:lang w:val="en-ZA"/>
        </w:rPr>
        <w:t>, Amagratings (Pty) Ltd</w:t>
      </w:r>
      <w:r w:rsidR="00073C85" w:rsidRPr="000A040D">
        <w:rPr>
          <w:color w:val="000000"/>
          <w:lang w:val="en-ZA"/>
        </w:rPr>
        <w:t xml:space="preserve"> and Veam International (Pty)</w:t>
      </w:r>
      <w:r w:rsidR="00491C4A">
        <w:rPr>
          <w:color w:val="000000"/>
          <w:lang w:val="en-ZA"/>
        </w:rPr>
        <w:t xml:space="preserve"> – not by </w:t>
      </w:r>
      <w:r w:rsidR="00073C85" w:rsidRPr="000A040D">
        <w:rPr>
          <w:color w:val="000000"/>
          <w:lang w:val="en-ZA"/>
        </w:rPr>
        <w:t>Glen.</w:t>
      </w:r>
      <w:r w:rsidR="00491C4A">
        <w:rPr>
          <w:color w:val="000000"/>
          <w:lang w:val="en-ZA"/>
        </w:rPr>
        <w:t xml:space="preserve"> I am in agreement with these submissions.</w:t>
      </w:r>
    </w:p>
    <w:p w:rsidR="005B7B3D" w:rsidRDefault="00F14E1B" w:rsidP="00F14E1B">
      <w:pPr>
        <w:spacing w:after="120" w:line="360" w:lineRule="auto"/>
        <w:jc w:val="both"/>
        <w:outlineLvl w:val="0"/>
        <w:rPr>
          <w:color w:val="000000"/>
          <w:lang w:val="en-ZA"/>
        </w:rPr>
      </w:pPr>
      <w:r>
        <w:rPr>
          <w:color w:val="000000"/>
          <w:lang w:val="en-ZA"/>
        </w:rPr>
        <w:t>[24].</w:t>
      </w:r>
      <w:r>
        <w:rPr>
          <w:color w:val="000000"/>
          <w:lang w:val="en-ZA"/>
        </w:rPr>
        <w:tab/>
      </w:r>
      <w:r w:rsidR="00491C4A">
        <w:rPr>
          <w:color w:val="000000"/>
          <w:lang w:val="en-ZA"/>
        </w:rPr>
        <w:t xml:space="preserve">That, in my view, spells the end of the counter-application. </w:t>
      </w:r>
      <w:r w:rsidR="00073C85" w:rsidRPr="00491C4A">
        <w:rPr>
          <w:color w:val="000000"/>
          <w:lang w:val="en-ZA"/>
        </w:rPr>
        <w:t>None of</w:t>
      </w:r>
      <w:r w:rsidR="00491C4A">
        <w:rPr>
          <w:color w:val="000000"/>
          <w:lang w:val="en-ZA"/>
        </w:rPr>
        <w:t xml:space="preserve"> these juristic entities are a ‘related party’</w:t>
      </w:r>
      <w:r w:rsidR="00073C85" w:rsidRPr="00491C4A">
        <w:rPr>
          <w:color w:val="000000"/>
          <w:lang w:val="en-ZA"/>
        </w:rPr>
        <w:t xml:space="preserve"> to </w:t>
      </w:r>
      <w:r w:rsidR="00491C4A">
        <w:rPr>
          <w:color w:val="000000"/>
          <w:lang w:val="en-ZA"/>
        </w:rPr>
        <w:t xml:space="preserve">VSG or </w:t>
      </w:r>
      <w:r w:rsidR="00073C85" w:rsidRPr="00491C4A">
        <w:rPr>
          <w:color w:val="000000"/>
          <w:lang w:val="en-ZA"/>
        </w:rPr>
        <w:t xml:space="preserve">VSCT </w:t>
      </w:r>
      <w:r w:rsidR="00491C4A">
        <w:rPr>
          <w:color w:val="000000"/>
          <w:lang w:val="en-ZA"/>
        </w:rPr>
        <w:t>as envisaged in s</w:t>
      </w:r>
      <w:r w:rsidR="00073C85" w:rsidRPr="00491C4A">
        <w:rPr>
          <w:color w:val="000000"/>
          <w:lang w:val="en-ZA"/>
        </w:rPr>
        <w:t xml:space="preserve"> 2 of the 2008 Companies Act.</w:t>
      </w:r>
      <w:r w:rsidR="00491C4A">
        <w:rPr>
          <w:color w:val="000000"/>
          <w:lang w:val="en-ZA"/>
        </w:rPr>
        <w:t xml:space="preserve"> (</w:t>
      </w:r>
      <w:r w:rsidR="004225CF" w:rsidRPr="00491C4A">
        <w:rPr>
          <w:i/>
          <w:color w:val="000000"/>
          <w:lang w:val="en-ZA"/>
        </w:rPr>
        <w:t>Kudumane Investment Holdings Ltd v Northern Cape Manganese Co (Pty) Ltd and Others</w:t>
      </w:r>
      <w:r w:rsidR="00491C4A">
        <w:rPr>
          <w:rStyle w:val="FootnoteReference"/>
          <w:color w:val="000000"/>
          <w:lang w:val="en-ZA"/>
        </w:rPr>
        <w:footnoteReference w:id="10"/>
      </w:r>
      <w:r w:rsidR="004225CF" w:rsidRPr="00491C4A">
        <w:rPr>
          <w:color w:val="000000"/>
          <w:lang w:val="en-ZA"/>
        </w:rPr>
        <w:t xml:space="preserve">; </w:t>
      </w:r>
      <w:r w:rsidR="004225CF" w:rsidRPr="00491C4A">
        <w:rPr>
          <w:i/>
          <w:color w:val="000000"/>
          <w:lang w:val="en-ZA"/>
        </w:rPr>
        <w:t>Peel and Others v Hamon J&amp;C Engineering (Pty) Ltd and Others</w:t>
      </w:r>
      <w:r w:rsidR="00491C4A">
        <w:rPr>
          <w:rStyle w:val="FootnoteReference"/>
          <w:color w:val="000000"/>
          <w:lang w:val="en-ZA"/>
        </w:rPr>
        <w:footnoteReference w:id="11"/>
      </w:r>
      <w:r w:rsidR="004225CF" w:rsidRPr="00491C4A">
        <w:rPr>
          <w:color w:val="000000"/>
          <w:lang w:val="en-ZA"/>
        </w:rPr>
        <w:t xml:space="preserve">; </w:t>
      </w:r>
      <w:r w:rsidR="004225CF" w:rsidRPr="00491C4A">
        <w:rPr>
          <w:i/>
          <w:color w:val="000000"/>
          <w:lang w:val="en-ZA"/>
        </w:rPr>
        <w:t>Visser Sitrus (Pty) Ltd v Goede Hoop Sitrus (Pty) Ltd and Others</w:t>
      </w:r>
      <w:r w:rsidR="00491C4A">
        <w:rPr>
          <w:rStyle w:val="FootnoteReference"/>
          <w:color w:val="000000"/>
          <w:lang w:val="en-ZA"/>
        </w:rPr>
        <w:footnoteReference w:id="12"/>
      </w:r>
      <w:r w:rsidR="00491C4A">
        <w:rPr>
          <w:color w:val="000000"/>
          <w:lang w:val="en-ZA"/>
        </w:rPr>
        <w:t xml:space="preserve">). And the fact that </w:t>
      </w:r>
      <w:r w:rsidR="00073C85" w:rsidRPr="00491C4A">
        <w:rPr>
          <w:color w:val="000000"/>
          <w:lang w:val="en-ZA"/>
        </w:rPr>
        <w:t>Glen is a di</w:t>
      </w:r>
      <w:r w:rsidR="00491C4A">
        <w:rPr>
          <w:color w:val="000000"/>
          <w:lang w:val="en-ZA"/>
        </w:rPr>
        <w:t>rector or shareholder in these ‘unrelated’</w:t>
      </w:r>
      <w:r w:rsidR="00073C85" w:rsidRPr="00491C4A">
        <w:rPr>
          <w:color w:val="000000"/>
          <w:lang w:val="en-ZA"/>
        </w:rPr>
        <w:t xml:space="preserve"> </w:t>
      </w:r>
      <w:r w:rsidR="00491C4A">
        <w:rPr>
          <w:color w:val="000000"/>
          <w:lang w:val="en-ZA"/>
        </w:rPr>
        <w:t>companies</w:t>
      </w:r>
      <w:r w:rsidR="00073C85" w:rsidRPr="00491C4A">
        <w:rPr>
          <w:color w:val="000000"/>
          <w:lang w:val="en-ZA"/>
        </w:rPr>
        <w:t xml:space="preserve"> does </w:t>
      </w:r>
      <w:r w:rsidR="00491C4A">
        <w:rPr>
          <w:color w:val="000000"/>
          <w:lang w:val="en-ZA"/>
        </w:rPr>
        <w:t xml:space="preserve">now mean that </w:t>
      </w:r>
      <w:r w:rsidR="00073C85" w:rsidRPr="00491C4A">
        <w:rPr>
          <w:color w:val="000000"/>
          <w:lang w:val="en-ZA"/>
        </w:rPr>
        <w:t xml:space="preserve">Glen’s involvement </w:t>
      </w:r>
      <w:r w:rsidR="00491C4A">
        <w:rPr>
          <w:color w:val="000000"/>
          <w:lang w:val="en-ZA"/>
        </w:rPr>
        <w:t xml:space="preserve">in those entities </w:t>
      </w:r>
      <w:r w:rsidR="005B7B3D">
        <w:rPr>
          <w:color w:val="000000"/>
          <w:lang w:val="en-ZA"/>
        </w:rPr>
        <w:t>makes him ‘related party’</w:t>
      </w:r>
      <w:r w:rsidR="00073C85" w:rsidRPr="00491C4A">
        <w:rPr>
          <w:color w:val="000000"/>
          <w:lang w:val="en-ZA"/>
        </w:rPr>
        <w:t xml:space="preserve"> for purposes of </w:t>
      </w:r>
      <w:r w:rsidR="005B7B3D">
        <w:rPr>
          <w:color w:val="000000"/>
          <w:lang w:val="en-ZA"/>
        </w:rPr>
        <w:t>s</w:t>
      </w:r>
      <w:r w:rsidR="00073C85" w:rsidRPr="00491C4A">
        <w:rPr>
          <w:color w:val="000000"/>
          <w:lang w:val="en-ZA"/>
        </w:rPr>
        <w:t xml:space="preserve"> 163</w:t>
      </w:r>
      <w:r w:rsidR="005B7B3D">
        <w:rPr>
          <w:color w:val="000000"/>
          <w:lang w:val="en-ZA"/>
        </w:rPr>
        <w:t>.</w:t>
      </w:r>
    </w:p>
    <w:p w:rsidR="005B7B3D" w:rsidRDefault="00F14E1B" w:rsidP="00F14E1B">
      <w:pPr>
        <w:spacing w:after="120" w:line="360" w:lineRule="auto"/>
        <w:jc w:val="both"/>
        <w:outlineLvl w:val="0"/>
        <w:rPr>
          <w:color w:val="000000"/>
          <w:lang w:val="en-ZA"/>
        </w:rPr>
      </w:pPr>
      <w:r>
        <w:rPr>
          <w:color w:val="000000"/>
          <w:lang w:val="en-ZA"/>
        </w:rPr>
        <w:t>[25].</w:t>
      </w:r>
      <w:r>
        <w:rPr>
          <w:color w:val="000000"/>
          <w:lang w:val="en-ZA"/>
        </w:rPr>
        <w:tab/>
      </w:r>
      <w:r w:rsidR="005B7B3D">
        <w:rPr>
          <w:color w:val="000000"/>
          <w:lang w:val="en-ZA"/>
        </w:rPr>
        <w:t>For all of these reasons</w:t>
      </w:r>
      <w:r w:rsidR="00073C85" w:rsidRPr="00073C85">
        <w:rPr>
          <w:color w:val="000000"/>
          <w:lang w:val="en-ZA"/>
        </w:rPr>
        <w:t xml:space="preserve">, the counter-application </w:t>
      </w:r>
      <w:r w:rsidR="005B7B3D">
        <w:rPr>
          <w:color w:val="000000"/>
          <w:lang w:val="en-ZA"/>
        </w:rPr>
        <w:t>falls to be dismissed.</w:t>
      </w:r>
    </w:p>
    <w:p w:rsidR="00073C85" w:rsidRDefault="00F14E1B" w:rsidP="00F14E1B">
      <w:pPr>
        <w:spacing w:after="240" w:line="360" w:lineRule="auto"/>
        <w:jc w:val="both"/>
        <w:outlineLvl w:val="0"/>
        <w:rPr>
          <w:color w:val="000000"/>
          <w:lang w:val="en-ZA"/>
        </w:rPr>
      </w:pPr>
      <w:r>
        <w:rPr>
          <w:color w:val="000000"/>
          <w:lang w:val="en-ZA"/>
        </w:rPr>
        <w:t>[26].</w:t>
      </w:r>
      <w:r>
        <w:rPr>
          <w:color w:val="000000"/>
          <w:lang w:val="en-ZA"/>
        </w:rPr>
        <w:tab/>
      </w:r>
      <w:r w:rsidR="005B7B3D">
        <w:rPr>
          <w:color w:val="000000"/>
          <w:lang w:val="en-ZA"/>
        </w:rPr>
        <w:t>Consequently, and because the counter-application should fail, the application to intervene by VSCT, should suffer the same fate.</w:t>
      </w:r>
    </w:p>
    <w:p w:rsidR="00365D9F" w:rsidRPr="00365D9F" w:rsidRDefault="00365D9F" w:rsidP="00365D9F">
      <w:pPr>
        <w:spacing w:after="120" w:line="360" w:lineRule="auto"/>
        <w:jc w:val="both"/>
        <w:outlineLvl w:val="0"/>
        <w:rPr>
          <w:color w:val="000000"/>
          <w:lang w:val="en-ZA"/>
        </w:rPr>
      </w:pPr>
      <w:r w:rsidRPr="00365D9F">
        <w:rPr>
          <w:b/>
          <w:color w:val="000000"/>
        </w:rPr>
        <w:t>Conclusion and Costs of Appeal</w:t>
      </w:r>
    </w:p>
    <w:p w:rsidR="00365D9F" w:rsidRPr="00365D9F" w:rsidRDefault="00F14E1B" w:rsidP="00F14E1B">
      <w:pPr>
        <w:spacing w:after="120" w:line="360" w:lineRule="auto"/>
        <w:jc w:val="both"/>
        <w:outlineLvl w:val="0"/>
        <w:rPr>
          <w:color w:val="000000"/>
          <w:lang w:val="en-ZA"/>
        </w:rPr>
      </w:pPr>
      <w:r w:rsidRPr="00365D9F">
        <w:rPr>
          <w:color w:val="000000"/>
          <w:lang w:val="en-ZA"/>
        </w:rPr>
        <w:t>[27].</w:t>
      </w:r>
      <w:r w:rsidRPr="00365D9F">
        <w:rPr>
          <w:color w:val="000000"/>
          <w:lang w:val="en-ZA"/>
        </w:rPr>
        <w:tab/>
      </w:r>
      <w:r w:rsidR="00365D9F">
        <w:t>For all of these reasons the liquidation application must succeed and the counter-application should be dismissed.</w:t>
      </w:r>
    </w:p>
    <w:p w:rsidR="00365D9F" w:rsidRPr="00365D9F" w:rsidRDefault="00F14E1B" w:rsidP="00F14E1B">
      <w:pPr>
        <w:spacing w:after="120" w:line="360" w:lineRule="auto"/>
        <w:jc w:val="both"/>
        <w:outlineLvl w:val="0"/>
        <w:rPr>
          <w:color w:val="000000"/>
          <w:lang w:val="en-ZA"/>
        </w:rPr>
      </w:pPr>
      <w:r w:rsidRPr="00365D9F">
        <w:rPr>
          <w:color w:val="000000"/>
          <w:lang w:val="en-ZA"/>
        </w:rPr>
        <w:t>[28].</w:t>
      </w:r>
      <w:r w:rsidRPr="00365D9F">
        <w:rPr>
          <w:color w:val="000000"/>
          <w:lang w:val="en-ZA"/>
        </w:rPr>
        <w:tab/>
      </w:r>
      <w:r w:rsidR="00365D9F">
        <w:t>As for costs, t</w:t>
      </w:r>
      <w:r w:rsidR="00365D9F" w:rsidRPr="00365D9F">
        <w:rPr>
          <w:rFonts w:cs="Arial"/>
        </w:rPr>
        <w:t xml:space="preserve">he general rule is that the successful party should be given his costs, and this rule should not be departed from except where there are good grounds for doing so. See: </w:t>
      </w:r>
      <w:r w:rsidR="00365D9F" w:rsidRPr="00365D9F">
        <w:rPr>
          <w:rFonts w:cs="Arial"/>
          <w:i/>
        </w:rPr>
        <w:t>Myers v Abramson</w:t>
      </w:r>
      <w:r w:rsidR="00365D9F">
        <w:rPr>
          <w:rStyle w:val="FootnoteReference"/>
          <w:i/>
        </w:rPr>
        <w:footnoteReference w:id="13"/>
      </w:r>
      <w:r w:rsidR="00365D9F" w:rsidRPr="00365D9F">
        <w:rPr>
          <w:rFonts w:cs="Arial"/>
        </w:rPr>
        <w:t>.</w:t>
      </w:r>
      <w:r w:rsidR="00365D9F" w:rsidRPr="00365D9F">
        <w:rPr>
          <w:color w:val="000000"/>
        </w:rPr>
        <w:t xml:space="preserve"> There are</w:t>
      </w:r>
      <w:r w:rsidR="00365D9F">
        <w:rPr>
          <w:color w:val="000000"/>
        </w:rPr>
        <w:t>, in my judgment,</w:t>
      </w:r>
      <w:r w:rsidR="00365D9F" w:rsidRPr="00365D9F">
        <w:rPr>
          <w:color w:val="000000"/>
        </w:rPr>
        <w:t xml:space="preserve"> no </w:t>
      </w:r>
      <w:r w:rsidR="00365D9F" w:rsidRPr="00365D9F">
        <w:rPr>
          <w:color w:val="000000"/>
        </w:rPr>
        <w:lastRenderedPageBreak/>
        <w:t xml:space="preserve">grounds in this case to depart from the ordinary rule that costs should follow the result. </w:t>
      </w:r>
      <w:r w:rsidR="00365D9F" w:rsidRPr="00365D9F">
        <w:rPr>
          <w:rFonts w:cs="Arial"/>
        </w:rPr>
        <w:t xml:space="preserve">I therefore intend granting costs in favour of the </w:t>
      </w:r>
      <w:r w:rsidR="00365D9F">
        <w:rPr>
          <w:rFonts w:cs="Arial"/>
        </w:rPr>
        <w:t>applicant</w:t>
      </w:r>
      <w:r w:rsidR="00365D9F" w:rsidRPr="00365D9F">
        <w:rPr>
          <w:rFonts w:cs="Arial"/>
        </w:rPr>
        <w:t xml:space="preserve"> against the </w:t>
      </w:r>
      <w:r w:rsidR="00365D9F">
        <w:rPr>
          <w:rFonts w:cs="Arial"/>
        </w:rPr>
        <w:t>second</w:t>
      </w:r>
      <w:r w:rsidR="00365D9F" w:rsidRPr="00365D9F">
        <w:rPr>
          <w:rFonts w:cs="Arial"/>
        </w:rPr>
        <w:t xml:space="preserve"> respondent. The complexity of the matter does, in my view, warrant costs to include the costs of two counsel, with one being Senior Counsel (where so employed). </w:t>
      </w:r>
    </w:p>
    <w:p w:rsidR="00365D9F" w:rsidRPr="00073C85" w:rsidRDefault="00F14E1B" w:rsidP="00F14E1B">
      <w:pPr>
        <w:spacing w:after="240" w:line="360" w:lineRule="auto"/>
        <w:jc w:val="both"/>
        <w:outlineLvl w:val="0"/>
        <w:rPr>
          <w:color w:val="000000"/>
          <w:lang w:val="en-ZA"/>
        </w:rPr>
      </w:pPr>
      <w:r w:rsidRPr="00073C85">
        <w:rPr>
          <w:color w:val="000000"/>
          <w:lang w:val="en-ZA"/>
        </w:rPr>
        <w:t>[29].</w:t>
      </w:r>
      <w:r w:rsidRPr="00073C85">
        <w:rPr>
          <w:color w:val="000000"/>
          <w:lang w:val="en-ZA"/>
        </w:rPr>
        <w:tab/>
      </w:r>
      <w:r w:rsidR="00365D9F">
        <w:rPr>
          <w:color w:val="000000"/>
          <w:lang w:val="en-ZA"/>
        </w:rPr>
        <w:t>I am however not persuaded that the costs should be on a punitive scale.</w:t>
      </w:r>
    </w:p>
    <w:p w:rsidR="00311374" w:rsidRPr="00311374" w:rsidRDefault="00311374" w:rsidP="00311374">
      <w:pPr>
        <w:suppressAutoHyphens w:val="0"/>
        <w:autoSpaceDE w:val="0"/>
        <w:autoSpaceDN w:val="0"/>
        <w:adjustRightInd w:val="0"/>
        <w:spacing w:after="120" w:line="360" w:lineRule="auto"/>
        <w:jc w:val="both"/>
        <w:rPr>
          <w:rFonts w:cs="Arial"/>
          <w:b/>
          <w:lang w:eastAsia="en-ZA"/>
        </w:rPr>
      </w:pPr>
      <w:r w:rsidRPr="00311374">
        <w:rPr>
          <w:b/>
        </w:rPr>
        <w:t>Order</w:t>
      </w:r>
    </w:p>
    <w:p w:rsidR="007D27AD" w:rsidRPr="00311374" w:rsidRDefault="00F14E1B" w:rsidP="00F14E1B">
      <w:pPr>
        <w:suppressAutoHyphens w:val="0"/>
        <w:autoSpaceDE w:val="0"/>
        <w:autoSpaceDN w:val="0"/>
        <w:adjustRightInd w:val="0"/>
        <w:spacing w:after="120" w:line="360" w:lineRule="auto"/>
        <w:jc w:val="both"/>
        <w:rPr>
          <w:rFonts w:cs="Arial"/>
          <w:lang w:eastAsia="en-ZA"/>
        </w:rPr>
      </w:pPr>
      <w:r w:rsidRPr="00311374">
        <w:rPr>
          <w:rFonts w:cs="Arial"/>
          <w:lang w:eastAsia="en-ZA"/>
        </w:rPr>
        <w:t>[30].</w:t>
      </w:r>
      <w:r w:rsidRPr="00311374">
        <w:rPr>
          <w:rFonts w:cs="Arial"/>
          <w:lang w:eastAsia="en-ZA"/>
        </w:rPr>
        <w:tab/>
      </w:r>
      <w:r w:rsidR="007D27AD" w:rsidRPr="007D27AD">
        <w:t xml:space="preserve">Accordingly, I make the following </w:t>
      </w:r>
      <w:r w:rsidR="00FC765E" w:rsidRPr="007D27AD">
        <w:t>order: -</w:t>
      </w:r>
    </w:p>
    <w:p w:rsidR="00F27390" w:rsidRDefault="00F14E1B" w:rsidP="00F14E1B">
      <w:pPr>
        <w:pStyle w:val="LegalBodyText1"/>
        <w:spacing w:after="120" w:line="360" w:lineRule="auto"/>
        <w:ind w:hanging="567"/>
      </w:pPr>
      <w:r>
        <w:t>(1)</w:t>
      </w:r>
      <w:r>
        <w:tab/>
      </w:r>
      <w:r w:rsidR="00F27390">
        <w:t>The first respondent, Vital Sales Group (Pty) Limited, with registration number 1999/005997/07, be and is hereby finally wound-up and placed under final liquidation in the hands of the Master of the High Court, Johannesburg.</w:t>
      </w:r>
    </w:p>
    <w:p w:rsidR="00F27390" w:rsidRDefault="00F14E1B" w:rsidP="00F14E1B">
      <w:pPr>
        <w:pStyle w:val="LegalBodyText1"/>
        <w:spacing w:after="120" w:line="360" w:lineRule="auto"/>
        <w:ind w:hanging="567"/>
      </w:pPr>
      <w:r>
        <w:t>(2)</w:t>
      </w:r>
      <w:r>
        <w:tab/>
      </w:r>
      <w:r w:rsidR="00F27390">
        <w:t>The second respondent shall pay the applicant’s costs of the liquidation application, such costs to include the costs of two Counsel, one being Senior Counsel (where so employed).</w:t>
      </w:r>
    </w:p>
    <w:p w:rsidR="00F27390" w:rsidRDefault="00F14E1B" w:rsidP="00F14E1B">
      <w:pPr>
        <w:pStyle w:val="LegalBodyText1"/>
        <w:spacing w:after="120" w:line="360" w:lineRule="auto"/>
        <w:ind w:hanging="567"/>
      </w:pPr>
      <w:r>
        <w:t>(3)</w:t>
      </w:r>
      <w:r>
        <w:tab/>
      </w:r>
      <w:r w:rsidR="00F27390">
        <w:t xml:space="preserve">The second respondent’s counter-application is dismissed with costs, such costs to </w:t>
      </w:r>
      <w:r w:rsidR="00F27390" w:rsidRPr="00663DE2">
        <w:t>include the costs of two Counsel, one being Senior Counsel</w:t>
      </w:r>
      <w:r w:rsidR="00F27390">
        <w:t xml:space="preserve"> (where so employed)</w:t>
      </w:r>
      <w:r w:rsidR="00F27390" w:rsidRPr="00663DE2">
        <w:t>.</w:t>
      </w:r>
    </w:p>
    <w:p w:rsidR="00F27390" w:rsidRPr="00663DE2" w:rsidRDefault="00F14E1B" w:rsidP="00F14E1B">
      <w:pPr>
        <w:pStyle w:val="LegalBodyText1"/>
        <w:spacing w:after="120" w:line="360" w:lineRule="auto"/>
        <w:ind w:hanging="567"/>
      </w:pPr>
      <w:r w:rsidRPr="00663DE2">
        <w:t>(4)</w:t>
      </w:r>
      <w:r w:rsidRPr="00663DE2">
        <w:tab/>
      </w:r>
      <w:r w:rsidR="00F27390" w:rsidRPr="00663DE2">
        <w:t>The</w:t>
      </w:r>
      <w:r w:rsidR="00F27390">
        <w:t xml:space="preserve"> application to intervene in these proceedings by the</w:t>
      </w:r>
      <w:r w:rsidR="00F27390" w:rsidRPr="00663DE2">
        <w:t xml:space="preserve"> </w:t>
      </w:r>
      <w:r w:rsidR="00F27390">
        <w:t>Intended Intervening Party (Vital Signs Cape Town (Pty) Limited)</w:t>
      </w:r>
      <w:r w:rsidR="00F27390" w:rsidRPr="00663DE2">
        <w:t xml:space="preserve"> is dismissed with costs, such costs </w:t>
      </w:r>
      <w:r w:rsidR="00365D9F">
        <w:t xml:space="preserve">to be paid by the second respondent and are </w:t>
      </w:r>
      <w:r w:rsidR="00F27390" w:rsidRPr="00663DE2">
        <w:t>to include the costs of two Counsel, one being Senior Counsel (where so employed).</w:t>
      </w:r>
    </w:p>
    <w:p w:rsidR="00ED20EA" w:rsidRPr="00ED20EA" w:rsidRDefault="00ED20EA" w:rsidP="00ED20EA">
      <w:pPr>
        <w:keepNext/>
        <w:keepLines/>
        <w:tabs>
          <w:tab w:val="left" w:pos="0"/>
        </w:tabs>
        <w:spacing w:before="1200" w:line="360" w:lineRule="auto"/>
        <w:jc w:val="right"/>
      </w:pPr>
      <w:r w:rsidRPr="00ED20EA">
        <w:t>________________________________</w:t>
      </w:r>
    </w:p>
    <w:p w:rsidR="00ED20EA" w:rsidRDefault="00ED20EA" w:rsidP="00ED20EA">
      <w:pPr>
        <w:keepNext/>
        <w:jc w:val="right"/>
        <w:rPr>
          <w:rFonts w:cs="Arial"/>
          <w:b/>
        </w:rPr>
      </w:pPr>
      <w:r>
        <w:rPr>
          <w:rFonts w:cs="Arial"/>
          <w:b/>
        </w:rPr>
        <w:t>L R ADAMS</w:t>
      </w:r>
    </w:p>
    <w:p w:rsidR="00ED20EA" w:rsidRDefault="00ED20EA" w:rsidP="00ED20EA">
      <w:pPr>
        <w:keepNext/>
        <w:jc w:val="right"/>
        <w:rPr>
          <w:rFonts w:cs="Arial"/>
          <w:i/>
        </w:rPr>
      </w:pPr>
      <w:r>
        <w:rPr>
          <w:rFonts w:cs="Arial"/>
          <w:i/>
        </w:rPr>
        <w:t>Judge of the High Court of South Africa</w:t>
      </w:r>
    </w:p>
    <w:p w:rsidR="00ED20EA" w:rsidRDefault="00ED20EA" w:rsidP="00ED20EA">
      <w:pPr>
        <w:jc w:val="right"/>
        <w:rPr>
          <w:rFonts w:cs="Arial"/>
          <w:i/>
        </w:rPr>
      </w:pPr>
      <w:r>
        <w:rPr>
          <w:rFonts w:cs="Arial"/>
          <w:i/>
        </w:rPr>
        <w:t>Gauteng Division, Johannesburg</w:t>
      </w:r>
    </w:p>
    <w:p w:rsidR="007D27AD" w:rsidRPr="007D27AD" w:rsidRDefault="007D27AD" w:rsidP="00ED20EA">
      <w:pPr>
        <w:pBdr>
          <w:bottom w:val="single" w:sz="6" w:space="1" w:color="auto"/>
        </w:pBdr>
        <w:spacing w:after="240"/>
        <w:jc w:val="right"/>
        <w:rPr>
          <w:rFonts w:cs="Arial"/>
          <w:i/>
        </w:rPr>
      </w:pPr>
    </w:p>
    <w:tbl>
      <w:tblPr>
        <w:tblW w:w="8614" w:type="dxa"/>
        <w:tblLook w:val="04A0" w:firstRow="1" w:lastRow="0" w:firstColumn="1" w:lastColumn="0" w:noHBand="0" w:noVBand="1"/>
      </w:tblPr>
      <w:tblGrid>
        <w:gridCol w:w="4786"/>
        <w:gridCol w:w="3828"/>
      </w:tblGrid>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A6546E">
            <w:pPr>
              <w:keepNext/>
              <w:spacing w:before="120" w:after="120"/>
              <w:rPr>
                <w:sz w:val="22"/>
                <w:szCs w:val="22"/>
                <w:lang w:eastAsia="en-US"/>
              </w:rPr>
            </w:pPr>
            <w:r w:rsidRPr="007D27AD">
              <w:lastRenderedPageBreak/>
              <w:t>HEARD ON: </w:t>
            </w:r>
          </w:p>
        </w:tc>
        <w:tc>
          <w:tcPr>
            <w:tcW w:w="0" w:type="auto"/>
            <w:tcMar>
              <w:top w:w="32" w:type="dxa"/>
              <w:left w:w="108" w:type="dxa"/>
              <w:bottom w:w="32" w:type="dxa"/>
              <w:right w:w="108" w:type="dxa"/>
            </w:tcMar>
            <w:vAlign w:val="center"/>
            <w:hideMark/>
          </w:tcPr>
          <w:p w:rsidR="007D27AD" w:rsidRPr="007D27AD" w:rsidRDefault="003B47B7" w:rsidP="003B47B7">
            <w:pPr>
              <w:keepNext/>
              <w:spacing w:before="120" w:after="120"/>
              <w:ind w:left="-108"/>
              <w:jc w:val="both"/>
              <w:rPr>
                <w:sz w:val="22"/>
                <w:szCs w:val="22"/>
                <w:lang w:eastAsia="en-US"/>
              </w:rPr>
            </w:pPr>
            <w:r>
              <w:t>27</w:t>
            </w:r>
            <w:r w:rsidRPr="003B47B7">
              <w:rPr>
                <w:vertAlign w:val="superscript"/>
              </w:rPr>
              <w:t>th</w:t>
            </w:r>
            <w:r>
              <w:t xml:space="preserve"> February 2023</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A6546E">
            <w:pPr>
              <w:keepNext/>
              <w:spacing w:before="120" w:after="120"/>
              <w:rPr>
                <w:sz w:val="22"/>
                <w:szCs w:val="22"/>
                <w:lang w:eastAsia="en-US"/>
              </w:rPr>
            </w:pPr>
            <w:r w:rsidRPr="007D27AD">
              <w:t>JUDGMENT DATE: </w:t>
            </w:r>
          </w:p>
        </w:tc>
        <w:tc>
          <w:tcPr>
            <w:tcW w:w="0" w:type="auto"/>
            <w:tcMar>
              <w:top w:w="32" w:type="dxa"/>
              <w:left w:w="108" w:type="dxa"/>
              <w:bottom w:w="32" w:type="dxa"/>
              <w:right w:w="108" w:type="dxa"/>
            </w:tcMar>
            <w:vAlign w:val="center"/>
            <w:hideMark/>
          </w:tcPr>
          <w:p w:rsidR="007D27AD" w:rsidRPr="007D27AD" w:rsidRDefault="001B6850" w:rsidP="001B6850">
            <w:pPr>
              <w:keepNext/>
              <w:spacing w:before="120" w:after="120"/>
              <w:ind w:left="-108"/>
              <w:jc w:val="both"/>
            </w:pPr>
            <w:r>
              <w:t>7</w:t>
            </w:r>
            <w:r w:rsidRPr="001B6850">
              <w:rPr>
                <w:vertAlign w:val="superscript"/>
              </w:rPr>
              <w:t>th</w:t>
            </w:r>
            <w:r>
              <w:t xml:space="preserve"> June</w:t>
            </w:r>
            <w:r w:rsidR="004F6C0A">
              <w:t xml:space="preserve"> </w:t>
            </w:r>
            <w:r w:rsidR="004F6C0A" w:rsidRPr="007D27AD">
              <w:t>20</w:t>
            </w:r>
            <w:r w:rsidR="003B47B7">
              <w:t>23</w:t>
            </w:r>
            <w:r w:rsidR="004F6C0A">
              <w:t xml:space="preserve"> – judgment handed down electronically</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A6546E">
            <w:pPr>
              <w:keepNext/>
              <w:spacing w:before="120" w:after="120"/>
              <w:rPr>
                <w:sz w:val="22"/>
                <w:szCs w:val="22"/>
                <w:lang w:eastAsia="en-US"/>
              </w:rPr>
            </w:pPr>
            <w:r w:rsidRPr="007D27AD">
              <w:t>FOR THE APPLICANT: </w:t>
            </w:r>
          </w:p>
        </w:tc>
        <w:tc>
          <w:tcPr>
            <w:tcW w:w="0" w:type="auto"/>
            <w:tcMar>
              <w:top w:w="32" w:type="dxa"/>
              <w:left w:w="108" w:type="dxa"/>
              <w:bottom w:w="32" w:type="dxa"/>
              <w:right w:w="108" w:type="dxa"/>
            </w:tcMar>
            <w:vAlign w:val="center"/>
            <w:hideMark/>
          </w:tcPr>
          <w:p w:rsidR="007D27AD" w:rsidRPr="007D27AD" w:rsidRDefault="00C16B0E" w:rsidP="00C16B0E">
            <w:pPr>
              <w:keepNext/>
              <w:spacing w:before="120" w:after="120"/>
              <w:ind w:left="-108"/>
              <w:rPr>
                <w:sz w:val="22"/>
                <w:szCs w:val="22"/>
                <w:lang w:eastAsia="en-US"/>
              </w:rPr>
            </w:pPr>
            <w:r>
              <w:t>Adv</w:t>
            </w:r>
            <w:r w:rsidR="009E3E41">
              <w:t xml:space="preserve"> </w:t>
            </w:r>
            <w:r>
              <w:t xml:space="preserve">L M Malan SC, together with Adv L Van Rhyn van Tonder </w:t>
            </w:r>
            <w:r w:rsidR="003B47B7">
              <w:t xml:space="preserve"> </w:t>
            </w:r>
            <w:r w:rsidR="00D14255">
              <w:t xml:space="preserve"> </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A6546E">
            <w:pPr>
              <w:keepNext/>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rsidR="007D27AD" w:rsidRPr="007D27AD" w:rsidRDefault="00C16B0E" w:rsidP="00C16B0E">
            <w:pPr>
              <w:keepNext/>
              <w:spacing w:before="120" w:after="120"/>
              <w:ind w:left="-108"/>
              <w:rPr>
                <w:sz w:val="22"/>
                <w:szCs w:val="22"/>
                <w:lang w:eastAsia="en-US"/>
              </w:rPr>
            </w:pPr>
            <w:r>
              <w:t>Cilliers Attorneys</w:t>
            </w:r>
            <w:r w:rsidR="00A6546E">
              <w:t xml:space="preserve">, </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C16B0E">
            <w:pPr>
              <w:keepNext/>
              <w:spacing w:before="120" w:after="120"/>
              <w:rPr>
                <w:sz w:val="22"/>
                <w:szCs w:val="22"/>
                <w:lang w:eastAsia="en-US"/>
              </w:rPr>
            </w:pPr>
            <w:r w:rsidRPr="007D27AD">
              <w:t xml:space="preserve">FOR THE </w:t>
            </w:r>
            <w:r w:rsidR="00C16B0E">
              <w:t>FIRST AND SECOND </w:t>
            </w:r>
            <w:r w:rsidRPr="007D27AD">
              <w:t>RESPONDENT</w:t>
            </w:r>
            <w:r w:rsidR="00C16B0E">
              <w:t>S</w:t>
            </w:r>
            <w:r w:rsidRPr="007D27AD">
              <w:t>: </w:t>
            </w:r>
          </w:p>
        </w:tc>
        <w:tc>
          <w:tcPr>
            <w:tcW w:w="0" w:type="auto"/>
            <w:tcMar>
              <w:top w:w="32" w:type="dxa"/>
              <w:left w:w="108" w:type="dxa"/>
              <w:bottom w:w="32" w:type="dxa"/>
              <w:right w:w="108" w:type="dxa"/>
            </w:tcMar>
            <w:vAlign w:val="center"/>
            <w:hideMark/>
          </w:tcPr>
          <w:p w:rsidR="007D27AD" w:rsidRPr="007D27AD" w:rsidRDefault="009E3E41" w:rsidP="00C16B0E">
            <w:pPr>
              <w:keepNext/>
              <w:spacing w:before="120" w:after="120"/>
              <w:ind w:left="-108"/>
            </w:pPr>
            <w:r>
              <w:t xml:space="preserve">Advocate </w:t>
            </w:r>
            <w:r w:rsidR="00C16B0E">
              <w:t>Andries Van Wyk</w:t>
            </w:r>
            <w:r w:rsidR="00A6546E">
              <w:t xml:space="preserve"> </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A6546E">
            <w:pPr>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rsidR="007D27AD" w:rsidRPr="007D27AD" w:rsidRDefault="00C16B0E" w:rsidP="003B47B7">
            <w:pPr>
              <w:spacing w:before="120" w:after="120"/>
              <w:ind w:left="-108"/>
              <w:rPr>
                <w:sz w:val="22"/>
                <w:szCs w:val="22"/>
                <w:lang w:eastAsia="en-US"/>
              </w:rPr>
            </w:pPr>
            <w:r>
              <w:t>Phosa Loots</w:t>
            </w:r>
            <w:r w:rsidR="00A6546E">
              <w:t xml:space="preserve"> Attorneys</w:t>
            </w:r>
            <w:r w:rsidR="003B47B7">
              <w:t xml:space="preserve"> Inc</w:t>
            </w:r>
            <w:r>
              <w:t>,</w:t>
            </w:r>
            <w:r w:rsidR="00385FAB">
              <w:t xml:space="preserve"> </w:t>
            </w:r>
            <w:r w:rsidR="007D27AD" w:rsidRPr="007D27AD">
              <w:t xml:space="preserve"> </w:t>
            </w:r>
          </w:p>
        </w:tc>
      </w:tr>
    </w:tbl>
    <w:p w:rsidR="002F15F5" w:rsidRPr="00D63801" w:rsidRDefault="002F15F5" w:rsidP="009E3E41">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639" w:rsidRDefault="00AA1639">
      <w:pPr>
        <w:spacing w:line="20" w:lineRule="exact"/>
      </w:pPr>
    </w:p>
  </w:endnote>
  <w:endnote w:type="continuationSeparator" w:id="0">
    <w:p w:rsidR="00AA1639" w:rsidRDefault="00AA1639">
      <w:r>
        <w:t xml:space="preserve"> </w:t>
      </w:r>
    </w:p>
  </w:endnote>
  <w:endnote w:type="continuationNotice" w:id="1">
    <w:p w:rsidR="00AA1639" w:rsidRDefault="00AA16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639" w:rsidRDefault="00AA1639">
      <w:r>
        <w:separator/>
      </w:r>
    </w:p>
  </w:footnote>
  <w:footnote w:type="continuationSeparator" w:id="0">
    <w:p w:rsidR="00AA1639" w:rsidRDefault="00AA1639">
      <w:r>
        <w:continuationSeparator/>
      </w:r>
    </w:p>
  </w:footnote>
  <w:footnote w:id="1">
    <w:p w:rsidR="0036163B" w:rsidRDefault="0036163B" w:rsidP="0036163B">
      <w:pPr>
        <w:pStyle w:val="FootnoteText"/>
      </w:pPr>
      <w:r>
        <w:rPr>
          <w:rStyle w:val="FootnoteReference"/>
        </w:rPr>
        <w:footnoteRef/>
      </w:r>
      <w:r>
        <w:t xml:space="preserve"> </w:t>
      </w:r>
      <w:r w:rsidR="002C1FC6">
        <w:t xml:space="preserve">The </w:t>
      </w:r>
      <w:r>
        <w:rPr>
          <w:color w:val="000000"/>
          <w:lang w:val="en-ZA"/>
        </w:rPr>
        <w:t xml:space="preserve">Companies </w:t>
      </w:r>
      <w:r w:rsidRPr="0036163B">
        <w:rPr>
          <w:color w:val="000000"/>
          <w:lang w:val="en-ZA"/>
        </w:rPr>
        <w:t>Act</w:t>
      </w:r>
      <w:r>
        <w:rPr>
          <w:color w:val="000000"/>
          <w:lang w:val="en-ZA"/>
        </w:rPr>
        <w:t xml:space="preserve">, Act </w:t>
      </w:r>
      <w:r w:rsidRPr="0036163B">
        <w:rPr>
          <w:color w:val="000000"/>
          <w:lang w:val="en-ZA"/>
        </w:rPr>
        <w:t>71 of 2008</w:t>
      </w:r>
      <w:r>
        <w:rPr>
          <w:color w:val="000000"/>
          <w:lang w:val="en-ZA"/>
        </w:rPr>
        <w:t xml:space="preserve">; </w:t>
      </w:r>
    </w:p>
  </w:footnote>
  <w:footnote w:id="2">
    <w:p w:rsidR="008E4273" w:rsidRDefault="008E4273">
      <w:pPr>
        <w:pStyle w:val="FootnoteText"/>
      </w:pPr>
      <w:r>
        <w:rPr>
          <w:rStyle w:val="FootnoteReference"/>
        </w:rPr>
        <w:footnoteRef/>
      </w:r>
      <w:r>
        <w:t xml:space="preserve"> The </w:t>
      </w:r>
      <w:r w:rsidRPr="008E4273">
        <w:rPr>
          <w:color w:val="000000"/>
          <w:lang w:val="en-ZA"/>
        </w:rPr>
        <w:t>Companies Act,</w:t>
      </w:r>
      <w:r>
        <w:rPr>
          <w:color w:val="000000"/>
          <w:lang w:val="en-ZA"/>
        </w:rPr>
        <w:t xml:space="preserve"> Act 61 of 1973;</w:t>
      </w:r>
    </w:p>
  </w:footnote>
  <w:footnote w:id="3">
    <w:p w:rsidR="0062325B" w:rsidRDefault="0062325B">
      <w:pPr>
        <w:pStyle w:val="FootnoteText"/>
      </w:pPr>
      <w:r>
        <w:rPr>
          <w:rStyle w:val="FootnoteReference"/>
        </w:rPr>
        <w:footnoteRef/>
      </w:r>
      <w:r>
        <w:t xml:space="preserve"> </w:t>
      </w:r>
      <w:r w:rsidRPr="0062325B">
        <w:rPr>
          <w:i/>
          <w:color w:val="000000"/>
          <w:lang w:val="en-ZA"/>
        </w:rPr>
        <w:t xml:space="preserve">Thunder Cats Investment 92 (Pty) Ltd and Another v Nkonjane Economy Prospecting and Investment (Pty) Ltd and Others </w:t>
      </w:r>
      <w:r w:rsidRPr="0062325B">
        <w:rPr>
          <w:color w:val="000000"/>
          <w:lang w:val="en-ZA"/>
        </w:rPr>
        <w:t>2014 (5) SA 1 (SCA)</w:t>
      </w:r>
      <w:r>
        <w:rPr>
          <w:color w:val="000000"/>
          <w:lang w:val="en-ZA"/>
        </w:rPr>
        <w:t xml:space="preserve">; </w:t>
      </w:r>
    </w:p>
  </w:footnote>
  <w:footnote w:id="4">
    <w:p w:rsidR="00171116" w:rsidRDefault="00171116">
      <w:pPr>
        <w:pStyle w:val="FootnoteText"/>
      </w:pPr>
      <w:r>
        <w:rPr>
          <w:rStyle w:val="FootnoteReference"/>
        </w:rPr>
        <w:footnoteRef/>
      </w:r>
      <w:r>
        <w:t xml:space="preserve"> </w:t>
      </w:r>
      <w:r w:rsidRPr="00171116">
        <w:rPr>
          <w:i/>
          <w:color w:val="000000"/>
          <w:lang w:val="en-ZA"/>
        </w:rPr>
        <w:t>Cilliers NO and Others v Duin &amp; See (Pty) Ltd</w:t>
      </w:r>
      <w:r w:rsidRPr="00171116">
        <w:rPr>
          <w:color w:val="000000"/>
          <w:lang w:val="en-ZA"/>
        </w:rPr>
        <w:t xml:space="preserve"> 2012 </w:t>
      </w:r>
      <w:r>
        <w:rPr>
          <w:color w:val="000000"/>
          <w:lang w:val="en-ZA"/>
        </w:rPr>
        <w:t>(</w:t>
      </w:r>
      <w:r w:rsidRPr="00171116">
        <w:rPr>
          <w:color w:val="000000"/>
          <w:lang w:val="en-ZA"/>
        </w:rPr>
        <w:t>4</w:t>
      </w:r>
      <w:r>
        <w:rPr>
          <w:color w:val="000000"/>
          <w:lang w:val="en-ZA"/>
        </w:rPr>
        <w:t>)</w:t>
      </w:r>
      <w:r w:rsidRPr="00171116">
        <w:rPr>
          <w:color w:val="000000"/>
          <w:lang w:val="en-ZA"/>
        </w:rPr>
        <w:t xml:space="preserve"> SA 203 (WCC)</w:t>
      </w:r>
      <w:r>
        <w:rPr>
          <w:color w:val="000000"/>
          <w:lang w:val="en-ZA"/>
        </w:rPr>
        <w:t xml:space="preserve">; </w:t>
      </w:r>
    </w:p>
  </w:footnote>
  <w:footnote w:id="5">
    <w:p w:rsidR="00171116" w:rsidRDefault="00171116">
      <w:pPr>
        <w:pStyle w:val="FootnoteText"/>
      </w:pPr>
      <w:r>
        <w:rPr>
          <w:rStyle w:val="FootnoteReference"/>
        </w:rPr>
        <w:footnoteRef/>
      </w:r>
      <w:r>
        <w:t xml:space="preserve"> </w:t>
      </w:r>
      <w:r w:rsidRPr="00171116">
        <w:rPr>
          <w:i/>
          <w:color w:val="000000"/>
          <w:lang w:val="en-ZA"/>
        </w:rPr>
        <w:t>Navigator Property Investments (Pty) Ltd v Silver Lakes Crossing Shopping Centre (Pty) Ltd and Others</w:t>
      </w:r>
      <w:r w:rsidRPr="00171116">
        <w:rPr>
          <w:color w:val="000000"/>
          <w:lang w:val="en-ZA"/>
        </w:rPr>
        <w:t xml:space="preserve"> [2014] JOL 32101 (WCC)</w:t>
      </w:r>
      <w:r>
        <w:rPr>
          <w:color w:val="000000"/>
          <w:lang w:val="en-ZA"/>
        </w:rPr>
        <w:t xml:space="preserve">; </w:t>
      </w:r>
    </w:p>
  </w:footnote>
  <w:footnote w:id="6">
    <w:p w:rsidR="0091692D" w:rsidRDefault="0091692D">
      <w:pPr>
        <w:pStyle w:val="FootnoteText"/>
      </w:pPr>
      <w:r>
        <w:rPr>
          <w:rStyle w:val="FootnoteReference"/>
        </w:rPr>
        <w:footnoteRef/>
      </w:r>
      <w:r>
        <w:t xml:space="preserve"> </w:t>
      </w:r>
      <w:r w:rsidRPr="0091692D">
        <w:rPr>
          <w:i/>
          <w:color w:val="000000"/>
          <w:lang w:val="en-ZA"/>
        </w:rPr>
        <w:t>Sammel v President Brand Gold Mining Co Ltd</w:t>
      </w:r>
      <w:r w:rsidRPr="0091692D">
        <w:rPr>
          <w:color w:val="000000"/>
          <w:lang w:val="en-ZA"/>
        </w:rPr>
        <w:t xml:space="preserve"> 1969 (3) SA 629 (AD) at 678 and 680-681</w:t>
      </w:r>
      <w:r>
        <w:rPr>
          <w:color w:val="000000"/>
          <w:lang w:val="en-ZA"/>
        </w:rPr>
        <w:t xml:space="preserve">; </w:t>
      </w:r>
    </w:p>
  </w:footnote>
  <w:footnote w:id="7">
    <w:p w:rsidR="0091692D" w:rsidRDefault="0091692D">
      <w:pPr>
        <w:pStyle w:val="FootnoteText"/>
      </w:pPr>
      <w:r>
        <w:rPr>
          <w:rStyle w:val="FootnoteReference"/>
        </w:rPr>
        <w:footnoteRef/>
      </w:r>
      <w:r>
        <w:t xml:space="preserve"> </w:t>
      </w:r>
      <w:r w:rsidRPr="0091692D">
        <w:rPr>
          <w:i/>
          <w:color w:val="000000"/>
          <w:lang w:val="en-ZA"/>
        </w:rPr>
        <w:t>Louw and Others v Richtersveld Agricultural Holdings Company (Pty) Ltd and Others</w:t>
      </w:r>
      <w:r w:rsidRPr="0091692D">
        <w:rPr>
          <w:color w:val="000000"/>
          <w:lang w:val="en-ZA"/>
        </w:rPr>
        <w:t xml:space="preserve"> [2010] JOL 26358 (NCK) par 36</w:t>
      </w:r>
      <w:r>
        <w:rPr>
          <w:color w:val="000000"/>
          <w:lang w:val="en-ZA"/>
        </w:rPr>
        <w:t xml:space="preserve">; </w:t>
      </w:r>
    </w:p>
  </w:footnote>
  <w:footnote w:id="8">
    <w:p w:rsidR="00C52464" w:rsidRDefault="00C52464">
      <w:pPr>
        <w:pStyle w:val="FootnoteText"/>
      </w:pPr>
      <w:r>
        <w:rPr>
          <w:rStyle w:val="FootnoteReference"/>
        </w:rPr>
        <w:footnoteRef/>
      </w:r>
      <w:r>
        <w:t xml:space="preserve"> </w:t>
      </w:r>
      <w:r w:rsidRPr="0091692D">
        <w:rPr>
          <w:i/>
          <w:color w:val="000000"/>
          <w:lang w:val="en-ZA"/>
        </w:rPr>
        <w:t>Visser Sitrus (Pty) Ltd v Goede Hoop Sitrus (Pty) Ltd and Others</w:t>
      </w:r>
      <w:r w:rsidRPr="0091692D">
        <w:rPr>
          <w:color w:val="000000"/>
          <w:lang w:val="en-ZA"/>
        </w:rPr>
        <w:t xml:space="preserve"> 2014 (5) SA 179 (WCC)</w:t>
      </w:r>
      <w:r>
        <w:rPr>
          <w:color w:val="000000"/>
          <w:lang w:val="en-ZA"/>
        </w:rPr>
        <w:t xml:space="preserve">; </w:t>
      </w:r>
    </w:p>
  </w:footnote>
  <w:footnote w:id="9">
    <w:p w:rsidR="001338C7" w:rsidRDefault="001338C7">
      <w:pPr>
        <w:pStyle w:val="FootnoteText"/>
      </w:pPr>
      <w:r>
        <w:rPr>
          <w:rStyle w:val="FootnoteReference"/>
        </w:rPr>
        <w:footnoteRef/>
      </w:r>
      <w:r>
        <w:t xml:space="preserve"> </w:t>
      </w:r>
      <w:r w:rsidRPr="0098724F">
        <w:rPr>
          <w:i/>
          <w:color w:val="000000"/>
          <w:lang w:val="en-ZA"/>
        </w:rPr>
        <w:t>De Klerk v Ferreira and Others</w:t>
      </w:r>
      <w:r w:rsidRPr="0098724F">
        <w:rPr>
          <w:color w:val="000000"/>
          <w:lang w:val="en-ZA"/>
        </w:rPr>
        <w:t xml:space="preserve"> 2017 (3) SA 502 (GP) para 80</w:t>
      </w:r>
      <w:r>
        <w:rPr>
          <w:color w:val="000000"/>
          <w:lang w:val="en-ZA"/>
        </w:rPr>
        <w:t xml:space="preserve">; </w:t>
      </w:r>
    </w:p>
  </w:footnote>
  <w:footnote w:id="10">
    <w:p w:rsidR="00491C4A" w:rsidRDefault="00491C4A">
      <w:pPr>
        <w:pStyle w:val="FootnoteText"/>
      </w:pPr>
      <w:r>
        <w:rPr>
          <w:rStyle w:val="FootnoteReference"/>
        </w:rPr>
        <w:footnoteRef/>
      </w:r>
      <w:r>
        <w:t xml:space="preserve"> </w:t>
      </w:r>
      <w:r w:rsidRPr="00491C4A">
        <w:rPr>
          <w:i/>
          <w:color w:val="000000"/>
          <w:lang w:val="en-ZA"/>
        </w:rPr>
        <w:t>Kudumane Investment Holdings Ltd v Northern Cape Manganese Co (Pty) Ltd and Others</w:t>
      </w:r>
      <w:r w:rsidRPr="00491C4A">
        <w:rPr>
          <w:color w:val="000000"/>
          <w:lang w:val="en-ZA"/>
        </w:rPr>
        <w:t xml:space="preserve"> [</w:t>
      </w:r>
      <w:r>
        <w:rPr>
          <w:color w:val="000000"/>
          <w:lang w:val="en-ZA"/>
        </w:rPr>
        <w:t>2012] 4 All SA 203 (GSJ) at par</w:t>
      </w:r>
      <w:r w:rsidRPr="00491C4A">
        <w:rPr>
          <w:color w:val="000000"/>
          <w:lang w:val="en-ZA"/>
        </w:rPr>
        <w:t xml:space="preserve"> 49 – 50</w:t>
      </w:r>
      <w:r>
        <w:rPr>
          <w:color w:val="000000"/>
          <w:lang w:val="en-ZA"/>
        </w:rPr>
        <w:t>;</w:t>
      </w:r>
    </w:p>
  </w:footnote>
  <w:footnote w:id="11">
    <w:p w:rsidR="00491C4A" w:rsidRDefault="00491C4A">
      <w:pPr>
        <w:pStyle w:val="FootnoteText"/>
      </w:pPr>
      <w:r>
        <w:rPr>
          <w:rStyle w:val="FootnoteReference"/>
        </w:rPr>
        <w:footnoteRef/>
      </w:r>
      <w:r>
        <w:t xml:space="preserve"> </w:t>
      </w:r>
      <w:r w:rsidRPr="00491C4A">
        <w:rPr>
          <w:i/>
          <w:color w:val="000000"/>
          <w:lang w:val="en-ZA"/>
        </w:rPr>
        <w:t>Peel and Others v Hamon J&amp;C Engineering (Pty) Ltd and Others</w:t>
      </w:r>
      <w:r w:rsidRPr="00491C4A">
        <w:rPr>
          <w:color w:val="000000"/>
          <w:lang w:val="en-ZA"/>
        </w:rPr>
        <w:t xml:space="preserve"> 2013 </w:t>
      </w:r>
      <w:r>
        <w:rPr>
          <w:color w:val="000000"/>
          <w:lang w:val="en-ZA"/>
        </w:rPr>
        <w:t>(</w:t>
      </w:r>
      <w:r w:rsidRPr="00491C4A">
        <w:rPr>
          <w:color w:val="000000"/>
          <w:lang w:val="en-ZA"/>
        </w:rPr>
        <w:t>2</w:t>
      </w:r>
      <w:r>
        <w:rPr>
          <w:color w:val="000000"/>
          <w:lang w:val="en-ZA"/>
        </w:rPr>
        <w:t>) SA 331 (GSJ) paras</w:t>
      </w:r>
      <w:r w:rsidRPr="00491C4A">
        <w:rPr>
          <w:color w:val="000000"/>
          <w:lang w:val="en-ZA"/>
        </w:rPr>
        <w:t xml:space="preserve"> 6 &amp; 56</w:t>
      </w:r>
      <w:r>
        <w:rPr>
          <w:color w:val="000000"/>
          <w:lang w:val="en-ZA"/>
        </w:rPr>
        <w:t xml:space="preserve">; </w:t>
      </w:r>
    </w:p>
  </w:footnote>
  <w:footnote w:id="12">
    <w:p w:rsidR="00491C4A" w:rsidRDefault="00491C4A">
      <w:pPr>
        <w:pStyle w:val="FootnoteText"/>
      </w:pPr>
      <w:r>
        <w:rPr>
          <w:rStyle w:val="FootnoteReference"/>
        </w:rPr>
        <w:footnoteRef/>
      </w:r>
      <w:r>
        <w:t xml:space="preserve"> </w:t>
      </w:r>
      <w:r w:rsidRPr="00491C4A">
        <w:rPr>
          <w:i/>
          <w:color w:val="000000"/>
          <w:lang w:val="en-ZA"/>
        </w:rPr>
        <w:t>Visser Sitrus (Pty) Ltd v Goede Hoop Sitrus (Pty) Ltd and Others</w:t>
      </w:r>
      <w:r w:rsidRPr="00491C4A">
        <w:rPr>
          <w:color w:val="000000"/>
          <w:lang w:val="en-ZA"/>
        </w:rPr>
        <w:t xml:space="preserve"> 2014 5 SA 179 (WCC)</w:t>
      </w:r>
      <w:r>
        <w:rPr>
          <w:color w:val="000000"/>
          <w:lang w:val="en-ZA"/>
        </w:rPr>
        <w:t xml:space="preserve">; </w:t>
      </w:r>
    </w:p>
  </w:footnote>
  <w:footnote w:id="13">
    <w:p w:rsidR="00365D9F" w:rsidRDefault="00365D9F" w:rsidP="00365D9F">
      <w:pPr>
        <w:pStyle w:val="FootnoteText"/>
        <w:rPr>
          <w:lang w:val="en-US"/>
        </w:rPr>
      </w:pPr>
      <w:r>
        <w:rPr>
          <w:rStyle w:val="FootnoteReference"/>
        </w:rPr>
        <w:footnoteRef/>
      </w:r>
      <w:r>
        <w:t xml:space="preserve"> </w:t>
      </w:r>
      <w:r>
        <w:rPr>
          <w:rFonts w:cs="Arial"/>
          <w:i/>
        </w:rPr>
        <w:t>Myers v Abramson</w:t>
      </w:r>
      <w:r>
        <w:rPr>
          <w:rFonts w:cs="Arial"/>
        </w:rPr>
        <w:t>,1951(3) SA 438 (C) at 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346" w:rsidRDefault="00236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084767"/>
      <w:docPartObj>
        <w:docPartGallery w:val="Page Numbers (Top of Page)"/>
        <w:docPartUnique/>
      </w:docPartObj>
    </w:sdtPr>
    <w:sdtEndPr>
      <w:rPr>
        <w:noProof/>
      </w:rPr>
    </w:sdtEndPr>
    <w:sdtContent>
      <w:p w:rsidR="00236346" w:rsidRPr="00B45F72" w:rsidRDefault="00236346" w:rsidP="00766386">
        <w:pPr>
          <w:pStyle w:val="Header"/>
          <w:jc w:val="right"/>
        </w:pPr>
        <w:r>
          <w:fldChar w:fldCharType="begin"/>
        </w:r>
        <w:r>
          <w:instrText xml:space="preserve"> PAGE   \* MERGEFORMAT </w:instrText>
        </w:r>
        <w:r>
          <w:fldChar w:fldCharType="separate"/>
        </w:r>
        <w:r w:rsidR="00F14E1B">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jc w:val="right"/>
    </w:pPr>
  </w:p>
  <w:p w:rsidR="00236346" w:rsidRDefault="00236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39FE4DFC"/>
    <w:lvl w:ilvl="0">
      <w:start w:val="1"/>
      <w:numFmt w:val="decimal"/>
      <w:lvlText w:val="[%1]"/>
      <w:lvlJc w:val="left"/>
      <w:pPr>
        <w:ind w:left="896" w:hanging="697"/>
      </w:pPr>
      <w:rPr>
        <w:rFonts w:cs="Times New Roman"/>
        <w:b w:val="0"/>
        <w:bCs w:val="0"/>
        <w:color w:val="000000" w:themeColor="text1"/>
        <w:spacing w:val="0"/>
        <w:w w:val="100"/>
      </w:rPr>
    </w:lvl>
    <w:lvl w:ilvl="1">
      <w:numFmt w:val="bullet"/>
      <w:lvlText w:val="•"/>
      <w:lvlJc w:val="left"/>
      <w:pPr>
        <w:ind w:left="1852" w:hanging="697"/>
      </w:pPr>
    </w:lvl>
    <w:lvl w:ilvl="2">
      <w:numFmt w:val="bullet"/>
      <w:lvlText w:val="•"/>
      <w:lvlJc w:val="left"/>
      <w:pPr>
        <w:ind w:left="2804" w:hanging="697"/>
      </w:pPr>
    </w:lvl>
    <w:lvl w:ilvl="3">
      <w:numFmt w:val="bullet"/>
      <w:lvlText w:val="•"/>
      <w:lvlJc w:val="left"/>
      <w:pPr>
        <w:ind w:left="3756" w:hanging="697"/>
      </w:pPr>
    </w:lvl>
    <w:lvl w:ilvl="4">
      <w:numFmt w:val="bullet"/>
      <w:lvlText w:val="•"/>
      <w:lvlJc w:val="left"/>
      <w:pPr>
        <w:ind w:left="4708" w:hanging="697"/>
      </w:pPr>
    </w:lvl>
    <w:lvl w:ilvl="5">
      <w:numFmt w:val="bullet"/>
      <w:lvlText w:val="•"/>
      <w:lvlJc w:val="left"/>
      <w:pPr>
        <w:ind w:left="5660" w:hanging="697"/>
      </w:pPr>
    </w:lvl>
    <w:lvl w:ilvl="6">
      <w:numFmt w:val="bullet"/>
      <w:lvlText w:val="•"/>
      <w:lvlJc w:val="left"/>
      <w:pPr>
        <w:ind w:left="6612" w:hanging="697"/>
      </w:pPr>
    </w:lvl>
    <w:lvl w:ilvl="7">
      <w:numFmt w:val="bullet"/>
      <w:lvlText w:val="•"/>
      <w:lvlJc w:val="left"/>
      <w:pPr>
        <w:ind w:left="7564" w:hanging="697"/>
      </w:pPr>
    </w:lvl>
    <w:lvl w:ilvl="8">
      <w:numFmt w:val="bullet"/>
      <w:lvlText w:val="•"/>
      <w:lvlJc w:val="left"/>
      <w:pPr>
        <w:ind w:left="8516" w:hanging="697"/>
      </w:pPr>
    </w:lvl>
  </w:abstractNum>
  <w:abstractNum w:abstractNumId="1">
    <w:nsid w:val="00000403"/>
    <w:multiLevelType w:val="multilevel"/>
    <w:tmpl w:val="00000886"/>
    <w:lvl w:ilvl="0">
      <w:start w:val="1"/>
      <w:numFmt w:val="decimal"/>
      <w:lvlText w:val="%1."/>
      <w:lvlJc w:val="left"/>
      <w:pPr>
        <w:ind w:left="954" w:hanging="287"/>
      </w:pPr>
      <w:rPr>
        <w:rFonts w:cs="Times New Roman"/>
        <w:b w:val="0"/>
        <w:bCs w:val="0"/>
        <w:spacing w:val="-5"/>
        <w:w w:val="108"/>
      </w:rPr>
    </w:lvl>
    <w:lvl w:ilvl="1">
      <w:numFmt w:val="bullet"/>
      <w:lvlText w:val="•"/>
      <w:lvlJc w:val="left"/>
      <w:pPr>
        <w:ind w:left="1906" w:hanging="287"/>
      </w:pPr>
    </w:lvl>
    <w:lvl w:ilvl="2">
      <w:numFmt w:val="bullet"/>
      <w:lvlText w:val="•"/>
      <w:lvlJc w:val="left"/>
      <w:pPr>
        <w:ind w:left="2852" w:hanging="287"/>
      </w:pPr>
    </w:lvl>
    <w:lvl w:ilvl="3">
      <w:numFmt w:val="bullet"/>
      <w:lvlText w:val="•"/>
      <w:lvlJc w:val="left"/>
      <w:pPr>
        <w:ind w:left="3798" w:hanging="287"/>
      </w:pPr>
    </w:lvl>
    <w:lvl w:ilvl="4">
      <w:numFmt w:val="bullet"/>
      <w:lvlText w:val="•"/>
      <w:lvlJc w:val="left"/>
      <w:pPr>
        <w:ind w:left="4744" w:hanging="287"/>
      </w:pPr>
    </w:lvl>
    <w:lvl w:ilvl="5">
      <w:numFmt w:val="bullet"/>
      <w:lvlText w:val="•"/>
      <w:lvlJc w:val="left"/>
      <w:pPr>
        <w:ind w:left="5690" w:hanging="287"/>
      </w:pPr>
    </w:lvl>
    <w:lvl w:ilvl="6">
      <w:numFmt w:val="bullet"/>
      <w:lvlText w:val="•"/>
      <w:lvlJc w:val="left"/>
      <w:pPr>
        <w:ind w:left="6636" w:hanging="287"/>
      </w:pPr>
    </w:lvl>
    <w:lvl w:ilvl="7">
      <w:numFmt w:val="bullet"/>
      <w:lvlText w:val="•"/>
      <w:lvlJc w:val="left"/>
      <w:pPr>
        <w:ind w:left="7582" w:hanging="287"/>
      </w:pPr>
    </w:lvl>
    <w:lvl w:ilvl="8">
      <w:numFmt w:val="bullet"/>
      <w:lvlText w:val="•"/>
      <w:lvlJc w:val="left"/>
      <w:pPr>
        <w:ind w:left="8528" w:hanging="287"/>
      </w:pPr>
    </w:lvl>
  </w:abstractNum>
  <w:abstractNum w:abstractNumId="2">
    <w:nsid w:val="00000404"/>
    <w:multiLevelType w:val="multilevel"/>
    <w:tmpl w:val="00000887"/>
    <w:lvl w:ilvl="0">
      <w:start w:val="12"/>
      <w:numFmt w:val="decimal"/>
      <w:lvlText w:val="[%1]"/>
      <w:lvlJc w:val="left"/>
      <w:pPr>
        <w:ind w:left="845" w:hanging="601"/>
      </w:pPr>
      <w:rPr>
        <w:rFonts w:cs="Times New Roman"/>
        <w:b w:val="0"/>
        <w:bCs w:val="0"/>
        <w:spacing w:val="-1"/>
        <w:w w:val="104"/>
      </w:rPr>
    </w:lvl>
    <w:lvl w:ilvl="1">
      <w:numFmt w:val="bullet"/>
      <w:lvlText w:val="•"/>
      <w:lvlJc w:val="left"/>
      <w:pPr>
        <w:ind w:left="1798" w:hanging="601"/>
      </w:pPr>
    </w:lvl>
    <w:lvl w:ilvl="2">
      <w:numFmt w:val="bullet"/>
      <w:lvlText w:val="•"/>
      <w:lvlJc w:val="left"/>
      <w:pPr>
        <w:ind w:left="2756" w:hanging="601"/>
      </w:pPr>
    </w:lvl>
    <w:lvl w:ilvl="3">
      <w:numFmt w:val="bullet"/>
      <w:lvlText w:val="•"/>
      <w:lvlJc w:val="left"/>
      <w:pPr>
        <w:ind w:left="3714" w:hanging="601"/>
      </w:pPr>
    </w:lvl>
    <w:lvl w:ilvl="4">
      <w:numFmt w:val="bullet"/>
      <w:lvlText w:val="•"/>
      <w:lvlJc w:val="left"/>
      <w:pPr>
        <w:ind w:left="4672" w:hanging="601"/>
      </w:pPr>
    </w:lvl>
    <w:lvl w:ilvl="5">
      <w:numFmt w:val="bullet"/>
      <w:lvlText w:val="•"/>
      <w:lvlJc w:val="left"/>
      <w:pPr>
        <w:ind w:left="5630" w:hanging="601"/>
      </w:pPr>
    </w:lvl>
    <w:lvl w:ilvl="6">
      <w:numFmt w:val="bullet"/>
      <w:lvlText w:val="•"/>
      <w:lvlJc w:val="left"/>
      <w:pPr>
        <w:ind w:left="6588" w:hanging="601"/>
      </w:pPr>
    </w:lvl>
    <w:lvl w:ilvl="7">
      <w:numFmt w:val="bullet"/>
      <w:lvlText w:val="•"/>
      <w:lvlJc w:val="left"/>
      <w:pPr>
        <w:ind w:left="7546" w:hanging="601"/>
      </w:pPr>
    </w:lvl>
    <w:lvl w:ilvl="8">
      <w:numFmt w:val="bullet"/>
      <w:lvlText w:val="•"/>
      <w:lvlJc w:val="left"/>
      <w:pPr>
        <w:ind w:left="8504" w:hanging="601"/>
      </w:pPr>
    </w:lvl>
  </w:abstractNum>
  <w:abstractNum w:abstractNumId="3">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5">
    <w:nsid w:val="096D41B7"/>
    <w:multiLevelType w:val="hybridMultilevel"/>
    <w:tmpl w:val="CFFEEDD0"/>
    <w:lvl w:ilvl="0" w:tplc="3B9C1C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CE72673"/>
    <w:multiLevelType w:val="hybridMultilevel"/>
    <w:tmpl w:val="041030F4"/>
    <w:lvl w:ilvl="0" w:tplc="C2049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3A673BF"/>
    <w:multiLevelType w:val="multilevel"/>
    <w:tmpl w:val="63ECEE72"/>
    <w:lvl w:ilvl="0">
      <w:start w:val="38"/>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3F20C8"/>
    <w:multiLevelType w:val="hybridMultilevel"/>
    <w:tmpl w:val="B4849B9A"/>
    <w:lvl w:ilvl="0" w:tplc="D070E40A">
      <w:start w:val="1"/>
      <w:numFmt w:val="decimal"/>
      <w:lvlText w:val="(%1)"/>
      <w:lvlJc w:val="left"/>
      <w:pPr>
        <w:ind w:left="3114"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09E1086"/>
    <w:multiLevelType w:val="hybridMultilevel"/>
    <w:tmpl w:val="A70CFD4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D8625F7"/>
    <w:multiLevelType w:val="hybridMultilevel"/>
    <w:tmpl w:val="5058C8F2"/>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F2E4380"/>
    <w:multiLevelType w:val="hybridMultilevel"/>
    <w:tmpl w:val="E65C04CE"/>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8A8234BE">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7">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40011C1C"/>
    <w:multiLevelType w:val="hybridMultilevel"/>
    <w:tmpl w:val="2E6083BA"/>
    <w:lvl w:ilvl="0" w:tplc="D070E40A">
      <w:start w:val="1"/>
      <w:numFmt w:val="decimal"/>
      <w:lvlText w:val="(%1)"/>
      <w:lvlJc w:val="left"/>
      <w:pPr>
        <w:ind w:left="311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32F1448"/>
    <w:multiLevelType w:val="hybridMultilevel"/>
    <w:tmpl w:val="2B4443C6"/>
    <w:lvl w:ilvl="0" w:tplc="562C34E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46671FF6"/>
    <w:multiLevelType w:val="hybridMultilevel"/>
    <w:tmpl w:val="6F2441CA"/>
    <w:lvl w:ilvl="0" w:tplc="3C54F6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791EA1"/>
    <w:multiLevelType w:val="hybridMultilevel"/>
    <w:tmpl w:val="38127126"/>
    <w:lvl w:ilvl="0" w:tplc="E7B47F1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7">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9FE33ED"/>
    <w:multiLevelType w:val="hybridMultilevel"/>
    <w:tmpl w:val="C868B452"/>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37">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9701461"/>
    <w:multiLevelType w:val="multilevel"/>
    <w:tmpl w:val="E5E405EA"/>
    <w:lvl w:ilvl="0">
      <w:start w:val="38"/>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num w:numId="1">
    <w:abstractNumId w:val="11"/>
  </w:num>
  <w:num w:numId="2">
    <w:abstractNumId w:val="22"/>
  </w:num>
  <w:num w:numId="3">
    <w:abstractNumId w:val="33"/>
  </w:num>
  <w:num w:numId="4">
    <w:abstractNumId w:val="7"/>
    <w:lvlOverride w:ilvl="0">
      <w:startOverride w:val="1"/>
    </w:lvlOverride>
  </w:num>
  <w:num w:numId="5">
    <w:abstractNumId w:val="6"/>
  </w:num>
  <w:num w:numId="6">
    <w:abstractNumId w:val="23"/>
  </w:num>
  <w:num w:numId="7">
    <w:abstractNumId w:val="16"/>
  </w:num>
  <w:num w:numId="8">
    <w:abstractNumId w:val="30"/>
  </w:num>
  <w:num w:numId="9">
    <w:abstractNumId w:val="22"/>
  </w:num>
  <w:num w:numId="10">
    <w:abstractNumId w:val="3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0"/>
  </w:num>
  <w:num w:numId="14">
    <w:abstractNumId w:val="4"/>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7"/>
  </w:num>
  <w:num w:numId="19">
    <w:abstractNumId w:val="32"/>
  </w:num>
  <w:num w:numId="20">
    <w:abstractNumId w:val="29"/>
  </w:num>
  <w:num w:numId="21">
    <w:abstractNumId w:val="38"/>
  </w:num>
  <w:num w:numId="22">
    <w:abstractNumId w:val="12"/>
  </w:num>
  <w:num w:numId="23">
    <w:abstractNumId w:val="35"/>
  </w:num>
  <w:num w:numId="24">
    <w:abstractNumId w:val="3"/>
  </w:num>
  <w:num w:numId="25">
    <w:abstractNumId w:val="20"/>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8"/>
  </w:num>
  <w:num w:numId="30">
    <w:abstractNumId w:val="14"/>
  </w:num>
  <w:num w:numId="31">
    <w:abstractNumId w:val="36"/>
  </w:num>
  <w:num w:numId="32">
    <w:abstractNumId w:val="31"/>
  </w:num>
  <w:num w:numId="33">
    <w:abstractNumId w:val="13"/>
  </w:num>
  <w:num w:numId="34">
    <w:abstractNumId w:val="15"/>
  </w:num>
  <w:num w:numId="35">
    <w:abstractNumId w:val="10"/>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2"/>
    <w:lvlOverride w:ilvl="0">
      <w:startOverride w:val="12"/>
    </w:lvlOverride>
    <w:lvlOverride w:ilvl="1"/>
    <w:lvlOverride w:ilvl="2"/>
    <w:lvlOverride w:ilvl="3"/>
    <w:lvlOverride w:ilvl="4"/>
    <w:lvlOverride w:ilvl="5"/>
    <w:lvlOverride w:ilvl="6"/>
    <w:lvlOverride w:ilvl="7"/>
    <w:lvlOverride w:ilvl="8"/>
  </w:num>
  <w:num w:numId="39">
    <w:abstractNumId w:val="18"/>
  </w:num>
  <w:num w:numId="40">
    <w:abstractNumId w:val="8"/>
  </w:num>
  <w:num w:numId="41">
    <w:abstractNumId w:val="25"/>
  </w:num>
  <w:num w:numId="42">
    <w:abstractNumId w:val="21"/>
  </w:num>
  <w:num w:numId="43">
    <w:abstractNumId w:val="39"/>
  </w:num>
  <w:num w:numId="44">
    <w:abstractNumId w:val="9"/>
  </w:num>
  <w:num w:numId="45">
    <w:abstractNumId w:val="24"/>
  </w:num>
  <w:num w:numId="4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1A13"/>
    <w:rsid w:val="000024F0"/>
    <w:rsid w:val="0000342A"/>
    <w:rsid w:val="000044DD"/>
    <w:rsid w:val="00005673"/>
    <w:rsid w:val="00006C41"/>
    <w:rsid w:val="000104DF"/>
    <w:rsid w:val="00010637"/>
    <w:rsid w:val="00014B05"/>
    <w:rsid w:val="000201EB"/>
    <w:rsid w:val="0002161D"/>
    <w:rsid w:val="00022583"/>
    <w:rsid w:val="00022C07"/>
    <w:rsid w:val="00022F88"/>
    <w:rsid w:val="0002500F"/>
    <w:rsid w:val="00025EA8"/>
    <w:rsid w:val="0002792E"/>
    <w:rsid w:val="00027B5A"/>
    <w:rsid w:val="0003241F"/>
    <w:rsid w:val="0003349A"/>
    <w:rsid w:val="00034856"/>
    <w:rsid w:val="000402A4"/>
    <w:rsid w:val="0004294E"/>
    <w:rsid w:val="00044069"/>
    <w:rsid w:val="000445C8"/>
    <w:rsid w:val="000462E1"/>
    <w:rsid w:val="0004668A"/>
    <w:rsid w:val="00046699"/>
    <w:rsid w:val="00046717"/>
    <w:rsid w:val="0004728A"/>
    <w:rsid w:val="0005276A"/>
    <w:rsid w:val="00053277"/>
    <w:rsid w:val="000533C1"/>
    <w:rsid w:val="00053CA7"/>
    <w:rsid w:val="000542A1"/>
    <w:rsid w:val="00055988"/>
    <w:rsid w:val="0005727B"/>
    <w:rsid w:val="000574A8"/>
    <w:rsid w:val="000578BA"/>
    <w:rsid w:val="0006059E"/>
    <w:rsid w:val="0006315B"/>
    <w:rsid w:val="000632FF"/>
    <w:rsid w:val="00064B63"/>
    <w:rsid w:val="00066884"/>
    <w:rsid w:val="00070D07"/>
    <w:rsid w:val="00070D6F"/>
    <w:rsid w:val="00071294"/>
    <w:rsid w:val="00071615"/>
    <w:rsid w:val="00073C85"/>
    <w:rsid w:val="00081021"/>
    <w:rsid w:val="000814F0"/>
    <w:rsid w:val="00081D5F"/>
    <w:rsid w:val="0008219B"/>
    <w:rsid w:val="00086BE3"/>
    <w:rsid w:val="00090F50"/>
    <w:rsid w:val="000935FF"/>
    <w:rsid w:val="00095F0E"/>
    <w:rsid w:val="00096011"/>
    <w:rsid w:val="00096904"/>
    <w:rsid w:val="000A01AC"/>
    <w:rsid w:val="000A040D"/>
    <w:rsid w:val="000A12C2"/>
    <w:rsid w:val="000A12C9"/>
    <w:rsid w:val="000A1606"/>
    <w:rsid w:val="000A3741"/>
    <w:rsid w:val="000A5653"/>
    <w:rsid w:val="000A7387"/>
    <w:rsid w:val="000A779C"/>
    <w:rsid w:val="000B4636"/>
    <w:rsid w:val="000B53AD"/>
    <w:rsid w:val="000B64EF"/>
    <w:rsid w:val="000C017F"/>
    <w:rsid w:val="000C2C18"/>
    <w:rsid w:val="000C3AF7"/>
    <w:rsid w:val="000C3F2A"/>
    <w:rsid w:val="000C4A10"/>
    <w:rsid w:val="000C564F"/>
    <w:rsid w:val="000C6C30"/>
    <w:rsid w:val="000C7321"/>
    <w:rsid w:val="000D0AF6"/>
    <w:rsid w:val="000D39D5"/>
    <w:rsid w:val="000D3D74"/>
    <w:rsid w:val="000D5E2F"/>
    <w:rsid w:val="000D7041"/>
    <w:rsid w:val="000E01DD"/>
    <w:rsid w:val="000E091F"/>
    <w:rsid w:val="000E11AA"/>
    <w:rsid w:val="000E1836"/>
    <w:rsid w:val="000E1955"/>
    <w:rsid w:val="000E1E64"/>
    <w:rsid w:val="000E1EAC"/>
    <w:rsid w:val="000E2097"/>
    <w:rsid w:val="000E3A95"/>
    <w:rsid w:val="000E3AAB"/>
    <w:rsid w:val="000F0DCE"/>
    <w:rsid w:val="000F1289"/>
    <w:rsid w:val="000F18C7"/>
    <w:rsid w:val="000F3B88"/>
    <w:rsid w:val="000F441B"/>
    <w:rsid w:val="0010118A"/>
    <w:rsid w:val="00102771"/>
    <w:rsid w:val="00102D9D"/>
    <w:rsid w:val="0010314E"/>
    <w:rsid w:val="00105056"/>
    <w:rsid w:val="00105640"/>
    <w:rsid w:val="00106C97"/>
    <w:rsid w:val="00107E81"/>
    <w:rsid w:val="00110BD4"/>
    <w:rsid w:val="0011424F"/>
    <w:rsid w:val="00114D0F"/>
    <w:rsid w:val="0011574C"/>
    <w:rsid w:val="00115783"/>
    <w:rsid w:val="00116675"/>
    <w:rsid w:val="00116EF2"/>
    <w:rsid w:val="00120DE5"/>
    <w:rsid w:val="001218BA"/>
    <w:rsid w:val="001230FB"/>
    <w:rsid w:val="00123792"/>
    <w:rsid w:val="00123FBA"/>
    <w:rsid w:val="00124B7A"/>
    <w:rsid w:val="00124F00"/>
    <w:rsid w:val="00126288"/>
    <w:rsid w:val="00130E55"/>
    <w:rsid w:val="0013287E"/>
    <w:rsid w:val="001338C7"/>
    <w:rsid w:val="0013390C"/>
    <w:rsid w:val="001348F0"/>
    <w:rsid w:val="00134BD8"/>
    <w:rsid w:val="00140558"/>
    <w:rsid w:val="0014119D"/>
    <w:rsid w:val="0014239A"/>
    <w:rsid w:val="00147F04"/>
    <w:rsid w:val="00155F1F"/>
    <w:rsid w:val="00157F64"/>
    <w:rsid w:val="00160E8B"/>
    <w:rsid w:val="00163C01"/>
    <w:rsid w:val="00164084"/>
    <w:rsid w:val="0016529B"/>
    <w:rsid w:val="001654DE"/>
    <w:rsid w:val="00166C17"/>
    <w:rsid w:val="00167CB4"/>
    <w:rsid w:val="0017065F"/>
    <w:rsid w:val="00171116"/>
    <w:rsid w:val="00171416"/>
    <w:rsid w:val="001715FC"/>
    <w:rsid w:val="001730A8"/>
    <w:rsid w:val="0017371F"/>
    <w:rsid w:val="001751E0"/>
    <w:rsid w:val="00176117"/>
    <w:rsid w:val="00177C74"/>
    <w:rsid w:val="0018024F"/>
    <w:rsid w:val="00183726"/>
    <w:rsid w:val="00185055"/>
    <w:rsid w:val="00185197"/>
    <w:rsid w:val="00185298"/>
    <w:rsid w:val="001920DA"/>
    <w:rsid w:val="00193988"/>
    <w:rsid w:val="001947FF"/>
    <w:rsid w:val="0019694E"/>
    <w:rsid w:val="00196C48"/>
    <w:rsid w:val="00197892"/>
    <w:rsid w:val="001A255B"/>
    <w:rsid w:val="001A6206"/>
    <w:rsid w:val="001A6747"/>
    <w:rsid w:val="001A7168"/>
    <w:rsid w:val="001A719F"/>
    <w:rsid w:val="001B0045"/>
    <w:rsid w:val="001B04D1"/>
    <w:rsid w:val="001B182A"/>
    <w:rsid w:val="001B3021"/>
    <w:rsid w:val="001B3F14"/>
    <w:rsid w:val="001B49F3"/>
    <w:rsid w:val="001B6850"/>
    <w:rsid w:val="001C0A0D"/>
    <w:rsid w:val="001C1E85"/>
    <w:rsid w:val="001C2344"/>
    <w:rsid w:val="001C2642"/>
    <w:rsid w:val="001C2BAA"/>
    <w:rsid w:val="001C35A2"/>
    <w:rsid w:val="001C70F8"/>
    <w:rsid w:val="001D4CB9"/>
    <w:rsid w:val="001D5D9C"/>
    <w:rsid w:val="001D5F2F"/>
    <w:rsid w:val="001D6ACD"/>
    <w:rsid w:val="001E2508"/>
    <w:rsid w:val="001E4F62"/>
    <w:rsid w:val="001E54EE"/>
    <w:rsid w:val="001E66C9"/>
    <w:rsid w:val="001E6B14"/>
    <w:rsid w:val="001F3099"/>
    <w:rsid w:val="001F316B"/>
    <w:rsid w:val="001F39E5"/>
    <w:rsid w:val="001F45A5"/>
    <w:rsid w:val="001F47D7"/>
    <w:rsid w:val="001F57B4"/>
    <w:rsid w:val="001F581D"/>
    <w:rsid w:val="001F5A8E"/>
    <w:rsid w:val="001F5EFF"/>
    <w:rsid w:val="001F6D44"/>
    <w:rsid w:val="001F78C4"/>
    <w:rsid w:val="0020081C"/>
    <w:rsid w:val="00200D74"/>
    <w:rsid w:val="00200F5C"/>
    <w:rsid w:val="00202074"/>
    <w:rsid w:val="002027EC"/>
    <w:rsid w:val="00203F91"/>
    <w:rsid w:val="0020582F"/>
    <w:rsid w:val="00206218"/>
    <w:rsid w:val="0020664E"/>
    <w:rsid w:val="00210E02"/>
    <w:rsid w:val="00211E4E"/>
    <w:rsid w:val="0021225B"/>
    <w:rsid w:val="00213B9F"/>
    <w:rsid w:val="002149EC"/>
    <w:rsid w:val="00214A6C"/>
    <w:rsid w:val="00214E3A"/>
    <w:rsid w:val="00214FF0"/>
    <w:rsid w:val="0021531D"/>
    <w:rsid w:val="002161AB"/>
    <w:rsid w:val="002178A0"/>
    <w:rsid w:val="00217CF7"/>
    <w:rsid w:val="00220F12"/>
    <w:rsid w:val="00223058"/>
    <w:rsid w:val="00223755"/>
    <w:rsid w:val="0022437C"/>
    <w:rsid w:val="00224EDB"/>
    <w:rsid w:val="002271ED"/>
    <w:rsid w:val="002273D3"/>
    <w:rsid w:val="00230307"/>
    <w:rsid w:val="002303E4"/>
    <w:rsid w:val="002309AF"/>
    <w:rsid w:val="00230C36"/>
    <w:rsid w:val="00230DF6"/>
    <w:rsid w:val="0023319F"/>
    <w:rsid w:val="00233A6E"/>
    <w:rsid w:val="00234007"/>
    <w:rsid w:val="00234507"/>
    <w:rsid w:val="00235AC0"/>
    <w:rsid w:val="00235EBC"/>
    <w:rsid w:val="00236346"/>
    <w:rsid w:val="0024001C"/>
    <w:rsid w:val="00247370"/>
    <w:rsid w:val="00247A06"/>
    <w:rsid w:val="0025001B"/>
    <w:rsid w:val="0025050E"/>
    <w:rsid w:val="00252153"/>
    <w:rsid w:val="00253951"/>
    <w:rsid w:val="00255FAF"/>
    <w:rsid w:val="00257D52"/>
    <w:rsid w:val="00257DCC"/>
    <w:rsid w:val="002601DD"/>
    <w:rsid w:val="00260B62"/>
    <w:rsid w:val="00261222"/>
    <w:rsid w:val="00261791"/>
    <w:rsid w:val="00262F54"/>
    <w:rsid w:val="00264DD1"/>
    <w:rsid w:val="00270461"/>
    <w:rsid w:val="0027069E"/>
    <w:rsid w:val="002707D9"/>
    <w:rsid w:val="00271071"/>
    <w:rsid w:val="00272260"/>
    <w:rsid w:val="00273196"/>
    <w:rsid w:val="00273A58"/>
    <w:rsid w:val="00275F90"/>
    <w:rsid w:val="0028129B"/>
    <w:rsid w:val="00282A30"/>
    <w:rsid w:val="00284D9A"/>
    <w:rsid w:val="00286241"/>
    <w:rsid w:val="00286F5F"/>
    <w:rsid w:val="002910FD"/>
    <w:rsid w:val="002920DC"/>
    <w:rsid w:val="002924A9"/>
    <w:rsid w:val="002924E6"/>
    <w:rsid w:val="00293059"/>
    <w:rsid w:val="0029407B"/>
    <w:rsid w:val="00294CBA"/>
    <w:rsid w:val="00296B4D"/>
    <w:rsid w:val="002A0339"/>
    <w:rsid w:val="002A109C"/>
    <w:rsid w:val="002A183B"/>
    <w:rsid w:val="002A2443"/>
    <w:rsid w:val="002A24CE"/>
    <w:rsid w:val="002A461F"/>
    <w:rsid w:val="002A4952"/>
    <w:rsid w:val="002A5EB4"/>
    <w:rsid w:val="002A77DD"/>
    <w:rsid w:val="002A7B19"/>
    <w:rsid w:val="002B0F1B"/>
    <w:rsid w:val="002B1051"/>
    <w:rsid w:val="002B151F"/>
    <w:rsid w:val="002B1ABA"/>
    <w:rsid w:val="002B2BA2"/>
    <w:rsid w:val="002B5A8F"/>
    <w:rsid w:val="002B6384"/>
    <w:rsid w:val="002B6B65"/>
    <w:rsid w:val="002B6C0E"/>
    <w:rsid w:val="002C04E8"/>
    <w:rsid w:val="002C0FDD"/>
    <w:rsid w:val="002C15A4"/>
    <w:rsid w:val="002C1FC6"/>
    <w:rsid w:val="002C4309"/>
    <w:rsid w:val="002C4603"/>
    <w:rsid w:val="002C4AC3"/>
    <w:rsid w:val="002C6BC7"/>
    <w:rsid w:val="002C7929"/>
    <w:rsid w:val="002D3126"/>
    <w:rsid w:val="002D33E9"/>
    <w:rsid w:val="002D3401"/>
    <w:rsid w:val="002D3996"/>
    <w:rsid w:val="002D5770"/>
    <w:rsid w:val="002D5A72"/>
    <w:rsid w:val="002D5BC0"/>
    <w:rsid w:val="002D693C"/>
    <w:rsid w:val="002D6E26"/>
    <w:rsid w:val="002E05C2"/>
    <w:rsid w:val="002E0905"/>
    <w:rsid w:val="002E2102"/>
    <w:rsid w:val="002E22BB"/>
    <w:rsid w:val="002E26DB"/>
    <w:rsid w:val="002E47C9"/>
    <w:rsid w:val="002E49A9"/>
    <w:rsid w:val="002E5934"/>
    <w:rsid w:val="002E5CDA"/>
    <w:rsid w:val="002E654A"/>
    <w:rsid w:val="002F0534"/>
    <w:rsid w:val="002F15F5"/>
    <w:rsid w:val="002F3A96"/>
    <w:rsid w:val="002F5364"/>
    <w:rsid w:val="00300053"/>
    <w:rsid w:val="0030029A"/>
    <w:rsid w:val="003047A4"/>
    <w:rsid w:val="00310436"/>
    <w:rsid w:val="00311374"/>
    <w:rsid w:val="0031174A"/>
    <w:rsid w:val="00313408"/>
    <w:rsid w:val="00314694"/>
    <w:rsid w:val="00314B8A"/>
    <w:rsid w:val="00314BF5"/>
    <w:rsid w:val="00314E0C"/>
    <w:rsid w:val="00315F1D"/>
    <w:rsid w:val="003165C3"/>
    <w:rsid w:val="00316678"/>
    <w:rsid w:val="00317219"/>
    <w:rsid w:val="00317BE4"/>
    <w:rsid w:val="00320D52"/>
    <w:rsid w:val="003217F2"/>
    <w:rsid w:val="00322EE5"/>
    <w:rsid w:val="00322F1E"/>
    <w:rsid w:val="00323F2A"/>
    <w:rsid w:val="00324E14"/>
    <w:rsid w:val="00326DBA"/>
    <w:rsid w:val="00330C8B"/>
    <w:rsid w:val="003321FE"/>
    <w:rsid w:val="003339AE"/>
    <w:rsid w:val="00336D37"/>
    <w:rsid w:val="00340130"/>
    <w:rsid w:val="00340EBC"/>
    <w:rsid w:val="00341050"/>
    <w:rsid w:val="00342132"/>
    <w:rsid w:val="00342409"/>
    <w:rsid w:val="0034377D"/>
    <w:rsid w:val="00343A76"/>
    <w:rsid w:val="00345903"/>
    <w:rsid w:val="00352BA9"/>
    <w:rsid w:val="00353027"/>
    <w:rsid w:val="00353CE9"/>
    <w:rsid w:val="00353FA4"/>
    <w:rsid w:val="003564AA"/>
    <w:rsid w:val="00360565"/>
    <w:rsid w:val="0036163B"/>
    <w:rsid w:val="00363701"/>
    <w:rsid w:val="003641D4"/>
    <w:rsid w:val="00364F91"/>
    <w:rsid w:val="00365D9F"/>
    <w:rsid w:val="0036670F"/>
    <w:rsid w:val="00366948"/>
    <w:rsid w:val="00367283"/>
    <w:rsid w:val="003704DC"/>
    <w:rsid w:val="0037249E"/>
    <w:rsid w:val="00374176"/>
    <w:rsid w:val="00374BEE"/>
    <w:rsid w:val="0037738F"/>
    <w:rsid w:val="00381B82"/>
    <w:rsid w:val="003828ED"/>
    <w:rsid w:val="003829F1"/>
    <w:rsid w:val="00384277"/>
    <w:rsid w:val="00385FAB"/>
    <w:rsid w:val="00391008"/>
    <w:rsid w:val="00391415"/>
    <w:rsid w:val="003926BE"/>
    <w:rsid w:val="00392AC0"/>
    <w:rsid w:val="00392F03"/>
    <w:rsid w:val="00392FF5"/>
    <w:rsid w:val="003938E1"/>
    <w:rsid w:val="00395AD7"/>
    <w:rsid w:val="00395E16"/>
    <w:rsid w:val="0039631A"/>
    <w:rsid w:val="003A1352"/>
    <w:rsid w:val="003A1FE4"/>
    <w:rsid w:val="003A2810"/>
    <w:rsid w:val="003A4D14"/>
    <w:rsid w:val="003A5867"/>
    <w:rsid w:val="003A65DE"/>
    <w:rsid w:val="003A7624"/>
    <w:rsid w:val="003B12D2"/>
    <w:rsid w:val="003B47B7"/>
    <w:rsid w:val="003C255A"/>
    <w:rsid w:val="003C30DF"/>
    <w:rsid w:val="003C5E65"/>
    <w:rsid w:val="003C6237"/>
    <w:rsid w:val="003C6522"/>
    <w:rsid w:val="003C6C62"/>
    <w:rsid w:val="003C6EE5"/>
    <w:rsid w:val="003D0B49"/>
    <w:rsid w:val="003D1632"/>
    <w:rsid w:val="003D5DE0"/>
    <w:rsid w:val="003D67EE"/>
    <w:rsid w:val="003E1497"/>
    <w:rsid w:val="003E23C2"/>
    <w:rsid w:val="003E33C4"/>
    <w:rsid w:val="003E51D2"/>
    <w:rsid w:val="003E7988"/>
    <w:rsid w:val="003F0384"/>
    <w:rsid w:val="003F22DC"/>
    <w:rsid w:val="003F2DD3"/>
    <w:rsid w:val="003F357D"/>
    <w:rsid w:val="003F57FE"/>
    <w:rsid w:val="003F601A"/>
    <w:rsid w:val="003F637D"/>
    <w:rsid w:val="003F687C"/>
    <w:rsid w:val="003F7774"/>
    <w:rsid w:val="004012AE"/>
    <w:rsid w:val="00401AA7"/>
    <w:rsid w:val="00401ECA"/>
    <w:rsid w:val="00402D96"/>
    <w:rsid w:val="00403BD5"/>
    <w:rsid w:val="004051AB"/>
    <w:rsid w:val="00405527"/>
    <w:rsid w:val="00407050"/>
    <w:rsid w:val="00410A52"/>
    <w:rsid w:val="00411C77"/>
    <w:rsid w:val="00412548"/>
    <w:rsid w:val="00414CFD"/>
    <w:rsid w:val="00414D64"/>
    <w:rsid w:val="00415DB9"/>
    <w:rsid w:val="00417F88"/>
    <w:rsid w:val="00422270"/>
    <w:rsid w:val="004225CF"/>
    <w:rsid w:val="00422DE9"/>
    <w:rsid w:val="00422E2C"/>
    <w:rsid w:val="0042366F"/>
    <w:rsid w:val="00423B6D"/>
    <w:rsid w:val="004247C9"/>
    <w:rsid w:val="0042486A"/>
    <w:rsid w:val="00424A84"/>
    <w:rsid w:val="004256A6"/>
    <w:rsid w:val="00425E0A"/>
    <w:rsid w:val="00426587"/>
    <w:rsid w:val="00426DFD"/>
    <w:rsid w:val="004271FA"/>
    <w:rsid w:val="00427D7F"/>
    <w:rsid w:val="0043118E"/>
    <w:rsid w:val="00431BCB"/>
    <w:rsid w:val="00431BFE"/>
    <w:rsid w:val="0043381C"/>
    <w:rsid w:val="004341CB"/>
    <w:rsid w:val="00441F8C"/>
    <w:rsid w:val="00442BAE"/>
    <w:rsid w:val="0044319C"/>
    <w:rsid w:val="004431F5"/>
    <w:rsid w:val="004459C6"/>
    <w:rsid w:val="004460B7"/>
    <w:rsid w:val="00447FD7"/>
    <w:rsid w:val="00451F69"/>
    <w:rsid w:val="00453830"/>
    <w:rsid w:val="00454458"/>
    <w:rsid w:val="00454D4A"/>
    <w:rsid w:val="00456058"/>
    <w:rsid w:val="0045713F"/>
    <w:rsid w:val="00460609"/>
    <w:rsid w:val="004613B7"/>
    <w:rsid w:val="00462F0B"/>
    <w:rsid w:val="00464253"/>
    <w:rsid w:val="004643B3"/>
    <w:rsid w:val="004650A0"/>
    <w:rsid w:val="00470F99"/>
    <w:rsid w:val="004713C0"/>
    <w:rsid w:val="004737A6"/>
    <w:rsid w:val="004738F7"/>
    <w:rsid w:val="00474852"/>
    <w:rsid w:val="00475066"/>
    <w:rsid w:val="004754F7"/>
    <w:rsid w:val="00476EF9"/>
    <w:rsid w:val="00477000"/>
    <w:rsid w:val="0047728D"/>
    <w:rsid w:val="00482005"/>
    <w:rsid w:val="00483010"/>
    <w:rsid w:val="004836A8"/>
    <w:rsid w:val="0048792B"/>
    <w:rsid w:val="00487D66"/>
    <w:rsid w:val="00487FF8"/>
    <w:rsid w:val="0049056C"/>
    <w:rsid w:val="00490E8F"/>
    <w:rsid w:val="00491C4A"/>
    <w:rsid w:val="0049268B"/>
    <w:rsid w:val="004938E2"/>
    <w:rsid w:val="00494D5B"/>
    <w:rsid w:val="00495194"/>
    <w:rsid w:val="00495DFD"/>
    <w:rsid w:val="004A0022"/>
    <w:rsid w:val="004A64E2"/>
    <w:rsid w:val="004A69D3"/>
    <w:rsid w:val="004B0F6D"/>
    <w:rsid w:val="004B20DB"/>
    <w:rsid w:val="004B4386"/>
    <w:rsid w:val="004B4F31"/>
    <w:rsid w:val="004B51DF"/>
    <w:rsid w:val="004B6987"/>
    <w:rsid w:val="004B6BF6"/>
    <w:rsid w:val="004B7E32"/>
    <w:rsid w:val="004C0244"/>
    <w:rsid w:val="004C0C23"/>
    <w:rsid w:val="004C672F"/>
    <w:rsid w:val="004D124F"/>
    <w:rsid w:val="004D2006"/>
    <w:rsid w:val="004D2106"/>
    <w:rsid w:val="004D4CB5"/>
    <w:rsid w:val="004D5D47"/>
    <w:rsid w:val="004D77D2"/>
    <w:rsid w:val="004D77DB"/>
    <w:rsid w:val="004D7D69"/>
    <w:rsid w:val="004E00FA"/>
    <w:rsid w:val="004E36DB"/>
    <w:rsid w:val="004E4CEF"/>
    <w:rsid w:val="004E4F3C"/>
    <w:rsid w:val="004E5DF9"/>
    <w:rsid w:val="004E644B"/>
    <w:rsid w:val="004F017E"/>
    <w:rsid w:val="004F06FE"/>
    <w:rsid w:val="004F10C6"/>
    <w:rsid w:val="004F1438"/>
    <w:rsid w:val="004F1C61"/>
    <w:rsid w:val="004F2B4D"/>
    <w:rsid w:val="004F33A2"/>
    <w:rsid w:val="004F6C0A"/>
    <w:rsid w:val="004F7771"/>
    <w:rsid w:val="00503A07"/>
    <w:rsid w:val="00503CE9"/>
    <w:rsid w:val="00504AFC"/>
    <w:rsid w:val="00505572"/>
    <w:rsid w:val="00511371"/>
    <w:rsid w:val="005118A6"/>
    <w:rsid w:val="00511A0B"/>
    <w:rsid w:val="00511BBC"/>
    <w:rsid w:val="00512916"/>
    <w:rsid w:val="005134E1"/>
    <w:rsid w:val="00513653"/>
    <w:rsid w:val="00513719"/>
    <w:rsid w:val="0051485B"/>
    <w:rsid w:val="00514B23"/>
    <w:rsid w:val="0052022D"/>
    <w:rsid w:val="00520591"/>
    <w:rsid w:val="00521094"/>
    <w:rsid w:val="005220DE"/>
    <w:rsid w:val="00523855"/>
    <w:rsid w:val="00523F39"/>
    <w:rsid w:val="00525DA6"/>
    <w:rsid w:val="005261D9"/>
    <w:rsid w:val="005264E8"/>
    <w:rsid w:val="005303C0"/>
    <w:rsid w:val="00530E4D"/>
    <w:rsid w:val="005330A7"/>
    <w:rsid w:val="00533C08"/>
    <w:rsid w:val="0053743B"/>
    <w:rsid w:val="00540D08"/>
    <w:rsid w:val="00540D76"/>
    <w:rsid w:val="00540EF4"/>
    <w:rsid w:val="00541329"/>
    <w:rsid w:val="00542274"/>
    <w:rsid w:val="005425A5"/>
    <w:rsid w:val="00542869"/>
    <w:rsid w:val="00545D61"/>
    <w:rsid w:val="00546620"/>
    <w:rsid w:val="0055313D"/>
    <w:rsid w:val="0055482B"/>
    <w:rsid w:val="005557AD"/>
    <w:rsid w:val="00555901"/>
    <w:rsid w:val="00557477"/>
    <w:rsid w:val="00561B3A"/>
    <w:rsid w:val="005642BB"/>
    <w:rsid w:val="00564C4F"/>
    <w:rsid w:val="0056589D"/>
    <w:rsid w:val="00565A95"/>
    <w:rsid w:val="005665D4"/>
    <w:rsid w:val="00566CDC"/>
    <w:rsid w:val="005675F3"/>
    <w:rsid w:val="005717F2"/>
    <w:rsid w:val="00572554"/>
    <w:rsid w:val="00572EFF"/>
    <w:rsid w:val="0057429E"/>
    <w:rsid w:val="00575B88"/>
    <w:rsid w:val="0057601E"/>
    <w:rsid w:val="00580142"/>
    <w:rsid w:val="0058056F"/>
    <w:rsid w:val="0058260D"/>
    <w:rsid w:val="00582E13"/>
    <w:rsid w:val="005830FE"/>
    <w:rsid w:val="00583EF7"/>
    <w:rsid w:val="00586028"/>
    <w:rsid w:val="00586F43"/>
    <w:rsid w:val="00587EBB"/>
    <w:rsid w:val="00590812"/>
    <w:rsid w:val="005914A4"/>
    <w:rsid w:val="00591596"/>
    <w:rsid w:val="00591A4E"/>
    <w:rsid w:val="00592459"/>
    <w:rsid w:val="005958D4"/>
    <w:rsid w:val="00597786"/>
    <w:rsid w:val="005A0C73"/>
    <w:rsid w:val="005A216A"/>
    <w:rsid w:val="005A22DF"/>
    <w:rsid w:val="005A43A6"/>
    <w:rsid w:val="005A51A3"/>
    <w:rsid w:val="005B0A20"/>
    <w:rsid w:val="005B0D7E"/>
    <w:rsid w:val="005B17FC"/>
    <w:rsid w:val="005B618E"/>
    <w:rsid w:val="005B6F3C"/>
    <w:rsid w:val="005B7B3D"/>
    <w:rsid w:val="005C0303"/>
    <w:rsid w:val="005C1410"/>
    <w:rsid w:val="005C3882"/>
    <w:rsid w:val="005C5220"/>
    <w:rsid w:val="005C5505"/>
    <w:rsid w:val="005C5D0E"/>
    <w:rsid w:val="005C6FB7"/>
    <w:rsid w:val="005C763B"/>
    <w:rsid w:val="005C7C82"/>
    <w:rsid w:val="005D0A00"/>
    <w:rsid w:val="005D0C11"/>
    <w:rsid w:val="005D411C"/>
    <w:rsid w:val="005D7057"/>
    <w:rsid w:val="005E0890"/>
    <w:rsid w:val="005E0981"/>
    <w:rsid w:val="005E1975"/>
    <w:rsid w:val="005E2831"/>
    <w:rsid w:val="005E6CE5"/>
    <w:rsid w:val="005F0553"/>
    <w:rsid w:val="005F2312"/>
    <w:rsid w:val="005F49F5"/>
    <w:rsid w:val="005F57CB"/>
    <w:rsid w:val="005F68FD"/>
    <w:rsid w:val="005F72E9"/>
    <w:rsid w:val="00600E49"/>
    <w:rsid w:val="00600F23"/>
    <w:rsid w:val="006077CA"/>
    <w:rsid w:val="0061534E"/>
    <w:rsid w:val="00617E8C"/>
    <w:rsid w:val="00622A7C"/>
    <w:rsid w:val="0062325B"/>
    <w:rsid w:val="0062393B"/>
    <w:rsid w:val="00623FF2"/>
    <w:rsid w:val="00625283"/>
    <w:rsid w:val="00625747"/>
    <w:rsid w:val="00626303"/>
    <w:rsid w:val="0062690C"/>
    <w:rsid w:val="006272EE"/>
    <w:rsid w:val="00627C4C"/>
    <w:rsid w:val="00630DF9"/>
    <w:rsid w:val="006311BA"/>
    <w:rsid w:val="006313C9"/>
    <w:rsid w:val="00632181"/>
    <w:rsid w:val="00632E6C"/>
    <w:rsid w:val="00635BD5"/>
    <w:rsid w:val="00636A69"/>
    <w:rsid w:val="00640CF7"/>
    <w:rsid w:val="006413C3"/>
    <w:rsid w:val="00642074"/>
    <w:rsid w:val="006423D7"/>
    <w:rsid w:val="00642CBF"/>
    <w:rsid w:val="00644813"/>
    <w:rsid w:val="006458A2"/>
    <w:rsid w:val="00646160"/>
    <w:rsid w:val="00652E4B"/>
    <w:rsid w:val="00653587"/>
    <w:rsid w:val="0065360E"/>
    <w:rsid w:val="006544BC"/>
    <w:rsid w:val="00655628"/>
    <w:rsid w:val="00657245"/>
    <w:rsid w:val="006603E3"/>
    <w:rsid w:val="0066114F"/>
    <w:rsid w:val="006625F0"/>
    <w:rsid w:val="00663DE2"/>
    <w:rsid w:val="00665443"/>
    <w:rsid w:val="00665BBD"/>
    <w:rsid w:val="00665BE8"/>
    <w:rsid w:val="006677B0"/>
    <w:rsid w:val="00670AF7"/>
    <w:rsid w:val="00670BE0"/>
    <w:rsid w:val="00673974"/>
    <w:rsid w:val="00676D30"/>
    <w:rsid w:val="006815B3"/>
    <w:rsid w:val="00684829"/>
    <w:rsid w:val="00686C2D"/>
    <w:rsid w:val="00687EC8"/>
    <w:rsid w:val="00690ECB"/>
    <w:rsid w:val="00690F32"/>
    <w:rsid w:val="00692812"/>
    <w:rsid w:val="00696C18"/>
    <w:rsid w:val="00696E2A"/>
    <w:rsid w:val="006A0153"/>
    <w:rsid w:val="006A0AA9"/>
    <w:rsid w:val="006A0B57"/>
    <w:rsid w:val="006A0FCA"/>
    <w:rsid w:val="006A3C6A"/>
    <w:rsid w:val="006A5F9B"/>
    <w:rsid w:val="006A7A6C"/>
    <w:rsid w:val="006B0A67"/>
    <w:rsid w:val="006B1945"/>
    <w:rsid w:val="006B34E1"/>
    <w:rsid w:val="006B3518"/>
    <w:rsid w:val="006B45E7"/>
    <w:rsid w:val="006B5760"/>
    <w:rsid w:val="006B5C4C"/>
    <w:rsid w:val="006B661F"/>
    <w:rsid w:val="006B6D3A"/>
    <w:rsid w:val="006B7CDD"/>
    <w:rsid w:val="006C06CB"/>
    <w:rsid w:val="006C10F7"/>
    <w:rsid w:val="006C69F4"/>
    <w:rsid w:val="006C75AB"/>
    <w:rsid w:val="006C7A8B"/>
    <w:rsid w:val="006C7F1A"/>
    <w:rsid w:val="006D0461"/>
    <w:rsid w:val="006D063A"/>
    <w:rsid w:val="006D3032"/>
    <w:rsid w:val="006D43C4"/>
    <w:rsid w:val="006D4550"/>
    <w:rsid w:val="006D4572"/>
    <w:rsid w:val="006D4C72"/>
    <w:rsid w:val="006D67A1"/>
    <w:rsid w:val="006D722B"/>
    <w:rsid w:val="006D7938"/>
    <w:rsid w:val="006E0E17"/>
    <w:rsid w:val="006E2C4F"/>
    <w:rsid w:val="006E5E65"/>
    <w:rsid w:val="006F16B8"/>
    <w:rsid w:val="006F2E4B"/>
    <w:rsid w:val="006F3208"/>
    <w:rsid w:val="006F3DB5"/>
    <w:rsid w:val="006F5DC2"/>
    <w:rsid w:val="006F6AF8"/>
    <w:rsid w:val="00700254"/>
    <w:rsid w:val="0070328E"/>
    <w:rsid w:val="00705082"/>
    <w:rsid w:val="00705418"/>
    <w:rsid w:val="00705E2F"/>
    <w:rsid w:val="00705FBA"/>
    <w:rsid w:val="00706D4B"/>
    <w:rsid w:val="00707AC9"/>
    <w:rsid w:val="00710722"/>
    <w:rsid w:val="0071131D"/>
    <w:rsid w:val="00712BFD"/>
    <w:rsid w:val="00713DC1"/>
    <w:rsid w:val="00713F36"/>
    <w:rsid w:val="00720193"/>
    <w:rsid w:val="007204C5"/>
    <w:rsid w:val="00720DCC"/>
    <w:rsid w:val="00720FA4"/>
    <w:rsid w:val="007221E2"/>
    <w:rsid w:val="0072234D"/>
    <w:rsid w:val="00722981"/>
    <w:rsid w:val="00726A81"/>
    <w:rsid w:val="00726C25"/>
    <w:rsid w:val="00727B75"/>
    <w:rsid w:val="00727C4C"/>
    <w:rsid w:val="00732BA3"/>
    <w:rsid w:val="00733068"/>
    <w:rsid w:val="007338D1"/>
    <w:rsid w:val="00733E81"/>
    <w:rsid w:val="00736099"/>
    <w:rsid w:val="007458A7"/>
    <w:rsid w:val="00745C2A"/>
    <w:rsid w:val="00754E18"/>
    <w:rsid w:val="00755318"/>
    <w:rsid w:val="007569B6"/>
    <w:rsid w:val="00756E0D"/>
    <w:rsid w:val="007571C2"/>
    <w:rsid w:val="00757CF5"/>
    <w:rsid w:val="007610BA"/>
    <w:rsid w:val="00761D9E"/>
    <w:rsid w:val="00761FA7"/>
    <w:rsid w:val="00763355"/>
    <w:rsid w:val="00763D7C"/>
    <w:rsid w:val="0076525B"/>
    <w:rsid w:val="00766386"/>
    <w:rsid w:val="00766BC0"/>
    <w:rsid w:val="00766C91"/>
    <w:rsid w:val="00766CF8"/>
    <w:rsid w:val="00772430"/>
    <w:rsid w:val="0077388E"/>
    <w:rsid w:val="00773AAE"/>
    <w:rsid w:val="007748E7"/>
    <w:rsid w:val="00775229"/>
    <w:rsid w:val="00775826"/>
    <w:rsid w:val="00775AE1"/>
    <w:rsid w:val="007776FF"/>
    <w:rsid w:val="0077775C"/>
    <w:rsid w:val="00781994"/>
    <w:rsid w:val="00783E42"/>
    <w:rsid w:val="00785311"/>
    <w:rsid w:val="00787121"/>
    <w:rsid w:val="00787A4F"/>
    <w:rsid w:val="00792363"/>
    <w:rsid w:val="0079381A"/>
    <w:rsid w:val="007954F2"/>
    <w:rsid w:val="0079585B"/>
    <w:rsid w:val="00795974"/>
    <w:rsid w:val="00795FD9"/>
    <w:rsid w:val="00797161"/>
    <w:rsid w:val="007A0869"/>
    <w:rsid w:val="007A138E"/>
    <w:rsid w:val="007A1C5A"/>
    <w:rsid w:val="007A287B"/>
    <w:rsid w:val="007A3C61"/>
    <w:rsid w:val="007A7170"/>
    <w:rsid w:val="007A7B40"/>
    <w:rsid w:val="007B17A2"/>
    <w:rsid w:val="007B1F4E"/>
    <w:rsid w:val="007B272D"/>
    <w:rsid w:val="007B3A9E"/>
    <w:rsid w:val="007B422D"/>
    <w:rsid w:val="007B5A0B"/>
    <w:rsid w:val="007B7919"/>
    <w:rsid w:val="007B7C1C"/>
    <w:rsid w:val="007C17FB"/>
    <w:rsid w:val="007C1CE3"/>
    <w:rsid w:val="007C5738"/>
    <w:rsid w:val="007C7EA3"/>
    <w:rsid w:val="007D12AF"/>
    <w:rsid w:val="007D165A"/>
    <w:rsid w:val="007D1A12"/>
    <w:rsid w:val="007D247F"/>
    <w:rsid w:val="007D27AD"/>
    <w:rsid w:val="007D2A9D"/>
    <w:rsid w:val="007D3873"/>
    <w:rsid w:val="007D3E94"/>
    <w:rsid w:val="007D4738"/>
    <w:rsid w:val="007D600C"/>
    <w:rsid w:val="007D677C"/>
    <w:rsid w:val="007D7B75"/>
    <w:rsid w:val="007D7CB0"/>
    <w:rsid w:val="007E012D"/>
    <w:rsid w:val="007E2C1A"/>
    <w:rsid w:val="007E2C20"/>
    <w:rsid w:val="007E35AF"/>
    <w:rsid w:val="007E3F4C"/>
    <w:rsid w:val="007E5976"/>
    <w:rsid w:val="007E66CE"/>
    <w:rsid w:val="007E6E8B"/>
    <w:rsid w:val="007E7C12"/>
    <w:rsid w:val="007E7DBC"/>
    <w:rsid w:val="007F049E"/>
    <w:rsid w:val="007F2625"/>
    <w:rsid w:val="007F3DB4"/>
    <w:rsid w:val="007F4023"/>
    <w:rsid w:val="007F44E1"/>
    <w:rsid w:val="007F5EDC"/>
    <w:rsid w:val="007F6A96"/>
    <w:rsid w:val="007F6CA0"/>
    <w:rsid w:val="007F7AE1"/>
    <w:rsid w:val="008002E0"/>
    <w:rsid w:val="008004D5"/>
    <w:rsid w:val="008009EC"/>
    <w:rsid w:val="00800F99"/>
    <w:rsid w:val="0080126D"/>
    <w:rsid w:val="00801FFB"/>
    <w:rsid w:val="00802904"/>
    <w:rsid w:val="00802ED9"/>
    <w:rsid w:val="00804282"/>
    <w:rsid w:val="00804D29"/>
    <w:rsid w:val="00806FCA"/>
    <w:rsid w:val="008079AD"/>
    <w:rsid w:val="0081170B"/>
    <w:rsid w:val="00812BA7"/>
    <w:rsid w:val="0081785F"/>
    <w:rsid w:val="00820FD1"/>
    <w:rsid w:val="0082139E"/>
    <w:rsid w:val="00821DF4"/>
    <w:rsid w:val="008233A8"/>
    <w:rsid w:val="008246AB"/>
    <w:rsid w:val="0082547B"/>
    <w:rsid w:val="008274A6"/>
    <w:rsid w:val="00827D06"/>
    <w:rsid w:val="00831AB2"/>
    <w:rsid w:val="00832ADA"/>
    <w:rsid w:val="00834122"/>
    <w:rsid w:val="00834B98"/>
    <w:rsid w:val="00836245"/>
    <w:rsid w:val="00836C74"/>
    <w:rsid w:val="008378A3"/>
    <w:rsid w:val="00841BB6"/>
    <w:rsid w:val="0084371A"/>
    <w:rsid w:val="00844EFD"/>
    <w:rsid w:val="0084669D"/>
    <w:rsid w:val="00846F26"/>
    <w:rsid w:val="0084771B"/>
    <w:rsid w:val="0085095D"/>
    <w:rsid w:val="00851A68"/>
    <w:rsid w:val="008526BD"/>
    <w:rsid w:val="00854763"/>
    <w:rsid w:val="0085560F"/>
    <w:rsid w:val="00855966"/>
    <w:rsid w:val="00856B35"/>
    <w:rsid w:val="008574FB"/>
    <w:rsid w:val="0086121B"/>
    <w:rsid w:val="008628C4"/>
    <w:rsid w:val="00864932"/>
    <w:rsid w:val="00865470"/>
    <w:rsid w:val="00866BDE"/>
    <w:rsid w:val="00867EAC"/>
    <w:rsid w:val="00872693"/>
    <w:rsid w:val="00875F92"/>
    <w:rsid w:val="00876890"/>
    <w:rsid w:val="00876B1D"/>
    <w:rsid w:val="00880E23"/>
    <w:rsid w:val="008827A5"/>
    <w:rsid w:val="00883096"/>
    <w:rsid w:val="0088405B"/>
    <w:rsid w:val="00890603"/>
    <w:rsid w:val="00890D68"/>
    <w:rsid w:val="00892C9E"/>
    <w:rsid w:val="008948FF"/>
    <w:rsid w:val="0089565B"/>
    <w:rsid w:val="008958F2"/>
    <w:rsid w:val="008A0776"/>
    <w:rsid w:val="008A099F"/>
    <w:rsid w:val="008A0E0A"/>
    <w:rsid w:val="008A3962"/>
    <w:rsid w:val="008A472E"/>
    <w:rsid w:val="008A4A98"/>
    <w:rsid w:val="008A509C"/>
    <w:rsid w:val="008A69B2"/>
    <w:rsid w:val="008B1224"/>
    <w:rsid w:val="008B1556"/>
    <w:rsid w:val="008B326B"/>
    <w:rsid w:val="008B3FFD"/>
    <w:rsid w:val="008B4AA8"/>
    <w:rsid w:val="008B5038"/>
    <w:rsid w:val="008B6E91"/>
    <w:rsid w:val="008C19EE"/>
    <w:rsid w:val="008C308C"/>
    <w:rsid w:val="008C535C"/>
    <w:rsid w:val="008C7E0F"/>
    <w:rsid w:val="008D03DA"/>
    <w:rsid w:val="008D05F2"/>
    <w:rsid w:val="008D1209"/>
    <w:rsid w:val="008D2CA9"/>
    <w:rsid w:val="008D2DA8"/>
    <w:rsid w:val="008D2DB2"/>
    <w:rsid w:val="008D2E6F"/>
    <w:rsid w:val="008E040E"/>
    <w:rsid w:val="008E09B8"/>
    <w:rsid w:val="008E3A95"/>
    <w:rsid w:val="008E4025"/>
    <w:rsid w:val="008E4273"/>
    <w:rsid w:val="008E4A54"/>
    <w:rsid w:val="008E4DD4"/>
    <w:rsid w:val="008E6058"/>
    <w:rsid w:val="008E6A17"/>
    <w:rsid w:val="008F2574"/>
    <w:rsid w:val="008F2FD1"/>
    <w:rsid w:val="008F37BE"/>
    <w:rsid w:val="008F4562"/>
    <w:rsid w:val="008F6ADE"/>
    <w:rsid w:val="0090139D"/>
    <w:rsid w:val="00901F76"/>
    <w:rsid w:val="009020BE"/>
    <w:rsid w:val="0090343D"/>
    <w:rsid w:val="00903BE2"/>
    <w:rsid w:val="00904BA1"/>
    <w:rsid w:val="009059FD"/>
    <w:rsid w:val="00906022"/>
    <w:rsid w:val="00907442"/>
    <w:rsid w:val="00910CE2"/>
    <w:rsid w:val="0091102F"/>
    <w:rsid w:val="009115DE"/>
    <w:rsid w:val="00913EDB"/>
    <w:rsid w:val="00915507"/>
    <w:rsid w:val="0091692D"/>
    <w:rsid w:val="009169B6"/>
    <w:rsid w:val="0091748B"/>
    <w:rsid w:val="00920109"/>
    <w:rsid w:val="00920511"/>
    <w:rsid w:val="00920875"/>
    <w:rsid w:val="009210C5"/>
    <w:rsid w:val="00923033"/>
    <w:rsid w:val="009234DE"/>
    <w:rsid w:val="00923A6B"/>
    <w:rsid w:val="009240A7"/>
    <w:rsid w:val="00927C0C"/>
    <w:rsid w:val="009304A4"/>
    <w:rsid w:val="009314F3"/>
    <w:rsid w:val="00931B02"/>
    <w:rsid w:val="00932614"/>
    <w:rsid w:val="00935089"/>
    <w:rsid w:val="00935966"/>
    <w:rsid w:val="00940584"/>
    <w:rsid w:val="00944F8F"/>
    <w:rsid w:val="00946F23"/>
    <w:rsid w:val="00946F8A"/>
    <w:rsid w:val="00952064"/>
    <w:rsid w:val="009537B9"/>
    <w:rsid w:val="00953A0B"/>
    <w:rsid w:val="00954CE3"/>
    <w:rsid w:val="00955957"/>
    <w:rsid w:val="009603BB"/>
    <w:rsid w:val="00960A29"/>
    <w:rsid w:val="00960DCF"/>
    <w:rsid w:val="009610C4"/>
    <w:rsid w:val="009626F0"/>
    <w:rsid w:val="00962749"/>
    <w:rsid w:val="00962A54"/>
    <w:rsid w:val="0096333F"/>
    <w:rsid w:val="00963AE3"/>
    <w:rsid w:val="009657B4"/>
    <w:rsid w:val="00966386"/>
    <w:rsid w:val="00966B92"/>
    <w:rsid w:val="00967D07"/>
    <w:rsid w:val="009704CC"/>
    <w:rsid w:val="00971499"/>
    <w:rsid w:val="009716CC"/>
    <w:rsid w:val="00973A1E"/>
    <w:rsid w:val="00973C02"/>
    <w:rsid w:val="009757AD"/>
    <w:rsid w:val="00980229"/>
    <w:rsid w:val="00981DAF"/>
    <w:rsid w:val="00984E7A"/>
    <w:rsid w:val="00985B0B"/>
    <w:rsid w:val="0098649C"/>
    <w:rsid w:val="0098724F"/>
    <w:rsid w:val="00987EBD"/>
    <w:rsid w:val="00991BE6"/>
    <w:rsid w:val="0099237C"/>
    <w:rsid w:val="0099352B"/>
    <w:rsid w:val="00995500"/>
    <w:rsid w:val="0099681B"/>
    <w:rsid w:val="00996A5C"/>
    <w:rsid w:val="009A143F"/>
    <w:rsid w:val="009A23B2"/>
    <w:rsid w:val="009A3E79"/>
    <w:rsid w:val="009A5024"/>
    <w:rsid w:val="009A7E98"/>
    <w:rsid w:val="009B1265"/>
    <w:rsid w:val="009B15BA"/>
    <w:rsid w:val="009B1FF9"/>
    <w:rsid w:val="009B2E80"/>
    <w:rsid w:val="009B43DE"/>
    <w:rsid w:val="009B4BB4"/>
    <w:rsid w:val="009B56E5"/>
    <w:rsid w:val="009B6537"/>
    <w:rsid w:val="009C2505"/>
    <w:rsid w:val="009C5162"/>
    <w:rsid w:val="009D15B1"/>
    <w:rsid w:val="009D1B99"/>
    <w:rsid w:val="009D57A8"/>
    <w:rsid w:val="009D5AC0"/>
    <w:rsid w:val="009D5EA2"/>
    <w:rsid w:val="009D70B4"/>
    <w:rsid w:val="009D7A09"/>
    <w:rsid w:val="009E07F6"/>
    <w:rsid w:val="009E31C2"/>
    <w:rsid w:val="009E3E41"/>
    <w:rsid w:val="009E4764"/>
    <w:rsid w:val="009E544F"/>
    <w:rsid w:val="009E57CE"/>
    <w:rsid w:val="009E5CB7"/>
    <w:rsid w:val="009E66E8"/>
    <w:rsid w:val="009E7B20"/>
    <w:rsid w:val="009F2D0C"/>
    <w:rsid w:val="009F49CA"/>
    <w:rsid w:val="009F5172"/>
    <w:rsid w:val="009F5D6E"/>
    <w:rsid w:val="009F6C26"/>
    <w:rsid w:val="00A005D6"/>
    <w:rsid w:val="00A00A33"/>
    <w:rsid w:val="00A02BCC"/>
    <w:rsid w:val="00A03AB5"/>
    <w:rsid w:val="00A042B8"/>
    <w:rsid w:val="00A043D6"/>
    <w:rsid w:val="00A11793"/>
    <w:rsid w:val="00A12BB1"/>
    <w:rsid w:val="00A13D95"/>
    <w:rsid w:val="00A1750E"/>
    <w:rsid w:val="00A2171C"/>
    <w:rsid w:val="00A2271E"/>
    <w:rsid w:val="00A2434F"/>
    <w:rsid w:val="00A24C05"/>
    <w:rsid w:val="00A24FDD"/>
    <w:rsid w:val="00A25306"/>
    <w:rsid w:val="00A258BD"/>
    <w:rsid w:val="00A25CBA"/>
    <w:rsid w:val="00A26A2F"/>
    <w:rsid w:val="00A311D3"/>
    <w:rsid w:val="00A31AA0"/>
    <w:rsid w:val="00A32117"/>
    <w:rsid w:val="00A33E7A"/>
    <w:rsid w:val="00A34723"/>
    <w:rsid w:val="00A34C86"/>
    <w:rsid w:val="00A34DD5"/>
    <w:rsid w:val="00A351D9"/>
    <w:rsid w:val="00A36613"/>
    <w:rsid w:val="00A3678D"/>
    <w:rsid w:val="00A36F01"/>
    <w:rsid w:val="00A37CED"/>
    <w:rsid w:val="00A37F9A"/>
    <w:rsid w:val="00A417B9"/>
    <w:rsid w:val="00A424FC"/>
    <w:rsid w:val="00A42A8E"/>
    <w:rsid w:val="00A44AD7"/>
    <w:rsid w:val="00A44EFD"/>
    <w:rsid w:val="00A45184"/>
    <w:rsid w:val="00A55736"/>
    <w:rsid w:val="00A55CB6"/>
    <w:rsid w:val="00A5695A"/>
    <w:rsid w:val="00A57C8A"/>
    <w:rsid w:val="00A61396"/>
    <w:rsid w:val="00A6157A"/>
    <w:rsid w:val="00A62088"/>
    <w:rsid w:val="00A62B2F"/>
    <w:rsid w:val="00A6367B"/>
    <w:rsid w:val="00A63DEF"/>
    <w:rsid w:val="00A64E6B"/>
    <w:rsid w:val="00A6546E"/>
    <w:rsid w:val="00A655F3"/>
    <w:rsid w:val="00A67E64"/>
    <w:rsid w:val="00A70430"/>
    <w:rsid w:val="00A70CDF"/>
    <w:rsid w:val="00A71EFE"/>
    <w:rsid w:val="00A73B4D"/>
    <w:rsid w:val="00A7536E"/>
    <w:rsid w:val="00A75FCD"/>
    <w:rsid w:val="00A774F3"/>
    <w:rsid w:val="00A77B2F"/>
    <w:rsid w:val="00A80D38"/>
    <w:rsid w:val="00A80F3D"/>
    <w:rsid w:val="00A811F0"/>
    <w:rsid w:val="00A814AF"/>
    <w:rsid w:val="00A81EFD"/>
    <w:rsid w:val="00A82466"/>
    <w:rsid w:val="00A82835"/>
    <w:rsid w:val="00A8327C"/>
    <w:rsid w:val="00A84826"/>
    <w:rsid w:val="00A850CE"/>
    <w:rsid w:val="00A8540F"/>
    <w:rsid w:val="00A87399"/>
    <w:rsid w:val="00A87C30"/>
    <w:rsid w:val="00A87F7A"/>
    <w:rsid w:val="00A903A4"/>
    <w:rsid w:val="00A90552"/>
    <w:rsid w:val="00A90B05"/>
    <w:rsid w:val="00A93CA5"/>
    <w:rsid w:val="00A946DB"/>
    <w:rsid w:val="00A9602C"/>
    <w:rsid w:val="00A9714E"/>
    <w:rsid w:val="00AA092F"/>
    <w:rsid w:val="00AA1639"/>
    <w:rsid w:val="00AA5F6D"/>
    <w:rsid w:val="00AB11CA"/>
    <w:rsid w:val="00AB1BD1"/>
    <w:rsid w:val="00AB1EFE"/>
    <w:rsid w:val="00AB49DF"/>
    <w:rsid w:val="00AB67EA"/>
    <w:rsid w:val="00AB70D9"/>
    <w:rsid w:val="00AB74F0"/>
    <w:rsid w:val="00AC0562"/>
    <w:rsid w:val="00AC0E7E"/>
    <w:rsid w:val="00AC3443"/>
    <w:rsid w:val="00AC35B4"/>
    <w:rsid w:val="00AC4F0A"/>
    <w:rsid w:val="00AC5A33"/>
    <w:rsid w:val="00AC6ED9"/>
    <w:rsid w:val="00AC6FCA"/>
    <w:rsid w:val="00AC7A58"/>
    <w:rsid w:val="00AD06C4"/>
    <w:rsid w:val="00AD32FF"/>
    <w:rsid w:val="00AD3E8F"/>
    <w:rsid w:val="00AD41F8"/>
    <w:rsid w:val="00AD4E45"/>
    <w:rsid w:val="00AD7511"/>
    <w:rsid w:val="00AD7CD9"/>
    <w:rsid w:val="00AE4747"/>
    <w:rsid w:val="00AE654D"/>
    <w:rsid w:val="00AE69DC"/>
    <w:rsid w:val="00AF43FC"/>
    <w:rsid w:val="00AF601F"/>
    <w:rsid w:val="00B0058A"/>
    <w:rsid w:val="00B015E2"/>
    <w:rsid w:val="00B02383"/>
    <w:rsid w:val="00B03E45"/>
    <w:rsid w:val="00B04AD3"/>
    <w:rsid w:val="00B05E39"/>
    <w:rsid w:val="00B06BDB"/>
    <w:rsid w:val="00B07D3A"/>
    <w:rsid w:val="00B07D41"/>
    <w:rsid w:val="00B10CFD"/>
    <w:rsid w:val="00B11188"/>
    <w:rsid w:val="00B11363"/>
    <w:rsid w:val="00B14866"/>
    <w:rsid w:val="00B162AD"/>
    <w:rsid w:val="00B1686D"/>
    <w:rsid w:val="00B17416"/>
    <w:rsid w:val="00B20F4C"/>
    <w:rsid w:val="00B229CB"/>
    <w:rsid w:val="00B2444F"/>
    <w:rsid w:val="00B2528C"/>
    <w:rsid w:val="00B26C8D"/>
    <w:rsid w:val="00B30389"/>
    <w:rsid w:val="00B318EF"/>
    <w:rsid w:val="00B32378"/>
    <w:rsid w:val="00B324BE"/>
    <w:rsid w:val="00B33307"/>
    <w:rsid w:val="00B3355E"/>
    <w:rsid w:val="00B34B54"/>
    <w:rsid w:val="00B36B5A"/>
    <w:rsid w:val="00B36C8A"/>
    <w:rsid w:val="00B376B8"/>
    <w:rsid w:val="00B37A94"/>
    <w:rsid w:val="00B410AD"/>
    <w:rsid w:val="00B427FF"/>
    <w:rsid w:val="00B429B6"/>
    <w:rsid w:val="00B449DC"/>
    <w:rsid w:val="00B45957"/>
    <w:rsid w:val="00B45F72"/>
    <w:rsid w:val="00B52DB8"/>
    <w:rsid w:val="00B53C4C"/>
    <w:rsid w:val="00B5477F"/>
    <w:rsid w:val="00B55F2E"/>
    <w:rsid w:val="00B56ACD"/>
    <w:rsid w:val="00B63E74"/>
    <w:rsid w:val="00B64DDB"/>
    <w:rsid w:val="00B713E8"/>
    <w:rsid w:val="00B71A61"/>
    <w:rsid w:val="00B71DC2"/>
    <w:rsid w:val="00B71E39"/>
    <w:rsid w:val="00B7493D"/>
    <w:rsid w:val="00B74B43"/>
    <w:rsid w:val="00B74D6C"/>
    <w:rsid w:val="00B82D0B"/>
    <w:rsid w:val="00B84047"/>
    <w:rsid w:val="00B847F3"/>
    <w:rsid w:val="00B85096"/>
    <w:rsid w:val="00B8552F"/>
    <w:rsid w:val="00B86246"/>
    <w:rsid w:val="00B86D7B"/>
    <w:rsid w:val="00B9020E"/>
    <w:rsid w:val="00B92B7B"/>
    <w:rsid w:val="00B93A86"/>
    <w:rsid w:val="00B95F71"/>
    <w:rsid w:val="00B96579"/>
    <w:rsid w:val="00B965F6"/>
    <w:rsid w:val="00B9693A"/>
    <w:rsid w:val="00B96E6F"/>
    <w:rsid w:val="00BA2B4E"/>
    <w:rsid w:val="00BA3B7F"/>
    <w:rsid w:val="00BA40C7"/>
    <w:rsid w:val="00BA611C"/>
    <w:rsid w:val="00BA63F7"/>
    <w:rsid w:val="00BB05A0"/>
    <w:rsid w:val="00BB26AE"/>
    <w:rsid w:val="00BB35CF"/>
    <w:rsid w:val="00BB3686"/>
    <w:rsid w:val="00BB3A2E"/>
    <w:rsid w:val="00BB4D50"/>
    <w:rsid w:val="00BB4E68"/>
    <w:rsid w:val="00BB4FBB"/>
    <w:rsid w:val="00BB5C9F"/>
    <w:rsid w:val="00BB63C9"/>
    <w:rsid w:val="00BB6E57"/>
    <w:rsid w:val="00BB7341"/>
    <w:rsid w:val="00BB7B48"/>
    <w:rsid w:val="00BC06E8"/>
    <w:rsid w:val="00BC0A98"/>
    <w:rsid w:val="00BC103A"/>
    <w:rsid w:val="00BC125B"/>
    <w:rsid w:val="00BC3764"/>
    <w:rsid w:val="00BC52BD"/>
    <w:rsid w:val="00BC7CEB"/>
    <w:rsid w:val="00BD2198"/>
    <w:rsid w:val="00BD241C"/>
    <w:rsid w:val="00BD279E"/>
    <w:rsid w:val="00BD30FE"/>
    <w:rsid w:val="00BD351B"/>
    <w:rsid w:val="00BD3A79"/>
    <w:rsid w:val="00BD3D25"/>
    <w:rsid w:val="00BD6F9F"/>
    <w:rsid w:val="00BD7C19"/>
    <w:rsid w:val="00BE0BC1"/>
    <w:rsid w:val="00BE19C2"/>
    <w:rsid w:val="00BE253F"/>
    <w:rsid w:val="00BE2D46"/>
    <w:rsid w:val="00BE3209"/>
    <w:rsid w:val="00BE34C3"/>
    <w:rsid w:val="00BE3FF2"/>
    <w:rsid w:val="00BE4BE4"/>
    <w:rsid w:val="00BE5508"/>
    <w:rsid w:val="00BE5C18"/>
    <w:rsid w:val="00BE6294"/>
    <w:rsid w:val="00BE7BC4"/>
    <w:rsid w:val="00BF3770"/>
    <w:rsid w:val="00BF3809"/>
    <w:rsid w:val="00BF38D9"/>
    <w:rsid w:val="00BF415E"/>
    <w:rsid w:val="00BF4192"/>
    <w:rsid w:val="00BF6DC1"/>
    <w:rsid w:val="00C019EF"/>
    <w:rsid w:val="00C02379"/>
    <w:rsid w:val="00C03BF1"/>
    <w:rsid w:val="00C03EB3"/>
    <w:rsid w:val="00C04027"/>
    <w:rsid w:val="00C07048"/>
    <w:rsid w:val="00C0771D"/>
    <w:rsid w:val="00C0791B"/>
    <w:rsid w:val="00C07C73"/>
    <w:rsid w:val="00C12ADD"/>
    <w:rsid w:val="00C12BFC"/>
    <w:rsid w:val="00C1307E"/>
    <w:rsid w:val="00C135EA"/>
    <w:rsid w:val="00C13A01"/>
    <w:rsid w:val="00C1441D"/>
    <w:rsid w:val="00C16B0E"/>
    <w:rsid w:val="00C175FD"/>
    <w:rsid w:val="00C228CE"/>
    <w:rsid w:val="00C22A64"/>
    <w:rsid w:val="00C22CC1"/>
    <w:rsid w:val="00C237F1"/>
    <w:rsid w:val="00C243AE"/>
    <w:rsid w:val="00C2489B"/>
    <w:rsid w:val="00C2576D"/>
    <w:rsid w:val="00C26D57"/>
    <w:rsid w:val="00C274CB"/>
    <w:rsid w:val="00C27973"/>
    <w:rsid w:val="00C30AB3"/>
    <w:rsid w:val="00C31797"/>
    <w:rsid w:val="00C33E37"/>
    <w:rsid w:val="00C3435D"/>
    <w:rsid w:val="00C36137"/>
    <w:rsid w:val="00C374AB"/>
    <w:rsid w:val="00C40F29"/>
    <w:rsid w:val="00C422E3"/>
    <w:rsid w:val="00C4250C"/>
    <w:rsid w:val="00C437FB"/>
    <w:rsid w:val="00C460B6"/>
    <w:rsid w:val="00C46184"/>
    <w:rsid w:val="00C474E5"/>
    <w:rsid w:val="00C52464"/>
    <w:rsid w:val="00C561B1"/>
    <w:rsid w:val="00C56E50"/>
    <w:rsid w:val="00C5766D"/>
    <w:rsid w:val="00C57975"/>
    <w:rsid w:val="00C57C9A"/>
    <w:rsid w:val="00C57E35"/>
    <w:rsid w:val="00C60C3E"/>
    <w:rsid w:val="00C61684"/>
    <w:rsid w:val="00C61E65"/>
    <w:rsid w:val="00C62247"/>
    <w:rsid w:val="00C624EB"/>
    <w:rsid w:val="00C636A9"/>
    <w:rsid w:val="00C642CA"/>
    <w:rsid w:val="00C651D2"/>
    <w:rsid w:val="00C6578F"/>
    <w:rsid w:val="00C66738"/>
    <w:rsid w:val="00C70A93"/>
    <w:rsid w:val="00C71C93"/>
    <w:rsid w:val="00C747C7"/>
    <w:rsid w:val="00C75847"/>
    <w:rsid w:val="00C75943"/>
    <w:rsid w:val="00C77A9F"/>
    <w:rsid w:val="00C77D0D"/>
    <w:rsid w:val="00C8037F"/>
    <w:rsid w:val="00C80A65"/>
    <w:rsid w:val="00C80BAB"/>
    <w:rsid w:val="00C80D5E"/>
    <w:rsid w:val="00C80DDA"/>
    <w:rsid w:val="00C815D7"/>
    <w:rsid w:val="00C82A9F"/>
    <w:rsid w:val="00C82B5B"/>
    <w:rsid w:val="00C82C88"/>
    <w:rsid w:val="00C82ECE"/>
    <w:rsid w:val="00C8419E"/>
    <w:rsid w:val="00C84415"/>
    <w:rsid w:val="00C86D50"/>
    <w:rsid w:val="00C86E5E"/>
    <w:rsid w:val="00C870DC"/>
    <w:rsid w:val="00C87933"/>
    <w:rsid w:val="00C91F36"/>
    <w:rsid w:val="00C941AE"/>
    <w:rsid w:val="00C9445F"/>
    <w:rsid w:val="00C95C34"/>
    <w:rsid w:val="00C96315"/>
    <w:rsid w:val="00C963F2"/>
    <w:rsid w:val="00C96903"/>
    <w:rsid w:val="00C975FD"/>
    <w:rsid w:val="00CA0978"/>
    <w:rsid w:val="00CA137A"/>
    <w:rsid w:val="00CA17AB"/>
    <w:rsid w:val="00CA1825"/>
    <w:rsid w:val="00CA2132"/>
    <w:rsid w:val="00CA2F29"/>
    <w:rsid w:val="00CA44D3"/>
    <w:rsid w:val="00CA4B4D"/>
    <w:rsid w:val="00CB20C0"/>
    <w:rsid w:val="00CB41BB"/>
    <w:rsid w:val="00CB465C"/>
    <w:rsid w:val="00CB5734"/>
    <w:rsid w:val="00CB629C"/>
    <w:rsid w:val="00CC1622"/>
    <w:rsid w:val="00CC2854"/>
    <w:rsid w:val="00CC37B5"/>
    <w:rsid w:val="00CC40E7"/>
    <w:rsid w:val="00CC487A"/>
    <w:rsid w:val="00CC6058"/>
    <w:rsid w:val="00CC66F1"/>
    <w:rsid w:val="00CC7B5B"/>
    <w:rsid w:val="00CD06C7"/>
    <w:rsid w:val="00CD0DF4"/>
    <w:rsid w:val="00CD0FD6"/>
    <w:rsid w:val="00CE02E1"/>
    <w:rsid w:val="00CE0657"/>
    <w:rsid w:val="00CE134C"/>
    <w:rsid w:val="00CE2F20"/>
    <w:rsid w:val="00CE3785"/>
    <w:rsid w:val="00CE3B3E"/>
    <w:rsid w:val="00CE3EDF"/>
    <w:rsid w:val="00CE5F0E"/>
    <w:rsid w:val="00CF01CD"/>
    <w:rsid w:val="00CF05ED"/>
    <w:rsid w:val="00CF1530"/>
    <w:rsid w:val="00CF6C29"/>
    <w:rsid w:val="00CF72F5"/>
    <w:rsid w:val="00D01545"/>
    <w:rsid w:val="00D02B71"/>
    <w:rsid w:val="00D11BC1"/>
    <w:rsid w:val="00D14255"/>
    <w:rsid w:val="00D153D4"/>
    <w:rsid w:val="00D16098"/>
    <w:rsid w:val="00D17BCE"/>
    <w:rsid w:val="00D20C7E"/>
    <w:rsid w:val="00D23C19"/>
    <w:rsid w:val="00D241BC"/>
    <w:rsid w:val="00D25AB2"/>
    <w:rsid w:val="00D30A84"/>
    <w:rsid w:val="00D30E9F"/>
    <w:rsid w:val="00D31D26"/>
    <w:rsid w:val="00D33E0D"/>
    <w:rsid w:val="00D346AB"/>
    <w:rsid w:val="00D3618B"/>
    <w:rsid w:val="00D3646B"/>
    <w:rsid w:val="00D36C6D"/>
    <w:rsid w:val="00D36DD4"/>
    <w:rsid w:val="00D3701B"/>
    <w:rsid w:val="00D379C0"/>
    <w:rsid w:val="00D37C97"/>
    <w:rsid w:val="00D37D12"/>
    <w:rsid w:val="00D41D15"/>
    <w:rsid w:val="00D42513"/>
    <w:rsid w:val="00D44DF6"/>
    <w:rsid w:val="00D460FE"/>
    <w:rsid w:val="00D47D0F"/>
    <w:rsid w:val="00D509E5"/>
    <w:rsid w:val="00D537B2"/>
    <w:rsid w:val="00D56B92"/>
    <w:rsid w:val="00D6327C"/>
    <w:rsid w:val="00D63801"/>
    <w:rsid w:val="00D656DA"/>
    <w:rsid w:val="00D66175"/>
    <w:rsid w:val="00D67085"/>
    <w:rsid w:val="00D760BA"/>
    <w:rsid w:val="00D764BE"/>
    <w:rsid w:val="00D812F1"/>
    <w:rsid w:val="00D814DE"/>
    <w:rsid w:val="00D84E91"/>
    <w:rsid w:val="00D9315A"/>
    <w:rsid w:val="00D938F5"/>
    <w:rsid w:val="00D93D01"/>
    <w:rsid w:val="00D94C12"/>
    <w:rsid w:val="00D95635"/>
    <w:rsid w:val="00D95C4D"/>
    <w:rsid w:val="00D96D5A"/>
    <w:rsid w:val="00DA02E1"/>
    <w:rsid w:val="00DA0539"/>
    <w:rsid w:val="00DA3815"/>
    <w:rsid w:val="00DA3FFC"/>
    <w:rsid w:val="00DA434B"/>
    <w:rsid w:val="00DA43FF"/>
    <w:rsid w:val="00DA4DDD"/>
    <w:rsid w:val="00DA6625"/>
    <w:rsid w:val="00DA6EDC"/>
    <w:rsid w:val="00DA7B38"/>
    <w:rsid w:val="00DB1A1D"/>
    <w:rsid w:val="00DB24DB"/>
    <w:rsid w:val="00DB2C75"/>
    <w:rsid w:val="00DB4C5C"/>
    <w:rsid w:val="00DB6966"/>
    <w:rsid w:val="00DC13AB"/>
    <w:rsid w:val="00DC3E47"/>
    <w:rsid w:val="00DC4C5F"/>
    <w:rsid w:val="00DC4CA9"/>
    <w:rsid w:val="00DC658B"/>
    <w:rsid w:val="00DC766D"/>
    <w:rsid w:val="00DD04BB"/>
    <w:rsid w:val="00DD2128"/>
    <w:rsid w:val="00DD26CC"/>
    <w:rsid w:val="00DD3F8C"/>
    <w:rsid w:val="00DD43A0"/>
    <w:rsid w:val="00DD5D1E"/>
    <w:rsid w:val="00DD61BA"/>
    <w:rsid w:val="00DD649A"/>
    <w:rsid w:val="00DE01EE"/>
    <w:rsid w:val="00DE25F1"/>
    <w:rsid w:val="00DE50B4"/>
    <w:rsid w:val="00DE5FBD"/>
    <w:rsid w:val="00DE6787"/>
    <w:rsid w:val="00DF188A"/>
    <w:rsid w:val="00DF19EE"/>
    <w:rsid w:val="00DF2CE8"/>
    <w:rsid w:val="00DF3C85"/>
    <w:rsid w:val="00DF6C04"/>
    <w:rsid w:val="00DF7585"/>
    <w:rsid w:val="00E001C0"/>
    <w:rsid w:val="00E005B2"/>
    <w:rsid w:val="00E02FB2"/>
    <w:rsid w:val="00E05383"/>
    <w:rsid w:val="00E0678B"/>
    <w:rsid w:val="00E06BC1"/>
    <w:rsid w:val="00E06CD4"/>
    <w:rsid w:val="00E0711D"/>
    <w:rsid w:val="00E11CBB"/>
    <w:rsid w:val="00E12691"/>
    <w:rsid w:val="00E12B97"/>
    <w:rsid w:val="00E149D0"/>
    <w:rsid w:val="00E1634B"/>
    <w:rsid w:val="00E206ED"/>
    <w:rsid w:val="00E20811"/>
    <w:rsid w:val="00E237DC"/>
    <w:rsid w:val="00E2512A"/>
    <w:rsid w:val="00E257C6"/>
    <w:rsid w:val="00E2629A"/>
    <w:rsid w:val="00E26F14"/>
    <w:rsid w:val="00E27020"/>
    <w:rsid w:val="00E30837"/>
    <w:rsid w:val="00E311B7"/>
    <w:rsid w:val="00E33321"/>
    <w:rsid w:val="00E3517A"/>
    <w:rsid w:val="00E35C5E"/>
    <w:rsid w:val="00E36644"/>
    <w:rsid w:val="00E378FA"/>
    <w:rsid w:val="00E37B19"/>
    <w:rsid w:val="00E40B06"/>
    <w:rsid w:val="00E40C72"/>
    <w:rsid w:val="00E4537D"/>
    <w:rsid w:val="00E454B4"/>
    <w:rsid w:val="00E4575C"/>
    <w:rsid w:val="00E459E5"/>
    <w:rsid w:val="00E46319"/>
    <w:rsid w:val="00E46FC6"/>
    <w:rsid w:val="00E47D00"/>
    <w:rsid w:val="00E507D6"/>
    <w:rsid w:val="00E51848"/>
    <w:rsid w:val="00E54DF1"/>
    <w:rsid w:val="00E553C5"/>
    <w:rsid w:val="00E5577D"/>
    <w:rsid w:val="00E55AE4"/>
    <w:rsid w:val="00E55E7E"/>
    <w:rsid w:val="00E563D8"/>
    <w:rsid w:val="00E56B73"/>
    <w:rsid w:val="00E60C01"/>
    <w:rsid w:val="00E62017"/>
    <w:rsid w:val="00E623A5"/>
    <w:rsid w:val="00E63A64"/>
    <w:rsid w:val="00E64075"/>
    <w:rsid w:val="00E64472"/>
    <w:rsid w:val="00E64577"/>
    <w:rsid w:val="00E6461E"/>
    <w:rsid w:val="00E673E6"/>
    <w:rsid w:val="00E712DC"/>
    <w:rsid w:val="00E7139D"/>
    <w:rsid w:val="00E72FD1"/>
    <w:rsid w:val="00E741C6"/>
    <w:rsid w:val="00E750D6"/>
    <w:rsid w:val="00E761D9"/>
    <w:rsid w:val="00E839F2"/>
    <w:rsid w:val="00E83B6A"/>
    <w:rsid w:val="00E83F35"/>
    <w:rsid w:val="00E84642"/>
    <w:rsid w:val="00E85BD1"/>
    <w:rsid w:val="00E879AE"/>
    <w:rsid w:val="00E87AC5"/>
    <w:rsid w:val="00E909A2"/>
    <w:rsid w:val="00E91F60"/>
    <w:rsid w:val="00E92C2C"/>
    <w:rsid w:val="00E92CD7"/>
    <w:rsid w:val="00E9302B"/>
    <w:rsid w:val="00E94EC8"/>
    <w:rsid w:val="00E95115"/>
    <w:rsid w:val="00E96407"/>
    <w:rsid w:val="00E96B97"/>
    <w:rsid w:val="00E96BD7"/>
    <w:rsid w:val="00EA037F"/>
    <w:rsid w:val="00EA11F8"/>
    <w:rsid w:val="00EA13B5"/>
    <w:rsid w:val="00EA221B"/>
    <w:rsid w:val="00EA25C7"/>
    <w:rsid w:val="00EA26CF"/>
    <w:rsid w:val="00EA2900"/>
    <w:rsid w:val="00EA38B6"/>
    <w:rsid w:val="00EA3C73"/>
    <w:rsid w:val="00EA4185"/>
    <w:rsid w:val="00EA689F"/>
    <w:rsid w:val="00EA6A8C"/>
    <w:rsid w:val="00EA72A9"/>
    <w:rsid w:val="00EB0615"/>
    <w:rsid w:val="00EB0FD8"/>
    <w:rsid w:val="00EB1D98"/>
    <w:rsid w:val="00EB22B5"/>
    <w:rsid w:val="00EB272E"/>
    <w:rsid w:val="00EB2D4C"/>
    <w:rsid w:val="00EB30A0"/>
    <w:rsid w:val="00EB3A65"/>
    <w:rsid w:val="00EB640C"/>
    <w:rsid w:val="00EB6693"/>
    <w:rsid w:val="00EC1816"/>
    <w:rsid w:val="00EC1A99"/>
    <w:rsid w:val="00EC2428"/>
    <w:rsid w:val="00EC2F7C"/>
    <w:rsid w:val="00EC4264"/>
    <w:rsid w:val="00EC5311"/>
    <w:rsid w:val="00EC59D3"/>
    <w:rsid w:val="00EC692C"/>
    <w:rsid w:val="00EC6E09"/>
    <w:rsid w:val="00EC7316"/>
    <w:rsid w:val="00ED0D85"/>
    <w:rsid w:val="00ED1897"/>
    <w:rsid w:val="00ED20EA"/>
    <w:rsid w:val="00ED3583"/>
    <w:rsid w:val="00ED461A"/>
    <w:rsid w:val="00ED4AFC"/>
    <w:rsid w:val="00ED51DC"/>
    <w:rsid w:val="00ED671E"/>
    <w:rsid w:val="00EE072E"/>
    <w:rsid w:val="00EE15A1"/>
    <w:rsid w:val="00EE3473"/>
    <w:rsid w:val="00EE3D84"/>
    <w:rsid w:val="00EF187A"/>
    <w:rsid w:val="00EF2AEB"/>
    <w:rsid w:val="00EF2CBE"/>
    <w:rsid w:val="00EF4735"/>
    <w:rsid w:val="00EF5A2C"/>
    <w:rsid w:val="00EF6F21"/>
    <w:rsid w:val="00EF7871"/>
    <w:rsid w:val="00F00002"/>
    <w:rsid w:val="00F01ED1"/>
    <w:rsid w:val="00F02530"/>
    <w:rsid w:val="00F02BCE"/>
    <w:rsid w:val="00F0314B"/>
    <w:rsid w:val="00F05559"/>
    <w:rsid w:val="00F06C6E"/>
    <w:rsid w:val="00F06F65"/>
    <w:rsid w:val="00F07AE1"/>
    <w:rsid w:val="00F1065C"/>
    <w:rsid w:val="00F10692"/>
    <w:rsid w:val="00F14E1B"/>
    <w:rsid w:val="00F20513"/>
    <w:rsid w:val="00F219AF"/>
    <w:rsid w:val="00F229F7"/>
    <w:rsid w:val="00F22B4C"/>
    <w:rsid w:val="00F23591"/>
    <w:rsid w:val="00F24830"/>
    <w:rsid w:val="00F24F96"/>
    <w:rsid w:val="00F27390"/>
    <w:rsid w:val="00F30FDC"/>
    <w:rsid w:val="00F316BD"/>
    <w:rsid w:val="00F31CF2"/>
    <w:rsid w:val="00F3226A"/>
    <w:rsid w:val="00F32E0B"/>
    <w:rsid w:val="00F33C62"/>
    <w:rsid w:val="00F34E17"/>
    <w:rsid w:val="00F353FE"/>
    <w:rsid w:val="00F35F53"/>
    <w:rsid w:val="00F36C53"/>
    <w:rsid w:val="00F36F65"/>
    <w:rsid w:val="00F40E6F"/>
    <w:rsid w:val="00F41882"/>
    <w:rsid w:val="00F4529C"/>
    <w:rsid w:val="00F46447"/>
    <w:rsid w:val="00F518D2"/>
    <w:rsid w:val="00F54142"/>
    <w:rsid w:val="00F573B4"/>
    <w:rsid w:val="00F578D2"/>
    <w:rsid w:val="00F6005B"/>
    <w:rsid w:val="00F6060C"/>
    <w:rsid w:val="00F64AB8"/>
    <w:rsid w:val="00F6511D"/>
    <w:rsid w:val="00F664B0"/>
    <w:rsid w:val="00F673B7"/>
    <w:rsid w:val="00F70011"/>
    <w:rsid w:val="00F70CF8"/>
    <w:rsid w:val="00F75439"/>
    <w:rsid w:val="00F7595E"/>
    <w:rsid w:val="00F76392"/>
    <w:rsid w:val="00F77FCD"/>
    <w:rsid w:val="00F81585"/>
    <w:rsid w:val="00F81DFE"/>
    <w:rsid w:val="00F85578"/>
    <w:rsid w:val="00F85A4F"/>
    <w:rsid w:val="00F86558"/>
    <w:rsid w:val="00F865F1"/>
    <w:rsid w:val="00F86670"/>
    <w:rsid w:val="00F91F56"/>
    <w:rsid w:val="00F92300"/>
    <w:rsid w:val="00F92406"/>
    <w:rsid w:val="00F92876"/>
    <w:rsid w:val="00F941F3"/>
    <w:rsid w:val="00F94A41"/>
    <w:rsid w:val="00F95715"/>
    <w:rsid w:val="00F95AAE"/>
    <w:rsid w:val="00F96821"/>
    <w:rsid w:val="00F969CD"/>
    <w:rsid w:val="00F9747E"/>
    <w:rsid w:val="00FA0273"/>
    <w:rsid w:val="00FA076F"/>
    <w:rsid w:val="00FA0DC7"/>
    <w:rsid w:val="00FA11D9"/>
    <w:rsid w:val="00FA21E7"/>
    <w:rsid w:val="00FA59E0"/>
    <w:rsid w:val="00FB008A"/>
    <w:rsid w:val="00FB0530"/>
    <w:rsid w:val="00FB06D4"/>
    <w:rsid w:val="00FB0FD6"/>
    <w:rsid w:val="00FB2D8C"/>
    <w:rsid w:val="00FB3C6C"/>
    <w:rsid w:val="00FB45CA"/>
    <w:rsid w:val="00FB5D57"/>
    <w:rsid w:val="00FC02FD"/>
    <w:rsid w:val="00FC0BCD"/>
    <w:rsid w:val="00FC14DF"/>
    <w:rsid w:val="00FC3428"/>
    <w:rsid w:val="00FC50DC"/>
    <w:rsid w:val="00FC765E"/>
    <w:rsid w:val="00FC7710"/>
    <w:rsid w:val="00FC7F35"/>
    <w:rsid w:val="00FD0496"/>
    <w:rsid w:val="00FD0EC9"/>
    <w:rsid w:val="00FD41A0"/>
    <w:rsid w:val="00FD422A"/>
    <w:rsid w:val="00FD46F2"/>
    <w:rsid w:val="00FD56E5"/>
    <w:rsid w:val="00FD6FCF"/>
    <w:rsid w:val="00FD7282"/>
    <w:rsid w:val="00FD7303"/>
    <w:rsid w:val="00FE0C0A"/>
    <w:rsid w:val="00FE14FA"/>
    <w:rsid w:val="00FE2697"/>
    <w:rsid w:val="00FE26AA"/>
    <w:rsid w:val="00FE27ED"/>
    <w:rsid w:val="00FE3403"/>
    <w:rsid w:val="00FE44B6"/>
    <w:rsid w:val="00FE57B0"/>
    <w:rsid w:val="00FE678A"/>
    <w:rsid w:val="00FE681F"/>
    <w:rsid w:val="00FE7075"/>
    <w:rsid w:val="00FF1A23"/>
    <w:rsid w:val="00FF2A30"/>
    <w:rsid w:val="00FF38B6"/>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990C19-CAFE-4B5F-AEAC-B5B6DDC9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F2"/>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uiPriority w:val="99"/>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77326275">
      <w:bodyDiv w:val="1"/>
      <w:marLeft w:val="0"/>
      <w:marRight w:val="0"/>
      <w:marTop w:val="0"/>
      <w:marBottom w:val="0"/>
      <w:divBdr>
        <w:top w:val="none" w:sz="0" w:space="0" w:color="auto"/>
        <w:left w:val="none" w:sz="0" w:space="0" w:color="auto"/>
        <w:bottom w:val="none" w:sz="0" w:space="0" w:color="auto"/>
        <w:right w:val="none" w:sz="0" w:space="0" w:color="auto"/>
      </w:divBdr>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98785626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14402537">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686176827">
      <w:bodyDiv w:val="1"/>
      <w:marLeft w:val="0"/>
      <w:marRight w:val="0"/>
      <w:marTop w:val="0"/>
      <w:marBottom w:val="0"/>
      <w:divBdr>
        <w:top w:val="none" w:sz="0" w:space="0" w:color="auto"/>
        <w:left w:val="none" w:sz="0" w:space="0" w:color="auto"/>
        <w:bottom w:val="none" w:sz="0" w:space="0" w:color="auto"/>
        <w:right w:val="none" w:sz="0" w:space="0" w:color="auto"/>
      </w:divBdr>
    </w:div>
    <w:div w:id="1699745086">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029984919">
      <w:bodyDiv w:val="1"/>
      <w:marLeft w:val="0"/>
      <w:marRight w:val="0"/>
      <w:marTop w:val="0"/>
      <w:marBottom w:val="0"/>
      <w:divBdr>
        <w:top w:val="none" w:sz="0" w:space="0" w:color="auto"/>
        <w:left w:val="none" w:sz="0" w:space="0" w:color="auto"/>
        <w:bottom w:val="none" w:sz="0" w:space="0" w:color="auto"/>
        <w:right w:val="none" w:sz="0" w:space="0" w:color="auto"/>
      </w:divBdr>
    </w:div>
    <w:div w:id="2104297295">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2676E-E466-4B4F-961B-631C0BA7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TotalTime>
  <Pages>11</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18548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Mokone</cp:lastModifiedBy>
  <cp:revision>3</cp:revision>
  <cp:lastPrinted>2020-07-13T10:37:00Z</cp:lastPrinted>
  <dcterms:created xsi:type="dcterms:W3CDTF">2023-06-08T06:46:00Z</dcterms:created>
  <dcterms:modified xsi:type="dcterms:W3CDTF">2023-06-08T06:47:00Z</dcterms:modified>
</cp:coreProperties>
</file>