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86EF" w14:textId="15803670" w:rsidR="00857618" w:rsidRPr="005B15E4" w:rsidRDefault="00857618" w:rsidP="00857618">
      <w:pPr>
        <w:rPr>
          <w:rFonts w:ascii="Arial" w:hAnsi="Arial" w:cs="Arial"/>
          <w:b/>
          <w:sz w:val="24"/>
          <w:szCs w:val="24"/>
        </w:rPr>
      </w:pPr>
      <w:bookmarkStart w:id="0" w:name="_GoBack"/>
      <w:bookmarkEnd w:id="0"/>
      <w:r>
        <w:rPr>
          <w:rFonts w:ascii="Arial" w:hAnsi="Arial" w:cs="Arial"/>
          <w:b/>
          <w:sz w:val="24"/>
          <w:szCs w:val="24"/>
        </w:rPr>
        <w:t xml:space="preserve">              </w:t>
      </w:r>
      <w:r w:rsidR="003C64FD">
        <w:rPr>
          <w:rFonts w:ascii="Arial" w:hAnsi="Arial" w:cs="Arial"/>
          <w:b/>
          <w:sz w:val="24"/>
          <w:szCs w:val="24"/>
        </w:rPr>
        <w:t xml:space="preserve">                              </w:t>
      </w:r>
      <w:r w:rsidRPr="005B15E4">
        <w:rPr>
          <w:rFonts w:ascii="Arial" w:hAnsi="Arial" w:cs="Arial"/>
          <w:b/>
          <w:sz w:val="24"/>
          <w:szCs w:val="24"/>
        </w:rPr>
        <w:t>REPUBLIC OF SOUTH AFRICA</w:t>
      </w:r>
    </w:p>
    <w:p w14:paraId="11397C08" w14:textId="77777777" w:rsidR="00857618" w:rsidRPr="005B15E4" w:rsidRDefault="00857618" w:rsidP="00857618">
      <w:pPr>
        <w:jc w:val="center"/>
        <w:rPr>
          <w:rFonts w:ascii="Arial Black" w:hAnsi="Arial Black"/>
          <w:b/>
          <w:sz w:val="24"/>
          <w:szCs w:val="24"/>
        </w:rPr>
      </w:pPr>
      <w:r w:rsidRPr="005B15E4">
        <w:rPr>
          <w:rFonts w:ascii="Arial Black" w:hAnsi="Arial Black"/>
          <w:b/>
          <w:noProof/>
          <w:sz w:val="24"/>
          <w:szCs w:val="24"/>
          <w:lang w:val="en-US"/>
        </w:rPr>
        <w:drawing>
          <wp:inline distT="0" distB="0" distL="0" distR="0" wp14:anchorId="4762CCDA" wp14:editId="345999D8">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5580663" w14:textId="77777777" w:rsidR="00857618" w:rsidRPr="005B15E4" w:rsidRDefault="00857618" w:rsidP="00857618">
      <w:pPr>
        <w:jc w:val="center"/>
        <w:rPr>
          <w:rFonts w:ascii="Arial" w:hAnsi="Arial" w:cs="Arial"/>
          <w:b/>
          <w:sz w:val="24"/>
          <w:szCs w:val="24"/>
        </w:rPr>
      </w:pPr>
      <w:r w:rsidRPr="005B15E4">
        <w:rPr>
          <w:rFonts w:ascii="Arial" w:hAnsi="Arial" w:cs="Arial"/>
          <w:b/>
          <w:sz w:val="24"/>
          <w:szCs w:val="24"/>
        </w:rPr>
        <w:t xml:space="preserve">IN THE HIGH COURT OF SOUTH AFRICA, </w:t>
      </w:r>
    </w:p>
    <w:p w14:paraId="7CF9E8BD" w14:textId="7AA06213" w:rsidR="00857618" w:rsidRPr="005B15E4" w:rsidRDefault="00857618" w:rsidP="00857618">
      <w:pPr>
        <w:rPr>
          <w:rFonts w:ascii="Arial" w:hAnsi="Arial" w:cs="Arial"/>
          <w:b/>
        </w:rPr>
      </w:pPr>
      <w:r>
        <w:rPr>
          <w:rFonts w:ascii="Arial" w:hAnsi="Arial" w:cs="Arial"/>
          <w:b/>
          <w:sz w:val="24"/>
          <w:szCs w:val="24"/>
        </w:rPr>
        <w:t xml:space="preserve">                              </w:t>
      </w:r>
      <w:r w:rsidR="00CC651A">
        <w:rPr>
          <w:rFonts w:ascii="Arial" w:hAnsi="Arial" w:cs="Arial"/>
          <w:b/>
          <w:sz w:val="24"/>
          <w:szCs w:val="24"/>
        </w:rPr>
        <w:t xml:space="preserve">    </w:t>
      </w:r>
      <w:r w:rsidRPr="005B15E4">
        <w:rPr>
          <w:rFonts w:ascii="Arial" w:hAnsi="Arial" w:cs="Arial"/>
          <w:b/>
          <w:sz w:val="24"/>
          <w:szCs w:val="24"/>
        </w:rPr>
        <w:t>GAUTENG</w:t>
      </w:r>
      <w:r w:rsidR="00CC651A">
        <w:rPr>
          <w:rFonts w:ascii="Arial" w:hAnsi="Arial" w:cs="Arial"/>
          <w:b/>
          <w:sz w:val="24"/>
          <w:szCs w:val="24"/>
        </w:rPr>
        <w:t xml:space="preserve"> </w:t>
      </w:r>
      <w:r w:rsidRPr="005B15E4">
        <w:rPr>
          <w:rFonts w:ascii="Arial" w:hAnsi="Arial" w:cs="Arial"/>
          <w:b/>
          <w:sz w:val="24"/>
          <w:szCs w:val="24"/>
        </w:rPr>
        <w:t>DIVISION</w:t>
      </w:r>
      <w:r>
        <w:rPr>
          <w:rFonts w:ascii="Arial" w:hAnsi="Arial" w:cs="Arial"/>
          <w:b/>
          <w:sz w:val="24"/>
          <w:szCs w:val="24"/>
        </w:rPr>
        <w:t>,</w:t>
      </w:r>
      <w:r w:rsidRPr="005B15E4">
        <w:rPr>
          <w:rFonts w:ascii="Arial" w:hAnsi="Arial" w:cs="Arial"/>
          <w:b/>
          <w:sz w:val="24"/>
          <w:szCs w:val="24"/>
        </w:rPr>
        <w:t xml:space="preserve"> </w:t>
      </w:r>
      <w:r>
        <w:rPr>
          <w:rFonts w:ascii="Arial" w:hAnsi="Arial" w:cs="Arial"/>
          <w:b/>
          <w:sz w:val="24"/>
          <w:szCs w:val="24"/>
        </w:rPr>
        <w:t>JOHANNESBURG</w:t>
      </w:r>
      <w:r w:rsidRPr="005B15E4">
        <w:rPr>
          <w:rFonts w:ascii="Arial" w:hAnsi="Arial" w:cs="Arial"/>
          <w:b/>
          <w:sz w:val="24"/>
          <w:szCs w:val="24"/>
        </w:rPr>
        <w:t xml:space="preserve">                                            </w:t>
      </w:r>
    </w:p>
    <w:p w14:paraId="559F2DA7" w14:textId="0DA1F35D" w:rsidR="00857618" w:rsidRPr="005B15E4"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Black" w:hAnsi="Arial Black"/>
          <w:b/>
        </w:rPr>
        <w:t xml:space="preserve">                                                                                                                      </w:t>
      </w:r>
      <w:r w:rsidRPr="005B15E4">
        <w:rPr>
          <w:rFonts w:ascii="Arial" w:hAnsi="Arial" w:cs="Arial"/>
          <w:b/>
        </w:rPr>
        <w:t>CASE NO:</w:t>
      </w:r>
      <w:r w:rsidRPr="005B15E4">
        <w:rPr>
          <w:rFonts w:ascii="Arial" w:hAnsi="Arial" w:cs="Arial"/>
          <w:b/>
          <w:caps/>
          <w:sz w:val="24"/>
          <w:szCs w:val="24"/>
        </w:rPr>
        <w:t xml:space="preserve"> </w:t>
      </w:r>
      <w:r w:rsidR="003C64FD">
        <w:rPr>
          <w:rFonts w:ascii="Arial" w:hAnsi="Arial" w:cs="Arial"/>
          <w:b/>
          <w:caps/>
          <w:sz w:val="24"/>
          <w:szCs w:val="24"/>
        </w:rPr>
        <w:t>a5025/2022</w:t>
      </w:r>
    </w:p>
    <w:p w14:paraId="56A73E3A" w14:textId="77777777" w:rsidR="00857618" w:rsidRPr="005B15E4" w:rsidRDefault="00857618" w:rsidP="00857618">
      <w:pPr>
        <w:jc w:val="both"/>
        <w:rPr>
          <w:rFonts w:ascii="Arial" w:hAnsi="Arial" w:cs="Arial"/>
          <w:b/>
        </w:rPr>
      </w:pPr>
      <w:r w:rsidRPr="005B15E4">
        <w:rPr>
          <w:rFonts w:ascii="Arial" w:hAnsi="Arial" w:cs="Arial"/>
          <w:b/>
          <w:noProof/>
          <w:lang w:val="en-US"/>
        </w:rPr>
        <mc:AlternateContent>
          <mc:Choice Requires="wps">
            <w:drawing>
              <wp:anchor distT="0" distB="0" distL="114300" distR="114300" simplePos="0" relativeHeight="251659264" behindDoc="0" locked="0" layoutInCell="1" allowOverlap="1" wp14:anchorId="6C6FB45B" wp14:editId="1466EC71">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3578BD80" w14:textId="77777777" w:rsidR="00E918E3" w:rsidRPr="002A7321" w:rsidRDefault="00E918E3" w:rsidP="00857618">
                            <w:pPr>
                              <w:jc w:val="center"/>
                              <w:rPr>
                                <w:rFonts w:ascii="Arial Black" w:hAnsi="Arial Black"/>
                                <w:b/>
                                <w:sz w:val="24"/>
                                <w:szCs w:val="24"/>
                              </w:rPr>
                            </w:pPr>
                          </w:p>
                          <w:p w14:paraId="740A9730" w14:textId="78C1E65A" w:rsidR="00E918E3" w:rsidRDefault="00BB4991" w:rsidP="00857618">
                            <w:pPr>
                              <w:numPr>
                                <w:ilvl w:val="0"/>
                                <w:numId w:val="2"/>
                              </w:numPr>
                              <w:spacing w:after="0" w:line="240" w:lineRule="auto"/>
                              <w:rPr>
                                <w:rFonts w:ascii="Century Gothic" w:hAnsi="Century Gothic"/>
                                <w:sz w:val="20"/>
                                <w:szCs w:val="20"/>
                              </w:rPr>
                            </w:pPr>
                            <w:r>
                              <w:rPr>
                                <w:rFonts w:ascii="Century Gothic" w:hAnsi="Century Gothic"/>
                                <w:sz w:val="20"/>
                                <w:szCs w:val="20"/>
                              </w:rPr>
                              <w:t>REPORTABLE:  YES</w:t>
                            </w:r>
                          </w:p>
                          <w:p w14:paraId="5556F569" w14:textId="3912CADA" w:rsidR="00E918E3" w:rsidRPr="00913F95" w:rsidRDefault="00BB4991" w:rsidP="00857618">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YES</w:t>
                            </w:r>
                          </w:p>
                          <w:p w14:paraId="0411A96B" w14:textId="34CBC304" w:rsidR="00E918E3" w:rsidRDefault="00E918E3"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349D3368" w14:textId="77777777" w:rsidR="00E918E3" w:rsidRPr="00913F95" w:rsidRDefault="00E918E3" w:rsidP="00857618">
                            <w:pPr>
                              <w:spacing w:after="0" w:line="240" w:lineRule="auto"/>
                              <w:ind w:left="900"/>
                              <w:rPr>
                                <w:rFonts w:ascii="Century Gothic" w:hAnsi="Century Gothic"/>
                                <w:sz w:val="20"/>
                                <w:szCs w:val="20"/>
                              </w:rPr>
                            </w:pPr>
                          </w:p>
                          <w:p w14:paraId="0DC9E5D7" w14:textId="71E6FC7A" w:rsidR="00E918E3" w:rsidRDefault="00E918E3" w:rsidP="00857618">
                            <w:pPr>
                              <w:rPr>
                                <w:rFonts w:ascii="Century Gothic" w:hAnsi="Century Gothic"/>
                                <w:b/>
                                <w:sz w:val="18"/>
                                <w:szCs w:val="18"/>
                              </w:rPr>
                            </w:pPr>
                            <w:r>
                              <w:rPr>
                                <w:rFonts w:ascii="Century Gothic" w:hAnsi="Century Gothic"/>
                                <w:b/>
                                <w:sz w:val="18"/>
                                <w:szCs w:val="18"/>
                              </w:rPr>
                              <w:t xml:space="preserve">      </w:t>
                            </w:r>
                            <w:r w:rsidR="00BB4991">
                              <w:rPr>
                                <w:rFonts w:ascii="Century Gothic" w:hAnsi="Century Gothic"/>
                                <w:b/>
                                <w:sz w:val="18"/>
                                <w:szCs w:val="18"/>
                              </w:rPr>
                              <w:t>7</w:t>
                            </w:r>
                            <w:r>
                              <w:rPr>
                                <w:rFonts w:ascii="Century Gothic" w:hAnsi="Century Gothic"/>
                                <w:b/>
                                <w:sz w:val="18"/>
                                <w:szCs w:val="18"/>
                              </w:rPr>
                              <w:t xml:space="preserve"> June 2023                     _______________________</w:t>
                            </w:r>
                          </w:p>
                          <w:p w14:paraId="3D2BA6B8" w14:textId="64DBC37D" w:rsidR="00E918E3" w:rsidRDefault="00E918E3" w:rsidP="00857618">
                            <w:pPr>
                              <w:rPr>
                                <w:rFonts w:ascii="Century Gothic" w:hAnsi="Century Gothic"/>
                                <w:b/>
                                <w:sz w:val="18"/>
                                <w:szCs w:val="18"/>
                              </w:rPr>
                            </w:pPr>
                            <w:r>
                              <w:rPr>
                                <w:rFonts w:ascii="Century Gothic" w:hAnsi="Century Gothic"/>
                                <w:b/>
                                <w:sz w:val="18"/>
                                <w:szCs w:val="18"/>
                              </w:rPr>
                              <w:t xml:space="preserve">                                                       </w:t>
                            </w:r>
                          </w:p>
                          <w:p w14:paraId="15832068" w14:textId="77777777" w:rsidR="00E918E3" w:rsidRDefault="00E918E3" w:rsidP="00857618">
                            <w:pPr>
                              <w:rPr>
                                <w:rFonts w:ascii="Century Gothic" w:hAnsi="Century Gothic"/>
                                <w:b/>
                                <w:sz w:val="18"/>
                                <w:szCs w:val="18"/>
                              </w:rPr>
                            </w:pPr>
                            <w:r>
                              <w:rPr>
                                <w:rFonts w:ascii="Century Gothic" w:hAnsi="Century Gothic"/>
                                <w:b/>
                                <w:sz w:val="18"/>
                                <w:szCs w:val="18"/>
                              </w:rPr>
                              <w:t xml:space="preserve">                                                        </w:t>
                            </w:r>
                          </w:p>
                          <w:p w14:paraId="627EEB34" w14:textId="77777777" w:rsidR="00E918E3" w:rsidRDefault="00E918E3" w:rsidP="00857618">
                            <w:pPr>
                              <w:rPr>
                                <w:rFonts w:ascii="Century Gothic" w:hAnsi="Century Gothic"/>
                                <w:b/>
                                <w:sz w:val="18"/>
                                <w:szCs w:val="18"/>
                              </w:rPr>
                            </w:pPr>
                          </w:p>
                          <w:p w14:paraId="3A121749" w14:textId="77777777" w:rsidR="00E918E3" w:rsidRDefault="00E918E3" w:rsidP="00857618">
                            <w:pPr>
                              <w:rPr>
                                <w:rFonts w:ascii="Century Gothic" w:hAnsi="Century Gothic"/>
                                <w:b/>
                                <w:sz w:val="18"/>
                                <w:szCs w:val="18"/>
                              </w:rPr>
                            </w:pPr>
                          </w:p>
                          <w:p w14:paraId="63142CD9" w14:textId="77777777" w:rsidR="00E918E3" w:rsidRDefault="00E918E3" w:rsidP="00857618">
                            <w:pPr>
                              <w:rPr>
                                <w:rFonts w:ascii="Century Gothic" w:hAnsi="Century Gothic"/>
                                <w:b/>
                                <w:sz w:val="18"/>
                                <w:szCs w:val="18"/>
                              </w:rPr>
                            </w:pPr>
                          </w:p>
                          <w:p w14:paraId="18097F2A" w14:textId="77777777" w:rsidR="00E918E3" w:rsidRDefault="00E918E3" w:rsidP="00857618">
                            <w:pPr>
                              <w:rPr>
                                <w:rFonts w:ascii="Century Gothic" w:hAnsi="Century Gothic"/>
                                <w:b/>
                                <w:sz w:val="18"/>
                                <w:szCs w:val="18"/>
                              </w:rPr>
                            </w:pPr>
                          </w:p>
                          <w:p w14:paraId="3F602B2D" w14:textId="77777777" w:rsidR="00E918E3" w:rsidRDefault="00E918E3"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E918E3" w:rsidRDefault="00E918E3" w:rsidP="00857618">
                            <w:pPr>
                              <w:rPr>
                                <w:rFonts w:ascii="Century Gothic" w:hAnsi="Century Gothic"/>
                                <w:b/>
                                <w:sz w:val="18"/>
                                <w:szCs w:val="18"/>
                              </w:rPr>
                            </w:pPr>
                          </w:p>
                          <w:p w14:paraId="2F22F3B5" w14:textId="77777777" w:rsidR="00E918E3" w:rsidRDefault="00E918E3" w:rsidP="00857618">
                            <w:pPr>
                              <w:rPr>
                                <w:rFonts w:ascii="Century Gothic" w:hAnsi="Century Gothic"/>
                                <w:b/>
                                <w:sz w:val="18"/>
                                <w:szCs w:val="18"/>
                              </w:rPr>
                            </w:pPr>
                          </w:p>
                          <w:p w14:paraId="6AEC3DD1" w14:textId="77777777" w:rsidR="00E918E3" w:rsidRPr="00084341" w:rsidRDefault="00E918E3"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E918E3" w:rsidRPr="00084341" w:rsidRDefault="00E918E3"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C6FB45B"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XBLQIAAFE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">
                <v:textbox>
                  <w:txbxContent>
                    <w:p w14:paraId="3578BD80" w14:textId="77777777" w:rsidR="00E918E3" w:rsidRPr="002A7321" w:rsidRDefault="00E918E3" w:rsidP="00857618">
                      <w:pPr>
                        <w:jc w:val="center"/>
                        <w:rPr>
                          <w:rFonts w:ascii="Arial Black" w:hAnsi="Arial Black"/>
                          <w:b/>
                          <w:sz w:val="24"/>
                          <w:szCs w:val="24"/>
                        </w:rPr>
                      </w:pPr>
                    </w:p>
                    <w:p w14:paraId="740A9730" w14:textId="78C1E65A" w:rsidR="00E918E3" w:rsidRDefault="00BB4991" w:rsidP="00857618">
                      <w:pPr>
                        <w:numPr>
                          <w:ilvl w:val="0"/>
                          <w:numId w:val="2"/>
                        </w:numPr>
                        <w:spacing w:after="0" w:line="240" w:lineRule="auto"/>
                        <w:rPr>
                          <w:rFonts w:ascii="Century Gothic" w:hAnsi="Century Gothic"/>
                          <w:sz w:val="20"/>
                          <w:szCs w:val="20"/>
                        </w:rPr>
                      </w:pPr>
                      <w:r>
                        <w:rPr>
                          <w:rFonts w:ascii="Century Gothic" w:hAnsi="Century Gothic"/>
                          <w:sz w:val="20"/>
                          <w:szCs w:val="20"/>
                        </w:rPr>
                        <w:t>REPORTABLE:  YES</w:t>
                      </w:r>
                    </w:p>
                    <w:p w14:paraId="5556F569" w14:textId="3912CADA" w:rsidR="00E918E3" w:rsidRPr="00913F95" w:rsidRDefault="00BB4991" w:rsidP="00857618">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YES</w:t>
                      </w:r>
                    </w:p>
                    <w:p w14:paraId="0411A96B" w14:textId="34CBC304" w:rsidR="00E918E3" w:rsidRDefault="00E918E3"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349D3368" w14:textId="77777777" w:rsidR="00E918E3" w:rsidRPr="00913F95" w:rsidRDefault="00E918E3" w:rsidP="00857618">
                      <w:pPr>
                        <w:spacing w:after="0" w:line="240" w:lineRule="auto"/>
                        <w:ind w:left="900"/>
                        <w:rPr>
                          <w:rFonts w:ascii="Century Gothic" w:hAnsi="Century Gothic"/>
                          <w:sz w:val="20"/>
                          <w:szCs w:val="20"/>
                        </w:rPr>
                      </w:pPr>
                    </w:p>
                    <w:p w14:paraId="0DC9E5D7" w14:textId="71E6FC7A" w:rsidR="00E918E3" w:rsidRDefault="00E918E3" w:rsidP="00857618">
                      <w:pPr>
                        <w:rPr>
                          <w:rFonts w:ascii="Century Gothic" w:hAnsi="Century Gothic"/>
                          <w:b/>
                          <w:sz w:val="18"/>
                          <w:szCs w:val="18"/>
                        </w:rPr>
                      </w:pPr>
                      <w:r>
                        <w:rPr>
                          <w:rFonts w:ascii="Century Gothic" w:hAnsi="Century Gothic"/>
                          <w:b/>
                          <w:sz w:val="18"/>
                          <w:szCs w:val="18"/>
                        </w:rPr>
                        <w:t xml:space="preserve">      </w:t>
                      </w:r>
                      <w:r w:rsidR="00BB4991">
                        <w:rPr>
                          <w:rFonts w:ascii="Century Gothic" w:hAnsi="Century Gothic"/>
                          <w:b/>
                          <w:sz w:val="18"/>
                          <w:szCs w:val="18"/>
                        </w:rPr>
                        <w:t>7</w:t>
                      </w:r>
                      <w:r>
                        <w:rPr>
                          <w:rFonts w:ascii="Century Gothic" w:hAnsi="Century Gothic"/>
                          <w:b/>
                          <w:sz w:val="18"/>
                          <w:szCs w:val="18"/>
                        </w:rPr>
                        <w:t xml:space="preserve"> June 2023                     _______________________</w:t>
                      </w:r>
                    </w:p>
                    <w:p w14:paraId="3D2BA6B8" w14:textId="64DBC37D" w:rsidR="00E918E3" w:rsidRDefault="00E918E3" w:rsidP="00857618">
                      <w:pPr>
                        <w:rPr>
                          <w:rFonts w:ascii="Century Gothic" w:hAnsi="Century Gothic"/>
                          <w:b/>
                          <w:sz w:val="18"/>
                          <w:szCs w:val="18"/>
                        </w:rPr>
                      </w:pPr>
                      <w:r>
                        <w:rPr>
                          <w:rFonts w:ascii="Century Gothic" w:hAnsi="Century Gothic"/>
                          <w:b/>
                          <w:sz w:val="18"/>
                          <w:szCs w:val="18"/>
                        </w:rPr>
                        <w:t xml:space="preserve">                                                       </w:t>
                      </w:r>
                    </w:p>
                    <w:p w14:paraId="15832068" w14:textId="77777777" w:rsidR="00E918E3" w:rsidRDefault="00E918E3" w:rsidP="00857618">
                      <w:pPr>
                        <w:rPr>
                          <w:rFonts w:ascii="Century Gothic" w:hAnsi="Century Gothic"/>
                          <w:b/>
                          <w:sz w:val="18"/>
                          <w:szCs w:val="18"/>
                        </w:rPr>
                      </w:pPr>
                      <w:r>
                        <w:rPr>
                          <w:rFonts w:ascii="Century Gothic" w:hAnsi="Century Gothic"/>
                          <w:b/>
                          <w:sz w:val="18"/>
                          <w:szCs w:val="18"/>
                        </w:rPr>
                        <w:t xml:space="preserve">                                                        </w:t>
                      </w:r>
                    </w:p>
                    <w:p w14:paraId="627EEB34" w14:textId="77777777" w:rsidR="00E918E3" w:rsidRDefault="00E918E3" w:rsidP="00857618">
                      <w:pPr>
                        <w:rPr>
                          <w:rFonts w:ascii="Century Gothic" w:hAnsi="Century Gothic"/>
                          <w:b/>
                          <w:sz w:val="18"/>
                          <w:szCs w:val="18"/>
                        </w:rPr>
                      </w:pPr>
                    </w:p>
                    <w:p w14:paraId="3A121749" w14:textId="77777777" w:rsidR="00E918E3" w:rsidRDefault="00E918E3" w:rsidP="00857618">
                      <w:pPr>
                        <w:rPr>
                          <w:rFonts w:ascii="Century Gothic" w:hAnsi="Century Gothic"/>
                          <w:b/>
                          <w:sz w:val="18"/>
                          <w:szCs w:val="18"/>
                        </w:rPr>
                      </w:pPr>
                    </w:p>
                    <w:p w14:paraId="63142CD9" w14:textId="77777777" w:rsidR="00E918E3" w:rsidRDefault="00E918E3" w:rsidP="00857618">
                      <w:pPr>
                        <w:rPr>
                          <w:rFonts w:ascii="Century Gothic" w:hAnsi="Century Gothic"/>
                          <w:b/>
                          <w:sz w:val="18"/>
                          <w:szCs w:val="18"/>
                        </w:rPr>
                      </w:pPr>
                    </w:p>
                    <w:p w14:paraId="18097F2A" w14:textId="77777777" w:rsidR="00E918E3" w:rsidRDefault="00E918E3" w:rsidP="00857618">
                      <w:pPr>
                        <w:rPr>
                          <w:rFonts w:ascii="Century Gothic" w:hAnsi="Century Gothic"/>
                          <w:b/>
                          <w:sz w:val="18"/>
                          <w:szCs w:val="18"/>
                        </w:rPr>
                      </w:pPr>
                    </w:p>
                    <w:p w14:paraId="3F602B2D" w14:textId="77777777" w:rsidR="00E918E3" w:rsidRDefault="00E918E3"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E918E3" w:rsidRDefault="00E918E3" w:rsidP="00857618">
                      <w:pPr>
                        <w:rPr>
                          <w:rFonts w:ascii="Century Gothic" w:hAnsi="Century Gothic"/>
                          <w:b/>
                          <w:sz w:val="18"/>
                          <w:szCs w:val="18"/>
                        </w:rPr>
                      </w:pPr>
                    </w:p>
                    <w:p w14:paraId="2F22F3B5" w14:textId="77777777" w:rsidR="00E918E3" w:rsidRDefault="00E918E3" w:rsidP="00857618">
                      <w:pPr>
                        <w:rPr>
                          <w:rFonts w:ascii="Century Gothic" w:hAnsi="Century Gothic"/>
                          <w:b/>
                          <w:sz w:val="18"/>
                          <w:szCs w:val="18"/>
                        </w:rPr>
                      </w:pPr>
                    </w:p>
                    <w:p w14:paraId="6AEC3DD1" w14:textId="77777777" w:rsidR="00E918E3" w:rsidRPr="00084341" w:rsidRDefault="00E918E3"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E918E3" w:rsidRPr="00084341" w:rsidRDefault="00E918E3"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690B19C0" w14:textId="77777777" w:rsidR="00857618" w:rsidRPr="005B15E4" w:rsidRDefault="00857618" w:rsidP="00857618">
      <w:pPr>
        <w:spacing w:after="0"/>
        <w:rPr>
          <w:rFonts w:ascii="Arial" w:hAnsi="Arial" w:cs="Arial"/>
          <w:b/>
          <w:sz w:val="24"/>
          <w:szCs w:val="24"/>
        </w:rPr>
      </w:pPr>
    </w:p>
    <w:p w14:paraId="69E7BD0E" w14:textId="77777777" w:rsidR="00857618" w:rsidRPr="005B15E4" w:rsidRDefault="00857618" w:rsidP="00857618">
      <w:pPr>
        <w:spacing w:after="0"/>
        <w:jc w:val="center"/>
        <w:rPr>
          <w:rFonts w:ascii="Arial" w:hAnsi="Arial" w:cs="Arial"/>
          <w:b/>
          <w:sz w:val="24"/>
          <w:szCs w:val="24"/>
        </w:rPr>
      </w:pPr>
    </w:p>
    <w:p w14:paraId="7A4CA7E9" w14:textId="77777777" w:rsidR="00857618" w:rsidRPr="005B15E4" w:rsidRDefault="00857618" w:rsidP="00857618">
      <w:pPr>
        <w:spacing w:after="0"/>
        <w:jc w:val="center"/>
        <w:rPr>
          <w:rFonts w:ascii="Arial" w:hAnsi="Arial" w:cs="Arial"/>
          <w:b/>
          <w:sz w:val="24"/>
          <w:szCs w:val="24"/>
        </w:rPr>
      </w:pPr>
    </w:p>
    <w:p w14:paraId="69D29013" w14:textId="77777777" w:rsidR="00857618" w:rsidRPr="005B15E4" w:rsidRDefault="00857618" w:rsidP="00857618">
      <w:pPr>
        <w:spacing w:after="0"/>
        <w:jc w:val="center"/>
        <w:rPr>
          <w:rFonts w:ascii="Arial" w:hAnsi="Arial" w:cs="Arial"/>
          <w:b/>
          <w:sz w:val="24"/>
          <w:szCs w:val="24"/>
        </w:rPr>
      </w:pPr>
    </w:p>
    <w:p w14:paraId="4DEE219C" w14:textId="77777777" w:rsidR="00857618" w:rsidRPr="005B15E4" w:rsidRDefault="00857618" w:rsidP="00857618">
      <w:pPr>
        <w:spacing w:after="0"/>
        <w:jc w:val="center"/>
        <w:rPr>
          <w:rFonts w:ascii="Arial" w:hAnsi="Arial" w:cs="Arial"/>
          <w:b/>
          <w:sz w:val="24"/>
          <w:szCs w:val="24"/>
        </w:rPr>
      </w:pPr>
    </w:p>
    <w:p w14:paraId="438C4F6A" w14:textId="77777777" w:rsidR="00857618" w:rsidRPr="005B15E4" w:rsidRDefault="00857618" w:rsidP="00857618">
      <w:pPr>
        <w:spacing w:after="0"/>
        <w:jc w:val="center"/>
        <w:rPr>
          <w:rFonts w:ascii="Arial" w:hAnsi="Arial" w:cs="Arial"/>
          <w:b/>
          <w:sz w:val="24"/>
          <w:szCs w:val="24"/>
        </w:rPr>
      </w:pPr>
    </w:p>
    <w:p w14:paraId="78CF6501" w14:textId="77777777" w:rsidR="00857618" w:rsidRPr="005B15E4" w:rsidRDefault="00857618" w:rsidP="00857618">
      <w:pPr>
        <w:autoSpaceDE w:val="0"/>
        <w:autoSpaceDN w:val="0"/>
        <w:adjustRightInd w:val="0"/>
        <w:spacing w:after="0" w:line="240" w:lineRule="auto"/>
        <w:rPr>
          <w:rFonts w:ascii="Arial" w:hAnsi="Arial" w:cs="Arial"/>
          <w:b/>
          <w:caps/>
          <w:sz w:val="24"/>
          <w:szCs w:val="24"/>
        </w:rPr>
      </w:pPr>
    </w:p>
    <w:p w14:paraId="381CE4A8"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159FEB44"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C1C9B83"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66415E64" w14:textId="77777777" w:rsidR="008A102F" w:rsidRPr="0065390B" w:rsidRDefault="008A102F" w:rsidP="008A102F">
      <w:pPr>
        <w:autoSpaceDE w:val="0"/>
        <w:autoSpaceDN w:val="0"/>
        <w:adjustRightInd w:val="0"/>
        <w:spacing w:after="0" w:line="240" w:lineRule="auto"/>
        <w:rPr>
          <w:rFonts w:ascii="Arial" w:hAnsi="Arial" w:cs="Arial"/>
          <w:sz w:val="24"/>
          <w:szCs w:val="24"/>
        </w:rPr>
      </w:pPr>
      <w:r w:rsidRPr="0065390B">
        <w:rPr>
          <w:rFonts w:ascii="Arial" w:hAnsi="Arial" w:cs="Arial"/>
          <w:sz w:val="24"/>
          <w:szCs w:val="24"/>
        </w:rPr>
        <w:t>In the matter between:</w:t>
      </w:r>
    </w:p>
    <w:p w14:paraId="74CF0023" w14:textId="3A0239DC" w:rsidR="008A102F" w:rsidRDefault="008A102F" w:rsidP="008A102F">
      <w:pPr>
        <w:autoSpaceDE w:val="0"/>
        <w:autoSpaceDN w:val="0"/>
        <w:adjustRightInd w:val="0"/>
        <w:spacing w:after="0" w:line="240" w:lineRule="auto"/>
        <w:rPr>
          <w:rFonts w:ascii="Arial" w:hAnsi="Arial" w:cs="Arial"/>
          <w:sz w:val="24"/>
          <w:szCs w:val="24"/>
        </w:rPr>
      </w:pPr>
    </w:p>
    <w:p w14:paraId="4008CBF4" w14:textId="77777777" w:rsidR="00A65B8E" w:rsidRDefault="00A65B8E" w:rsidP="008A102F">
      <w:pPr>
        <w:autoSpaceDE w:val="0"/>
        <w:autoSpaceDN w:val="0"/>
        <w:adjustRightInd w:val="0"/>
        <w:spacing w:after="0" w:line="240" w:lineRule="auto"/>
        <w:rPr>
          <w:rFonts w:ascii="Arial" w:hAnsi="Arial" w:cs="Arial"/>
          <w:b/>
          <w:caps/>
          <w:sz w:val="24"/>
          <w:szCs w:val="24"/>
        </w:rPr>
      </w:pPr>
    </w:p>
    <w:p w14:paraId="44452870" w14:textId="34AD77BD" w:rsidR="008A102F" w:rsidRPr="00A65B8E" w:rsidRDefault="00DE0700" w:rsidP="008A102F">
      <w:pPr>
        <w:autoSpaceDE w:val="0"/>
        <w:autoSpaceDN w:val="0"/>
        <w:adjustRightInd w:val="0"/>
        <w:spacing w:after="0" w:line="240" w:lineRule="auto"/>
        <w:rPr>
          <w:rFonts w:ascii="Arial" w:hAnsi="Arial" w:cs="Arial"/>
          <w:b/>
          <w:sz w:val="24"/>
          <w:szCs w:val="24"/>
        </w:rPr>
      </w:pPr>
      <w:r>
        <w:rPr>
          <w:rFonts w:ascii="Arial" w:hAnsi="Arial" w:cs="Arial"/>
          <w:b/>
          <w:caps/>
          <w:sz w:val="24"/>
          <w:szCs w:val="24"/>
        </w:rPr>
        <w:t>MDLALOSE MDUDUZI ISHMAEL</w:t>
      </w:r>
      <w:r w:rsidR="00A65B8E">
        <w:rPr>
          <w:rFonts w:ascii="Arial" w:hAnsi="Arial" w:cs="Arial"/>
          <w:sz w:val="24"/>
          <w:szCs w:val="24"/>
        </w:rPr>
        <w:t xml:space="preserve"> </w:t>
      </w:r>
      <w:r w:rsidR="00186D83">
        <w:rPr>
          <w:rFonts w:ascii="Arial" w:hAnsi="Arial" w:cs="Arial"/>
          <w:sz w:val="24"/>
          <w:szCs w:val="24"/>
        </w:rPr>
        <w:tab/>
      </w:r>
      <w:r w:rsidR="00186D83">
        <w:rPr>
          <w:rFonts w:ascii="Arial" w:hAnsi="Arial" w:cs="Arial"/>
          <w:sz w:val="24"/>
          <w:szCs w:val="24"/>
        </w:rPr>
        <w:tab/>
      </w:r>
      <w:r w:rsidR="00186D83" w:rsidRPr="00A65B8E">
        <w:rPr>
          <w:rFonts w:ascii="Arial" w:hAnsi="Arial" w:cs="Arial"/>
          <w:b/>
          <w:sz w:val="24"/>
          <w:szCs w:val="24"/>
        </w:rPr>
        <w:t xml:space="preserve">    </w:t>
      </w:r>
      <w:r w:rsidR="00A65B8E" w:rsidRPr="00A65B8E">
        <w:rPr>
          <w:rFonts w:ascii="Arial" w:hAnsi="Arial" w:cs="Arial"/>
          <w:b/>
          <w:sz w:val="24"/>
          <w:szCs w:val="24"/>
        </w:rPr>
        <w:t xml:space="preserve">                            </w:t>
      </w:r>
      <w:r w:rsidR="00A65B8E">
        <w:rPr>
          <w:rFonts w:ascii="Arial" w:hAnsi="Arial" w:cs="Arial"/>
          <w:b/>
          <w:sz w:val="24"/>
          <w:szCs w:val="24"/>
        </w:rPr>
        <w:t xml:space="preserve">         </w:t>
      </w:r>
      <w:r w:rsidR="008A102F" w:rsidRPr="00A65B8E">
        <w:rPr>
          <w:rFonts w:ascii="Arial" w:hAnsi="Arial" w:cs="Arial"/>
          <w:b/>
          <w:sz w:val="24"/>
          <w:szCs w:val="24"/>
        </w:rPr>
        <w:t xml:space="preserve"> </w:t>
      </w:r>
      <w:r w:rsidR="0065390B" w:rsidRPr="00DE0700">
        <w:rPr>
          <w:rFonts w:ascii="Arial" w:hAnsi="Arial" w:cs="Arial"/>
          <w:sz w:val="24"/>
          <w:szCs w:val="24"/>
        </w:rPr>
        <w:t>A</w:t>
      </w:r>
      <w:r w:rsidR="008A102F" w:rsidRPr="00DE0700">
        <w:rPr>
          <w:rFonts w:ascii="Arial" w:hAnsi="Arial" w:cs="Arial"/>
          <w:sz w:val="24"/>
          <w:szCs w:val="24"/>
        </w:rPr>
        <w:t>pp</w:t>
      </w:r>
      <w:r w:rsidR="00186D83" w:rsidRPr="00DE0700">
        <w:rPr>
          <w:rFonts w:ascii="Arial" w:hAnsi="Arial" w:cs="Arial"/>
          <w:sz w:val="24"/>
          <w:szCs w:val="24"/>
        </w:rPr>
        <w:t xml:space="preserve">ellant </w:t>
      </w:r>
    </w:p>
    <w:p w14:paraId="2C2D35EB" w14:textId="77777777" w:rsidR="008A102F" w:rsidRPr="0065390B" w:rsidRDefault="008A102F" w:rsidP="008A102F">
      <w:pPr>
        <w:autoSpaceDE w:val="0"/>
        <w:autoSpaceDN w:val="0"/>
        <w:adjustRightInd w:val="0"/>
        <w:spacing w:after="0" w:line="240" w:lineRule="auto"/>
        <w:rPr>
          <w:rFonts w:ascii="Arial" w:hAnsi="Arial" w:cs="Arial"/>
          <w:sz w:val="24"/>
          <w:szCs w:val="24"/>
        </w:rPr>
      </w:pPr>
    </w:p>
    <w:p w14:paraId="235281DD" w14:textId="77777777" w:rsidR="00A65B8E" w:rsidRDefault="00A65B8E" w:rsidP="008A102F">
      <w:pPr>
        <w:autoSpaceDE w:val="0"/>
        <w:autoSpaceDN w:val="0"/>
        <w:adjustRightInd w:val="0"/>
        <w:spacing w:after="0" w:line="240" w:lineRule="auto"/>
        <w:rPr>
          <w:rFonts w:ascii="Arial" w:hAnsi="Arial" w:cs="Arial"/>
          <w:sz w:val="24"/>
          <w:szCs w:val="24"/>
        </w:rPr>
      </w:pPr>
    </w:p>
    <w:p w14:paraId="52DD270E" w14:textId="7409496B" w:rsidR="008A102F" w:rsidRPr="0065390B"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8A102F" w:rsidRPr="0065390B">
        <w:rPr>
          <w:rFonts w:ascii="Arial" w:hAnsi="Arial" w:cs="Arial"/>
          <w:sz w:val="24"/>
          <w:szCs w:val="24"/>
        </w:rPr>
        <w:t>nd</w:t>
      </w:r>
    </w:p>
    <w:p w14:paraId="09303801" w14:textId="1A195871" w:rsidR="008A102F" w:rsidRDefault="008A102F" w:rsidP="008A102F">
      <w:pPr>
        <w:autoSpaceDE w:val="0"/>
        <w:autoSpaceDN w:val="0"/>
        <w:adjustRightInd w:val="0"/>
        <w:spacing w:after="0" w:line="240" w:lineRule="auto"/>
        <w:rPr>
          <w:rFonts w:ascii="Arial" w:hAnsi="Arial" w:cs="Arial"/>
          <w:sz w:val="24"/>
          <w:szCs w:val="24"/>
        </w:rPr>
      </w:pPr>
    </w:p>
    <w:p w14:paraId="5962AFE1" w14:textId="77777777" w:rsidR="0065390B" w:rsidRPr="0065390B" w:rsidRDefault="0065390B" w:rsidP="008A102F">
      <w:pPr>
        <w:autoSpaceDE w:val="0"/>
        <w:autoSpaceDN w:val="0"/>
        <w:adjustRightInd w:val="0"/>
        <w:spacing w:after="0" w:line="240" w:lineRule="auto"/>
        <w:rPr>
          <w:rFonts w:ascii="Arial" w:hAnsi="Arial" w:cs="Arial"/>
          <w:sz w:val="24"/>
          <w:szCs w:val="24"/>
        </w:rPr>
      </w:pPr>
    </w:p>
    <w:p w14:paraId="281935D0" w14:textId="58CFA3FA" w:rsidR="00DE0700" w:rsidRDefault="00DE0700" w:rsidP="00DE0700">
      <w:pPr>
        <w:autoSpaceDE w:val="0"/>
        <w:autoSpaceDN w:val="0"/>
        <w:adjustRightInd w:val="0"/>
        <w:spacing w:after="120" w:line="240" w:lineRule="auto"/>
        <w:rPr>
          <w:rFonts w:ascii="Arial" w:hAnsi="Arial" w:cs="Arial"/>
          <w:b/>
          <w:sz w:val="24"/>
          <w:szCs w:val="24"/>
        </w:rPr>
      </w:pPr>
      <w:r>
        <w:rPr>
          <w:rFonts w:ascii="Arial" w:hAnsi="Arial" w:cs="Arial"/>
          <w:b/>
          <w:sz w:val="24"/>
          <w:szCs w:val="24"/>
        </w:rPr>
        <w:t xml:space="preserve">DOCTOR BRENDAN LUNE MEDICAL PRACTICE                         </w:t>
      </w:r>
      <w:r w:rsidR="00AD1CD4">
        <w:rPr>
          <w:rFonts w:ascii="Arial" w:hAnsi="Arial" w:cs="Arial"/>
          <w:b/>
          <w:sz w:val="24"/>
          <w:szCs w:val="24"/>
        </w:rPr>
        <w:t xml:space="preserve">  </w:t>
      </w:r>
      <w:r>
        <w:rPr>
          <w:rFonts w:ascii="Arial" w:hAnsi="Arial" w:cs="Arial"/>
          <w:b/>
          <w:sz w:val="24"/>
          <w:szCs w:val="24"/>
        </w:rPr>
        <w:t xml:space="preserve"> </w:t>
      </w:r>
      <w:r w:rsidRPr="00AD1CD4">
        <w:rPr>
          <w:rFonts w:ascii="Arial" w:hAnsi="Arial" w:cs="Arial"/>
          <w:sz w:val="24"/>
          <w:szCs w:val="24"/>
        </w:rPr>
        <w:t>1</w:t>
      </w:r>
      <w:r w:rsidRPr="00AD1CD4">
        <w:rPr>
          <w:rFonts w:ascii="Arial" w:hAnsi="Arial" w:cs="Arial"/>
          <w:sz w:val="24"/>
          <w:szCs w:val="24"/>
          <w:vertAlign w:val="superscript"/>
        </w:rPr>
        <w:t>st</w:t>
      </w:r>
      <w:r w:rsidRPr="00AD1CD4">
        <w:rPr>
          <w:rFonts w:ascii="Arial" w:hAnsi="Arial" w:cs="Arial"/>
          <w:sz w:val="24"/>
          <w:szCs w:val="24"/>
        </w:rPr>
        <w:t xml:space="preserve"> Respondent</w:t>
      </w:r>
    </w:p>
    <w:p w14:paraId="6D5D2FF5" w14:textId="68F358C2" w:rsidR="00DE0700" w:rsidRDefault="00DE0700" w:rsidP="00DE0700">
      <w:pPr>
        <w:autoSpaceDE w:val="0"/>
        <w:autoSpaceDN w:val="0"/>
        <w:adjustRightInd w:val="0"/>
        <w:spacing w:after="120" w:line="240" w:lineRule="auto"/>
        <w:rPr>
          <w:rFonts w:ascii="Arial" w:hAnsi="Arial" w:cs="Arial"/>
          <w:b/>
          <w:sz w:val="24"/>
          <w:szCs w:val="24"/>
        </w:rPr>
      </w:pPr>
      <w:r>
        <w:rPr>
          <w:rFonts w:ascii="Arial" w:hAnsi="Arial" w:cs="Arial"/>
          <w:b/>
          <w:sz w:val="24"/>
          <w:szCs w:val="24"/>
        </w:rPr>
        <w:t xml:space="preserve">DOCTOR NATASHA FAKIR                                                              </w:t>
      </w:r>
      <w:r w:rsidR="00AD1CD4">
        <w:rPr>
          <w:rFonts w:ascii="Arial" w:hAnsi="Arial" w:cs="Arial"/>
          <w:b/>
          <w:sz w:val="24"/>
          <w:szCs w:val="24"/>
        </w:rPr>
        <w:t xml:space="preserve">  </w:t>
      </w:r>
      <w:r w:rsidRPr="00AD1CD4">
        <w:rPr>
          <w:rFonts w:ascii="Arial" w:hAnsi="Arial" w:cs="Arial"/>
          <w:sz w:val="24"/>
          <w:szCs w:val="24"/>
        </w:rPr>
        <w:t>2</w:t>
      </w:r>
      <w:r w:rsidRPr="00AD1CD4">
        <w:rPr>
          <w:rFonts w:ascii="Arial" w:hAnsi="Arial" w:cs="Arial"/>
          <w:sz w:val="24"/>
          <w:szCs w:val="24"/>
          <w:vertAlign w:val="superscript"/>
        </w:rPr>
        <w:t>nd</w:t>
      </w:r>
      <w:r w:rsidRPr="00AD1CD4">
        <w:rPr>
          <w:rFonts w:ascii="Arial" w:hAnsi="Arial" w:cs="Arial"/>
          <w:sz w:val="24"/>
          <w:szCs w:val="24"/>
        </w:rPr>
        <w:t xml:space="preserve"> Respondent</w:t>
      </w:r>
    </w:p>
    <w:p w14:paraId="056FEAE2" w14:textId="0E3D7C20" w:rsidR="00D6244E" w:rsidRDefault="00DE0700" w:rsidP="00DE0700">
      <w:pPr>
        <w:autoSpaceDE w:val="0"/>
        <w:autoSpaceDN w:val="0"/>
        <w:adjustRightInd w:val="0"/>
        <w:spacing w:after="120" w:line="240" w:lineRule="auto"/>
        <w:rPr>
          <w:rFonts w:ascii="Arial" w:hAnsi="Arial" w:cs="Arial"/>
          <w:b/>
          <w:sz w:val="24"/>
          <w:szCs w:val="24"/>
        </w:rPr>
      </w:pPr>
      <w:r>
        <w:rPr>
          <w:rFonts w:ascii="Arial" w:hAnsi="Arial" w:cs="Arial"/>
          <w:b/>
          <w:sz w:val="24"/>
          <w:szCs w:val="24"/>
        </w:rPr>
        <w:t xml:space="preserve">DOCTOR BRENDAN SEAN BLAIR                                                   </w:t>
      </w:r>
      <w:r w:rsidR="00AD1CD4">
        <w:rPr>
          <w:rFonts w:ascii="Arial" w:hAnsi="Arial" w:cs="Arial"/>
          <w:b/>
          <w:sz w:val="24"/>
          <w:szCs w:val="24"/>
        </w:rPr>
        <w:t xml:space="preserve">  </w:t>
      </w:r>
      <w:r w:rsidRPr="00AD1CD4">
        <w:rPr>
          <w:rFonts w:ascii="Arial" w:hAnsi="Arial" w:cs="Arial"/>
          <w:sz w:val="24"/>
          <w:szCs w:val="24"/>
        </w:rPr>
        <w:t>3</w:t>
      </w:r>
      <w:r w:rsidRPr="00AD1CD4">
        <w:rPr>
          <w:rFonts w:ascii="Arial" w:hAnsi="Arial" w:cs="Arial"/>
          <w:sz w:val="24"/>
          <w:szCs w:val="24"/>
          <w:vertAlign w:val="superscript"/>
        </w:rPr>
        <w:t>rd</w:t>
      </w:r>
      <w:r w:rsidRPr="00AD1CD4">
        <w:rPr>
          <w:rFonts w:ascii="Arial" w:hAnsi="Arial" w:cs="Arial"/>
          <w:sz w:val="24"/>
          <w:szCs w:val="24"/>
        </w:rPr>
        <w:t xml:space="preserve"> Respondent</w:t>
      </w:r>
      <w:r w:rsidR="00A532A3">
        <w:rPr>
          <w:rFonts w:ascii="Arial" w:hAnsi="Arial" w:cs="Arial"/>
          <w:b/>
          <w:sz w:val="24"/>
          <w:szCs w:val="24"/>
        </w:rPr>
        <w:t xml:space="preserve"> </w:t>
      </w:r>
    </w:p>
    <w:p w14:paraId="67CF9AE9" w14:textId="77777777" w:rsidR="00400982" w:rsidRDefault="00400982" w:rsidP="00DE0700">
      <w:pPr>
        <w:autoSpaceDE w:val="0"/>
        <w:autoSpaceDN w:val="0"/>
        <w:adjustRightInd w:val="0"/>
        <w:spacing w:after="120" w:line="240" w:lineRule="auto"/>
        <w:rPr>
          <w:rFonts w:ascii="Arial" w:hAnsi="Arial" w:cs="Arial"/>
          <w:b/>
          <w:sz w:val="24"/>
          <w:szCs w:val="24"/>
        </w:rPr>
      </w:pPr>
    </w:p>
    <w:p w14:paraId="19E131C4" w14:textId="73E78CB5" w:rsidR="008A102F" w:rsidRPr="00400982" w:rsidRDefault="002107EB" w:rsidP="00DE0700">
      <w:pPr>
        <w:autoSpaceDE w:val="0"/>
        <w:autoSpaceDN w:val="0"/>
        <w:adjustRightInd w:val="0"/>
        <w:spacing w:after="120" w:line="240" w:lineRule="auto"/>
        <w:rPr>
          <w:rFonts w:ascii="Arial" w:hAnsi="Arial" w:cs="Arial"/>
          <w:i/>
          <w:sz w:val="24"/>
          <w:szCs w:val="24"/>
        </w:rPr>
      </w:pPr>
      <w:r w:rsidRPr="00202D44">
        <w:rPr>
          <w:rFonts w:ascii="Arial" w:hAnsi="Arial" w:cs="Arial"/>
          <w:b/>
          <w:sz w:val="24"/>
          <w:szCs w:val="24"/>
        </w:rPr>
        <w:t>Neutral Citation</w:t>
      </w:r>
      <w:r w:rsidRPr="00197AEE">
        <w:rPr>
          <w:rFonts w:ascii="Arial" w:hAnsi="Arial" w:cs="Arial"/>
          <w:i/>
          <w:sz w:val="24"/>
          <w:szCs w:val="24"/>
        </w:rPr>
        <w:t xml:space="preserve">: Mdlalose Mduduzi Ishmael v Doctor Brendan Lune Medical Practise &amp;Others (Case No: A5025/2022 [2023] ZAGPJHC 657 (07 June 2023)                                              </w:t>
      </w:r>
      <w:r w:rsidR="00A532A3">
        <w:rPr>
          <w:rFonts w:ascii="Arial" w:hAnsi="Arial" w:cs="Arial"/>
          <w:b/>
          <w:sz w:val="24"/>
          <w:szCs w:val="24"/>
        </w:rPr>
        <w:t xml:space="preserve"> </w:t>
      </w:r>
      <w:r w:rsidR="00DE0700">
        <w:rPr>
          <w:rFonts w:ascii="Arial" w:hAnsi="Arial" w:cs="Arial"/>
          <w:b/>
          <w:sz w:val="24"/>
          <w:szCs w:val="24"/>
        </w:rPr>
        <w:t xml:space="preserve"> </w:t>
      </w:r>
      <w:r w:rsidR="00A65B8E">
        <w:rPr>
          <w:rFonts w:ascii="Arial" w:hAnsi="Arial" w:cs="Arial"/>
          <w:sz w:val="24"/>
          <w:szCs w:val="24"/>
        </w:rPr>
        <w:t xml:space="preserve">                                              </w:t>
      </w:r>
      <w:r w:rsidR="00A751A1">
        <w:rPr>
          <w:rFonts w:ascii="Arial" w:hAnsi="Arial" w:cs="Arial"/>
          <w:sz w:val="24"/>
          <w:szCs w:val="24"/>
        </w:rPr>
        <w:t xml:space="preserve">  </w:t>
      </w:r>
      <w:r w:rsidR="00A65B8E">
        <w:rPr>
          <w:rFonts w:ascii="Arial" w:hAnsi="Arial" w:cs="Arial"/>
          <w:sz w:val="24"/>
          <w:szCs w:val="24"/>
        </w:rPr>
        <w:t xml:space="preserve"> </w:t>
      </w:r>
    </w:p>
    <w:p w14:paraId="6B6BDC98" w14:textId="47CA9D05"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4939688F" w14:textId="77777777" w:rsidR="0065390B" w:rsidRPr="0065390B" w:rsidRDefault="0065390B" w:rsidP="008A102F">
      <w:pPr>
        <w:autoSpaceDE w:val="0"/>
        <w:autoSpaceDN w:val="0"/>
        <w:adjustRightInd w:val="0"/>
        <w:spacing w:after="0" w:line="240" w:lineRule="auto"/>
        <w:rPr>
          <w:rFonts w:ascii="Arial" w:hAnsi="Arial" w:cs="Arial"/>
          <w:sz w:val="24"/>
          <w:szCs w:val="24"/>
        </w:rPr>
      </w:pPr>
    </w:p>
    <w:p w14:paraId="23FAA8DC" w14:textId="14F64C1E" w:rsidR="008A102F" w:rsidRPr="0065390B" w:rsidRDefault="00D0687F" w:rsidP="0065390B">
      <w:pPr>
        <w:autoSpaceDE w:val="0"/>
        <w:autoSpaceDN w:val="0"/>
        <w:adjustRightInd w:val="0"/>
        <w:spacing w:after="0" w:line="240" w:lineRule="auto"/>
        <w:jc w:val="center"/>
        <w:rPr>
          <w:rFonts w:ascii="Arial" w:hAnsi="Arial" w:cs="Arial"/>
          <w:b/>
          <w:caps/>
          <w:sz w:val="24"/>
          <w:szCs w:val="24"/>
        </w:rPr>
      </w:pPr>
      <w:r>
        <w:rPr>
          <w:rFonts w:ascii="Arial" w:hAnsi="Arial" w:cs="Arial"/>
          <w:b/>
          <w:caps/>
          <w:sz w:val="24"/>
          <w:szCs w:val="24"/>
        </w:rPr>
        <w:t>Judg</w:t>
      </w:r>
      <w:r w:rsidR="008A102F" w:rsidRPr="0065390B">
        <w:rPr>
          <w:rFonts w:ascii="Arial" w:hAnsi="Arial" w:cs="Arial"/>
          <w:b/>
          <w:caps/>
          <w:sz w:val="24"/>
          <w:szCs w:val="24"/>
        </w:rPr>
        <w:t>ment</w:t>
      </w:r>
    </w:p>
    <w:p w14:paraId="622CBA4A" w14:textId="545AA820"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0CB66298" w14:textId="5CA03A16" w:rsidR="0065390B" w:rsidRDefault="0065390B" w:rsidP="008A102F">
      <w:pPr>
        <w:autoSpaceDE w:val="0"/>
        <w:autoSpaceDN w:val="0"/>
        <w:adjustRightInd w:val="0"/>
        <w:spacing w:after="0" w:line="240" w:lineRule="auto"/>
        <w:rPr>
          <w:rFonts w:ascii="Arial" w:hAnsi="Arial" w:cs="Arial"/>
          <w:sz w:val="24"/>
          <w:szCs w:val="24"/>
        </w:rPr>
      </w:pPr>
    </w:p>
    <w:p w14:paraId="088C66E1" w14:textId="77777777" w:rsidR="00564B79" w:rsidRDefault="00F04E53"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MDALANA-MAYISELA </w:t>
      </w:r>
      <w:r w:rsidR="00186D83">
        <w:rPr>
          <w:rFonts w:ascii="Arial" w:hAnsi="Arial" w:cs="Arial"/>
          <w:sz w:val="24"/>
          <w:szCs w:val="24"/>
        </w:rPr>
        <w:t xml:space="preserve">J </w:t>
      </w:r>
      <w:r w:rsidR="00DE1AB7">
        <w:rPr>
          <w:rFonts w:ascii="Arial" w:hAnsi="Arial" w:cs="Arial"/>
          <w:sz w:val="24"/>
          <w:szCs w:val="24"/>
        </w:rPr>
        <w:t>(</w:t>
      </w:r>
      <w:r w:rsidR="005F1162">
        <w:rPr>
          <w:rFonts w:ascii="Arial" w:hAnsi="Arial" w:cs="Arial"/>
          <w:sz w:val="24"/>
          <w:szCs w:val="24"/>
        </w:rPr>
        <w:t xml:space="preserve">Wepener J and </w:t>
      </w:r>
      <w:r>
        <w:rPr>
          <w:rFonts w:ascii="Arial" w:hAnsi="Arial" w:cs="Arial"/>
          <w:sz w:val="24"/>
          <w:szCs w:val="24"/>
        </w:rPr>
        <w:t>Dlamini J</w:t>
      </w:r>
      <w:r w:rsidR="00DE1AB7">
        <w:rPr>
          <w:rFonts w:ascii="Arial" w:hAnsi="Arial" w:cs="Arial"/>
          <w:sz w:val="24"/>
          <w:szCs w:val="24"/>
        </w:rPr>
        <w:t>)</w:t>
      </w:r>
    </w:p>
    <w:p w14:paraId="64948570" w14:textId="77777777" w:rsidR="00564B79" w:rsidRDefault="00564B79" w:rsidP="008A102F">
      <w:pPr>
        <w:autoSpaceDE w:val="0"/>
        <w:autoSpaceDN w:val="0"/>
        <w:adjustRightInd w:val="0"/>
        <w:spacing w:after="0" w:line="240" w:lineRule="auto"/>
        <w:rPr>
          <w:rFonts w:ascii="Arial" w:hAnsi="Arial" w:cs="Arial"/>
          <w:sz w:val="24"/>
          <w:szCs w:val="24"/>
        </w:rPr>
      </w:pPr>
    </w:p>
    <w:p w14:paraId="78ED2FE9" w14:textId="6A449853" w:rsidR="00186D83" w:rsidRDefault="00DE1AB7"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292DC9B7" w14:textId="14715ACD" w:rsidR="00186D83" w:rsidRPr="004960D4" w:rsidRDefault="004960D4" w:rsidP="008A102F">
      <w:pPr>
        <w:autoSpaceDE w:val="0"/>
        <w:autoSpaceDN w:val="0"/>
        <w:adjustRightInd w:val="0"/>
        <w:spacing w:after="0" w:line="240" w:lineRule="auto"/>
        <w:rPr>
          <w:rFonts w:ascii="Arial" w:hAnsi="Arial" w:cs="Arial"/>
          <w:i/>
          <w:sz w:val="24"/>
          <w:szCs w:val="24"/>
        </w:rPr>
      </w:pPr>
      <w:r w:rsidRPr="004960D4">
        <w:rPr>
          <w:rFonts w:ascii="Arial" w:hAnsi="Arial" w:cs="Arial"/>
          <w:i/>
          <w:sz w:val="24"/>
          <w:szCs w:val="24"/>
        </w:rPr>
        <w:t>Introduction</w:t>
      </w:r>
    </w:p>
    <w:p w14:paraId="78833B8D" w14:textId="77777777" w:rsidR="0065390B" w:rsidRPr="004960D4" w:rsidRDefault="0065390B" w:rsidP="008A102F">
      <w:pPr>
        <w:autoSpaceDE w:val="0"/>
        <w:autoSpaceDN w:val="0"/>
        <w:adjustRightInd w:val="0"/>
        <w:spacing w:after="0" w:line="240" w:lineRule="auto"/>
        <w:rPr>
          <w:rFonts w:ascii="Arial" w:hAnsi="Arial" w:cs="Arial"/>
          <w:i/>
          <w:sz w:val="24"/>
          <w:szCs w:val="24"/>
        </w:rPr>
      </w:pPr>
    </w:p>
    <w:p w14:paraId="68F395D4" w14:textId="5FE0E97B" w:rsidR="008A102F" w:rsidRDefault="0041525B" w:rsidP="0041525B">
      <w:pPr>
        <w:autoSpaceDE w:val="0"/>
        <w:autoSpaceDN w:val="0"/>
        <w:adjustRightInd w:val="0"/>
        <w:spacing w:after="0" w:line="360" w:lineRule="auto"/>
        <w:jc w:val="both"/>
        <w:rPr>
          <w:rFonts w:ascii="Arial" w:hAnsi="Arial" w:cs="Arial"/>
          <w:sz w:val="24"/>
          <w:szCs w:val="24"/>
        </w:rPr>
      </w:pPr>
      <w:r w:rsidRPr="0041525B">
        <w:rPr>
          <w:rFonts w:ascii="Arial" w:hAnsi="Arial" w:cs="Arial"/>
          <w:sz w:val="24"/>
          <w:szCs w:val="24"/>
        </w:rPr>
        <w:t xml:space="preserve">[1] </w:t>
      </w:r>
      <w:r w:rsidR="008A102F" w:rsidRPr="00CC3C45">
        <w:rPr>
          <w:rFonts w:ascii="Arial Nova Cond" w:hAnsi="Arial Nova Cond" w:cs="Arial"/>
          <w:sz w:val="24"/>
          <w:szCs w:val="24"/>
        </w:rPr>
        <w:t xml:space="preserve">This appeal came before us as a result of </w:t>
      </w:r>
      <w:r w:rsidR="003E4CED" w:rsidRPr="00CC3C45">
        <w:rPr>
          <w:rFonts w:ascii="Arial Nova Cond" w:hAnsi="Arial Nova Cond" w:cs="Arial"/>
          <w:sz w:val="24"/>
          <w:szCs w:val="24"/>
        </w:rPr>
        <w:t xml:space="preserve">leave being granted </w:t>
      </w:r>
      <w:r w:rsidR="00914071" w:rsidRPr="00CC3C45">
        <w:rPr>
          <w:rFonts w:ascii="Arial Nova Cond" w:hAnsi="Arial Nova Cond" w:cs="Arial"/>
          <w:sz w:val="24"/>
          <w:szCs w:val="24"/>
        </w:rPr>
        <w:t>by the court below</w:t>
      </w:r>
      <w:r w:rsidR="005D49C3" w:rsidRPr="00CC3C45">
        <w:rPr>
          <w:rFonts w:ascii="Arial Nova Cond" w:hAnsi="Arial Nova Cond" w:cs="Arial"/>
          <w:sz w:val="24"/>
          <w:szCs w:val="24"/>
        </w:rPr>
        <w:t xml:space="preserve"> </w:t>
      </w:r>
      <w:r w:rsidR="008A102F" w:rsidRPr="00CC3C45">
        <w:rPr>
          <w:rFonts w:ascii="Arial Nova Cond" w:hAnsi="Arial Nova Cond" w:cs="Arial"/>
          <w:sz w:val="24"/>
          <w:szCs w:val="24"/>
        </w:rPr>
        <w:t xml:space="preserve">to this </w:t>
      </w:r>
      <w:r w:rsidR="000F129E" w:rsidRPr="00CC3C45">
        <w:rPr>
          <w:rFonts w:ascii="Arial Nova Cond" w:hAnsi="Arial Nova Cond" w:cs="Arial"/>
          <w:sz w:val="24"/>
          <w:szCs w:val="24"/>
        </w:rPr>
        <w:t>c</w:t>
      </w:r>
      <w:r w:rsidR="000E0996" w:rsidRPr="00CC3C45">
        <w:rPr>
          <w:rFonts w:ascii="Arial Nova Cond" w:hAnsi="Arial Nova Cond" w:cs="Arial"/>
          <w:sz w:val="24"/>
          <w:szCs w:val="24"/>
        </w:rPr>
        <w:t>ourt. The appellant</w:t>
      </w:r>
      <w:r w:rsidR="008A102F" w:rsidRPr="00CC3C45">
        <w:rPr>
          <w:rFonts w:ascii="Arial Nova Cond" w:hAnsi="Arial Nova Cond" w:cs="Arial"/>
          <w:sz w:val="24"/>
          <w:szCs w:val="24"/>
        </w:rPr>
        <w:t xml:space="preserve"> </w:t>
      </w:r>
      <w:r w:rsidR="003E4CED" w:rsidRPr="00CC3C45">
        <w:rPr>
          <w:rFonts w:ascii="Arial Nova Cond" w:hAnsi="Arial Nova Cond" w:cs="Arial"/>
          <w:sz w:val="24"/>
          <w:szCs w:val="24"/>
        </w:rPr>
        <w:t xml:space="preserve">who </w:t>
      </w:r>
      <w:r w:rsidR="000E0996" w:rsidRPr="00CC3C45">
        <w:rPr>
          <w:rFonts w:ascii="Arial Nova Cond" w:hAnsi="Arial Nova Cond" w:cs="Arial"/>
          <w:sz w:val="24"/>
          <w:szCs w:val="24"/>
        </w:rPr>
        <w:t>was</w:t>
      </w:r>
      <w:r w:rsidR="008A102F" w:rsidRPr="00CC3C45">
        <w:rPr>
          <w:rFonts w:ascii="Arial Nova Cond" w:hAnsi="Arial Nova Cond" w:cs="Arial"/>
          <w:sz w:val="24"/>
          <w:szCs w:val="24"/>
        </w:rPr>
        <w:t xml:space="preserve"> </w:t>
      </w:r>
      <w:r w:rsidR="003E4CED" w:rsidRPr="00CC3C45">
        <w:rPr>
          <w:rFonts w:ascii="Arial Nova Cond" w:hAnsi="Arial Nova Cond" w:cs="Arial"/>
          <w:sz w:val="24"/>
          <w:szCs w:val="24"/>
        </w:rPr>
        <w:t xml:space="preserve">cited as </w:t>
      </w:r>
      <w:r w:rsidR="005D49C3" w:rsidRPr="00CC3C45">
        <w:rPr>
          <w:rFonts w:ascii="Arial Nova Cond" w:hAnsi="Arial Nova Cond" w:cs="Arial"/>
          <w:sz w:val="24"/>
          <w:szCs w:val="24"/>
        </w:rPr>
        <w:t>plaintiff</w:t>
      </w:r>
      <w:r w:rsidR="008A102F" w:rsidRPr="00CC3C45">
        <w:rPr>
          <w:rFonts w:ascii="Arial Nova Cond" w:hAnsi="Arial Nova Cond" w:cs="Arial"/>
          <w:sz w:val="24"/>
          <w:szCs w:val="24"/>
        </w:rPr>
        <w:t xml:space="preserve"> in the </w:t>
      </w:r>
      <w:r w:rsidR="00476C64" w:rsidRPr="00CC3C45">
        <w:rPr>
          <w:rFonts w:ascii="Arial Nova Cond" w:hAnsi="Arial Nova Cond" w:cs="Arial"/>
          <w:sz w:val="24"/>
          <w:szCs w:val="24"/>
        </w:rPr>
        <w:t>c</w:t>
      </w:r>
      <w:r w:rsidR="008A102F" w:rsidRPr="00CC3C45">
        <w:rPr>
          <w:rFonts w:ascii="Arial Nova Cond" w:hAnsi="Arial Nova Cond" w:cs="Arial"/>
          <w:sz w:val="24"/>
          <w:szCs w:val="24"/>
        </w:rPr>
        <w:t>ourt</w:t>
      </w:r>
      <w:r w:rsidR="00730F22" w:rsidRPr="00CC3C45">
        <w:rPr>
          <w:rFonts w:ascii="Arial Nova Cond" w:hAnsi="Arial Nova Cond" w:cs="Arial"/>
          <w:sz w:val="24"/>
          <w:szCs w:val="24"/>
        </w:rPr>
        <w:t xml:space="preserve"> below</w:t>
      </w:r>
      <w:r w:rsidR="008C3065" w:rsidRPr="00CC3C45">
        <w:rPr>
          <w:rFonts w:ascii="Arial Nova Cond" w:hAnsi="Arial Nova Cond" w:cs="Arial"/>
          <w:sz w:val="24"/>
          <w:szCs w:val="24"/>
        </w:rPr>
        <w:t>, is</w:t>
      </w:r>
      <w:r w:rsidR="008A102F" w:rsidRPr="00CC3C45">
        <w:rPr>
          <w:rFonts w:ascii="Arial Nova Cond" w:hAnsi="Arial Nova Cond" w:cs="Arial"/>
          <w:sz w:val="24"/>
          <w:szCs w:val="24"/>
        </w:rPr>
        <w:t xml:space="preserve"> appealing against t</w:t>
      </w:r>
      <w:r w:rsidR="00CB1FE6" w:rsidRPr="00CC3C45">
        <w:rPr>
          <w:rFonts w:ascii="Arial Nova Cond" w:hAnsi="Arial Nova Cond" w:cs="Arial"/>
          <w:sz w:val="24"/>
          <w:szCs w:val="24"/>
        </w:rPr>
        <w:t>he whole judg</w:t>
      </w:r>
      <w:r w:rsidR="008A102F" w:rsidRPr="00CC3C45">
        <w:rPr>
          <w:rFonts w:ascii="Arial Nova Cond" w:hAnsi="Arial Nova Cond" w:cs="Arial"/>
          <w:sz w:val="24"/>
          <w:szCs w:val="24"/>
        </w:rPr>
        <w:t>ment an</w:t>
      </w:r>
      <w:r w:rsidR="003E4CED" w:rsidRPr="00CC3C45">
        <w:rPr>
          <w:rFonts w:ascii="Arial Nova Cond" w:hAnsi="Arial Nova Cond" w:cs="Arial"/>
          <w:sz w:val="24"/>
          <w:szCs w:val="24"/>
        </w:rPr>
        <w:t>d</w:t>
      </w:r>
      <w:r w:rsidR="008A102F" w:rsidRPr="00CC3C45">
        <w:rPr>
          <w:rFonts w:ascii="Arial Nova Cond" w:hAnsi="Arial Nova Cond" w:cs="Arial"/>
          <w:sz w:val="24"/>
          <w:szCs w:val="24"/>
        </w:rPr>
        <w:t xml:space="preserve"> order made by </w:t>
      </w:r>
      <w:r w:rsidR="005D49C3" w:rsidRPr="00CC3C45">
        <w:rPr>
          <w:rFonts w:ascii="Arial Nova Cond" w:hAnsi="Arial Nova Cond" w:cs="Arial"/>
          <w:sz w:val="24"/>
          <w:szCs w:val="24"/>
        </w:rPr>
        <w:t xml:space="preserve">Crutchfield </w:t>
      </w:r>
      <w:r w:rsidR="008A102F" w:rsidRPr="00CC3C45">
        <w:rPr>
          <w:rFonts w:ascii="Arial Nova Cond" w:hAnsi="Arial Nova Cond" w:cs="Arial"/>
          <w:sz w:val="24"/>
          <w:szCs w:val="24"/>
        </w:rPr>
        <w:t xml:space="preserve">J, delivered </w:t>
      </w:r>
      <w:r w:rsidR="003E4CED" w:rsidRPr="00CC3C45">
        <w:rPr>
          <w:rFonts w:ascii="Arial Nova Cond" w:hAnsi="Arial Nova Cond" w:cs="Arial"/>
          <w:sz w:val="24"/>
          <w:szCs w:val="24"/>
        </w:rPr>
        <w:t xml:space="preserve">on </w:t>
      </w:r>
      <w:r w:rsidR="00914071" w:rsidRPr="00CC3C45">
        <w:rPr>
          <w:rFonts w:ascii="Arial Nova Cond" w:hAnsi="Arial Nova Cond" w:cs="Arial"/>
          <w:sz w:val="24"/>
          <w:szCs w:val="24"/>
        </w:rPr>
        <w:t>1 February 2022</w:t>
      </w:r>
      <w:r w:rsidR="008A102F" w:rsidRPr="00CC3C45">
        <w:rPr>
          <w:rFonts w:ascii="Arial Nova Cond" w:hAnsi="Arial Nova Cond" w:cs="Arial"/>
          <w:sz w:val="24"/>
          <w:szCs w:val="24"/>
        </w:rPr>
        <w:t xml:space="preserve">, sitting </w:t>
      </w:r>
      <w:r w:rsidR="003E4CED" w:rsidRPr="00CC3C45">
        <w:rPr>
          <w:rFonts w:ascii="Arial Nova Cond" w:hAnsi="Arial Nova Cond" w:cs="Arial"/>
          <w:sz w:val="24"/>
          <w:szCs w:val="24"/>
        </w:rPr>
        <w:t>a</w:t>
      </w:r>
      <w:r w:rsidR="008A102F" w:rsidRPr="00CC3C45">
        <w:rPr>
          <w:rFonts w:ascii="Arial Nova Cond" w:hAnsi="Arial Nova Cond" w:cs="Arial"/>
          <w:sz w:val="24"/>
          <w:szCs w:val="24"/>
        </w:rPr>
        <w:t>s</w:t>
      </w:r>
      <w:r w:rsidR="00187700">
        <w:rPr>
          <w:rFonts w:ascii="Arial Nova Cond" w:hAnsi="Arial Nova Cond" w:cs="Arial"/>
          <w:sz w:val="24"/>
          <w:szCs w:val="24"/>
        </w:rPr>
        <w:t xml:space="preserve"> the</w:t>
      </w:r>
      <w:r w:rsidR="008A102F" w:rsidRPr="00CC3C45">
        <w:rPr>
          <w:rFonts w:ascii="Arial Nova Cond" w:hAnsi="Arial Nova Cond" w:cs="Arial"/>
          <w:sz w:val="24"/>
          <w:szCs w:val="24"/>
        </w:rPr>
        <w:t xml:space="preserve"> </w:t>
      </w:r>
      <w:r w:rsidR="000F129E" w:rsidRPr="00CC3C45">
        <w:rPr>
          <w:rFonts w:ascii="Arial Nova Cond" w:hAnsi="Arial Nova Cond" w:cs="Arial"/>
          <w:sz w:val="24"/>
          <w:szCs w:val="24"/>
        </w:rPr>
        <w:t>c</w:t>
      </w:r>
      <w:r w:rsidR="008A102F" w:rsidRPr="00CC3C45">
        <w:rPr>
          <w:rFonts w:ascii="Arial Nova Cond" w:hAnsi="Arial Nova Cond" w:cs="Arial"/>
          <w:sz w:val="24"/>
          <w:szCs w:val="24"/>
        </w:rPr>
        <w:t xml:space="preserve">ourt of first instance in </w:t>
      </w:r>
      <w:r w:rsidR="00730F22" w:rsidRPr="00CC3C45">
        <w:rPr>
          <w:rFonts w:ascii="Arial Nova Cond" w:hAnsi="Arial Nova Cond" w:cs="Arial"/>
          <w:sz w:val="24"/>
          <w:szCs w:val="24"/>
        </w:rPr>
        <w:t>Gauteng</w:t>
      </w:r>
      <w:r w:rsidR="008A102F" w:rsidRPr="00CC3C45">
        <w:rPr>
          <w:rFonts w:ascii="Arial Nova Cond" w:hAnsi="Arial Nova Cond" w:cs="Arial"/>
          <w:sz w:val="24"/>
          <w:szCs w:val="24"/>
        </w:rPr>
        <w:t xml:space="preserve"> </w:t>
      </w:r>
      <w:r w:rsidR="003E4CED" w:rsidRPr="00CC3C45">
        <w:rPr>
          <w:rFonts w:ascii="Arial Nova Cond" w:hAnsi="Arial Nova Cond" w:cs="Arial"/>
          <w:sz w:val="24"/>
          <w:szCs w:val="24"/>
        </w:rPr>
        <w:t>Division</w:t>
      </w:r>
      <w:r w:rsidR="008A102F" w:rsidRPr="00CC3C45">
        <w:rPr>
          <w:rFonts w:ascii="Arial Nova Cond" w:hAnsi="Arial Nova Cond" w:cs="Arial"/>
          <w:sz w:val="24"/>
          <w:szCs w:val="24"/>
        </w:rPr>
        <w:t>, Johannesburg</w:t>
      </w:r>
      <w:r w:rsidR="005D49C3" w:rsidRPr="00CC3C45">
        <w:rPr>
          <w:rFonts w:ascii="Arial Nova Cond" w:hAnsi="Arial Nova Cond" w:cs="Arial"/>
          <w:sz w:val="24"/>
          <w:szCs w:val="24"/>
        </w:rPr>
        <w:t xml:space="preserve"> (“</w:t>
      </w:r>
      <w:r w:rsidR="00476C64" w:rsidRPr="00CC3C45">
        <w:rPr>
          <w:rFonts w:ascii="Arial Nova Cond" w:hAnsi="Arial Nova Cond" w:cs="Arial"/>
          <w:sz w:val="24"/>
          <w:szCs w:val="24"/>
        </w:rPr>
        <w:t>court order”)</w:t>
      </w:r>
      <w:r w:rsidR="008A102F" w:rsidRPr="00CC3C45">
        <w:rPr>
          <w:rFonts w:ascii="Arial Nova Cond" w:hAnsi="Arial Nova Cond" w:cs="Arial"/>
          <w:sz w:val="24"/>
          <w:szCs w:val="24"/>
        </w:rPr>
        <w:t>.</w:t>
      </w:r>
      <w:r w:rsidR="00007C2B" w:rsidRPr="00CC3C45">
        <w:rPr>
          <w:rFonts w:ascii="Arial Nova Cond" w:hAnsi="Arial Nova Cond" w:cs="Arial"/>
          <w:sz w:val="24"/>
          <w:szCs w:val="24"/>
        </w:rPr>
        <w:t xml:space="preserve"> Crutchfield J upheld the special plea of prescription </w:t>
      </w:r>
      <w:r w:rsidR="000B5EAB" w:rsidRPr="00CC3C45">
        <w:rPr>
          <w:rFonts w:ascii="Arial Nova Cond" w:hAnsi="Arial Nova Cond" w:cs="Arial"/>
          <w:sz w:val="24"/>
          <w:szCs w:val="24"/>
        </w:rPr>
        <w:t>raised by the respondents who were cited as defendants in the court below, and dismissed the action with costs.</w:t>
      </w:r>
      <w:r w:rsidR="00163073" w:rsidRPr="00CC3C45">
        <w:rPr>
          <w:rFonts w:ascii="Arial Nova Cond" w:hAnsi="Arial Nova Cond" w:cs="Arial"/>
          <w:sz w:val="24"/>
          <w:szCs w:val="24"/>
        </w:rPr>
        <w:t xml:space="preserve"> </w:t>
      </w:r>
    </w:p>
    <w:p w14:paraId="734D2319" w14:textId="283E8247" w:rsidR="004960D4" w:rsidRDefault="004960D4" w:rsidP="0041525B">
      <w:pPr>
        <w:autoSpaceDE w:val="0"/>
        <w:autoSpaceDN w:val="0"/>
        <w:adjustRightInd w:val="0"/>
        <w:spacing w:after="0" w:line="360" w:lineRule="auto"/>
        <w:jc w:val="both"/>
        <w:rPr>
          <w:rFonts w:ascii="Arial" w:hAnsi="Arial" w:cs="Arial"/>
          <w:sz w:val="24"/>
          <w:szCs w:val="24"/>
        </w:rPr>
      </w:pPr>
    </w:p>
    <w:p w14:paraId="0118AC79" w14:textId="2E8CAD2C" w:rsidR="00796BBA" w:rsidRDefault="00044D9F" w:rsidP="004815F5">
      <w:pPr>
        <w:autoSpaceDE w:val="0"/>
        <w:autoSpaceDN w:val="0"/>
        <w:adjustRightInd w:val="0"/>
        <w:spacing w:after="120" w:line="360" w:lineRule="auto"/>
        <w:jc w:val="both"/>
        <w:rPr>
          <w:rFonts w:ascii="Arial" w:hAnsi="Arial" w:cs="Arial"/>
          <w:i/>
          <w:sz w:val="24"/>
          <w:szCs w:val="24"/>
        </w:rPr>
      </w:pPr>
      <w:r w:rsidRPr="00044D9F">
        <w:rPr>
          <w:rFonts w:ascii="Arial" w:hAnsi="Arial" w:cs="Arial"/>
          <w:i/>
          <w:sz w:val="24"/>
          <w:szCs w:val="24"/>
        </w:rPr>
        <w:t>Background facts</w:t>
      </w:r>
    </w:p>
    <w:p w14:paraId="11857230" w14:textId="32E20C50" w:rsidR="00BB72C9" w:rsidRPr="003B0A4E" w:rsidRDefault="002B1F0E" w:rsidP="004815F5">
      <w:pPr>
        <w:autoSpaceDE w:val="0"/>
        <w:autoSpaceDN w:val="0"/>
        <w:adjustRightInd w:val="0"/>
        <w:spacing w:after="120" w:line="360" w:lineRule="auto"/>
        <w:jc w:val="both"/>
        <w:rPr>
          <w:rFonts w:ascii="Arial Nova Cond" w:hAnsi="Arial Nova Cond" w:cs="Arial"/>
          <w:sz w:val="24"/>
          <w:szCs w:val="24"/>
        </w:rPr>
      </w:pPr>
      <w:r>
        <w:rPr>
          <w:rFonts w:ascii="Arial" w:hAnsi="Arial" w:cs="Arial"/>
          <w:sz w:val="24"/>
          <w:szCs w:val="24"/>
        </w:rPr>
        <w:t>[2]</w:t>
      </w:r>
      <w:r w:rsidR="004E1629">
        <w:rPr>
          <w:rFonts w:ascii="Arial" w:hAnsi="Arial" w:cs="Arial"/>
          <w:sz w:val="24"/>
          <w:szCs w:val="24"/>
        </w:rPr>
        <w:t xml:space="preserve"> </w:t>
      </w:r>
      <w:r w:rsidR="004E1629" w:rsidRPr="003B0A4E">
        <w:rPr>
          <w:rFonts w:ascii="Arial Nova Cond" w:hAnsi="Arial Nova Cond" w:cs="Arial"/>
          <w:sz w:val="24"/>
          <w:szCs w:val="24"/>
        </w:rPr>
        <w:t>On 24 July 2015 the appellant</w:t>
      </w:r>
      <w:r w:rsidR="006B732D" w:rsidRPr="003B0A4E">
        <w:rPr>
          <w:rFonts w:ascii="Arial Nova Cond" w:hAnsi="Arial Nova Cond" w:cs="Arial"/>
          <w:sz w:val="24"/>
          <w:szCs w:val="24"/>
        </w:rPr>
        <w:t>, a police offic</w:t>
      </w:r>
      <w:r w:rsidR="005F7A4B">
        <w:rPr>
          <w:rFonts w:ascii="Arial Nova Cond" w:hAnsi="Arial Nova Cond" w:cs="Arial"/>
          <w:sz w:val="24"/>
          <w:szCs w:val="24"/>
        </w:rPr>
        <w:t>er</w:t>
      </w:r>
      <w:r w:rsidR="004E1629" w:rsidRPr="003B0A4E">
        <w:rPr>
          <w:rFonts w:ascii="Arial Nova Cond" w:hAnsi="Arial Nova Cond" w:cs="Arial"/>
          <w:sz w:val="24"/>
          <w:szCs w:val="24"/>
        </w:rPr>
        <w:t xml:space="preserve"> sustained an injury on his right</w:t>
      </w:r>
      <w:r w:rsidR="00187700">
        <w:rPr>
          <w:rFonts w:ascii="Arial Nova Cond" w:hAnsi="Arial Nova Cond" w:cs="Arial"/>
          <w:sz w:val="24"/>
          <w:szCs w:val="24"/>
        </w:rPr>
        <w:t xml:space="preserve"> </w:t>
      </w:r>
      <w:r w:rsidR="004E1629" w:rsidRPr="003B0A4E">
        <w:rPr>
          <w:rFonts w:ascii="Arial Nova Cond" w:hAnsi="Arial Nova Cond" w:cs="Arial"/>
          <w:sz w:val="24"/>
          <w:szCs w:val="24"/>
        </w:rPr>
        <w:t>hand small finger</w:t>
      </w:r>
      <w:r w:rsidR="006B732D" w:rsidRPr="003B0A4E">
        <w:rPr>
          <w:rFonts w:ascii="Arial Nova Cond" w:hAnsi="Arial Nova Cond" w:cs="Arial"/>
          <w:sz w:val="24"/>
          <w:szCs w:val="24"/>
        </w:rPr>
        <w:t xml:space="preserve"> when</w:t>
      </w:r>
      <w:r w:rsidRPr="003B0A4E">
        <w:rPr>
          <w:rFonts w:ascii="Arial Nova Cond" w:hAnsi="Arial Nova Cond" w:cs="Arial"/>
          <w:sz w:val="24"/>
          <w:szCs w:val="24"/>
        </w:rPr>
        <w:t xml:space="preserve"> he was bitten by the suspect while assisting the prison warden.</w:t>
      </w:r>
      <w:r w:rsidR="00EE7F73" w:rsidRPr="003B0A4E">
        <w:rPr>
          <w:rFonts w:ascii="Arial Nova Cond" w:hAnsi="Arial Nova Cond" w:cs="Arial"/>
          <w:sz w:val="24"/>
          <w:szCs w:val="24"/>
        </w:rPr>
        <w:t xml:space="preserve"> </w:t>
      </w:r>
      <w:r w:rsidR="003F0635">
        <w:rPr>
          <w:rFonts w:ascii="Arial Nova Cond" w:hAnsi="Arial Nova Cond" w:cs="Arial"/>
          <w:sz w:val="24"/>
          <w:szCs w:val="24"/>
        </w:rPr>
        <w:t xml:space="preserve">He was first treated </w:t>
      </w:r>
      <w:r w:rsidR="00EE7F73" w:rsidRPr="003B0A4E">
        <w:rPr>
          <w:rFonts w:ascii="Arial Nova Cond" w:hAnsi="Arial Nova Cond" w:cs="Arial"/>
          <w:sz w:val="24"/>
          <w:szCs w:val="24"/>
        </w:rPr>
        <w:t xml:space="preserve">at Meredale Medical Centre, and </w:t>
      </w:r>
      <w:r w:rsidR="00E0426A">
        <w:rPr>
          <w:rFonts w:ascii="Arial Nova Cond" w:hAnsi="Arial Nova Cond" w:cs="Arial"/>
          <w:sz w:val="24"/>
          <w:szCs w:val="24"/>
        </w:rPr>
        <w:t>subsequently</w:t>
      </w:r>
      <w:r w:rsidR="00EE7F73" w:rsidRPr="003B0A4E">
        <w:rPr>
          <w:rFonts w:ascii="Arial Nova Cond" w:hAnsi="Arial Nova Cond" w:cs="Arial"/>
          <w:sz w:val="24"/>
          <w:szCs w:val="24"/>
        </w:rPr>
        <w:t xml:space="preserve"> transferred to Netcare Garden City Hospital</w:t>
      </w:r>
      <w:r w:rsidR="00136752" w:rsidRPr="003B0A4E">
        <w:rPr>
          <w:rFonts w:ascii="Arial Nova Cond" w:hAnsi="Arial Nova Cond" w:cs="Arial"/>
          <w:sz w:val="24"/>
          <w:szCs w:val="24"/>
        </w:rPr>
        <w:t xml:space="preserve"> (“Netcare”)</w:t>
      </w:r>
      <w:r w:rsidR="00E0426A">
        <w:rPr>
          <w:rFonts w:ascii="Arial Nova Cond" w:hAnsi="Arial Nova Cond" w:cs="Arial"/>
          <w:sz w:val="24"/>
          <w:szCs w:val="24"/>
        </w:rPr>
        <w:t xml:space="preserve"> for further treatment</w:t>
      </w:r>
      <w:r w:rsidR="00951C07" w:rsidRPr="003B0A4E">
        <w:rPr>
          <w:rFonts w:ascii="Arial Nova Cond" w:hAnsi="Arial Nova Cond" w:cs="Arial"/>
          <w:sz w:val="24"/>
          <w:szCs w:val="24"/>
        </w:rPr>
        <w:t xml:space="preserve">. </w:t>
      </w:r>
      <w:r w:rsidR="001066F7">
        <w:rPr>
          <w:rFonts w:ascii="Arial Nova Cond" w:hAnsi="Arial Nova Cond" w:cs="Arial"/>
          <w:sz w:val="24"/>
          <w:szCs w:val="24"/>
        </w:rPr>
        <w:t xml:space="preserve">He was informed at </w:t>
      </w:r>
      <w:r w:rsidR="00951C07" w:rsidRPr="003B0A4E">
        <w:rPr>
          <w:rFonts w:ascii="Arial Nova Cond" w:hAnsi="Arial Nova Cond" w:cs="Arial"/>
          <w:sz w:val="24"/>
          <w:szCs w:val="24"/>
        </w:rPr>
        <w:t xml:space="preserve">Netcare </w:t>
      </w:r>
      <w:r w:rsidR="00136752" w:rsidRPr="003B0A4E">
        <w:rPr>
          <w:rFonts w:ascii="Arial Nova Cond" w:hAnsi="Arial Nova Cond" w:cs="Arial"/>
          <w:sz w:val="24"/>
          <w:szCs w:val="24"/>
        </w:rPr>
        <w:t>that the previous treating doctors misdiagnosed him, and that there was no further treatment that could be performed except to amputate his small finger. As the result, on the 3</w:t>
      </w:r>
      <w:r w:rsidR="00136752" w:rsidRPr="003B0A4E">
        <w:rPr>
          <w:rFonts w:ascii="Arial Nova Cond" w:hAnsi="Arial Nova Cond" w:cs="Arial"/>
          <w:sz w:val="24"/>
          <w:szCs w:val="24"/>
          <w:vertAlign w:val="superscript"/>
        </w:rPr>
        <w:t>rd</w:t>
      </w:r>
      <w:r w:rsidR="00136752" w:rsidRPr="003B0A4E">
        <w:rPr>
          <w:rFonts w:ascii="Arial Nova Cond" w:hAnsi="Arial Nova Cond" w:cs="Arial"/>
          <w:sz w:val="24"/>
          <w:szCs w:val="24"/>
        </w:rPr>
        <w:t xml:space="preserve"> </w:t>
      </w:r>
      <w:r w:rsidR="00BB72C9" w:rsidRPr="003B0A4E">
        <w:rPr>
          <w:rFonts w:ascii="Arial Nova Cond" w:hAnsi="Arial Nova Cond" w:cs="Arial"/>
          <w:sz w:val="24"/>
          <w:szCs w:val="24"/>
        </w:rPr>
        <w:t>of</w:t>
      </w:r>
      <w:r w:rsidR="00136752" w:rsidRPr="003B0A4E">
        <w:rPr>
          <w:rFonts w:ascii="Arial Nova Cond" w:hAnsi="Arial Nova Cond" w:cs="Arial"/>
          <w:sz w:val="24"/>
          <w:szCs w:val="24"/>
        </w:rPr>
        <w:t xml:space="preserve"> December 2015</w:t>
      </w:r>
      <w:r w:rsidR="00187700">
        <w:rPr>
          <w:rFonts w:ascii="Arial Nova Cond" w:hAnsi="Arial Nova Cond" w:cs="Arial"/>
          <w:sz w:val="24"/>
          <w:szCs w:val="24"/>
        </w:rPr>
        <w:t>,</w:t>
      </w:r>
      <w:r w:rsidR="00136752" w:rsidRPr="003B0A4E">
        <w:rPr>
          <w:rFonts w:ascii="Arial Nova Cond" w:hAnsi="Arial Nova Cond" w:cs="Arial"/>
          <w:sz w:val="24"/>
          <w:szCs w:val="24"/>
        </w:rPr>
        <w:t xml:space="preserve"> his small finger was amputated at Netcare.</w:t>
      </w:r>
      <w:r w:rsidR="00EE7F73" w:rsidRPr="003B0A4E">
        <w:rPr>
          <w:rFonts w:ascii="Arial Nova Cond" w:hAnsi="Arial Nova Cond" w:cs="Arial"/>
          <w:sz w:val="24"/>
          <w:szCs w:val="24"/>
        </w:rPr>
        <w:t xml:space="preserve"> </w:t>
      </w:r>
      <w:r w:rsidRPr="003B0A4E">
        <w:rPr>
          <w:rFonts w:ascii="Arial Nova Cond" w:hAnsi="Arial Nova Cond" w:cs="Arial"/>
          <w:sz w:val="24"/>
          <w:szCs w:val="24"/>
        </w:rPr>
        <w:t xml:space="preserve"> </w:t>
      </w:r>
    </w:p>
    <w:p w14:paraId="6047D3E2" w14:textId="2AD20327" w:rsidR="00F9581B" w:rsidRPr="003B0A4E" w:rsidRDefault="00BB72C9" w:rsidP="004815F5">
      <w:pPr>
        <w:autoSpaceDE w:val="0"/>
        <w:autoSpaceDN w:val="0"/>
        <w:adjustRightInd w:val="0"/>
        <w:spacing w:after="120" w:line="360" w:lineRule="auto"/>
        <w:jc w:val="both"/>
        <w:rPr>
          <w:rFonts w:ascii="Arial Nova Cond" w:hAnsi="Arial Nova Cond" w:cs="Arial"/>
          <w:sz w:val="24"/>
          <w:szCs w:val="24"/>
        </w:rPr>
      </w:pPr>
      <w:r w:rsidRPr="003B0A4E">
        <w:rPr>
          <w:rFonts w:ascii="Arial Nova Cond" w:hAnsi="Arial Nova Cond" w:cs="Arial"/>
          <w:sz w:val="24"/>
          <w:szCs w:val="24"/>
        </w:rPr>
        <w:t xml:space="preserve">[3] </w:t>
      </w:r>
      <w:r w:rsidR="004E1629" w:rsidRPr="003B0A4E">
        <w:rPr>
          <w:rFonts w:ascii="Arial Nova Cond" w:hAnsi="Arial Nova Cond" w:cs="Arial"/>
          <w:sz w:val="24"/>
          <w:szCs w:val="24"/>
        </w:rPr>
        <w:t>T</w:t>
      </w:r>
      <w:r w:rsidR="00996AA2" w:rsidRPr="003B0A4E">
        <w:rPr>
          <w:rFonts w:ascii="Arial Nova Cond" w:hAnsi="Arial Nova Cond" w:cs="Arial"/>
          <w:sz w:val="24"/>
          <w:szCs w:val="24"/>
        </w:rPr>
        <w:t>he appellant issued</w:t>
      </w:r>
      <w:r w:rsidR="00187700">
        <w:rPr>
          <w:rFonts w:ascii="Arial Nova Cond" w:hAnsi="Arial Nova Cond" w:cs="Arial"/>
          <w:sz w:val="24"/>
          <w:szCs w:val="24"/>
        </w:rPr>
        <w:t xml:space="preserve"> the</w:t>
      </w:r>
      <w:r w:rsidR="004E1629" w:rsidRPr="003B0A4E">
        <w:rPr>
          <w:rFonts w:ascii="Arial Nova Cond" w:hAnsi="Arial Nova Cond" w:cs="Arial"/>
          <w:sz w:val="24"/>
          <w:szCs w:val="24"/>
        </w:rPr>
        <w:t xml:space="preserve"> combined summons </w:t>
      </w:r>
      <w:r w:rsidR="00E20B87" w:rsidRPr="003B0A4E">
        <w:rPr>
          <w:rFonts w:ascii="Arial Nova Cond" w:hAnsi="Arial Nova Cond" w:cs="Arial"/>
          <w:sz w:val="24"/>
          <w:szCs w:val="24"/>
        </w:rPr>
        <w:t>on 28 June 2018 against the Meredale Medical Centre (Pty) (Ltd)</w:t>
      </w:r>
      <w:r w:rsidR="001F15E2" w:rsidRPr="003B0A4E">
        <w:rPr>
          <w:rFonts w:ascii="Arial Nova Cond" w:hAnsi="Arial Nova Cond" w:cs="Arial"/>
          <w:sz w:val="24"/>
          <w:szCs w:val="24"/>
        </w:rPr>
        <w:t xml:space="preserve"> claiming R1 700 000.00 for general damages, R150 000.00 for past and future medical and related expenses, and R200 000.00 for past and future loss of earnings resulting from the alleged negligence and breach of legal duty by the Meredale Medical Centre treating doctors.</w:t>
      </w:r>
      <w:r w:rsidR="00F9581B" w:rsidRPr="003B0A4E">
        <w:rPr>
          <w:rFonts w:ascii="Arial Nova Cond" w:hAnsi="Arial Nova Cond" w:cs="Arial"/>
          <w:sz w:val="24"/>
          <w:szCs w:val="24"/>
        </w:rPr>
        <w:t xml:space="preserve"> On 4 September 2018</w:t>
      </w:r>
      <w:r w:rsidR="00187700">
        <w:rPr>
          <w:rFonts w:ascii="Arial Nova Cond" w:hAnsi="Arial Nova Cond" w:cs="Arial"/>
          <w:sz w:val="24"/>
          <w:szCs w:val="24"/>
        </w:rPr>
        <w:t>,</w:t>
      </w:r>
      <w:r w:rsidR="00EE6E27" w:rsidRPr="003B0A4E">
        <w:rPr>
          <w:rFonts w:ascii="Arial Nova Cond" w:hAnsi="Arial Nova Cond" w:cs="Arial"/>
          <w:sz w:val="24"/>
          <w:szCs w:val="24"/>
        </w:rPr>
        <w:t xml:space="preserve"> Meredale Medical Centre served the appellant with a special plea alleging that the treating doctors were not employed by it. They were employed by Dr</w:t>
      </w:r>
      <w:r w:rsidR="00187700">
        <w:rPr>
          <w:rFonts w:ascii="Arial Nova Cond" w:hAnsi="Arial Nova Cond" w:cs="Arial"/>
          <w:sz w:val="24"/>
          <w:szCs w:val="24"/>
        </w:rPr>
        <w:t>.</w:t>
      </w:r>
      <w:r w:rsidR="00EE6E27" w:rsidRPr="003B0A4E">
        <w:rPr>
          <w:rFonts w:ascii="Arial Nova Cond" w:hAnsi="Arial Nova Cond" w:cs="Arial"/>
          <w:sz w:val="24"/>
          <w:szCs w:val="24"/>
        </w:rPr>
        <w:t xml:space="preserve"> B Lyne Medical Practice with registration number 2001/024330/21</w:t>
      </w:r>
      <w:r w:rsidR="00187700">
        <w:rPr>
          <w:rFonts w:ascii="Arial Nova Cond" w:hAnsi="Arial Nova Cond" w:cs="Arial"/>
          <w:sz w:val="24"/>
          <w:szCs w:val="24"/>
        </w:rPr>
        <w:t xml:space="preserve"> </w:t>
      </w:r>
      <w:r w:rsidR="00EE6E27" w:rsidRPr="003B0A4E">
        <w:rPr>
          <w:rFonts w:ascii="Arial Nova Cond" w:hAnsi="Arial Nova Cond" w:cs="Arial"/>
          <w:sz w:val="24"/>
          <w:szCs w:val="24"/>
        </w:rPr>
        <w:t xml:space="preserve">and were so employed at the relevant time. </w:t>
      </w:r>
    </w:p>
    <w:p w14:paraId="6CDA9EAE" w14:textId="677844E2" w:rsidR="00CE7895" w:rsidRPr="007D17BD" w:rsidRDefault="00F9581B" w:rsidP="004815F5">
      <w:pPr>
        <w:autoSpaceDE w:val="0"/>
        <w:autoSpaceDN w:val="0"/>
        <w:adjustRightInd w:val="0"/>
        <w:spacing w:after="120" w:line="360" w:lineRule="auto"/>
        <w:jc w:val="both"/>
        <w:rPr>
          <w:rFonts w:ascii="Arial Nova Cond" w:hAnsi="Arial Nova Cond" w:cs="Arial"/>
          <w:sz w:val="24"/>
          <w:szCs w:val="24"/>
        </w:rPr>
      </w:pPr>
      <w:r>
        <w:rPr>
          <w:rFonts w:ascii="Arial" w:hAnsi="Arial" w:cs="Arial"/>
          <w:sz w:val="24"/>
          <w:szCs w:val="24"/>
        </w:rPr>
        <w:t xml:space="preserve">[4] </w:t>
      </w:r>
      <w:r w:rsidR="00153AA9" w:rsidRPr="007D17BD">
        <w:rPr>
          <w:rFonts w:ascii="Arial Nova Cond" w:hAnsi="Arial Nova Cond" w:cs="Arial"/>
          <w:sz w:val="24"/>
          <w:szCs w:val="24"/>
        </w:rPr>
        <w:t>T</w:t>
      </w:r>
      <w:r w:rsidRPr="007D17BD">
        <w:rPr>
          <w:rFonts w:ascii="Arial Nova Cond" w:hAnsi="Arial Nova Cond" w:cs="Arial"/>
          <w:sz w:val="24"/>
          <w:szCs w:val="24"/>
        </w:rPr>
        <w:t>he appellant brought an application to join the respondents</w:t>
      </w:r>
      <w:r w:rsidR="00AF37C7" w:rsidRPr="007D17BD">
        <w:rPr>
          <w:rFonts w:ascii="Arial Nova Cond" w:hAnsi="Arial Nova Cond" w:cs="Arial"/>
          <w:sz w:val="24"/>
          <w:szCs w:val="24"/>
        </w:rPr>
        <w:t xml:space="preserve"> and Padayatchi Sujen</w:t>
      </w:r>
      <w:r w:rsidRPr="007D17BD">
        <w:rPr>
          <w:rFonts w:ascii="Arial Nova Cond" w:hAnsi="Arial Nova Cond" w:cs="Arial"/>
          <w:sz w:val="24"/>
          <w:szCs w:val="24"/>
        </w:rPr>
        <w:t xml:space="preserve"> as additional defendants in the main action. </w:t>
      </w:r>
      <w:r w:rsidR="00060CB8" w:rsidRPr="007D17BD">
        <w:rPr>
          <w:rFonts w:ascii="Arial Nova Cond" w:hAnsi="Arial Nova Cond" w:cs="Arial"/>
          <w:sz w:val="24"/>
          <w:szCs w:val="24"/>
        </w:rPr>
        <w:t>No further relief was sought in the joinder application. Th</w:t>
      </w:r>
      <w:r w:rsidR="00123785" w:rsidRPr="007D17BD">
        <w:rPr>
          <w:rFonts w:ascii="Arial Nova Cond" w:hAnsi="Arial Nova Cond" w:cs="Arial"/>
          <w:sz w:val="24"/>
          <w:szCs w:val="24"/>
        </w:rPr>
        <w:t>e original combined summons was</w:t>
      </w:r>
      <w:r w:rsidR="00060CB8" w:rsidRPr="007D17BD">
        <w:rPr>
          <w:rFonts w:ascii="Arial Nova Cond" w:hAnsi="Arial Nova Cond" w:cs="Arial"/>
          <w:sz w:val="24"/>
          <w:szCs w:val="24"/>
        </w:rPr>
        <w:t xml:space="preserve"> attached to the joinder application as</w:t>
      </w:r>
      <w:r w:rsidR="00123785" w:rsidRPr="007D17BD">
        <w:rPr>
          <w:rFonts w:ascii="Arial Nova Cond" w:hAnsi="Arial Nova Cond" w:cs="Arial"/>
          <w:sz w:val="24"/>
          <w:szCs w:val="24"/>
        </w:rPr>
        <w:t xml:space="preserve"> annexure “B” and the Meredale Medical Centre special ple</w:t>
      </w:r>
      <w:r w:rsidR="00AF37C7" w:rsidRPr="007D17BD">
        <w:rPr>
          <w:rFonts w:ascii="Arial Nova Cond" w:hAnsi="Arial Nova Cond" w:cs="Arial"/>
          <w:sz w:val="24"/>
          <w:szCs w:val="24"/>
        </w:rPr>
        <w:t>a and plea were</w:t>
      </w:r>
      <w:r w:rsidR="00123785" w:rsidRPr="007D17BD">
        <w:rPr>
          <w:rFonts w:ascii="Arial Nova Cond" w:hAnsi="Arial Nova Cond" w:cs="Arial"/>
          <w:sz w:val="24"/>
          <w:szCs w:val="24"/>
        </w:rPr>
        <w:t xml:space="preserve"> attached as annexure “C”. </w:t>
      </w:r>
      <w:r w:rsidR="005E73D6" w:rsidRPr="007D17BD">
        <w:rPr>
          <w:rFonts w:ascii="Arial Nova Cond" w:hAnsi="Arial Nova Cond" w:cs="Arial"/>
          <w:sz w:val="24"/>
          <w:szCs w:val="24"/>
        </w:rPr>
        <w:t>On 21 September 2018</w:t>
      </w:r>
      <w:r w:rsidR="00114686" w:rsidRPr="007D17BD">
        <w:rPr>
          <w:rFonts w:ascii="Arial Nova Cond" w:hAnsi="Arial Nova Cond" w:cs="Arial"/>
          <w:sz w:val="24"/>
          <w:szCs w:val="24"/>
        </w:rPr>
        <w:t xml:space="preserve"> all</w:t>
      </w:r>
      <w:r w:rsidR="005E73D6" w:rsidRPr="007D17BD">
        <w:rPr>
          <w:rFonts w:ascii="Arial Nova Cond" w:hAnsi="Arial Nova Cond" w:cs="Arial"/>
          <w:sz w:val="24"/>
          <w:szCs w:val="24"/>
        </w:rPr>
        <w:t xml:space="preserve"> the respondents</w:t>
      </w:r>
      <w:r w:rsidR="004366AD" w:rsidRPr="007D17BD">
        <w:rPr>
          <w:rFonts w:ascii="Arial Nova Cond" w:hAnsi="Arial Nova Cond" w:cs="Arial"/>
          <w:sz w:val="24"/>
          <w:szCs w:val="24"/>
        </w:rPr>
        <w:t>, including</w:t>
      </w:r>
      <w:r w:rsidR="00485EA6" w:rsidRPr="007D17BD">
        <w:rPr>
          <w:rFonts w:ascii="Arial Nova Cond" w:hAnsi="Arial Nova Cond" w:cs="Arial"/>
          <w:sz w:val="24"/>
          <w:szCs w:val="24"/>
        </w:rPr>
        <w:t xml:space="preserve"> Padayatchi</w:t>
      </w:r>
      <w:r w:rsidR="004366AD" w:rsidRPr="007D17BD">
        <w:rPr>
          <w:rFonts w:ascii="Arial Nova Cond" w:hAnsi="Arial Nova Cond" w:cs="Arial"/>
          <w:sz w:val="24"/>
          <w:szCs w:val="24"/>
        </w:rPr>
        <w:t xml:space="preserve"> </w:t>
      </w:r>
      <w:r w:rsidR="004366AD" w:rsidRPr="007D17BD">
        <w:rPr>
          <w:rFonts w:ascii="Arial Nova Cond" w:hAnsi="Arial Nova Cond" w:cs="Arial"/>
          <w:sz w:val="24"/>
          <w:szCs w:val="24"/>
        </w:rPr>
        <w:lastRenderedPageBreak/>
        <w:t>Sujen</w:t>
      </w:r>
      <w:r w:rsidR="002C7BC2" w:rsidRPr="007D17BD">
        <w:rPr>
          <w:rFonts w:ascii="Arial Nova Cond" w:hAnsi="Arial Nova Cond" w:cs="Arial"/>
          <w:sz w:val="24"/>
          <w:szCs w:val="24"/>
        </w:rPr>
        <w:t>,</w:t>
      </w:r>
      <w:r w:rsidR="005E73D6" w:rsidRPr="007D17BD">
        <w:rPr>
          <w:rFonts w:ascii="Arial Nova Cond" w:hAnsi="Arial Nova Cond" w:cs="Arial"/>
          <w:sz w:val="24"/>
          <w:szCs w:val="24"/>
        </w:rPr>
        <w:t xml:space="preserve"> served a notice of intention to oppose the joinder application, and appointed</w:t>
      </w:r>
      <w:r w:rsidR="005E73D6">
        <w:rPr>
          <w:rFonts w:ascii="Arial" w:hAnsi="Arial" w:cs="Arial"/>
          <w:sz w:val="24"/>
          <w:szCs w:val="24"/>
        </w:rPr>
        <w:t xml:space="preserve"> </w:t>
      </w:r>
      <w:r w:rsidR="00AF37C7" w:rsidRPr="007D17BD">
        <w:rPr>
          <w:rFonts w:ascii="Arial Nova Cond" w:hAnsi="Arial Nova Cond" w:cs="Arial"/>
          <w:sz w:val="24"/>
          <w:szCs w:val="24"/>
        </w:rPr>
        <w:t>the address of their attorneys Norton Rose Fulbright South Africa Inc</w:t>
      </w:r>
      <w:r w:rsidR="002C7BC2" w:rsidRPr="007D17BD">
        <w:rPr>
          <w:rFonts w:ascii="Arial Nova Cond" w:hAnsi="Arial Nova Cond" w:cs="Arial"/>
          <w:sz w:val="24"/>
          <w:szCs w:val="24"/>
        </w:rPr>
        <w:t>.</w:t>
      </w:r>
      <w:r w:rsidR="00AF37C7" w:rsidRPr="007D17BD">
        <w:rPr>
          <w:rFonts w:ascii="Arial Nova Cond" w:hAnsi="Arial Nova Cond" w:cs="Arial"/>
          <w:sz w:val="24"/>
          <w:szCs w:val="24"/>
        </w:rPr>
        <w:t xml:space="preserve"> as the address at which th</w:t>
      </w:r>
      <w:r w:rsidR="004366AD" w:rsidRPr="007D17BD">
        <w:rPr>
          <w:rFonts w:ascii="Arial Nova Cond" w:hAnsi="Arial Nova Cond" w:cs="Arial"/>
          <w:sz w:val="24"/>
          <w:szCs w:val="24"/>
        </w:rPr>
        <w:t xml:space="preserve">e respondents will accept notice and service of all documents. </w:t>
      </w:r>
      <w:r w:rsidR="00CD1869" w:rsidRPr="007D17BD">
        <w:rPr>
          <w:rFonts w:ascii="Arial Nova Cond" w:hAnsi="Arial Nova Cond" w:cs="Arial"/>
          <w:sz w:val="24"/>
          <w:szCs w:val="24"/>
        </w:rPr>
        <w:t xml:space="preserve">The basis for opposing the joinder application as stated in the letter dated 21 September 2018 addressed to the appellant was that the appellant did not follow a correct procedure by bringing a joinder application, and that he ought to have issued summons against the second to fifth respondents in order to claim damages. </w:t>
      </w:r>
      <w:r w:rsidR="006204A8" w:rsidRPr="007D17BD">
        <w:rPr>
          <w:rFonts w:ascii="Arial Nova Cond" w:hAnsi="Arial Nova Cond" w:cs="Arial"/>
          <w:sz w:val="24"/>
          <w:szCs w:val="24"/>
        </w:rPr>
        <w:t xml:space="preserve">The respondents’ attorneys sought indulgence to be granted extensions from the </w:t>
      </w:r>
      <w:r w:rsidR="003F0635">
        <w:rPr>
          <w:rFonts w:ascii="Arial Nova Cond" w:hAnsi="Arial Nova Cond" w:cs="Arial"/>
          <w:sz w:val="24"/>
          <w:szCs w:val="24"/>
        </w:rPr>
        <w:t>appellants’ attorneys on more than one occasion</w:t>
      </w:r>
      <w:r w:rsidR="006204A8" w:rsidRPr="007D17BD">
        <w:rPr>
          <w:rFonts w:ascii="Arial Nova Cond" w:hAnsi="Arial Nova Cond" w:cs="Arial"/>
          <w:sz w:val="24"/>
          <w:szCs w:val="24"/>
        </w:rPr>
        <w:t xml:space="preserve"> to file their answering affidavit. </w:t>
      </w:r>
    </w:p>
    <w:p w14:paraId="6E5071FD" w14:textId="612E1260" w:rsidR="007D6F19" w:rsidRPr="0041525B" w:rsidRDefault="000D385C" w:rsidP="007D6F19">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[5] </w:t>
      </w:r>
      <w:r w:rsidR="0063365B">
        <w:rPr>
          <w:rFonts w:ascii="Arial Nova Cond" w:hAnsi="Arial Nova Cond" w:cs="Arial"/>
          <w:sz w:val="24"/>
          <w:szCs w:val="24"/>
        </w:rPr>
        <w:t>In</w:t>
      </w:r>
      <w:r w:rsidR="007D6F19" w:rsidRPr="0028771D">
        <w:rPr>
          <w:rFonts w:ascii="Arial Nova Cond" w:hAnsi="Arial Nova Cond" w:cs="Arial"/>
          <w:sz w:val="24"/>
          <w:szCs w:val="24"/>
        </w:rPr>
        <w:t xml:space="preserve"> the email correspondence addressed to the respondents’ attorneys dated 21 September 2018, the appellant’s attorneys attached a copy of the</w:t>
      </w:r>
      <w:r w:rsidR="00776E8F" w:rsidRPr="0028771D">
        <w:rPr>
          <w:rFonts w:ascii="Arial Nova Cond" w:hAnsi="Arial Nova Cond" w:cs="Arial"/>
          <w:sz w:val="24"/>
          <w:szCs w:val="24"/>
        </w:rPr>
        <w:t xml:space="preserve"> notice of</w:t>
      </w:r>
      <w:r w:rsidR="007D6F19" w:rsidRPr="0028771D">
        <w:rPr>
          <w:rFonts w:ascii="Arial Nova Cond" w:hAnsi="Arial Nova Cond" w:cs="Arial"/>
          <w:sz w:val="24"/>
          <w:szCs w:val="24"/>
        </w:rPr>
        <w:t xml:space="preserve"> intention to amend</w:t>
      </w:r>
      <w:r w:rsidR="00992C29" w:rsidRPr="0028771D">
        <w:rPr>
          <w:rFonts w:ascii="Arial Nova Cond" w:hAnsi="Arial Nova Cond" w:cs="Arial"/>
          <w:sz w:val="24"/>
          <w:szCs w:val="24"/>
        </w:rPr>
        <w:t xml:space="preserve"> his original particulars of claim</w:t>
      </w:r>
      <w:r w:rsidR="00776E8F" w:rsidRPr="0028771D">
        <w:rPr>
          <w:rFonts w:ascii="Arial Nova Cond" w:hAnsi="Arial Nova Cond" w:cs="Arial"/>
          <w:sz w:val="24"/>
          <w:szCs w:val="24"/>
        </w:rPr>
        <w:t xml:space="preserve"> in terms of rule 28(7)</w:t>
      </w:r>
      <w:r w:rsidR="00992C29" w:rsidRPr="0028771D">
        <w:rPr>
          <w:rFonts w:ascii="Arial Nova Cond" w:hAnsi="Arial Nova Cond" w:cs="Arial"/>
          <w:sz w:val="24"/>
          <w:szCs w:val="24"/>
        </w:rPr>
        <w:t xml:space="preserve"> of the Uniform Rules of Court.</w:t>
      </w:r>
      <w:r w:rsidR="00E75132">
        <w:rPr>
          <w:rFonts w:ascii="Arial Nova Cond" w:hAnsi="Arial Nova Cond" w:cs="Arial"/>
          <w:sz w:val="24"/>
          <w:szCs w:val="24"/>
        </w:rPr>
        <w:t xml:space="preserve"> On</w:t>
      </w:r>
      <w:r w:rsidR="00AB23C1" w:rsidRPr="0028771D">
        <w:rPr>
          <w:rFonts w:ascii="Arial Nova Cond" w:hAnsi="Arial Nova Cond" w:cs="Arial"/>
          <w:sz w:val="24"/>
          <w:szCs w:val="24"/>
        </w:rPr>
        <w:t xml:space="preserve"> 2 October 2018 the respondents</w:t>
      </w:r>
      <w:r w:rsidR="0034007B" w:rsidRPr="0028771D">
        <w:rPr>
          <w:rFonts w:ascii="Arial Nova Cond" w:hAnsi="Arial Nova Cond" w:cs="Arial"/>
          <w:sz w:val="24"/>
          <w:szCs w:val="24"/>
        </w:rPr>
        <w:t>’</w:t>
      </w:r>
      <w:r w:rsidR="00673DD7">
        <w:rPr>
          <w:rFonts w:ascii="Arial Nova Cond" w:hAnsi="Arial Nova Cond" w:cs="Arial"/>
          <w:sz w:val="24"/>
          <w:szCs w:val="24"/>
        </w:rPr>
        <w:t xml:space="preserve"> attorneys sent an</w:t>
      </w:r>
      <w:r w:rsidR="00AB23C1" w:rsidRPr="0028771D">
        <w:rPr>
          <w:rFonts w:ascii="Arial Nova Cond" w:hAnsi="Arial Nova Cond" w:cs="Arial"/>
          <w:sz w:val="24"/>
          <w:szCs w:val="24"/>
        </w:rPr>
        <w:t xml:space="preserve"> email to the appellant’s attorneys advising them that they did not intend opposing the notice of intention to amend and that the appellant could proceed to file</w:t>
      </w:r>
      <w:r w:rsidR="00992C29" w:rsidRPr="0028771D">
        <w:rPr>
          <w:rFonts w:ascii="Arial Nova Cond" w:hAnsi="Arial Nova Cond" w:cs="Arial"/>
          <w:sz w:val="24"/>
          <w:szCs w:val="24"/>
        </w:rPr>
        <w:t xml:space="preserve"> the</w:t>
      </w:r>
      <w:r w:rsidR="00AB23C1" w:rsidRPr="0028771D">
        <w:rPr>
          <w:rFonts w:ascii="Arial Nova Cond" w:hAnsi="Arial Nova Cond" w:cs="Arial"/>
          <w:sz w:val="24"/>
          <w:szCs w:val="24"/>
        </w:rPr>
        <w:t xml:space="preserve"> amended pages</w:t>
      </w:r>
      <w:r w:rsidR="00AB23C1">
        <w:rPr>
          <w:rFonts w:ascii="Arial" w:hAnsi="Arial" w:cs="Arial"/>
          <w:sz w:val="24"/>
          <w:szCs w:val="24"/>
        </w:rPr>
        <w:t>.</w:t>
      </w:r>
      <w:r w:rsidR="007D6F19">
        <w:rPr>
          <w:rFonts w:ascii="Arial" w:hAnsi="Arial" w:cs="Arial"/>
          <w:sz w:val="24"/>
          <w:szCs w:val="24"/>
        </w:rPr>
        <w:t xml:space="preserve">  </w:t>
      </w:r>
    </w:p>
    <w:p w14:paraId="5A81F5EF" w14:textId="5CD27E8E" w:rsidR="004960D4" w:rsidRDefault="00D142A6" w:rsidP="004815F5">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[6</w:t>
      </w:r>
      <w:r w:rsidR="00CE7895">
        <w:rPr>
          <w:rFonts w:ascii="Arial" w:hAnsi="Arial" w:cs="Arial"/>
          <w:sz w:val="24"/>
          <w:szCs w:val="24"/>
        </w:rPr>
        <w:t xml:space="preserve">] </w:t>
      </w:r>
      <w:r w:rsidR="00894585" w:rsidRPr="0028771D">
        <w:rPr>
          <w:rFonts w:ascii="Arial Nova Cond" w:hAnsi="Arial Nova Cond" w:cs="Arial"/>
          <w:sz w:val="24"/>
          <w:szCs w:val="24"/>
        </w:rPr>
        <w:t>On 5 November 2018 Mokose AJ granted the order joining Dr</w:t>
      </w:r>
      <w:r w:rsidR="00CB6359">
        <w:rPr>
          <w:rFonts w:ascii="Arial Nova Cond" w:hAnsi="Arial Nova Cond" w:cs="Arial"/>
          <w:sz w:val="24"/>
          <w:szCs w:val="24"/>
        </w:rPr>
        <w:t>.</w:t>
      </w:r>
      <w:r w:rsidR="00894585" w:rsidRPr="0028771D">
        <w:rPr>
          <w:rFonts w:ascii="Arial Nova Cond" w:hAnsi="Arial Nova Cond" w:cs="Arial"/>
          <w:sz w:val="24"/>
          <w:szCs w:val="24"/>
        </w:rPr>
        <w:t xml:space="preserve"> Brendan Lyne Medical Practice as second defendant, Dr</w:t>
      </w:r>
      <w:r w:rsidR="00280B91">
        <w:rPr>
          <w:rFonts w:ascii="Arial Nova Cond" w:hAnsi="Arial Nova Cond" w:cs="Arial"/>
          <w:sz w:val="24"/>
          <w:szCs w:val="24"/>
        </w:rPr>
        <w:t>.</w:t>
      </w:r>
      <w:r w:rsidR="00894585" w:rsidRPr="0028771D">
        <w:rPr>
          <w:rFonts w:ascii="Arial Nova Cond" w:hAnsi="Arial Nova Cond" w:cs="Arial"/>
          <w:sz w:val="24"/>
          <w:szCs w:val="24"/>
        </w:rPr>
        <w:t xml:space="preserve"> Natasha Fakier as third defendant, and Dr</w:t>
      </w:r>
      <w:r w:rsidR="00280B91">
        <w:rPr>
          <w:rFonts w:ascii="Arial Nova Cond" w:hAnsi="Arial Nova Cond" w:cs="Arial"/>
          <w:sz w:val="24"/>
          <w:szCs w:val="24"/>
        </w:rPr>
        <w:t>.</w:t>
      </w:r>
      <w:r w:rsidR="00894585" w:rsidRPr="0028771D">
        <w:rPr>
          <w:rFonts w:ascii="Arial Nova Cond" w:hAnsi="Arial Nova Cond" w:cs="Arial"/>
          <w:sz w:val="24"/>
          <w:szCs w:val="24"/>
        </w:rPr>
        <w:t xml:space="preserve"> Brendan Sean Blair as fourth defendant. </w:t>
      </w:r>
      <w:r w:rsidR="006E2BA2" w:rsidRPr="0028771D">
        <w:rPr>
          <w:rFonts w:ascii="Arial Nova Cond" w:hAnsi="Arial Nova Cond" w:cs="Arial"/>
          <w:sz w:val="24"/>
          <w:szCs w:val="24"/>
        </w:rPr>
        <w:t xml:space="preserve">The appellant served the joinder order on the respondents’ attorneys on 13 November 2018. </w:t>
      </w:r>
      <w:r w:rsidR="00C5116E" w:rsidRPr="0028771D">
        <w:rPr>
          <w:rFonts w:ascii="Arial Nova Cond" w:hAnsi="Arial Nova Cond" w:cs="Arial"/>
          <w:sz w:val="24"/>
          <w:szCs w:val="24"/>
        </w:rPr>
        <w:t>A</w:t>
      </w:r>
      <w:r w:rsidR="00A30B31" w:rsidRPr="0028771D">
        <w:rPr>
          <w:rFonts w:ascii="Arial Nova Cond" w:hAnsi="Arial Nova Cond" w:cs="Arial"/>
          <w:sz w:val="24"/>
          <w:szCs w:val="24"/>
        </w:rPr>
        <w:t>gain</w:t>
      </w:r>
      <w:r w:rsidR="00C5116E" w:rsidRPr="0028771D">
        <w:rPr>
          <w:rFonts w:ascii="Arial Nova Cond" w:hAnsi="Arial Nova Cond" w:cs="Arial"/>
          <w:sz w:val="24"/>
          <w:szCs w:val="24"/>
        </w:rPr>
        <w:t xml:space="preserve"> on 21 November 2018</w:t>
      </w:r>
      <w:r w:rsidR="006322AE">
        <w:rPr>
          <w:rFonts w:ascii="Arial Nova Cond" w:hAnsi="Arial Nova Cond" w:cs="Arial"/>
          <w:sz w:val="24"/>
          <w:szCs w:val="24"/>
        </w:rPr>
        <w:t>,</w:t>
      </w:r>
      <w:r w:rsidR="00573672" w:rsidRPr="0028771D">
        <w:rPr>
          <w:rFonts w:ascii="Arial Nova Cond" w:hAnsi="Arial Nova Cond" w:cs="Arial"/>
          <w:sz w:val="24"/>
          <w:szCs w:val="24"/>
        </w:rPr>
        <w:t xml:space="preserve"> </w:t>
      </w:r>
      <w:r w:rsidR="000F759E">
        <w:rPr>
          <w:rFonts w:ascii="Arial Nova Cond" w:hAnsi="Arial Nova Cond" w:cs="Arial"/>
          <w:sz w:val="24"/>
          <w:szCs w:val="24"/>
        </w:rPr>
        <w:t xml:space="preserve">the appellant’s attorneys </w:t>
      </w:r>
      <w:r w:rsidR="00573672" w:rsidRPr="0028771D">
        <w:rPr>
          <w:rFonts w:ascii="Arial Nova Cond" w:hAnsi="Arial Nova Cond" w:cs="Arial"/>
          <w:sz w:val="24"/>
          <w:szCs w:val="24"/>
        </w:rPr>
        <w:t xml:space="preserve">served the notice of </w:t>
      </w:r>
      <w:r w:rsidR="00C5116E" w:rsidRPr="0028771D">
        <w:rPr>
          <w:rFonts w:ascii="Arial Nova Cond" w:hAnsi="Arial Nova Cond" w:cs="Arial"/>
          <w:sz w:val="24"/>
          <w:szCs w:val="24"/>
        </w:rPr>
        <w:t>intention to amend his particulars of claim</w:t>
      </w:r>
      <w:r w:rsidR="00573672" w:rsidRPr="0028771D">
        <w:rPr>
          <w:rFonts w:ascii="Arial Nova Cond" w:hAnsi="Arial Nova Cond" w:cs="Arial"/>
          <w:sz w:val="24"/>
          <w:szCs w:val="24"/>
        </w:rPr>
        <w:t xml:space="preserve"> in terms of Rule 28(1) and (2) of the Uniform Rules of Court on the r</w:t>
      </w:r>
      <w:r w:rsidR="00C5116E" w:rsidRPr="0028771D">
        <w:rPr>
          <w:rFonts w:ascii="Arial Nova Cond" w:hAnsi="Arial Nova Cond" w:cs="Arial"/>
          <w:sz w:val="24"/>
          <w:szCs w:val="24"/>
        </w:rPr>
        <w:t>espondents’ attorneys of record.</w:t>
      </w:r>
      <w:r w:rsidR="00573672" w:rsidRPr="0028771D">
        <w:rPr>
          <w:rFonts w:ascii="Arial Nova Cond" w:hAnsi="Arial Nova Cond" w:cs="Arial"/>
          <w:sz w:val="24"/>
          <w:szCs w:val="24"/>
        </w:rPr>
        <w:t xml:space="preserve"> </w:t>
      </w:r>
      <w:r w:rsidR="00F87781" w:rsidRPr="0028771D">
        <w:rPr>
          <w:rFonts w:ascii="Arial Nova Cond" w:hAnsi="Arial Nova Cond" w:cs="Arial"/>
          <w:sz w:val="24"/>
          <w:szCs w:val="24"/>
        </w:rPr>
        <w:t>The cause of action</w:t>
      </w:r>
      <w:r w:rsidR="00237FAF" w:rsidRPr="0028771D">
        <w:rPr>
          <w:rFonts w:ascii="Arial Nova Cond" w:hAnsi="Arial Nova Cond" w:cs="Arial"/>
          <w:sz w:val="24"/>
          <w:szCs w:val="24"/>
        </w:rPr>
        <w:t xml:space="preserve"> and quantum</w:t>
      </w:r>
      <w:r w:rsidR="00F87781" w:rsidRPr="0028771D">
        <w:rPr>
          <w:rFonts w:ascii="Arial Nova Cond" w:hAnsi="Arial Nova Cond" w:cs="Arial"/>
          <w:sz w:val="24"/>
          <w:szCs w:val="24"/>
        </w:rPr>
        <w:t xml:space="preserve"> in the notice of</w:t>
      </w:r>
      <w:r w:rsidR="00C5116E" w:rsidRPr="0028771D">
        <w:rPr>
          <w:rFonts w:ascii="Arial Nova Cond" w:hAnsi="Arial Nova Cond" w:cs="Arial"/>
          <w:sz w:val="24"/>
          <w:szCs w:val="24"/>
        </w:rPr>
        <w:t xml:space="preserve"> intention to</w:t>
      </w:r>
      <w:r w:rsidR="00F87781" w:rsidRPr="0028771D">
        <w:rPr>
          <w:rFonts w:ascii="Arial Nova Cond" w:hAnsi="Arial Nova Cond" w:cs="Arial"/>
          <w:sz w:val="24"/>
          <w:szCs w:val="24"/>
        </w:rPr>
        <w:t xml:space="preserve"> amend was identical to the cause of action in the original</w:t>
      </w:r>
      <w:r w:rsidR="00C5116E" w:rsidRPr="0028771D">
        <w:rPr>
          <w:rFonts w:ascii="Arial Nova Cond" w:hAnsi="Arial Nova Cond" w:cs="Arial"/>
          <w:sz w:val="24"/>
          <w:szCs w:val="24"/>
        </w:rPr>
        <w:t xml:space="preserve"> particulars of claim</w:t>
      </w:r>
      <w:r w:rsidR="00F87781" w:rsidRPr="0028771D">
        <w:rPr>
          <w:rFonts w:ascii="Arial Nova Cond" w:hAnsi="Arial Nova Cond" w:cs="Arial"/>
          <w:sz w:val="24"/>
          <w:szCs w:val="24"/>
        </w:rPr>
        <w:t xml:space="preserve">. The respondents did not object to the </w:t>
      </w:r>
      <w:r w:rsidR="00E96A62">
        <w:rPr>
          <w:rFonts w:ascii="Arial Nova Cond" w:hAnsi="Arial Nova Cond" w:cs="Arial"/>
          <w:sz w:val="24"/>
          <w:szCs w:val="24"/>
        </w:rPr>
        <w:t>afore</w:t>
      </w:r>
      <w:r w:rsidR="00F87781" w:rsidRPr="0028771D">
        <w:rPr>
          <w:rFonts w:ascii="Arial Nova Cond" w:hAnsi="Arial Nova Cond" w:cs="Arial"/>
          <w:sz w:val="24"/>
          <w:szCs w:val="24"/>
        </w:rPr>
        <w:t>said notice of intention to amend</w:t>
      </w:r>
      <w:r w:rsidR="00EC0A87">
        <w:rPr>
          <w:rFonts w:ascii="Arial Nova Cond" w:hAnsi="Arial Nova Cond" w:cs="Arial"/>
          <w:sz w:val="24"/>
          <w:szCs w:val="24"/>
        </w:rPr>
        <w:t xml:space="preserve"> which in terms of Rule 28(2) the amendment was duly effected</w:t>
      </w:r>
      <w:r w:rsidR="00F87781" w:rsidRPr="0028771D">
        <w:rPr>
          <w:rFonts w:ascii="Arial Nova Cond" w:hAnsi="Arial Nova Cond" w:cs="Arial"/>
          <w:sz w:val="24"/>
          <w:szCs w:val="24"/>
        </w:rPr>
        <w:t>.</w:t>
      </w:r>
      <w:r w:rsidR="00D131EA" w:rsidRPr="0028771D">
        <w:rPr>
          <w:rFonts w:ascii="Arial Nova Cond" w:hAnsi="Arial Nova Cond" w:cs="Arial"/>
          <w:sz w:val="24"/>
          <w:szCs w:val="24"/>
        </w:rPr>
        <w:t xml:space="preserve"> </w:t>
      </w:r>
      <w:r w:rsidR="00413899" w:rsidRPr="0028771D">
        <w:rPr>
          <w:rFonts w:ascii="Arial Nova Cond" w:hAnsi="Arial Nova Cond" w:cs="Arial"/>
          <w:sz w:val="24"/>
          <w:szCs w:val="24"/>
        </w:rPr>
        <w:t>On 7 December 2018</w:t>
      </w:r>
      <w:r w:rsidR="00340131">
        <w:rPr>
          <w:rFonts w:ascii="Arial Nova Cond" w:hAnsi="Arial Nova Cond" w:cs="Arial"/>
          <w:sz w:val="24"/>
          <w:szCs w:val="24"/>
        </w:rPr>
        <w:t>,</w:t>
      </w:r>
      <w:r w:rsidR="00413899" w:rsidRPr="0028771D">
        <w:rPr>
          <w:rFonts w:ascii="Arial Nova Cond" w:hAnsi="Arial Nova Cond" w:cs="Arial"/>
          <w:sz w:val="24"/>
          <w:szCs w:val="24"/>
        </w:rPr>
        <w:t xml:space="preserve"> the appellant served his amended particulars of claim on the respondents’ attorneys.</w:t>
      </w:r>
      <w:r w:rsidR="00F87781" w:rsidRPr="0028771D">
        <w:rPr>
          <w:rFonts w:ascii="Arial Nova Cond" w:hAnsi="Arial Nova Cond" w:cs="Arial"/>
          <w:sz w:val="24"/>
          <w:szCs w:val="24"/>
        </w:rPr>
        <w:t xml:space="preserve"> </w:t>
      </w:r>
      <w:r w:rsidR="004917B4" w:rsidRPr="0028771D">
        <w:rPr>
          <w:rFonts w:ascii="Arial Nova Cond" w:hAnsi="Arial Nova Cond" w:cs="Arial"/>
          <w:sz w:val="24"/>
          <w:szCs w:val="24"/>
        </w:rPr>
        <w:t>The sheriff effected a personal service of</w:t>
      </w:r>
      <w:r w:rsidR="00776E8F" w:rsidRPr="0028771D">
        <w:rPr>
          <w:rFonts w:ascii="Arial Nova Cond" w:hAnsi="Arial Nova Cond" w:cs="Arial"/>
          <w:sz w:val="24"/>
          <w:szCs w:val="24"/>
        </w:rPr>
        <w:t xml:space="preserve"> all the pleadings previously served on the respondents’ attorneys to the respondents on </w:t>
      </w:r>
      <w:r w:rsidR="0036203D" w:rsidRPr="0028771D">
        <w:rPr>
          <w:rFonts w:ascii="Arial Nova Cond" w:hAnsi="Arial Nova Cond" w:cs="Arial"/>
          <w:sz w:val="24"/>
          <w:szCs w:val="24"/>
        </w:rPr>
        <w:t xml:space="preserve">25 January 2019. </w:t>
      </w:r>
      <w:r w:rsidR="004917B4">
        <w:rPr>
          <w:rFonts w:ascii="Arial" w:hAnsi="Arial" w:cs="Arial"/>
          <w:sz w:val="24"/>
          <w:szCs w:val="24"/>
        </w:rPr>
        <w:t xml:space="preserve"> </w:t>
      </w:r>
    </w:p>
    <w:p w14:paraId="3A004976" w14:textId="0192A5DD" w:rsidR="00A17111" w:rsidRPr="0028771D" w:rsidRDefault="00D131EA" w:rsidP="004815F5">
      <w:pPr>
        <w:autoSpaceDE w:val="0"/>
        <w:autoSpaceDN w:val="0"/>
        <w:adjustRightInd w:val="0"/>
        <w:spacing w:after="120" w:line="360" w:lineRule="auto"/>
        <w:jc w:val="both"/>
        <w:rPr>
          <w:rFonts w:ascii="Arial Nova Cond" w:hAnsi="Arial Nova Cond" w:cs="Arial"/>
          <w:sz w:val="24"/>
          <w:szCs w:val="24"/>
        </w:rPr>
      </w:pPr>
      <w:r>
        <w:rPr>
          <w:rFonts w:ascii="Arial" w:hAnsi="Arial" w:cs="Arial"/>
          <w:sz w:val="24"/>
          <w:szCs w:val="24"/>
        </w:rPr>
        <w:t xml:space="preserve">[7] </w:t>
      </w:r>
      <w:r w:rsidRPr="0028771D">
        <w:rPr>
          <w:rFonts w:ascii="Arial Nova Cond" w:hAnsi="Arial Nova Cond" w:cs="Arial"/>
          <w:sz w:val="24"/>
          <w:szCs w:val="24"/>
        </w:rPr>
        <w:t>The respondents’ attorneys</w:t>
      </w:r>
      <w:r w:rsidR="00A17111" w:rsidRPr="0028771D">
        <w:rPr>
          <w:rFonts w:ascii="Arial Nova Cond" w:hAnsi="Arial Nova Cond" w:cs="Arial"/>
          <w:sz w:val="24"/>
          <w:szCs w:val="24"/>
        </w:rPr>
        <w:t>, Norton Rose Fulbright South Africa Inc.</w:t>
      </w:r>
      <w:r w:rsidRPr="0028771D">
        <w:rPr>
          <w:rFonts w:ascii="Arial Nova Cond" w:hAnsi="Arial Nova Cond" w:cs="Arial"/>
          <w:sz w:val="24"/>
          <w:szCs w:val="24"/>
        </w:rPr>
        <w:t xml:space="preserve"> served</w:t>
      </w:r>
      <w:r w:rsidR="00776E8F" w:rsidRPr="0028771D">
        <w:rPr>
          <w:rFonts w:ascii="Arial Nova Cond" w:hAnsi="Arial Nova Cond" w:cs="Arial"/>
          <w:sz w:val="24"/>
          <w:szCs w:val="24"/>
        </w:rPr>
        <w:t xml:space="preserve"> a special plea of prescription and plea on the appellant’s attorneys on </w:t>
      </w:r>
      <w:r w:rsidR="00F7771A" w:rsidRPr="0028771D">
        <w:rPr>
          <w:rFonts w:ascii="Arial Nova Cond" w:hAnsi="Arial Nova Cond" w:cs="Arial"/>
          <w:sz w:val="24"/>
          <w:szCs w:val="24"/>
        </w:rPr>
        <w:t xml:space="preserve">18 March 2019. In the special plea the respondents </w:t>
      </w:r>
      <w:r w:rsidR="00F0645C" w:rsidRPr="0028771D">
        <w:rPr>
          <w:rFonts w:ascii="Arial Nova Cond" w:hAnsi="Arial Nova Cond" w:cs="Arial"/>
          <w:sz w:val="24"/>
          <w:szCs w:val="24"/>
        </w:rPr>
        <w:t xml:space="preserve">pleaded that the treatment </w:t>
      </w:r>
      <w:r w:rsidR="00F7771A" w:rsidRPr="0028771D">
        <w:rPr>
          <w:rFonts w:ascii="Arial Nova Cond" w:hAnsi="Arial Nova Cond" w:cs="Arial"/>
          <w:sz w:val="24"/>
          <w:szCs w:val="24"/>
        </w:rPr>
        <w:t>the appellant received from them was rendered on 24 July and 11 August 2015. They relied on sections 12(1) and 11(d) of the Prescription Act, 68 of 1969</w:t>
      </w:r>
      <w:r w:rsidR="001C6EAC">
        <w:rPr>
          <w:rFonts w:ascii="Arial Nova Cond" w:hAnsi="Arial Nova Cond" w:cs="Arial"/>
          <w:sz w:val="24"/>
          <w:szCs w:val="24"/>
        </w:rPr>
        <w:t xml:space="preserve"> (“the Act”)</w:t>
      </w:r>
      <w:r w:rsidR="00F7771A" w:rsidRPr="0028771D">
        <w:rPr>
          <w:rFonts w:ascii="Arial Nova Cond" w:hAnsi="Arial Nova Cond" w:cs="Arial"/>
          <w:sz w:val="24"/>
          <w:szCs w:val="24"/>
        </w:rPr>
        <w:t xml:space="preserve"> and pleaded that the </w:t>
      </w:r>
      <w:r w:rsidR="00F7771A" w:rsidRPr="0028771D">
        <w:rPr>
          <w:rFonts w:ascii="Arial Nova Cond" w:hAnsi="Arial Nova Cond" w:cs="Arial"/>
          <w:sz w:val="24"/>
          <w:szCs w:val="24"/>
        </w:rPr>
        <w:lastRenderedPageBreak/>
        <w:t>appellant’s cl</w:t>
      </w:r>
      <w:r w:rsidR="00F0645C" w:rsidRPr="0028771D">
        <w:rPr>
          <w:rFonts w:ascii="Arial Nova Cond" w:hAnsi="Arial Nova Cond" w:cs="Arial"/>
          <w:sz w:val="24"/>
          <w:szCs w:val="24"/>
        </w:rPr>
        <w:t>aim for damages against them had</w:t>
      </w:r>
      <w:r w:rsidR="00F7771A" w:rsidRPr="0028771D">
        <w:rPr>
          <w:rFonts w:ascii="Arial Nova Cond" w:hAnsi="Arial Nova Cond" w:cs="Arial"/>
          <w:sz w:val="24"/>
          <w:szCs w:val="24"/>
        </w:rPr>
        <w:t xml:space="preserve"> prescribed on 10 August 2018. </w:t>
      </w:r>
      <w:r w:rsidR="00F56675" w:rsidRPr="0028771D">
        <w:rPr>
          <w:rFonts w:ascii="Arial Nova Cond" w:hAnsi="Arial Nova Cond" w:cs="Arial"/>
          <w:sz w:val="24"/>
          <w:szCs w:val="24"/>
        </w:rPr>
        <w:t>The appellant filed a replication to the d</w:t>
      </w:r>
      <w:r w:rsidR="00F0645C" w:rsidRPr="0028771D">
        <w:rPr>
          <w:rFonts w:ascii="Arial Nova Cond" w:hAnsi="Arial Nova Cond" w:cs="Arial"/>
          <w:sz w:val="24"/>
          <w:szCs w:val="24"/>
        </w:rPr>
        <w:t>efendant’s special plea contending</w:t>
      </w:r>
      <w:r w:rsidR="00F56675" w:rsidRPr="0028771D">
        <w:rPr>
          <w:rFonts w:ascii="Arial Nova Cond" w:hAnsi="Arial Nova Cond" w:cs="Arial"/>
          <w:sz w:val="24"/>
          <w:szCs w:val="24"/>
        </w:rPr>
        <w:t xml:space="preserve"> that the cause of action arose</w:t>
      </w:r>
      <w:r w:rsidR="00F56675">
        <w:rPr>
          <w:rFonts w:ascii="Arial" w:hAnsi="Arial" w:cs="Arial"/>
          <w:sz w:val="24"/>
          <w:szCs w:val="24"/>
        </w:rPr>
        <w:t xml:space="preserve"> </w:t>
      </w:r>
      <w:r w:rsidR="00F56675" w:rsidRPr="0028771D">
        <w:rPr>
          <w:rFonts w:ascii="Arial Nova Cond" w:hAnsi="Arial Nova Cond" w:cs="Arial"/>
          <w:sz w:val="24"/>
          <w:szCs w:val="24"/>
        </w:rPr>
        <w:t>on 3 December 2015 when his small finger was amputated and</w:t>
      </w:r>
      <w:r w:rsidR="00F56675">
        <w:rPr>
          <w:rFonts w:ascii="Arial" w:hAnsi="Arial" w:cs="Arial"/>
          <w:sz w:val="24"/>
          <w:szCs w:val="24"/>
        </w:rPr>
        <w:t xml:space="preserve"> that </w:t>
      </w:r>
      <w:r w:rsidR="003F0635">
        <w:rPr>
          <w:rFonts w:ascii="Arial Nova Cond" w:hAnsi="Arial Nova Cond" w:cs="Arial"/>
          <w:sz w:val="24"/>
          <w:szCs w:val="24"/>
        </w:rPr>
        <w:t>the debt prescribed</w:t>
      </w:r>
      <w:r w:rsidR="00F56675" w:rsidRPr="0028771D">
        <w:rPr>
          <w:rFonts w:ascii="Arial Nova Cond" w:hAnsi="Arial Nova Cond" w:cs="Arial"/>
          <w:sz w:val="24"/>
          <w:szCs w:val="24"/>
        </w:rPr>
        <w:t xml:space="preserve"> on 2 December 2018.</w:t>
      </w:r>
      <w:r w:rsidR="00BE2A5B" w:rsidRPr="0028771D">
        <w:rPr>
          <w:rFonts w:ascii="Arial Nova Cond" w:hAnsi="Arial Nova Cond" w:cs="Arial"/>
          <w:sz w:val="24"/>
          <w:szCs w:val="24"/>
        </w:rPr>
        <w:t xml:space="preserve"> Further, he alleged that he instituted the action on 12 July 2018, and the respondents were joined as defendants to the main action by the court order </w:t>
      </w:r>
      <w:r w:rsidR="00F0645C" w:rsidRPr="0028771D">
        <w:rPr>
          <w:rFonts w:ascii="Arial Nova Cond" w:hAnsi="Arial Nova Cond" w:cs="Arial"/>
          <w:sz w:val="24"/>
          <w:szCs w:val="24"/>
        </w:rPr>
        <w:t>granted on</w:t>
      </w:r>
      <w:r w:rsidR="00BE2A5B" w:rsidRPr="0028771D">
        <w:rPr>
          <w:rFonts w:ascii="Arial Nova Cond" w:hAnsi="Arial Nova Cond" w:cs="Arial"/>
          <w:sz w:val="24"/>
          <w:szCs w:val="24"/>
        </w:rPr>
        <w:t xml:space="preserve"> 5 Novemb</w:t>
      </w:r>
      <w:r w:rsidR="00F0645C" w:rsidRPr="0028771D">
        <w:rPr>
          <w:rFonts w:ascii="Arial Nova Cond" w:hAnsi="Arial Nova Cond" w:cs="Arial"/>
          <w:sz w:val="24"/>
          <w:szCs w:val="24"/>
        </w:rPr>
        <w:t>er 2018 and</w:t>
      </w:r>
      <w:r w:rsidR="004D17E3" w:rsidRPr="0028771D">
        <w:rPr>
          <w:rFonts w:ascii="Arial Nova Cond" w:hAnsi="Arial Nova Cond" w:cs="Arial"/>
          <w:sz w:val="24"/>
          <w:szCs w:val="24"/>
        </w:rPr>
        <w:t xml:space="preserve"> served on their attorneys of record</w:t>
      </w:r>
      <w:r w:rsidR="00F11E2C" w:rsidRPr="0028771D">
        <w:rPr>
          <w:rFonts w:ascii="Arial Nova Cond" w:hAnsi="Arial Nova Cond" w:cs="Arial"/>
          <w:sz w:val="24"/>
          <w:szCs w:val="24"/>
        </w:rPr>
        <w:t xml:space="preserve"> </w:t>
      </w:r>
      <w:r w:rsidR="00BE2A5B" w:rsidRPr="0028771D">
        <w:rPr>
          <w:rFonts w:ascii="Arial Nova Cond" w:hAnsi="Arial Nova Cond" w:cs="Arial"/>
          <w:sz w:val="24"/>
          <w:szCs w:val="24"/>
        </w:rPr>
        <w:t>on 13 November 2018 before the claim prescribed.</w:t>
      </w:r>
      <w:r w:rsidR="00F0645C" w:rsidRPr="0028771D">
        <w:rPr>
          <w:rFonts w:ascii="Arial Nova Cond" w:hAnsi="Arial Nova Cond" w:cs="Arial"/>
          <w:sz w:val="24"/>
          <w:szCs w:val="24"/>
        </w:rPr>
        <w:t xml:space="preserve"> He contended that </w:t>
      </w:r>
      <w:r w:rsidR="00142C5C" w:rsidRPr="0028771D">
        <w:rPr>
          <w:rFonts w:ascii="Arial Nova Cond" w:hAnsi="Arial Nova Cond" w:cs="Arial"/>
          <w:sz w:val="24"/>
          <w:szCs w:val="24"/>
        </w:rPr>
        <w:t>the prescription was interrupted by the service of the court order</w:t>
      </w:r>
      <w:r w:rsidR="00F0645C" w:rsidRPr="0028771D">
        <w:rPr>
          <w:rFonts w:ascii="Arial Nova Cond" w:hAnsi="Arial Nova Cond" w:cs="Arial"/>
          <w:sz w:val="24"/>
          <w:szCs w:val="24"/>
        </w:rPr>
        <w:t xml:space="preserve"> on the respondents’ attorneys of record</w:t>
      </w:r>
      <w:r w:rsidR="00142C5C" w:rsidRPr="0028771D">
        <w:rPr>
          <w:rFonts w:ascii="Arial Nova Cond" w:hAnsi="Arial Nova Cond" w:cs="Arial"/>
          <w:sz w:val="24"/>
          <w:szCs w:val="24"/>
        </w:rPr>
        <w:t>.</w:t>
      </w:r>
    </w:p>
    <w:p w14:paraId="65C77BBF" w14:textId="00A5985A" w:rsidR="0023402D" w:rsidRDefault="00A17111" w:rsidP="004815F5">
      <w:pPr>
        <w:autoSpaceDE w:val="0"/>
        <w:autoSpaceDN w:val="0"/>
        <w:adjustRightInd w:val="0"/>
        <w:spacing w:after="120" w:line="360" w:lineRule="auto"/>
        <w:jc w:val="both"/>
        <w:rPr>
          <w:rFonts w:ascii="Arial" w:hAnsi="Arial" w:cs="Arial"/>
          <w:sz w:val="24"/>
          <w:szCs w:val="24"/>
        </w:rPr>
      </w:pPr>
      <w:r w:rsidRPr="0028771D">
        <w:rPr>
          <w:rFonts w:ascii="Arial Nova Cond" w:hAnsi="Arial Nova Cond" w:cs="Arial"/>
          <w:sz w:val="24"/>
          <w:szCs w:val="24"/>
        </w:rPr>
        <w:t>[8] O</w:t>
      </w:r>
      <w:r w:rsidR="00166987" w:rsidRPr="0028771D">
        <w:rPr>
          <w:rFonts w:ascii="Arial Nova Cond" w:hAnsi="Arial Nova Cond" w:cs="Arial"/>
          <w:sz w:val="24"/>
          <w:szCs w:val="24"/>
        </w:rPr>
        <w:t>n 30 September 2019 the respondents served a notice of substitution of attorneys Norton Rose Fulbright South Africa Inc, and appointed Webber Wentzel as their attorneys of record. O</w:t>
      </w:r>
      <w:r w:rsidR="00CD4187" w:rsidRPr="0028771D">
        <w:rPr>
          <w:rFonts w:ascii="Arial Nova Cond" w:hAnsi="Arial Nova Cond" w:cs="Arial"/>
          <w:sz w:val="24"/>
          <w:szCs w:val="24"/>
        </w:rPr>
        <w:t>n</w:t>
      </w:r>
      <w:r w:rsidR="00F7771A" w:rsidRPr="0028771D">
        <w:rPr>
          <w:rFonts w:ascii="Arial Nova Cond" w:hAnsi="Arial Nova Cond" w:cs="Arial"/>
          <w:sz w:val="24"/>
          <w:szCs w:val="24"/>
        </w:rPr>
        <w:t xml:space="preserve"> </w:t>
      </w:r>
      <w:r w:rsidR="00166987" w:rsidRPr="0028771D">
        <w:rPr>
          <w:rFonts w:ascii="Arial Nova Cond" w:hAnsi="Arial Nova Cond" w:cs="Arial"/>
          <w:sz w:val="24"/>
          <w:szCs w:val="24"/>
        </w:rPr>
        <w:t xml:space="preserve">29 November 2019 the appellant withdrew the action against the first defendant, Meredale Medical Centre. </w:t>
      </w:r>
      <w:r w:rsidR="00CD4187" w:rsidRPr="0028771D">
        <w:rPr>
          <w:rFonts w:ascii="Arial Nova Cond" w:hAnsi="Arial Nova Cond" w:cs="Arial"/>
          <w:sz w:val="24"/>
          <w:szCs w:val="24"/>
        </w:rPr>
        <w:t>Further amendments of the pleadings by the parties occurred</w:t>
      </w:r>
      <w:r w:rsidR="00755947">
        <w:rPr>
          <w:rFonts w:ascii="Arial Nova Cond" w:hAnsi="Arial Nova Cond" w:cs="Arial"/>
          <w:sz w:val="24"/>
          <w:szCs w:val="24"/>
        </w:rPr>
        <w:t>,</w:t>
      </w:r>
      <w:r w:rsidR="00CD4187" w:rsidRPr="0028771D">
        <w:rPr>
          <w:rFonts w:ascii="Arial Nova Cond" w:hAnsi="Arial Nova Cond" w:cs="Arial"/>
          <w:sz w:val="24"/>
          <w:szCs w:val="24"/>
        </w:rPr>
        <w:t xml:space="preserve"> and I find it unnecessary to give the details for the purposes</w:t>
      </w:r>
      <w:r w:rsidR="004E7BC6">
        <w:rPr>
          <w:rFonts w:ascii="Arial Nova Cond" w:hAnsi="Arial Nova Cond" w:cs="Arial"/>
          <w:sz w:val="24"/>
          <w:szCs w:val="24"/>
        </w:rPr>
        <w:t xml:space="preserve"> of</w:t>
      </w:r>
      <w:r w:rsidR="00CD4187" w:rsidRPr="0028771D">
        <w:rPr>
          <w:rFonts w:ascii="Arial Nova Cond" w:hAnsi="Arial Nova Cond" w:cs="Arial"/>
          <w:sz w:val="24"/>
          <w:szCs w:val="24"/>
        </w:rPr>
        <w:t xml:space="preserve"> the issue before us</w:t>
      </w:r>
      <w:r w:rsidR="00CD4187">
        <w:rPr>
          <w:rFonts w:ascii="Arial" w:hAnsi="Arial" w:cs="Arial"/>
          <w:sz w:val="24"/>
          <w:szCs w:val="24"/>
        </w:rPr>
        <w:t>.</w:t>
      </w:r>
    </w:p>
    <w:p w14:paraId="500B4D58" w14:textId="77777777" w:rsidR="007528CE" w:rsidRDefault="007528CE" w:rsidP="004815F5">
      <w:pPr>
        <w:autoSpaceDE w:val="0"/>
        <w:autoSpaceDN w:val="0"/>
        <w:adjustRightInd w:val="0"/>
        <w:spacing w:after="120" w:line="360" w:lineRule="auto"/>
        <w:jc w:val="both"/>
        <w:rPr>
          <w:rFonts w:ascii="Arial" w:hAnsi="Arial" w:cs="Arial"/>
          <w:i/>
          <w:sz w:val="24"/>
          <w:szCs w:val="24"/>
        </w:rPr>
      </w:pPr>
    </w:p>
    <w:p w14:paraId="1100DA36" w14:textId="0A253267" w:rsidR="00D131EA" w:rsidRPr="0023402D" w:rsidRDefault="0023402D" w:rsidP="004815F5">
      <w:pPr>
        <w:autoSpaceDE w:val="0"/>
        <w:autoSpaceDN w:val="0"/>
        <w:adjustRightInd w:val="0"/>
        <w:spacing w:after="120" w:line="360" w:lineRule="auto"/>
        <w:jc w:val="both"/>
        <w:rPr>
          <w:rFonts w:ascii="Arial" w:hAnsi="Arial" w:cs="Arial"/>
          <w:i/>
          <w:sz w:val="24"/>
          <w:szCs w:val="24"/>
        </w:rPr>
      </w:pPr>
      <w:r w:rsidRPr="0023402D">
        <w:rPr>
          <w:rFonts w:ascii="Arial" w:hAnsi="Arial" w:cs="Arial"/>
          <w:i/>
          <w:sz w:val="24"/>
          <w:szCs w:val="24"/>
        </w:rPr>
        <w:t>Ground of appeal</w:t>
      </w:r>
      <w:r w:rsidR="00CD4187" w:rsidRPr="0023402D">
        <w:rPr>
          <w:rFonts w:ascii="Arial" w:hAnsi="Arial" w:cs="Arial"/>
          <w:i/>
          <w:sz w:val="24"/>
          <w:szCs w:val="24"/>
        </w:rPr>
        <w:t xml:space="preserve"> </w:t>
      </w:r>
    </w:p>
    <w:p w14:paraId="3F3D242A" w14:textId="2CB0473A" w:rsidR="0023402D" w:rsidRPr="00715A95" w:rsidRDefault="003C3E14" w:rsidP="004815F5">
      <w:pPr>
        <w:autoSpaceDE w:val="0"/>
        <w:autoSpaceDN w:val="0"/>
        <w:adjustRightInd w:val="0"/>
        <w:spacing w:after="120" w:line="360" w:lineRule="auto"/>
        <w:jc w:val="both"/>
        <w:rPr>
          <w:rFonts w:ascii="Arial Nova Cond" w:hAnsi="Arial Nova Cond" w:cs="Arial"/>
          <w:sz w:val="24"/>
          <w:szCs w:val="24"/>
        </w:rPr>
      </w:pPr>
      <w:r>
        <w:rPr>
          <w:rFonts w:ascii="Arial" w:hAnsi="Arial" w:cs="Arial"/>
          <w:sz w:val="24"/>
          <w:szCs w:val="24"/>
        </w:rPr>
        <w:t xml:space="preserve">[9] </w:t>
      </w:r>
      <w:r w:rsidRPr="00715A95">
        <w:rPr>
          <w:rFonts w:ascii="Arial Nova Cond" w:hAnsi="Arial Nova Cond" w:cs="Arial"/>
          <w:sz w:val="24"/>
          <w:szCs w:val="24"/>
        </w:rPr>
        <w:t>In the court below the special plea was separated from the merits by agreement between the parties. The court determined the special plea first. The parties agreed that the</w:t>
      </w:r>
      <w:r w:rsidR="00FC13E3" w:rsidRPr="00715A95">
        <w:rPr>
          <w:rFonts w:ascii="Arial Nova Cond" w:hAnsi="Arial Nova Cond" w:cs="Arial"/>
          <w:sz w:val="24"/>
          <w:szCs w:val="24"/>
        </w:rPr>
        <w:t xml:space="preserve"> cause of</w:t>
      </w:r>
      <w:r w:rsidR="00244E80">
        <w:rPr>
          <w:rFonts w:ascii="Arial Nova Cond" w:hAnsi="Arial Nova Cond" w:cs="Arial"/>
          <w:sz w:val="24"/>
          <w:szCs w:val="24"/>
        </w:rPr>
        <w:t xml:space="preserve"> action arose on 3 December 2015</w:t>
      </w:r>
      <w:r w:rsidR="00FC13E3" w:rsidRPr="00715A95">
        <w:rPr>
          <w:rFonts w:ascii="Arial Nova Cond" w:hAnsi="Arial Nova Cond" w:cs="Arial"/>
          <w:sz w:val="24"/>
          <w:szCs w:val="24"/>
        </w:rPr>
        <w:t xml:space="preserve"> when the appellant’s small finger was amputated, and that</w:t>
      </w:r>
      <w:r w:rsidR="001D7E9B" w:rsidRPr="00715A95">
        <w:rPr>
          <w:rFonts w:ascii="Arial Nova Cond" w:hAnsi="Arial Nova Cond" w:cs="Arial"/>
          <w:sz w:val="24"/>
          <w:szCs w:val="24"/>
        </w:rPr>
        <w:t xml:space="preserve"> the</w:t>
      </w:r>
      <w:r w:rsidRPr="00715A95">
        <w:rPr>
          <w:rFonts w:ascii="Arial Nova Cond" w:hAnsi="Arial Nova Cond" w:cs="Arial"/>
          <w:sz w:val="24"/>
          <w:szCs w:val="24"/>
        </w:rPr>
        <w:t xml:space="preserve"> claim against </w:t>
      </w:r>
      <w:r w:rsidR="00D06D43">
        <w:rPr>
          <w:rFonts w:ascii="Arial Nova Cond" w:hAnsi="Arial Nova Cond" w:cs="Arial"/>
          <w:sz w:val="24"/>
          <w:szCs w:val="24"/>
        </w:rPr>
        <w:t>the respondents prescribed on 2</w:t>
      </w:r>
      <w:r w:rsidR="005A3E49">
        <w:rPr>
          <w:rFonts w:ascii="Arial Nova Cond" w:hAnsi="Arial Nova Cond" w:cs="Arial"/>
          <w:sz w:val="24"/>
          <w:szCs w:val="24"/>
        </w:rPr>
        <w:t xml:space="preserve"> December 2018</w:t>
      </w:r>
      <w:r w:rsidRPr="00715A95">
        <w:rPr>
          <w:rFonts w:ascii="Arial Nova Cond" w:hAnsi="Arial Nova Cond" w:cs="Arial"/>
          <w:sz w:val="24"/>
          <w:szCs w:val="24"/>
        </w:rPr>
        <w:t xml:space="preserve">. </w:t>
      </w:r>
      <w:r w:rsidR="001D7E9B" w:rsidRPr="00715A95">
        <w:rPr>
          <w:rFonts w:ascii="Arial Nova Cond" w:hAnsi="Arial Nova Cond" w:cs="Arial"/>
          <w:sz w:val="24"/>
          <w:szCs w:val="24"/>
        </w:rPr>
        <w:t>The court below upheld the special plea and dismissed the action with costs.</w:t>
      </w:r>
    </w:p>
    <w:p w14:paraId="58BEB9D6" w14:textId="0B25A35C" w:rsidR="001D7E9B" w:rsidRDefault="001D7E9B" w:rsidP="004815F5">
      <w:pPr>
        <w:autoSpaceDE w:val="0"/>
        <w:autoSpaceDN w:val="0"/>
        <w:adjustRightInd w:val="0"/>
        <w:spacing w:after="120" w:line="360" w:lineRule="auto"/>
        <w:jc w:val="both"/>
        <w:rPr>
          <w:rFonts w:ascii="Arial Nova Cond" w:hAnsi="Arial Nova Cond" w:cs="Arial"/>
          <w:sz w:val="24"/>
          <w:szCs w:val="24"/>
        </w:rPr>
      </w:pPr>
      <w:r w:rsidRPr="00715A95">
        <w:rPr>
          <w:rFonts w:ascii="Arial Nova Cond" w:hAnsi="Arial Nova Cond" w:cs="Arial"/>
          <w:sz w:val="24"/>
          <w:szCs w:val="24"/>
        </w:rPr>
        <w:t>[10]</w:t>
      </w:r>
      <w:r w:rsidR="001E2269" w:rsidRPr="00715A95">
        <w:rPr>
          <w:rFonts w:ascii="Arial Nova Cond" w:hAnsi="Arial Nova Cond" w:cs="Arial"/>
          <w:sz w:val="24"/>
          <w:szCs w:val="24"/>
        </w:rPr>
        <w:t xml:space="preserve"> The leave to appeal was granted on one specific ground. The issue before us is </w:t>
      </w:r>
      <w:r w:rsidR="0000525F" w:rsidRPr="00715A95">
        <w:rPr>
          <w:rFonts w:ascii="Arial Nova Cond" w:hAnsi="Arial Nova Cond" w:cs="Arial"/>
          <w:sz w:val="24"/>
          <w:szCs w:val="24"/>
        </w:rPr>
        <w:t xml:space="preserve">whether the joinder order (“not application”) </w:t>
      </w:r>
      <w:r w:rsidR="00E32592" w:rsidRPr="00715A95">
        <w:rPr>
          <w:rFonts w:ascii="Arial Nova Cond" w:hAnsi="Arial Nova Cond" w:cs="Arial"/>
          <w:sz w:val="24"/>
          <w:szCs w:val="24"/>
        </w:rPr>
        <w:t xml:space="preserve">served on the respondents on 13 November 2018 constituted a ‘process’ whereby the appellant claimed payment of the debt in terms of section </w:t>
      </w:r>
      <w:r w:rsidR="00DE070F">
        <w:rPr>
          <w:rFonts w:ascii="Arial Nova Cond" w:hAnsi="Arial Nova Cond" w:cs="Arial"/>
          <w:sz w:val="24"/>
          <w:szCs w:val="24"/>
        </w:rPr>
        <w:t>1</w:t>
      </w:r>
      <w:r w:rsidR="004C448B">
        <w:rPr>
          <w:rFonts w:ascii="Arial Nova Cond" w:hAnsi="Arial Nova Cond" w:cs="Arial"/>
          <w:sz w:val="24"/>
          <w:szCs w:val="24"/>
        </w:rPr>
        <w:t xml:space="preserve">5(1) read with </w:t>
      </w:r>
      <w:r w:rsidR="006A6AAE">
        <w:rPr>
          <w:rFonts w:ascii="Arial Nova Cond" w:hAnsi="Arial Nova Cond" w:cs="Arial"/>
          <w:sz w:val="24"/>
          <w:szCs w:val="24"/>
        </w:rPr>
        <w:t xml:space="preserve">15(6) of </w:t>
      </w:r>
      <w:r w:rsidR="00AE4640">
        <w:rPr>
          <w:rFonts w:ascii="Arial Nova Cond" w:hAnsi="Arial Nova Cond" w:cs="Arial"/>
          <w:sz w:val="24"/>
          <w:szCs w:val="24"/>
        </w:rPr>
        <w:t>the Act</w:t>
      </w:r>
      <w:r w:rsidR="00E32592" w:rsidRPr="00715A95">
        <w:rPr>
          <w:rFonts w:ascii="Arial Nova Cond" w:hAnsi="Arial Nova Cond" w:cs="Arial"/>
          <w:sz w:val="24"/>
          <w:szCs w:val="24"/>
        </w:rPr>
        <w:t>.</w:t>
      </w:r>
      <w:r w:rsidR="00945E2E">
        <w:rPr>
          <w:rFonts w:ascii="Arial Nova Cond" w:hAnsi="Arial Nova Cond" w:cs="Arial"/>
          <w:sz w:val="24"/>
          <w:szCs w:val="24"/>
        </w:rPr>
        <w:t xml:space="preserve"> From the reading of the leave to appeal judgment it seems</w:t>
      </w:r>
      <w:r w:rsidR="00825169">
        <w:rPr>
          <w:rFonts w:ascii="Arial Nova Cond" w:hAnsi="Arial Nova Cond" w:cs="Arial"/>
          <w:sz w:val="24"/>
          <w:szCs w:val="24"/>
        </w:rPr>
        <w:t xml:space="preserve"> that</w:t>
      </w:r>
      <w:r w:rsidR="00945E2E">
        <w:rPr>
          <w:rFonts w:ascii="Arial Nova Cond" w:hAnsi="Arial Nova Cond" w:cs="Arial"/>
          <w:sz w:val="24"/>
          <w:szCs w:val="24"/>
        </w:rPr>
        <w:t xml:space="preserve"> the court below</w:t>
      </w:r>
      <w:r w:rsidR="00825169">
        <w:rPr>
          <w:rFonts w:ascii="Arial Nova Cond" w:hAnsi="Arial Nova Cond" w:cs="Arial"/>
          <w:sz w:val="24"/>
          <w:szCs w:val="24"/>
        </w:rPr>
        <w:t xml:space="preserve"> mistakenly</w:t>
      </w:r>
      <w:r w:rsidR="00945E2E">
        <w:rPr>
          <w:rFonts w:ascii="Arial Nova Cond" w:hAnsi="Arial Nova Cond" w:cs="Arial"/>
          <w:sz w:val="24"/>
          <w:szCs w:val="24"/>
        </w:rPr>
        <w:t xml:space="preserve"> understood the issue to be the service of the joinder application and not the service of the joinder order.</w:t>
      </w:r>
    </w:p>
    <w:p w14:paraId="569F6A7A" w14:textId="77C12962" w:rsidR="002905A7" w:rsidRDefault="002905A7" w:rsidP="004815F5">
      <w:pPr>
        <w:autoSpaceDE w:val="0"/>
        <w:autoSpaceDN w:val="0"/>
        <w:adjustRightInd w:val="0"/>
        <w:spacing w:after="120" w:line="360" w:lineRule="auto"/>
        <w:jc w:val="both"/>
        <w:rPr>
          <w:rFonts w:ascii="Arial Nova Cond" w:hAnsi="Arial Nova Cond" w:cs="Arial"/>
          <w:sz w:val="24"/>
          <w:szCs w:val="24"/>
        </w:rPr>
      </w:pPr>
    </w:p>
    <w:p w14:paraId="485D95DA" w14:textId="31E2B543" w:rsidR="002905A7" w:rsidRPr="002905A7" w:rsidRDefault="002905A7" w:rsidP="004815F5">
      <w:pPr>
        <w:autoSpaceDE w:val="0"/>
        <w:autoSpaceDN w:val="0"/>
        <w:adjustRightInd w:val="0"/>
        <w:spacing w:after="120" w:line="360" w:lineRule="auto"/>
        <w:jc w:val="both"/>
        <w:rPr>
          <w:rFonts w:ascii="Arial Nova Cond" w:hAnsi="Arial Nova Cond" w:cs="Arial"/>
          <w:i/>
          <w:sz w:val="24"/>
          <w:szCs w:val="24"/>
        </w:rPr>
      </w:pPr>
      <w:r w:rsidRPr="002905A7">
        <w:rPr>
          <w:rFonts w:ascii="Arial Nova Cond" w:hAnsi="Arial Nova Cond" w:cs="Arial"/>
          <w:i/>
          <w:sz w:val="24"/>
          <w:szCs w:val="24"/>
        </w:rPr>
        <w:t>Discussion</w:t>
      </w:r>
    </w:p>
    <w:p w14:paraId="590E4B8B" w14:textId="6576B187" w:rsidR="00A26A0C" w:rsidRDefault="00745F36"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lastRenderedPageBreak/>
        <w:t xml:space="preserve">[11] </w:t>
      </w:r>
      <w:r w:rsidR="00A26A0C">
        <w:rPr>
          <w:rFonts w:ascii="Arial Nova Cond" w:hAnsi="Arial Nova Cond" w:cs="Arial"/>
          <w:sz w:val="24"/>
          <w:szCs w:val="24"/>
        </w:rPr>
        <w:t>The respondents in raising a special plea relied on section 12(1) and 11(d) of the Act. S</w:t>
      </w:r>
      <w:r w:rsidR="00BC1EE4">
        <w:rPr>
          <w:rFonts w:ascii="Arial Nova Cond" w:hAnsi="Arial Nova Cond" w:cs="Arial"/>
          <w:sz w:val="24"/>
          <w:szCs w:val="24"/>
        </w:rPr>
        <w:t>ection 12</w:t>
      </w:r>
      <w:r w:rsidR="00A26A0C">
        <w:rPr>
          <w:rFonts w:ascii="Arial Nova Cond" w:hAnsi="Arial Nova Cond" w:cs="Arial"/>
          <w:sz w:val="24"/>
          <w:szCs w:val="24"/>
        </w:rPr>
        <w:t>(1) provides:</w:t>
      </w:r>
    </w:p>
    <w:p w14:paraId="638D6C78" w14:textId="3118D614" w:rsidR="00A26A0C" w:rsidRPr="00045C16" w:rsidRDefault="00A26A0C" w:rsidP="004815F5">
      <w:pPr>
        <w:autoSpaceDE w:val="0"/>
        <w:autoSpaceDN w:val="0"/>
        <w:adjustRightInd w:val="0"/>
        <w:spacing w:after="120" w:line="360" w:lineRule="auto"/>
        <w:jc w:val="both"/>
        <w:rPr>
          <w:rFonts w:ascii="Arial Nova Cond" w:hAnsi="Arial Nova Cond" w:cs="Arial"/>
        </w:rPr>
      </w:pPr>
      <w:r w:rsidRPr="00045C16">
        <w:rPr>
          <w:rFonts w:ascii="Arial Nova Cond" w:hAnsi="Arial Nova Cond" w:cs="Arial"/>
          <w:i/>
        </w:rPr>
        <w:t>“</w:t>
      </w:r>
      <w:r w:rsidR="003845F2" w:rsidRPr="00045C16">
        <w:rPr>
          <w:rFonts w:ascii="Arial Nova Cond" w:hAnsi="Arial Nova Cond" w:cs="Arial"/>
          <w:i/>
        </w:rPr>
        <w:t>Subject to the provisions of subsections (2), (3) and (4), prescription shall commence to run as soon as the debt is due</w:t>
      </w:r>
      <w:r w:rsidR="003845F2" w:rsidRPr="00045C16">
        <w:rPr>
          <w:rFonts w:ascii="Arial Nova Cond" w:hAnsi="Arial Nova Cond" w:cs="Arial"/>
        </w:rPr>
        <w:t>.”</w:t>
      </w:r>
    </w:p>
    <w:p w14:paraId="20D988DF" w14:textId="3815CBFB" w:rsidR="003845F2" w:rsidRDefault="00045C16"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Section 11(d) provides:</w:t>
      </w:r>
    </w:p>
    <w:p w14:paraId="373F21F1" w14:textId="32347B9B" w:rsidR="00045C16" w:rsidRDefault="00045C16" w:rsidP="004815F5">
      <w:pPr>
        <w:autoSpaceDE w:val="0"/>
        <w:autoSpaceDN w:val="0"/>
        <w:adjustRightInd w:val="0"/>
        <w:spacing w:after="120" w:line="360" w:lineRule="auto"/>
        <w:jc w:val="both"/>
        <w:rPr>
          <w:rFonts w:ascii="Arial Nova Cond" w:hAnsi="Arial Nova Cond" w:cs="Arial"/>
          <w:sz w:val="24"/>
          <w:szCs w:val="24"/>
        </w:rPr>
      </w:pPr>
      <w:r w:rsidRPr="00045C16">
        <w:rPr>
          <w:rFonts w:ascii="Arial Nova Cond" w:hAnsi="Arial Nova Cond" w:cs="Arial"/>
          <w:i/>
          <w:sz w:val="24"/>
          <w:szCs w:val="24"/>
        </w:rPr>
        <w:t>“</w:t>
      </w:r>
      <w:r w:rsidRPr="00045C16">
        <w:rPr>
          <w:rFonts w:ascii="Arial Nova Cond" w:hAnsi="Arial Nova Cond" w:cs="Arial"/>
          <w:i/>
        </w:rPr>
        <w:t>…save where an Act of Parliament provides otherwise, three years in respect of any other deb</w:t>
      </w:r>
      <w:r w:rsidRPr="00045C16">
        <w:rPr>
          <w:rFonts w:ascii="Arial Nova Cond" w:hAnsi="Arial Nova Cond" w:cs="Arial"/>
          <w:i/>
          <w:sz w:val="24"/>
          <w:szCs w:val="24"/>
        </w:rPr>
        <w:t>t</w:t>
      </w:r>
      <w:r>
        <w:rPr>
          <w:rFonts w:ascii="Arial Nova Cond" w:hAnsi="Arial Nova Cond" w:cs="Arial"/>
          <w:sz w:val="24"/>
          <w:szCs w:val="24"/>
        </w:rPr>
        <w:t>.”</w:t>
      </w:r>
    </w:p>
    <w:p w14:paraId="2276C985" w14:textId="77777777" w:rsidR="00C5000A" w:rsidRDefault="00C5000A" w:rsidP="004815F5">
      <w:pPr>
        <w:autoSpaceDE w:val="0"/>
        <w:autoSpaceDN w:val="0"/>
        <w:adjustRightInd w:val="0"/>
        <w:spacing w:after="120" w:line="360" w:lineRule="auto"/>
        <w:jc w:val="both"/>
        <w:rPr>
          <w:rFonts w:ascii="Arial Nova Cond" w:hAnsi="Arial Nova Cond" w:cs="Arial"/>
          <w:sz w:val="24"/>
          <w:szCs w:val="24"/>
        </w:rPr>
      </w:pPr>
    </w:p>
    <w:p w14:paraId="3DDFC609" w14:textId="391A774B" w:rsidR="00745F36" w:rsidRDefault="00A26A0C"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 xml:space="preserve">[12] </w:t>
      </w:r>
      <w:r w:rsidR="00035E13" w:rsidRPr="002B4D71">
        <w:rPr>
          <w:rFonts w:ascii="Arial Nova Cond" w:hAnsi="Arial Nova Cond" w:cs="Arial"/>
          <w:sz w:val="24"/>
          <w:szCs w:val="24"/>
        </w:rPr>
        <w:t>The appellant in the action</w:t>
      </w:r>
      <w:r w:rsidR="009342C6" w:rsidRPr="002B4D71">
        <w:rPr>
          <w:rFonts w:ascii="Arial Nova Cond" w:hAnsi="Arial Nova Cond" w:cs="Arial"/>
          <w:sz w:val="24"/>
          <w:szCs w:val="24"/>
        </w:rPr>
        <w:t xml:space="preserve"> where the respondents were joined by the court as defendants,</w:t>
      </w:r>
      <w:r w:rsidR="00035E13" w:rsidRPr="002B4D71">
        <w:rPr>
          <w:rFonts w:ascii="Arial Nova Cond" w:hAnsi="Arial Nova Cond" w:cs="Arial"/>
          <w:sz w:val="24"/>
          <w:szCs w:val="24"/>
        </w:rPr>
        <w:t xml:space="preserve"> is claiming compensation sounding in money for delictual damages.</w:t>
      </w:r>
      <w:r w:rsidR="006F14A3" w:rsidRPr="002B4D71">
        <w:rPr>
          <w:rFonts w:ascii="Arial Nova Cond" w:hAnsi="Arial Nova Cond" w:cs="Arial"/>
          <w:sz w:val="24"/>
          <w:szCs w:val="24"/>
        </w:rPr>
        <w:t xml:space="preserve"> In response to the special plea of prescription, he contends that the running of prescription was interrupted by the service of the joinder order in terms of section </w:t>
      </w:r>
      <w:r w:rsidRPr="002B4D71">
        <w:rPr>
          <w:rFonts w:ascii="Arial Nova Cond" w:hAnsi="Arial Nova Cond" w:cs="Arial"/>
          <w:sz w:val="24"/>
          <w:szCs w:val="24"/>
        </w:rPr>
        <w:t>15(1)</w:t>
      </w:r>
      <w:r w:rsidR="009778E2">
        <w:rPr>
          <w:rFonts w:ascii="Arial Nova Cond" w:hAnsi="Arial Nova Cond" w:cs="Arial"/>
          <w:sz w:val="24"/>
          <w:szCs w:val="24"/>
        </w:rPr>
        <w:t xml:space="preserve"> read with 15</w:t>
      </w:r>
      <w:r w:rsidR="006F14A3" w:rsidRPr="002B4D71">
        <w:rPr>
          <w:rFonts w:ascii="Arial Nova Cond" w:hAnsi="Arial Nova Cond" w:cs="Arial"/>
          <w:sz w:val="24"/>
          <w:szCs w:val="24"/>
        </w:rPr>
        <w:t>(6)</w:t>
      </w:r>
      <w:r w:rsidRPr="002B4D71">
        <w:rPr>
          <w:rFonts w:ascii="Arial Nova Cond" w:hAnsi="Arial Nova Cond" w:cs="Arial"/>
          <w:sz w:val="24"/>
          <w:szCs w:val="24"/>
        </w:rPr>
        <w:t xml:space="preserve"> of the Act</w:t>
      </w:r>
      <w:r w:rsidR="00741334" w:rsidRPr="002B4D71">
        <w:rPr>
          <w:rFonts w:ascii="Arial Nova Cond" w:hAnsi="Arial Nova Cond" w:cs="Arial"/>
          <w:sz w:val="24"/>
          <w:szCs w:val="24"/>
        </w:rPr>
        <w:t>.</w:t>
      </w:r>
      <w:r w:rsidR="006F14A3" w:rsidRPr="002B4D71">
        <w:rPr>
          <w:rFonts w:ascii="Arial Nova Cond" w:hAnsi="Arial Nova Cond" w:cs="Arial"/>
          <w:sz w:val="24"/>
          <w:szCs w:val="24"/>
        </w:rPr>
        <w:t xml:space="preserve"> </w:t>
      </w:r>
      <w:r w:rsidRPr="002B4D71">
        <w:rPr>
          <w:rFonts w:ascii="Arial Nova Cond" w:hAnsi="Arial Nova Cond" w:cs="Arial"/>
          <w:sz w:val="24"/>
          <w:szCs w:val="24"/>
        </w:rPr>
        <w:t xml:space="preserve"> </w:t>
      </w:r>
      <w:r w:rsidR="003E4BC9" w:rsidRPr="002B4D71">
        <w:rPr>
          <w:rFonts w:ascii="Arial Nova Cond" w:hAnsi="Arial Nova Cond" w:cs="Arial"/>
          <w:sz w:val="24"/>
          <w:szCs w:val="24"/>
        </w:rPr>
        <w:t>Section 15(1) of the Act provides for the interruption of the running of prescription</w:t>
      </w:r>
      <w:r w:rsidR="003E4BC9">
        <w:rPr>
          <w:rFonts w:ascii="Arial Nova Cond" w:hAnsi="Arial Nova Cond" w:cs="Arial"/>
          <w:sz w:val="24"/>
          <w:szCs w:val="24"/>
        </w:rPr>
        <w:t xml:space="preserve"> “</w:t>
      </w:r>
      <w:r w:rsidR="003E4BC9" w:rsidRPr="003E4BC9">
        <w:rPr>
          <w:rFonts w:ascii="Arial Nova Cond" w:hAnsi="Arial Nova Cond" w:cs="Arial"/>
          <w:i/>
        </w:rPr>
        <w:t>by the service on the debtor of any process whereby the creditor claims payment of the deb</w:t>
      </w:r>
      <w:r w:rsidR="003E4BC9" w:rsidRPr="003E4BC9">
        <w:rPr>
          <w:rFonts w:ascii="Arial Nova Cond" w:hAnsi="Arial Nova Cond" w:cs="Arial"/>
          <w:i/>
          <w:sz w:val="24"/>
          <w:szCs w:val="24"/>
        </w:rPr>
        <w:t>t.</w:t>
      </w:r>
      <w:r w:rsidR="003E4BC9">
        <w:rPr>
          <w:rFonts w:ascii="Arial Nova Cond" w:hAnsi="Arial Nova Cond" w:cs="Arial"/>
          <w:sz w:val="24"/>
          <w:szCs w:val="24"/>
        </w:rPr>
        <w:t xml:space="preserve">” </w:t>
      </w:r>
      <w:r w:rsidR="00476416">
        <w:rPr>
          <w:rFonts w:ascii="Arial Nova Cond" w:hAnsi="Arial Nova Cond" w:cs="Arial"/>
          <w:sz w:val="24"/>
          <w:szCs w:val="24"/>
        </w:rPr>
        <w:t>Subsection (6) defines process to include “</w:t>
      </w:r>
      <w:r w:rsidR="00476416" w:rsidRPr="00DF68D7">
        <w:rPr>
          <w:rFonts w:ascii="Arial Nova Cond" w:hAnsi="Arial Nova Cond" w:cs="Arial"/>
          <w:i/>
        </w:rPr>
        <w:t>a petition, a notice of motion, a rule nisi, a pleading in reconvention, a third party notice referred to in any rule of court and any document whereby legal proceedings are commenced</w:t>
      </w:r>
      <w:r w:rsidR="00476416">
        <w:rPr>
          <w:rFonts w:ascii="Arial Nova Cond" w:hAnsi="Arial Nova Cond" w:cs="Arial"/>
          <w:sz w:val="24"/>
          <w:szCs w:val="24"/>
        </w:rPr>
        <w:t>.”</w:t>
      </w:r>
    </w:p>
    <w:p w14:paraId="115352D6" w14:textId="10945224" w:rsidR="005A3A7F" w:rsidRDefault="005A3A7F"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 xml:space="preserve">[13] In </w:t>
      </w:r>
      <w:r w:rsidRPr="005A3A7F">
        <w:rPr>
          <w:rFonts w:ascii="Arial Nova Cond" w:hAnsi="Arial Nova Cond" w:cs="Arial"/>
          <w:i/>
          <w:sz w:val="24"/>
          <w:szCs w:val="24"/>
        </w:rPr>
        <w:t>Food and Allied Workers Union obo Gaoshubelwe v Pieman’s Pantry (Pty) Limited (CCT236/16) [2018] ZACC 7; 2018 (5) BCLR 527 (CC); [2018] 6 BLLR 531 (CC); (2018) 39 ILJ 1213 (CC) (20 March 2018</w:t>
      </w:r>
      <w:r>
        <w:rPr>
          <w:rFonts w:ascii="Arial Nova Cond" w:hAnsi="Arial Nova Cond" w:cs="Arial"/>
          <w:sz w:val="24"/>
          <w:szCs w:val="24"/>
        </w:rPr>
        <w:t>)</w:t>
      </w:r>
      <w:r w:rsidR="004D1402">
        <w:rPr>
          <w:rFonts w:ascii="Arial Nova Cond" w:hAnsi="Arial Nova Cond" w:cs="Arial"/>
          <w:sz w:val="24"/>
          <w:szCs w:val="24"/>
        </w:rPr>
        <w:t xml:space="preserve"> paras [195] to [197]</w:t>
      </w:r>
      <w:r>
        <w:rPr>
          <w:rFonts w:ascii="Arial Nova Cond" w:hAnsi="Arial Nova Cond" w:cs="Arial"/>
          <w:sz w:val="24"/>
          <w:szCs w:val="24"/>
        </w:rPr>
        <w:t>, the Constitutional Court</w:t>
      </w:r>
      <w:r w:rsidR="00777895">
        <w:rPr>
          <w:rFonts w:ascii="Arial Nova Cond" w:hAnsi="Arial Nova Cond" w:cs="Arial"/>
          <w:sz w:val="24"/>
          <w:szCs w:val="24"/>
        </w:rPr>
        <w:t xml:space="preserve"> endorsing what was stated by Victor J in </w:t>
      </w:r>
      <w:r w:rsidR="00777895" w:rsidRPr="00777895">
        <w:rPr>
          <w:rFonts w:ascii="Arial Nova Cond" w:hAnsi="Arial Nova Cond" w:cs="Arial"/>
          <w:i/>
          <w:sz w:val="24"/>
          <w:szCs w:val="24"/>
        </w:rPr>
        <w:t>Wessels v Coetzee [2013] ZAGPPHC 82 at para 29</w:t>
      </w:r>
      <w:r w:rsidR="00546C74">
        <w:rPr>
          <w:rFonts w:ascii="Arial Nova Cond" w:hAnsi="Arial Nova Cond" w:cs="Arial"/>
          <w:sz w:val="24"/>
          <w:szCs w:val="24"/>
        </w:rPr>
        <w:t xml:space="preserve"> in respect of the</w:t>
      </w:r>
      <w:r w:rsidR="005D25F1">
        <w:rPr>
          <w:rFonts w:ascii="Arial Nova Cond" w:hAnsi="Arial Nova Cond" w:cs="Arial"/>
          <w:sz w:val="24"/>
          <w:szCs w:val="24"/>
        </w:rPr>
        <w:t xml:space="preserve"> interpretation of the words</w:t>
      </w:r>
      <w:r w:rsidR="00546C74">
        <w:rPr>
          <w:rFonts w:ascii="Arial Nova Cond" w:hAnsi="Arial Nova Cond" w:cs="Arial"/>
          <w:sz w:val="24"/>
          <w:szCs w:val="24"/>
        </w:rPr>
        <w:t xml:space="preserve"> ‘</w:t>
      </w:r>
      <w:r w:rsidR="00546C74" w:rsidRPr="00546C74">
        <w:rPr>
          <w:rFonts w:ascii="Arial Nova Cond" w:hAnsi="Arial Nova Cond" w:cs="Arial"/>
          <w:i/>
        </w:rPr>
        <w:t>any document whereby legal proceedings are commenced</w:t>
      </w:r>
      <w:r w:rsidR="00546C74" w:rsidRPr="00546C74">
        <w:rPr>
          <w:rFonts w:ascii="Arial Nova Cond" w:hAnsi="Arial Nova Cond" w:cs="Arial"/>
        </w:rPr>
        <w:t>’</w:t>
      </w:r>
      <w:r>
        <w:rPr>
          <w:rFonts w:ascii="Arial Nova Cond" w:hAnsi="Arial Nova Cond" w:cs="Arial"/>
          <w:sz w:val="24"/>
          <w:szCs w:val="24"/>
        </w:rPr>
        <w:t xml:space="preserve"> held:</w:t>
      </w:r>
    </w:p>
    <w:p w14:paraId="0B6C547E" w14:textId="52904F46" w:rsidR="005A3A7F" w:rsidRPr="006A35D2" w:rsidRDefault="005A3A7F" w:rsidP="004815F5">
      <w:pPr>
        <w:autoSpaceDE w:val="0"/>
        <w:autoSpaceDN w:val="0"/>
        <w:adjustRightInd w:val="0"/>
        <w:spacing w:after="120" w:line="360" w:lineRule="auto"/>
        <w:jc w:val="both"/>
        <w:rPr>
          <w:rFonts w:ascii="Arial Nova Cond" w:hAnsi="Arial Nova Cond" w:cs="Arial"/>
          <w:i/>
        </w:rPr>
      </w:pPr>
      <w:r>
        <w:rPr>
          <w:rFonts w:ascii="Arial Nova Cond" w:hAnsi="Arial Nova Cond" w:cs="Arial"/>
          <w:sz w:val="24"/>
          <w:szCs w:val="24"/>
        </w:rPr>
        <w:t xml:space="preserve"> </w:t>
      </w:r>
      <w:r w:rsidR="00546C74" w:rsidRPr="003277F9">
        <w:rPr>
          <w:rFonts w:ascii="Arial Nova Cond" w:hAnsi="Arial Nova Cond" w:cs="Arial"/>
        </w:rPr>
        <w:t>“</w:t>
      </w:r>
      <w:r w:rsidR="00A220D2" w:rsidRPr="003277F9">
        <w:rPr>
          <w:rFonts w:ascii="Arial Nova Cond" w:hAnsi="Arial Nova Cond" w:cs="Arial"/>
        </w:rPr>
        <w:t>[</w:t>
      </w:r>
      <w:r w:rsidR="00A220D2" w:rsidRPr="006A35D2">
        <w:rPr>
          <w:rFonts w:ascii="Arial Nova Cond" w:hAnsi="Arial Nova Cond" w:cs="Arial"/>
          <w:i/>
        </w:rPr>
        <w:t xml:space="preserve">195] </w:t>
      </w:r>
      <w:r w:rsidR="00546C74" w:rsidRPr="006A35D2">
        <w:rPr>
          <w:rFonts w:ascii="Arial Nova Cond" w:hAnsi="Arial Nova Cond" w:cs="Arial"/>
          <w:i/>
        </w:rPr>
        <w:t xml:space="preserve">…. </w:t>
      </w:r>
      <w:r w:rsidR="004D1402" w:rsidRPr="006A35D2">
        <w:rPr>
          <w:rFonts w:ascii="Arial Nova Cond" w:hAnsi="Arial Nova Cond" w:cs="Arial"/>
          <w:i/>
        </w:rPr>
        <w:t>While most of the documents</w:t>
      </w:r>
      <w:r w:rsidR="00A220D2" w:rsidRPr="006A35D2">
        <w:rPr>
          <w:rFonts w:ascii="Arial Nova Cond" w:hAnsi="Arial Nova Cond" w:cs="Arial"/>
          <w:i/>
        </w:rPr>
        <w:t xml:space="preserve"> to which reference is made ordinarily constitute documents associated with courts and the litigation advanced there, </w:t>
      </w:r>
      <w:r w:rsidR="00A220D2" w:rsidRPr="006A35D2">
        <w:rPr>
          <w:rFonts w:ascii="Arial Nova Cond" w:hAnsi="Arial Nova Cond" w:cs="Arial"/>
          <w:b/>
          <w:i/>
          <w:u w:val="single"/>
        </w:rPr>
        <w:t xml:space="preserve">[144] </w:t>
      </w:r>
      <w:r w:rsidR="00A220D2" w:rsidRPr="006A35D2">
        <w:rPr>
          <w:rFonts w:ascii="Arial Nova Cond" w:hAnsi="Arial Nova Cond" w:cs="Arial"/>
          <w:i/>
        </w:rPr>
        <w:t>the</w:t>
      </w:r>
      <w:r w:rsidR="00D81134" w:rsidRPr="006A35D2">
        <w:rPr>
          <w:rFonts w:ascii="Arial Nova Cond" w:hAnsi="Arial Nova Cond" w:cs="Arial"/>
          <w:i/>
        </w:rPr>
        <w:t xml:space="preserve"> reference to “any document whereby legal proceedings are commenced” is clearly indicative of a broader and more generous approach to what may constitute such a document. The second judgment in Mnyathaza, referred to a Zimbambwean case which dealt with a similar provision to section 15(6) and defined the precise meaning of “process”.[</w:t>
      </w:r>
      <w:r w:rsidR="00D81134" w:rsidRPr="006A35D2">
        <w:rPr>
          <w:rFonts w:ascii="Arial Nova Cond" w:hAnsi="Arial Nova Cond" w:cs="Arial"/>
          <w:b/>
          <w:i/>
          <w:u w:val="single"/>
        </w:rPr>
        <w:t>145</w:t>
      </w:r>
      <w:r w:rsidR="00D81134" w:rsidRPr="006A35D2">
        <w:rPr>
          <w:rFonts w:ascii="Arial Nova Cond" w:hAnsi="Arial Nova Cond" w:cs="Arial"/>
          <w:i/>
        </w:rPr>
        <w:t>] The Zimbabwe Supreme Court per Georges CJ held:</w:t>
      </w:r>
    </w:p>
    <w:p w14:paraId="053E0BD9" w14:textId="0C3A4FF5" w:rsidR="00B02C0B" w:rsidRPr="006A35D2" w:rsidRDefault="00B02C0B" w:rsidP="004815F5">
      <w:pPr>
        <w:autoSpaceDE w:val="0"/>
        <w:autoSpaceDN w:val="0"/>
        <w:adjustRightInd w:val="0"/>
        <w:spacing w:after="120" w:line="360" w:lineRule="auto"/>
        <w:jc w:val="both"/>
        <w:rPr>
          <w:rFonts w:ascii="Arial Nova Cond" w:hAnsi="Arial Nova Cond" w:cs="Arial"/>
          <w:i/>
        </w:rPr>
      </w:pPr>
      <w:r w:rsidRPr="006A35D2">
        <w:rPr>
          <w:rFonts w:ascii="Arial Nova Cond" w:hAnsi="Arial Nova Cond" w:cs="Arial"/>
          <w:i/>
        </w:rPr>
        <w:lastRenderedPageBreak/>
        <w:t>“The definition of ‘process’ in subsection (6) is not exclusive in its scope. The section merely enumerates some documents which fall within the ambit of the word. It clearly contemplates that other documents may fall within that ambit.”[</w:t>
      </w:r>
      <w:r w:rsidRPr="006A35D2">
        <w:rPr>
          <w:rFonts w:ascii="Arial Nova Cond" w:hAnsi="Arial Nova Cond" w:cs="Arial"/>
          <w:b/>
          <w:i/>
          <w:u w:val="single"/>
        </w:rPr>
        <w:t>146</w:t>
      </w:r>
      <w:r w:rsidRPr="006A35D2">
        <w:rPr>
          <w:rFonts w:ascii="Arial Nova Cond" w:hAnsi="Arial Nova Cond" w:cs="Arial"/>
          <w:i/>
        </w:rPr>
        <w:t xml:space="preserve">] </w:t>
      </w:r>
    </w:p>
    <w:p w14:paraId="341A2679" w14:textId="0AA07820" w:rsidR="00B02C0B" w:rsidRPr="006A35D2" w:rsidRDefault="00B02C0B" w:rsidP="004815F5">
      <w:pPr>
        <w:autoSpaceDE w:val="0"/>
        <w:autoSpaceDN w:val="0"/>
        <w:adjustRightInd w:val="0"/>
        <w:spacing w:after="120" w:line="360" w:lineRule="auto"/>
        <w:jc w:val="both"/>
        <w:rPr>
          <w:rFonts w:ascii="Arial Nova Cond" w:hAnsi="Arial Nova Cond" w:cs="Arial"/>
          <w:i/>
        </w:rPr>
      </w:pPr>
      <w:r w:rsidRPr="006A35D2">
        <w:rPr>
          <w:rFonts w:ascii="Arial Nova Cond" w:hAnsi="Arial Nova Cond" w:cs="Arial"/>
          <w:i/>
        </w:rPr>
        <w:t>All that section 15(6) requires is that the document in question is one by which legal proceedings are commenced.</w:t>
      </w:r>
    </w:p>
    <w:p w14:paraId="492D1347" w14:textId="7FAF39CE" w:rsidR="001724B2" w:rsidRPr="00FF5230" w:rsidRDefault="001724B2" w:rsidP="004815F5">
      <w:pPr>
        <w:autoSpaceDE w:val="0"/>
        <w:autoSpaceDN w:val="0"/>
        <w:adjustRightInd w:val="0"/>
        <w:spacing w:after="120" w:line="360" w:lineRule="auto"/>
        <w:jc w:val="both"/>
        <w:rPr>
          <w:rFonts w:ascii="Arial Nova Cond" w:hAnsi="Arial Nova Cond" w:cs="Arial"/>
          <w:i/>
        </w:rPr>
      </w:pPr>
      <w:r w:rsidRPr="00FF5230">
        <w:rPr>
          <w:rFonts w:ascii="Arial Nova Cond" w:hAnsi="Arial Nova Cond" w:cs="Arial"/>
          <w:i/>
        </w:rPr>
        <w:t>[196] The interpretation I have attached to the term “any document” is not offensive to the section, nor is it overly broad and inconsistent with the context within which it is used. In addition, and to the extent that it may be necessary, interpreting the term “any document” in a narrow sense, as being confined to documents used in formal court processes, would not accord with what is required if the interpretation exercise, as it must, is viewed through the prism of section 39(2).[</w:t>
      </w:r>
      <w:r w:rsidRPr="00FF5230">
        <w:rPr>
          <w:rFonts w:ascii="Arial Nova Cond" w:hAnsi="Arial Nova Cond" w:cs="Arial"/>
          <w:b/>
          <w:i/>
          <w:u w:val="single"/>
        </w:rPr>
        <w:t>147</w:t>
      </w:r>
      <w:r w:rsidRPr="00FF5230">
        <w:rPr>
          <w:rFonts w:ascii="Arial Nova Cond" w:hAnsi="Arial Nova Cond" w:cs="Arial"/>
          <w:i/>
        </w:rPr>
        <w:t>] The interpretation of prescription, in effect, releases the constraint that the running of prescription has on the right to access to courts, which is provided for in</w:t>
      </w:r>
      <w:r w:rsidRPr="00FF5230">
        <w:rPr>
          <w:rFonts w:ascii="Arial Nova Cond" w:hAnsi="Arial Nova Cond" w:cs="Arial"/>
          <w:i/>
          <w:sz w:val="24"/>
          <w:szCs w:val="24"/>
        </w:rPr>
        <w:t xml:space="preserve"> </w:t>
      </w:r>
      <w:r w:rsidRPr="00FF5230">
        <w:rPr>
          <w:rFonts w:ascii="Arial Nova Cond" w:hAnsi="Arial Nova Cond" w:cs="Arial"/>
          <w:i/>
        </w:rPr>
        <w:t>section 34 of the Constitution.[</w:t>
      </w:r>
      <w:r w:rsidRPr="00FF5230">
        <w:rPr>
          <w:rFonts w:ascii="Arial Nova Cond" w:hAnsi="Arial Nova Cond" w:cs="Arial"/>
          <w:b/>
          <w:i/>
          <w:u w:val="single"/>
        </w:rPr>
        <w:t>148</w:t>
      </w:r>
      <w:r w:rsidRPr="00FF5230">
        <w:rPr>
          <w:rFonts w:ascii="Arial Nova Cond" w:hAnsi="Arial Nova Cond" w:cs="Arial"/>
          <w:i/>
        </w:rPr>
        <w:t>] It accordingly justifies a</w:t>
      </w:r>
      <w:r w:rsidRPr="00FF5230">
        <w:rPr>
          <w:rFonts w:ascii="Arial Nova Cond" w:hAnsi="Arial Nova Cond" w:cs="Arial"/>
          <w:i/>
          <w:sz w:val="24"/>
          <w:szCs w:val="24"/>
        </w:rPr>
        <w:t xml:space="preserve"> </w:t>
      </w:r>
      <w:r w:rsidRPr="00FF5230">
        <w:rPr>
          <w:rFonts w:ascii="Arial Nova Cond" w:hAnsi="Arial Nova Cond" w:cs="Arial"/>
          <w:i/>
        </w:rPr>
        <w:t>broader</w:t>
      </w:r>
      <w:r w:rsidRPr="003277F9">
        <w:rPr>
          <w:rFonts w:ascii="Arial Nova Cond" w:hAnsi="Arial Nova Cond" w:cs="Arial"/>
        </w:rPr>
        <w:t xml:space="preserve"> </w:t>
      </w:r>
      <w:r w:rsidRPr="00FF5230">
        <w:rPr>
          <w:rFonts w:ascii="Arial Nova Cond" w:hAnsi="Arial Nova Cond" w:cs="Arial"/>
          <w:i/>
        </w:rPr>
        <w:t>meaning to be attached to the term “any document”, for the same reasons advanced above in support of a narrower meaning to be ascribed to the term “debt”.</w:t>
      </w:r>
    </w:p>
    <w:p w14:paraId="39561E2E" w14:textId="7195E96A" w:rsidR="001724B2" w:rsidRPr="00FF5230" w:rsidRDefault="005C2C30" w:rsidP="004815F5">
      <w:pPr>
        <w:autoSpaceDE w:val="0"/>
        <w:autoSpaceDN w:val="0"/>
        <w:adjustRightInd w:val="0"/>
        <w:spacing w:after="120" w:line="360" w:lineRule="auto"/>
        <w:jc w:val="both"/>
        <w:rPr>
          <w:rFonts w:ascii="Arial Nova Cond" w:hAnsi="Arial Nova Cond" w:cs="Arial"/>
          <w:i/>
        </w:rPr>
      </w:pPr>
      <w:r w:rsidRPr="00FF5230">
        <w:rPr>
          <w:rFonts w:ascii="Arial Nova Cond" w:hAnsi="Arial Nova Cond" w:cs="Arial"/>
          <w:i/>
        </w:rPr>
        <w:t>[197] If ultimately the re-interpretation of the Prescription Act must demonstrate a fidelity to the values of the Constitution, then there can be no justification in seeking to assign a narrow meaning to the term “any document”, which in any event is qualified by the reference to it being “any document” commencing legal proceedings.[</w:t>
      </w:r>
      <w:r w:rsidRPr="00FF5230">
        <w:rPr>
          <w:rFonts w:ascii="Arial Nova Cond" w:hAnsi="Arial Nova Cond" w:cs="Arial"/>
          <w:b/>
          <w:i/>
          <w:u w:val="single"/>
        </w:rPr>
        <w:t>149</w:t>
      </w:r>
      <w:r w:rsidRPr="00FF5230">
        <w:rPr>
          <w:rFonts w:ascii="Arial Nova Cond" w:hAnsi="Arial Nova Cond" w:cs="Arial"/>
          <w:i/>
        </w:rPr>
        <w:t>] In Wessels, the High Court held that the meaning ascribed to “any”, as contemplated in section 15(6)</w:t>
      </w:r>
      <w:r w:rsidR="008416D0" w:rsidRPr="00FF5230">
        <w:rPr>
          <w:rFonts w:ascii="Arial Nova Cond" w:hAnsi="Arial Nova Cond" w:cs="Arial"/>
          <w:i/>
        </w:rPr>
        <w:t>,</w:t>
      </w:r>
      <w:r w:rsidRPr="00FF5230">
        <w:rPr>
          <w:rFonts w:ascii="Arial Nova Cond" w:hAnsi="Arial Nova Cond" w:cs="Arial"/>
          <w:i/>
        </w:rPr>
        <w:t xml:space="preserve"> did not even require a reading in of the term, because the subsection was already “wide” and clearly “inclusive of a wide range of documents”.[</w:t>
      </w:r>
      <w:r w:rsidRPr="00FF5230">
        <w:rPr>
          <w:rFonts w:ascii="Arial Nova Cond" w:hAnsi="Arial Nova Cond" w:cs="Arial"/>
          <w:b/>
          <w:i/>
          <w:u w:val="single"/>
        </w:rPr>
        <w:t>150</w:t>
      </w:r>
      <w:r w:rsidRPr="00FF5230">
        <w:rPr>
          <w:rFonts w:ascii="Arial Nova Cond" w:hAnsi="Arial Nova Cond" w:cs="Arial"/>
          <w:i/>
        </w:rPr>
        <w:t>]</w:t>
      </w:r>
      <w:r w:rsidR="003277F9" w:rsidRPr="00FF5230">
        <w:rPr>
          <w:rFonts w:ascii="Arial Nova Cond" w:hAnsi="Arial Nova Cond" w:cs="Arial"/>
          <w:i/>
        </w:rPr>
        <w:t>”</w:t>
      </w:r>
    </w:p>
    <w:p w14:paraId="49B5781C" w14:textId="22C06F1F" w:rsidR="00FC5472" w:rsidRDefault="00285C5B"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w:t>
      </w:r>
      <w:r w:rsidR="00E105B2">
        <w:rPr>
          <w:rFonts w:ascii="Arial Nova Cond" w:hAnsi="Arial Nova Cond" w:cs="Arial"/>
          <w:sz w:val="24"/>
          <w:szCs w:val="24"/>
        </w:rPr>
        <w:t>14]</w:t>
      </w:r>
      <w:r w:rsidR="00FC5472">
        <w:rPr>
          <w:rFonts w:ascii="Arial Nova Cond" w:hAnsi="Arial Nova Cond" w:cs="Arial"/>
          <w:sz w:val="24"/>
          <w:szCs w:val="24"/>
        </w:rPr>
        <w:t xml:space="preserve"> In </w:t>
      </w:r>
      <w:r w:rsidR="00FC5472" w:rsidRPr="00FC5472">
        <w:rPr>
          <w:rFonts w:ascii="Arial Nova Cond" w:hAnsi="Arial Nova Cond" w:cs="Arial"/>
          <w:i/>
          <w:sz w:val="24"/>
          <w:szCs w:val="24"/>
        </w:rPr>
        <w:t>Cape Town</w:t>
      </w:r>
      <w:r w:rsidR="00FC5472">
        <w:rPr>
          <w:rFonts w:ascii="Arial Nova Cond" w:hAnsi="Arial Nova Cond" w:cs="Arial"/>
          <w:sz w:val="24"/>
          <w:szCs w:val="24"/>
        </w:rPr>
        <w:t xml:space="preserve"> </w:t>
      </w:r>
      <w:r w:rsidR="00FC5472" w:rsidRPr="002C2BC5">
        <w:rPr>
          <w:rFonts w:ascii="Arial Nova Cond" w:hAnsi="Arial Nova Cond" w:cs="Arial"/>
          <w:i/>
          <w:sz w:val="24"/>
          <w:szCs w:val="24"/>
        </w:rPr>
        <w:t>Municipality v Allianza Insurance Co Ltd 1990 (1) SA 311 © at 334H-J</w:t>
      </w:r>
      <w:r w:rsidR="00FC5472">
        <w:rPr>
          <w:rFonts w:ascii="Arial Nova Cond" w:hAnsi="Arial Nova Cond" w:cs="Arial"/>
          <w:sz w:val="24"/>
          <w:szCs w:val="24"/>
        </w:rPr>
        <w:t xml:space="preserve"> </w:t>
      </w:r>
      <w:r w:rsidR="00D91C9A">
        <w:rPr>
          <w:rFonts w:ascii="Arial Nova Cond" w:hAnsi="Arial Nova Cond" w:cs="Arial"/>
          <w:sz w:val="24"/>
          <w:szCs w:val="24"/>
        </w:rPr>
        <w:t>the court held that a process that initiates proceedings for enforcement of payment of a debt interrupts prescription:</w:t>
      </w:r>
    </w:p>
    <w:p w14:paraId="4AE6AA1C" w14:textId="30FB890D" w:rsidR="00D91C9A" w:rsidRPr="00C0790B" w:rsidRDefault="00D91C9A" w:rsidP="004815F5">
      <w:pPr>
        <w:autoSpaceDE w:val="0"/>
        <w:autoSpaceDN w:val="0"/>
        <w:adjustRightInd w:val="0"/>
        <w:spacing w:after="120" w:line="360" w:lineRule="auto"/>
        <w:jc w:val="both"/>
        <w:rPr>
          <w:rFonts w:ascii="Arial Nova Cond" w:hAnsi="Arial Nova Cond" w:cs="Arial"/>
          <w:i/>
        </w:rPr>
      </w:pPr>
      <w:r>
        <w:rPr>
          <w:rFonts w:ascii="Arial Nova Cond" w:hAnsi="Arial Nova Cond" w:cs="Arial"/>
          <w:sz w:val="24"/>
          <w:szCs w:val="24"/>
        </w:rPr>
        <w:t>“</w:t>
      </w:r>
      <w:r w:rsidRPr="00C0790B">
        <w:rPr>
          <w:rFonts w:ascii="Arial Nova Cond" w:hAnsi="Arial Nova Cond" w:cs="Arial"/>
          <w:i/>
        </w:rPr>
        <w:t>It is sufficient for the purposes of interrupting prescription if the process to be served is one whereby the proceedings begun there under are instituted as a step in the enforcement of a claim for payment of debt.</w:t>
      </w:r>
    </w:p>
    <w:p w14:paraId="3CC586ED" w14:textId="13CF1373" w:rsidR="00D91C9A" w:rsidRDefault="00D91C9A" w:rsidP="004815F5">
      <w:pPr>
        <w:autoSpaceDE w:val="0"/>
        <w:autoSpaceDN w:val="0"/>
        <w:adjustRightInd w:val="0"/>
        <w:spacing w:after="120" w:line="360" w:lineRule="auto"/>
        <w:jc w:val="both"/>
        <w:rPr>
          <w:rFonts w:ascii="Arial Nova Cond" w:hAnsi="Arial Nova Cond" w:cs="Arial"/>
          <w:sz w:val="24"/>
          <w:szCs w:val="24"/>
        </w:rPr>
      </w:pPr>
      <w:r w:rsidRPr="00C0790B">
        <w:rPr>
          <w:rFonts w:ascii="Arial Nova Cond" w:hAnsi="Arial Nova Cond" w:cs="Arial"/>
          <w:i/>
        </w:rPr>
        <w:t>A creditor prosecutes his claim under the process to final, executable judgment, not only when the process and judgment constitute the beginning and end of the same action, but also where the process initiates an action, judgment in which finally disposes some elements of the claim, and where the remaining elements are disposed of in a supplementary action pursuant to and dependent upon that judgment</w:t>
      </w:r>
      <w:r>
        <w:rPr>
          <w:rFonts w:ascii="Arial Nova Cond" w:hAnsi="Arial Nova Cond" w:cs="Arial"/>
          <w:sz w:val="24"/>
          <w:szCs w:val="24"/>
        </w:rPr>
        <w:t xml:space="preserve">.” </w:t>
      </w:r>
    </w:p>
    <w:p w14:paraId="626CDC93" w14:textId="0B5CEF01" w:rsidR="00285C5B" w:rsidRDefault="00FC5472"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lastRenderedPageBreak/>
        <w:t>[15]</w:t>
      </w:r>
      <w:r w:rsidR="00235A8B">
        <w:rPr>
          <w:rFonts w:ascii="Arial Nova Cond" w:hAnsi="Arial Nova Cond" w:cs="Arial"/>
          <w:sz w:val="24"/>
          <w:szCs w:val="24"/>
        </w:rPr>
        <w:t xml:space="preserve"> The</w:t>
      </w:r>
      <w:r>
        <w:rPr>
          <w:rFonts w:ascii="Arial Nova Cond" w:hAnsi="Arial Nova Cond" w:cs="Arial"/>
          <w:sz w:val="24"/>
          <w:szCs w:val="24"/>
        </w:rPr>
        <w:t xml:space="preserve"> </w:t>
      </w:r>
      <w:r w:rsidR="00E105B2">
        <w:rPr>
          <w:rFonts w:ascii="Arial Nova Cond" w:hAnsi="Arial Nova Cond" w:cs="Arial"/>
          <w:sz w:val="24"/>
          <w:szCs w:val="24"/>
        </w:rPr>
        <w:t xml:space="preserve">Constitutional Court in </w:t>
      </w:r>
      <w:r w:rsidR="00E105B2" w:rsidRPr="002C2BC5">
        <w:rPr>
          <w:rFonts w:ascii="Arial Nova Cond" w:hAnsi="Arial Nova Cond" w:cs="Arial"/>
          <w:i/>
          <w:sz w:val="24"/>
          <w:szCs w:val="24"/>
        </w:rPr>
        <w:t>Food and Allied Workers Union</w:t>
      </w:r>
      <w:r w:rsidR="00E105B2">
        <w:rPr>
          <w:rFonts w:ascii="Arial Nova Cond" w:hAnsi="Arial Nova Cond" w:cs="Arial"/>
          <w:sz w:val="24"/>
          <w:szCs w:val="24"/>
        </w:rPr>
        <w:t xml:space="preserve"> </w:t>
      </w:r>
      <w:r w:rsidR="00E105B2" w:rsidRPr="00E105B2">
        <w:rPr>
          <w:rFonts w:ascii="Arial Nova Cond" w:hAnsi="Arial Nova Cond" w:cs="Arial"/>
          <w:i/>
          <w:sz w:val="24"/>
          <w:szCs w:val="24"/>
        </w:rPr>
        <w:t>supra</w:t>
      </w:r>
      <w:r w:rsidR="00E105B2">
        <w:rPr>
          <w:rFonts w:ascii="Arial Nova Cond" w:hAnsi="Arial Nova Cond" w:cs="Arial"/>
          <w:i/>
          <w:sz w:val="24"/>
          <w:szCs w:val="24"/>
        </w:rPr>
        <w:t xml:space="preserve"> </w:t>
      </w:r>
      <w:r w:rsidR="002C2BC5">
        <w:rPr>
          <w:rFonts w:ascii="Arial Nova Cond" w:hAnsi="Arial Nova Cond" w:cs="Arial"/>
          <w:sz w:val="24"/>
          <w:szCs w:val="24"/>
        </w:rPr>
        <w:t>endorsed</w:t>
      </w:r>
      <w:r w:rsidR="00E105B2">
        <w:rPr>
          <w:rFonts w:ascii="Arial Nova Cond" w:hAnsi="Arial Nova Cond" w:cs="Arial"/>
          <w:sz w:val="24"/>
          <w:szCs w:val="24"/>
        </w:rPr>
        <w:t xml:space="preserve"> the principle set</w:t>
      </w:r>
      <w:r w:rsidR="00235A8B">
        <w:rPr>
          <w:rFonts w:ascii="Arial Nova Cond" w:hAnsi="Arial Nova Cond" w:cs="Arial"/>
          <w:sz w:val="24"/>
          <w:szCs w:val="24"/>
        </w:rPr>
        <w:t xml:space="preserve"> out</w:t>
      </w:r>
      <w:r w:rsidR="00E105B2">
        <w:rPr>
          <w:rFonts w:ascii="Arial Nova Cond" w:hAnsi="Arial Nova Cond" w:cs="Arial"/>
          <w:sz w:val="24"/>
          <w:szCs w:val="24"/>
        </w:rPr>
        <w:t xml:space="preserve"> in </w:t>
      </w:r>
      <w:r w:rsidR="00E105B2" w:rsidRPr="002C2BC5">
        <w:rPr>
          <w:rFonts w:ascii="Arial Nova Cond" w:hAnsi="Arial Nova Cond" w:cs="Arial"/>
          <w:i/>
          <w:sz w:val="24"/>
          <w:szCs w:val="24"/>
        </w:rPr>
        <w:t>Cape Town</w:t>
      </w:r>
      <w:r w:rsidR="00235A8B">
        <w:rPr>
          <w:rFonts w:ascii="Arial Nova Cond" w:hAnsi="Arial Nova Cond" w:cs="Arial"/>
          <w:i/>
          <w:sz w:val="24"/>
          <w:szCs w:val="24"/>
        </w:rPr>
        <w:t xml:space="preserve"> Municipality supra </w:t>
      </w:r>
      <w:r w:rsidR="00235A8B" w:rsidRPr="00235A8B">
        <w:rPr>
          <w:rFonts w:ascii="Arial Nova Cond" w:hAnsi="Arial Nova Cond" w:cs="Arial"/>
          <w:sz w:val="24"/>
          <w:szCs w:val="24"/>
        </w:rPr>
        <w:t>and held:</w:t>
      </w:r>
    </w:p>
    <w:p w14:paraId="4B996AA1" w14:textId="1ED3D5A1" w:rsidR="00BC543D" w:rsidRDefault="00FC5472" w:rsidP="004815F5">
      <w:pPr>
        <w:autoSpaceDE w:val="0"/>
        <w:autoSpaceDN w:val="0"/>
        <w:adjustRightInd w:val="0"/>
        <w:spacing w:after="120" w:line="360" w:lineRule="auto"/>
        <w:jc w:val="both"/>
        <w:rPr>
          <w:rFonts w:ascii="Arial Nova Cond" w:hAnsi="Arial Nova Cond" w:cs="Arial"/>
          <w:sz w:val="24"/>
          <w:szCs w:val="24"/>
        </w:rPr>
      </w:pPr>
      <w:r w:rsidRPr="00672874">
        <w:rPr>
          <w:rFonts w:ascii="Arial Nova Cond" w:hAnsi="Arial Nova Cond" w:cs="Arial"/>
          <w:i/>
        </w:rPr>
        <w:t>“</w:t>
      </w:r>
      <w:r w:rsidR="00672874" w:rsidRPr="00672874">
        <w:rPr>
          <w:rFonts w:ascii="Arial Nova Cond" w:hAnsi="Arial Nova Cond" w:cs="Arial"/>
          <w:i/>
        </w:rPr>
        <w:t>[203] What is instructive from this decision is that it recognises that the judicial process- may consist of various steps that are intertwined and that it is not necessary that the process that commences proceedings must result in a judgment in the same proceedings. Thus it matters not that the process that constitutes a referral to conciliation does not result in a judgment. It may still, and does indeed, constitute the commencement of proceedings for the enforcement of a debt.</w:t>
      </w:r>
      <w:r w:rsidR="00672874">
        <w:rPr>
          <w:rFonts w:ascii="Arial Nova Cond" w:hAnsi="Arial Nova Cond" w:cs="Arial"/>
          <w:sz w:val="24"/>
          <w:szCs w:val="24"/>
        </w:rPr>
        <w:t>”</w:t>
      </w:r>
    </w:p>
    <w:p w14:paraId="5B1FE016" w14:textId="1EA9C663" w:rsidR="00681047" w:rsidRDefault="00B906EF"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 xml:space="preserve">[16] Crutchfield J </w:t>
      </w:r>
      <w:r w:rsidR="00EB0445">
        <w:rPr>
          <w:rFonts w:ascii="Arial Nova Cond" w:hAnsi="Arial Nova Cond" w:cs="Arial"/>
          <w:sz w:val="24"/>
          <w:szCs w:val="24"/>
        </w:rPr>
        <w:t>in her judgment on</w:t>
      </w:r>
      <w:r w:rsidR="00A767D0">
        <w:rPr>
          <w:rFonts w:ascii="Arial Nova Cond" w:hAnsi="Arial Nova Cond" w:cs="Arial"/>
          <w:sz w:val="24"/>
          <w:szCs w:val="24"/>
        </w:rPr>
        <w:t xml:space="preserve"> the</w:t>
      </w:r>
      <w:r w:rsidR="00EB0445">
        <w:rPr>
          <w:rFonts w:ascii="Arial Nova Cond" w:hAnsi="Arial Nova Cond" w:cs="Arial"/>
          <w:sz w:val="24"/>
          <w:szCs w:val="24"/>
        </w:rPr>
        <w:t xml:space="preserve"> special plea stated that four decisions were relevant to the issue before her, namely, </w:t>
      </w:r>
      <w:r w:rsidR="00EB0445" w:rsidRPr="00EB0445">
        <w:rPr>
          <w:rFonts w:ascii="Arial Nova Cond" w:hAnsi="Arial Nova Cond" w:cs="Arial"/>
          <w:i/>
          <w:sz w:val="24"/>
          <w:szCs w:val="24"/>
        </w:rPr>
        <w:t>Cape Town Municipality supra</w:t>
      </w:r>
      <w:r w:rsidR="00EB0445">
        <w:rPr>
          <w:rFonts w:ascii="Arial Nova Cond" w:hAnsi="Arial Nova Cond" w:cs="Arial"/>
          <w:sz w:val="24"/>
          <w:szCs w:val="24"/>
        </w:rPr>
        <w:t xml:space="preserve">, </w:t>
      </w:r>
      <w:r w:rsidR="00EB0445" w:rsidRPr="00C30D23">
        <w:rPr>
          <w:rFonts w:ascii="Arial Nova Cond" w:hAnsi="Arial Nova Cond" w:cs="Arial"/>
          <w:i/>
          <w:sz w:val="24"/>
          <w:szCs w:val="24"/>
        </w:rPr>
        <w:t>Peter Taylor &amp; Associates v Bell Estates (Pty) Ltd &amp; Another 2014 (2) SA 312 SCA,</w:t>
      </w:r>
      <w:r w:rsidR="00EB0445">
        <w:rPr>
          <w:rFonts w:ascii="Arial Nova Cond" w:hAnsi="Arial Nova Cond" w:cs="Arial"/>
          <w:sz w:val="24"/>
          <w:szCs w:val="24"/>
        </w:rPr>
        <w:t xml:space="preserve"> </w:t>
      </w:r>
      <w:r w:rsidR="00EB0445" w:rsidRPr="00C30D23">
        <w:rPr>
          <w:rFonts w:ascii="Arial Nova Cond" w:hAnsi="Arial Nova Cond" w:cs="Arial"/>
          <w:i/>
          <w:sz w:val="24"/>
          <w:szCs w:val="24"/>
        </w:rPr>
        <w:t>Huyser v Quicksure (Pty) Ltd &amp; Another [2017] 2 ALL SA 209 (GP)</w:t>
      </w:r>
      <w:r w:rsidR="00EB0445">
        <w:rPr>
          <w:rFonts w:ascii="Arial Nova Cond" w:hAnsi="Arial Nova Cond" w:cs="Arial"/>
          <w:sz w:val="24"/>
          <w:szCs w:val="24"/>
        </w:rPr>
        <w:t xml:space="preserve">, and </w:t>
      </w:r>
      <w:r w:rsidR="00EB0445" w:rsidRPr="00C30D23">
        <w:rPr>
          <w:rFonts w:ascii="Arial Nova Cond" w:hAnsi="Arial Nova Cond" w:cs="Arial"/>
          <w:i/>
          <w:sz w:val="24"/>
          <w:szCs w:val="24"/>
        </w:rPr>
        <w:t>Nativa Manufacturing (Pty) Ltd v Keymax Investments 125 (PTY) Ltd &amp; Others 2020 (1) SA 235 (GP</w:t>
      </w:r>
      <w:r w:rsidR="00EB0445">
        <w:rPr>
          <w:rFonts w:ascii="Arial Nova Cond" w:hAnsi="Arial Nova Cond" w:cs="Arial"/>
          <w:sz w:val="24"/>
          <w:szCs w:val="24"/>
        </w:rPr>
        <w:t>).</w:t>
      </w:r>
      <w:r w:rsidR="006C2EF8">
        <w:rPr>
          <w:rFonts w:ascii="Arial Nova Cond" w:hAnsi="Arial Nova Cond" w:cs="Arial"/>
          <w:sz w:val="24"/>
          <w:szCs w:val="24"/>
        </w:rPr>
        <w:t xml:space="preserve"> She also stated that the appellant relied on </w:t>
      </w:r>
      <w:r w:rsidR="006C2EF8" w:rsidRPr="00D064AE">
        <w:rPr>
          <w:rFonts w:ascii="Arial Nova Cond" w:hAnsi="Arial Nova Cond" w:cs="Arial"/>
          <w:i/>
          <w:sz w:val="24"/>
          <w:szCs w:val="24"/>
        </w:rPr>
        <w:t>Huyser</w:t>
      </w:r>
      <w:r w:rsidR="006C2EF8">
        <w:rPr>
          <w:rFonts w:ascii="Arial Nova Cond" w:hAnsi="Arial Nova Cond" w:cs="Arial"/>
          <w:sz w:val="24"/>
          <w:szCs w:val="24"/>
        </w:rPr>
        <w:t xml:space="preserve"> and the respondents relied on </w:t>
      </w:r>
      <w:r w:rsidR="006C2EF8" w:rsidRPr="00C30D23">
        <w:rPr>
          <w:rFonts w:ascii="Arial Nova Cond" w:hAnsi="Arial Nova Cond" w:cs="Arial"/>
          <w:i/>
          <w:sz w:val="24"/>
          <w:szCs w:val="24"/>
        </w:rPr>
        <w:t>Nativa</w:t>
      </w:r>
      <w:r w:rsidR="006C2EF8">
        <w:rPr>
          <w:rFonts w:ascii="Arial Nova Cond" w:hAnsi="Arial Nova Cond" w:cs="Arial"/>
          <w:sz w:val="24"/>
          <w:szCs w:val="24"/>
        </w:rPr>
        <w:t>.</w:t>
      </w:r>
      <w:r w:rsidR="004B3F65">
        <w:rPr>
          <w:rFonts w:ascii="Arial Nova Cond" w:hAnsi="Arial Nova Cond" w:cs="Arial"/>
          <w:sz w:val="24"/>
          <w:szCs w:val="24"/>
        </w:rPr>
        <w:t xml:space="preserve"> She aligned herself with the judgment of Keightley J in </w:t>
      </w:r>
      <w:r w:rsidR="004B3F65" w:rsidRPr="00C30D23">
        <w:rPr>
          <w:rFonts w:ascii="Arial Nova Cond" w:hAnsi="Arial Nova Cond" w:cs="Arial"/>
          <w:i/>
          <w:sz w:val="24"/>
          <w:szCs w:val="24"/>
        </w:rPr>
        <w:t>Nativa</w:t>
      </w:r>
      <w:r w:rsidR="004B3F65">
        <w:rPr>
          <w:rFonts w:ascii="Arial Nova Cond" w:hAnsi="Arial Nova Cond" w:cs="Arial"/>
          <w:sz w:val="24"/>
          <w:szCs w:val="24"/>
        </w:rPr>
        <w:t xml:space="preserve"> in upholding the special plea and dismissing the action with costs. </w:t>
      </w:r>
      <w:r w:rsidR="009941CF">
        <w:rPr>
          <w:rFonts w:ascii="Arial Nova Cond" w:hAnsi="Arial Nova Cond" w:cs="Arial"/>
          <w:sz w:val="24"/>
          <w:szCs w:val="24"/>
        </w:rPr>
        <w:t>Counsel for the parties</w:t>
      </w:r>
      <w:r w:rsidR="00CC33FF">
        <w:rPr>
          <w:rFonts w:ascii="Arial Nova Cond" w:hAnsi="Arial Nova Cond" w:cs="Arial"/>
          <w:sz w:val="24"/>
          <w:szCs w:val="24"/>
        </w:rPr>
        <w:t xml:space="preserve"> also</w:t>
      </w:r>
      <w:r w:rsidR="009941CF">
        <w:rPr>
          <w:rFonts w:ascii="Arial Nova Cond" w:hAnsi="Arial Nova Cond" w:cs="Arial"/>
          <w:sz w:val="24"/>
          <w:szCs w:val="24"/>
        </w:rPr>
        <w:t xml:space="preserve"> referred us to the jurisprudence mentioned in this paragraph</w:t>
      </w:r>
      <w:r w:rsidR="00681047">
        <w:rPr>
          <w:rFonts w:ascii="Arial Nova Cond" w:hAnsi="Arial Nova Cond" w:cs="Arial"/>
          <w:sz w:val="24"/>
          <w:szCs w:val="24"/>
        </w:rPr>
        <w:t xml:space="preserve"> and other cases</w:t>
      </w:r>
      <w:r w:rsidR="004F713E">
        <w:rPr>
          <w:rFonts w:ascii="Arial Nova Cond" w:hAnsi="Arial Nova Cond" w:cs="Arial"/>
          <w:sz w:val="24"/>
          <w:szCs w:val="24"/>
        </w:rPr>
        <w:t xml:space="preserve"> mentioned in their heads of argument</w:t>
      </w:r>
      <w:r w:rsidR="009941CF">
        <w:rPr>
          <w:rFonts w:ascii="Arial Nova Cond" w:hAnsi="Arial Nova Cond" w:cs="Arial"/>
          <w:sz w:val="24"/>
          <w:szCs w:val="24"/>
        </w:rPr>
        <w:t>.</w:t>
      </w:r>
      <w:r w:rsidR="00B1322B">
        <w:rPr>
          <w:rFonts w:ascii="Arial Nova Cond" w:hAnsi="Arial Nova Cond" w:cs="Arial"/>
          <w:sz w:val="24"/>
          <w:szCs w:val="24"/>
        </w:rPr>
        <w:t xml:space="preserve"> </w:t>
      </w:r>
    </w:p>
    <w:p w14:paraId="0A70D580" w14:textId="40B8140A" w:rsidR="008D7D18" w:rsidRDefault="00681047"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 xml:space="preserve">[17] </w:t>
      </w:r>
      <w:r w:rsidR="00037FCB">
        <w:rPr>
          <w:rFonts w:ascii="Arial Nova Cond" w:hAnsi="Arial Nova Cond" w:cs="Arial"/>
          <w:sz w:val="24"/>
          <w:szCs w:val="24"/>
        </w:rPr>
        <w:t>I</w:t>
      </w:r>
      <w:r w:rsidR="00B1322B">
        <w:rPr>
          <w:rFonts w:ascii="Arial Nova Cond" w:hAnsi="Arial Nova Cond" w:cs="Arial"/>
          <w:sz w:val="24"/>
          <w:szCs w:val="24"/>
        </w:rPr>
        <w:t xml:space="preserve"> have considered all these cases</w:t>
      </w:r>
      <w:r w:rsidR="00037FCB">
        <w:rPr>
          <w:rFonts w:ascii="Arial Nova Cond" w:hAnsi="Arial Nova Cond" w:cs="Arial"/>
          <w:sz w:val="24"/>
          <w:szCs w:val="24"/>
        </w:rPr>
        <w:t>, and in my</w:t>
      </w:r>
      <w:r w:rsidR="005A19F7">
        <w:rPr>
          <w:rFonts w:ascii="Arial Nova Cond" w:hAnsi="Arial Nova Cond" w:cs="Arial"/>
          <w:sz w:val="24"/>
          <w:szCs w:val="24"/>
        </w:rPr>
        <w:t xml:space="preserve"> view</w:t>
      </w:r>
      <w:r w:rsidR="00B96AFF">
        <w:rPr>
          <w:rFonts w:ascii="Arial Nova Cond" w:hAnsi="Arial Nova Cond" w:cs="Arial"/>
          <w:sz w:val="24"/>
          <w:szCs w:val="24"/>
        </w:rPr>
        <w:t>,</w:t>
      </w:r>
      <w:r w:rsidR="005A19F7">
        <w:rPr>
          <w:rFonts w:ascii="Arial Nova Cond" w:hAnsi="Arial Nova Cond" w:cs="Arial"/>
          <w:sz w:val="24"/>
          <w:szCs w:val="24"/>
        </w:rPr>
        <w:t xml:space="preserve"> they are distinguishab</w:t>
      </w:r>
      <w:r>
        <w:rPr>
          <w:rFonts w:ascii="Arial Nova Cond" w:hAnsi="Arial Nova Cond" w:cs="Arial"/>
          <w:sz w:val="24"/>
          <w:szCs w:val="24"/>
        </w:rPr>
        <w:t>le from the present matter.</w:t>
      </w:r>
      <w:r w:rsidR="007D0C31">
        <w:rPr>
          <w:rFonts w:ascii="Arial Nova Cond" w:hAnsi="Arial Nova Cond" w:cs="Arial"/>
          <w:sz w:val="24"/>
          <w:szCs w:val="24"/>
        </w:rPr>
        <w:t xml:space="preserve"> In </w:t>
      </w:r>
      <w:r w:rsidR="007D0C31" w:rsidRPr="008D7D18">
        <w:rPr>
          <w:rFonts w:ascii="Arial Nova Cond" w:hAnsi="Arial Nova Cond" w:cs="Arial"/>
          <w:i/>
          <w:sz w:val="24"/>
          <w:szCs w:val="24"/>
        </w:rPr>
        <w:t>Allianza</w:t>
      </w:r>
      <w:r w:rsidR="007D0C31">
        <w:rPr>
          <w:rFonts w:ascii="Arial Nova Cond" w:hAnsi="Arial Nova Cond" w:cs="Arial"/>
          <w:sz w:val="24"/>
          <w:szCs w:val="24"/>
        </w:rPr>
        <w:t xml:space="preserve"> the application was for a declarato</w:t>
      </w:r>
      <w:r w:rsidR="003B60BC">
        <w:rPr>
          <w:rFonts w:ascii="Arial Nova Cond" w:hAnsi="Arial Nova Cond" w:cs="Arial"/>
          <w:sz w:val="24"/>
          <w:szCs w:val="24"/>
        </w:rPr>
        <w:t>r</w:t>
      </w:r>
      <w:r w:rsidR="00E11103">
        <w:rPr>
          <w:rFonts w:ascii="Arial Nova Cond" w:hAnsi="Arial Nova Cond" w:cs="Arial"/>
          <w:sz w:val="24"/>
          <w:szCs w:val="24"/>
        </w:rPr>
        <w:t>, and</w:t>
      </w:r>
      <w:r w:rsidR="007D0C31">
        <w:rPr>
          <w:rFonts w:ascii="Arial Nova Cond" w:hAnsi="Arial Nova Cond" w:cs="Arial"/>
          <w:sz w:val="24"/>
          <w:szCs w:val="24"/>
        </w:rPr>
        <w:t xml:space="preserve"> not about a joinder order</w:t>
      </w:r>
      <w:r w:rsidR="006E1F96">
        <w:rPr>
          <w:rFonts w:ascii="Arial Nova Cond" w:hAnsi="Arial Nova Cond" w:cs="Arial"/>
          <w:sz w:val="24"/>
          <w:szCs w:val="24"/>
        </w:rPr>
        <w:t xml:space="preserve"> granted and served before the claim prescribed.</w:t>
      </w:r>
      <w:r w:rsidR="007D0C31">
        <w:rPr>
          <w:rFonts w:ascii="Arial Nova Cond" w:hAnsi="Arial Nova Cond" w:cs="Arial"/>
          <w:sz w:val="24"/>
          <w:szCs w:val="24"/>
        </w:rPr>
        <w:t xml:space="preserve"> In </w:t>
      </w:r>
      <w:r w:rsidR="007D0C31" w:rsidRPr="008D7D18">
        <w:rPr>
          <w:rFonts w:ascii="Arial Nova Cond" w:hAnsi="Arial Nova Cond" w:cs="Arial"/>
          <w:i/>
          <w:sz w:val="24"/>
          <w:szCs w:val="24"/>
        </w:rPr>
        <w:t>Peter Taylor</w:t>
      </w:r>
      <w:r w:rsidR="007D0C31">
        <w:rPr>
          <w:rFonts w:ascii="Arial Nova Cond" w:hAnsi="Arial Nova Cond" w:cs="Arial"/>
          <w:sz w:val="24"/>
          <w:szCs w:val="24"/>
        </w:rPr>
        <w:t xml:space="preserve"> the SCA did not make a finding that a court order granted</w:t>
      </w:r>
      <w:r w:rsidR="006E1F96">
        <w:rPr>
          <w:rFonts w:ascii="Arial Nova Cond" w:hAnsi="Arial Nova Cond" w:cs="Arial"/>
          <w:sz w:val="24"/>
          <w:szCs w:val="24"/>
        </w:rPr>
        <w:t xml:space="preserve"> and served</w:t>
      </w:r>
      <w:r w:rsidR="007D0C31">
        <w:rPr>
          <w:rFonts w:ascii="Arial Nova Cond" w:hAnsi="Arial Nova Cond" w:cs="Arial"/>
          <w:sz w:val="24"/>
          <w:szCs w:val="24"/>
        </w:rPr>
        <w:t xml:space="preserve"> </w:t>
      </w:r>
      <w:r w:rsidR="006E1F96">
        <w:rPr>
          <w:rFonts w:ascii="Arial Nova Cond" w:hAnsi="Arial Nova Cond" w:cs="Arial"/>
          <w:sz w:val="24"/>
          <w:szCs w:val="24"/>
        </w:rPr>
        <w:t>before the claim prescribed,</w:t>
      </w:r>
      <w:r w:rsidR="007D0C31">
        <w:rPr>
          <w:rFonts w:ascii="Arial Nova Cond" w:hAnsi="Arial Nova Cond" w:cs="Arial"/>
          <w:sz w:val="24"/>
          <w:szCs w:val="24"/>
        </w:rPr>
        <w:t xml:space="preserve"> joining the parties as defendants in the main action whereby the creditor claims payment of the debt</w:t>
      </w:r>
      <w:r w:rsidR="006E1F96">
        <w:rPr>
          <w:rFonts w:ascii="Arial Nova Cond" w:hAnsi="Arial Nova Cond" w:cs="Arial"/>
          <w:sz w:val="24"/>
          <w:szCs w:val="24"/>
        </w:rPr>
        <w:t>, was not</w:t>
      </w:r>
      <w:r w:rsidR="00E26773">
        <w:rPr>
          <w:rFonts w:ascii="Arial Nova Cond" w:hAnsi="Arial Nova Cond" w:cs="Arial"/>
          <w:sz w:val="24"/>
          <w:szCs w:val="24"/>
        </w:rPr>
        <w:t xml:space="preserve"> a</w:t>
      </w:r>
      <w:r w:rsidR="006E1F96">
        <w:rPr>
          <w:rFonts w:ascii="Arial Nova Cond" w:hAnsi="Arial Nova Cond" w:cs="Arial"/>
          <w:sz w:val="24"/>
          <w:szCs w:val="24"/>
        </w:rPr>
        <w:t xml:space="preserve"> process in terms of section 15(1) read with 15(6) of the Act. </w:t>
      </w:r>
      <w:r w:rsidR="00C91D43">
        <w:rPr>
          <w:rFonts w:ascii="Arial Nova Cond" w:hAnsi="Arial Nova Cond" w:cs="Arial"/>
          <w:sz w:val="24"/>
          <w:szCs w:val="24"/>
        </w:rPr>
        <w:t>In that matter</w:t>
      </w:r>
      <w:r w:rsidR="004F59B9">
        <w:rPr>
          <w:rFonts w:ascii="Arial Nova Cond" w:hAnsi="Arial Nova Cond" w:cs="Arial"/>
          <w:sz w:val="24"/>
          <w:szCs w:val="24"/>
        </w:rPr>
        <w:t>,</w:t>
      </w:r>
      <w:r w:rsidR="00C91D43">
        <w:rPr>
          <w:rFonts w:ascii="Arial Nova Cond" w:hAnsi="Arial Nova Cond" w:cs="Arial"/>
          <w:sz w:val="24"/>
          <w:szCs w:val="24"/>
        </w:rPr>
        <w:t xml:space="preserve"> the</w:t>
      </w:r>
      <w:r w:rsidR="006E1F96">
        <w:rPr>
          <w:rFonts w:ascii="Arial Nova Cond" w:hAnsi="Arial Nova Cond" w:cs="Arial"/>
          <w:sz w:val="24"/>
          <w:szCs w:val="24"/>
        </w:rPr>
        <w:t xml:space="preserve"> SCA was determining the issue whether the </w:t>
      </w:r>
      <w:r w:rsidR="00C236FD">
        <w:rPr>
          <w:rFonts w:ascii="Arial Nova Cond" w:hAnsi="Arial Nova Cond" w:cs="Arial"/>
          <w:sz w:val="24"/>
          <w:szCs w:val="24"/>
        </w:rPr>
        <w:t>‘</w:t>
      </w:r>
      <w:r w:rsidR="006E1F96">
        <w:rPr>
          <w:rFonts w:ascii="Arial Nova Cond" w:hAnsi="Arial Nova Cond" w:cs="Arial"/>
          <w:sz w:val="24"/>
          <w:szCs w:val="24"/>
        </w:rPr>
        <w:t>joinder application</w:t>
      </w:r>
      <w:r w:rsidR="00C236FD">
        <w:rPr>
          <w:rFonts w:ascii="Arial Nova Cond" w:hAnsi="Arial Nova Cond" w:cs="Arial"/>
          <w:sz w:val="24"/>
          <w:szCs w:val="24"/>
        </w:rPr>
        <w:t>’</w:t>
      </w:r>
      <w:r w:rsidR="006E1F96">
        <w:rPr>
          <w:rFonts w:ascii="Arial Nova Cond" w:hAnsi="Arial Nova Cond" w:cs="Arial"/>
          <w:sz w:val="24"/>
          <w:szCs w:val="24"/>
        </w:rPr>
        <w:t xml:space="preserve"> </w:t>
      </w:r>
      <w:r w:rsidR="008D7D18">
        <w:rPr>
          <w:rFonts w:ascii="Arial Nova Cond" w:hAnsi="Arial Nova Cond" w:cs="Arial"/>
          <w:sz w:val="24"/>
          <w:szCs w:val="24"/>
        </w:rPr>
        <w:t>constituted a process whereby the creditor claims payment of the debt for purposes of section 15(1) of the Act and whether the service thereof had interrupted the running of the prescription.</w:t>
      </w:r>
    </w:p>
    <w:p w14:paraId="195834DD" w14:textId="78D7B083" w:rsidR="00F468D2" w:rsidRDefault="00475EB0"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 xml:space="preserve">[18] </w:t>
      </w:r>
      <w:r w:rsidR="007D0C31">
        <w:rPr>
          <w:rFonts w:ascii="Arial Nova Cond" w:hAnsi="Arial Nova Cond" w:cs="Arial"/>
          <w:sz w:val="24"/>
          <w:szCs w:val="24"/>
        </w:rPr>
        <w:t>In</w:t>
      </w:r>
      <w:r>
        <w:rPr>
          <w:rFonts w:ascii="Arial Nova Cond" w:hAnsi="Arial Nova Cond" w:cs="Arial"/>
          <w:sz w:val="24"/>
          <w:szCs w:val="24"/>
        </w:rPr>
        <w:t xml:space="preserve"> my view</w:t>
      </w:r>
      <w:r w:rsidR="007878E1">
        <w:rPr>
          <w:rFonts w:ascii="Arial Nova Cond" w:hAnsi="Arial Nova Cond" w:cs="Arial"/>
          <w:sz w:val="24"/>
          <w:szCs w:val="24"/>
        </w:rPr>
        <w:t>,</w:t>
      </w:r>
      <w:r w:rsidR="00037FCB">
        <w:rPr>
          <w:rFonts w:ascii="Arial Nova Cond" w:hAnsi="Arial Nova Cond" w:cs="Arial"/>
          <w:sz w:val="24"/>
          <w:szCs w:val="24"/>
        </w:rPr>
        <w:t xml:space="preserve"> Crutchfield J erred in aligning herself with Nativa case.</w:t>
      </w:r>
      <w:r w:rsidR="002409A4">
        <w:rPr>
          <w:rFonts w:ascii="Arial Nova Cond" w:hAnsi="Arial Nova Cond" w:cs="Arial"/>
          <w:sz w:val="24"/>
          <w:szCs w:val="24"/>
        </w:rPr>
        <w:t xml:space="preserve"> The present matter is distinguishable from </w:t>
      </w:r>
      <w:r w:rsidR="002409A4" w:rsidRPr="002409A4">
        <w:rPr>
          <w:rFonts w:ascii="Arial Nova Cond" w:hAnsi="Arial Nova Cond" w:cs="Arial"/>
          <w:i/>
          <w:sz w:val="24"/>
          <w:szCs w:val="24"/>
        </w:rPr>
        <w:t>N</w:t>
      </w:r>
      <w:r w:rsidR="002409A4">
        <w:rPr>
          <w:rFonts w:ascii="Arial Nova Cond" w:hAnsi="Arial Nova Cond" w:cs="Arial"/>
          <w:i/>
          <w:sz w:val="24"/>
          <w:szCs w:val="24"/>
        </w:rPr>
        <w:t xml:space="preserve">ativa. </w:t>
      </w:r>
      <w:r w:rsidR="00037FCB">
        <w:rPr>
          <w:rFonts w:ascii="Arial Nova Cond" w:hAnsi="Arial Nova Cond" w:cs="Arial"/>
          <w:sz w:val="24"/>
          <w:szCs w:val="24"/>
        </w:rPr>
        <w:t xml:space="preserve">Keightley J in </w:t>
      </w:r>
      <w:r w:rsidR="00037FCB" w:rsidRPr="002409A4">
        <w:rPr>
          <w:rFonts w:ascii="Arial Nova Cond" w:hAnsi="Arial Nova Cond" w:cs="Arial"/>
          <w:i/>
          <w:sz w:val="24"/>
          <w:szCs w:val="24"/>
        </w:rPr>
        <w:t>Nativa</w:t>
      </w:r>
      <w:r w:rsidR="00037FCB">
        <w:rPr>
          <w:rFonts w:ascii="Arial Nova Cond" w:hAnsi="Arial Nova Cond" w:cs="Arial"/>
          <w:sz w:val="24"/>
          <w:szCs w:val="24"/>
        </w:rPr>
        <w:t xml:space="preserve"> had to determine whether an </w:t>
      </w:r>
      <w:r w:rsidR="00C236FD">
        <w:rPr>
          <w:rFonts w:ascii="Arial Nova Cond" w:hAnsi="Arial Nova Cond" w:cs="Arial"/>
          <w:sz w:val="24"/>
          <w:szCs w:val="24"/>
        </w:rPr>
        <w:t>‘</w:t>
      </w:r>
      <w:r w:rsidR="00037FCB">
        <w:rPr>
          <w:rFonts w:ascii="Arial Nova Cond" w:hAnsi="Arial Nova Cond" w:cs="Arial"/>
          <w:sz w:val="24"/>
          <w:szCs w:val="24"/>
        </w:rPr>
        <w:t>application for joinder</w:t>
      </w:r>
      <w:r w:rsidR="00C236FD">
        <w:rPr>
          <w:rFonts w:ascii="Arial Nova Cond" w:hAnsi="Arial Nova Cond" w:cs="Arial"/>
          <w:sz w:val="24"/>
          <w:szCs w:val="24"/>
        </w:rPr>
        <w:t>’</w:t>
      </w:r>
      <w:r w:rsidR="00037FCB">
        <w:rPr>
          <w:rFonts w:ascii="Arial Nova Cond" w:hAnsi="Arial Nova Cond" w:cs="Arial"/>
          <w:sz w:val="24"/>
          <w:szCs w:val="24"/>
        </w:rPr>
        <w:t xml:space="preserve"> served before the claim prescribed, constituted a process whereby the creditor claimed payment of a debt</w:t>
      </w:r>
      <w:r w:rsidR="000533D9">
        <w:rPr>
          <w:rFonts w:ascii="Arial Nova Cond" w:hAnsi="Arial Nova Cond" w:cs="Arial"/>
          <w:sz w:val="24"/>
          <w:szCs w:val="24"/>
        </w:rPr>
        <w:t xml:space="preserve"> and whether the service thereof had interrupted the running of the prescription</w:t>
      </w:r>
      <w:r w:rsidR="00037FCB">
        <w:rPr>
          <w:rFonts w:ascii="Arial Nova Cond" w:hAnsi="Arial Nova Cond" w:cs="Arial"/>
          <w:sz w:val="24"/>
          <w:szCs w:val="24"/>
        </w:rPr>
        <w:t>. In the present matter</w:t>
      </w:r>
      <w:r w:rsidR="0082268F">
        <w:rPr>
          <w:rFonts w:ascii="Arial Nova Cond" w:hAnsi="Arial Nova Cond" w:cs="Arial"/>
          <w:sz w:val="24"/>
          <w:szCs w:val="24"/>
        </w:rPr>
        <w:t>,</w:t>
      </w:r>
      <w:r w:rsidR="00037FCB">
        <w:rPr>
          <w:rFonts w:ascii="Arial Nova Cond" w:hAnsi="Arial Nova Cond" w:cs="Arial"/>
          <w:sz w:val="24"/>
          <w:szCs w:val="24"/>
        </w:rPr>
        <w:t xml:space="preserve"> the</w:t>
      </w:r>
      <w:r w:rsidR="002D2058">
        <w:rPr>
          <w:rFonts w:ascii="Arial Nova Cond" w:hAnsi="Arial Nova Cond" w:cs="Arial"/>
          <w:sz w:val="24"/>
          <w:szCs w:val="24"/>
        </w:rPr>
        <w:t xml:space="preserve"> issue to be </w:t>
      </w:r>
      <w:r w:rsidR="002D2058">
        <w:rPr>
          <w:rFonts w:ascii="Arial Nova Cond" w:hAnsi="Arial Nova Cond" w:cs="Arial"/>
          <w:sz w:val="24"/>
          <w:szCs w:val="24"/>
        </w:rPr>
        <w:lastRenderedPageBreak/>
        <w:t>determined is whether the</w:t>
      </w:r>
      <w:r w:rsidR="00037FCB">
        <w:rPr>
          <w:rFonts w:ascii="Arial Nova Cond" w:hAnsi="Arial Nova Cond" w:cs="Arial"/>
          <w:sz w:val="24"/>
          <w:szCs w:val="24"/>
        </w:rPr>
        <w:t xml:space="preserve"> </w:t>
      </w:r>
      <w:r w:rsidR="002D2058">
        <w:rPr>
          <w:rFonts w:ascii="Arial Nova Cond" w:hAnsi="Arial Nova Cond" w:cs="Arial"/>
          <w:sz w:val="24"/>
          <w:szCs w:val="24"/>
        </w:rPr>
        <w:t>‘</w:t>
      </w:r>
      <w:r w:rsidR="00037FCB">
        <w:rPr>
          <w:rFonts w:ascii="Arial Nova Cond" w:hAnsi="Arial Nova Cond" w:cs="Arial"/>
          <w:sz w:val="24"/>
          <w:szCs w:val="24"/>
        </w:rPr>
        <w:t>joinder</w:t>
      </w:r>
      <w:r w:rsidR="002D2058">
        <w:rPr>
          <w:rFonts w:ascii="Arial Nova Cond" w:hAnsi="Arial Nova Cond" w:cs="Arial"/>
          <w:sz w:val="24"/>
          <w:szCs w:val="24"/>
        </w:rPr>
        <w:t xml:space="preserve"> order’ granted and served on the </w:t>
      </w:r>
      <w:r w:rsidR="00CF6E3A">
        <w:rPr>
          <w:rFonts w:ascii="Arial Nova Cond" w:hAnsi="Arial Nova Cond" w:cs="Arial"/>
          <w:sz w:val="24"/>
          <w:szCs w:val="24"/>
        </w:rPr>
        <w:t>respondents</w:t>
      </w:r>
      <w:r w:rsidR="00275FA2">
        <w:rPr>
          <w:rFonts w:ascii="Arial Nova Cond" w:hAnsi="Arial Nova Cond" w:cs="Arial"/>
          <w:sz w:val="24"/>
          <w:szCs w:val="24"/>
        </w:rPr>
        <w:t>,</w:t>
      </w:r>
      <w:r w:rsidR="002D2058">
        <w:rPr>
          <w:rFonts w:ascii="Arial Nova Cond" w:hAnsi="Arial Nova Cond" w:cs="Arial"/>
          <w:sz w:val="24"/>
          <w:szCs w:val="24"/>
        </w:rPr>
        <w:t xml:space="preserve"> joining them as defendants in the main action whereby the appellant is claiming payment of a debt before the claim prescribed</w:t>
      </w:r>
      <w:r w:rsidR="00E86EA7">
        <w:rPr>
          <w:rFonts w:ascii="Arial Nova Cond" w:hAnsi="Arial Nova Cond" w:cs="Arial"/>
          <w:sz w:val="24"/>
          <w:szCs w:val="24"/>
        </w:rPr>
        <w:t>,</w:t>
      </w:r>
      <w:r w:rsidR="007C28A7">
        <w:rPr>
          <w:rFonts w:ascii="Arial Nova Cond" w:hAnsi="Arial Nova Cond" w:cs="Arial"/>
          <w:sz w:val="24"/>
          <w:szCs w:val="24"/>
        </w:rPr>
        <w:t xml:space="preserve"> constituted a process </w:t>
      </w:r>
      <w:r w:rsidR="00275FA2">
        <w:rPr>
          <w:rFonts w:ascii="Arial Nova Cond" w:hAnsi="Arial Nova Cond" w:cs="Arial"/>
          <w:sz w:val="24"/>
          <w:szCs w:val="24"/>
        </w:rPr>
        <w:t>for the purposes of section 15(1) read with 15(6) of the Act</w:t>
      </w:r>
      <w:r w:rsidR="00041E14">
        <w:rPr>
          <w:rFonts w:ascii="Arial Nova Cond" w:hAnsi="Arial Nova Cond" w:cs="Arial"/>
          <w:sz w:val="24"/>
          <w:szCs w:val="24"/>
        </w:rPr>
        <w:t>,</w:t>
      </w:r>
      <w:r w:rsidR="007C28A7">
        <w:rPr>
          <w:rFonts w:ascii="Arial Nova Cond" w:hAnsi="Arial Nova Cond" w:cs="Arial"/>
          <w:sz w:val="24"/>
          <w:szCs w:val="24"/>
        </w:rPr>
        <w:t xml:space="preserve"> and whether the service thereof had interrupted prescription.</w:t>
      </w:r>
      <w:r w:rsidR="00037FCB">
        <w:rPr>
          <w:rFonts w:ascii="Arial Nova Cond" w:hAnsi="Arial Nova Cond" w:cs="Arial"/>
          <w:sz w:val="24"/>
          <w:szCs w:val="24"/>
        </w:rPr>
        <w:t xml:space="preserve"> </w:t>
      </w:r>
    </w:p>
    <w:p w14:paraId="4D35A2F9" w14:textId="4C41A932" w:rsidR="00375FA9" w:rsidRPr="00C47F20" w:rsidRDefault="00D21424"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 xml:space="preserve">[19] </w:t>
      </w:r>
      <w:r w:rsidR="00E918E3">
        <w:rPr>
          <w:rFonts w:ascii="Arial Nova Cond" w:hAnsi="Arial Nova Cond" w:cs="Arial"/>
          <w:sz w:val="24"/>
          <w:szCs w:val="24"/>
        </w:rPr>
        <w:t>Crutchfield J</w:t>
      </w:r>
      <w:r w:rsidR="00127948">
        <w:rPr>
          <w:rFonts w:ascii="Arial Nova Cond" w:hAnsi="Arial Nova Cond" w:cs="Arial"/>
          <w:sz w:val="24"/>
          <w:szCs w:val="24"/>
        </w:rPr>
        <w:t xml:space="preserve"> stated that for the prescription to be interrupted in the present matter, the appellant ought to have served the joinder order, the amended summons and particulars of claim before the claim prescribed.</w:t>
      </w:r>
      <w:r w:rsidR="00B2796C">
        <w:rPr>
          <w:rFonts w:ascii="Arial Nova Cond" w:hAnsi="Arial Nova Cond" w:cs="Arial"/>
          <w:sz w:val="24"/>
          <w:szCs w:val="24"/>
        </w:rPr>
        <w:t xml:space="preserve"> With due respect to Crutchfield J, this interpretation of section 15(1) read with 15(</w:t>
      </w:r>
      <w:r w:rsidR="004D5A30">
        <w:rPr>
          <w:rFonts w:ascii="Arial Nova Cond" w:hAnsi="Arial Nova Cond" w:cs="Arial"/>
          <w:sz w:val="24"/>
          <w:szCs w:val="24"/>
        </w:rPr>
        <w:t>6</w:t>
      </w:r>
      <w:r w:rsidR="00B2796C">
        <w:rPr>
          <w:rFonts w:ascii="Arial Nova Cond" w:hAnsi="Arial Nova Cond" w:cs="Arial"/>
          <w:sz w:val="24"/>
          <w:szCs w:val="24"/>
        </w:rPr>
        <w:t xml:space="preserve">) is insensible. </w:t>
      </w:r>
      <w:r w:rsidR="00B37D49">
        <w:rPr>
          <w:rFonts w:ascii="Arial Nova Cond" w:hAnsi="Arial Nova Cond" w:cs="Arial"/>
          <w:sz w:val="24"/>
          <w:szCs w:val="24"/>
        </w:rPr>
        <w:t xml:space="preserve">If all the </w:t>
      </w:r>
      <w:r w:rsidR="0099741C">
        <w:rPr>
          <w:rFonts w:ascii="Arial Nova Cond" w:hAnsi="Arial Nova Cond" w:cs="Arial"/>
          <w:sz w:val="24"/>
          <w:szCs w:val="24"/>
        </w:rPr>
        <w:t>afore</w:t>
      </w:r>
      <w:r w:rsidR="00B37D49">
        <w:rPr>
          <w:rFonts w:ascii="Arial Nova Cond" w:hAnsi="Arial Nova Cond" w:cs="Arial"/>
          <w:sz w:val="24"/>
          <w:szCs w:val="24"/>
        </w:rPr>
        <w:t>said documents ought to be served before the claim prescribed</w:t>
      </w:r>
      <w:r w:rsidR="004D5A30">
        <w:rPr>
          <w:rFonts w:ascii="Arial Nova Cond" w:hAnsi="Arial Nova Cond" w:cs="Arial"/>
          <w:sz w:val="24"/>
          <w:szCs w:val="24"/>
        </w:rPr>
        <w:t>,</w:t>
      </w:r>
      <w:r w:rsidR="00B37D49">
        <w:rPr>
          <w:rFonts w:ascii="Arial Nova Cond" w:hAnsi="Arial Nova Cond" w:cs="Arial"/>
          <w:sz w:val="24"/>
          <w:szCs w:val="24"/>
        </w:rPr>
        <w:t xml:space="preserve"> then </w:t>
      </w:r>
      <w:r w:rsidR="00D925A1">
        <w:rPr>
          <w:rFonts w:ascii="Arial Nova Cond" w:hAnsi="Arial Nova Cond" w:cs="Arial"/>
          <w:sz w:val="24"/>
          <w:szCs w:val="24"/>
        </w:rPr>
        <w:t>section 15 of</w:t>
      </w:r>
      <w:r w:rsidR="00176BBD">
        <w:rPr>
          <w:rFonts w:ascii="Arial Nova Cond" w:hAnsi="Arial Nova Cond" w:cs="Arial"/>
          <w:sz w:val="24"/>
          <w:szCs w:val="24"/>
        </w:rPr>
        <w:t xml:space="preserve"> the</w:t>
      </w:r>
      <w:r w:rsidR="00D925A1">
        <w:rPr>
          <w:rFonts w:ascii="Arial Nova Cond" w:hAnsi="Arial Nova Cond" w:cs="Arial"/>
          <w:sz w:val="24"/>
          <w:szCs w:val="24"/>
        </w:rPr>
        <w:t xml:space="preserve"> Act</w:t>
      </w:r>
      <w:r w:rsidR="00244350">
        <w:rPr>
          <w:rFonts w:ascii="Arial Nova Cond" w:hAnsi="Arial Nova Cond" w:cs="Arial"/>
          <w:sz w:val="24"/>
          <w:szCs w:val="24"/>
        </w:rPr>
        <w:t xml:space="preserve"> which is concerned with judicial interruption of prescription,</w:t>
      </w:r>
      <w:r w:rsidR="00D925A1">
        <w:rPr>
          <w:rFonts w:ascii="Arial Nova Cond" w:hAnsi="Arial Nova Cond" w:cs="Arial"/>
          <w:sz w:val="24"/>
          <w:szCs w:val="24"/>
        </w:rPr>
        <w:t xml:space="preserve"> would be irrelevant as the claim would have been instituted within three</w:t>
      </w:r>
      <w:r w:rsidR="004D5A30">
        <w:rPr>
          <w:rFonts w:ascii="Arial Nova Cond" w:hAnsi="Arial Nova Cond" w:cs="Arial"/>
          <w:sz w:val="24"/>
          <w:szCs w:val="24"/>
        </w:rPr>
        <w:t xml:space="preserve"> years as required by section</w:t>
      </w:r>
      <w:r w:rsidR="007703F3">
        <w:rPr>
          <w:rFonts w:ascii="Arial Nova Cond" w:hAnsi="Arial Nova Cond" w:cs="Arial"/>
          <w:sz w:val="24"/>
          <w:szCs w:val="24"/>
        </w:rPr>
        <w:t>s</w:t>
      </w:r>
      <w:r w:rsidR="004D5A30">
        <w:rPr>
          <w:rFonts w:ascii="Arial Nova Cond" w:hAnsi="Arial Nova Cond" w:cs="Arial"/>
          <w:sz w:val="24"/>
          <w:szCs w:val="24"/>
        </w:rPr>
        <w:t xml:space="preserve"> 11 and 12</w:t>
      </w:r>
      <w:r w:rsidR="00D925A1">
        <w:rPr>
          <w:rFonts w:ascii="Arial Nova Cond" w:hAnsi="Arial Nova Cond" w:cs="Arial"/>
          <w:sz w:val="24"/>
          <w:szCs w:val="24"/>
        </w:rPr>
        <w:t xml:space="preserve"> of the Act.</w:t>
      </w:r>
      <w:r w:rsidR="00CC5577">
        <w:rPr>
          <w:rFonts w:ascii="Arial Nova Cond" w:hAnsi="Arial Nova Cond" w:cs="Arial"/>
          <w:sz w:val="24"/>
          <w:szCs w:val="24"/>
        </w:rPr>
        <w:t xml:space="preserve"> In </w:t>
      </w:r>
      <w:r w:rsidR="00796551" w:rsidRPr="00796551">
        <w:rPr>
          <w:rFonts w:ascii="Arial Nova Cond" w:hAnsi="Arial Nova Cond" w:cs="Arial"/>
          <w:i/>
          <w:sz w:val="24"/>
          <w:szCs w:val="24"/>
        </w:rPr>
        <w:t xml:space="preserve">Natal Joint Municipal Pension Fund v </w:t>
      </w:r>
      <w:r w:rsidR="00CC5577" w:rsidRPr="00796551">
        <w:rPr>
          <w:rFonts w:ascii="Arial Nova Cond" w:hAnsi="Arial Nova Cond" w:cs="Arial"/>
          <w:i/>
          <w:sz w:val="24"/>
          <w:szCs w:val="24"/>
        </w:rPr>
        <w:t>Endumeni Municipality</w:t>
      </w:r>
      <w:r w:rsidR="00796551" w:rsidRPr="00796551">
        <w:rPr>
          <w:rFonts w:ascii="Arial Nova Cond" w:hAnsi="Arial Nova Cond" w:cs="Arial"/>
          <w:i/>
          <w:sz w:val="24"/>
          <w:szCs w:val="24"/>
        </w:rPr>
        <w:t xml:space="preserve"> [2012] ZASCA 13; 2012 (4) SA 593 (SCA) para 18</w:t>
      </w:r>
      <w:r w:rsidR="00CC5577">
        <w:rPr>
          <w:rFonts w:ascii="Arial Nova Cond" w:hAnsi="Arial Nova Cond" w:cs="Arial"/>
          <w:sz w:val="24"/>
          <w:szCs w:val="24"/>
        </w:rPr>
        <w:t xml:space="preserve"> </w:t>
      </w:r>
      <w:r w:rsidR="00796551">
        <w:rPr>
          <w:rFonts w:ascii="Arial Nova Cond" w:hAnsi="Arial Nova Cond" w:cs="Arial"/>
          <w:sz w:val="24"/>
          <w:szCs w:val="24"/>
        </w:rPr>
        <w:t>t</w:t>
      </w:r>
      <w:r w:rsidR="00CC5577">
        <w:rPr>
          <w:rFonts w:ascii="Arial Nova Cond" w:hAnsi="Arial Nova Cond" w:cs="Arial"/>
          <w:sz w:val="24"/>
          <w:szCs w:val="24"/>
        </w:rPr>
        <w:t xml:space="preserve">he SCA in setting out the approach to interpretation held </w:t>
      </w:r>
      <w:r w:rsidR="00CC5577" w:rsidRPr="00F03D70">
        <w:rPr>
          <w:rFonts w:ascii="Arial Nova Cond" w:hAnsi="Arial Nova Cond" w:cs="Arial"/>
          <w:i/>
        </w:rPr>
        <w:t xml:space="preserve">“…..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w:t>
      </w:r>
      <w:r w:rsidR="004745E8">
        <w:rPr>
          <w:rFonts w:ascii="Arial Nova Cond" w:hAnsi="Arial Nova Cond" w:cs="Arial"/>
          <w:i/>
        </w:rPr>
        <w:t>s</w:t>
      </w:r>
      <w:r w:rsidR="00CC5577" w:rsidRPr="00F03D70">
        <w:rPr>
          <w:rFonts w:ascii="Arial Nova Cond" w:hAnsi="Arial Nova Cond" w:cs="Arial"/>
          <w:i/>
        </w:rPr>
        <w:t xml:space="preserve">o in regard to a statute or statutory instrument is to cross the divide between interpretation and legislation; in a contractual context it is to make a contract for the parties other than the one they in fact made. The </w:t>
      </w:r>
      <w:r w:rsidR="004E6701" w:rsidRPr="00F03D70">
        <w:rPr>
          <w:rFonts w:ascii="Arial Nova Cond" w:hAnsi="Arial Nova Cond" w:cs="Arial"/>
          <w:i/>
        </w:rPr>
        <w:t>‘inevitable point of departure is the language of the provision itself’, read in context and having regard to the purpose of the provision and the background to the preparation and production of the document</w:t>
      </w:r>
      <w:r w:rsidR="004E6701">
        <w:rPr>
          <w:rFonts w:ascii="Arial Nova Cond" w:hAnsi="Arial Nova Cond" w:cs="Arial"/>
          <w:sz w:val="24"/>
          <w:szCs w:val="24"/>
        </w:rPr>
        <w:t>”.</w:t>
      </w:r>
      <w:r w:rsidR="00CC5577">
        <w:rPr>
          <w:rFonts w:ascii="Arial Nova Cond" w:hAnsi="Arial Nova Cond" w:cs="Arial"/>
          <w:sz w:val="24"/>
          <w:szCs w:val="24"/>
        </w:rPr>
        <w:t xml:space="preserve"> </w:t>
      </w:r>
      <w:r w:rsidR="000A0C4F">
        <w:rPr>
          <w:rFonts w:ascii="Arial Nova Cond" w:hAnsi="Arial Nova Cond" w:cs="Arial"/>
          <w:sz w:val="24"/>
          <w:szCs w:val="24"/>
        </w:rPr>
        <w:t>Section 39(2) of the Constitution enjoins the court when interpreting legislation to promote the spirit, purport, and objects of the Bill of Rights.</w:t>
      </w:r>
      <w:r w:rsidR="00C47F20">
        <w:rPr>
          <w:rFonts w:ascii="Arial Nova Cond" w:hAnsi="Arial Nova Cond" w:cs="Arial"/>
          <w:sz w:val="24"/>
          <w:szCs w:val="24"/>
        </w:rPr>
        <w:t xml:space="preserve"> </w:t>
      </w:r>
      <w:r w:rsidR="00C47F20" w:rsidRPr="00C47F20">
        <w:rPr>
          <w:rFonts w:ascii="Arial Nova Cond" w:hAnsi="Arial Nova Cond" w:cs="Arial"/>
          <w:sz w:val="24"/>
          <w:szCs w:val="24"/>
        </w:rPr>
        <w:t>The interpretation of prescription, in effect, releases the constraint that the running of prescription has on the right to access to courts, which is provided for in section 34 of the Constitution</w:t>
      </w:r>
      <w:r w:rsidR="00C94B78">
        <w:rPr>
          <w:rFonts w:ascii="Arial Nova Cond" w:hAnsi="Arial Nova Cond" w:cs="Arial"/>
          <w:sz w:val="24"/>
          <w:szCs w:val="24"/>
        </w:rPr>
        <w:t xml:space="preserve"> (</w:t>
      </w:r>
      <w:r w:rsidR="00C94B78" w:rsidRPr="00447E42">
        <w:rPr>
          <w:rFonts w:ascii="Arial Nova Cond" w:hAnsi="Arial Nova Cond" w:cs="Arial"/>
          <w:i/>
          <w:sz w:val="24"/>
          <w:szCs w:val="24"/>
        </w:rPr>
        <w:t xml:space="preserve">Food and Allied Workers Union para </w:t>
      </w:r>
      <w:r w:rsidR="00447E42" w:rsidRPr="00447E42">
        <w:rPr>
          <w:rFonts w:ascii="Arial Nova Cond" w:hAnsi="Arial Nova Cond" w:cs="Arial"/>
          <w:i/>
          <w:sz w:val="24"/>
          <w:szCs w:val="24"/>
        </w:rPr>
        <w:t>[196</w:t>
      </w:r>
      <w:r w:rsidR="00313575">
        <w:rPr>
          <w:rFonts w:ascii="Arial Nova Cond" w:hAnsi="Arial Nova Cond" w:cs="Arial"/>
          <w:i/>
          <w:sz w:val="24"/>
          <w:szCs w:val="24"/>
        </w:rPr>
        <w:t>]</w:t>
      </w:r>
      <w:r w:rsidR="005000BF">
        <w:rPr>
          <w:rFonts w:ascii="Arial Nova Cond" w:hAnsi="Arial Nova Cond" w:cs="Arial"/>
          <w:i/>
          <w:sz w:val="24"/>
          <w:szCs w:val="24"/>
        </w:rPr>
        <w:t xml:space="preserve"> supra</w:t>
      </w:r>
      <w:r w:rsidR="00313575">
        <w:rPr>
          <w:rFonts w:ascii="Arial Nova Cond" w:hAnsi="Arial Nova Cond" w:cs="Arial"/>
          <w:sz w:val="24"/>
          <w:szCs w:val="24"/>
        </w:rPr>
        <w:t>)</w:t>
      </w:r>
      <w:r w:rsidR="00C47F20" w:rsidRPr="00C47F20">
        <w:rPr>
          <w:rFonts w:ascii="Arial Nova Cond" w:hAnsi="Arial Nova Cond" w:cs="Arial"/>
          <w:sz w:val="24"/>
          <w:szCs w:val="24"/>
        </w:rPr>
        <w:t>.</w:t>
      </w:r>
      <w:r w:rsidR="000A0C4F" w:rsidRPr="00C47F20">
        <w:rPr>
          <w:rFonts w:ascii="Arial Nova Cond" w:hAnsi="Arial Nova Cond" w:cs="Arial"/>
          <w:sz w:val="24"/>
          <w:szCs w:val="24"/>
        </w:rPr>
        <w:t xml:space="preserve"> </w:t>
      </w:r>
    </w:p>
    <w:p w14:paraId="4E51ECF9" w14:textId="13694673" w:rsidR="00652484" w:rsidRDefault="00375FA9"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 xml:space="preserve">[20] </w:t>
      </w:r>
      <w:r w:rsidR="00177021">
        <w:rPr>
          <w:rFonts w:ascii="Arial Nova Cond" w:hAnsi="Arial Nova Cond" w:cs="Arial"/>
          <w:sz w:val="24"/>
          <w:szCs w:val="24"/>
        </w:rPr>
        <w:t xml:space="preserve">Section 15(6) in defining the meaning of ‘process’ includes ‘any document commencing legal proceedings’. In my view a </w:t>
      </w:r>
      <w:r w:rsidR="005806F0">
        <w:rPr>
          <w:rFonts w:ascii="Arial Nova Cond" w:hAnsi="Arial Nova Cond" w:cs="Arial"/>
          <w:sz w:val="24"/>
          <w:szCs w:val="24"/>
        </w:rPr>
        <w:t>‘</w:t>
      </w:r>
      <w:r w:rsidR="00177021">
        <w:rPr>
          <w:rFonts w:ascii="Arial Nova Cond" w:hAnsi="Arial Nova Cond" w:cs="Arial"/>
          <w:sz w:val="24"/>
          <w:szCs w:val="24"/>
        </w:rPr>
        <w:t>court order</w:t>
      </w:r>
      <w:r w:rsidR="005806F0">
        <w:rPr>
          <w:rFonts w:ascii="Arial Nova Cond" w:hAnsi="Arial Nova Cond" w:cs="Arial"/>
          <w:sz w:val="24"/>
          <w:szCs w:val="24"/>
        </w:rPr>
        <w:t>’</w:t>
      </w:r>
      <w:r w:rsidR="00177021">
        <w:rPr>
          <w:rFonts w:ascii="Arial Nova Cond" w:hAnsi="Arial Nova Cond" w:cs="Arial"/>
          <w:sz w:val="24"/>
          <w:szCs w:val="24"/>
        </w:rPr>
        <w:t xml:space="preserve"> joining the respo</w:t>
      </w:r>
      <w:r w:rsidR="00005DCA">
        <w:rPr>
          <w:rFonts w:ascii="Arial Nova Cond" w:hAnsi="Arial Nova Cond" w:cs="Arial"/>
          <w:sz w:val="24"/>
          <w:szCs w:val="24"/>
        </w:rPr>
        <w:t>ndents as defendants in the</w:t>
      </w:r>
      <w:r w:rsidR="00177021">
        <w:rPr>
          <w:rFonts w:ascii="Arial Nova Cond" w:hAnsi="Arial Nova Cond" w:cs="Arial"/>
          <w:sz w:val="24"/>
          <w:szCs w:val="24"/>
        </w:rPr>
        <w:t xml:space="preserve"> action for damages, is a document commencing legal proceedings</w:t>
      </w:r>
      <w:r w:rsidR="00650E0F">
        <w:rPr>
          <w:rFonts w:ascii="Arial Nova Cond" w:hAnsi="Arial Nova Cond" w:cs="Arial"/>
          <w:sz w:val="24"/>
          <w:szCs w:val="24"/>
        </w:rPr>
        <w:t xml:space="preserve"> against them</w:t>
      </w:r>
      <w:r w:rsidR="009C7331">
        <w:rPr>
          <w:rFonts w:ascii="Arial Nova Cond" w:hAnsi="Arial Nova Cond" w:cs="Arial"/>
          <w:sz w:val="24"/>
          <w:szCs w:val="24"/>
        </w:rPr>
        <w:t xml:space="preserve"> for enforcement of a debt</w:t>
      </w:r>
      <w:r w:rsidR="00496D02">
        <w:rPr>
          <w:rFonts w:ascii="Arial Nova Cond" w:hAnsi="Arial Nova Cond" w:cs="Arial"/>
          <w:sz w:val="24"/>
          <w:szCs w:val="24"/>
        </w:rPr>
        <w:t>,</w:t>
      </w:r>
      <w:r w:rsidR="00177021">
        <w:rPr>
          <w:rFonts w:ascii="Arial Nova Cond" w:hAnsi="Arial Nova Cond" w:cs="Arial"/>
          <w:sz w:val="24"/>
          <w:szCs w:val="24"/>
        </w:rPr>
        <w:t xml:space="preserve"> and therefore a process</w:t>
      </w:r>
      <w:r w:rsidR="00650E0F">
        <w:rPr>
          <w:rFonts w:ascii="Arial Nova Cond" w:hAnsi="Arial Nova Cond" w:cs="Arial"/>
          <w:sz w:val="24"/>
          <w:szCs w:val="24"/>
        </w:rPr>
        <w:t xml:space="preserve"> for purpose</w:t>
      </w:r>
      <w:r w:rsidR="009C7331">
        <w:rPr>
          <w:rFonts w:ascii="Arial Nova Cond" w:hAnsi="Arial Nova Cond" w:cs="Arial"/>
          <w:sz w:val="24"/>
          <w:szCs w:val="24"/>
        </w:rPr>
        <w:t>s</w:t>
      </w:r>
      <w:r w:rsidR="00650E0F">
        <w:rPr>
          <w:rFonts w:ascii="Arial Nova Cond" w:hAnsi="Arial Nova Cond" w:cs="Arial"/>
          <w:sz w:val="24"/>
          <w:szCs w:val="24"/>
        </w:rPr>
        <w:t xml:space="preserve"> of section 15(1</w:t>
      </w:r>
      <w:r w:rsidR="00650E0F" w:rsidRPr="00550C27">
        <w:rPr>
          <w:rFonts w:ascii="Arial Nova Cond" w:hAnsi="Arial Nova Cond" w:cs="Arial"/>
          <w:i/>
          <w:sz w:val="24"/>
          <w:szCs w:val="24"/>
        </w:rPr>
        <w:t>).</w:t>
      </w:r>
      <w:r w:rsidR="00550C27" w:rsidRPr="00550C27">
        <w:rPr>
          <w:rFonts w:ascii="Arial Nova Cond" w:hAnsi="Arial Nova Cond" w:cs="Arial"/>
          <w:sz w:val="24"/>
          <w:szCs w:val="24"/>
        </w:rPr>
        <w:t xml:space="preserve"> </w:t>
      </w:r>
      <w:r w:rsidR="00550C27">
        <w:rPr>
          <w:rFonts w:ascii="Arial Nova Cond" w:hAnsi="Arial Nova Cond" w:cs="Arial"/>
          <w:sz w:val="24"/>
          <w:szCs w:val="24"/>
        </w:rPr>
        <w:t xml:space="preserve">The Constitutional Court in </w:t>
      </w:r>
      <w:r w:rsidR="00550C27" w:rsidRPr="00550C27">
        <w:rPr>
          <w:rFonts w:ascii="Arial Nova Cond" w:hAnsi="Arial Nova Cond" w:cs="Arial"/>
          <w:i/>
          <w:sz w:val="24"/>
          <w:szCs w:val="24"/>
        </w:rPr>
        <w:t>Food and Allied Workers Union</w:t>
      </w:r>
      <w:r w:rsidR="007E78B1">
        <w:rPr>
          <w:rFonts w:ascii="Arial Nova Cond" w:hAnsi="Arial Nova Cond" w:cs="Arial"/>
          <w:i/>
          <w:sz w:val="24"/>
          <w:szCs w:val="24"/>
        </w:rPr>
        <w:t xml:space="preserve"> para</w:t>
      </w:r>
      <w:r w:rsidR="00550C27" w:rsidRPr="00550C27">
        <w:rPr>
          <w:rFonts w:ascii="Arial Nova Cond" w:hAnsi="Arial Nova Cond" w:cs="Arial"/>
          <w:i/>
          <w:sz w:val="24"/>
          <w:szCs w:val="24"/>
        </w:rPr>
        <w:t xml:space="preserve"> </w:t>
      </w:r>
      <w:r w:rsidR="00DA11C8">
        <w:rPr>
          <w:rFonts w:ascii="Arial Nova Cond" w:hAnsi="Arial Nova Cond" w:cs="Arial"/>
          <w:i/>
          <w:sz w:val="24"/>
          <w:szCs w:val="24"/>
        </w:rPr>
        <w:t xml:space="preserve">[203] </w:t>
      </w:r>
      <w:r w:rsidR="00550C27" w:rsidRPr="00550C27">
        <w:rPr>
          <w:rFonts w:ascii="Arial Nova Cond" w:hAnsi="Arial Nova Cond" w:cs="Arial"/>
          <w:i/>
          <w:sz w:val="24"/>
          <w:szCs w:val="24"/>
        </w:rPr>
        <w:t>supra</w:t>
      </w:r>
      <w:r w:rsidR="00550C27">
        <w:rPr>
          <w:rFonts w:ascii="Arial Nova Cond" w:hAnsi="Arial Nova Cond" w:cs="Arial"/>
          <w:sz w:val="24"/>
          <w:szCs w:val="24"/>
        </w:rPr>
        <w:t xml:space="preserve"> held</w:t>
      </w:r>
      <w:r w:rsidR="00550C27" w:rsidRPr="00550C27">
        <w:rPr>
          <w:rFonts w:ascii="Arial Nova Cond" w:hAnsi="Arial Nova Cond" w:cs="Arial"/>
          <w:sz w:val="24"/>
          <w:szCs w:val="24"/>
        </w:rPr>
        <w:t xml:space="preserve"> that it is not necessary that the process that commences proceedings must </w:t>
      </w:r>
      <w:r w:rsidR="00550C27" w:rsidRPr="00550C27">
        <w:rPr>
          <w:rFonts w:ascii="Arial Nova Cond" w:hAnsi="Arial Nova Cond" w:cs="Arial"/>
          <w:sz w:val="24"/>
          <w:szCs w:val="24"/>
        </w:rPr>
        <w:lastRenderedPageBreak/>
        <w:t xml:space="preserve">result in a judgment in the same proceedings. </w:t>
      </w:r>
      <w:r w:rsidR="00550C27">
        <w:rPr>
          <w:rFonts w:ascii="Arial Nova Cond" w:hAnsi="Arial Nova Cond" w:cs="Arial"/>
          <w:sz w:val="24"/>
          <w:szCs w:val="24"/>
        </w:rPr>
        <w:t>It must be a process that</w:t>
      </w:r>
      <w:r w:rsidR="00550C27" w:rsidRPr="00550C27">
        <w:rPr>
          <w:rFonts w:ascii="Arial Nova Cond" w:hAnsi="Arial Nova Cond" w:cs="Arial"/>
          <w:sz w:val="24"/>
          <w:szCs w:val="24"/>
        </w:rPr>
        <w:t xml:space="preserve"> constitute</w:t>
      </w:r>
      <w:r w:rsidR="00550C27">
        <w:rPr>
          <w:rFonts w:ascii="Arial Nova Cond" w:hAnsi="Arial Nova Cond" w:cs="Arial"/>
          <w:sz w:val="24"/>
          <w:szCs w:val="24"/>
        </w:rPr>
        <w:t>s</w:t>
      </w:r>
      <w:r w:rsidR="00550C27" w:rsidRPr="00550C27">
        <w:rPr>
          <w:rFonts w:ascii="Arial Nova Cond" w:hAnsi="Arial Nova Cond" w:cs="Arial"/>
          <w:sz w:val="24"/>
          <w:szCs w:val="24"/>
        </w:rPr>
        <w:t xml:space="preserve"> the commencement of proceedings for the enforcement of a debt</w:t>
      </w:r>
      <w:r w:rsidR="00550C27">
        <w:rPr>
          <w:rFonts w:ascii="Arial Nova Cond" w:hAnsi="Arial Nova Cond" w:cs="Arial"/>
          <w:sz w:val="24"/>
          <w:szCs w:val="24"/>
        </w:rPr>
        <w:t>.</w:t>
      </w:r>
      <w:r w:rsidR="009C7331">
        <w:rPr>
          <w:rFonts w:ascii="Arial Nova Cond" w:hAnsi="Arial Nova Cond" w:cs="Arial"/>
          <w:sz w:val="24"/>
          <w:szCs w:val="24"/>
        </w:rPr>
        <w:t xml:space="preserve"> The service of the said joinder court order on the appellants before the claim prescribed, constituted </w:t>
      </w:r>
      <w:r w:rsidR="00D758D6">
        <w:rPr>
          <w:rFonts w:ascii="Arial Nova Cond" w:hAnsi="Arial Nova Cond" w:cs="Arial"/>
          <w:sz w:val="24"/>
          <w:szCs w:val="24"/>
        </w:rPr>
        <w:t>‘</w:t>
      </w:r>
      <w:r w:rsidR="009C7331">
        <w:rPr>
          <w:rFonts w:ascii="Arial Nova Cond" w:hAnsi="Arial Nova Cond" w:cs="Arial"/>
          <w:sz w:val="24"/>
          <w:szCs w:val="24"/>
        </w:rPr>
        <w:t>a service of a process</w:t>
      </w:r>
      <w:r w:rsidR="00D758D6">
        <w:rPr>
          <w:rFonts w:ascii="Arial Nova Cond" w:hAnsi="Arial Nova Cond" w:cs="Arial"/>
          <w:sz w:val="24"/>
          <w:szCs w:val="24"/>
        </w:rPr>
        <w:t xml:space="preserve"> on the respondents</w:t>
      </w:r>
      <w:r w:rsidR="009C7331">
        <w:rPr>
          <w:rFonts w:ascii="Arial Nova Cond" w:hAnsi="Arial Nova Cond" w:cs="Arial"/>
          <w:sz w:val="24"/>
          <w:szCs w:val="24"/>
        </w:rPr>
        <w:t xml:space="preserve"> whereby</w:t>
      </w:r>
      <w:r w:rsidR="00D758D6">
        <w:rPr>
          <w:rFonts w:ascii="Arial Nova Cond" w:hAnsi="Arial Nova Cond" w:cs="Arial"/>
          <w:sz w:val="24"/>
          <w:szCs w:val="24"/>
        </w:rPr>
        <w:t xml:space="preserve"> the appellant</w:t>
      </w:r>
      <w:r w:rsidR="00D758D6" w:rsidRPr="00D758D6">
        <w:rPr>
          <w:rFonts w:ascii="Arial Nova Cond" w:hAnsi="Arial Nova Cond" w:cs="Arial"/>
          <w:sz w:val="24"/>
          <w:szCs w:val="24"/>
        </w:rPr>
        <w:t xml:space="preserve"> claims payment of the debt</w:t>
      </w:r>
      <w:r w:rsidR="005C6F57">
        <w:rPr>
          <w:rFonts w:ascii="Arial Nova Cond" w:hAnsi="Arial Nova Cond" w:cs="Arial"/>
          <w:sz w:val="24"/>
          <w:szCs w:val="24"/>
        </w:rPr>
        <w:t>’</w:t>
      </w:r>
      <w:r w:rsidR="00D758D6">
        <w:rPr>
          <w:rFonts w:ascii="Arial Nova Cond" w:hAnsi="Arial Nova Cond" w:cs="Arial"/>
          <w:sz w:val="24"/>
          <w:szCs w:val="24"/>
        </w:rPr>
        <w:t>, and there</w:t>
      </w:r>
      <w:r w:rsidR="005C6F57">
        <w:rPr>
          <w:rFonts w:ascii="Arial Nova Cond" w:hAnsi="Arial Nova Cond" w:cs="Arial"/>
          <w:sz w:val="24"/>
          <w:szCs w:val="24"/>
        </w:rPr>
        <w:t>fore</w:t>
      </w:r>
      <w:r w:rsidR="00D758D6">
        <w:rPr>
          <w:rFonts w:ascii="Arial Nova Cond" w:hAnsi="Arial Nova Cond" w:cs="Arial"/>
          <w:sz w:val="24"/>
          <w:szCs w:val="24"/>
        </w:rPr>
        <w:t xml:space="preserve"> interrupted the running of prescription.</w:t>
      </w:r>
      <w:r w:rsidR="00650E0F">
        <w:rPr>
          <w:rFonts w:ascii="Arial Nova Cond" w:hAnsi="Arial Nova Cond" w:cs="Arial"/>
          <w:sz w:val="24"/>
          <w:szCs w:val="24"/>
        </w:rPr>
        <w:t xml:space="preserve"> </w:t>
      </w:r>
      <w:r w:rsidR="00177021">
        <w:rPr>
          <w:rFonts w:ascii="Arial Nova Cond" w:hAnsi="Arial Nova Cond" w:cs="Arial"/>
          <w:sz w:val="24"/>
          <w:szCs w:val="24"/>
        </w:rPr>
        <w:t xml:space="preserve"> </w:t>
      </w:r>
    </w:p>
    <w:p w14:paraId="20DED462" w14:textId="4674B6C5" w:rsidR="00326F06" w:rsidRDefault="002905A7" w:rsidP="00A153FA">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[21</w:t>
      </w:r>
      <w:r w:rsidR="00652484">
        <w:rPr>
          <w:rFonts w:ascii="Arial Nova Cond" w:hAnsi="Arial Nova Cond" w:cs="Arial"/>
          <w:sz w:val="24"/>
          <w:szCs w:val="24"/>
        </w:rPr>
        <w:t xml:space="preserve">] </w:t>
      </w:r>
      <w:r w:rsidR="00BB6D5D">
        <w:rPr>
          <w:rFonts w:ascii="Arial Nova Cond" w:hAnsi="Arial Nova Cond" w:cs="Arial"/>
          <w:sz w:val="24"/>
          <w:szCs w:val="24"/>
        </w:rPr>
        <w:t>T</w:t>
      </w:r>
      <w:r w:rsidR="00EC4758">
        <w:rPr>
          <w:rFonts w:ascii="Arial Nova Cond" w:hAnsi="Arial Nova Cond" w:cs="Arial"/>
          <w:sz w:val="24"/>
          <w:szCs w:val="24"/>
        </w:rPr>
        <w:t>he claim prescribed after the joinder order and notice of intention to amend the particul</w:t>
      </w:r>
      <w:r w:rsidR="00662301">
        <w:rPr>
          <w:rFonts w:ascii="Arial Nova Cond" w:hAnsi="Arial Nova Cond" w:cs="Arial"/>
          <w:sz w:val="24"/>
          <w:szCs w:val="24"/>
        </w:rPr>
        <w:t>ars of claim were served on the respondents’</w:t>
      </w:r>
      <w:r w:rsidR="00EC4758">
        <w:rPr>
          <w:rFonts w:ascii="Arial Nova Cond" w:hAnsi="Arial Nova Cond" w:cs="Arial"/>
          <w:sz w:val="24"/>
          <w:szCs w:val="24"/>
        </w:rPr>
        <w:t xml:space="preserve"> attorneys in accordance with their election contained in the notice to oppose the joinder application.</w:t>
      </w:r>
      <w:r w:rsidR="00D7535C">
        <w:rPr>
          <w:rFonts w:ascii="Arial Nova Cond" w:hAnsi="Arial Nova Cond" w:cs="Arial"/>
          <w:sz w:val="24"/>
          <w:szCs w:val="24"/>
        </w:rPr>
        <w:t xml:space="preserve"> The service of a notice of intention to amend</w:t>
      </w:r>
      <w:r w:rsidR="008B5B9C">
        <w:rPr>
          <w:rFonts w:ascii="Arial Nova Cond" w:hAnsi="Arial Nova Cond" w:cs="Arial"/>
          <w:sz w:val="24"/>
          <w:szCs w:val="24"/>
        </w:rPr>
        <w:t xml:space="preserve"> the particulars of claim</w:t>
      </w:r>
      <w:r w:rsidR="00D7535C">
        <w:rPr>
          <w:rFonts w:ascii="Arial Nova Cond" w:hAnsi="Arial Nova Cond" w:cs="Arial"/>
          <w:sz w:val="24"/>
          <w:szCs w:val="24"/>
        </w:rPr>
        <w:t xml:space="preserve"> in terms of section 28 of the Uniform Rules of Court is a judicial process. The respondents were given 10 days to raise an objection to the proposed amendment. The claim prescribed during the said 10 days.</w:t>
      </w:r>
      <w:r w:rsidR="000F4FFD">
        <w:rPr>
          <w:rFonts w:ascii="Arial Nova Cond" w:hAnsi="Arial Nova Cond" w:cs="Arial"/>
          <w:sz w:val="24"/>
          <w:szCs w:val="24"/>
        </w:rPr>
        <w:t xml:space="preserve"> There was no objection to the notice of amendment. T</w:t>
      </w:r>
      <w:r w:rsidR="00BD564D">
        <w:rPr>
          <w:rFonts w:ascii="Arial Nova Cond" w:hAnsi="Arial Nova Cond" w:cs="Arial"/>
          <w:sz w:val="24"/>
          <w:szCs w:val="24"/>
        </w:rPr>
        <w:t>he amended combined summons was served on the respondents 5 days</w:t>
      </w:r>
      <w:r w:rsidR="000F4FFD">
        <w:rPr>
          <w:rFonts w:ascii="Arial Nova Cond" w:hAnsi="Arial Nova Cond" w:cs="Arial"/>
          <w:sz w:val="24"/>
          <w:szCs w:val="24"/>
        </w:rPr>
        <w:t xml:space="preserve"> after the claim prescribed.</w:t>
      </w:r>
      <w:r w:rsidR="00A153FA">
        <w:rPr>
          <w:rFonts w:ascii="Arial Nova Cond" w:hAnsi="Arial Nova Cond" w:cs="Arial"/>
          <w:sz w:val="24"/>
          <w:szCs w:val="24"/>
        </w:rPr>
        <w:t xml:space="preserve"> </w:t>
      </w:r>
      <w:r w:rsidR="003F1B4D">
        <w:rPr>
          <w:rFonts w:ascii="Arial Nova Cond" w:hAnsi="Arial Nova Cond" w:cs="Arial"/>
          <w:sz w:val="24"/>
          <w:szCs w:val="24"/>
        </w:rPr>
        <w:t>It should also be noted that the respondents contributed to the delay in setting down the joinder application by asking</w:t>
      </w:r>
      <w:r w:rsidR="00A439F1">
        <w:rPr>
          <w:rFonts w:ascii="Arial Nova Cond" w:hAnsi="Arial Nova Cond" w:cs="Arial"/>
          <w:sz w:val="24"/>
          <w:szCs w:val="24"/>
        </w:rPr>
        <w:t xml:space="preserve"> for</w:t>
      </w:r>
      <w:r w:rsidR="003F1B4D">
        <w:rPr>
          <w:rFonts w:ascii="Arial Nova Cond" w:hAnsi="Arial Nova Cond" w:cs="Arial"/>
          <w:sz w:val="24"/>
          <w:szCs w:val="24"/>
        </w:rPr>
        <w:t xml:space="preserve"> extensions to file their answering affidavit. </w:t>
      </w:r>
    </w:p>
    <w:p w14:paraId="68B392E7" w14:textId="54DE0BDB" w:rsidR="00A153FA" w:rsidRDefault="002905A7" w:rsidP="00A153FA">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[22</w:t>
      </w:r>
      <w:r w:rsidR="00326F06">
        <w:rPr>
          <w:rFonts w:ascii="Arial Nova Cond" w:hAnsi="Arial Nova Cond" w:cs="Arial"/>
          <w:sz w:val="24"/>
          <w:szCs w:val="24"/>
        </w:rPr>
        <w:t xml:space="preserve">] </w:t>
      </w:r>
      <w:r w:rsidR="00A153FA">
        <w:rPr>
          <w:rFonts w:ascii="Arial Nova Cond" w:hAnsi="Arial Nova Cond" w:cs="Arial"/>
          <w:sz w:val="24"/>
          <w:szCs w:val="24"/>
        </w:rPr>
        <w:t>The rationale behind section 15 is that where the creditor takes judicial steps to enforce the debt, which is indicative of the creditor’s intention to enforce the debt, prescription should not continue running while the law takes its course (</w:t>
      </w:r>
      <w:r w:rsidR="00A153FA" w:rsidRPr="000A0C4F">
        <w:rPr>
          <w:rFonts w:ascii="Arial Nova Cond" w:hAnsi="Arial Nova Cond" w:cs="Arial"/>
          <w:i/>
          <w:sz w:val="24"/>
          <w:szCs w:val="24"/>
        </w:rPr>
        <w:t>Food and Allied Workers Union para [56] supra</w:t>
      </w:r>
      <w:r w:rsidR="00A153FA">
        <w:rPr>
          <w:rFonts w:ascii="Arial Nova Cond" w:hAnsi="Arial Nova Cond" w:cs="Arial"/>
          <w:sz w:val="24"/>
          <w:szCs w:val="24"/>
        </w:rPr>
        <w:t>). In my view</w:t>
      </w:r>
      <w:r w:rsidR="00CB4CA2">
        <w:rPr>
          <w:rFonts w:ascii="Arial Nova Cond" w:hAnsi="Arial Nova Cond" w:cs="Arial"/>
          <w:sz w:val="24"/>
          <w:szCs w:val="24"/>
        </w:rPr>
        <w:t>,</w:t>
      </w:r>
      <w:r w:rsidR="00A153FA">
        <w:rPr>
          <w:rFonts w:ascii="Arial Nova Cond" w:hAnsi="Arial Nova Cond" w:cs="Arial"/>
          <w:sz w:val="24"/>
          <w:szCs w:val="24"/>
        </w:rPr>
        <w:t xml:space="preserve"> the service of the joinder order followed by the notice to amend</w:t>
      </w:r>
      <w:r w:rsidR="00201773">
        <w:rPr>
          <w:rFonts w:ascii="Arial Nova Cond" w:hAnsi="Arial Nova Cond" w:cs="Arial"/>
          <w:sz w:val="24"/>
          <w:szCs w:val="24"/>
        </w:rPr>
        <w:t>,</w:t>
      </w:r>
      <w:r w:rsidR="00A153FA">
        <w:rPr>
          <w:rFonts w:ascii="Arial Nova Cond" w:hAnsi="Arial Nova Cond" w:cs="Arial"/>
          <w:sz w:val="24"/>
          <w:szCs w:val="24"/>
        </w:rPr>
        <w:t xml:space="preserve"> effected before the claim prescribed</w:t>
      </w:r>
      <w:r w:rsidR="00201773">
        <w:rPr>
          <w:rFonts w:ascii="Arial Nova Cond" w:hAnsi="Arial Nova Cond" w:cs="Arial"/>
          <w:sz w:val="24"/>
          <w:szCs w:val="24"/>
        </w:rPr>
        <w:t>,</w:t>
      </w:r>
      <w:r w:rsidR="00A153FA">
        <w:rPr>
          <w:rFonts w:ascii="Arial Nova Cond" w:hAnsi="Arial Nova Cond" w:cs="Arial"/>
          <w:sz w:val="24"/>
          <w:szCs w:val="24"/>
        </w:rPr>
        <w:t xml:space="preserve"> created the certainty about the appellant’</w:t>
      </w:r>
      <w:r w:rsidR="00B4743C">
        <w:rPr>
          <w:rFonts w:ascii="Arial Nova Cond" w:hAnsi="Arial Nova Cond" w:cs="Arial"/>
          <w:sz w:val="24"/>
          <w:szCs w:val="24"/>
        </w:rPr>
        <w:t>s intention to enforce the debt and therefore, interrupted the running of prescription.</w:t>
      </w:r>
      <w:r w:rsidR="00201773">
        <w:rPr>
          <w:rFonts w:ascii="Arial Nova Cond" w:hAnsi="Arial Nova Cond" w:cs="Arial"/>
          <w:sz w:val="24"/>
          <w:szCs w:val="24"/>
        </w:rPr>
        <w:t xml:space="preserve"> The cause of action and quantum claimed in the original particulars of claim</w:t>
      </w:r>
      <w:r w:rsidR="00A45EFF">
        <w:rPr>
          <w:rFonts w:ascii="Arial Nova Cond" w:hAnsi="Arial Nova Cond" w:cs="Arial"/>
          <w:sz w:val="24"/>
          <w:szCs w:val="24"/>
        </w:rPr>
        <w:t xml:space="preserve"> which were attached to the joinder application as annexure “B”,</w:t>
      </w:r>
      <w:r w:rsidR="00201773">
        <w:rPr>
          <w:rFonts w:ascii="Arial Nova Cond" w:hAnsi="Arial Nova Cond" w:cs="Arial"/>
          <w:sz w:val="24"/>
          <w:szCs w:val="24"/>
        </w:rPr>
        <w:t xml:space="preserve"> were identical to the cause of action and quantum claimed in the notice of intention to amend and amended particulars of claim.</w:t>
      </w:r>
      <w:r w:rsidR="00CA3E1A">
        <w:rPr>
          <w:rFonts w:ascii="Arial Nova Cond" w:hAnsi="Arial Nova Cond" w:cs="Arial"/>
          <w:sz w:val="24"/>
          <w:szCs w:val="24"/>
        </w:rPr>
        <w:t xml:space="preserve"> In the circumstances, the appellant should not be denied his right to access to court.</w:t>
      </w:r>
    </w:p>
    <w:p w14:paraId="2C1D737D" w14:textId="17CA875F" w:rsidR="005149F6" w:rsidRDefault="002905A7"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[23</w:t>
      </w:r>
      <w:r w:rsidR="00A153FA">
        <w:rPr>
          <w:rFonts w:ascii="Arial Nova Cond" w:hAnsi="Arial Nova Cond" w:cs="Arial"/>
          <w:sz w:val="24"/>
          <w:szCs w:val="24"/>
        </w:rPr>
        <w:t>]</w:t>
      </w:r>
      <w:r w:rsidR="00A007D2">
        <w:rPr>
          <w:rFonts w:ascii="Arial Nova Cond" w:hAnsi="Arial Nova Cond" w:cs="Arial"/>
          <w:sz w:val="24"/>
          <w:szCs w:val="24"/>
        </w:rPr>
        <w:t xml:space="preserve"> </w:t>
      </w:r>
      <w:r w:rsidR="007261F4">
        <w:rPr>
          <w:rFonts w:ascii="Arial Nova Cond" w:hAnsi="Arial Nova Cond" w:cs="Arial"/>
          <w:sz w:val="24"/>
          <w:szCs w:val="24"/>
        </w:rPr>
        <w:t xml:space="preserve">The respondents’ counsel </w:t>
      </w:r>
      <w:r w:rsidR="00DA3D6D">
        <w:rPr>
          <w:rFonts w:ascii="Arial Nova Cond" w:hAnsi="Arial Nova Cond" w:cs="Arial"/>
          <w:sz w:val="24"/>
          <w:szCs w:val="24"/>
        </w:rPr>
        <w:t>argued</w:t>
      </w:r>
      <w:r w:rsidR="007261F4">
        <w:rPr>
          <w:rFonts w:ascii="Arial Nova Cond" w:hAnsi="Arial Nova Cond" w:cs="Arial"/>
          <w:sz w:val="24"/>
          <w:szCs w:val="24"/>
        </w:rPr>
        <w:t xml:space="preserve"> that service of the</w:t>
      </w:r>
      <w:r w:rsidR="00382177">
        <w:rPr>
          <w:rFonts w:ascii="Arial Nova Cond" w:hAnsi="Arial Nova Cond" w:cs="Arial"/>
          <w:sz w:val="24"/>
          <w:szCs w:val="24"/>
        </w:rPr>
        <w:t xml:space="preserve"> aforementioned court </w:t>
      </w:r>
      <w:r w:rsidR="007261F4">
        <w:rPr>
          <w:rFonts w:ascii="Arial Nova Cond" w:hAnsi="Arial Nova Cond" w:cs="Arial"/>
          <w:sz w:val="24"/>
          <w:szCs w:val="24"/>
        </w:rPr>
        <w:t>documents</w:t>
      </w:r>
      <w:r w:rsidR="00382177">
        <w:rPr>
          <w:rFonts w:ascii="Arial Nova Cond" w:hAnsi="Arial Nova Cond" w:cs="Arial"/>
          <w:sz w:val="24"/>
          <w:szCs w:val="24"/>
        </w:rPr>
        <w:t xml:space="preserve"> on the respondents’ attorneys was </w:t>
      </w:r>
      <w:r w:rsidR="007261F4">
        <w:rPr>
          <w:rFonts w:ascii="Arial Nova Cond" w:hAnsi="Arial Nova Cond" w:cs="Arial"/>
          <w:sz w:val="24"/>
          <w:szCs w:val="24"/>
        </w:rPr>
        <w:t>not good service because the attorneys were only briefed to represent the respondents in the joinder application.</w:t>
      </w:r>
      <w:r w:rsidR="009E59ED">
        <w:rPr>
          <w:rFonts w:ascii="Arial Nova Cond" w:hAnsi="Arial Nova Cond" w:cs="Arial"/>
          <w:sz w:val="24"/>
          <w:szCs w:val="24"/>
        </w:rPr>
        <w:t xml:space="preserve"> </w:t>
      </w:r>
      <w:r w:rsidR="00723881">
        <w:rPr>
          <w:rFonts w:ascii="Arial Nova Cond" w:hAnsi="Arial Nova Cond" w:cs="Arial"/>
          <w:sz w:val="24"/>
          <w:szCs w:val="24"/>
        </w:rPr>
        <w:t xml:space="preserve">I do not agree with this submission. The service that was effected on the respondents’ attorneys was proper service on attorneys of record of the respondents </w:t>
      </w:r>
      <w:r w:rsidR="00450B57">
        <w:rPr>
          <w:rFonts w:ascii="Arial Nova Cond" w:hAnsi="Arial Nova Cond" w:cs="Arial"/>
          <w:sz w:val="24"/>
          <w:szCs w:val="24"/>
        </w:rPr>
        <w:t>as postulated by Rule 4.</w:t>
      </w:r>
      <w:r w:rsidR="006C35C2">
        <w:rPr>
          <w:rFonts w:ascii="Arial Nova Cond" w:hAnsi="Arial Nova Cond" w:cs="Arial"/>
          <w:sz w:val="24"/>
          <w:szCs w:val="24"/>
        </w:rPr>
        <w:t xml:space="preserve"> </w:t>
      </w:r>
      <w:r w:rsidR="00F8199C">
        <w:rPr>
          <w:rFonts w:ascii="Arial Nova Cond" w:hAnsi="Arial Nova Cond" w:cs="Arial"/>
          <w:sz w:val="24"/>
          <w:szCs w:val="24"/>
        </w:rPr>
        <w:t xml:space="preserve">It was not contended on behalf of the respondents that the served documents were not received, let alone brought to their attention by their attorneys. In fact, the converse is </w:t>
      </w:r>
      <w:r w:rsidR="00F8199C">
        <w:rPr>
          <w:rFonts w:ascii="Arial Nova Cond" w:hAnsi="Arial Nova Cond" w:cs="Arial"/>
          <w:sz w:val="24"/>
          <w:szCs w:val="24"/>
        </w:rPr>
        <w:lastRenderedPageBreak/>
        <w:t>true on object</w:t>
      </w:r>
      <w:r w:rsidR="00422F92">
        <w:rPr>
          <w:rFonts w:ascii="Arial Nova Cond" w:hAnsi="Arial Nova Cond" w:cs="Arial"/>
          <w:sz w:val="24"/>
          <w:szCs w:val="24"/>
        </w:rPr>
        <w:t>ive</w:t>
      </w:r>
      <w:r w:rsidR="00F8199C">
        <w:rPr>
          <w:rFonts w:ascii="Arial Nova Cond" w:hAnsi="Arial Nova Cond" w:cs="Arial"/>
          <w:sz w:val="24"/>
          <w:szCs w:val="24"/>
        </w:rPr>
        <w:t xml:space="preserve"> facts. That is, upon service of these court documents by the appellant’s </w:t>
      </w:r>
      <w:r w:rsidR="00D90DF2">
        <w:rPr>
          <w:rFonts w:ascii="Arial Nova Cond" w:hAnsi="Arial Nova Cond" w:cs="Arial"/>
          <w:sz w:val="24"/>
          <w:szCs w:val="24"/>
        </w:rPr>
        <w:t>attorneys, the</w:t>
      </w:r>
      <w:r w:rsidR="00652484">
        <w:rPr>
          <w:rFonts w:ascii="Arial Nova Cond" w:hAnsi="Arial Nova Cond" w:cs="Arial"/>
          <w:sz w:val="24"/>
          <w:szCs w:val="24"/>
        </w:rPr>
        <w:t xml:space="preserve"> respondents’</w:t>
      </w:r>
      <w:r w:rsidR="00A007D2">
        <w:rPr>
          <w:rFonts w:ascii="Arial Nova Cond" w:hAnsi="Arial Nova Cond" w:cs="Arial"/>
          <w:sz w:val="24"/>
          <w:szCs w:val="24"/>
        </w:rPr>
        <w:t xml:space="preserve"> </w:t>
      </w:r>
      <w:r w:rsidR="00652484">
        <w:rPr>
          <w:rFonts w:ascii="Arial Nova Cond" w:hAnsi="Arial Nova Cond" w:cs="Arial"/>
          <w:sz w:val="24"/>
          <w:szCs w:val="24"/>
        </w:rPr>
        <w:t>a</w:t>
      </w:r>
      <w:r w:rsidR="00A007D2">
        <w:rPr>
          <w:rFonts w:ascii="Arial Nova Cond" w:hAnsi="Arial Nova Cond" w:cs="Arial"/>
          <w:sz w:val="24"/>
          <w:szCs w:val="24"/>
        </w:rPr>
        <w:t xml:space="preserve">ttorneys sent </w:t>
      </w:r>
      <w:r w:rsidR="00827F1D">
        <w:rPr>
          <w:rFonts w:ascii="Arial Nova Cond" w:hAnsi="Arial Nova Cond" w:cs="Arial"/>
          <w:sz w:val="24"/>
          <w:szCs w:val="24"/>
        </w:rPr>
        <w:t>an</w:t>
      </w:r>
      <w:r w:rsidR="00A007D2">
        <w:rPr>
          <w:rFonts w:ascii="Arial Nova Cond" w:hAnsi="Arial Nova Cond" w:cs="Arial"/>
          <w:sz w:val="24"/>
          <w:szCs w:val="24"/>
        </w:rPr>
        <w:t xml:space="preserve"> email</w:t>
      </w:r>
      <w:r w:rsidR="00652484">
        <w:rPr>
          <w:rFonts w:ascii="Arial Nova Cond" w:hAnsi="Arial Nova Cond" w:cs="Arial"/>
          <w:sz w:val="24"/>
          <w:szCs w:val="24"/>
        </w:rPr>
        <w:t xml:space="preserve"> to the appellant</w:t>
      </w:r>
      <w:r w:rsidR="00827F1D">
        <w:rPr>
          <w:rFonts w:ascii="Arial Nova Cond" w:hAnsi="Arial Nova Cond" w:cs="Arial"/>
          <w:sz w:val="24"/>
          <w:szCs w:val="24"/>
        </w:rPr>
        <w:t xml:space="preserve">’s </w:t>
      </w:r>
      <w:r w:rsidR="00DA49AC">
        <w:rPr>
          <w:rFonts w:ascii="Arial Nova Cond" w:hAnsi="Arial Nova Cond" w:cs="Arial"/>
          <w:sz w:val="24"/>
          <w:szCs w:val="24"/>
        </w:rPr>
        <w:t>attorneys on</w:t>
      </w:r>
      <w:r w:rsidR="005066CE">
        <w:rPr>
          <w:rFonts w:ascii="Arial Nova Cond" w:hAnsi="Arial Nova Cond" w:cs="Arial"/>
          <w:sz w:val="24"/>
          <w:szCs w:val="24"/>
        </w:rPr>
        <w:t xml:space="preserve"> 2 October</w:t>
      </w:r>
      <w:r w:rsidR="007261F4">
        <w:rPr>
          <w:rFonts w:ascii="Arial Nova Cond" w:hAnsi="Arial Nova Cond" w:cs="Arial"/>
          <w:sz w:val="24"/>
          <w:szCs w:val="24"/>
        </w:rPr>
        <w:t xml:space="preserve"> 2018 </w:t>
      </w:r>
      <w:r w:rsidR="00827F1D">
        <w:rPr>
          <w:rFonts w:ascii="Arial Nova Cond" w:hAnsi="Arial Nova Cond" w:cs="Arial"/>
          <w:sz w:val="24"/>
          <w:szCs w:val="24"/>
        </w:rPr>
        <w:t xml:space="preserve">confirming </w:t>
      </w:r>
      <w:r w:rsidR="00652484">
        <w:rPr>
          <w:rFonts w:ascii="Arial Nova Cond" w:hAnsi="Arial Nova Cond" w:cs="Arial"/>
          <w:sz w:val="24"/>
          <w:szCs w:val="24"/>
        </w:rPr>
        <w:t xml:space="preserve">that </w:t>
      </w:r>
      <w:r w:rsidR="00827F1D">
        <w:rPr>
          <w:rFonts w:ascii="Arial Nova Cond" w:hAnsi="Arial Nova Cond" w:cs="Arial"/>
          <w:sz w:val="24"/>
          <w:szCs w:val="24"/>
        </w:rPr>
        <w:t xml:space="preserve">the </w:t>
      </w:r>
      <w:r w:rsidR="00106439">
        <w:rPr>
          <w:rFonts w:ascii="Arial Nova Cond" w:hAnsi="Arial Nova Cond" w:cs="Arial"/>
          <w:sz w:val="24"/>
          <w:szCs w:val="24"/>
        </w:rPr>
        <w:t>respondents would</w:t>
      </w:r>
      <w:r w:rsidR="00652484">
        <w:rPr>
          <w:rFonts w:ascii="Arial Nova Cond" w:hAnsi="Arial Nova Cond" w:cs="Arial"/>
          <w:sz w:val="24"/>
          <w:szCs w:val="24"/>
        </w:rPr>
        <w:t xml:space="preserve"> </w:t>
      </w:r>
      <w:r w:rsidR="00A16A0F">
        <w:rPr>
          <w:rFonts w:ascii="Arial Nova Cond" w:hAnsi="Arial Nova Cond" w:cs="Arial"/>
          <w:sz w:val="24"/>
          <w:szCs w:val="24"/>
        </w:rPr>
        <w:t>no</w:t>
      </w:r>
      <w:r w:rsidR="00827F1D">
        <w:rPr>
          <w:rFonts w:ascii="Arial Nova Cond" w:hAnsi="Arial Nova Cond" w:cs="Arial"/>
          <w:sz w:val="24"/>
          <w:szCs w:val="24"/>
        </w:rPr>
        <w:t>t</w:t>
      </w:r>
      <w:r w:rsidR="00A16A0F">
        <w:rPr>
          <w:rFonts w:ascii="Arial Nova Cond" w:hAnsi="Arial Nova Cond" w:cs="Arial"/>
          <w:sz w:val="24"/>
          <w:szCs w:val="24"/>
        </w:rPr>
        <w:t xml:space="preserve"> object to the</w:t>
      </w:r>
      <w:r w:rsidR="00A007D2">
        <w:rPr>
          <w:rFonts w:ascii="Arial Nova Cond" w:hAnsi="Arial Nova Cond" w:cs="Arial"/>
          <w:sz w:val="24"/>
          <w:szCs w:val="24"/>
        </w:rPr>
        <w:t xml:space="preserve"> amendment</w:t>
      </w:r>
      <w:r w:rsidR="007261F4">
        <w:rPr>
          <w:rFonts w:ascii="Arial Nova Cond" w:hAnsi="Arial Nova Cond" w:cs="Arial"/>
          <w:sz w:val="24"/>
          <w:szCs w:val="24"/>
        </w:rPr>
        <w:t>,</w:t>
      </w:r>
      <w:r w:rsidR="00546277">
        <w:rPr>
          <w:rFonts w:ascii="Arial Nova Cond" w:hAnsi="Arial Nova Cond" w:cs="Arial"/>
          <w:sz w:val="24"/>
          <w:szCs w:val="24"/>
        </w:rPr>
        <w:t xml:space="preserve"> </w:t>
      </w:r>
      <w:r w:rsidR="004C79F3">
        <w:rPr>
          <w:rFonts w:ascii="Arial Nova Cond" w:hAnsi="Arial Nova Cond" w:cs="Arial"/>
          <w:sz w:val="24"/>
          <w:szCs w:val="24"/>
        </w:rPr>
        <w:t>and</w:t>
      </w:r>
      <w:r w:rsidR="00A007D2">
        <w:rPr>
          <w:rFonts w:ascii="Arial Nova Cond" w:hAnsi="Arial Nova Cond" w:cs="Arial"/>
          <w:sz w:val="24"/>
          <w:szCs w:val="24"/>
        </w:rPr>
        <w:t xml:space="preserve"> the</w:t>
      </w:r>
      <w:r w:rsidR="00827F1D">
        <w:rPr>
          <w:rFonts w:ascii="Arial Nova Cond" w:hAnsi="Arial Nova Cond" w:cs="Arial"/>
          <w:sz w:val="24"/>
          <w:szCs w:val="24"/>
        </w:rPr>
        <w:t xml:space="preserve"> same attorneys subsequently </w:t>
      </w:r>
      <w:r w:rsidR="004C79F3">
        <w:rPr>
          <w:rFonts w:ascii="Arial Nova Cond" w:hAnsi="Arial Nova Cond" w:cs="Arial"/>
          <w:sz w:val="24"/>
          <w:szCs w:val="24"/>
        </w:rPr>
        <w:t>filed the</w:t>
      </w:r>
      <w:r w:rsidR="00A007D2">
        <w:rPr>
          <w:rFonts w:ascii="Arial Nova Cond" w:hAnsi="Arial Nova Cond" w:cs="Arial"/>
          <w:sz w:val="24"/>
          <w:szCs w:val="24"/>
        </w:rPr>
        <w:t xml:space="preserve"> responden</w:t>
      </w:r>
      <w:r w:rsidR="00455EC4">
        <w:rPr>
          <w:rFonts w:ascii="Arial Nova Cond" w:hAnsi="Arial Nova Cond" w:cs="Arial"/>
          <w:sz w:val="24"/>
          <w:szCs w:val="24"/>
        </w:rPr>
        <w:t xml:space="preserve">ts’ special plea in March 2019. </w:t>
      </w:r>
      <w:r w:rsidR="004457CB">
        <w:rPr>
          <w:rFonts w:ascii="Arial Nova Cond" w:hAnsi="Arial Nova Cond" w:cs="Arial"/>
          <w:sz w:val="24"/>
          <w:szCs w:val="24"/>
        </w:rPr>
        <w:t>The correspondence and pleadings filed by the parties show that Norton Rose</w:t>
      </w:r>
      <w:r w:rsidR="00546277">
        <w:rPr>
          <w:rFonts w:ascii="Arial Nova Cond" w:hAnsi="Arial Nova Cond" w:cs="Arial"/>
          <w:sz w:val="24"/>
          <w:szCs w:val="24"/>
        </w:rPr>
        <w:t xml:space="preserve"> Fulbright South Africa Inc</w:t>
      </w:r>
      <w:r w:rsidR="00BE3034">
        <w:rPr>
          <w:rFonts w:ascii="Arial Nova Cond" w:hAnsi="Arial Nova Cond" w:cs="Arial"/>
          <w:sz w:val="24"/>
          <w:szCs w:val="24"/>
        </w:rPr>
        <w:t>.</w:t>
      </w:r>
      <w:r w:rsidR="00546277">
        <w:rPr>
          <w:rFonts w:ascii="Arial Nova Cond" w:hAnsi="Arial Nova Cond" w:cs="Arial"/>
          <w:sz w:val="24"/>
          <w:szCs w:val="24"/>
        </w:rPr>
        <w:t xml:space="preserve"> was appointed on 21 September 2018 and</w:t>
      </w:r>
      <w:r w:rsidR="004457CB">
        <w:rPr>
          <w:rFonts w:ascii="Arial Nova Cond" w:hAnsi="Arial Nova Cond" w:cs="Arial"/>
          <w:sz w:val="24"/>
          <w:szCs w:val="24"/>
        </w:rPr>
        <w:t xml:space="preserve"> remained the respondents’ attorneys of reco</w:t>
      </w:r>
      <w:r w:rsidR="006E25FE">
        <w:rPr>
          <w:rFonts w:ascii="Arial Nova Cond" w:hAnsi="Arial Nova Cond" w:cs="Arial"/>
          <w:sz w:val="24"/>
          <w:szCs w:val="24"/>
        </w:rPr>
        <w:t>rd until the</w:t>
      </w:r>
      <w:r w:rsidR="00B930F6">
        <w:rPr>
          <w:rFonts w:ascii="Arial Nova Cond" w:hAnsi="Arial Nova Cond" w:cs="Arial"/>
          <w:sz w:val="24"/>
          <w:szCs w:val="24"/>
        </w:rPr>
        <w:t xml:space="preserve">ir </w:t>
      </w:r>
      <w:r w:rsidR="006E25FE">
        <w:rPr>
          <w:rFonts w:ascii="Arial Nova Cond" w:hAnsi="Arial Nova Cond" w:cs="Arial"/>
          <w:sz w:val="24"/>
          <w:szCs w:val="24"/>
        </w:rPr>
        <w:t>substitut</w:t>
      </w:r>
      <w:r w:rsidR="00B930F6">
        <w:rPr>
          <w:rFonts w:ascii="Arial Nova Cond" w:hAnsi="Arial Nova Cond" w:cs="Arial"/>
          <w:sz w:val="24"/>
          <w:szCs w:val="24"/>
        </w:rPr>
        <w:t>ion</w:t>
      </w:r>
      <w:r w:rsidR="006E25FE">
        <w:rPr>
          <w:rFonts w:ascii="Arial Nova Cond" w:hAnsi="Arial Nova Cond" w:cs="Arial"/>
          <w:sz w:val="24"/>
          <w:szCs w:val="24"/>
        </w:rPr>
        <w:t xml:space="preserve"> o</w:t>
      </w:r>
      <w:r w:rsidR="004457CB">
        <w:rPr>
          <w:rFonts w:ascii="Arial Nova Cond" w:hAnsi="Arial Nova Cond" w:cs="Arial"/>
          <w:sz w:val="24"/>
          <w:szCs w:val="24"/>
        </w:rPr>
        <w:t xml:space="preserve">n </w:t>
      </w:r>
      <w:r w:rsidR="005066CE">
        <w:rPr>
          <w:rFonts w:ascii="Arial Nova Cond" w:hAnsi="Arial Nova Cond" w:cs="Arial"/>
          <w:sz w:val="24"/>
          <w:szCs w:val="24"/>
        </w:rPr>
        <w:t xml:space="preserve">30 </w:t>
      </w:r>
      <w:r w:rsidR="00BE3034">
        <w:rPr>
          <w:rFonts w:ascii="Arial Nova Cond" w:hAnsi="Arial Nova Cond" w:cs="Arial"/>
          <w:sz w:val="24"/>
          <w:szCs w:val="24"/>
        </w:rPr>
        <w:t>September</w:t>
      </w:r>
      <w:r w:rsidR="004457CB">
        <w:rPr>
          <w:rFonts w:ascii="Arial Nova Cond" w:hAnsi="Arial Nova Cond" w:cs="Arial"/>
          <w:sz w:val="24"/>
          <w:szCs w:val="24"/>
        </w:rPr>
        <w:t xml:space="preserve"> 2019.</w:t>
      </w:r>
      <w:r w:rsidR="00A007D2">
        <w:rPr>
          <w:rFonts w:ascii="Arial Nova Cond" w:hAnsi="Arial Nova Cond" w:cs="Arial"/>
          <w:sz w:val="24"/>
          <w:szCs w:val="24"/>
        </w:rPr>
        <w:t xml:space="preserve"> </w:t>
      </w:r>
      <w:r w:rsidR="000A0C4F">
        <w:rPr>
          <w:rFonts w:ascii="Arial Nova Cond" w:hAnsi="Arial Nova Cond" w:cs="Arial"/>
          <w:sz w:val="24"/>
          <w:szCs w:val="24"/>
        </w:rPr>
        <w:t xml:space="preserve"> </w:t>
      </w:r>
      <w:r w:rsidR="00D925A1">
        <w:rPr>
          <w:rFonts w:ascii="Arial Nova Cond" w:hAnsi="Arial Nova Cond" w:cs="Arial"/>
          <w:sz w:val="24"/>
          <w:szCs w:val="24"/>
        </w:rPr>
        <w:t xml:space="preserve"> </w:t>
      </w:r>
    </w:p>
    <w:p w14:paraId="3926647D" w14:textId="631B1B64" w:rsidR="00034F71" w:rsidRDefault="0086569C"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 xml:space="preserve">[24] </w:t>
      </w:r>
      <w:r w:rsidR="00724AAC">
        <w:rPr>
          <w:rFonts w:ascii="Arial Nova Cond" w:hAnsi="Arial Nova Cond" w:cs="Arial"/>
          <w:sz w:val="24"/>
          <w:szCs w:val="24"/>
        </w:rPr>
        <w:t xml:space="preserve">It follows that the appellant’s claim against the respondents has not prescribed. The court a quo has erred in this regard and the appeal </w:t>
      </w:r>
      <w:r>
        <w:rPr>
          <w:rFonts w:ascii="Arial Nova Cond" w:hAnsi="Arial Nova Cond" w:cs="Arial"/>
          <w:sz w:val="24"/>
          <w:szCs w:val="24"/>
        </w:rPr>
        <w:t xml:space="preserve">ought to succeed. </w:t>
      </w:r>
      <w:r w:rsidR="00034F71">
        <w:rPr>
          <w:rFonts w:ascii="Arial Nova Cond" w:hAnsi="Arial Nova Cond" w:cs="Arial"/>
          <w:sz w:val="24"/>
          <w:szCs w:val="24"/>
        </w:rPr>
        <w:t xml:space="preserve">There is no reason why costs should not follow the </w:t>
      </w:r>
      <w:r w:rsidR="00662301">
        <w:rPr>
          <w:rFonts w:ascii="Arial Nova Cond" w:hAnsi="Arial Nova Cond" w:cs="Arial"/>
          <w:sz w:val="24"/>
          <w:szCs w:val="24"/>
        </w:rPr>
        <w:t>result.</w:t>
      </w:r>
      <w:r w:rsidR="00034F71">
        <w:rPr>
          <w:rFonts w:ascii="Arial Nova Cond" w:hAnsi="Arial Nova Cond" w:cs="Arial"/>
          <w:sz w:val="24"/>
          <w:szCs w:val="24"/>
        </w:rPr>
        <w:t xml:space="preserve"> </w:t>
      </w:r>
    </w:p>
    <w:p w14:paraId="2D0B424D" w14:textId="0A7B5988" w:rsidR="006C2EF8" w:rsidRDefault="0086569C" w:rsidP="004815F5">
      <w:pPr>
        <w:autoSpaceDE w:val="0"/>
        <w:autoSpaceDN w:val="0"/>
        <w:adjustRightInd w:val="0"/>
        <w:spacing w:after="120" w:line="360" w:lineRule="auto"/>
        <w:jc w:val="both"/>
        <w:rPr>
          <w:rFonts w:ascii="Arial Nova Cond" w:hAnsi="Arial Nova Cond" w:cs="Arial"/>
          <w:sz w:val="24"/>
          <w:szCs w:val="24"/>
        </w:rPr>
      </w:pPr>
      <w:r>
        <w:rPr>
          <w:rFonts w:ascii="Arial Nova Cond" w:hAnsi="Arial Nova Cond" w:cs="Arial"/>
          <w:sz w:val="24"/>
          <w:szCs w:val="24"/>
        </w:rPr>
        <w:t xml:space="preserve">Accordingly, the following order is proposed. </w:t>
      </w:r>
    </w:p>
    <w:p w14:paraId="69AA5DAC" w14:textId="77777777" w:rsidR="007754DE" w:rsidRDefault="007754DE" w:rsidP="004815F5">
      <w:pPr>
        <w:autoSpaceDE w:val="0"/>
        <w:autoSpaceDN w:val="0"/>
        <w:adjustRightInd w:val="0"/>
        <w:spacing w:after="120" w:line="360" w:lineRule="auto"/>
        <w:jc w:val="both"/>
        <w:rPr>
          <w:rFonts w:ascii="Arial Nova Cond" w:hAnsi="Arial Nova Cond" w:cs="Arial"/>
          <w:sz w:val="24"/>
          <w:szCs w:val="24"/>
        </w:rPr>
      </w:pPr>
    </w:p>
    <w:p w14:paraId="2354CCD6" w14:textId="25C36D8F" w:rsidR="006C2EF8" w:rsidRDefault="006C2EF8" w:rsidP="004815F5">
      <w:pPr>
        <w:autoSpaceDE w:val="0"/>
        <w:autoSpaceDN w:val="0"/>
        <w:adjustRightInd w:val="0"/>
        <w:spacing w:after="120" w:line="360" w:lineRule="auto"/>
        <w:jc w:val="both"/>
        <w:rPr>
          <w:rFonts w:ascii="Arial Nova Cond" w:hAnsi="Arial Nova Cond" w:cs="Arial"/>
          <w:sz w:val="24"/>
          <w:szCs w:val="24"/>
        </w:rPr>
      </w:pPr>
    </w:p>
    <w:p w14:paraId="4CCAD1B9" w14:textId="2ADDC3B7" w:rsidR="005D5704" w:rsidRDefault="00414190" w:rsidP="00A6687E">
      <w:pPr>
        <w:rPr>
          <w:i/>
          <w:sz w:val="24"/>
          <w:szCs w:val="24"/>
        </w:rPr>
      </w:pPr>
      <w:r>
        <w:rPr>
          <w:i/>
          <w:sz w:val="24"/>
          <w:szCs w:val="24"/>
        </w:rPr>
        <w:t xml:space="preserve"> </w:t>
      </w:r>
      <w:r w:rsidR="005D5704" w:rsidRPr="00A6687E">
        <w:rPr>
          <w:i/>
          <w:sz w:val="24"/>
          <w:szCs w:val="24"/>
        </w:rPr>
        <w:t>ORDER</w:t>
      </w:r>
    </w:p>
    <w:p w14:paraId="6211F2A1" w14:textId="77777777" w:rsidR="00A6687E" w:rsidRPr="00A6687E" w:rsidRDefault="00A6687E" w:rsidP="00A6687E">
      <w:pPr>
        <w:rPr>
          <w:i/>
          <w:sz w:val="24"/>
          <w:szCs w:val="24"/>
        </w:rPr>
      </w:pPr>
    </w:p>
    <w:p w14:paraId="531811B7" w14:textId="6020FB35" w:rsidR="005D5704" w:rsidRPr="000B0DC0" w:rsidRDefault="00355684" w:rsidP="00355684">
      <w:pPr>
        <w:spacing w:line="360" w:lineRule="auto"/>
        <w:jc w:val="both"/>
        <w:rPr>
          <w:rFonts w:ascii="Arial Nova Cond" w:hAnsi="Arial Nova Cond" w:cs="Arial"/>
          <w:sz w:val="24"/>
          <w:szCs w:val="24"/>
        </w:rPr>
      </w:pPr>
      <w:r>
        <w:rPr>
          <w:rFonts w:ascii="Arial" w:hAnsi="Arial" w:cs="Arial"/>
          <w:sz w:val="24"/>
          <w:szCs w:val="24"/>
        </w:rPr>
        <w:t>1.</w:t>
      </w:r>
      <w:r w:rsidR="00AB2C89" w:rsidRPr="000B0DC0">
        <w:rPr>
          <w:rFonts w:ascii="Arial Nova Cond" w:hAnsi="Arial Nova Cond" w:cs="Arial"/>
          <w:sz w:val="24"/>
          <w:szCs w:val="24"/>
        </w:rPr>
        <w:t>T</w:t>
      </w:r>
      <w:r w:rsidR="005D5704" w:rsidRPr="000B0DC0">
        <w:rPr>
          <w:rFonts w:ascii="Arial Nova Cond" w:hAnsi="Arial Nova Cond" w:cs="Arial"/>
          <w:sz w:val="24"/>
          <w:szCs w:val="24"/>
        </w:rPr>
        <w:t>he appeal is upheld</w:t>
      </w:r>
      <w:r w:rsidR="008A102F" w:rsidRPr="000B0DC0">
        <w:rPr>
          <w:rFonts w:ascii="Arial Nova Cond" w:hAnsi="Arial Nova Cond" w:cs="Arial"/>
          <w:sz w:val="24"/>
          <w:szCs w:val="24"/>
        </w:rPr>
        <w:t xml:space="preserve"> with costs.</w:t>
      </w:r>
    </w:p>
    <w:p w14:paraId="347B368D" w14:textId="5F1E5EC1" w:rsidR="00350420" w:rsidRPr="000B0DC0" w:rsidRDefault="00355684" w:rsidP="00355684">
      <w:pPr>
        <w:spacing w:line="360" w:lineRule="auto"/>
        <w:jc w:val="both"/>
        <w:rPr>
          <w:rFonts w:ascii="Arial Nova Cond" w:hAnsi="Arial Nova Cond"/>
          <w:sz w:val="24"/>
          <w:szCs w:val="24"/>
        </w:rPr>
      </w:pPr>
      <w:r w:rsidRPr="000B0DC0">
        <w:rPr>
          <w:rFonts w:ascii="Arial Nova Cond" w:hAnsi="Arial Nova Cond" w:cs="Arial"/>
          <w:sz w:val="24"/>
          <w:szCs w:val="24"/>
        </w:rPr>
        <w:t xml:space="preserve">2. </w:t>
      </w:r>
      <w:r w:rsidR="00350420" w:rsidRPr="000B0DC0">
        <w:rPr>
          <w:rFonts w:ascii="Arial Nova Cond" w:hAnsi="Arial Nova Cond" w:cs="Arial"/>
          <w:sz w:val="24"/>
          <w:szCs w:val="24"/>
        </w:rPr>
        <w:t>The order of the court below is set aside and replaced with the following:</w:t>
      </w:r>
    </w:p>
    <w:p w14:paraId="267712EB" w14:textId="59CD13B4" w:rsidR="00350420" w:rsidRPr="000B0DC0" w:rsidRDefault="003B4789" w:rsidP="003B4789">
      <w:pPr>
        <w:spacing w:line="360" w:lineRule="auto"/>
        <w:jc w:val="both"/>
        <w:rPr>
          <w:rFonts w:ascii="Arial Nova Cond" w:hAnsi="Arial Nova Cond"/>
          <w:sz w:val="24"/>
          <w:szCs w:val="24"/>
        </w:rPr>
      </w:pPr>
      <w:r w:rsidRPr="000B0DC0">
        <w:rPr>
          <w:rFonts w:ascii="Arial Nova Cond" w:hAnsi="Arial Nova Cond" w:cs="Arial"/>
          <w:sz w:val="24"/>
          <w:szCs w:val="24"/>
        </w:rPr>
        <w:t xml:space="preserve">    </w:t>
      </w:r>
      <w:r w:rsidR="00CF12A3" w:rsidRPr="000B0DC0">
        <w:rPr>
          <w:rFonts w:ascii="Arial Nova Cond" w:hAnsi="Arial Nova Cond" w:cs="Arial"/>
          <w:sz w:val="24"/>
          <w:szCs w:val="24"/>
        </w:rPr>
        <w:t>‘The special plea of prescription is dismissed with costs’</w:t>
      </w:r>
    </w:p>
    <w:p w14:paraId="5575D72A" w14:textId="5A85E6C6" w:rsidR="0065390B" w:rsidRPr="00CF12A3" w:rsidRDefault="0065390B" w:rsidP="00CF12A3">
      <w:pPr>
        <w:spacing w:line="360" w:lineRule="auto"/>
        <w:jc w:val="both"/>
        <w:rPr>
          <w:sz w:val="24"/>
          <w:szCs w:val="24"/>
        </w:rPr>
      </w:pPr>
    </w:p>
    <w:p w14:paraId="4332B87E" w14:textId="43F07F0B" w:rsidR="00726931" w:rsidRDefault="003E006A" w:rsidP="003E006A">
      <w:pPr>
        <w:spacing w:after="0"/>
        <w:jc w:val="center"/>
        <w:rPr>
          <w:rFonts w:ascii="Arial" w:hAnsi="Arial" w:cs="Arial"/>
          <w:sz w:val="24"/>
          <w:szCs w:val="24"/>
        </w:rPr>
      </w:pPr>
      <w:r>
        <w:rPr>
          <w:rFonts w:ascii="Arial" w:hAnsi="Arial" w:cs="Arial"/>
          <w:sz w:val="24"/>
          <w:szCs w:val="24"/>
        </w:rPr>
        <w:t xml:space="preserve">                                                                                        </w:t>
      </w:r>
      <w:r w:rsidR="00726931">
        <w:rPr>
          <w:rFonts w:ascii="Arial" w:hAnsi="Arial" w:cs="Arial"/>
          <w:sz w:val="24"/>
          <w:szCs w:val="24"/>
        </w:rPr>
        <w:t xml:space="preserve">                              </w:t>
      </w:r>
    </w:p>
    <w:p w14:paraId="25534668" w14:textId="77777777" w:rsidR="00726931" w:rsidRDefault="00726931" w:rsidP="003E006A">
      <w:pPr>
        <w:spacing w:after="0"/>
        <w:jc w:val="center"/>
        <w:rPr>
          <w:rFonts w:ascii="Arial" w:hAnsi="Arial" w:cs="Arial"/>
          <w:sz w:val="24"/>
          <w:szCs w:val="24"/>
        </w:rPr>
      </w:pPr>
    </w:p>
    <w:p w14:paraId="031925B2" w14:textId="4D9ECCAD" w:rsidR="00EC706E" w:rsidRPr="003E006A" w:rsidRDefault="00726931" w:rsidP="003E006A">
      <w:pPr>
        <w:spacing w:after="0"/>
        <w:jc w:val="center"/>
        <w:rPr>
          <w:rFonts w:ascii="Arial" w:hAnsi="Arial" w:cs="Arial"/>
          <w:sz w:val="24"/>
          <w:szCs w:val="24"/>
          <w:u w:val="single"/>
        </w:rPr>
      </w:pPr>
      <w:r>
        <w:rPr>
          <w:rFonts w:ascii="Arial" w:hAnsi="Arial" w:cs="Arial"/>
          <w:sz w:val="24"/>
          <w:szCs w:val="24"/>
        </w:rPr>
        <w:t xml:space="preserve">                                                                             </w:t>
      </w:r>
      <w:r w:rsidR="006F63DD">
        <w:rPr>
          <w:rFonts w:ascii="Arial" w:hAnsi="Arial" w:cs="Arial"/>
          <w:sz w:val="24"/>
          <w:szCs w:val="24"/>
        </w:rPr>
        <w:t xml:space="preserve">       </w:t>
      </w:r>
      <w:r>
        <w:rPr>
          <w:rFonts w:ascii="Arial" w:hAnsi="Arial" w:cs="Arial"/>
          <w:sz w:val="24"/>
          <w:szCs w:val="24"/>
        </w:rPr>
        <w:t xml:space="preserve"> _________________________</w:t>
      </w:r>
    </w:p>
    <w:p w14:paraId="450DFC3A" w14:textId="516E0C49" w:rsidR="00EC706E" w:rsidRDefault="00B233CE" w:rsidP="00B233CE">
      <w:pPr>
        <w:spacing w:after="0"/>
        <w:jc w:val="center"/>
        <w:rPr>
          <w:rFonts w:ascii="Arial" w:hAnsi="Arial" w:cs="Arial"/>
          <w:sz w:val="24"/>
          <w:szCs w:val="24"/>
        </w:rPr>
      </w:pPr>
      <w:r>
        <w:rPr>
          <w:rFonts w:ascii="Arial" w:hAnsi="Arial" w:cs="Arial"/>
          <w:sz w:val="24"/>
          <w:szCs w:val="24"/>
        </w:rPr>
        <w:t xml:space="preserve">                                                       </w:t>
      </w:r>
      <w:r w:rsidR="00726931">
        <w:rPr>
          <w:rFonts w:ascii="Arial" w:hAnsi="Arial" w:cs="Arial"/>
          <w:sz w:val="24"/>
          <w:szCs w:val="24"/>
        </w:rPr>
        <w:t xml:space="preserve">                </w:t>
      </w:r>
      <w:r w:rsidR="006F63DD">
        <w:rPr>
          <w:rFonts w:ascii="Arial" w:hAnsi="Arial" w:cs="Arial"/>
          <w:sz w:val="24"/>
          <w:szCs w:val="24"/>
        </w:rPr>
        <w:t xml:space="preserve"> </w:t>
      </w:r>
      <w:r w:rsidR="00726931">
        <w:rPr>
          <w:rFonts w:ascii="Arial" w:hAnsi="Arial" w:cs="Arial"/>
          <w:sz w:val="24"/>
          <w:szCs w:val="24"/>
        </w:rPr>
        <w:t xml:space="preserve">        </w:t>
      </w:r>
      <w:r w:rsidR="003E006A">
        <w:rPr>
          <w:rFonts w:ascii="Arial" w:hAnsi="Arial" w:cs="Arial"/>
          <w:sz w:val="24"/>
          <w:szCs w:val="24"/>
        </w:rPr>
        <w:t>M</w:t>
      </w:r>
      <w:r w:rsidR="00374808">
        <w:rPr>
          <w:rFonts w:ascii="Arial" w:hAnsi="Arial" w:cs="Arial"/>
          <w:sz w:val="24"/>
          <w:szCs w:val="24"/>
        </w:rPr>
        <w:t>.</w:t>
      </w:r>
      <w:r w:rsidR="003E006A">
        <w:rPr>
          <w:rFonts w:ascii="Arial" w:hAnsi="Arial" w:cs="Arial"/>
          <w:sz w:val="24"/>
          <w:szCs w:val="24"/>
        </w:rPr>
        <w:t>M</w:t>
      </w:r>
      <w:r w:rsidR="00374808">
        <w:rPr>
          <w:rFonts w:ascii="Arial" w:hAnsi="Arial" w:cs="Arial"/>
          <w:sz w:val="24"/>
          <w:szCs w:val="24"/>
        </w:rPr>
        <w:t>.</w:t>
      </w:r>
      <w:r w:rsidR="003E006A">
        <w:rPr>
          <w:rFonts w:ascii="Arial" w:hAnsi="Arial" w:cs="Arial"/>
          <w:sz w:val="24"/>
          <w:szCs w:val="24"/>
        </w:rPr>
        <w:t>P</w:t>
      </w:r>
      <w:r w:rsidR="00374808">
        <w:rPr>
          <w:rFonts w:ascii="Arial" w:hAnsi="Arial" w:cs="Arial"/>
          <w:sz w:val="24"/>
          <w:szCs w:val="24"/>
        </w:rPr>
        <w:t>.</w:t>
      </w:r>
      <w:r>
        <w:rPr>
          <w:rFonts w:ascii="Arial" w:hAnsi="Arial" w:cs="Arial"/>
          <w:sz w:val="24"/>
          <w:szCs w:val="24"/>
        </w:rPr>
        <w:t xml:space="preserve"> </w:t>
      </w:r>
      <w:r w:rsidR="00101700">
        <w:rPr>
          <w:rFonts w:ascii="Arial" w:hAnsi="Arial" w:cs="Arial"/>
          <w:sz w:val="24"/>
          <w:szCs w:val="24"/>
        </w:rPr>
        <w:t>Mdalana-Mayi</w:t>
      </w:r>
      <w:r w:rsidR="00374808">
        <w:rPr>
          <w:rFonts w:ascii="Arial" w:hAnsi="Arial" w:cs="Arial"/>
          <w:sz w:val="24"/>
          <w:szCs w:val="24"/>
        </w:rPr>
        <w:t xml:space="preserve">sela </w:t>
      </w:r>
      <w:r w:rsidR="00EC706E">
        <w:rPr>
          <w:rFonts w:ascii="Arial" w:hAnsi="Arial" w:cs="Arial"/>
          <w:sz w:val="24"/>
          <w:szCs w:val="24"/>
        </w:rPr>
        <w:t xml:space="preserve"> </w:t>
      </w:r>
    </w:p>
    <w:p w14:paraId="0054BB35" w14:textId="775A5D04" w:rsidR="00B233CE" w:rsidRDefault="00B233CE" w:rsidP="00B233CE">
      <w:pPr>
        <w:spacing w:after="0"/>
        <w:jc w:val="center"/>
        <w:rPr>
          <w:rFonts w:ascii="Arial" w:hAnsi="Arial" w:cs="Arial"/>
          <w:sz w:val="24"/>
          <w:szCs w:val="24"/>
        </w:rPr>
      </w:pPr>
      <w:r>
        <w:rPr>
          <w:rFonts w:ascii="Arial" w:hAnsi="Arial" w:cs="Arial"/>
          <w:sz w:val="24"/>
          <w:szCs w:val="24"/>
        </w:rPr>
        <w:t xml:space="preserve">                                                         </w:t>
      </w:r>
      <w:r w:rsidR="00F74366">
        <w:rPr>
          <w:rFonts w:ascii="Arial" w:hAnsi="Arial" w:cs="Arial"/>
          <w:sz w:val="24"/>
          <w:szCs w:val="24"/>
        </w:rPr>
        <w:t xml:space="preserve">                       </w:t>
      </w:r>
      <w:r>
        <w:rPr>
          <w:rFonts w:ascii="Arial" w:hAnsi="Arial" w:cs="Arial"/>
          <w:sz w:val="24"/>
          <w:szCs w:val="24"/>
        </w:rPr>
        <w:t xml:space="preserve">Judge of the High Court             </w:t>
      </w:r>
    </w:p>
    <w:p w14:paraId="601E3D18" w14:textId="5E6AEE06" w:rsidR="00EC706E" w:rsidRDefault="00B233CE" w:rsidP="00B233CE">
      <w:pPr>
        <w:spacing w:after="0"/>
        <w:jc w:val="center"/>
        <w:rPr>
          <w:rFonts w:ascii="Arial" w:hAnsi="Arial" w:cs="Arial"/>
          <w:sz w:val="24"/>
          <w:szCs w:val="24"/>
        </w:rPr>
      </w:pPr>
      <w:r>
        <w:rPr>
          <w:rFonts w:ascii="Arial" w:hAnsi="Arial" w:cs="Arial"/>
          <w:sz w:val="24"/>
          <w:szCs w:val="24"/>
        </w:rPr>
        <w:t xml:space="preserve">                                                </w:t>
      </w:r>
      <w:r w:rsidR="00911204">
        <w:rPr>
          <w:rFonts w:ascii="Arial" w:hAnsi="Arial" w:cs="Arial"/>
          <w:sz w:val="24"/>
          <w:szCs w:val="24"/>
        </w:rPr>
        <w:t xml:space="preserve">                               </w:t>
      </w:r>
      <w:r w:rsidR="006F63DD">
        <w:rPr>
          <w:rFonts w:ascii="Arial" w:hAnsi="Arial" w:cs="Arial"/>
          <w:sz w:val="24"/>
          <w:szCs w:val="24"/>
        </w:rPr>
        <w:t xml:space="preserve">  </w:t>
      </w:r>
      <w:r>
        <w:rPr>
          <w:rFonts w:ascii="Arial" w:hAnsi="Arial" w:cs="Arial"/>
          <w:sz w:val="24"/>
          <w:szCs w:val="24"/>
        </w:rPr>
        <w:t>Gauteng Division</w:t>
      </w:r>
      <w:r w:rsidR="00F74366">
        <w:rPr>
          <w:rFonts w:ascii="Arial" w:hAnsi="Arial" w:cs="Arial"/>
          <w:sz w:val="24"/>
          <w:szCs w:val="24"/>
        </w:rPr>
        <w:t>, Johannesburg</w:t>
      </w:r>
    </w:p>
    <w:p w14:paraId="174AE1FB" w14:textId="77777777" w:rsidR="00BA7818" w:rsidRDefault="00BA7818" w:rsidP="00BA7818">
      <w:pPr>
        <w:spacing w:after="0"/>
        <w:rPr>
          <w:rFonts w:ascii="Arial" w:hAnsi="Arial" w:cs="Arial"/>
          <w:sz w:val="24"/>
          <w:szCs w:val="24"/>
        </w:rPr>
      </w:pPr>
    </w:p>
    <w:p w14:paraId="03763B64" w14:textId="77777777" w:rsidR="00BD6F7D" w:rsidRDefault="00BD6F7D" w:rsidP="00BA7818">
      <w:pPr>
        <w:spacing w:after="0"/>
        <w:rPr>
          <w:rFonts w:ascii="Arial" w:hAnsi="Arial" w:cs="Arial"/>
          <w:sz w:val="24"/>
          <w:szCs w:val="24"/>
        </w:rPr>
      </w:pPr>
    </w:p>
    <w:p w14:paraId="4421F79F" w14:textId="77777777" w:rsidR="001457D2" w:rsidRDefault="001457D2" w:rsidP="00BA7818">
      <w:pPr>
        <w:spacing w:after="0"/>
        <w:rPr>
          <w:rFonts w:ascii="Arial" w:hAnsi="Arial" w:cs="Arial"/>
          <w:sz w:val="24"/>
          <w:szCs w:val="24"/>
        </w:rPr>
      </w:pPr>
    </w:p>
    <w:p w14:paraId="2EF3ECF1" w14:textId="161F26D8" w:rsidR="00EC706E" w:rsidRDefault="00BA7818" w:rsidP="00BA7818">
      <w:pPr>
        <w:spacing w:after="0"/>
        <w:rPr>
          <w:rFonts w:ascii="Arial" w:hAnsi="Arial" w:cs="Arial"/>
          <w:sz w:val="24"/>
          <w:szCs w:val="24"/>
        </w:rPr>
      </w:pPr>
      <w:r>
        <w:rPr>
          <w:rFonts w:ascii="Arial" w:hAnsi="Arial" w:cs="Arial"/>
          <w:sz w:val="24"/>
          <w:szCs w:val="24"/>
        </w:rPr>
        <w:t>I agree</w:t>
      </w:r>
      <w:r w:rsidR="00911204">
        <w:rPr>
          <w:rFonts w:ascii="Arial" w:hAnsi="Arial" w:cs="Arial"/>
          <w:sz w:val="24"/>
          <w:szCs w:val="24"/>
        </w:rPr>
        <w:t xml:space="preserve"> and it is so ordered</w:t>
      </w:r>
    </w:p>
    <w:p w14:paraId="6798F3C9" w14:textId="77777777" w:rsidR="00BD6F7D" w:rsidRDefault="00BD6F7D" w:rsidP="00EC706E">
      <w:pPr>
        <w:spacing w:after="0"/>
        <w:jc w:val="right"/>
        <w:rPr>
          <w:rFonts w:ascii="Arial" w:hAnsi="Arial" w:cs="Arial"/>
          <w:sz w:val="24"/>
          <w:szCs w:val="24"/>
        </w:rPr>
      </w:pPr>
    </w:p>
    <w:p w14:paraId="42B4AF53" w14:textId="77777777" w:rsidR="00BD6F7D" w:rsidRDefault="00BD6F7D" w:rsidP="00EC706E">
      <w:pPr>
        <w:spacing w:after="0"/>
        <w:jc w:val="right"/>
        <w:rPr>
          <w:rFonts w:ascii="Arial" w:hAnsi="Arial" w:cs="Arial"/>
          <w:sz w:val="24"/>
          <w:szCs w:val="24"/>
        </w:rPr>
      </w:pPr>
    </w:p>
    <w:p w14:paraId="2FEC6D12" w14:textId="77777777" w:rsidR="001457D2" w:rsidRDefault="001457D2" w:rsidP="00EC706E">
      <w:pPr>
        <w:spacing w:after="0"/>
        <w:jc w:val="right"/>
        <w:rPr>
          <w:rFonts w:ascii="Arial" w:hAnsi="Arial" w:cs="Arial"/>
          <w:sz w:val="24"/>
          <w:szCs w:val="24"/>
        </w:rPr>
      </w:pPr>
    </w:p>
    <w:p w14:paraId="44F72708" w14:textId="4D5423C0" w:rsidR="00EC706E" w:rsidRDefault="00DE3024" w:rsidP="00EC706E">
      <w:pPr>
        <w:spacing w:after="0"/>
        <w:jc w:val="right"/>
        <w:rPr>
          <w:rFonts w:ascii="Arial" w:hAnsi="Arial" w:cs="Arial"/>
          <w:sz w:val="24"/>
          <w:szCs w:val="24"/>
        </w:rPr>
      </w:pPr>
      <w:r>
        <w:rPr>
          <w:rFonts w:ascii="Arial" w:hAnsi="Arial" w:cs="Arial"/>
          <w:sz w:val="24"/>
          <w:szCs w:val="24"/>
        </w:rPr>
        <w:t>____</w:t>
      </w:r>
      <w:r w:rsidR="00EC706E">
        <w:rPr>
          <w:rFonts w:ascii="Arial" w:hAnsi="Arial" w:cs="Arial"/>
          <w:sz w:val="24"/>
          <w:szCs w:val="24"/>
        </w:rPr>
        <w:t>____________________</w:t>
      </w:r>
    </w:p>
    <w:p w14:paraId="00483F9B" w14:textId="1174ED33" w:rsidR="00EC706E" w:rsidRDefault="00BF71BD" w:rsidP="00BF71BD">
      <w:pPr>
        <w:spacing w:after="0"/>
        <w:rPr>
          <w:rFonts w:ascii="Arial" w:hAnsi="Arial" w:cs="Arial"/>
          <w:sz w:val="24"/>
          <w:szCs w:val="24"/>
        </w:rPr>
      </w:pPr>
      <w:r>
        <w:rPr>
          <w:rFonts w:ascii="Arial" w:hAnsi="Arial" w:cs="Arial"/>
          <w:sz w:val="24"/>
          <w:szCs w:val="24"/>
        </w:rPr>
        <w:lastRenderedPageBreak/>
        <w:t xml:space="preserve">                                                                                              </w:t>
      </w:r>
      <w:r w:rsidR="00911204">
        <w:rPr>
          <w:rFonts w:ascii="Arial" w:hAnsi="Arial" w:cs="Arial"/>
          <w:sz w:val="24"/>
          <w:szCs w:val="24"/>
        </w:rPr>
        <w:t xml:space="preserve"> </w:t>
      </w:r>
      <w:r w:rsidR="00346C10">
        <w:rPr>
          <w:rFonts w:ascii="Arial" w:hAnsi="Arial" w:cs="Arial"/>
          <w:sz w:val="24"/>
          <w:szCs w:val="24"/>
        </w:rPr>
        <w:t xml:space="preserve">      </w:t>
      </w:r>
      <w:r w:rsidR="00374808">
        <w:rPr>
          <w:rFonts w:ascii="Arial" w:hAnsi="Arial" w:cs="Arial"/>
          <w:sz w:val="24"/>
          <w:szCs w:val="24"/>
        </w:rPr>
        <w:t>W.L.</w:t>
      </w:r>
      <w:r w:rsidR="00346C10">
        <w:rPr>
          <w:rFonts w:ascii="Arial" w:hAnsi="Arial" w:cs="Arial"/>
          <w:sz w:val="24"/>
          <w:szCs w:val="24"/>
        </w:rPr>
        <w:t xml:space="preserve"> </w:t>
      </w:r>
      <w:r w:rsidR="00911204">
        <w:rPr>
          <w:rFonts w:ascii="Arial" w:hAnsi="Arial" w:cs="Arial"/>
          <w:sz w:val="24"/>
          <w:szCs w:val="24"/>
        </w:rPr>
        <w:t>Wepener</w:t>
      </w:r>
      <w:r w:rsidR="00374808">
        <w:rPr>
          <w:rFonts w:ascii="Arial" w:hAnsi="Arial" w:cs="Arial"/>
          <w:sz w:val="24"/>
          <w:szCs w:val="24"/>
        </w:rPr>
        <w:t xml:space="preserve"> </w:t>
      </w:r>
    </w:p>
    <w:p w14:paraId="2FA12554" w14:textId="5D262622" w:rsidR="00CF1468" w:rsidRDefault="00BF71BD" w:rsidP="00BF71BD">
      <w:pPr>
        <w:spacing w:after="0"/>
        <w:jc w:val="center"/>
        <w:rPr>
          <w:rFonts w:ascii="Arial" w:hAnsi="Arial" w:cs="Arial"/>
          <w:sz w:val="24"/>
          <w:szCs w:val="24"/>
        </w:rPr>
      </w:pPr>
      <w:r>
        <w:rPr>
          <w:rFonts w:ascii="Arial" w:hAnsi="Arial" w:cs="Arial"/>
          <w:sz w:val="24"/>
          <w:szCs w:val="24"/>
        </w:rPr>
        <w:t xml:space="preserve">                                                             </w:t>
      </w:r>
      <w:r w:rsidR="00F74366">
        <w:rPr>
          <w:rFonts w:ascii="Arial" w:hAnsi="Arial" w:cs="Arial"/>
          <w:sz w:val="24"/>
          <w:szCs w:val="24"/>
        </w:rPr>
        <w:t xml:space="preserve">                           </w:t>
      </w:r>
      <w:r>
        <w:rPr>
          <w:rFonts w:ascii="Arial" w:hAnsi="Arial" w:cs="Arial"/>
          <w:sz w:val="24"/>
          <w:szCs w:val="24"/>
        </w:rPr>
        <w:t xml:space="preserve">Judge of the High Court </w:t>
      </w:r>
    </w:p>
    <w:p w14:paraId="333C6CD1" w14:textId="348AF642" w:rsidR="00CF1468" w:rsidRDefault="00BF71BD" w:rsidP="00BF71BD">
      <w:pPr>
        <w:spacing w:after="0"/>
        <w:jc w:val="center"/>
        <w:rPr>
          <w:rFonts w:ascii="Arial" w:hAnsi="Arial" w:cs="Arial"/>
          <w:sz w:val="24"/>
          <w:szCs w:val="24"/>
        </w:rPr>
      </w:pPr>
      <w:r>
        <w:rPr>
          <w:rFonts w:ascii="Arial" w:hAnsi="Arial" w:cs="Arial"/>
          <w:sz w:val="24"/>
          <w:szCs w:val="24"/>
        </w:rPr>
        <w:t xml:space="preserve">                                                                                  </w:t>
      </w:r>
      <w:r w:rsidR="00346C10">
        <w:rPr>
          <w:rFonts w:ascii="Arial" w:hAnsi="Arial" w:cs="Arial"/>
          <w:sz w:val="24"/>
          <w:szCs w:val="24"/>
        </w:rPr>
        <w:t xml:space="preserve"> </w:t>
      </w:r>
      <w:r>
        <w:rPr>
          <w:rFonts w:ascii="Arial" w:hAnsi="Arial" w:cs="Arial"/>
          <w:sz w:val="24"/>
          <w:szCs w:val="24"/>
        </w:rPr>
        <w:t>Gauteng Division</w:t>
      </w:r>
      <w:r w:rsidR="00F74366">
        <w:rPr>
          <w:rFonts w:ascii="Arial" w:hAnsi="Arial" w:cs="Arial"/>
          <w:sz w:val="24"/>
          <w:szCs w:val="24"/>
        </w:rPr>
        <w:t>, Johannesburg</w:t>
      </w:r>
    </w:p>
    <w:p w14:paraId="0F2CC673" w14:textId="43C5DBFB" w:rsidR="00CF1468" w:rsidRDefault="00CF1468" w:rsidP="00EC706E">
      <w:pPr>
        <w:spacing w:after="0"/>
        <w:jc w:val="right"/>
        <w:rPr>
          <w:rFonts w:ascii="Arial" w:hAnsi="Arial" w:cs="Arial"/>
          <w:sz w:val="24"/>
          <w:szCs w:val="24"/>
        </w:rPr>
      </w:pPr>
    </w:p>
    <w:p w14:paraId="06640FEF" w14:textId="6E5D0FB6" w:rsidR="00EC706E" w:rsidRDefault="00EC706E" w:rsidP="00430F0E">
      <w:pPr>
        <w:spacing w:after="0"/>
        <w:rPr>
          <w:rFonts w:ascii="Arial" w:hAnsi="Arial" w:cs="Arial"/>
          <w:sz w:val="24"/>
          <w:szCs w:val="24"/>
        </w:rPr>
      </w:pPr>
    </w:p>
    <w:p w14:paraId="41CB2F7A" w14:textId="0E9BA46D" w:rsidR="00EC706E" w:rsidRDefault="00430F0E" w:rsidP="00430F0E">
      <w:pPr>
        <w:spacing w:after="0"/>
        <w:rPr>
          <w:rFonts w:ascii="Arial" w:hAnsi="Arial" w:cs="Arial"/>
          <w:sz w:val="24"/>
          <w:szCs w:val="24"/>
        </w:rPr>
      </w:pPr>
      <w:r>
        <w:rPr>
          <w:rFonts w:ascii="Arial" w:hAnsi="Arial" w:cs="Arial"/>
          <w:sz w:val="24"/>
          <w:szCs w:val="24"/>
        </w:rPr>
        <w:t>I agree</w:t>
      </w:r>
    </w:p>
    <w:p w14:paraId="6AD150D0" w14:textId="77777777" w:rsidR="001457D2" w:rsidRDefault="00B8050B" w:rsidP="00B8050B">
      <w:pPr>
        <w:spacing w:after="0"/>
        <w:jc w:val="center"/>
        <w:rPr>
          <w:rFonts w:ascii="Arial" w:hAnsi="Arial" w:cs="Arial"/>
          <w:sz w:val="24"/>
          <w:szCs w:val="24"/>
        </w:rPr>
      </w:pPr>
      <w:r>
        <w:rPr>
          <w:rFonts w:ascii="Arial" w:hAnsi="Arial" w:cs="Arial"/>
          <w:sz w:val="24"/>
          <w:szCs w:val="24"/>
        </w:rPr>
        <w:t xml:space="preserve">                                                             </w:t>
      </w:r>
      <w:r w:rsidR="00DE3024">
        <w:rPr>
          <w:rFonts w:ascii="Arial" w:hAnsi="Arial" w:cs="Arial"/>
          <w:sz w:val="24"/>
          <w:szCs w:val="24"/>
        </w:rPr>
        <w:t xml:space="preserve">                       </w:t>
      </w:r>
    </w:p>
    <w:p w14:paraId="4D70112C" w14:textId="6013E965" w:rsidR="00EC706E" w:rsidRDefault="001457D2" w:rsidP="00B8050B">
      <w:pPr>
        <w:spacing w:after="0"/>
        <w:jc w:val="center"/>
        <w:rPr>
          <w:rFonts w:ascii="Arial" w:hAnsi="Arial" w:cs="Arial"/>
          <w:sz w:val="24"/>
          <w:szCs w:val="24"/>
        </w:rPr>
      </w:pPr>
      <w:r>
        <w:rPr>
          <w:rFonts w:ascii="Arial" w:hAnsi="Arial" w:cs="Arial"/>
          <w:sz w:val="24"/>
          <w:szCs w:val="24"/>
        </w:rPr>
        <w:t xml:space="preserve">                                                                                   </w:t>
      </w:r>
      <w:r w:rsidR="00DE3024">
        <w:rPr>
          <w:rFonts w:ascii="Arial" w:hAnsi="Arial" w:cs="Arial"/>
          <w:sz w:val="24"/>
          <w:szCs w:val="24"/>
        </w:rPr>
        <w:t xml:space="preserve">  ___</w:t>
      </w:r>
      <w:r w:rsidR="00EC706E">
        <w:rPr>
          <w:rFonts w:ascii="Arial" w:hAnsi="Arial" w:cs="Arial"/>
          <w:sz w:val="24"/>
          <w:szCs w:val="24"/>
        </w:rPr>
        <w:t>___________________</w:t>
      </w:r>
      <w:r w:rsidR="00B8050B">
        <w:rPr>
          <w:rFonts w:ascii="Arial" w:hAnsi="Arial" w:cs="Arial"/>
          <w:sz w:val="24"/>
          <w:szCs w:val="24"/>
        </w:rPr>
        <w:t>_</w:t>
      </w:r>
    </w:p>
    <w:p w14:paraId="16D67E1F" w14:textId="4252EF4A" w:rsidR="00EC706E" w:rsidRDefault="00B8050B" w:rsidP="00B8050B">
      <w:pPr>
        <w:spacing w:after="0"/>
        <w:jc w:val="center"/>
        <w:rPr>
          <w:rFonts w:ascii="Arial" w:hAnsi="Arial" w:cs="Arial"/>
          <w:sz w:val="24"/>
          <w:szCs w:val="24"/>
        </w:rPr>
      </w:pPr>
      <w:r>
        <w:rPr>
          <w:rFonts w:ascii="Arial" w:hAnsi="Arial" w:cs="Arial"/>
          <w:sz w:val="24"/>
          <w:szCs w:val="24"/>
        </w:rPr>
        <w:t xml:space="preserve">                                                      </w:t>
      </w:r>
      <w:r w:rsidR="00346C10">
        <w:rPr>
          <w:rFonts w:ascii="Arial" w:hAnsi="Arial" w:cs="Arial"/>
          <w:sz w:val="24"/>
          <w:szCs w:val="24"/>
        </w:rPr>
        <w:t xml:space="preserve">                           </w:t>
      </w:r>
      <w:r w:rsidR="00F74366">
        <w:rPr>
          <w:rFonts w:ascii="Arial" w:hAnsi="Arial" w:cs="Arial"/>
          <w:sz w:val="24"/>
          <w:szCs w:val="24"/>
        </w:rPr>
        <w:t xml:space="preserve">J </w:t>
      </w:r>
      <w:r w:rsidR="003A763D">
        <w:rPr>
          <w:rFonts w:ascii="Arial" w:hAnsi="Arial" w:cs="Arial"/>
          <w:sz w:val="24"/>
          <w:szCs w:val="24"/>
        </w:rPr>
        <w:t>Dlamini</w:t>
      </w:r>
      <w:r w:rsidR="00EC706E">
        <w:rPr>
          <w:rFonts w:ascii="Arial" w:hAnsi="Arial" w:cs="Arial"/>
          <w:sz w:val="24"/>
          <w:szCs w:val="24"/>
        </w:rPr>
        <w:t xml:space="preserve"> </w:t>
      </w:r>
    </w:p>
    <w:p w14:paraId="3E1F3FF4" w14:textId="2091B4E5" w:rsidR="00CF1468" w:rsidRDefault="00C57FAB" w:rsidP="00C57FAB">
      <w:pPr>
        <w:spacing w:after="0"/>
        <w:jc w:val="center"/>
        <w:rPr>
          <w:rFonts w:ascii="Arial" w:hAnsi="Arial" w:cs="Arial"/>
          <w:sz w:val="24"/>
          <w:szCs w:val="24"/>
        </w:rPr>
      </w:pPr>
      <w:r>
        <w:rPr>
          <w:rFonts w:ascii="Arial" w:hAnsi="Arial" w:cs="Arial"/>
          <w:sz w:val="24"/>
          <w:szCs w:val="24"/>
        </w:rPr>
        <w:t xml:space="preserve">                                                             </w:t>
      </w:r>
      <w:r w:rsidR="00F74366">
        <w:rPr>
          <w:rFonts w:ascii="Arial" w:hAnsi="Arial" w:cs="Arial"/>
          <w:sz w:val="24"/>
          <w:szCs w:val="24"/>
        </w:rPr>
        <w:t xml:space="preserve">                         </w:t>
      </w:r>
      <w:r>
        <w:rPr>
          <w:rFonts w:ascii="Arial" w:hAnsi="Arial" w:cs="Arial"/>
          <w:sz w:val="24"/>
          <w:szCs w:val="24"/>
        </w:rPr>
        <w:t>Judge of the High Court</w:t>
      </w:r>
    </w:p>
    <w:p w14:paraId="1CE134FE" w14:textId="3A109976" w:rsidR="00C57FAB" w:rsidRDefault="00C57FAB" w:rsidP="00C57FAB">
      <w:pPr>
        <w:spacing w:after="0"/>
        <w:jc w:val="center"/>
        <w:rPr>
          <w:rFonts w:ascii="Arial" w:hAnsi="Arial" w:cs="Arial"/>
          <w:sz w:val="24"/>
          <w:szCs w:val="24"/>
        </w:rPr>
      </w:pPr>
      <w:r>
        <w:rPr>
          <w:rFonts w:ascii="Arial" w:hAnsi="Arial" w:cs="Arial"/>
          <w:sz w:val="24"/>
          <w:szCs w:val="24"/>
        </w:rPr>
        <w:t xml:space="preserve">                                                                                   Gauteng Division</w:t>
      </w:r>
      <w:r w:rsidR="00F74366">
        <w:rPr>
          <w:rFonts w:ascii="Arial" w:hAnsi="Arial" w:cs="Arial"/>
          <w:sz w:val="24"/>
          <w:szCs w:val="24"/>
        </w:rPr>
        <w:t>, Johannesburg</w:t>
      </w:r>
    </w:p>
    <w:p w14:paraId="29DC17F0" w14:textId="77777777" w:rsidR="00DC761E" w:rsidRDefault="00DC761E" w:rsidP="00C57FAB">
      <w:pPr>
        <w:spacing w:after="0"/>
        <w:jc w:val="center"/>
        <w:rPr>
          <w:rFonts w:ascii="Arial" w:hAnsi="Arial" w:cs="Arial"/>
          <w:sz w:val="24"/>
          <w:szCs w:val="24"/>
        </w:rPr>
      </w:pPr>
    </w:p>
    <w:p w14:paraId="6AAA0A93" w14:textId="029D9012" w:rsidR="00024B20" w:rsidRDefault="00024B20" w:rsidP="00EC706E">
      <w:pPr>
        <w:spacing w:after="0"/>
        <w:jc w:val="right"/>
        <w:rPr>
          <w:rFonts w:ascii="Arial" w:hAnsi="Arial" w:cs="Arial"/>
          <w:sz w:val="24"/>
          <w:szCs w:val="24"/>
        </w:rPr>
      </w:pPr>
    </w:p>
    <w:p w14:paraId="71ACA587" w14:textId="6EF2F55B" w:rsidR="00C57FAB" w:rsidRDefault="00C57FAB" w:rsidP="00EC706E">
      <w:pPr>
        <w:spacing w:after="0"/>
        <w:jc w:val="right"/>
        <w:rPr>
          <w:rFonts w:ascii="Arial" w:hAnsi="Arial" w:cs="Arial"/>
          <w:sz w:val="24"/>
          <w:szCs w:val="24"/>
        </w:rPr>
      </w:pPr>
    </w:p>
    <w:p w14:paraId="353BB3F3" w14:textId="361A2853" w:rsidR="00F74366" w:rsidRDefault="002446CE" w:rsidP="00F74366">
      <w:pPr>
        <w:jc w:val="both"/>
        <w:rPr>
          <w:szCs w:val="24"/>
        </w:rPr>
      </w:pPr>
      <w:r>
        <w:rPr>
          <w:rFonts w:ascii="Arial" w:hAnsi="Arial" w:cs="Arial"/>
          <w:sz w:val="24"/>
          <w:szCs w:val="24"/>
        </w:rPr>
        <w:t>(</w:t>
      </w:r>
      <w:r w:rsidR="00F74366">
        <w:rPr>
          <w:szCs w:val="24"/>
        </w:rPr>
        <w:t>This judgment</w:t>
      </w:r>
      <w:r w:rsidR="00F74366" w:rsidRPr="0045740D">
        <w:rPr>
          <w:szCs w:val="24"/>
        </w:rPr>
        <w:t xml:space="preserve"> is made an Order of Court by the Judge</w:t>
      </w:r>
      <w:r w:rsidR="00F74366">
        <w:rPr>
          <w:szCs w:val="24"/>
        </w:rPr>
        <w:t>s</w:t>
      </w:r>
      <w:r w:rsidR="00F74366" w:rsidRPr="0045740D">
        <w:rPr>
          <w:szCs w:val="24"/>
        </w:rPr>
        <w:t xml:space="preserve"> whose name</w:t>
      </w:r>
      <w:r w:rsidR="00F74366">
        <w:rPr>
          <w:szCs w:val="24"/>
        </w:rPr>
        <w:t>s are</w:t>
      </w:r>
      <w:r w:rsidR="00F74366" w:rsidRPr="0045740D">
        <w:rPr>
          <w:szCs w:val="24"/>
        </w:rPr>
        <w:t xml:space="preserve"> reflected herein, duly stamped by the Registrar of the Court and is submitted electronically to the Parties/their legal repr</w:t>
      </w:r>
      <w:r w:rsidR="00F74366">
        <w:rPr>
          <w:szCs w:val="24"/>
        </w:rPr>
        <w:t>esentatives by email.  The judgment</w:t>
      </w:r>
      <w:r w:rsidR="00F74366" w:rsidRPr="0045740D">
        <w:rPr>
          <w:szCs w:val="24"/>
        </w:rPr>
        <w:t xml:space="preserve"> is further uploaded to the electronic file of this matter on Caselines by the Judge</w:t>
      </w:r>
      <w:r w:rsidR="00F74366">
        <w:rPr>
          <w:szCs w:val="24"/>
        </w:rPr>
        <w:t xml:space="preserve">’s </w:t>
      </w:r>
      <w:r w:rsidR="00F74366" w:rsidRPr="0045740D">
        <w:rPr>
          <w:szCs w:val="24"/>
        </w:rPr>
        <w:t xml:space="preserve">secretary.  The date of this Order is deemed to </w:t>
      </w:r>
      <w:r w:rsidR="000078BF">
        <w:rPr>
          <w:szCs w:val="24"/>
        </w:rPr>
        <w:t>be 7</w:t>
      </w:r>
      <w:r w:rsidR="00F74366">
        <w:rPr>
          <w:szCs w:val="24"/>
        </w:rPr>
        <w:t xml:space="preserve"> June 2023</w:t>
      </w:r>
      <w:r w:rsidR="00C27D68">
        <w:rPr>
          <w:szCs w:val="24"/>
        </w:rPr>
        <w:t>.</w:t>
      </w:r>
      <w:r w:rsidR="00F74366">
        <w:rPr>
          <w:szCs w:val="24"/>
        </w:rPr>
        <w:t>)</w:t>
      </w:r>
    </w:p>
    <w:p w14:paraId="7201EBCD" w14:textId="3BDD7E52" w:rsidR="00AC4B0F" w:rsidRDefault="00F74366" w:rsidP="00F74366">
      <w:pPr>
        <w:rPr>
          <w:rFonts w:ascii="Arial" w:hAnsi="Arial" w:cs="Arial"/>
          <w:sz w:val="24"/>
          <w:szCs w:val="24"/>
        </w:rPr>
      </w:pPr>
      <w:r>
        <w:rPr>
          <w:rFonts w:ascii="Arial" w:hAnsi="Arial" w:cs="Arial"/>
          <w:sz w:val="24"/>
          <w:szCs w:val="24"/>
        </w:rPr>
        <w:t xml:space="preserve"> </w:t>
      </w:r>
    </w:p>
    <w:p w14:paraId="2B4288AE" w14:textId="32824E4F" w:rsidR="00024B20" w:rsidRDefault="00024B20" w:rsidP="00EC706E">
      <w:pPr>
        <w:spacing w:after="0"/>
        <w:jc w:val="right"/>
        <w:rPr>
          <w:rFonts w:ascii="Arial" w:hAnsi="Arial" w:cs="Arial"/>
          <w:sz w:val="24"/>
          <w:szCs w:val="24"/>
        </w:rPr>
      </w:pPr>
    </w:p>
    <w:p w14:paraId="4C02F109" w14:textId="4A8F83DC" w:rsidR="00024B20" w:rsidRDefault="00024B20" w:rsidP="00622438">
      <w:pPr>
        <w:spacing w:after="0"/>
        <w:rPr>
          <w:rFonts w:ascii="Arial" w:hAnsi="Arial" w:cs="Arial"/>
          <w:sz w:val="24"/>
          <w:szCs w:val="24"/>
        </w:rPr>
      </w:pPr>
      <w:r>
        <w:rPr>
          <w:rFonts w:ascii="Arial" w:hAnsi="Arial" w:cs="Arial"/>
          <w:sz w:val="24"/>
          <w:szCs w:val="24"/>
        </w:rPr>
        <w:t>Appearances:</w:t>
      </w:r>
    </w:p>
    <w:p w14:paraId="7EC26529" w14:textId="02AFD8B9" w:rsidR="00024B20" w:rsidRDefault="00024B20" w:rsidP="00EC706E">
      <w:pPr>
        <w:spacing w:after="0"/>
        <w:jc w:val="right"/>
        <w:rPr>
          <w:rFonts w:ascii="Arial" w:hAnsi="Arial" w:cs="Arial"/>
          <w:sz w:val="24"/>
          <w:szCs w:val="24"/>
        </w:rPr>
      </w:pPr>
    </w:p>
    <w:p w14:paraId="2F19EA61" w14:textId="66C0226A" w:rsidR="00024B20" w:rsidRDefault="00024B20" w:rsidP="00622438">
      <w:pPr>
        <w:spacing w:after="0"/>
        <w:rPr>
          <w:rFonts w:ascii="Arial" w:hAnsi="Arial" w:cs="Arial"/>
          <w:sz w:val="24"/>
          <w:szCs w:val="24"/>
        </w:rPr>
      </w:pPr>
      <w:r>
        <w:rPr>
          <w:rFonts w:ascii="Arial" w:hAnsi="Arial" w:cs="Arial"/>
          <w:sz w:val="24"/>
          <w:szCs w:val="24"/>
        </w:rPr>
        <w:t>On b</w:t>
      </w:r>
      <w:r w:rsidR="002355EB">
        <w:rPr>
          <w:rFonts w:ascii="Arial" w:hAnsi="Arial" w:cs="Arial"/>
          <w:sz w:val="24"/>
          <w:szCs w:val="24"/>
        </w:rPr>
        <w:t>ehalf of the A</w:t>
      </w:r>
      <w:r w:rsidR="00F17B89">
        <w:rPr>
          <w:rFonts w:ascii="Arial" w:hAnsi="Arial" w:cs="Arial"/>
          <w:sz w:val="24"/>
          <w:szCs w:val="24"/>
        </w:rPr>
        <w:t>p</w:t>
      </w:r>
      <w:r w:rsidR="002355EB">
        <w:rPr>
          <w:rFonts w:ascii="Arial" w:hAnsi="Arial" w:cs="Arial"/>
          <w:sz w:val="24"/>
          <w:szCs w:val="24"/>
        </w:rPr>
        <w:t xml:space="preserve">pellant:  </w:t>
      </w:r>
      <w:r w:rsidR="00F17B89">
        <w:rPr>
          <w:rFonts w:ascii="Arial" w:hAnsi="Arial" w:cs="Arial"/>
          <w:sz w:val="24"/>
          <w:szCs w:val="24"/>
        </w:rPr>
        <w:t xml:space="preserve">       </w:t>
      </w:r>
      <w:r w:rsidR="002355EB">
        <w:rPr>
          <w:rFonts w:ascii="Arial" w:hAnsi="Arial" w:cs="Arial"/>
          <w:sz w:val="24"/>
          <w:szCs w:val="24"/>
        </w:rPr>
        <w:t xml:space="preserve">Adv </w:t>
      </w:r>
      <w:r w:rsidR="00A23D98">
        <w:rPr>
          <w:rFonts w:ascii="Arial" w:hAnsi="Arial" w:cs="Arial"/>
          <w:sz w:val="24"/>
          <w:szCs w:val="24"/>
        </w:rPr>
        <w:t>T Mathopo</w:t>
      </w:r>
    </w:p>
    <w:p w14:paraId="221207FE" w14:textId="77777777" w:rsidR="00F17B89" w:rsidRDefault="00F17B89" w:rsidP="00622438">
      <w:pPr>
        <w:spacing w:after="0"/>
        <w:rPr>
          <w:rFonts w:ascii="Arial" w:hAnsi="Arial" w:cs="Arial"/>
          <w:sz w:val="24"/>
          <w:szCs w:val="24"/>
        </w:rPr>
      </w:pPr>
    </w:p>
    <w:p w14:paraId="1EBDE723" w14:textId="700F5EC5" w:rsidR="00024B20" w:rsidRDefault="00024B20" w:rsidP="00622438">
      <w:pPr>
        <w:spacing w:after="0"/>
        <w:rPr>
          <w:rFonts w:ascii="Arial" w:hAnsi="Arial" w:cs="Arial"/>
          <w:sz w:val="24"/>
          <w:szCs w:val="24"/>
        </w:rPr>
      </w:pPr>
      <w:r>
        <w:rPr>
          <w:rFonts w:ascii="Arial" w:hAnsi="Arial" w:cs="Arial"/>
          <w:sz w:val="24"/>
          <w:szCs w:val="24"/>
        </w:rPr>
        <w:t>Instructed by:</w:t>
      </w:r>
      <w:r w:rsidR="00F17B89">
        <w:rPr>
          <w:rFonts w:ascii="Arial" w:hAnsi="Arial" w:cs="Arial"/>
          <w:sz w:val="24"/>
          <w:szCs w:val="24"/>
        </w:rPr>
        <w:t xml:space="preserve">                         </w:t>
      </w:r>
      <w:r>
        <w:rPr>
          <w:rFonts w:ascii="Arial" w:hAnsi="Arial" w:cs="Arial"/>
          <w:sz w:val="24"/>
          <w:szCs w:val="24"/>
        </w:rPr>
        <w:t xml:space="preserve"> </w:t>
      </w:r>
      <w:r w:rsidR="00F17B89">
        <w:rPr>
          <w:rFonts w:ascii="Arial" w:hAnsi="Arial" w:cs="Arial"/>
          <w:sz w:val="24"/>
          <w:szCs w:val="24"/>
        </w:rPr>
        <w:t xml:space="preserve">   </w:t>
      </w:r>
      <w:r w:rsidR="00A23D98">
        <w:rPr>
          <w:rFonts w:ascii="Arial" w:hAnsi="Arial" w:cs="Arial"/>
          <w:sz w:val="24"/>
          <w:szCs w:val="24"/>
        </w:rPr>
        <w:t xml:space="preserve">  N. T Mdlalose</w:t>
      </w:r>
      <w:r w:rsidR="00EB49BB">
        <w:rPr>
          <w:rFonts w:ascii="Arial" w:hAnsi="Arial" w:cs="Arial"/>
          <w:sz w:val="24"/>
          <w:szCs w:val="24"/>
        </w:rPr>
        <w:t xml:space="preserve"> Attorneys</w:t>
      </w:r>
      <w:r w:rsidR="00F17B89">
        <w:rPr>
          <w:rFonts w:ascii="Arial" w:hAnsi="Arial" w:cs="Arial"/>
          <w:sz w:val="24"/>
          <w:szCs w:val="24"/>
        </w:rPr>
        <w:t xml:space="preserve"> </w:t>
      </w:r>
    </w:p>
    <w:p w14:paraId="3D156035" w14:textId="7818AE29" w:rsidR="00CF1468" w:rsidRDefault="00CF1468" w:rsidP="00EC706E">
      <w:pPr>
        <w:spacing w:after="0"/>
        <w:jc w:val="right"/>
        <w:rPr>
          <w:rFonts w:ascii="Arial" w:hAnsi="Arial" w:cs="Arial"/>
          <w:sz w:val="24"/>
          <w:szCs w:val="24"/>
        </w:rPr>
      </w:pPr>
    </w:p>
    <w:p w14:paraId="65DE6416" w14:textId="1CE8A1FF" w:rsidR="00CF1468" w:rsidRDefault="00CF1468" w:rsidP="00622438">
      <w:pPr>
        <w:spacing w:after="0"/>
        <w:rPr>
          <w:rFonts w:ascii="Arial" w:hAnsi="Arial" w:cs="Arial"/>
          <w:sz w:val="24"/>
          <w:szCs w:val="24"/>
        </w:rPr>
      </w:pPr>
      <w:r>
        <w:rPr>
          <w:rFonts w:ascii="Arial" w:hAnsi="Arial" w:cs="Arial"/>
          <w:sz w:val="24"/>
          <w:szCs w:val="24"/>
        </w:rPr>
        <w:t>On behalf of the Respondent</w:t>
      </w:r>
      <w:r w:rsidR="00A23D98">
        <w:rPr>
          <w:rFonts w:ascii="Arial" w:hAnsi="Arial" w:cs="Arial"/>
          <w:sz w:val="24"/>
          <w:szCs w:val="24"/>
        </w:rPr>
        <w:t>s</w:t>
      </w:r>
      <w:r>
        <w:rPr>
          <w:rFonts w:ascii="Arial" w:hAnsi="Arial" w:cs="Arial"/>
          <w:sz w:val="24"/>
          <w:szCs w:val="24"/>
        </w:rPr>
        <w:t xml:space="preserve">: </w:t>
      </w:r>
      <w:r w:rsidR="00F17B89">
        <w:rPr>
          <w:rFonts w:ascii="Arial" w:hAnsi="Arial" w:cs="Arial"/>
          <w:sz w:val="24"/>
          <w:szCs w:val="24"/>
        </w:rPr>
        <w:t xml:space="preserve">   </w:t>
      </w:r>
      <w:r>
        <w:rPr>
          <w:rFonts w:ascii="Arial" w:hAnsi="Arial" w:cs="Arial"/>
          <w:sz w:val="24"/>
          <w:szCs w:val="24"/>
        </w:rPr>
        <w:t xml:space="preserve">Adv </w:t>
      </w:r>
      <w:r w:rsidR="00A23D98">
        <w:rPr>
          <w:rFonts w:ascii="Arial" w:hAnsi="Arial" w:cs="Arial"/>
          <w:sz w:val="24"/>
          <w:szCs w:val="24"/>
        </w:rPr>
        <w:t>L Choate</w:t>
      </w:r>
    </w:p>
    <w:p w14:paraId="023A03CB" w14:textId="77777777" w:rsidR="00F17B89" w:rsidRDefault="00F17B89" w:rsidP="00622438">
      <w:pPr>
        <w:spacing w:after="0"/>
        <w:rPr>
          <w:rFonts w:ascii="Arial" w:hAnsi="Arial" w:cs="Arial"/>
          <w:sz w:val="24"/>
          <w:szCs w:val="24"/>
        </w:rPr>
      </w:pPr>
    </w:p>
    <w:p w14:paraId="5B6C839F" w14:textId="4CECA70D" w:rsidR="00CF1468" w:rsidRPr="00EC706E" w:rsidRDefault="00CF1468" w:rsidP="00622438">
      <w:pPr>
        <w:spacing w:after="0"/>
        <w:rPr>
          <w:rFonts w:ascii="Arial" w:hAnsi="Arial" w:cs="Arial"/>
          <w:sz w:val="24"/>
          <w:szCs w:val="24"/>
        </w:rPr>
      </w:pPr>
      <w:r>
        <w:rPr>
          <w:rFonts w:ascii="Arial" w:hAnsi="Arial" w:cs="Arial"/>
          <w:sz w:val="24"/>
          <w:szCs w:val="24"/>
        </w:rPr>
        <w:t xml:space="preserve">Instructed by: </w:t>
      </w:r>
      <w:r w:rsidR="00F17B89">
        <w:rPr>
          <w:rFonts w:ascii="Arial" w:hAnsi="Arial" w:cs="Arial"/>
          <w:sz w:val="24"/>
          <w:szCs w:val="24"/>
        </w:rPr>
        <w:t xml:space="preserve">                            </w:t>
      </w:r>
      <w:r w:rsidR="004D66F7">
        <w:rPr>
          <w:rFonts w:ascii="Arial" w:hAnsi="Arial" w:cs="Arial"/>
          <w:sz w:val="24"/>
          <w:szCs w:val="24"/>
        </w:rPr>
        <w:t xml:space="preserve"> </w:t>
      </w:r>
      <w:r w:rsidR="00230FF6">
        <w:rPr>
          <w:rFonts w:ascii="Arial" w:hAnsi="Arial" w:cs="Arial"/>
          <w:sz w:val="24"/>
          <w:szCs w:val="24"/>
        </w:rPr>
        <w:t xml:space="preserve"> </w:t>
      </w:r>
      <w:r w:rsidR="004D66F7">
        <w:rPr>
          <w:rFonts w:ascii="Arial" w:hAnsi="Arial" w:cs="Arial"/>
          <w:sz w:val="24"/>
          <w:szCs w:val="24"/>
        </w:rPr>
        <w:t>Webber Wentzel</w:t>
      </w:r>
      <w:r w:rsidR="00EB49BB">
        <w:rPr>
          <w:rFonts w:ascii="Arial" w:hAnsi="Arial" w:cs="Arial"/>
          <w:sz w:val="24"/>
          <w:szCs w:val="24"/>
        </w:rPr>
        <w:t xml:space="preserve"> Attorneys</w:t>
      </w:r>
    </w:p>
    <w:sectPr w:rsidR="00CF1468" w:rsidRPr="00EC706E" w:rsidSect="00AB61E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178C6" w14:textId="77777777" w:rsidR="001871DB" w:rsidRDefault="001871DB" w:rsidP="00AB61E6">
      <w:pPr>
        <w:spacing w:after="0" w:line="240" w:lineRule="auto"/>
      </w:pPr>
      <w:r>
        <w:separator/>
      </w:r>
    </w:p>
  </w:endnote>
  <w:endnote w:type="continuationSeparator" w:id="0">
    <w:p w14:paraId="0F4C5EB1" w14:textId="77777777" w:rsidR="001871DB" w:rsidRDefault="001871DB" w:rsidP="00A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ova Cond">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D761" w14:textId="77777777" w:rsidR="001871DB" w:rsidRDefault="001871DB" w:rsidP="00AB61E6">
      <w:pPr>
        <w:spacing w:after="0" w:line="240" w:lineRule="auto"/>
      </w:pPr>
      <w:r>
        <w:separator/>
      </w:r>
    </w:p>
  </w:footnote>
  <w:footnote w:type="continuationSeparator" w:id="0">
    <w:p w14:paraId="0B10CFD8" w14:textId="77777777" w:rsidR="001871DB" w:rsidRDefault="001871DB" w:rsidP="00AB6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8101"/>
      <w:docPartObj>
        <w:docPartGallery w:val="Page Numbers (Top of Page)"/>
        <w:docPartUnique/>
      </w:docPartObj>
    </w:sdtPr>
    <w:sdtEndPr>
      <w:rPr>
        <w:noProof/>
      </w:rPr>
    </w:sdtEndPr>
    <w:sdtContent>
      <w:p w14:paraId="2B9502E8" w14:textId="49A5CF2A" w:rsidR="00E918E3" w:rsidRDefault="00E918E3">
        <w:pPr>
          <w:pStyle w:val="Header"/>
          <w:jc w:val="right"/>
        </w:pPr>
        <w:r>
          <w:fldChar w:fldCharType="begin"/>
        </w:r>
        <w:r>
          <w:instrText xml:space="preserve"> PAGE   \* MERGEFORMAT </w:instrText>
        </w:r>
        <w:r>
          <w:fldChar w:fldCharType="separate"/>
        </w:r>
        <w:r w:rsidR="00732B90">
          <w:rPr>
            <w:noProof/>
          </w:rPr>
          <w:t>2</w:t>
        </w:r>
        <w:r>
          <w:rPr>
            <w:noProof/>
          </w:rPr>
          <w:fldChar w:fldCharType="end"/>
        </w:r>
      </w:p>
    </w:sdtContent>
  </w:sdt>
  <w:p w14:paraId="0D9A6810" w14:textId="77777777" w:rsidR="00E918E3" w:rsidRDefault="00E91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34887B02"/>
    <w:multiLevelType w:val="hybridMultilevel"/>
    <w:tmpl w:val="81C4A23E"/>
    <w:lvl w:ilvl="0" w:tplc="13E827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3">
    <w:nsid w:val="744B3B4C"/>
    <w:multiLevelType w:val="hybridMultilevel"/>
    <w:tmpl w:val="5A78378A"/>
    <w:lvl w:ilvl="0" w:tplc="46FA6D9C">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F"/>
    <w:rsid w:val="00002196"/>
    <w:rsid w:val="0000525F"/>
    <w:rsid w:val="0000558F"/>
    <w:rsid w:val="00005DCA"/>
    <w:rsid w:val="000078BF"/>
    <w:rsid w:val="00007B71"/>
    <w:rsid w:val="00007C2B"/>
    <w:rsid w:val="00012C80"/>
    <w:rsid w:val="00013FD0"/>
    <w:rsid w:val="00015822"/>
    <w:rsid w:val="00020244"/>
    <w:rsid w:val="00020BF4"/>
    <w:rsid w:val="000231B1"/>
    <w:rsid w:val="00024B20"/>
    <w:rsid w:val="00032AFE"/>
    <w:rsid w:val="00032DBB"/>
    <w:rsid w:val="00034F71"/>
    <w:rsid w:val="00035E13"/>
    <w:rsid w:val="00037FCB"/>
    <w:rsid w:val="00041E14"/>
    <w:rsid w:val="0004415C"/>
    <w:rsid w:val="00044D9F"/>
    <w:rsid w:val="00045C16"/>
    <w:rsid w:val="00050704"/>
    <w:rsid w:val="00050A9D"/>
    <w:rsid w:val="000533D9"/>
    <w:rsid w:val="00060CB8"/>
    <w:rsid w:val="0007531C"/>
    <w:rsid w:val="00075AF6"/>
    <w:rsid w:val="000837A2"/>
    <w:rsid w:val="00093C0A"/>
    <w:rsid w:val="000A0C4F"/>
    <w:rsid w:val="000A4850"/>
    <w:rsid w:val="000A6561"/>
    <w:rsid w:val="000B0DC0"/>
    <w:rsid w:val="000B1A0D"/>
    <w:rsid w:val="000B2A8E"/>
    <w:rsid w:val="000B50B9"/>
    <w:rsid w:val="000B5EAB"/>
    <w:rsid w:val="000C35D9"/>
    <w:rsid w:val="000D27EF"/>
    <w:rsid w:val="000D34A2"/>
    <w:rsid w:val="000D385C"/>
    <w:rsid w:val="000D6F3E"/>
    <w:rsid w:val="000E0996"/>
    <w:rsid w:val="000F012C"/>
    <w:rsid w:val="000F129E"/>
    <w:rsid w:val="000F15A0"/>
    <w:rsid w:val="000F4FFD"/>
    <w:rsid w:val="000F759E"/>
    <w:rsid w:val="0010074D"/>
    <w:rsid w:val="00101700"/>
    <w:rsid w:val="00106439"/>
    <w:rsid w:val="001066F7"/>
    <w:rsid w:val="001123B8"/>
    <w:rsid w:val="00113A3F"/>
    <w:rsid w:val="00114686"/>
    <w:rsid w:val="00123785"/>
    <w:rsid w:val="00125D5B"/>
    <w:rsid w:val="00126555"/>
    <w:rsid w:val="00127948"/>
    <w:rsid w:val="00134596"/>
    <w:rsid w:val="00136752"/>
    <w:rsid w:val="00137047"/>
    <w:rsid w:val="00137BE3"/>
    <w:rsid w:val="00142C5C"/>
    <w:rsid w:val="001457D2"/>
    <w:rsid w:val="0014723F"/>
    <w:rsid w:val="00153AA9"/>
    <w:rsid w:val="00162748"/>
    <w:rsid w:val="00162BB5"/>
    <w:rsid w:val="00163073"/>
    <w:rsid w:val="00166987"/>
    <w:rsid w:val="0017222D"/>
    <w:rsid w:val="001724B2"/>
    <w:rsid w:val="0017351E"/>
    <w:rsid w:val="00176BBD"/>
    <w:rsid w:val="00176C4C"/>
    <w:rsid w:val="0017700F"/>
    <w:rsid w:val="00177021"/>
    <w:rsid w:val="00177449"/>
    <w:rsid w:val="00181CA4"/>
    <w:rsid w:val="00186A82"/>
    <w:rsid w:val="00186D83"/>
    <w:rsid w:val="001871DB"/>
    <w:rsid w:val="00187700"/>
    <w:rsid w:val="001913CB"/>
    <w:rsid w:val="00196C9D"/>
    <w:rsid w:val="001A0B97"/>
    <w:rsid w:val="001A4756"/>
    <w:rsid w:val="001A4DBF"/>
    <w:rsid w:val="001B510C"/>
    <w:rsid w:val="001C0027"/>
    <w:rsid w:val="001C6D37"/>
    <w:rsid w:val="001C6EAC"/>
    <w:rsid w:val="001D7E9B"/>
    <w:rsid w:val="001E2269"/>
    <w:rsid w:val="001F019F"/>
    <w:rsid w:val="001F15E2"/>
    <w:rsid w:val="00201773"/>
    <w:rsid w:val="002107EB"/>
    <w:rsid w:val="0021097D"/>
    <w:rsid w:val="00220547"/>
    <w:rsid w:val="00230BA3"/>
    <w:rsid w:val="00230FF6"/>
    <w:rsid w:val="00233249"/>
    <w:rsid w:val="0023402D"/>
    <w:rsid w:val="002355EB"/>
    <w:rsid w:val="00235A8B"/>
    <w:rsid w:val="00237437"/>
    <w:rsid w:val="00237FAF"/>
    <w:rsid w:val="002409A4"/>
    <w:rsid w:val="00244350"/>
    <w:rsid w:val="002446CE"/>
    <w:rsid w:val="00244E80"/>
    <w:rsid w:val="00264686"/>
    <w:rsid w:val="0026479F"/>
    <w:rsid w:val="00264DB7"/>
    <w:rsid w:val="00271B47"/>
    <w:rsid w:val="00272E46"/>
    <w:rsid w:val="00275FA2"/>
    <w:rsid w:val="002776B1"/>
    <w:rsid w:val="0028040C"/>
    <w:rsid w:val="00280B91"/>
    <w:rsid w:val="00282183"/>
    <w:rsid w:val="002852CA"/>
    <w:rsid w:val="00285C5B"/>
    <w:rsid w:val="00285D3B"/>
    <w:rsid w:val="002867A1"/>
    <w:rsid w:val="0028771D"/>
    <w:rsid w:val="002905A7"/>
    <w:rsid w:val="00290663"/>
    <w:rsid w:val="00295D92"/>
    <w:rsid w:val="0029696E"/>
    <w:rsid w:val="002A7B31"/>
    <w:rsid w:val="002B1F0E"/>
    <w:rsid w:val="002B2D60"/>
    <w:rsid w:val="002B366A"/>
    <w:rsid w:val="002B4D71"/>
    <w:rsid w:val="002C2BC5"/>
    <w:rsid w:val="002C62CE"/>
    <w:rsid w:val="002C7BC2"/>
    <w:rsid w:val="002D1037"/>
    <w:rsid w:val="002D2058"/>
    <w:rsid w:val="002D529C"/>
    <w:rsid w:val="002E254A"/>
    <w:rsid w:val="002E4A7A"/>
    <w:rsid w:val="002F1805"/>
    <w:rsid w:val="002F4562"/>
    <w:rsid w:val="002F4D7D"/>
    <w:rsid w:val="002F772B"/>
    <w:rsid w:val="0030005B"/>
    <w:rsid w:val="0030297E"/>
    <w:rsid w:val="00307C0B"/>
    <w:rsid w:val="00313575"/>
    <w:rsid w:val="00314BF4"/>
    <w:rsid w:val="003167BD"/>
    <w:rsid w:val="00316BA1"/>
    <w:rsid w:val="0032144A"/>
    <w:rsid w:val="00322D7C"/>
    <w:rsid w:val="00323D84"/>
    <w:rsid w:val="00326405"/>
    <w:rsid w:val="00326F06"/>
    <w:rsid w:val="003277F9"/>
    <w:rsid w:val="00327980"/>
    <w:rsid w:val="003321BD"/>
    <w:rsid w:val="0033299C"/>
    <w:rsid w:val="00333385"/>
    <w:rsid w:val="00333486"/>
    <w:rsid w:val="0033490D"/>
    <w:rsid w:val="00334B77"/>
    <w:rsid w:val="0034007B"/>
    <w:rsid w:val="00340131"/>
    <w:rsid w:val="00341855"/>
    <w:rsid w:val="00343C1A"/>
    <w:rsid w:val="003449E4"/>
    <w:rsid w:val="00346C10"/>
    <w:rsid w:val="003473F3"/>
    <w:rsid w:val="003476AA"/>
    <w:rsid w:val="00350420"/>
    <w:rsid w:val="00355684"/>
    <w:rsid w:val="0036203D"/>
    <w:rsid w:val="00367116"/>
    <w:rsid w:val="00373A79"/>
    <w:rsid w:val="00374808"/>
    <w:rsid w:val="00375FA9"/>
    <w:rsid w:val="00377747"/>
    <w:rsid w:val="00382177"/>
    <w:rsid w:val="003845F2"/>
    <w:rsid w:val="00386F90"/>
    <w:rsid w:val="00392127"/>
    <w:rsid w:val="00392F7C"/>
    <w:rsid w:val="00397862"/>
    <w:rsid w:val="003A6C1E"/>
    <w:rsid w:val="003A763D"/>
    <w:rsid w:val="003B0A4E"/>
    <w:rsid w:val="003B4789"/>
    <w:rsid w:val="003B60BC"/>
    <w:rsid w:val="003C3E14"/>
    <w:rsid w:val="003C5A52"/>
    <w:rsid w:val="003C64FD"/>
    <w:rsid w:val="003D0170"/>
    <w:rsid w:val="003D29C9"/>
    <w:rsid w:val="003D515D"/>
    <w:rsid w:val="003D5453"/>
    <w:rsid w:val="003E006A"/>
    <w:rsid w:val="003E0326"/>
    <w:rsid w:val="003E2C96"/>
    <w:rsid w:val="003E3389"/>
    <w:rsid w:val="003E4BC9"/>
    <w:rsid w:val="003E4CED"/>
    <w:rsid w:val="003E7FCE"/>
    <w:rsid w:val="003F0635"/>
    <w:rsid w:val="003F0879"/>
    <w:rsid w:val="003F1B4D"/>
    <w:rsid w:val="003F4E64"/>
    <w:rsid w:val="003F6DCA"/>
    <w:rsid w:val="00400982"/>
    <w:rsid w:val="00401657"/>
    <w:rsid w:val="00401678"/>
    <w:rsid w:val="00412CCA"/>
    <w:rsid w:val="00413899"/>
    <w:rsid w:val="00414190"/>
    <w:rsid w:val="0041525B"/>
    <w:rsid w:val="00415F4B"/>
    <w:rsid w:val="00416543"/>
    <w:rsid w:val="00420175"/>
    <w:rsid w:val="00422F92"/>
    <w:rsid w:val="0042321E"/>
    <w:rsid w:val="00430F0E"/>
    <w:rsid w:val="00433ECC"/>
    <w:rsid w:val="004366AD"/>
    <w:rsid w:val="004457CB"/>
    <w:rsid w:val="00447E42"/>
    <w:rsid w:val="00450B57"/>
    <w:rsid w:val="00450B7D"/>
    <w:rsid w:val="00455D75"/>
    <w:rsid w:val="00455EC4"/>
    <w:rsid w:val="0045743A"/>
    <w:rsid w:val="00457A2A"/>
    <w:rsid w:val="00461F8D"/>
    <w:rsid w:val="0046283D"/>
    <w:rsid w:val="00466837"/>
    <w:rsid w:val="0046784C"/>
    <w:rsid w:val="004745E8"/>
    <w:rsid w:val="00475EB0"/>
    <w:rsid w:val="00476416"/>
    <w:rsid w:val="00476C64"/>
    <w:rsid w:val="0047750F"/>
    <w:rsid w:val="004815F5"/>
    <w:rsid w:val="00485EA6"/>
    <w:rsid w:val="004917B4"/>
    <w:rsid w:val="00494AE4"/>
    <w:rsid w:val="004960D4"/>
    <w:rsid w:val="00496D02"/>
    <w:rsid w:val="004A6A4B"/>
    <w:rsid w:val="004A7E3F"/>
    <w:rsid w:val="004B142C"/>
    <w:rsid w:val="004B17F1"/>
    <w:rsid w:val="004B3F65"/>
    <w:rsid w:val="004B4039"/>
    <w:rsid w:val="004C448B"/>
    <w:rsid w:val="004C4817"/>
    <w:rsid w:val="004C79F3"/>
    <w:rsid w:val="004D1402"/>
    <w:rsid w:val="004D17E3"/>
    <w:rsid w:val="004D2E19"/>
    <w:rsid w:val="004D46B9"/>
    <w:rsid w:val="004D5A30"/>
    <w:rsid w:val="004D66F7"/>
    <w:rsid w:val="004E01C2"/>
    <w:rsid w:val="004E1629"/>
    <w:rsid w:val="004E17EC"/>
    <w:rsid w:val="004E2580"/>
    <w:rsid w:val="004E368A"/>
    <w:rsid w:val="004E6701"/>
    <w:rsid w:val="004E7BC6"/>
    <w:rsid w:val="004F59B9"/>
    <w:rsid w:val="004F713E"/>
    <w:rsid w:val="005000BF"/>
    <w:rsid w:val="00506488"/>
    <w:rsid w:val="005066CE"/>
    <w:rsid w:val="005149F6"/>
    <w:rsid w:val="00515081"/>
    <w:rsid w:val="005154E6"/>
    <w:rsid w:val="00520643"/>
    <w:rsid w:val="00521032"/>
    <w:rsid w:val="005345E2"/>
    <w:rsid w:val="0054005B"/>
    <w:rsid w:val="00540905"/>
    <w:rsid w:val="0054341B"/>
    <w:rsid w:val="00546277"/>
    <w:rsid w:val="00546C74"/>
    <w:rsid w:val="00547C8F"/>
    <w:rsid w:val="00550C27"/>
    <w:rsid w:val="00561BC5"/>
    <w:rsid w:val="00564B79"/>
    <w:rsid w:val="00570C7C"/>
    <w:rsid w:val="00573672"/>
    <w:rsid w:val="0057734B"/>
    <w:rsid w:val="00577D1D"/>
    <w:rsid w:val="005806F0"/>
    <w:rsid w:val="005A0D2D"/>
    <w:rsid w:val="005A19F7"/>
    <w:rsid w:val="005A3A7F"/>
    <w:rsid w:val="005A3E49"/>
    <w:rsid w:val="005A43CB"/>
    <w:rsid w:val="005A4828"/>
    <w:rsid w:val="005A49EE"/>
    <w:rsid w:val="005A4D75"/>
    <w:rsid w:val="005B0734"/>
    <w:rsid w:val="005B173C"/>
    <w:rsid w:val="005B34C5"/>
    <w:rsid w:val="005B525E"/>
    <w:rsid w:val="005B76EC"/>
    <w:rsid w:val="005C1560"/>
    <w:rsid w:val="005C2C30"/>
    <w:rsid w:val="005C2FB3"/>
    <w:rsid w:val="005C30DF"/>
    <w:rsid w:val="005C4A13"/>
    <w:rsid w:val="005C6F57"/>
    <w:rsid w:val="005D25F1"/>
    <w:rsid w:val="005D3085"/>
    <w:rsid w:val="005D49C3"/>
    <w:rsid w:val="005D534B"/>
    <w:rsid w:val="005D5704"/>
    <w:rsid w:val="005E1B75"/>
    <w:rsid w:val="005E5D9C"/>
    <w:rsid w:val="005E73D6"/>
    <w:rsid w:val="005F1162"/>
    <w:rsid w:val="005F313F"/>
    <w:rsid w:val="005F4EE8"/>
    <w:rsid w:val="005F7A4B"/>
    <w:rsid w:val="00600839"/>
    <w:rsid w:val="006009CB"/>
    <w:rsid w:val="00602097"/>
    <w:rsid w:val="00605F18"/>
    <w:rsid w:val="00606CAA"/>
    <w:rsid w:val="006106E6"/>
    <w:rsid w:val="00615B15"/>
    <w:rsid w:val="00616B17"/>
    <w:rsid w:val="006204A8"/>
    <w:rsid w:val="00622438"/>
    <w:rsid w:val="00631DC8"/>
    <w:rsid w:val="006322AE"/>
    <w:rsid w:val="0063365B"/>
    <w:rsid w:val="00642222"/>
    <w:rsid w:val="00642543"/>
    <w:rsid w:val="00644124"/>
    <w:rsid w:val="006449BB"/>
    <w:rsid w:val="00647118"/>
    <w:rsid w:val="00650E0F"/>
    <w:rsid w:val="00652484"/>
    <w:rsid w:val="0065390B"/>
    <w:rsid w:val="00655DBA"/>
    <w:rsid w:val="00657662"/>
    <w:rsid w:val="00662301"/>
    <w:rsid w:val="00664AB8"/>
    <w:rsid w:val="006676DD"/>
    <w:rsid w:val="00670CAF"/>
    <w:rsid w:val="00672874"/>
    <w:rsid w:val="00673DD7"/>
    <w:rsid w:val="006744F3"/>
    <w:rsid w:val="00680960"/>
    <w:rsid w:val="00681047"/>
    <w:rsid w:val="00687177"/>
    <w:rsid w:val="00692E99"/>
    <w:rsid w:val="006A2E65"/>
    <w:rsid w:val="006A35D2"/>
    <w:rsid w:val="006A6AAE"/>
    <w:rsid w:val="006B1E34"/>
    <w:rsid w:val="006B732D"/>
    <w:rsid w:val="006C29AB"/>
    <w:rsid w:val="006C2EF8"/>
    <w:rsid w:val="006C35C2"/>
    <w:rsid w:val="006D6401"/>
    <w:rsid w:val="006E1B4F"/>
    <w:rsid w:val="006E1F96"/>
    <w:rsid w:val="006E25FE"/>
    <w:rsid w:val="006E2BA2"/>
    <w:rsid w:val="006E641D"/>
    <w:rsid w:val="006E766A"/>
    <w:rsid w:val="006E774C"/>
    <w:rsid w:val="006E7A98"/>
    <w:rsid w:val="006F14A3"/>
    <w:rsid w:val="006F3C73"/>
    <w:rsid w:val="006F5517"/>
    <w:rsid w:val="006F63DD"/>
    <w:rsid w:val="00706F89"/>
    <w:rsid w:val="00715A95"/>
    <w:rsid w:val="0072140A"/>
    <w:rsid w:val="00723881"/>
    <w:rsid w:val="00724AAC"/>
    <w:rsid w:val="007261F4"/>
    <w:rsid w:val="00726931"/>
    <w:rsid w:val="00730F22"/>
    <w:rsid w:val="00732B90"/>
    <w:rsid w:val="00741334"/>
    <w:rsid w:val="00745F36"/>
    <w:rsid w:val="007514FD"/>
    <w:rsid w:val="007528CE"/>
    <w:rsid w:val="00755947"/>
    <w:rsid w:val="00761307"/>
    <w:rsid w:val="00761A84"/>
    <w:rsid w:val="007622BC"/>
    <w:rsid w:val="00763EA9"/>
    <w:rsid w:val="007703F3"/>
    <w:rsid w:val="00774AF6"/>
    <w:rsid w:val="007754DE"/>
    <w:rsid w:val="00776E8F"/>
    <w:rsid w:val="00777895"/>
    <w:rsid w:val="00777C1E"/>
    <w:rsid w:val="007818B0"/>
    <w:rsid w:val="00784706"/>
    <w:rsid w:val="007857C6"/>
    <w:rsid w:val="007878E1"/>
    <w:rsid w:val="00796551"/>
    <w:rsid w:val="00796BBA"/>
    <w:rsid w:val="00797DF0"/>
    <w:rsid w:val="007A1916"/>
    <w:rsid w:val="007A3987"/>
    <w:rsid w:val="007B073A"/>
    <w:rsid w:val="007B17F4"/>
    <w:rsid w:val="007B3686"/>
    <w:rsid w:val="007C204B"/>
    <w:rsid w:val="007C28A7"/>
    <w:rsid w:val="007C3D13"/>
    <w:rsid w:val="007C4E33"/>
    <w:rsid w:val="007D0C31"/>
    <w:rsid w:val="007D0C66"/>
    <w:rsid w:val="007D17BD"/>
    <w:rsid w:val="007D6F19"/>
    <w:rsid w:val="007D6FE1"/>
    <w:rsid w:val="007D7A8B"/>
    <w:rsid w:val="007E6908"/>
    <w:rsid w:val="007E78B1"/>
    <w:rsid w:val="007F1742"/>
    <w:rsid w:val="007F4400"/>
    <w:rsid w:val="008036FB"/>
    <w:rsid w:val="008037D3"/>
    <w:rsid w:val="00805CBF"/>
    <w:rsid w:val="0080740F"/>
    <w:rsid w:val="00811D9C"/>
    <w:rsid w:val="0082268F"/>
    <w:rsid w:val="00824858"/>
    <w:rsid w:val="008249A6"/>
    <w:rsid w:val="00825169"/>
    <w:rsid w:val="00825C9D"/>
    <w:rsid w:val="00827F1D"/>
    <w:rsid w:val="008304E1"/>
    <w:rsid w:val="008416D0"/>
    <w:rsid w:val="008442E8"/>
    <w:rsid w:val="00846381"/>
    <w:rsid w:val="008501F2"/>
    <w:rsid w:val="00857618"/>
    <w:rsid w:val="00860699"/>
    <w:rsid w:val="0086569C"/>
    <w:rsid w:val="00876AD8"/>
    <w:rsid w:val="00877CC0"/>
    <w:rsid w:val="00883774"/>
    <w:rsid w:val="00883D13"/>
    <w:rsid w:val="0089434E"/>
    <w:rsid w:val="00894585"/>
    <w:rsid w:val="008A102F"/>
    <w:rsid w:val="008A2119"/>
    <w:rsid w:val="008A599A"/>
    <w:rsid w:val="008A6FE8"/>
    <w:rsid w:val="008B4BB8"/>
    <w:rsid w:val="008B5B9C"/>
    <w:rsid w:val="008C08EA"/>
    <w:rsid w:val="008C0B30"/>
    <w:rsid w:val="008C3065"/>
    <w:rsid w:val="008C6FEA"/>
    <w:rsid w:val="008C7C5E"/>
    <w:rsid w:val="008C7CC6"/>
    <w:rsid w:val="008D0C4F"/>
    <w:rsid w:val="008D7D18"/>
    <w:rsid w:val="008E2F9F"/>
    <w:rsid w:val="008E5B17"/>
    <w:rsid w:val="008E63D7"/>
    <w:rsid w:val="008E6AE4"/>
    <w:rsid w:val="008F2E27"/>
    <w:rsid w:val="008F561D"/>
    <w:rsid w:val="00910962"/>
    <w:rsid w:val="00911204"/>
    <w:rsid w:val="00913B6A"/>
    <w:rsid w:val="00914071"/>
    <w:rsid w:val="00917E99"/>
    <w:rsid w:val="009217A1"/>
    <w:rsid w:val="009251AF"/>
    <w:rsid w:val="00932A12"/>
    <w:rsid w:val="009337F6"/>
    <w:rsid w:val="009342C6"/>
    <w:rsid w:val="009343DF"/>
    <w:rsid w:val="00940770"/>
    <w:rsid w:val="00945E2E"/>
    <w:rsid w:val="0094737C"/>
    <w:rsid w:val="00951C07"/>
    <w:rsid w:val="00952DF7"/>
    <w:rsid w:val="0096305C"/>
    <w:rsid w:val="00964AC9"/>
    <w:rsid w:val="00966D63"/>
    <w:rsid w:val="00973C06"/>
    <w:rsid w:val="009743C0"/>
    <w:rsid w:val="00974F3C"/>
    <w:rsid w:val="009778E2"/>
    <w:rsid w:val="00986091"/>
    <w:rsid w:val="00990F08"/>
    <w:rsid w:val="00992350"/>
    <w:rsid w:val="00992C29"/>
    <w:rsid w:val="00993AD2"/>
    <w:rsid w:val="009941CF"/>
    <w:rsid w:val="00996AA2"/>
    <w:rsid w:val="0099741C"/>
    <w:rsid w:val="00997E05"/>
    <w:rsid w:val="009A0DA2"/>
    <w:rsid w:val="009B514B"/>
    <w:rsid w:val="009B6D7F"/>
    <w:rsid w:val="009C1DB0"/>
    <w:rsid w:val="009C235D"/>
    <w:rsid w:val="009C2FAF"/>
    <w:rsid w:val="009C5C56"/>
    <w:rsid w:val="009C7331"/>
    <w:rsid w:val="009D2F16"/>
    <w:rsid w:val="009E07F6"/>
    <w:rsid w:val="009E258C"/>
    <w:rsid w:val="009E37D4"/>
    <w:rsid w:val="009E4D09"/>
    <w:rsid w:val="009E59ED"/>
    <w:rsid w:val="009F020D"/>
    <w:rsid w:val="009F287D"/>
    <w:rsid w:val="00A007D2"/>
    <w:rsid w:val="00A014FD"/>
    <w:rsid w:val="00A018EE"/>
    <w:rsid w:val="00A01CF8"/>
    <w:rsid w:val="00A030D0"/>
    <w:rsid w:val="00A057B7"/>
    <w:rsid w:val="00A145C9"/>
    <w:rsid w:val="00A153FA"/>
    <w:rsid w:val="00A16A0F"/>
    <w:rsid w:val="00A17111"/>
    <w:rsid w:val="00A21D38"/>
    <w:rsid w:val="00A220D2"/>
    <w:rsid w:val="00A23D98"/>
    <w:rsid w:val="00A26A0C"/>
    <w:rsid w:val="00A275E0"/>
    <w:rsid w:val="00A30B31"/>
    <w:rsid w:val="00A30C6C"/>
    <w:rsid w:val="00A32806"/>
    <w:rsid w:val="00A439F1"/>
    <w:rsid w:val="00A4417A"/>
    <w:rsid w:val="00A442AA"/>
    <w:rsid w:val="00A45C52"/>
    <w:rsid w:val="00A45EFF"/>
    <w:rsid w:val="00A532A3"/>
    <w:rsid w:val="00A62AE5"/>
    <w:rsid w:val="00A63C21"/>
    <w:rsid w:val="00A64ACF"/>
    <w:rsid w:val="00A65B8E"/>
    <w:rsid w:val="00A6687E"/>
    <w:rsid w:val="00A71BC0"/>
    <w:rsid w:val="00A72E20"/>
    <w:rsid w:val="00A751A1"/>
    <w:rsid w:val="00A767D0"/>
    <w:rsid w:val="00A81CAA"/>
    <w:rsid w:val="00A82F35"/>
    <w:rsid w:val="00A853C2"/>
    <w:rsid w:val="00A8784C"/>
    <w:rsid w:val="00AA04CF"/>
    <w:rsid w:val="00AA060D"/>
    <w:rsid w:val="00AA4EEB"/>
    <w:rsid w:val="00AA67AA"/>
    <w:rsid w:val="00AB23C1"/>
    <w:rsid w:val="00AB2C89"/>
    <w:rsid w:val="00AB50E7"/>
    <w:rsid w:val="00AB5920"/>
    <w:rsid w:val="00AB61E6"/>
    <w:rsid w:val="00AC2C6E"/>
    <w:rsid w:val="00AC4B0F"/>
    <w:rsid w:val="00AC6A5E"/>
    <w:rsid w:val="00AD1320"/>
    <w:rsid w:val="00AD1CD4"/>
    <w:rsid w:val="00AD5BE5"/>
    <w:rsid w:val="00AE4640"/>
    <w:rsid w:val="00AE51E3"/>
    <w:rsid w:val="00AE66E2"/>
    <w:rsid w:val="00AF37C7"/>
    <w:rsid w:val="00AF3972"/>
    <w:rsid w:val="00B02C0B"/>
    <w:rsid w:val="00B02F14"/>
    <w:rsid w:val="00B10BEB"/>
    <w:rsid w:val="00B1322B"/>
    <w:rsid w:val="00B21539"/>
    <w:rsid w:val="00B233CE"/>
    <w:rsid w:val="00B2796C"/>
    <w:rsid w:val="00B27F94"/>
    <w:rsid w:val="00B3120C"/>
    <w:rsid w:val="00B31CB7"/>
    <w:rsid w:val="00B339F3"/>
    <w:rsid w:val="00B37D49"/>
    <w:rsid w:val="00B402DB"/>
    <w:rsid w:val="00B42842"/>
    <w:rsid w:val="00B4743C"/>
    <w:rsid w:val="00B47697"/>
    <w:rsid w:val="00B50640"/>
    <w:rsid w:val="00B50B36"/>
    <w:rsid w:val="00B53EB6"/>
    <w:rsid w:val="00B54BDF"/>
    <w:rsid w:val="00B55393"/>
    <w:rsid w:val="00B57259"/>
    <w:rsid w:val="00B57B03"/>
    <w:rsid w:val="00B61B8F"/>
    <w:rsid w:val="00B63D44"/>
    <w:rsid w:val="00B650BF"/>
    <w:rsid w:val="00B658A4"/>
    <w:rsid w:val="00B7083E"/>
    <w:rsid w:val="00B8050B"/>
    <w:rsid w:val="00B90085"/>
    <w:rsid w:val="00B906EF"/>
    <w:rsid w:val="00B930F6"/>
    <w:rsid w:val="00B96AFF"/>
    <w:rsid w:val="00BA7818"/>
    <w:rsid w:val="00BB2AA6"/>
    <w:rsid w:val="00BB4360"/>
    <w:rsid w:val="00BB4991"/>
    <w:rsid w:val="00BB6D5D"/>
    <w:rsid w:val="00BB72C9"/>
    <w:rsid w:val="00BC075F"/>
    <w:rsid w:val="00BC1EE4"/>
    <w:rsid w:val="00BC2FF9"/>
    <w:rsid w:val="00BC543D"/>
    <w:rsid w:val="00BD2628"/>
    <w:rsid w:val="00BD51EB"/>
    <w:rsid w:val="00BD564D"/>
    <w:rsid w:val="00BD6F7D"/>
    <w:rsid w:val="00BE1C29"/>
    <w:rsid w:val="00BE2A5B"/>
    <w:rsid w:val="00BE3034"/>
    <w:rsid w:val="00BF023F"/>
    <w:rsid w:val="00BF4585"/>
    <w:rsid w:val="00BF71BD"/>
    <w:rsid w:val="00C01647"/>
    <w:rsid w:val="00C0202E"/>
    <w:rsid w:val="00C020E6"/>
    <w:rsid w:val="00C0790B"/>
    <w:rsid w:val="00C219CD"/>
    <w:rsid w:val="00C22222"/>
    <w:rsid w:val="00C236FD"/>
    <w:rsid w:val="00C24B57"/>
    <w:rsid w:val="00C27D68"/>
    <w:rsid w:val="00C30D23"/>
    <w:rsid w:val="00C33935"/>
    <w:rsid w:val="00C33AB8"/>
    <w:rsid w:val="00C35D79"/>
    <w:rsid w:val="00C371D9"/>
    <w:rsid w:val="00C375E2"/>
    <w:rsid w:val="00C42B08"/>
    <w:rsid w:val="00C44609"/>
    <w:rsid w:val="00C45630"/>
    <w:rsid w:val="00C47F20"/>
    <w:rsid w:val="00C5000A"/>
    <w:rsid w:val="00C5116E"/>
    <w:rsid w:val="00C57FAB"/>
    <w:rsid w:val="00C6031A"/>
    <w:rsid w:val="00C616EE"/>
    <w:rsid w:val="00C635C9"/>
    <w:rsid w:val="00C73775"/>
    <w:rsid w:val="00C802B1"/>
    <w:rsid w:val="00C91D43"/>
    <w:rsid w:val="00C94B78"/>
    <w:rsid w:val="00C95E15"/>
    <w:rsid w:val="00C9701F"/>
    <w:rsid w:val="00CA3E1A"/>
    <w:rsid w:val="00CA4A70"/>
    <w:rsid w:val="00CB1FE6"/>
    <w:rsid w:val="00CB34F4"/>
    <w:rsid w:val="00CB4CA2"/>
    <w:rsid w:val="00CB6359"/>
    <w:rsid w:val="00CB7063"/>
    <w:rsid w:val="00CC33FF"/>
    <w:rsid w:val="00CC3C45"/>
    <w:rsid w:val="00CC5577"/>
    <w:rsid w:val="00CC651A"/>
    <w:rsid w:val="00CD1869"/>
    <w:rsid w:val="00CD4187"/>
    <w:rsid w:val="00CE7895"/>
    <w:rsid w:val="00CE7C91"/>
    <w:rsid w:val="00CF12A3"/>
    <w:rsid w:val="00CF1468"/>
    <w:rsid w:val="00CF6E3A"/>
    <w:rsid w:val="00D064AE"/>
    <w:rsid w:val="00D0687F"/>
    <w:rsid w:val="00D06D43"/>
    <w:rsid w:val="00D07D7E"/>
    <w:rsid w:val="00D131EA"/>
    <w:rsid w:val="00D142A6"/>
    <w:rsid w:val="00D175A3"/>
    <w:rsid w:val="00D21424"/>
    <w:rsid w:val="00D25168"/>
    <w:rsid w:val="00D2649A"/>
    <w:rsid w:val="00D35D64"/>
    <w:rsid w:val="00D35EC5"/>
    <w:rsid w:val="00D43222"/>
    <w:rsid w:val="00D461B5"/>
    <w:rsid w:val="00D4673E"/>
    <w:rsid w:val="00D55455"/>
    <w:rsid w:val="00D55C64"/>
    <w:rsid w:val="00D6244E"/>
    <w:rsid w:val="00D745A8"/>
    <w:rsid w:val="00D7535C"/>
    <w:rsid w:val="00D758D6"/>
    <w:rsid w:val="00D7743C"/>
    <w:rsid w:val="00D8045E"/>
    <w:rsid w:val="00D81134"/>
    <w:rsid w:val="00D85C38"/>
    <w:rsid w:val="00D8676C"/>
    <w:rsid w:val="00D90B29"/>
    <w:rsid w:val="00D90DF2"/>
    <w:rsid w:val="00D91C9A"/>
    <w:rsid w:val="00D925A1"/>
    <w:rsid w:val="00D92DD3"/>
    <w:rsid w:val="00D942B5"/>
    <w:rsid w:val="00D96CC7"/>
    <w:rsid w:val="00D97136"/>
    <w:rsid w:val="00DA11C8"/>
    <w:rsid w:val="00DA2793"/>
    <w:rsid w:val="00DA3D6D"/>
    <w:rsid w:val="00DA49AC"/>
    <w:rsid w:val="00DA700A"/>
    <w:rsid w:val="00DA78A8"/>
    <w:rsid w:val="00DB3879"/>
    <w:rsid w:val="00DB694F"/>
    <w:rsid w:val="00DC1B90"/>
    <w:rsid w:val="00DC3D08"/>
    <w:rsid w:val="00DC761E"/>
    <w:rsid w:val="00DE0700"/>
    <w:rsid w:val="00DE070F"/>
    <w:rsid w:val="00DE1AB7"/>
    <w:rsid w:val="00DE2DDC"/>
    <w:rsid w:val="00DE3024"/>
    <w:rsid w:val="00DE342D"/>
    <w:rsid w:val="00DF4488"/>
    <w:rsid w:val="00DF51E9"/>
    <w:rsid w:val="00DF68D7"/>
    <w:rsid w:val="00E00750"/>
    <w:rsid w:val="00E01B26"/>
    <w:rsid w:val="00E0426A"/>
    <w:rsid w:val="00E06427"/>
    <w:rsid w:val="00E105B2"/>
    <w:rsid w:val="00E11103"/>
    <w:rsid w:val="00E1165B"/>
    <w:rsid w:val="00E12CFC"/>
    <w:rsid w:val="00E12E77"/>
    <w:rsid w:val="00E146F2"/>
    <w:rsid w:val="00E14E84"/>
    <w:rsid w:val="00E17C50"/>
    <w:rsid w:val="00E20B87"/>
    <w:rsid w:val="00E232B1"/>
    <w:rsid w:val="00E25051"/>
    <w:rsid w:val="00E26773"/>
    <w:rsid w:val="00E27140"/>
    <w:rsid w:val="00E307FE"/>
    <w:rsid w:val="00E32592"/>
    <w:rsid w:val="00E33FE7"/>
    <w:rsid w:val="00E5278B"/>
    <w:rsid w:val="00E54A78"/>
    <w:rsid w:val="00E60D06"/>
    <w:rsid w:val="00E679F8"/>
    <w:rsid w:val="00E75132"/>
    <w:rsid w:val="00E76BF2"/>
    <w:rsid w:val="00E86EA7"/>
    <w:rsid w:val="00E86F4E"/>
    <w:rsid w:val="00E918E3"/>
    <w:rsid w:val="00E95DE0"/>
    <w:rsid w:val="00E96A62"/>
    <w:rsid w:val="00E96E60"/>
    <w:rsid w:val="00EA063D"/>
    <w:rsid w:val="00EA2D1C"/>
    <w:rsid w:val="00EA3086"/>
    <w:rsid w:val="00EB0445"/>
    <w:rsid w:val="00EB32A9"/>
    <w:rsid w:val="00EB49BB"/>
    <w:rsid w:val="00EC0A87"/>
    <w:rsid w:val="00EC180B"/>
    <w:rsid w:val="00EC4758"/>
    <w:rsid w:val="00EC4DD4"/>
    <w:rsid w:val="00EC706E"/>
    <w:rsid w:val="00EC7398"/>
    <w:rsid w:val="00ED2F03"/>
    <w:rsid w:val="00ED6665"/>
    <w:rsid w:val="00ED7468"/>
    <w:rsid w:val="00ED7BB9"/>
    <w:rsid w:val="00EE4F9C"/>
    <w:rsid w:val="00EE6E27"/>
    <w:rsid w:val="00EE7F73"/>
    <w:rsid w:val="00EF3674"/>
    <w:rsid w:val="00F03D70"/>
    <w:rsid w:val="00F04E53"/>
    <w:rsid w:val="00F0645C"/>
    <w:rsid w:val="00F11E2C"/>
    <w:rsid w:val="00F17B89"/>
    <w:rsid w:val="00F22F24"/>
    <w:rsid w:val="00F25B6E"/>
    <w:rsid w:val="00F31156"/>
    <w:rsid w:val="00F42228"/>
    <w:rsid w:val="00F468D2"/>
    <w:rsid w:val="00F47B23"/>
    <w:rsid w:val="00F52634"/>
    <w:rsid w:val="00F56675"/>
    <w:rsid w:val="00F65AB5"/>
    <w:rsid w:val="00F74366"/>
    <w:rsid w:val="00F74C59"/>
    <w:rsid w:val="00F750FB"/>
    <w:rsid w:val="00F7601E"/>
    <w:rsid w:val="00F7771A"/>
    <w:rsid w:val="00F8199C"/>
    <w:rsid w:val="00F81ED6"/>
    <w:rsid w:val="00F86BFE"/>
    <w:rsid w:val="00F87781"/>
    <w:rsid w:val="00F87CAB"/>
    <w:rsid w:val="00F92C8C"/>
    <w:rsid w:val="00F9581B"/>
    <w:rsid w:val="00FA24C0"/>
    <w:rsid w:val="00FA2E2B"/>
    <w:rsid w:val="00FB3F23"/>
    <w:rsid w:val="00FB56E5"/>
    <w:rsid w:val="00FC13E3"/>
    <w:rsid w:val="00FC5472"/>
    <w:rsid w:val="00FC54CC"/>
    <w:rsid w:val="00FC59BC"/>
    <w:rsid w:val="00FD411D"/>
    <w:rsid w:val="00FD7D97"/>
    <w:rsid w:val="00FE2E18"/>
    <w:rsid w:val="00FE3D69"/>
    <w:rsid w:val="00FE40B7"/>
    <w:rsid w:val="00FF4B36"/>
    <w:rsid w:val="00FF52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ACC"/>
  <w15:chartTrackingRefBased/>
  <w15:docId w15:val="{34AC674A-D4B7-4B1A-90E4-B3BD8E48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0B"/>
    <w:pPr>
      <w:ind w:left="720"/>
      <w:contextualSpacing/>
    </w:pPr>
  </w:style>
  <w:style w:type="paragraph" w:styleId="Header">
    <w:name w:val="header"/>
    <w:basedOn w:val="Normal"/>
    <w:link w:val="HeaderChar"/>
    <w:uiPriority w:val="99"/>
    <w:unhideWhenUsed/>
    <w:rsid w:val="00AB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6"/>
  </w:style>
  <w:style w:type="paragraph" w:styleId="Footer">
    <w:name w:val="footer"/>
    <w:basedOn w:val="Normal"/>
    <w:link w:val="FooterChar"/>
    <w:uiPriority w:val="99"/>
    <w:unhideWhenUsed/>
    <w:rsid w:val="00AB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6"/>
  </w:style>
  <w:style w:type="paragraph" w:styleId="Revision">
    <w:name w:val="Revision"/>
    <w:hidden/>
    <w:uiPriority w:val="99"/>
    <w:semiHidden/>
    <w:rsid w:val="00392127"/>
    <w:pPr>
      <w:spacing w:after="0" w:line="240" w:lineRule="auto"/>
    </w:pPr>
  </w:style>
  <w:style w:type="paragraph" w:styleId="BalloonText">
    <w:name w:val="Balloon Text"/>
    <w:basedOn w:val="Normal"/>
    <w:link w:val="BalloonTextChar"/>
    <w:uiPriority w:val="99"/>
    <w:semiHidden/>
    <w:unhideWhenUsed/>
    <w:rsid w:val="00FB5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Mokhare</dc:creator>
  <cp:keywords/>
  <dc:description/>
  <cp:lastModifiedBy>Mokone</cp:lastModifiedBy>
  <cp:revision>2</cp:revision>
  <cp:lastPrinted>2022-08-16T11:13:00Z</cp:lastPrinted>
  <dcterms:created xsi:type="dcterms:W3CDTF">2023-06-15T06:15:00Z</dcterms:created>
  <dcterms:modified xsi:type="dcterms:W3CDTF">2023-06-15T06:15:00Z</dcterms:modified>
</cp:coreProperties>
</file>