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D7D7" w14:textId="77777777" w:rsidR="00312458" w:rsidRPr="00DB2A06" w:rsidRDefault="00312458" w:rsidP="0031245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967F737" w14:textId="77777777" w:rsidR="00312458" w:rsidRDefault="00312458" w:rsidP="0048436A">
      <w:pPr>
        <w:pStyle w:val="Title"/>
        <w:spacing w:after="120" w:line="360" w:lineRule="auto"/>
        <w:rPr>
          <w:noProof/>
          <w:lang w:val="en-US"/>
        </w:rPr>
      </w:pPr>
    </w:p>
    <w:p w14:paraId="510A07E8" w14:textId="77777777" w:rsidR="0048436A" w:rsidRDefault="0048436A" w:rsidP="0048436A">
      <w:pPr>
        <w:pStyle w:val="Title"/>
        <w:spacing w:after="120" w:line="360" w:lineRule="auto"/>
      </w:pPr>
      <w:r>
        <w:rPr>
          <w:noProof/>
          <w:lang w:val="en-US"/>
        </w:rPr>
        <w:drawing>
          <wp:inline distT="0" distB="0" distL="0" distR="0" wp14:anchorId="510A0864" wp14:editId="510A0865">
            <wp:extent cx="153352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10A07E9" w14:textId="77777777" w:rsidR="0048436A" w:rsidRPr="002B0678" w:rsidRDefault="0048436A" w:rsidP="00A6437F">
      <w:pPr>
        <w:jc w:val="center"/>
        <w:rPr>
          <w:rFonts w:cs="Arial"/>
          <w:b/>
          <w:sz w:val="24"/>
        </w:rPr>
      </w:pPr>
      <w:r w:rsidRPr="002B0678">
        <w:rPr>
          <w:rFonts w:cs="Arial"/>
          <w:b/>
          <w:sz w:val="24"/>
        </w:rPr>
        <w:t xml:space="preserve">IN </w:t>
      </w:r>
      <w:r w:rsidR="000B74FB" w:rsidRPr="002B0678">
        <w:rPr>
          <w:rFonts w:cs="Arial"/>
          <w:b/>
          <w:sz w:val="24"/>
        </w:rPr>
        <w:t>THE HIGH COURT OF SOUTH AFRICA</w:t>
      </w:r>
    </w:p>
    <w:p w14:paraId="510A07EA" w14:textId="77777777" w:rsidR="0048436A" w:rsidRPr="002B0678" w:rsidRDefault="0048436A" w:rsidP="0048436A">
      <w:pPr>
        <w:spacing w:line="240" w:lineRule="auto"/>
        <w:jc w:val="center"/>
        <w:rPr>
          <w:rFonts w:cs="Arial"/>
          <w:b/>
          <w:sz w:val="24"/>
        </w:rPr>
      </w:pPr>
      <w:r w:rsidRPr="002B0678">
        <w:rPr>
          <w:rFonts w:cs="Arial"/>
          <w:b/>
          <w:sz w:val="24"/>
        </w:rPr>
        <w:t>GAUTENG DIVISION, JOHANNESBURG</w:t>
      </w:r>
    </w:p>
    <w:p w14:paraId="510A07EB" w14:textId="77777777" w:rsidR="0048436A" w:rsidRPr="002B0678" w:rsidRDefault="0048436A" w:rsidP="0048436A">
      <w:pPr>
        <w:spacing w:line="240" w:lineRule="auto"/>
        <w:rPr>
          <w:rFonts w:cs="Arial"/>
          <w:b/>
          <w:sz w:val="24"/>
        </w:rPr>
      </w:pPr>
    </w:p>
    <w:p w14:paraId="622659BF" w14:textId="4D5F27B4" w:rsidR="00EC25FA" w:rsidRPr="002B0678" w:rsidRDefault="00EC25FA" w:rsidP="00EC25FA">
      <w:pPr>
        <w:spacing w:line="240" w:lineRule="auto"/>
        <w:jc w:val="right"/>
        <w:rPr>
          <w:rFonts w:cs="Arial"/>
          <w:b/>
          <w:sz w:val="24"/>
        </w:rPr>
      </w:pPr>
      <w:r w:rsidRPr="002B0678">
        <w:rPr>
          <w:rFonts w:cs="Arial"/>
          <w:b/>
          <w:sz w:val="24"/>
        </w:rPr>
        <w:t>C</w:t>
      </w:r>
      <w:r w:rsidR="008C04EC">
        <w:rPr>
          <w:rFonts w:cs="Arial"/>
          <w:b/>
          <w:sz w:val="24"/>
        </w:rPr>
        <w:t>ase</w:t>
      </w:r>
      <w:r w:rsidRPr="002B0678">
        <w:rPr>
          <w:rFonts w:cs="Arial"/>
          <w:b/>
          <w:sz w:val="24"/>
        </w:rPr>
        <w:t xml:space="preserve"> N</w:t>
      </w:r>
      <w:r w:rsidR="008C04EC">
        <w:rPr>
          <w:rFonts w:cs="Arial"/>
          <w:b/>
          <w:sz w:val="24"/>
        </w:rPr>
        <w:t>o</w:t>
      </w:r>
      <w:r w:rsidRPr="002B0678">
        <w:rPr>
          <w:rFonts w:cs="Arial"/>
          <w:b/>
          <w:sz w:val="24"/>
        </w:rPr>
        <w:t xml:space="preserve">: </w:t>
      </w:r>
      <w:r w:rsidR="00985AB9" w:rsidRPr="002B0678">
        <w:rPr>
          <w:rFonts w:cs="Arial"/>
          <w:b/>
          <w:sz w:val="24"/>
        </w:rPr>
        <w:t>031</w:t>
      </w:r>
      <w:r w:rsidR="00860964">
        <w:rPr>
          <w:rFonts w:cs="Arial"/>
          <w:b/>
          <w:sz w:val="24"/>
        </w:rPr>
        <w:t>666</w:t>
      </w:r>
      <w:r w:rsidRPr="002B0678">
        <w:rPr>
          <w:rFonts w:cs="Arial"/>
          <w:b/>
          <w:sz w:val="24"/>
        </w:rPr>
        <w:t>/20</w:t>
      </w:r>
      <w:r w:rsidR="00860964">
        <w:rPr>
          <w:rFonts w:cs="Arial"/>
          <w:b/>
          <w:sz w:val="24"/>
        </w:rPr>
        <w:t>22</w:t>
      </w:r>
    </w:p>
    <w:p w14:paraId="510A07EC" w14:textId="77777777" w:rsidR="0048436A" w:rsidRPr="002B0678" w:rsidRDefault="0048436A" w:rsidP="0048436A">
      <w:pPr>
        <w:spacing w:line="240" w:lineRule="auto"/>
        <w:rPr>
          <w:rFonts w:cs="Arial"/>
          <w:b/>
          <w:sz w:val="24"/>
        </w:rPr>
      </w:pPr>
    </w:p>
    <w:p w14:paraId="36C9C4E3" w14:textId="77777777" w:rsidR="0046184A" w:rsidRPr="002B0678" w:rsidRDefault="0046184A" w:rsidP="0048436A">
      <w:pPr>
        <w:spacing w:line="240" w:lineRule="auto"/>
        <w:rPr>
          <w:rFonts w:cs="Arial"/>
          <w:b/>
          <w:sz w:val="24"/>
        </w:rPr>
      </w:pPr>
    </w:p>
    <w:p w14:paraId="510A07ED" w14:textId="057A7A2B" w:rsidR="0048436A" w:rsidRPr="002B0678" w:rsidRDefault="0048436A" w:rsidP="0048436A">
      <w:pPr>
        <w:jc w:val="right"/>
        <w:rPr>
          <w:rFonts w:cs="Arial"/>
          <w:b/>
          <w:sz w:val="24"/>
        </w:rPr>
      </w:pPr>
      <w:r w:rsidRPr="002B0678">
        <w:rPr>
          <w:rFonts w:cs="Arial"/>
          <w:noProof/>
          <w:sz w:val="24"/>
          <w:lang w:val="en-US"/>
        </w:rPr>
        <mc:AlternateContent>
          <mc:Choice Requires="wps">
            <w:drawing>
              <wp:anchor distT="0" distB="0" distL="114300" distR="114300" simplePos="0" relativeHeight="251659264" behindDoc="0" locked="0" layoutInCell="1" allowOverlap="1" wp14:anchorId="510A0866" wp14:editId="510A0867">
                <wp:simplePos x="0" y="0"/>
                <wp:positionH relativeFrom="column">
                  <wp:posOffset>40005</wp:posOffset>
                </wp:positionH>
                <wp:positionV relativeFrom="paragraph">
                  <wp:posOffset>17145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10A086E" w14:textId="77777777" w:rsidR="0048436A" w:rsidRPr="00E3247C" w:rsidRDefault="0048436A" w:rsidP="0048436A">
                            <w:pPr>
                              <w:jc w:val="center"/>
                              <w:rPr>
                                <w:rFonts w:cs="Arial"/>
                                <w:b/>
                                <w:sz w:val="18"/>
                                <w:szCs w:val="18"/>
                              </w:rPr>
                            </w:pPr>
                          </w:p>
                          <w:p w14:paraId="510A086F" w14:textId="0F5A2927" w:rsidR="0048436A" w:rsidRPr="00E3247C" w:rsidRDefault="00C57235" w:rsidP="00C57235">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260455BE" w:rsidR="0048436A" w:rsidRPr="00E3247C" w:rsidRDefault="00C57235" w:rsidP="00C57235">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4444FF56" w:rsidR="0048436A" w:rsidRPr="00E3247C" w:rsidRDefault="00C57235" w:rsidP="00C57235">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A0866" id="_x0000_t202" coordsize="21600,21600" o:spt="202" path="m,l,21600r21600,l21600,xe">
                <v:stroke joinstyle="miter"/>
                <v:path gradientshapeok="t" o:connecttype="rect"/>
              </v:shapetype>
              <v:shape id="Text Box 2" o:spid="_x0000_s1026" type="#_x0000_t202" style="position:absolute;left:0;text-align:left;margin-left:3.15pt;margin-top:1.3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">
                <v:textbox>
                  <w:txbxContent>
                    <w:p w14:paraId="510A086E" w14:textId="77777777" w:rsidR="0048436A" w:rsidRPr="00E3247C" w:rsidRDefault="0048436A" w:rsidP="0048436A">
                      <w:pPr>
                        <w:jc w:val="center"/>
                        <w:rPr>
                          <w:rFonts w:cs="Arial"/>
                          <w:b/>
                          <w:sz w:val="18"/>
                          <w:szCs w:val="18"/>
                        </w:rPr>
                      </w:pPr>
                    </w:p>
                    <w:p w14:paraId="510A086F" w14:textId="0F5A2927" w:rsidR="0048436A" w:rsidRPr="00E3247C" w:rsidRDefault="00C57235" w:rsidP="00C57235">
                      <w:pPr>
                        <w:tabs>
                          <w:tab w:val="left" w:pos="900"/>
                        </w:tabs>
                        <w:spacing w:line="240" w:lineRule="auto"/>
                        <w:ind w:left="900" w:hanging="720"/>
                        <w:jc w:val="left"/>
                        <w:rPr>
                          <w:rFonts w:cs="Arial"/>
                          <w:sz w:val="18"/>
                          <w:szCs w:val="18"/>
                        </w:rPr>
                      </w:pPr>
                      <w:r w:rsidRPr="00E3247C">
                        <w:rPr>
                          <w:rFonts w:cs="Arial"/>
                          <w:sz w:val="18"/>
                          <w:szCs w:val="18"/>
                        </w:rPr>
                        <w:t>(1)</w:t>
                      </w:r>
                      <w:r w:rsidRPr="00E3247C">
                        <w:rPr>
                          <w:rFonts w:cs="Arial"/>
                          <w:sz w:val="18"/>
                          <w:szCs w:val="18"/>
                        </w:rPr>
                        <w:tab/>
                      </w:r>
                      <w:r w:rsidR="0048436A" w:rsidRPr="00E3247C">
                        <w:rPr>
                          <w:rFonts w:cs="Arial"/>
                          <w:sz w:val="18"/>
                          <w:szCs w:val="18"/>
                        </w:rPr>
                        <w:t xml:space="preserve">REPORTABLE: </w:t>
                      </w:r>
                      <w:r w:rsidR="00832BD7" w:rsidRPr="00E3247C">
                        <w:rPr>
                          <w:rFonts w:cs="Arial"/>
                          <w:b/>
                          <w:sz w:val="18"/>
                          <w:szCs w:val="18"/>
                        </w:rPr>
                        <w:t>NO</w:t>
                      </w:r>
                    </w:p>
                    <w:p w14:paraId="510A0870" w14:textId="260455BE" w:rsidR="0048436A" w:rsidRPr="00E3247C" w:rsidRDefault="00C57235" w:rsidP="00C57235">
                      <w:pPr>
                        <w:tabs>
                          <w:tab w:val="left" w:pos="900"/>
                        </w:tabs>
                        <w:spacing w:line="240" w:lineRule="auto"/>
                        <w:ind w:left="900" w:hanging="720"/>
                        <w:jc w:val="left"/>
                        <w:rPr>
                          <w:rFonts w:cs="Arial"/>
                          <w:sz w:val="18"/>
                          <w:szCs w:val="18"/>
                        </w:rPr>
                      </w:pPr>
                      <w:r w:rsidRPr="00E3247C">
                        <w:rPr>
                          <w:rFonts w:cs="Arial"/>
                          <w:sz w:val="18"/>
                          <w:szCs w:val="18"/>
                        </w:rPr>
                        <w:t>(2)</w:t>
                      </w:r>
                      <w:r w:rsidRPr="00E3247C">
                        <w:rPr>
                          <w:rFonts w:cs="Arial"/>
                          <w:sz w:val="18"/>
                          <w:szCs w:val="18"/>
                        </w:rPr>
                        <w:tab/>
                      </w:r>
                      <w:r w:rsidR="0048436A" w:rsidRPr="00E3247C">
                        <w:rPr>
                          <w:rFonts w:cs="Arial"/>
                          <w:sz w:val="18"/>
                          <w:szCs w:val="18"/>
                        </w:rPr>
                        <w:t xml:space="preserve">OF INTEREST TO OTHER JUDGES: </w:t>
                      </w:r>
                      <w:r w:rsidR="00832BD7" w:rsidRPr="00E3247C">
                        <w:rPr>
                          <w:rFonts w:cs="Arial"/>
                          <w:b/>
                          <w:sz w:val="18"/>
                          <w:szCs w:val="18"/>
                        </w:rPr>
                        <w:t>NO</w:t>
                      </w:r>
                    </w:p>
                    <w:p w14:paraId="510A0871" w14:textId="4444FF56" w:rsidR="0048436A" w:rsidRPr="00E3247C" w:rsidRDefault="00C57235" w:rsidP="00C57235">
                      <w:pPr>
                        <w:tabs>
                          <w:tab w:val="left" w:pos="900"/>
                        </w:tabs>
                        <w:spacing w:line="240" w:lineRule="auto"/>
                        <w:ind w:left="900" w:hanging="720"/>
                        <w:jc w:val="left"/>
                        <w:rPr>
                          <w:rFonts w:cs="Arial"/>
                          <w:sz w:val="18"/>
                          <w:szCs w:val="18"/>
                        </w:rPr>
                      </w:pPr>
                      <w:r w:rsidRPr="00E3247C">
                        <w:rPr>
                          <w:rFonts w:cs="Arial"/>
                          <w:sz w:val="18"/>
                          <w:szCs w:val="18"/>
                        </w:rPr>
                        <w:t>(3)</w:t>
                      </w:r>
                      <w:r w:rsidRPr="00E3247C">
                        <w:rPr>
                          <w:rFonts w:cs="Arial"/>
                          <w:sz w:val="18"/>
                          <w:szCs w:val="18"/>
                        </w:rPr>
                        <w:tab/>
                      </w:r>
                      <w:r w:rsidR="00832BD7" w:rsidRPr="00E3247C">
                        <w:rPr>
                          <w:rFonts w:cs="Arial"/>
                          <w:sz w:val="18"/>
                          <w:szCs w:val="18"/>
                        </w:rPr>
                        <w:t xml:space="preserve">REVISED: </w:t>
                      </w:r>
                      <w:r w:rsidR="00832BD7" w:rsidRPr="00E3247C">
                        <w:rPr>
                          <w:rFonts w:cs="Arial"/>
                          <w:b/>
                          <w:sz w:val="18"/>
                          <w:szCs w:val="18"/>
                        </w:rPr>
                        <w:t>NO</w:t>
                      </w:r>
                    </w:p>
                    <w:p w14:paraId="510A0872" w14:textId="77777777" w:rsidR="0048436A" w:rsidRPr="00E3247C" w:rsidRDefault="0048436A" w:rsidP="0048436A">
                      <w:pPr>
                        <w:rPr>
                          <w:rFonts w:cs="Arial"/>
                          <w:b/>
                          <w:sz w:val="18"/>
                          <w:szCs w:val="18"/>
                        </w:rPr>
                      </w:pPr>
                    </w:p>
                    <w:p w14:paraId="510A0873" w14:textId="77777777" w:rsidR="0048436A" w:rsidRPr="00E3247C" w:rsidRDefault="0048436A" w:rsidP="0048436A">
                      <w:pPr>
                        <w:rPr>
                          <w:rFonts w:cs="Arial"/>
                          <w:b/>
                          <w:sz w:val="18"/>
                          <w:szCs w:val="18"/>
                        </w:rPr>
                      </w:pPr>
                      <w:r w:rsidRPr="00E3247C">
                        <w:rPr>
                          <w:rFonts w:cs="Arial"/>
                          <w:b/>
                          <w:sz w:val="18"/>
                          <w:szCs w:val="18"/>
                        </w:rPr>
                        <w:t xml:space="preserve">         ……………………</w:t>
                      </w:r>
                      <w:r w:rsidR="00A35FB8" w:rsidRPr="00E3247C">
                        <w:rPr>
                          <w:rFonts w:cs="Arial"/>
                          <w:b/>
                          <w:sz w:val="18"/>
                          <w:szCs w:val="18"/>
                        </w:rPr>
                        <w:t>….</w:t>
                      </w:r>
                      <w:r w:rsidRPr="00E3247C">
                        <w:rPr>
                          <w:rFonts w:cs="Arial"/>
                          <w:b/>
                          <w:sz w:val="18"/>
                          <w:szCs w:val="18"/>
                        </w:rPr>
                        <w:tab/>
                      </w:r>
                      <w:r w:rsidRPr="00E3247C">
                        <w:rPr>
                          <w:rFonts w:cs="Arial"/>
                          <w:b/>
                          <w:sz w:val="18"/>
                          <w:szCs w:val="18"/>
                        </w:rPr>
                        <w:tab/>
                        <w:t>………………………...</w:t>
                      </w:r>
                      <w:r w:rsidR="00A35FB8" w:rsidRPr="00E3247C">
                        <w:rPr>
                          <w:rFonts w:cs="Arial"/>
                          <w:b/>
                          <w:sz w:val="18"/>
                          <w:szCs w:val="18"/>
                        </w:rPr>
                        <w:t xml:space="preserve"> </w:t>
                      </w:r>
                    </w:p>
                    <w:p w14:paraId="510A0874" w14:textId="77777777" w:rsidR="0048436A" w:rsidRPr="00E3247C" w:rsidRDefault="0048436A" w:rsidP="0048436A">
                      <w:pPr>
                        <w:rPr>
                          <w:rFonts w:cs="Arial"/>
                          <w:sz w:val="18"/>
                          <w:szCs w:val="18"/>
                        </w:rPr>
                      </w:pPr>
                      <w:r w:rsidRPr="00E3247C">
                        <w:rPr>
                          <w:rFonts w:cs="Arial"/>
                          <w:sz w:val="18"/>
                          <w:szCs w:val="18"/>
                        </w:rPr>
                        <w:t xml:space="preserve">                   DATE</w:t>
                      </w:r>
                      <w:r w:rsidRPr="00E3247C">
                        <w:rPr>
                          <w:rFonts w:cs="Arial"/>
                          <w:sz w:val="18"/>
                          <w:szCs w:val="18"/>
                        </w:rPr>
                        <w:tab/>
                      </w:r>
                      <w:r w:rsidRPr="00E3247C">
                        <w:rPr>
                          <w:rFonts w:cs="Arial"/>
                          <w:sz w:val="18"/>
                          <w:szCs w:val="18"/>
                        </w:rPr>
                        <w:tab/>
                      </w:r>
                      <w:r w:rsidRPr="00E3247C">
                        <w:rPr>
                          <w:rFonts w:cs="Arial"/>
                          <w:sz w:val="18"/>
                          <w:szCs w:val="18"/>
                        </w:rPr>
                        <w:tab/>
                        <w:t xml:space="preserve">        SIGNATURE</w:t>
                      </w:r>
                    </w:p>
                  </w:txbxContent>
                </v:textbox>
              </v:shape>
            </w:pict>
          </mc:Fallback>
        </mc:AlternateContent>
      </w:r>
    </w:p>
    <w:p w14:paraId="510A07EE" w14:textId="77777777" w:rsidR="0048436A" w:rsidRPr="002B0678" w:rsidRDefault="0048436A" w:rsidP="0048436A">
      <w:pPr>
        <w:rPr>
          <w:rFonts w:cs="Arial"/>
          <w:sz w:val="24"/>
        </w:rPr>
      </w:pPr>
    </w:p>
    <w:p w14:paraId="510A07EF" w14:textId="77777777" w:rsidR="0048436A" w:rsidRPr="002B0678" w:rsidRDefault="0048436A" w:rsidP="0048436A">
      <w:pPr>
        <w:rPr>
          <w:rFonts w:cs="Arial"/>
          <w:sz w:val="24"/>
        </w:rPr>
      </w:pPr>
    </w:p>
    <w:p w14:paraId="510A07F0" w14:textId="77777777" w:rsidR="0048436A" w:rsidRPr="002B0678" w:rsidRDefault="0048436A" w:rsidP="0048436A">
      <w:pPr>
        <w:rPr>
          <w:rFonts w:cs="Arial"/>
          <w:sz w:val="24"/>
        </w:rPr>
      </w:pPr>
    </w:p>
    <w:p w14:paraId="510A07F1" w14:textId="77777777" w:rsidR="0048436A" w:rsidRPr="002B0678" w:rsidRDefault="0048436A" w:rsidP="0048436A">
      <w:pPr>
        <w:rPr>
          <w:rFonts w:cs="Arial"/>
          <w:sz w:val="24"/>
        </w:rPr>
      </w:pPr>
    </w:p>
    <w:p w14:paraId="510A07F2" w14:textId="77777777" w:rsidR="0048436A" w:rsidRPr="002B0678" w:rsidRDefault="0048436A" w:rsidP="0048436A">
      <w:pPr>
        <w:spacing w:line="480" w:lineRule="auto"/>
        <w:rPr>
          <w:rFonts w:cs="Arial"/>
          <w:sz w:val="24"/>
        </w:rPr>
      </w:pPr>
    </w:p>
    <w:p w14:paraId="510A07F3" w14:textId="77777777" w:rsidR="00E12330" w:rsidRPr="002B0678" w:rsidRDefault="00E12330" w:rsidP="00E12330">
      <w:pPr>
        <w:spacing w:line="240" w:lineRule="auto"/>
        <w:rPr>
          <w:rFonts w:cs="Arial"/>
          <w:sz w:val="24"/>
        </w:rPr>
      </w:pPr>
    </w:p>
    <w:p w14:paraId="11C68F17" w14:textId="5CEA2A66" w:rsidR="00EE71E0" w:rsidRPr="00715134" w:rsidRDefault="00EE71E0" w:rsidP="00C164AE">
      <w:pPr>
        <w:spacing w:after="120" w:line="240" w:lineRule="auto"/>
        <w:rPr>
          <w:rFonts w:cs="Arial"/>
          <w:sz w:val="24"/>
        </w:rPr>
      </w:pPr>
      <w:r w:rsidRPr="00715134">
        <w:rPr>
          <w:rFonts w:cs="Arial"/>
          <w:sz w:val="24"/>
        </w:rPr>
        <w:t xml:space="preserve">In the </w:t>
      </w:r>
      <w:r w:rsidR="00860964">
        <w:rPr>
          <w:rFonts w:cs="Arial"/>
          <w:sz w:val="24"/>
        </w:rPr>
        <w:t>matter</w:t>
      </w:r>
      <w:r w:rsidRPr="00715134">
        <w:rPr>
          <w:rFonts w:cs="Arial"/>
          <w:sz w:val="24"/>
        </w:rPr>
        <w:t xml:space="preserve"> between</w:t>
      </w:r>
    </w:p>
    <w:p w14:paraId="096C2FFD" w14:textId="77777777" w:rsidR="00EE71E0" w:rsidRPr="00715134" w:rsidRDefault="00EE71E0" w:rsidP="00715134">
      <w:pPr>
        <w:spacing w:line="240" w:lineRule="auto"/>
        <w:rPr>
          <w:rFonts w:cs="Arial"/>
          <w:sz w:val="24"/>
        </w:rPr>
      </w:pPr>
    </w:p>
    <w:tbl>
      <w:tblPr>
        <w:tblW w:w="0" w:type="auto"/>
        <w:tblLook w:val="04A0" w:firstRow="1" w:lastRow="0" w:firstColumn="1" w:lastColumn="0" w:noHBand="0" w:noVBand="1"/>
      </w:tblPr>
      <w:tblGrid>
        <w:gridCol w:w="1985"/>
        <w:gridCol w:w="4252"/>
        <w:gridCol w:w="3119"/>
      </w:tblGrid>
      <w:tr w:rsidR="00EE71E0" w:rsidRPr="00715134" w14:paraId="4CD63C9D" w14:textId="77777777" w:rsidTr="00CA72B7">
        <w:tc>
          <w:tcPr>
            <w:tcW w:w="6237" w:type="dxa"/>
            <w:gridSpan w:val="2"/>
            <w:hideMark/>
          </w:tcPr>
          <w:p w14:paraId="1679AD18" w14:textId="52E85176" w:rsidR="00EE71E0" w:rsidRPr="00715134" w:rsidRDefault="00F82D8E" w:rsidP="00715134">
            <w:pPr>
              <w:spacing w:line="240" w:lineRule="auto"/>
              <w:jc w:val="left"/>
              <w:rPr>
                <w:rFonts w:cs="Arial"/>
                <w:bCs/>
                <w:sz w:val="24"/>
                <w:lang w:eastAsia="en-ZA"/>
              </w:rPr>
            </w:pPr>
            <w:r>
              <w:rPr>
                <w:rFonts w:cs="Arial"/>
                <w:b/>
                <w:bCs/>
                <w:sz w:val="24"/>
                <w:lang w:eastAsia="en-ZA"/>
              </w:rPr>
              <w:t>N D</w:t>
            </w:r>
          </w:p>
        </w:tc>
        <w:tc>
          <w:tcPr>
            <w:tcW w:w="3119" w:type="dxa"/>
            <w:hideMark/>
          </w:tcPr>
          <w:p w14:paraId="54F21D53" w14:textId="35F05990" w:rsidR="00EE71E0" w:rsidRPr="00715134" w:rsidRDefault="00EE71E0" w:rsidP="00715134">
            <w:pPr>
              <w:spacing w:line="240" w:lineRule="auto"/>
              <w:jc w:val="right"/>
              <w:rPr>
                <w:rFonts w:cs="Arial"/>
                <w:sz w:val="24"/>
                <w:lang w:eastAsia="en-ZA"/>
              </w:rPr>
            </w:pPr>
            <w:r w:rsidRPr="00715134">
              <w:rPr>
                <w:rFonts w:cs="Arial"/>
                <w:sz w:val="24"/>
                <w:lang w:eastAsia="en-ZA"/>
              </w:rPr>
              <w:t>Applicant</w:t>
            </w:r>
          </w:p>
          <w:p w14:paraId="675BEE6A" w14:textId="77777777" w:rsidR="00EE71E0" w:rsidRPr="00715134" w:rsidRDefault="00EE71E0" w:rsidP="00715134">
            <w:pPr>
              <w:spacing w:line="240" w:lineRule="auto"/>
              <w:jc w:val="right"/>
              <w:rPr>
                <w:rFonts w:cs="Arial"/>
                <w:sz w:val="24"/>
                <w:lang w:eastAsia="en-ZA"/>
              </w:rPr>
            </w:pPr>
          </w:p>
        </w:tc>
      </w:tr>
      <w:tr w:rsidR="00EE71E0" w:rsidRPr="00715134" w14:paraId="4ECD2F43" w14:textId="77777777" w:rsidTr="00CA72B7">
        <w:tc>
          <w:tcPr>
            <w:tcW w:w="6237" w:type="dxa"/>
            <w:gridSpan w:val="2"/>
          </w:tcPr>
          <w:p w14:paraId="59EF502C" w14:textId="77777777" w:rsidR="00EE71E0" w:rsidRPr="00715134" w:rsidRDefault="00EE71E0" w:rsidP="00715134">
            <w:pPr>
              <w:spacing w:line="240" w:lineRule="auto"/>
              <w:jc w:val="left"/>
              <w:rPr>
                <w:rFonts w:cs="Arial"/>
                <w:sz w:val="24"/>
                <w:lang w:eastAsia="en-ZA"/>
              </w:rPr>
            </w:pPr>
          </w:p>
        </w:tc>
        <w:tc>
          <w:tcPr>
            <w:tcW w:w="3119" w:type="dxa"/>
          </w:tcPr>
          <w:p w14:paraId="4CE380B3" w14:textId="77777777" w:rsidR="00EE71E0" w:rsidRPr="00715134" w:rsidRDefault="00EE71E0" w:rsidP="00715134">
            <w:pPr>
              <w:spacing w:line="240" w:lineRule="auto"/>
              <w:jc w:val="right"/>
              <w:rPr>
                <w:rFonts w:cs="Arial"/>
                <w:sz w:val="24"/>
                <w:lang w:eastAsia="en-ZA"/>
              </w:rPr>
            </w:pPr>
          </w:p>
        </w:tc>
      </w:tr>
      <w:tr w:rsidR="00EE71E0" w:rsidRPr="00715134" w14:paraId="31BE2DC0" w14:textId="77777777" w:rsidTr="00CA72B7">
        <w:tc>
          <w:tcPr>
            <w:tcW w:w="6237" w:type="dxa"/>
            <w:gridSpan w:val="2"/>
            <w:hideMark/>
          </w:tcPr>
          <w:p w14:paraId="309B0E2F" w14:textId="77777777" w:rsidR="00EE71E0" w:rsidRPr="00715134" w:rsidRDefault="00EE71E0" w:rsidP="00715134">
            <w:pPr>
              <w:pStyle w:val="Heading1"/>
              <w:spacing w:line="240" w:lineRule="auto"/>
              <w:jc w:val="left"/>
              <w:rPr>
                <w:b w:val="0"/>
                <w:bCs w:val="0"/>
                <w:sz w:val="24"/>
                <w:lang w:eastAsia="en-ZA"/>
              </w:rPr>
            </w:pPr>
            <w:r w:rsidRPr="00715134">
              <w:rPr>
                <w:b w:val="0"/>
                <w:bCs w:val="0"/>
                <w:sz w:val="24"/>
                <w:lang w:eastAsia="en-ZA"/>
              </w:rPr>
              <w:t>And</w:t>
            </w:r>
          </w:p>
          <w:p w14:paraId="477BE9AE" w14:textId="77777777" w:rsidR="00EE71E0" w:rsidRPr="00715134" w:rsidRDefault="00EE71E0" w:rsidP="00715134">
            <w:pPr>
              <w:spacing w:line="240" w:lineRule="auto"/>
              <w:rPr>
                <w:rFonts w:cs="Arial"/>
                <w:sz w:val="24"/>
                <w:lang w:eastAsia="en-ZA"/>
              </w:rPr>
            </w:pPr>
          </w:p>
        </w:tc>
        <w:tc>
          <w:tcPr>
            <w:tcW w:w="3119" w:type="dxa"/>
          </w:tcPr>
          <w:p w14:paraId="77C0926C" w14:textId="77777777" w:rsidR="00EE71E0" w:rsidRPr="00715134" w:rsidRDefault="00EE71E0" w:rsidP="00715134">
            <w:pPr>
              <w:spacing w:line="240" w:lineRule="auto"/>
              <w:jc w:val="right"/>
              <w:rPr>
                <w:rFonts w:cs="Arial"/>
                <w:sz w:val="24"/>
                <w:lang w:eastAsia="en-ZA"/>
              </w:rPr>
            </w:pPr>
          </w:p>
        </w:tc>
      </w:tr>
      <w:tr w:rsidR="00EE71E0" w:rsidRPr="00715134" w14:paraId="6ED9650B" w14:textId="77777777" w:rsidTr="00CA72B7">
        <w:tc>
          <w:tcPr>
            <w:tcW w:w="6237" w:type="dxa"/>
            <w:gridSpan w:val="2"/>
          </w:tcPr>
          <w:p w14:paraId="67EDE39B" w14:textId="77777777" w:rsidR="00EE71E0" w:rsidRPr="00715134" w:rsidRDefault="00EE71E0" w:rsidP="00715134">
            <w:pPr>
              <w:spacing w:line="240" w:lineRule="auto"/>
              <w:jc w:val="left"/>
              <w:rPr>
                <w:rFonts w:cs="Arial"/>
                <w:sz w:val="24"/>
                <w:lang w:eastAsia="en-ZA"/>
              </w:rPr>
            </w:pPr>
          </w:p>
        </w:tc>
        <w:tc>
          <w:tcPr>
            <w:tcW w:w="3119" w:type="dxa"/>
          </w:tcPr>
          <w:p w14:paraId="2C41AEBD" w14:textId="77777777" w:rsidR="00EE71E0" w:rsidRPr="00715134" w:rsidRDefault="00EE71E0" w:rsidP="00715134">
            <w:pPr>
              <w:spacing w:line="240" w:lineRule="auto"/>
              <w:jc w:val="right"/>
              <w:rPr>
                <w:rFonts w:cs="Arial"/>
                <w:sz w:val="24"/>
                <w:lang w:eastAsia="en-ZA"/>
              </w:rPr>
            </w:pPr>
          </w:p>
        </w:tc>
      </w:tr>
      <w:tr w:rsidR="00EE71E0" w:rsidRPr="00715134" w14:paraId="7502CEFE" w14:textId="77777777" w:rsidTr="00CA72B7">
        <w:tc>
          <w:tcPr>
            <w:tcW w:w="6237" w:type="dxa"/>
            <w:gridSpan w:val="2"/>
            <w:hideMark/>
          </w:tcPr>
          <w:p w14:paraId="250655C7" w14:textId="1A5A2FBF" w:rsidR="00EE71E0" w:rsidRPr="00715134" w:rsidRDefault="00F82D8E" w:rsidP="00715134">
            <w:pPr>
              <w:pStyle w:val="Heading1"/>
              <w:spacing w:line="240" w:lineRule="auto"/>
              <w:jc w:val="left"/>
              <w:rPr>
                <w:sz w:val="24"/>
                <w:lang w:eastAsia="en-ZA"/>
              </w:rPr>
            </w:pPr>
            <w:r>
              <w:rPr>
                <w:bCs w:val="0"/>
                <w:sz w:val="24"/>
                <w:lang w:eastAsia="en-ZA"/>
              </w:rPr>
              <w:t>M D</w:t>
            </w:r>
          </w:p>
        </w:tc>
        <w:tc>
          <w:tcPr>
            <w:tcW w:w="3119" w:type="dxa"/>
            <w:hideMark/>
          </w:tcPr>
          <w:p w14:paraId="7F1573A7" w14:textId="77777777" w:rsidR="00EE71E0" w:rsidRPr="00715134" w:rsidRDefault="00EE71E0" w:rsidP="00715134">
            <w:pPr>
              <w:spacing w:line="240" w:lineRule="auto"/>
              <w:jc w:val="right"/>
              <w:rPr>
                <w:rFonts w:cs="Arial"/>
                <w:sz w:val="24"/>
                <w:lang w:eastAsia="en-ZA"/>
              </w:rPr>
            </w:pPr>
            <w:r w:rsidRPr="00715134">
              <w:rPr>
                <w:rFonts w:cs="Arial"/>
                <w:sz w:val="24"/>
                <w:lang w:eastAsia="en-ZA"/>
              </w:rPr>
              <w:t xml:space="preserve">Respondent </w:t>
            </w:r>
          </w:p>
        </w:tc>
      </w:tr>
      <w:tr w:rsidR="00EE71E0" w:rsidRPr="00715134" w14:paraId="00E6DFA7" w14:textId="77777777" w:rsidTr="00CA72B7">
        <w:trPr>
          <w:trHeight w:val="315"/>
        </w:trPr>
        <w:tc>
          <w:tcPr>
            <w:tcW w:w="6237" w:type="dxa"/>
            <w:gridSpan w:val="2"/>
          </w:tcPr>
          <w:p w14:paraId="07CBD3E6" w14:textId="77777777" w:rsidR="00EE71E0" w:rsidRPr="00715134" w:rsidRDefault="00EE71E0" w:rsidP="00715134">
            <w:pPr>
              <w:pStyle w:val="Heading1"/>
              <w:spacing w:line="240" w:lineRule="auto"/>
              <w:jc w:val="left"/>
              <w:rPr>
                <w:bCs w:val="0"/>
                <w:sz w:val="24"/>
                <w:lang w:eastAsia="en-ZA"/>
              </w:rPr>
            </w:pPr>
            <w:r w:rsidRPr="00715134">
              <w:rPr>
                <w:bCs w:val="0"/>
                <w:sz w:val="24"/>
                <w:lang w:eastAsia="en-ZA"/>
              </w:rPr>
              <w:t xml:space="preserve"> </w:t>
            </w:r>
          </w:p>
        </w:tc>
        <w:tc>
          <w:tcPr>
            <w:tcW w:w="3119" w:type="dxa"/>
          </w:tcPr>
          <w:p w14:paraId="318CC824" w14:textId="77777777" w:rsidR="00EE71E0" w:rsidRPr="00715134" w:rsidRDefault="00EE71E0" w:rsidP="00715134">
            <w:pPr>
              <w:spacing w:line="240" w:lineRule="auto"/>
              <w:jc w:val="right"/>
              <w:rPr>
                <w:rFonts w:cs="Arial"/>
                <w:sz w:val="24"/>
                <w:lang w:eastAsia="en-ZA"/>
              </w:rPr>
            </w:pPr>
          </w:p>
        </w:tc>
      </w:tr>
      <w:tr w:rsidR="00EB5EB6" w:rsidRPr="00715134" w14:paraId="083AFF58" w14:textId="77777777" w:rsidTr="00CA72B7">
        <w:trPr>
          <w:trHeight w:val="315"/>
        </w:trPr>
        <w:tc>
          <w:tcPr>
            <w:tcW w:w="6237" w:type="dxa"/>
            <w:gridSpan w:val="2"/>
          </w:tcPr>
          <w:p w14:paraId="7B324569" w14:textId="77777777" w:rsidR="00EB5EB6" w:rsidRPr="00715134" w:rsidRDefault="00EB5EB6" w:rsidP="00715134">
            <w:pPr>
              <w:pStyle w:val="Heading1"/>
              <w:spacing w:line="240" w:lineRule="auto"/>
              <w:jc w:val="left"/>
              <w:rPr>
                <w:bCs w:val="0"/>
                <w:sz w:val="24"/>
                <w:lang w:eastAsia="en-ZA"/>
              </w:rPr>
            </w:pPr>
          </w:p>
        </w:tc>
        <w:tc>
          <w:tcPr>
            <w:tcW w:w="3119" w:type="dxa"/>
          </w:tcPr>
          <w:p w14:paraId="529DBBD0" w14:textId="77777777" w:rsidR="00EB5EB6" w:rsidRPr="00715134" w:rsidRDefault="00EB5EB6" w:rsidP="00715134">
            <w:pPr>
              <w:spacing w:line="240" w:lineRule="auto"/>
              <w:jc w:val="right"/>
              <w:rPr>
                <w:rFonts w:cs="Arial"/>
                <w:sz w:val="24"/>
                <w:lang w:eastAsia="en-ZA"/>
              </w:rPr>
            </w:pPr>
          </w:p>
        </w:tc>
      </w:tr>
      <w:tr w:rsidR="0084250A" w:rsidRPr="007E43E7" w14:paraId="56C004B3" w14:textId="77777777" w:rsidTr="0084250A">
        <w:trPr>
          <w:trHeight w:val="315"/>
        </w:trPr>
        <w:tc>
          <w:tcPr>
            <w:tcW w:w="1985" w:type="dxa"/>
          </w:tcPr>
          <w:p w14:paraId="34AF3737" w14:textId="6F71E23D" w:rsidR="0084250A" w:rsidRPr="0084250A" w:rsidRDefault="0084250A" w:rsidP="00D5200E">
            <w:pPr>
              <w:pStyle w:val="Heading1"/>
              <w:spacing w:line="240" w:lineRule="auto"/>
              <w:rPr>
                <w:b w:val="0"/>
                <w:bCs w:val="0"/>
                <w:sz w:val="24"/>
                <w:lang w:eastAsia="en-ZA"/>
              </w:rPr>
            </w:pPr>
            <w:r w:rsidRPr="0084250A">
              <w:rPr>
                <w:b w:val="0"/>
                <w:bCs w:val="0"/>
                <w:sz w:val="24"/>
                <w:lang w:eastAsia="en-ZA"/>
              </w:rPr>
              <w:t>Neutral citation:</w:t>
            </w:r>
          </w:p>
        </w:tc>
        <w:tc>
          <w:tcPr>
            <w:tcW w:w="7371" w:type="dxa"/>
            <w:gridSpan w:val="2"/>
          </w:tcPr>
          <w:p w14:paraId="40E61BA9" w14:textId="38479BF1" w:rsidR="0084250A" w:rsidRPr="001A108E" w:rsidRDefault="00636B64" w:rsidP="00D5200E">
            <w:pPr>
              <w:spacing w:line="240" w:lineRule="auto"/>
              <w:rPr>
                <w:rFonts w:cs="Arial"/>
                <w:sz w:val="24"/>
                <w:lang w:eastAsia="en-ZA"/>
              </w:rPr>
            </w:pPr>
            <w:r w:rsidRPr="001A108E">
              <w:rPr>
                <w:rFonts w:cs="Arial"/>
                <w:i/>
                <w:iCs/>
                <w:sz w:val="24"/>
                <w:lang w:eastAsia="en-ZA"/>
              </w:rPr>
              <w:t>N</w:t>
            </w:r>
            <w:r w:rsidR="007E43E7" w:rsidRPr="001A108E">
              <w:rPr>
                <w:rFonts w:cs="Arial"/>
                <w:i/>
                <w:iCs/>
                <w:sz w:val="24"/>
                <w:lang w:eastAsia="en-ZA"/>
              </w:rPr>
              <w:t xml:space="preserve">D </w:t>
            </w:r>
            <w:r w:rsidR="0084250A" w:rsidRPr="001A108E">
              <w:rPr>
                <w:rFonts w:cs="Arial"/>
                <w:i/>
                <w:iCs/>
                <w:sz w:val="24"/>
                <w:lang w:eastAsia="en-ZA"/>
              </w:rPr>
              <w:t xml:space="preserve">v </w:t>
            </w:r>
            <w:r w:rsidRPr="001A108E">
              <w:rPr>
                <w:rFonts w:cs="Arial"/>
                <w:i/>
                <w:iCs/>
                <w:sz w:val="24"/>
                <w:lang w:eastAsia="en-ZA"/>
              </w:rPr>
              <w:t>M</w:t>
            </w:r>
            <w:r w:rsidR="0084250A" w:rsidRPr="001A108E">
              <w:rPr>
                <w:rFonts w:cs="Arial"/>
                <w:i/>
                <w:iCs/>
                <w:sz w:val="24"/>
                <w:lang w:eastAsia="en-ZA"/>
              </w:rPr>
              <w:t xml:space="preserve">D </w:t>
            </w:r>
            <w:r w:rsidR="0084250A" w:rsidRPr="001A108E">
              <w:rPr>
                <w:rFonts w:cs="Arial"/>
                <w:sz w:val="24"/>
                <w:lang w:eastAsia="en-ZA"/>
              </w:rPr>
              <w:t>(</w:t>
            </w:r>
            <w:r w:rsidR="001A108E" w:rsidRPr="001A108E">
              <w:rPr>
                <w:rFonts w:cs="Arial"/>
                <w:sz w:val="24"/>
                <w:lang w:eastAsia="en-ZA"/>
              </w:rPr>
              <w:t xml:space="preserve">Case No: </w:t>
            </w:r>
            <w:r w:rsidR="0084250A" w:rsidRPr="001A108E">
              <w:rPr>
                <w:rFonts w:cs="Arial"/>
                <w:bCs/>
                <w:sz w:val="24"/>
              </w:rPr>
              <w:t>031</w:t>
            </w:r>
            <w:r w:rsidR="007E43E7" w:rsidRPr="001A108E">
              <w:rPr>
                <w:rFonts w:cs="Arial"/>
                <w:bCs/>
                <w:sz w:val="24"/>
              </w:rPr>
              <w:t>666</w:t>
            </w:r>
            <w:r w:rsidR="0084250A" w:rsidRPr="001A108E">
              <w:rPr>
                <w:rFonts w:cs="Arial"/>
                <w:bCs/>
                <w:sz w:val="24"/>
              </w:rPr>
              <w:t>/20</w:t>
            </w:r>
            <w:r w:rsidR="007E43E7" w:rsidRPr="001A108E">
              <w:rPr>
                <w:rFonts w:cs="Arial"/>
                <w:bCs/>
                <w:sz w:val="24"/>
              </w:rPr>
              <w:t>22</w:t>
            </w:r>
            <w:r w:rsidR="0084250A" w:rsidRPr="001A108E">
              <w:rPr>
                <w:rFonts w:cs="Arial"/>
                <w:sz w:val="24"/>
                <w:lang w:eastAsia="en-ZA"/>
              </w:rPr>
              <w:t xml:space="preserve">) </w:t>
            </w:r>
            <w:r w:rsidR="001A108E" w:rsidRPr="001A108E">
              <w:rPr>
                <w:rFonts w:cs="Arial"/>
                <w:sz w:val="24"/>
                <w:lang w:eastAsia="en-ZA"/>
              </w:rPr>
              <w:t xml:space="preserve">[2023] </w:t>
            </w:r>
            <w:r w:rsidR="0084250A" w:rsidRPr="001A108E">
              <w:rPr>
                <w:rFonts w:cs="Arial"/>
                <w:sz w:val="24"/>
                <w:lang w:eastAsia="en-ZA"/>
              </w:rPr>
              <w:t>ZAGPJHC 66</w:t>
            </w:r>
            <w:r w:rsidR="007E43E7" w:rsidRPr="001A108E">
              <w:rPr>
                <w:rFonts w:cs="Arial"/>
                <w:sz w:val="24"/>
                <w:lang w:eastAsia="en-ZA"/>
              </w:rPr>
              <w:t>2</w:t>
            </w:r>
            <w:r w:rsidR="0084250A" w:rsidRPr="001A108E">
              <w:rPr>
                <w:rFonts w:cs="Arial"/>
                <w:sz w:val="24"/>
                <w:lang w:eastAsia="en-ZA"/>
              </w:rPr>
              <w:t xml:space="preserve"> (07 June 2023)</w:t>
            </w:r>
            <w:r w:rsidR="0084250A" w:rsidRPr="001A108E">
              <w:rPr>
                <w:rFonts w:cs="Arial"/>
                <w:i/>
                <w:iCs/>
                <w:sz w:val="24"/>
                <w:lang w:eastAsia="en-ZA"/>
              </w:rPr>
              <w:t xml:space="preserve"> </w:t>
            </w:r>
          </w:p>
        </w:tc>
      </w:tr>
      <w:tr w:rsidR="0084250A" w:rsidRPr="007E43E7" w14:paraId="02A03563" w14:textId="77777777" w:rsidTr="00CA72B7">
        <w:trPr>
          <w:trHeight w:val="315"/>
        </w:trPr>
        <w:tc>
          <w:tcPr>
            <w:tcW w:w="6237" w:type="dxa"/>
            <w:gridSpan w:val="2"/>
          </w:tcPr>
          <w:p w14:paraId="29A39E51" w14:textId="77777777" w:rsidR="0084250A" w:rsidRPr="001A108E" w:rsidRDefault="0084250A" w:rsidP="0084250A">
            <w:pPr>
              <w:pStyle w:val="Heading1"/>
              <w:spacing w:line="240" w:lineRule="auto"/>
              <w:jc w:val="left"/>
              <w:rPr>
                <w:bCs w:val="0"/>
                <w:sz w:val="24"/>
                <w:lang w:eastAsia="en-ZA"/>
              </w:rPr>
            </w:pPr>
          </w:p>
        </w:tc>
        <w:tc>
          <w:tcPr>
            <w:tcW w:w="3119" w:type="dxa"/>
          </w:tcPr>
          <w:p w14:paraId="04FD4081" w14:textId="77777777" w:rsidR="0084250A" w:rsidRPr="001A108E" w:rsidRDefault="0084250A" w:rsidP="0084250A">
            <w:pPr>
              <w:spacing w:line="240" w:lineRule="auto"/>
              <w:jc w:val="right"/>
              <w:rPr>
                <w:rFonts w:cs="Arial"/>
                <w:sz w:val="24"/>
                <w:lang w:eastAsia="en-ZA"/>
              </w:rPr>
            </w:pPr>
          </w:p>
        </w:tc>
      </w:tr>
    </w:tbl>
    <w:p w14:paraId="0F670BAC" w14:textId="77777777" w:rsidR="00EE71E0" w:rsidRPr="001A108E" w:rsidRDefault="00EE71E0" w:rsidP="00715134">
      <w:pPr>
        <w:pBdr>
          <w:bottom w:val="single" w:sz="4" w:space="1" w:color="auto"/>
        </w:pBdr>
        <w:spacing w:line="240" w:lineRule="auto"/>
        <w:rPr>
          <w:rFonts w:cs="Arial"/>
          <w:sz w:val="24"/>
        </w:rPr>
      </w:pPr>
    </w:p>
    <w:p w14:paraId="78F51A51" w14:textId="77777777" w:rsidR="00F64E24" w:rsidRPr="001A108E" w:rsidRDefault="00F64E24" w:rsidP="00715134">
      <w:pPr>
        <w:pBdr>
          <w:bottom w:val="single" w:sz="4" w:space="1" w:color="auto"/>
        </w:pBdr>
        <w:spacing w:line="240" w:lineRule="auto"/>
        <w:rPr>
          <w:rFonts w:cs="Arial"/>
          <w:sz w:val="24"/>
        </w:rPr>
      </w:pPr>
    </w:p>
    <w:p w14:paraId="510A0813" w14:textId="77777777" w:rsidR="0048436A" w:rsidRPr="001A108E" w:rsidRDefault="0048436A" w:rsidP="0048436A">
      <w:pPr>
        <w:spacing w:line="276" w:lineRule="auto"/>
        <w:rPr>
          <w:rFonts w:cs="Arial"/>
          <w:sz w:val="24"/>
        </w:rPr>
      </w:pPr>
    </w:p>
    <w:p w14:paraId="510A0814" w14:textId="5507282F" w:rsidR="0048436A" w:rsidRPr="002B0678" w:rsidRDefault="0048436A" w:rsidP="0048436A">
      <w:pPr>
        <w:pStyle w:val="Heading2"/>
        <w:spacing w:line="276" w:lineRule="auto"/>
        <w:rPr>
          <w:sz w:val="24"/>
        </w:rPr>
      </w:pPr>
      <w:r w:rsidRPr="002B0678">
        <w:rPr>
          <w:sz w:val="24"/>
        </w:rPr>
        <w:t>JUDGMENT</w:t>
      </w:r>
    </w:p>
    <w:p w14:paraId="510A0815" w14:textId="77777777" w:rsidR="0048436A" w:rsidRPr="002B0678" w:rsidRDefault="0048436A" w:rsidP="0048436A">
      <w:pPr>
        <w:pBdr>
          <w:bottom w:val="single" w:sz="4" w:space="1" w:color="auto"/>
        </w:pBdr>
        <w:spacing w:line="240" w:lineRule="auto"/>
        <w:rPr>
          <w:rFonts w:cs="Arial"/>
          <w:sz w:val="24"/>
        </w:rPr>
      </w:pPr>
    </w:p>
    <w:p w14:paraId="510A0816" w14:textId="77777777" w:rsidR="006632B6" w:rsidRPr="002B0678" w:rsidRDefault="006632B6" w:rsidP="009B237D">
      <w:pPr>
        <w:pStyle w:val="WLGLevel1"/>
        <w:numPr>
          <w:ilvl w:val="0"/>
          <w:numId w:val="0"/>
        </w:numPr>
        <w:suppressAutoHyphens w:val="0"/>
        <w:spacing w:before="0" w:after="360"/>
        <w:ind w:left="567" w:hanging="567"/>
        <w:rPr>
          <w:rFonts w:cs="Arial"/>
          <w:szCs w:val="24"/>
          <w:lang w:val="en-GB"/>
        </w:rPr>
      </w:pPr>
    </w:p>
    <w:p w14:paraId="5FEF4E76" w14:textId="75D490C6" w:rsidR="009B237D" w:rsidRPr="00456EEA" w:rsidRDefault="00456EEA" w:rsidP="00CF20CD">
      <w:pPr>
        <w:keepNext/>
        <w:spacing w:after="480" w:line="480" w:lineRule="auto"/>
        <w:rPr>
          <w:rFonts w:cs="Arial"/>
          <w:sz w:val="24"/>
          <w:u w:val="single"/>
        </w:rPr>
      </w:pPr>
      <w:r w:rsidRPr="00456EEA">
        <w:rPr>
          <w:rFonts w:cs="Arial"/>
          <w:sz w:val="24"/>
          <w:u w:val="single"/>
        </w:rPr>
        <w:t>PEARSE AJ:</w:t>
      </w:r>
    </w:p>
    <w:p w14:paraId="2B044783" w14:textId="77777777" w:rsidR="00251F52" w:rsidRPr="004328FF" w:rsidRDefault="00251F52" w:rsidP="00251F52">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AN OVERVIEW</w:t>
      </w:r>
    </w:p>
    <w:p w14:paraId="5E383831" w14:textId="6DCF4989"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1.</w:t>
      </w:r>
      <w:r>
        <w:rPr>
          <w:rFonts w:cs="Arial"/>
          <w:bCs/>
          <w:iCs/>
          <w:szCs w:val="24"/>
          <w:lang w:val="en-GB"/>
        </w:rPr>
        <w:tab/>
      </w:r>
      <w:r w:rsidR="00251F52">
        <w:rPr>
          <w:rFonts w:cs="Arial"/>
          <w:szCs w:val="24"/>
          <w:lang w:val="en-GB"/>
        </w:rPr>
        <w:t>This matter concerns the immoveab</w:t>
      </w:r>
      <w:r w:rsidR="00873F4C">
        <w:rPr>
          <w:rFonts w:cs="Arial"/>
          <w:szCs w:val="24"/>
          <w:lang w:val="en-GB"/>
        </w:rPr>
        <w:t>le property described as Erf […]</w:t>
      </w:r>
      <w:r w:rsidR="00251F52">
        <w:rPr>
          <w:rFonts w:cs="Arial"/>
          <w:szCs w:val="24"/>
          <w:lang w:val="en-GB"/>
        </w:rPr>
        <w:t xml:space="preserve">, </w:t>
      </w:r>
      <w:r w:rsidR="00873F4C">
        <w:rPr>
          <w:rFonts w:cs="Arial"/>
          <w:szCs w:val="24"/>
          <w:lang w:val="en-GB"/>
        </w:rPr>
        <w:t>Lenasia South Extension […]</w:t>
      </w:r>
      <w:r w:rsidR="00251F52">
        <w:rPr>
          <w:rFonts w:cs="Arial"/>
          <w:szCs w:val="24"/>
          <w:lang w:val="en-GB"/>
        </w:rPr>
        <w:t>,</w:t>
      </w:r>
      <w:r w:rsidR="00873F4C">
        <w:rPr>
          <w:rFonts w:cs="Arial"/>
          <w:szCs w:val="24"/>
          <w:lang w:val="en-GB"/>
        </w:rPr>
        <w:t xml:space="preserve"> Johannesburg, and located at […] […]</w:t>
      </w:r>
      <w:r w:rsidR="00251F52">
        <w:rPr>
          <w:rFonts w:cs="Arial"/>
          <w:szCs w:val="24"/>
          <w:lang w:val="en-GB"/>
        </w:rPr>
        <w:t xml:space="preserve"> Street, Lenasia South, Johannesburg. Some 20 years after the parties’ divorce, the property, an asset of their joint estate, remains unsold and the proceeds unshared. In the main application,</w:t>
      </w:r>
      <w:r w:rsidR="00251F52" w:rsidRPr="00366992">
        <w:rPr>
          <w:rFonts w:cs="Arial"/>
          <w:szCs w:val="24"/>
          <w:lang w:val="en-GB"/>
        </w:rPr>
        <w:t xml:space="preserve"> </w:t>
      </w:r>
      <w:r w:rsidR="00251F52">
        <w:rPr>
          <w:rFonts w:cs="Arial"/>
          <w:szCs w:val="24"/>
          <w:lang w:val="en-GB"/>
        </w:rPr>
        <w:t xml:space="preserve">Ms D asks that </w:t>
      </w:r>
      <w:r w:rsidR="00251F52" w:rsidRPr="006C2D4C">
        <w:rPr>
          <w:rFonts w:cs="Arial"/>
          <w:szCs w:val="24"/>
          <w:lang w:val="en-GB"/>
        </w:rPr>
        <w:t xml:space="preserve">joint ownership of property </w:t>
      </w:r>
      <w:r w:rsidR="00251F52">
        <w:rPr>
          <w:rFonts w:cs="Arial"/>
          <w:szCs w:val="24"/>
          <w:lang w:val="en-GB"/>
        </w:rPr>
        <w:t>be</w:t>
      </w:r>
      <w:r w:rsidR="00251F52" w:rsidRPr="006C2D4C">
        <w:rPr>
          <w:rFonts w:cs="Arial"/>
          <w:szCs w:val="24"/>
          <w:lang w:val="en-GB"/>
        </w:rPr>
        <w:t xml:space="preserve"> terminat</w:t>
      </w:r>
      <w:r w:rsidR="00251F52">
        <w:rPr>
          <w:rFonts w:cs="Arial"/>
          <w:szCs w:val="24"/>
          <w:lang w:val="en-GB"/>
        </w:rPr>
        <w:t>ed. Mr D opposes that relief but counter-applies, in the event that it be granted, for compensation in respect of amounts said to have been invested in the property over the years.</w:t>
      </w:r>
      <w:r w:rsidR="00251F52" w:rsidRPr="006C2D4C">
        <w:rPr>
          <w:rFonts w:cs="Arial"/>
          <w:szCs w:val="24"/>
          <w:lang w:val="en-GB"/>
        </w:rPr>
        <w:t xml:space="preserve"> </w:t>
      </w:r>
    </w:p>
    <w:p w14:paraId="2DD09435" w14:textId="3CDFB92A"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w:t>
      </w:r>
      <w:r>
        <w:rPr>
          <w:rFonts w:cs="Arial"/>
          <w:bCs/>
          <w:iCs/>
          <w:szCs w:val="24"/>
          <w:lang w:val="en-GB"/>
        </w:rPr>
        <w:tab/>
      </w:r>
      <w:r w:rsidR="00251F52">
        <w:rPr>
          <w:rFonts w:cs="Arial"/>
          <w:szCs w:val="24"/>
          <w:lang w:val="en-GB"/>
        </w:rPr>
        <w:t xml:space="preserve">In my judgement, the counter-application is inadequately particularised and substantiated and falls to be dismissed. By contrast, the main application is established on the papers and an order detailed in paragraph </w:t>
      </w:r>
      <w:r w:rsidR="00251F52">
        <w:rPr>
          <w:rFonts w:cs="Arial"/>
          <w:szCs w:val="24"/>
          <w:lang w:val="en-GB"/>
        </w:rPr>
        <w:fldChar w:fldCharType="begin"/>
      </w:r>
      <w:r w:rsidR="00251F52">
        <w:rPr>
          <w:rFonts w:cs="Arial"/>
          <w:szCs w:val="24"/>
          <w:lang w:val="en-GB"/>
        </w:rPr>
        <w:instrText xml:space="preserve"> REF _Ref137025996 \r \p \h </w:instrText>
      </w:r>
      <w:r w:rsidR="00251F52">
        <w:rPr>
          <w:rFonts w:cs="Arial"/>
          <w:szCs w:val="24"/>
          <w:lang w:val="en-GB"/>
        </w:rPr>
      </w:r>
      <w:r w:rsidR="00251F52">
        <w:rPr>
          <w:rFonts w:cs="Arial"/>
          <w:szCs w:val="24"/>
          <w:lang w:val="en-GB"/>
        </w:rPr>
        <w:fldChar w:fldCharType="separate"/>
      </w:r>
      <w:r w:rsidR="00DC5C5A">
        <w:rPr>
          <w:rFonts w:cs="Arial"/>
          <w:szCs w:val="24"/>
          <w:lang w:val="en-GB"/>
        </w:rPr>
        <w:t>46 below</w:t>
      </w:r>
      <w:r w:rsidR="00251F52">
        <w:rPr>
          <w:rFonts w:cs="Arial"/>
          <w:szCs w:val="24"/>
          <w:lang w:val="en-GB"/>
        </w:rPr>
        <w:fldChar w:fldCharType="end"/>
      </w:r>
      <w:r w:rsidR="00251F52">
        <w:rPr>
          <w:rFonts w:cs="Arial"/>
          <w:szCs w:val="24"/>
          <w:lang w:val="en-GB"/>
        </w:rPr>
        <w:t xml:space="preserve"> is to be granted.</w:t>
      </w:r>
    </w:p>
    <w:p w14:paraId="35D27804"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lastRenderedPageBreak/>
        <w:t>THE PROCEEDINGS</w:t>
      </w:r>
    </w:p>
    <w:p w14:paraId="66530539"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t>The marriage and divorce</w:t>
      </w:r>
    </w:p>
    <w:p w14:paraId="19FC3865" w14:textId="3833F8E2"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w:t>
      </w:r>
      <w:r>
        <w:rPr>
          <w:rFonts w:cs="Arial"/>
          <w:bCs/>
          <w:iCs/>
          <w:szCs w:val="24"/>
          <w:lang w:val="en-GB"/>
        </w:rPr>
        <w:tab/>
      </w:r>
      <w:r w:rsidR="00251F52">
        <w:rPr>
          <w:rFonts w:cs="Arial"/>
          <w:szCs w:val="24"/>
          <w:lang w:val="en-GB"/>
        </w:rPr>
        <w:t>The parties were married in community of property on 09 July 1989.</w:t>
      </w:r>
    </w:p>
    <w:p w14:paraId="7C0C489D" w14:textId="3CF5AE7E"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w:t>
      </w:r>
      <w:r>
        <w:rPr>
          <w:rFonts w:cs="Arial"/>
          <w:bCs/>
          <w:iCs/>
          <w:szCs w:val="24"/>
          <w:lang w:val="en-GB"/>
        </w:rPr>
        <w:tab/>
      </w:r>
      <w:r w:rsidR="00251F52" w:rsidRPr="009D6F17">
        <w:rPr>
          <w:rFonts w:cs="Arial"/>
          <w:szCs w:val="24"/>
          <w:lang w:val="en-GB"/>
        </w:rPr>
        <w:t xml:space="preserve">The </w:t>
      </w:r>
      <w:r w:rsidR="00251F52">
        <w:rPr>
          <w:rFonts w:cs="Arial"/>
          <w:szCs w:val="24"/>
          <w:lang w:val="en-GB"/>
        </w:rPr>
        <w:t xml:space="preserve">property – the </w:t>
      </w:r>
      <w:r w:rsidR="00251F52" w:rsidRPr="009D6F17">
        <w:rPr>
          <w:rFonts w:cs="Arial"/>
          <w:szCs w:val="24"/>
          <w:lang w:val="en-GB"/>
        </w:rPr>
        <w:t xml:space="preserve">former matrimonial home </w:t>
      </w:r>
      <w:r w:rsidR="00251F52">
        <w:rPr>
          <w:rFonts w:cs="Arial"/>
          <w:szCs w:val="24"/>
          <w:lang w:val="en-GB"/>
        </w:rPr>
        <w:t>– was purchased and registered in both parties’ names on 13 January and 08 August 2001 respectively</w:t>
      </w:r>
      <w:r w:rsidR="00251F52" w:rsidRPr="009D6F17">
        <w:rPr>
          <w:rFonts w:cs="Arial"/>
          <w:szCs w:val="24"/>
          <w:lang w:val="en-GB"/>
        </w:rPr>
        <w:t>.</w:t>
      </w:r>
    </w:p>
    <w:p w14:paraId="7E4AABA3" w14:textId="4AEE8F20" w:rsidR="00251F52" w:rsidRPr="00565E7E" w:rsidRDefault="00C57235" w:rsidP="00C57235">
      <w:pPr>
        <w:pStyle w:val="WLGLevel1"/>
        <w:numPr>
          <w:ilvl w:val="0"/>
          <w:numId w:val="0"/>
        </w:numPr>
        <w:suppressAutoHyphens w:val="0"/>
        <w:spacing w:before="0" w:after="480"/>
        <w:ind w:left="709" w:hanging="709"/>
        <w:rPr>
          <w:rFonts w:cs="Arial"/>
          <w:szCs w:val="24"/>
          <w:lang w:val="en-GB"/>
        </w:rPr>
      </w:pPr>
      <w:r w:rsidRPr="00565E7E">
        <w:rPr>
          <w:rFonts w:cs="Arial"/>
          <w:bCs/>
          <w:iCs/>
          <w:szCs w:val="24"/>
          <w:lang w:val="en-GB"/>
        </w:rPr>
        <w:t>5.</w:t>
      </w:r>
      <w:r w:rsidRPr="00565E7E">
        <w:rPr>
          <w:rFonts w:cs="Arial"/>
          <w:bCs/>
          <w:iCs/>
          <w:szCs w:val="24"/>
          <w:lang w:val="en-GB"/>
        </w:rPr>
        <w:tab/>
      </w:r>
      <w:r w:rsidR="00251F52" w:rsidRPr="00565E7E">
        <w:rPr>
          <w:rFonts w:cs="Arial"/>
          <w:szCs w:val="24"/>
          <w:lang w:val="en-GB"/>
        </w:rPr>
        <w:t>A</w:t>
      </w:r>
      <w:r w:rsidR="00251F52">
        <w:rPr>
          <w:rFonts w:cs="Arial"/>
          <w:szCs w:val="24"/>
          <w:lang w:val="en-GB"/>
        </w:rPr>
        <w:t>t Ms D’s instance, a</w:t>
      </w:r>
      <w:r w:rsidR="00251F52" w:rsidRPr="00565E7E">
        <w:rPr>
          <w:rFonts w:cs="Arial"/>
          <w:szCs w:val="24"/>
          <w:lang w:val="en-GB"/>
        </w:rPr>
        <w:t xml:space="preserve"> decree of divorce dissolving the parties’ marriage was granted on </w:t>
      </w:r>
      <w:r w:rsidR="00251F52">
        <w:rPr>
          <w:rFonts w:cs="Arial"/>
          <w:szCs w:val="24"/>
          <w:lang w:val="en-GB"/>
        </w:rPr>
        <w:t>03 December</w:t>
      </w:r>
      <w:r w:rsidR="00251F52" w:rsidRPr="00565E7E">
        <w:rPr>
          <w:rFonts w:cs="Arial"/>
          <w:szCs w:val="24"/>
          <w:lang w:val="en-GB"/>
        </w:rPr>
        <w:t xml:space="preserve"> 200</w:t>
      </w:r>
      <w:r w:rsidR="00251F52">
        <w:rPr>
          <w:rFonts w:cs="Arial"/>
          <w:szCs w:val="24"/>
          <w:lang w:val="en-GB"/>
        </w:rPr>
        <w:t>2</w:t>
      </w:r>
      <w:r w:rsidR="00251F52" w:rsidRPr="00565E7E">
        <w:rPr>
          <w:rFonts w:cs="Arial"/>
          <w:szCs w:val="24"/>
          <w:lang w:val="en-GB"/>
        </w:rPr>
        <w:t>.</w:t>
      </w:r>
      <w:r w:rsidR="00251F52">
        <w:rPr>
          <w:rFonts w:cs="Arial"/>
          <w:szCs w:val="24"/>
          <w:lang w:val="en-GB"/>
        </w:rPr>
        <w:t xml:space="preserve"> </w:t>
      </w:r>
      <w:r w:rsidR="00251F52" w:rsidRPr="00565E7E">
        <w:rPr>
          <w:rFonts w:cs="Arial"/>
          <w:szCs w:val="24"/>
          <w:lang w:val="en-GB"/>
        </w:rPr>
        <w:t xml:space="preserve">The </w:t>
      </w:r>
      <w:r w:rsidR="00251F52">
        <w:rPr>
          <w:rFonts w:cs="Arial"/>
          <w:szCs w:val="24"/>
          <w:lang w:val="en-GB"/>
        </w:rPr>
        <w:t>court order</w:t>
      </w:r>
      <w:r w:rsidR="00251F52" w:rsidRPr="00565E7E">
        <w:rPr>
          <w:rFonts w:cs="Arial"/>
          <w:szCs w:val="24"/>
          <w:lang w:val="en-GB"/>
        </w:rPr>
        <w:t xml:space="preserve"> incorporated a deed of settlement </w:t>
      </w:r>
      <w:r w:rsidR="00251F52">
        <w:rPr>
          <w:rFonts w:cs="Arial"/>
          <w:szCs w:val="24"/>
          <w:lang w:val="en-GB"/>
        </w:rPr>
        <w:t xml:space="preserve">dated </w:t>
      </w:r>
      <w:r w:rsidR="00251F52" w:rsidRPr="00565E7E">
        <w:rPr>
          <w:rFonts w:cs="Arial"/>
          <w:szCs w:val="24"/>
          <w:lang w:val="en-GB"/>
        </w:rPr>
        <w:t>26 May 200</w:t>
      </w:r>
      <w:r w:rsidR="00251F52">
        <w:rPr>
          <w:rFonts w:cs="Arial"/>
          <w:szCs w:val="24"/>
          <w:lang w:val="en-GB"/>
        </w:rPr>
        <w:t xml:space="preserve">2 </w:t>
      </w:r>
      <w:r w:rsidR="00251F52" w:rsidRPr="00565E7E">
        <w:rPr>
          <w:rFonts w:cs="Arial"/>
          <w:szCs w:val="24"/>
          <w:lang w:val="en-GB"/>
        </w:rPr>
        <w:t>that recorded, under a heading “</w:t>
      </w:r>
      <w:r w:rsidR="00251F52" w:rsidRPr="00565E7E">
        <w:rPr>
          <w:rFonts w:cs="Arial"/>
          <w:i/>
          <w:iCs/>
          <w:szCs w:val="24"/>
          <w:lang w:val="en-GB"/>
        </w:rPr>
        <w:t>DIVISION OF THE ASSETS</w:t>
      </w:r>
      <w:r w:rsidR="00251F52" w:rsidRPr="00565E7E">
        <w:rPr>
          <w:rFonts w:cs="Arial"/>
          <w:szCs w:val="24"/>
          <w:lang w:val="en-GB"/>
        </w:rPr>
        <w:t>” and subheading “</w:t>
      </w:r>
      <w:r w:rsidR="00251F52" w:rsidRPr="00565E7E">
        <w:rPr>
          <w:rFonts w:cs="Arial"/>
          <w:i/>
          <w:iCs/>
          <w:szCs w:val="24"/>
          <w:lang w:val="en-GB"/>
        </w:rPr>
        <w:t>IMMOV</w:t>
      </w:r>
      <w:r w:rsidR="00251F52">
        <w:rPr>
          <w:rFonts w:cs="Arial"/>
          <w:i/>
          <w:iCs/>
          <w:szCs w:val="24"/>
          <w:lang w:val="en-GB"/>
        </w:rPr>
        <w:t>E</w:t>
      </w:r>
      <w:r w:rsidR="00251F52" w:rsidRPr="00565E7E">
        <w:rPr>
          <w:rFonts w:cs="Arial"/>
          <w:i/>
          <w:iCs/>
          <w:szCs w:val="24"/>
          <w:lang w:val="en-GB"/>
        </w:rPr>
        <w:t>ABLE ASSETS</w:t>
      </w:r>
      <w:r w:rsidR="00251F52" w:rsidRPr="00565E7E">
        <w:rPr>
          <w:rFonts w:cs="Arial"/>
          <w:szCs w:val="24"/>
          <w:lang w:val="en-GB"/>
        </w:rPr>
        <w:t>”, that</w:t>
      </w:r>
      <w:r w:rsidR="00251F52" w:rsidRPr="00D15B9D">
        <w:rPr>
          <w:rFonts w:cs="Arial"/>
        </w:rPr>
        <w:t>:</w:t>
      </w:r>
    </w:p>
    <w:p w14:paraId="11A78F1E" w14:textId="6E11E71D" w:rsidR="00251F52" w:rsidRPr="006E1499" w:rsidRDefault="00251F52" w:rsidP="00251F52">
      <w:pPr>
        <w:pStyle w:val="WLGLevel1"/>
        <w:numPr>
          <w:ilvl w:val="0"/>
          <w:numId w:val="0"/>
        </w:numPr>
        <w:suppressAutoHyphens w:val="0"/>
        <w:spacing w:before="0" w:after="360" w:line="360" w:lineRule="auto"/>
        <w:ind w:left="1559"/>
        <w:rPr>
          <w:rFonts w:cs="Arial"/>
          <w:i/>
          <w:iCs/>
          <w:sz w:val="22"/>
          <w:szCs w:val="22"/>
          <w:lang w:val="en-GB"/>
        </w:rPr>
      </w:pPr>
      <w:r w:rsidRPr="00A271D0">
        <w:rPr>
          <w:rFonts w:cs="Arial"/>
          <w:sz w:val="22"/>
          <w:szCs w:val="22"/>
          <w:lang w:val="en-GB"/>
        </w:rPr>
        <w:t>“</w:t>
      </w:r>
      <w:r w:rsidRPr="006E1499">
        <w:rPr>
          <w:rFonts w:cs="Arial"/>
          <w:i/>
          <w:iCs/>
          <w:sz w:val="22"/>
          <w:szCs w:val="22"/>
          <w:lang w:val="en-GB"/>
        </w:rPr>
        <w:t>The Defendant [Mr D] shall reside at the immov</w:t>
      </w:r>
      <w:r>
        <w:rPr>
          <w:rFonts w:cs="Arial"/>
          <w:i/>
          <w:iCs/>
          <w:sz w:val="22"/>
          <w:szCs w:val="22"/>
          <w:lang w:val="en-GB"/>
        </w:rPr>
        <w:t>e</w:t>
      </w:r>
      <w:r w:rsidRPr="006E1499">
        <w:rPr>
          <w:rFonts w:cs="Arial"/>
          <w:i/>
          <w:iCs/>
          <w:sz w:val="22"/>
          <w:szCs w:val="22"/>
          <w:lang w:val="en-GB"/>
        </w:rPr>
        <w:t xml:space="preserve">able property situated at </w:t>
      </w:r>
      <w:r w:rsidR="00873F4C">
        <w:rPr>
          <w:rFonts w:cs="Arial"/>
          <w:i/>
          <w:iCs/>
          <w:sz w:val="22"/>
          <w:szCs w:val="22"/>
          <w:lang w:val="en-GB"/>
        </w:rPr>
        <w:t>[…] […]</w:t>
      </w:r>
      <w:r w:rsidRPr="006E1499">
        <w:rPr>
          <w:rFonts w:cs="Arial"/>
          <w:i/>
          <w:iCs/>
          <w:sz w:val="22"/>
          <w:szCs w:val="22"/>
          <w:lang w:val="en-GB"/>
        </w:rPr>
        <w:t xml:space="preserve"> Str</w:t>
      </w:r>
      <w:r w:rsidR="00873F4C">
        <w:rPr>
          <w:rFonts w:cs="Arial"/>
          <w:i/>
          <w:iCs/>
          <w:sz w:val="22"/>
          <w:szCs w:val="22"/>
          <w:lang w:val="en-GB"/>
        </w:rPr>
        <w:t>eet, Lenasia South Extension […]</w:t>
      </w:r>
      <w:r w:rsidRPr="006E1499">
        <w:rPr>
          <w:rFonts w:cs="Arial"/>
          <w:i/>
          <w:iCs/>
          <w:sz w:val="22"/>
          <w:szCs w:val="22"/>
          <w:lang w:val="en-GB"/>
        </w:rPr>
        <w:t>.</w:t>
      </w:r>
    </w:p>
    <w:p w14:paraId="642A31F6" w14:textId="77777777" w:rsidR="00251F52" w:rsidRPr="006E1499" w:rsidRDefault="00251F52" w:rsidP="00251F52">
      <w:pPr>
        <w:pStyle w:val="WLGLevel1"/>
        <w:numPr>
          <w:ilvl w:val="0"/>
          <w:numId w:val="0"/>
        </w:numPr>
        <w:suppressAutoHyphens w:val="0"/>
        <w:spacing w:before="0" w:after="600" w:line="360" w:lineRule="auto"/>
        <w:ind w:left="1559"/>
        <w:rPr>
          <w:rFonts w:cs="Arial"/>
          <w:sz w:val="22"/>
          <w:szCs w:val="22"/>
          <w:lang w:val="en-GB"/>
        </w:rPr>
      </w:pPr>
      <w:r w:rsidRPr="006E1499">
        <w:rPr>
          <w:rFonts w:cs="Arial"/>
          <w:i/>
          <w:iCs/>
          <w:sz w:val="22"/>
          <w:szCs w:val="22"/>
          <w:lang w:val="en-GB"/>
        </w:rPr>
        <w:t>In the event the property should be sold, the Plaintiff shall receive half of the proceeds the sale.</w:t>
      </w:r>
      <w:r w:rsidRPr="006E1499">
        <w:rPr>
          <w:rFonts w:cs="Arial"/>
          <w:sz w:val="22"/>
          <w:szCs w:val="22"/>
          <w:lang w:val="en-GB"/>
        </w:rPr>
        <w:t>”</w:t>
      </w:r>
    </w:p>
    <w:p w14:paraId="41CB8FD2" w14:textId="07B1CC12"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6.</w:t>
      </w:r>
      <w:r>
        <w:rPr>
          <w:rFonts w:cs="Arial"/>
          <w:bCs/>
          <w:iCs/>
          <w:szCs w:val="24"/>
          <w:lang w:val="en-GB"/>
        </w:rPr>
        <w:tab/>
      </w:r>
      <w:r w:rsidR="00251F52">
        <w:rPr>
          <w:rFonts w:cs="Arial"/>
          <w:szCs w:val="24"/>
          <w:lang w:val="en-GB"/>
        </w:rPr>
        <w:t>It is not in dispute on the papers that, at all times during the ensuing two decades, Mr D has resided at the property.</w:t>
      </w:r>
    </w:p>
    <w:p w14:paraId="395942E2"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lastRenderedPageBreak/>
        <w:t>Attempts to dispose of the property</w:t>
      </w:r>
    </w:p>
    <w:p w14:paraId="3067988B" w14:textId="130C3EB2" w:rsidR="00251F52" w:rsidRDefault="00C57235" w:rsidP="00C57235">
      <w:pPr>
        <w:pStyle w:val="WLGLevel1"/>
        <w:numPr>
          <w:ilvl w:val="0"/>
          <w:numId w:val="0"/>
        </w:numPr>
        <w:suppressAutoHyphens w:val="0"/>
        <w:spacing w:before="0" w:after="480"/>
        <w:ind w:left="709" w:hanging="709"/>
        <w:rPr>
          <w:rFonts w:cs="Arial"/>
          <w:szCs w:val="24"/>
          <w:lang w:val="en-GB"/>
        </w:rPr>
      </w:pPr>
      <w:bookmarkStart w:id="0" w:name="_Ref136792665"/>
      <w:r>
        <w:rPr>
          <w:rFonts w:cs="Arial"/>
          <w:bCs/>
          <w:iCs/>
          <w:szCs w:val="24"/>
          <w:lang w:val="en-GB"/>
        </w:rPr>
        <w:t>7.</w:t>
      </w:r>
      <w:r>
        <w:rPr>
          <w:rFonts w:cs="Arial"/>
          <w:bCs/>
          <w:iCs/>
          <w:szCs w:val="24"/>
          <w:lang w:val="en-GB"/>
        </w:rPr>
        <w:tab/>
      </w:r>
      <w:r w:rsidR="00251F52">
        <w:rPr>
          <w:rFonts w:cs="Arial"/>
          <w:szCs w:val="24"/>
          <w:lang w:val="en-GB"/>
        </w:rPr>
        <w:t>On 27 May 2022 Ms D’s attorneys wrote to Mr D asserting that their client was a 50% owner of the property, noting that she sought “</w:t>
      </w:r>
      <w:r w:rsidR="00251F52">
        <w:rPr>
          <w:rFonts w:cs="Arial"/>
          <w:i/>
          <w:iCs/>
          <w:szCs w:val="24"/>
          <w:lang w:val="en-GB"/>
        </w:rPr>
        <w:t>her 50% share of the proceeds of the former matrimonial home</w:t>
      </w:r>
      <w:r w:rsidR="00251F52">
        <w:rPr>
          <w:rFonts w:cs="Arial"/>
          <w:szCs w:val="24"/>
          <w:lang w:val="en-GB"/>
        </w:rPr>
        <w:t>”, proposing either that the property be sold on the open market with each party to receive 50% of the proceeds or that Mr D pay to Ms D 50% of an independent valuation of the property and recording that, absent agreement on either part of the proposal, “</w:t>
      </w:r>
      <w:r w:rsidR="00251F52">
        <w:rPr>
          <w:rFonts w:cs="Arial"/>
          <w:i/>
          <w:iCs/>
          <w:szCs w:val="24"/>
          <w:lang w:val="en-GB"/>
        </w:rPr>
        <w:t>our client will have no option but to pursue an application in the High Court in order to secure her share of the proceeds of the former matrimonial home.</w:t>
      </w:r>
      <w:r w:rsidR="00251F52">
        <w:rPr>
          <w:rFonts w:cs="Arial"/>
          <w:szCs w:val="24"/>
          <w:lang w:val="en-GB"/>
        </w:rPr>
        <w:t>”</w:t>
      </w:r>
      <w:bookmarkEnd w:id="0"/>
    </w:p>
    <w:p w14:paraId="1153C811" w14:textId="042B7AA2"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8.</w:t>
      </w:r>
      <w:r>
        <w:rPr>
          <w:rFonts w:cs="Arial"/>
          <w:bCs/>
          <w:iCs/>
          <w:szCs w:val="24"/>
          <w:lang w:val="en-GB"/>
        </w:rPr>
        <w:tab/>
      </w:r>
      <w:r w:rsidR="00251F52">
        <w:rPr>
          <w:rFonts w:cs="Arial"/>
          <w:szCs w:val="24"/>
          <w:lang w:val="en-GB"/>
        </w:rPr>
        <w:t>Mr D’s attorneys responded to Ms D’s attorneys on 19 July 2022 claiming that their client had serviced a home loan over the years in respect of which he was entitled to claim a contribution from his former wife, contending that he had effected improvements to the property in relation to which she had been unjustifiably enriched and proposing a mechanism for the disposal of the property and the division of the proceeds, being that an estate agent be mandated to sell the property and that Mr D’s claims against Ms D be deducted from her portion of the proceeds of the sale of the property.</w:t>
      </w:r>
    </w:p>
    <w:p w14:paraId="562EF729" w14:textId="53B28F2C"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9.</w:t>
      </w:r>
      <w:r>
        <w:rPr>
          <w:rFonts w:cs="Arial"/>
          <w:bCs/>
          <w:iCs/>
          <w:szCs w:val="24"/>
          <w:lang w:val="en-GB"/>
        </w:rPr>
        <w:tab/>
      </w:r>
      <w:r w:rsidR="00251F52">
        <w:rPr>
          <w:rFonts w:cs="Arial"/>
          <w:szCs w:val="24"/>
          <w:lang w:val="en-GB"/>
        </w:rPr>
        <w:t>On 20 July 2022 Ms D’s attorneys replied to Mr D’s attorneys rejecting the suggestion of reimbursement for any alleged improvements to the property and reiterating the proposal advanced in the letter of 27 May 2022.</w:t>
      </w:r>
    </w:p>
    <w:p w14:paraId="62CCC891" w14:textId="4A4579F4" w:rsidR="00251F52" w:rsidRDefault="00C57235" w:rsidP="00C57235">
      <w:pPr>
        <w:pStyle w:val="WLGLevel1"/>
        <w:numPr>
          <w:ilvl w:val="0"/>
          <w:numId w:val="0"/>
        </w:numPr>
        <w:suppressAutoHyphens w:val="0"/>
        <w:spacing w:before="0" w:after="480"/>
        <w:ind w:left="709" w:hanging="709"/>
        <w:rPr>
          <w:rFonts w:cs="Arial"/>
          <w:szCs w:val="24"/>
          <w:lang w:val="en-GB"/>
        </w:rPr>
      </w:pPr>
      <w:bookmarkStart w:id="1" w:name="_Ref136792673"/>
      <w:r>
        <w:rPr>
          <w:rFonts w:cs="Arial"/>
          <w:bCs/>
          <w:iCs/>
          <w:szCs w:val="24"/>
          <w:lang w:val="en-GB"/>
        </w:rPr>
        <w:lastRenderedPageBreak/>
        <w:t>10.</w:t>
      </w:r>
      <w:r>
        <w:rPr>
          <w:rFonts w:cs="Arial"/>
          <w:bCs/>
          <w:iCs/>
          <w:szCs w:val="24"/>
          <w:lang w:val="en-GB"/>
        </w:rPr>
        <w:tab/>
      </w:r>
      <w:r w:rsidR="00251F52">
        <w:rPr>
          <w:rFonts w:cs="Arial"/>
          <w:szCs w:val="24"/>
          <w:lang w:val="en-GB"/>
        </w:rPr>
        <w:t>It appears that Mr D was not agreeable to either part of that proposal.</w:t>
      </w:r>
      <w:bookmarkEnd w:id="1"/>
    </w:p>
    <w:p w14:paraId="6537595C" w14:textId="77777777" w:rsidR="00251F52" w:rsidRPr="004328FF" w:rsidRDefault="00251F52" w:rsidP="00251F52">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The affidavits</w:t>
      </w:r>
    </w:p>
    <w:p w14:paraId="176C13D6" w14:textId="48FE01C6" w:rsidR="00251F52" w:rsidRDefault="00C57235" w:rsidP="00C57235">
      <w:pPr>
        <w:pStyle w:val="WLGLevel1"/>
        <w:numPr>
          <w:ilvl w:val="0"/>
          <w:numId w:val="0"/>
        </w:numPr>
        <w:suppressAutoHyphens w:val="0"/>
        <w:spacing w:before="0" w:after="480"/>
        <w:ind w:left="709" w:hanging="709"/>
        <w:rPr>
          <w:rFonts w:cs="Arial"/>
          <w:szCs w:val="24"/>
          <w:lang w:val="en-GB"/>
        </w:rPr>
      </w:pPr>
      <w:bookmarkStart w:id="2" w:name="_Ref136360126"/>
      <w:r>
        <w:rPr>
          <w:rFonts w:cs="Arial"/>
          <w:bCs/>
          <w:iCs/>
          <w:szCs w:val="24"/>
          <w:lang w:val="en-GB"/>
        </w:rPr>
        <w:t>11.</w:t>
      </w:r>
      <w:r>
        <w:rPr>
          <w:rFonts w:cs="Arial"/>
          <w:bCs/>
          <w:iCs/>
          <w:szCs w:val="24"/>
          <w:lang w:val="en-GB"/>
        </w:rPr>
        <w:tab/>
      </w:r>
      <w:r w:rsidR="00251F52">
        <w:rPr>
          <w:rFonts w:cs="Arial"/>
          <w:szCs w:val="24"/>
          <w:lang w:val="en-GB"/>
        </w:rPr>
        <w:t>The notice of motion in the main application is dated 04 October 2022. It is supported by a founding affidavit deposed to by Ms D on 29 September 2022. Much of what is contended for in the founding affidavit is not in dispute on the papers:</w:t>
      </w:r>
      <w:bookmarkEnd w:id="2"/>
    </w:p>
    <w:p w14:paraId="2841C46C" w14:textId="5530B78A"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11.1.</w:t>
      </w:r>
      <w:r>
        <w:rPr>
          <w:rFonts w:cs="Arial"/>
          <w:szCs w:val="24"/>
          <w:lang w:val="en-GB"/>
        </w:rPr>
        <w:tab/>
      </w:r>
      <w:r w:rsidR="00251F52">
        <w:rPr>
          <w:rFonts w:cs="Arial"/>
          <w:szCs w:val="24"/>
          <w:lang w:val="en-GB"/>
        </w:rPr>
        <w:t>What Ms D recounts regarding the parties’ marriage on 09 July 1989, the birth of their three children, the purchase and registration of the property in both their names, the registration of a mortgage bond over the property, Mr D’s role as breadwinner, Ms D’s role as homemaker and mother, the breakdown of their marriage, the emergence of an intolerable atmosphere within the matrimonial home that adversely affected the children, her vacation of the home with the children, that “</w:t>
      </w:r>
      <w:r w:rsidR="00251F52">
        <w:rPr>
          <w:rFonts w:cs="Arial"/>
          <w:i/>
          <w:iCs/>
          <w:szCs w:val="24"/>
          <w:lang w:val="en-GB"/>
        </w:rPr>
        <w:t>the respondent refused to contribute any amount whatsoever towards the maintenance for myself or our children, despite his obligations and duty to do so</w:t>
      </w:r>
      <w:r w:rsidR="00251F52">
        <w:rPr>
          <w:rFonts w:cs="Arial"/>
          <w:szCs w:val="24"/>
          <w:lang w:val="en-GB"/>
        </w:rPr>
        <w:t>”, that Ms D was not legally represented in the divorce proceedings whereas Mr D was so represented and refused any reasonable settlement agreement proposed by the applicant is “</w:t>
      </w:r>
      <w:r w:rsidR="00251F52" w:rsidRPr="004552AA">
        <w:rPr>
          <w:rFonts w:cs="Arial"/>
          <w:i/>
          <w:iCs/>
          <w:szCs w:val="24"/>
          <w:lang w:val="en-GB"/>
        </w:rPr>
        <w:t>noted</w:t>
      </w:r>
      <w:r w:rsidR="00251F52">
        <w:rPr>
          <w:rFonts w:cs="Arial"/>
          <w:szCs w:val="24"/>
          <w:lang w:val="en-GB"/>
        </w:rPr>
        <w:t xml:space="preserve">” and thus not pertinently disputed by Mr D. </w:t>
      </w:r>
    </w:p>
    <w:p w14:paraId="7E19283D" w14:textId="7DF25841" w:rsidR="00251F52" w:rsidRDefault="00C57235" w:rsidP="00C57235">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11.2.</w:t>
      </w:r>
      <w:r>
        <w:rPr>
          <w:rFonts w:cs="Arial"/>
          <w:szCs w:val="24"/>
          <w:lang w:val="en-GB"/>
        </w:rPr>
        <w:tab/>
      </w:r>
      <w:r w:rsidR="00251F52">
        <w:rPr>
          <w:rFonts w:cs="Arial"/>
          <w:szCs w:val="24"/>
          <w:lang w:val="en-GB"/>
        </w:rPr>
        <w:t>Indeed, the following averments by Ms D are not disputed by Mr D:</w:t>
      </w:r>
    </w:p>
    <w:p w14:paraId="2629B787" w14:textId="326F96A0"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11.2.1.</w:t>
      </w:r>
      <w:r>
        <w:rPr>
          <w:rFonts w:cs="Arial"/>
          <w:szCs w:val="24"/>
          <w:lang w:val="en-GB"/>
        </w:rPr>
        <w:tab/>
      </w:r>
      <w:r w:rsidR="00251F52">
        <w:rPr>
          <w:rFonts w:cs="Arial"/>
          <w:szCs w:val="24"/>
          <w:lang w:val="en-GB"/>
        </w:rPr>
        <w:t>“</w:t>
      </w:r>
      <w:r w:rsidR="00251F52">
        <w:rPr>
          <w:rFonts w:cs="Arial"/>
          <w:i/>
          <w:iCs/>
          <w:szCs w:val="24"/>
          <w:lang w:val="en-GB"/>
        </w:rPr>
        <w:t>I had vacated the former matrimonial home</w:t>
      </w:r>
      <w:r w:rsidR="00251F52">
        <w:rPr>
          <w:rFonts w:cs="Arial"/>
          <w:szCs w:val="24"/>
          <w:lang w:val="en-GB"/>
        </w:rPr>
        <w:t>”;</w:t>
      </w:r>
    </w:p>
    <w:p w14:paraId="29728A30" w14:textId="726BF3A9"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11.2.2.</w:t>
      </w:r>
      <w:r>
        <w:rPr>
          <w:rFonts w:cs="Arial"/>
          <w:szCs w:val="24"/>
          <w:lang w:val="en-GB"/>
        </w:rPr>
        <w:tab/>
      </w:r>
      <w:r w:rsidR="00251F52">
        <w:rPr>
          <w:rFonts w:cs="Arial"/>
          <w:szCs w:val="24"/>
          <w:lang w:val="en-GB"/>
        </w:rPr>
        <w:t>“</w:t>
      </w:r>
      <w:r w:rsidR="00251F52">
        <w:rPr>
          <w:rFonts w:cs="Arial"/>
          <w:i/>
          <w:iCs/>
          <w:szCs w:val="24"/>
          <w:lang w:val="en-GB"/>
        </w:rPr>
        <w:t>I was unemployed was solely maintaining the children through the assistance of family and friends</w:t>
      </w:r>
      <w:r w:rsidR="00251F52" w:rsidRPr="00CC385A">
        <w:rPr>
          <w:rFonts w:cs="Arial"/>
          <w:szCs w:val="24"/>
          <w:lang w:val="en-GB"/>
        </w:rPr>
        <w:t>”</w:t>
      </w:r>
      <w:r w:rsidR="00251F52" w:rsidRPr="00C74F74">
        <w:rPr>
          <w:rFonts w:cs="Arial"/>
          <w:szCs w:val="24"/>
          <w:lang w:val="en-GB"/>
        </w:rPr>
        <w:t>;</w:t>
      </w:r>
    </w:p>
    <w:p w14:paraId="2A2C2C9B" w14:textId="03EE9237"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11.2.3.</w:t>
      </w:r>
      <w:r>
        <w:rPr>
          <w:rFonts w:cs="Arial"/>
          <w:szCs w:val="24"/>
          <w:lang w:val="en-GB"/>
        </w:rPr>
        <w:tab/>
      </w:r>
      <w:r w:rsidR="00251F52">
        <w:rPr>
          <w:rFonts w:cs="Arial"/>
          <w:szCs w:val="24"/>
          <w:lang w:val="en-GB"/>
        </w:rPr>
        <w:t>“</w:t>
      </w:r>
      <w:r w:rsidR="00251F52">
        <w:rPr>
          <w:rFonts w:cs="Arial"/>
          <w:i/>
          <w:iCs/>
          <w:szCs w:val="24"/>
          <w:lang w:val="en-GB"/>
        </w:rPr>
        <w:t>I required an order for maintenance for the children</w:t>
      </w:r>
      <w:r w:rsidR="00251F52">
        <w:rPr>
          <w:rFonts w:cs="Arial"/>
          <w:szCs w:val="24"/>
          <w:lang w:val="en-GB"/>
        </w:rPr>
        <w:t>”; and</w:t>
      </w:r>
    </w:p>
    <w:p w14:paraId="7BB7EFA0" w14:textId="7E2C48B7"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11.2.4.</w:t>
      </w:r>
      <w:r>
        <w:rPr>
          <w:rFonts w:cs="Arial"/>
          <w:szCs w:val="24"/>
          <w:lang w:val="en-GB"/>
        </w:rPr>
        <w:tab/>
      </w:r>
      <w:r w:rsidR="00251F52">
        <w:rPr>
          <w:rFonts w:cs="Arial"/>
          <w:szCs w:val="24"/>
          <w:lang w:val="en-GB"/>
        </w:rPr>
        <w:t>“</w:t>
      </w:r>
      <w:r w:rsidR="00251F52">
        <w:rPr>
          <w:rFonts w:cs="Arial"/>
          <w:i/>
          <w:iCs/>
          <w:szCs w:val="24"/>
          <w:lang w:val="en-GB"/>
        </w:rPr>
        <w:t>[t]he respondent was legally represented, and I was not.</w:t>
      </w:r>
      <w:r w:rsidR="00251F52">
        <w:rPr>
          <w:rFonts w:cs="Arial"/>
          <w:szCs w:val="24"/>
          <w:lang w:val="en-GB"/>
        </w:rPr>
        <w:t>”</w:t>
      </w:r>
      <w:r w:rsidR="00251F52">
        <w:rPr>
          <w:rFonts w:cs="Arial"/>
          <w:i/>
          <w:iCs/>
          <w:szCs w:val="24"/>
          <w:lang w:val="en-GB"/>
        </w:rPr>
        <w:t xml:space="preserve"> </w:t>
      </w:r>
    </w:p>
    <w:p w14:paraId="5A70CB9A" w14:textId="5701E147"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11.3.</w:t>
      </w:r>
      <w:r>
        <w:rPr>
          <w:rFonts w:cs="Arial"/>
          <w:szCs w:val="24"/>
          <w:lang w:val="en-GB"/>
        </w:rPr>
        <w:tab/>
      </w:r>
      <w:r w:rsidR="00251F52">
        <w:rPr>
          <w:rFonts w:cs="Arial"/>
          <w:szCs w:val="24"/>
          <w:lang w:val="en-GB"/>
        </w:rPr>
        <w:t>It is common cause that the deed of settlement was entered into on 26 May 2002, was made an order of court and provided for a division of the parties’ assets, the custody and maintenance of their children, a division of Mr D’s pension fund interests and “</w:t>
      </w:r>
      <w:r w:rsidR="00251F52">
        <w:rPr>
          <w:rFonts w:cs="Arial"/>
          <w:i/>
          <w:iCs/>
          <w:szCs w:val="24"/>
          <w:lang w:val="en-GB"/>
        </w:rPr>
        <w:t>the sale of the former matrimonial home and the manner in which the proceeds of such sale ought to be dealt with.</w:t>
      </w:r>
      <w:r w:rsidR="00251F52">
        <w:rPr>
          <w:rFonts w:cs="Arial"/>
          <w:szCs w:val="24"/>
          <w:lang w:val="en-GB"/>
        </w:rPr>
        <w:t>”</w:t>
      </w:r>
    </w:p>
    <w:p w14:paraId="343FC42A" w14:textId="6ADA6281"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11.4.</w:t>
      </w:r>
      <w:r>
        <w:rPr>
          <w:rFonts w:cs="Arial"/>
          <w:szCs w:val="24"/>
          <w:lang w:val="en-GB"/>
        </w:rPr>
        <w:tab/>
      </w:r>
      <w:r w:rsidR="00251F52">
        <w:rPr>
          <w:rFonts w:cs="Arial"/>
          <w:szCs w:val="24"/>
          <w:lang w:val="en-GB"/>
        </w:rPr>
        <w:t xml:space="preserve">Whereas Ms D’s testimony is that, in desperate financial straits, she agreed to permit Mr D to remain in the home until such time as he found alternative accommodation but that the property was to be offered for sale within a reasonable period of time, Mr D asserts a contractual entitlement to remain in the home for so long as he wishes, save only that, if and when the property is sold, there is to be a division of the proceeds of that sale. </w:t>
      </w:r>
    </w:p>
    <w:p w14:paraId="0D554458" w14:textId="6D86E3B4"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11.5.</w:t>
      </w:r>
      <w:r>
        <w:rPr>
          <w:rFonts w:cs="Arial"/>
          <w:szCs w:val="24"/>
          <w:lang w:val="en-GB"/>
        </w:rPr>
        <w:tab/>
      </w:r>
      <w:r w:rsidR="00251F52">
        <w:rPr>
          <w:rFonts w:cs="Arial"/>
          <w:szCs w:val="24"/>
          <w:lang w:val="en-GB"/>
        </w:rPr>
        <w:t>Mr D admits that “</w:t>
      </w:r>
      <w:r w:rsidR="00251F52">
        <w:rPr>
          <w:rFonts w:cs="Arial"/>
          <w:i/>
          <w:iCs/>
          <w:szCs w:val="24"/>
          <w:lang w:val="en-GB"/>
        </w:rPr>
        <w:t>[t]o date the respondent has neither vacated the former matrimonial home nor has it ever been placed on the open market in order for it to be sold.</w:t>
      </w:r>
      <w:r w:rsidR="00251F52">
        <w:rPr>
          <w:rFonts w:cs="Arial"/>
          <w:szCs w:val="24"/>
          <w:lang w:val="en-GB"/>
        </w:rPr>
        <w:t>”</w:t>
      </w:r>
    </w:p>
    <w:p w14:paraId="1B2BA994" w14:textId="45C891FB"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bookmarkStart w:id="3" w:name="_Ref137019006"/>
      <w:r>
        <w:rPr>
          <w:rFonts w:cs="Arial"/>
          <w:szCs w:val="24"/>
          <w:lang w:val="en-GB"/>
        </w:rPr>
        <w:t>11.6.</w:t>
      </w:r>
      <w:r>
        <w:rPr>
          <w:rFonts w:cs="Arial"/>
          <w:szCs w:val="24"/>
          <w:lang w:val="en-GB"/>
        </w:rPr>
        <w:tab/>
      </w:r>
      <w:r w:rsidR="00251F52">
        <w:rPr>
          <w:rFonts w:cs="Arial"/>
          <w:szCs w:val="24"/>
          <w:lang w:val="en-GB"/>
        </w:rPr>
        <w:t>Mr D does not dispute Ms D’s account of efforts to sell the property so as to share in the proceeds of the sale, including that in September 2007 he refused either to place the property on the market or to pay her more than R50,000 for her undivided one-half share in the property.</w:t>
      </w:r>
      <w:bookmarkEnd w:id="3"/>
      <w:r w:rsidR="00251F52">
        <w:rPr>
          <w:rFonts w:cs="Arial"/>
          <w:szCs w:val="24"/>
          <w:lang w:val="en-GB"/>
        </w:rPr>
        <w:t xml:space="preserve"> </w:t>
      </w:r>
    </w:p>
    <w:p w14:paraId="751562C9" w14:textId="6EFFA0D7"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bookmarkStart w:id="4" w:name="_Ref137019014"/>
      <w:r>
        <w:rPr>
          <w:rFonts w:cs="Arial"/>
          <w:szCs w:val="24"/>
          <w:lang w:val="en-GB"/>
        </w:rPr>
        <w:t>11.7.</w:t>
      </w:r>
      <w:r>
        <w:rPr>
          <w:rFonts w:cs="Arial"/>
          <w:szCs w:val="24"/>
          <w:lang w:val="en-GB"/>
        </w:rPr>
        <w:tab/>
      </w:r>
      <w:r w:rsidR="00251F52">
        <w:rPr>
          <w:rFonts w:cs="Arial"/>
          <w:szCs w:val="24"/>
          <w:lang w:val="en-GB"/>
        </w:rPr>
        <w:t>Equally, it is not in issue between the parties that, after several years and various attempts to resolve the issue with Mr D, Ms D ‘gave up’ due to a lack of funds necessary to continue negotiating with or litigating against him.</w:t>
      </w:r>
      <w:bookmarkEnd w:id="4"/>
    </w:p>
    <w:p w14:paraId="507BB8EC" w14:textId="280550F5"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11.8.</w:t>
      </w:r>
      <w:r>
        <w:rPr>
          <w:rFonts w:cs="Arial"/>
          <w:szCs w:val="24"/>
          <w:lang w:val="en-GB"/>
        </w:rPr>
        <w:tab/>
      </w:r>
      <w:r w:rsidR="00251F52">
        <w:rPr>
          <w:rFonts w:cs="Arial"/>
          <w:szCs w:val="24"/>
          <w:lang w:val="en-GB"/>
        </w:rPr>
        <w:t xml:space="preserve">It is not contested on the papers that Mr D remarried in community of property in 2020 and that he and his new wife continue to reside in the home. </w:t>
      </w:r>
    </w:p>
    <w:p w14:paraId="357211F9" w14:textId="4CD87B77"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11.9.</w:t>
      </w:r>
      <w:r>
        <w:rPr>
          <w:rFonts w:cs="Arial"/>
          <w:szCs w:val="24"/>
          <w:lang w:val="en-GB"/>
        </w:rPr>
        <w:tab/>
      </w:r>
      <w:r w:rsidR="00251F52">
        <w:rPr>
          <w:rFonts w:cs="Arial"/>
          <w:szCs w:val="24"/>
          <w:lang w:val="en-GB"/>
        </w:rPr>
        <w:t xml:space="preserve">Exchanges of letters and other interactions between the parties and their respective attorneys between May and July 2022, including those outlined in paragraphs </w:t>
      </w:r>
      <w:r w:rsidR="00251F52">
        <w:rPr>
          <w:rFonts w:cs="Arial"/>
          <w:szCs w:val="24"/>
          <w:lang w:val="en-GB"/>
        </w:rPr>
        <w:fldChar w:fldCharType="begin"/>
      </w:r>
      <w:r w:rsidR="00251F52">
        <w:rPr>
          <w:rFonts w:cs="Arial"/>
          <w:szCs w:val="24"/>
          <w:lang w:val="en-GB"/>
        </w:rPr>
        <w:instrText xml:space="preserve"> REF _Ref136792665 \r \h </w:instrText>
      </w:r>
      <w:r w:rsidR="00251F52">
        <w:rPr>
          <w:rFonts w:cs="Arial"/>
          <w:szCs w:val="24"/>
          <w:lang w:val="en-GB"/>
        </w:rPr>
      </w:r>
      <w:r w:rsidR="00251F52">
        <w:rPr>
          <w:rFonts w:cs="Arial"/>
          <w:szCs w:val="24"/>
          <w:lang w:val="en-GB"/>
        </w:rPr>
        <w:fldChar w:fldCharType="separate"/>
      </w:r>
      <w:r w:rsidR="00DC5C5A">
        <w:rPr>
          <w:rFonts w:cs="Arial"/>
          <w:szCs w:val="24"/>
          <w:lang w:val="en-GB"/>
        </w:rPr>
        <w:t>7</w:t>
      </w:r>
      <w:r w:rsidR="00251F52">
        <w:rPr>
          <w:rFonts w:cs="Arial"/>
          <w:szCs w:val="24"/>
          <w:lang w:val="en-GB"/>
        </w:rPr>
        <w:fldChar w:fldCharType="end"/>
      </w:r>
      <w:r w:rsidR="00251F52">
        <w:rPr>
          <w:rFonts w:cs="Arial"/>
          <w:szCs w:val="24"/>
          <w:lang w:val="en-GB"/>
        </w:rPr>
        <w:t xml:space="preserve"> to </w:t>
      </w:r>
      <w:r w:rsidR="00251F52">
        <w:rPr>
          <w:rFonts w:cs="Arial"/>
          <w:szCs w:val="24"/>
          <w:lang w:val="en-GB"/>
        </w:rPr>
        <w:fldChar w:fldCharType="begin"/>
      </w:r>
      <w:r w:rsidR="00251F52">
        <w:rPr>
          <w:rFonts w:cs="Arial"/>
          <w:szCs w:val="24"/>
          <w:lang w:val="en-GB"/>
        </w:rPr>
        <w:instrText xml:space="preserve"> REF _Ref136792673 \r \p \h </w:instrText>
      </w:r>
      <w:r w:rsidR="00251F52">
        <w:rPr>
          <w:rFonts w:cs="Arial"/>
          <w:szCs w:val="24"/>
          <w:lang w:val="en-GB"/>
        </w:rPr>
      </w:r>
      <w:r w:rsidR="00251F52">
        <w:rPr>
          <w:rFonts w:cs="Arial"/>
          <w:szCs w:val="24"/>
          <w:lang w:val="en-GB"/>
        </w:rPr>
        <w:fldChar w:fldCharType="separate"/>
      </w:r>
      <w:r w:rsidR="00DC5C5A">
        <w:rPr>
          <w:rFonts w:cs="Arial"/>
          <w:szCs w:val="24"/>
          <w:lang w:val="en-GB"/>
        </w:rPr>
        <w:t>10 above</w:t>
      </w:r>
      <w:r w:rsidR="00251F52">
        <w:rPr>
          <w:rFonts w:cs="Arial"/>
          <w:szCs w:val="24"/>
          <w:lang w:val="en-GB"/>
        </w:rPr>
        <w:fldChar w:fldCharType="end"/>
      </w:r>
      <w:r w:rsidR="00251F52">
        <w:rPr>
          <w:rFonts w:cs="Arial"/>
          <w:szCs w:val="24"/>
          <w:lang w:val="en-GB"/>
        </w:rPr>
        <w:t>, are noted and thus not pertinently disputed on the papers.</w:t>
      </w:r>
    </w:p>
    <w:p w14:paraId="742847EF" w14:textId="4F38B083" w:rsidR="00251F52" w:rsidRDefault="00C57235" w:rsidP="00C57235">
      <w:pPr>
        <w:pStyle w:val="WLGLevel1"/>
        <w:keepNext/>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11.10.</w:t>
      </w:r>
      <w:r>
        <w:rPr>
          <w:rFonts w:cs="Arial"/>
          <w:szCs w:val="24"/>
          <w:lang w:val="en-GB"/>
        </w:rPr>
        <w:tab/>
      </w:r>
      <w:r w:rsidR="00251F52">
        <w:rPr>
          <w:rFonts w:cs="Arial"/>
          <w:szCs w:val="24"/>
          <w:lang w:val="en-GB"/>
        </w:rPr>
        <w:t>Mr D does dispute Ms D’s concluding submissions that:</w:t>
      </w:r>
    </w:p>
    <w:p w14:paraId="485C8ACB" w14:textId="7233FB32"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11.10.1.</w:t>
      </w:r>
      <w:r>
        <w:rPr>
          <w:rFonts w:cs="Arial"/>
          <w:szCs w:val="24"/>
          <w:lang w:val="en-GB"/>
        </w:rPr>
        <w:tab/>
      </w:r>
      <w:r w:rsidR="00251F52">
        <w:rPr>
          <w:rFonts w:cs="Arial"/>
          <w:szCs w:val="24"/>
          <w:lang w:val="en-GB"/>
        </w:rPr>
        <w:t>she enjoys a legal right to have her co-ownership of the home terminated as prayed for in the notice of motion;</w:t>
      </w:r>
    </w:p>
    <w:p w14:paraId="21456809" w14:textId="70AE8512"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11.10.2.</w:t>
      </w:r>
      <w:r>
        <w:rPr>
          <w:rFonts w:cs="Arial"/>
          <w:szCs w:val="24"/>
          <w:lang w:val="en-GB"/>
        </w:rPr>
        <w:tab/>
      </w:r>
      <w:r w:rsidR="00251F52">
        <w:rPr>
          <w:rFonts w:cs="Arial"/>
          <w:szCs w:val="24"/>
          <w:lang w:val="en-GB"/>
        </w:rPr>
        <w:t>she enjoys a legal right to enforce the provisions of the deed of settlement which provide for the sale of the home;</w:t>
      </w:r>
    </w:p>
    <w:p w14:paraId="7EB4F662" w14:textId="4875F7C1"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11.10.3.</w:t>
      </w:r>
      <w:r>
        <w:rPr>
          <w:rFonts w:cs="Arial"/>
          <w:szCs w:val="24"/>
          <w:lang w:val="en-GB"/>
        </w:rPr>
        <w:tab/>
      </w:r>
      <w:r w:rsidR="00251F52">
        <w:rPr>
          <w:rFonts w:cs="Arial"/>
          <w:szCs w:val="24"/>
          <w:lang w:val="en-GB"/>
        </w:rPr>
        <w:t>he has declined to purchase her undivided one-half share in the home whether for a market-related price or at all; and</w:t>
      </w:r>
    </w:p>
    <w:p w14:paraId="7F5D1AFD" w14:textId="63F4FC0A"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11.10.4.</w:t>
      </w:r>
      <w:r>
        <w:rPr>
          <w:rFonts w:cs="Arial"/>
          <w:szCs w:val="24"/>
          <w:lang w:val="en-GB"/>
        </w:rPr>
        <w:tab/>
      </w:r>
      <w:r w:rsidR="00251F52">
        <w:rPr>
          <w:rFonts w:cs="Arial"/>
          <w:szCs w:val="24"/>
          <w:lang w:val="en-GB"/>
        </w:rPr>
        <w:t>it is just and equitable that the home be sold and the proceeds be distributed between the parties in accordance with law.</w:t>
      </w:r>
    </w:p>
    <w:p w14:paraId="31E152D3" w14:textId="7A031978" w:rsidR="00251F52" w:rsidRPr="00FE4617" w:rsidRDefault="00C57235" w:rsidP="00C57235">
      <w:pPr>
        <w:pStyle w:val="WLGLevel1"/>
        <w:numPr>
          <w:ilvl w:val="0"/>
          <w:numId w:val="0"/>
        </w:numPr>
        <w:suppressAutoHyphens w:val="0"/>
        <w:spacing w:before="0" w:after="480"/>
        <w:ind w:left="709" w:hanging="709"/>
        <w:rPr>
          <w:rFonts w:cs="Arial"/>
          <w:szCs w:val="24"/>
          <w:lang w:val="en-GB"/>
        </w:rPr>
      </w:pPr>
      <w:r w:rsidRPr="00FE4617">
        <w:rPr>
          <w:rFonts w:cs="Arial"/>
          <w:bCs/>
          <w:iCs/>
          <w:szCs w:val="24"/>
          <w:lang w:val="en-GB"/>
        </w:rPr>
        <w:t>12.</w:t>
      </w:r>
      <w:r w:rsidRPr="00FE4617">
        <w:rPr>
          <w:rFonts w:cs="Arial"/>
          <w:bCs/>
          <w:iCs/>
          <w:szCs w:val="24"/>
          <w:lang w:val="en-GB"/>
        </w:rPr>
        <w:tab/>
      </w:r>
      <w:r w:rsidR="00251F52">
        <w:rPr>
          <w:rFonts w:cs="Arial"/>
          <w:szCs w:val="24"/>
          <w:lang w:val="en-GB"/>
        </w:rPr>
        <w:t>Mr D gave notice of intention to oppose the main application on 02 November 2022.</w:t>
      </w:r>
    </w:p>
    <w:p w14:paraId="2C332652" w14:textId="5675A335"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13.</w:t>
      </w:r>
      <w:r>
        <w:rPr>
          <w:rFonts w:cs="Arial"/>
          <w:bCs/>
          <w:iCs/>
          <w:szCs w:val="24"/>
          <w:lang w:val="en-GB"/>
        </w:rPr>
        <w:tab/>
      </w:r>
      <w:r w:rsidR="00251F52">
        <w:rPr>
          <w:rFonts w:cs="Arial"/>
          <w:szCs w:val="24"/>
          <w:lang w:val="en-GB"/>
        </w:rPr>
        <w:t xml:space="preserve">Mr D’s answering affidavit was delivered on 17 January 2023. Its answers to Ms D’s averments are outlined in paragraph </w:t>
      </w:r>
      <w:r w:rsidR="00251F52">
        <w:rPr>
          <w:rFonts w:cs="Arial"/>
          <w:szCs w:val="24"/>
          <w:lang w:val="en-GB"/>
        </w:rPr>
        <w:fldChar w:fldCharType="begin"/>
      </w:r>
      <w:r w:rsidR="00251F52">
        <w:rPr>
          <w:rFonts w:cs="Arial"/>
          <w:szCs w:val="24"/>
          <w:lang w:val="en-GB"/>
        </w:rPr>
        <w:instrText xml:space="preserve"> REF _Ref136360126 \r \p \h </w:instrText>
      </w:r>
      <w:r w:rsidR="00251F52">
        <w:rPr>
          <w:rFonts w:cs="Arial"/>
          <w:szCs w:val="24"/>
          <w:lang w:val="en-GB"/>
        </w:rPr>
      </w:r>
      <w:r w:rsidR="00251F52">
        <w:rPr>
          <w:rFonts w:cs="Arial"/>
          <w:szCs w:val="24"/>
          <w:lang w:val="en-GB"/>
        </w:rPr>
        <w:fldChar w:fldCharType="separate"/>
      </w:r>
      <w:r w:rsidR="00DC5C5A">
        <w:rPr>
          <w:rFonts w:cs="Arial"/>
          <w:szCs w:val="24"/>
          <w:lang w:val="en-GB"/>
        </w:rPr>
        <w:t>11 above</w:t>
      </w:r>
      <w:r w:rsidR="00251F52">
        <w:rPr>
          <w:rFonts w:cs="Arial"/>
          <w:szCs w:val="24"/>
          <w:lang w:val="en-GB"/>
        </w:rPr>
        <w:fldChar w:fldCharType="end"/>
      </w:r>
      <w:r w:rsidR="00251F52">
        <w:rPr>
          <w:rFonts w:cs="Arial"/>
          <w:szCs w:val="24"/>
          <w:lang w:val="en-GB"/>
        </w:rPr>
        <w:t xml:space="preserve">. In support of the counter-application referred to in paragraph </w:t>
      </w:r>
      <w:r w:rsidR="00251F52">
        <w:rPr>
          <w:rFonts w:cs="Arial"/>
          <w:szCs w:val="24"/>
          <w:lang w:val="en-GB"/>
        </w:rPr>
        <w:fldChar w:fldCharType="begin"/>
      </w:r>
      <w:r w:rsidR="00251F52">
        <w:rPr>
          <w:rFonts w:cs="Arial"/>
          <w:szCs w:val="24"/>
          <w:lang w:val="en-GB"/>
        </w:rPr>
        <w:instrText xml:space="preserve"> REF _Ref136360163 \r \p \h </w:instrText>
      </w:r>
      <w:r w:rsidR="00251F52">
        <w:rPr>
          <w:rFonts w:cs="Arial"/>
          <w:szCs w:val="24"/>
          <w:lang w:val="en-GB"/>
        </w:rPr>
      </w:r>
      <w:r w:rsidR="00251F52">
        <w:rPr>
          <w:rFonts w:cs="Arial"/>
          <w:szCs w:val="24"/>
          <w:lang w:val="en-GB"/>
        </w:rPr>
        <w:fldChar w:fldCharType="separate"/>
      </w:r>
      <w:r w:rsidR="00DC5C5A">
        <w:rPr>
          <w:rFonts w:cs="Arial"/>
          <w:szCs w:val="24"/>
          <w:lang w:val="en-GB"/>
        </w:rPr>
        <w:t>14 below</w:t>
      </w:r>
      <w:r w:rsidR="00251F52">
        <w:rPr>
          <w:rFonts w:cs="Arial"/>
          <w:szCs w:val="24"/>
          <w:lang w:val="en-GB"/>
        </w:rPr>
        <w:fldChar w:fldCharType="end"/>
      </w:r>
      <w:r w:rsidR="00251F52">
        <w:rPr>
          <w:rFonts w:cs="Arial"/>
          <w:szCs w:val="24"/>
          <w:lang w:val="en-GB"/>
        </w:rPr>
        <w:t>, moreover, it contends that any order that the property be sold should be subject to conditions based on allegations that “</w:t>
      </w:r>
      <w:r w:rsidR="00251F52">
        <w:rPr>
          <w:rFonts w:cs="Arial"/>
          <w:i/>
          <w:iCs/>
          <w:szCs w:val="24"/>
          <w:lang w:val="en-GB"/>
        </w:rPr>
        <w:t xml:space="preserve">I have made payment of the mortgage bonds registered over the property, which bonds have now been fully repaid also substantially improved the property during the period in which I have resided in it and tendered to the general maintenance of </w:t>
      </w:r>
      <w:r w:rsidR="00251F52">
        <w:rPr>
          <w:rFonts w:cs="Arial"/>
          <w:i/>
          <w:iCs/>
          <w:szCs w:val="24"/>
          <w:lang w:val="en-GB"/>
        </w:rPr>
        <w:lastRenderedPageBreak/>
        <w:t>the property during such period.</w:t>
      </w:r>
      <w:r w:rsidR="00251F52">
        <w:rPr>
          <w:rFonts w:cs="Arial"/>
          <w:szCs w:val="24"/>
          <w:lang w:val="en-GB"/>
        </w:rPr>
        <w:t>” Amounts are listed and added up in an annexure to the answering affidavit. Mr D claims an entitlement “</w:t>
      </w:r>
      <w:r w:rsidR="00251F52">
        <w:rPr>
          <w:rFonts w:cs="Arial"/>
          <w:i/>
          <w:iCs/>
          <w:szCs w:val="24"/>
          <w:lang w:val="en-GB"/>
        </w:rPr>
        <w:t>to payment of the sum of R616,744 out of the proceeds of the sale before the net proceeds are divided in equal shares between the applicant and myself.</w:t>
      </w:r>
      <w:r w:rsidR="00251F52">
        <w:rPr>
          <w:rFonts w:cs="Arial"/>
          <w:szCs w:val="24"/>
          <w:lang w:val="en-GB"/>
        </w:rPr>
        <w:t>”</w:t>
      </w:r>
    </w:p>
    <w:p w14:paraId="4151DE12" w14:textId="011C4A79" w:rsidR="00251F52" w:rsidRDefault="00C57235" w:rsidP="00C57235">
      <w:pPr>
        <w:pStyle w:val="WLGLevel1"/>
        <w:numPr>
          <w:ilvl w:val="0"/>
          <w:numId w:val="0"/>
        </w:numPr>
        <w:suppressAutoHyphens w:val="0"/>
        <w:spacing w:before="0" w:after="480"/>
        <w:ind w:left="709" w:hanging="709"/>
        <w:rPr>
          <w:rFonts w:cs="Arial"/>
          <w:szCs w:val="24"/>
          <w:lang w:val="en-GB"/>
        </w:rPr>
      </w:pPr>
      <w:bookmarkStart w:id="5" w:name="_Ref136360163"/>
      <w:r>
        <w:rPr>
          <w:rFonts w:cs="Arial"/>
          <w:bCs/>
          <w:iCs/>
          <w:szCs w:val="24"/>
          <w:lang w:val="en-GB"/>
        </w:rPr>
        <w:t>14.</w:t>
      </w:r>
      <w:r>
        <w:rPr>
          <w:rFonts w:cs="Arial"/>
          <w:bCs/>
          <w:iCs/>
          <w:szCs w:val="24"/>
          <w:lang w:val="en-GB"/>
        </w:rPr>
        <w:tab/>
      </w:r>
      <w:r w:rsidR="00251F52">
        <w:rPr>
          <w:rFonts w:cs="Arial"/>
          <w:szCs w:val="24"/>
          <w:lang w:val="en-GB"/>
        </w:rPr>
        <w:t>On the same day (17 January 2023) Mr D delivered a notice of conditional counter-application in which the court is called on to declare that he is entitled to payment of a sum of R616,744 out of the proceeds of any sale of the property and to order Ms D to pay the costs of the counter-application.</w:t>
      </w:r>
      <w:bookmarkEnd w:id="5"/>
    </w:p>
    <w:p w14:paraId="7CC140E9" w14:textId="10F77A52"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15.</w:t>
      </w:r>
      <w:r>
        <w:rPr>
          <w:rFonts w:cs="Arial"/>
          <w:bCs/>
          <w:iCs/>
          <w:szCs w:val="24"/>
          <w:lang w:val="en-GB"/>
        </w:rPr>
        <w:tab/>
      </w:r>
      <w:r w:rsidR="00251F52">
        <w:rPr>
          <w:rFonts w:cs="Arial"/>
          <w:szCs w:val="24"/>
          <w:lang w:val="en-GB"/>
        </w:rPr>
        <w:t>Ms D’s replying affidavit was delivered on 02 February 2023. As appears therefrom, Ms D’s replies to Mr D’s contentions include that:</w:t>
      </w:r>
    </w:p>
    <w:p w14:paraId="1CE42BD3" w14:textId="2DAE40C4"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15.1.</w:t>
      </w:r>
      <w:r>
        <w:rPr>
          <w:rFonts w:cs="Arial"/>
          <w:szCs w:val="24"/>
          <w:lang w:val="en-GB"/>
        </w:rPr>
        <w:tab/>
      </w:r>
      <w:r w:rsidR="00251F52">
        <w:rPr>
          <w:rFonts w:cs="Arial"/>
          <w:szCs w:val="24"/>
          <w:lang w:val="en-GB"/>
        </w:rPr>
        <w:t>“</w:t>
      </w:r>
      <w:r w:rsidR="00251F52">
        <w:rPr>
          <w:rFonts w:cs="Arial"/>
          <w:i/>
          <w:iCs/>
          <w:szCs w:val="24"/>
          <w:lang w:val="en-GB"/>
        </w:rPr>
        <w:t>the courts support the clean-break principle when it comes to divorce and … upon a proper interpretation of the settlement agreement and the clause relating to our former matrimonial home, it was always envisaged and understood between us that the former matrimonial home would be sold and the proceeds thereof divided equally between us</w:t>
      </w:r>
      <w:r w:rsidR="00251F52">
        <w:rPr>
          <w:rFonts w:cs="Arial"/>
          <w:szCs w:val="24"/>
          <w:lang w:val="en-GB"/>
        </w:rPr>
        <w:t>”;</w:t>
      </w:r>
    </w:p>
    <w:p w14:paraId="7871F6D2" w14:textId="4643AF70"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15.2.</w:t>
      </w:r>
      <w:r>
        <w:rPr>
          <w:rFonts w:cs="Arial"/>
          <w:szCs w:val="24"/>
          <w:lang w:val="en-GB"/>
        </w:rPr>
        <w:tab/>
      </w:r>
      <w:r w:rsidR="00251F52">
        <w:rPr>
          <w:rFonts w:cs="Arial"/>
          <w:szCs w:val="24"/>
          <w:lang w:val="en-GB"/>
        </w:rPr>
        <w:t>“</w:t>
      </w:r>
      <w:r w:rsidR="00251F52">
        <w:rPr>
          <w:rFonts w:cs="Arial"/>
          <w:i/>
          <w:iCs/>
          <w:szCs w:val="24"/>
          <w:lang w:val="en-GB"/>
        </w:rPr>
        <w:t>[s]hould the respondent’s incorrect interpretation be accepted and the former matrimonial home not be sold (which was always our intention), the result is that I will be tethered to the respondent and his whims for the rest of my days and that is simply non-sensical</w:t>
      </w:r>
      <w:r w:rsidR="00251F52">
        <w:rPr>
          <w:rFonts w:cs="Arial"/>
          <w:szCs w:val="24"/>
          <w:lang w:val="en-GB"/>
        </w:rPr>
        <w:t>”;</w:t>
      </w:r>
    </w:p>
    <w:p w14:paraId="4716C6D5" w14:textId="1BC74235"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lastRenderedPageBreak/>
        <w:t>15.3.</w:t>
      </w:r>
      <w:r>
        <w:rPr>
          <w:rFonts w:cs="Arial"/>
          <w:szCs w:val="24"/>
          <w:lang w:val="en-GB"/>
        </w:rPr>
        <w:tab/>
      </w:r>
      <w:r w:rsidR="00251F52">
        <w:rPr>
          <w:rFonts w:cs="Arial"/>
          <w:szCs w:val="24"/>
          <w:lang w:val="en-GB"/>
        </w:rPr>
        <w:t>“</w:t>
      </w:r>
      <w:r w:rsidR="00251F52">
        <w:rPr>
          <w:rFonts w:cs="Arial"/>
          <w:i/>
          <w:iCs/>
          <w:szCs w:val="24"/>
          <w:lang w:val="en-GB"/>
        </w:rPr>
        <w:t>[t]he respondent on anyone’s version is the only person who has derived any benefit from our former matrimonial home. … Had the respondent sold the matrimonial home earlier as was intended he would not have incurred such exorbitant expenses</w:t>
      </w:r>
      <w:r w:rsidR="00251F52">
        <w:rPr>
          <w:rFonts w:cs="Arial"/>
          <w:szCs w:val="24"/>
          <w:lang w:val="en-GB"/>
        </w:rPr>
        <w:t>”; and</w:t>
      </w:r>
    </w:p>
    <w:p w14:paraId="4FD6ACA0" w14:textId="199F9FEF"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15.4.</w:t>
      </w:r>
      <w:r>
        <w:rPr>
          <w:rFonts w:cs="Arial"/>
          <w:szCs w:val="24"/>
          <w:lang w:val="en-GB"/>
        </w:rPr>
        <w:tab/>
      </w:r>
      <w:r w:rsidR="00251F52">
        <w:rPr>
          <w:rFonts w:cs="Arial"/>
          <w:szCs w:val="24"/>
          <w:lang w:val="en-GB"/>
        </w:rPr>
        <w:t>“</w:t>
      </w:r>
      <w:r w:rsidR="00251F52">
        <w:rPr>
          <w:rFonts w:cs="Arial"/>
          <w:i/>
          <w:iCs/>
          <w:szCs w:val="24"/>
          <w:lang w:val="en-GB"/>
        </w:rPr>
        <w:t>the provisions of the settlement agreement do not provide for any set offs and/or deductions, this was never the agreement.</w:t>
      </w:r>
      <w:r w:rsidR="00251F52">
        <w:rPr>
          <w:rFonts w:cs="Arial"/>
          <w:szCs w:val="24"/>
          <w:lang w:val="en-GB"/>
        </w:rPr>
        <w:t>”</w:t>
      </w:r>
    </w:p>
    <w:p w14:paraId="79A94865"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t>The submissions</w:t>
      </w:r>
    </w:p>
    <w:p w14:paraId="6E4B3576" w14:textId="0868054A"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16.</w:t>
      </w:r>
      <w:r>
        <w:rPr>
          <w:rFonts w:cs="Arial"/>
          <w:bCs/>
          <w:iCs/>
          <w:szCs w:val="24"/>
          <w:lang w:val="en-GB"/>
        </w:rPr>
        <w:tab/>
      </w:r>
      <w:r w:rsidR="00251F52">
        <w:rPr>
          <w:rFonts w:cs="Arial"/>
          <w:szCs w:val="24"/>
          <w:lang w:val="en-GB"/>
        </w:rPr>
        <w:t>On 24 February 2023 counsel for Ms D, Siobhan Meyer, delivered a practice note, heads of argument, list of authorities and chronology of events in the main application and the counter-application. The heads of argument submit that:</w:t>
      </w:r>
    </w:p>
    <w:p w14:paraId="564EE9ED" w14:textId="5BCDFCCC"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16.1.</w:t>
      </w:r>
      <w:r>
        <w:rPr>
          <w:rFonts w:cs="Arial"/>
          <w:szCs w:val="24"/>
          <w:lang w:val="en-GB"/>
        </w:rPr>
        <w:tab/>
      </w:r>
      <w:r w:rsidR="00251F52">
        <w:rPr>
          <w:rFonts w:cs="Arial"/>
          <w:szCs w:val="24"/>
          <w:lang w:val="en-GB"/>
        </w:rPr>
        <w:t>the interpretation of the deed of settlement contended for by Mr D is in conflict with Ms D’s rights as co-owner to demand ‘partition’ of the property at any time. Her desire no longer to be a co-owner of the former matrimonial home, coupled with the provision of the deed regulating the division of the proceeds of a sale of the property, suffices for purposes of the relief sought in the main application; and</w:t>
      </w:r>
    </w:p>
    <w:p w14:paraId="2C70FEE4" w14:textId="485E1164" w:rsidR="00251F52" w:rsidRPr="002E1CF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sidRPr="002E1CF2">
        <w:rPr>
          <w:rFonts w:cs="Arial"/>
          <w:szCs w:val="24"/>
          <w:lang w:val="en-GB"/>
        </w:rPr>
        <w:t>16.2.</w:t>
      </w:r>
      <w:r w:rsidRPr="002E1CF2">
        <w:rPr>
          <w:rFonts w:cs="Arial"/>
          <w:szCs w:val="24"/>
          <w:lang w:val="en-GB"/>
        </w:rPr>
        <w:tab/>
      </w:r>
      <w:r w:rsidR="00251F52">
        <w:rPr>
          <w:rFonts w:cs="Arial"/>
          <w:szCs w:val="24"/>
          <w:lang w:val="en-GB"/>
        </w:rPr>
        <w:t xml:space="preserve">Mr D’s counter-application is meritless in that it is not provided for in the deed and any decisions to renovate the home were taken without consulting with or securing the consent of Ms D. Mr D has had exclusive </w:t>
      </w:r>
      <w:r w:rsidR="00251F52">
        <w:rPr>
          <w:rFonts w:cs="Arial"/>
          <w:szCs w:val="24"/>
          <w:lang w:val="en-GB"/>
        </w:rPr>
        <w:lastRenderedPageBreak/>
        <w:t>use and enjoyment of the home for two decades. And it lay within his power to bring that arrangement to an end at any time.</w:t>
      </w:r>
    </w:p>
    <w:p w14:paraId="05EF49D9" w14:textId="518A7958"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17.</w:t>
      </w:r>
      <w:r>
        <w:rPr>
          <w:rFonts w:cs="Arial"/>
          <w:bCs/>
          <w:iCs/>
          <w:szCs w:val="24"/>
          <w:lang w:val="en-GB"/>
        </w:rPr>
        <w:tab/>
      </w:r>
      <w:r w:rsidR="00251F52">
        <w:rPr>
          <w:rFonts w:cs="Arial"/>
          <w:szCs w:val="24"/>
          <w:lang w:val="en-GB"/>
        </w:rPr>
        <w:t>On 23 March 2023 counsel for Mr D, Nathan Segal, delivered a practice note, heads of argument and list of authorities in opposition to the main application and in support of the counter-application. The heads of argument submit that:</w:t>
      </w:r>
    </w:p>
    <w:p w14:paraId="47F0B537" w14:textId="25CA00B9"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17.1.</w:t>
      </w:r>
      <w:r>
        <w:rPr>
          <w:rFonts w:cs="Arial"/>
          <w:szCs w:val="24"/>
          <w:lang w:val="en-GB"/>
        </w:rPr>
        <w:tab/>
      </w:r>
      <w:r w:rsidR="00251F52">
        <w:rPr>
          <w:rFonts w:cs="Arial"/>
          <w:szCs w:val="24"/>
          <w:lang w:val="en-GB"/>
        </w:rPr>
        <w:t>“</w:t>
      </w:r>
      <w:r w:rsidR="00251F52">
        <w:rPr>
          <w:rFonts w:cs="Arial"/>
          <w:i/>
          <w:iCs/>
          <w:szCs w:val="24"/>
          <w:lang w:val="en-GB"/>
        </w:rPr>
        <w:t>it was agreed that [Mr D] would be entitled to reside in the property for so long as he desired and that it could not be sold until he wished to vacate the property.</w:t>
      </w:r>
      <w:r w:rsidR="00251F52">
        <w:rPr>
          <w:rFonts w:cs="Arial"/>
          <w:szCs w:val="24"/>
          <w:lang w:val="en-GB"/>
        </w:rPr>
        <w:t xml:space="preserve">” Supportive of that interpretation of the deed of settlement is the fact that he has resided in the property for some 20 years, a submission for which reliance is placed on </w:t>
      </w:r>
      <w:r w:rsidR="00251F52">
        <w:rPr>
          <w:rFonts w:cs="Arial"/>
          <w:i/>
          <w:iCs/>
          <w:szCs w:val="24"/>
          <w:lang w:val="en-GB"/>
        </w:rPr>
        <w:t>Shacklock</w:t>
      </w:r>
      <w:r w:rsidR="00251F52">
        <w:rPr>
          <w:rFonts w:cs="Arial"/>
          <w:szCs w:val="24"/>
          <w:lang w:val="en-GB"/>
        </w:rPr>
        <w:t>.</w:t>
      </w:r>
      <w:r w:rsidR="00251F52" w:rsidRPr="00D15B9D">
        <w:rPr>
          <w:rStyle w:val="FootnoteReference"/>
          <w:rFonts w:cs="Arial"/>
        </w:rPr>
        <w:footnoteReference w:id="1"/>
      </w:r>
      <w:r w:rsidR="00251F52">
        <w:rPr>
          <w:rFonts w:cs="Arial"/>
          <w:szCs w:val="24"/>
          <w:lang w:val="en-GB"/>
        </w:rPr>
        <w:t xml:space="preserve"> If the dispute in regard to interpretation cannot be resolved “</w:t>
      </w:r>
      <w:r w:rsidR="00251F52">
        <w:rPr>
          <w:rFonts w:cs="Arial"/>
          <w:i/>
          <w:iCs/>
          <w:szCs w:val="24"/>
          <w:lang w:val="en-GB"/>
        </w:rPr>
        <w:t>without the hearing of extrinsic evidence as to what passed between the parties on the subject of the property</w:t>
      </w:r>
      <w:r w:rsidR="00251F52">
        <w:rPr>
          <w:rFonts w:cs="Arial"/>
          <w:szCs w:val="24"/>
          <w:lang w:val="en-GB"/>
        </w:rPr>
        <w:t>”, it is submitted in the alternative that the dispute should be referred to oral evidence in terms of rule 6(5)(g); and</w:t>
      </w:r>
    </w:p>
    <w:p w14:paraId="7864DF56" w14:textId="5FE315D9"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17.2.</w:t>
      </w:r>
      <w:r>
        <w:rPr>
          <w:rFonts w:cs="Arial"/>
          <w:szCs w:val="24"/>
          <w:lang w:val="en-GB"/>
        </w:rPr>
        <w:tab/>
      </w:r>
      <w:r w:rsidR="00251F52">
        <w:rPr>
          <w:rFonts w:cs="Arial"/>
          <w:szCs w:val="24"/>
          <w:lang w:val="en-GB"/>
        </w:rPr>
        <w:t>if Ms D is entitled to the relief sought by her in the main application, “</w:t>
      </w:r>
      <w:r w:rsidR="00251F52">
        <w:rPr>
          <w:rFonts w:cs="Arial"/>
          <w:i/>
          <w:iCs/>
          <w:szCs w:val="24"/>
          <w:lang w:val="en-GB"/>
        </w:rPr>
        <w:t>the respondent has instituted a conditional counterclaim in which he claims the expenses incurred by him in respect of the property</w:t>
      </w:r>
      <w:r w:rsidR="00251F52">
        <w:rPr>
          <w:rFonts w:cs="Arial"/>
          <w:szCs w:val="24"/>
          <w:lang w:val="en-GB"/>
        </w:rPr>
        <w:t xml:space="preserve">”. Reliance is placed on </w:t>
      </w:r>
      <w:r w:rsidR="00251F52">
        <w:rPr>
          <w:rFonts w:cs="Arial"/>
          <w:i/>
          <w:iCs/>
          <w:szCs w:val="24"/>
          <w:lang w:val="en-GB"/>
        </w:rPr>
        <w:t>Robson</w:t>
      </w:r>
      <w:r w:rsidR="00251F52" w:rsidRPr="00D15B9D">
        <w:rPr>
          <w:rStyle w:val="FootnoteReference"/>
          <w:rFonts w:cs="Arial"/>
        </w:rPr>
        <w:footnoteReference w:id="2"/>
      </w:r>
      <w:r w:rsidR="00251F52">
        <w:rPr>
          <w:rFonts w:cs="Arial"/>
          <w:szCs w:val="24"/>
          <w:lang w:val="en-GB"/>
        </w:rPr>
        <w:t xml:space="preserve"> for the proposition that “</w:t>
      </w:r>
      <w:r w:rsidR="00251F52">
        <w:rPr>
          <w:rFonts w:cs="Arial"/>
          <w:i/>
          <w:iCs/>
          <w:szCs w:val="24"/>
          <w:lang w:val="en-GB"/>
        </w:rPr>
        <w:t>[a] co-owner is entitled to claim the expenses incurred by him in respect of the property.</w:t>
      </w:r>
      <w:r w:rsidR="00251F52">
        <w:rPr>
          <w:rFonts w:cs="Arial"/>
          <w:szCs w:val="24"/>
          <w:lang w:val="en-GB"/>
        </w:rPr>
        <w:t xml:space="preserve">” In the further </w:t>
      </w:r>
      <w:r w:rsidR="00251F52">
        <w:rPr>
          <w:rFonts w:cs="Arial"/>
          <w:szCs w:val="24"/>
          <w:lang w:val="en-GB"/>
        </w:rPr>
        <w:lastRenderedPageBreak/>
        <w:t>alternative, it is submitted that any dispute as to the value of the expenses incurred by Mr D should be referred to oral evidence.</w:t>
      </w:r>
    </w:p>
    <w:p w14:paraId="50D8D6B5" w14:textId="1BBDEABD"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18.</w:t>
      </w:r>
      <w:r>
        <w:rPr>
          <w:rFonts w:cs="Arial"/>
          <w:bCs/>
          <w:iCs/>
          <w:szCs w:val="24"/>
          <w:lang w:val="en-GB"/>
        </w:rPr>
        <w:tab/>
      </w:r>
      <w:r w:rsidR="00251F52">
        <w:rPr>
          <w:rFonts w:cs="Arial"/>
          <w:szCs w:val="24"/>
          <w:lang w:val="en-GB"/>
        </w:rPr>
        <w:t>In response to a directive issued by this court, counsel for the parties delivered a joint practice note on 22 May 2023.</w:t>
      </w:r>
    </w:p>
    <w:p w14:paraId="29B1D052" w14:textId="77777777" w:rsidR="00251F52" w:rsidRPr="001F6CEC" w:rsidRDefault="00251F52" w:rsidP="00251F52">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GENERAL PRINCIPLES</w:t>
      </w:r>
    </w:p>
    <w:p w14:paraId="2591A937" w14:textId="3926ACBF" w:rsidR="00251F52" w:rsidRPr="006C2D4C" w:rsidRDefault="00C57235" w:rsidP="00C57235">
      <w:pPr>
        <w:pStyle w:val="WLGLevel1"/>
        <w:numPr>
          <w:ilvl w:val="0"/>
          <w:numId w:val="0"/>
        </w:numPr>
        <w:suppressAutoHyphens w:val="0"/>
        <w:spacing w:before="0" w:after="480"/>
        <w:ind w:left="709" w:hanging="709"/>
        <w:rPr>
          <w:rFonts w:cs="Arial"/>
          <w:szCs w:val="24"/>
          <w:lang w:val="en-GB"/>
        </w:rPr>
      </w:pPr>
      <w:r w:rsidRPr="006C2D4C">
        <w:rPr>
          <w:rFonts w:cs="Arial"/>
          <w:bCs/>
          <w:iCs/>
          <w:szCs w:val="24"/>
          <w:lang w:val="en-GB"/>
        </w:rPr>
        <w:t>19.</w:t>
      </w:r>
      <w:r w:rsidRPr="006C2D4C">
        <w:rPr>
          <w:rFonts w:cs="Arial"/>
          <w:bCs/>
          <w:iCs/>
          <w:szCs w:val="24"/>
          <w:lang w:val="en-GB"/>
        </w:rPr>
        <w:tab/>
      </w:r>
      <w:r w:rsidR="00251F52" w:rsidRPr="006C2D4C">
        <w:rPr>
          <w:rFonts w:cs="Arial"/>
          <w:szCs w:val="24"/>
          <w:lang w:val="en-GB"/>
        </w:rPr>
        <w:t xml:space="preserve">The </w:t>
      </w:r>
      <w:r w:rsidR="00251F52" w:rsidRPr="006C2D4C">
        <w:rPr>
          <w:rFonts w:cs="Arial"/>
          <w:i/>
          <w:iCs/>
          <w:szCs w:val="24"/>
          <w:lang w:val="en-GB"/>
        </w:rPr>
        <w:t>actio communi dividundo</w:t>
      </w:r>
      <w:r w:rsidR="00251F52" w:rsidRPr="006C2D4C">
        <w:rPr>
          <w:rFonts w:cs="Arial"/>
          <w:szCs w:val="24"/>
          <w:lang w:val="en-GB"/>
        </w:rPr>
        <w:t xml:space="preserve"> is available to a co-owner seeking termination of joint ownership of property where the co-owners are unable to agree to the method of its division.</w:t>
      </w:r>
      <w:r w:rsidR="00251F52">
        <w:rPr>
          <w:rFonts w:cs="Arial"/>
          <w:szCs w:val="24"/>
          <w:lang w:val="en-GB"/>
        </w:rPr>
        <w:t xml:space="preserve"> </w:t>
      </w:r>
      <w:r w:rsidR="00251F52" w:rsidRPr="006C2D4C">
        <w:rPr>
          <w:rFonts w:cs="Arial"/>
          <w:szCs w:val="24"/>
          <w:lang w:val="en-GB"/>
        </w:rPr>
        <w:t>The basic notion underlying this action is that a co-owner is not ordinarily obliged to remain such against her will.</w:t>
      </w:r>
      <w:r w:rsidR="00251F52" w:rsidRPr="00D15B9D">
        <w:rPr>
          <w:rStyle w:val="FootnoteReference"/>
          <w:rFonts w:cs="Arial"/>
        </w:rPr>
        <w:footnoteReference w:id="3"/>
      </w:r>
    </w:p>
    <w:p w14:paraId="60156B23" w14:textId="6D9CF317"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20.</w:t>
      </w:r>
      <w:r>
        <w:rPr>
          <w:rFonts w:cs="Arial"/>
          <w:bCs/>
          <w:iCs/>
          <w:szCs w:val="24"/>
          <w:lang w:val="en-GB"/>
        </w:rPr>
        <w:tab/>
      </w:r>
      <w:r w:rsidR="00251F52">
        <w:rPr>
          <w:rFonts w:cs="Arial"/>
          <w:szCs w:val="24"/>
          <w:lang w:val="en-GB"/>
        </w:rPr>
        <w:t>The court enjoys a wide discretion to order the division of joint property on terms that it deems just and equitable,</w:t>
      </w:r>
      <w:r w:rsidR="00251F52" w:rsidRPr="00D15B9D">
        <w:rPr>
          <w:rStyle w:val="FootnoteReference"/>
          <w:rFonts w:cs="Arial"/>
        </w:rPr>
        <w:footnoteReference w:id="4"/>
      </w:r>
      <w:r w:rsidR="00251F52">
        <w:rPr>
          <w:rFonts w:cs="Arial"/>
          <w:szCs w:val="24"/>
          <w:lang w:val="en-GB"/>
        </w:rPr>
        <w:t xml:space="preserve"> having regard to the facts and circumstances of the case, what is to the advantage of the co-owners and what each of them would prefer, including that the property be put up to auction and the proceeds be divided among the co-owners.</w:t>
      </w:r>
      <w:r w:rsidR="00251F52" w:rsidRPr="00D15B9D">
        <w:rPr>
          <w:rStyle w:val="FootnoteReference"/>
          <w:rFonts w:cs="Arial"/>
        </w:rPr>
        <w:footnoteReference w:id="5"/>
      </w:r>
    </w:p>
    <w:p w14:paraId="30BBF47C" w14:textId="2AADEE55" w:rsidR="00251F52" w:rsidRPr="00F44D79" w:rsidRDefault="00C57235" w:rsidP="00C57235">
      <w:pPr>
        <w:pStyle w:val="WLGLevel1"/>
        <w:numPr>
          <w:ilvl w:val="0"/>
          <w:numId w:val="0"/>
        </w:numPr>
        <w:suppressAutoHyphens w:val="0"/>
        <w:spacing w:before="0" w:after="480"/>
        <w:ind w:left="709" w:hanging="709"/>
        <w:rPr>
          <w:rFonts w:cs="Arial"/>
          <w:szCs w:val="24"/>
          <w:lang w:val="en-GB"/>
        </w:rPr>
      </w:pPr>
      <w:r w:rsidRPr="00F44D79">
        <w:rPr>
          <w:rFonts w:cs="Arial"/>
          <w:bCs/>
          <w:iCs/>
          <w:szCs w:val="24"/>
          <w:lang w:val="en-GB"/>
        </w:rPr>
        <w:t>21.</w:t>
      </w:r>
      <w:r w:rsidRPr="00F44D79">
        <w:rPr>
          <w:rFonts w:cs="Arial"/>
          <w:bCs/>
          <w:iCs/>
          <w:szCs w:val="24"/>
          <w:lang w:val="en-GB"/>
        </w:rPr>
        <w:tab/>
      </w:r>
      <w:r w:rsidR="00251F52" w:rsidRPr="00F44D79">
        <w:rPr>
          <w:rFonts w:cs="Arial"/>
          <w:szCs w:val="24"/>
          <w:lang w:val="en-GB"/>
        </w:rPr>
        <w:t xml:space="preserve">The action may also be invoked to claim, as ancillary relief, payment of </w:t>
      </w:r>
      <w:r w:rsidR="00251F52" w:rsidRPr="00F44D79">
        <w:rPr>
          <w:rFonts w:cs="Arial"/>
          <w:i/>
          <w:iCs/>
          <w:szCs w:val="24"/>
          <w:lang w:val="en-GB"/>
        </w:rPr>
        <w:t>praestationes personales</w:t>
      </w:r>
      <w:r w:rsidR="00251F52" w:rsidRPr="00F44D79">
        <w:rPr>
          <w:rFonts w:cs="Arial"/>
          <w:szCs w:val="24"/>
          <w:lang w:val="en-GB"/>
        </w:rPr>
        <w:t xml:space="preserve"> or ‘personal items for payment’ relating to profits enjoyed </w:t>
      </w:r>
      <w:r w:rsidR="00251F52" w:rsidRPr="00F44D79">
        <w:rPr>
          <w:rFonts w:cs="Arial"/>
          <w:szCs w:val="24"/>
          <w:lang w:val="en-GB"/>
        </w:rPr>
        <w:lastRenderedPageBreak/>
        <w:t>or expenses incurred in connection with the joint property.</w:t>
      </w:r>
      <w:r w:rsidR="00251F52" w:rsidRPr="00D15B9D">
        <w:rPr>
          <w:rStyle w:val="FootnoteReference"/>
          <w:rFonts w:cs="Arial"/>
        </w:rPr>
        <w:footnoteReference w:id="6"/>
      </w:r>
      <w:r w:rsidR="00251F52">
        <w:rPr>
          <w:rFonts w:cs="Arial"/>
          <w:szCs w:val="24"/>
          <w:lang w:val="en-GB"/>
        </w:rPr>
        <w:t xml:space="preserve"> </w:t>
      </w:r>
      <w:r w:rsidR="00251F52" w:rsidRPr="00F44D79">
        <w:rPr>
          <w:rFonts w:cs="Arial"/>
          <w:szCs w:val="24"/>
          <w:lang w:val="en-GB"/>
        </w:rPr>
        <w:t xml:space="preserve">In this regard, </w:t>
      </w:r>
      <w:r w:rsidR="00251F52" w:rsidRPr="00F44D79">
        <w:rPr>
          <w:rFonts w:cs="Arial"/>
          <w:i/>
          <w:iCs/>
          <w:szCs w:val="24"/>
          <w:lang w:val="en-GB"/>
        </w:rPr>
        <w:t>Rademeyer</w:t>
      </w:r>
      <w:r w:rsidR="00251F52" w:rsidRPr="00D15B9D">
        <w:rPr>
          <w:rStyle w:val="FootnoteReference"/>
          <w:rFonts w:cs="Arial"/>
        </w:rPr>
        <w:footnoteReference w:id="7"/>
      </w:r>
      <w:r w:rsidR="00251F52" w:rsidRPr="00F44D79">
        <w:rPr>
          <w:rFonts w:cs="Arial"/>
          <w:szCs w:val="24"/>
          <w:lang w:val="en-GB"/>
        </w:rPr>
        <w:t xml:space="preserve"> is authority for the proposition that “</w:t>
      </w:r>
      <w:r w:rsidR="00251F52" w:rsidRPr="00F44D79">
        <w:rPr>
          <w:rFonts w:cs="Arial"/>
          <w:i/>
          <w:iCs/>
          <w:szCs w:val="24"/>
          <w:lang w:val="en-GB"/>
        </w:rPr>
        <w:t>a possessor has the right to sue the owner for the expenses incurred in making necessary and useful improvements and no restriction is placed upon this right where the possessor is also part-owner of the property he has improved</w:t>
      </w:r>
      <w:r w:rsidR="00251F52" w:rsidRPr="00F44D79">
        <w:rPr>
          <w:rFonts w:cs="Arial"/>
          <w:szCs w:val="24"/>
          <w:lang w:val="en-GB"/>
        </w:rPr>
        <w:t>.”</w:t>
      </w:r>
    </w:p>
    <w:p w14:paraId="359EF990" w14:textId="5F6B1914"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22.</w:t>
      </w:r>
      <w:r>
        <w:rPr>
          <w:rFonts w:cs="Arial"/>
          <w:bCs/>
          <w:iCs/>
          <w:szCs w:val="24"/>
          <w:lang w:val="en-GB"/>
        </w:rPr>
        <w:tab/>
      </w:r>
      <w:r w:rsidR="00251F52">
        <w:rPr>
          <w:rFonts w:cs="Arial"/>
          <w:szCs w:val="24"/>
          <w:lang w:val="en-GB"/>
        </w:rPr>
        <w:t>Vindicating the right is however subject to stringent requirements in respect of proving any such claim:</w:t>
      </w:r>
    </w:p>
    <w:p w14:paraId="2ED8CBDA" w14:textId="77777777" w:rsidR="00251F52" w:rsidRPr="009377B0" w:rsidRDefault="00251F52" w:rsidP="00251F52">
      <w:pPr>
        <w:pStyle w:val="WLGLevel1"/>
        <w:numPr>
          <w:ilvl w:val="0"/>
          <w:numId w:val="0"/>
        </w:numPr>
        <w:suppressAutoHyphens w:val="0"/>
        <w:spacing w:before="0" w:after="600" w:line="360" w:lineRule="auto"/>
        <w:ind w:left="1440"/>
        <w:rPr>
          <w:rFonts w:cs="Arial"/>
          <w:sz w:val="22"/>
          <w:szCs w:val="22"/>
          <w:lang w:val="en-GB"/>
        </w:rPr>
      </w:pPr>
      <w:r w:rsidRPr="009377B0">
        <w:rPr>
          <w:rFonts w:cs="Arial"/>
          <w:sz w:val="22"/>
          <w:szCs w:val="22"/>
          <w:lang w:val="en-GB"/>
        </w:rPr>
        <w:t>“</w:t>
      </w:r>
      <w:r w:rsidRPr="009377B0">
        <w:rPr>
          <w:rFonts w:cs="Arial"/>
          <w:i/>
          <w:iCs/>
          <w:sz w:val="22"/>
          <w:szCs w:val="22"/>
          <w:lang w:val="en-GB"/>
        </w:rPr>
        <w:t>It is in the first place necessary to establish the nature of the improvements in order to determine whether they are necessary or useful. It is also necessary to determine the extent of such improvements because, without doing so, it would not be possible to determine to what extent the value of the property has been enhanced by the improvements and it is necessary to determine the cost of the improvements because, if the value of the property has been enhanced to an amount greater than the cost of the improvements, then the plaintiffs can only claim the cost of the improvements and not the enhanced value of the property. If, on the other hand, the cost of the improvements exceeds the amount by which they have enhanced the value of the property, then the plaintiffs can only claim an amount equal to the enhanced value of the property.</w:t>
      </w:r>
      <w:r w:rsidRPr="009377B0">
        <w:rPr>
          <w:rFonts w:cs="Arial"/>
          <w:sz w:val="22"/>
          <w:szCs w:val="22"/>
          <w:lang w:val="en-GB"/>
        </w:rPr>
        <w:t>”</w:t>
      </w:r>
      <w:r w:rsidRPr="009377B0">
        <w:rPr>
          <w:rStyle w:val="FootnoteReference"/>
          <w:rFonts w:cs="Arial"/>
          <w:sz w:val="22"/>
          <w:szCs w:val="22"/>
        </w:rPr>
        <w:footnoteReference w:id="8"/>
      </w:r>
    </w:p>
    <w:p w14:paraId="4E11290F" w14:textId="08C096F0"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23.</w:t>
      </w:r>
      <w:r>
        <w:rPr>
          <w:rFonts w:cs="Arial"/>
          <w:bCs/>
          <w:iCs/>
          <w:szCs w:val="24"/>
          <w:lang w:val="en-GB"/>
        </w:rPr>
        <w:tab/>
      </w:r>
      <w:r w:rsidR="00251F52">
        <w:rPr>
          <w:rFonts w:cs="Arial"/>
          <w:szCs w:val="24"/>
          <w:lang w:val="en-GB"/>
        </w:rPr>
        <w:t>Relevant to the enquiry is also whether an equitable adjustment is required in respect of the benefit derived by a party on account of having occupied the property.</w:t>
      </w:r>
      <w:r w:rsidR="00251F52" w:rsidRPr="00D15B9D">
        <w:rPr>
          <w:rStyle w:val="FootnoteReference"/>
          <w:rFonts w:cs="Arial"/>
        </w:rPr>
        <w:footnoteReference w:id="9"/>
      </w:r>
    </w:p>
    <w:p w14:paraId="03610D81" w14:textId="0821838E"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24.</w:t>
      </w:r>
      <w:r>
        <w:rPr>
          <w:rFonts w:cs="Arial"/>
          <w:bCs/>
          <w:iCs/>
          <w:szCs w:val="24"/>
          <w:lang w:val="en-GB"/>
        </w:rPr>
        <w:tab/>
      </w:r>
      <w:r w:rsidR="00251F52">
        <w:rPr>
          <w:rFonts w:cs="Arial"/>
          <w:szCs w:val="24"/>
          <w:lang w:val="en-GB"/>
        </w:rPr>
        <w:t>Where there is insufficient evidence of what each party has contributed towards the property, a referral to oral evidence may nonetheless not be appropriate where the value of the property is modest and the costs of further litigation would likely consume the proceeds of sale.</w:t>
      </w:r>
      <w:r w:rsidR="00251F52" w:rsidRPr="00D15B9D">
        <w:rPr>
          <w:rStyle w:val="FootnoteReference"/>
          <w:rFonts w:cs="Arial"/>
        </w:rPr>
        <w:footnoteReference w:id="10"/>
      </w:r>
    </w:p>
    <w:p w14:paraId="3D4FB44D" w14:textId="77777777" w:rsidR="00251F52" w:rsidRPr="001F6CEC" w:rsidRDefault="00251F52" w:rsidP="00251F52">
      <w:pPr>
        <w:pStyle w:val="WLGLevel1"/>
        <w:keepNext/>
        <w:numPr>
          <w:ilvl w:val="0"/>
          <w:numId w:val="0"/>
        </w:numPr>
        <w:suppressAutoHyphens w:val="0"/>
        <w:spacing w:before="0" w:after="480"/>
        <w:ind w:left="567" w:hanging="567"/>
        <w:rPr>
          <w:rFonts w:cs="Arial"/>
          <w:b/>
          <w:bCs/>
          <w:szCs w:val="24"/>
          <w:lang w:val="en-GB"/>
        </w:rPr>
      </w:pPr>
      <w:r>
        <w:rPr>
          <w:rFonts w:cs="Arial"/>
          <w:b/>
          <w:bCs/>
          <w:szCs w:val="24"/>
          <w:lang w:val="en-GB"/>
        </w:rPr>
        <w:t>THE ISSUES</w:t>
      </w:r>
    </w:p>
    <w:p w14:paraId="35C4CEC8"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t>The claim for division</w:t>
      </w:r>
    </w:p>
    <w:p w14:paraId="5A3D9C35" w14:textId="4CC04B9C"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25.</w:t>
      </w:r>
      <w:r>
        <w:rPr>
          <w:rFonts w:cs="Arial"/>
          <w:bCs/>
          <w:iCs/>
          <w:szCs w:val="24"/>
          <w:lang w:val="en-GB"/>
        </w:rPr>
        <w:tab/>
      </w:r>
      <w:r w:rsidR="00251F52">
        <w:rPr>
          <w:rFonts w:cs="Arial"/>
          <w:szCs w:val="24"/>
          <w:lang w:val="en-GB"/>
        </w:rPr>
        <w:t>At the hearing, Ms Meyer submitted that, on the clean-break principle and having regard to the provisions of the deed of settlement, her client is entitled to an order in the terms set out in the notice of motion. On a purposive interpretation, bearing in mind that the agreement was intended to bring about a parting of ways, the deed should be read as having permitted Mr D to reside in the former matrimonial home for no longer than a reasonable period of time. In her submission, no purpose would be served by a referral to oral evidence since the parties – the only potential witnesses – have recorded their respective versions in the affidavits.</w:t>
      </w:r>
    </w:p>
    <w:p w14:paraId="089E7706" w14:textId="37E7A561"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26.</w:t>
      </w:r>
      <w:r>
        <w:rPr>
          <w:rFonts w:cs="Arial"/>
          <w:bCs/>
          <w:iCs/>
          <w:szCs w:val="24"/>
          <w:lang w:val="en-GB"/>
        </w:rPr>
        <w:tab/>
      </w:r>
      <w:r w:rsidR="00251F52">
        <w:rPr>
          <w:rFonts w:cs="Arial"/>
          <w:szCs w:val="24"/>
          <w:lang w:val="en-GB"/>
        </w:rPr>
        <w:t xml:space="preserve">Mr Segal countered that it had been open to the parties to leave any sale of the property entirely at Mr D’s discretion and, construed objectively, that is what they recorded in the deed of settlement. In his submission, that construction is reinforced by their post-contractual conduct; and factors such as any differential in the parties’ bargaining power or legal representation are irrelevant for purposes of the deed’s proper interpretation. Thus, the main application should be dismissed with costs </w:t>
      </w:r>
      <w:r w:rsidR="00251F52">
        <w:rPr>
          <w:rFonts w:cs="Arial"/>
          <w:i/>
          <w:iCs/>
          <w:szCs w:val="24"/>
          <w:lang w:val="en-GB"/>
        </w:rPr>
        <w:t>alternatively</w:t>
      </w:r>
      <w:r w:rsidR="00251F52">
        <w:rPr>
          <w:rFonts w:cs="Arial"/>
          <w:szCs w:val="24"/>
          <w:lang w:val="en-GB"/>
        </w:rPr>
        <w:t xml:space="preserve"> the dispute as regards the meaning of the deed should be referred to oral evidence.</w:t>
      </w:r>
    </w:p>
    <w:p w14:paraId="4248C585" w14:textId="14BD2957"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27.</w:t>
      </w:r>
      <w:r>
        <w:rPr>
          <w:rFonts w:cs="Arial"/>
          <w:bCs/>
          <w:iCs/>
          <w:szCs w:val="24"/>
          <w:lang w:val="en-GB"/>
        </w:rPr>
        <w:tab/>
      </w:r>
      <w:r w:rsidR="00251F52">
        <w:rPr>
          <w:rFonts w:cs="Arial"/>
          <w:szCs w:val="24"/>
          <w:lang w:val="en-GB"/>
        </w:rPr>
        <w:t xml:space="preserve">It may be observed that the deed of settlement is not a model of clarity and a degree of uncertainty exists as regards the duration of Mr D’s permissible occupation of the former matrimonial home. </w:t>
      </w:r>
    </w:p>
    <w:p w14:paraId="7CCE5CD3" w14:textId="3A0CB65F"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28.</w:t>
      </w:r>
      <w:r>
        <w:rPr>
          <w:rFonts w:cs="Arial"/>
          <w:bCs/>
          <w:iCs/>
          <w:szCs w:val="24"/>
          <w:lang w:val="en-GB"/>
        </w:rPr>
        <w:tab/>
      </w:r>
      <w:r w:rsidR="00251F52">
        <w:rPr>
          <w:rFonts w:cs="Arial"/>
          <w:szCs w:val="24"/>
          <w:lang w:val="en-GB"/>
        </w:rPr>
        <w:t>But the deed must be read contextually and purposively, having regard to the fact that it was intended to regulate a division of the parties’ joint estate. The preamble records that the parties “</w:t>
      </w:r>
      <w:r w:rsidR="00251F52" w:rsidRPr="00BB3999">
        <w:rPr>
          <w:rFonts w:cs="Arial"/>
          <w:i/>
          <w:iCs/>
          <w:szCs w:val="24"/>
          <w:lang w:val="en-GB"/>
        </w:rPr>
        <w:t>agree</w:t>
      </w:r>
      <w:r w:rsidR="00251F52">
        <w:rPr>
          <w:rFonts w:cs="Arial"/>
          <w:i/>
          <w:iCs/>
          <w:szCs w:val="24"/>
          <w:lang w:val="en-GB"/>
        </w:rPr>
        <w:t xml:space="preserve"> that the marriage between them has broken down irretrievably and that there is no prospect of the continuation of a normal marriage relationship</w:t>
      </w:r>
      <w:r w:rsidR="00251F52">
        <w:rPr>
          <w:rFonts w:cs="Arial"/>
          <w:szCs w:val="24"/>
          <w:lang w:val="en-GB"/>
        </w:rPr>
        <w:t>” and “</w:t>
      </w:r>
      <w:r w:rsidR="00251F52" w:rsidRPr="00BB3999">
        <w:rPr>
          <w:rFonts w:cs="Arial"/>
          <w:i/>
          <w:iCs/>
          <w:szCs w:val="24"/>
          <w:lang w:val="en-GB"/>
        </w:rPr>
        <w:t>wish</w:t>
      </w:r>
      <w:r w:rsidR="00251F52">
        <w:rPr>
          <w:rFonts w:cs="Arial"/>
          <w:i/>
          <w:iCs/>
          <w:szCs w:val="24"/>
          <w:lang w:val="en-GB"/>
        </w:rPr>
        <w:t xml:space="preserve"> to reduce to writing what has been agreed upon in principal in regard to the division of assets</w:t>
      </w:r>
      <w:r w:rsidR="00251F52">
        <w:rPr>
          <w:rFonts w:cs="Arial"/>
          <w:szCs w:val="24"/>
          <w:lang w:val="en-GB"/>
        </w:rPr>
        <w:t xml:space="preserve">”. There is then the heading </w:t>
      </w:r>
      <w:r w:rsidR="00251F52" w:rsidRPr="00565E7E">
        <w:rPr>
          <w:rFonts w:cs="Arial"/>
          <w:szCs w:val="24"/>
          <w:lang w:val="en-GB"/>
        </w:rPr>
        <w:t>“</w:t>
      </w:r>
      <w:r w:rsidR="00251F52" w:rsidRPr="00565E7E">
        <w:rPr>
          <w:rFonts w:cs="Arial"/>
          <w:i/>
          <w:iCs/>
          <w:szCs w:val="24"/>
          <w:lang w:val="en-GB"/>
        </w:rPr>
        <w:t>DIVISION OF THE ASSETS</w:t>
      </w:r>
      <w:r w:rsidR="00251F52" w:rsidRPr="00565E7E">
        <w:rPr>
          <w:rFonts w:cs="Arial"/>
          <w:szCs w:val="24"/>
          <w:lang w:val="en-GB"/>
        </w:rPr>
        <w:t>” and subheading “</w:t>
      </w:r>
      <w:r w:rsidR="00251F52" w:rsidRPr="00565E7E">
        <w:rPr>
          <w:rFonts w:cs="Arial"/>
          <w:i/>
          <w:iCs/>
          <w:szCs w:val="24"/>
          <w:lang w:val="en-GB"/>
        </w:rPr>
        <w:t>IMMOV</w:t>
      </w:r>
      <w:r w:rsidR="00251F52">
        <w:rPr>
          <w:rFonts w:cs="Arial"/>
          <w:i/>
          <w:iCs/>
          <w:szCs w:val="24"/>
          <w:lang w:val="en-GB"/>
        </w:rPr>
        <w:t>E</w:t>
      </w:r>
      <w:r w:rsidR="00251F52" w:rsidRPr="00565E7E">
        <w:rPr>
          <w:rFonts w:cs="Arial"/>
          <w:i/>
          <w:iCs/>
          <w:szCs w:val="24"/>
          <w:lang w:val="en-GB"/>
        </w:rPr>
        <w:t>ABLE ASSETS</w:t>
      </w:r>
      <w:r w:rsidR="00251F52" w:rsidRPr="00565E7E">
        <w:rPr>
          <w:rFonts w:cs="Arial"/>
          <w:szCs w:val="24"/>
          <w:lang w:val="en-GB"/>
        </w:rPr>
        <w:t>”</w:t>
      </w:r>
      <w:r w:rsidR="00251F52">
        <w:rPr>
          <w:rFonts w:cs="Arial"/>
          <w:szCs w:val="24"/>
          <w:lang w:val="en-GB"/>
        </w:rPr>
        <w:t xml:space="preserve">. So, clause 1 is directed at the division of the property; not its retention. </w:t>
      </w:r>
    </w:p>
    <w:p w14:paraId="13CBFEDF" w14:textId="3F8DB2AF"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29.</w:t>
      </w:r>
      <w:r>
        <w:rPr>
          <w:rFonts w:cs="Arial"/>
          <w:bCs/>
          <w:iCs/>
          <w:szCs w:val="24"/>
          <w:lang w:val="en-GB"/>
        </w:rPr>
        <w:tab/>
      </w:r>
      <w:r w:rsidR="00251F52">
        <w:rPr>
          <w:rFonts w:cs="Arial"/>
          <w:szCs w:val="24"/>
          <w:lang w:val="en-GB"/>
        </w:rPr>
        <w:t xml:space="preserve">It would not make sense to favour a construction of that clause that would stymie either party’s desire to disentangle the affairs of the parties. In particular, I incline </w:t>
      </w:r>
      <w:r w:rsidR="00251F52">
        <w:rPr>
          <w:rFonts w:cs="Arial"/>
          <w:szCs w:val="24"/>
          <w:lang w:val="en-GB"/>
        </w:rPr>
        <w:lastRenderedPageBreak/>
        <w:t xml:space="preserve">against an interpretation that would permit one party unilaterally to thwart any attempt to dispose of and divide the proceeds of a primary asset of the joint estate. A more sensible reading of the deed would allow Mr D to remain in occupation of the former matrimonial home for no more than a reasonable period of time, having regard to such time as would enable him to make orderly alternative arrangements. </w:t>
      </w:r>
    </w:p>
    <w:p w14:paraId="13FD5A00" w14:textId="57CF1CB8"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30.</w:t>
      </w:r>
      <w:r>
        <w:rPr>
          <w:rFonts w:cs="Arial"/>
          <w:bCs/>
          <w:iCs/>
          <w:szCs w:val="24"/>
          <w:lang w:val="en-GB"/>
        </w:rPr>
        <w:tab/>
      </w:r>
      <w:r w:rsidR="00251F52">
        <w:rPr>
          <w:rFonts w:cs="Arial"/>
          <w:szCs w:val="24"/>
          <w:lang w:val="en-GB"/>
        </w:rPr>
        <w:t>I should add, although neither party contended for such a provision, that it would require no judicial strain to imply a tacit term of the deed of settlement to that effect.</w:t>
      </w:r>
    </w:p>
    <w:p w14:paraId="7972732F" w14:textId="371C6803"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31.</w:t>
      </w:r>
      <w:r>
        <w:rPr>
          <w:rFonts w:cs="Arial"/>
          <w:bCs/>
          <w:iCs/>
          <w:szCs w:val="24"/>
          <w:lang w:val="en-GB"/>
        </w:rPr>
        <w:tab/>
      </w:r>
      <w:r w:rsidR="00251F52" w:rsidRPr="007536A7">
        <w:t>As</w:t>
      </w:r>
      <w:r w:rsidR="00251F52">
        <w:t xml:space="preserve"> regards post-contractual conduct, </w:t>
      </w:r>
      <w:r w:rsidR="00251F52" w:rsidRPr="007536A7">
        <w:t>the manner in which parties to a contract carr</w:t>
      </w:r>
      <w:r w:rsidR="00251F52">
        <w:t>y</w:t>
      </w:r>
      <w:r w:rsidR="00251F52" w:rsidRPr="007536A7">
        <w:t xml:space="preserve"> out their agreement may </w:t>
      </w:r>
      <w:r w:rsidR="00251F52">
        <w:t>form</w:t>
      </w:r>
      <w:r w:rsidR="00251F52" w:rsidRPr="007536A7">
        <w:t xml:space="preserve"> part of the contextual setting in which the meaning of a disputed term is to be ascertained.</w:t>
      </w:r>
      <w:r w:rsidR="00251F52" w:rsidRPr="007536A7">
        <w:rPr>
          <w:vertAlign w:val="superscript"/>
        </w:rPr>
        <w:footnoteReference w:id="11"/>
      </w:r>
      <w:r w:rsidR="00251F52" w:rsidRPr="007536A7">
        <w:t xml:space="preserve"> </w:t>
      </w:r>
      <w:r w:rsidR="00251F52">
        <w:t xml:space="preserve">But </w:t>
      </w:r>
      <w:r w:rsidR="00251F52" w:rsidRPr="007536A7">
        <w:t>the use of such evidence is subject to provisos.</w:t>
      </w:r>
      <w:r w:rsidR="00251F52" w:rsidRPr="007536A7">
        <w:rPr>
          <w:vertAlign w:val="superscript"/>
        </w:rPr>
        <w:footnoteReference w:id="12"/>
      </w:r>
      <w:r w:rsidR="00251F52" w:rsidRPr="007536A7">
        <w:t xml:space="preserve"> First, the evidence must be indicative of a common understanding of the term. Second, it may be used not to add to or alter the words used by the parties – as in a claim for rectification of the contract – but (only) as an aid to their proper construction; i.e., a guide to an objective determination of the meaning of the words recorded in the term.</w:t>
      </w:r>
      <w:r w:rsidR="00251F52" w:rsidRPr="007536A7">
        <w:rPr>
          <w:vertAlign w:val="superscript"/>
        </w:rPr>
        <w:footnoteReference w:id="13"/>
      </w:r>
      <w:r w:rsidR="00251F52" w:rsidRPr="007536A7">
        <w:t xml:space="preserve"> Proviso 2 is not “</w:t>
      </w:r>
      <w:r w:rsidR="00251F52" w:rsidRPr="007536A7">
        <w:rPr>
          <w:i/>
          <w:iCs/>
        </w:rPr>
        <w:t>an invitation to harvest evidence, on an indiscriminate basis, of what the parties did after they concluded their agreement</w:t>
      </w:r>
      <w:r w:rsidR="00251F52" w:rsidRPr="007536A7">
        <w:t>”.</w:t>
      </w:r>
      <w:r w:rsidR="00251F52" w:rsidRPr="007536A7">
        <w:rPr>
          <w:vertAlign w:val="superscript"/>
        </w:rPr>
        <w:footnoteReference w:id="14"/>
      </w:r>
      <w:r w:rsidR="00251F52" w:rsidRPr="007536A7">
        <w:t xml:space="preserve"> Third, the evidence must be used as conservatively </w:t>
      </w:r>
      <w:r w:rsidR="00251F52" w:rsidRPr="007536A7">
        <w:lastRenderedPageBreak/>
        <w:t>as possible.</w:t>
      </w:r>
      <w:r w:rsidR="00251F52" w:rsidRPr="007536A7">
        <w:rPr>
          <w:vertAlign w:val="superscript"/>
        </w:rPr>
        <w:footnoteReference w:id="15"/>
      </w:r>
      <w:r w:rsidR="00251F52" w:rsidRPr="00B774A3">
        <w:t xml:space="preserve"> </w:t>
      </w:r>
      <w:r w:rsidR="00251F52">
        <w:t>In this case, t</w:t>
      </w:r>
      <w:r w:rsidR="00251F52" w:rsidRPr="007536A7">
        <w:t>he parties</w:t>
      </w:r>
      <w:r w:rsidR="00251F52">
        <w:t>’</w:t>
      </w:r>
      <w:r w:rsidR="00251F52" w:rsidRPr="007536A7">
        <w:t xml:space="preserve"> conduct is </w:t>
      </w:r>
      <w:r w:rsidR="00251F52">
        <w:t xml:space="preserve">at best </w:t>
      </w:r>
      <w:r w:rsidR="00251F52" w:rsidRPr="007536A7">
        <w:t>equivocal</w:t>
      </w:r>
      <w:r w:rsidR="00251F52">
        <w:t xml:space="preserve"> – recall the evidence noted in paragraphs </w:t>
      </w:r>
      <w:r w:rsidR="00251F52">
        <w:fldChar w:fldCharType="begin"/>
      </w:r>
      <w:r w:rsidR="00251F52">
        <w:instrText xml:space="preserve"> REF _Ref137019006 \r \h </w:instrText>
      </w:r>
      <w:r w:rsidR="00251F52">
        <w:fldChar w:fldCharType="separate"/>
      </w:r>
      <w:r w:rsidR="00DC5C5A">
        <w:t>11.6</w:t>
      </w:r>
      <w:r w:rsidR="00251F52">
        <w:fldChar w:fldCharType="end"/>
      </w:r>
      <w:r w:rsidR="00251F52">
        <w:t xml:space="preserve"> and </w:t>
      </w:r>
      <w:r w:rsidR="00251F52">
        <w:fldChar w:fldCharType="begin"/>
      </w:r>
      <w:r w:rsidR="00251F52">
        <w:instrText xml:space="preserve"> REF _Ref137019014 \r \p \h </w:instrText>
      </w:r>
      <w:r w:rsidR="00251F52">
        <w:fldChar w:fldCharType="separate"/>
      </w:r>
      <w:r w:rsidR="00DC5C5A">
        <w:t>11.7 above</w:t>
      </w:r>
      <w:r w:rsidR="00251F52">
        <w:fldChar w:fldCharType="end"/>
      </w:r>
      <w:r w:rsidR="00251F52">
        <w:t xml:space="preserve"> – and </w:t>
      </w:r>
      <w:r w:rsidR="00251F52" w:rsidRPr="007536A7">
        <w:t xml:space="preserve">does not </w:t>
      </w:r>
      <w:r w:rsidR="00251F52">
        <w:t>establish</w:t>
      </w:r>
      <w:r w:rsidR="00251F52" w:rsidRPr="007536A7">
        <w:t xml:space="preserve"> a common intention that </w:t>
      </w:r>
      <w:r w:rsidR="00251F52">
        <w:rPr>
          <w:rFonts w:cs="Arial"/>
          <w:szCs w:val="24"/>
          <w:lang w:val="en-GB"/>
        </w:rPr>
        <w:t>“</w:t>
      </w:r>
      <w:r w:rsidR="00251F52">
        <w:rPr>
          <w:rFonts w:cs="Arial"/>
          <w:i/>
          <w:iCs/>
          <w:szCs w:val="24"/>
          <w:lang w:val="en-GB"/>
        </w:rPr>
        <w:t>[Mr D] would be entitled to reside in the property for so long as he desired and that it could not be sold until he wished to vacate the property.</w:t>
      </w:r>
      <w:r w:rsidR="00251F52">
        <w:rPr>
          <w:rFonts w:cs="Arial"/>
          <w:szCs w:val="24"/>
          <w:lang w:val="en-GB"/>
        </w:rPr>
        <w:t>”</w:t>
      </w:r>
    </w:p>
    <w:p w14:paraId="36B9D354" w14:textId="433082F2"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32.</w:t>
      </w:r>
      <w:r>
        <w:rPr>
          <w:rFonts w:cs="Arial"/>
          <w:bCs/>
          <w:iCs/>
          <w:szCs w:val="24"/>
          <w:lang w:val="en-GB"/>
        </w:rPr>
        <w:tab/>
      </w:r>
      <w:r w:rsidR="00251F52">
        <w:rPr>
          <w:rFonts w:cs="Arial"/>
          <w:szCs w:val="24"/>
          <w:lang w:val="en-GB"/>
        </w:rPr>
        <w:t xml:space="preserve">In the result, I find the construction of the deed of settlement for which Mr D contends to be unsustainable. </w:t>
      </w:r>
    </w:p>
    <w:p w14:paraId="11ECFDBB" w14:textId="5C40F62A"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33.</w:t>
      </w:r>
      <w:r>
        <w:rPr>
          <w:rFonts w:cs="Arial"/>
          <w:bCs/>
          <w:iCs/>
          <w:szCs w:val="24"/>
          <w:lang w:val="en-GB"/>
        </w:rPr>
        <w:tab/>
      </w:r>
      <w:r w:rsidR="00251F52">
        <w:rPr>
          <w:rFonts w:cs="Arial"/>
          <w:szCs w:val="24"/>
          <w:lang w:val="en-GB"/>
        </w:rPr>
        <w:t>Nor would any purpose be served by acceding to Mr Segal’s belated request that there be a referral to oral evidence of any disputed issue. In the exercise of my discretion on this score, I consider that it would not be in the interests of the parties or justice for there to be further offshoots to this litigation. After two decades, it is time for the parties to move on with their lives.</w:t>
      </w:r>
    </w:p>
    <w:p w14:paraId="4BCEBBF6" w14:textId="63CD7651"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34.</w:t>
      </w:r>
      <w:r>
        <w:rPr>
          <w:rFonts w:cs="Arial"/>
          <w:bCs/>
          <w:iCs/>
          <w:szCs w:val="24"/>
          <w:lang w:val="en-GB"/>
        </w:rPr>
        <w:tab/>
      </w:r>
      <w:r w:rsidR="00251F52">
        <w:rPr>
          <w:rFonts w:cs="Arial"/>
          <w:szCs w:val="24"/>
          <w:lang w:val="en-GB"/>
        </w:rPr>
        <w:t>In the circumstances, the main application should succeed.</w:t>
      </w:r>
    </w:p>
    <w:p w14:paraId="550D9BB7"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t>The counterclaim for compensation</w:t>
      </w:r>
    </w:p>
    <w:p w14:paraId="061BA309" w14:textId="455187A4"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35.</w:t>
      </w:r>
      <w:r>
        <w:rPr>
          <w:rFonts w:cs="Arial"/>
          <w:bCs/>
          <w:iCs/>
          <w:szCs w:val="24"/>
          <w:lang w:val="en-GB"/>
        </w:rPr>
        <w:tab/>
      </w:r>
      <w:r w:rsidR="00251F52">
        <w:rPr>
          <w:rFonts w:cs="Arial"/>
          <w:szCs w:val="24"/>
          <w:lang w:val="en-GB"/>
        </w:rPr>
        <w:t xml:space="preserve">It was submitted by Mr Segal that, were I minded to order a disposal of the property, I should find the amounts listed in the annexure to the answering affidavit to constitute necessary or useful improvements to the property such that Mr D should be compensated for them out of the sale proceeds. When questioned on the fact that such amounts are not substantiated by records or supported by expert opinion, </w:t>
      </w:r>
      <w:r w:rsidR="00251F52">
        <w:rPr>
          <w:rFonts w:cs="Arial"/>
          <w:szCs w:val="24"/>
          <w:lang w:val="en-GB"/>
        </w:rPr>
        <w:lastRenderedPageBreak/>
        <w:t xml:space="preserve">Mr Segal responded that they are not pertinently disputed on the papers. He did however fairly concede that, </w:t>
      </w:r>
      <w:r w:rsidR="00251F52">
        <w:rPr>
          <w:rFonts w:cs="Arial"/>
          <w:i/>
          <w:iCs/>
          <w:szCs w:val="24"/>
          <w:lang w:val="en-GB"/>
        </w:rPr>
        <w:t>ex facie</w:t>
      </w:r>
      <w:r w:rsidR="00251F52">
        <w:rPr>
          <w:rFonts w:cs="Arial"/>
          <w:szCs w:val="24"/>
          <w:lang w:val="en-GB"/>
        </w:rPr>
        <w:t xml:space="preserve"> the list, not all such amounts appear to relate to improvements to the property. Indeed, the (cryptic) descriptions of several of the amounts suggest that they relate to maintenance items, utilities, consumables and the like. Be that as it may, Mr Segal handed up three draft orders outlining various alternative forms of relief in the main application and the counter-application.</w:t>
      </w:r>
    </w:p>
    <w:p w14:paraId="6D4A44CB" w14:textId="730C98DF"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36.</w:t>
      </w:r>
      <w:r>
        <w:rPr>
          <w:rFonts w:cs="Arial"/>
          <w:bCs/>
          <w:iCs/>
          <w:szCs w:val="24"/>
          <w:lang w:val="en-GB"/>
        </w:rPr>
        <w:tab/>
      </w:r>
      <w:r w:rsidR="00251F52">
        <w:rPr>
          <w:rFonts w:cs="Arial"/>
          <w:szCs w:val="24"/>
          <w:lang w:val="en-GB"/>
        </w:rPr>
        <w:t>In response, Ms Meyer submitted that the deed of settlement made no provision for Mr D’s recovery of any such amounts. In any event, no case is made out on the papers that the amounts listed in the annexure relate to necessary or useful improvements to the property. Even had such a case been made out, moreover, the record contains no consent by Ms D to the investment of monies in such improvements. In her submission, the counter-application should be dismissed with costs.</w:t>
      </w:r>
    </w:p>
    <w:p w14:paraId="553E063F" w14:textId="77D2F4F7"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37.</w:t>
      </w:r>
      <w:r>
        <w:rPr>
          <w:rFonts w:cs="Arial"/>
          <w:bCs/>
          <w:iCs/>
          <w:szCs w:val="24"/>
          <w:lang w:val="en-GB"/>
        </w:rPr>
        <w:tab/>
      </w:r>
      <w:r w:rsidR="00251F52">
        <w:rPr>
          <w:rFonts w:cs="Arial"/>
          <w:szCs w:val="24"/>
          <w:lang w:val="en-GB"/>
        </w:rPr>
        <w:t xml:space="preserve">The deed of settlement is indeed silent on liability for any necessary or useful improvements to the property, a factor consonant with an interpretation that Mr D’s occupation of the former marital home would be of limited duration. </w:t>
      </w:r>
    </w:p>
    <w:p w14:paraId="47828B4F" w14:textId="36F1DDB3"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38.</w:t>
      </w:r>
      <w:r>
        <w:rPr>
          <w:rFonts w:cs="Arial"/>
          <w:bCs/>
          <w:iCs/>
          <w:szCs w:val="24"/>
          <w:lang w:val="en-GB"/>
        </w:rPr>
        <w:tab/>
      </w:r>
      <w:r w:rsidR="00251F52">
        <w:rPr>
          <w:rFonts w:cs="Arial"/>
          <w:szCs w:val="24"/>
          <w:lang w:val="en-GB"/>
        </w:rPr>
        <w:t xml:space="preserve">In principle, though, he would enjoy a claim at common law for compensation in respect of amounts shown to have been invested in improvements demonstrated to be necessary or useful. </w:t>
      </w:r>
    </w:p>
    <w:p w14:paraId="7627292B" w14:textId="71C1E818"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lastRenderedPageBreak/>
        <w:t>39.</w:t>
      </w:r>
      <w:r>
        <w:rPr>
          <w:rFonts w:cs="Arial"/>
          <w:bCs/>
          <w:iCs/>
          <w:szCs w:val="24"/>
          <w:lang w:val="en-GB"/>
        </w:rPr>
        <w:tab/>
      </w:r>
      <w:r w:rsidR="00251F52">
        <w:rPr>
          <w:rFonts w:cs="Arial"/>
          <w:szCs w:val="24"/>
          <w:lang w:val="en-GB"/>
        </w:rPr>
        <w:t>But the answering papers do not make out a case that the amounts listed in the annexure were in fact expended on improvements to the property that were either necessary or useful. And I do not consider maintenance items, utilities, consumables and the like to fall within the ambit of such improvements.</w:t>
      </w:r>
    </w:p>
    <w:p w14:paraId="57633DCC" w14:textId="4767BCC7"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40.</w:t>
      </w:r>
      <w:r>
        <w:rPr>
          <w:rFonts w:cs="Arial"/>
          <w:bCs/>
          <w:iCs/>
          <w:szCs w:val="24"/>
          <w:lang w:val="en-GB"/>
        </w:rPr>
        <w:tab/>
      </w:r>
      <w:r w:rsidR="00251F52">
        <w:rPr>
          <w:rFonts w:cs="Arial"/>
          <w:szCs w:val="24"/>
          <w:lang w:val="en-GB"/>
        </w:rPr>
        <w:t>Notably, Mr D presents no evidence of the value – as opposed to the cost – of any such improvement. There is a list of amounts – mostly estimates – said to have been paid over the years. In fact, so half-hearted and reactive is the counterclaim that it may be open to doubt whether it is advanced in good faith.</w:t>
      </w:r>
    </w:p>
    <w:p w14:paraId="15469999" w14:textId="41A08DAB"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41.</w:t>
      </w:r>
      <w:r>
        <w:rPr>
          <w:rFonts w:cs="Arial"/>
          <w:bCs/>
          <w:iCs/>
          <w:szCs w:val="24"/>
          <w:lang w:val="en-GB"/>
        </w:rPr>
        <w:tab/>
      </w:r>
      <w:r w:rsidR="00251F52">
        <w:rPr>
          <w:rFonts w:cs="Arial"/>
          <w:szCs w:val="24"/>
          <w:lang w:val="en-GB"/>
        </w:rPr>
        <w:t xml:space="preserve">In any event, motion proceedings are not well suited to determining a claim such as that for which Mr D contends. </w:t>
      </w:r>
    </w:p>
    <w:p w14:paraId="507F37EE" w14:textId="2E3EFDEF"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42.</w:t>
      </w:r>
      <w:r>
        <w:rPr>
          <w:rFonts w:cs="Arial"/>
          <w:bCs/>
          <w:iCs/>
          <w:szCs w:val="24"/>
          <w:lang w:val="en-GB"/>
        </w:rPr>
        <w:tab/>
      </w:r>
      <w:r w:rsidR="00251F52">
        <w:rPr>
          <w:rFonts w:cs="Arial"/>
          <w:szCs w:val="24"/>
          <w:lang w:val="en-GB"/>
        </w:rPr>
        <w:t xml:space="preserve">This ought to have been clear to Mr D at the time of delivering his answering papers or, at the latest, his submissions. </w:t>
      </w:r>
    </w:p>
    <w:p w14:paraId="3B918BE3" w14:textId="24FD8E0B"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43.</w:t>
      </w:r>
      <w:r>
        <w:rPr>
          <w:rFonts w:cs="Arial"/>
          <w:bCs/>
          <w:iCs/>
          <w:szCs w:val="24"/>
          <w:lang w:val="en-GB"/>
        </w:rPr>
        <w:tab/>
      </w:r>
      <w:r w:rsidR="00251F52">
        <w:rPr>
          <w:rFonts w:cs="Arial"/>
          <w:szCs w:val="24"/>
          <w:lang w:val="en-GB"/>
        </w:rPr>
        <w:t xml:space="preserve">It is not the practice in this division to allow a claimant in motion proceedings to ‘hedge bets’ by seeking a referral in the alternative to relief. </w:t>
      </w:r>
      <w:r w:rsidR="00251F52">
        <w:rPr>
          <w:rFonts w:cs="Arial"/>
          <w:szCs w:val="24"/>
        </w:rPr>
        <w:t>An applicant confronted with disputes of fact on the papers should elect whether to proceed on motion or to seek a referral to oral evidence or trial</w:t>
      </w:r>
      <w:r w:rsidR="00251F52" w:rsidRPr="00617DA1">
        <w:rPr>
          <w:rFonts w:cs="Arial"/>
          <w:szCs w:val="24"/>
        </w:rPr>
        <w:t>.</w:t>
      </w:r>
      <w:r w:rsidR="00251F52">
        <w:rPr>
          <w:rFonts w:cs="Arial"/>
          <w:szCs w:val="24"/>
        </w:rPr>
        <w:t xml:space="preserve"> Such an election should be made without delay, generally in its replying affidavit or heads of argument</w:t>
      </w:r>
      <w:r w:rsidR="00251F52">
        <w:rPr>
          <w:rFonts w:cs="Arial"/>
          <w:szCs w:val="24"/>
          <w:lang w:val="en-GB"/>
        </w:rPr>
        <w:t>.</w:t>
      </w:r>
      <w:r w:rsidR="00251F52" w:rsidRPr="000627A1">
        <w:rPr>
          <w:rStyle w:val="FootnoteReference"/>
          <w:szCs w:val="24"/>
        </w:rPr>
        <w:footnoteReference w:id="16"/>
      </w:r>
      <w:r w:rsidR="00251F52">
        <w:rPr>
          <w:rFonts w:cs="Arial"/>
          <w:szCs w:val="24"/>
          <w:lang w:val="en-GB"/>
        </w:rPr>
        <w:t xml:space="preserve"> The </w:t>
      </w:r>
      <w:r w:rsidR="00251F52">
        <w:rPr>
          <w:rFonts w:cs="Arial"/>
          <w:szCs w:val="24"/>
          <w:lang w:val="en-GB"/>
        </w:rPr>
        <w:lastRenderedPageBreak/>
        <w:t>suggestion that I should select as between three draft orders underscores Mr D’s failure to make such an election and exposes the counter-application to dismissal.</w:t>
      </w:r>
    </w:p>
    <w:p w14:paraId="59B068EB" w14:textId="078494CD"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44.</w:t>
      </w:r>
      <w:r>
        <w:rPr>
          <w:rFonts w:cs="Arial"/>
          <w:bCs/>
          <w:iCs/>
          <w:szCs w:val="24"/>
          <w:lang w:val="en-GB"/>
        </w:rPr>
        <w:tab/>
      </w:r>
      <w:r w:rsidR="00251F52">
        <w:rPr>
          <w:rFonts w:cs="Arial"/>
          <w:szCs w:val="24"/>
          <w:lang w:val="en-GB"/>
        </w:rPr>
        <w:t>In the circumstances, the counter-application should fail.</w:t>
      </w:r>
    </w:p>
    <w:p w14:paraId="5FB5D6F6" w14:textId="77777777" w:rsidR="00251F52" w:rsidRPr="004328FF" w:rsidRDefault="00251F52" w:rsidP="00251F52">
      <w:pPr>
        <w:pStyle w:val="WLGLevel1"/>
        <w:keepNext/>
        <w:numPr>
          <w:ilvl w:val="0"/>
          <w:numId w:val="0"/>
        </w:numPr>
        <w:suppressAutoHyphens w:val="0"/>
        <w:spacing w:before="0" w:after="480"/>
        <w:rPr>
          <w:rFonts w:cs="Arial"/>
          <w:b/>
          <w:bCs/>
          <w:szCs w:val="24"/>
          <w:lang w:val="en-GB"/>
        </w:rPr>
      </w:pPr>
      <w:r>
        <w:rPr>
          <w:rFonts w:cs="Arial"/>
          <w:b/>
          <w:bCs/>
          <w:szCs w:val="24"/>
          <w:lang w:val="en-GB"/>
        </w:rPr>
        <w:t>The outcome and order</w:t>
      </w:r>
    </w:p>
    <w:p w14:paraId="5E04822B" w14:textId="1969B655" w:rsidR="00251F52" w:rsidRDefault="00C57235" w:rsidP="00C57235">
      <w:pPr>
        <w:pStyle w:val="WLGLevel1"/>
        <w:numPr>
          <w:ilvl w:val="0"/>
          <w:numId w:val="0"/>
        </w:numPr>
        <w:suppressAutoHyphens w:val="0"/>
        <w:spacing w:before="0" w:after="480"/>
        <w:ind w:left="709" w:hanging="709"/>
        <w:rPr>
          <w:rFonts w:cs="Arial"/>
          <w:szCs w:val="24"/>
          <w:lang w:val="en-GB"/>
        </w:rPr>
      </w:pPr>
      <w:r>
        <w:rPr>
          <w:rFonts w:cs="Arial"/>
          <w:bCs/>
          <w:iCs/>
          <w:szCs w:val="24"/>
          <w:lang w:val="en-GB"/>
        </w:rPr>
        <w:t>45.</w:t>
      </w:r>
      <w:r>
        <w:rPr>
          <w:rFonts w:cs="Arial"/>
          <w:bCs/>
          <w:iCs/>
          <w:szCs w:val="24"/>
          <w:lang w:val="en-GB"/>
        </w:rPr>
        <w:tab/>
      </w:r>
      <w:r w:rsidR="00251F52">
        <w:rPr>
          <w:rFonts w:cs="Arial"/>
          <w:szCs w:val="24"/>
          <w:lang w:val="en-GB"/>
        </w:rPr>
        <w:t xml:space="preserve">I do not understand Mr D to take issue with the terms of Ms D’s draft order should I be minded to grant the main application and to dismiss the counter-application. In the exercise of my discretion, I supplement that order in certain respects, including as provided for in paragraphs </w:t>
      </w:r>
      <w:r w:rsidR="00251F52">
        <w:rPr>
          <w:rFonts w:cs="Arial"/>
          <w:szCs w:val="24"/>
          <w:lang w:val="en-GB"/>
        </w:rPr>
        <w:fldChar w:fldCharType="begin"/>
      </w:r>
      <w:r w:rsidR="00251F52">
        <w:rPr>
          <w:rFonts w:cs="Arial"/>
          <w:szCs w:val="24"/>
          <w:lang w:val="en-GB"/>
        </w:rPr>
        <w:instrText xml:space="preserve"> REF _Ref137025621 \r \h </w:instrText>
      </w:r>
      <w:r w:rsidR="00251F52">
        <w:rPr>
          <w:rFonts w:cs="Arial"/>
          <w:szCs w:val="24"/>
          <w:lang w:val="en-GB"/>
        </w:rPr>
      </w:r>
      <w:r w:rsidR="00251F52">
        <w:rPr>
          <w:rFonts w:cs="Arial"/>
          <w:szCs w:val="24"/>
          <w:lang w:val="en-GB"/>
        </w:rPr>
        <w:fldChar w:fldCharType="separate"/>
      </w:r>
      <w:r w:rsidR="00DC5C5A">
        <w:rPr>
          <w:rFonts w:cs="Arial"/>
          <w:szCs w:val="24"/>
          <w:lang w:val="en-GB"/>
        </w:rPr>
        <w:t>46.1.8</w:t>
      </w:r>
      <w:r w:rsidR="00251F52">
        <w:rPr>
          <w:rFonts w:cs="Arial"/>
          <w:szCs w:val="24"/>
          <w:lang w:val="en-GB"/>
        </w:rPr>
        <w:fldChar w:fldCharType="end"/>
      </w:r>
      <w:r w:rsidR="00251F52">
        <w:rPr>
          <w:rFonts w:cs="Arial"/>
          <w:szCs w:val="24"/>
          <w:lang w:val="en-GB"/>
        </w:rPr>
        <w:t xml:space="preserve"> and </w:t>
      </w:r>
      <w:r w:rsidR="00251F52">
        <w:rPr>
          <w:rFonts w:cs="Arial"/>
          <w:szCs w:val="24"/>
          <w:lang w:val="en-GB"/>
        </w:rPr>
        <w:fldChar w:fldCharType="begin"/>
      </w:r>
      <w:r w:rsidR="00251F52">
        <w:rPr>
          <w:rFonts w:cs="Arial"/>
          <w:szCs w:val="24"/>
          <w:lang w:val="en-GB"/>
        </w:rPr>
        <w:instrText xml:space="preserve"> REF _Ref137025635 \r \p \h </w:instrText>
      </w:r>
      <w:r w:rsidR="00251F52">
        <w:rPr>
          <w:rFonts w:cs="Arial"/>
          <w:szCs w:val="24"/>
          <w:lang w:val="en-GB"/>
        </w:rPr>
      </w:r>
      <w:r w:rsidR="00251F52">
        <w:rPr>
          <w:rFonts w:cs="Arial"/>
          <w:szCs w:val="24"/>
          <w:lang w:val="en-GB"/>
        </w:rPr>
        <w:fldChar w:fldCharType="separate"/>
      </w:r>
      <w:r w:rsidR="00DC5C5A">
        <w:rPr>
          <w:rFonts w:cs="Arial"/>
          <w:szCs w:val="24"/>
          <w:lang w:val="en-GB"/>
        </w:rPr>
        <w:t>46.1.9 below</w:t>
      </w:r>
      <w:r w:rsidR="00251F52">
        <w:rPr>
          <w:rFonts w:cs="Arial"/>
          <w:szCs w:val="24"/>
          <w:lang w:val="en-GB"/>
        </w:rPr>
        <w:fldChar w:fldCharType="end"/>
      </w:r>
      <w:r w:rsidR="00251F52">
        <w:rPr>
          <w:rFonts w:cs="Arial"/>
          <w:szCs w:val="24"/>
          <w:lang w:val="en-GB"/>
        </w:rPr>
        <w:t xml:space="preserve"> .</w:t>
      </w:r>
    </w:p>
    <w:p w14:paraId="6E028D8D" w14:textId="26CF084B" w:rsidR="00251F52" w:rsidRDefault="00C57235" w:rsidP="00C57235">
      <w:pPr>
        <w:pStyle w:val="WLGLevel1"/>
        <w:keepNext/>
        <w:numPr>
          <w:ilvl w:val="0"/>
          <w:numId w:val="0"/>
        </w:numPr>
        <w:suppressAutoHyphens w:val="0"/>
        <w:spacing w:before="0" w:after="480"/>
        <w:ind w:left="709" w:hanging="709"/>
        <w:rPr>
          <w:rFonts w:cs="Arial"/>
          <w:szCs w:val="24"/>
          <w:lang w:val="en-GB"/>
        </w:rPr>
      </w:pPr>
      <w:bookmarkStart w:id="6" w:name="_Ref137025996"/>
      <w:r>
        <w:rPr>
          <w:rFonts w:cs="Arial"/>
          <w:bCs/>
          <w:iCs/>
          <w:szCs w:val="24"/>
          <w:lang w:val="en-GB"/>
        </w:rPr>
        <w:t>46.</w:t>
      </w:r>
      <w:r>
        <w:rPr>
          <w:rFonts w:cs="Arial"/>
          <w:bCs/>
          <w:iCs/>
          <w:szCs w:val="24"/>
          <w:lang w:val="en-GB"/>
        </w:rPr>
        <w:tab/>
      </w:r>
      <w:r w:rsidR="00251F52">
        <w:rPr>
          <w:rFonts w:cs="Arial"/>
          <w:szCs w:val="24"/>
          <w:lang w:val="en-GB"/>
        </w:rPr>
        <w:t>In the circumstances, I grant the following order:</w:t>
      </w:r>
      <w:bookmarkEnd w:id="6"/>
    </w:p>
    <w:p w14:paraId="72FD4392" w14:textId="208B9B3C"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46.1.</w:t>
      </w:r>
      <w:r>
        <w:rPr>
          <w:rFonts w:cs="Arial"/>
          <w:szCs w:val="24"/>
          <w:lang w:val="en-GB"/>
        </w:rPr>
        <w:tab/>
      </w:r>
      <w:r w:rsidR="00251F52">
        <w:rPr>
          <w:rFonts w:cs="Arial"/>
          <w:szCs w:val="24"/>
          <w:lang w:val="en-GB"/>
        </w:rPr>
        <w:t>The parties’ co-ownership of the immoveab</w:t>
      </w:r>
      <w:r w:rsidR="00873F4C">
        <w:rPr>
          <w:rFonts w:cs="Arial"/>
          <w:szCs w:val="24"/>
          <w:lang w:val="en-GB"/>
        </w:rPr>
        <w:t>le property described as Erf […], Lenasia South Extension […]</w:t>
      </w:r>
      <w:r w:rsidR="00251F52">
        <w:rPr>
          <w:rFonts w:cs="Arial"/>
          <w:szCs w:val="24"/>
          <w:lang w:val="en-GB"/>
        </w:rPr>
        <w:t>,</w:t>
      </w:r>
      <w:r w:rsidR="00873F4C">
        <w:rPr>
          <w:rFonts w:cs="Arial"/>
          <w:szCs w:val="24"/>
          <w:lang w:val="en-GB"/>
        </w:rPr>
        <w:t xml:space="preserve"> Johannesburg, and located at […]</w:t>
      </w:r>
      <w:r w:rsidR="00251F52">
        <w:rPr>
          <w:rFonts w:cs="Arial"/>
          <w:szCs w:val="24"/>
          <w:lang w:val="en-GB"/>
        </w:rPr>
        <w:t xml:space="preserve"> </w:t>
      </w:r>
      <w:r w:rsidR="00873F4C">
        <w:rPr>
          <w:rFonts w:cs="Arial"/>
          <w:szCs w:val="24"/>
          <w:lang w:val="en-GB"/>
        </w:rPr>
        <w:t>[…]</w:t>
      </w:r>
      <w:r w:rsidR="00251F52">
        <w:rPr>
          <w:rFonts w:cs="Arial"/>
          <w:szCs w:val="24"/>
          <w:lang w:val="en-GB"/>
        </w:rPr>
        <w:t xml:space="preserve"> Street, Lenasia South, Johannesburg (the property), is terminated on the terms set out below:</w:t>
      </w:r>
    </w:p>
    <w:p w14:paraId="791620DC" w14:textId="3F89B257"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46.1.1.</w:t>
      </w:r>
      <w:r>
        <w:rPr>
          <w:rFonts w:cs="Arial"/>
          <w:szCs w:val="24"/>
          <w:lang w:val="en-GB"/>
        </w:rPr>
        <w:tab/>
      </w:r>
      <w:r w:rsidR="00251F52">
        <w:rPr>
          <w:rFonts w:cs="Arial"/>
          <w:szCs w:val="24"/>
          <w:lang w:val="en-GB"/>
        </w:rPr>
        <w:t>Forthwith after grant of this order, each party shall appoint an estate agent and furnish the other party with written notice of such appointment.</w:t>
      </w:r>
    </w:p>
    <w:p w14:paraId="60F79C9E" w14:textId="738E9226"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lastRenderedPageBreak/>
        <w:t>46.1.2.</w:t>
      </w:r>
      <w:r>
        <w:rPr>
          <w:rFonts w:cs="Arial"/>
          <w:szCs w:val="24"/>
          <w:lang w:val="en-GB"/>
        </w:rPr>
        <w:tab/>
      </w:r>
      <w:r w:rsidR="00251F52">
        <w:rPr>
          <w:rFonts w:cs="Arial"/>
          <w:szCs w:val="24"/>
          <w:lang w:val="en-GB"/>
        </w:rPr>
        <w:t>The parties shall forthwith instruct the estate agents to appoint and mandate an auctioneer, duly authorised under the Property Practitioners Act 22 of 2019, on behalf of the parties jointly, to sell the property by public auction for the highest available price on the terms and conditions provided for in the auctioneer’s then current standard mandate document (the mandate).</w:t>
      </w:r>
    </w:p>
    <w:p w14:paraId="16404D9D" w14:textId="5F4BA1E4"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46.1.3.</w:t>
      </w:r>
      <w:r>
        <w:rPr>
          <w:rFonts w:cs="Arial"/>
          <w:szCs w:val="24"/>
          <w:lang w:val="en-GB"/>
        </w:rPr>
        <w:tab/>
      </w:r>
      <w:r w:rsidR="00251F52">
        <w:rPr>
          <w:rFonts w:cs="Arial"/>
          <w:szCs w:val="24"/>
          <w:lang w:val="en-GB"/>
        </w:rPr>
        <w:t>The auctioneer shall be instructed on behalf of the parties to discharge the mandate diligently and expeditiously.</w:t>
      </w:r>
    </w:p>
    <w:p w14:paraId="3BEE4F4F" w14:textId="77C86EB2"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46.1.4.</w:t>
      </w:r>
      <w:r>
        <w:rPr>
          <w:rFonts w:cs="Arial"/>
          <w:szCs w:val="24"/>
          <w:lang w:val="en-GB"/>
        </w:rPr>
        <w:tab/>
      </w:r>
      <w:r w:rsidR="00251F52">
        <w:rPr>
          <w:rFonts w:cs="Arial"/>
          <w:szCs w:val="24"/>
          <w:lang w:val="en-GB"/>
        </w:rPr>
        <w:t>The auctioneer shall be instructed on behalf of the parties to pay the gross proceeds of any such sale into the trust account of the applicant’s attorneys of record, the details of which shall be provided by the parties to the auctioneer for that purpose.</w:t>
      </w:r>
    </w:p>
    <w:p w14:paraId="40656A48" w14:textId="081DBC2B"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46.1.5.</w:t>
      </w:r>
      <w:r>
        <w:rPr>
          <w:rFonts w:cs="Arial"/>
          <w:szCs w:val="24"/>
          <w:lang w:val="en-GB"/>
        </w:rPr>
        <w:tab/>
      </w:r>
      <w:r w:rsidR="00251F52">
        <w:rPr>
          <w:rFonts w:cs="Arial"/>
          <w:szCs w:val="24"/>
          <w:lang w:val="en-GB"/>
        </w:rPr>
        <w:t>On receipt of such proceeds into their trust account, the applicant’s attorneys of record shall deposit the proceeds into an interest-bearing trust account in terms of section 86(4) of the Legal Practice Act 28 of 2014.</w:t>
      </w:r>
    </w:p>
    <w:p w14:paraId="0DAB2B2B" w14:textId="5C1AB850"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46.1.6.</w:t>
      </w:r>
      <w:r>
        <w:rPr>
          <w:rFonts w:cs="Arial"/>
          <w:szCs w:val="24"/>
          <w:lang w:val="en-GB"/>
        </w:rPr>
        <w:tab/>
      </w:r>
      <w:r w:rsidR="00251F52">
        <w:rPr>
          <w:rFonts w:cs="Arial"/>
          <w:szCs w:val="24"/>
          <w:lang w:val="en-GB"/>
        </w:rPr>
        <w:t>Forthwith after receipt of the proceeds, the applicant’s attorneys of record shall make payments therefrom, from time to time, of the following amounts in the following order of preference;</w:t>
      </w:r>
    </w:p>
    <w:p w14:paraId="7AA3D062" w14:textId="478889C9" w:rsidR="00251F52" w:rsidRDefault="00C57235" w:rsidP="00C57235">
      <w:pPr>
        <w:pStyle w:val="WLGLevel1"/>
        <w:numPr>
          <w:ilvl w:val="0"/>
          <w:numId w:val="0"/>
        </w:numPr>
        <w:tabs>
          <w:tab w:val="left" w:pos="3828"/>
        </w:tabs>
        <w:suppressAutoHyphens w:val="0"/>
        <w:spacing w:before="0" w:after="480"/>
        <w:ind w:left="3828" w:hanging="1134"/>
        <w:rPr>
          <w:rFonts w:cs="Arial"/>
          <w:szCs w:val="24"/>
          <w:lang w:val="en-GB"/>
        </w:rPr>
      </w:pPr>
      <w:r>
        <w:rPr>
          <w:rFonts w:cs="Arial"/>
          <w:szCs w:val="24"/>
          <w:lang w:val="en-GB"/>
        </w:rPr>
        <w:lastRenderedPageBreak/>
        <w:t>46.1.6.1.</w:t>
      </w:r>
      <w:r>
        <w:rPr>
          <w:rFonts w:cs="Arial"/>
          <w:szCs w:val="24"/>
          <w:lang w:val="en-GB"/>
        </w:rPr>
        <w:tab/>
      </w:r>
      <w:r w:rsidR="00251F52">
        <w:rPr>
          <w:rFonts w:cs="Arial"/>
          <w:szCs w:val="24"/>
          <w:lang w:val="en-GB"/>
        </w:rPr>
        <w:t>the auctioneer’s commission and attendant auctioneering costs arising from the sale of the property in terms of the mandate;</w:t>
      </w:r>
    </w:p>
    <w:p w14:paraId="797E2F8B" w14:textId="41B13D46" w:rsidR="00251F52" w:rsidRDefault="00C57235" w:rsidP="00C57235">
      <w:pPr>
        <w:pStyle w:val="WLGLevel1"/>
        <w:numPr>
          <w:ilvl w:val="0"/>
          <w:numId w:val="0"/>
        </w:numPr>
        <w:tabs>
          <w:tab w:val="left" w:pos="3828"/>
        </w:tabs>
        <w:suppressAutoHyphens w:val="0"/>
        <w:spacing w:before="0" w:after="480"/>
        <w:ind w:left="3828" w:hanging="1134"/>
        <w:rPr>
          <w:rFonts w:cs="Arial"/>
          <w:szCs w:val="24"/>
          <w:lang w:val="en-GB"/>
        </w:rPr>
      </w:pPr>
      <w:r>
        <w:rPr>
          <w:rFonts w:cs="Arial"/>
          <w:szCs w:val="24"/>
          <w:lang w:val="en-GB"/>
        </w:rPr>
        <w:t>46.1.6.2.</w:t>
      </w:r>
      <w:r>
        <w:rPr>
          <w:rFonts w:cs="Arial"/>
          <w:szCs w:val="24"/>
          <w:lang w:val="en-GB"/>
        </w:rPr>
        <w:tab/>
      </w:r>
      <w:r w:rsidR="00251F52">
        <w:rPr>
          <w:rFonts w:cs="Arial"/>
          <w:szCs w:val="24"/>
          <w:lang w:val="en-GB"/>
        </w:rPr>
        <w:t>the amount owing to the mortgagee, if any, under any mortgage bond registered over the property at the date of transfer of the property to the purchaser thereof;</w:t>
      </w:r>
    </w:p>
    <w:p w14:paraId="78F2CFB8" w14:textId="3163188A" w:rsidR="00251F52" w:rsidRDefault="00C57235" w:rsidP="00C57235">
      <w:pPr>
        <w:pStyle w:val="WLGLevel1"/>
        <w:numPr>
          <w:ilvl w:val="0"/>
          <w:numId w:val="0"/>
        </w:numPr>
        <w:tabs>
          <w:tab w:val="left" w:pos="3828"/>
        </w:tabs>
        <w:suppressAutoHyphens w:val="0"/>
        <w:spacing w:before="0" w:after="480"/>
        <w:ind w:left="3828" w:hanging="1134"/>
        <w:rPr>
          <w:rFonts w:cs="Arial"/>
          <w:szCs w:val="24"/>
          <w:lang w:val="en-GB"/>
        </w:rPr>
      </w:pPr>
      <w:r>
        <w:rPr>
          <w:rFonts w:cs="Arial"/>
          <w:szCs w:val="24"/>
          <w:lang w:val="en-GB"/>
        </w:rPr>
        <w:t>46.1.6.3.</w:t>
      </w:r>
      <w:r>
        <w:rPr>
          <w:rFonts w:cs="Arial"/>
          <w:szCs w:val="24"/>
          <w:lang w:val="en-GB"/>
        </w:rPr>
        <w:tab/>
      </w:r>
      <w:r w:rsidR="00251F52">
        <w:rPr>
          <w:rFonts w:cs="Arial"/>
          <w:szCs w:val="24"/>
          <w:lang w:val="en-GB"/>
        </w:rPr>
        <w:t>the cost of securing electrical and gas compliance certificates in respect of the property</w:t>
      </w:r>
      <w:r w:rsidR="00251F52" w:rsidRPr="00644500">
        <w:rPr>
          <w:rFonts w:cs="Arial"/>
          <w:szCs w:val="24"/>
          <w:lang w:val="en-GB"/>
        </w:rPr>
        <w:t xml:space="preserve"> </w:t>
      </w:r>
      <w:r w:rsidR="00251F52">
        <w:rPr>
          <w:rFonts w:cs="Arial"/>
          <w:szCs w:val="24"/>
          <w:lang w:val="en-GB"/>
        </w:rPr>
        <w:t>at the date of transfer of the property to the purchaser thereof; and</w:t>
      </w:r>
    </w:p>
    <w:p w14:paraId="1617B929" w14:textId="7FF33C74" w:rsidR="00251F52" w:rsidRDefault="00C57235" w:rsidP="00C57235">
      <w:pPr>
        <w:pStyle w:val="WLGLevel1"/>
        <w:numPr>
          <w:ilvl w:val="0"/>
          <w:numId w:val="0"/>
        </w:numPr>
        <w:tabs>
          <w:tab w:val="left" w:pos="3828"/>
        </w:tabs>
        <w:suppressAutoHyphens w:val="0"/>
        <w:spacing w:before="0" w:after="480"/>
        <w:ind w:left="3828" w:hanging="1134"/>
        <w:rPr>
          <w:rFonts w:cs="Arial"/>
          <w:szCs w:val="24"/>
          <w:lang w:val="en-GB"/>
        </w:rPr>
      </w:pPr>
      <w:r>
        <w:rPr>
          <w:rFonts w:cs="Arial"/>
          <w:szCs w:val="24"/>
          <w:lang w:val="en-GB"/>
        </w:rPr>
        <w:t>46.1.6.4.</w:t>
      </w:r>
      <w:r>
        <w:rPr>
          <w:rFonts w:cs="Arial"/>
          <w:szCs w:val="24"/>
          <w:lang w:val="en-GB"/>
        </w:rPr>
        <w:tab/>
      </w:r>
      <w:r w:rsidR="00251F52">
        <w:rPr>
          <w:rFonts w:cs="Arial"/>
          <w:szCs w:val="24"/>
          <w:lang w:val="en-GB"/>
        </w:rPr>
        <w:t>the balance thereof to be shared equally between the applicant and the respondent.</w:t>
      </w:r>
    </w:p>
    <w:p w14:paraId="2727225A" w14:textId="5AAB7D50"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46.1.7.</w:t>
      </w:r>
      <w:r>
        <w:rPr>
          <w:rFonts w:cs="Arial"/>
          <w:szCs w:val="24"/>
          <w:lang w:val="en-GB"/>
        </w:rPr>
        <w:tab/>
      </w:r>
      <w:r w:rsidR="00251F52">
        <w:rPr>
          <w:rFonts w:cs="Arial"/>
          <w:szCs w:val="24"/>
          <w:lang w:val="en-GB"/>
        </w:rPr>
        <w:t>The applicant’s attorneys of record, or their nominee, shall be instructed on behalf of the parties diligently and expeditiously to attend to the transfer of the property to the purchaser thereof.</w:t>
      </w:r>
    </w:p>
    <w:p w14:paraId="235DA2F9" w14:textId="530CFF97"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bookmarkStart w:id="7" w:name="_Ref137025621"/>
      <w:r>
        <w:rPr>
          <w:rFonts w:cs="Arial"/>
          <w:szCs w:val="24"/>
          <w:lang w:val="en-GB"/>
        </w:rPr>
        <w:t>46.</w:t>
      </w:r>
      <w:bookmarkStart w:id="8" w:name="_GoBack"/>
      <w:bookmarkEnd w:id="8"/>
      <w:r>
        <w:rPr>
          <w:rFonts w:cs="Arial"/>
          <w:szCs w:val="24"/>
          <w:lang w:val="en-GB"/>
        </w:rPr>
        <w:t>1.8.</w:t>
      </w:r>
      <w:r>
        <w:rPr>
          <w:rFonts w:cs="Arial"/>
          <w:szCs w:val="24"/>
          <w:lang w:val="en-GB"/>
        </w:rPr>
        <w:tab/>
      </w:r>
      <w:r w:rsidR="00251F52">
        <w:rPr>
          <w:rFonts w:cs="Arial"/>
          <w:szCs w:val="24"/>
          <w:lang w:val="en-GB"/>
        </w:rPr>
        <w:t xml:space="preserve">The parties are directed to cooperate with each other, their attorneys of record and/or the auctioneer in respect of the sale and transfer of the property, including by duly and timeously </w:t>
      </w:r>
      <w:r w:rsidR="00251F52">
        <w:rPr>
          <w:rFonts w:cs="Arial"/>
          <w:szCs w:val="24"/>
          <w:lang w:val="en-GB"/>
        </w:rPr>
        <w:lastRenderedPageBreak/>
        <w:t>signing all documents and/or taking all other steps necessary to give full effect to this order.</w:t>
      </w:r>
      <w:bookmarkEnd w:id="7"/>
    </w:p>
    <w:p w14:paraId="5A4200D9" w14:textId="74CA34C6"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bookmarkStart w:id="9" w:name="_Ref137025635"/>
      <w:r>
        <w:rPr>
          <w:rFonts w:cs="Arial"/>
          <w:szCs w:val="24"/>
          <w:lang w:val="en-GB"/>
        </w:rPr>
        <w:t>46.1.9.</w:t>
      </w:r>
      <w:r>
        <w:rPr>
          <w:rFonts w:cs="Arial"/>
          <w:szCs w:val="24"/>
          <w:lang w:val="en-GB"/>
        </w:rPr>
        <w:tab/>
      </w:r>
      <w:r w:rsidR="00251F52">
        <w:rPr>
          <w:rFonts w:cs="Arial"/>
          <w:szCs w:val="24"/>
          <w:lang w:val="en-GB"/>
        </w:rPr>
        <w:t>In the event that either party refuses or fails to comply with any part of this order, the sheriff of the area in which the property is situated is authorised and directed, in his or her stead, to sign any document and/or take any other step necessary to give full effect to this order.</w:t>
      </w:r>
      <w:bookmarkEnd w:id="9"/>
    </w:p>
    <w:p w14:paraId="31276F3B" w14:textId="7C2D66B5" w:rsidR="00251F52" w:rsidRDefault="00C57235" w:rsidP="00C57235">
      <w:pPr>
        <w:pStyle w:val="WLGLevel1"/>
        <w:numPr>
          <w:ilvl w:val="0"/>
          <w:numId w:val="0"/>
        </w:numPr>
        <w:tabs>
          <w:tab w:val="left" w:pos="2694"/>
        </w:tabs>
        <w:suppressAutoHyphens w:val="0"/>
        <w:spacing w:before="0" w:after="480"/>
        <w:ind w:left="2694" w:hanging="1134"/>
        <w:rPr>
          <w:rFonts w:cs="Arial"/>
          <w:szCs w:val="24"/>
          <w:lang w:val="en-GB"/>
        </w:rPr>
      </w:pPr>
      <w:r>
        <w:rPr>
          <w:rFonts w:cs="Arial"/>
          <w:szCs w:val="24"/>
          <w:lang w:val="en-GB"/>
        </w:rPr>
        <w:t>46.1.10.</w:t>
      </w:r>
      <w:r>
        <w:rPr>
          <w:rFonts w:cs="Arial"/>
          <w:szCs w:val="24"/>
          <w:lang w:val="en-GB"/>
        </w:rPr>
        <w:tab/>
      </w:r>
      <w:r w:rsidR="00251F52">
        <w:rPr>
          <w:rFonts w:cs="Arial"/>
          <w:szCs w:val="24"/>
          <w:lang w:val="en-GB"/>
        </w:rPr>
        <w:t>The respondent is ordered to pay the costs of the application</w:t>
      </w:r>
      <w:r w:rsidR="00251F52" w:rsidRPr="00EA797B">
        <w:rPr>
          <w:rFonts w:cs="Arial"/>
          <w:szCs w:val="24"/>
          <w:lang w:val="en-GB"/>
        </w:rPr>
        <w:t xml:space="preserve"> </w:t>
      </w:r>
      <w:r w:rsidR="00251F52">
        <w:rPr>
          <w:rFonts w:cs="Arial"/>
          <w:szCs w:val="24"/>
          <w:lang w:val="en-GB"/>
        </w:rPr>
        <w:t>initiated by the applicant on or about 04 October 2022.</w:t>
      </w:r>
    </w:p>
    <w:p w14:paraId="50E30193" w14:textId="23868F1F" w:rsidR="00251F52" w:rsidRDefault="00C57235" w:rsidP="00C57235">
      <w:pPr>
        <w:pStyle w:val="WLGLevel1"/>
        <w:numPr>
          <w:ilvl w:val="0"/>
          <w:numId w:val="0"/>
        </w:numPr>
        <w:tabs>
          <w:tab w:val="left" w:pos="1560"/>
        </w:tabs>
        <w:suppressAutoHyphens w:val="0"/>
        <w:spacing w:before="0" w:after="480"/>
        <w:ind w:left="1560" w:hanging="851"/>
        <w:rPr>
          <w:rFonts w:cs="Arial"/>
          <w:szCs w:val="24"/>
          <w:lang w:val="en-GB"/>
        </w:rPr>
      </w:pPr>
      <w:r>
        <w:rPr>
          <w:rFonts w:cs="Arial"/>
          <w:szCs w:val="24"/>
          <w:lang w:val="en-GB"/>
        </w:rPr>
        <w:t>46.2.</w:t>
      </w:r>
      <w:r>
        <w:rPr>
          <w:rFonts w:cs="Arial"/>
          <w:szCs w:val="24"/>
          <w:lang w:val="en-GB"/>
        </w:rPr>
        <w:tab/>
      </w:r>
      <w:r w:rsidR="00251F52">
        <w:rPr>
          <w:rFonts w:cs="Arial"/>
          <w:szCs w:val="24"/>
          <w:lang w:val="en-GB"/>
        </w:rPr>
        <w:t>The conditional counter-application initiated by the respondent on or about 17 January 2023 is dismissed with costs.</w:t>
      </w:r>
    </w:p>
    <w:p w14:paraId="510A0842" w14:textId="77777777" w:rsidR="00F07027" w:rsidRPr="004D4164" w:rsidRDefault="00F07027" w:rsidP="00D12C62">
      <w:pPr>
        <w:pStyle w:val="ListParagraph"/>
        <w:tabs>
          <w:tab w:val="right" w:pos="0"/>
        </w:tabs>
        <w:spacing w:before="120"/>
        <w:ind w:left="0"/>
        <w:contextualSpacing w:val="0"/>
        <w:rPr>
          <w:rFonts w:cs="Arial"/>
          <w:sz w:val="24"/>
          <w:lang w:val="en-GB"/>
        </w:rPr>
      </w:pPr>
    </w:p>
    <w:p w14:paraId="510A0843" w14:textId="77777777" w:rsidR="00F07027" w:rsidRPr="004D4164" w:rsidRDefault="00F07027" w:rsidP="000C5D99">
      <w:pPr>
        <w:pStyle w:val="ListParagraph"/>
        <w:keepNext/>
        <w:tabs>
          <w:tab w:val="right" w:pos="0"/>
        </w:tabs>
        <w:spacing w:before="360"/>
        <w:ind w:left="0"/>
        <w:contextualSpacing w:val="0"/>
        <w:jc w:val="right"/>
        <w:rPr>
          <w:rFonts w:cs="Arial"/>
          <w:b/>
          <w:sz w:val="24"/>
        </w:rPr>
      </w:pPr>
      <w:r w:rsidRPr="004D4164">
        <w:rPr>
          <w:rFonts w:cs="Arial"/>
          <w:sz w:val="24"/>
          <w:lang w:val="en-GB"/>
        </w:rPr>
        <w:t>____________</w:t>
      </w:r>
      <w:r w:rsidR="009037B0" w:rsidRPr="004D4164">
        <w:rPr>
          <w:rFonts w:cs="Arial"/>
          <w:sz w:val="24"/>
          <w:lang w:val="en-GB"/>
        </w:rPr>
        <w:t>________</w:t>
      </w:r>
      <w:r w:rsidRPr="004D4164">
        <w:rPr>
          <w:rFonts w:cs="Arial"/>
          <w:b/>
          <w:sz w:val="24"/>
        </w:rPr>
        <w:t xml:space="preserve"> </w:t>
      </w:r>
    </w:p>
    <w:p w14:paraId="510A0844" w14:textId="7142DF34" w:rsidR="00F07027" w:rsidRPr="004D4164" w:rsidRDefault="00F07027" w:rsidP="00D12C62">
      <w:pPr>
        <w:pStyle w:val="ListParagraph"/>
        <w:keepNext/>
        <w:tabs>
          <w:tab w:val="right" w:pos="0"/>
        </w:tabs>
        <w:spacing w:before="120"/>
        <w:ind w:left="0"/>
        <w:contextualSpacing w:val="0"/>
        <w:jc w:val="right"/>
        <w:rPr>
          <w:rFonts w:cs="Arial"/>
          <w:b/>
          <w:sz w:val="24"/>
        </w:rPr>
      </w:pPr>
      <w:r w:rsidRPr="004D4164">
        <w:rPr>
          <w:rFonts w:cs="Arial"/>
          <w:b/>
          <w:sz w:val="24"/>
        </w:rPr>
        <w:t xml:space="preserve">PEARSE </w:t>
      </w:r>
      <w:r w:rsidR="00D26A84">
        <w:rPr>
          <w:rFonts w:cs="Arial"/>
          <w:b/>
          <w:sz w:val="24"/>
        </w:rPr>
        <w:t>AJ</w:t>
      </w:r>
    </w:p>
    <w:p w14:paraId="510A0848" w14:textId="77777777" w:rsidR="00F07027" w:rsidRPr="004D4164" w:rsidRDefault="00F07027" w:rsidP="00D12C62">
      <w:pPr>
        <w:tabs>
          <w:tab w:val="right" w:pos="0"/>
          <w:tab w:val="left" w:pos="4253"/>
        </w:tabs>
        <w:spacing w:before="120"/>
        <w:jc w:val="right"/>
        <w:rPr>
          <w:rFonts w:cs="Arial"/>
          <w:sz w:val="24"/>
        </w:rPr>
      </w:pPr>
    </w:p>
    <w:p w14:paraId="510A0849" w14:textId="25D9C34B" w:rsidR="00054BDA" w:rsidRPr="004D4164" w:rsidRDefault="00054BDA" w:rsidP="006A17B6">
      <w:pPr>
        <w:spacing w:before="120" w:line="480" w:lineRule="auto"/>
        <w:rPr>
          <w:rFonts w:cs="Arial"/>
          <w:b/>
          <w:sz w:val="24"/>
        </w:rPr>
      </w:pPr>
      <w:r w:rsidRPr="004D4164">
        <w:rPr>
          <w:rFonts w:cs="Arial"/>
          <w:sz w:val="24"/>
        </w:rPr>
        <w:t xml:space="preserve">This judgment is handed down </w:t>
      </w:r>
      <w:r w:rsidR="00252BFB">
        <w:rPr>
          <w:rFonts w:cs="Arial"/>
          <w:sz w:val="24"/>
        </w:rPr>
        <w:t xml:space="preserve">electronically </w:t>
      </w:r>
      <w:r w:rsidRPr="004D4164">
        <w:rPr>
          <w:rFonts w:cs="Arial"/>
          <w:sz w:val="24"/>
        </w:rPr>
        <w:t xml:space="preserve">by uploading it to the file of this matter on CaseLines. </w:t>
      </w:r>
      <w:r w:rsidR="00A313B0">
        <w:rPr>
          <w:rFonts w:cs="Arial"/>
          <w:sz w:val="24"/>
        </w:rPr>
        <w:t>As a courtesy</w:t>
      </w:r>
      <w:r w:rsidR="000C217C">
        <w:rPr>
          <w:rFonts w:cs="Arial"/>
          <w:sz w:val="24"/>
        </w:rPr>
        <w:t>, it will also be emailed to the parties or their legal representatives</w:t>
      </w:r>
      <w:r w:rsidR="00A355F7">
        <w:rPr>
          <w:rFonts w:cs="Arial"/>
          <w:sz w:val="24"/>
        </w:rPr>
        <w:t>. The date of delivery of this judgment is 07 June 2023.</w:t>
      </w:r>
    </w:p>
    <w:p w14:paraId="510A084A" w14:textId="77777777" w:rsidR="00054BDA" w:rsidRPr="004D4164" w:rsidRDefault="00054BDA" w:rsidP="00D12C62">
      <w:pPr>
        <w:spacing w:before="120"/>
        <w:rPr>
          <w:rFonts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8"/>
      </w:tblGrid>
      <w:tr w:rsidR="0005307F" w:rsidRPr="004D4164" w14:paraId="510A084D" w14:textId="77777777" w:rsidTr="00EF40AF">
        <w:tc>
          <w:tcPr>
            <w:tcW w:w="5382" w:type="dxa"/>
          </w:tcPr>
          <w:p w14:paraId="510A084B" w14:textId="3112613E" w:rsidR="0005307F" w:rsidRPr="004D4164" w:rsidRDefault="0005307F" w:rsidP="00D12C62">
            <w:pPr>
              <w:tabs>
                <w:tab w:val="right" w:pos="0"/>
                <w:tab w:val="left" w:pos="4253"/>
              </w:tabs>
              <w:spacing w:before="120"/>
              <w:jc w:val="left"/>
              <w:rPr>
                <w:rFonts w:cs="Arial"/>
                <w:sz w:val="24"/>
              </w:rPr>
            </w:pPr>
            <w:r w:rsidRPr="004D4164">
              <w:rPr>
                <w:rFonts w:cs="Arial"/>
                <w:sz w:val="24"/>
              </w:rPr>
              <w:lastRenderedPageBreak/>
              <w:t>Counsel for Applicant:</w:t>
            </w:r>
          </w:p>
        </w:tc>
        <w:tc>
          <w:tcPr>
            <w:tcW w:w="3968" w:type="dxa"/>
          </w:tcPr>
          <w:p w14:paraId="510A084C" w14:textId="0FF39817" w:rsidR="0005307F" w:rsidRPr="004D4164" w:rsidRDefault="00B15939" w:rsidP="00D12C62">
            <w:pPr>
              <w:tabs>
                <w:tab w:val="right" w:pos="0"/>
                <w:tab w:val="left" w:pos="4253"/>
              </w:tabs>
              <w:spacing w:before="120"/>
              <w:jc w:val="right"/>
              <w:rPr>
                <w:rFonts w:cs="Arial"/>
                <w:sz w:val="24"/>
              </w:rPr>
            </w:pPr>
            <w:r>
              <w:rPr>
                <w:rFonts w:cs="Arial"/>
                <w:sz w:val="24"/>
              </w:rPr>
              <w:t xml:space="preserve">Advocate </w:t>
            </w:r>
            <w:r w:rsidR="00B83471">
              <w:rPr>
                <w:rFonts w:cs="Arial"/>
                <w:sz w:val="24"/>
              </w:rPr>
              <w:t>S Meyer</w:t>
            </w:r>
          </w:p>
        </w:tc>
      </w:tr>
      <w:tr w:rsidR="0005307F" w:rsidRPr="004D4164" w14:paraId="510A0850" w14:textId="77777777" w:rsidTr="00EF40AF">
        <w:tc>
          <w:tcPr>
            <w:tcW w:w="5382" w:type="dxa"/>
          </w:tcPr>
          <w:p w14:paraId="510A084E"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Instructed By:</w:t>
            </w:r>
          </w:p>
        </w:tc>
        <w:tc>
          <w:tcPr>
            <w:tcW w:w="3968" w:type="dxa"/>
          </w:tcPr>
          <w:p w14:paraId="510A084F" w14:textId="69F2A507" w:rsidR="0005307F" w:rsidRPr="004D4164" w:rsidRDefault="00206124" w:rsidP="00D12C62">
            <w:pPr>
              <w:tabs>
                <w:tab w:val="right" w:pos="0"/>
                <w:tab w:val="left" w:pos="4253"/>
              </w:tabs>
              <w:spacing w:before="120"/>
              <w:jc w:val="right"/>
              <w:rPr>
                <w:rFonts w:cs="Arial"/>
                <w:sz w:val="24"/>
              </w:rPr>
            </w:pPr>
            <w:r>
              <w:rPr>
                <w:rFonts w:cs="Arial"/>
                <w:sz w:val="24"/>
              </w:rPr>
              <w:t xml:space="preserve">Van Zyl </w:t>
            </w:r>
            <w:r w:rsidR="00262AD2">
              <w:rPr>
                <w:rFonts w:cs="Arial"/>
                <w:sz w:val="24"/>
              </w:rPr>
              <w:t>Johnson Inc</w:t>
            </w:r>
          </w:p>
        </w:tc>
      </w:tr>
      <w:tr w:rsidR="0005307F" w:rsidRPr="004D4164" w14:paraId="510A0856" w14:textId="77777777" w:rsidTr="00EF40AF">
        <w:tc>
          <w:tcPr>
            <w:tcW w:w="5382" w:type="dxa"/>
          </w:tcPr>
          <w:p w14:paraId="510A0854" w14:textId="18973513" w:rsidR="0005307F" w:rsidRPr="004D4164" w:rsidRDefault="0005307F" w:rsidP="00D12C62">
            <w:pPr>
              <w:tabs>
                <w:tab w:val="right" w:pos="0"/>
                <w:tab w:val="left" w:pos="4253"/>
              </w:tabs>
              <w:spacing w:before="120"/>
              <w:jc w:val="left"/>
              <w:rPr>
                <w:rFonts w:cs="Arial"/>
                <w:sz w:val="24"/>
              </w:rPr>
            </w:pPr>
            <w:r w:rsidRPr="004D4164">
              <w:rPr>
                <w:rFonts w:cs="Arial"/>
                <w:sz w:val="24"/>
              </w:rPr>
              <w:t>Counsel for Respondent:</w:t>
            </w:r>
          </w:p>
        </w:tc>
        <w:tc>
          <w:tcPr>
            <w:tcW w:w="3968" w:type="dxa"/>
          </w:tcPr>
          <w:p w14:paraId="510A0855" w14:textId="5D46431F" w:rsidR="0005307F" w:rsidRPr="004D4164" w:rsidRDefault="007028C6" w:rsidP="00D12C62">
            <w:pPr>
              <w:tabs>
                <w:tab w:val="right" w:pos="0"/>
                <w:tab w:val="left" w:pos="4253"/>
              </w:tabs>
              <w:spacing w:before="120"/>
              <w:jc w:val="right"/>
              <w:rPr>
                <w:rFonts w:cs="Arial"/>
                <w:sz w:val="24"/>
              </w:rPr>
            </w:pPr>
            <w:r>
              <w:rPr>
                <w:rFonts w:cs="Arial"/>
                <w:sz w:val="24"/>
              </w:rPr>
              <w:t xml:space="preserve">Advocate </w:t>
            </w:r>
            <w:r w:rsidR="00B83471">
              <w:rPr>
                <w:rFonts w:cs="Arial"/>
                <w:sz w:val="24"/>
              </w:rPr>
              <w:t>N Segal</w:t>
            </w:r>
          </w:p>
        </w:tc>
      </w:tr>
      <w:tr w:rsidR="0005307F" w:rsidRPr="004D4164" w14:paraId="510A0859" w14:textId="77777777" w:rsidTr="00EF40AF">
        <w:tc>
          <w:tcPr>
            <w:tcW w:w="5382" w:type="dxa"/>
          </w:tcPr>
          <w:p w14:paraId="510A0857"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Instructed By:</w:t>
            </w:r>
          </w:p>
        </w:tc>
        <w:tc>
          <w:tcPr>
            <w:tcW w:w="3968" w:type="dxa"/>
          </w:tcPr>
          <w:p w14:paraId="510A0858" w14:textId="6E336283" w:rsidR="0005307F" w:rsidRPr="004D4164" w:rsidRDefault="00262AD2" w:rsidP="00D12C62">
            <w:pPr>
              <w:tabs>
                <w:tab w:val="right" w:pos="0"/>
                <w:tab w:val="left" w:pos="4253"/>
              </w:tabs>
              <w:spacing w:before="120"/>
              <w:jc w:val="right"/>
              <w:rPr>
                <w:rFonts w:cs="Arial"/>
                <w:sz w:val="24"/>
              </w:rPr>
            </w:pPr>
            <w:r>
              <w:rPr>
                <w:rFonts w:cs="Arial"/>
                <w:sz w:val="24"/>
              </w:rPr>
              <w:t>NR Taylor Attorneys</w:t>
            </w:r>
          </w:p>
        </w:tc>
      </w:tr>
      <w:tr w:rsidR="0005307F" w:rsidRPr="004D4164" w14:paraId="510A085F" w14:textId="77777777" w:rsidTr="00EF40AF">
        <w:tc>
          <w:tcPr>
            <w:tcW w:w="5382" w:type="dxa"/>
          </w:tcPr>
          <w:p w14:paraId="510A085D" w14:textId="77777777" w:rsidR="0005307F" w:rsidRPr="004D4164" w:rsidRDefault="0005307F" w:rsidP="00D12C62">
            <w:pPr>
              <w:keepNext/>
              <w:tabs>
                <w:tab w:val="right" w:pos="0"/>
                <w:tab w:val="left" w:pos="4253"/>
              </w:tabs>
              <w:spacing w:before="120"/>
              <w:jc w:val="left"/>
              <w:rPr>
                <w:rFonts w:cs="Arial"/>
                <w:sz w:val="24"/>
              </w:rPr>
            </w:pPr>
            <w:r w:rsidRPr="004D4164">
              <w:rPr>
                <w:rFonts w:cs="Arial"/>
                <w:sz w:val="24"/>
              </w:rPr>
              <w:t>Date of Hearing:</w:t>
            </w:r>
          </w:p>
        </w:tc>
        <w:tc>
          <w:tcPr>
            <w:tcW w:w="3968" w:type="dxa"/>
          </w:tcPr>
          <w:p w14:paraId="510A085E" w14:textId="4A6E8B02" w:rsidR="0005307F" w:rsidRPr="004D4164" w:rsidRDefault="006447DA" w:rsidP="00D12C62">
            <w:pPr>
              <w:keepNext/>
              <w:tabs>
                <w:tab w:val="right" w:pos="0"/>
                <w:tab w:val="left" w:pos="4253"/>
              </w:tabs>
              <w:spacing w:before="120"/>
              <w:jc w:val="right"/>
              <w:rPr>
                <w:rFonts w:cs="Arial"/>
                <w:sz w:val="24"/>
              </w:rPr>
            </w:pPr>
            <w:r>
              <w:rPr>
                <w:rFonts w:cs="Arial"/>
                <w:sz w:val="24"/>
              </w:rPr>
              <w:t>30</w:t>
            </w:r>
            <w:r w:rsidR="003F186C">
              <w:rPr>
                <w:rFonts w:cs="Arial"/>
                <w:sz w:val="24"/>
              </w:rPr>
              <w:t xml:space="preserve"> May 2023</w:t>
            </w:r>
          </w:p>
        </w:tc>
      </w:tr>
      <w:tr w:rsidR="0005307F" w:rsidRPr="004D4164" w14:paraId="510A0862" w14:textId="77777777" w:rsidTr="00EF40AF">
        <w:tc>
          <w:tcPr>
            <w:tcW w:w="5382" w:type="dxa"/>
          </w:tcPr>
          <w:p w14:paraId="510A0860" w14:textId="77777777" w:rsidR="0005307F" w:rsidRPr="004D4164" w:rsidRDefault="0005307F" w:rsidP="00D12C62">
            <w:pPr>
              <w:tabs>
                <w:tab w:val="right" w:pos="0"/>
                <w:tab w:val="left" w:pos="4253"/>
              </w:tabs>
              <w:spacing w:before="120"/>
              <w:jc w:val="left"/>
              <w:rPr>
                <w:rFonts w:cs="Arial"/>
                <w:sz w:val="24"/>
              </w:rPr>
            </w:pPr>
            <w:r w:rsidRPr="004D4164">
              <w:rPr>
                <w:rFonts w:cs="Arial"/>
                <w:sz w:val="24"/>
              </w:rPr>
              <w:t>Date of Judgment:</w:t>
            </w:r>
          </w:p>
        </w:tc>
        <w:tc>
          <w:tcPr>
            <w:tcW w:w="3968" w:type="dxa"/>
          </w:tcPr>
          <w:p w14:paraId="510A0861" w14:textId="5F80F2E1" w:rsidR="0005307F" w:rsidRPr="004D4164" w:rsidRDefault="002E74BD" w:rsidP="00D12C62">
            <w:pPr>
              <w:tabs>
                <w:tab w:val="right" w:pos="0"/>
                <w:tab w:val="left" w:pos="4253"/>
              </w:tabs>
              <w:spacing w:before="120"/>
              <w:jc w:val="right"/>
              <w:rPr>
                <w:rFonts w:cs="Arial"/>
                <w:sz w:val="24"/>
              </w:rPr>
            </w:pPr>
            <w:r>
              <w:rPr>
                <w:rFonts w:cs="Arial"/>
                <w:sz w:val="24"/>
              </w:rPr>
              <w:t>07 June 2023</w:t>
            </w:r>
          </w:p>
        </w:tc>
      </w:tr>
    </w:tbl>
    <w:p w14:paraId="510A0863" w14:textId="77777777" w:rsidR="0005307F" w:rsidRPr="004D4164" w:rsidRDefault="0005307F" w:rsidP="00D12C62">
      <w:pPr>
        <w:tabs>
          <w:tab w:val="right" w:pos="0"/>
          <w:tab w:val="left" w:pos="4253"/>
        </w:tabs>
        <w:spacing w:before="120"/>
        <w:rPr>
          <w:rFonts w:cs="Arial"/>
          <w:sz w:val="24"/>
        </w:rPr>
      </w:pPr>
    </w:p>
    <w:sectPr w:rsidR="0005307F" w:rsidRPr="004D41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5BCED" w14:textId="77777777" w:rsidR="000A42FE" w:rsidRDefault="000A42FE" w:rsidP="009037B0">
      <w:pPr>
        <w:spacing w:line="240" w:lineRule="auto"/>
      </w:pPr>
      <w:r>
        <w:separator/>
      </w:r>
    </w:p>
  </w:endnote>
  <w:endnote w:type="continuationSeparator" w:id="0">
    <w:p w14:paraId="4D56C1FA" w14:textId="77777777" w:rsidR="000A42FE" w:rsidRDefault="000A42FE" w:rsidP="00903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19602"/>
      <w:docPartObj>
        <w:docPartGallery w:val="Page Numbers (Bottom of Page)"/>
        <w:docPartUnique/>
      </w:docPartObj>
    </w:sdtPr>
    <w:sdtEndPr>
      <w:rPr>
        <w:noProof/>
      </w:rPr>
    </w:sdtEndPr>
    <w:sdtContent>
      <w:p w14:paraId="510A086C" w14:textId="089973C6" w:rsidR="00E960D4" w:rsidRDefault="00E960D4">
        <w:pPr>
          <w:pStyle w:val="Footer"/>
          <w:jc w:val="right"/>
        </w:pPr>
        <w:r>
          <w:fldChar w:fldCharType="begin"/>
        </w:r>
        <w:r>
          <w:instrText xml:space="preserve"> PAGE   \* MERGEFORMAT </w:instrText>
        </w:r>
        <w:r>
          <w:fldChar w:fldCharType="separate"/>
        </w:r>
        <w:r w:rsidR="00C57235">
          <w:rPr>
            <w:noProof/>
          </w:rPr>
          <w:t>23</w:t>
        </w:r>
        <w:r>
          <w:rPr>
            <w:noProof/>
          </w:rPr>
          <w:fldChar w:fldCharType="end"/>
        </w:r>
      </w:p>
    </w:sdtContent>
  </w:sdt>
  <w:p w14:paraId="510A086D" w14:textId="77777777" w:rsidR="00E960D4" w:rsidRDefault="00E9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0988" w14:textId="77777777" w:rsidR="000A42FE" w:rsidRDefault="000A42FE" w:rsidP="009037B0">
      <w:pPr>
        <w:spacing w:line="240" w:lineRule="auto"/>
      </w:pPr>
      <w:r>
        <w:separator/>
      </w:r>
    </w:p>
  </w:footnote>
  <w:footnote w:type="continuationSeparator" w:id="0">
    <w:p w14:paraId="096CA79B" w14:textId="77777777" w:rsidR="000A42FE" w:rsidRDefault="000A42FE" w:rsidP="009037B0">
      <w:pPr>
        <w:spacing w:line="240" w:lineRule="auto"/>
      </w:pPr>
      <w:r>
        <w:continuationSeparator/>
      </w:r>
    </w:p>
  </w:footnote>
  <w:footnote w:id="1">
    <w:p w14:paraId="2FC047C2" w14:textId="77777777" w:rsidR="00251F52" w:rsidRPr="006C5B02" w:rsidRDefault="00251F52" w:rsidP="00251F52">
      <w:pPr>
        <w:pStyle w:val="FootnoteText"/>
        <w:spacing w:before="120"/>
        <w:ind w:left="709" w:hanging="709"/>
        <w:jc w:val="both"/>
        <w:rPr>
          <w:rFonts w:ascii="Arial" w:hAnsi="Arial" w:cs="Arial"/>
          <w:lang w:val="en-US"/>
        </w:rPr>
      </w:pPr>
      <w:r w:rsidRPr="00E4519E">
        <w:rPr>
          <w:rStyle w:val="FootnoteReference"/>
          <w:rFonts w:ascii="Arial" w:hAnsi="Arial" w:cs="Arial"/>
        </w:rPr>
        <w:footnoteRef/>
      </w:r>
      <w:r w:rsidRPr="00E4519E">
        <w:rPr>
          <w:rFonts w:ascii="Arial" w:hAnsi="Arial" w:cs="Arial"/>
        </w:rPr>
        <w:t xml:space="preserve"> </w:t>
      </w:r>
      <w:r w:rsidRPr="00E4519E">
        <w:rPr>
          <w:rFonts w:ascii="Arial" w:hAnsi="Arial" w:cs="Arial"/>
          <w:lang w:val="en-US"/>
        </w:rPr>
        <w:tab/>
      </w:r>
      <w:r>
        <w:rPr>
          <w:rFonts w:ascii="Arial" w:hAnsi="Arial" w:cs="Arial"/>
          <w:i/>
          <w:iCs/>
          <w:lang w:val="en-US"/>
        </w:rPr>
        <w:t>Shacklock v Shacklock</w:t>
      </w:r>
      <w:r>
        <w:rPr>
          <w:rFonts w:ascii="Arial" w:hAnsi="Arial" w:cs="Arial"/>
          <w:lang w:val="en-US"/>
        </w:rPr>
        <w:t xml:space="preserve"> 1949 (1) SA 91 (A) 101</w:t>
      </w:r>
    </w:p>
  </w:footnote>
  <w:footnote w:id="2">
    <w:p w14:paraId="7E8DB1C4" w14:textId="77777777" w:rsidR="00251F52" w:rsidRPr="006C5B02" w:rsidRDefault="00251F52" w:rsidP="00251F52">
      <w:pPr>
        <w:pStyle w:val="FootnoteText"/>
        <w:spacing w:before="120"/>
        <w:ind w:left="709" w:hanging="709"/>
        <w:jc w:val="both"/>
        <w:rPr>
          <w:rFonts w:ascii="Arial" w:hAnsi="Arial" w:cs="Arial"/>
          <w:lang w:val="en-US"/>
        </w:rPr>
      </w:pPr>
      <w:r w:rsidRPr="00E4519E">
        <w:rPr>
          <w:rStyle w:val="FootnoteReference"/>
          <w:rFonts w:ascii="Arial" w:hAnsi="Arial" w:cs="Arial"/>
        </w:rPr>
        <w:footnoteRef/>
      </w:r>
      <w:r w:rsidRPr="00E4519E">
        <w:rPr>
          <w:rFonts w:ascii="Arial" w:hAnsi="Arial" w:cs="Arial"/>
        </w:rPr>
        <w:t xml:space="preserve"> </w:t>
      </w:r>
      <w:r w:rsidRPr="00E4519E">
        <w:rPr>
          <w:rFonts w:ascii="Arial" w:hAnsi="Arial" w:cs="Arial"/>
          <w:lang w:val="en-US"/>
        </w:rPr>
        <w:tab/>
      </w:r>
      <w:r>
        <w:rPr>
          <w:rFonts w:ascii="Arial" w:hAnsi="Arial" w:cs="Arial"/>
          <w:i/>
          <w:iCs/>
          <w:lang w:val="en-US"/>
        </w:rPr>
        <w:t>Robson v Theron</w:t>
      </w:r>
      <w:r>
        <w:rPr>
          <w:rFonts w:ascii="Arial" w:hAnsi="Arial" w:cs="Arial"/>
          <w:lang w:val="en-US"/>
        </w:rPr>
        <w:t xml:space="preserve"> 1978 (1) SA 841 (A) 857C</w:t>
      </w:r>
    </w:p>
  </w:footnote>
  <w:footnote w:id="3">
    <w:p w14:paraId="1CE9B9AC" w14:textId="77777777" w:rsidR="00251F52" w:rsidRPr="00251F52" w:rsidRDefault="00251F52" w:rsidP="00251F52">
      <w:pPr>
        <w:pStyle w:val="FootnoteText"/>
        <w:spacing w:before="120"/>
        <w:ind w:left="709" w:hanging="709"/>
        <w:jc w:val="both"/>
        <w:rPr>
          <w:rFonts w:ascii="Arial" w:hAnsi="Arial" w:cs="Arial"/>
          <w:lang w:val="en-ZA"/>
        </w:rPr>
      </w:pPr>
      <w:r w:rsidRPr="00E4519E">
        <w:rPr>
          <w:rStyle w:val="FootnoteReference"/>
          <w:rFonts w:ascii="Arial" w:hAnsi="Arial" w:cs="Arial"/>
        </w:rPr>
        <w:footnoteRef/>
      </w:r>
      <w:r w:rsidRPr="00251F52">
        <w:rPr>
          <w:rFonts w:ascii="Arial" w:hAnsi="Arial" w:cs="Arial"/>
          <w:lang w:val="en-ZA"/>
        </w:rPr>
        <w:t xml:space="preserve"> </w:t>
      </w:r>
      <w:r w:rsidRPr="00251F52">
        <w:rPr>
          <w:rFonts w:ascii="Arial" w:hAnsi="Arial" w:cs="Arial"/>
          <w:lang w:val="en-ZA"/>
        </w:rPr>
        <w:tab/>
      </w:r>
      <w:r w:rsidRPr="00251F52">
        <w:rPr>
          <w:rFonts w:ascii="Arial" w:hAnsi="Arial" w:cs="Arial"/>
          <w:i/>
          <w:iCs/>
          <w:lang w:val="en-ZA"/>
        </w:rPr>
        <w:t xml:space="preserve">Id </w:t>
      </w:r>
      <w:r w:rsidRPr="00251F52">
        <w:rPr>
          <w:rFonts w:ascii="Arial" w:hAnsi="Arial" w:cs="Arial"/>
          <w:lang w:val="en-ZA"/>
        </w:rPr>
        <w:t>855A; 856H</w:t>
      </w:r>
    </w:p>
  </w:footnote>
  <w:footnote w:id="4">
    <w:p w14:paraId="4D84AC90" w14:textId="77777777" w:rsidR="00251F52" w:rsidRPr="00E62FB7" w:rsidRDefault="00251F52" w:rsidP="00251F52">
      <w:pPr>
        <w:pStyle w:val="FootnoteText"/>
        <w:spacing w:before="120"/>
        <w:ind w:left="709" w:hanging="709"/>
        <w:jc w:val="both"/>
        <w:rPr>
          <w:rFonts w:ascii="Arial" w:hAnsi="Arial" w:cs="Arial"/>
          <w:lang w:val="en-ZA"/>
        </w:rPr>
      </w:pPr>
      <w:r w:rsidRPr="00E4519E">
        <w:rPr>
          <w:rStyle w:val="FootnoteReference"/>
          <w:rFonts w:ascii="Arial" w:hAnsi="Arial" w:cs="Arial"/>
        </w:rPr>
        <w:footnoteRef/>
      </w:r>
      <w:r w:rsidRPr="00E62FB7">
        <w:rPr>
          <w:rFonts w:ascii="Arial" w:hAnsi="Arial" w:cs="Arial"/>
          <w:lang w:val="en-ZA"/>
        </w:rPr>
        <w:t xml:space="preserve"> </w:t>
      </w:r>
      <w:r w:rsidRPr="00E62FB7">
        <w:rPr>
          <w:rFonts w:ascii="Arial" w:hAnsi="Arial" w:cs="Arial"/>
          <w:lang w:val="en-ZA"/>
        </w:rPr>
        <w:tab/>
      </w:r>
      <w:r w:rsidRPr="00E62FB7">
        <w:rPr>
          <w:rFonts w:ascii="Arial" w:hAnsi="Arial" w:cs="Arial"/>
          <w:i/>
          <w:iCs/>
          <w:lang w:val="en-ZA"/>
        </w:rPr>
        <w:t xml:space="preserve">Minne v Minne and others </w:t>
      </w:r>
      <w:r w:rsidRPr="00E62FB7">
        <w:rPr>
          <w:rFonts w:ascii="Arial" w:hAnsi="Arial" w:cs="Arial"/>
          <w:lang w:val="en-ZA"/>
        </w:rPr>
        <w:t>2022 JDR 1851 (GP) [28]</w:t>
      </w:r>
      <w:r>
        <w:rPr>
          <w:rFonts w:ascii="Arial" w:hAnsi="Arial" w:cs="Arial"/>
          <w:lang w:val="en-ZA"/>
        </w:rPr>
        <w:t>, [42]</w:t>
      </w:r>
    </w:p>
  </w:footnote>
  <w:footnote w:id="5">
    <w:p w14:paraId="75DCE92D" w14:textId="77777777" w:rsidR="00251F52" w:rsidRPr="00251F52" w:rsidRDefault="00251F52" w:rsidP="00251F52">
      <w:pPr>
        <w:pStyle w:val="FootnoteText"/>
        <w:spacing w:before="120"/>
        <w:ind w:left="709" w:hanging="709"/>
        <w:jc w:val="both"/>
        <w:rPr>
          <w:rFonts w:ascii="Arial" w:hAnsi="Arial" w:cs="Arial"/>
          <w:lang w:val="es-ES"/>
        </w:rPr>
      </w:pPr>
      <w:r w:rsidRPr="00E4519E">
        <w:rPr>
          <w:rStyle w:val="FootnoteReference"/>
          <w:rFonts w:ascii="Arial" w:hAnsi="Arial" w:cs="Arial"/>
        </w:rPr>
        <w:footnoteRef/>
      </w:r>
      <w:r w:rsidRPr="00251F52">
        <w:rPr>
          <w:rFonts w:ascii="Arial" w:hAnsi="Arial" w:cs="Arial"/>
          <w:lang w:val="es-ES"/>
        </w:rPr>
        <w:t xml:space="preserve"> </w:t>
      </w:r>
      <w:r w:rsidRPr="00251F52">
        <w:rPr>
          <w:rFonts w:ascii="Arial" w:hAnsi="Arial" w:cs="Arial"/>
          <w:lang w:val="es-ES"/>
        </w:rPr>
        <w:tab/>
      </w:r>
      <w:r w:rsidRPr="00251F52">
        <w:rPr>
          <w:rFonts w:ascii="Arial" w:hAnsi="Arial" w:cs="Arial"/>
          <w:i/>
          <w:iCs/>
          <w:lang w:val="es-ES"/>
        </w:rPr>
        <w:t>Robson supra</w:t>
      </w:r>
      <w:r w:rsidRPr="00251F52">
        <w:rPr>
          <w:rFonts w:ascii="Arial" w:hAnsi="Arial" w:cs="Arial"/>
          <w:lang w:val="es-ES"/>
        </w:rPr>
        <w:t xml:space="preserve"> 855C-F</w:t>
      </w:r>
    </w:p>
  </w:footnote>
  <w:footnote w:id="6">
    <w:p w14:paraId="36EA4D86" w14:textId="77777777" w:rsidR="00251F52" w:rsidRPr="00251F52" w:rsidRDefault="00251F52" w:rsidP="00251F52">
      <w:pPr>
        <w:pStyle w:val="FootnoteText"/>
        <w:spacing w:before="120"/>
        <w:ind w:left="709" w:hanging="709"/>
        <w:jc w:val="both"/>
        <w:rPr>
          <w:rFonts w:ascii="Arial" w:hAnsi="Arial" w:cs="Arial"/>
          <w:lang w:val="es-ES"/>
        </w:rPr>
      </w:pPr>
      <w:r w:rsidRPr="00E4519E">
        <w:rPr>
          <w:rStyle w:val="FootnoteReference"/>
          <w:rFonts w:ascii="Arial" w:hAnsi="Arial" w:cs="Arial"/>
        </w:rPr>
        <w:footnoteRef/>
      </w:r>
      <w:r w:rsidRPr="00251F52">
        <w:rPr>
          <w:rFonts w:ascii="Arial" w:hAnsi="Arial" w:cs="Arial"/>
          <w:lang w:val="es-ES"/>
        </w:rPr>
        <w:t xml:space="preserve"> </w:t>
      </w:r>
      <w:r w:rsidRPr="00251F52">
        <w:rPr>
          <w:rFonts w:ascii="Arial" w:hAnsi="Arial" w:cs="Arial"/>
          <w:lang w:val="es-ES"/>
        </w:rPr>
        <w:tab/>
      </w:r>
      <w:r w:rsidRPr="00251F52">
        <w:rPr>
          <w:rFonts w:ascii="Arial" w:hAnsi="Arial" w:cs="Arial"/>
          <w:i/>
          <w:iCs/>
          <w:lang w:val="es-ES"/>
        </w:rPr>
        <w:t>Id</w:t>
      </w:r>
      <w:r w:rsidRPr="00251F52">
        <w:rPr>
          <w:rFonts w:ascii="Arial" w:hAnsi="Arial" w:cs="Arial"/>
          <w:lang w:val="es-ES"/>
        </w:rPr>
        <w:t xml:space="preserve"> 857C</w:t>
      </w:r>
    </w:p>
  </w:footnote>
  <w:footnote w:id="7">
    <w:p w14:paraId="55ACCFFD" w14:textId="77777777" w:rsidR="00251F52" w:rsidRPr="00692F68" w:rsidRDefault="00251F52" w:rsidP="00251F52">
      <w:pPr>
        <w:pStyle w:val="FootnoteText"/>
        <w:spacing w:before="120"/>
        <w:ind w:left="709" w:hanging="709"/>
        <w:jc w:val="both"/>
        <w:rPr>
          <w:rFonts w:ascii="Arial" w:hAnsi="Arial" w:cs="Arial"/>
          <w:lang w:val="en-US"/>
        </w:rPr>
      </w:pPr>
      <w:r w:rsidRPr="00E4519E">
        <w:rPr>
          <w:rStyle w:val="FootnoteReference"/>
          <w:rFonts w:ascii="Arial" w:hAnsi="Arial" w:cs="Arial"/>
        </w:rPr>
        <w:footnoteRef/>
      </w:r>
      <w:r w:rsidRPr="00E4519E">
        <w:rPr>
          <w:rFonts w:ascii="Arial" w:hAnsi="Arial" w:cs="Arial"/>
        </w:rPr>
        <w:t xml:space="preserve"> </w:t>
      </w:r>
      <w:r w:rsidRPr="00E4519E">
        <w:rPr>
          <w:rFonts w:ascii="Arial" w:hAnsi="Arial" w:cs="Arial"/>
          <w:lang w:val="en-US"/>
        </w:rPr>
        <w:tab/>
      </w:r>
      <w:r>
        <w:rPr>
          <w:rFonts w:ascii="Arial" w:hAnsi="Arial" w:cs="Arial"/>
          <w:i/>
          <w:iCs/>
          <w:lang w:val="en-US"/>
        </w:rPr>
        <w:t>Rademeyer and others v Rademeyer and others</w:t>
      </w:r>
      <w:r>
        <w:rPr>
          <w:rFonts w:ascii="Arial" w:hAnsi="Arial" w:cs="Arial"/>
          <w:lang w:val="en-US"/>
        </w:rPr>
        <w:t xml:space="preserve"> [1968] 3 All SA 105 (C) 114</w:t>
      </w:r>
    </w:p>
  </w:footnote>
  <w:footnote w:id="8">
    <w:p w14:paraId="61B41398" w14:textId="77777777" w:rsidR="00251F52" w:rsidRPr="00692F68" w:rsidRDefault="00251F52" w:rsidP="00251F52">
      <w:pPr>
        <w:pStyle w:val="FootnoteText"/>
        <w:spacing w:before="120"/>
        <w:ind w:left="709" w:hanging="709"/>
        <w:jc w:val="both"/>
        <w:rPr>
          <w:rFonts w:ascii="Arial" w:hAnsi="Arial" w:cs="Arial"/>
          <w:lang w:val="en-US"/>
        </w:rPr>
      </w:pPr>
      <w:r w:rsidRPr="00E4519E">
        <w:rPr>
          <w:rStyle w:val="FootnoteReference"/>
          <w:rFonts w:ascii="Arial" w:hAnsi="Arial" w:cs="Arial"/>
        </w:rPr>
        <w:footnoteRef/>
      </w:r>
      <w:r w:rsidRPr="00E4519E">
        <w:rPr>
          <w:rFonts w:ascii="Arial" w:hAnsi="Arial" w:cs="Arial"/>
        </w:rPr>
        <w:t xml:space="preserve"> </w:t>
      </w:r>
      <w:r w:rsidRPr="00E4519E">
        <w:rPr>
          <w:rFonts w:ascii="Arial" w:hAnsi="Arial" w:cs="Arial"/>
          <w:lang w:val="en-US"/>
        </w:rPr>
        <w:tab/>
      </w:r>
      <w:r>
        <w:rPr>
          <w:rFonts w:ascii="Arial" w:hAnsi="Arial" w:cs="Arial"/>
          <w:i/>
          <w:iCs/>
          <w:lang w:val="en-US"/>
        </w:rPr>
        <w:t>Id</w:t>
      </w:r>
      <w:r>
        <w:rPr>
          <w:rFonts w:ascii="Arial" w:hAnsi="Arial" w:cs="Arial"/>
          <w:lang w:val="en-US"/>
        </w:rPr>
        <w:t xml:space="preserve"> 115</w:t>
      </w:r>
    </w:p>
  </w:footnote>
  <w:footnote w:id="9">
    <w:p w14:paraId="5460A3A1" w14:textId="77777777" w:rsidR="00251F52" w:rsidRPr="009E3AD0" w:rsidRDefault="00251F52" w:rsidP="00251F52">
      <w:pPr>
        <w:pStyle w:val="FootnoteText"/>
        <w:spacing w:before="120"/>
        <w:ind w:left="709" w:hanging="709"/>
        <w:jc w:val="both"/>
        <w:rPr>
          <w:rFonts w:ascii="Arial" w:hAnsi="Arial" w:cs="Arial"/>
          <w:lang w:val="en-ZA"/>
        </w:rPr>
      </w:pPr>
      <w:r w:rsidRPr="00E4519E">
        <w:rPr>
          <w:rStyle w:val="FootnoteReference"/>
          <w:rFonts w:ascii="Arial" w:hAnsi="Arial" w:cs="Arial"/>
        </w:rPr>
        <w:footnoteRef/>
      </w:r>
      <w:r w:rsidRPr="009E3AD0">
        <w:rPr>
          <w:rFonts w:ascii="Arial" w:hAnsi="Arial" w:cs="Arial"/>
          <w:lang w:val="en-ZA"/>
        </w:rPr>
        <w:t xml:space="preserve"> </w:t>
      </w:r>
      <w:r w:rsidRPr="009E3AD0">
        <w:rPr>
          <w:rFonts w:ascii="Arial" w:hAnsi="Arial" w:cs="Arial"/>
          <w:lang w:val="en-ZA"/>
        </w:rPr>
        <w:tab/>
      </w:r>
      <w:r>
        <w:rPr>
          <w:rFonts w:ascii="Arial" w:hAnsi="Arial" w:cs="Arial"/>
          <w:i/>
          <w:iCs/>
          <w:lang w:val="en-ZA"/>
        </w:rPr>
        <w:t xml:space="preserve">Matadin v Parma and others </w:t>
      </w:r>
      <w:r>
        <w:rPr>
          <w:rFonts w:ascii="Arial" w:hAnsi="Arial" w:cs="Arial"/>
          <w:lang w:val="en-ZA"/>
        </w:rPr>
        <w:t xml:space="preserve">[2010] JOL 25834 (KZP) [9]; </w:t>
      </w:r>
      <w:r w:rsidRPr="009E3AD0">
        <w:rPr>
          <w:rFonts w:ascii="Arial" w:hAnsi="Arial" w:cs="Arial"/>
          <w:i/>
          <w:iCs/>
          <w:lang w:val="en-ZA"/>
        </w:rPr>
        <w:t xml:space="preserve">Minne </w:t>
      </w:r>
      <w:r>
        <w:rPr>
          <w:rFonts w:ascii="Arial" w:hAnsi="Arial" w:cs="Arial"/>
          <w:i/>
          <w:iCs/>
          <w:lang w:val="en-ZA"/>
        </w:rPr>
        <w:t>supra</w:t>
      </w:r>
      <w:r w:rsidRPr="009E3AD0">
        <w:rPr>
          <w:rFonts w:ascii="Arial" w:hAnsi="Arial" w:cs="Arial"/>
          <w:lang w:val="en-ZA"/>
        </w:rPr>
        <w:t xml:space="preserve"> [2</w:t>
      </w:r>
      <w:r>
        <w:rPr>
          <w:rFonts w:ascii="Arial" w:hAnsi="Arial" w:cs="Arial"/>
          <w:lang w:val="en-ZA"/>
        </w:rPr>
        <w:t>7]</w:t>
      </w:r>
    </w:p>
  </w:footnote>
  <w:footnote w:id="10">
    <w:p w14:paraId="1A724988" w14:textId="77777777" w:rsidR="00251F52" w:rsidRPr="009E3AD0" w:rsidRDefault="00251F52" w:rsidP="00251F52">
      <w:pPr>
        <w:pStyle w:val="FootnoteText"/>
        <w:spacing w:before="120"/>
        <w:ind w:left="709" w:hanging="709"/>
        <w:jc w:val="both"/>
        <w:rPr>
          <w:rFonts w:ascii="Arial" w:hAnsi="Arial" w:cs="Arial"/>
          <w:lang w:val="en-ZA"/>
        </w:rPr>
      </w:pPr>
      <w:r w:rsidRPr="00E4519E">
        <w:rPr>
          <w:rStyle w:val="FootnoteReference"/>
          <w:rFonts w:ascii="Arial" w:hAnsi="Arial" w:cs="Arial"/>
        </w:rPr>
        <w:footnoteRef/>
      </w:r>
      <w:r w:rsidRPr="009E3AD0">
        <w:rPr>
          <w:rFonts w:ascii="Arial" w:hAnsi="Arial" w:cs="Arial"/>
          <w:lang w:val="en-ZA"/>
        </w:rPr>
        <w:t xml:space="preserve"> </w:t>
      </w:r>
      <w:r w:rsidRPr="009E3AD0">
        <w:rPr>
          <w:rFonts w:ascii="Arial" w:hAnsi="Arial" w:cs="Arial"/>
          <w:lang w:val="en-ZA"/>
        </w:rPr>
        <w:tab/>
      </w:r>
      <w:r>
        <w:rPr>
          <w:rFonts w:ascii="Arial" w:hAnsi="Arial" w:cs="Arial"/>
          <w:i/>
          <w:iCs/>
          <w:lang w:val="en-ZA"/>
        </w:rPr>
        <w:t>Id</w:t>
      </w:r>
    </w:p>
  </w:footnote>
  <w:footnote w:id="11">
    <w:p w14:paraId="2D7BAB6B" w14:textId="77777777" w:rsidR="00251F52" w:rsidRPr="00BB3999" w:rsidRDefault="00251F52" w:rsidP="00251F52">
      <w:pPr>
        <w:pStyle w:val="FootnoteText"/>
        <w:spacing w:before="120"/>
        <w:ind w:left="709" w:hanging="709"/>
        <w:jc w:val="both"/>
        <w:rPr>
          <w:rFonts w:ascii="Arial" w:hAnsi="Arial" w:cs="Arial"/>
        </w:rPr>
      </w:pPr>
      <w:r w:rsidRPr="00BB3999">
        <w:rPr>
          <w:rStyle w:val="FootnoteReference"/>
          <w:rFonts w:ascii="Arial" w:hAnsi="Arial" w:cs="Arial"/>
        </w:rPr>
        <w:footnoteRef/>
      </w:r>
      <w:r w:rsidRPr="00BB3999">
        <w:rPr>
          <w:rFonts w:ascii="Arial" w:hAnsi="Arial" w:cs="Arial"/>
        </w:rPr>
        <w:t xml:space="preserve"> </w:t>
      </w:r>
      <w:r>
        <w:rPr>
          <w:rFonts w:ascii="Arial" w:hAnsi="Arial" w:cs="Arial"/>
        </w:rPr>
        <w:tab/>
      </w:r>
      <w:r w:rsidRPr="00BB3999">
        <w:rPr>
          <w:rFonts w:ascii="Arial" w:hAnsi="Arial" w:cs="Arial"/>
          <w:i/>
          <w:iCs/>
        </w:rPr>
        <w:t xml:space="preserve">Unica Iron and Steel (Pty) Ltd and </w:t>
      </w:r>
      <w:r>
        <w:rPr>
          <w:rFonts w:ascii="Arial" w:hAnsi="Arial" w:cs="Arial"/>
          <w:i/>
          <w:iCs/>
        </w:rPr>
        <w:t>a</w:t>
      </w:r>
      <w:r w:rsidRPr="00BB3999">
        <w:rPr>
          <w:rFonts w:ascii="Arial" w:hAnsi="Arial" w:cs="Arial"/>
          <w:i/>
          <w:iCs/>
        </w:rPr>
        <w:t xml:space="preserve">nother v Mirchandani </w:t>
      </w:r>
      <w:r w:rsidRPr="00BB3999">
        <w:rPr>
          <w:rFonts w:ascii="Arial" w:hAnsi="Arial" w:cs="Arial"/>
        </w:rPr>
        <w:t>2016 (2) SA 307 (SCA) [21]</w:t>
      </w:r>
    </w:p>
  </w:footnote>
  <w:footnote w:id="12">
    <w:p w14:paraId="7C6BE682" w14:textId="77777777" w:rsidR="00251F52" w:rsidRPr="00BB3999" w:rsidRDefault="00251F52" w:rsidP="00251F52">
      <w:pPr>
        <w:pStyle w:val="FootnoteText"/>
        <w:spacing w:before="120"/>
        <w:ind w:left="709" w:hanging="709"/>
        <w:jc w:val="both"/>
        <w:rPr>
          <w:rFonts w:ascii="Arial" w:hAnsi="Arial" w:cs="Arial"/>
        </w:rPr>
      </w:pPr>
      <w:r w:rsidRPr="00BB3999">
        <w:rPr>
          <w:rStyle w:val="FootnoteReference"/>
          <w:rFonts w:ascii="Arial" w:hAnsi="Arial" w:cs="Arial"/>
        </w:rPr>
        <w:footnoteRef/>
      </w:r>
      <w:r w:rsidRPr="00BB3999">
        <w:rPr>
          <w:rFonts w:ascii="Arial" w:hAnsi="Arial" w:cs="Arial"/>
        </w:rPr>
        <w:t xml:space="preserve"> </w:t>
      </w:r>
      <w:r>
        <w:rPr>
          <w:rFonts w:ascii="Arial" w:hAnsi="Arial" w:cs="Arial"/>
        </w:rPr>
        <w:tab/>
      </w:r>
      <w:r w:rsidRPr="00BB3999">
        <w:rPr>
          <w:rFonts w:ascii="Arial" w:hAnsi="Arial" w:cs="Arial"/>
          <w:i/>
          <w:iCs/>
        </w:rPr>
        <w:t xml:space="preserve">Urban Hip Hotels (Pty) Ltd v K Carrim Commercial Properties (Pty) Ltd </w:t>
      </w:r>
      <w:r w:rsidRPr="00BB3999">
        <w:rPr>
          <w:rFonts w:ascii="Arial" w:hAnsi="Arial" w:cs="Arial"/>
        </w:rPr>
        <w:t>[2016] ZASCA 173 [21]</w:t>
      </w:r>
    </w:p>
  </w:footnote>
  <w:footnote w:id="13">
    <w:p w14:paraId="527703BC" w14:textId="77777777" w:rsidR="00251F52" w:rsidRPr="00BB3999" w:rsidRDefault="00251F52" w:rsidP="00251F52">
      <w:pPr>
        <w:pStyle w:val="FootnoteText"/>
        <w:spacing w:before="120"/>
        <w:ind w:left="709" w:hanging="709"/>
        <w:jc w:val="both"/>
        <w:rPr>
          <w:rFonts w:ascii="Arial" w:hAnsi="Arial" w:cs="Arial"/>
        </w:rPr>
      </w:pPr>
      <w:r w:rsidRPr="00BB3999">
        <w:rPr>
          <w:rStyle w:val="FootnoteReference"/>
          <w:rFonts w:ascii="Arial" w:hAnsi="Arial" w:cs="Arial"/>
        </w:rPr>
        <w:footnoteRef/>
      </w:r>
      <w:r w:rsidRPr="00BB3999">
        <w:rPr>
          <w:rFonts w:ascii="Arial" w:hAnsi="Arial" w:cs="Arial"/>
        </w:rPr>
        <w:t xml:space="preserve"> </w:t>
      </w:r>
      <w:r>
        <w:rPr>
          <w:rFonts w:ascii="Arial" w:hAnsi="Arial" w:cs="Arial"/>
        </w:rPr>
        <w:tab/>
      </w:r>
      <w:r w:rsidRPr="00BB3999">
        <w:rPr>
          <w:rFonts w:ascii="Arial" w:hAnsi="Arial" w:cs="Arial"/>
          <w:i/>
          <w:iCs/>
        </w:rPr>
        <w:t xml:space="preserve">Comwezi Security Services (Pty) Ltd and </w:t>
      </w:r>
      <w:r>
        <w:rPr>
          <w:rFonts w:ascii="Arial" w:hAnsi="Arial" w:cs="Arial"/>
          <w:i/>
          <w:iCs/>
        </w:rPr>
        <w:t>a</w:t>
      </w:r>
      <w:r w:rsidRPr="00BB3999">
        <w:rPr>
          <w:rFonts w:ascii="Arial" w:hAnsi="Arial" w:cs="Arial"/>
          <w:i/>
          <w:iCs/>
        </w:rPr>
        <w:t xml:space="preserve">nother v Cape Empowerment Trust Ltd </w:t>
      </w:r>
      <w:r w:rsidRPr="00BB3999">
        <w:rPr>
          <w:rFonts w:ascii="Arial" w:hAnsi="Arial" w:cs="Arial"/>
        </w:rPr>
        <w:t>[2012] ZASCA 126 [15]</w:t>
      </w:r>
    </w:p>
  </w:footnote>
  <w:footnote w:id="14">
    <w:p w14:paraId="3AD71C8A" w14:textId="77777777" w:rsidR="00251F52" w:rsidRPr="00BB3999" w:rsidRDefault="00251F52" w:rsidP="00251F52">
      <w:pPr>
        <w:pStyle w:val="FootnoteText"/>
        <w:spacing w:before="120"/>
        <w:ind w:left="709" w:hanging="709"/>
        <w:jc w:val="both"/>
        <w:rPr>
          <w:rFonts w:ascii="Arial" w:hAnsi="Arial" w:cs="Arial"/>
        </w:rPr>
      </w:pPr>
      <w:r w:rsidRPr="00BB3999">
        <w:rPr>
          <w:rStyle w:val="FootnoteReference"/>
          <w:rFonts w:ascii="Arial" w:hAnsi="Arial" w:cs="Arial"/>
        </w:rPr>
        <w:footnoteRef/>
      </w:r>
      <w:r w:rsidRPr="00BB3999">
        <w:rPr>
          <w:rFonts w:ascii="Arial" w:hAnsi="Arial" w:cs="Arial"/>
        </w:rPr>
        <w:t xml:space="preserve"> </w:t>
      </w:r>
      <w:r>
        <w:rPr>
          <w:rFonts w:ascii="Arial" w:hAnsi="Arial" w:cs="Arial"/>
        </w:rPr>
        <w:tab/>
      </w:r>
      <w:r w:rsidRPr="00BB3999">
        <w:rPr>
          <w:rFonts w:ascii="Arial" w:hAnsi="Arial" w:cs="Arial"/>
          <w:i/>
          <w:iCs/>
        </w:rPr>
        <w:t xml:space="preserve">Capitec Bank Holdings Ltd and </w:t>
      </w:r>
      <w:r>
        <w:rPr>
          <w:rFonts w:ascii="Arial" w:hAnsi="Arial" w:cs="Arial"/>
          <w:i/>
          <w:iCs/>
        </w:rPr>
        <w:t>a</w:t>
      </w:r>
      <w:r w:rsidRPr="00BB3999">
        <w:rPr>
          <w:rFonts w:ascii="Arial" w:hAnsi="Arial" w:cs="Arial"/>
          <w:i/>
          <w:iCs/>
        </w:rPr>
        <w:t xml:space="preserve">nother v Coral Lagoon Investments 194 (Pty) Ltd and </w:t>
      </w:r>
      <w:r>
        <w:rPr>
          <w:rFonts w:ascii="Arial" w:hAnsi="Arial" w:cs="Arial"/>
          <w:i/>
          <w:iCs/>
        </w:rPr>
        <w:t>o</w:t>
      </w:r>
      <w:r w:rsidRPr="00BB3999">
        <w:rPr>
          <w:rFonts w:ascii="Arial" w:hAnsi="Arial" w:cs="Arial"/>
          <w:i/>
          <w:iCs/>
        </w:rPr>
        <w:t xml:space="preserve">thers </w:t>
      </w:r>
      <w:r w:rsidRPr="00BB3999">
        <w:rPr>
          <w:rFonts w:ascii="Arial" w:hAnsi="Arial" w:cs="Arial"/>
        </w:rPr>
        <w:t>2022 (1) SA 100 (SCA) [48]</w:t>
      </w:r>
    </w:p>
  </w:footnote>
  <w:footnote w:id="15">
    <w:p w14:paraId="696E9A6B" w14:textId="77777777" w:rsidR="00251F52" w:rsidRPr="00BB3999" w:rsidRDefault="00251F52" w:rsidP="00251F52">
      <w:pPr>
        <w:pStyle w:val="FootnoteText"/>
        <w:spacing w:before="120"/>
        <w:ind w:left="709" w:hanging="709"/>
        <w:jc w:val="both"/>
        <w:rPr>
          <w:rFonts w:ascii="Arial" w:hAnsi="Arial" w:cs="Arial"/>
        </w:rPr>
      </w:pPr>
      <w:r w:rsidRPr="00BB3999">
        <w:rPr>
          <w:rStyle w:val="FootnoteReference"/>
          <w:rFonts w:ascii="Arial" w:hAnsi="Arial" w:cs="Arial"/>
        </w:rPr>
        <w:footnoteRef/>
      </w:r>
      <w:r w:rsidRPr="00BB3999">
        <w:rPr>
          <w:rFonts w:ascii="Arial" w:hAnsi="Arial" w:cs="Arial"/>
        </w:rPr>
        <w:t xml:space="preserve"> </w:t>
      </w:r>
      <w:r>
        <w:rPr>
          <w:rFonts w:ascii="Arial" w:hAnsi="Arial" w:cs="Arial"/>
        </w:rPr>
        <w:tab/>
      </w:r>
      <w:r w:rsidRPr="00BB3999">
        <w:rPr>
          <w:rFonts w:ascii="Arial" w:hAnsi="Arial" w:cs="Arial"/>
          <w:i/>
          <w:iCs/>
        </w:rPr>
        <w:t xml:space="preserve">KPMG Chartered Accountants (SA) v Securefin Ltd and </w:t>
      </w:r>
      <w:r>
        <w:rPr>
          <w:rFonts w:ascii="Arial" w:hAnsi="Arial" w:cs="Arial"/>
          <w:i/>
          <w:iCs/>
        </w:rPr>
        <w:t>a</w:t>
      </w:r>
      <w:r w:rsidRPr="00BB3999">
        <w:rPr>
          <w:rFonts w:ascii="Arial" w:hAnsi="Arial" w:cs="Arial"/>
          <w:i/>
          <w:iCs/>
        </w:rPr>
        <w:t xml:space="preserve">nother </w:t>
      </w:r>
      <w:r w:rsidRPr="00BB3999">
        <w:rPr>
          <w:rFonts w:ascii="Arial" w:hAnsi="Arial" w:cs="Arial"/>
        </w:rPr>
        <w:t>2009 (4) SA 399 (SCA) [39]</w:t>
      </w:r>
    </w:p>
  </w:footnote>
  <w:footnote w:id="16">
    <w:p w14:paraId="5326F53A" w14:textId="77777777" w:rsidR="00251F52" w:rsidRPr="009568FE" w:rsidRDefault="00251F52" w:rsidP="00251F52">
      <w:pPr>
        <w:pStyle w:val="FootnoteText"/>
        <w:tabs>
          <w:tab w:val="left" w:pos="709"/>
        </w:tabs>
        <w:spacing w:before="120"/>
        <w:ind w:left="709" w:hanging="709"/>
        <w:jc w:val="both"/>
        <w:rPr>
          <w:rFonts w:ascii="Arial" w:hAnsi="Arial" w:cs="Arial"/>
          <w:lang w:val="en-ZA"/>
        </w:rPr>
      </w:pPr>
      <w:r w:rsidRPr="009568FE">
        <w:rPr>
          <w:rStyle w:val="FootnoteReference"/>
          <w:rFonts w:ascii="Arial" w:hAnsi="Arial" w:cs="Arial"/>
        </w:rPr>
        <w:footnoteRef/>
      </w:r>
      <w:r w:rsidRPr="009568FE">
        <w:rPr>
          <w:rFonts w:ascii="Arial" w:hAnsi="Arial" w:cs="Arial"/>
        </w:rPr>
        <w:t xml:space="preserve"> </w:t>
      </w:r>
      <w:r w:rsidRPr="009568FE">
        <w:rPr>
          <w:rFonts w:ascii="Arial" w:hAnsi="Arial" w:cs="Arial"/>
        </w:rPr>
        <w:tab/>
      </w:r>
      <w:r w:rsidRPr="009568FE">
        <w:rPr>
          <w:rFonts w:ascii="Arial" w:hAnsi="Arial" w:cs="Arial"/>
          <w:i/>
          <w:iCs/>
        </w:rPr>
        <w:t>Law Society, Northern Provinces v Mogami and others</w:t>
      </w:r>
      <w:r w:rsidRPr="009568FE">
        <w:rPr>
          <w:rFonts w:ascii="Arial" w:hAnsi="Arial" w:cs="Arial"/>
        </w:rPr>
        <w:t xml:space="preserve"> 2010 (1) SA 186 (SCA) [23]: “</w:t>
      </w:r>
      <w:r>
        <w:rPr>
          <w:rFonts w:ascii="Arial" w:hAnsi="Arial" w:cs="Arial"/>
          <w:i/>
        </w:rPr>
        <w:t>[a]</w:t>
      </w:r>
      <w:r w:rsidRPr="009568FE">
        <w:rPr>
          <w:rFonts w:ascii="Arial" w:hAnsi="Arial" w:cs="Arial"/>
          <w:i/>
        </w:rPr>
        <w:t xml:space="preserve">n application for the hearing of oral evidence must, as a rule, be made </w:t>
      </w:r>
      <w:r w:rsidRPr="009568FE">
        <w:rPr>
          <w:rFonts w:ascii="Arial" w:hAnsi="Arial" w:cs="Arial"/>
          <w:i/>
          <w:u w:val="single"/>
        </w:rPr>
        <w:t>in limine</w:t>
      </w:r>
      <w:r w:rsidRPr="009568FE">
        <w:rPr>
          <w:rFonts w:ascii="Arial" w:hAnsi="Arial" w:cs="Arial"/>
          <w:i/>
        </w:rPr>
        <w:t xml:space="preserve"> and not once it becomes clear that the applicant is failing to convince the court on the papers or on appeal. The circumstances must be exceptional before a court will permit an applicant to apply in the alternative for the matter to be referred to evidence should the main argument fail …</w:t>
      </w:r>
      <w:r w:rsidRPr="009568FE">
        <w:rPr>
          <w:rFonts w:ascii="Arial" w:hAnsi="Arial" w:cs="Arial"/>
        </w:rPr>
        <w:t xml:space="preserve">”; </w:t>
      </w:r>
      <w:r w:rsidRPr="009568FE">
        <w:rPr>
          <w:rFonts w:ascii="Arial" w:hAnsi="Arial" w:cs="Arial"/>
          <w:i/>
          <w:iCs/>
        </w:rPr>
        <w:t>ABSA Bank Ltd v Molotsi</w:t>
      </w:r>
      <w:r w:rsidRPr="009568FE">
        <w:rPr>
          <w:rFonts w:ascii="Arial" w:hAnsi="Arial" w:cs="Arial"/>
        </w:rPr>
        <w:t xml:space="preserve"> [2016] ZAGPJHC 36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E28FDB"/>
    <w:multiLevelType w:val="hybridMultilevel"/>
    <w:tmpl w:val="1939B3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1500C"/>
    <w:multiLevelType w:val="multilevel"/>
    <w:tmpl w:val="FE187EC4"/>
    <w:lvl w:ilvl="0">
      <w:start w:val="1"/>
      <w:numFmt w:val="decimal"/>
      <w:lvlText w:val="%1"/>
      <w:lvlJc w:val="left"/>
      <w:pPr>
        <w:ind w:left="360" w:hanging="360"/>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B44FBB"/>
    <w:multiLevelType w:val="hybridMultilevel"/>
    <w:tmpl w:val="14BCCD5A"/>
    <w:lvl w:ilvl="0" w:tplc="83D28E36">
      <w:numFmt w:val="bullet"/>
      <w:lvlText w:val=""/>
      <w:lvlJc w:val="left"/>
      <w:pPr>
        <w:ind w:left="1800" w:hanging="360"/>
      </w:pPr>
      <w:rPr>
        <w:rFonts w:ascii="Symbol" w:eastAsia="SimSu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14518E"/>
    <w:multiLevelType w:val="hybridMultilevel"/>
    <w:tmpl w:val="EFC604A2"/>
    <w:lvl w:ilvl="0" w:tplc="29945BD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3267628"/>
    <w:multiLevelType w:val="multilevel"/>
    <w:tmpl w:val="611E3AB0"/>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3C14D2"/>
    <w:multiLevelType w:val="multilevel"/>
    <w:tmpl w:val="1CCAD94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354CBA"/>
    <w:multiLevelType w:val="hybridMultilevel"/>
    <w:tmpl w:val="5E6238D8"/>
    <w:lvl w:ilvl="0" w:tplc="1C090015">
      <w:start w:val="1"/>
      <w:numFmt w:val="upperLetter"/>
      <w:lvlText w:val="%1."/>
      <w:lvlJc w:val="left"/>
      <w:pPr>
        <w:ind w:left="709" w:hanging="360"/>
      </w:p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7">
    <w:nsid w:val="0936204A"/>
    <w:multiLevelType w:val="multilevel"/>
    <w:tmpl w:val="CF56B5C0"/>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9">
    <w:nsid w:val="0F58434B"/>
    <w:multiLevelType w:val="hybridMultilevel"/>
    <w:tmpl w:val="A0CA10DC"/>
    <w:lvl w:ilvl="0" w:tplc="1C09000F">
      <w:start w:val="1"/>
      <w:numFmt w:val="decimal"/>
      <w:lvlText w:val="%1."/>
      <w:lvlJc w:val="left"/>
      <w:pPr>
        <w:tabs>
          <w:tab w:val="num" w:pos="720"/>
        </w:tabs>
        <w:ind w:left="720" w:hanging="360"/>
      </w:p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0">
    <w:nsid w:val="104B3794"/>
    <w:multiLevelType w:val="multilevel"/>
    <w:tmpl w:val="09CE93A2"/>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01CF9E"/>
    <w:multiLevelType w:val="hybridMultilevel"/>
    <w:tmpl w:val="4CA9A2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247441"/>
    <w:multiLevelType w:val="multilevel"/>
    <w:tmpl w:val="796EECC2"/>
    <w:lvl w:ilvl="0">
      <w:start w:val="1"/>
      <w:numFmt w:val="decimal"/>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B5D62CC"/>
    <w:multiLevelType w:val="multilevel"/>
    <w:tmpl w:val="A3789DC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814"/>
        </w:tabs>
        <w:ind w:left="1814" w:hanging="1077"/>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5188"/>
        </w:tabs>
        <w:ind w:left="5188" w:hanging="1440"/>
      </w:pPr>
      <w:rPr>
        <w:rFonts w:hint="default"/>
      </w:rPr>
    </w:lvl>
    <w:lvl w:ilvl="5">
      <w:start w:val="1"/>
      <w:numFmt w:val="decimal"/>
      <w:lvlText w:val="%1.%2.%3.%4.%5.%6"/>
      <w:lvlJc w:val="left"/>
      <w:pPr>
        <w:tabs>
          <w:tab w:val="num" w:pos="6485"/>
        </w:tabs>
        <w:ind w:left="6485" w:hanging="1800"/>
      </w:pPr>
      <w:rPr>
        <w:rFonts w:hint="default"/>
      </w:rPr>
    </w:lvl>
    <w:lvl w:ilvl="6">
      <w:start w:val="1"/>
      <w:numFmt w:val="decimal"/>
      <w:lvlText w:val="%1.%2.%3.%4.%5.%6.%7"/>
      <w:lvlJc w:val="left"/>
      <w:pPr>
        <w:tabs>
          <w:tab w:val="num" w:pos="7422"/>
        </w:tabs>
        <w:ind w:left="7422" w:hanging="1800"/>
      </w:pPr>
      <w:rPr>
        <w:rFonts w:hint="default"/>
      </w:rPr>
    </w:lvl>
    <w:lvl w:ilvl="7">
      <w:start w:val="1"/>
      <w:numFmt w:val="decimal"/>
      <w:lvlText w:val="%1.%2.%3.%4.%5.%6.%7.%8"/>
      <w:lvlJc w:val="left"/>
      <w:pPr>
        <w:tabs>
          <w:tab w:val="num" w:pos="8719"/>
        </w:tabs>
        <w:ind w:left="8719" w:hanging="2160"/>
      </w:pPr>
      <w:rPr>
        <w:rFonts w:hint="default"/>
      </w:rPr>
    </w:lvl>
    <w:lvl w:ilvl="8">
      <w:start w:val="1"/>
      <w:numFmt w:val="decimal"/>
      <w:lvlText w:val="%1.%2.%3.%4.%5.%6.%7.%8.%9"/>
      <w:lvlJc w:val="left"/>
      <w:pPr>
        <w:tabs>
          <w:tab w:val="num" w:pos="10016"/>
        </w:tabs>
        <w:ind w:left="10016" w:hanging="2520"/>
      </w:pPr>
      <w:rPr>
        <w:rFonts w:hint="default"/>
      </w:rPr>
    </w:lvl>
  </w:abstractNum>
  <w:abstractNum w:abstractNumId="14">
    <w:nsid w:val="1C896BE7"/>
    <w:multiLevelType w:val="hybridMultilevel"/>
    <w:tmpl w:val="76E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E80195"/>
    <w:multiLevelType w:val="multilevel"/>
    <w:tmpl w:val="D68C3E28"/>
    <w:lvl w:ilvl="0">
      <w:start w:val="1"/>
      <w:numFmt w:val="decimal"/>
      <w:pStyle w:val="BLLevel1HeadingAltQ"/>
      <w:lvlText w:val="%1."/>
      <w:lvlJc w:val="left"/>
      <w:pPr>
        <w:tabs>
          <w:tab w:val="num" w:pos="567"/>
        </w:tabs>
        <w:ind w:left="567" w:hanging="567"/>
      </w:pPr>
      <w:rPr>
        <w:rFonts w:hint="default"/>
        <w:b w:val="0"/>
        <w:i w:val="0"/>
        <w:sz w:val="18"/>
      </w:rPr>
    </w:lvl>
    <w:lvl w:ilvl="1">
      <w:start w:val="1"/>
      <w:numFmt w:val="decimal"/>
      <w:pStyle w:val="BLLevel2ListAlt"/>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LLevel3ListAlt"/>
      <w:lvlText w:val="%1.%2.%3"/>
      <w:lvlJc w:val="left"/>
      <w:pPr>
        <w:tabs>
          <w:tab w:val="num" w:pos="1134"/>
        </w:tabs>
        <w:ind w:left="1134" w:hanging="113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LLevel4ListAlt"/>
      <w:lvlText w:val="%1.%2.%3.%4"/>
      <w:lvlJc w:val="left"/>
      <w:pPr>
        <w:tabs>
          <w:tab w:val="num" w:pos="1418"/>
        </w:tabs>
        <w:ind w:left="1418" w:hanging="1418"/>
      </w:pPr>
      <w:rPr>
        <w:rFonts w:hint="default"/>
        <w:b w:val="0"/>
        <w:i w:val="0"/>
        <w:sz w:val="18"/>
      </w:rPr>
    </w:lvl>
    <w:lvl w:ilvl="4">
      <w:start w:val="1"/>
      <w:numFmt w:val="decimal"/>
      <w:pStyle w:val="BLLevel5ListAlt"/>
      <w:lvlText w:val="%1.%2.%3.%4.%5"/>
      <w:lvlJc w:val="left"/>
      <w:pPr>
        <w:tabs>
          <w:tab w:val="num" w:pos="1701"/>
        </w:tabs>
        <w:ind w:left="1701" w:hanging="1701"/>
      </w:pPr>
      <w:rPr>
        <w:rFonts w:hint="default"/>
        <w:b w:val="0"/>
        <w:i w:val="0"/>
        <w:sz w:val="18"/>
      </w:rPr>
    </w:lvl>
    <w:lvl w:ilvl="5">
      <w:start w:val="1"/>
      <w:numFmt w:val="decimal"/>
      <w:pStyle w:val="BLLevel6ListAlt"/>
      <w:lvlText w:val="%1.%2.%3.%4.%5.%6"/>
      <w:lvlJc w:val="left"/>
      <w:pPr>
        <w:tabs>
          <w:tab w:val="num" w:pos="1985"/>
        </w:tabs>
        <w:ind w:left="1985" w:hanging="1985"/>
      </w:pPr>
      <w:rPr>
        <w:rFonts w:hint="default"/>
        <w:b w:val="0"/>
        <w:i w:val="0"/>
        <w:sz w:val="18"/>
      </w:rPr>
    </w:lvl>
    <w:lvl w:ilvl="6">
      <w:start w:val="1"/>
      <w:numFmt w:val="decimal"/>
      <w:pStyle w:val="BLLevel7ListAltM"/>
      <w:lvlText w:val="%1.%2.%3.%4.%5.%6.%7"/>
      <w:lvlJc w:val="left"/>
      <w:pPr>
        <w:tabs>
          <w:tab w:val="num" w:pos="2268"/>
        </w:tabs>
        <w:ind w:left="2268" w:hanging="226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F405F02"/>
    <w:multiLevelType w:val="hybridMultilevel"/>
    <w:tmpl w:val="A89CF7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7DF2E7B"/>
    <w:multiLevelType w:val="multilevel"/>
    <w:tmpl w:val="DCFAE0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9DE2D21"/>
    <w:multiLevelType w:val="multilevel"/>
    <w:tmpl w:val="C85E4948"/>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165F8E"/>
    <w:multiLevelType w:val="multilevel"/>
    <w:tmpl w:val="C6449C2A"/>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215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E73B1C"/>
    <w:multiLevelType w:val="hybridMultilevel"/>
    <w:tmpl w:val="A54E3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03C96"/>
    <w:multiLevelType w:val="multilevel"/>
    <w:tmpl w:val="1A56B566"/>
    <w:lvl w:ilvl="0">
      <w:start w:val="1"/>
      <w:numFmt w:val="upperLetter"/>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A6362"/>
    <w:multiLevelType w:val="hybridMultilevel"/>
    <w:tmpl w:val="A08CC74A"/>
    <w:lvl w:ilvl="0" w:tplc="F2FC6E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00A2A70"/>
    <w:multiLevelType w:val="multilevel"/>
    <w:tmpl w:val="8D30EAB4"/>
    <w:lvl w:ilvl="0">
      <w:start w:val="1"/>
      <w:numFmt w:val="upperLetter"/>
      <w:lvlText w:val="%1."/>
      <w:lvlJc w:val="left"/>
      <w:pPr>
        <w:ind w:left="709" w:hanging="709"/>
      </w:pPr>
      <w:rPr>
        <w:rFonts w:hint="default"/>
        <w:b w:val="0"/>
        <w:bCs/>
        <w:i w:val="0"/>
        <w:iCs/>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27">
    <w:nsid w:val="64A61304"/>
    <w:multiLevelType w:val="multilevel"/>
    <w:tmpl w:val="5336B056"/>
    <w:lvl w:ilvl="0">
      <w:start w:val="1"/>
      <w:numFmt w:val="decimal"/>
      <w:pStyle w:val="WLGLevel1"/>
      <w:lvlText w:val="%1"/>
      <w:lvlJc w:val="left"/>
      <w:pPr>
        <w:tabs>
          <w:tab w:val="num" w:pos="567"/>
        </w:tabs>
        <w:ind w:left="567" w:hanging="567"/>
      </w:pPr>
    </w:lvl>
    <w:lvl w:ilvl="1">
      <w:start w:val="1"/>
      <w:numFmt w:val="decimal"/>
      <w:pStyle w:val="WLGLevel2"/>
      <w:lvlText w:val="%1.%2"/>
      <w:lvlJc w:val="left"/>
      <w:pPr>
        <w:tabs>
          <w:tab w:val="num" w:pos="1361"/>
        </w:tabs>
        <w:ind w:left="1361" w:hanging="794"/>
      </w:pPr>
    </w:lvl>
    <w:lvl w:ilvl="2">
      <w:start w:val="1"/>
      <w:numFmt w:val="decimal"/>
      <w:pStyle w:val="WLGLevel3"/>
      <w:lvlText w:val="%1.%2.%3"/>
      <w:lvlJc w:val="left"/>
      <w:pPr>
        <w:tabs>
          <w:tab w:val="num" w:pos="2381"/>
        </w:tabs>
        <w:ind w:left="2381" w:hanging="1020"/>
      </w:pPr>
    </w:lvl>
    <w:lvl w:ilvl="3">
      <w:start w:val="1"/>
      <w:numFmt w:val="decimal"/>
      <w:pStyle w:val="WLGLevel4"/>
      <w:lvlText w:val="%1.%2.%3.%4"/>
      <w:lvlJc w:val="left"/>
      <w:pPr>
        <w:tabs>
          <w:tab w:val="num" w:pos="3969"/>
        </w:tabs>
        <w:ind w:left="3969" w:hanging="1276"/>
      </w:pPr>
    </w:lvl>
    <w:lvl w:ilvl="4">
      <w:start w:val="1"/>
      <w:numFmt w:val="decimal"/>
      <w:pStyle w:val="WLGLevel5"/>
      <w:lvlText w:val="%1.%2.%3.%4.%5"/>
      <w:lvlJc w:val="left"/>
      <w:pPr>
        <w:tabs>
          <w:tab w:val="num" w:pos="4933"/>
        </w:tabs>
        <w:ind w:left="4933" w:hanging="1361"/>
      </w:pPr>
    </w:lvl>
    <w:lvl w:ilvl="5">
      <w:start w:val="1"/>
      <w:numFmt w:val="decimal"/>
      <w:lvlText w:val="%1.%2.%3.%4.%5.%6"/>
      <w:lvlJc w:val="left"/>
      <w:pPr>
        <w:tabs>
          <w:tab w:val="num" w:pos="3629"/>
        </w:tabs>
        <w:ind w:left="3629" w:hanging="3062"/>
      </w:pPr>
    </w:lvl>
    <w:lvl w:ilvl="6">
      <w:start w:val="1"/>
      <w:numFmt w:val="decimal"/>
      <w:lvlText w:val="%1.%2.%3.%4.%5.%6.%7"/>
      <w:lvlJc w:val="left"/>
      <w:pPr>
        <w:tabs>
          <w:tab w:val="num" w:pos="4139"/>
        </w:tabs>
        <w:ind w:left="4139" w:hanging="3572"/>
      </w:pPr>
    </w:lvl>
    <w:lvl w:ilvl="7">
      <w:start w:val="1"/>
      <w:numFmt w:val="decimal"/>
      <w:lvlText w:val="%1.%2.%3.%4.%5.%6.%7.%8"/>
      <w:lvlJc w:val="left"/>
      <w:pPr>
        <w:tabs>
          <w:tab w:val="num" w:pos="4649"/>
        </w:tabs>
        <w:ind w:left="4649" w:hanging="4082"/>
      </w:pPr>
    </w:lvl>
    <w:lvl w:ilvl="8">
      <w:start w:val="1"/>
      <w:numFmt w:val="decimal"/>
      <w:lvlText w:val="%1.%2.%3.%4.%5.%6.%7.%8.%9"/>
      <w:lvlJc w:val="left"/>
      <w:pPr>
        <w:tabs>
          <w:tab w:val="num" w:pos="5160"/>
        </w:tabs>
        <w:ind w:left="5160" w:hanging="4593"/>
      </w:pPr>
    </w:lvl>
  </w:abstractNum>
  <w:abstractNum w:abstractNumId="28">
    <w:nsid w:val="67FB54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BB6039C"/>
    <w:multiLevelType w:val="multilevel"/>
    <w:tmpl w:val="75CC7AAE"/>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BD6805"/>
    <w:multiLevelType w:val="multilevel"/>
    <w:tmpl w:val="DFFC8078"/>
    <w:lvl w:ilvl="0">
      <w:start w:val="1"/>
      <w:numFmt w:val="decimal"/>
      <w:lvlText w:val="%1."/>
      <w:lvlJc w:val="left"/>
      <w:pPr>
        <w:ind w:left="709" w:hanging="709"/>
      </w:pPr>
      <w:rPr>
        <w:rFonts w:hint="default"/>
      </w:rPr>
    </w:lvl>
    <w:lvl w:ilvl="1">
      <w:start w:val="1"/>
      <w:numFmt w:val="decimal"/>
      <w:lvlText w:val="%1.%2."/>
      <w:lvlJc w:val="left"/>
      <w:pPr>
        <w:tabs>
          <w:tab w:val="num" w:pos="1418"/>
        </w:tabs>
        <w:ind w:left="1418" w:hanging="709"/>
      </w:pPr>
      <w:rPr>
        <w:rFonts w:hint="default"/>
        <w:b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6"/>
  </w:num>
  <w:num w:numId="8">
    <w:abstractNumId w:val="6"/>
  </w:num>
  <w:num w:numId="9">
    <w:abstractNumId w:val="25"/>
  </w:num>
  <w:num w:numId="10">
    <w:abstractNumId w:val="18"/>
  </w:num>
  <w:num w:numId="11">
    <w:abstractNumId w:val="23"/>
  </w:num>
  <w:num w:numId="12">
    <w:abstractNumId w:val="9"/>
  </w:num>
  <w:num w:numId="13">
    <w:abstractNumId w:val="13"/>
  </w:num>
  <w:num w:numId="14">
    <w:abstractNumId w:val="17"/>
  </w:num>
  <w:num w:numId="15">
    <w:abstractNumId w:val="1"/>
  </w:num>
  <w:num w:numId="16">
    <w:abstractNumId w:val="2"/>
  </w:num>
  <w:num w:numId="17">
    <w:abstractNumId w:val="24"/>
  </w:num>
  <w:num w:numId="18">
    <w:abstractNumId w:val="20"/>
  </w:num>
  <w:num w:numId="19">
    <w:abstractNumId w:val="10"/>
  </w:num>
  <w:num w:numId="20">
    <w:abstractNumId w:val="3"/>
  </w:num>
  <w:num w:numId="21">
    <w:abstractNumId w:val="28"/>
  </w:num>
  <w:num w:numId="22">
    <w:abstractNumId w:val="15"/>
  </w:num>
  <w:num w:numId="23">
    <w:abstractNumId w:val="4"/>
  </w:num>
  <w:num w:numId="24">
    <w:abstractNumId w:val="0"/>
  </w:num>
  <w:num w:numId="25">
    <w:abstractNumId w:val="11"/>
  </w:num>
  <w:num w:numId="26">
    <w:abstractNumId w:val="30"/>
  </w:num>
  <w:num w:numId="27">
    <w:abstractNumId w:val="19"/>
  </w:num>
  <w:num w:numId="28">
    <w:abstractNumId w:val="29"/>
  </w:num>
  <w:num w:numId="29">
    <w:abstractNumId w:val="7"/>
  </w:num>
  <w:num w:numId="30">
    <w:abstractNumId w:val="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6A"/>
    <w:rsid w:val="00004393"/>
    <w:rsid w:val="00007A76"/>
    <w:rsid w:val="00017505"/>
    <w:rsid w:val="00020F97"/>
    <w:rsid w:val="00035457"/>
    <w:rsid w:val="0005307F"/>
    <w:rsid w:val="00054BDA"/>
    <w:rsid w:val="00064BD7"/>
    <w:rsid w:val="00091A7E"/>
    <w:rsid w:val="000A42FE"/>
    <w:rsid w:val="000A7616"/>
    <w:rsid w:val="000B74FB"/>
    <w:rsid w:val="000C217C"/>
    <w:rsid w:val="000C5D99"/>
    <w:rsid w:val="000D3CCC"/>
    <w:rsid w:val="000F057B"/>
    <w:rsid w:val="000F6F51"/>
    <w:rsid w:val="001465B2"/>
    <w:rsid w:val="00155768"/>
    <w:rsid w:val="001620A8"/>
    <w:rsid w:val="001A108E"/>
    <w:rsid w:val="001B4752"/>
    <w:rsid w:val="001B47A2"/>
    <w:rsid w:val="001B61CE"/>
    <w:rsid w:val="001F3E0E"/>
    <w:rsid w:val="00206124"/>
    <w:rsid w:val="00234CEB"/>
    <w:rsid w:val="00246821"/>
    <w:rsid w:val="00251F52"/>
    <w:rsid w:val="00252BFB"/>
    <w:rsid w:val="00255903"/>
    <w:rsid w:val="00262AD2"/>
    <w:rsid w:val="00281E22"/>
    <w:rsid w:val="002832E5"/>
    <w:rsid w:val="00294CEB"/>
    <w:rsid w:val="002A7A23"/>
    <w:rsid w:val="002B0678"/>
    <w:rsid w:val="002B53F7"/>
    <w:rsid w:val="002C685F"/>
    <w:rsid w:val="002E74BD"/>
    <w:rsid w:val="0030248F"/>
    <w:rsid w:val="00304974"/>
    <w:rsid w:val="00312458"/>
    <w:rsid w:val="00352375"/>
    <w:rsid w:val="00356C24"/>
    <w:rsid w:val="00361FB0"/>
    <w:rsid w:val="0039017E"/>
    <w:rsid w:val="00395F9A"/>
    <w:rsid w:val="0039782A"/>
    <w:rsid w:val="003A28A3"/>
    <w:rsid w:val="003A4B41"/>
    <w:rsid w:val="003B69D3"/>
    <w:rsid w:val="003C41EF"/>
    <w:rsid w:val="003D6089"/>
    <w:rsid w:val="003E7279"/>
    <w:rsid w:val="003F186C"/>
    <w:rsid w:val="004253BC"/>
    <w:rsid w:val="00452C45"/>
    <w:rsid w:val="00456EEA"/>
    <w:rsid w:val="004614C8"/>
    <w:rsid w:val="0046184A"/>
    <w:rsid w:val="00464608"/>
    <w:rsid w:val="004705BF"/>
    <w:rsid w:val="00471AC6"/>
    <w:rsid w:val="0048436A"/>
    <w:rsid w:val="004871CA"/>
    <w:rsid w:val="004876CA"/>
    <w:rsid w:val="00494414"/>
    <w:rsid w:val="004A4B95"/>
    <w:rsid w:val="004D3E86"/>
    <w:rsid w:val="004D4164"/>
    <w:rsid w:val="004F0429"/>
    <w:rsid w:val="004F7784"/>
    <w:rsid w:val="005165B5"/>
    <w:rsid w:val="00521639"/>
    <w:rsid w:val="0052624C"/>
    <w:rsid w:val="005305F0"/>
    <w:rsid w:val="00534299"/>
    <w:rsid w:val="00541527"/>
    <w:rsid w:val="005427F3"/>
    <w:rsid w:val="005505B1"/>
    <w:rsid w:val="00557B83"/>
    <w:rsid w:val="005738FB"/>
    <w:rsid w:val="005B5D82"/>
    <w:rsid w:val="005B690C"/>
    <w:rsid w:val="005C4257"/>
    <w:rsid w:val="005E3624"/>
    <w:rsid w:val="005E4A96"/>
    <w:rsid w:val="005F058D"/>
    <w:rsid w:val="00616F5E"/>
    <w:rsid w:val="006307CF"/>
    <w:rsid w:val="00636B64"/>
    <w:rsid w:val="006447DA"/>
    <w:rsid w:val="00647DB6"/>
    <w:rsid w:val="0065464A"/>
    <w:rsid w:val="00656B6B"/>
    <w:rsid w:val="006632B6"/>
    <w:rsid w:val="006905DC"/>
    <w:rsid w:val="006A17B6"/>
    <w:rsid w:val="006B65DC"/>
    <w:rsid w:val="006C3320"/>
    <w:rsid w:val="006D3F4C"/>
    <w:rsid w:val="006D41C4"/>
    <w:rsid w:val="006E4359"/>
    <w:rsid w:val="006F71A1"/>
    <w:rsid w:val="00700D1F"/>
    <w:rsid w:val="0070156D"/>
    <w:rsid w:val="007028C6"/>
    <w:rsid w:val="00710A5F"/>
    <w:rsid w:val="00715134"/>
    <w:rsid w:val="007223C1"/>
    <w:rsid w:val="00751C56"/>
    <w:rsid w:val="00760A3C"/>
    <w:rsid w:val="00770238"/>
    <w:rsid w:val="00771AC8"/>
    <w:rsid w:val="007A0182"/>
    <w:rsid w:val="007A4658"/>
    <w:rsid w:val="007D7391"/>
    <w:rsid w:val="007E43E7"/>
    <w:rsid w:val="008117A6"/>
    <w:rsid w:val="00830A55"/>
    <w:rsid w:val="00832BD7"/>
    <w:rsid w:val="0084250A"/>
    <w:rsid w:val="00843A06"/>
    <w:rsid w:val="00844676"/>
    <w:rsid w:val="0085408C"/>
    <w:rsid w:val="00860964"/>
    <w:rsid w:val="00862336"/>
    <w:rsid w:val="00873F4C"/>
    <w:rsid w:val="00885490"/>
    <w:rsid w:val="00892EA2"/>
    <w:rsid w:val="008A2244"/>
    <w:rsid w:val="008A3531"/>
    <w:rsid w:val="008A5145"/>
    <w:rsid w:val="008A7754"/>
    <w:rsid w:val="008B33AA"/>
    <w:rsid w:val="008B6569"/>
    <w:rsid w:val="008C04EC"/>
    <w:rsid w:val="008C14E5"/>
    <w:rsid w:val="008C331C"/>
    <w:rsid w:val="008C3983"/>
    <w:rsid w:val="008D6807"/>
    <w:rsid w:val="008F0041"/>
    <w:rsid w:val="008F6538"/>
    <w:rsid w:val="009037B0"/>
    <w:rsid w:val="00914DF0"/>
    <w:rsid w:val="00930FA7"/>
    <w:rsid w:val="00931A58"/>
    <w:rsid w:val="00936C7E"/>
    <w:rsid w:val="00960BC0"/>
    <w:rsid w:val="0097354E"/>
    <w:rsid w:val="00977A2A"/>
    <w:rsid w:val="00985AB9"/>
    <w:rsid w:val="009905D0"/>
    <w:rsid w:val="009907C9"/>
    <w:rsid w:val="009935F0"/>
    <w:rsid w:val="00995DEE"/>
    <w:rsid w:val="009B237D"/>
    <w:rsid w:val="009B5105"/>
    <w:rsid w:val="009C4A5C"/>
    <w:rsid w:val="009E1FC4"/>
    <w:rsid w:val="009F63F9"/>
    <w:rsid w:val="00A01B98"/>
    <w:rsid w:val="00A04B1B"/>
    <w:rsid w:val="00A30D54"/>
    <w:rsid w:val="00A313B0"/>
    <w:rsid w:val="00A355F7"/>
    <w:rsid w:val="00A35FB8"/>
    <w:rsid w:val="00A46C83"/>
    <w:rsid w:val="00A55A5C"/>
    <w:rsid w:val="00A6437F"/>
    <w:rsid w:val="00A75D58"/>
    <w:rsid w:val="00A84414"/>
    <w:rsid w:val="00A968D9"/>
    <w:rsid w:val="00AA1318"/>
    <w:rsid w:val="00AA6795"/>
    <w:rsid w:val="00AB65C0"/>
    <w:rsid w:val="00AD04A9"/>
    <w:rsid w:val="00AD3EFF"/>
    <w:rsid w:val="00AE0B35"/>
    <w:rsid w:val="00AE53F3"/>
    <w:rsid w:val="00AE60DB"/>
    <w:rsid w:val="00AF2679"/>
    <w:rsid w:val="00AF69AB"/>
    <w:rsid w:val="00B15939"/>
    <w:rsid w:val="00B2259E"/>
    <w:rsid w:val="00B2440A"/>
    <w:rsid w:val="00B33399"/>
    <w:rsid w:val="00B53E3F"/>
    <w:rsid w:val="00B63B2A"/>
    <w:rsid w:val="00B70058"/>
    <w:rsid w:val="00B767C3"/>
    <w:rsid w:val="00B8319F"/>
    <w:rsid w:val="00B83471"/>
    <w:rsid w:val="00B84D18"/>
    <w:rsid w:val="00BA416F"/>
    <w:rsid w:val="00BA7B7E"/>
    <w:rsid w:val="00BB1CCB"/>
    <w:rsid w:val="00BE16BD"/>
    <w:rsid w:val="00C028D0"/>
    <w:rsid w:val="00C164AE"/>
    <w:rsid w:val="00C471A7"/>
    <w:rsid w:val="00C473CF"/>
    <w:rsid w:val="00C53738"/>
    <w:rsid w:val="00C57235"/>
    <w:rsid w:val="00C831AA"/>
    <w:rsid w:val="00C951E5"/>
    <w:rsid w:val="00CA7C38"/>
    <w:rsid w:val="00CB51F6"/>
    <w:rsid w:val="00CC7C05"/>
    <w:rsid w:val="00CF20CD"/>
    <w:rsid w:val="00D060C9"/>
    <w:rsid w:val="00D10414"/>
    <w:rsid w:val="00D12C62"/>
    <w:rsid w:val="00D17679"/>
    <w:rsid w:val="00D26A84"/>
    <w:rsid w:val="00D4231A"/>
    <w:rsid w:val="00D435E7"/>
    <w:rsid w:val="00D5200E"/>
    <w:rsid w:val="00D56D43"/>
    <w:rsid w:val="00D85630"/>
    <w:rsid w:val="00D9003B"/>
    <w:rsid w:val="00DC5C5A"/>
    <w:rsid w:val="00DF3A70"/>
    <w:rsid w:val="00E12330"/>
    <w:rsid w:val="00E14BBE"/>
    <w:rsid w:val="00E22CFB"/>
    <w:rsid w:val="00E3247C"/>
    <w:rsid w:val="00E446B7"/>
    <w:rsid w:val="00E50B9C"/>
    <w:rsid w:val="00E81AC1"/>
    <w:rsid w:val="00E8541C"/>
    <w:rsid w:val="00E86395"/>
    <w:rsid w:val="00E960D4"/>
    <w:rsid w:val="00EB0172"/>
    <w:rsid w:val="00EB0223"/>
    <w:rsid w:val="00EB25CA"/>
    <w:rsid w:val="00EB5EB6"/>
    <w:rsid w:val="00EB5F7E"/>
    <w:rsid w:val="00EB7457"/>
    <w:rsid w:val="00EC25FA"/>
    <w:rsid w:val="00ED0CD9"/>
    <w:rsid w:val="00EE381A"/>
    <w:rsid w:val="00EE71E0"/>
    <w:rsid w:val="00EF15E4"/>
    <w:rsid w:val="00EF40AF"/>
    <w:rsid w:val="00F0578B"/>
    <w:rsid w:val="00F07027"/>
    <w:rsid w:val="00F10D41"/>
    <w:rsid w:val="00F120BD"/>
    <w:rsid w:val="00F15EB6"/>
    <w:rsid w:val="00F6035A"/>
    <w:rsid w:val="00F64E24"/>
    <w:rsid w:val="00F6616D"/>
    <w:rsid w:val="00F7250C"/>
    <w:rsid w:val="00F82550"/>
    <w:rsid w:val="00F82D8E"/>
    <w:rsid w:val="00F8345F"/>
    <w:rsid w:val="00F87272"/>
    <w:rsid w:val="00F87436"/>
    <w:rsid w:val="00F942B7"/>
    <w:rsid w:val="00F9440A"/>
    <w:rsid w:val="00FB2AE6"/>
    <w:rsid w:val="00FB55A0"/>
    <w:rsid w:val="00FC0CC6"/>
    <w:rsid w:val="00FC5993"/>
    <w:rsid w:val="00FC668B"/>
    <w:rsid w:val="00FD0F9C"/>
    <w:rsid w:val="00FE057A"/>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07E8"/>
  <w15:chartTrackingRefBased/>
  <w15:docId w15:val="{DB08234C-95EC-4D4E-BAFA-AEA9BAB0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6A"/>
    <w:pPr>
      <w:spacing w:after="0" w:line="360" w:lineRule="auto"/>
      <w:jc w:val="both"/>
    </w:pPr>
    <w:rPr>
      <w:rFonts w:ascii="Arial" w:eastAsia="Times New Roman" w:hAnsi="Arial" w:cs="Times New Roman"/>
      <w:szCs w:val="24"/>
      <w:lang w:val="en-ZA"/>
    </w:rPr>
  </w:style>
  <w:style w:type="paragraph" w:styleId="Heading1">
    <w:name w:val="heading 1"/>
    <w:basedOn w:val="Normal"/>
    <w:next w:val="Normal"/>
    <w:link w:val="Heading1Char"/>
    <w:qFormat/>
    <w:rsid w:val="0048436A"/>
    <w:pPr>
      <w:keepNext/>
      <w:spacing w:line="480" w:lineRule="auto"/>
      <w:outlineLvl w:val="0"/>
    </w:pPr>
    <w:rPr>
      <w:rFonts w:cs="Arial"/>
      <w:b/>
      <w:bCs/>
    </w:rPr>
  </w:style>
  <w:style w:type="paragraph" w:styleId="Heading2">
    <w:name w:val="heading 2"/>
    <w:basedOn w:val="Normal"/>
    <w:next w:val="Normal"/>
    <w:link w:val="Heading2Char"/>
    <w:uiPriority w:val="9"/>
    <w:semiHidden/>
    <w:unhideWhenUsed/>
    <w:qFormat/>
    <w:rsid w:val="0048436A"/>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36A"/>
    <w:rPr>
      <w:rFonts w:ascii="Arial" w:eastAsia="Times New Roman" w:hAnsi="Arial" w:cs="Arial"/>
      <w:b/>
      <w:bCs/>
      <w:szCs w:val="24"/>
      <w:lang w:val="en-ZA"/>
    </w:rPr>
  </w:style>
  <w:style w:type="character" w:customStyle="1" w:styleId="Heading2Char">
    <w:name w:val="Heading 2 Char"/>
    <w:basedOn w:val="DefaultParagraphFont"/>
    <w:link w:val="Heading2"/>
    <w:uiPriority w:val="9"/>
    <w:semiHidden/>
    <w:rsid w:val="0048436A"/>
    <w:rPr>
      <w:rFonts w:ascii="Arial" w:eastAsia="Times New Roman" w:hAnsi="Arial" w:cs="Arial"/>
      <w:b/>
      <w:bCs/>
      <w:szCs w:val="24"/>
      <w:lang w:val="en-ZA"/>
    </w:rPr>
  </w:style>
  <w:style w:type="paragraph" w:styleId="Title">
    <w:name w:val="Title"/>
    <w:basedOn w:val="Normal"/>
    <w:link w:val="TitleChar"/>
    <w:qFormat/>
    <w:rsid w:val="0048436A"/>
    <w:pPr>
      <w:spacing w:line="480" w:lineRule="auto"/>
      <w:jc w:val="center"/>
    </w:pPr>
    <w:rPr>
      <w:rFonts w:cs="Arial"/>
      <w:b/>
      <w:bCs/>
    </w:rPr>
  </w:style>
  <w:style w:type="character" w:customStyle="1" w:styleId="TitleChar">
    <w:name w:val="Title Char"/>
    <w:basedOn w:val="DefaultParagraphFont"/>
    <w:link w:val="Title"/>
    <w:rsid w:val="0048436A"/>
    <w:rPr>
      <w:rFonts w:ascii="Arial" w:eastAsia="Times New Roman" w:hAnsi="Arial" w:cs="Arial"/>
      <w:b/>
      <w:bCs/>
      <w:szCs w:val="24"/>
      <w:lang w:val="en-ZA"/>
    </w:rPr>
  </w:style>
  <w:style w:type="paragraph" w:customStyle="1" w:styleId="WLGLevel1">
    <w:name w:val="WLGLevel1"/>
    <w:basedOn w:val="Normal"/>
    <w:qFormat/>
    <w:rsid w:val="00F07027"/>
    <w:pPr>
      <w:numPr>
        <w:numId w:val="2"/>
      </w:numPr>
      <w:suppressAutoHyphens/>
      <w:spacing w:before="320" w:after="320" w:line="480" w:lineRule="auto"/>
      <w:outlineLvl w:val="0"/>
    </w:pPr>
    <w:rPr>
      <w:sz w:val="24"/>
      <w:szCs w:val="20"/>
    </w:rPr>
  </w:style>
  <w:style w:type="paragraph" w:customStyle="1" w:styleId="WLGLevel2">
    <w:name w:val="WLGLevel2"/>
    <w:basedOn w:val="Normal"/>
    <w:qFormat/>
    <w:rsid w:val="00F07027"/>
    <w:pPr>
      <w:numPr>
        <w:ilvl w:val="1"/>
        <w:numId w:val="2"/>
      </w:numPr>
      <w:suppressAutoHyphens/>
      <w:spacing w:after="320" w:line="480" w:lineRule="auto"/>
      <w:outlineLvl w:val="1"/>
    </w:pPr>
    <w:rPr>
      <w:sz w:val="24"/>
      <w:szCs w:val="20"/>
    </w:rPr>
  </w:style>
  <w:style w:type="paragraph" w:customStyle="1" w:styleId="WLGLevel3">
    <w:name w:val="WLGLevel3"/>
    <w:basedOn w:val="Normal"/>
    <w:qFormat/>
    <w:rsid w:val="00F07027"/>
    <w:pPr>
      <w:numPr>
        <w:ilvl w:val="2"/>
        <w:numId w:val="2"/>
      </w:numPr>
      <w:suppressAutoHyphens/>
      <w:spacing w:after="320" w:line="480" w:lineRule="auto"/>
      <w:outlineLvl w:val="2"/>
    </w:pPr>
    <w:rPr>
      <w:sz w:val="24"/>
      <w:szCs w:val="20"/>
    </w:rPr>
  </w:style>
  <w:style w:type="paragraph" w:customStyle="1" w:styleId="WLGLevel4">
    <w:name w:val="WLGLevel4"/>
    <w:basedOn w:val="Normal"/>
    <w:qFormat/>
    <w:rsid w:val="00F07027"/>
    <w:pPr>
      <w:numPr>
        <w:ilvl w:val="3"/>
        <w:numId w:val="2"/>
      </w:numPr>
      <w:suppressAutoHyphens/>
      <w:spacing w:after="320" w:line="480" w:lineRule="auto"/>
      <w:outlineLvl w:val="3"/>
    </w:pPr>
    <w:rPr>
      <w:sz w:val="24"/>
      <w:szCs w:val="20"/>
    </w:rPr>
  </w:style>
  <w:style w:type="paragraph" w:customStyle="1" w:styleId="WLGLevel5">
    <w:name w:val="WLGLevel5"/>
    <w:basedOn w:val="Normal"/>
    <w:qFormat/>
    <w:rsid w:val="00F07027"/>
    <w:pPr>
      <w:numPr>
        <w:ilvl w:val="4"/>
        <w:numId w:val="2"/>
      </w:numPr>
      <w:suppressAutoHyphens/>
      <w:spacing w:after="320" w:line="480" w:lineRule="auto"/>
      <w:outlineLvl w:val="4"/>
    </w:pPr>
    <w:rPr>
      <w:sz w:val="24"/>
      <w:szCs w:val="20"/>
    </w:rPr>
  </w:style>
  <w:style w:type="paragraph" w:styleId="ListParagraph">
    <w:name w:val="List Paragraph"/>
    <w:basedOn w:val="Normal"/>
    <w:uiPriority w:val="34"/>
    <w:qFormat/>
    <w:rsid w:val="00F07027"/>
    <w:pPr>
      <w:ind w:left="720"/>
      <w:contextualSpacing/>
    </w:pPr>
  </w:style>
  <w:style w:type="paragraph" w:styleId="BalloonText">
    <w:name w:val="Balloon Text"/>
    <w:basedOn w:val="Normal"/>
    <w:link w:val="BalloonTextChar"/>
    <w:uiPriority w:val="99"/>
    <w:semiHidden/>
    <w:unhideWhenUsed/>
    <w:rsid w:val="00AD04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A9"/>
    <w:rPr>
      <w:rFonts w:ascii="Segoe UI" w:eastAsia="Times New Roman" w:hAnsi="Segoe UI" w:cs="Segoe UI"/>
      <w:sz w:val="18"/>
      <w:szCs w:val="18"/>
      <w:lang w:val="en-ZA"/>
    </w:r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 Char,Footnote Text Char Char1,fn,ft,f"/>
    <w:basedOn w:val="Normal"/>
    <w:link w:val="FootnoteTextChar"/>
    <w:qFormat/>
    <w:rsid w:val="009037B0"/>
    <w:pPr>
      <w:spacing w:line="240" w:lineRule="auto"/>
      <w:jc w:val="left"/>
    </w:pPr>
    <w:rPr>
      <w:rFonts w:ascii="Times New Roman" w:eastAsia="SimSun" w:hAnsi="Times New Roman"/>
      <w:sz w:val="20"/>
      <w:szCs w:val="20"/>
      <w:lang w:val="en-GB" w:eastAsia="zh-CN"/>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ft Char,f Char"/>
    <w:basedOn w:val="DefaultParagraphFont"/>
    <w:link w:val="FootnoteText"/>
    <w:qFormat/>
    <w:rsid w:val="009037B0"/>
    <w:rPr>
      <w:rFonts w:ascii="Times New Roman" w:eastAsia="SimSun" w:hAnsi="Times New Roman" w:cs="Times New Roman"/>
      <w:sz w:val="20"/>
      <w:szCs w:val="20"/>
      <w:lang w:val="en-GB" w:eastAsia="zh-CN"/>
    </w:rPr>
  </w:style>
  <w:style w:type="character" w:styleId="FootnoteReference">
    <w:name w:val="footnote reference"/>
    <w:aliases w:val="Ref,de nota al pie,註腳內容,Heading 6 Char1,do not use4 Char1,Footnote symbol,(NECG) Footnote Reference,Footnotes refss,Appel note de bas de page,fr,Footnote Reference + Superscript,Style 12,Footnote Reference in text,o,Style 4,Nota"/>
    <w:qFormat/>
    <w:rsid w:val="009037B0"/>
    <w:rPr>
      <w:vertAlign w:val="superscript"/>
    </w:rPr>
  </w:style>
  <w:style w:type="table" w:styleId="TableGrid">
    <w:name w:val="Table Grid"/>
    <w:basedOn w:val="TableNormal"/>
    <w:uiPriority w:val="59"/>
    <w:rsid w:val="0005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60D4"/>
    <w:pPr>
      <w:tabs>
        <w:tab w:val="center" w:pos="4513"/>
        <w:tab w:val="right" w:pos="9026"/>
      </w:tabs>
      <w:spacing w:line="240" w:lineRule="auto"/>
    </w:pPr>
  </w:style>
  <w:style w:type="character" w:customStyle="1" w:styleId="HeaderChar">
    <w:name w:val="Header Char"/>
    <w:basedOn w:val="DefaultParagraphFont"/>
    <w:link w:val="Header"/>
    <w:uiPriority w:val="99"/>
    <w:rsid w:val="00E960D4"/>
    <w:rPr>
      <w:rFonts w:ascii="Arial" w:eastAsia="Times New Roman" w:hAnsi="Arial" w:cs="Times New Roman"/>
      <w:szCs w:val="24"/>
      <w:lang w:val="en-ZA"/>
    </w:rPr>
  </w:style>
  <w:style w:type="paragraph" w:styleId="Footer">
    <w:name w:val="footer"/>
    <w:basedOn w:val="Normal"/>
    <w:link w:val="FooterChar"/>
    <w:uiPriority w:val="99"/>
    <w:unhideWhenUsed/>
    <w:rsid w:val="00E960D4"/>
    <w:pPr>
      <w:tabs>
        <w:tab w:val="center" w:pos="4513"/>
        <w:tab w:val="right" w:pos="9026"/>
      </w:tabs>
      <w:spacing w:line="240" w:lineRule="auto"/>
    </w:pPr>
  </w:style>
  <w:style w:type="character" w:customStyle="1" w:styleId="FooterChar">
    <w:name w:val="Footer Char"/>
    <w:basedOn w:val="DefaultParagraphFont"/>
    <w:link w:val="Footer"/>
    <w:uiPriority w:val="99"/>
    <w:rsid w:val="00E960D4"/>
    <w:rPr>
      <w:rFonts w:ascii="Arial" w:eastAsia="Times New Roman" w:hAnsi="Arial" w:cs="Times New Roman"/>
      <w:szCs w:val="24"/>
      <w:lang w:val="en-ZA"/>
    </w:rPr>
  </w:style>
  <w:style w:type="character" w:styleId="Hyperlink">
    <w:name w:val="Hyperlink"/>
    <w:uiPriority w:val="99"/>
    <w:unhideWhenUsed/>
    <w:rsid w:val="00521639"/>
    <w:rPr>
      <w:color w:val="0563C1"/>
      <w:u w:val="single"/>
    </w:rPr>
  </w:style>
  <w:style w:type="paragraph" w:customStyle="1" w:styleId="Level1">
    <w:name w:val="Level 1"/>
    <w:basedOn w:val="Normal"/>
    <w:rsid w:val="00521639"/>
    <w:pPr>
      <w:widowControl w:val="0"/>
      <w:autoSpaceDE w:val="0"/>
      <w:autoSpaceDN w:val="0"/>
      <w:adjustRightInd w:val="0"/>
      <w:spacing w:line="240" w:lineRule="auto"/>
      <w:ind w:left="720" w:hanging="720"/>
      <w:jc w:val="left"/>
      <w:outlineLvl w:val="0"/>
    </w:pPr>
    <w:rPr>
      <w:rFonts w:eastAsia="Calibri" w:cs="Arial"/>
      <w:sz w:val="24"/>
      <w:lang w:val="en-US" w:eastAsia="en-ZA"/>
    </w:rPr>
  </w:style>
  <w:style w:type="paragraph" w:customStyle="1" w:styleId="BLLevel1HeadingAltQ">
    <w:name w:val="BL_Level 1 Heading Alt+Q"/>
    <w:basedOn w:val="Normal"/>
    <w:next w:val="BLLevel2ListAlt"/>
    <w:rsid w:val="00521639"/>
    <w:pPr>
      <w:keepNext/>
      <w:numPr>
        <w:numId w:val="22"/>
      </w:numPr>
      <w:spacing w:line="240" w:lineRule="auto"/>
      <w:outlineLvl w:val="0"/>
    </w:pPr>
    <w:rPr>
      <w:rFonts w:ascii="Century Gothic" w:hAnsi="Century Gothic"/>
      <w:b/>
      <w:caps/>
      <w:sz w:val="18"/>
      <w:szCs w:val="18"/>
      <w:lang w:eastAsia="en-ZA"/>
    </w:rPr>
  </w:style>
  <w:style w:type="paragraph" w:customStyle="1" w:styleId="BLLevel2ListAlt">
    <w:name w:val="BL_Level 2 List Alt+]"/>
    <w:basedOn w:val="Normal"/>
    <w:rsid w:val="00521639"/>
    <w:pPr>
      <w:numPr>
        <w:ilvl w:val="1"/>
        <w:numId w:val="22"/>
      </w:numPr>
      <w:spacing w:line="240" w:lineRule="auto"/>
      <w:outlineLvl w:val="1"/>
    </w:pPr>
    <w:rPr>
      <w:rFonts w:ascii="Century Gothic" w:hAnsi="Century Gothic"/>
      <w:sz w:val="18"/>
      <w:szCs w:val="18"/>
      <w:lang w:eastAsia="en-ZA"/>
    </w:rPr>
  </w:style>
  <w:style w:type="paragraph" w:customStyle="1" w:styleId="BLLevel3ListAlt">
    <w:name w:val="BL_Level 3 List Alt+'"/>
    <w:basedOn w:val="Normal"/>
    <w:rsid w:val="00521639"/>
    <w:pPr>
      <w:numPr>
        <w:ilvl w:val="2"/>
        <w:numId w:val="22"/>
      </w:numPr>
      <w:spacing w:line="240" w:lineRule="auto"/>
      <w:outlineLvl w:val="2"/>
    </w:pPr>
    <w:rPr>
      <w:rFonts w:ascii="Century Gothic" w:hAnsi="Century Gothic"/>
      <w:sz w:val="18"/>
      <w:szCs w:val="18"/>
      <w:lang w:eastAsia="en-ZA"/>
    </w:rPr>
  </w:style>
  <w:style w:type="paragraph" w:customStyle="1" w:styleId="BLLevel4ListAlt">
    <w:name w:val="BL_Level 4 List Alt+/"/>
    <w:basedOn w:val="Normal"/>
    <w:rsid w:val="00521639"/>
    <w:pPr>
      <w:numPr>
        <w:ilvl w:val="3"/>
        <w:numId w:val="22"/>
      </w:numPr>
      <w:spacing w:line="240" w:lineRule="auto"/>
      <w:outlineLvl w:val="3"/>
    </w:pPr>
    <w:rPr>
      <w:rFonts w:ascii="Century Gothic" w:hAnsi="Century Gothic"/>
      <w:sz w:val="18"/>
      <w:szCs w:val="18"/>
      <w:lang w:eastAsia="en-ZA"/>
    </w:rPr>
  </w:style>
  <w:style w:type="paragraph" w:customStyle="1" w:styleId="BLLevel5ListAlt">
    <w:name w:val="BL_Level 5 List Alt+."/>
    <w:basedOn w:val="Normal"/>
    <w:rsid w:val="00521639"/>
    <w:pPr>
      <w:numPr>
        <w:ilvl w:val="4"/>
        <w:numId w:val="22"/>
      </w:numPr>
      <w:spacing w:line="240" w:lineRule="auto"/>
      <w:outlineLvl w:val="4"/>
    </w:pPr>
    <w:rPr>
      <w:rFonts w:ascii="Century Gothic" w:hAnsi="Century Gothic"/>
      <w:sz w:val="18"/>
      <w:szCs w:val="18"/>
      <w:lang w:eastAsia="en-ZA"/>
    </w:rPr>
  </w:style>
  <w:style w:type="paragraph" w:customStyle="1" w:styleId="BLLevel6ListAlt">
    <w:name w:val="BL_Level 6 List Alt+"/>
    <w:basedOn w:val="Normal"/>
    <w:rsid w:val="00521639"/>
    <w:pPr>
      <w:numPr>
        <w:ilvl w:val="5"/>
        <w:numId w:val="22"/>
      </w:numPr>
      <w:spacing w:line="240" w:lineRule="auto"/>
      <w:outlineLvl w:val="5"/>
    </w:pPr>
    <w:rPr>
      <w:rFonts w:ascii="Century Gothic" w:hAnsi="Century Gothic"/>
      <w:sz w:val="18"/>
      <w:szCs w:val="18"/>
      <w:lang w:eastAsia="en-ZA"/>
    </w:rPr>
  </w:style>
  <w:style w:type="paragraph" w:customStyle="1" w:styleId="BLLevel7ListAltM">
    <w:name w:val="BL_Level 7 List Alt+M"/>
    <w:basedOn w:val="Normal"/>
    <w:rsid w:val="00521639"/>
    <w:pPr>
      <w:numPr>
        <w:ilvl w:val="6"/>
        <w:numId w:val="22"/>
      </w:numPr>
      <w:spacing w:line="240" w:lineRule="auto"/>
      <w:outlineLvl w:val="6"/>
    </w:pPr>
    <w:rPr>
      <w:rFonts w:ascii="Century Gothic" w:hAnsi="Century Gothic"/>
      <w:sz w:val="18"/>
      <w:szCs w:val="18"/>
      <w:lang w:eastAsia="en-ZA"/>
    </w:rPr>
  </w:style>
  <w:style w:type="character" w:customStyle="1" w:styleId="UnresolvedMention">
    <w:name w:val="Unresolved Mention"/>
    <w:uiPriority w:val="99"/>
    <w:semiHidden/>
    <w:unhideWhenUsed/>
    <w:rsid w:val="00521639"/>
    <w:rPr>
      <w:color w:val="808080"/>
      <w:shd w:val="clear" w:color="auto" w:fill="E6E6E6"/>
    </w:rPr>
  </w:style>
  <w:style w:type="paragraph" w:styleId="Revision">
    <w:name w:val="Revision"/>
    <w:hidden/>
    <w:uiPriority w:val="99"/>
    <w:semiHidden/>
    <w:rsid w:val="00521639"/>
    <w:pPr>
      <w:spacing w:after="0" w:line="240" w:lineRule="auto"/>
    </w:pPr>
    <w:rPr>
      <w:rFonts w:ascii="Times New Roman" w:eastAsia="SimSun" w:hAnsi="Times New Roman" w:cs="Times New Roman"/>
      <w:sz w:val="24"/>
      <w:szCs w:val="24"/>
      <w:lang w:val="en-GB" w:eastAsia="zh-CN"/>
    </w:rPr>
  </w:style>
  <w:style w:type="paragraph" w:customStyle="1" w:styleId="Default">
    <w:name w:val="Default"/>
    <w:rsid w:val="00521639"/>
    <w:pPr>
      <w:autoSpaceDE w:val="0"/>
      <w:autoSpaceDN w:val="0"/>
      <w:adjustRightInd w:val="0"/>
      <w:spacing w:after="0" w:line="240" w:lineRule="auto"/>
    </w:pPr>
    <w:rPr>
      <w:rFonts w:ascii="Calibri" w:eastAsia="SimSun" w:hAnsi="Calibri" w:cs="Calibri"/>
      <w:color w:val="000000"/>
      <w:sz w:val="24"/>
      <w:szCs w:val="24"/>
      <w:lang w:val="en-ZA" w:eastAsia="en-ZA"/>
    </w:rPr>
  </w:style>
  <w:style w:type="character" w:styleId="CommentReference">
    <w:name w:val="annotation reference"/>
    <w:uiPriority w:val="99"/>
    <w:semiHidden/>
    <w:unhideWhenUsed/>
    <w:rsid w:val="00521639"/>
    <w:rPr>
      <w:sz w:val="16"/>
      <w:szCs w:val="16"/>
    </w:rPr>
  </w:style>
  <w:style w:type="paragraph" w:styleId="CommentText">
    <w:name w:val="annotation text"/>
    <w:basedOn w:val="Normal"/>
    <w:link w:val="Comment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semiHidden/>
    <w:rsid w:val="00521639"/>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521639"/>
    <w:rPr>
      <w:b/>
      <w:bCs/>
    </w:rPr>
  </w:style>
  <w:style w:type="character" w:customStyle="1" w:styleId="CommentSubjectChar">
    <w:name w:val="Comment Subject Char"/>
    <w:basedOn w:val="CommentTextChar"/>
    <w:link w:val="CommentSubject"/>
    <w:uiPriority w:val="99"/>
    <w:semiHidden/>
    <w:rsid w:val="00521639"/>
    <w:rPr>
      <w:rFonts w:ascii="Times New Roman" w:eastAsia="SimSun" w:hAnsi="Times New Roman" w:cs="Times New Roman"/>
      <w:b/>
      <w:bCs/>
      <w:sz w:val="20"/>
      <w:szCs w:val="20"/>
      <w:lang w:val="en-GB" w:eastAsia="zh-CN"/>
    </w:rPr>
  </w:style>
  <w:style w:type="paragraph" w:styleId="EndnoteText">
    <w:name w:val="endnote text"/>
    <w:basedOn w:val="Normal"/>
    <w:link w:val="EndnoteTextChar"/>
    <w:uiPriority w:val="99"/>
    <w:semiHidden/>
    <w:unhideWhenUsed/>
    <w:rsid w:val="00521639"/>
    <w:pPr>
      <w:spacing w:line="240" w:lineRule="auto"/>
      <w:jc w:val="left"/>
    </w:pPr>
    <w:rPr>
      <w:rFonts w:ascii="Times New Roman" w:eastAsia="SimSun" w:hAnsi="Times New Roman"/>
      <w:sz w:val="20"/>
      <w:szCs w:val="20"/>
      <w:lang w:val="en-GB" w:eastAsia="zh-CN"/>
    </w:rPr>
  </w:style>
  <w:style w:type="character" w:customStyle="1" w:styleId="EndnoteTextChar">
    <w:name w:val="Endnote Text Char"/>
    <w:basedOn w:val="DefaultParagraphFont"/>
    <w:link w:val="EndnoteText"/>
    <w:uiPriority w:val="99"/>
    <w:semiHidden/>
    <w:rsid w:val="00521639"/>
    <w:rPr>
      <w:rFonts w:ascii="Times New Roman" w:eastAsia="SimSun" w:hAnsi="Times New Roman" w:cs="Times New Roman"/>
      <w:sz w:val="20"/>
      <w:szCs w:val="20"/>
      <w:lang w:val="en-GB" w:eastAsia="zh-CN"/>
    </w:rPr>
  </w:style>
  <w:style w:type="character" w:styleId="EndnoteReference">
    <w:name w:val="endnote reference"/>
    <w:uiPriority w:val="99"/>
    <w:semiHidden/>
    <w:unhideWhenUsed/>
    <w:rsid w:val="00521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6161">
      <w:bodyDiv w:val="1"/>
      <w:marLeft w:val="0"/>
      <w:marRight w:val="0"/>
      <w:marTop w:val="0"/>
      <w:marBottom w:val="0"/>
      <w:divBdr>
        <w:top w:val="none" w:sz="0" w:space="0" w:color="auto"/>
        <w:left w:val="none" w:sz="0" w:space="0" w:color="auto"/>
        <w:bottom w:val="none" w:sz="0" w:space="0" w:color="auto"/>
        <w:right w:val="none" w:sz="0" w:space="0" w:color="auto"/>
      </w:divBdr>
    </w:div>
    <w:div w:id="1239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9BD6F-21E3-4A4B-B2D4-99683CF4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Fulufhelo Mawela</dc:creator>
  <cp:keywords/>
  <dc:description/>
  <cp:lastModifiedBy>Mokone</cp:lastModifiedBy>
  <cp:revision>5</cp:revision>
  <cp:lastPrinted>2023-06-07T12:46:00Z</cp:lastPrinted>
  <dcterms:created xsi:type="dcterms:W3CDTF">2023-06-08T12:29:00Z</dcterms:created>
  <dcterms:modified xsi:type="dcterms:W3CDTF">2023-06-08T12:34:00Z</dcterms:modified>
</cp:coreProperties>
</file>