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8FB5D" w14:textId="46CB3BD1" w:rsidR="001D383C" w:rsidRPr="005A39A5" w:rsidRDefault="00226403" w:rsidP="001D383C">
      <w:pPr>
        <w:spacing w:line="360" w:lineRule="auto"/>
        <w:jc w:val="center"/>
        <w:rPr>
          <w:rFonts w:ascii="Arial" w:hAnsi="Arial" w:cs="Arial"/>
          <w:b/>
          <w:szCs w:val="24"/>
        </w:rPr>
      </w:pPr>
      <w:r w:rsidRPr="005A39A5">
        <w:rPr>
          <w:rFonts w:ascii="Arial" w:hAnsi="Arial" w:cs="Arial"/>
          <w:b/>
          <w:noProof/>
          <w:szCs w:val="24"/>
          <w:lang w:val="en-US" w:eastAsia="en-US"/>
        </w:rPr>
        <w:drawing>
          <wp:anchor distT="0" distB="0" distL="114300" distR="114300" simplePos="0" relativeHeight="251658240" behindDoc="0" locked="0" layoutInCell="1" allowOverlap="1" wp14:anchorId="37D8F8F7" wp14:editId="4599EF9A">
            <wp:simplePos x="0" y="0"/>
            <wp:positionH relativeFrom="margin">
              <wp:posOffset>2162175</wp:posOffset>
            </wp:positionH>
            <wp:positionV relativeFrom="paragraph">
              <wp:posOffset>13335</wp:posOffset>
            </wp:positionV>
            <wp:extent cx="1447800" cy="1447800"/>
            <wp:effectExtent l="0" t="0" r="0" b="0"/>
            <wp:wrapNone/>
            <wp:docPr id="5" name="Picture 5" descr="C:\Users\nmaseko\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aseko\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FFEECF" w14:textId="33F48626" w:rsidR="001D383C" w:rsidRPr="005A39A5" w:rsidRDefault="001D383C" w:rsidP="001D383C">
      <w:pPr>
        <w:spacing w:line="360" w:lineRule="auto"/>
        <w:jc w:val="center"/>
        <w:rPr>
          <w:rFonts w:ascii="Arial" w:hAnsi="Arial" w:cs="Arial"/>
          <w:b/>
          <w:szCs w:val="24"/>
        </w:rPr>
      </w:pPr>
      <w:r w:rsidRPr="005A39A5">
        <w:rPr>
          <w:rFonts w:ascii="Arial" w:hAnsi="Arial" w:cs="Arial"/>
          <w:b/>
          <w:noProof/>
          <w:szCs w:val="24"/>
          <w:lang w:val="en-US" w:eastAsia="en-US"/>
        </w:rPr>
        <mc:AlternateContent>
          <mc:Choice Requires="wpc">
            <w:drawing>
              <wp:inline distT="0" distB="0" distL="0" distR="0" wp14:anchorId="3BDA82FD" wp14:editId="6ED56847">
                <wp:extent cx="673100" cy="86360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5DAF789E" id="Canvas 4"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14:paraId="4C7954BD" w14:textId="77777777" w:rsidR="001D383C" w:rsidRPr="005A39A5" w:rsidRDefault="001D383C" w:rsidP="001D383C">
      <w:pPr>
        <w:spacing w:line="360" w:lineRule="auto"/>
        <w:jc w:val="center"/>
        <w:rPr>
          <w:rFonts w:ascii="Arial" w:hAnsi="Arial" w:cs="Arial"/>
          <w:b/>
          <w:szCs w:val="24"/>
        </w:rPr>
      </w:pPr>
    </w:p>
    <w:p w14:paraId="65B4B2D2" w14:textId="7D0D60A0" w:rsidR="001D383C" w:rsidRPr="005A39A5" w:rsidRDefault="001D383C" w:rsidP="001D383C">
      <w:pPr>
        <w:tabs>
          <w:tab w:val="right" w:pos="8505"/>
        </w:tabs>
        <w:spacing w:after="120" w:line="360" w:lineRule="auto"/>
        <w:jc w:val="center"/>
        <w:rPr>
          <w:rFonts w:ascii="Arial" w:hAnsi="Arial" w:cs="Arial"/>
          <w:b/>
          <w:szCs w:val="24"/>
          <w:lang w:val="en-GB"/>
        </w:rPr>
      </w:pPr>
      <w:r w:rsidRPr="005A39A5">
        <w:rPr>
          <w:rFonts w:ascii="Arial" w:hAnsi="Arial" w:cs="Arial"/>
          <w:b/>
          <w:szCs w:val="24"/>
        </w:rPr>
        <w:t>HIGH COURT OF SOUTH AFRICA, GAUTENG DIVISION</w:t>
      </w:r>
      <w:r w:rsidR="00170C5C" w:rsidRPr="005A39A5">
        <w:rPr>
          <w:rFonts w:ascii="Arial" w:hAnsi="Arial" w:cs="Arial"/>
          <w:b/>
          <w:szCs w:val="24"/>
        </w:rPr>
        <w:t>, PRETORIA</w:t>
      </w:r>
      <w:r w:rsidRPr="005A39A5">
        <w:rPr>
          <w:rFonts w:ascii="Arial" w:hAnsi="Arial" w:cs="Arial"/>
          <w:b/>
          <w:szCs w:val="24"/>
        </w:rPr>
        <w:t xml:space="preserve"> </w:t>
      </w:r>
      <w:r w:rsidRPr="005A39A5">
        <w:rPr>
          <w:rFonts w:ascii="Arial" w:hAnsi="Arial" w:cs="Arial"/>
          <w:b/>
          <w:szCs w:val="24"/>
          <w:lang w:val="en-GB"/>
        </w:rPr>
        <w:t xml:space="preserve"> </w:t>
      </w:r>
      <w:bookmarkStart w:id="0" w:name="_Ref283920049"/>
      <w:bookmarkEnd w:id="0"/>
    </w:p>
    <w:p w14:paraId="603D0C29" w14:textId="77777777" w:rsidR="001D383C" w:rsidRPr="005A39A5" w:rsidRDefault="001D383C" w:rsidP="001D383C">
      <w:pPr>
        <w:tabs>
          <w:tab w:val="right" w:pos="8505"/>
        </w:tabs>
        <w:spacing w:line="240" w:lineRule="auto"/>
        <w:jc w:val="center"/>
        <w:rPr>
          <w:rFonts w:ascii="Arial" w:hAnsi="Arial" w:cs="Arial"/>
          <w:b/>
          <w:szCs w:val="24"/>
          <w:lang w:val="en-GB"/>
        </w:rPr>
      </w:pPr>
    </w:p>
    <w:p w14:paraId="210873FD" w14:textId="312671BB" w:rsidR="001D383C" w:rsidRPr="005A39A5" w:rsidRDefault="00F54215" w:rsidP="001D383C">
      <w:pPr>
        <w:tabs>
          <w:tab w:val="right" w:pos="8505"/>
        </w:tabs>
        <w:jc w:val="right"/>
        <w:rPr>
          <w:rFonts w:ascii="Arial" w:hAnsi="Arial" w:cs="Arial"/>
          <w:b/>
          <w:szCs w:val="24"/>
          <w:lang w:val="en-GB"/>
        </w:rPr>
      </w:pPr>
      <w:r w:rsidRPr="005A39A5">
        <w:rPr>
          <w:rFonts w:ascii="Arial" w:hAnsi="Arial" w:cs="Arial"/>
          <w:b/>
          <w:szCs w:val="24"/>
          <w:lang w:val="en-GB"/>
        </w:rPr>
        <w:t xml:space="preserve">Case No.: </w:t>
      </w:r>
      <w:r w:rsidR="005A39A5" w:rsidRPr="005A39A5">
        <w:rPr>
          <w:rFonts w:ascii="Arial" w:hAnsi="Arial" w:cs="Arial"/>
          <w:b/>
          <w:szCs w:val="24"/>
          <w:lang w:val="en-GB"/>
        </w:rPr>
        <w:t>5382/2022</w:t>
      </w:r>
    </w:p>
    <w:p w14:paraId="5C566462" w14:textId="77777777" w:rsidR="001D383C" w:rsidRPr="005A39A5" w:rsidRDefault="001D383C" w:rsidP="001D383C">
      <w:pPr>
        <w:jc w:val="center"/>
        <w:rPr>
          <w:rFonts w:ascii="Arial" w:hAnsi="Arial" w:cs="Arial"/>
          <w:szCs w:val="24"/>
        </w:rPr>
      </w:pPr>
      <w:r w:rsidRPr="005A39A5">
        <w:rPr>
          <w:rFonts w:ascii="Arial" w:hAnsi="Arial" w:cs="Arial"/>
          <w:noProof/>
          <w:szCs w:val="24"/>
          <w:lang w:val="en-US" w:eastAsia="en-US"/>
        </w:rPr>
        <mc:AlternateContent>
          <mc:Choice Requires="wpc">
            <w:drawing>
              <wp:inline distT="0" distB="0" distL="0" distR="0" wp14:anchorId="55A8EE51" wp14:editId="757D3114">
                <wp:extent cx="3981450" cy="154305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0" y="120650"/>
                            <a:ext cx="3657585" cy="1397000"/>
                          </a:xfrm>
                          <a:prstGeom prst="rect">
                            <a:avLst/>
                          </a:prstGeom>
                          <a:solidFill>
                            <a:srgbClr val="FFFFFF"/>
                          </a:solidFill>
                          <a:ln w="9525">
                            <a:solidFill>
                              <a:srgbClr val="000000"/>
                            </a:solidFill>
                            <a:miter lim="800000"/>
                            <a:headEnd/>
                            <a:tailEnd/>
                          </a:ln>
                        </wps:spPr>
                        <wps:txbx>
                          <w:txbxContent>
                            <w:p w14:paraId="1B52E386" w14:textId="77777777" w:rsidR="00E33E7A" w:rsidRPr="006331C4" w:rsidRDefault="00E33E7A" w:rsidP="00317398">
                              <w:pPr>
                                <w:spacing w:line="240" w:lineRule="auto"/>
                                <w:jc w:val="center"/>
                                <w:rPr>
                                  <w:rFonts w:ascii="Arial" w:hAnsi="Arial" w:cs="Arial"/>
                                  <w:b/>
                                  <w:sz w:val="18"/>
                                  <w:szCs w:val="18"/>
                                </w:rPr>
                              </w:pPr>
                              <w:r w:rsidRPr="006331C4">
                                <w:rPr>
                                  <w:rFonts w:ascii="Arial" w:hAnsi="Arial" w:cs="Arial"/>
                                  <w:b/>
                                  <w:sz w:val="18"/>
                                  <w:szCs w:val="18"/>
                                </w:rPr>
                                <w:t>DELETE WHICHEVER IS NOT APPLICABLE</w:t>
                              </w:r>
                            </w:p>
                            <w:p w14:paraId="55EF5230" w14:textId="77777777" w:rsidR="00E33E7A" w:rsidRPr="00474E8B" w:rsidRDefault="00E33E7A" w:rsidP="00317398">
                              <w:pPr>
                                <w:spacing w:line="240" w:lineRule="auto"/>
                                <w:rPr>
                                  <w:rFonts w:ascii="Arial" w:hAnsi="Arial" w:cs="Arial"/>
                                  <w:sz w:val="18"/>
                                  <w:szCs w:val="18"/>
                                </w:rPr>
                              </w:pPr>
                            </w:p>
                            <w:p w14:paraId="5930E95B" w14:textId="2EB02FF9" w:rsidR="00E33E7A" w:rsidRPr="00474E8B" w:rsidRDefault="001748B5" w:rsidP="001748B5">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(1)</w:t>
                              </w:r>
                              <w:r w:rsidRPr="00474E8B">
                                <w:rPr>
                                  <w:rFonts w:ascii="Arial" w:hAnsi="Arial" w:cs="Arial"/>
                                  <w:sz w:val="18"/>
                                  <w:szCs w:val="18"/>
                                </w:rPr>
                                <w:tab/>
                              </w:r>
                              <w:r w:rsidR="00E33E7A" w:rsidRPr="00474E8B">
                                <w:rPr>
                                  <w:rFonts w:ascii="Arial" w:hAnsi="Arial" w:cs="Arial"/>
                                  <w:sz w:val="18"/>
                                  <w:szCs w:val="18"/>
                                </w:rPr>
                                <w:t>REPORTABLE: YES/NO</w:t>
                              </w:r>
                            </w:p>
                            <w:p w14:paraId="447533CE" w14:textId="26EB5F35" w:rsidR="00E33E7A" w:rsidRPr="00474E8B" w:rsidRDefault="001748B5" w:rsidP="001748B5">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(2)</w:t>
                              </w:r>
                              <w:r w:rsidRPr="00474E8B">
                                <w:rPr>
                                  <w:rFonts w:ascii="Arial" w:hAnsi="Arial" w:cs="Arial"/>
                                  <w:sz w:val="18"/>
                                  <w:szCs w:val="18"/>
                                </w:rPr>
                                <w:tab/>
                              </w:r>
                              <w:r w:rsidR="00E33E7A" w:rsidRPr="00474E8B">
                                <w:rPr>
                                  <w:rFonts w:ascii="Arial" w:hAnsi="Arial" w:cs="Arial"/>
                                  <w:sz w:val="18"/>
                                  <w:szCs w:val="18"/>
                                </w:rPr>
                                <w:t>OF INTEREST TO OTHER JUDGES: YES/NO</w:t>
                              </w:r>
                            </w:p>
                            <w:p w14:paraId="5F514751" w14:textId="67B50771" w:rsidR="00E33E7A" w:rsidRPr="00474E8B" w:rsidRDefault="001748B5" w:rsidP="001748B5">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(3)</w:t>
                              </w:r>
                              <w:r w:rsidRPr="00474E8B">
                                <w:rPr>
                                  <w:rFonts w:ascii="Arial" w:hAnsi="Arial" w:cs="Arial"/>
                                  <w:sz w:val="18"/>
                                  <w:szCs w:val="18"/>
                                </w:rPr>
                                <w:tab/>
                              </w:r>
                              <w:r w:rsidR="00E33E7A" w:rsidRPr="00474E8B">
                                <w:rPr>
                                  <w:rFonts w:ascii="Arial" w:hAnsi="Arial" w:cs="Arial"/>
                                  <w:sz w:val="18"/>
                                  <w:szCs w:val="18"/>
                                </w:rPr>
                                <w:t>REVISED</w:t>
                              </w:r>
                            </w:p>
                            <w:p w14:paraId="4C29D454" w14:textId="77777777" w:rsidR="00E33E7A" w:rsidRPr="00474E8B" w:rsidRDefault="00E33E7A" w:rsidP="00317398">
                              <w:pPr>
                                <w:spacing w:line="240" w:lineRule="auto"/>
                                <w:rPr>
                                  <w:rFonts w:ascii="Arial" w:hAnsi="Arial" w:cs="Arial"/>
                                  <w:sz w:val="18"/>
                                  <w:szCs w:val="18"/>
                                </w:rPr>
                              </w:pPr>
                            </w:p>
                            <w:p w14:paraId="7BC3758D" w14:textId="77777777" w:rsidR="00E33E7A" w:rsidRPr="00474E8B" w:rsidRDefault="00E33E7A" w:rsidP="00317398">
                              <w:pPr>
                                <w:spacing w:line="240" w:lineRule="auto"/>
                                <w:rPr>
                                  <w:rFonts w:ascii="Arial" w:hAnsi="Arial" w:cs="Arial"/>
                                  <w:sz w:val="18"/>
                                  <w:szCs w:val="18"/>
                                </w:rPr>
                              </w:pPr>
                            </w:p>
                            <w:p w14:paraId="148196AA" w14:textId="70E3C734" w:rsidR="00E33E7A" w:rsidRPr="00474E8B" w:rsidRDefault="0044497D" w:rsidP="00317398">
                              <w:pPr>
                                <w:spacing w:line="240" w:lineRule="auto"/>
                                <w:rPr>
                                  <w:rFonts w:ascii="Arial" w:hAnsi="Arial" w:cs="Arial"/>
                                  <w:sz w:val="18"/>
                                  <w:szCs w:val="18"/>
                                </w:rPr>
                              </w:pPr>
                              <w:r>
                                <w:rPr>
                                  <w:rFonts w:ascii="Arial" w:hAnsi="Arial" w:cs="Arial"/>
                                  <w:sz w:val="18"/>
                                  <w:szCs w:val="18"/>
                                </w:rPr>
                                <w:t>06/06/2023</w:t>
                              </w:r>
                              <w:r w:rsidR="00E33E7A" w:rsidRPr="00474E8B">
                                <w:rPr>
                                  <w:rFonts w:ascii="Arial" w:hAnsi="Arial" w:cs="Arial"/>
                                  <w:sz w:val="18"/>
                                  <w:szCs w:val="18"/>
                                </w:rPr>
                                <w:tab/>
                              </w:r>
                              <w:r w:rsidR="00E33E7A" w:rsidRPr="00474E8B">
                                <w:rPr>
                                  <w:rFonts w:ascii="Arial" w:hAnsi="Arial" w:cs="Arial"/>
                                  <w:sz w:val="18"/>
                                  <w:szCs w:val="18"/>
                                </w:rPr>
                                <w:tab/>
                                <w:t>________________________</w:t>
                              </w:r>
                            </w:p>
                            <w:p w14:paraId="4A7DB5B9" w14:textId="77777777" w:rsidR="00E33E7A" w:rsidRPr="00474E8B" w:rsidRDefault="00E33E7A" w:rsidP="00317398">
                              <w:pPr>
                                <w:spacing w:line="240" w:lineRule="auto"/>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wps:txbx>
                        <wps:bodyPr rot="0" vert="horz" wrap="square" lIns="91440" tIns="45720" rIns="91440" bIns="45720" anchor="t" anchorCtr="0" upright="1">
                          <a:noAutofit/>
                        </wps:bodyPr>
                      </wps:wsp>
                    </wpc:wpc>
                  </a:graphicData>
                </a:graphic>
              </wp:inline>
            </w:drawing>
          </mc:Choice>
          <mc:Fallback>
            <w:pict>
              <v:group w14:anchorId="55A8EE51" id="Canvas 2" o:spid="_x0000_s1026" editas="canvas" style="width:313.5pt;height:121.5pt;mso-position-horizontal-relative:char;mso-position-vertical-relative:line" coordsize="39814,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814;height:1543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1206;width:36575;height:13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1B52E386" w14:textId="77777777" w:rsidR="00E33E7A" w:rsidRPr="006331C4" w:rsidRDefault="00E33E7A" w:rsidP="00317398">
                        <w:pPr>
                          <w:spacing w:line="240" w:lineRule="auto"/>
                          <w:jc w:val="center"/>
                          <w:rPr>
                            <w:rFonts w:ascii="Arial" w:hAnsi="Arial" w:cs="Arial"/>
                            <w:b/>
                            <w:sz w:val="18"/>
                            <w:szCs w:val="18"/>
                          </w:rPr>
                        </w:pPr>
                        <w:r w:rsidRPr="006331C4">
                          <w:rPr>
                            <w:rFonts w:ascii="Arial" w:hAnsi="Arial" w:cs="Arial"/>
                            <w:b/>
                            <w:sz w:val="18"/>
                            <w:szCs w:val="18"/>
                          </w:rPr>
                          <w:t>DELETE WHICHEVER IS NOT APPLICABLE</w:t>
                        </w:r>
                      </w:p>
                      <w:p w14:paraId="55EF5230" w14:textId="77777777" w:rsidR="00E33E7A" w:rsidRPr="00474E8B" w:rsidRDefault="00E33E7A" w:rsidP="00317398">
                        <w:pPr>
                          <w:spacing w:line="240" w:lineRule="auto"/>
                          <w:rPr>
                            <w:rFonts w:ascii="Arial" w:hAnsi="Arial" w:cs="Arial"/>
                            <w:sz w:val="18"/>
                            <w:szCs w:val="18"/>
                          </w:rPr>
                        </w:pPr>
                      </w:p>
                      <w:p w14:paraId="5930E95B" w14:textId="2EB02FF9" w:rsidR="00E33E7A" w:rsidRPr="00474E8B" w:rsidRDefault="001748B5" w:rsidP="001748B5">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(1)</w:t>
                        </w:r>
                        <w:r w:rsidRPr="00474E8B">
                          <w:rPr>
                            <w:rFonts w:ascii="Arial" w:hAnsi="Arial" w:cs="Arial"/>
                            <w:sz w:val="18"/>
                            <w:szCs w:val="18"/>
                          </w:rPr>
                          <w:tab/>
                        </w:r>
                        <w:r w:rsidR="00E33E7A" w:rsidRPr="00474E8B">
                          <w:rPr>
                            <w:rFonts w:ascii="Arial" w:hAnsi="Arial" w:cs="Arial"/>
                            <w:sz w:val="18"/>
                            <w:szCs w:val="18"/>
                          </w:rPr>
                          <w:t>REPORTABLE: YES/NO</w:t>
                        </w:r>
                      </w:p>
                      <w:p w14:paraId="447533CE" w14:textId="26EB5F35" w:rsidR="00E33E7A" w:rsidRPr="00474E8B" w:rsidRDefault="001748B5" w:rsidP="001748B5">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(2)</w:t>
                        </w:r>
                        <w:r w:rsidRPr="00474E8B">
                          <w:rPr>
                            <w:rFonts w:ascii="Arial" w:hAnsi="Arial" w:cs="Arial"/>
                            <w:sz w:val="18"/>
                            <w:szCs w:val="18"/>
                          </w:rPr>
                          <w:tab/>
                        </w:r>
                        <w:r w:rsidR="00E33E7A" w:rsidRPr="00474E8B">
                          <w:rPr>
                            <w:rFonts w:ascii="Arial" w:hAnsi="Arial" w:cs="Arial"/>
                            <w:sz w:val="18"/>
                            <w:szCs w:val="18"/>
                          </w:rPr>
                          <w:t>OF INTEREST TO OTHER JUDGES: YES/NO</w:t>
                        </w:r>
                      </w:p>
                      <w:p w14:paraId="5F514751" w14:textId="67B50771" w:rsidR="00E33E7A" w:rsidRPr="00474E8B" w:rsidRDefault="001748B5" w:rsidP="001748B5">
                        <w:pPr>
                          <w:tabs>
                            <w:tab w:val="left" w:pos="720"/>
                          </w:tabs>
                          <w:spacing w:line="240" w:lineRule="auto"/>
                          <w:ind w:left="720" w:hanging="720"/>
                          <w:jc w:val="left"/>
                          <w:rPr>
                            <w:rFonts w:ascii="Arial" w:hAnsi="Arial" w:cs="Arial"/>
                            <w:sz w:val="18"/>
                            <w:szCs w:val="18"/>
                          </w:rPr>
                        </w:pPr>
                        <w:r w:rsidRPr="00474E8B">
                          <w:rPr>
                            <w:rFonts w:ascii="Arial" w:hAnsi="Arial" w:cs="Arial"/>
                            <w:sz w:val="18"/>
                            <w:szCs w:val="18"/>
                          </w:rPr>
                          <w:t>(3)</w:t>
                        </w:r>
                        <w:r w:rsidRPr="00474E8B">
                          <w:rPr>
                            <w:rFonts w:ascii="Arial" w:hAnsi="Arial" w:cs="Arial"/>
                            <w:sz w:val="18"/>
                            <w:szCs w:val="18"/>
                          </w:rPr>
                          <w:tab/>
                        </w:r>
                        <w:r w:rsidR="00E33E7A" w:rsidRPr="00474E8B">
                          <w:rPr>
                            <w:rFonts w:ascii="Arial" w:hAnsi="Arial" w:cs="Arial"/>
                            <w:sz w:val="18"/>
                            <w:szCs w:val="18"/>
                          </w:rPr>
                          <w:t>REVISED</w:t>
                        </w:r>
                      </w:p>
                      <w:p w14:paraId="4C29D454" w14:textId="77777777" w:rsidR="00E33E7A" w:rsidRPr="00474E8B" w:rsidRDefault="00E33E7A" w:rsidP="00317398">
                        <w:pPr>
                          <w:spacing w:line="240" w:lineRule="auto"/>
                          <w:rPr>
                            <w:rFonts w:ascii="Arial" w:hAnsi="Arial" w:cs="Arial"/>
                            <w:sz w:val="18"/>
                            <w:szCs w:val="18"/>
                          </w:rPr>
                        </w:pPr>
                      </w:p>
                      <w:p w14:paraId="7BC3758D" w14:textId="77777777" w:rsidR="00E33E7A" w:rsidRPr="00474E8B" w:rsidRDefault="00E33E7A" w:rsidP="00317398">
                        <w:pPr>
                          <w:spacing w:line="240" w:lineRule="auto"/>
                          <w:rPr>
                            <w:rFonts w:ascii="Arial" w:hAnsi="Arial" w:cs="Arial"/>
                            <w:sz w:val="18"/>
                            <w:szCs w:val="18"/>
                          </w:rPr>
                        </w:pPr>
                      </w:p>
                      <w:p w14:paraId="148196AA" w14:textId="70E3C734" w:rsidR="00E33E7A" w:rsidRPr="00474E8B" w:rsidRDefault="0044497D" w:rsidP="00317398">
                        <w:pPr>
                          <w:spacing w:line="240" w:lineRule="auto"/>
                          <w:rPr>
                            <w:rFonts w:ascii="Arial" w:hAnsi="Arial" w:cs="Arial"/>
                            <w:sz w:val="18"/>
                            <w:szCs w:val="18"/>
                          </w:rPr>
                        </w:pPr>
                        <w:r>
                          <w:rPr>
                            <w:rFonts w:ascii="Arial" w:hAnsi="Arial" w:cs="Arial"/>
                            <w:sz w:val="18"/>
                            <w:szCs w:val="18"/>
                          </w:rPr>
                          <w:t>06/06/2023</w:t>
                        </w:r>
                        <w:r w:rsidR="00E33E7A" w:rsidRPr="00474E8B">
                          <w:rPr>
                            <w:rFonts w:ascii="Arial" w:hAnsi="Arial" w:cs="Arial"/>
                            <w:sz w:val="18"/>
                            <w:szCs w:val="18"/>
                          </w:rPr>
                          <w:tab/>
                        </w:r>
                        <w:r w:rsidR="00E33E7A" w:rsidRPr="00474E8B">
                          <w:rPr>
                            <w:rFonts w:ascii="Arial" w:hAnsi="Arial" w:cs="Arial"/>
                            <w:sz w:val="18"/>
                            <w:szCs w:val="18"/>
                          </w:rPr>
                          <w:tab/>
                          <w:t>________________________</w:t>
                        </w:r>
                      </w:p>
                      <w:p w14:paraId="4A7DB5B9" w14:textId="77777777" w:rsidR="00E33E7A" w:rsidRPr="00474E8B" w:rsidRDefault="00E33E7A" w:rsidP="00317398">
                        <w:pPr>
                          <w:spacing w:line="240" w:lineRule="auto"/>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v:textbox>
                </v:shape>
                <w10:anchorlock/>
              </v:group>
            </w:pict>
          </mc:Fallback>
        </mc:AlternateContent>
      </w:r>
    </w:p>
    <w:p w14:paraId="7955FBA2" w14:textId="5C1569CF" w:rsidR="001D383C" w:rsidRPr="005A39A5" w:rsidRDefault="00F54215" w:rsidP="001D383C">
      <w:pPr>
        <w:tabs>
          <w:tab w:val="right" w:pos="8505"/>
        </w:tabs>
        <w:rPr>
          <w:rFonts w:ascii="Arial" w:hAnsi="Arial" w:cs="Arial"/>
          <w:szCs w:val="24"/>
          <w:lang w:val="en-GB"/>
        </w:rPr>
      </w:pPr>
      <w:r w:rsidRPr="005A39A5">
        <w:rPr>
          <w:rFonts w:ascii="Arial" w:hAnsi="Arial" w:cs="Arial"/>
          <w:szCs w:val="24"/>
          <w:lang w:val="en-GB"/>
        </w:rPr>
        <w:t xml:space="preserve">In the </w:t>
      </w:r>
      <w:r w:rsidR="001D383C" w:rsidRPr="005A39A5">
        <w:rPr>
          <w:rFonts w:ascii="Arial" w:hAnsi="Arial" w:cs="Arial"/>
          <w:szCs w:val="24"/>
          <w:lang w:val="en-GB"/>
        </w:rPr>
        <w:t>application between:</w:t>
      </w:r>
    </w:p>
    <w:p w14:paraId="72A3759A" w14:textId="4942838E" w:rsidR="001D383C" w:rsidRPr="005A39A5" w:rsidRDefault="005A39A5" w:rsidP="001D383C">
      <w:pPr>
        <w:widowControl w:val="0"/>
        <w:tabs>
          <w:tab w:val="right" w:pos="9026"/>
        </w:tabs>
        <w:autoSpaceDE w:val="0"/>
        <w:autoSpaceDN w:val="0"/>
        <w:adjustRightInd w:val="0"/>
        <w:rPr>
          <w:rFonts w:ascii="Arial" w:eastAsiaTheme="minorEastAsia" w:hAnsi="Arial" w:cs="Arial"/>
          <w:b/>
          <w:color w:val="1A1818"/>
          <w:szCs w:val="24"/>
          <w:lang w:val="en-GB"/>
        </w:rPr>
      </w:pPr>
      <w:r w:rsidRPr="005A39A5">
        <w:rPr>
          <w:rFonts w:ascii="Arial" w:eastAsiaTheme="minorEastAsia" w:hAnsi="Arial" w:cs="Arial"/>
          <w:b/>
          <w:color w:val="1A1818"/>
          <w:szCs w:val="24"/>
          <w:lang w:val="en-GB"/>
        </w:rPr>
        <w:t>ZANELE PHILADELPHIA MASHAO N.O.</w:t>
      </w:r>
      <w:r>
        <w:rPr>
          <w:rFonts w:ascii="Arial" w:eastAsiaTheme="minorEastAsia" w:hAnsi="Arial" w:cs="Arial"/>
          <w:b/>
          <w:color w:val="1A1818"/>
          <w:szCs w:val="24"/>
          <w:lang w:val="en-GB"/>
        </w:rPr>
        <w:t xml:space="preserve">                                                   Applicant</w:t>
      </w:r>
      <w:r w:rsidR="001D383C" w:rsidRPr="005A39A5">
        <w:rPr>
          <w:rFonts w:ascii="Arial" w:eastAsiaTheme="minorEastAsia" w:hAnsi="Arial" w:cs="Arial"/>
          <w:b/>
          <w:color w:val="1A1818"/>
          <w:szCs w:val="24"/>
          <w:lang w:val="en-GB"/>
        </w:rPr>
        <w:tab/>
      </w:r>
    </w:p>
    <w:p w14:paraId="7D671174" w14:textId="77777777" w:rsidR="001D383C" w:rsidRPr="005A39A5" w:rsidRDefault="001D383C" w:rsidP="001D383C">
      <w:pPr>
        <w:widowControl w:val="0"/>
        <w:tabs>
          <w:tab w:val="right" w:pos="9026"/>
        </w:tabs>
        <w:autoSpaceDE w:val="0"/>
        <w:autoSpaceDN w:val="0"/>
        <w:adjustRightInd w:val="0"/>
        <w:rPr>
          <w:rFonts w:ascii="Arial" w:eastAsiaTheme="minorEastAsia" w:hAnsi="Arial" w:cs="Arial"/>
          <w:color w:val="1A1818"/>
          <w:szCs w:val="24"/>
          <w:lang w:val="en-GB"/>
        </w:rPr>
      </w:pPr>
      <w:r w:rsidRPr="005A39A5">
        <w:rPr>
          <w:rFonts w:ascii="Arial" w:eastAsiaTheme="minorEastAsia" w:hAnsi="Arial" w:cs="Arial"/>
          <w:color w:val="1A1818"/>
          <w:szCs w:val="24"/>
          <w:lang w:val="en-GB"/>
        </w:rPr>
        <w:t>and</w:t>
      </w:r>
    </w:p>
    <w:p w14:paraId="0A337688" w14:textId="7E1641CB" w:rsidR="003E014D" w:rsidRPr="005A39A5" w:rsidRDefault="005A39A5" w:rsidP="001D383C">
      <w:pPr>
        <w:widowControl w:val="0"/>
        <w:tabs>
          <w:tab w:val="right" w:pos="9026"/>
        </w:tabs>
        <w:autoSpaceDE w:val="0"/>
        <w:autoSpaceDN w:val="0"/>
        <w:adjustRightInd w:val="0"/>
        <w:rPr>
          <w:rFonts w:ascii="Arial" w:eastAsiaTheme="minorEastAsia" w:hAnsi="Arial" w:cs="Arial"/>
          <w:b/>
          <w:color w:val="1A1818"/>
          <w:szCs w:val="24"/>
          <w:lang w:val="en-GB"/>
        </w:rPr>
      </w:pPr>
      <w:r w:rsidRPr="005A39A5">
        <w:rPr>
          <w:rFonts w:ascii="Arial" w:eastAsiaTheme="minorEastAsia" w:hAnsi="Arial" w:cs="Arial"/>
          <w:b/>
          <w:color w:val="1A1818"/>
          <w:szCs w:val="24"/>
          <w:lang w:val="en-GB"/>
        </w:rPr>
        <w:t>GOVERNMENT EMPLOYEES PENSION FUND</w:t>
      </w:r>
      <w:r w:rsidR="003E014D" w:rsidRPr="005A39A5">
        <w:rPr>
          <w:rFonts w:ascii="Arial" w:eastAsiaTheme="minorEastAsia" w:hAnsi="Arial" w:cs="Arial"/>
          <w:b/>
          <w:color w:val="1A1818"/>
          <w:szCs w:val="24"/>
          <w:lang w:val="en-GB"/>
        </w:rPr>
        <w:tab/>
      </w:r>
      <w:r>
        <w:rPr>
          <w:rFonts w:ascii="Arial" w:eastAsiaTheme="minorEastAsia" w:hAnsi="Arial" w:cs="Arial"/>
          <w:b/>
          <w:color w:val="1A1818"/>
          <w:szCs w:val="24"/>
          <w:lang w:val="en-GB"/>
        </w:rPr>
        <w:t>First Respondent</w:t>
      </w:r>
    </w:p>
    <w:p w14:paraId="65F6B15C" w14:textId="055D4F54" w:rsidR="003E014D" w:rsidRPr="005A39A5" w:rsidRDefault="005A39A5" w:rsidP="001D383C">
      <w:pPr>
        <w:widowControl w:val="0"/>
        <w:tabs>
          <w:tab w:val="right" w:pos="9026"/>
        </w:tabs>
        <w:autoSpaceDE w:val="0"/>
        <w:autoSpaceDN w:val="0"/>
        <w:adjustRightInd w:val="0"/>
        <w:rPr>
          <w:rFonts w:ascii="Arial" w:eastAsiaTheme="minorEastAsia" w:hAnsi="Arial" w:cs="Arial"/>
          <w:b/>
          <w:color w:val="1A1818"/>
          <w:szCs w:val="24"/>
          <w:lang w:val="en-GB"/>
        </w:rPr>
      </w:pPr>
      <w:r w:rsidRPr="005A39A5">
        <w:rPr>
          <w:rFonts w:ascii="Arial" w:eastAsiaTheme="minorEastAsia" w:hAnsi="Arial" w:cs="Arial"/>
          <w:b/>
          <w:color w:val="1A1818"/>
          <w:szCs w:val="24"/>
          <w:lang w:val="en-GB"/>
        </w:rPr>
        <w:t>GOVERNMENT PENSIONS ADMINISTRATION AGENCY</w:t>
      </w:r>
      <w:r w:rsidR="003E014D" w:rsidRPr="005A39A5">
        <w:rPr>
          <w:rFonts w:ascii="Arial" w:eastAsiaTheme="minorEastAsia" w:hAnsi="Arial" w:cs="Arial"/>
          <w:b/>
          <w:color w:val="1A1818"/>
          <w:szCs w:val="24"/>
          <w:lang w:val="en-GB"/>
        </w:rPr>
        <w:tab/>
      </w:r>
      <w:r>
        <w:rPr>
          <w:rFonts w:ascii="Arial" w:eastAsiaTheme="minorEastAsia" w:hAnsi="Arial" w:cs="Arial"/>
          <w:b/>
          <w:color w:val="1A1818"/>
          <w:szCs w:val="24"/>
          <w:lang w:val="en-GB"/>
        </w:rPr>
        <w:t xml:space="preserve">Second </w:t>
      </w:r>
      <w:r w:rsidRPr="005A39A5">
        <w:rPr>
          <w:rFonts w:ascii="Arial" w:eastAsiaTheme="minorEastAsia" w:hAnsi="Arial" w:cs="Arial"/>
          <w:b/>
          <w:color w:val="1A1818"/>
          <w:szCs w:val="24"/>
          <w:lang w:val="en-GB"/>
        </w:rPr>
        <w:t>Respondent</w:t>
      </w:r>
    </w:p>
    <w:p w14:paraId="76157CAF" w14:textId="78CD76B2" w:rsidR="001D383C" w:rsidRDefault="005A39A5" w:rsidP="001D383C">
      <w:pPr>
        <w:widowControl w:val="0"/>
        <w:tabs>
          <w:tab w:val="right" w:pos="9026"/>
        </w:tabs>
        <w:autoSpaceDE w:val="0"/>
        <w:autoSpaceDN w:val="0"/>
        <w:adjustRightInd w:val="0"/>
        <w:rPr>
          <w:rFonts w:ascii="Arial" w:eastAsiaTheme="minorEastAsia" w:hAnsi="Arial" w:cs="Arial"/>
          <w:b/>
          <w:color w:val="1A1818"/>
          <w:szCs w:val="24"/>
          <w:lang w:val="en-GB"/>
        </w:rPr>
      </w:pPr>
      <w:r w:rsidRPr="005A39A5">
        <w:rPr>
          <w:rFonts w:ascii="Arial" w:eastAsiaTheme="minorEastAsia" w:hAnsi="Arial" w:cs="Arial"/>
          <w:b/>
          <w:color w:val="1A1818"/>
          <w:szCs w:val="24"/>
          <w:lang w:val="en-GB"/>
        </w:rPr>
        <w:t>MEC FOR HEALT</w:t>
      </w:r>
      <w:r>
        <w:rPr>
          <w:rFonts w:ascii="Arial" w:eastAsiaTheme="minorEastAsia" w:hAnsi="Arial" w:cs="Arial"/>
          <w:b/>
          <w:color w:val="1A1818"/>
          <w:szCs w:val="24"/>
          <w:lang w:val="en-GB"/>
        </w:rPr>
        <w:t>H: GAUTENG PROVINCIAL GOVERNMENT</w:t>
      </w:r>
      <w:r w:rsidR="003E014D" w:rsidRPr="005A39A5">
        <w:rPr>
          <w:rFonts w:ascii="Arial" w:eastAsiaTheme="minorEastAsia" w:hAnsi="Arial" w:cs="Arial"/>
          <w:b/>
          <w:color w:val="1A1818"/>
          <w:szCs w:val="24"/>
          <w:lang w:val="en-GB"/>
        </w:rPr>
        <w:tab/>
      </w:r>
      <w:r>
        <w:rPr>
          <w:rFonts w:ascii="Arial" w:eastAsiaTheme="minorEastAsia" w:hAnsi="Arial" w:cs="Arial"/>
          <w:b/>
          <w:color w:val="1A1818"/>
          <w:szCs w:val="24"/>
          <w:lang w:val="en-GB"/>
        </w:rPr>
        <w:t xml:space="preserve">Third </w:t>
      </w:r>
      <w:r w:rsidRPr="005A39A5">
        <w:rPr>
          <w:rFonts w:ascii="Arial" w:eastAsiaTheme="minorEastAsia" w:hAnsi="Arial" w:cs="Arial"/>
          <w:b/>
          <w:color w:val="1A1818"/>
          <w:szCs w:val="24"/>
          <w:lang w:val="en-GB"/>
        </w:rPr>
        <w:t>Respondent</w:t>
      </w:r>
    </w:p>
    <w:p w14:paraId="071DE918" w14:textId="0AE353FF" w:rsidR="005A39A5" w:rsidRDefault="005A39A5" w:rsidP="001D383C">
      <w:pPr>
        <w:widowControl w:val="0"/>
        <w:tabs>
          <w:tab w:val="right" w:pos="9026"/>
        </w:tabs>
        <w:autoSpaceDE w:val="0"/>
        <w:autoSpaceDN w:val="0"/>
        <w:adjustRightInd w:val="0"/>
        <w:rPr>
          <w:rFonts w:ascii="Arial" w:eastAsiaTheme="minorEastAsia" w:hAnsi="Arial" w:cs="Arial"/>
          <w:b/>
          <w:color w:val="1A1818"/>
          <w:szCs w:val="24"/>
          <w:lang w:val="en-GB"/>
        </w:rPr>
      </w:pPr>
      <w:r>
        <w:rPr>
          <w:rFonts w:ascii="Arial" w:eastAsiaTheme="minorEastAsia" w:hAnsi="Arial" w:cs="Arial"/>
          <w:b/>
          <w:color w:val="1A1818"/>
          <w:szCs w:val="24"/>
          <w:lang w:val="en-GB"/>
        </w:rPr>
        <w:t>MASTER OF THE HIGH COURT: JOHANNESBURG                    Fourth Respondent</w:t>
      </w:r>
    </w:p>
    <w:p w14:paraId="4E1A0187" w14:textId="1821329F" w:rsidR="0044497D" w:rsidRDefault="0044497D" w:rsidP="001D383C">
      <w:pPr>
        <w:widowControl w:val="0"/>
        <w:tabs>
          <w:tab w:val="right" w:pos="9026"/>
        </w:tabs>
        <w:autoSpaceDE w:val="0"/>
        <w:autoSpaceDN w:val="0"/>
        <w:adjustRightInd w:val="0"/>
        <w:rPr>
          <w:rFonts w:ascii="Arial" w:eastAsiaTheme="minorEastAsia" w:hAnsi="Arial" w:cs="Arial"/>
          <w:b/>
          <w:color w:val="1A1818"/>
          <w:szCs w:val="24"/>
          <w:lang w:val="en-GB"/>
        </w:rPr>
      </w:pPr>
    </w:p>
    <w:p w14:paraId="3D45C0EA" w14:textId="5A15EE88" w:rsidR="0044497D" w:rsidRPr="0044497D" w:rsidRDefault="0044497D" w:rsidP="001D383C">
      <w:pPr>
        <w:widowControl w:val="0"/>
        <w:tabs>
          <w:tab w:val="right" w:pos="9026"/>
        </w:tabs>
        <w:autoSpaceDE w:val="0"/>
        <w:autoSpaceDN w:val="0"/>
        <w:adjustRightInd w:val="0"/>
        <w:rPr>
          <w:rFonts w:ascii="Arial" w:eastAsiaTheme="minorEastAsia" w:hAnsi="Arial" w:cs="Arial"/>
          <w:b/>
          <w:color w:val="1A1818"/>
          <w:szCs w:val="24"/>
          <w:lang w:val="en-US"/>
        </w:rPr>
      </w:pPr>
      <w:r w:rsidRPr="0044497D">
        <w:rPr>
          <w:rFonts w:ascii="Arial" w:eastAsiaTheme="minorEastAsia" w:hAnsi="Arial" w:cs="Arial"/>
          <w:b/>
          <w:color w:val="1A1818"/>
          <w:szCs w:val="24"/>
          <w:lang w:val="en-US"/>
        </w:rPr>
        <w:t xml:space="preserve">Neutral Citation:  </w:t>
      </w:r>
      <w:r>
        <w:rPr>
          <w:rFonts w:ascii="Arial" w:eastAsiaTheme="minorEastAsia" w:hAnsi="Arial" w:cs="Arial"/>
          <w:i/>
          <w:color w:val="1A1818"/>
          <w:szCs w:val="24"/>
          <w:lang w:val="en-US"/>
        </w:rPr>
        <w:t>Zanele Philadelphia Mashao N.O. v Government Employees Pension Fund &amp; 3 Others</w:t>
      </w:r>
      <w:r w:rsidRPr="0044497D">
        <w:rPr>
          <w:rFonts w:ascii="Arial" w:eastAsiaTheme="minorEastAsia" w:hAnsi="Arial" w:cs="Arial"/>
          <w:i/>
          <w:color w:val="1A1818"/>
          <w:szCs w:val="24"/>
          <w:lang w:val="en-US"/>
        </w:rPr>
        <w:t xml:space="preserve"> </w:t>
      </w:r>
      <w:r w:rsidRPr="0044497D">
        <w:rPr>
          <w:rFonts w:ascii="Arial" w:eastAsiaTheme="minorEastAsia" w:hAnsi="Arial" w:cs="Arial"/>
          <w:color w:val="1A1818"/>
          <w:szCs w:val="24"/>
          <w:lang w:val="en-US"/>
        </w:rPr>
        <w:t xml:space="preserve">(Case No. </w:t>
      </w:r>
      <w:r w:rsidRPr="0044497D">
        <w:rPr>
          <w:rFonts w:ascii="Arial" w:hAnsi="Arial" w:cs="Arial"/>
          <w:szCs w:val="24"/>
          <w:lang w:val="en-GB"/>
        </w:rPr>
        <w:t>5382/2022</w:t>
      </w:r>
      <w:r w:rsidRPr="0044497D">
        <w:rPr>
          <w:rFonts w:ascii="Arial" w:eastAsiaTheme="minorEastAsia" w:hAnsi="Arial" w:cs="Arial"/>
          <w:color w:val="1A1818"/>
          <w:szCs w:val="24"/>
          <w:lang w:val="en-US"/>
        </w:rPr>
        <w:t xml:space="preserve">) [2023] ZAGPJHC </w:t>
      </w:r>
      <w:r>
        <w:rPr>
          <w:rFonts w:ascii="Arial" w:eastAsiaTheme="minorEastAsia" w:hAnsi="Arial" w:cs="Arial"/>
          <w:color w:val="1A1818"/>
          <w:szCs w:val="24"/>
          <w:lang w:val="en-US"/>
        </w:rPr>
        <w:t>655 (6</w:t>
      </w:r>
      <w:r w:rsidRPr="0044497D">
        <w:rPr>
          <w:rFonts w:ascii="Arial" w:eastAsiaTheme="minorEastAsia" w:hAnsi="Arial" w:cs="Arial"/>
          <w:color w:val="1A1818"/>
          <w:szCs w:val="24"/>
          <w:lang w:val="en-US"/>
        </w:rPr>
        <w:t xml:space="preserve"> May 2023)</w:t>
      </w:r>
    </w:p>
    <w:p w14:paraId="3EFFA0FB" w14:textId="7E78C257" w:rsidR="009C77B4" w:rsidRPr="005A39A5" w:rsidRDefault="001D383C" w:rsidP="001D383C">
      <w:pPr>
        <w:pBdr>
          <w:bottom w:val="single" w:sz="12" w:space="1" w:color="auto"/>
        </w:pBdr>
        <w:rPr>
          <w:rFonts w:ascii="Arial" w:hAnsi="Arial" w:cs="Arial"/>
          <w:szCs w:val="24"/>
          <w:lang w:val="en-GB"/>
        </w:rPr>
      </w:pPr>
      <w:r w:rsidRPr="005A39A5">
        <w:rPr>
          <w:rFonts w:ascii="Arial" w:hAnsi="Arial" w:cs="Arial"/>
          <w:szCs w:val="24"/>
          <w:lang w:val="en-GB"/>
        </w:rPr>
        <w:tab/>
      </w:r>
      <w:r w:rsidRPr="005A39A5">
        <w:rPr>
          <w:rFonts w:ascii="Arial" w:hAnsi="Arial" w:cs="Arial"/>
          <w:szCs w:val="24"/>
          <w:lang w:val="en-GB"/>
        </w:rPr>
        <w:tab/>
      </w:r>
      <w:r w:rsidRPr="005A39A5">
        <w:rPr>
          <w:rFonts w:ascii="Arial" w:hAnsi="Arial" w:cs="Arial"/>
          <w:szCs w:val="24"/>
          <w:lang w:val="en-GB"/>
        </w:rPr>
        <w:tab/>
      </w:r>
      <w:r w:rsidRPr="005A39A5">
        <w:rPr>
          <w:rFonts w:ascii="Arial" w:hAnsi="Arial" w:cs="Arial"/>
          <w:szCs w:val="24"/>
          <w:lang w:val="en-GB"/>
        </w:rPr>
        <w:tab/>
      </w:r>
      <w:r w:rsidRPr="005A39A5">
        <w:rPr>
          <w:rFonts w:ascii="Arial" w:hAnsi="Arial" w:cs="Arial"/>
          <w:szCs w:val="24"/>
          <w:lang w:val="en-GB"/>
        </w:rPr>
        <w:tab/>
      </w:r>
      <w:r w:rsidRPr="005A39A5">
        <w:rPr>
          <w:rFonts w:ascii="Arial" w:hAnsi="Arial" w:cs="Arial"/>
          <w:szCs w:val="24"/>
          <w:lang w:val="en-GB"/>
        </w:rPr>
        <w:tab/>
      </w:r>
      <w:r w:rsidR="0071222A" w:rsidRPr="005A39A5">
        <w:rPr>
          <w:rFonts w:ascii="Arial" w:hAnsi="Arial" w:cs="Arial"/>
          <w:szCs w:val="24"/>
          <w:lang w:val="en-GB"/>
        </w:rPr>
        <w:tab/>
      </w:r>
      <w:r w:rsidRPr="005A39A5">
        <w:rPr>
          <w:rFonts w:ascii="Arial" w:hAnsi="Arial" w:cs="Arial"/>
          <w:szCs w:val="24"/>
          <w:lang w:val="en-GB"/>
        </w:rPr>
        <w:t xml:space="preserve"> </w:t>
      </w:r>
    </w:p>
    <w:p w14:paraId="6FCF92AD" w14:textId="77777777" w:rsidR="001D383C" w:rsidRPr="005A39A5" w:rsidRDefault="001D383C" w:rsidP="00802B1D">
      <w:pPr>
        <w:spacing w:line="360" w:lineRule="auto"/>
        <w:rPr>
          <w:rFonts w:ascii="Arial" w:hAnsi="Arial" w:cs="Arial"/>
          <w:szCs w:val="24"/>
        </w:rPr>
      </w:pPr>
    </w:p>
    <w:p w14:paraId="093ADA5B" w14:textId="77777777" w:rsidR="001D383C" w:rsidRPr="005A39A5" w:rsidRDefault="001D383C" w:rsidP="00802B1D">
      <w:pPr>
        <w:spacing w:line="360" w:lineRule="auto"/>
        <w:jc w:val="center"/>
        <w:rPr>
          <w:rFonts w:ascii="Arial" w:hAnsi="Arial" w:cs="Arial"/>
          <w:b/>
          <w:szCs w:val="24"/>
        </w:rPr>
      </w:pPr>
      <w:r w:rsidRPr="005A39A5">
        <w:rPr>
          <w:rFonts w:ascii="Arial" w:hAnsi="Arial" w:cs="Arial"/>
          <w:b/>
          <w:szCs w:val="24"/>
        </w:rPr>
        <w:t xml:space="preserve">JUDGMENT </w:t>
      </w:r>
    </w:p>
    <w:p w14:paraId="31D790ED" w14:textId="77777777" w:rsidR="001D383C" w:rsidRPr="005A39A5" w:rsidRDefault="001D383C" w:rsidP="00802B1D">
      <w:pPr>
        <w:pBdr>
          <w:bottom w:val="single" w:sz="12" w:space="1" w:color="auto"/>
        </w:pBdr>
        <w:spacing w:line="360" w:lineRule="auto"/>
        <w:rPr>
          <w:rFonts w:ascii="Arial" w:hAnsi="Arial" w:cs="Arial"/>
          <w:szCs w:val="24"/>
        </w:rPr>
      </w:pPr>
    </w:p>
    <w:p w14:paraId="35DFB2F5" w14:textId="408D451A" w:rsidR="001D383C" w:rsidRPr="005A39A5" w:rsidRDefault="001D383C" w:rsidP="00802B1D">
      <w:pPr>
        <w:spacing w:line="360" w:lineRule="auto"/>
        <w:rPr>
          <w:rFonts w:ascii="Arial" w:hAnsi="Arial" w:cs="Arial"/>
          <w:szCs w:val="24"/>
        </w:rPr>
      </w:pPr>
    </w:p>
    <w:p w14:paraId="61E13931" w14:textId="399C0AFD" w:rsidR="001D383C" w:rsidRPr="005A39A5" w:rsidRDefault="003E014D" w:rsidP="00802B1D">
      <w:pPr>
        <w:spacing w:line="360" w:lineRule="auto"/>
        <w:rPr>
          <w:rFonts w:ascii="Arial" w:hAnsi="Arial" w:cs="Arial"/>
          <w:szCs w:val="24"/>
        </w:rPr>
      </w:pPr>
      <w:r w:rsidRPr="005A39A5">
        <w:rPr>
          <w:rFonts w:ascii="Arial" w:hAnsi="Arial" w:cs="Arial"/>
          <w:b/>
          <w:bCs/>
          <w:szCs w:val="24"/>
          <w:u w:val="single"/>
        </w:rPr>
        <w:t>DE VOS</w:t>
      </w:r>
      <w:r w:rsidR="00F54215" w:rsidRPr="005A39A5">
        <w:rPr>
          <w:rFonts w:ascii="Arial" w:hAnsi="Arial" w:cs="Arial"/>
          <w:b/>
          <w:bCs/>
          <w:szCs w:val="24"/>
          <w:u w:val="single"/>
        </w:rPr>
        <w:t xml:space="preserve"> AJ</w:t>
      </w:r>
      <w:r w:rsidR="001D383C" w:rsidRPr="005A39A5">
        <w:rPr>
          <w:rFonts w:ascii="Arial" w:hAnsi="Arial" w:cs="Arial"/>
          <w:szCs w:val="24"/>
        </w:rPr>
        <w:t xml:space="preserve">: </w:t>
      </w:r>
    </w:p>
    <w:p w14:paraId="185C04FD" w14:textId="023BECDD" w:rsidR="001D383C" w:rsidRPr="005A39A5" w:rsidRDefault="001D383C" w:rsidP="00802B1D">
      <w:pPr>
        <w:spacing w:line="360" w:lineRule="auto"/>
        <w:rPr>
          <w:rFonts w:ascii="Arial" w:hAnsi="Arial" w:cs="Arial"/>
          <w:szCs w:val="24"/>
        </w:rPr>
      </w:pPr>
    </w:p>
    <w:p w14:paraId="4FFA9ADF" w14:textId="38625169" w:rsidR="00226403" w:rsidRPr="005A39A5" w:rsidRDefault="00226403" w:rsidP="00802B1D">
      <w:pPr>
        <w:spacing w:line="360" w:lineRule="auto"/>
        <w:rPr>
          <w:rFonts w:ascii="Arial" w:hAnsi="Arial" w:cs="Arial"/>
          <w:szCs w:val="24"/>
        </w:rPr>
      </w:pPr>
    </w:p>
    <w:p w14:paraId="2ED9F19A" w14:textId="2C438FE6" w:rsidR="00226403" w:rsidRPr="005A39A5" w:rsidRDefault="00226403" w:rsidP="00802B1D">
      <w:pPr>
        <w:spacing w:line="360" w:lineRule="auto"/>
        <w:rPr>
          <w:rFonts w:ascii="Arial" w:hAnsi="Arial" w:cs="Arial"/>
          <w:szCs w:val="24"/>
        </w:rPr>
      </w:pPr>
    </w:p>
    <w:p w14:paraId="36F43F39" w14:textId="3DCF6A1D" w:rsidR="00226403" w:rsidRPr="005A39A5" w:rsidRDefault="00226403" w:rsidP="00802B1D">
      <w:pPr>
        <w:spacing w:line="360" w:lineRule="auto"/>
        <w:rPr>
          <w:rFonts w:ascii="Arial" w:hAnsi="Arial" w:cs="Arial"/>
          <w:szCs w:val="24"/>
        </w:rPr>
      </w:pPr>
    </w:p>
    <w:p w14:paraId="5926BB31" w14:textId="08413A5F" w:rsidR="00226403" w:rsidRPr="005A39A5" w:rsidRDefault="00226403" w:rsidP="00802B1D">
      <w:pPr>
        <w:spacing w:line="360" w:lineRule="auto"/>
        <w:rPr>
          <w:rFonts w:ascii="Arial" w:hAnsi="Arial" w:cs="Arial"/>
          <w:szCs w:val="24"/>
        </w:rPr>
      </w:pPr>
    </w:p>
    <w:p w14:paraId="4968F3AD" w14:textId="03B2AD1A" w:rsidR="00226403" w:rsidRPr="005A39A5" w:rsidRDefault="00226403" w:rsidP="00802B1D">
      <w:pPr>
        <w:spacing w:line="360" w:lineRule="auto"/>
        <w:rPr>
          <w:rFonts w:ascii="Arial" w:hAnsi="Arial" w:cs="Arial"/>
          <w:szCs w:val="24"/>
        </w:rPr>
      </w:pPr>
    </w:p>
    <w:p w14:paraId="78A76C73" w14:textId="43E5C0A3" w:rsidR="00226403" w:rsidRPr="005A39A5" w:rsidRDefault="00226403" w:rsidP="00802B1D">
      <w:pPr>
        <w:spacing w:line="360" w:lineRule="auto"/>
        <w:rPr>
          <w:rFonts w:ascii="Arial" w:hAnsi="Arial" w:cs="Arial"/>
          <w:szCs w:val="24"/>
        </w:rPr>
      </w:pPr>
    </w:p>
    <w:p w14:paraId="0D053D5D" w14:textId="77777777" w:rsidR="00802B1D" w:rsidRPr="005A39A5" w:rsidRDefault="00802B1D" w:rsidP="00802B1D">
      <w:pPr>
        <w:spacing w:line="360" w:lineRule="auto"/>
        <w:jc w:val="center"/>
        <w:rPr>
          <w:rFonts w:ascii="Arial" w:hAnsi="Arial" w:cs="Arial"/>
          <w:szCs w:val="24"/>
        </w:rPr>
      </w:pPr>
    </w:p>
    <w:p w14:paraId="10764038" w14:textId="45444918" w:rsidR="00E21A5E" w:rsidRPr="001748B5" w:rsidRDefault="001748B5" w:rsidP="001748B5">
      <w:pPr>
        <w:ind w:left="567" w:hanging="567"/>
        <w:rPr>
          <w:rFonts w:ascii="Arial" w:hAnsi="Arial" w:cs="Arial"/>
          <w:szCs w:val="24"/>
        </w:rPr>
      </w:pPr>
      <w:r>
        <w:rPr>
          <w:rFonts w:ascii="Arial" w:hAnsi="Arial" w:cs="Arial"/>
          <w:szCs w:val="24"/>
        </w:rPr>
        <w:t>[1]</w:t>
      </w:r>
      <w:r>
        <w:rPr>
          <w:rFonts w:ascii="Arial" w:hAnsi="Arial" w:cs="Arial"/>
          <w:szCs w:val="24"/>
        </w:rPr>
        <w:tab/>
      </w:r>
      <w:r w:rsidR="003E3956" w:rsidRPr="001748B5">
        <w:rPr>
          <w:rFonts w:ascii="Arial" w:hAnsi="Arial" w:cs="Arial"/>
          <w:szCs w:val="24"/>
        </w:rPr>
        <w:t>Ms Thokozile Jaqueline Dingisway</w:t>
      </w:r>
      <w:r w:rsidR="00877C04" w:rsidRPr="001748B5">
        <w:rPr>
          <w:rFonts w:ascii="Arial" w:hAnsi="Arial" w:cs="Arial"/>
          <w:szCs w:val="24"/>
        </w:rPr>
        <w:t>o</w:t>
      </w:r>
      <w:r w:rsidR="003E3956" w:rsidRPr="001748B5">
        <w:rPr>
          <w:rFonts w:ascii="Arial" w:hAnsi="Arial" w:cs="Arial"/>
          <w:szCs w:val="24"/>
        </w:rPr>
        <w:t xml:space="preserve"> was employed by the third respondent ("the Department")</w:t>
      </w:r>
      <w:r w:rsidR="006E5909" w:rsidRPr="001748B5">
        <w:rPr>
          <w:rFonts w:ascii="Arial" w:hAnsi="Arial" w:cs="Arial"/>
          <w:szCs w:val="24"/>
        </w:rPr>
        <w:t xml:space="preserve"> and</w:t>
      </w:r>
      <w:r w:rsidR="003E3956" w:rsidRPr="001748B5">
        <w:rPr>
          <w:rFonts w:ascii="Arial" w:hAnsi="Arial" w:cs="Arial"/>
          <w:szCs w:val="24"/>
        </w:rPr>
        <w:t xml:space="preserve"> was a member of the first respondent ("the Fund").  She has passed away.  </w:t>
      </w:r>
      <w:r w:rsidR="00954745" w:rsidRPr="001748B5">
        <w:rPr>
          <w:rFonts w:ascii="Arial" w:hAnsi="Arial" w:cs="Arial"/>
          <w:szCs w:val="24"/>
        </w:rPr>
        <w:t>The applicant,</w:t>
      </w:r>
      <w:r w:rsidR="003E3956" w:rsidRPr="001748B5">
        <w:rPr>
          <w:rFonts w:ascii="Arial" w:hAnsi="Arial" w:cs="Arial"/>
          <w:szCs w:val="24"/>
        </w:rPr>
        <w:t xml:space="preserve"> Ms Mashao is </w:t>
      </w:r>
      <w:r w:rsidR="006E5909" w:rsidRPr="001748B5">
        <w:rPr>
          <w:rFonts w:ascii="Arial" w:hAnsi="Arial" w:cs="Arial"/>
          <w:szCs w:val="24"/>
        </w:rPr>
        <w:t>handling Ms Dingiswayo's</w:t>
      </w:r>
      <w:r w:rsidR="003E3956" w:rsidRPr="001748B5">
        <w:rPr>
          <w:rFonts w:ascii="Arial" w:hAnsi="Arial" w:cs="Arial"/>
          <w:szCs w:val="24"/>
        </w:rPr>
        <w:t xml:space="preserve"> estate.  </w:t>
      </w:r>
      <w:r w:rsidR="006E5909" w:rsidRPr="001748B5">
        <w:rPr>
          <w:rFonts w:ascii="Arial" w:hAnsi="Arial" w:cs="Arial"/>
          <w:szCs w:val="24"/>
        </w:rPr>
        <w:t xml:space="preserve">In this capacity, </w:t>
      </w:r>
      <w:r w:rsidR="003E3956" w:rsidRPr="001748B5">
        <w:rPr>
          <w:rFonts w:ascii="Arial" w:hAnsi="Arial" w:cs="Arial"/>
          <w:szCs w:val="24"/>
        </w:rPr>
        <w:t>Ms Mashao lodged a claim for payment of leave days, pension and death benefits</w:t>
      </w:r>
      <w:r w:rsidR="006E5909" w:rsidRPr="001748B5">
        <w:rPr>
          <w:rFonts w:ascii="Arial" w:hAnsi="Arial" w:cs="Arial"/>
          <w:szCs w:val="24"/>
        </w:rPr>
        <w:t xml:space="preserve">, on behalf of Ms Dingiswayo's estate </w:t>
      </w:r>
      <w:r w:rsidR="003E3956" w:rsidRPr="001748B5">
        <w:rPr>
          <w:rFonts w:ascii="Arial" w:hAnsi="Arial" w:cs="Arial"/>
          <w:szCs w:val="24"/>
        </w:rPr>
        <w:t>with the Fund</w:t>
      </w:r>
      <w:r w:rsidR="00071537" w:rsidRPr="001748B5">
        <w:rPr>
          <w:rFonts w:ascii="Arial" w:hAnsi="Arial" w:cs="Arial"/>
          <w:szCs w:val="24"/>
        </w:rPr>
        <w:t xml:space="preserve"> in 2018</w:t>
      </w:r>
      <w:r w:rsidR="003E3956" w:rsidRPr="001748B5">
        <w:rPr>
          <w:rFonts w:ascii="Arial" w:hAnsi="Arial" w:cs="Arial"/>
          <w:szCs w:val="24"/>
        </w:rPr>
        <w:t xml:space="preserve">.  </w:t>
      </w:r>
    </w:p>
    <w:p w14:paraId="17849FB7" w14:textId="07C4BB76" w:rsidR="006E5909" w:rsidRPr="001748B5" w:rsidRDefault="001748B5" w:rsidP="001748B5">
      <w:pPr>
        <w:ind w:left="567" w:hanging="567"/>
        <w:rPr>
          <w:rFonts w:ascii="Arial" w:hAnsi="Arial" w:cs="Arial"/>
          <w:szCs w:val="24"/>
        </w:rPr>
      </w:pPr>
      <w:r>
        <w:rPr>
          <w:rFonts w:ascii="Arial" w:hAnsi="Arial" w:cs="Arial"/>
          <w:szCs w:val="24"/>
        </w:rPr>
        <w:t>[2]</w:t>
      </w:r>
      <w:r>
        <w:rPr>
          <w:rFonts w:ascii="Arial" w:hAnsi="Arial" w:cs="Arial"/>
          <w:szCs w:val="24"/>
        </w:rPr>
        <w:tab/>
      </w:r>
      <w:r w:rsidR="00071537" w:rsidRPr="001748B5">
        <w:rPr>
          <w:rFonts w:ascii="Arial" w:hAnsi="Arial" w:cs="Arial"/>
          <w:szCs w:val="24"/>
        </w:rPr>
        <w:t>Ms Mashao spent four years responding to requests for documents from the Fund and the Department.  The documents Ms Mash</w:t>
      </w:r>
      <w:r w:rsidR="002B6D44" w:rsidRPr="001748B5">
        <w:rPr>
          <w:rFonts w:ascii="Arial" w:hAnsi="Arial" w:cs="Arial"/>
          <w:szCs w:val="24"/>
        </w:rPr>
        <w:t>ao</w:t>
      </w:r>
      <w:r w:rsidR="00071537" w:rsidRPr="001748B5">
        <w:rPr>
          <w:rFonts w:ascii="Arial" w:hAnsi="Arial" w:cs="Arial"/>
          <w:szCs w:val="24"/>
        </w:rPr>
        <w:t xml:space="preserve"> submitted went missing.  She resubmi</w:t>
      </w:r>
      <w:r w:rsidR="000A401A" w:rsidRPr="001748B5">
        <w:rPr>
          <w:rFonts w:ascii="Arial" w:hAnsi="Arial" w:cs="Arial"/>
          <w:szCs w:val="24"/>
        </w:rPr>
        <w:t>tted the forms</w:t>
      </w:r>
      <w:r w:rsidR="00071537" w:rsidRPr="001748B5">
        <w:rPr>
          <w:rFonts w:ascii="Arial" w:hAnsi="Arial" w:cs="Arial"/>
          <w:szCs w:val="24"/>
        </w:rPr>
        <w:t xml:space="preserve">.  The claim </w:t>
      </w:r>
      <w:r w:rsidR="006E5909" w:rsidRPr="001748B5">
        <w:rPr>
          <w:rFonts w:ascii="Arial" w:hAnsi="Arial" w:cs="Arial"/>
          <w:szCs w:val="24"/>
        </w:rPr>
        <w:t>wa</w:t>
      </w:r>
      <w:r w:rsidR="00071537" w:rsidRPr="001748B5">
        <w:rPr>
          <w:rFonts w:ascii="Arial" w:hAnsi="Arial" w:cs="Arial"/>
          <w:szCs w:val="24"/>
        </w:rPr>
        <w:t>s not processed. Her requests for responses</w:t>
      </w:r>
      <w:r w:rsidR="006E5909" w:rsidRPr="001748B5">
        <w:rPr>
          <w:rFonts w:ascii="Arial" w:hAnsi="Arial" w:cs="Arial"/>
          <w:szCs w:val="24"/>
        </w:rPr>
        <w:t xml:space="preserve"> were</w:t>
      </w:r>
      <w:r w:rsidR="00071537" w:rsidRPr="001748B5">
        <w:rPr>
          <w:rFonts w:ascii="Arial" w:hAnsi="Arial" w:cs="Arial"/>
          <w:szCs w:val="24"/>
        </w:rPr>
        <w:t xml:space="preserve"> ignored.  Letters of demands from attorneys she </w:t>
      </w:r>
      <w:r w:rsidR="00E21A5E" w:rsidRPr="001748B5">
        <w:rPr>
          <w:rFonts w:ascii="Arial" w:hAnsi="Arial" w:cs="Arial"/>
          <w:szCs w:val="24"/>
        </w:rPr>
        <w:t>instructed</w:t>
      </w:r>
      <w:r w:rsidR="00071537" w:rsidRPr="001748B5">
        <w:rPr>
          <w:rFonts w:ascii="Arial" w:hAnsi="Arial" w:cs="Arial"/>
          <w:szCs w:val="24"/>
        </w:rPr>
        <w:t xml:space="preserve"> were left unanswered.</w:t>
      </w:r>
      <w:r w:rsidR="002B6D44" w:rsidRPr="001748B5">
        <w:rPr>
          <w:rFonts w:ascii="Arial" w:hAnsi="Arial" w:cs="Arial"/>
          <w:szCs w:val="24"/>
        </w:rPr>
        <w:t xml:space="preserve"> </w:t>
      </w:r>
      <w:r w:rsidR="00071537" w:rsidRPr="001748B5">
        <w:rPr>
          <w:rFonts w:ascii="Arial" w:hAnsi="Arial" w:cs="Arial"/>
          <w:szCs w:val="24"/>
        </w:rPr>
        <w:t xml:space="preserve"> </w:t>
      </w:r>
      <w:r w:rsidR="006E5909" w:rsidRPr="001748B5">
        <w:rPr>
          <w:rFonts w:ascii="Arial" w:hAnsi="Arial" w:cs="Arial"/>
          <w:szCs w:val="24"/>
        </w:rPr>
        <w:t xml:space="preserve">The manner she was then treated is not what we hope for from the state. </w:t>
      </w:r>
      <w:r w:rsidR="00071537" w:rsidRPr="001748B5">
        <w:rPr>
          <w:rFonts w:ascii="Arial" w:hAnsi="Arial" w:cs="Arial"/>
          <w:szCs w:val="24"/>
        </w:rPr>
        <w:t>At last, Ms Mash</w:t>
      </w:r>
      <w:r w:rsidR="002B6D44" w:rsidRPr="001748B5">
        <w:rPr>
          <w:rFonts w:ascii="Arial" w:hAnsi="Arial" w:cs="Arial"/>
          <w:szCs w:val="24"/>
        </w:rPr>
        <w:t>ao</w:t>
      </w:r>
      <w:r w:rsidR="00071537" w:rsidRPr="001748B5">
        <w:rPr>
          <w:rFonts w:ascii="Arial" w:hAnsi="Arial" w:cs="Arial"/>
          <w:szCs w:val="24"/>
        </w:rPr>
        <w:t xml:space="preserve"> instituted </w:t>
      </w:r>
      <w:r w:rsidR="00E21A5E" w:rsidRPr="001748B5">
        <w:rPr>
          <w:rFonts w:ascii="Arial" w:hAnsi="Arial" w:cs="Arial"/>
          <w:szCs w:val="24"/>
        </w:rPr>
        <w:t xml:space="preserve">the present </w:t>
      </w:r>
      <w:r w:rsidR="00071537" w:rsidRPr="001748B5">
        <w:rPr>
          <w:rFonts w:ascii="Arial" w:hAnsi="Arial" w:cs="Arial"/>
          <w:szCs w:val="24"/>
        </w:rPr>
        <w:t xml:space="preserve">proceedings to </w:t>
      </w:r>
      <w:r w:rsidR="006E5909" w:rsidRPr="001748B5">
        <w:rPr>
          <w:rFonts w:ascii="Arial" w:hAnsi="Arial" w:cs="Arial"/>
          <w:szCs w:val="24"/>
        </w:rPr>
        <w:t>move</w:t>
      </w:r>
      <w:r w:rsidR="00071537" w:rsidRPr="001748B5">
        <w:rPr>
          <w:rFonts w:ascii="Arial" w:hAnsi="Arial" w:cs="Arial"/>
          <w:szCs w:val="24"/>
        </w:rPr>
        <w:t xml:space="preserve"> the matter along.  </w:t>
      </w:r>
      <w:r w:rsidR="00B1529F" w:rsidRPr="001748B5">
        <w:rPr>
          <w:rFonts w:ascii="Arial" w:hAnsi="Arial" w:cs="Arial"/>
          <w:szCs w:val="24"/>
        </w:rPr>
        <w:t>Even after launching proceedings, Ms Mash</w:t>
      </w:r>
      <w:r w:rsidR="002B6D44" w:rsidRPr="001748B5">
        <w:rPr>
          <w:rFonts w:ascii="Arial" w:hAnsi="Arial" w:cs="Arial"/>
          <w:szCs w:val="24"/>
        </w:rPr>
        <w:t>ao</w:t>
      </w:r>
      <w:r w:rsidR="00B1529F" w:rsidRPr="001748B5">
        <w:rPr>
          <w:rFonts w:ascii="Arial" w:hAnsi="Arial" w:cs="Arial"/>
          <w:szCs w:val="24"/>
        </w:rPr>
        <w:t xml:space="preserve"> tried to resolve the matter through an invitation to mediation, phone calls and letters to the Fund and the Department.  N</w:t>
      </w:r>
      <w:r w:rsidR="006E5909" w:rsidRPr="001748B5">
        <w:rPr>
          <w:rFonts w:ascii="Arial" w:hAnsi="Arial" w:cs="Arial"/>
          <w:szCs w:val="24"/>
        </w:rPr>
        <w:t>either the Department nor the Fund</w:t>
      </w:r>
      <w:r w:rsidR="00B1529F" w:rsidRPr="001748B5">
        <w:rPr>
          <w:rFonts w:ascii="Arial" w:hAnsi="Arial" w:cs="Arial"/>
          <w:szCs w:val="24"/>
        </w:rPr>
        <w:t xml:space="preserve"> assisted Ms Ma</w:t>
      </w:r>
      <w:r w:rsidR="00877C04" w:rsidRPr="001748B5">
        <w:rPr>
          <w:rFonts w:ascii="Arial" w:hAnsi="Arial" w:cs="Arial"/>
          <w:szCs w:val="24"/>
        </w:rPr>
        <w:t>s</w:t>
      </w:r>
      <w:r w:rsidR="00B1529F" w:rsidRPr="001748B5">
        <w:rPr>
          <w:rFonts w:ascii="Arial" w:hAnsi="Arial" w:cs="Arial"/>
          <w:szCs w:val="24"/>
        </w:rPr>
        <w:t>h</w:t>
      </w:r>
      <w:r w:rsidR="002B6D44" w:rsidRPr="001748B5">
        <w:rPr>
          <w:rFonts w:ascii="Arial" w:hAnsi="Arial" w:cs="Arial"/>
          <w:szCs w:val="24"/>
        </w:rPr>
        <w:t>ao</w:t>
      </w:r>
      <w:r w:rsidR="00B1529F" w:rsidRPr="001748B5">
        <w:rPr>
          <w:rFonts w:ascii="Arial" w:hAnsi="Arial" w:cs="Arial"/>
          <w:szCs w:val="24"/>
        </w:rPr>
        <w:t xml:space="preserve">.  In fact she had to approach Court to obtain an order compelling the respondents to file their written submissions in order to have the matter set down.  </w:t>
      </w:r>
    </w:p>
    <w:p w14:paraId="1D4ED5C2" w14:textId="0DB6F18D" w:rsidR="00071537" w:rsidRPr="001748B5" w:rsidRDefault="001748B5" w:rsidP="001748B5">
      <w:pPr>
        <w:ind w:left="567" w:hanging="567"/>
        <w:rPr>
          <w:rFonts w:ascii="Arial" w:hAnsi="Arial" w:cs="Arial"/>
          <w:szCs w:val="24"/>
        </w:rPr>
      </w:pPr>
      <w:r>
        <w:rPr>
          <w:rFonts w:ascii="Arial" w:hAnsi="Arial" w:cs="Arial"/>
          <w:szCs w:val="24"/>
        </w:rPr>
        <w:t>[3]</w:t>
      </w:r>
      <w:r>
        <w:rPr>
          <w:rFonts w:ascii="Arial" w:hAnsi="Arial" w:cs="Arial"/>
          <w:szCs w:val="24"/>
        </w:rPr>
        <w:tab/>
      </w:r>
      <w:r w:rsidR="000A401A" w:rsidRPr="001748B5">
        <w:rPr>
          <w:rFonts w:ascii="Arial" w:hAnsi="Arial" w:cs="Arial"/>
          <w:szCs w:val="24"/>
        </w:rPr>
        <w:t xml:space="preserve">As all </w:t>
      </w:r>
      <w:r w:rsidR="006E5909" w:rsidRPr="001748B5">
        <w:rPr>
          <w:rFonts w:ascii="Arial" w:hAnsi="Arial" w:cs="Arial"/>
          <w:szCs w:val="24"/>
        </w:rPr>
        <w:t>Ms Mashao's</w:t>
      </w:r>
      <w:r w:rsidR="000A401A" w:rsidRPr="001748B5">
        <w:rPr>
          <w:rFonts w:ascii="Arial" w:hAnsi="Arial" w:cs="Arial"/>
          <w:szCs w:val="24"/>
        </w:rPr>
        <w:t xml:space="preserve"> efforts to resolve this matter outside court have been ignored, s</w:t>
      </w:r>
      <w:r w:rsidR="00071537" w:rsidRPr="001748B5">
        <w:rPr>
          <w:rFonts w:ascii="Arial" w:hAnsi="Arial" w:cs="Arial"/>
          <w:szCs w:val="24"/>
        </w:rPr>
        <w:t xml:space="preserve">he </w:t>
      </w:r>
      <w:r w:rsidR="000A401A" w:rsidRPr="001748B5">
        <w:rPr>
          <w:rFonts w:ascii="Arial" w:hAnsi="Arial" w:cs="Arial"/>
          <w:szCs w:val="24"/>
        </w:rPr>
        <w:t xml:space="preserve">now </w:t>
      </w:r>
      <w:r w:rsidR="00071537" w:rsidRPr="001748B5">
        <w:rPr>
          <w:rFonts w:ascii="Arial" w:hAnsi="Arial" w:cs="Arial"/>
          <w:szCs w:val="24"/>
        </w:rPr>
        <w:t xml:space="preserve">asks this Court to </w:t>
      </w:r>
      <w:r w:rsidR="00E21A5E" w:rsidRPr="001748B5">
        <w:rPr>
          <w:rFonts w:ascii="Arial" w:hAnsi="Arial" w:cs="Arial"/>
          <w:szCs w:val="24"/>
        </w:rPr>
        <w:t xml:space="preserve">order the Fund to </w:t>
      </w:r>
      <w:r w:rsidR="00071537" w:rsidRPr="001748B5">
        <w:rPr>
          <w:rFonts w:ascii="Arial" w:hAnsi="Arial" w:cs="Arial"/>
          <w:szCs w:val="24"/>
        </w:rPr>
        <w:t xml:space="preserve">furnish her with reasons for the delay, alternatively to review the Fund's decision not to finalise the claim and to order the Fund to make payment of the claim.  </w:t>
      </w:r>
    </w:p>
    <w:p w14:paraId="3E314EDE" w14:textId="3E4286DE" w:rsidR="000A401A" w:rsidRPr="001748B5" w:rsidRDefault="001748B5" w:rsidP="001748B5">
      <w:pPr>
        <w:ind w:left="567" w:hanging="567"/>
        <w:rPr>
          <w:rFonts w:ascii="Arial" w:hAnsi="Arial" w:cs="Arial"/>
          <w:szCs w:val="24"/>
        </w:rPr>
      </w:pPr>
      <w:r>
        <w:rPr>
          <w:rFonts w:ascii="Arial" w:hAnsi="Arial" w:cs="Arial"/>
          <w:szCs w:val="24"/>
        </w:rPr>
        <w:lastRenderedPageBreak/>
        <w:t>[4]</w:t>
      </w:r>
      <w:r>
        <w:rPr>
          <w:rFonts w:ascii="Arial" w:hAnsi="Arial" w:cs="Arial"/>
          <w:szCs w:val="24"/>
        </w:rPr>
        <w:tab/>
      </w:r>
      <w:r w:rsidR="00AE000D" w:rsidRPr="001748B5">
        <w:rPr>
          <w:rFonts w:ascii="Arial" w:hAnsi="Arial" w:cs="Arial"/>
          <w:szCs w:val="24"/>
        </w:rPr>
        <w:t xml:space="preserve">The Fund opposes the relief sought. </w:t>
      </w:r>
      <w:r w:rsidR="006E5909" w:rsidRPr="001748B5">
        <w:rPr>
          <w:rFonts w:ascii="Arial" w:hAnsi="Arial" w:cs="Arial"/>
          <w:szCs w:val="24"/>
        </w:rPr>
        <w:t xml:space="preserve">The basis for the opposition is the Department's failure to provide the Fund with a Z102 form.  </w:t>
      </w:r>
      <w:r w:rsidR="00071537" w:rsidRPr="001748B5">
        <w:rPr>
          <w:rFonts w:ascii="Arial" w:hAnsi="Arial" w:cs="Arial"/>
          <w:szCs w:val="24"/>
        </w:rPr>
        <w:t xml:space="preserve">The Fund relies on section 26(1) of the Government Employees Law, 1996 as basis for its refusal to consider the claim without the Z102 form.  </w:t>
      </w:r>
      <w:r w:rsidR="006E5909" w:rsidRPr="001748B5">
        <w:rPr>
          <w:rFonts w:ascii="Arial" w:hAnsi="Arial" w:cs="Arial"/>
          <w:szCs w:val="24"/>
        </w:rPr>
        <w:t xml:space="preserve">The </w:t>
      </w:r>
      <w:r w:rsidR="000A401A" w:rsidRPr="001748B5">
        <w:rPr>
          <w:rFonts w:ascii="Arial" w:hAnsi="Arial" w:cs="Arial"/>
          <w:szCs w:val="24"/>
        </w:rPr>
        <w:t xml:space="preserve">hold-up </w:t>
      </w:r>
      <w:r w:rsidR="006E5909" w:rsidRPr="001748B5">
        <w:rPr>
          <w:rFonts w:ascii="Arial" w:hAnsi="Arial" w:cs="Arial"/>
          <w:szCs w:val="24"/>
        </w:rPr>
        <w:t xml:space="preserve">appears to be that the Department has not signed the Z102 form.  </w:t>
      </w:r>
    </w:p>
    <w:p w14:paraId="53B3A03E" w14:textId="25DF5CC2" w:rsidR="00E21A5E" w:rsidRPr="001748B5" w:rsidRDefault="001748B5" w:rsidP="001748B5">
      <w:pPr>
        <w:ind w:left="567" w:hanging="567"/>
        <w:rPr>
          <w:rFonts w:ascii="Arial" w:hAnsi="Arial" w:cs="Arial"/>
          <w:szCs w:val="24"/>
        </w:rPr>
      </w:pPr>
      <w:r w:rsidRPr="00E236BD">
        <w:rPr>
          <w:rFonts w:ascii="Arial" w:hAnsi="Arial" w:cs="Arial"/>
          <w:szCs w:val="24"/>
        </w:rPr>
        <w:t>[5]</w:t>
      </w:r>
      <w:r w:rsidRPr="00E236BD">
        <w:rPr>
          <w:rFonts w:ascii="Arial" w:hAnsi="Arial" w:cs="Arial"/>
          <w:szCs w:val="24"/>
        </w:rPr>
        <w:tab/>
      </w:r>
      <w:r w:rsidR="00E236BD" w:rsidRPr="001748B5">
        <w:rPr>
          <w:rFonts w:ascii="Arial" w:hAnsi="Arial" w:cs="Arial"/>
          <w:szCs w:val="24"/>
        </w:rPr>
        <w:t xml:space="preserve">Ms Mashao's request for reasons is exactly what citizens can demand from the state.  The Constitutional Court has held that the notion that government knows best - end of enquiry - might have been satisfactory in the pre-democratic era.  It is no longer compatible with </w:t>
      </w:r>
      <w:r w:rsidR="00732876" w:rsidRPr="001748B5">
        <w:rPr>
          <w:rFonts w:ascii="Arial" w:hAnsi="Arial" w:cs="Arial"/>
          <w:szCs w:val="24"/>
        </w:rPr>
        <w:t xml:space="preserve">a </w:t>
      </w:r>
      <w:r w:rsidR="00E236BD" w:rsidRPr="001748B5">
        <w:rPr>
          <w:rFonts w:ascii="Arial" w:hAnsi="Arial" w:cs="Arial"/>
          <w:szCs w:val="24"/>
        </w:rPr>
        <w:t>democratic government based on the rule of law as envisaged by our Constitution.</w:t>
      </w:r>
      <w:r w:rsidR="00E236BD">
        <w:rPr>
          <w:rStyle w:val="FootnoteReference"/>
          <w:rFonts w:ascii="Arial" w:hAnsi="Arial" w:cs="Arial"/>
          <w:szCs w:val="24"/>
        </w:rPr>
        <w:footnoteReference w:id="1"/>
      </w:r>
      <w:r w:rsidR="00E236BD" w:rsidRPr="001748B5">
        <w:rPr>
          <w:rFonts w:ascii="Arial" w:hAnsi="Arial" w:cs="Arial"/>
          <w:szCs w:val="24"/>
        </w:rPr>
        <w:t xml:space="preserve"> Citizens are entitled to explanations and to conduct which is rational and founded in law.  </w:t>
      </w:r>
      <w:r w:rsidR="00E21A5E" w:rsidRPr="001748B5">
        <w:rPr>
          <w:rFonts w:ascii="Arial" w:hAnsi="Arial" w:cs="Arial"/>
          <w:szCs w:val="24"/>
        </w:rPr>
        <w:t xml:space="preserve">The core question is whether </w:t>
      </w:r>
      <w:r w:rsidR="00084508" w:rsidRPr="001748B5">
        <w:rPr>
          <w:rFonts w:ascii="Arial" w:hAnsi="Arial" w:cs="Arial"/>
          <w:szCs w:val="24"/>
        </w:rPr>
        <w:t xml:space="preserve">the </w:t>
      </w:r>
      <w:r w:rsidR="00E21A5E" w:rsidRPr="001748B5">
        <w:rPr>
          <w:rFonts w:ascii="Arial" w:hAnsi="Arial" w:cs="Arial"/>
          <w:szCs w:val="24"/>
        </w:rPr>
        <w:t>Fund</w:t>
      </w:r>
      <w:r w:rsidR="00084508" w:rsidRPr="001748B5">
        <w:rPr>
          <w:rFonts w:ascii="Arial" w:hAnsi="Arial" w:cs="Arial"/>
          <w:szCs w:val="24"/>
        </w:rPr>
        <w:t xml:space="preserve">'s refusal </w:t>
      </w:r>
      <w:r w:rsidR="00E21A5E" w:rsidRPr="001748B5">
        <w:rPr>
          <w:rFonts w:ascii="Arial" w:hAnsi="Arial" w:cs="Arial"/>
          <w:szCs w:val="24"/>
        </w:rPr>
        <w:t>to finalise the claim on the basis that the Department has not provided a Z102 form</w:t>
      </w:r>
      <w:r w:rsidR="00084508" w:rsidRPr="001748B5">
        <w:rPr>
          <w:rFonts w:ascii="Arial" w:hAnsi="Arial" w:cs="Arial"/>
          <w:szCs w:val="24"/>
        </w:rPr>
        <w:t xml:space="preserve"> is rational </w:t>
      </w:r>
      <w:r w:rsidR="00732876" w:rsidRPr="001748B5">
        <w:rPr>
          <w:rFonts w:ascii="Arial" w:hAnsi="Arial" w:cs="Arial"/>
          <w:szCs w:val="24"/>
        </w:rPr>
        <w:t>and</w:t>
      </w:r>
      <w:r w:rsidR="00084508" w:rsidRPr="001748B5">
        <w:rPr>
          <w:rFonts w:ascii="Arial" w:hAnsi="Arial" w:cs="Arial"/>
          <w:szCs w:val="24"/>
        </w:rPr>
        <w:t xml:space="preserve"> one founded in law.</w:t>
      </w:r>
    </w:p>
    <w:p w14:paraId="2C7E80FB" w14:textId="55816D7E" w:rsidR="00E21A5E" w:rsidRPr="001748B5" w:rsidRDefault="001748B5" w:rsidP="001748B5">
      <w:pPr>
        <w:ind w:left="567" w:hanging="567"/>
        <w:rPr>
          <w:rFonts w:ascii="Arial" w:hAnsi="Arial" w:cs="Arial"/>
          <w:szCs w:val="24"/>
        </w:rPr>
      </w:pPr>
      <w:r w:rsidRPr="007322BA">
        <w:rPr>
          <w:rFonts w:ascii="Arial" w:hAnsi="Arial" w:cs="Arial"/>
          <w:szCs w:val="24"/>
        </w:rPr>
        <w:t>[6]</w:t>
      </w:r>
      <w:r w:rsidRPr="007322BA">
        <w:rPr>
          <w:rFonts w:ascii="Arial" w:hAnsi="Arial" w:cs="Arial"/>
          <w:szCs w:val="24"/>
        </w:rPr>
        <w:tab/>
      </w:r>
      <w:r w:rsidR="00E21A5E" w:rsidRPr="001748B5">
        <w:rPr>
          <w:rFonts w:ascii="Arial" w:hAnsi="Arial" w:cs="Arial"/>
          <w:szCs w:val="24"/>
        </w:rPr>
        <w:t>The Fund's reliance on section 26(1) has to be considered.</w:t>
      </w:r>
      <w:r w:rsidR="000A401A">
        <w:rPr>
          <w:rStyle w:val="FootnoteReference"/>
          <w:rFonts w:ascii="Arial" w:hAnsi="Arial" w:cs="Arial"/>
          <w:szCs w:val="24"/>
        </w:rPr>
        <w:footnoteReference w:id="2"/>
      </w:r>
      <w:r w:rsidR="00E21A5E" w:rsidRPr="001748B5">
        <w:rPr>
          <w:rFonts w:ascii="Arial" w:hAnsi="Arial" w:cs="Arial"/>
          <w:szCs w:val="24"/>
        </w:rPr>
        <w:t xml:space="preserve">  </w:t>
      </w:r>
      <w:r w:rsidR="000A401A" w:rsidRPr="001748B5">
        <w:rPr>
          <w:rFonts w:ascii="Arial" w:hAnsi="Arial" w:cs="Arial"/>
          <w:szCs w:val="24"/>
        </w:rPr>
        <w:t xml:space="preserve">The Court has carefully scrutinised the section.  </w:t>
      </w:r>
      <w:r w:rsidR="00071537" w:rsidRPr="001748B5">
        <w:rPr>
          <w:rFonts w:ascii="Arial" w:hAnsi="Arial" w:cs="Arial"/>
          <w:szCs w:val="24"/>
        </w:rPr>
        <w:t xml:space="preserve">Section 26(1) does not empower the Fund to refuse to consider the claim without a Z102 form. The section is silent on the requirement of a form.  </w:t>
      </w:r>
      <w:r w:rsidR="006E5909" w:rsidRPr="001748B5">
        <w:rPr>
          <w:rFonts w:ascii="Arial" w:hAnsi="Arial" w:cs="Arial"/>
          <w:szCs w:val="24"/>
        </w:rPr>
        <w:t>The section is not authority for the position adopted by the Fund.</w:t>
      </w:r>
      <w:r w:rsidR="00D00D5D" w:rsidRPr="001748B5">
        <w:rPr>
          <w:rFonts w:ascii="Arial" w:hAnsi="Arial" w:cs="Arial"/>
          <w:szCs w:val="24"/>
        </w:rPr>
        <w:t xml:space="preserve"> </w:t>
      </w:r>
      <w:r w:rsidR="00E21A5E" w:rsidRPr="001748B5">
        <w:rPr>
          <w:rFonts w:ascii="Arial" w:hAnsi="Arial" w:cs="Arial"/>
          <w:szCs w:val="24"/>
        </w:rPr>
        <w:t xml:space="preserve">No other section in the </w:t>
      </w:r>
      <w:r w:rsidR="006E5909" w:rsidRPr="001748B5">
        <w:rPr>
          <w:rFonts w:ascii="Arial" w:hAnsi="Arial" w:cs="Arial"/>
          <w:szCs w:val="24"/>
        </w:rPr>
        <w:t>Government Employees Law</w:t>
      </w:r>
      <w:r w:rsidR="00E21A5E" w:rsidRPr="001748B5">
        <w:rPr>
          <w:rFonts w:ascii="Arial" w:hAnsi="Arial" w:cs="Arial"/>
          <w:szCs w:val="24"/>
        </w:rPr>
        <w:t xml:space="preserve"> demands such a document to be provided. Similarly, there is no provision in the Rules which states, as a requirement, that the applicant has to submit or obtain the Z102 form.  </w:t>
      </w:r>
      <w:r w:rsidR="0034205E" w:rsidRPr="001748B5">
        <w:rPr>
          <w:rFonts w:ascii="Arial" w:hAnsi="Arial" w:cs="Arial"/>
          <w:szCs w:val="24"/>
        </w:rPr>
        <w:lastRenderedPageBreak/>
        <w:t>There is no legal basis relied on</w:t>
      </w:r>
      <w:r w:rsidR="00732876" w:rsidRPr="001748B5">
        <w:rPr>
          <w:rFonts w:ascii="Arial" w:hAnsi="Arial" w:cs="Arial"/>
          <w:szCs w:val="24"/>
        </w:rPr>
        <w:t>,</w:t>
      </w:r>
      <w:r w:rsidR="0034205E" w:rsidRPr="001748B5">
        <w:rPr>
          <w:rFonts w:ascii="Arial" w:hAnsi="Arial" w:cs="Arial"/>
          <w:szCs w:val="24"/>
        </w:rPr>
        <w:t xml:space="preserve"> or found</w:t>
      </w:r>
      <w:r w:rsidR="006E5909" w:rsidRPr="001748B5">
        <w:rPr>
          <w:rFonts w:ascii="Arial" w:hAnsi="Arial" w:cs="Arial"/>
          <w:szCs w:val="24"/>
        </w:rPr>
        <w:t>,</w:t>
      </w:r>
      <w:r w:rsidR="0034205E" w:rsidRPr="001748B5">
        <w:rPr>
          <w:rFonts w:ascii="Arial" w:hAnsi="Arial" w:cs="Arial"/>
          <w:szCs w:val="24"/>
        </w:rPr>
        <w:t xml:space="preserve"> on which the Fund could demand the submission of the Z102 form.  </w:t>
      </w:r>
    </w:p>
    <w:p w14:paraId="66D7CA98" w14:textId="4BC77D3C" w:rsidR="0034205E" w:rsidRPr="001748B5" w:rsidRDefault="001748B5" w:rsidP="001748B5">
      <w:pPr>
        <w:ind w:left="567" w:hanging="567"/>
        <w:rPr>
          <w:rFonts w:ascii="Arial" w:hAnsi="Arial" w:cs="Arial"/>
          <w:szCs w:val="24"/>
        </w:rPr>
      </w:pPr>
      <w:r>
        <w:rPr>
          <w:rFonts w:ascii="Arial" w:hAnsi="Arial" w:cs="Arial"/>
          <w:szCs w:val="24"/>
        </w:rPr>
        <w:t>[7]</w:t>
      </w:r>
      <w:r>
        <w:rPr>
          <w:rFonts w:ascii="Arial" w:hAnsi="Arial" w:cs="Arial"/>
          <w:szCs w:val="24"/>
        </w:rPr>
        <w:tab/>
      </w:r>
      <w:r w:rsidR="0034205E" w:rsidRPr="001748B5">
        <w:rPr>
          <w:rFonts w:ascii="Arial" w:hAnsi="Arial" w:cs="Arial"/>
          <w:szCs w:val="24"/>
        </w:rPr>
        <w:t xml:space="preserve">There is also no basis made out in the pleadings for the necessity of the Z102 form.  The </w:t>
      </w:r>
      <w:r w:rsidR="002B6D44" w:rsidRPr="001748B5">
        <w:rPr>
          <w:rFonts w:ascii="Arial" w:hAnsi="Arial" w:cs="Arial"/>
          <w:szCs w:val="24"/>
        </w:rPr>
        <w:t xml:space="preserve">pleadings state only that the Fund cannot process the claim without the form.  The </w:t>
      </w:r>
      <w:r w:rsidR="00732876" w:rsidRPr="001748B5">
        <w:rPr>
          <w:rFonts w:ascii="Arial" w:hAnsi="Arial" w:cs="Arial"/>
          <w:szCs w:val="24"/>
        </w:rPr>
        <w:t xml:space="preserve">Court does not know what the form contains or why it is required.  </w:t>
      </w:r>
    </w:p>
    <w:p w14:paraId="79F7E1E7" w14:textId="7F6BD609" w:rsidR="0034205E" w:rsidRPr="001748B5" w:rsidRDefault="001748B5" w:rsidP="001748B5">
      <w:pPr>
        <w:ind w:left="567" w:hanging="567"/>
        <w:rPr>
          <w:rFonts w:ascii="Arial" w:hAnsi="Arial" w:cs="Arial"/>
          <w:szCs w:val="24"/>
        </w:rPr>
      </w:pPr>
      <w:r>
        <w:rPr>
          <w:rFonts w:ascii="Arial" w:hAnsi="Arial" w:cs="Arial"/>
          <w:szCs w:val="24"/>
        </w:rPr>
        <w:t>[8]</w:t>
      </w:r>
      <w:r>
        <w:rPr>
          <w:rFonts w:ascii="Arial" w:hAnsi="Arial" w:cs="Arial"/>
          <w:szCs w:val="24"/>
        </w:rPr>
        <w:tab/>
      </w:r>
      <w:r w:rsidR="0034205E" w:rsidRPr="001748B5">
        <w:rPr>
          <w:rFonts w:ascii="Arial" w:hAnsi="Arial" w:cs="Arial"/>
          <w:szCs w:val="24"/>
        </w:rPr>
        <w:t xml:space="preserve">The Court invited the Fund to point it to any provision in the law that demands the Z102.  The Court asked the Fund to refer it to any case law that supported its position that it could sit on its hands and wait for a form from the Department.  It was conceded no law or authority could be produced.  </w:t>
      </w:r>
    </w:p>
    <w:p w14:paraId="11113063" w14:textId="36E9A083" w:rsidR="00E21A5E" w:rsidRPr="001748B5" w:rsidRDefault="001748B5" w:rsidP="001748B5">
      <w:pPr>
        <w:ind w:left="567" w:hanging="567"/>
        <w:rPr>
          <w:rFonts w:ascii="Arial" w:hAnsi="Arial" w:cs="Arial"/>
          <w:szCs w:val="24"/>
        </w:rPr>
      </w:pPr>
      <w:r>
        <w:rPr>
          <w:rFonts w:ascii="Arial" w:hAnsi="Arial" w:cs="Arial"/>
          <w:szCs w:val="24"/>
        </w:rPr>
        <w:t>[9]</w:t>
      </w:r>
      <w:r>
        <w:rPr>
          <w:rFonts w:ascii="Arial" w:hAnsi="Arial" w:cs="Arial"/>
          <w:szCs w:val="24"/>
        </w:rPr>
        <w:tab/>
      </w:r>
      <w:r w:rsidR="00E21A5E" w:rsidRPr="001748B5">
        <w:rPr>
          <w:rFonts w:ascii="Arial" w:hAnsi="Arial" w:cs="Arial"/>
          <w:szCs w:val="24"/>
        </w:rPr>
        <w:t xml:space="preserve">In fact, our courts have on two occasions held that there is no basis in law for the Fund to insist on a Z102 form.  The first is the matter of </w:t>
      </w:r>
      <w:r w:rsidR="00E21A5E" w:rsidRPr="001748B5">
        <w:rPr>
          <w:rFonts w:ascii="Arial" w:hAnsi="Arial" w:cs="Arial"/>
          <w:i/>
          <w:iCs/>
          <w:szCs w:val="24"/>
        </w:rPr>
        <w:t>Mpofu v the Government Employees Pension Fund</w:t>
      </w:r>
      <w:r w:rsidR="00E21A5E">
        <w:rPr>
          <w:rStyle w:val="FootnoteReference"/>
          <w:rFonts w:ascii="Arial" w:hAnsi="Arial" w:cs="Arial"/>
          <w:i/>
          <w:iCs/>
          <w:szCs w:val="24"/>
        </w:rPr>
        <w:footnoteReference w:id="3"/>
      </w:r>
      <w:r w:rsidR="00E21A5E" w:rsidRPr="001748B5">
        <w:rPr>
          <w:rFonts w:ascii="Arial" w:hAnsi="Arial" w:cs="Arial"/>
          <w:szCs w:val="24"/>
        </w:rPr>
        <w:t xml:space="preserve"> penned by Goosen J and the second is  </w:t>
      </w:r>
      <w:r w:rsidR="00E21A5E" w:rsidRPr="001748B5">
        <w:rPr>
          <w:rFonts w:ascii="Arial" w:hAnsi="Arial" w:cs="Arial"/>
          <w:i/>
          <w:iCs/>
          <w:szCs w:val="24"/>
        </w:rPr>
        <w:t>Mhlontlo v the Government Employees Pension Fund</w:t>
      </w:r>
      <w:r w:rsidR="00E21A5E">
        <w:rPr>
          <w:rStyle w:val="FootnoteReference"/>
          <w:rFonts w:ascii="Arial" w:hAnsi="Arial" w:cs="Arial"/>
          <w:i/>
          <w:iCs/>
          <w:szCs w:val="24"/>
        </w:rPr>
        <w:footnoteReference w:id="4"/>
      </w:r>
      <w:r w:rsidR="00E21A5E" w:rsidRPr="001748B5">
        <w:rPr>
          <w:rFonts w:ascii="Arial" w:hAnsi="Arial" w:cs="Arial"/>
          <w:szCs w:val="24"/>
        </w:rPr>
        <w:t xml:space="preserve"> by Govindjee AJ.  Both these judgments hold that there is no basis in law for the Fund to demand the Z102 form and in both judgments the Fund's approach of demanding the Z102 is deprecated.  </w:t>
      </w:r>
    </w:p>
    <w:p w14:paraId="36882900" w14:textId="3DFD9AA7" w:rsidR="007322BA" w:rsidRPr="001748B5" w:rsidRDefault="001748B5" w:rsidP="001748B5">
      <w:pPr>
        <w:ind w:left="567" w:hanging="567"/>
        <w:rPr>
          <w:rFonts w:ascii="Arial" w:hAnsi="Arial" w:cs="Arial"/>
          <w:szCs w:val="24"/>
        </w:rPr>
      </w:pPr>
      <w:r w:rsidRPr="006E5909">
        <w:rPr>
          <w:rFonts w:ascii="Arial" w:hAnsi="Arial" w:cs="Arial"/>
          <w:szCs w:val="24"/>
        </w:rPr>
        <w:t>[10]</w:t>
      </w:r>
      <w:r w:rsidRPr="006E5909">
        <w:rPr>
          <w:rFonts w:ascii="Arial" w:hAnsi="Arial" w:cs="Arial"/>
          <w:szCs w:val="24"/>
        </w:rPr>
        <w:tab/>
      </w:r>
      <w:r w:rsidR="007322BA" w:rsidRPr="001748B5">
        <w:rPr>
          <w:rFonts w:ascii="Arial" w:hAnsi="Arial" w:cs="Arial"/>
          <w:szCs w:val="24"/>
        </w:rPr>
        <w:t xml:space="preserve">To the contrary, Goosen J in </w:t>
      </w:r>
      <w:r w:rsidR="007322BA" w:rsidRPr="001748B5">
        <w:rPr>
          <w:rFonts w:ascii="Arial" w:hAnsi="Arial" w:cs="Arial"/>
          <w:i/>
          <w:iCs/>
          <w:szCs w:val="24"/>
        </w:rPr>
        <w:t>Mpofu</w:t>
      </w:r>
      <w:r w:rsidR="007322BA">
        <w:rPr>
          <w:rStyle w:val="FootnoteReference"/>
          <w:rFonts w:ascii="Arial" w:hAnsi="Arial" w:cs="Arial"/>
          <w:szCs w:val="24"/>
        </w:rPr>
        <w:footnoteReference w:id="5"/>
      </w:r>
      <w:r w:rsidR="007322BA" w:rsidRPr="001748B5">
        <w:rPr>
          <w:rFonts w:ascii="Arial" w:hAnsi="Arial" w:cs="Arial"/>
          <w:szCs w:val="24"/>
        </w:rPr>
        <w:t xml:space="preserve"> interpreted section 26(1) to place an obligation on the Fund to effect payment within 60 days of the benefit becoming due. </w:t>
      </w:r>
    </w:p>
    <w:p w14:paraId="2099B51A" w14:textId="77777777" w:rsidR="007322BA" w:rsidRDefault="007322BA" w:rsidP="007322BA">
      <w:pPr>
        <w:spacing w:line="276" w:lineRule="auto"/>
        <w:ind w:left="1440"/>
        <w:rPr>
          <w:rFonts w:ascii="Arial" w:hAnsi="Arial" w:cs="Arial"/>
          <w:szCs w:val="24"/>
        </w:rPr>
      </w:pPr>
      <w:r w:rsidRPr="0034205E">
        <w:rPr>
          <w:rFonts w:ascii="Arial" w:hAnsi="Arial" w:cs="Arial"/>
          <w:szCs w:val="24"/>
        </w:rPr>
        <w:t xml:space="preserve">‘The respondent is generally obliged to conduct itself in a manner that is consistent with the provisions of the Constitution. It must promote the spirit, purport and objects of the Constitution. As a pension fund, established by government to administer the funds of state employees who are its members, it is obliged to act with fidelity and the utmost good faith in the interests of its members. It cannot adopt an obstructive and obfuscating approach to the processing of claims made by or on behalf of members of the Fund. Nor can it choose to ignore communications </w:t>
      </w:r>
      <w:r w:rsidRPr="0034205E">
        <w:rPr>
          <w:rFonts w:ascii="Arial" w:hAnsi="Arial" w:cs="Arial"/>
          <w:szCs w:val="24"/>
        </w:rPr>
        <w:lastRenderedPageBreak/>
        <w:t>from a member who seeks to protect his or her interests. The respondent’s conduct in this matter amounts to precisely this.’</w:t>
      </w:r>
      <w:r>
        <w:rPr>
          <w:rStyle w:val="FootnoteReference"/>
          <w:rFonts w:ascii="Arial" w:hAnsi="Arial" w:cs="Arial"/>
          <w:szCs w:val="24"/>
        </w:rPr>
        <w:footnoteReference w:id="6"/>
      </w:r>
    </w:p>
    <w:p w14:paraId="43C56097" w14:textId="77777777" w:rsidR="007322BA" w:rsidRPr="0034205E" w:rsidRDefault="007322BA" w:rsidP="007322BA">
      <w:pPr>
        <w:spacing w:line="276" w:lineRule="auto"/>
        <w:ind w:left="1440"/>
        <w:rPr>
          <w:rFonts w:ascii="Arial" w:hAnsi="Arial" w:cs="Arial"/>
          <w:szCs w:val="24"/>
        </w:rPr>
      </w:pPr>
    </w:p>
    <w:p w14:paraId="3BF163A3" w14:textId="2209BC0C" w:rsidR="007322BA" w:rsidRPr="001748B5" w:rsidRDefault="001748B5" w:rsidP="001748B5">
      <w:pPr>
        <w:ind w:left="567" w:hanging="567"/>
        <w:rPr>
          <w:rFonts w:ascii="Arial" w:hAnsi="Arial" w:cs="Arial"/>
          <w:szCs w:val="24"/>
        </w:rPr>
      </w:pPr>
      <w:r w:rsidRPr="007322BA">
        <w:rPr>
          <w:rFonts w:ascii="Arial" w:hAnsi="Arial" w:cs="Arial"/>
          <w:szCs w:val="24"/>
        </w:rPr>
        <w:t>[11]</w:t>
      </w:r>
      <w:r w:rsidRPr="007322BA">
        <w:rPr>
          <w:rFonts w:ascii="Arial" w:hAnsi="Arial" w:cs="Arial"/>
          <w:szCs w:val="24"/>
        </w:rPr>
        <w:tab/>
      </w:r>
      <w:r w:rsidR="007322BA" w:rsidRPr="001748B5">
        <w:rPr>
          <w:rFonts w:ascii="Arial" w:hAnsi="Arial" w:cs="Arial"/>
          <w:szCs w:val="24"/>
        </w:rPr>
        <w:t xml:space="preserve">This interpretation has been supported by Govindjee AJ in </w:t>
      </w:r>
      <w:r w:rsidR="007322BA" w:rsidRPr="001748B5">
        <w:rPr>
          <w:rFonts w:ascii="Arial" w:hAnsi="Arial" w:cs="Arial"/>
          <w:i/>
          <w:iCs/>
          <w:szCs w:val="24"/>
        </w:rPr>
        <w:t>Mh</w:t>
      </w:r>
      <w:r w:rsidR="00D00D5D" w:rsidRPr="001748B5">
        <w:rPr>
          <w:rFonts w:ascii="Arial" w:hAnsi="Arial" w:cs="Arial"/>
          <w:i/>
          <w:iCs/>
          <w:szCs w:val="24"/>
        </w:rPr>
        <w:t>l</w:t>
      </w:r>
      <w:r w:rsidR="007322BA" w:rsidRPr="001748B5">
        <w:rPr>
          <w:rFonts w:ascii="Arial" w:hAnsi="Arial" w:cs="Arial"/>
          <w:i/>
          <w:iCs/>
          <w:szCs w:val="24"/>
        </w:rPr>
        <w:t>ontlo</w:t>
      </w:r>
      <w:r w:rsidR="007322BA" w:rsidRPr="001748B5">
        <w:rPr>
          <w:rFonts w:ascii="Arial" w:hAnsi="Arial" w:cs="Arial"/>
          <w:szCs w:val="24"/>
        </w:rPr>
        <w:t>.</w:t>
      </w:r>
      <w:r w:rsidR="007322BA">
        <w:rPr>
          <w:rStyle w:val="FootnoteReference"/>
          <w:rFonts w:ascii="Arial" w:hAnsi="Arial" w:cs="Arial"/>
          <w:szCs w:val="24"/>
        </w:rPr>
        <w:footnoteReference w:id="7"/>
      </w:r>
      <w:r w:rsidR="007322BA" w:rsidRPr="001748B5">
        <w:rPr>
          <w:rFonts w:ascii="Arial" w:hAnsi="Arial" w:cs="Arial"/>
          <w:szCs w:val="24"/>
        </w:rPr>
        <w:t xml:space="preserve">  </w:t>
      </w:r>
    </w:p>
    <w:p w14:paraId="46DB0D3A" w14:textId="5A028F67" w:rsidR="008E6EAC" w:rsidRPr="001748B5" w:rsidRDefault="001748B5" w:rsidP="001748B5">
      <w:pPr>
        <w:ind w:left="567" w:hanging="567"/>
        <w:rPr>
          <w:rFonts w:ascii="Arial" w:hAnsi="Arial" w:cs="Arial"/>
          <w:szCs w:val="24"/>
        </w:rPr>
      </w:pPr>
      <w:r>
        <w:rPr>
          <w:rFonts w:ascii="Arial" w:hAnsi="Arial" w:cs="Arial"/>
          <w:szCs w:val="24"/>
        </w:rPr>
        <w:t>[12]</w:t>
      </w:r>
      <w:r>
        <w:rPr>
          <w:rFonts w:ascii="Arial" w:hAnsi="Arial" w:cs="Arial"/>
          <w:szCs w:val="24"/>
        </w:rPr>
        <w:tab/>
      </w:r>
      <w:r w:rsidR="007322BA" w:rsidRPr="001748B5">
        <w:rPr>
          <w:rFonts w:ascii="Arial" w:hAnsi="Arial" w:cs="Arial"/>
          <w:szCs w:val="24"/>
        </w:rPr>
        <w:t>In addition to the case law, the Court also considers</w:t>
      </w:r>
      <w:r w:rsidR="008E6EAC" w:rsidRPr="001748B5">
        <w:rPr>
          <w:rFonts w:ascii="Arial" w:hAnsi="Arial" w:cs="Arial"/>
          <w:szCs w:val="24"/>
        </w:rPr>
        <w:t xml:space="preserve"> Rule 22</w:t>
      </w:r>
      <w:r w:rsidR="007322BA" w:rsidRPr="001748B5">
        <w:rPr>
          <w:rFonts w:ascii="Arial" w:hAnsi="Arial" w:cs="Arial"/>
          <w:szCs w:val="24"/>
        </w:rPr>
        <w:t xml:space="preserve">.  </w:t>
      </w:r>
      <w:r w:rsidR="008E6EAC" w:rsidRPr="001748B5">
        <w:rPr>
          <w:rFonts w:ascii="Arial" w:hAnsi="Arial" w:cs="Arial"/>
          <w:szCs w:val="24"/>
        </w:rPr>
        <w:t>Rule 22 creates a right for a claimant to communicate directly with the Fund.</w:t>
      </w:r>
      <w:r w:rsidR="008E6EAC">
        <w:rPr>
          <w:rStyle w:val="FootnoteReference"/>
          <w:rFonts w:ascii="Arial" w:hAnsi="Arial" w:cs="Arial"/>
          <w:szCs w:val="24"/>
        </w:rPr>
        <w:footnoteReference w:id="8"/>
      </w:r>
      <w:r w:rsidR="008E6EAC" w:rsidRPr="001748B5">
        <w:rPr>
          <w:rFonts w:ascii="Arial" w:hAnsi="Arial" w:cs="Arial"/>
          <w:szCs w:val="24"/>
        </w:rPr>
        <w:t xml:space="preserve"> This means the Fund is under an obligation to communicate with the claimant.  The facts of this case indicate that the Fund stone-walled Ms Mashao and worse, tells this Court it will not communicate directly with her, in conflict with its own rules.</w:t>
      </w:r>
    </w:p>
    <w:p w14:paraId="140C0DE6" w14:textId="3DF0B0C4" w:rsidR="006E5909" w:rsidRPr="001748B5" w:rsidRDefault="001748B5" w:rsidP="001748B5">
      <w:pPr>
        <w:ind w:left="567" w:hanging="567"/>
        <w:rPr>
          <w:rFonts w:ascii="Arial" w:hAnsi="Arial" w:cs="Arial"/>
          <w:szCs w:val="24"/>
        </w:rPr>
      </w:pPr>
      <w:r w:rsidRPr="00D00D5D">
        <w:rPr>
          <w:rFonts w:ascii="Arial" w:hAnsi="Arial" w:cs="Arial"/>
          <w:szCs w:val="24"/>
        </w:rPr>
        <w:t>[13]</w:t>
      </w:r>
      <w:r w:rsidRPr="00D00D5D">
        <w:rPr>
          <w:rFonts w:ascii="Arial" w:hAnsi="Arial" w:cs="Arial"/>
          <w:szCs w:val="24"/>
        </w:rPr>
        <w:tab/>
      </w:r>
      <w:r w:rsidR="0080055F" w:rsidRPr="001748B5">
        <w:rPr>
          <w:rFonts w:ascii="Arial" w:hAnsi="Arial" w:cs="Arial"/>
          <w:szCs w:val="24"/>
        </w:rPr>
        <w:t>Ms Ma</w:t>
      </w:r>
      <w:r w:rsidR="00D00D5D" w:rsidRPr="001748B5">
        <w:rPr>
          <w:rFonts w:ascii="Arial" w:hAnsi="Arial" w:cs="Arial"/>
          <w:szCs w:val="24"/>
        </w:rPr>
        <w:t>s</w:t>
      </w:r>
      <w:r w:rsidR="0080055F" w:rsidRPr="001748B5">
        <w:rPr>
          <w:rFonts w:ascii="Arial" w:hAnsi="Arial" w:cs="Arial"/>
          <w:szCs w:val="24"/>
        </w:rPr>
        <w:t xml:space="preserve">hao has relied on </w:t>
      </w:r>
      <w:r w:rsidR="00D00D5D" w:rsidRPr="001748B5">
        <w:rPr>
          <w:rFonts w:ascii="Arial" w:hAnsi="Arial" w:cs="Arial"/>
          <w:szCs w:val="24"/>
        </w:rPr>
        <w:t>the rights to fair administrative action</w:t>
      </w:r>
      <w:r w:rsidR="0080055F" w:rsidRPr="001748B5">
        <w:rPr>
          <w:rFonts w:ascii="Arial" w:hAnsi="Arial" w:cs="Arial"/>
          <w:szCs w:val="24"/>
        </w:rPr>
        <w:t xml:space="preserve"> in this context.  She has set out that the decision to refuse to process the claim without the Z102 is reviewable. A host of grounds of review have been presented.  </w:t>
      </w:r>
      <w:r w:rsidR="007322BA" w:rsidRPr="001748B5">
        <w:rPr>
          <w:rFonts w:ascii="Arial" w:hAnsi="Arial" w:cs="Arial"/>
          <w:szCs w:val="24"/>
        </w:rPr>
        <w:t>It does not matter whether the avenue of a review or a mandamus is followed</w:t>
      </w:r>
      <w:r w:rsidR="00732876" w:rsidRPr="001748B5">
        <w:rPr>
          <w:rFonts w:ascii="Arial" w:hAnsi="Arial" w:cs="Arial"/>
          <w:szCs w:val="24"/>
        </w:rPr>
        <w:t>:</w:t>
      </w:r>
      <w:r w:rsidR="007322BA" w:rsidRPr="001748B5">
        <w:rPr>
          <w:rFonts w:ascii="Arial" w:hAnsi="Arial" w:cs="Arial"/>
          <w:szCs w:val="24"/>
        </w:rPr>
        <w:t xml:space="preserve"> the Fund has acted in conflict with section 26, Rule 22 and the case law from this division.  It weighs with the Court that the right protected by section 26 and rule 22 is the constitutional right to social security.  The Fund has therefore </w:t>
      </w:r>
      <w:r w:rsidR="00D00D5D" w:rsidRPr="001748B5">
        <w:rPr>
          <w:rFonts w:ascii="Arial" w:hAnsi="Arial" w:cs="Arial"/>
          <w:szCs w:val="24"/>
        </w:rPr>
        <w:t xml:space="preserve">not only </w:t>
      </w:r>
      <w:r w:rsidR="007322BA" w:rsidRPr="001748B5">
        <w:rPr>
          <w:rFonts w:ascii="Arial" w:hAnsi="Arial" w:cs="Arial"/>
          <w:szCs w:val="24"/>
        </w:rPr>
        <w:t xml:space="preserve">acted in conflict with statutory provisions </w:t>
      </w:r>
      <w:r w:rsidR="00D00D5D" w:rsidRPr="001748B5">
        <w:rPr>
          <w:rFonts w:ascii="Arial" w:hAnsi="Arial" w:cs="Arial"/>
          <w:szCs w:val="24"/>
        </w:rPr>
        <w:t>but have also</w:t>
      </w:r>
      <w:r w:rsidR="007322BA" w:rsidRPr="001748B5">
        <w:rPr>
          <w:rFonts w:ascii="Arial" w:hAnsi="Arial" w:cs="Arial"/>
          <w:szCs w:val="24"/>
        </w:rPr>
        <w:t xml:space="preserve"> infringed fundamental rights without </w:t>
      </w:r>
      <w:r w:rsidR="00D00D5D" w:rsidRPr="001748B5">
        <w:rPr>
          <w:rFonts w:ascii="Arial" w:hAnsi="Arial" w:cs="Arial"/>
          <w:szCs w:val="24"/>
        </w:rPr>
        <w:t>providing any law justifying the limitation</w:t>
      </w:r>
      <w:r w:rsidR="007322BA" w:rsidRPr="001748B5">
        <w:rPr>
          <w:rFonts w:ascii="Arial" w:hAnsi="Arial" w:cs="Arial"/>
          <w:szCs w:val="24"/>
        </w:rPr>
        <w:t xml:space="preserve">.  </w:t>
      </w:r>
    </w:p>
    <w:p w14:paraId="67001E3A" w14:textId="4ADBE497" w:rsidR="00E82C5A" w:rsidRPr="001748B5" w:rsidRDefault="001748B5" w:rsidP="001748B5">
      <w:pPr>
        <w:ind w:left="567" w:hanging="567"/>
        <w:rPr>
          <w:rFonts w:ascii="Arial" w:hAnsi="Arial" w:cs="Arial"/>
          <w:szCs w:val="24"/>
        </w:rPr>
      </w:pPr>
      <w:r w:rsidRPr="008E6EAC">
        <w:rPr>
          <w:rFonts w:ascii="Arial" w:hAnsi="Arial" w:cs="Arial"/>
          <w:szCs w:val="24"/>
        </w:rPr>
        <w:t>[14]</w:t>
      </w:r>
      <w:r w:rsidRPr="008E6EAC">
        <w:rPr>
          <w:rFonts w:ascii="Arial" w:hAnsi="Arial" w:cs="Arial"/>
          <w:szCs w:val="24"/>
        </w:rPr>
        <w:tab/>
      </w:r>
      <w:r w:rsidR="008E6EAC" w:rsidRPr="001748B5">
        <w:rPr>
          <w:rFonts w:ascii="Arial" w:hAnsi="Arial" w:cs="Arial"/>
          <w:szCs w:val="24"/>
        </w:rPr>
        <w:t xml:space="preserve">The Fund has sat on its hands. </w:t>
      </w:r>
      <w:r w:rsidR="00732876" w:rsidRPr="001748B5">
        <w:rPr>
          <w:rFonts w:ascii="Arial" w:hAnsi="Arial" w:cs="Arial"/>
          <w:szCs w:val="24"/>
        </w:rPr>
        <w:t xml:space="preserve">The Fund has made no allegation that it has lifted a finger to obtain the Form. </w:t>
      </w:r>
      <w:r w:rsidR="008E6EAC" w:rsidRPr="001748B5">
        <w:rPr>
          <w:rFonts w:ascii="Arial" w:hAnsi="Arial" w:cs="Arial"/>
          <w:szCs w:val="24"/>
        </w:rPr>
        <w:t xml:space="preserve">The Fund's sole effort has been, in its answering affidavit, to blame the Department.  </w:t>
      </w:r>
      <w:r w:rsidR="007322BA" w:rsidRPr="001748B5">
        <w:rPr>
          <w:rFonts w:ascii="Arial" w:hAnsi="Arial" w:cs="Arial"/>
          <w:szCs w:val="24"/>
        </w:rPr>
        <w:t xml:space="preserve">The </w:t>
      </w:r>
      <w:r w:rsidR="00732876" w:rsidRPr="001748B5">
        <w:rPr>
          <w:rFonts w:ascii="Arial" w:hAnsi="Arial" w:cs="Arial"/>
          <w:szCs w:val="24"/>
        </w:rPr>
        <w:t xml:space="preserve">Courts have on three previous occasions </w:t>
      </w:r>
      <w:r w:rsidR="00732876" w:rsidRPr="001748B5">
        <w:rPr>
          <w:rFonts w:ascii="Arial" w:hAnsi="Arial" w:cs="Arial"/>
          <w:szCs w:val="24"/>
        </w:rPr>
        <w:lastRenderedPageBreak/>
        <w:t xml:space="preserve">deprecated the </w:t>
      </w:r>
      <w:r w:rsidR="007322BA" w:rsidRPr="001748B5">
        <w:rPr>
          <w:rFonts w:ascii="Arial" w:hAnsi="Arial" w:cs="Arial"/>
          <w:szCs w:val="24"/>
        </w:rPr>
        <w:t>Fund's conduct</w:t>
      </w:r>
      <w:r w:rsidR="00732876" w:rsidRPr="001748B5">
        <w:rPr>
          <w:rFonts w:ascii="Arial" w:hAnsi="Arial" w:cs="Arial"/>
          <w:szCs w:val="24"/>
        </w:rPr>
        <w:t xml:space="preserve">, in particular, </w:t>
      </w:r>
      <w:r w:rsidR="0080055F" w:rsidRPr="001748B5">
        <w:rPr>
          <w:rFonts w:ascii="Arial" w:hAnsi="Arial" w:cs="Arial"/>
          <w:szCs w:val="24"/>
        </w:rPr>
        <w:t>for hiding behind the Z102 form</w:t>
      </w:r>
      <w:r w:rsidR="00E21A5E" w:rsidRPr="001748B5">
        <w:rPr>
          <w:rFonts w:ascii="Arial" w:hAnsi="Arial" w:cs="Arial"/>
          <w:szCs w:val="24"/>
        </w:rPr>
        <w:t xml:space="preserve">.  </w:t>
      </w:r>
      <w:r w:rsidR="008E6EAC" w:rsidRPr="001748B5">
        <w:rPr>
          <w:rFonts w:ascii="Arial" w:hAnsi="Arial" w:cs="Arial"/>
          <w:szCs w:val="24"/>
        </w:rPr>
        <w:t>First, i</w:t>
      </w:r>
      <w:r w:rsidR="00E82C5A" w:rsidRPr="001748B5">
        <w:rPr>
          <w:rFonts w:ascii="Arial" w:hAnsi="Arial" w:cs="Arial"/>
          <w:szCs w:val="24"/>
        </w:rPr>
        <w:t xml:space="preserve">n </w:t>
      </w:r>
      <w:r w:rsidR="00E82C5A" w:rsidRPr="001748B5">
        <w:rPr>
          <w:rFonts w:ascii="Arial" w:hAnsi="Arial" w:cs="Arial"/>
          <w:i/>
          <w:iCs/>
          <w:szCs w:val="24"/>
        </w:rPr>
        <w:t>Mahlangu</w:t>
      </w:r>
      <w:r w:rsidR="00E82C5A">
        <w:rPr>
          <w:rStyle w:val="FootnoteReference"/>
          <w:rFonts w:ascii="Arial" w:hAnsi="Arial" w:cs="Arial"/>
          <w:szCs w:val="24"/>
        </w:rPr>
        <w:footnoteReference w:id="9"/>
      </w:r>
      <w:r w:rsidR="008E6EAC" w:rsidRPr="001748B5">
        <w:rPr>
          <w:rFonts w:ascii="Arial" w:hAnsi="Arial" w:cs="Arial"/>
          <w:i/>
          <w:iCs/>
          <w:szCs w:val="24"/>
        </w:rPr>
        <w:t xml:space="preserve"> </w:t>
      </w:r>
      <w:r w:rsidR="008E6EAC" w:rsidRPr="001748B5">
        <w:rPr>
          <w:rFonts w:ascii="Arial" w:hAnsi="Arial" w:cs="Arial"/>
          <w:szCs w:val="24"/>
        </w:rPr>
        <w:t xml:space="preserve">the Court showed its dissatisfaction with a costs order and referred to the Fund's conduct as "scandalous" - </w:t>
      </w:r>
    </w:p>
    <w:p w14:paraId="3BC75307" w14:textId="01E9E9B9" w:rsidR="00E82C5A" w:rsidRDefault="008E6EAC" w:rsidP="008E6EAC">
      <w:pPr>
        <w:spacing w:line="276" w:lineRule="auto"/>
        <w:ind w:left="1440"/>
        <w:rPr>
          <w:rFonts w:ascii="Arial" w:hAnsi="Arial" w:cs="Arial"/>
          <w:szCs w:val="24"/>
        </w:rPr>
      </w:pPr>
      <w:r>
        <w:rPr>
          <w:rFonts w:ascii="Arial" w:hAnsi="Arial" w:cs="Arial"/>
          <w:szCs w:val="24"/>
        </w:rPr>
        <w:t>"</w:t>
      </w:r>
      <w:r w:rsidR="00E82C5A" w:rsidRPr="008E6EAC">
        <w:rPr>
          <w:rFonts w:ascii="Arial" w:hAnsi="Arial" w:cs="Arial"/>
          <w:szCs w:val="24"/>
        </w:rPr>
        <w:t>This Court can find no fault with the said submissions in respect of costs made on behalf of the Applicant.  It is scandalous that a member of the Fund who has served his employer faithfully for a period of 35 years should have payment of his pension benefit withheld on such flimsy grounds.  A cost order on a punitive scale will assist somewhat to ensure that the Applicant is not kept out of pocket.  It will also mark this Court’s displeasure as to the manner in which the First Respondent has conducted itself in this litigation.</w:t>
      </w:r>
      <w:r>
        <w:rPr>
          <w:rFonts w:ascii="Arial" w:hAnsi="Arial" w:cs="Arial"/>
          <w:szCs w:val="24"/>
        </w:rPr>
        <w:t>"</w:t>
      </w:r>
      <w:r>
        <w:rPr>
          <w:rStyle w:val="FootnoteReference"/>
          <w:rFonts w:ascii="Arial" w:hAnsi="Arial" w:cs="Arial"/>
          <w:szCs w:val="24"/>
        </w:rPr>
        <w:footnoteReference w:id="10"/>
      </w:r>
      <w:r w:rsidR="00E82C5A" w:rsidRPr="008E6EAC">
        <w:rPr>
          <w:rFonts w:ascii="Arial" w:hAnsi="Arial" w:cs="Arial"/>
          <w:szCs w:val="24"/>
        </w:rPr>
        <w:t> </w:t>
      </w:r>
    </w:p>
    <w:p w14:paraId="7E9A1A21" w14:textId="77777777" w:rsidR="008E6EAC" w:rsidRDefault="008E6EAC" w:rsidP="008E6EAC">
      <w:pPr>
        <w:spacing w:line="276" w:lineRule="auto"/>
        <w:ind w:left="1440"/>
        <w:rPr>
          <w:rFonts w:ascii="Arial" w:hAnsi="Arial" w:cs="Arial"/>
          <w:szCs w:val="24"/>
        </w:rPr>
      </w:pPr>
    </w:p>
    <w:p w14:paraId="64E5FAAB" w14:textId="4E2FE0C3" w:rsidR="00E21A5E" w:rsidRPr="001748B5" w:rsidRDefault="001748B5" w:rsidP="001748B5">
      <w:pPr>
        <w:ind w:left="567" w:hanging="567"/>
        <w:rPr>
          <w:rFonts w:ascii="Arial" w:hAnsi="Arial" w:cs="Arial"/>
          <w:szCs w:val="24"/>
        </w:rPr>
      </w:pPr>
      <w:r>
        <w:rPr>
          <w:rFonts w:ascii="Arial" w:hAnsi="Arial" w:cs="Arial"/>
          <w:szCs w:val="24"/>
        </w:rPr>
        <w:t>[15]</w:t>
      </w:r>
      <w:r>
        <w:rPr>
          <w:rFonts w:ascii="Arial" w:hAnsi="Arial" w:cs="Arial"/>
          <w:szCs w:val="24"/>
        </w:rPr>
        <w:tab/>
      </w:r>
      <w:r w:rsidR="008E6EAC" w:rsidRPr="001748B5">
        <w:rPr>
          <w:rFonts w:ascii="Arial" w:hAnsi="Arial" w:cs="Arial"/>
          <w:szCs w:val="24"/>
        </w:rPr>
        <w:t>Second, i</w:t>
      </w:r>
      <w:r w:rsidR="00E21A5E" w:rsidRPr="001748B5">
        <w:rPr>
          <w:rFonts w:ascii="Arial" w:hAnsi="Arial" w:cs="Arial"/>
          <w:szCs w:val="24"/>
        </w:rPr>
        <w:t xml:space="preserve">n </w:t>
      </w:r>
      <w:r w:rsidR="00E21A5E" w:rsidRPr="001748B5">
        <w:rPr>
          <w:rFonts w:ascii="Arial" w:hAnsi="Arial" w:cs="Arial"/>
          <w:i/>
          <w:iCs/>
          <w:szCs w:val="24"/>
        </w:rPr>
        <w:t>Hangana v the Government Employees Pension Fund</w:t>
      </w:r>
      <w:r w:rsidR="00D16734" w:rsidRPr="007322BA">
        <w:rPr>
          <w:rStyle w:val="FootnoteReference"/>
          <w:rFonts w:ascii="Arial" w:hAnsi="Arial" w:cs="Arial"/>
          <w:szCs w:val="24"/>
        </w:rPr>
        <w:footnoteReference w:id="11"/>
      </w:r>
      <w:r w:rsidR="00E21A5E" w:rsidRPr="001748B5">
        <w:rPr>
          <w:rFonts w:ascii="Arial" w:hAnsi="Arial" w:cs="Arial"/>
          <w:szCs w:val="24"/>
        </w:rPr>
        <w:t xml:space="preserve"> Revelas J deal</w:t>
      </w:r>
      <w:r w:rsidR="00D16734" w:rsidRPr="001748B5">
        <w:rPr>
          <w:rFonts w:ascii="Arial" w:hAnsi="Arial" w:cs="Arial"/>
          <w:szCs w:val="24"/>
        </w:rPr>
        <w:t>t</w:t>
      </w:r>
      <w:r w:rsidR="00E21A5E" w:rsidRPr="001748B5">
        <w:rPr>
          <w:rFonts w:ascii="Arial" w:hAnsi="Arial" w:cs="Arial"/>
          <w:szCs w:val="24"/>
        </w:rPr>
        <w:t xml:space="preserve"> with the Fund's demand for a Z102</w:t>
      </w:r>
      <w:r w:rsidR="00D16734" w:rsidRPr="001748B5">
        <w:rPr>
          <w:rFonts w:ascii="Arial" w:hAnsi="Arial" w:cs="Arial"/>
          <w:szCs w:val="24"/>
        </w:rPr>
        <w:t xml:space="preserve">. The context </w:t>
      </w:r>
      <w:r w:rsidR="008E6EAC" w:rsidRPr="001748B5">
        <w:rPr>
          <w:rFonts w:ascii="Arial" w:hAnsi="Arial" w:cs="Arial"/>
          <w:szCs w:val="24"/>
        </w:rPr>
        <w:t>related to an amendment that was to be made to a Z102 and the Fund refusing to deal with the matter until the Department had provided the Z102 form.</w:t>
      </w:r>
      <w:r w:rsidR="00D16734" w:rsidRPr="001748B5">
        <w:rPr>
          <w:rFonts w:ascii="Arial" w:hAnsi="Arial" w:cs="Arial"/>
          <w:szCs w:val="24"/>
        </w:rPr>
        <w:t xml:space="preserve"> Revelas J </w:t>
      </w:r>
      <w:r w:rsidR="007322BA" w:rsidRPr="001748B5">
        <w:rPr>
          <w:rFonts w:ascii="Arial" w:hAnsi="Arial" w:cs="Arial"/>
          <w:szCs w:val="24"/>
        </w:rPr>
        <w:t>criticised</w:t>
      </w:r>
      <w:r w:rsidR="008E6EAC" w:rsidRPr="001748B5">
        <w:rPr>
          <w:rFonts w:ascii="Arial" w:hAnsi="Arial" w:cs="Arial"/>
          <w:szCs w:val="24"/>
        </w:rPr>
        <w:t xml:space="preserve"> the Fund for being involved in "blame shifting" and </w:t>
      </w:r>
      <w:r w:rsidR="00D16734" w:rsidRPr="001748B5">
        <w:rPr>
          <w:rFonts w:ascii="Arial" w:hAnsi="Arial" w:cs="Arial"/>
          <w:szCs w:val="24"/>
        </w:rPr>
        <w:t xml:space="preserve">held as follows: </w:t>
      </w:r>
      <w:r w:rsidR="00E21A5E" w:rsidRPr="001748B5">
        <w:rPr>
          <w:rFonts w:ascii="Arial" w:hAnsi="Arial" w:cs="Arial"/>
          <w:szCs w:val="24"/>
        </w:rPr>
        <w:t xml:space="preserve">- </w:t>
      </w:r>
    </w:p>
    <w:p w14:paraId="00627FEC" w14:textId="1182A170" w:rsidR="00D16734" w:rsidRDefault="008E6EAC" w:rsidP="00D16734">
      <w:pPr>
        <w:spacing w:line="276" w:lineRule="auto"/>
        <w:ind w:left="1440"/>
        <w:rPr>
          <w:rFonts w:ascii="Arial" w:hAnsi="Arial" w:cs="Arial"/>
          <w:szCs w:val="24"/>
        </w:rPr>
      </w:pPr>
      <w:r>
        <w:rPr>
          <w:rFonts w:ascii="Arial" w:hAnsi="Arial" w:cs="Arial"/>
          <w:szCs w:val="24"/>
        </w:rPr>
        <w:t>"</w:t>
      </w:r>
      <w:r w:rsidR="00D16734" w:rsidRPr="00D16734">
        <w:rPr>
          <w:rFonts w:ascii="Arial" w:hAnsi="Arial" w:cs="Arial"/>
          <w:szCs w:val="24"/>
        </w:rPr>
        <w:t xml:space="preserve">Clearly the respondent had a constitutional duty to see that the applicant was paid out the correct pension amounts. She was entitled thereto. </w:t>
      </w:r>
      <w:r w:rsidR="00D16734" w:rsidRPr="008E6EAC">
        <w:rPr>
          <w:rFonts w:ascii="Arial" w:hAnsi="Arial" w:cs="Arial"/>
          <w:color w:val="000000" w:themeColor="text1"/>
          <w:szCs w:val="24"/>
        </w:rPr>
        <w:t>The applicant correctly makes the point that she was entitled to relief in terms of the </w:t>
      </w:r>
      <w:hyperlink r:id="rId9" w:history="1">
        <w:r w:rsidR="00D16734" w:rsidRPr="008E6EAC">
          <w:rPr>
            <w:rStyle w:val="Hyperlink"/>
            <w:rFonts w:ascii="Arial" w:hAnsi="Arial" w:cs="Arial"/>
            <w:color w:val="000000" w:themeColor="text1"/>
            <w:szCs w:val="24"/>
            <w:u w:val="none"/>
          </w:rPr>
          <w:t>Promotion of Administrative</w:t>
        </w:r>
      </w:hyperlink>
      <w:r w:rsidR="00D16734" w:rsidRPr="008E6EAC">
        <w:rPr>
          <w:rFonts w:ascii="Arial" w:hAnsi="Arial" w:cs="Arial"/>
          <w:color w:val="000000" w:themeColor="text1"/>
          <w:szCs w:val="24"/>
        </w:rPr>
        <w:t> </w:t>
      </w:r>
      <w:hyperlink r:id="rId10" w:history="1">
        <w:r w:rsidR="00D16734" w:rsidRPr="008E6EAC">
          <w:rPr>
            <w:rStyle w:val="Hyperlink"/>
            <w:rFonts w:ascii="Arial" w:hAnsi="Arial" w:cs="Arial"/>
            <w:color w:val="000000" w:themeColor="text1"/>
            <w:szCs w:val="24"/>
            <w:u w:val="none"/>
          </w:rPr>
          <w:t>Justice Act, 3 of 2000</w:t>
        </w:r>
      </w:hyperlink>
      <w:r w:rsidR="00D16734" w:rsidRPr="008E6EAC">
        <w:rPr>
          <w:rFonts w:ascii="Arial" w:hAnsi="Arial" w:cs="Arial"/>
          <w:color w:val="000000" w:themeColor="text1"/>
          <w:szCs w:val="24"/>
        </w:rPr>
        <w:t xml:space="preserve">, as well as declaratory relief in terms of the Constitution. The respondent in this case failed to act in accordance with its statutory and constitutional obligations and chose to shift the blame onto the Department. Once </w:t>
      </w:r>
      <w:r w:rsidR="00D16734" w:rsidRPr="00D16734">
        <w:rPr>
          <w:rFonts w:ascii="Arial" w:hAnsi="Arial" w:cs="Arial"/>
          <w:szCs w:val="24"/>
        </w:rPr>
        <w:t>the respondent realized that there was an error in its calculation of the pension payment, it should have taken steps to rectify it, and not wait for the applicant to take it up with the department or until it was brought to court before finally acting.’</w:t>
      </w:r>
      <w:r w:rsidR="00D16734">
        <w:rPr>
          <w:rStyle w:val="FootnoteReference"/>
          <w:rFonts w:ascii="Arial" w:hAnsi="Arial" w:cs="Arial"/>
          <w:szCs w:val="24"/>
        </w:rPr>
        <w:footnoteReference w:id="12"/>
      </w:r>
    </w:p>
    <w:p w14:paraId="34757592" w14:textId="77777777" w:rsidR="000E065E" w:rsidRPr="00D16734" w:rsidRDefault="000E065E" w:rsidP="00D16734">
      <w:pPr>
        <w:spacing w:line="276" w:lineRule="auto"/>
        <w:ind w:left="1440"/>
        <w:rPr>
          <w:rFonts w:ascii="Arial" w:hAnsi="Arial" w:cs="Arial"/>
          <w:szCs w:val="24"/>
        </w:rPr>
      </w:pPr>
    </w:p>
    <w:p w14:paraId="16CD74BA" w14:textId="6AD6F4EA" w:rsidR="00E21A5E" w:rsidRPr="001748B5" w:rsidRDefault="001748B5" w:rsidP="001748B5">
      <w:pPr>
        <w:ind w:left="567" w:hanging="567"/>
        <w:rPr>
          <w:rFonts w:ascii="Arial" w:hAnsi="Arial" w:cs="Arial"/>
          <w:szCs w:val="24"/>
        </w:rPr>
      </w:pPr>
      <w:r>
        <w:rPr>
          <w:rFonts w:ascii="Arial" w:hAnsi="Arial" w:cs="Arial"/>
          <w:szCs w:val="24"/>
        </w:rPr>
        <w:t>[16]</w:t>
      </w:r>
      <w:r>
        <w:rPr>
          <w:rFonts w:ascii="Arial" w:hAnsi="Arial" w:cs="Arial"/>
          <w:szCs w:val="24"/>
        </w:rPr>
        <w:tab/>
      </w:r>
      <w:r w:rsidR="008E6EAC" w:rsidRPr="001748B5">
        <w:rPr>
          <w:rFonts w:ascii="Arial" w:hAnsi="Arial" w:cs="Arial"/>
          <w:szCs w:val="24"/>
        </w:rPr>
        <w:t xml:space="preserve">Third, in </w:t>
      </w:r>
      <w:r w:rsidR="00E21A5E" w:rsidRPr="001748B5">
        <w:rPr>
          <w:rFonts w:ascii="Arial" w:hAnsi="Arial" w:cs="Arial"/>
          <w:i/>
          <w:iCs/>
          <w:szCs w:val="24"/>
        </w:rPr>
        <w:t>Mhlontlo</w:t>
      </w:r>
      <w:r w:rsidR="00E21A5E" w:rsidRPr="001748B5">
        <w:rPr>
          <w:rFonts w:ascii="Arial" w:hAnsi="Arial" w:cs="Arial"/>
          <w:szCs w:val="24"/>
        </w:rPr>
        <w:t xml:space="preserve"> Govindjee AJ </w:t>
      </w:r>
      <w:r w:rsidR="008E6EAC" w:rsidRPr="001748B5">
        <w:rPr>
          <w:rFonts w:ascii="Arial" w:hAnsi="Arial" w:cs="Arial"/>
          <w:szCs w:val="24"/>
        </w:rPr>
        <w:t>criticised the Fund and the Department of being involved in "passing the buck" -</w:t>
      </w:r>
    </w:p>
    <w:p w14:paraId="71211E26" w14:textId="226EA8DD" w:rsidR="0034205E" w:rsidRDefault="0034205E" w:rsidP="0034205E">
      <w:pPr>
        <w:spacing w:line="276" w:lineRule="auto"/>
        <w:ind w:left="1440"/>
        <w:rPr>
          <w:rFonts w:ascii="Arial" w:hAnsi="Arial" w:cs="Arial"/>
          <w:szCs w:val="24"/>
        </w:rPr>
      </w:pPr>
      <w:r>
        <w:rPr>
          <w:rFonts w:ascii="Arial" w:hAnsi="Arial" w:cs="Arial"/>
          <w:szCs w:val="24"/>
        </w:rPr>
        <w:t>"</w:t>
      </w:r>
      <w:r w:rsidRPr="0034205E">
        <w:rPr>
          <w:rFonts w:ascii="Arial" w:hAnsi="Arial" w:cs="Arial"/>
          <w:szCs w:val="24"/>
        </w:rPr>
        <w:t xml:space="preserve">Unfortunately, it appears as if many retired government employees battle, for one reason or another, to access the benefits to which they </w:t>
      </w:r>
      <w:r w:rsidRPr="0034205E">
        <w:rPr>
          <w:rFonts w:ascii="Arial" w:hAnsi="Arial" w:cs="Arial"/>
          <w:szCs w:val="24"/>
        </w:rPr>
        <w:lastRenderedPageBreak/>
        <w:t>are entitled following many years of service and contribution</w:t>
      </w:r>
      <w:r>
        <w:rPr>
          <w:rFonts w:ascii="Arial" w:hAnsi="Arial" w:cs="Arial"/>
          <w:szCs w:val="24"/>
        </w:rPr>
        <w:t>.</w:t>
      </w:r>
      <w:r w:rsidRPr="0034205E">
        <w:rPr>
          <w:rFonts w:ascii="Arial" w:hAnsi="Arial" w:cs="Arial"/>
          <w:szCs w:val="24"/>
        </w:rPr>
        <w:t xml:space="preserve"> It goes without saying that pension funds should only be paid upon receipt of adequate proof of the amount due. On this occasion, the buck is being passed between the Department and the respondent in respect of the verification process required before the correct amount may be paid to the applicant.</w:t>
      </w:r>
      <w:r>
        <w:rPr>
          <w:rFonts w:ascii="Arial" w:hAnsi="Arial" w:cs="Arial"/>
          <w:szCs w:val="24"/>
        </w:rPr>
        <w:t>"</w:t>
      </w:r>
      <w:r w:rsidR="008E6EAC">
        <w:rPr>
          <w:rStyle w:val="FootnoteReference"/>
          <w:rFonts w:ascii="Arial" w:hAnsi="Arial" w:cs="Arial"/>
          <w:szCs w:val="24"/>
        </w:rPr>
        <w:footnoteReference w:id="13"/>
      </w:r>
    </w:p>
    <w:p w14:paraId="7C8953D2" w14:textId="77777777" w:rsidR="0034205E" w:rsidRPr="0034205E" w:rsidRDefault="0034205E" w:rsidP="0034205E">
      <w:pPr>
        <w:spacing w:line="276" w:lineRule="auto"/>
        <w:ind w:left="1440"/>
        <w:rPr>
          <w:rFonts w:ascii="Arial" w:hAnsi="Arial" w:cs="Arial"/>
          <w:szCs w:val="24"/>
        </w:rPr>
      </w:pPr>
    </w:p>
    <w:p w14:paraId="2F859AD2" w14:textId="2DB77A68" w:rsidR="0034205E" w:rsidRDefault="0034205E" w:rsidP="0034205E">
      <w:pPr>
        <w:spacing w:line="276" w:lineRule="auto"/>
        <w:ind w:left="1440"/>
        <w:rPr>
          <w:rFonts w:ascii="Arial" w:hAnsi="Arial" w:cs="Arial"/>
          <w:szCs w:val="24"/>
        </w:rPr>
      </w:pPr>
      <w:r>
        <w:rPr>
          <w:rFonts w:ascii="Arial" w:hAnsi="Arial" w:cs="Arial"/>
          <w:szCs w:val="24"/>
        </w:rPr>
        <w:t>"</w:t>
      </w:r>
      <w:r w:rsidRPr="0034205E">
        <w:rPr>
          <w:rFonts w:ascii="Arial" w:hAnsi="Arial" w:cs="Arial"/>
          <w:szCs w:val="24"/>
        </w:rPr>
        <w:t>These sentiments may be echoed in this case and the respondent’s conduct in the matter deprecated. The applicant has succeeded in establishing that the respondent has failed to act in accordance with its constitutional and statutory obligations. The order issued is directed to compel the respondent to do so.</w:t>
      </w:r>
      <w:r>
        <w:rPr>
          <w:rFonts w:ascii="Arial" w:hAnsi="Arial" w:cs="Arial"/>
          <w:szCs w:val="24"/>
        </w:rPr>
        <w:t>"</w:t>
      </w:r>
      <w:r>
        <w:rPr>
          <w:rStyle w:val="FootnoteReference"/>
          <w:rFonts w:ascii="Arial" w:hAnsi="Arial" w:cs="Arial"/>
          <w:szCs w:val="24"/>
        </w:rPr>
        <w:footnoteReference w:id="14"/>
      </w:r>
      <w:r w:rsidRPr="0034205E">
        <w:rPr>
          <w:rFonts w:ascii="Arial" w:hAnsi="Arial" w:cs="Arial"/>
          <w:szCs w:val="24"/>
        </w:rPr>
        <w:t xml:space="preserve"> </w:t>
      </w:r>
    </w:p>
    <w:p w14:paraId="5340FE9B" w14:textId="77777777" w:rsidR="00D16734" w:rsidRDefault="00D16734" w:rsidP="0034205E">
      <w:pPr>
        <w:spacing w:line="276" w:lineRule="auto"/>
        <w:ind w:left="1440"/>
        <w:rPr>
          <w:rFonts w:ascii="Arial" w:hAnsi="Arial" w:cs="Arial"/>
          <w:szCs w:val="24"/>
        </w:rPr>
      </w:pPr>
    </w:p>
    <w:p w14:paraId="18046BB2" w14:textId="12A0102C" w:rsidR="00E236BD" w:rsidRPr="001748B5" w:rsidRDefault="001748B5" w:rsidP="001748B5">
      <w:pPr>
        <w:ind w:left="567" w:hanging="567"/>
        <w:rPr>
          <w:rFonts w:ascii="Arial" w:hAnsi="Arial" w:cs="Arial"/>
          <w:szCs w:val="24"/>
        </w:rPr>
      </w:pPr>
      <w:r w:rsidRPr="00732876">
        <w:rPr>
          <w:rFonts w:ascii="Arial" w:hAnsi="Arial" w:cs="Arial"/>
          <w:szCs w:val="24"/>
        </w:rPr>
        <w:t>[17]</w:t>
      </w:r>
      <w:r w:rsidRPr="00732876">
        <w:rPr>
          <w:rFonts w:ascii="Arial" w:hAnsi="Arial" w:cs="Arial"/>
          <w:szCs w:val="24"/>
        </w:rPr>
        <w:tab/>
      </w:r>
      <w:r w:rsidR="003E3956" w:rsidRPr="001748B5">
        <w:rPr>
          <w:rFonts w:ascii="Arial" w:hAnsi="Arial" w:cs="Arial"/>
          <w:szCs w:val="24"/>
        </w:rPr>
        <w:t>Th</w:t>
      </w:r>
      <w:r w:rsidR="007322BA" w:rsidRPr="001748B5">
        <w:rPr>
          <w:rFonts w:ascii="Arial" w:hAnsi="Arial" w:cs="Arial"/>
          <w:szCs w:val="24"/>
        </w:rPr>
        <w:t xml:space="preserve">is Court similarly expresses its dissatisfaction with the Fund relying on a Z102 form in circumstances where three courts have previously told the Fund it cannot use the absence of </w:t>
      </w:r>
      <w:r w:rsidR="00E236BD" w:rsidRPr="001748B5">
        <w:rPr>
          <w:rFonts w:ascii="Arial" w:hAnsi="Arial" w:cs="Arial"/>
          <w:szCs w:val="24"/>
        </w:rPr>
        <w:t>the form</w:t>
      </w:r>
      <w:r w:rsidR="007322BA" w:rsidRPr="001748B5">
        <w:rPr>
          <w:rFonts w:ascii="Arial" w:hAnsi="Arial" w:cs="Arial"/>
          <w:szCs w:val="24"/>
        </w:rPr>
        <w:t xml:space="preserve"> as an excuse.  </w:t>
      </w:r>
      <w:r w:rsidR="00732876" w:rsidRPr="001748B5">
        <w:rPr>
          <w:rFonts w:ascii="Arial" w:hAnsi="Arial" w:cs="Arial"/>
          <w:szCs w:val="24"/>
        </w:rPr>
        <w:t xml:space="preserve">The Fund cannot fold its hand and say it awaits the Z102 form. Its conduct is subject to the rule of law and it must find the basis for its position in the existing law.  The Fund cannot refuse to assist claimants when the statutory framework requires it to engage with claimants.  </w:t>
      </w:r>
      <w:r w:rsidR="00E236BD" w:rsidRPr="001748B5">
        <w:rPr>
          <w:rFonts w:ascii="Arial" w:hAnsi="Arial" w:cs="Arial"/>
          <w:szCs w:val="24"/>
        </w:rPr>
        <w:t>The Court shows its displeasure at the Fund for litigating a defence which it must know is bad in law</w:t>
      </w:r>
      <w:r w:rsidR="00732876" w:rsidRPr="001748B5">
        <w:rPr>
          <w:rFonts w:ascii="Arial" w:hAnsi="Arial" w:cs="Arial"/>
          <w:szCs w:val="24"/>
        </w:rPr>
        <w:t xml:space="preserve"> by awarding punitive costs.</w:t>
      </w:r>
      <w:r w:rsidR="00E236BD" w:rsidRPr="001748B5">
        <w:rPr>
          <w:rFonts w:ascii="Arial" w:hAnsi="Arial" w:cs="Arial"/>
          <w:szCs w:val="24"/>
        </w:rPr>
        <w:t xml:space="preserve">  </w:t>
      </w:r>
    </w:p>
    <w:p w14:paraId="22056129" w14:textId="2400446E" w:rsidR="009841F6" w:rsidRPr="001748B5" w:rsidRDefault="001748B5" w:rsidP="001748B5">
      <w:pPr>
        <w:ind w:left="567" w:hanging="567"/>
        <w:rPr>
          <w:rFonts w:ascii="Arial" w:hAnsi="Arial" w:cs="Arial"/>
          <w:szCs w:val="24"/>
        </w:rPr>
      </w:pPr>
      <w:r>
        <w:rPr>
          <w:rFonts w:ascii="Arial" w:hAnsi="Arial" w:cs="Arial"/>
          <w:szCs w:val="24"/>
        </w:rPr>
        <w:t>[18]</w:t>
      </w:r>
      <w:r>
        <w:rPr>
          <w:rFonts w:ascii="Arial" w:hAnsi="Arial" w:cs="Arial"/>
          <w:szCs w:val="24"/>
        </w:rPr>
        <w:tab/>
      </w:r>
      <w:r w:rsidR="007322BA" w:rsidRPr="001748B5">
        <w:rPr>
          <w:rFonts w:ascii="Arial" w:hAnsi="Arial" w:cs="Arial"/>
          <w:szCs w:val="24"/>
        </w:rPr>
        <w:t xml:space="preserve">The Court </w:t>
      </w:r>
      <w:r w:rsidR="00E236BD" w:rsidRPr="001748B5">
        <w:rPr>
          <w:rFonts w:ascii="Arial" w:hAnsi="Arial" w:cs="Arial"/>
          <w:szCs w:val="24"/>
        </w:rPr>
        <w:t xml:space="preserve">repeats what the Courts have previously found - </w:t>
      </w:r>
    </w:p>
    <w:p w14:paraId="46151AAE" w14:textId="15D53234" w:rsidR="00E236BD" w:rsidRPr="001748B5" w:rsidRDefault="001748B5" w:rsidP="001748B5">
      <w:pPr>
        <w:ind w:left="1287" w:hanging="567"/>
        <w:rPr>
          <w:rFonts w:ascii="Arial" w:hAnsi="Arial" w:cs="Arial"/>
          <w:szCs w:val="24"/>
        </w:rPr>
      </w:pPr>
      <w:r>
        <w:rPr>
          <w:rFonts w:ascii="Arial" w:hAnsi="Arial" w:cs="Arial"/>
          <w:szCs w:val="24"/>
        </w:rPr>
        <w:t>1.</w:t>
      </w:r>
      <w:r>
        <w:rPr>
          <w:rFonts w:ascii="Arial" w:hAnsi="Arial" w:cs="Arial"/>
          <w:szCs w:val="24"/>
        </w:rPr>
        <w:tab/>
      </w:r>
      <w:r w:rsidR="00E236BD" w:rsidRPr="001748B5">
        <w:rPr>
          <w:rFonts w:ascii="Arial" w:hAnsi="Arial" w:cs="Arial"/>
          <w:szCs w:val="24"/>
        </w:rPr>
        <w:t>There is no basis in section 26(1) to demand a Z102 form.</w:t>
      </w:r>
    </w:p>
    <w:p w14:paraId="5419BE12" w14:textId="29CB6600" w:rsidR="00E236BD" w:rsidRPr="001748B5" w:rsidRDefault="001748B5" w:rsidP="001748B5">
      <w:pPr>
        <w:ind w:left="1287" w:hanging="567"/>
        <w:rPr>
          <w:rFonts w:ascii="Arial" w:hAnsi="Arial" w:cs="Arial"/>
          <w:szCs w:val="24"/>
        </w:rPr>
      </w:pPr>
      <w:r>
        <w:rPr>
          <w:rFonts w:ascii="Arial" w:hAnsi="Arial" w:cs="Arial"/>
          <w:szCs w:val="24"/>
        </w:rPr>
        <w:t>2.</w:t>
      </w:r>
      <w:r>
        <w:rPr>
          <w:rFonts w:ascii="Arial" w:hAnsi="Arial" w:cs="Arial"/>
          <w:szCs w:val="24"/>
        </w:rPr>
        <w:tab/>
      </w:r>
      <w:r w:rsidR="00E236BD" w:rsidRPr="001748B5">
        <w:rPr>
          <w:rFonts w:ascii="Arial" w:hAnsi="Arial" w:cs="Arial"/>
          <w:szCs w:val="24"/>
        </w:rPr>
        <w:t>The Fund is obliged to engage directly with a claimant by virtue of Rule 22.</w:t>
      </w:r>
    </w:p>
    <w:p w14:paraId="39DF29DE" w14:textId="4D1CA674" w:rsidR="00E236BD" w:rsidRPr="001748B5" w:rsidRDefault="001748B5" w:rsidP="001748B5">
      <w:pPr>
        <w:ind w:left="1287" w:hanging="567"/>
        <w:rPr>
          <w:rFonts w:ascii="Arial" w:hAnsi="Arial" w:cs="Arial"/>
          <w:szCs w:val="24"/>
        </w:rPr>
      </w:pPr>
      <w:r w:rsidRPr="00B24AE6">
        <w:rPr>
          <w:rFonts w:ascii="Arial" w:hAnsi="Arial" w:cs="Arial"/>
          <w:szCs w:val="24"/>
        </w:rPr>
        <w:t>3.</w:t>
      </w:r>
      <w:r w:rsidRPr="00B24AE6">
        <w:rPr>
          <w:rFonts w:ascii="Arial" w:hAnsi="Arial" w:cs="Arial"/>
          <w:szCs w:val="24"/>
        </w:rPr>
        <w:tab/>
      </w:r>
      <w:r w:rsidR="00E236BD" w:rsidRPr="001748B5">
        <w:rPr>
          <w:rFonts w:ascii="Arial" w:hAnsi="Arial" w:cs="Arial"/>
          <w:szCs w:val="24"/>
        </w:rPr>
        <w:t xml:space="preserve">The Fund cannot pass the buck to the Department.  </w:t>
      </w:r>
    </w:p>
    <w:p w14:paraId="56C3576B" w14:textId="0D625913" w:rsidR="00781931" w:rsidRPr="001748B5" w:rsidRDefault="001748B5" w:rsidP="001748B5">
      <w:pPr>
        <w:ind w:left="567" w:hanging="567"/>
        <w:rPr>
          <w:rFonts w:ascii="Arial" w:hAnsi="Arial" w:cs="Arial"/>
          <w:szCs w:val="24"/>
        </w:rPr>
      </w:pPr>
      <w:r w:rsidRPr="005A39A5">
        <w:rPr>
          <w:rFonts w:ascii="Arial" w:hAnsi="Arial" w:cs="Arial"/>
          <w:szCs w:val="24"/>
        </w:rPr>
        <w:t>[19]</w:t>
      </w:r>
      <w:r w:rsidRPr="005A39A5">
        <w:rPr>
          <w:rFonts w:ascii="Arial" w:hAnsi="Arial" w:cs="Arial"/>
          <w:szCs w:val="24"/>
        </w:rPr>
        <w:tab/>
      </w:r>
      <w:r w:rsidR="009841F6" w:rsidRPr="001748B5">
        <w:rPr>
          <w:rFonts w:ascii="Arial" w:hAnsi="Arial" w:cs="Arial"/>
          <w:szCs w:val="24"/>
        </w:rPr>
        <w:t xml:space="preserve">In the result I make the following order: </w:t>
      </w:r>
    </w:p>
    <w:p w14:paraId="3E1D0C17" w14:textId="1D899E8E" w:rsidR="00E82C5A" w:rsidRPr="001748B5" w:rsidRDefault="001748B5" w:rsidP="001748B5">
      <w:pPr>
        <w:ind w:left="1287" w:hanging="567"/>
        <w:rPr>
          <w:rFonts w:ascii="Arial" w:hAnsi="Arial" w:cs="Arial"/>
          <w:szCs w:val="24"/>
        </w:rPr>
      </w:pPr>
      <w:r w:rsidRPr="00E82C5A">
        <w:rPr>
          <w:rFonts w:ascii="Arial" w:hAnsi="Arial" w:cs="Arial"/>
          <w:szCs w:val="24"/>
        </w:rPr>
        <w:t>1.</w:t>
      </w:r>
      <w:r w:rsidRPr="00E82C5A">
        <w:rPr>
          <w:rFonts w:ascii="Arial" w:hAnsi="Arial" w:cs="Arial"/>
          <w:szCs w:val="24"/>
        </w:rPr>
        <w:tab/>
      </w:r>
      <w:r w:rsidR="00E82C5A" w:rsidRPr="001748B5">
        <w:rPr>
          <w:rFonts w:ascii="Arial" w:hAnsi="Arial" w:cs="Arial"/>
          <w:szCs w:val="24"/>
        </w:rPr>
        <w:t xml:space="preserve">The </w:t>
      </w:r>
      <w:r w:rsidR="00B24AE6" w:rsidRPr="001748B5">
        <w:rPr>
          <w:rFonts w:ascii="Arial" w:hAnsi="Arial" w:cs="Arial"/>
          <w:szCs w:val="24"/>
        </w:rPr>
        <w:t xml:space="preserve">first </w:t>
      </w:r>
      <w:r w:rsidR="00E82C5A" w:rsidRPr="001748B5">
        <w:rPr>
          <w:rFonts w:ascii="Arial" w:hAnsi="Arial" w:cs="Arial"/>
          <w:szCs w:val="24"/>
        </w:rPr>
        <w:t xml:space="preserve">respondent is ordered forthwith to take all steps necessary to procure the proper and comprehensive calculation of </w:t>
      </w:r>
      <w:r w:rsidR="007322BA" w:rsidRPr="001748B5">
        <w:rPr>
          <w:rFonts w:ascii="Arial" w:hAnsi="Arial" w:cs="Arial"/>
          <w:szCs w:val="24"/>
        </w:rPr>
        <w:t>Ms Dingisway</w:t>
      </w:r>
      <w:r w:rsidR="00084508" w:rsidRPr="001748B5">
        <w:rPr>
          <w:rFonts w:ascii="Arial" w:hAnsi="Arial" w:cs="Arial"/>
          <w:szCs w:val="24"/>
        </w:rPr>
        <w:t>o</w:t>
      </w:r>
      <w:r w:rsidR="007322BA" w:rsidRPr="001748B5">
        <w:rPr>
          <w:rFonts w:ascii="Arial" w:hAnsi="Arial" w:cs="Arial"/>
          <w:szCs w:val="24"/>
        </w:rPr>
        <w:t>'s</w:t>
      </w:r>
      <w:r w:rsidR="00E82C5A" w:rsidRPr="001748B5">
        <w:rPr>
          <w:rFonts w:ascii="Arial" w:hAnsi="Arial" w:cs="Arial"/>
          <w:szCs w:val="24"/>
        </w:rPr>
        <w:t xml:space="preserve"> benefits in terms of the Government Employees Pension Law, 1996, and </w:t>
      </w:r>
      <w:r w:rsidR="00E82C5A" w:rsidRPr="001748B5">
        <w:rPr>
          <w:rFonts w:ascii="Arial" w:hAnsi="Arial" w:cs="Arial"/>
          <w:szCs w:val="24"/>
        </w:rPr>
        <w:lastRenderedPageBreak/>
        <w:t xml:space="preserve">to thereafter process </w:t>
      </w:r>
      <w:r w:rsidR="007322BA" w:rsidRPr="001748B5">
        <w:rPr>
          <w:rFonts w:ascii="Arial" w:hAnsi="Arial" w:cs="Arial"/>
          <w:szCs w:val="24"/>
        </w:rPr>
        <w:t>Ms Dingiswayo's</w:t>
      </w:r>
      <w:r w:rsidR="00E82C5A" w:rsidRPr="001748B5">
        <w:rPr>
          <w:rFonts w:ascii="Arial" w:hAnsi="Arial" w:cs="Arial"/>
          <w:szCs w:val="24"/>
        </w:rPr>
        <w:t xml:space="preserve"> claim </w:t>
      </w:r>
      <w:r w:rsidR="007322BA" w:rsidRPr="001748B5">
        <w:rPr>
          <w:rFonts w:ascii="Arial" w:hAnsi="Arial" w:cs="Arial"/>
          <w:szCs w:val="24"/>
        </w:rPr>
        <w:t>(brough</w:t>
      </w:r>
      <w:r w:rsidR="00084508" w:rsidRPr="001748B5">
        <w:rPr>
          <w:rFonts w:ascii="Arial" w:hAnsi="Arial" w:cs="Arial"/>
          <w:szCs w:val="24"/>
        </w:rPr>
        <w:t>t</w:t>
      </w:r>
      <w:r w:rsidR="007322BA" w:rsidRPr="001748B5">
        <w:rPr>
          <w:rFonts w:ascii="Arial" w:hAnsi="Arial" w:cs="Arial"/>
          <w:szCs w:val="24"/>
        </w:rPr>
        <w:t xml:space="preserve"> by the applicant) </w:t>
      </w:r>
      <w:r w:rsidR="00E82C5A" w:rsidRPr="001748B5">
        <w:rPr>
          <w:rFonts w:ascii="Arial" w:hAnsi="Arial" w:cs="Arial"/>
          <w:szCs w:val="24"/>
        </w:rPr>
        <w:t>for further payment of benefits. </w:t>
      </w:r>
    </w:p>
    <w:p w14:paraId="15DF1745" w14:textId="76A8F10F" w:rsidR="00F204E3" w:rsidRPr="001748B5" w:rsidRDefault="001748B5" w:rsidP="001748B5">
      <w:pPr>
        <w:ind w:left="1287" w:hanging="567"/>
        <w:rPr>
          <w:rFonts w:ascii="Arial" w:hAnsi="Arial" w:cs="Arial"/>
          <w:szCs w:val="24"/>
        </w:rPr>
      </w:pPr>
      <w:r w:rsidRPr="00B24AE6">
        <w:rPr>
          <w:rFonts w:ascii="Arial" w:hAnsi="Arial" w:cs="Arial"/>
          <w:szCs w:val="24"/>
        </w:rPr>
        <w:t>2.</w:t>
      </w:r>
      <w:r w:rsidRPr="00B24AE6">
        <w:rPr>
          <w:rFonts w:ascii="Arial" w:hAnsi="Arial" w:cs="Arial"/>
          <w:szCs w:val="24"/>
        </w:rPr>
        <w:tab/>
      </w:r>
      <w:r w:rsidR="00E82C5A" w:rsidRPr="001748B5">
        <w:rPr>
          <w:rFonts w:ascii="Arial" w:hAnsi="Arial" w:cs="Arial"/>
          <w:szCs w:val="24"/>
        </w:rPr>
        <w:t xml:space="preserve">The </w:t>
      </w:r>
      <w:r w:rsidR="00B24AE6" w:rsidRPr="001748B5">
        <w:rPr>
          <w:rFonts w:ascii="Arial" w:hAnsi="Arial" w:cs="Arial"/>
          <w:szCs w:val="24"/>
        </w:rPr>
        <w:t>f</w:t>
      </w:r>
      <w:bookmarkStart w:id="1" w:name="_GoBack"/>
      <w:bookmarkEnd w:id="1"/>
      <w:r w:rsidR="00B24AE6" w:rsidRPr="001748B5">
        <w:rPr>
          <w:rFonts w:ascii="Arial" w:hAnsi="Arial" w:cs="Arial"/>
          <w:szCs w:val="24"/>
        </w:rPr>
        <w:t xml:space="preserve">irst </w:t>
      </w:r>
      <w:r w:rsidR="00E82C5A" w:rsidRPr="001748B5">
        <w:rPr>
          <w:rFonts w:ascii="Arial" w:hAnsi="Arial" w:cs="Arial"/>
          <w:szCs w:val="24"/>
        </w:rPr>
        <w:t>respondent is ordered to pay the costs of the applicatio</w:t>
      </w:r>
      <w:r w:rsidR="00B24AE6" w:rsidRPr="001748B5">
        <w:rPr>
          <w:rFonts w:ascii="Arial" w:hAnsi="Arial" w:cs="Arial"/>
          <w:szCs w:val="24"/>
        </w:rPr>
        <w:t>n on an attorney and client scale.</w:t>
      </w:r>
    </w:p>
    <w:p w14:paraId="2A8C75E1" w14:textId="77777777" w:rsidR="00F204E3" w:rsidRPr="005A39A5" w:rsidRDefault="00F204E3" w:rsidP="00FF7EFA">
      <w:pPr>
        <w:spacing w:line="240" w:lineRule="auto"/>
        <w:rPr>
          <w:rFonts w:ascii="Arial" w:hAnsi="Arial" w:cs="Arial"/>
          <w:szCs w:val="24"/>
        </w:rPr>
      </w:pPr>
    </w:p>
    <w:p w14:paraId="6992FAF9" w14:textId="77777777" w:rsidR="00A960C9" w:rsidRPr="005A39A5" w:rsidRDefault="00A960C9" w:rsidP="00FF7EFA">
      <w:pPr>
        <w:spacing w:line="240" w:lineRule="auto"/>
        <w:rPr>
          <w:rFonts w:ascii="Arial" w:hAnsi="Arial" w:cs="Arial"/>
          <w:szCs w:val="24"/>
        </w:rPr>
      </w:pPr>
    </w:p>
    <w:p w14:paraId="46B3122D" w14:textId="77777777" w:rsidR="001E5C21" w:rsidRPr="005A39A5" w:rsidRDefault="001E5C21" w:rsidP="00FF7EFA">
      <w:pPr>
        <w:spacing w:line="240" w:lineRule="auto"/>
        <w:rPr>
          <w:rFonts w:ascii="Arial" w:hAnsi="Arial" w:cs="Arial"/>
          <w:szCs w:val="24"/>
        </w:rPr>
      </w:pPr>
    </w:p>
    <w:p w14:paraId="5ECD1B84" w14:textId="77777777" w:rsidR="00F204E3" w:rsidRPr="005A39A5" w:rsidRDefault="00F204E3" w:rsidP="00FF7EFA">
      <w:pPr>
        <w:spacing w:line="240" w:lineRule="auto"/>
        <w:rPr>
          <w:rFonts w:ascii="Arial" w:hAnsi="Arial" w:cs="Arial"/>
          <w:b/>
          <w:szCs w:val="24"/>
        </w:rPr>
      </w:pPr>
      <w:r w:rsidRPr="005A39A5">
        <w:rPr>
          <w:rFonts w:ascii="Arial" w:hAnsi="Arial" w:cs="Arial"/>
          <w:b/>
          <w:szCs w:val="24"/>
        </w:rPr>
        <w:t>________________________</w:t>
      </w:r>
    </w:p>
    <w:p w14:paraId="7DA5889E" w14:textId="1688F9F2" w:rsidR="00F204E3" w:rsidRPr="005A39A5" w:rsidRDefault="00A07054" w:rsidP="00FF7EFA">
      <w:pPr>
        <w:spacing w:line="240" w:lineRule="auto"/>
        <w:rPr>
          <w:rFonts w:ascii="Arial" w:hAnsi="Arial" w:cs="Arial"/>
          <w:b/>
          <w:szCs w:val="24"/>
        </w:rPr>
      </w:pPr>
      <w:r>
        <w:rPr>
          <w:rFonts w:ascii="Arial" w:hAnsi="Arial" w:cs="Arial"/>
          <w:b/>
          <w:szCs w:val="24"/>
        </w:rPr>
        <w:t>DE VOS</w:t>
      </w:r>
      <w:r w:rsidR="00170C5C" w:rsidRPr="005A39A5">
        <w:rPr>
          <w:rFonts w:ascii="Arial" w:hAnsi="Arial" w:cs="Arial"/>
          <w:b/>
          <w:szCs w:val="24"/>
        </w:rPr>
        <w:t xml:space="preserve"> AJ</w:t>
      </w:r>
    </w:p>
    <w:p w14:paraId="37AE1619" w14:textId="77777777" w:rsidR="00170C5C" w:rsidRPr="005A39A5" w:rsidRDefault="00170C5C" w:rsidP="00FF7EFA">
      <w:pPr>
        <w:spacing w:line="240" w:lineRule="auto"/>
        <w:rPr>
          <w:rFonts w:ascii="Arial" w:hAnsi="Arial" w:cs="Arial"/>
          <w:b/>
          <w:szCs w:val="24"/>
        </w:rPr>
      </w:pPr>
      <w:r w:rsidRPr="005A39A5">
        <w:rPr>
          <w:rFonts w:ascii="Arial" w:hAnsi="Arial" w:cs="Arial"/>
          <w:b/>
          <w:szCs w:val="24"/>
        </w:rPr>
        <w:t>JUDGE OF HIGH COURT</w:t>
      </w:r>
    </w:p>
    <w:p w14:paraId="077298C6" w14:textId="77777777" w:rsidR="001D32E2" w:rsidRPr="005A39A5" w:rsidRDefault="001D32E2" w:rsidP="00FF7EFA">
      <w:pPr>
        <w:spacing w:line="240" w:lineRule="auto"/>
        <w:rPr>
          <w:rFonts w:ascii="Arial" w:hAnsi="Arial" w:cs="Arial"/>
          <w:szCs w:val="24"/>
        </w:rPr>
      </w:pPr>
    </w:p>
    <w:p w14:paraId="1DDDAD31" w14:textId="371DE94D" w:rsidR="00F204E3" w:rsidRPr="005A39A5" w:rsidRDefault="00F204E3" w:rsidP="00226403">
      <w:pPr>
        <w:spacing w:line="240" w:lineRule="auto"/>
        <w:rPr>
          <w:rFonts w:ascii="Arial" w:hAnsi="Arial" w:cs="Arial"/>
          <w:szCs w:val="24"/>
        </w:rPr>
      </w:pPr>
      <w:r w:rsidRPr="005A39A5">
        <w:rPr>
          <w:rFonts w:ascii="Arial" w:hAnsi="Arial" w:cs="Arial"/>
          <w:szCs w:val="24"/>
        </w:rPr>
        <w:t xml:space="preserve">Counsel for the Applicants: </w:t>
      </w:r>
      <w:r w:rsidRPr="005A39A5">
        <w:rPr>
          <w:rFonts w:ascii="Arial" w:hAnsi="Arial" w:cs="Arial"/>
          <w:szCs w:val="24"/>
        </w:rPr>
        <w:tab/>
      </w:r>
      <w:r w:rsidR="00226403" w:rsidRPr="005A39A5">
        <w:rPr>
          <w:rFonts w:ascii="Arial" w:hAnsi="Arial" w:cs="Arial"/>
          <w:szCs w:val="24"/>
        </w:rPr>
        <w:t>Adv</w:t>
      </w:r>
      <w:r w:rsidR="003E3956">
        <w:rPr>
          <w:rFonts w:ascii="Arial" w:hAnsi="Arial" w:cs="Arial"/>
          <w:szCs w:val="24"/>
        </w:rPr>
        <w:t xml:space="preserve"> WW Mukantsi</w:t>
      </w:r>
      <w:r w:rsidR="00226403" w:rsidRPr="005A39A5">
        <w:rPr>
          <w:rFonts w:ascii="Arial" w:hAnsi="Arial" w:cs="Arial"/>
          <w:szCs w:val="24"/>
        </w:rPr>
        <w:t xml:space="preserve"> </w:t>
      </w:r>
    </w:p>
    <w:p w14:paraId="5C49E09B" w14:textId="77777777" w:rsidR="00F204E3" w:rsidRPr="005A39A5" w:rsidRDefault="00F204E3" w:rsidP="00FF7EFA">
      <w:pPr>
        <w:spacing w:line="240" w:lineRule="auto"/>
        <w:rPr>
          <w:rFonts w:ascii="Arial" w:hAnsi="Arial" w:cs="Arial"/>
          <w:szCs w:val="24"/>
        </w:rPr>
      </w:pPr>
    </w:p>
    <w:p w14:paraId="36DFCF0D" w14:textId="199C7D56" w:rsidR="00F204E3" w:rsidRPr="005A39A5" w:rsidRDefault="00F204E3" w:rsidP="00226403">
      <w:pPr>
        <w:spacing w:line="240" w:lineRule="auto"/>
        <w:rPr>
          <w:rFonts w:ascii="Arial" w:hAnsi="Arial" w:cs="Arial"/>
          <w:szCs w:val="24"/>
        </w:rPr>
      </w:pPr>
      <w:r w:rsidRPr="005A39A5">
        <w:rPr>
          <w:rFonts w:ascii="Arial" w:hAnsi="Arial" w:cs="Arial"/>
          <w:szCs w:val="24"/>
        </w:rPr>
        <w:t>Coun</w:t>
      </w:r>
      <w:r w:rsidR="00226403" w:rsidRPr="005A39A5">
        <w:rPr>
          <w:rFonts w:ascii="Arial" w:hAnsi="Arial" w:cs="Arial"/>
          <w:szCs w:val="24"/>
        </w:rPr>
        <w:t>sel for the Respondent:</w:t>
      </w:r>
      <w:r w:rsidR="00226403" w:rsidRPr="005A39A5">
        <w:rPr>
          <w:rFonts w:ascii="Arial" w:hAnsi="Arial" w:cs="Arial"/>
          <w:szCs w:val="24"/>
        </w:rPr>
        <w:tab/>
        <w:t xml:space="preserve">Adv </w:t>
      </w:r>
      <w:r w:rsidRPr="005A39A5">
        <w:rPr>
          <w:rFonts w:ascii="Arial" w:hAnsi="Arial" w:cs="Arial"/>
          <w:szCs w:val="24"/>
        </w:rPr>
        <w:t xml:space="preserve"> </w:t>
      </w:r>
      <w:r w:rsidR="003E3956">
        <w:rPr>
          <w:rFonts w:ascii="Arial" w:hAnsi="Arial" w:cs="Arial"/>
          <w:szCs w:val="24"/>
        </w:rPr>
        <w:t>L Msikinya</w:t>
      </w:r>
    </w:p>
    <w:p w14:paraId="431704A8" w14:textId="0D5AEC53" w:rsidR="00F204E3" w:rsidRPr="005A39A5" w:rsidRDefault="00F204E3" w:rsidP="00FF7EFA">
      <w:pPr>
        <w:spacing w:line="240" w:lineRule="auto"/>
        <w:rPr>
          <w:rFonts w:ascii="Arial" w:hAnsi="Arial" w:cs="Arial"/>
          <w:szCs w:val="24"/>
        </w:rPr>
      </w:pPr>
    </w:p>
    <w:p w14:paraId="7428D942" w14:textId="77777777" w:rsidR="00226403" w:rsidRPr="005A39A5" w:rsidRDefault="00226403" w:rsidP="00FF7EFA">
      <w:pPr>
        <w:spacing w:line="240" w:lineRule="auto"/>
        <w:rPr>
          <w:rFonts w:ascii="Arial" w:hAnsi="Arial" w:cs="Arial"/>
          <w:szCs w:val="24"/>
        </w:rPr>
      </w:pPr>
    </w:p>
    <w:p w14:paraId="651A8030" w14:textId="2C1F8EA8" w:rsidR="00F204E3" w:rsidRPr="005A39A5" w:rsidRDefault="00F204E3" w:rsidP="00FF7EFA">
      <w:pPr>
        <w:spacing w:line="240" w:lineRule="auto"/>
        <w:rPr>
          <w:rFonts w:ascii="Arial" w:hAnsi="Arial" w:cs="Arial"/>
          <w:szCs w:val="24"/>
        </w:rPr>
      </w:pPr>
      <w:r w:rsidRPr="005A39A5">
        <w:rPr>
          <w:rFonts w:ascii="Arial" w:hAnsi="Arial" w:cs="Arial"/>
          <w:szCs w:val="24"/>
        </w:rPr>
        <w:t xml:space="preserve">Attorneys for the Applicants: </w:t>
      </w:r>
      <w:r w:rsidR="008D179A">
        <w:rPr>
          <w:rFonts w:ascii="Arial" w:hAnsi="Arial" w:cs="Arial"/>
          <w:szCs w:val="24"/>
        </w:rPr>
        <w:t>TPK Tepanyeka Attorneys</w:t>
      </w:r>
      <w:r w:rsidR="00FF7EFA" w:rsidRPr="005A39A5">
        <w:rPr>
          <w:rFonts w:ascii="Arial" w:hAnsi="Arial" w:cs="Arial"/>
          <w:szCs w:val="24"/>
        </w:rPr>
        <w:t xml:space="preserve"> </w:t>
      </w:r>
    </w:p>
    <w:p w14:paraId="44B4A580" w14:textId="0822C48E" w:rsidR="00FF7EFA" w:rsidRPr="005A39A5" w:rsidRDefault="00FF7EFA" w:rsidP="00FF7EFA">
      <w:pPr>
        <w:spacing w:line="240" w:lineRule="auto"/>
        <w:rPr>
          <w:rFonts w:ascii="Arial" w:hAnsi="Arial" w:cs="Arial"/>
          <w:szCs w:val="24"/>
        </w:rPr>
      </w:pPr>
      <w:r w:rsidRPr="005A39A5">
        <w:rPr>
          <w:rFonts w:ascii="Arial" w:hAnsi="Arial" w:cs="Arial"/>
          <w:szCs w:val="24"/>
        </w:rPr>
        <w:t>Attorneys for t</w:t>
      </w:r>
      <w:r w:rsidR="00226403" w:rsidRPr="005A39A5">
        <w:rPr>
          <w:rFonts w:ascii="Arial" w:hAnsi="Arial" w:cs="Arial"/>
          <w:szCs w:val="24"/>
        </w:rPr>
        <w:t xml:space="preserve">he Respondent: </w:t>
      </w:r>
      <w:r w:rsidR="008D179A">
        <w:rPr>
          <w:rFonts w:ascii="Arial" w:hAnsi="Arial" w:cs="Arial"/>
          <w:szCs w:val="24"/>
        </w:rPr>
        <w:t>Msikinya Attorneys and Associates</w:t>
      </w:r>
    </w:p>
    <w:p w14:paraId="613E0733" w14:textId="77777777" w:rsidR="00FF7EFA" w:rsidRPr="005A39A5" w:rsidRDefault="00FF7EFA" w:rsidP="00FF7EFA">
      <w:pPr>
        <w:spacing w:line="240" w:lineRule="auto"/>
        <w:rPr>
          <w:rFonts w:ascii="Arial" w:hAnsi="Arial" w:cs="Arial"/>
          <w:szCs w:val="24"/>
        </w:rPr>
      </w:pPr>
    </w:p>
    <w:p w14:paraId="23A7185B" w14:textId="798668A3" w:rsidR="00FF7EFA" w:rsidRPr="005A39A5" w:rsidRDefault="00FF7EFA" w:rsidP="00FF7EFA">
      <w:pPr>
        <w:spacing w:line="240" w:lineRule="auto"/>
        <w:rPr>
          <w:rFonts w:ascii="Arial" w:hAnsi="Arial" w:cs="Arial"/>
          <w:szCs w:val="24"/>
        </w:rPr>
      </w:pPr>
      <w:r w:rsidRPr="005A39A5">
        <w:rPr>
          <w:rFonts w:ascii="Arial" w:hAnsi="Arial" w:cs="Arial"/>
          <w:szCs w:val="24"/>
        </w:rPr>
        <w:t>Argumen</w:t>
      </w:r>
      <w:r w:rsidR="00226403" w:rsidRPr="005A39A5">
        <w:rPr>
          <w:rFonts w:ascii="Arial" w:hAnsi="Arial" w:cs="Arial"/>
          <w:szCs w:val="24"/>
        </w:rPr>
        <w:t xml:space="preserve">t took place on </w:t>
      </w:r>
      <w:r w:rsidR="003E3956">
        <w:rPr>
          <w:rFonts w:ascii="Arial" w:hAnsi="Arial" w:cs="Arial"/>
          <w:szCs w:val="24"/>
        </w:rPr>
        <w:t>9 May 2023</w:t>
      </w:r>
      <w:r w:rsidRPr="005A39A5">
        <w:rPr>
          <w:rFonts w:ascii="Arial" w:hAnsi="Arial" w:cs="Arial"/>
          <w:szCs w:val="24"/>
        </w:rPr>
        <w:t xml:space="preserve"> </w:t>
      </w:r>
    </w:p>
    <w:p w14:paraId="5C5E12F4" w14:textId="351D772D" w:rsidR="00FF7EFA" w:rsidRPr="005A39A5" w:rsidRDefault="00FF7EFA" w:rsidP="00FF7EFA">
      <w:pPr>
        <w:spacing w:line="240" w:lineRule="auto"/>
        <w:rPr>
          <w:rFonts w:ascii="Arial" w:hAnsi="Arial" w:cs="Arial"/>
          <w:szCs w:val="24"/>
        </w:rPr>
      </w:pPr>
      <w:r w:rsidRPr="005A39A5">
        <w:rPr>
          <w:rFonts w:ascii="Arial" w:hAnsi="Arial" w:cs="Arial"/>
          <w:szCs w:val="24"/>
        </w:rPr>
        <w:t xml:space="preserve">Date of </w:t>
      </w:r>
      <w:r w:rsidRPr="00084508">
        <w:rPr>
          <w:rFonts w:ascii="Arial" w:hAnsi="Arial" w:cs="Arial"/>
          <w:szCs w:val="24"/>
        </w:rPr>
        <w:t xml:space="preserve">judgment: </w:t>
      </w:r>
      <w:r w:rsidR="00084508" w:rsidRPr="00084508">
        <w:rPr>
          <w:rFonts w:ascii="Arial" w:hAnsi="Arial" w:cs="Arial"/>
          <w:szCs w:val="24"/>
        </w:rPr>
        <w:t>6 June</w:t>
      </w:r>
      <w:r w:rsidR="00226403" w:rsidRPr="00084508">
        <w:rPr>
          <w:rFonts w:ascii="Arial" w:hAnsi="Arial" w:cs="Arial"/>
          <w:szCs w:val="24"/>
        </w:rPr>
        <w:t xml:space="preserve"> 2023</w:t>
      </w:r>
    </w:p>
    <w:p w14:paraId="200A07D0" w14:textId="6A3EDC4C" w:rsidR="00F204E3" w:rsidRPr="005A39A5" w:rsidRDefault="00F204E3" w:rsidP="00FF7EFA">
      <w:pPr>
        <w:spacing w:line="360" w:lineRule="auto"/>
        <w:rPr>
          <w:rFonts w:ascii="Arial" w:hAnsi="Arial" w:cs="Arial"/>
          <w:szCs w:val="24"/>
        </w:rPr>
      </w:pPr>
    </w:p>
    <w:p w14:paraId="08964793" w14:textId="268FD8DC" w:rsidR="00093F87" w:rsidRPr="005A39A5" w:rsidRDefault="00093F87" w:rsidP="00FF7EFA">
      <w:pPr>
        <w:spacing w:line="360" w:lineRule="auto"/>
        <w:rPr>
          <w:rFonts w:ascii="Arial" w:hAnsi="Arial" w:cs="Arial"/>
          <w:szCs w:val="24"/>
        </w:rPr>
      </w:pPr>
    </w:p>
    <w:p w14:paraId="37E28DE5" w14:textId="1DC41CF6" w:rsidR="00996BDD" w:rsidRPr="005A39A5" w:rsidRDefault="00996BDD" w:rsidP="00996BDD">
      <w:pPr>
        <w:pStyle w:val="ListParagraph"/>
        <w:spacing w:line="360" w:lineRule="auto"/>
        <w:ind w:left="1440"/>
        <w:rPr>
          <w:rFonts w:ascii="Arial" w:hAnsi="Arial" w:cs="Arial"/>
          <w:szCs w:val="24"/>
        </w:rPr>
      </w:pPr>
    </w:p>
    <w:p w14:paraId="5EF84C32" w14:textId="16228B2E" w:rsidR="00093F87" w:rsidRPr="005A39A5" w:rsidRDefault="00093F87" w:rsidP="00FF7EFA">
      <w:pPr>
        <w:spacing w:line="360" w:lineRule="auto"/>
        <w:rPr>
          <w:rFonts w:ascii="Arial" w:hAnsi="Arial" w:cs="Arial"/>
          <w:szCs w:val="24"/>
        </w:rPr>
      </w:pPr>
    </w:p>
    <w:p w14:paraId="4642298B" w14:textId="0A9D884E" w:rsidR="00093F87" w:rsidRPr="005A39A5" w:rsidRDefault="00093F87" w:rsidP="00FF7EFA">
      <w:pPr>
        <w:spacing w:line="360" w:lineRule="auto"/>
        <w:rPr>
          <w:rFonts w:ascii="Arial" w:hAnsi="Arial" w:cs="Arial"/>
          <w:szCs w:val="24"/>
        </w:rPr>
      </w:pPr>
    </w:p>
    <w:p w14:paraId="5882D22E" w14:textId="3D739B9D" w:rsidR="00093F87" w:rsidRPr="005A39A5" w:rsidRDefault="00093F87" w:rsidP="00FF7EFA">
      <w:pPr>
        <w:spacing w:line="360" w:lineRule="auto"/>
        <w:rPr>
          <w:rFonts w:ascii="Arial" w:hAnsi="Arial" w:cs="Arial"/>
          <w:szCs w:val="24"/>
        </w:rPr>
      </w:pPr>
    </w:p>
    <w:p w14:paraId="1725BCB1" w14:textId="3EF6F862" w:rsidR="00093F87" w:rsidRPr="005A39A5" w:rsidRDefault="00093F87" w:rsidP="00FF7EFA">
      <w:pPr>
        <w:spacing w:line="360" w:lineRule="auto"/>
        <w:rPr>
          <w:rFonts w:ascii="Arial" w:hAnsi="Arial" w:cs="Arial"/>
          <w:szCs w:val="24"/>
        </w:rPr>
      </w:pPr>
    </w:p>
    <w:p w14:paraId="45D132F3" w14:textId="56C5D680" w:rsidR="00830251" w:rsidRPr="005A39A5" w:rsidRDefault="00830251" w:rsidP="00830251">
      <w:pPr>
        <w:spacing w:line="360" w:lineRule="auto"/>
        <w:rPr>
          <w:rFonts w:ascii="Arial" w:hAnsi="Arial" w:cs="Arial"/>
          <w:szCs w:val="24"/>
        </w:rPr>
      </w:pPr>
    </w:p>
    <w:sectPr w:rsidR="00830251" w:rsidRPr="005A39A5" w:rsidSect="008C225E">
      <w:headerReference w:type="default" r:id="rId11"/>
      <w:footerReference w:type="default" r:id="rId12"/>
      <w:pgSz w:w="11906" w:h="16838"/>
      <w:pgMar w:top="851" w:right="1440" w:bottom="42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23347" w14:textId="77777777" w:rsidR="00A8665F" w:rsidRDefault="00A8665F" w:rsidP="00802B1D">
      <w:pPr>
        <w:spacing w:line="240" w:lineRule="auto"/>
      </w:pPr>
      <w:r>
        <w:separator/>
      </w:r>
    </w:p>
  </w:endnote>
  <w:endnote w:type="continuationSeparator" w:id="0">
    <w:p w14:paraId="53874929" w14:textId="77777777" w:rsidR="00A8665F" w:rsidRDefault="00A8665F" w:rsidP="00802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200357"/>
      <w:docPartObj>
        <w:docPartGallery w:val="Page Numbers (Bottom of Page)"/>
        <w:docPartUnique/>
      </w:docPartObj>
    </w:sdtPr>
    <w:sdtEndPr/>
    <w:sdtContent>
      <w:sdt>
        <w:sdtPr>
          <w:id w:val="-1769616900"/>
          <w:docPartObj>
            <w:docPartGallery w:val="Page Numbers (Top of Page)"/>
            <w:docPartUnique/>
          </w:docPartObj>
        </w:sdtPr>
        <w:sdtEndPr/>
        <w:sdtContent>
          <w:p w14:paraId="346FF6F9" w14:textId="2EF1EF1C" w:rsidR="00781931" w:rsidRDefault="0078193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748B5">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748B5">
              <w:rPr>
                <w:b/>
                <w:bCs/>
                <w:noProof/>
              </w:rPr>
              <w:t>8</w:t>
            </w:r>
            <w:r>
              <w:rPr>
                <w:b/>
                <w:bCs/>
                <w:szCs w:val="24"/>
              </w:rPr>
              <w:fldChar w:fldCharType="end"/>
            </w:r>
          </w:p>
        </w:sdtContent>
      </w:sdt>
    </w:sdtContent>
  </w:sdt>
  <w:p w14:paraId="1F0FE14A" w14:textId="77777777" w:rsidR="00781931" w:rsidRDefault="00781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2724A" w14:textId="77777777" w:rsidR="00A8665F" w:rsidRDefault="00A8665F" w:rsidP="00802B1D">
      <w:pPr>
        <w:spacing w:line="240" w:lineRule="auto"/>
      </w:pPr>
      <w:r>
        <w:separator/>
      </w:r>
    </w:p>
  </w:footnote>
  <w:footnote w:type="continuationSeparator" w:id="0">
    <w:p w14:paraId="1E739F48" w14:textId="77777777" w:rsidR="00A8665F" w:rsidRDefault="00A8665F" w:rsidP="00802B1D">
      <w:pPr>
        <w:spacing w:line="240" w:lineRule="auto"/>
      </w:pPr>
      <w:r>
        <w:continuationSeparator/>
      </w:r>
    </w:p>
  </w:footnote>
  <w:footnote w:id="1">
    <w:p w14:paraId="3175B1A9" w14:textId="59308E24" w:rsidR="00E236BD" w:rsidRPr="00E236BD" w:rsidRDefault="00E236BD">
      <w:pPr>
        <w:pStyle w:val="FootnoteText"/>
      </w:pPr>
      <w:r>
        <w:rPr>
          <w:rStyle w:val="FootnoteReference"/>
        </w:rPr>
        <w:footnoteRef/>
      </w:r>
      <w:r>
        <w:t xml:space="preserve"> </w:t>
      </w:r>
      <w:r w:rsidRPr="00E236BD">
        <w:t>Matatiele Municipality and Others v President of the Republic of South Africa and Others (1) (CCT73/05) [2006] ZACC 2; 2006 (5) BCLR 622 (CC); 2006 (5) SA 47 (CC) (27 February 2006)</w:t>
      </w:r>
      <w:r>
        <w:t xml:space="preserve"> para 109</w:t>
      </w:r>
    </w:p>
  </w:footnote>
  <w:footnote w:id="2">
    <w:p w14:paraId="1AA84153" w14:textId="166A222F" w:rsidR="000A401A" w:rsidRDefault="000A401A">
      <w:pPr>
        <w:pStyle w:val="FootnoteText"/>
      </w:pPr>
      <w:r w:rsidRPr="008E6EAC">
        <w:rPr>
          <w:rStyle w:val="FootnoteReference"/>
        </w:rPr>
        <w:footnoteRef/>
      </w:r>
      <w:r w:rsidRPr="008E6EAC">
        <w:t xml:space="preserve"> </w:t>
      </w:r>
      <w:r w:rsidR="00B24AE6">
        <w:t xml:space="preserve">Section 26 provides - </w:t>
      </w:r>
    </w:p>
    <w:p w14:paraId="31D6CC0F" w14:textId="28FB8772" w:rsidR="00B24AE6" w:rsidRPr="008E6EAC" w:rsidRDefault="00B24AE6" w:rsidP="00B24AE6">
      <w:pPr>
        <w:pStyle w:val="FootnoteText"/>
        <w:ind w:left="720"/>
        <w:rPr>
          <w:lang w:val="en-US"/>
        </w:rPr>
      </w:pPr>
      <w:r>
        <w:t>"</w:t>
      </w:r>
      <w:r w:rsidRPr="00B24AE6">
        <w:t>‘Notwithstanding anything to the contrary in any law contained, a benefit payable in terms of this Law shall be paid to the member, pensioner or beneficiary entitled to such benefit within a period of 60 days from the benefit becoming payable to the member, pensioner or beneficiary, which 60 days shall be calculated from the day following the date on which the benefit becomes payable: Provided that a benefit shall become payable to a member, pensioner or beneficiary on the last day of service at the employer of that member or pensioner or the death of that pensioner</w:t>
      </w:r>
      <w:r>
        <w:t>."</w:t>
      </w:r>
    </w:p>
  </w:footnote>
  <w:footnote w:id="3">
    <w:p w14:paraId="4064E91A" w14:textId="43C83DB2" w:rsidR="00E21A5E" w:rsidRPr="00B24AE6" w:rsidRDefault="00E21A5E">
      <w:pPr>
        <w:pStyle w:val="FootnoteText"/>
      </w:pPr>
      <w:r w:rsidRPr="008E6EAC">
        <w:rPr>
          <w:rStyle w:val="FootnoteReference"/>
        </w:rPr>
        <w:footnoteRef/>
      </w:r>
      <w:r w:rsidRPr="008E6EAC">
        <w:t xml:space="preserve"> </w:t>
      </w:r>
      <w:r w:rsidR="00B24AE6" w:rsidRPr="00B24AE6">
        <w:t>Mpofu v Government Employees Pension Fund (228/2015) [2015] ZAECPEHC 53 (4 August 2015)</w:t>
      </w:r>
    </w:p>
  </w:footnote>
  <w:footnote w:id="4">
    <w:p w14:paraId="120DDBC8" w14:textId="75FCB7D4" w:rsidR="00E21A5E" w:rsidRPr="008E6EAC" w:rsidRDefault="00E21A5E">
      <w:pPr>
        <w:pStyle w:val="FootnoteText"/>
        <w:rPr>
          <w:lang w:val="en-US"/>
        </w:rPr>
      </w:pPr>
      <w:r w:rsidRPr="008E6EAC">
        <w:rPr>
          <w:rStyle w:val="FootnoteReference"/>
        </w:rPr>
        <w:footnoteRef/>
      </w:r>
      <w:r w:rsidRPr="008E6EAC">
        <w:t xml:space="preserve"> </w:t>
      </w:r>
      <w:r w:rsidR="00B24AE6" w:rsidRPr="00B24AE6">
        <w:t>Mhlontlo v Government Employees Pension Fund (2398/20) [2021] ZAECPEHC 46 (19 August 2021)</w:t>
      </w:r>
    </w:p>
  </w:footnote>
  <w:footnote w:id="5">
    <w:p w14:paraId="48BA3371" w14:textId="77777777" w:rsidR="007322BA" w:rsidRPr="00B24AE6" w:rsidRDefault="007322BA" w:rsidP="007322BA">
      <w:pPr>
        <w:pStyle w:val="FootnoteText"/>
      </w:pPr>
      <w:r w:rsidRPr="008E6EAC">
        <w:rPr>
          <w:rStyle w:val="FootnoteReference"/>
        </w:rPr>
        <w:footnoteRef/>
      </w:r>
      <w:r w:rsidRPr="008E6EAC">
        <w:t xml:space="preserve"> </w:t>
      </w:r>
      <w:r w:rsidRPr="00B24AE6">
        <w:t>Mpofu v Government Employees Pension Fund (228/2015) [2015] ZAECPEHC 53 (4 August 2015)</w:t>
      </w:r>
    </w:p>
  </w:footnote>
  <w:footnote w:id="6">
    <w:p w14:paraId="2A543F42" w14:textId="77777777" w:rsidR="007322BA" w:rsidRPr="008E6EAC" w:rsidRDefault="007322BA" w:rsidP="007322BA">
      <w:pPr>
        <w:pStyle w:val="FootnoteText"/>
        <w:rPr>
          <w:lang w:val="en-US"/>
        </w:rPr>
      </w:pPr>
      <w:r w:rsidRPr="008E6EAC">
        <w:rPr>
          <w:rStyle w:val="FootnoteReference"/>
        </w:rPr>
        <w:footnoteRef/>
      </w:r>
      <w:r w:rsidRPr="008E6EAC">
        <w:t xml:space="preserve"> </w:t>
      </w:r>
      <w:r w:rsidRPr="008E6EAC">
        <w:rPr>
          <w:lang w:val="en-US"/>
        </w:rPr>
        <w:t xml:space="preserve">Mpofu </w:t>
      </w:r>
      <w:r>
        <w:rPr>
          <w:lang w:val="en-US"/>
        </w:rPr>
        <w:t xml:space="preserve">(above) </w:t>
      </w:r>
      <w:r w:rsidRPr="008E6EAC">
        <w:rPr>
          <w:lang w:val="en-US"/>
        </w:rPr>
        <w:t>para</w:t>
      </w:r>
      <w:r>
        <w:rPr>
          <w:lang w:val="en-US"/>
        </w:rPr>
        <w:t>s</w:t>
      </w:r>
      <w:r w:rsidRPr="008E6EAC">
        <w:rPr>
          <w:lang w:val="en-US"/>
        </w:rPr>
        <w:t xml:space="preserve"> 18, 21</w:t>
      </w:r>
    </w:p>
  </w:footnote>
  <w:footnote w:id="7">
    <w:p w14:paraId="7D0B8C35" w14:textId="77777777" w:rsidR="007322BA" w:rsidRPr="008E6EAC" w:rsidRDefault="007322BA" w:rsidP="007322BA">
      <w:pPr>
        <w:pStyle w:val="FootnoteText"/>
      </w:pPr>
      <w:r w:rsidRPr="008E6EAC">
        <w:rPr>
          <w:rStyle w:val="FootnoteReference"/>
        </w:rPr>
        <w:footnoteRef/>
      </w:r>
      <w:r w:rsidRPr="008E6EAC">
        <w:t xml:space="preserve"> Mhlontlo v Government Employees Pension Fund (2398/20) [2021] ZAECPEHC 46 (19 August 2021) para 20</w:t>
      </w:r>
    </w:p>
  </w:footnote>
  <w:footnote w:id="8">
    <w:p w14:paraId="5C974050" w14:textId="77777777" w:rsidR="008E6EAC" w:rsidRPr="008E6EAC" w:rsidRDefault="008E6EAC" w:rsidP="008E6EAC">
      <w:pPr>
        <w:pStyle w:val="FootnoteText"/>
        <w:rPr>
          <w:lang w:val="en-US"/>
        </w:rPr>
      </w:pPr>
      <w:r w:rsidRPr="008E6EAC">
        <w:rPr>
          <w:rStyle w:val="FootnoteReference"/>
        </w:rPr>
        <w:footnoteRef/>
      </w:r>
      <w:r w:rsidRPr="008E6EAC">
        <w:t xml:space="preserve"> </w:t>
      </w:r>
      <w:r w:rsidRPr="008E6EAC">
        <w:rPr>
          <w:lang w:val="en-US"/>
        </w:rPr>
        <w:t xml:space="preserve">The Rule provides - </w:t>
      </w:r>
    </w:p>
    <w:p w14:paraId="318B1986" w14:textId="77777777" w:rsidR="008E6EAC" w:rsidRPr="00E82C5A" w:rsidRDefault="008E6EAC" w:rsidP="008E6EAC">
      <w:pPr>
        <w:pStyle w:val="FootnoteText"/>
      </w:pPr>
      <w:r w:rsidRPr="00E82C5A">
        <w:t>“</w:t>
      </w:r>
      <w:r w:rsidRPr="00E82C5A">
        <w:rPr>
          <w:lang w:val="en-GB"/>
        </w:rPr>
        <w:t>22.  Communication-</w:t>
      </w:r>
    </w:p>
    <w:p w14:paraId="405F0910" w14:textId="77777777" w:rsidR="008E6EAC" w:rsidRPr="008E6EAC" w:rsidRDefault="008E6EAC" w:rsidP="008E6EAC">
      <w:pPr>
        <w:pStyle w:val="FootnoteText"/>
        <w:ind w:left="720"/>
      </w:pPr>
      <w:r w:rsidRPr="008E6EAC">
        <w:rPr>
          <w:lang w:val="en-GB"/>
        </w:rPr>
        <w:t>"</w:t>
      </w:r>
      <w:r w:rsidRPr="00E82C5A">
        <w:rPr>
          <w:lang w:val="en-GB"/>
        </w:rPr>
        <w:t>For purposes of communication in regard to membership of the Fund, payment of member and employer contributions to the Fund, payment of other monies owing by members and the employer to the Fund, and related matters, the Fund shall communicate with the departments, administrations, institutions and bodies where members are or were in service:  Provided that where any such matter or any other matter cannot be effectively dealt with my means of such communications the Fund shall communicate with the Minister:  Provided further that a member or pensioner shall have the right to communicate direct with the Fund in regard to any matter was affects him or her personally.  All factors and interest rates to be decided by the Board after the required consultation processes, as set out in the rules, shall be communicated to the employer and the members in accordance with the provisions set out above.”</w:t>
      </w:r>
      <w:r w:rsidRPr="008E6EAC">
        <w:t xml:space="preserve"> </w:t>
      </w:r>
    </w:p>
  </w:footnote>
  <w:footnote w:id="9">
    <w:p w14:paraId="2CD2BD19" w14:textId="4898AD02" w:rsidR="00E82C5A" w:rsidRPr="008E6EAC" w:rsidRDefault="00E82C5A">
      <w:pPr>
        <w:pStyle w:val="FootnoteText"/>
      </w:pPr>
      <w:r w:rsidRPr="008E6EAC">
        <w:rPr>
          <w:rStyle w:val="FootnoteReference"/>
        </w:rPr>
        <w:footnoteRef/>
      </w:r>
      <w:r w:rsidRPr="008E6EAC">
        <w:t xml:space="preserve"> Mahlangu v Government Employees Pension Fund and Another (3297/2018) [2020] ZAGPPHC 814 (17 August 2020)</w:t>
      </w:r>
    </w:p>
  </w:footnote>
  <w:footnote w:id="10">
    <w:p w14:paraId="22D8E6DE" w14:textId="17D75336" w:rsidR="008E6EAC" w:rsidRPr="008E6EAC" w:rsidRDefault="008E6EAC">
      <w:pPr>
        <w:pStyle w:val="FootnoteText"/>
        <w:rPr>
          <w:lang w:val="en-US"/>
        </w:rPr>
      </w:pPr>
      <w:r w:rsidRPr="008E6EAC">
        <w:rPr>
          <w:rStyle w:val="FootnoteReference"/>
        </w:rPr>
        <w:footnoteRef/>
      </w:r>
      <w:r w:rsidRPr="008E6EAC">
        <w:t xml:space="preserve"> </w:t>
      </w:r>
      <w:r w:rsidRPr="008E6EAC">
        <w:rPr>
          <w:lang w:val="en-US"/>
        </w:rPr>
        <w:t xml:space="preserve">Mahlangu </w:t>
      </w:r>
      <w:r w:rsidR="00B24AE6">
        <w:rPr>
          <w:lang w:val="en-US"/>
        </w:rPr>
        <w:t xml:space="preserve">(above) </w:t>
      </w:r>
      <w:r w:rsidRPr="008E6EAC">
        <w:rPr>
          <w:lang w:val="en-US"/>
        </w:rPr>
        <w:t>para 24</w:t>
      </w:r>
    </w:p>
  </w:footnote>
  <w:footnote w:id="11">
    <w:p w14:paraId="2FF6289E" w14:textId="19ADE424" w:rsidR="00D16734" w:rsidRPr="008E6EAC" w:rsidRDefault="00D16734">
      <w:pPr>
        <w:pStyle w:val="FootnoteText"/>
      </w:pPr>
      <w:r w:rsidRPr="008E6EAC">
        <w:rPr>
          <w:rStyle w:val="FootnoteReference"/>
        </w:rPr>
        <w:footnoteRef/>
      </w:r>
      <w:r w:rsidRPr="008E6EAC">
        <w:t xml:space="preserve"> Hangana v Government Employees Pension Fund (2608/2017) [2018] ZAECPEHC 78 (6 November 2018)</w:t>
      </w:r>
    </w:p>
  </w:footnote>
  <w:footnote w:id="12">
    <w:p w14:paraId="40C49A36" w14:textId="30E84240" w:rsidR="00D16734" w:rsidRPr="008E6EAC" w:rsidRDefault="00D16734">
      <w:pPr>
        <w:pStyle w:val="FootnoteText"/>
        <w:rPr>
          <w:lang w:val="en-US"/>
        </w:rPr>
      </w:pPr>
      <w:r w:rsidRPr="008E6EAC">
        <w:rPr>
          <w:rStyle w:val="FootnoteReference"/>
        </w:rPr>
        <w:footnoteRef/>
      </w:r>
      <w:r w:rsidRPr="008E6EAC">
        <w:t xml:space="preserve"> </w:t>
      </w:r>
      <w:r w:rsidR="007322BA">
        <w:t xml:space="preserve">Hangana (above) </w:t>
      </w:r>
      <w:r w:rsidRPr="008E6EAC">
        <w:rPr>
          <w:lang w:val="en-US"/>
        </w:rPr>
        <w:t>para 14</w:t>
      </w:r>
    </w:p>
  </w:footnote>
  <w:footnote w:id="13">
    <w:p w14:paraId="0A50E2E8" w14:textId="6560A2C3" w:rsidR="008E6EAC" w:rsidRPr="008E6EAC" w:rsidRDefault="008E6EAC">
      <w:pPr>
        <w:pStyle w:val="FootnoteText"/>
        <w:rPr>
          <w:lang w:val="en-US"/>
        </w:rPr>
      </w:pPr>
      <w:r>
        <w:rPr>
          <w:rStyle w:val="FootnoteReference"/>
        </w:rPr>
        <w:footnoteRef/>
      </w:r>
      <w:r>
        <w:t xml:space="preserve"> </w:t>
      </w:r>
      <w:r w:rsidR="007322BA">
        <w:t xml:space="preserve">Mhlontlo (above) </w:t>
      </w:r>
      <w:r>
        <w:rPr>
          <w:lang w:val="en-US"/>
        </w:rPr>
        <w:t>para 13</w:t>
      </w:r>
    </w:p>
  </w:footnote>
  <w:footnote w:id="14">
    <w:p w14:paraId="72DFB794" w14:textId="73CB0D38" w:rsidR="0034205E" w:rsidRPr="008E6EAC" w:rsidRDefault="0034205E">
      <w:pPr>
        <w:pStyle w:val="FootnoteText"/>
        <w:rPr>
          <w:lang w:val="en-US"/>
        </w:rPr>
      </w:pPr>
      <w:r w:rsidRPr="008E6EAC">
        <w:rPr>
          <w:rStyle w:val="FootnoteReference"/>
        </w:rPr>
        <w:footnoteRef/>
      </w:r>
      <w:r w:rsidRPr="008E6EAC">
        <w:t xml:space="preserve"> </w:t>
      </w:r>
      <w:r w:rsidR="00084508">
        <w:t xml:space="preserve">Mhlontlo (above) </w:t>
      </w:r>
      <w:r w:rsidRPr="008E6EAC">
        <w:rPr>
          <w:lang w:val="en-US"/>
        </w:rPr>
        <w:t>para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45EBC" w14:textId="29D4516D" w:rsidR="00E33E7A" w:rsidRDefault="00E33E7A" w:rsidP="00781931">
    <w:pPr>
      <w:pStyle w:val="Header"/>
    </w:pPr>
  </w:p>
  <w:p w14:paraId="0F13429E" w14:textId="77777777" w:rsidR="00E33E7A" w:rsidRDefault="00E33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34C1"/>
    <w:multiLevelType w:val="hybridMultilevel"/>
    <w:tmpl w:val="CF5EEB9E"/>
    <w:lvl w:ilvl="0" w:tplc="30E2CB38">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nsid w:val="03D81E2F"/>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2">
    <w:nsid w:val="078D5A2A"/>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3">
    <w:nsid w:val="0A994076"/>
    <w:multiLevelType w:val="hybridMultilevel"/>
    <w:tmpl w:val="5AA86706"/>
    <w:lvl w:ilvl="0" w:tplc="79204B5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D745B24"/>
    <w:multiLevelType w:val="hybridMultilevel"/>
    <w:tmpl w:val="71E61832"/>
    <w:lvl w:ilvl="0" w:tplc="8D823DB4">
      <w:start w:val="1"/>
      <w:numFmt w:val="lowerLetter"/>
      <w:lvlText w:val="(%1)"/>
      <w:lvlJc w:val="left"/>
      <w:pPr>
        <w:ind w:left="1797" w:hanging="36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5">
    <w:nsid w:val="12D11677"/>
    <w:multiLevelType w:val="hybridMultilevel"/>
    <w:tmpl w:val="173E1894"/>
    <w:lvl w:ilvl="0" w:tplc="FD4E1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460309"/>
    <w:multiLevelType w:val="hybridMultilevel"/>
    <w:tmpl w:val="A9E89BA2"/>
    <w:lvl w:ilvl="0" w:tplc="2354C3E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BC9155E"/>
    <w:multiLevelType w:val="hybridMultilevel"/>
    <w:tmpl w:val="BAB4389C"/>
    <w:lvl w:ilvl="0" w:tplc="7400A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422BAB"/>
    <w:multiLevelType w:val="hybridMultilevel"/>
    <w:tmpl w:val="856280B2"/>
    <w:lvl w:ilvl="0" w:tplc="F7F40202">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9">
    <w:nsid w:val="374523AB"/>
    <w:multiLevelType w:val="hybridMultilevel"/>
    <w:tmpl w:val="18A86AA4"/>
    <w:lvl w:ilvl="0" w:tplc="79204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A81C73"/>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11">
    <w:nsid w:val="44F352F2"/>
    <w:multiLevelType w:val="hybridMultilevel"/>
    <w:tmpl w:val="9C669D18"/>
    <w:lvl w:ilvl="0" w:tplc="FD4E1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F372C1"/>
    <w:multiLevelType w:val="multilevel"/>
    <w:tmpl w:val="69AC7A1C"/>
    <w:lvl w:ilvl="0">
      <w:start w:val="1"/>
      <w:numFmt w:val="decimal"/>
      <w:lvlText w:val="[%1]"/>
      <w:lvlJc w:val="left"/>
      <w:pPr>
        <w:ind w:left="567" w:hanging="567"/>
      </w:pPr>
      <w:rPr>
        <w:rFonts w:hint="default"/>
      </w:rPr>
    </w:lvl>
    <w:lvl w:ilvl="1">
      <w:start w:val="1"/>
      <w:numFmt w:val="decimal"/>
      <w:lvlText w:val="%2."/>
      <w:lvlJc w:val="left"/>
      <w:pPr>
        <w:ind w:left="1287" w:hanging="567"/>
      </w:pPr>
      <w:rPr>
        <w:rFonts w:ascii="Arial" w:eastAsia="Times New Roman" w:hAnsi="Arial" w:cs="Arial"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13">
    <w:nsid w:val="553639A8"/>
    <w:multiLevelType w:val="multilevel"/>
    <w:tmpl w:val="4C6C546A"/>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8F130F"/>
    <w:multiLevelType w:val="multilevel"/>
    <w:tmpl w:val="7A44FA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B793FAD"/>
    <w:multiLevelType w:val="hybridMultilevel"/>
    <w:tmpl w:val="1652B6B4"/>
    <w:lvl w:ilvl="0" w:tplc="25BCE1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E115D1B"/>
    <w:multiLevelType w:val="multilevel"/>
    <w:tmpl w:val="6032BC46"/>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5E5F39"/>
    <w:multiLevelType w:val="hybridMultilevel"/>
    <w:tmpl w:val="BB6E0C88"/>
    <w:lvl w:ilvl="0" w:tplc="FD4E1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4"/>
  </w:num>
  <w:num w:numId="5">
    <w:abstractNumId w:val="6"/>
  </w:num>
  <w:num w:numId="6">
    <w:abstractNumId w:val="15"/>
  </w:num>
  <w:num w:numId="7">
    <w:abstractNumId w:val="0"/>
  </w:num>
  <w:num w:numId="8">
    <w:abstractNumId w:val="8"/>
  </w:num>
  <w:num w:numId="9">
    <w:abstractNumId w:val="9"/>
  </w:num>
  <w:num w:numId="10">
    <w:abstractNumId w:val="10"/>
  </w:num>
  <w:num w:numId="11">
    <w:abstractNumId w:val="12"/>
  </w:num>
  <w:num w:numId="12">
    <w:abstractNumId w:val="2"/>
  </w:num>
  <w:num w:numId="13">
    <w:abstractNumId w:val="7"/>
  </w:num>
  <w:num w:numId="14">
    <w:abstractNumId w:val="11"/>
  </w:num>
  <w:num w:numId="15">
    <w:abstractNumId w:val="17"/>
  </w:num>
  <w:num w:numId="16">
    <w:abstractNumId w:val="5"/>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3C"/>
    <w:rsid w:val="00002611"/>
    <w:rsid w:val="00003B13"/>
    <w:rsid w:val="000200AC"/>
    <w:rsid w:val="0003044A"/>
    <w:rsid w:val="00033A77"/>
    <w:rsid w:val="0003586B"/>
    <w:rsid w:val="00043E2F"/>
    <w:rsid w:val="0006240D"/>
    <w:rsid w:val="00071537"/>
    <w:rsid w:val="000727ED"/>
    <w:rsid w:val="00077002"/>
    <w:rsid w:val="00080154"/>
    <w:rsid w:val="00084508"/>
    <w:rsid w:val="00093F87"/>
    <w:rsid w:val="000940B8"/>
    <w:rsid w:val="000942E0"/>
    <w:rsid w:val="000A401A"/>
    <w:rsid w:val="000C0B21"/>
    <w:rsid w:val="000E065E"/>
    <w:rsid w:val="000E5A48"/>
    <w:rsid w:val="000F043E"/>
    <w:rsid w:val="001034A6"/>
    <w:rsid w:val="00126481"/>
    <w:rsid w:val="001478D0"/>
    <w:rsid w:val="0016376F"/>
    <w:rsid w:val="001640B6"/>
    <w:rsid w:val="001645BB"/>
    <w:rsid w:val="0016521D"/>
    <w:rsid w:val="00170C5C"/>
    <w:rsid w:val="00170E9E"/>
    <w:rsid w:val="001748B5"/>
    <w:rsid w:val="00185A24"/>
    <w:rsid w:val="001A7F5B"/>
    <w:rsid w:val="001B1F7D"/>
    <w:rsid w:val="001C2B35"/>
    <w:rsid w:val="001D32E2"/>
    <w:rsid w:val="001D383C"/>
    <w:rsid w:val="001E5C21"/>
    <w:rsid w:val="001F2152"/>
    <w:rsid w:val="001F698A"/>
    <w:rsid w:val="002044B9"/>
    <w:rsid w:val="0021109C"/>
    <w:rsid w:val="00226403"/>
    <w:rsid w:val="00230381"/>
    <w:rsid w:val="00242230"/>
    <w:rsid w:val="002463D1"/>
    <w:rsid w:val="002521B9"/>
    <w:rsid w:val="00262AE4"/>
    <w:rsid w:val="00275C33"/>
    <w:rsid w:val="0028452A"/>
    <w:rsid w:val="002A7E3B"/>
    <w:rsid w:val="002B6D44"/>
    <w:rsid w:val="002D607A"/>
    <w:rsid w:val="003003EA"/>
    <w:rsid w:val="0031492A"/>
    <w:rsid w:val="00317398"/>
    <w:rsid w:val="00322C16"/>
    <w:rsid w:val="0032314F"/>
    <w:rsid w:val="0032449C"/>
    <w:rsid w:val="0034205E"/>
    <w:rsid w:val="00342EBD"/>
    <w:rsid w:val="00343151"/>
    <w:rsid w:val="00344EE1"/>
    <w:rsid w:val="00357DCB"/>
    <w:rsid w:val="00371618"/>
    <w:rsid w:val="003735BE"/>
    <w:rsid w:val="00395B6A"/>
    <w:rsid w:val="003978F9"/>
    <w:rsid w:val="003A4B57"/>
    <w:rsid w:val="003A5460"/>
    <w:rsid w:val="003B338F"/>
    <w:rsid w:val="003C55A7"/>
    <w:rsid w:val="003D11C6"/>
    <w:rsid w:val="003D77B6"/>
    <w:rsid w:val="003E014D"/>
    <w:rsid w:val="003E3956"/>
    <w:rsid w:val="003F1D3A"/>
    <w:rsid w:val="00403FBC"/>
    <w:rsid w:val="00404092"/>
    <w:rsid w:val="00404E5A"/>
    <w:rsid w:val="00415EC1"/>
    <w:rsid w:val="0044039F"/>
    <w:rsid w:val="0044497D"/>
    <w:rsid w:val="0047132B"/>
    <w:rsid w:val="00473C1E"/>
    <w:rsid w:val="00481A9F"/>
    <w:rsid w:val="00484077"/>
    <w:rsid w:val="004877A7"/>
    <w:rsid w:val="004925F1"/>
    <w:rsid w:val="00494D3F"/>
    <w:rsid w:val="00496710"/>
    <w:rsid w:val="004D3AF3"/>
    <w:rsid w:val="004E0CBE"/>
    <w:rsid w:val="004E242C"/>
    <w:rsid w:val="00523255"/>
    <w:rsid w:val="0054779D"/>
    <w:rsid w:val="005559B1"/>
    <w:rsid w:val="00593F1F"/>
    <w:rsid w:val="005A39A5"/>
    <w:rsid w:val="005A5B7D"/>
    <w:rsid w:val="005C10D6"/>
    <w:rsid w:val="005C2C04"/>
    <w:rsid w:val="005D0437"/>
    <w:rsid w:val="00607B77"/>
    <w:rsid w:val="006122CB"/>
    <w:rsid w:val="00625150"/>
    <w:rsid w:val="00637C42"/>
    <w:rsid w:val="006663E6"/>
    <w:rsid w:val="006958F4"/>
    <w:rsid w:val="006C1D30"/>
    <w:rsid w:val="006D0618"/>
    <w:rsid w:val="006E4BCC"/>
    <w:rsid w:val="006E5909"/>
    <w:rsid w:val="0071098E"/>
    <w:rsid w:val="0071222A"/>
    <w:rsid w:val="00724C0B"/>
    <w:rsid w:val="007268EC"/>
    <w:rsid w:val="007322BA"/>
    <w:rsid w:val="00732876"/>
    <w:rsid w:val="007408FF"/>
    <w:rsid w:val="007536E0"/>
    <w:rsid w:val="00756F9F"/>
    <w:rsid w:val="00764DA9"/>
    <w:rsid w:val="007750DD"/>
    <w:rsid w:val="00775428"/>
    <w:rsid w:val="00781452"/>
    <w:rsid w:val="00781931"/>
    <w:rsid w:val="007823BD"/>
    <w:rsid w:val="007C45B4"/>
    <w:rsid w:val="007D57EC"/>
    <w:rsid w:val="007E2F18"/>
    <w:rsid w:val="007E4EB4"/>
    <w:rsid w:val="007F4454"/>
    <w:rsid w:val="007F48DA"/>
    <w:rsid w:val="0080055F"/>
    <w:rsid w:val="008026DB"/>
    <w:rsid w:val="00802B1D"/>
    <w:rsid w:val="00830251"/>
    <w:rsid w:val="00841D10"/>
    <w:rsid w:val="008712CA"/>
    <w:rsid w:val="008746C2"/>
    <w:rsid w:val="008762F4"/>
    <w:rsid w:val="00877C04"/>
    <w:rsid w:val="00880BA4"/>
    <w:rsid w:val="00886231"/>
    <w:rsid w:val="008A1F10"/>
    <w:rsid w:val="008C225E"/>
    <w:rsid w:val="008D179A"/>
    <w:rsid w:val="008D18A7"/>
    <w:rsid w:val="008D7488"/>
    <w:rsid w:val="008E6EAC"/>
    <w:rsid w:val="008E75D5"/>
    <w:rsid w:val="00907210"/>
    <w:rsid w:val="00954745"/>
    <w:rsid w:val="009841F6"/>
    <w:rsid w:val="00995EAF"/>
    <w:rsid w:val="00996BDD"/>
    <w:rsid w:val="009974D2"/>
    <w:rsid w:val="009A373C"/>
    <w:rsid w:val="009C77B4"/>
    <w:rsid w:val="009C7C2D"/>
    <w:rsid w:val="009D3F82"/>
    <w:rsid w:val="009D51FD"/>
    <w:rsid w:val="009E0928"/>
    <w:rsid w:val="009E7C56"/>
    <w:rsid w:val="00A01513"/>
    <w:rsid w:val="00A07054"/>
    <w:rsid w:val="00A22732"/>
    <w:rsid w:val="00A5198B"/>
    <w:rsid w:val="00A555D5"/>
    <w:rsid w:val="00A60F53"/>
    <w:rsid w:val="00A80A12"/>
    <w:rsid w:val="00A83DD4"/>
    <w:rsid w:val="00A8665F"/>
    <w:rsid w:val="00A91017"/>
    <w:rsid w:val="00A960C9"/>
    <w:rsid w:val="00A96189"/>
    <w:rsid w:val="00AA12B0"/>
    <w:rsid w:val="00AB38EF"/>
    <w:rsid w:val="00AC5031"/>
    <w:rsid w:val="00AE000D"/>
    <w:rsid w:val="00AE0A1C"/>
    <w:rsid w:val="00AF7191"/>
    <w:rsid w:val="00B14A03"/>
    <w:rsid w:val="00B1529F"/>
    <w:rsid w:val="00B24AE6"/>
    <w:rsid w:val="00B31321"/>
    <w:rsid w:val="00B338BF"/>
    <w:rsid w:val="00B57EFD"/>
    <w:rsid w:val="00B81549"/>
    <w:rsid w:val="00BA1348"/>
    <w:rsid w:val="00BA2AB6"/>
    <w:rsid w:val="00BB48BF"/>
    <w:rsid w:val="00BF107E"/>
    <w:rsid w:val="00C10665"/>
    <w:rsid w:val="00C255F8"/>
    <w:rsid w:val="00C3110F"/>
    <w:rsid w:val="00C406BE"/>
    <w:rsid w:val="00C40828"/>
    <w:rsid w:val="00C52F80"/>
    <w:rsid w:val="00C662C4"/>
    <w:rsid w:val="00CB038C"/>
    <w:rsid w:val="00CD0F64"/>
    <w:rsid w:val="00CD3ACD"/>
    <w:rsid w:val="00CD5C29"/>
    <w:rsid w:val="00CD5D63"/>
    <w:rsid w:val="00CD63C7"/>
    <w:rsid w:val="00CE0E37"/>
    <w:rsid w:val="00D00D5D"/>
    <w:rsid w:val="00D012DB"/>
    <w:rsid w:val="00D066E7"/>
    <w:rsid w:val="00D151A8"/>
    <w:rsid w:val="00D16734"/>
    <w:rsid w:val="00D302CE"/>
    <w:rsid w:val="00D31B2E"/>
    <w:rsid w:val="00D35962"/>
    <w:rsid w:val="00D36FA9"/>
    <w:rsid w:val="00D378B6"/>
    <w:rsid w:val="00D51824"/>
    <w:rsid w:val="00D65012"/>
    <w:rsid w:val="00D8629B"/>
    <w:rsid w:val="00D95DC6"/>
    <w:rsid w:val="00DA2384"/>
    <w:rsid w:val="00DA49E3"/>
    <w:rsid w:val="00DC220B"/>
    <w:rsid w:val="00DC4B4B"/>
    <w:rsid w:val="00E04E02"/>
    <w:rsid w:val="00E06794"/>
    <w:rsid w:val="00E21A5E"/>
    <w:rsid w:val="00E236BD"/>
    <w:rsid w:val="00E33E7A"/>
    <w:rsid w:val="00E47368"/>
    <w:rsid w:val="00E52AA8"/>
    <w:rsid w:val="00E576AC"/>
    <w:rsid w:val="00E720BE"/>
    <w:rsid w:val="00E73915"/>
    <w:rsid w:val="00E82C5A"/>
    <w:rsid w:val="00EA1ADE"/>
    <w:rsid w:val="00EB0D20"/>
    <w:rsid w:val="00EB2287"/>
    <w:rsid w:val="00EE58A3"/>
    <w:rsid w:val="00EE5E9D"/>
    <w:rsid w:val="00EF0225"/>
    <w:rsid w:val="00EF2E99"/>
    <w:rsid w:val="00F01D92"/>
    <w:rsid w:val="00F0536A"/>
    <w:rsid w:val="00F05485"/>
    <w:rsid w:val="00F05920"/>
    <w:rsid w:val="00F204E3"/>
    <w:rsid w:val="00F31850"/>
    <w:rsid w:val="00F54215"/>
    <w:rsid w:val="00F87C73"/>
    <w:rsid w:val="00F94128"/>
    <w:rsid w:val="00FA2F8E"/>
    <w:rsid w:val="00FC053F"/>
    <w:rsid w:val="00FC1501"/>
    <w:rsid w:val="00FC7461"/>
    <w:rsid w:val="00FF582E"/>
    <w:rsid w:val="00FF692B"/>
    <w:rsid w:val="00FF7E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0657"/>
  <w15:docId w15:val="{D19F8E81-E44D-4559-879F-84AF37A2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83C"/>
    <w:pPr>
      <w:spacing w:line="480" w:lineRule="auto"/>
    </w:pPr>
    <w:rPr>
      <w:rFonts w:ascii="Times New Roman" w:eastAsia="Times New Roman" w:hAnsi="Times New Roman" w:cs="Times New Roman"/>
      <w:szCs w:val="16"/>
      <w:lang w:eastAsia="en-ZA"/>
    </w:rPr>
  </w:style>
  <w:style w:type="paragraph" w:styleId="Heading2">
    <w:name w:val="heading 2"/>
    <w:basedOn w:val="Normal"/>
    <w:next w:val="Normal"/>
    <w:link w:val="Heading2Char"/>
    <w:uiPriority w:val="9"/>
    <w:semiHidden/>
    <w:unhideWhenUsed/>
    <w:qFormat/>
    <w:rsid w:val="003420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83C"/>
    <w:pPr>
      <w:ind w:left="720"/>
      <w:contextualSpacing/>
    </w:pPr>
  </w:style>
  <w:style w:type="paragraph" w:styleId="Header">
    <w:name w:val="header"/>
    <w:basedOn w:val="Normal"/>
    <w:link w:val="HeaderChar"/>
    <w:uiPriority w:val="99"/>
    <w:unhideWhenUsed/>
    <w:rsid w:val="00802B1D"/>
    <w:pPr>
      <w:tabs>
        <w:tab w:val="center" w:pos="4513"/>
        <w:tab w:val="right" w:pos="9026"/>
      </w:tabs>
      <w:spacing w:line="240" w:lineRule="auto"/>
    </w:pPr>
  </w:style>
  <w:style w:type="character" w:customStyle="1" w:styleId="HeaderChar">
    <w:name w:val="Header Char"/>
    <w:basedOn w:val="DefaultParagraphFont"/>
    <w:link w:val="Header"/>
    <w:uiPriority w:val="99"/>
    <w:rsid w:val="00802B1D"/>
    <w:rPr>
      <w:rFonts w:ascii="Times New Roman" w:eastAsia="Times New Roman" w:hAnsi="Times New Roman" w:cs="Times New Roman"/>
      <w:szCs w:val="16"/>
      <w:lang w:eastAsia="en-ZA"/>
    </w:rPr>
  </w:style>
  <w:style w:type="paragraph" w:styleId="Footer">
    <w:name w:val="footer"/>
    <w:basedOn w:val="Normal"/>
    <w:link w:val="FooterChar"/>
    <w:uiPriority w:val="99"/>
    <w:unhideWhenUsed/>
    <w:rsid w:val="00802B1D"/>
    <w:pPr>
      <w:tabs>
        <w:tab w:val="center" w:pos="4513"/>
        <w:tab w:val="right" w:pos="9026"/>
      </w:tabs>
      <w:spacing w:line="240" w:lineRule="auto"/>
    </w:pPr>
  </w:style>
  <w:style w:type="character" w:customStyle="1" w:styleId="FooterChar">
    <w:name w:val="Footer Char"/>
    <w:basedOn w:val="DefaultParagraphFont"/>
    <w:link w:val="Footer"/>
    <w:uiPriority w:val="99"/>
    <w:rsid w:val="00802B1D"/>
    <w:rPr>
      <w:rFonts w:ascii="Times New Roman" w:eastAsia="Times New Roman" w:hAnsi="Times New Roman" w:cs="Times New Roman"/>
      <w:szCs w:val="16"/>
      <w:lang w:eastAsia="en-ZA"/>
    </w:rPr>
  </w:style>
  <w:style w:type="paragraph" w:styleId="FootnoteText">
    <w:name w:val="footnote text"/>
    <w:basedOn w:val="Normal"/>
    <w:link w:val="FootnoteTextChar"/>
    <w:uiPriority w:val="99"/>
    <w:semiHidden/>
    <w:unhideWhenUsed/>
    <w:rsid w:val="00C662C4"/>
    <w:pPr>
      <w:spacing w:line="240" w:lineRule="auto"/>
    </w:pPr>
    <w:rPr>
      <w:sz w:val="20"/>
      <w:szCs w:val="20"/>
    </w:rPr>
  </w:style>
  <w:style w:type="character" w:customStyle="1" w:styleId="FootnoteTextChar">
    <w:name w:val="Footnote Text Char"/>
    <w:basedOn w:val="DefaultParagraphFont"/>
    <w:link w:val="FootnoteText"/>
    <w:uiPriority w:val="99"/>
    <w:semiHidden/>
    <w:rsid w:val="00C662C4"/>
    <w:rPr>
      <w:rFonts w:ascii="Times New Roman" w:eastAsia="Times New Roman" w:hAnsi="Times New Roman" w:cs="Times New Roman"/>
      <w:sz w:val="20"/>
      <w:szCs w:val="20"/>
      <w:lang w:eastAsia="en-ZA"/>
    </w:rPr>
  </w:style>
  <w:style w:type="character" w:styleId="FootnoteReference">
    <w:name w:val="footnote reference"/>
    <w:basedOn w:val="DefaultParagraphFont"/>
    <w:uiPriority w:val="99"/>
    <w:semiHidden/>
    <w:unhideWhenUsed/>
    <w:rsid w:val="00C662C4"/>
    <w:rPr>
      <w:vertAlign w:val="superscript"/>
    </w:rPr>
  </w:style>
  <w:style w:type="paragraph" w:styleId="BalloonText">
    <w:name w:val="Balloon Text"/>
    <w:basedOn w:val="Normal"/>
    <w:link w:val="BalloonTextChar"/>
    <w:uiPriority w:val="99"/>
    <w:semiHidden/>
    <w:unhideWhenUsed/>
    <w:rsid w:val="000F043E"/>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043E"/>
    <w:rPr>
      <w:rFonts w:ascii="Tahoma" w:eastAsia="Times New Roman" w:hAnsi="Tahoma" w:cs="Tahoma"/>
      <w:sz w:val="16"/>
      <w:szCs w:val="16"/>
      <w:lang w:eastAsia="en-ZA"/>
    </w:rPr>
  </w:style>
  <w:style w:type="character" w:customStyle="1" w:styleId="Heading2Char">
    <w:name w:val="Heading 2 Char"/>
    <w:basedOn w:val="DefaultParagraphFont"/>
    <w:link w:val="Heading2"/>
    <w:uiPriority w:val="9"/>
    <w:semiHidden/>
    <w:rsid w:val="0034205E"/>
    <w:rPr>
      <w:rFonts w:asciiTheme="majorHAnsi" w:eastAsiaTheme="majorEastAsia" w:hAnsiTheme="majorHAnsi" w:cstheme="majorBidi"/>
      <w:color w:val="365F91" w:themeColor="accent1" w:themeShade="BF"/>
      <w:sz w:val="26"/>
      <w:szCs w:val="26"/>
      <w:lang w:eastAsia="en-ZA"/>
    </w:rPr>
  </w:style>
  <w:style w:type="character" w:styleId="Hyperlink">
    <w:name w:val="Hyperlink"/>
    <w:basedOn w:val="DefaultParagraphFont"/>
    <w:uiPriority w:val="99"/>
    <w:unhideWhenUsed/>
    <w:rsid w:val="0034205E"/>
    <w:rPr>
      <w:color w:val="0000FF" w:themeColor="hyperlink"/>
      <w:u w:val="single"/>
    </w:rPr>
  </w:style>
  <w:style w:type="character" w:customStyle="1" w:styleId="UnresolvedMention">
    <w:name w:val="Unresolved Mention"/>
    <w:basedOn w:val="DefaultParagraphFont"/>
    <w:uiPriority w:val="99"/>
    <w:semiHidden/>
    <w:unhideWhenUsed/>
    <w:rsid w:val="00342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6388">
      <w:bodyDiv w:val="1"/>
      <w:marLeft w:val="0"/>
      <w:marRight w:val="0"/>
      <w:marTop w:val="0"/>
      <w:marBottom w:val="0"/>
      <w:divBdr>
        <w:top w:val="none" w:sz="0" w:space="0" w:color="auto"/>
        <w:left w:val="none" w:sz="0" w:space="0" w:color="auto"/>
        <w:bottom w:val="none" w:sz="0" w:space="0" w:color="auto"/>
        <w:right w:val="none" w:sz="0" w:space="0" w:color="auto"/>
      </w:divBdr>
    </w:div>
    <w:div w:id="280383824">
      <w:bodyDiv w:val="1"/>
      <w:marLeft w:val="0"/>
      <w:marRight w:val="0"/>
      <w:marTop w:val="0"/>
      <w:marBottom w:val="0"/>
      <w:divBdr>
        <w:top w:val="none" w:sz="0" w:space="0" w:color="auto"/>
        <w:left w:val="none" w:sz="0" w:space="0" w:color="auto"/>
        <w:bottom w:val="none" w:sz="0" w:space="0" w:color="auto"/>
        <w:right w:val="none" w:sz="0" w:space="0" w:color="auto"/>
      </w:divBdr>
    </w:div>
    <w:div w:id="293995625">
      <w:bodyDiv w:val="1"/>
      <w:marLeft w:val="0"/>
      <w:marRight w:val="0"/>
      <w:marTop w:val="0"/>
      <w:marBottom w:val="0"/>
      <w:divBdr>
        <w:top w:val="none" w:sz="0" w:space="0" w:color="auto"/>
        <w:left w:val="none" w:sz="0" w:space="0" w:color="auto"/>
        <w:bottom w:val="none" w:sz="0" w:space="0" w:color="auto"/>
        <w:right w:val="none" w:sz="0" w:space="0" w:color="auto"/>
      </w:divBdr>
    </w:div>
    <w:div w:id="875777996">
      <w:bodyDiv w:val="1"/>
      <w:marLeft w:val="0"/>
      <w:marRight w:val="0"/>
      <w:marTop w:val="0"/>
      <w:marBottom w:val="0"/>
      <w:divBdr>
        <w:top w:val="none" w:sz="0" w:space="0" w:color="auto"/>
        <w:left w:val="none" w:sz="0" w:space="0" w:color="auto"/>
        <w:bottom w:val="none" w:sz="0" w:space="0" w:color="auto"/>
        <w:right w:val="none" w:sz="0" w:space="0" w:color="auto"/>
      </w:divBdr>
    </w:div>
    <w:div w:id="1055155372">
      <w:bodyDiv w:val="1"/>
      <w:marLeft w:val="0"/>
      <w:marRight w:val="0"/>
      <w:marTop w:val="0"/>
      <w:marBottom w:val="0"/>
      <w:divBdr>
        <w:top w:val="none" w:sz="0" w:space="0" w:color="auto"/>
        <w:left w:val="none" w:sz="0" w:space="0" w:color="auto"/>
        <w:bottom w:val="none" w:sz="0" w:space="0" w:color="auto"/>
        <w:right w:val="none" w:sz="0" w:space="0" w:color="auto"/>
      </w:divBdr>
    </w:div>
    <w:div w:id="1098140574">
      <w:bodyDiv w:val="1"/>
      <w:marLeft w:val="0"/>
      <w:marRight w:val="0"/>
      <w:marTop w:val="0"/>
      <w:marBottom w:val="0"/>
      <w:divBdr>
        <w:top w:val="none" w:sz="0" w:space="0" w:color="auto"/>
        <w:left w:val="none" w:sz="0" w:space="0" w:color="auto"/>
        <w:bottom w:val="none" w:sz="0" w:space="0" w:color="auto"/>
        <w:right w:val="none" w:sz="0" w:space="0" w:color="auto"/>
      </w:divBdr>
    </w:div>
    <w:div w:id="1406563942">
      <w:bodyDiv w:val="1"/>
      <w:marLeft w:val="0"/>
      <w:marRight w:val="0"/>
      <w:marTop w:val="0"/>
      <w:marBottom w:val="0"/>
      <w:divBdr>
        <w:top w:val="none" w:sz="0" w:space="0" w:color="auto"/>
        <w:left w:val="none" w:sz="0" w:space="0" w:color="auto"/>
        <w:bottom w:val="none" w:sz="0" w:space="0" w:color="auto"/>
        <w:right w:val="none" w:sz="0" w:space="0" w:color="auto"/>
      </w:divBdr>
    </w:div>
    <w:div w:id="1725906617">
      <w:bodyDiv w:val="1"/>
      <w:marLeft w:val="0"/>
      <w:marRight w:val="0"/>
      <w:marTop w:val="0"/>
      <w:marBottom w:val="0"/>
      <w:divBdr>
        <w:top w:val="none" w:sz="0" w:space="0" w:color="auto"/>
        <w:left w:val="none" w:sz="0" w:space="0" w:color="auto"/>
        <w:bottom w:val="none" w:sz="0" w:space="0" w:color="auto"/>
        <w:right w:val="none" w:sz="0" w:space="0" w:color="auto"/>
      </w:divBdr>
    </w:div>
    <w:div w:id="1855874627">
      <w:bodyDiv w:val="1"/>
      <w:marLeft w:val="0"/>
      <w:marRight w:val="0"/>
      <w:marTop w:val="0"/>
      <w:marBottom w:val="0"/>
      <w:divBdr>
        <w:top w:val="none" w:sz="0" w:space="0" w:color="auto"/>
        <w:left w:val="none" w:sz="0" w:space="0" w:color="auto"/>
        <w:bottom w:val="none" w:sz="0" w:space="0" w:color="auto"/>
        <w:right w:val="none" w:sz="0" w:space="0" w:color="auto"/>
      </w:divBdr>
    </w:div>
    <w:div w:id="1893730523">
      <w:bodyDiv w:val="1"/>
      <w:marLeft w:val="0"/>
      <w:marRight w:val="0"/>
      <w:marTop w:val="0"/>
      <w:marBottom w:val="0"/>
      <w:divBdr>
        <w:top w:val="none" w:sz="0" w:space="0" w:color="auto"/>
        <w:left w:val="none" w:sz="0" w:space="0" w:color="auto"/>
        <w:bottom w:val="none" w:sz="0" w:space="0" w:color="auto"/>
        <w:right w:val="none" w:sz="0" w:space="0" w:color="auto"/>
      </w:divBdr>
    </w:div>
    <w:div w:id="1894386199">
      <w:bodyDiv w:val="1"/>
      <w:marLeft w:val="0"/>
      <w:marRight w:val="0"/>
      <w:marTop w:val="0"/>
      <w:marBottom w:val="0"/>
      <w:divBdr>
        <w:top w:val="none" w:sz="0" w:space="0" w:color="auto"/>
        <w:left w:val="none" w:sz="0" w:space="0" w:color="auto"/>
        <w:bottom w:val="none" w:sz="0" w:space="0" w:color="auto"/>
        <w:right w:val="none" w:sz="0" w:space="0" w:color="auto"/>
      </w:divBdr>
    </w:div>
    <w:div w:id="20316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flii.org/za/legis/consol_act/poaja2000396/" TargetMode="External"/><Relationship Id="rId4" Type="http://schemas.openxmlformats.org/officeDocument/2006/relationships/settings" Target="settings.xml"/><Relationship Id="rId9" Type="http://schemas.openxmlformats.org/officeDocument/2006/relationships/hyperlink" Target="http://www.saflii.org/za/legis/consol_act/poaja20003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82AFB-3951-4D07-A3D2-9549DC07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 djp</dc:creator>
  <cp:lastModifiedBy>Mokone</cp:lastModifiedBy>
  <cp:revision>3</cp:revision>
  <cp:lastPrinted>2015-03-19T05:49:00Z</cp:lastPrinted>
  <dcterms:created xsi:type="dcterms:W3CDTF">2023-06-08T11:22:00Z</dcterms:created>
  <dcterms:modified xsi:type="dcterms:W3CDTF">2023-06-08T11:26:00Z</dcterms:modified>
</cp:coreProperties>
</file>