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A07E8" w14:textId="77777777" w:rsidR="0048436A" w:rsidRDefault="0048436A" w:rsidP="0048436A">
      <w:pPr>
        <w:pStyle w:val="Title"/>
        <w:spacing w:after="120" w:line="360" w:lineRule="auto"/>
      </w:pPr>
      <w:r>
        <w:rPr>
          <w:noProof/>
          <w:lang w:val="en-US"/>
        </w:rPr>
        <w:drawing>
          <wp:inline distT="0" distB="0" distL="0" distR="0" wp14:anchorId="510A0864" wp14:editId="510A0865">
            <wp:extent cx="1533525" cy="1533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14:paraId="510A07E9" w14:textId="77777777" w:rsidR="0048436A" w:rsidRPr="002B0678" w:rsidRDefault="0048436A" w:rsidP="00A6437F">
      <w:pPr>
        <w:jc w:val="center"/>
        <w:rPr>
          <w:rFonts w:cs="Arial"/>
          <w:b/>
          <w:sz w:val="24"/>
        </w:rPr>
      </w:pPr>
      <w:r w:rsidRPr="002B0678">
        <w:rPr>
          <w:rFonts w:cs="Arial"/>
          <w:b/>
          <w:sz w:val="24"/>
        </w:rPr>
        <w:t xml:space="preserve">IN </w:t>
      </w:r>
      <w:r w:rsidR="000B74FB" w:rsidRPr="002B0678">
        <w:rPr>
          <w:rFonts w:cs="Arial"/>
          <w:b/>
          <w:sz w:val="24"/>
        </w:rPr>
        <w:t>THE HIGH COURT OF SOUTH AFRICA</w:t>
      </w:r>
    </w:p>
    <w:p w14:paraId="510A07EA" w14:textId="77777777" w:rsidR="0048436A" w:rsidRPr="002B0678" w:rsidRDefault="0048436A" w:rsidP="0048436A">
      <w:pPr>
        <w:spacing w:line="240" w:lineRule="auto"/>
        <w:jc w:val="center"/>
        <w:rPr>
          <w:rFonts w:cs="Arial"/>
          <w:b/>
          <w:sz w:val="24"/>
        </w:rPr>
      </w:pPr>
      <w:r w:rsidRPr="002B0678">
        <w:rPr>
          <w:rFonts w:cs="Arial"/>
          <w:b/>
          <w:sz w:val="24"/>
        </w:rPr>
        <w:t>GAUTENG DIVISION, JOHANNESBURG</w:t>
      </w:r>
    </w:p>
    <w:p w14:paraId="510A07EB" w14:textId="77777777" w:rsidR="0048436A" w:rsidRPr="002B0678" w:rsidRDefault="0048436A" w:rsidP="0048436A">
      <w:pPr>
        <w:spacing w:line="240" w:lineRule="auto"/>
        <w:rPr>
          <w:rFonts w:cs="Arial"/>
          <w:b/>
          <w:sz w:val="24"/>
        </w:rPr>
      </w:pPr>
    </w:p>
    <w:p w14:paraId="622659BF" w14:textId="6B21F78A" w:rsidR="00EC25FA" w:rsidRPr="002B0678" w:rsidRDefault="00EC25FA" w:rsidP="00EC25FA">
      <w:pPr>
        <w:spacing w:line="240" w:lineRule="auto"/>
        <w:jc w:val="right"/>
        <w:rPr>
          <w:rFonts w:cs="Arial"/>
          <w:b/>
          <w:sz w:val="24"/>
        </w:rPr>
      </w:pPr>
      <w:r w:rsidRPr="002B0678">
        <w:rPr>
          <w:rFonts w:cs="Arial"/>
          <w:b/>
          <w:sz w:val="24"/>
        </w:rPr>
        <w:t>C</w:t>
      </w:r>
      <w:r w:rsidR="008C04EC">
        <w:rPr>
          <w:rFonts w:cs="Arial"/>
          <w:b/>
          <w:sz w:val="24"/>
        </w:rPr>
        <w:t>ase</w:t>
      </w:r>
      <w:r w:rsidRPr="002B0678">
        <w:rPr>
          <w:rFonts w:cs="Arial"/>
          <w:b/>
          <w:sz w:val="24"/>
        </w:rPr>
        <w:t xml:space="preserve"> N</w:t>
      </w:r>
      <w:r w:rsidR="008C04EC">
        <w:rPr>
          <w:rFonts w:cs="Arial"/>
          <w:b/>
          <w:sz w:val="24"/>
        </w:rPr>
        <w:t>o</w:t>
      </w:r>
      <w:r w:rsidRPr="002B0678">
        <w:rPr>
          <w:rFonts w:cs="Arial"/>
          <w:b/>
          <w:sz w:val="24"/>
        </w:rPr>
        <w:t xml:space="preserve">: </w:t>
      </w:r>
      <w:r w:rsidR="00BE1218">
        <w:rPr>
          <w:rFonts w:cs="Arial"/>
          <w:b/>
          <w:sz w:val="24"/>
        </w:rPr>
        <w:t>8817</w:t>
      </w:r>
      <w:r w:rsidRPr="002B0678">
        <w:rPr>
          <w:rFonts w:cs="Arial"/>
          <w:b/>
          <w:sz w:val="24"/>
        </w:rPr>
        <w:t>/20</w:t>
      </w:r>
      <w:r w:rsidR="00860964">
        <w:rPr>
          <w:rFonts w:cs="Arial"/>
          <w:b/>
          <w:sz w:val="24"/>
        </w:rPr>
        <w:t>22</w:t>
      </w:r>
    </w:p>
    <w:p w14:paraId="510A07EC" w14:textId="77777777" w:rsidR="0048436A" w:rsidRPr="002B0678" w:rsidRDefault="0048436A" w:rsidP="0048436A">
      <w:pPr>
        <w:spacing w:line="240" w:lineRule="auto"/>
        <w:rPr>
          <w:rFonts w:cs="Arial"/>
          <w:b/>
          <w:sz w:val="24"/>
        </w:rPr>
      </w:pPr>
    </w:p>
    <w:p w14:paraId="36C9C4E3" w14:textId="77777777" w:rsidR="0046184A" w:rsidRPr="002B0678" w:rsidRDefault="0046184A" w:rsidP="0048436A">
      <w:pPr>
        <w:spacing w:line="240" w:lineRule="auto"/>
        <w:rPr>
          <w:rFonts w:cs="Arial"/>
          <w:b/>
          <w:sz w:val="24"/>
        </w:rPr>
      </w:pPr>
    </w:p>
    <w:p w14:paraId="510A07ED" w14:textId="057A7A2B" w:rsidR="0048436A" w:rsidRPr="002B0678" w:rsidRDefault="0048436A" w:rsidP="0048436A">
      <w:pPr>
        <w:jc w:val="right"/>
        <w:rPr>
          <w:rFonts w:cs="Arial"/>
          <w:b/>
          <w:sz w:val="24"/>
        </w:rPr>
      </w:pPr>
      <w:r w:rsidRPr="002B0678">
        <w:rPr>
          <w:rFonts w:cs="Arial"/>
          <w:noProof/>
          <w:sz w:val="24"/>
          <w:lang w:val="en-US"/>
        </w:rPr>
        <mc:AlternateContent>
          <mc:Choice Requires="wps">
            <w:drawing>
              <wp:anchor distT="0" distB="0" distL="114300" distR="114300" simplePos="0" relativeHeight="251659264" behindDoc="0" locked="0" layoutInCell="1" allowOverlap="1" wp14:anchorId="510A0866" wp14:editId="510A0867">
                <wp:simplePos x="0" y="0"/>
                <wp:positionH relativeFrom="column">
                  <wp:posOffset>40005</wp:posOffset>
                </wp:positionH>
                <wp:positionV relativeFrom="paragraph">
                  <wp:posOffset>17145</wp:posOffset>
                </wp:positionV>
                <wp:extent cx="3314700" cy="1371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510A086E" w14:textId="77777777" w:rsidR="0048436A" w:rsidRPr="00E3247C" w:rsidRDefault="0048436A" w:rsidP="0048436A">
                            <w:pPr>
                              <w:jc w:val="center"/>
                              <w:rPr>
                                <w:rFonts w:cs="Arial"/>
                                <w:b/>
                                <w:sz w:val="18"/>
                                <w:szCs w:val="18"/>
                              </w:rPr>
                            </w:pPr>
                          </w:p>
                          <w:p w14:paraId="510A086F" w14:textId="77777777" w:rsidR="0048436A" w:rsidRPr="00E3247C" w:rsidRDefault="0048436A" w:rsidP="0048436A">
                            <w:pPr>
                              <w:numPr>
                                <w:ilvl w:val="0"/>
                                <w:numId w:val="1"/>
                              </w:numPr>
                              <w:spacing w:line="240" w:lineRule="auto"/>
                              <w:jc w:val="left"/>
                              <w:rPr>
                                <w:rFonts w:cs="Arial"/>
                                <w:sz w:val="18"/>
                                <w:szCs w:val="18"/>
                              </w:rPr>
                            </w:pPr>
                            <w:r w:rsidRPr="00E3247C">
                              <w:rPr>
                                <w:rFonts w:cs="Arial"/>
                                <w:sz w:val="18"/>
                                <w:szCs w:val="18"/>
                              </w:rPr>
                              <w:t xml:space="preserve">REPORTABLE: </w:t>
                            </w:r>
                            <w:r w:rsidR="00832BD7" w:rsidRPr="00E3247C">
                              <w:rPr>
                                <w:rFonts w:cs="Arial"/>
                                <w:b/>
                                <w:sz w:val="18"/>
                                <w:szCs w:val="18"/>
                              </w:rPr>
                              <w:t>NO</w:t>
                            </w:r>
                          </w:p>
                          <w:p w14:paraId="510A0870" w14:textId="77777777" w:rsidR="0048436A" w:rsidRPr="00E3247C" w:rsidRDefault="0048436A" w:rsidP="0048436A">
                            <w:pPr>
                              <w:numPr>
                                <w:ilvl w:val="0"/>
                                <w:numId w:val="1"/>
                              </w:numPr>
                              <w:spacing w:line="240" w:lineRule="auto"/>
                              <w:jc w:val="left"/>
                              <w:rPr>
                                <w:rFonts w:cs="Arial"/>
                                <w:sz w:val="18"/>
                                <w:szCs w:val="18"/>
                              </w:rPr>
                            </w:pPr>
                            <w:r w:rsidRPr="00E3247C">
                              <w:rPr>
                                <w:rFonts w:cs="Arial"/>
                                <w:sz w:val="18"/>
                                <w:szCs w:val="18"/>
                              </w:rPr>
                              <w:t xml:space="preserve">OF INTEREST TO OTHER JUDGES: </w:t>
                            </w:r>
                            <w:r w:rsidR="00832BD7" w:rsidRPr="00E3247C">
                              <w:rPr>
                                <w:rFonts w:cs="Arial"/>
                                <w:b/>
                                <w:sz w:val="18"/>
                                <w:szCs w:val="18"/>
                              </w:rPr>
                              <w:t>NO</w:t>
                            </w:r>
                          </w:p>
                          <w:p w14:paraId="510A0871" w14:textId="77777777" w:rsidR="0048436A" w:rsidRPr="00E3247C" w:rsidRDefault="00832BD7" w:rsidP="0048436A">
                            <w:pPr>
                              <w:numPr>
                                <w:ilvl w:val="0"/>
                                <w:numId w:val="1"/>
                              </w:numPr>
                              <w:spacing w:line="240" w:lineRule="auto"/>
                              <w:jc w:val="left"/>
                              <w:rPr>
                                <w:rFonts w:cs="Arial"/>
                                <w:sz w:val="18"/>
                                <w:szCs w:val="18"/>
                              </w:rPr>
                            </w:pPr>
                            <w:r w:rsidRPr="00E3247C">
                              <w:rPr>
                                <w:rFonts w:cs="Arial"/>
                                <w:sz w:val="18"/>
                                <w:szCs w:val="18"/>
                              </w:rPr>
                              <w:t xml:space="preserve">REVISED: </w:t>
                            </w:r>
                            <w:r w:rsidRPr="00E3247C">
                              <w:rPr>
                                <w:rFonts w:cs="Arial"/>
                                <w:b/>
                                <w:sz w:val="18"/>
                                <w:szCs w:val="18"/>
                              </w:rPr>
                              <w:t>NO</w:t>
                            </w:r>
                          </w:p>
                          <w:p w14:paraId="510A0872" w14:textId="77777777" w:rsidR="0048436A" w:rsidRPr="00E3247C" w:rsidRDefault="0048436A" w:rsidP="0048436A">
                            <w:pPr>
                              <w:rPr>
                                <w:rFonts w:cs="Arial"/>
                                <w:b/>
                                <w:sz w:val="18"/>
                                <w:szCs w:val="18"/>
                              </w:rPr>
                            </w:pPr>
                          </w:p>
                          <w:p w14:paraId="510A0873" w14:textId="77777777" w:rsidR="0048436A" w:rsidRPr="00E3247C" w:rsidRDefault="0048436A" w:rsidP="0048436A">
                            <w:pPr>
                              <w:rPr>
                                <w:rFonts w:cs="Arial"/>
                                <w:b/>
                                <w:sz w:val="18"/>
                                <w:szCs w:val="18"/>
                              </w:rPr>
                            </w:pPr>
                            <w:r w:rsidRPr="00E3247C">
                              <w:rPr>
                                <w:rFonts w:cs="Arial"/>
                                <w:b/>
                                <w:sz w:val="18"/>
                                <w:szCs w:val="18"/>
                              </w:rPr>
                              <w:t xml:space="preserve">         ……………………</w:t>
                            </w:r>
                            <w:r w:rsidR="00A35FB8" w:rsidRPr="00E3247C">
                              <w:rPr>
                                <w:rFonts w:cs="Arial"/>
                                <w:b/>
                                <w:sz w:val="18"/>
                                <w:szCs w:val="18"/>
                              </w:rPr>
                              <w:t>….</w:t>
                            </w:r>
                            <w:r w:rsidRPr="00E3247C">
                              <w:rPr>
                                <w:rFonts w:cs="Arial"/>
                                <w:b/>
                                <w:sz w:val="18"/>
                                <w:szCs w:val="18"/>
                              </w:rPr>
                              <w:tab/>
                            </w:r>
                            <w:r w:rsidRPr="00E3247C">
                              <w:rPr>
                                <w:rFonts w:cs="Arial"/>
                                <w:b/>
                                <w:sz w:val="18"/>
                                <w:szCs w:val="18"/>
                              </w:rPr>
                              <w:tab/>
                              <w:t>………………………...</w:t>
                            </w:r>
                            <w:r w:rsidR="00A35FB8" w:rsidRPr="00E3247C">
                              <w:rPr>
                                <w:rFonts w:cs="Arial"/>
                                <w:b/>
                                <w:sz w:val="18"/>
                                <w:szCs w:val="18"/>
                              </w:rPr>
                              <w:t xml:space="preserve"> </w:t>
                            </w:r>
                          </w:p>
                          <w:p w14:paraId="510A0874" w14:textId="77777777" w:rsidR="0048436A" w:rsidRPr="00E3247C" w:rsidRDefault="0048436A" w:rsidP="0048436A">
                            <w:pPr>
                              <w:rPr>
                                <w:rFonts w:cs="Arial"/>
                                <w:sz w:val="18"/>
                                <w:szCs w:val="18"/>
                              </w:rPr>
                            </w:pPr>
                            <w:r w:rsidRPr="00E3247C">
                              <w:rPr>
                                <w:rFonts w:cs="Arial"/>
                                <w:sz w:val="18"/>
                                <w:szCs w:val="18"/>
                              </w:rPr>
                              <w:t xml:space="preserve">                   DATE</w:t>
                            </w:r>
                            <w:r w:rsidRPr="00E3247C">
                              <w:rPr>
                                <w:rFonts w:cs="Arial"/>
                                <w:sz w:val="18"/>
                                <w:szCs w:val="18"/>
                              </w:rPr>
                              <w:tab/>
                            </w:r>
                            <w:r w:rsidRPr="00E3247C">
                              <w:rPr>
                                <w:rFonts w:cs="Arial"/>
                                <w:sz w:val="18"/>
                                <w:szCs w:val="18"/>
                              </w:rPr>
                              <w:tab/>
                            </w:r>
                            <w:r w:rsidRPr="00E3247C">
                              <w:rPr>
                                <w:rFonts w:cs="Arial"/>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510A0866" id="_x0000_t202" coordsize="21600,21600" o:spt="202" path="m,l,21600r21600,l21600,xe">
                <v:stroke joinstyle="miter"/>
                <v:path gradientshapeok="t" o:connecttype="rect"/>
              </v:shapetype>
              <v:shape id="Text Box 2" o:spid="_x0000_s1026" type="#_x0000_t202" style="position:absolute;left:0;text-align:left;margin-left:3.15pt;margin-top:1.35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">
                <v:textbox>
                  <w:txbxContent>
                    <w:p w14:paraId="510A086E" w14:textId="77777777" w:rsidR="0048436A" w:rsidRPr="00E3247C" w:rsidRDefault="0048436A" w:rsidP="0048436A">
                      <w:pPr>
                        <w:jc w:val="center"/>
                        <w:rPr>
                          <w:rFonts w:cs="Arial"/>
                          <w:b/>
                          <w:sz w:val="18"/>
                          <w:szCs w:val="18"/>
                        </w:rPr>
                      </w:pPr>
                    </w:p>
                    <w:p w14:paraId="510A086F" w14:textId="77777777" w:rsidR="0048436A" w:rsidRPr="00E3247C" w:rsidRDefault="0048436A" w:rsidP="0048436A">
                      <w:pPr>
                        <w:numPr>
                          <w:ilvl w:val="0"/>
                          <w:numId w:val="1"/>
                        </w:numPr>
                        <w:spacing w:line="240" w:lineRule="auto"/>
                        <w:jc w:val="left"/>
                        <w:rPr>
                          <w:rFonts w:cs="Arial"/>
                          <w:sz w:val="18"/>
                          <w:szCs w:val="18"/>
                        </w:rPr>
                      </w:pPr>
                      <w:r w:rsidRPr="00E3247C">
                        <w:rPr>
                          <w:rFonts w:cs="Arial"/>
                          <w:sz w:val="18"/>
                          <w:szCs w:val="18"/>
                        </w:rPr>
                        <w:t xml:space="preserve">REPORTABLE: </w:t>
                      </w:r>
                      <w:r w:rsidR="00832BD7" w:rsidRPr="00E3247C">
                        <w:rPr>
                          <w:rFonts w:cs="Arial"/>
                          <w:b/>
                          <w:sz w:val="18"/>
                          <w:szCs w:val="18"/>
                        </w:rPr>
                        <w:t>NO</w:t>
                      </w:r>
                    </w:p>
                    <w:p w14:paraId="510A0870" w14:textId="77777777" w:rsidR="0048436A" w:rsidRPr="00E3247C" w:rsidRDefault="0048436A" w:rsidP="0048436A">
                      <w:pPr>
                        <w:numPr>
                          <w:ilvl w:val="0"/>
                          <w:numId w:val="1"/>
                        </w:numPr>
                        <w:spacing w:line="240" w:lineRule="auto"/>
                        <w:jc w:val="left"/>
                        <w:rPr>
                          <w:rFonts w:cs="Arial"/>
                          <w:sz w:val="18"/>
                          <w:szCs w:val="18"/>
                        </w:rPr>
                      </w:pPr>
                      <w:r w:rsidRPr="00E3247C">
                        <w:rPr>
                          <w:rFonts w:cs="Arial"/>
                          <w:sz w:val="18"/>
                          <w:szCs w:val="18"/>
                        </w:rPr>
                        <w:t xml:space="preserve">OF INTEREST TO OTHER JUDGES: </w:t>
                      </w:r>
                      <w:r w:rsidR="00832BD7" w:rsidRPr="00E3247C">
                        <w:rPr>
                          <w:rFonts w:cs="Arial"/>
                          <w:b/>
                          <w:sz w:val="18"/>
                          <w:szCs w:val="18"/>
                        </w:rPr>
                        <w:t>NO</w:t>
                      </w:r>
                    </w:p>
                    <w:p w14:paraId="510A0871" w14:textId="77777777" w:rsidR="0048436A" w:rsidRPr="00E3247C" w:rsidRDefault="00832BD7" w:rsidP="0048436A">
                      <w:pPr>
                        <w:numPr>
                          <w:ilvl w:val="0"/>
                          <w:numId w:val="1"/>
                        </w:numPr>
                        <w:spacing w:line="240" w:lineRule="auto"/>
                        <w:jc w:val="left"/>
                        <w:rPr>
                          <w:rFonts w:cs="Arial"/>
                          <w:sz w:val="18"/>
                          <w:szCs w:val="18"/>
                        </w:rPr>
                      </w:pPr>
                      <w:r w:rsidRPr="00E3247C">
                        <w:rPr>
                          <w:rFonts w:cs="Arial"/>
                          <w:sz w:val="18"/>
                          <w:szCs w:val="18"/>
                        </w:rPr>
                        <w:t xml:space="preserve">REVISED: </w:t>
                      </w:r>
                      <w:r w:rsidRPr="00E3247C">
                        <w:rPr>
                          <w:rFonts w:cs="Arial"/>
                          <w:b/>
                          <w:sz w:val="18"/>
                          <w:szCs w:val="18"/>
                        </w:rPr>
                        <w:t>NO</w:t>
                      </w:r>
                    </w:p>
                    <w:p w14:paraId="510A0872" w14:textId="77777777" w:rsidR="0048436A" w:rsidRPr="00E3247C" w:rsidRDefault="0048436A" w:rsidP="0048436A">
                      <w:pPr>
                        <w:rPr>
                          <w:rFonts w:cs="Arial"/>
                          <w:b/>
                          <w:sz w:val="18"/>
                          <w:szCs w:val="18"/>
                        </w:rPr>
                      </w:pPr>
                    </w:p>
                    <w:p w14:paraId="510A0873" w14:textId="77777777" w:rsidR="0048436A" w:rsidRPr="00E3247C" w:rsidRDefault="0048436A" w:rsidP="0048436A">
                      <w:pPr>
                        <w:rPr>
                          <w:rFonts w:cs="Arial"/>
                          <w:b/>
                          <w:sz w:val="18"/>
                          <w:szCs w:val="18"/>
                        </w:rPr>
                      </w:pPr>
                      <w:r w:rsidRPr="00E3247C">
                        <w:rPr>
                          <w:rFonts w:cs="Arial"/>
                          <w:b/>
                          <w:sz w:val="18"/>
                          <w:szCs w:val="18"/>
                        </w:rPr>
                        <w:t xml:space="preserve">         ……………………</w:t>
                      </w:r>
                      <w:r w:rsidR="00A35FB8" w:rsidRPr="00E3247C">
                        <w:rPr>
                          <w:rFonts w:cs="Arial"/>
                          <w:b/>
                          <w:sz w:val="18"/>
                          <w:szCs w:val="18"/>
                        </w:rPr>
                        <w:t>….</w:t>
                      </w:r>
                      <w:r w:rsidRPr="00E3247C">
                        <w:rPr>
                          <w:rFonts w:cs="Arial"/>
                          <w:b/>
                          <w:sz w:val="18"/>
                          <w:szCs w:val="18"/>
                        </w:rPr>
                        <w:tab/>
                      </w:r>
                      <w:r w:rsidRPr="00E3247C">
                        <w:rPr>
                          <w:rFonts w:cs="Arial"/>
                          <w:b/>
                          <w:sz w:val="18"/>
                          <w:szCs w:val="18"/>
                        </w:rPr>
                        <w:tab/>
                        <w:t>………………………...</w:t>
                      </w:r>
                      <w:r w:rsidR="00A35FB8" w:rsidRPr="00E3247C">
                        <w:rPr>
                          <w:rFonts w:cs="Arial"/>
                          <w:b/>
                          <w:sz w:val="18"/>
                          <w:szCs w:val="18"/>
                        </w:rPr>
                        <w:t xml:space="preserve"> </w:t>
                      </w:r>
                    </w:p>
                    <w:p w14:paraId="510A0874" w14:textId="77777777" w:rsidR="0048436A" w:rsidRPr="00E3247C" w:rsidRDefault="0048436A" w:rsidP="0048436A">
                      <w:pPr>
                        <w:rPr>
                          <w:rFonts w:cs="Arial"/>
                          <w:sz w:val="18"/>
                          <w:szCs w:val="18"/>
                        </w:rPr>
                      </w:pPr>
                      <w:r w:rsidRPr="00E3247C">
                        <w:rPr>
                          <w:rFonts w:cs="Arial"/>
                          <w:sz w:val="18"/>
                          <w:szCs w:val="18"/>
                        </w:rPr>
                        <w:t xml:space="preserve">                   DATE</w:t>
                      </w:r>
                      <w:r w:rsidRPr="00E3247C">
                        <w:rPr>
                          <w:rFonts w:cs="Arial"/>
                          <w:sz w:val="18"/>
                          <w:szCs w:val="18"/>
                        </w:rPr>
                        <w:tab/>
                      </w:r>
                      <w:r w:rsidRPr="00E3247C">
                        <w:rPr>
                          <w:rFonts w:cs="Arial"/>
                          <w:sz w:val="18"/>
                          <w:szCs w:val="18"/>
                        </w:rPr>
                        <w:tab/>
                      </w:r>
                      <w:r w:rsidRPr="00E3247C">
                        <w:rPr>
                          <w:rFonts w:cs="Arial"/>
                          <w:sz w:val="18"/>
                          <w:szCs w:val="18"/>
                        </w:rPr>
                        <w:tab/>
                        <w:t xml:space="preserve">        SIGNATURE</w:t>
                      </w:r>
                    </w:p>
                  </w:txbxContent>
                </v:textbox>
              </v:shape>
            </w:pict>
          </mc:Fallback>
        </mc:AlternateContent>
      </w:r>
    </w:p>
    <w:p w14:paraId="510A07EE" w14:textId="77777777" w:rsidR="0048436A" w:rsidRPr="002B0678" w:rsidRDefault="0048436A" w:rsidP="0048436A">
      <w:pPr>
        <w:rPr>
          <w:rFonts w:cs="Arial"/>
          <w:sz w:val="24"/>
        </w:rPr>
      </w:pPr>
    </w:p>
    <w:p w14:paraId="510A07EF" w14:textId="77777777" w:rsidR="0048436A" w:rsidRPr="002B0678" w:rsidRDefault="0048436A" w:rsidP="0048436A">
      <w:pPr>
        <w:rPr>
          <w:rFonts w:cs="Arial"/>
          <w:sz w:val="24"/>
        </w:rPr>
      </w:pPr>
    </w:p>
    <w:p w14:paraId="510A07F0" w14:textId="77777777" w:rsidR="0048436A" w:rsidRPr="002B0678" w:rsidRDefault="0048436A" w:rsidP="0048436A">
      <w:pPr>
        <w:rPr>
          <w:rFonts w:cs="Arial"/>
          <w:sz w:val="24"/>
        </w:rPr>
      </w:pPr>
    </w:p>
    <w:p w14:paraId="510A07F1" w14:textId="77777777" w:rsidR="0048436A" w:rsidRPr="002B0678" w:rsidRDefault="0048436A" w:rsidP="0048436A">
      <w:pPr>
        <w:rPr>
          <w:rFonts w:cs="Arial"/>
          <w:sz w:val="24"/>
        </w:rPr>
      </w:pPr>
    </w:p>
    <w:p w14:paraId="510A07F2" w14:textId="77777777" w:rsidR="0048436A" w:rsidRPr="002B0678" w:rsidRDefault="0048436A" w:rsidP="0048436A">
      <w:pPr>
        <w:spacing w:line="480" w:lineRule="auto"/>
        <w:rPr>
          <w:rFonts w:cs="Arial"/>
          <w:sz w:val="24"/>
        </w:rPr>
      </w:pPr>
    </w:p>
    <w:p w14:paraId="510A07F3" w14:textId="77777777" w:rsidR="00E12330" w:rsidRPr="002B0678" w:rsidRDefault="00E12330" w:rsidP="00E12330">
      <w:pPr>
        <w:spacing w:line="240" w:lineRule="auto"/>
        <w:rPr>
          <w:rFonts w:cs="Arial"/>
          <w:sz w:val="24"/>
        </w:rPr>
      </w:pPr>
    </w:p>
    <w:p w14:paraId="11C68F17" w14:textId="5CEA2A66" w:rsidR="00EE71E0" w:rsidRPr="00715134" w:rsidRDefault="00EE71E0" w:rsidP="00C164AE">
      <w:pPr>
        <w:spacing w:after="120" w:line="240" w:lineRule="auto"/>
        <w:rPr>
          <w:rFonts w:cs="Arial"/>
          <w:sz w:val="24"/>
        </w:rPr>
      </w:pPr>
      <w:r w:rsidRPr="00715134">
        <w:rPr>
          <w:rFonts w:cs="Arial"/>
          <w:sz w:val="24"/>
        </w:rPr>
        <w:t xml:space="preserve">In the </w:t>
      </w:r>
      <w:r w:rsidR="00860964">
        <w:rPr>
          <w:rFonts w:cs="Arial"/>
          <w:sz w:val="24"/>
        </w:rPr>
        <w:t>matter</w:t>
      </w:r>
      <w:r w:rsidRPr="00715134">
        <w:rPr>
          <w:rFonts w:cs="Arial"/>
          <w:sz w:val="24"/>
        </w:rPr>
        <w:t xml:space="preserve"> between</w:t>
      </w:r>
    </w:p>
    <w:p w14:paraId="096C2FFD" w14:textId="77777777" w:rsidR="00EE71E0" w:rsidRPr="00715134" w:rsidRDefault="00EE71E0" w:rsidP="00715134">
      <w:pPr>
        <w:spacing w:line="240" w:lineRule="auto"/>
        <w:rPr>
          <w:rFonts w:cs="Arial"/>
          <w:sz w:val="24"/>
        </w:rPr>
      </w:pPr>
    </w:p>
    <w:tbl>
      <w:tblPr>
        <w:tblW w:w="0" w:type="auto"/>
        <w:tblLook w:val="04A0" w:firstRow="1" w:lastRow="0" w:firstColumn="1" w:lastColumn="0" w:noHBand="0" w:noVBand="1"/>
      </w:tblPr>
      <w:tblGrid>
        <w:gridCol w:w="1985"/>
        <w:gridCol w:w="4252"/>
        <w:gridCol w:w="3119"/>
      </w:tblGrid>
      <w:tr w:rsidR="00EE71E0" w:rsidRPr="00715134" w14:paraId="4CD63C9D" w14:textId="77777777" w:rsidTr="00CA72B7">
        <w:tc>
          <w:tcPr>
            <w:tcW w:w="6237" w:type="dxa"/>
            <w:gridSpan w:val="2"/>
            <w:hideMark/>
          </w:tcPr>
          <w:p w14:paraId="1679AD18" w14:textId="1D8E69E6" w:rsidR="00EE71E0" w:rsidRPr="00715134" w:rsidRDefault="00253C04" w:rsidP="00715134">
            <w:pPr>
              <w:spacing w:line="240" w:lineRule="auto"/>
              <w:jc w:val="left"/>
              <w:rPr>
                <w:rFonts w:cs="Arial"/>
                <w:bCs/>
                <w:sz w:val="24"/>
                <w:lang w:eastAsia="en-ZA"/>
              </w:rPr>
            </w:pPr>
            <w:r>
              <w:rPr>
                <w:rFonts w:cs="Arial"/>
                <w:b/>
                <w:bCs/>
                <w:sz w:val="24"/>
                <w:lang w:eastAsia="en-ZA"/>
              </w:rPr>
              <w:t>ABSA BANK LIMITED</w:t>
            </w:r>
          </w:p>
        </w:tc>
        <w:tc>
          <w:tcPr>
            <w:tcW w:w="3119" w:type="dxa"/>
            <w:hideMark/>
          </w:tcPr>
          <w:p w14:paraId="54F21D53" w14:textId="37791C03" w:rsidR="00EE71E0" w:rsidRPr="00715134" w:rsidRDefault="00EE71E0" w:rsidP="00715134">
            <w:pPr>
              <w:spacing w:line="240" w:lineRule="auto"/>
              <w:jc w:val="right"/>
              <w:rPr>
                <w:rFonts w:cs="Arial"/>
                <w:sz w:val="24"/>
                <w:lang w:eastAsia="en-ZA"/>
              </w:rPr>
            </w:pPr>
            <w:r w:rsidRPr="00715134">
              <w:rPr>
                <w:rFonts w:cs="Arial"/>
                <w:sz w:val="24"/>
                <w:lang w:eastAsia="en-ZA"/>
              </w:rPr>
              <w:t>Applicant</w:t>
            </w:r>
            <w:r w:rsidR="00EE510D">
              <w:rPr>
                <w:rFonts w:cs="Arial"/>
                <w:sz w:val="24"/>
                <w:lang w:eastAsia="en-ZA"/>
              </w:rPr>
              <w:t xml:space="preserve"> / Plaintiff</w:t>
            </w:r>
          </w:p>
          <w:p w14:paraId="675BEE6A" w14:textId="77777777" w:rsidR="00EE71E0" w:rsidRPr="00715134" w:rsidRDefault="00EE71E0" w:rsidP="00715134">
            <w:pPr>
              <w:spacing w:line="240" w:lineRule="auto"/>
              <w:jc w:val="right"/>
              <w:rPr>
                <w:rFonts w:cs="Arial"/>
                <w:sz w:val="24"/>
                <w:lang w:eastAsia="en-ZA"/>
              </w:rPr>
            </w:pPr>
          </w:p>
        </w:tc>
      </w:tr>
      <w:tr w:rsidR="00EE71E0" w:rsidRPr="00715134" w14:paraId="4ECD2F43" w14:textId="77777777" w:rsidTr="00CA72B7">
        <w:tc>
          <w:tcPr>
            <w:tcW w:w="6237" w:type="dxa"/>
            <w:gridSpan w:val="2"/>
          </w:tcPr>
          <w:p w14:paraId="59EF502C" w14:textId="77777777" w:rsidR="00EE71E0" w:rsidRPr="00715134" w:rsidRDefault="00EE71E0" w:rsidP="00715134">
            <w:pPr>
              <w:spacing w:line="240" w:lineRule="auto"/>
              <w:jc w:val="left"/>
              <w:rPr>
                <w:rFonts w:cs="Arial"/>
                <w:sz w:val="24"/>
                <w:lang w:eastAsia="en-ZA"/>
              </w:rPr>
            </w:pPr>
          </w:p>
        </w:tc>
        <w:tc>
          <w:tcPr>
            <w:tcW w:w="3119" w:type="dxa"/>
          </w:tcPr>
          <w:p w14:paraId="4CE380B3" w14:textId="77777777" w:rsidR="00EE71E0" w:rsidRPr="00715134" w:rsidRDefault="00EE71E0" w:rsidP="00715134">
            <w:pPr>
              <w:spacing w:line="240" w:lineRule="auto"/>
              <w:jc w:val="right"/>
              <w:rPr>
                <w:rFonts w:cs="Arial"/>
                <w:sz w:val="24"/>
                <w:lang w:eastAsia="en-ZA"/>
              </w:rPr>
            </w:pPr>
          </w:p>
        </w:tc>
      </w:tr>
      <w:tr w:rsidR="00EE71E0" w:rsidRPr="00715134" w14:paraId="31BE2DC0" w14:textId="77777777" w:rsidTr="00CA72B7">
        <w:tc>
          <w:tcPr>
            <w:tcW w:w="6237" w:type="dxa"/>
            <w:gridSpan w:val="2"/>
            <w:hideMark/>
          </w:tcPr>
          <w:p w14:paraId="309B0E2F" w14:textId="77777777" w:rsidR="00EE71E0" w:rsidRPr="00715134" w:rsidRDefault="00EE71E0" w:rsidP="00715134">
            <w:pPr>
              <w:pStyle w:val="Heading1"/>
              <w:spacing w:line="240" w:lineRule="auto"/>
              <w:jc w:val="left"/>
              <w:rPr>
                <w:b w:val="0"/>
                <w:bCs w:val="0"/>
                <w:sz w:val="24"/>
                <w:lang w:eastAsia="en-ZA"/>
              </w:rPr>
            </w:pPr>
            <w:r w:rsidRPr="00715134">
              <w:rPr>
                <w:b w:val="0"/>
                <w:bCs w:val="0"/>
                <w:sz w:val="24"/>
                <w:lang w:eastAsia="en-ZA"/>
              </w:rPr>
              <w:t>And</w:t>
            </w:r>
          </w:p>
          <w:p w14:paraId="477BE9AE" w14:textId="77777777" w:rsidR="00EE71E0" w:rsidRPr="00715134" w:rsidRDefault="00EE71E0" w:rsidP="00715134">
            <w:pPr>
              <w:spacing w:line="240" w:lineRule="auto"/>
              <w:rPr>
                <w:rFonts w:cs="Arial"/>
                <w:sz w:val="24"/>
                <w:lang w:eastAsia="en-ZA"/>
              </w:rPr>
            </w:pPr>
          </w:p>
        </w:tc>
        <w:tc>
          <w:tcPr>
            <w:tcW w:w="3119" w:type="dxa"/>
          </w:tcPr>
          <w:p w14:paraId="77C0926C" w14:textId="77777777" w:rsidR="00EE71E0" w:rsidRPr="00715134" w:rsidRDefault="00EE71E0" w:rsidP="00715134">
            <w:pPr>
              <w:spacing w:line="240" w:lineRule="auto"/>
              <w:jc w:val="right"/>
              <w:rPr>
                <w:rFonts w:cs="Arial"/>
                <w:sz w:val="24"/>
                <w:lang w:eastAsia="en-ZA"/>
              </w:rPr>
            </w:pPr>
          </w:p>
        </w:tc>
      </w:tr>
      <w:tr w:rsidR="00EE71E0" w:rsidRPr="00715134" w14:paraId="6ED9650B" w14:textId="77777777" w:rsidTr="00CA72B7">
        <w:tc>
          <w:tcPr>
            <w:tcW w:w="6237" w:type="dxa"/>
            <w:gridSpan w:val="2"/>
          </w:tcPr>
          <w:p w14:paraId="67EDE39B" w14:textId="77777777" w:rsidR="00EE71E0" w:rsidRPr="00715134" w:rsidRDefault="00EE71E0" w:rsidP="00715134">
            <w:pPr>
              <w:spacing w:line="240" w:lineRule="auto"/>
              <w:jc w:val="left"/>
              <w:rPr>
                <w:rFonts w:cs="Arial"/>
                <w:sz w:val="24"/>
                <w:lang w:eastAsia="en-ZA"/>
              </w:rPr>
            </w:pPr>
          </w:p>
        </w:tc>
        <w:tc>
          <w:tcPr>
            <w:tcW w:w="3119" w:type="dxa"/>
          </w:tcPr>
          <w:p w14:paraId="2C41AEBD" w14:textId="77777777" w:rsidR="00EE71E0" w:rsidRPr="00715134" w:rsidRDefault="00EE71E0" w:rsidP="00715134">
            <w:pPr>
              <w:spacing w:line="240" w:lineRule="auto"/>
              <w:jc w:val="right"/>
              <w:rPr>
                <w:rFonts w:cs="Arial"/>
                <w:sz w:val="24"/>
                <w:lang w:eastAsia="en-ZA"/>
              </w:rPr>
            </w:pPr>
          </w:p>
        </w:tc>
      </w:tr>
      <w:tr w:rsidR="00EE71E0" w:rsidRPr="00715134" w14:paraId="7502CEFE" w14:textId="77777777" w:rsidTr="00CA72B7">
        <w:tc>
          <w:tcPr>
            <w:tcW w:w="6237" w:type="dxa"/>
            <w:gridSpan w:val="2"/>
            <w:hideMark/>
          </w:tcPr>
          <w:p w14:paraId="250655C7" w14:textId="0AB15AE2" w:rsidR="00EE71E0" w:rsidRPr="00715134" w:rsidRDefault="00E0273E" w:rsidP="00715134">
            <w:pPr>
              <w:pStyle w:val="Heading1"/>
              <w:spacing w:line="240" w:lineRule="auto"/>
              <w:jc w:val="left"/>
              <w:rPr>
                <w:sz w:val="24"/>
                <w:lang w:eastAsia="en-ZA"/>
              </w:rPr>
            </w:pPr>
            <w:r>
              <w:rPr>
                <w:bCs w:val="0"/>
                <w:sz w:val="24"/>
                <w:lang w:eastAsia="en-ZA"/>
              </w:rPr>
              <w:t>VAN DER WALT, GERHARD CHRISTIAAN</w:t>
            </w:r>
          </w:p>
        </w:tc>
        <w:tc>
          <w:tcPr>
            <w:tcW w:w="3119" w:type="dxa"/>
            <w:hideMark/>
          </w:tcPr>
          <w:p w14:paraId="7F1573A7" w14:textId="6D95F3AC" w:rsidR="00EE71E0" w:rsidRPr="00715134" w:rsidRDefault="00EE71E0" w:rsidP="00715134">
            <w:pPr>
              <w:spacing w:line="240" w:lineRule="auto"/>
              <w:jc w:val="right"/>
              <w:rPr>
                <w:rFonts w:cs="Arial"/>
                <w:sz w:val="24"/>
                <w:lang w:eastAsia="en-ZA"/>
              </w:rPr>
            </w:pPr>
            <w:r w:rsidRPr="00715134">
              <w:rPr>
                <w:rFonts w:cs="Arial"/>
                <w:sz w:val="24"/>
                <w:lang w:eastAsia="en-ZA"/>
              </w:rPr>
              <w:t xml:space="preserve">Respondent </w:t>
            </w:r>
            <w:r w:rsidR="00360C4B">
              <w:rPr>
                <w:rFonts w:cs="Arial"/>
                <w:sz w:val="24"/>
                <w:lang w:eastAsia="en-ZA"/>
              </w:rPr>
              <w:t>/ Defendant</w:t>
            </w:r>
          </w:p>
        </w:tc>
      </w:tr>
      <w:tr w:rsidR="00EE71E0" w:rsidRPr="00715134" w14:paraId="00E6DFA7" w14:textId="77777777" w:rsidTr="00CA72B7">
        <w:trPr>
          <w:trHeight w:val="315"/>
        </w:trPr>
        <w:tc>
          <w:tcPr>
            <w:tcW w:w="6237" w:type="dxa"/>
            <w:gridSpan w:val="2"/>
          </w:tcPr>
          <w:p w14:paraId="07CBD3E6" w14:textId="77777777" w:rsidR="00EE71E0" w:rsidRPr="00715134" w:rsidRDefault="00EE71E0" w:rsidP="00715134">
            <w:pPr>
              <w:pStyle w:val="Heading1"/>
              <w:spacing w:line="240" w:lineRule="auto"/>
              <w:jc w:val="left"/>
              <w:rPr>
                <w:bCs w:val="0"/>
                <w:sz w:val="24"/>
                <w:lang w:eastAsia="en-ZA"/>
              </w:rPr>
            </w:pPr>
            <w:r w:rsidRPr="00715134">
              <w:rPr>
                <w:bCs w:val="0"/>
                <w:sz w:val="24"/>
                <w:lang w:eastAsia="en-ZA"/>
              </w:rPr>
              <w:t xml:space="preserve"> </w:t>
            </w:r>
          </w:p>
        </w:tc>
        <w:tc>
          <w:tcPr>
            <w:tcW w:w="3119" w:type="dxa"/>
          </w:tcPr>
          <w:p w14:paraId="318CC824" w14:textId="77777777" w:rsidR="00EE71E0" w:rsidRPr="00715134" w:rsidRDefault="00EE71E0" w:rsidP="00715134">
            <w:pPr>
              <w:spacing w:line="240" w:lineRule="auto"/>
              <w:jc w:val="right"/>
              <w:rPr>
                <w:rFonts w:cs="Arial"/>
                <w:sz w:val="24"/>
                <w:lang w:eastAsia="en-ZA"/>
              </w:rPr>
            </w:pPr>
          </w:p>
        </w:tc>
      </w:tr>
      <w:tr w:rsidR="00EB5EB6" w:rsidRPr="00715134" w14:paraId="083AFF58" w14:textId="77777777" w:rsidTr="00CA72B7">
        <w:trPr>
          <w:trHeight w:val="315"/>
        </w:trPr>
        <w:tc>
          <w:tcPr>
            <w:tcW w:w="6237" w:type="dxa"/>
            <w:gridSpan w:val="2"/>
          </w:tcPr>
          <w:p w14:paraId="7B324569" w14:textId="77777777" w:rsidR="00EB5EB6" w:rsidRPr="00715134" w:rsidRDefault="00EB5EB6" w:rsidP="00715134">
            <w:pPr>
              <w:pStyle w:val="Heading1"/>
              <w:spacing w:line="240" w:lineRule="auto"/>
              <w:jc w:val="left"/>
              <w:rPr>
                <w:bCs w:val="0"/>
                <w:sz w:val="24"/>
                <w:lang w:eastAsia="en-ZA"/>
              </w:rPr>
            </w:pPr>
          </w:p>
        </w:tc>
        <w:tc>
          <w:tcPr>
            <w:tcW w:w="3119" w:type="dxa"/>
          </w:tcPr>
          <w:p w14:paraId="529DBBD0" w14:textId="77777777" w:rsidR="00EB5EB6" w:rsidRPr="00715134" w:rsidRDefault="00EB5EB6" w:rsidP="00715134">
            <w:pPr>
              <w:spacing w:line="240" w:lineRule="auto"/>
              <w:jc w:val="right"/>
              <w:rPr>
                <w:rFonts w:cs="Arial"/>
                <w:sz w:val="24"/>
                <w:lang w:eastAsia="en-ZA"/>
              </w:rPr>
            </w:pPr>
          </w:p>
        </w:tc>
      </w:tr>
      <w:tr w:rsidR="0084250A" w:rsidRPr="0060587A" w14:paraId="56C004B3" w14:textId="77777777" w:rsidTr="0084250A">
        <w:trPr>
          <w:trHeight w:val="315"/>
        </w:trPr>
        <w:tc>
          <w:tcPr>
            <w:tcW w:w="1985" w:type="dxa"/>
          </w:tcPr>
          <w:p w14:paraId="34AF3737" w14:textId="6F71E23D" w:rsidR="0084250A" w:rsidRPr="0084250A" w:rsidRDefault="0084250A" w:rsidP="00D5200E">
            <w:pPr>
              <w:pStyle w:val="Heading1"/>
              <w:spacing w:line="240" w:lineRule="auto"/>
              <w:rPr>
                <w:b w:val="0"/>
                <w:bCs w:val="0"/>
                <w:sz w:val="24"/>
                <w:lang w:eastAsia="en-ZA"/>
              </w:rPr>
            </w:pPr>
            <w:r w:rsidRPr="0084250A">
              <w:rPr>
                <w:b w:val="0"/>
                <w:bCs w:val="0"/>
                <w:sz w:val="24"/>
                <w:lang w:eastAsia="en-ZA"/>
              </w:rPr>
              <w:t>Neutral citation:</w:t>
            </w:r>
          </w:p>
        </w:tc>
        <w:tc>
          <w:tcPr>
            <w:tcW w:w="7371" w:type="dxa"/>
            <w:gridSpan w:val="2"/>
          </w:tcPr>
          <w:p w14:paraId="40E61BA9" w14:textId="09EE541D" w:rsidR="0084250A" w:rsidRPr="0060587A" w:rsidRDefault="00E0273E" w:rsidP="00D5200E">
            <w:pPr>
              <w:spacing w:line="240" w:lineRule="auto"/>
              <w:rPr>
                <w:rFonts w:cs="Arial"/>
                <w:sz w:val="24"/>
                <w:lang w:eastAsia="en-ZA"/>
              </w:rPr>
            </w:pPr>
            <w:r>
              <w:rPr>
                <w:rFonts w:cs="Arial"/>
                <w:i/>
                <w:iCs/>
                <w:sz w:val="24"/>
                <w:lang w:eastAsia="en-ZA"/>
              </w:rPr>
              <w:t>ABSA Bank Ltd</w:t>
            </w:r>
            <w:r w:rsidR="00B21FEE">
              <w:rPr>
                <w:rFonts w:cs="Arial"/>
                <w:i/>
                <w:iCs/>
                <w:sz w:val="24"/>
                <w:lang w:eastAsia="en-ZA"/>
              </w:rPr>
              <w:t xml:space="preserve"> v Gerhard Christiaan </w:t>
            </w:r>
            <w:r w:rsidR="004563F9">
              <w:rPr>
                <w:rFonts w:cs="Arial"/>
                <w:i/>
                <w:iCs/>
                <w:sz w:val="24"/>
                <w:lang w:eastAsia="en-ZA"/>
              </w:rPr>
              <w:t>v</w:t>
            </w:r>
            <w:r w:rsidR="00B21FEE">
              <w:rPr>
                <w:rFonts w:cs="Arial"/>
                <w:i/>
                <w:iCs/>
                <w:sz w:val="24"/>
                <w:lang w:eastAsia="en-ZA"/>
              </w:rPr>
              <w:t xml:space="preserve">an der Walt </w:t>
            </w:r>
            <w:r w:rsidR="0084250A" w:rsidRPr="0060587A">
              <w:rPr>
                <w:rFonts w:cs="Arial"/>
                <w:sz w:val="24"/>
                <w:lang w:eastAsia="en-ZA"/>
              </w:rPr>
              <w:t>(</w:t>
            </w:r>
            <w:r w:rsidR="001A108E" w:rsidRPr="0060587A">
              <w:rPr>
                <w:rFonts w:cs="Arial"/>
                <w:sz w:val="24"/>
                <w:lang w:eastAsia="en-ZA"/>
              </w:rPr>
              <w:t xml:space="preserve">Case No: </w:t>
            </w:r>
            <w:r w:rsidR="00C552FE">
              <w:rPr>
                <w:rFonts w:cs="Arial"/>
                <w:bCs/>
                <w:sz w:val="24"/>
              </w:rPr>
              <w:t>8817</w:t>
            </w:r>
            <w:r w:rsidR="0084250A" w:rsidRPr="0060587A">
              <w:rPr>
                <w:rFonts w:cs="Arial"/>
                <w:bCs/>
                <w:sz w:val="24"/>
              </w:rPr>
              <w:t>/20</w:t>
            </w:r>
            <w:r w:rsidR="007E43E7" w:rsidRPr="0060587A">
              <w:rPr>
                <w:rFonts w:cs="Arial"/>
                <w:bCs/>
                <w:sz w:val="24"/>
              </w:rPr>
              <w:t>22</w:t>
            </w:r>
            <w:r w:rsidR="0084250A" w:rsidRPr="0060587A">
              <w:rPr>
                <w:rFonts w:cs="Arial"/>
                <w:sz w:val="24"/>
                <w:lang w:eastAsia="en-ZA"/>
              </w:rPr>
              <w:t xml:space="preserve">) </w:t>
            </w:r>
            <w:r w:rsidR="001A108E" w:rsidRPr="0060587A">
              <w:rPr>
                <w:rFonts w:cs="Arial"/>
                <w:sz w:val="24"/>
                <w:lang w:eastAsia="en-ZA"/>
              </w:rPr>
              <w:t xml:space="preserve">[2023] </w:t>
            </w:r>
            <w:r w:rsidR="0084250A" w:rsidRPr="0060587A">
              <w:rPr>
                <w:rFonts w:cs="Arial"/>
                <w:sz w:val="24"/>
                <w:lang w:eastAsia="en-ZA"/>
              </w:rPr>
              <w:t xml:space="preserve">ZAGPJHC </w:t>
            </w:r>
            <w:r w:rsidR="00EA1AB1">
              <w:rPr>
                <w:rFonts w:cs="Arial"/>
                <w:sz w:val="24"/>
                <w:lang w:eastAsia="en-ZA"/>
              </w:rPr>
              <w:t>680</w:t>
            </w:r>
            <w:r w:rsidR="00EA1AB1" w:rsidRPr="0060587A">
              <w:rPr>
                <w:rFonts w:cs="Arial"/>
                <w:sz w:val="24"/>
                <w:lang w:eastAsia="en-ZA"/>
              </w:rPr>
              <w:t xml:space="preserve"> </w:t>
            </w:r>
            <w:r w:rsidR="0084250A" w:rsidRPr="0060587A">
              <w:rPr>
                <w:rFonts w:cs="Arial"/>
                <w:sz w:val="24"/>
                <w:lang w:eastAsia="en-ZA"/>
              </w:rPr>
              <w:t>(0</w:t>
            </w:r>
            <w:r w:rsidR="00C552FE">
              <w:rPr>
                <w:rFonts w:cs="Arial"/>
                <w:sz w:val="24"/>
                <w:lang w:eastAsia="en-ZA"/>
              </w:rPr>
              <w:t>9</w:t>
            </w:r>
            <w:r w:rsidR="0084250A" w:rsidRPr="0060587A">
              <w:rPr>
                <w:rFonts w:cs="Arial"/>
                <w:sz w:val="24"/>
                <w:lang w:eastAsia="en-ZA"/>
              </w:rPr>
              <w:t xml:space="preserve"> June 2023)</w:t>
            </w:r>
            <w:r w:rsidR="0084250A" w:rsidRPr="0060587A">
              <w:rPr>
                <w:rFonts w:cs="Arial"/>
                <w:i/>
                <w:iCs/>
                <w:sz w:val="24"/>
                <w:lang w:eastAsia="en-ZA"/>
              </w:rPr>
              <w:t xml:space="preserve"> </w:t>
            </w:r>
          </w:p>
        </w:tc>
      </w:tr>
      <w:tr w:rsidR="0084250A" w:rsidRPr="0060587A" w14:paraId="02A03563" w14:textId="77777777" w:rsidTr="00CA72B7">
        <w:trPr>
          <w:trHeight w:val="315"/>
        </w:trPr>
        <w:tc>
          <w:tcPr>
            <w:tcW w:w="6237" w:type="dxa"/>
            <w:gridSpan w:val="2"/>
          </w:tcPr>
          <w:p w14:paraId="29A39E51" w14:textId="77777777" w:rsidR="0084250A" w:rsidRPr="0060587A" w:rsidRDefault="0084250A" w:rsidP="0084250A">
            <w:pPr>
              <w:pStyle w:val="Heading1"/>
              <w:spacing w:line="240" w:lineRule="auto"/>
              <w:jc w:val="left"/>
              <w:rPr>
                <w:bCs w:val="0"/>
                <w:sz w:val="24"/>
                <w:lang w:eastAsia="en-ZA"/>
              </w:rPr>
            </w:pPr>
          </w:p>
        </w:tc>
        <w:tc>
          <w:tcPr>
            <w:tcW w:w="3119" w:type="dxa"/>
          </w:tcPr>
          <w:p w14:paraId="04FD4081" w14:textId="77777777" w:rsidR="0084250A" w:rsidRPr="0060587A" w:rsidRDefault="0084250A" w:rsidP="0084250A">
            <w:pPr>
              <w:spacing w:line="240" w:lineRule="auto"/>
              <w:jc w:val="right"/>
              <w:rPr>
                <w:rFonts w:cs="Arial"/>
                <w:sz w:val="24"/>
                <w:lang w:eastAsia="en-ZA"/>
              </w:rPr>
            </w:pPr>
          </w:p>
        </w:tc>
      </w:tr>
    </w:tbl>
    <w:p w14:paraId="0F670BAC" w14:textId="77777777" w:rsidR="00EE71E0" w:rsidRPr="0060587A" w:rsidRDefault="00EE71E0" w:rsidP="00715134">
      <w:pPr>
        <w:pBdr>
          <w:bottom w:val="single" w:sz="4" w:space="1" w:color="auto"/>
        </w:pBdr>
        <w:spacing w:line="240" w:lineRule="auto"/>
        <w:rPr>
          <w:rFonts w:cs="Arial"/>
          <w:sz w:val="24"/>
        </w:rPr>
      </w:pPr>
    </w:p>
    <w:p w14:paraId="78F51A51" w14:textId="77777777" w:rsidR="00F64E24" w:rsidRPr="0060587A" w:rsidRDefault="00F64E24" w:rsidP="00715134">
      <w:pPr>
        <w:pBdr>
          <w:bottom w:val="single" w:sz="4" w:space="1" w:color="auto"/>
        </w:pBdr>
        <w:spacing w:line="240" w:lineRule="auto"/>
        <w:rPr>
          <w:rFonts w:cs="Arial"/>
          <w:sz w:val="24"/>
        </w:rPr>
      </w:pPr>
    </w:p>
    <w:p w14:paraId="510A0813" w14:textId="77777777" w:rsidR="0048436A" w:rsidRPr="0060587A" w:rsidRDefault="0048436A" w:rsidP="0048436A">
      <w:pPr>
        <w:spacing w:line="276" w:lineRule="auto"/>
        <w:rPr>
          <w:rFonts w:cs="Arial"/>
          <w:sz w:val="24"/>
        </w:rPr>
      </w:pPr>
    </w:p>
    <w:p w14:paraId="510A0814" w14:textId="5507282F" w:rsidR="0048436A" w:rsidRPr="002B0678" w:rsidRDefault="0048436A" w:rsidP="0048436A">
      <w:pPr>
        <w:pStyle w:val="Heading2"/>
        <w:spacing w:line="276" w:lineRule="auto"/>
        <w:rPr>
          <w:sz w:val="24"/>
        </w:rPr>
      </w:pPr>
      <w:r w:rsidRPr="002B0678">
        <w:rPr>
          <w:sz w:val="24"/>
        </w:rPr>
        <w:lastRenderedPageBreak/>
        <w:t>JUDGMENT</w:t>
      </w:r>
    </w:p>
    <w:p w14:paraId="510A0815" w14:textId="77777777" w:rsidR="0048436A" w:rsidRPr="002B0678" w:rsidRDefault="0048436A" w:rsidP="0048436A">
      <w:pPr>
        <w:pBdr>
          <w:bottom w:val="single" w:sz="4" w:space="1" w:color="auto"/>
        </w:pBdr>
        <w:spacing w:line="240" w:lineRule="auto"/>
        <w:rPr>
          <w:rFonts w:cs="Arial"/>
          <w:sz w:val="24"/>
        </w:rPr>
      </w:pPr>
    </w:p>
    <w:p w14:paraId="510A0816" w14:textId="77777777" w:rsidR="006632B6" w:rsidRPr="002B0678" w:rsidRDefault="006632B6" w:rsidP="009B237D">
      <w:pPr>
        <w:pStyle w:val="WLGLevel1"/>
        <w:numPr>
          <w:ilvl w:val="0"/>
          <w:numId w:val="0"/>
        </w:numPr>
        <w:suppressAutoHyphens w:val="0"/>
        <w:spacing w:before="0" w:after="360"/>
        <w:ind w:left="567" w:hanging="567"/>
        <w:rPr>
          <w:rFonts w:cs="Arial"/>
          <w:szCs w:val="24"/>
          <w:lang w:val="en-GB"/>
        </w:rPr>
      </w:pPr>
    </w:p>
    <w:p w14:paraId="5FEF4E76" w14:textId="75D490C6" w:rsidR="009B237D" w:rsidRPr="00C22F51" w:rsidRDefault="00456EEA" w:rsidP="005801F9">
      <w:pPr>
        <w:keepNext/>
        <w:spacing w:after="480" w:line="480" w:lineRule="auto"/>
        <w:rPr>
          <w:rFonts w:cs="Arial"/>
          <w:sz w:val="24"/>
          <w:u w:val="single"/>
        </w:rPr>
      </w:pPr>
      <w:r w:rsidRPr="00C22F51">
        <w:rPr>
          <w:rFonts w:cs="Arial"/>
          <w:sz w:val="24"/>
          <w:u w:val="single"/>
        </w:rPr>
        <w:t>PEARSE AJ:</w:t>
      </w:r>
    </w:p>
    <w:p w14:paraId="0112A298" w14:textId="77777777" w:rsidR="0005237A" w:rsidRPr="00C22F51" w:rsidRDefault="0005237A" w:rsidP="0005237A">
      <w:pPr>
        <w:pStyle w:val="WLGLevel1"/>
        <w:keepNext/>
        <w:numPr>
          <w:ilvl w:val="0"/>
          <w:numId w:val="0"/>
        </w:numPr>
        <w:suppressAutoHyphens w:val="0"/>
        <w:spacing w:before="0" w:after="480"/>
        <w:ind w:left="567" w:hanging="567"/>
        <w:rPr>
          <w:rFonts w:cs="Arial"/>
          <w:b/>
          <w:bCs/>
          <w:szCs w:val="24"/>
          <w:lang w:val="en-GB"/>
        </w:rPr>
      </w:pPr>
      <w:r w:rsidRPr="00C22F51">
        <w:rPr>
          <w:rFonts w:cs="Arial"/>
          <w:b/>
          <w:bCs/>
          <w:szCs w:val="24"/>
          <w:lang w:val="en-GB"/>
        </w:rPr>
        <w:t>AN OVERVIEW</w:t>
      </w:r>
    </w:p>
    <w:p w14:paraId="42F44F13" w14:textId="77777777" w:rsidR="0005237A" w:rsidRPr="00C22F51" w:rsidRDefault="0005237A" w:rsidP="0005237A">
      <w:pPr>
        <w:numPr>
          <w:ilvl w:val="0"/>
          <w:numId w:val="5"/>
        </w:numPr>
        <w:spacing w:after="480" w:line="480" w:lineRule="auto"/>
        <w:rPr>
          <w:rFonts w:cs="Arial"/>
          <w:sz w:val="24"/>
        </w:rPr>
      </w:pPr>
      <w:r w:rsidRPr="00C22F51">
        <w:rPr>
          <w:rFonts w:cs="Arial"/>
          <w:sz w:val="24"/>
        </w:rPr>
        <w:t>This application fo</w:t>
      </w:r>
      <w:bookmarkStart w:id="0" w:name="_GoBack"/>
      <w:bookmarkEnd w:id="0"/>
      <w:r w:rsidRPr="00C22F51">
        <w:rPr>
          <w:rFonts w:cs="Arial"/>
          <w:sz w:val="24"/>
        </w:rPr>
        <w:t>r summary judgment arises out of a motor vehicle instalment sale agreement entered into in 2019 between the applicant credit provider (ABSA) and the respondent consumer (Mr van der Walt).</w:t>
      </w:r>
    </w:p>
    <w:p w14:paraId="318A6C0A" w14:textId="5E092FC8" w:rsidR="0005237A" w:rsidRPr="007B2970" w:rsidRDefault="0005237A" w:rsidP="0005237A">
      <w:pPr>
        <w:numPr>
          <w:ilvl w:val="0"/>
          <w:numId w:val="5"/>
        </w:numPr>
        <w:spacing w:after="480" w:line="480" w:lineRule="auto"/>
        <w:rPr>
          <w:rFonts w:cs="Arial"/>
          <w:sz w:val="24"/>
        </w:rPr>
      </w:pPr>
      <w:r w:rsidRPr="007B2970">
        <w:rPr>
          <w:rFonts w:cs="Arial"/>
          <w:sz w:val="24"/>
        </w:rPr>
        <w:t xml:space="preserve">Mr van der Walt denies that he was notified of his rights under the National Credit Act 34 of 2005 (NCA). ABSA is </w:t>
      </w:r>
      <w:r w:rsidR="001C3180" w:rsidRPr="006F2FC0">
        <w:rPr>
          <w:rFonts w:cs="Arial"/>
          <w:sz w:val="24"/>
          <w:lang w:val="en-GB"/>
        </w:rPr>
        <w:t xml:space="preserve">ultimately </w:t>
      </w:r>
      <w:r w:rsidRPr="007B2970">
        <w:rPr>
          <w:rFonts w:cs="Arial"/>
          <w:sz w:val="24"/>
        </w:rPr>
        <w:t xml:space="preserve">unable to show compliance with sections 129 and 130. This inability flows from what appear to be administrative errors noted in paragraphs </w:t>
      </w:r>
      <w:r w:rsidRPr="007B2970">
        <w:rPr>
          <w:rFonts w:cs="Arial"/>
          <w:sz w:val="24"/>
        </w:rPr>
        <w:fldChar w:fldCharType="begin"/>
      </w:r>
      <w:r w:rsidRPr="007B2970">
        <w:rPr>
          <w:rFonts w:cs="Arial"/>
          <w:sz w:val="24"/>
        </w:rPr>
        <w:instrText xml:space="preserve"> REF _Ref137205834 \r \h  \* MERGEFORMAT </w:instrText>
      </w:r>
      <w:r w:rsidRPr="007B2970">
        <w:rPr>
          <w:rFonts w:cs="Arial"/>
          <w:sz w:val="24"/>
        </w:rPr>
      </w:r>
      <w:r w:rsidRPr="007B2970">
        <w:rPr>
          <w:rFonts w:cs="Arial"/>
          <w:sz w:val="24"/>
        </w:rPr>
        <w:fldChar w:fldCharType="separate"/>
      </w:r>
      <w:r w:rsidR="007B662E">
        <w:rPr>
          <w:rFonts w:cs="Arial"/>
          <w:sz w:val="24"/>
        </w:rPr>
        <w:t>49</w:t>
      </w:r>
      <w:r w:rsidRPr="007B2970">
        <w:rPr>
          <w:rFonts w:cs="Arial"/>
          <w:sz w:val="24"/>
        </w:rPr>
        <w:fldChar w:fldCharType="end"/>
      </w:r>
      <w:r w:rsidRPr="007B2970">
        <w:rPr>
          <w:rFonts w:cs="Arial"/>
          <w:sz w:val="24"/>
        </w:rPr>
        <w:t xml:space="preserve"> and </w:t>
      </w:r>
      <w:r w:rsidRPr="007B2970">
        <w:rPr>
          <w:rFonts w:cs="Arial"/>
          <w:sz w:val="24"/>
        </w:rPr>
        <w:fldChar w:fldCharType="begin"/>
      </w:r>
      <w:r w:rsidRPr="007B2970">
        <w:rPr>
          <w:rFonts w:cs="Arial"/>
          <w:sz w:val="24"/>
        </w:rPr>
        <w:instrText xml:space="preserve"> REF _Ref137205842 \r \p \h  \* MERGEFORMAT </w:instrText>
      </w:r>
      <w:r w:rsidRPr="007B2970">
        <w:rPr>
          <w:rFonts w:cs="Arial"/>
          <w:sz w:val="24"/>
        </w:rPr>
      </w:r>
      <w:r w:rsidRPr="007B2970">
        <w:rPr>
          <w:rFonts w:cs="Arial"/>
          <w:sz w:val="24"/>
        </w:rPr>
        <w:fldChar w:fldCharType="separate"/>
      </w:r>
      <w:r w:rsidR="007B662E">
        <w:rPr>
          <w:rFonts w:cs="Arial"/>
          <w:sz w:val="24"/>
        </w:rPr>
        <w:t>50 below</w:t>
      </w:r>
      <w:r w:rsidRPr="007B2970">
        <w:rPr>
          <w:rFonts w:cs="Arial"/>
          <w:sz w:val="24"/>
        </w:rPr>
        <w:fldChar w:fldCharType="end"/>
      </w:r>
      <w:r w:rsidRPr="007B2970">
        <w:rPr>
          <w:rFonts w:cs="Arial"/>
          <w:sz w:val="24"/>
        </w:rPr>
        <w:t xml:space="preserve"> – ABSA used registered mail instead of Mr van der Walt’s specified manner of communication (delivery to his </w:t>
      </w:r>
      <w:r w:rsidR="004629F3" w:rsidRPr="006F2FC0">
        <w:rPr>
          <w:rFonts w:cs="Arial"/>
          <w:sz w:val="24"/>
          <w:lang w:val="en-GB"/>
        </w:rPr>
        <w:t>nominated</w:t>
      </w:r>
      <w:r w:rsidR="004629F3" w:rsidRPr="007B2970">
        <w:rPr>
          <w:rFonts w:cs="Arial"/>
          <w:sz w:val="24"/>
          <w:lang w:val="en-GB"/>
        </w:rPr>
        <w:t xml:space="preserve"> </w:t>
      </w:r>
      <w:r w:rsidRPr="007B2970">
        <w:rPr>
          <w:rFonts w:cs="Arial"/>
          <w:sz w:val="24"/>
        </w:rPr>
        <w:t xml:space="preserve">physical address) and, in any event, erred in capturing and/or using the physical address provided by Mr van der Walt. The summary judgment application </w:t>
      </w:r>
      <w:r w:rsidR="002F7E7B" w:rsidRPr="007B2970">
        <w:rPr>
          <w:rFonts w:cs="Arial"/>
          <w:sz w:val="24"/>
        </w:rPr>
        <w:t xml:space="preserve">should </w:t>
      </w:r>
      <w:r w:rsidRPr="007B2970">
        <w:rPr>
          <w:rFonts w:cs="Arial"/>
          <w:sz w:val="24"/>
        </w:rPr>
        <w:t>thus be adjourned to allow for due and proper notification. It follows that the wasted costs of adjournment should be borne by ABSA.</w:t>
      </w:r>
    </w:p>
    <w:p w14:paraId="265F7C4C" w14:textId="77777777" w:rsidR="0005237A" w:rsidRPr="00C22F51" w:rsidRDefault="0005237A" w:rsidP="0005237A">
      <w:pPr>
        <w:pStyle w:val="WLGLevel1"/>
        <w:keepNext/>
        <w:numPr>
          <w:ilvl w:val="0"/>
          <w:numId w:val="0"/>
        </w:numPr>
        <w:suppressAutoHyphens w:val="0"/>
        <w:spacing w:before="0" w:after="480"/>
        <w:ind w:left="567" w:hanging="567"/>
        <w:rPr>
          <w:rFonts w:cs="Arial"/>
          <w:b/>
          <w:bCs/>
          <w:szCs w:val="24"/>
          <w:lang w:val="en-GB"/>
        </w:rPr>
      </w:pPr>
      <w:r w:rsidRPr="00C22F51">
        <w:rPr>
          <w:rFonts w:cs="Arial"/>
          <w:b/>
          <w:bCs/>
          <w:szCs w:val="24"/>
          <w:lang w:val="en-GB"/>
        </w:rPr>
        <w:lastRenderedPageBreak/>
        <w:t>THE PROCEEDINGS</w:t>
      </w:r>
    </w:p>
    <w:p w14:paraId="38304015" w14:textId="77777777" w:rsidR="0005237A" w:rsidRPr="00C22F51" w:rsidRDefault="0005237A" w:rsidP="0005237A">
      <w:pPr>
        <w:pStyle w:val="WLGLevel1"/>
        <w:keepNext/>
        <w:numPr>
          <w:ilvl w:val="0"/>
          <w:numId w:val="0"/>
        </w:numPr>
        <w:suppressAutoHyphens w:val="0"/>
        <w:spacing w:before="0" w:after="480"/>
        <w:rPr>
          <w:rFonts w:cs="Arial"/>
          <w:b/>
          <w:bCs/>
          <w:szCs w:val="24"/>
          <w:lang w:val="en-GB"/>
        </w:rPr>
      </w:pPr>
      <w:r w:rsidRPr="00C22F51">
        <w:rPr>
          <w:rFonts w:cs="Arial"/>
          <w:b/>
          <w:bCs/>
          <w:szCs w:val="24"/>
          <w:lang w:val="en-GB"/>
        </w:rPr>
        <w:t>The agreement</w:t>
      </w:r>
    </w:p>
    <w:p w14:paraId="2E17429E" w14:textId="77777777" w:rsidR="0005237A" w:rsidRPr="00C22F51" w:rsidRDefault="0005237A" w:rsidP="0005237A">
      <w:pPr>
        <w:numPr>
          <w:ilvl w:val="0"/>
          <w:numId w:val="5"/>
        </w:numPr>
        <w:spacing w:after="480" w:line="480" w:lineRule="auto"/>
        <w:rPr>
          <w:rFonts w:cs="Arial"/>
          <w:sz w:val="24"/>
        </w:rPr>
      </w:pPr>
      <w:r w:rsidRPr="00C22F51">
        <w:rPr>
          <w:rFonts w:cs="Arial"/>
          <w:sz w:val="24"/>
        </w:rPr>
        <w:t>A certificate of registration in respect of a 2019 Toyota Fortuner 4.0 V6 4x4 A/T motor vehicle with engine number 1GRH223742 and chassis number AHTKU3FS200280417 was issued on 25 July 2019.</w:t>
      </w:r>
    </w:p>
    <w:p w14:paraId="4D636AD5" w14:textId="77777777" w:rsidR="0005237A" w:rsidRPr="00C22F51" w:rsidRDefault="0005237A" w:rsidP="0005237A">
      <w:pPr>
        <w:numPr>
          <w:ilvl w:val="0"/>
          <w:numId w:val="5"/>
        </w:numPr>
        <w:spacing w:after="480" w:line="480" w:lineRule="auto"/>
        <w:rPr>
          <w:rFonts w:cs="Arial"/>
          <w:sz w:val="24"/>
        </w:rPr>
      </w:pPr>
      <w:r w:rsidRPr="00C22F51">
        <w:rPr>
          <w:rFonts w:cs="Arial"/>
          <w:sz w:val="24"/>
        </w:rPr>
        <w:t>An instalment sale agreement in respect of the vehicle was concluded between the parties on 26 July 2019. The agreement, recorded in Afrikaans, contains the following terms of relevance to this case:</w:t>
      </w:r>
    </w:p>
    <w:p w14:paraId="7A06597F" w14:textId="77777777" w:rsidR="0005237A" w:rsidRPr="00C22F51" w:rsidRDefault="0005237A" w:rsidP="0005237A">
      <w:pPr>
        <w:numPr>
          <w:ilvl w:val="1"/>
          <w:numId w:val="5"/>
        </w:numPr>
        <w:tabs>
          <w:tab w:val="clear" w:pos="1418"/>
          <w:tab w:val="num" w:pos="1560"/>
        </w:tabs>
        <w:spacing w:after="480" w:line="480" w:lineRule="auto"/>
        <w:ind w:left="1560" w:hanging="851"/>
        <w:rPr>
          <w:rFonts w:cs="Arial"/>
          <w:sz w:val="24"/>
        </w:rPr>
      </w:pPr>
      <w:r w:rsidRPr="00C22F51">
        <w:rPr>
          <w:rFonts w:cs="Arial"/>
          <w:sz w:val="24"/>
        </w:rPr>
        <w:t>The contact telephone number of Mr van der Walt is inserted as “</w:t>
      </w:r>
      <w:r w:rsidRPr="00C22F51">
        <w:rPr>
          <w:rFonts w:cs="Arial"/>
          <w:i/>
          <w:iCs/>
          <w:sz w:val="24"/>
        </w:rPr>
        <w:t>012 808 5160 / 083 471 2742</w:t>
      </w:r>
      <w:r w:rsidRPr="00C22F51">
        <w:rPr>
          <w:rFonts w:cs="Arial"/>
          <w:sz w:val="24"/>
        </w:rPr>
        <w:t>”.</w:t>
      </w:r>
    </w:p>
    <w:p w14:paraId="60A46175" w14:textId="77777777" w:rsidR="0005237A" w:rsidRPr="00C22F51" w:rsidRDefault="0005237A" w:rsidP="0005237A">
      <w:pPr>
        <w:keepNext/>
        <w:numPr>
          <w:ilvl w:val="1"/>
          <w:numId w:val="5"/>
        </w:numPr>
        <w:tabs>
          <w:tab w:val="clear" w:pos="1418"/>
          <w:tab w:val="num" w:pos="1560"/>
        </w:tabs>
        <w:spacing w:after="480" w:line="480" w:lineRule="auto"/>
        <w:ind w:left="1560" w:hanging="851"/>
        <w:rPr>
          <w:rFonts w:cs="Arial"/>
          <w:sz w:val="24"/>
        </w:rPr>
      </w:pPr>
      <w:bookmarkStart w:id="1" w:name="_Ref137197099"/>
      <w:r w:rsidRPr="00C22F51">
        <w:rPr>
          <w:rFonts w:cs="Arial"/>
          <w:sz w:val="24"/>
        </w:rPr>
        <w:t>The physical address of Mr van der Walt is inserted as:</w:t>
      </w:r>
      <w:bookmarkEnd w:id="1"/>
    </w:p>
    <w:p w14:paraId="1D3BBD51" w14:textId="77777777" w:rsidR="0005237A" w:rsidRDefault="0005237A" w:rsidP="0005237A">
      <w:pPr>
        <w:keepNext/>
        <w:spacing w:after="120"/>
        <w:ind w:left="2552"/>
        <w:rPr>
          <w:rFonts w:cs="Arial"/>
          <w:i/>
          <w:iCs/>
          <w:szCs w:val="22"/>
        </w:rPr>
      </w:pPr>
      <w:r w:rsidRPr="00846C4D">
        <w:rPr>
          <w:rFonts w:cs="Arial"/>
          <w:szCs w:val="22"/>
        </w:rPr>
        <w:t>“</w:t>
      </w:r>
      <w:r>
        <w:rPr>
          <w:rFonts w:cs="Arial"/>
          <w:i/>
          <w:iCs/>
          <w:szCs w:val="22"/>
        </w:rPr>
        <w:t>FARM 284</w:t>
      </w:r>
      <w:r w:rsidRPr="00846C4D">
        <w:rPr>
          <w:rFonts w:cs="Arial"/>
          <w:i/>
          <w:iCs/>
          <w:szCs w:val="22"/>
        </w:rPr>
        <w:t xml:space="preserve"> BOEKENHOUTSKLOOF</w:t>
      </w:r>
    </w:p>
    <w:p w14:paraId="17DA90EA" w14:textId="77777777" w:rsidR="0005237A" w:rsidRDefault="0005237A" w:rsidP="0005237A">
      <w:pPr>
        <w:keepNext/>
        <w:spacing w:after="120"/>
        <w:ind w:left="2552"/>
        <w:rPr>
          <w:rFonts w:cs="Arial"/>
          <w:i/>
          <w:iCs/>
          <w:szCs w:val="22"/>
        </w:rPr>
      </w:pPr>
      <w:r>
        <w:rPr>
          <w:rFonts w:cs="Arial"/>
          <w:i/>
          <w:iCs/>
          <w:szCs w:val="22"/>
        </w:rPr>
        <w:t>CULLINAN</w:t>
      </w:r>
    </w:p>
    <w:p w14:paraId="36F6153C" w14:textId="77777777" w:rsidR="0005237A" w:rsidRDefault="0005237A" w:rsidP="0005237A">
      <w:pPr>
        <w:keepNext/>
        <w:spacing w:after="120"/>
        <w:ind w:left="2552"/>
        <w:rPr>
          <w:rFonts w:cs="Arial"/>
          <w:i/>
          <w:iCs/>
          <w:szCs w:val="22"/>
        </w:rPr>
      </w:pPr>
      <w:r w:rsidRPr="00846C4D">
        <w:rPr>
          <w:rFonts w:cs="Arial"/>
          <w:i/>
          <w:iCs/>
          <w:szCs w:val="22"/>
        </w:rPr>
        <w:t>CULLINAN</w:t>
      </w:r>
    </w:p>
    <w:p w14:paraId="1999696E" w14:textId="77777777" w:rsidR="0005237A" w:rsidRPr="00846C4D" w:rsidRDefault="0005237A" w:rsidP="0005237A">
      <w:pPr>
        <w:spacing w:after="600"/>
        <w:ind w:left="2552"/>
        <w:rPr>
          <w:rFonts w:cs="Arial"/>
          <w:szCs w:val="22"/>
        </w:rPr>
      </w:pPr>
      <w:r w:rsidRPr="00846C4D">
        <w:rPr>
          <w:rFonts w:cs="Arial"/>
          <w:i/>
          <w:iCs/>
          <w:szCs w:val="22"/>
        </w:rPr>
        <w:t>1000</w:t>
      </w:r>
      <w:r w:rsidRPr="00846C4D">
        <w:rPr>
          <w:rFonts w:cs="Arial"/>
          <w:szCs w:val="22"/>
        </w:rPr>
        <w:t>”</w:t>
      </w:r>
      <w:r>
        <w:rPr>
          <w:rFonts w:cs="Arial"/>
          <w:szCs w:val="22"/>
        </w:rPr>
        <w:t>.</w:t>
      </w:r>
    </w:p>
    <w:p w14:paraId="2D6E5124" w14:textId="77777777" w:rsidR="0005237A" w:rsidRPr="00C22F51" w:rsidRDefault="0005237A" w:rsidP="0005237A">
      <w:pPr>
        <w:numPr>
          <w:ilvl w:val="1"/>
          <w:numId w:val="5"/>
        </w:numPr>
        <w:tabs>
          <w:tab w:val="clear" w:pos="1418"/>
          <w:tab w:val="num" w:pos="1560"/>
        </w:tabs>
        <w:spacing w:after="480" w:line="480" w:lineRule="auto"/>
        <w:ind w:left="1560" w:hanging="851"/>
        <w:rPr>
          <w:rFonts w:cs="Arial"/>
          <w:sz w:val="24"/>
        </w:rPr>
      </w:pPr>
      <w:bookmarkStart w:id="2" w:name="_Ref137197186"/>
      <w:r w:rsidRPr="00C22F51">
        <w:rPr>
          <w:rFonts w:cs="Arial"/>
          <w:sz w:val="24"/>
        </w:rPr>
        <w:t>As translated into English, clause 19, entitled “</w:t>
      </w:r>
      <w:r w:rsidRPr="00C22F51">
        <w:rPr>
          <w:rFonts w:cs="Arial"/>
          <w:i/>
          <w:iCs/>
          <w:sz w:val="24"/>
        </w:rPr>
        <w:t>Your Contact Details</w:t>
      </w:r>
      <w:r w:rsidRPr="00C22F51">
        <w:rPr>
          <w:rFonts w:cs="Arial"/>
          <w:sz w:val="24"/>
        </w:rPr>
        <w:t>”, records Mr van der Walt’s agreement always to provide ABSA with:</w:t>
      </w:r>
      <w:bookmarkEnd w:id="2"/>
    </w:p>
    <w:p w14:paraId="7C2BA40C" w14:textId="77777777" w:rsidR="0005237A" w:rsidRPr="00C22F51" w:rsidRDefault="0005237A" w:rsidP="0005237A">
      <w:pPr>
        <w:numPr>
          <w:ilvl w:val="2"/>
          <w:numId w:val="5"/>
        </w:numPr>
        <w:spacing w:after="480" w:line="480" w:lineRule="auto"/>
        <w:ind w:hanging="992"/>
        <w:rPr>
          <w:rFonts w:cs="Arial"/>
          <w:sz w:val="24"/>
        </w:rPr>
      </w:pPr>
      <w:r w:rsidRPr="00C22F51">
        <w:rPr>
          <w:rFonts w:cs="Arial"/>
          <w:sz w:val="24"/>
        </w:rPr>
        <w:lastRenderedPageBreak/>
        <w:t>his current physical address (and a post box number as his postal address if Mr van der Walt did not want post to be delivered to his physical address);</w:t>
      </w:r>
    </w:p>
    <w:p w14:paraId="314155A0" w14:textId="77777777" w:rsidR="0005237A" w:rsidRPr="00C22F51" w:rsidRDefault="0005237A" w:rsidP="0005237A">
      <w:pPr>
        <w:numPr>
          <w:ilvl w:val="2"/>
          <w:numId w:val="5"/>
        </w:numPr>
        <w:spacing w:after="480" w:line="480" w:lineRule="auto"/>
        <w:ind w:hanging="992"/>
        <w:rPr>
          <w:rFonts w:cs="Arial"/>
          <w:sz w:val="24"/>
        </w:rPr>
      </w:pPr>
      <w:r w:rsidRPr="00C22F51">
        <w:rPr>
          <w:rFonts w:cs="Arial"/>
          <w:sz w:val="24"/>
        </w:rPr>
        <w:t>a working telephone number at which ABSA could reach him; and</w:t>
      </w:r>
    </w:p>
    <w:p w14:paraId="327E98F1" w14:textId="77777777" w:rsidR="0005237A" w:rsidRPr="00C22F51" w:rsidRDefault="0005237A" w:rsidP="0005237A">
      <w:pPr>
        <w:numPr>
          <w:ilvl w:val="2"/>
          <w:numId w:val="5"/>
        </w:numPr>
        <w:spacing w:after="480" w:line="480" w:lineRule="auto"/>
        <w:ind w:hanging="992"/>
        <w:rPr>
          <w:rFonts w:cs="Arial"/>
          <w:sz w:val="24"/>
        </w:rPr>
      </w:pPr>
      <w:r w:rsidRPr="00C22F51">
        <w:rPr>
          <w:rFonts w:cs="Arial"/>
          <w:sz w:val="24"/>
        </w:rPr>
        <w:t>a working email address and cell phone number.</w:t>
      </w:r>
    </w:p>
    <w:p w14:paraId="3DBE29C5" w14:textId="77777777" w:rsidR="0005237A" w:rsidRPr="00C22F51" w:rsidRDefault="0005237A" w:rsidP="0005237A">
      <w:pPr>
        <w:numPr>
          <w:ilvl w:val="1"/>
          <w:numId w:val="5"/>
        </w:numPr>
        <w:tabs>
          <w:tab w:val="clear" w:pos="1418"/>
          <w:tab w:val="num" w:pos="1560"/>
        </w:tabs>
        <w:spacing w:after="480" w:line="480" w:lineRule="auto"/>
        <w:ind w:left="1560" w:hanging="851"/>
        <w:rPr>
          <w:rFonts w:cs="Arial"/>
          <w:sz w:val="24"/>
        </w:rPr>
      </w:pPr>
      <w:bookmarkStart w:id="3" w:name="_Ref137197385"/>
      <w:r w:rsidRPr="00C22F51">
        <w:rPr>
          <w:rFonts w:cs="Arial"/>
          <w:sz w:val="24"/>
        </w:rPr>
        <w:t>The same clause also records Mr van der Walt’s agreement that, for all legal purposes, ABSA could use any of such contact details as last provided by Mr van der Walt to ABSA.</w:t>
      </w:r>
      <w:bookmarkEnd w:id="3"/>
    </w:p>
    <w:p w14:paraId="43554AB3" w14:textId="77777777" w:rsidR="0005237A" w:rsidRPr="00C22F51" w:rsidRDefault="0005237A" w:rsidP="0005237A">
      <w:pPr>
        <w:pStyle w:val="WLGLevel1"/>
        <w:keepNext/>
        <w:numPr>
          <w:ilvl w:val="0"/>
          <w:numId w:val="0"/>
        </w:numPr>
        <w:suppressAutoHyphens w:val="0"/>
        <w:spacing w:before="0" w:after="480"/>
        <w:rPr>
          <w:rFonts w:cs="Arial"/>
          <w:b/>
          <w:bCs/>
          <w:szCs w:val="24"/>
          <w:lang w:val="en-GB"/>
        </w:rPr>
      </w:pPr>
      <w:r w:rsidRPr="00C22F51">
        <w:rPr>
          <w:rFonts w:cs="Arial"/>
          <w:b/>
          <w:bCs/>
          <w:szCs w:val="24"/>
          <w:lang w:val="en-GB"/>
        </w:rPr>
        <w:t>The NCA notice</w:t>
      </w:r>
    </w:p>
    <w:p w14:paraId="3A1F9097" w14:textId="77777777" w:rsidR="0005237A" w:rsidRPr="00C22F51" w:rsidRDefault="0005237A" w:rsidP="0005237A">
      <w:pPr>
        <w:numPr>
          <w:ilvl w:val="0"/>
          <w:numId w:val="5"/>
        </w:numPr>
        <w:spacing w:after="480" w:line="480" w:lineRule="auto"/>
        <w:rPr>
          <w:rFonts w:cs="Arial"/>
          <w:sz w:val="24"/>
        </w:rPr>
      </w:pPr>
      <w:r w:rsidRPr="00C22F51">
        <w:rPr>
          <w:rFonts w:cs="Arial"/>
          <w:sz w:val="24"/>
        </w:rPr>
        <w:t xml:space="preserve">According to ABSA, Mr van der Walt last paid an instalment in respect of the vehicle in February 2021. </w:t>
      </w:r>
    </w:p>
    <w:p w14:paraId="67FAC958" w14:textId="77777777" w:rsidR="0005237A" w:rsidRPr="00C22F51" w:rsidRDefault="0005237A" w:rsidP="0005237A">
      <w:pPr>
        <w:numPr>
          <w:ilvl w:val="0"/>
          <w:numId w:val="5"/>
        </w:numPr>
        <w:spacing w:after="480" w:line="480" w:lineRule="auto"/>
        <w:rPr>
          <w:rFonts w:cs="Arial"/>
          <w:sz w:val="24"/>
        </w:rPr>
      </w:pPr>
      <w:r w:rsidRPr="00C22F51">
        <w:rPr>
          <w:rFonts w:cs="Arial"/>
          <w:sz w:val="24"/>
        </w:rPr>
        <w:t>The record contains a certificate of balance reflecting an outstanding balance under the agreement of R830,119.29 and an arrears amount thereunder of R120,998.94 at 08 November 2021.</w:t>
      </w:r>
    </w:p>
    <w:p w14:paraId="1B0B22AB" w14:textId="77777777" w:rsidR="0005237A" w:rsidRPr="00C22F51" w:rsidRDefault="0005237A" w:rsidP="0005237A">
      <w:pPr>
        <w:keepNext/>
        <w:numPr>
          <w:ilvl w:val="0"/>
          <w:numId w:val="5"/>
        </w:numPr>
        <w:spacing w:after="480" w:line="480" w:lineRule="auto"/>
        <w:rPr>
          <w:rFonts w:cs="Arial"/>
          <w:sz w:val="24"/>
        </w:rPr>
      </w:pPr>
      <w:bookmarkStart w:id="4" w:name="_Ref136621088"/>
      <w:bookmarkStart w:id="5" w:name="_Ref136593307"/>
      <w:r w:rsidRPr="00C22F51">
        <w:rPr>
          <w:rFonts w:cs="Arial"/>
          <w:sz w:val="24"/>
        </w:rPr>
        <w:lastRenderedPageBreak/>
        <w:t>On 08 November 2021 ABSA addressed to:</w:t>
      </w:r>
      <w:bookmarkEnd w:id="4"/>
    </w:p>
    <w:p w14:paraId="153DAA9A" w14:textId="77777777" w:rsidR="0005237A" w:rsidRDefault="0005237A" w:rsidP="0005237A">
      <w:pPr>
        <w:keepNext/>
        <w:spacing w:after="120"/>
        <w:ind w:left="1559"/>
        <w:rPr>
          <w:rFonts w:cs="Arial"/>
          <w:i/>
          <w:iCs/>
          <w:szCs w:val="22"/>
        </w:rPr>
      </w:pPr>
      <w:r w:rsidRPr="00846C4D">
        <w:rPr>
          <w:rFonts w:cs="Arial"/>
          <w:szCs w:val="22"/>
        </w:rPr>
        <w:t>“</w:t>
      </w:r>
      <w:r>
        <w:rPr>
          <w:rFonts w:cs="Arial"/>
          <w:i/>
          <w:iCs/>
          <w:szCs w:val="22"/>
        </w:rPr>
        <w:t>MR GERHARD CHRISTIAAN VAN DER WALT</w:t>
      </w:r>
    </w:p>
    <w:p w14:paraId="79C69D6C" w14:textId="77777777" w:rsidR="0005237A" w:rsidRDefault="0005237A" w:rsidP="0005237A">
      <w:pPr>
        <w:keepNext/>
        <w:spacing w:after="120"/>
        <w:ind w:left="1559"/>
        <w:rPr>
          <w:rFonts w:cs="Arial"/>
          <w:i/>
          <w:iCs/>
          <w:szCs w:val="22"/>
        </w:rPr>
      </w:pPr>
      <w:r>
        <w:rPr>
          <w:rFonts w:cs="Arial"/>
          <w:i/>
          <w:iCs/>
          <w:szCs w:val="22"/>
        </w:rPr>
        <w:t xml:space="preserve">284 </w:t>
      </w:r>
      <w:r w:rsidRPr="00846C4D">
        <w:rPr>
          <w:rFonts w:cs="Arial"/>
          <w:i/>
          <w:iCs/>
          <w:szCs w:val="22"/>
        </w:rPr>
        <w:t>BOEKENHOUTSKLOOF</w:t>
      </w:r>
    </w:p>
    <w:p w14:paraId="53924360" w14:textId="77777777" w:rsidR="0005237A" w:rsidRDefault="0005237A" w:rsidP="0005237A">
      <w:pPr>
        <w:keepNext/>
        <w:spacing w:after="120"/>
        <w:ind w:left="1559"/>
        <w:rPr>
          <w:rFonts w:cs="Arial"/>
          <w:i/>
          <w:iCs/>
          <w:szCs w:val="22"/>
        </w:rPr>
      </w:pPr>
      <w:r w:rsidRPr="00846C4D">
        <w:rPr>
          <w:rFonts w:cs="Arial"/>
          <w:i/>
          <w:iCs/>
          <w:szCs w:val="22"/>
        </w:rPr>
        <w:t>CULLINAN</w:t>
      </w:r>
    </w:p>
    <w:p w14:paraId="2D2F9F8E" w14:textId="77777777" w:rsidR="0005237A" w:rsidRPr="00846C4D" w:rsidRDefault="0005237A" w:rsidP="0005237A">
      <w:pPr>
        <w:spacing w:after="600"/>
        <w:ind w:left="1559"/>
        <w:rPr>
          <w:rFonts w:cs="Arial"/>
          <w:szCs w:val="22"/>
        </w:rPr>
      </w:pPr>
      <w:r w:rsidRPr="00846C4D">
        <w:rPr>
          <w:rFonts w:cs="Arial"/>
          <w:i/>
          <w:iCs/>
          <w:szCs w:val="22"/>
        </w:rPr>
        <w:t>1000</w:t>
      </w:r>
      <w:r w:rsidRPr="00846C4D">
        <w:rPr>
          <w:rFonts w:cs="Arial"/>
          <w:szCs w:val="22"/>
        </w:rPr>
        <w:t>”</w:t>
      </w:r>
    </w:p>
    <w:p w14:paraId="1708D0B9" w14:textId="77777777" w:rsidR="0005237A" w:rsidRPr="00C22F51" w:rsidRDefault="0005237A" w:rsidP="0005237A">
      <w:pPr>
        <w:keepNext/>
        <w:spacing w:after="480" w:line="480" w:lineRule="auto"/>
        <w:ind w:left="709"/>
        <w:rPr>
          <w:rFonts w:cs="Arial"/>
          <w:sz w:val="24"/>
        </w:rPr>
      </w:pPr>
      <w:r w:rsidRPr="00C22F51">
        <w:rPr>
          <w:rFonts w:cs="Arial"/>
          <w:sz w:val="24"/>
        </w:rPr>
        <w:t>a notice to be served “</w:t>
      </w:r>
      <w:r w:rsidRPr="00C22F51">
        <w:rPr>
          <w:rFonts w:cs="Arial"/>
          <w:i/>
          <w:iCs/>
          <w:sz w:val="24"/>
        </w:rPr>
        <w:t>BY HAND/REGISTERED MAIL</w:t>
      </w:r>
      <w:r w:rsidRPr="00C22F51">
        <w:rPr>
          <w:rFonts w:cs="Arial"/>
          <w:sz w:val="24"/>
        </w:rPr>
        <w:t>” on Mr van der Walt:</w:t>
      </w:r>
      <w:bookmarkEnd w:id="5"/>
    </w:p>
    <w:p w14:paraId="483BFD48" w14:textId="77777777" w:rsidR="0005237A" w:rsidRPr="00C22F51" w:rsidRDefault="0005237A" w:rsidP="0005237A">
      <w:pPr>
        <w:numPr>
          <w:ilvl w:val="1"/>
          <w:numId w:val="5"/>
        </w:numPr>
        <w:tabs>
          <w:tab w:val="clear" w:pos="1418"/>
          <w:tab w:val="num" w:pos="1560"/>
        </w:tabs>
        <w:spacing w:after="480" w:line="480" w:lineRule="auto"/>
        <w:ind w:left="1560" w:hanging="851"/>
        <w:rPr>
          <w:rFonts w:cs="Arial"/>
          <w:sz w:val="24"/>
        </w:rPr>
      </w:pPr>
      <w:r w:rsidRPr="00C22F51">
        <w:rPr>
          <w:rFonts w:cs="Arial"/>
          <w:sz w:val="24"/>
        </w:rPr>
        <w:t>advising that a sum of R109,877.67 was overdue on his account;</w:t>
      </w:r>
    </w:p>
    <w:p w14:paraId="40709636" w14:textId="77777777" w:rsidR="0005237A" w:rsidRPr="00C22F51" w:rsidRDefault="0005237A" w:rsidP="0005237A">
      <w:pPr>
        <w:numPr>
          <w:ilvl w:val="1"/>
          <w:numId w:val="5"/>
        </w:numPr>
        <w:tabs>
          <w:tab w:val="clear" w:pos="1418"/>
          <w:tab w:val="num" w:pos="1560"/>
        </w:tabs>
        <w:spacing w:after="480" w:line="480" w:lineRule="auto"/>
        <w:ind w:left="1560" w:hanging="851"/>
        <w:rPr>
          <w:rFonts w:cs="Arial"/>
          <w:sz w:val="24"/>
        </w:rPr>
      </w:pPr>
      <w:r w:rsidRPr="00C22F51">
        <w:rPr>
          <w:rFonts w:cs="Arial"/>
          <w:sz w:val="24"/>
        </w:rPr>
        <w:t>demanding that he make immediate payment thereof;</w:t>
      </w:r>
    </w:p>
    <w:p w14:paraId="3A3F7467" w14:textId="77777777" w:rsidR="0005237A" w:rsidRPr="00C22F51" w:rsidRDefault="0005237A" w:rsidP="0005237A">
      <w:pPr>
        <w:numPr>
          <w:ilvl w:val="1"/>
          <w:numId w:val="5"/>
        </w:numPr>
        <w:tabs>
          <w:tab w:val="clear" w:pos="1418"/>
          <w:tab w:val="num" w:pos="1560"/>
        </w:tabs>
        <w:spacing w:after="480" w:line="480" w:lineRule="auto"/>
        <w:ind w:left="1560" w:hanging="851"/>
        <w:rPr>
          <w:rFonts w:cs="Arial"/>
          <w:sz w:val="24"/>
        </w:rPr>
      </w:pPr>
      <w:r w:rsidRPr="00C22F51">
        <w:rPr>
          <w:rFonts w:cs="Arial"/>
          <w:sz w:val="24"/>
        </w:rPr>
        <w:t>informing him, in terms of section 129(1) read with section 130(1) of the NCA, that, “</w:t>
      </w:r>
      <w:r w:rsidRPr="00C22F51">
        <w:rPr>
          <w:rFonts w:cs="Arial"/>
          <w:i/>
          <w:iCs/>
          <w:sz w:val="24"/>
        </w:rPr>
        <w:t>unless payment of the abovementioned arrear amount together with further interest to date of payment is made within 10 (ten) business days of date hereof, action may be instituted against you for termination and enforcement of the aforesaid agreement with our client and for an order that the vehicle be returned to our client immediately</w:t>
      </w:r>
      <w:r w:rsidRPr="00C22F51">
        <w:rPr>
          <w:rFonts w:cs="Arial"/>
          <w:sz w:val="24"/>
        </w:rPr>
        <w:t>”; and</w:t>
      </w:r>
    </w:p>
    <w:p w14:paraId="2F6164A4" w14:textId="77777777" w:rsidR="0005237A" w:rsidRPr="00C22F51" w:rsidRDefault="0005237A" w:rsidP="0005237A">
      <w:pPr>
        <w:numPr>
          <w:ilvl w:val="1"/>
          <w:numId w:val="5"/>
        </w:numPr>
        <w:tabs>
          <w:tab w:val="clear" w:pos="1418"/>
          <w:tab w:val="num" w:pos="1560"/>
        </w:tabs>
        <w:spacing w:after="480" w:line="480" w:lineRule="auto"/>
        <w:ind w:left="1560" w:hanging="851"/>
        <w:rPr>
          <w:rFonts w:cs="Arial"/>
          <w:sz w:val="24"/>
        </w:rPr>
      </w:pPr>
      <w:r w:rsidRPr="00C22F51">
        <w:rPr>
          <w:rFonts w:cs="Arial"/>
          <w:sz w:val="24"/>
        </w:rPr>
        <w:t>cautioning him that, “</w:t>
      </w:r>
      <w:r w:rsidRPr="00C22F51">
        <w:rPr>
          <w:rFonts w:cs="Arial"/>
          <w:i/>
          <w:iCs/>
          <w:sz w:val="24"/>
        </w:rPr>
        <w:t xml:space="preserve">if you fail to bring your arrears up to date or fail to negotiate an acceptable repayment arrangement or fail to avail yourself of the remedies available to you as set out hereunder, the result of the legal action instituted against you may be that you may lose the vehicle which </w:t>
      </w:r>
      <w:r w:rsidRPr="00C22F51">
        <w:rPr>
          <w:rFonts w:cs="Arial"/>
          <w:i/>
          <w:iCs/>
          <w:sz w:val="24"/>
        </w:rPr>
        <w:lastRenderedPageBreak/>
        <w:t>may be sold at a sale in execution in order to recover the amounts due to our client.</w:t>
      </w:r>
      <w:r w:rsidRPr="00C22F51">
        <w:rPr>
          <w:rFonts w:cs="Arial"/>
          <w:sz w:val="24"/>
        </w:rPr>
        <w:t>”</w:t>
      </w:r>
    </w:p>
    <w:p w14:paraId="465EBD85" w14:textId="77777777" w:rsidR="0005237A" w:rsidRPr="00C22F51" w:rsidRDefault="0005237A" w:rsidP="0005237A">
      <w:pPr>
        <w:keepNext/>
        <w:numPr>
          <w:ilvl w:val="0"/>
          <w:numId w:val="5"/>
        </w:numPr>
        <w:spacing w:after="480" w:line="480" w:lineRule="auto"/>
        <w:rPr>
          <w:rFonts w:cs="Arial"/>
          <w:sz w:val="24"/>
        </w:rPr>
      </w:pPr>
      <w:bookmarkStart w:id="6" w:name="_Ref136621095"/>
      <w:r w:rsidRPr="00C22F51">
        <w:rPr>
          <w:rFonts w:cs="Arial"/>
          <w:sz w:val="24"/>
        </w:rPr>
        <w:t>As regards service of the NCA notice on Mr van der Walt:</w:t>
      </w:r>
      <w:bookmarkEnd w:id="6"/>
    </w:p>
    <w:p w14:paraId="3B997E45" w14:textId="05C56827" w:rsidR="0005237A" w:rsidRPr="00C22F51" w:rsidRDefault="0005237A" w:rsidP="0005237A">
      <w:pPr>
        <w:numPr>
          <w:ilvl w:val="1"/>
          <w:numId w:val="5"/>
        </w:numPr>
        <w:tabs>
          <w:tab w:val="clear" w:pos="1418"/>
          <w:tab w:val="num" w:pos="1560"/>
        </w:tabs>
        <w:spacing w:after="480" w:line="480" w:lineRule="auto"/>
        <w:ind w:left="1560" w:hanging="851"/>
        <w:rPr>
          <w:rFonts w:cs="Arial"/>
          <w:sz w:val="24"/>
        </w:rPr>
      </w:pPr>
      <w:r w:rsidRPr="00C22F51">
        <w:rPr>
          <w:rFonts w:cs="Arial"/>
          <w:sz w:val="24"/>
        </w:rPr>
        <w:t>a slip imprinted on the NCA notice reflects that on 12 November 2021 a registered letter – item PE 846 675 363 ZA – addressed to:</w:t>
      </w:r>
    </w:p>
    <w:p w14:paraId="0A8DE693" w14:textId="77777777" w:rsidR="0005237A" w:rsidRDefault="0005237A" w:rsidP="0005237A">
      <w:pPr>
        <w:keepNext/>
        <w:spacing w:after="120"/>
        <w:ind w:left="1559"/>
        <w:rPr>
          <w:rFonts w:cs="Arial"/>
          <w:i/>
          <w:iCs/>
          <w:szCs w:val="22"/>
        </w:rPr>
      </w:pPr>
      <w:r w:rsidRPr="00846C4D">
        <w:rPr>
          <w:rFonts w:cs="Arial"/>
          <w:szCs w:val="22"/>
        </w:rPr>
        <w:t>“</w:t>
      </w:r>
      <w:r>
        <w:rPr>
          <w:rFonts w:cs="Arial"/>
          <w:i/>
          <w:iCs/>
          <w:szCs w:val="22"/>
        </w:rPr>
        <w:t>Mr Gerhard Christiaan Van</w:t>
      </w:r>
    </w:p>
    <w:p w14:paraId="00D35026" w14:textId="77777777" w:rsidR="0005237A" w:rsidRDefault="0005237A" w:rsidP="0005237A">
      <w:pPr>
        <w:keepNext/>
        <w:spacing w:after="120"/>
        <w:ind w:left="1559"/>
        <w:rPr>
          <w:rFonts w:cs="Arial"/>
          <w:i/>
          <w:iCs/>
          <w:szCs w:val="22"/>
        </w:rPr>
      </w:pPr>
      <w:r>
        <w:rPr>
          <w:rFonts w:cs="Arial"/>
          <w:i/>
          <w:iCs/>
          <w:szCs w:val="22"/>
        </w:rPr>
        <w:t>der Walt</w:t>
      </w:r>
    </w:p>
    <w:p w14:paraId="45B684DE" w14:textId="77777777" w:rsidR="0005237A" w:rsidRDefault="0005237A" w:rsidP="0005237A">
      <w:pPr>
        <w:keepNext/>
        <w:spacing w:after="120"/>
        <w:ind w:left="1559"/>
        <w:rPr>
          <w:rFonts w:cs="Arial"/>
          <w:i/>
          <w:iCs/>
          <w:szCs w:val="22"/>
        </w:rPr>
      </w:pPr>
      <w:r>
        <w:rPr>
          <w:rFonts w:cs="Arial"/>
          <w:i/>
          <w:iCs/>
          <w:szCs w:val="22"/>
        </w:rPr>
        <w:t>284</w:t>
      </w:r>
      <w:r w:rsidRPr="00846C4D">
        <w:rPr>
          <w:rFonts w:cs="Arial"/>
          <w:i/>
          <w:iCs/>
          <w:szCs w:val="22"/>
        </w:rPr>
        <w:t xml:space="preserve"> </w:t>
      </w:r>
      <w:r>
        <w:rPr>
          <w:rFonts w:cs="Arial"/>
          <w:i/>
          <w:iCs/>
          <w:szCs w:val="22"/>
        </w:rPr>
        <w:t>Boekenhoutskloof</w:t>
      </w:r>
    </w:p>
    <w:p w14:paraId="061401EF" w14:textId="77777777" w:rsidR="0005237A" w:rsidRPr="00846C4D" w:rsidRDefault="0005237A" w:rsidP="0005237A">
      <w:pPr>
        <w:spacing w:after="600"/>
        <w:ind w:left="1559"/>
        <w:rPr>
          <w:rFonts w:cs="Arial"/>
          <w:szCs w:val="22"/>
        </w:rPr>
      </w:pPr>
      <w:r>
        <w:rPr>
          <w:rFonts w:cs="Arial"/>
          <w:i/>
          <w:iCs/>
          <w:szCs w:val="22"/>
        </w:rPr>
        <w:t xml:space="preserve">Cullinan </w:t>
      </w:r>
      <w:r w:rsidRPr="00846C4D">
        <w:rPr>
          <w:rFonts w:cs="Arial"/>
          <w:i/>
          <w:iCs/>
          <w:szCs w:val="22"/>
        </w:rPr>
        <w:t>1000</w:t>
      </w:r>
      <w:r w:rsidRPr="00846C4D">
        <w:rPr>
          <w:rFonts w:cs="Arial"/>
          <w:szCs w:val="22"/>
        </w:rPr>
        <w:t>”</w:t>
      </w:r>
    </w:p>
    <w:p w14:paraId="489ADF20" w14:textId="77777777" w:rsidR="0005237A" w:rsidRPr="00C22F51" w:rsidRDefault="0005237A" w:rsidP="0005237A">
      <w:pPr>
        <w:spacing w:after="480" w:line="480" w:lineRule="auto"/>
        <w:ind w:left="1560"/>
        <w:rPr>
          <w:rFonts w:cs="Arial"/>
          <w:sz w:val="24"/>
        </w:rPr>
      </w:pPr>
      <w:r w:rsidRPr="00C22F51">
        <w:rPr>
          <w:rFonts w:cs="Arial"/>
          <w:sz w:val="24"/>
        </w:rPr>
        <w:t>was entrusted to the Saxonwold branch of the Post Office for “</w:t>
      </w:r>
      <w:r w:rsidRPr="00C22F51">
        <w:rPr>
          <w:rFonts w:cs="Arial"/>
          <w:i/>
          <w:iCs/>
          <w:sz w:val="24"/>
        </w:rPr>
        <w:t>[f]ull tracking and tracing</w:t>
      </w:r>
      <w:r w:rsidRPr="00C22F51">
        <w:rPr>
          <w:rFonts w:cs="Arial"/>
          <w:sz w:val="24"/>
        </w:rPr>
        <w:t>”; and</w:t>
      </w:r>
    </w:p>
    <w:p w14:paraId="786EBC64" w14:textId="77777777" w:rsidR="0005237A" w:rsidRPr="00C22F51" w:rsidRDefault="0005237A" w:rsidP="0005237A">
      <w:pPr>
        <w:keepNext/>
        <w:numPr>
          <w:ilvl w:val="1"/>
          <w:numId w:val="5"/>
        </w:numPr>
        <w:tabs>
          <w:tab w:val="clear" w:pos="1418"/>
          <w:tab w:val="num" w:pos="1560"/>
        </w:tabs>
        <w:spacing w:after="480" w:line="480" w:lineRule="auto"/>
        <w:ind w:left="1560" w:hanging="851"/>
        <w:rPr>
          <w:rFonts w:cs="Arial"/>
          <w:sz w:val="24"/>
        </w:rPr>
      </w:pPr>
      <w:r w:rsidRPr="00C22F51">
        <w:rPr>
          <w:rFonts w:cs="Arial"/>
          <w:sz w:val="24"/>
        </w:rPr>
        <w:t>a “</w:t>
      </w:r>
      <w:r w:rsidRPr="00C22F51">
        <w:rPr>
          <w:rFonts w:cs="Arial"/>
          <w:i/>
          <w:iCs/>
          <w:sz w:val="24"/>
        </w:rPr>
        <w:t>PARCEL TRACKING RESULTS</w:t>
      </w:r>
      <w:r w:rsidRPr="00C22F51">
        <w:rPr>
          <w:rFonts w:cs="Arial"/>
          <w:sz w:val="24"/>
        </w:rPr>
        <w:t>” document annexed to the particulars of claim indicates that:</w:t>
      </w:r>
    </w:p>
    <w:p w14:paraId="4B3E4C80" w14:textId="77777777" w:rsidR="0005237A" w:rsidRPr="00C22F51" w:rsidRDefault="0005237A" w:rsidP="0005237A">
      <w:pPr>
        <w:numPr>
          <w:ilvl w:val="2"/>
          <w:numId w:val="5"/>
        </w:numPr>
        <w:spacing w:after="480" w:line="480" w:lineRule="auto"/>
        <w:ind w:hanging="992"/>
        <w:rPr>
          <w:rFonts w:cs="Arial"/>
          <w:sz w:val="24"/>
        </w:rPr>
      </w:pPr>
      <w:r w:rsidRPr="00C22F51">
        <w:rPr>
          <w:rFonts w:cs="Arial"/>
          <w:sz w:val="24"/>
        </w:rPr>
        <w:t>item PE 846 675 363 ZA was accepted by the Saxonwold branch of the Post Office at 13:22 on 12 November 2021;</w:t>
      </w:r>
    </w:p>
    <w:p w14:paraId="3009B43A" w14:textId="77777777" w:rsidR="0005237A" w:rsidRPr="00C22F51" w:rsidRDefault="0005237A" w:rsidP="0005237A">
      <w:pPr>
        <w:numPr>
          <w:ilvl w:val="2"/>
          <w:numId w:val="5"/>
        </w:numPr>
        <w:spacing w:after="480" w:line="480" w:lineRule="auto"/>
        <w:ind w:hanging="992"/>
        <w:rPr>
          <w:rFonts w:cs="Arial"/>
          <w:sz w:val="24"/>
        </w:rPr>
      </w:pPr>
      <w:r w:rsidRPr="00C22F51">
        <w:rPr>
          <w:rFonts w:cs="Arial"/>
          <w:sz w:val="24"/>
        </w:rPr>
        <w:t>the item was “</w:t>
      </w:r>
      <w:r w:rsidRPr="00C22F51">
        <w:rPr>
          <w:rFonts w:cs="Arial"/>
          <w:i/>
          <w:iCs/>
          <w:sz w:val="24"/>
        </w:rPr>
        <w:t>in transit</w:t>
      </w:r>
      <w:r w:rsidRPr="00C22F51">
        <w:rPr>
          <w:rFonts w:cs="Arial"/>
          <w:sz w:val="24"/>
        </w:rPr>
        <w:t>” out of that branch at 09:48 on 13 November 2021;</w:t>
      </w:r>
    </w:p>
    <w:p w14:paraId="7F53D3DB" w14:textId="77777777" w:rsidR="0005237A" w:rsidRPr="00C22F51" w:rsidRDefault="0005237A" w:rsidP="0005237A">
      <w:pPr>
        <w:numPr>
          <w:ilvl w:val="2"/>
          <w:numId w:val="5"/>
        </w:numPr>
        <w:spacing w:after="480" w:line="480" w:lineRule="auto"/>
        <w:ind w:hanging="992"/>
        <w:rPr>
          <w:rFonts w:cs="Arial"/>
          <w:sz w:val="24"/>
        </w:rPr>
      </w:pPr>
      <w:r w:rsidRPr="00C22F51">
        <w:rPr>
          <w:rFonts w:cs="Arial"/>
          <w:sz w:val="24"/>
        </w:rPr>
        <w:lastRenderedPageBreak/>
        <w:t>the item was “</w:t>
      </w:r>
      <w:r w:rsidRPr="00C22F51">
        <w:rPr>
          <w:rFonts w:cs="Arial"/>
          <w:i/>
          <w:iCs/>
          <w:sz w:val="24"/>
        </w:rPr>
        <w:t>at office</w:t>
      </w:r>
      <w:r w:rsidRPr="00C22F51">
        <w:rPr>
          <w:rFonts w:cs="Arial"/>
          <w:sz w:val="24"/>
        </w:rPr>
        <w:t>” at the Cullinan branch of the Post Office at 07:56 on 27 November 2021, when last scanned; and</w:t>
      </w:r>
    </w:p>
    <w:p w14:paraId="4DF38101" w14:textId="77777777" w:rsidR="0005237A" w:rsidRPr="00C22F51" w:rsidRDefault="0005237A" w:rsidP="0005237A">
      <w:pPr>
        <w:numPr>
          <w:ilvl w:val="2"/>
          <w:numId w:val="5"/>
        </w:numPr>
        <w:spacing w:after="480" w:line="480" w:lineRule="auto"/>
        <w:ind w:hanging="992"/>
        <w:rPr>
          <w:rFonts w:cs="Arial"/>
          <w:sz w:val="24"/>
        </w:rPr>
      </w:pPr>
      <w:r w:rsidRPr="00C22F51">
        <w:rPr>
          <w:rFonts w:cs="Arial"/>
          <w:sz w:val="24"/>
        </w:rPr>
        <w:t>a “</w:t>
      </w:r>
      <w:r w:rsidRPr="00C22F51">
        <w:rPr>
          <w:rFonts w:cs="Arial"/>
          <w:i/>
          <w:iCs/>
          <w:sz w:val="24"/>
        </w:rPr>
        <w:t>first notification to recipient</w:t>
      </w:r>
      <w:r w:rsidRPr="00C22F51">
        <w:rPr>
          <w:rFonts w:cs="Arial"/>
          <w:sz w:val="24"/>
        </w:rPr>
        <w:t>” was sent on that day.</w:t>
      </w:r>
    </w:p>
    <w:p w14:paraId="11A8D45D" w14:textId="77777777" w:rsidR="0005237A" w:rsidRPr="00C22F51" w:rsidRDefault="0005237A" w:rsidP="0005237A">
      <w:pPr>
        <w:numPr>
          <w:ilvl w:val="0"/>
          <w:numId w:val="5"/>
        </w:numPr>
        <w:spacing w:after="480" w:line="480" w:lineRule="auto"/>
        <w:rPr>
          <w:rFonts w:cs="Arial"/>
          <w:sz w:val="24"/>
        </w:rPr>
      </w:pPr>
      <w:r w:rsidRPr="00C22F51">
        <w:rPr>
          <w:rFonts w:cs="Arial"/>
          <w:sz w:val="24"/>
        </w:rPr>
        <w:t xml:space="preserve">It is unclear from the record whether and, if so, on what issues the parties communicated in the ensuing weeks and months. </w:t>
      </w:r>
    </w:p>
    <w:p w14:paraId="14E7B4D3" w14:textId="77777777" w:rsidR="0005237A" w:rsidRPr="00C22F51" w:rsidRDefault="0005237A" w:rsidP="0005237A">
      <w:pPr>
        <w:keepNext/>
        <w:numPr>
          <w:ilvl w:val="0"/>
          <w:numId w:val="5"/>
        </w:numPr>
        <w:spacing w:after="480" w:line="480" w:lineRule="auto"/>
        <w:rPr>
          <w:rFonts w:cs="Arial"/>
          <w:sz w:val="24"/>
        </w:rPr>
      </w:pPr>
      <w:r w:rsidRPr="00C22F51">
        <w:rPr>
          <w:rFonts w:cs="Arial"/>
          <w:sz w:val="24"/>
        </w:rPr>
        <w:t>On 01 March 2022, however, ABSA’s attorneys addressed to:</w:t>
      </w:r>
    </w:p>
    <w:p w14:paraId="1810CF9B" w14:textId="77777777" w:rsidR="0005237A" w:rsidRDefault="0005237A" w:rsidP="0005237A">
      <w:pPr>
        <w:keepNext/>
        <w:spacing w:after="120"/>
        <w:ind w:left="1559"/>
        <w:rPr>
          <w:rFonts w:cs="Arial"/>
          <w:i/>
          <w:iCs/>
          <w:szCs w:val="22"/>
        </w:rPr>
      </w:pPr>
      <w:r w:rsidRPr="00846C4D">
        <w:rPr>
          <w:rFonts w:cs="Arial"/>
          <w:szCs w:val="22"/>
        </w:rPr>
        <w:t>“</w:t>
      </w:r>
      <w:r>
        <w:rPr>
          <w:rFonts w:cs="Arial"/>
          <w:i/>
          <w:iCs/>
          <w:szCs w:val="22"/>
        </w:rPr>
        <w:t>MR GERHARD CHRISTIAAN VAN DER WALT</w:t>
      </w:r>
    </w:p>
    <w:p w14:paraId="57F935B0" w14:textId="77777777" w:rsidR="0005237A" w:rsidRDefault="0005237A" w:rsidP="0005237A">
      <w:pPr>
        <w:keepNext/>
        <w:spacing w:after="120"/>
        <w:ind w:left="1559"/>
        <w:rPr>
          <w:rFonts w:cs="Arial"/>
          <w:i/>
          <w:iCs/>
          <w:szCs w:val="22"/>
        </w:rPr>
      </w:pPr>
      <w:r>
        <w:rPr>
          <w:rFonts w:cs="Arial"/>
          <w:i/>
          <w:iCs/>
          <w:szCs w:val="22"/>
        </w:rPr>
        <w:t xml:space="preserve">284 </w:t>
      </w:r>
      <w:r w:rsidRPr="00846C4D">
        <w:rPr>
          <w:rFonts w:cs="Arial"/>
          <w:i/>
          <w:iCs/>
          <w:szCs w:val="22"/>
        </w:rPr>
        <w:t>BOEKENHOUTSKLOOF</w:t>
      </w:r>
    </w:p>
    <w:p w14:paraId="0E8D8C9D" w14:textId="77777777" w:rsidR="0005237A" w:rsidRDefault="0005237A" w:rsidP="0005237A">
      <w:pPr>
        <w:keepNext/>
        <w:spacing w:after="120"/>
        <w:ind w:left="1559"/>
        <w:rPr>
          <w:rFonts w:cs="Arial"/>
          <w:i/>
          <w:iCs/>
          <w:szCs w:val="22"/>
        </w:rPr>
      </w:pPr>
      <w:r w:rsidRPr="00846C4D">
        <w:rPr>
          <w:rFonts w:cs="Arial"/>
          <w:i/>
          <w:iCs/>
          <w:szCs w:val="22"/>
        </w:rPr>
        <w:t>CULLINAN</w:t>
      </w:r>
    </w:p>
    <w:p w14:paraId="6758172F" w14:textId="77777777" w:rsidR="0005237A" w:rsidRPr="00846C4D" w:rsidRDefault="0005237A" w:rsidP="0005237A">
      <w:pPr>
        <w:spacing w:after="600"/>
        <w:ind w:left="1559"/>
        <w:rPr>
          <w:rFonts w:cs="Arial"/>
          <w:szCs w:val="22"/>
        </w:rPr>
      </w:pPr>
      <w:r w:rsidRPr="00846C4D">
        <w:rPr>
          <w:rFonts w:cs="Arial"/>
          <w:i/>
          <w:iCs/>
          <w:szCs w:val="22"/>
        </w:rPr>
        <w:t>1000</w:t>
      </w:r>
      <w:r w:rsidRPr="00846C4D">
        <w:rPr>
          <w:rFonts w:cs="Arial"/>
          <w:szCs w:val="22"/>
        </w:rPr>
        <w:t>”</w:t>
      </w:r>
    </w:p>
    <w:p w14:paraId="397E5019" w14:textId="77777777" w:rsidR="0005237A" w:rsidRPr="00C22F51" w:rsidRDefault="0005237A" w:rsidP="00C22F51">
      <w:pPr>
        <w:keepNext/>
        <w:spacing w:after="480" w:line="480" w:lineRule="auto"/>
        <w:ind w:left="709"/>
        <w:rPr>
          <w:rFonts w:cs="Arial"/>
          <w:sz w:val="24"/>
        </w:rPr>
      </w:pPr>
      <w:r w:rsidRPr="00C22F51">
        <w:rPr>
          <w:rFonts w:cs="Arial"/>
          <w:sz w:val="24"/>
        </w:rPr>
        <w:t>a letter to be sent “</w:t>
      </w:r>
      <w:r w:rsidRPr="00C22F51">
        <w:rPr>
          <w:rFonts w:cs="Arial"/>
          <w:i/>
          <w:iCs/>
          <w:sz w:val="24"/>
        </w:rPr>
        <w:t>BY ORDINARY MAIL</w:t>
      </w:r>
      <w:r w:rsidRPr="00C22F51">
        <w:rPr>
          <w:rFonts w:cs="Arial"/>
          <w:sz w:val="24"/>
        </w:rPr>
        <w:t>” to Mr van der Walt:</w:t>
      </w:r>
    </w:p>
    <w:p w14:paraId="3DD3A9BF" w14:textId="77777777" w:rsidR="0005237A" w:rsidRPr="00C22F51" w:rsidRDefault="0005237A" w:rsidP="00C22F51">
      <w:pPr>
        <w:numPr>
          <w:ilvl w:val="1"/>
          <w:numId w:val="5"/>
        </w:numPr>
        <w:tabs>
          <w:tab w:val="clear" w:pos="1418"/>
          <w:tab w:val="num" w:pos="1560"/>
        </w:tabs>
        <w:spacing w:after="480" w:line="480" w:lineRule="auto"/>
        <w:ind w:left="1560" w:hanging="851"/>
        <w:rPr>
          <w:rFonts w:cs="Arial"/>
          <w:sz w:val="24"/>
        </w:rPr>
      </w:pPr>
      <w:r w:rsidRPr="00C22F51">
        <w:rPr>
          <w:rFonts w:cs="Arial"/>
          <w:sz w:val="24"/>
        </w:rPr>
        <w:t>alleging that he was in arrears with payment of instalments under the agreement and advising that “</w:t>
      </w:r>
      <w:r w:rsidRPr="00C22F51">
        <w:rPr>
          <w:rFonts w:cs="Arial"/>
          <w:i/>
          <w:iCs/>
          <w:sz w:val="24"/>
        </w:rPr>
        <w:t>[o]ur client has cancelled the credit agreement, alternatively, our client hereby cancels the credit agreement</w:t>
      </w:r>
      <w:r w:rsidRPr="00C22F51">
        <w:rPr>
          <w:rFonts w:cs="Arial"/>
          <w:sz w:val="24"/>
        </w:rPr>
        <w:t>”; and</w:t>
      </w:r>
    </w:p>
    <w:p w14:paraId="7C23D5FB" w14:textId="77777777" w:rsidR="0005237A" w:rsidRPr="00C22F51" w:rsidRDefault="0005237A" w:rsidP="00C22F51">
      <w:pPr>
        <w:numPr>
          <w:ilvl w:val="1"/>
          <w:numId w:val="5"/>
        </w:numPr>
        <w:tabs>
          <w:tab w:val="clear" w:pos="1418"/>
          <w:tab w:val="num" w:pos="1560"/>
        </w:tabs>
        <w:spacing w:after="480" w:line="480" w:lineRule="auto"/>
        <w:ind w:left="1560" w:hanging="851"/>
        <w:rPr>
          <w:rFonts w:cs="Arial"/>
          <w:sz w:val="24"/>
        </w:rPr>
      </w:pPr>
      <w:r w:rsidRPr="00C22F51">
        <w:rPr>
          <w:rFonts w:cs="Arial"/>
          <w:sz w:val="24"/>
        </w:rPr>
        <w:t>demanding that he “</w:t>
      </w:r>
      <w:r w:rsidRPr="00C22F51">
        <w:rPr>
          <w:rFonts w:cs="Arial"/>
          <w:i/>
          <w:iCs/>
          <w:sz w:val="24"/>
        </w:rPr>
        <w:t>urgently arrange with our offices for the removal of the goods to avoid the costs involved in High Court proceedings and further costs if we have to instruct the Sheriff to attach and remove the goods.</w:t>
      </w:r>
      <w:r w:rsidRPr="00C22F51">
        <w:rPr>
          <w:rFonts w:cs="Arial"/>
          <w:sz w:val="24"/>
        </w:rPr>
        <w:t>”</w:t>
      </w:r>
    </w:p>
    <w:p w14:paraId="05D4F6F9" w14:textId="77777777" w:rsidR="0005237A" w:rsidRPr="00C22F51" w:rsidRDefault="0005237A" w:rsidP="00C22F51">
      <w:pPr>
        <w:pStyle w:val="WLGLevel1"/>
        <w:keepNext/>
        <w:numPr>
          <w:ilvl w:val="0"/>
          <w:numId w:val="0"/>
        </w:numPr>
        <w:suppressAutoHyphens w:val="0"/>
        <w:spacing w:before="0" w:after="480"/>
        <w:rPr>
          <w:rFonts w:cs="Arial"/>
          <w:b/>
          <w:bCs/>
          <w:szCs w:val="24"/>
          <w:lang w:val="en-GB"/>
        </w:rPr>
      </w:pPr>
      <w:r w:rsidRPr="00C22F51">
        <w:rPr>
          <w:rFonts w:cs="Arial"/>
          <w:b/>
          <w:bCs/>
          <w:szCs w:val="24"/>
          <w:lang w:val="en-GB"/>
        </w:rPr>
        <w:lastRenderedPageBreak/>
        <w:t>The summons</w:t>
      </w:r>
    </w:p>
    <w:p w14:paraId="56135A70" w14:textId="77777777" w:rsidR="0005237A" w:rsidRPr="00C22F51" w:rsidRDefault="0005237A" w:rsidP="00C22F51">
      <w:pPr>
        <w:numPr>
          <w:ilvl w:val="0"/>
          <w:numId w:val="5"/>
        </w:numPr>
        <w:spacing w:after="480" w:line="480" w:lineRule="auto"/>
        <w:rPr>
          <w:rFonts w:cs="Arial"/>
          <w:sz w:val="24"/>
        </w:rPr>
      </w:pPr>
      <w:r w:rsidRPr="00C22F51">
        <w:rPr>
          <w:rFonts w:cs="Arial"/>
          <w:sz w:val="24"/>
        </w:rPr>
        <w:t>ABSA issued summons against Mr van der Walt on 03 March 2022. In its particulars of claim, ABSA pleaded:</w:t>
      </w:r>
    </w:p>
    <w:p w14:paraId="3F816C6E" w14:textId="77777777" w:rsidR="0005237A" w:rsidRPr="00C22F51" w:rsidRDefault="0005237A" w:rsidP="00C22F51">
      <w:pPr>
        <w:numPr>
          <w:ilvl w:val="1"/>
          <w:numId w:val="5"/>
        </w:numPr>
        <w:tabs>
          <w:tab w:val="clear" w:pos="1418"/>
          <w:tab w:val="num" w:pos="1560"/>
        </w:tabs>
        <w:spacing w:after="480" w:line="480" w:lineRule="auto"/>
        <w:ind w:left="1560" w:hanging="851"/>
        <w:rPr>
          <w:rFonts w:cs="Arial"/>
          <w:sz w:val="24"/>
        </w:rPr>
      </w:pPr>
      <w:bookmarkStart w:id="7" w:name="_Ref137160503"/>
      <w:r w:rsidRPr="00C22F51">
        <w:rPr>
          <w:rFonts w:cs="Arial"/>
          <w:sz w:val="24"/>
        </w:rPr>
        <w:t xml:space="preserve">conclusion on 26 July 2019 and material terms of the agreement (annexure B), including that Mr van der Walt chose </w:t>
      </w:r>
      <w:r w:rsidRPr="00C22F51">
        <w:rPr>
          <w:rFonts w:cs="Arial"/>
          <w:sz w:val="24"/>
          <w:u w:val="single"/>
        </w:rPr>
        <w:t>his residential address</w:t>
      </w:r>
      <w:r w:rsidRPr="00C22F51">
        <w:rPr>
          <w:rFonts w:cs="Arial"/>
          <w:sz w:val="24"/>
        </w:rPr>
        <w:t xml:space="preserve"> as his </w:t>
      </w:r>
      <w:r w:rsidRPr="00C22F51">
        <w:rPr>
          <w:rFonts w:cs="Arial"/>
          <w:i/>
          <w:iCs/>
          <w:sz w:val="24"/>
        </w:rPr>
        <w:t>domicilium citandi et executandi</w:t>
      </w:r>
      <w:r w:rsidRPr="00C22F51">
        <w:rPr>
          <w:rFonts w:cs="Arial"/>
          <w:sz w:val="24"/>
        </w:rPr>
        <w:t>;</w:t>
      </w:r>
      <w:bookmarkEnd w:id="7"/>
    </w:p>
    <w:p w14:paraId="63298775" w14:textId="77777777" w:rsidR="0005237A" w:rsidRPr="00C22F51" w:rsidRDefault="0005237A" w:rsidP="00C22F51">
      <w:pPr>
        <w:numPr>
          <w:ilvl w:val="1"/>
          <w:numId w:val="5"/>
        </w:numPr>
        <w:tabs>
          <w:tab w:val="clear" w:pos="1418"/>
          <w:tab w:val="num" w:pos="1560"/>
        </w:tabs>
        <w:spacing w:after="480" w:line="480" w:lineRule="auto"/>
        <w:ind w:left="1560" w:hanging="851"/>
        <w:rPr>
          <w:rFonts w:cs="Arial"/>
          <w:sz w:val="24"/>
        </w:rPr>
      </w:pPr>
      <w:r w:rsidRPr="00C22F51">
        <w:rPr>
          <w:rFonts w:cs="Arial"/>
          <w:sz w:val="24"/>
        </w:rPr>
        <w:t>compliance by ABSA with its obligations under the agreement;</w:t>
      </w:r>
    </w:p>
    <w:p w14:paraId="4B3E88FE" w14:textId="77777777" w:rsidR="0005237A" w:rsidRPr="00C22F51" w:rsidRDefault="0005237A" w:rsidP="00C22F51">
      <w:pPr>
        <w:numPr>
          <w:ilvl w:val="1"/>
          <w:numId w:val="5"/>
        </w:numPr>
        <w:tabs>
          <w:tab w:val="clear" w:pos="1418"/>
          <w:tab w:val="num" w:pos="1560"/>
        </w:tabs>
        <w:spacing w:after="480" w:line="480" w:lineRule="auto"/>
        <w:ind w:left="1560" w:hanging="851"/>
        <w:rPr>
          <w:rFonts w:cs="Arial"/>
          <w:sz w:val="24"/>
        </w:rPr>
      </w:pPr>
      <w:r w:rsidRPr="00C22F51">
        <w:rPr>
          <w:rFonts w:cs="Arial"/>
          <w:sz w:val="24"/>
        </w:rPr>
        <w:t>breach by Mr van der Walt of his obligations under the agreement;</w:t>
      </w:r>
    </w:p>
    <w:p w14:paraId="391A4AEC" w14:textId="77777777" w:rsidR="0005237A" w:rsidRPr="00C22F51" w:rsidRDefault="0005237A" w:rsidP="00C22F51">
      <w:pPr>
        <w:numPr>
          <w:ilvl w:val="1"/>
          <w:numId w:val="5"/>
        </w:numPr>
        <w:tabs>
          <w:tab w:val="clear" w:pos="1418"/>
          <w:tab w:val="num" w:pos="1560"/>
        </w:tabs>
        <w:spacing w:after="480" w:line="480" w:lineRule="auto"/>
        <w:ind w:left="1560" w:hanging="851"/>
        <w:rPr>
          <w:rFonts w:cs="Arial"/>
          <w:sz w:val="24"/>
        </w:rPr>
      </w:pPr>
      <w:r w:rsidRPr="00C22F51">
        <w:rPr>
          <w:rFonts w:cs="Arial"/>
          <w:sz w:val="24"/>
        </w:rPr>
        <w:t>dispatch to Mr van der Walt of the NCA notice, including that “</w:t>
      </w:r>
      <w:r w:rsidRPr="00C22F51">
        <w:rPr>
          <w:rFonts w:cs="Arial"/>
          <w:i/>
          <w:iCs/>
          <w:sz w:val="24"/>
        </w:rPr>
        <w:t xml:space="preserve">[t]he notice was sent by registered post and copies of the notices, together with the track and trace as proof that </w:t>
      </w:r>
      <w:r w:rsidRPr="00C22F51">
        <w:rPr>
          <w:rFonts w:cs="Arial"/>
          <w:i/>
          <w:iCs/>
          <w:sz w:val="24"/>
          <w:u w:val="single"/>
        </w:rPr>
        <w:t>the notices reached the local post office</w:t>
      </w:r>
      <w:r w:rsidRPr="00C22F51">
        <w:rPr>
          <w:rFonts w:cs="Arial"/>
          <w:i/>
          <w:iCs/>
          <w:sz w:val="24"/>
        </w:rPr>
        <w:t xml:space="preserve"> are attached hereto as Annexure ‘</w:t>
      </w:r>
      <w:r w:rsidRPr="00C22F51">
        <w:rPr>
          <w:rFonts w:cs="Arial"/>
          <w:b/>
          <w:bCs/>
          <w:i/>
          <w:iCs/>
          <w:sz w:val="24"/>
        </w:rPr>
        <w:t>C1-C2</w:t>
      </w:r>
      <w:r w:rsidRPr="00C22F51">
        <w:rPr>
          <w:rFonts w:cs="Arial"/>
          <w:i/>
          <w:iCs/>
          <w:sz w:val="24"/>
        </w:rPr>
        <w:t>’</w:t>
      </w:r>
      <w:r w:rsidRPr="00C22F51">
        <w:rPr>
          <w:rFonts w:cs="Arial"/>
          <w:sz w:val="24"/>
        </w:rPr>
        <w:t>” (emphasis added);</w:t>
      </w:r>
    </w:p>
    <w:p w14:paraId="40B9009F" w14:textId="77777777" w:rsidR="0005237A" w:rsidRPr="00C22F51" w:rsidRDefault="0005237A" w:rsidP="00C22F51">
      <w:pPr>
        <w:numPr>
          <w:ilvl w:val="1"/>
          <w:numId w:val="5"/>
        </w:numPr>
        <w:tabs>
          <w:tab w:val="clear" w:pos="1418"/>
          <w:tab w:val="num" w:pos="1560"/>
        </w:tabs>
        <w:spacing w:after="480" w:line="480" w:lineRule="auto"/>
        <w:ind w:left="1560" w:hanging="851"/>
        <w:rPr>
          <w:rFonts w:cs="Arial"/>
          <w:sz w:val="24"/>
        </w:rPr>
      </w:pPr>
      <w:r w:rsidRPr="00C22F51">
        <w:rPr>
          <w:rFonts w:cs="Arial"/>
          <w:sz w:val="24"/>
        </w:rPr>
        <w:t>cancellation by ABSA of the agreement; and</w:t>
      </w:r>
    </w:p>
    <w:p w14:paraId="1459B925" w14:textId="77777777" w:rsidR="0005237A" w:rsidRPr="00C22F51" w:rsidRDefault="0005237A" w:rsidP="00C22F51">
      <w:pPr>
        <w:numPr>
          <w:ilvl w:val="1"/>
          <w:numId w:val="5"/>
        </w:numPr>
        <w:tabs>
          <w:tab w:val="clear" w:pos="1418"/>
          <w:tab w:val="num" w:pos="1560"/>
        </w:tabs>
        <w:spacing w:after="480" w:line="480" w:lineRule="auto"/>
        <w:ind w:left="1560" w:hanging="851"/>
        <w:rPr>
          <w:rFonts w:cs="Arial"/>
          <w:sz w:val="24"/>
        </w:rPr>
      </w:pPr>
      <w:r w:rsidRPr="00C22F51">
        <w:rPr>
          <w:rFonts w:cs="Arial"/>
          <w:sz w:val="24"/>
        </w:rPr>
        <w:t>entitlement to: (a) confirmation of cancellation of the agreement; (b) return of the vehicle; (c) leave to approach the court for judgment in respect of damages; and (d) costs of suit.</w:t>
      </w:r>
    </w:p>
    <w:p w14:paraId="51206AB3" w14:textId="77777777" w:rsidR="0005237A" w:rsidRPr="00C22F51" w:rsidRDefault="0005237A" w:rsidP="00C22F51">
      <w:pPr>
        <w:numPr>
          <w:ilvl w:val="0"/>
          <w:numId w:val="5"/>
        </w:numPr>
        <w:spacing w:after="480" w:line="480" w:lineRule="auto"/>
        <w:rPr>
          <w:rFonts w:cs="Arial"/>
          <w:sz w:val="24"/>
        </w:rPr>
      </w:pPr>
      <w:bookmarkStart w:id="8" w:name="_Ref137199071"/>
      <w:r w:rsidRPr="00C22F51">
        <w:rPr>
          <w:rFonts w:cs="Arial"/>
          <w:sz w:val="24"/>
        </w:rPr>
        <w:lastRenderedPageBreak/>
        <w:t>It appears from the record that the summons could not be served on Mr van der Walt on 25 March 2022 “</w:t>
      </w:r>
      <w:r w:rsidRPr="00C22F51">
        <w:rPr>
          <w:rFonts w:cs="Arial"/>
          <w:i/>
          <w:iCs/>
          <w:sz w:val="24"/>
        </w:rPr>
        <w:t>as the address for service is vague the address could not be found.</w:t>
      </w:r>
      <w:r w:rsidRPr="00C22F51">
        <w:rPr>
          <w:rFonts w:cs="Arial"/>
          <w:sz w:val="24"/>
        </w:rPr>
        <w:t>” The return of non-service records the following:</w:t>
      </w:r>
      <w:bookmarkEnd w:id="8"/>
      <w:r w:rsidRPr="00C22F51">
        <w:rPr>
          <w:rFonts w:cs="Arial"/>
          <w:sz w:val="24"/>
        </w:rPr>
        <w:t xml:space="preserve"> </w:t>
      </w:r>
    </w:p>
    <w:p w14:paraId="63AA3FF3" w14:textId="77777777" w:rsidR="0005237A" w:rsidRDefault="0005237A" w:rsidP="0005237A">
      <w:pPr>
        <w:spacing w:after="360"/>
        <w:ind w:left="1559"/>
        <w:rPr>
          <w:rFonts w:cs="Arial"/>
          <w:i/>
          <w:iCs/>
          <w:szCs w:val="22"/>
        </w:rPr>
      </w:pPr>
      <w:r w:rsidRPr="002713E3">
        <w:rPr>
          <w:rFonts w:cs="Arial"/>
          <w:szCs w:val="22"/>
        </w:rPr>
        <w:t>“</w:t>
      </w:r>
      <w:r w:rsidRPr="002713E3">
        <w:rPr>
          <w:rFonts w:cs="Arial"/>
          <w:i/>
          <w:iCs/>
          <w:szCs w:val="22"/>
        </w:rPr>
        <w:t xml:space="preserve">PLEASE PROVIDE A FARM/PLOT NUMBER AS </w:t>
      </w:r>
      <w:r>
        <w:rPr>
          <w:rFonts w:cs="Arial"/>
          <w:i/>
          <w:iCs/>
          <w:szCs w:val="22"/>
        </w:rPr>
        <w:t>284</w:t>
      </w:r>
      <w:r w:rsidRPr="002713E3">
        <w:rPr>
          <w:rFonts w:cs="Arial"/>
          <w:i/>
          <w:iCs/>
          <w:szCs w:val="22"/>
        </w:rPr>
        <w:t xml:space="preserve"> IS THE JR NUMBER AND NOT THE FARM NUMBER. </w:t>
      </w:r>
    </w:p>
    <w:p w14:paraId="15642ED6" w14:textId="77777777" w:rsidR="0005237A" w:rsidRPr="002713E3" w:rsidRDefault="0005237A" w:rsidP="0005237A">
      <w:pPr>
        <w:spacing w:after="600"/>
        <w:ind w:left="1559"/>
        <w:rPr>
          <w:rFonts w:cs="Arial"/>
          <w:szCs w:val="22"/>
        </w:rPr>
      </w:pPr>
      <w:r w:rsidRPr="002713E3">
        <w:rPr>
          <w:rFonts w:cs="Arial"/>
          <w:i/>
          <w:iCs/>
          <w:szCs w:val="22"/>
        </w:rPr>
        <w:t>PROVIDE ME WITH CONTACT DETAILS TO GET DIRECTIONS</w:t>
      </w:r>
      <w:r w:rsidRPr="002713E3">
        <w:rPr>
          <w:rFonts w:cs="Arial"/>
          <w:szCs w:val="22"/>
        </w:rPr>
        <w:t>”.</w:t>
      </w:r>
    </w:p>
    <w:p w14:paraId="3F658E40" w14:textId="77777777" w:rsidR="0005237A" w:rsidRPr="00593411" w:rsidRDefault="0005237A" w:rsidP="00593411">
      <w:pPr>
        <w:pStyle w:val="WLGLevel1"/>
        <w:keepNext/>
        <w:numPr>
          <w:ilvl w:val="0"/>
          <w:numId w:val="0"/>
        </w:numPr>
        <w:suppressAutoHyphens w:val="0"/>
        <w:spacing w:before="0" w:after="480"/>
        <w:rPr>
          <w:rFonts w:cs="Arial"/>
          <w:b/>
          <w:bCs/>
          <w:szCs w:val="24"/>
          <w:lang w:val="en-GB"/>
        </w:rPr>
      </w:pPr>
      <w:r w:rsidRPr="00593411">
        <w:rPr>
          <w:rFonts w:cs="Arial"/>
          <w:b/>
          <w:bCs/>
          <w:szCs w:val="24"/>
          <w:lang w:val="en-GB"/>
        </w:rPr>
        <w:t>The re-issued summons</w:t>
      </w:r>
    </w:p>
    <w:p w14:paraId="360F042B" w14:textId="77777777" w:rsidR="0005237A" w:rsidRPr="00593411" w:rsidRDefault="0005237A" w:rsidP="00593411">
      <w:pPr>
        <w:numPr>
          <w:ilvl w:val="0"/>
          <w:numId w:val="5"/>
        </w:numPr>
        <w:spacing w:after="480" w:line="480" w:lineRule="auto"/>
        <w:rPr>
          <w:rFonts w:cs="Arial"/>
          <w:sz w:val="24"/>
        </w:rPr>
      </w:pPr>
      <w:r w:rsidRPr="00593411">
        <w:rPr>
          <w:rFonts w:cs="Arial"/>
          <w:sz w:val="24"/>
        </w:rPr>
        <w:t xml:space="preserve">It appears that ABSA re-issued summons against Mr van der Walt on 01 June 2022. In its </w:t>
      </w:r>
      <w:r w:rsidRPr="00593411">
        <w:rPr>
          <w:rFonts w:cs="Arial"/>
          <w:i/>
          <w:iCs/>
          <w:sz w:val="24"/>
        </w:rPr>
        <w:t>revised</w:t>
      </w:r>
      <w:r w:rsidRPr="00593411">
        <w:rPr>
          <w:rFonts w:cs="Arial"/>
          <w:sz w:val="24"/>
        </w:rPr>
        <w:t xml:space="preserve"> particulars of claim, ABSA pleads:</w:t>
      </w:r>
    </w:p>
    <w:p w14:paraId="791FB411" w14:textId="77777777" w:rsidR="0005237A" w:rsidRPr="00593411" w:rsidRDefault="0005237A" w:rsidP="00593411">
      <w:pPr>
        <w:numPr>
          <w:ilvl w:val="1"/>
          <w:numId w:val="5"/>
        </w:numPr>
        <w:tabs>
          <w:tab w:val="clear" w:pos="1418"/>
          <w:tab w:val="num" w:pos="1560"/>
        </w:tabs>
        <w:spacing w:after="480" w:line="480" w:lineRule="auto"/>
        <w:ind w:left="1560" w:hanging="851"/>
        <w:rPr>
          <w:rFonts w:cs="Arial"/>
          <w:sz w:val="24"/>
        </w:rPr>
      </w:pPr>
      <w:bookmarkStart w:id="9" w:name="_Ref137160515"/>
      <w:r w:rsidRPr="00593411">
        <w:rPr>
          <w:rFonts w:cs="Arial"/>
          <w:sz w:val="24"/>
        </w:rPr>
        <w:t xml:space="preserve">conclusion on 26 July 2019 and material terms of the agreement (annexure B), including that Mr van der Walt chose </w:t>
      </w:r>
      <w:r w:rsidRPr="00593411">
        <w:rPr>
          <w:rFonts w:cs="Arial"/>
          <w:sz w:val="24"/>
          <w:u w:val="single"/>
        </w:rPr>
        <w:t>his attorneys’ address</w:t>
      </w:r>
      <w:r w:rsidRPr="00593411">
        <w:rPr>
          <w:rFonts w:cs="Arial"/>
          <w:sz w:val="24"/>
        </w:rPr>
        <w:t xml:space="preserve"> as his </w:t>
      </w:r>
      <w:r w:rsidRPr="00593411">
        <w:rPr>
          <w:rFonts w:cs="Arial"/>
          <w:i/>
          <w:iCs/>
          <w:sz w:val="24"/>
        </w:rPr>
        <w:t>domicilium citandi et executandi</w:t>
      </w:r>
      <w:r w:rsidRPr="00593411">
        <w:rPr>
          <w:rFonts w:cs="Arial"/>
          <w:sz w:val="24"/>
        </w:rPr>
        <w:t>;</w:t>
      </w:r>
      <w:bookmarkEnd w:id="9"/>
    </w:p>
    <w:p w14:paraId="504BF732" w14:textId="77777777" w:rsidR="0005237A" w:rsidRPr="00593411" w:rsidRDefault="0005237A" w:rsidP="00593411">
      <w:pPr>
        <w:numPr>
          <w:ilvl w:val="1"/>
          <w:numId w:val="5"/>
        </w:numPr>
        <w:tabs>
          <w:tab w:val="clear" w:pos="1418"/>
          <w:tab w:val="num" w:pos="1560"/>
        </w:tabs>
        <w:spacing w:after="480" w:line="480" w:lineRule="auto"/>
        <w:ind w:left="1560" w:hanging="851"/>
        <w:rPr>
          <w:rFonts w:cs="Arial"/>
          <w:sz w:val="24"/>
        </w:rPr>
      </w:pPr>
      <w:r w:rsidRPr="00593411">
        <w:rPr>
          <w:rFonts w:cs="Arial"/>
          <w:sz w:val="24"/>
        </w:rPr>
        <w:t>compliance by ABSA with its obligations under the agreement;</w:t>
      </w:r>
    </w:p>
    <w:p w14:paraId="0D571F4B" w14:textId="77777777" w:rsidR="0005237A" w:rsidRPr="00593411" w:rsidRDefault="0005237A" w:rsidP="00593411">
      <w:pPr>
        <w:numPr>
          <w:ilvl w:val="1"/>
          <w:numId w:val="5"/>
        </w:numPr>
        <w:tabs>
          <w:tab w:val="clear" w:pos="1418"/>
          <w:tab w:val="num" w:pos="1560"/>
        </w:tabs>
        <w:spacing w:after="480" w:line="480" w:lineRule="auto"/>
        <w:ind w:left="1560" w:hanging="851"/>
        <w:rPr>
          <w:rFonts w:cs="Arial"/>
          <w:sz w:val="24"/>
        </w:rPr>
      </w:pPr>
      <w:r w:rsidRPr="00593411">
        <w:rPr>
          <w:rFonts w:cs="Arial"/>
          <w:sz w:val="24"/>
        </w:rPr>
        <w:t>breach by Mr van der Walt of his obligations under the agreement;</w:t>
      </w:r>
    </w:p>
    <w:p w14:paraId="625849D3" w14:textId="77777777" w:rsidR="0005237A" w:rsidRPr="00593411" w:rsidRDefault="0005237A" w:rsidP="00593411">
      <w:pPr>
        <w:numPr>
          <w:ilvl w:val="1"/>
          <w:numId w:val="5"/>
        </w:numPr>
        <w:tabs>
          <w:tab w:val="clear" w:pos="1418"/>
          <w:tab w:val="num" w:pos="1560"/>
        </w:tabs>
        <w:spacing w:after="480" w:line="480" w:lineRule="auto"/>
        <w:ind w:left="1560" w:hanging="851"/>
        <w:rPr>
          <w:rFonts w:cs="Arial"/>
          <w:sz w:val="24"/>
        </w:rPr>
      </w:pPr>
      <w:r w:rsidRPr="00593411">
        <w:rPr>
          <w:rFonts w:cs="Arial"/>
          <w:sz w:val="24"/>
        </w:rPr>
        <w:t>dispatch to Mr van der Walt of the NCA notice, including that “</w:t>
      </w:r>
      <w:r w:rsidRPr="00593411">
        <w:rPr>
          <w:rFonts w:cs="Arial"/>
          <w:i/>
          <w:iCs/>
          <w:sz w:val="24"/>
        </w:rPr>
        <w:t xml:space="preserve">[t]he notice was sent by registered post and copies of the notices, together with the </w:t>
      </w:r>
      <w:r w:rsidRPr="00593411">
        <w:rPr>
          <w:rFonts w:cs="Arial"/>
          <w:i/>
          <w:iCs/>
          <w:sz w:val="24"/>
        </w:rPr>
        <w:lastRenderedPageBreak/>
        <w:t xml:space="preserve">track and trace as proof that </w:t>
      </w:r>
      <w:r w:rsidRPr="00593411">
        <w:rPr>
          <w:rFonts w:cs="Arial"/>
          <w:i/>
          <w:iCs/>
          <w:sz w:val="24"/>
          <w:u w:val="single"/>
        </w:rPr>
        <w:t>the notices reached the local post office</w:t>
      </w:r>
      <w:r w:rsidRPr="00593411">
        <w:rPr>
          <w:rFonts w:cs="Arial"/>
          <w:i/>
          <w:iCs/>
          <w:sz w:val="24"/>
        </w:rPr>
        <w:t xml:space="preserve"> are attached hereto as Annexure ‘</w:t>
      </w:r>
      <w:r w:rsidRPr="00593411">
        <w:rPr>
          <w:rFonts w:cs="Arial"/>
          <w:b/>
          <w:bCs/>
          <w:i/>
          <w:iCs/>
          <w:sz w:val="24"/>
        </w:rPr>
        <w:t>C1-C2</w:t>
      </w:r>
      <w:r w:rsidRPr="00593411">
        <w:rPr>
          <w:rFonts w:cs="Arial"/>
          <w:i/>
          <w:iCs/>
          <w:sz w:val="24"/>
        </w:rPr>
        <w:t>’</w:t>
      </w:r>
      <w:r w:rsidRPr="00593411">
        <w:rPr>
          <w:rFonts w:cs="Arial"/>
          <w:sz w:val="24"/>
        </w:rPr>
        <w:t>” (emphasis added);</w:t>
      </w:r>
    </w:p>
    <w:p w14:paraId="70150BBA" w14:textId="77777777" w:rsidR="0005237A" w:rsidRPr="00593411" w:rsidRDefault="0005237A" w:rsidP="00593411">
      <w:pPr>
        <w:numPr>
          <w:ilvl w:val="1"/>
          <w:numId w:val="5"/>
        </w:numPr>
        <w:tabs>
          <w:tab w:val="clear" w:pos="1418"/>
          <w:tab w:val="num" w:pos="1560"/>
        </w:tabs>
        <w:spacing w:after="480" w:line="480" w:lineRule="auto"/>
        <w:ind w:left="1560" w:hanging="851"/>
        <w:rPr>
          <w:rFonts w:cs="Arial"/>
          <w:sz w:val="24"/>
        </w:rPr>
      </w:pPr>
      <w:r w:rsidRPr="00593411">
        <w:rPr>
          <w:rFonts w:cs="Arial"/>
          <w:sz w:val="24"/>
        </w:rPr>
        <w:t>cancellation by ABSA of the agreement; and</w:t>
      </w:r>
    </w:p>
    <w:p w14:paraId="726FC3DF" w14:textId="77777777" w:rsidR="0005237A" w:rsidRPr="00593411" w:rsidRDefault="0005237A" w:rsidP="00593411">
      <w:pPr>
        <w:numPr>
          <w:ilvl w:val="1"/>
          <w:numId w:val="5"/>
        </w:numPr>
        <w:tabs>
          <w:tab w:val="clear" w:pos="1418"/>
          <w:tab w:val="num" w:pos="1560"/>
        </w:tabs>
        <w:spacing w:after="480" w:line="480" w:lineRule="auto"/>
        <w:ind w:left="1560" w:hanging="851"/>
        <w:rPr>
          <w:rFonts w:cs="Arial"/>
          <w:sz w:val="24"/>
        </w:rPr>
      </w:pPr>
      <w:r w:rsidRPr="00593411">
        <w:rPr>
          <w:rFonts w:cs="Arial"/>
          <w:sz w:val="24"/>
        </w:rPr>
        <w:t>entitlement to: (a) confirmation of cancellation of the agreement; (b) return of the vehicle; (c) leave to approach the court for judgment in respect of damages; and (d) costs of suit.</w:t>
      </w:r>
    </w:p>
    <w:p w14:paraId="44BA3208" w14:textId="77777777" w:rsidR="0005237A" w:rsidRPr="00593411" w:rsidRDefault="0005237A" w:rsidP="00593411">
      <w:pPr>
        <w:numPr>
          <w:ilvl w:val="0"/>
          <w:numId w:val="5"/>
        </w:numPr>
        <w:spacing w:after="480" w:line="480" w:lineRule="auto"/>
        <w:rPr>
          <w:rFonts w:cs="Arial"/>
          <w:sz w:val="24"/>
        </w:rPr>
      </w:pPr>
      <w:r w:rsidRPr="00593411">
        <w:rPr>
          <w:rFonts w:cs="Arial"/>
          <w:sz w:val="24"/>
        </w:rPr>
        <w:t>It appears from the record that the re-issued summons was served on the attorneys for Mr van der Walt on 06 July 2022.</w:t>
      </w:r>
    </w:p>
    <w:p w14:paraId="361E25AA" w14:textId="77777777" w:rsidR="0005237A" w:rsidRPr="00593411" w:rsidRDefault="0005237A" w:rsidP="00593411">
      <w:pPr>
        <w:pStyle w:val="WLGLevel1"/>
        <w:keepNext/>
        <w:numPr>
          <w:ilvl w:val="0"/>
          <w:numId w:val="0"/>
        </w:numPr>
        <w:suppressAutoHyphens w:val="0"/>
        <w:spacing w:before="0" w:after="480"/>
        <w:rPr>
          <w:rFonts w:cs="Arial"/>
          <w:b/>
          <w:bCs/>
          <w:szCs w:val="24"/>
          <w:lang w:val="en-GB"/>
        </w:rPr>
      </w:pPr>
      <w:r w:rsidRPr="00593411">
        <w:rPr>
          <w:rFonts w:cs="Arial"/>
          <w:b/>
          <w:bCs/>
          <w:szCs w:val="24"/>
          <w:lang w:val="en-GB"/>
        </w:rPr>
        <w:t>The notices of intention to defend and bar</w:t>
      </w:r>
    </w:p>
    <w:p w14:paraId="3D97AC8C" w14:textId="77777777" w:rsidR="0005237A" w:rsidRPr="00593411" w:rsidRDefault="0005237A" w:rsidP="00593411">
      <w:pPr>
        <w:numPr>
          <w:ilvl w:val="0"/>
          <w:numId w:val="5"/>
        </w:numPr>
        <w:spacing w:after="480" w:line="480" w:lineRule="auto"/>
        <w:rPr>
          <w:rFonts w:cs="Arial"/>
          <w:sz w:val="24"/>
        </w:rPr>
      </w:pPr>
      <w:r w:rsidRPr="00593411">
        <w:rPr>
          <w:rFonts w:cs="Arial"/>
          <w:sz w:val="24"/>
        </w:rPr>
        <w:t>Mr van der Walt delivered a notice of intention to defend the action on 20 July 2022.</w:t>
      </w:r>
    </w:p>
    <w:p w14:paraId="7EC33CC4" w14:textId="77777777" w:rsidR="0005237A" w:rsidRPr="00593411" w:rsidRDefault="0005237A" w:rsidP="00593411">
      <w:pPr>
        <w:numPr>
          <w:ilvl w:val="0"/>
          <w:numId w:val="5"/>
        </w:numPr>
        <w:spacing w:after="480" w:line="480" w:lineRule="auto"/>
        <w:rPr>
          <w:rFonts w:cs="Arial"/>
          <w:sz w:val="24"/>
        </w:rPr>
      </w:pPr>
      <w:r w:rsidRPr="00593411">
        <w:rPr>
          <w:rFonts w:cs="Arial"/>
          <w:sz w:val="24"/>
        </w:rPr>
        <w:t>On 23 August 2022 ABSA’s attorneys served on Mr van der Walt’s attorneys a notice of bar recording that “</w:t>
      </w:r>
      <w:r w:rsidRPr="00593411">
        <w:rPr>
          <w:rFonts w:cs="Arial"/>
          <w:i/>
          <w:iCs/>
          <w:sz w:val="24"/>
        </w:rPr>
        <w:t>the Plaintiff requires the Defendant, in terms of Rule 26 of the Rules of Court, to file its Plea within five (5) days after delivery of this Notice, failing which the Defendant will be ipso facto barred from pleading and Judgment by Default will be applied for.</w:t>
      </w:r>
      <w:r w:rsidRPr="00593411">
        <w:rPr>
          <w:rFonts w:cs="Arial"/>
          <w:sz w:val="24"/>
        </w:rPr>
        <w:t>”</w:t>
      </w:r>
    </w:p>
    <w:p w14:paraId="22FF171A" w14:textId="77777777" w:rsidR="0005237A" w:rsidRPr="00593411" w:rsidRDefault="0005237A" w:rsidP="00593411">
      <w:pPr>
        <w:pStyle w:val="WLGLevel1"/>
        <w:keepNext/>
        <w:numPr>
          <w:ilvl w:val="0"/>
          <w:numId w:val="0"/>
        </w:numPr>
        <w:suppressAutoHyphens w:val="0"/>
        <w:spacing w:before="0" w:after="480"/>
        <w:rPr>
          <w:rFonts w:cs="Arial"/>
          <w:b/>
          <w:bCs/>
          <w:szCs w:val="24"/>
          <w:lang w:val="en-GB"/>
        </w:rPr>
      </w:pPr>
      <w:r w:rsidRPr="00593411">
        <w:rPr>
          <w:rFonts w:cs="Arial"/>
          <w:b/>
          <w:bCs/>
          <w:szCs w:val="24"/>
          <w:lang w:val="en-GB"/>
        </w:rPr>
        <w:lastRenderedPageBreak/>
        <w:t>The plea</w:t>
      </w:r>
    </w:p>
    <w:p w14:paraId="2F260980" w14:textId="77777777" w:rsidR="0005237A" w:rsidRPr="00593411" w:rsidRDefault="0005237A" w:rsidP="00593411">
      <w:pPr>
        <w:numPr>
          <w:ilvl w:val="0"/>
          <w:numId w:val="5"/>
        </w:numPr>
        <w:spacing w:after="480" w:line="480" w:lineRule="auto"/>
        <w:rPr>
          <w:rFonts w:cs="Arial"/>
          <w:sz w:val="24"/>
        </w:rPr>
      </w:pPr>
      <w:r w:rsidRPr="00593411">
        <w:rPr>
          <w:rFonts w:cs="Arial"/>
          <w:sz w:val="24"/>
        </w:rPr>
        <w:t>On 30 August 2022 Mr van der Walt delivered a special and general plea to the particulars of claim. The special plea’s denial of the court’s jurisdiction was thereafter abandoned. The plea to the merits of the claim admits the agreement but denies its breach and/or valid cancellation. Of relevance for present purposes are paragraphs 9.2 to 9.5 of the plea, which read as follows:</w:t>
      </w:r>
    </w:p>
    <w:p w14:paraId="61475129" w14:textId="77777777" w:rsidR="0005237A" w:rsidRPr="00E47CC0" w:rsidRDefault="0005237A" w:rsidP="0005237A">
      <w:pPr>
        <w:spacing w:after="360"/>
        <w:ind w:left="1560"/>
        <w:rPr>
          <w:rFonts w:cs="Arial"/>
          <w:i/>
          <w:iCs/>
          <w:szCs w:val="22"/>
        </w:rPr>
      </w:pPr>
      <w:r w:rsidRPr="00E47CC0">
        <w:rPr>
          <w:rFonts w:cs="Arial"/>
          <w:szCs w:val="22"/>
        </w:rPr>
        <w:t>“</w:t>
      </w:r>
      <w:r w:rsidRPr="00E47CC0">
        <w:rPr>
          <w:rFonts w:cs="Arial"/>
          <w:i/>
          <w:iCs/>
          <w:szCs w:val="22"/>
        </w:rPr>
        <w:t>The defendant specifically pleads that he resides at the Farm Boekenhoutskloof, Cullinan, as per Annexure ‘B’ to the particulars of claim</w:t>
      </w:r>
      <w:r>
        <w:rPr>
          <w:rFonts w:cs="Arial"/>
          <w:i/>
          <w:iCs/>
          <w:szCs w:val="22"/>
        </w:rPr>
        <w:t xml:space="preserve"> [the agreement]</w:t>
      </w:r>
      <w:r w:rsidRPr="00E47CC0">
        <w:rPr>
          <w:rFonts w:cs="Arial"/>
          <w:i/>
          <w:iCs/>
          <w:szCs w:val="22"/>
        </w:rPr>
        <w:t>, of which the plaintiff is aware.</w:t>
      </w:r>
    </w:p>
    <w:p w14:paraId="08016DAF" w14:textId="77777777" w:rsidR="0005237A" w:rsidRPr="00E47CC0" w:rsidRDefault="0005237A" w:rsidP="0005237A">
      <w:pPr>
        <w:spacing w:after="360"/>
        <w:ind w:left="1560"/>
        <w:rPr>
          <w:rFonts w:cs="Arial"/>
          <w:i/>
          <w:iCs/>
          <w:szCs w:val="22"/>
        </w:rPr>
      </w:pPr>
      <w:r w:rsidRPr="00E47CC0">
        <w:rPr>
          <w:rFonts w:cs="Arial"/>
          <w:i/>
          <w:iCs/>
          <w:szCs w:val="22"/>
        </w:rPr>
        <w:t xml:space="preserve">The defendant further specifically pleads that the </w:t>
      </w:r>
      <w:r>
        <w:rPr>
          <w:rFonts w:cs="Arial"/>
          <w:i/>
          <w:iCs/>
          <w:szCs w:val="22"/>
        </w:rPr>
        <w:t xml:space="preserve">[NCA] </w:t>
      </w:r>
      <w:r w:rsidRPr="00E47CC0">
        <w:rPr>
          <w:rFonts w:cs="Arial"/>
          <w:i/>
          <w:iCs/>
          <w:szCs w:val="22"/>
        </w:rPr>
        <w:t>notice, as per Annexure ‘C1’, never reached the defendant as there is no postal delivery at the farm and proper service thereof could therefore not have been effected, and the plaintiff is put to the proof thereof.</w:t>
      </w:r>
    </w:p>
    <w:p w14:paraId="39D9999B" w14:textId="77777777" w:rsidR="0005237A" w:rsidRPr="00E47CC0" w:rsidRDefault="0005237A" w:rsidP="0005237A">
      <w:pPr>
        <w:spacing w:after="360"/>
        <w:ind w:left="1560"/>
        <w:rPr>
          <w:rFonts w:cs="Arial"/>
          <w:i/>
          <w:iCs/>
          <w:szCs w:val="22"/>
        </w:rPr>
      </w:pPr>
      <w:r w:rsidRPr="00E47CC0">
        <w:rPr>
          <w:rFonts w:cs="Arial"/>
          <w:i/>
          <w:iCs/>
          <w:szCs w:val="22"/>
        </w:rPr>
        <w:t>The defendant therefore specifically pleads that no such notice was received as required.</w:t>
      </w:r>
    </w:p>
    <w:p w14:paraId="6BE6B0A3" w14:textId="77777777" w:rsidR="0005237A" w:rsidRPr="00E47CC0" w:rsidRDefault="0005237A" w:rsidP="0005237A">
      <w:pPr>
        <w:spacing w:after="600"/>
        <w:ind w:left="1560"/>
        <w:rPr>
          <w:rFonts w:cs="Arial"/>
          <w:szCs w:val="22"/>
        </w:rPr>
      </w:pPr>
      <w:r w:rsidRPr="00E47CC0">
        <w:rPr>
          <w:rFonts w:cs="Arial"/>
          <w:i/>
          <w:iCs/>
          <w:szCs w:val="22"/>
        </w:rPr>
        <w:t>As a consequence of the above, and specifically the plaintiff’s failure to properly notify the defendant of any breach, the defendant specifically pleads that the plaintiff is precluded from instituting this action as contemplated in clause 15 of the agreement.</w:t>
      </w:r>
      <w:r w:rsidRPr="00E47CC0">
        <w:rPr>
          <w:rFonts w:cs="Arial"/>
          <w:szCs w:val="22"/>
        </w:rPr>
        <w:t>”</w:t>
      </w:r>
    </w:p>
    <w:p w14:paraId="0C135B8C" w14:textId="77777777" w:rsidR="0005237A" w:rsidRPr="00593411" w:rsidRDefault="0005237A" w:rsidP="0005237A">
      <w:pPr>
        <w:numPr>
          <w:ilvl w:val="0"/>
          <w:numId w:val="5"/>
        </w:numPr>
        <w:spacing w:after="480" w:line="480" w:lineRule="auto"/>
        <w:rPr>
          <w:rFonts w:cs="Arial"/>
          <w:sz w:val="24"/>
        </w:rPr>
      </w:pPr>
      <w:r w:rsidRPr="00593411">
        <w:rPr>
          <w:rFonts w:cs="Arial"/>
          <w:sz w:val="24"/>
        </w:rPr>
        <w:t>Mr van der Walt’s plea was uploaded on CaseLines on 31 August 2022.</w:t>
      </w:r>
    </w:p>
    <w:p w14:paraId="5DABC6ED" w14:textId="77777777" w:rsidR="0005237A" w:rsidRPr="00593411" w:rsidRDefault="0005237A" w:rsidP="0005237A">
      <w:pPr>
        <w:pStyle w:val="WLGLevel1"/>
        <w:keepNext/>
        <w:numPr>
          <w:ilvl w:val="0"/>
          <w:numId w:val="0"/>
        </w:numPr>
        <w:suppressAutoHyphens w:val="0"/>
        <w:spacing w:before="0" w:after="480"/>
        <w:rPr>
          <w:rFonts w:cs="Arial"/>
          <w:b/>
          <w:bCs/>
          <w:szCs w:val="24"/>
          <w:lang w:val="en-GB"/>
        </w:rPr>
      </w:pPr>
      <w:r w:rsidRPr="00593411">
        <w:rPr>
          <w:rFonts w:cs="Arial"/>
          <w:b/>
          <w:bCs/>
          <w:szCs w:val="24"/>
          <w:lang w:val="en-GB"/>
        </w:rPr>
        <w:lastRenderedPageBreak/>
        <w:t>The application for summary judgment</w:t>
      </w:r>
    </w:p>
    <w:p w14:paraId="21FB4D5D" w14:textId="77777777" w:rsidR="0005237A" w:rsidRPr="00593411" w:rsidRDefault="0005237A" w:rsidP="0005237A">
      <w:pPr>
        <w:numPr>
          <w:ilvl w:val="0"/>
          <w:numId w:val="5"/>
        </w:numPr>
        <w:spacing w:after="480" w:line="480" w:lineRule="auto"/>
        <w:rPr>
          <w:rFonts w:cs="Arial"/>
          <w:sz w:val="24"/>
        </w:rPr>
      </w:pPr>
      <w:r w:rsidRPr="00593411">
        <w:rPr>
          <w:rFonts w:cs="Arial"/>
          <w:sz w:val="24"/>
        </w:rPr>
        <w:t>On 16 September 2022 ABSA delivered to Mr van der Walt a notice of application for summary judgment in terms of rule 32 informing him of its intention to seek relief in the terms set out in the particulars of claim. An affidavit in support of the application was deposed to by Clifford Thomson on behalf of ABSA on the same day. It includes the averments that:</w:t>
      </w:r>
    </w:p>
    <w:p w14:paraId="40D3A567" w14:textId="77777777" w:rsidR="0005237A" w:rsidRPr="00593411" w:rsidRDefault="0005237A" w:rsidP="0005237A">
      <w:pPr>
        <w:numPr>
          <w:ilvl w:val="1"/>
          <w:numId w:val="5"/>
        </w:numPr>
        <w:tabs>
          <w:tab w:val="clear" w:pos="1418"/>
          <w:tab w:val="num" w:pos="1560"/>
        </w:tabs>
        <w:spacing w:after="480" w:line="480" w:lineRule="auto"/>
        <w:ind w:left="1560" w:hanging="851"/>
        <w:rPr>
          <w:rFonts w:cs="Arial"/>
          <w:sz w:val="24"/>
        </w:rPr>
      </w:pPr>
      <w:r w:rsidRPr="00593411">
        <w:rPr>
          <w:rFonts w:cs="Arial"/>
          <w:sz w:val="24"/>
        </w:rPr>
        <w:t>“</w:t>
      </w:r>
      <w:r w:rsidRPr="00593411">
        <w:rPr>
          <w:rFonts w:cs="Arial"/>
          <w:i/>
          <w:iCs/>
          <w:sz w:val="24"/>
        </w:rPr>
        <w:t>[t]he defendant raised a technical defence of non-compliance with the [NCA] and a special plea of jurisdiction. As I will demonstrate in this affidavit, his defences are misplaced and unsustainable</w:t>
      </w:r>
      <w:r w:rsidRPr="00593411">
        <w:rPr>
          <w:rFonts w:cs="Arial"/>
          <w:sz w:val="24"/>
        </w:rPr>
        <w:t>”;</w:t>
      </w:r>
    </w:p>
    <w:p w14:paraId="127D383D" w14:textId="77777777" w:rsidR="0005237A" w:rsidRPr="00593411" w:rsidRDefault="0005237A" w:rsidP="0005237A">
      <w:pPr>
        <w:numPr>
          <w:ilvl w:val="1"/>
          <w:numId w:val="5"/>
        </w:numPr>
        <w:tabs>
          <w:tab w:val="clear" w:pos="1418"/>
          <w:tab w:val="num" w:pos="1560"/>
        </w:tabs>
        <w:spacing w:after="480" w:line="480" w:lineRule="auto"/>
        <w:ind w:left="1560" w:hanging="851"/>
        <w:rPr>
          <w:rFonts w:cs="Arial"/>
          <w:sz w:val="24"/>
        </w:rPr>
      </w:pPr>
      <w:r w:rsidRPr="00593411">
        <w:rPr>
          <w:rFonts w:cs="Arial"/>
          <w:sz w:val="24"/>
        </w:rPr>
        <w:t>“</w:t>
      </w:r>
      <w:r w:rsidRPr="00593411">
        <w:rPr>
          <w:rFonts w:cs="Arial"/>
          <w:i/>
          <w:iCs/>
          <w:sz w:val="24"/>
        </w:rPr>
        <w:t>[o]n the merits, the defendant raises no defence. He does not deny that he is in arrears for the amount alleged, and he does not deny that he is still in possession of the claimed vehicle. He does not, as one would expect of a responsible consumer, even take the court into his confidence as to how he intends to settle the arrears. He does not even surrender the vehicle</w:t>
      </w:r>
      <w:r w:rsidRPr="00593411">
        <w:rPr>
          <w:rFonts w:cs="Arial"/>
          <w:sz w:val="24"/>
        </w:rPr>
        <w:t>”;</w:t>
      </w:r>
    </w:p>
    <w:p w14:paraId="68E32B23" w14:textId="77777777" w:rsidR="0005237A" w:rsidRPr="00593411" w:rsidRDefault="0005237A" w:rsidP="0005237A">
      <w:pPr>
        <w:numPr>
          <w:ilvl w:val="1"/>
          <w:numId w:val="5"/>
        </w:numPr>
        <w:tabs>
          <w:tab w:val="clear" w:pos="1418"/>
          <w:tab w:val="num" w:pos="1560"/>
        </w:tabs>
        <w:spacing w:after="480" w:line="480" w:lineRule="auto"/>
        <w:ind w:left="1560" w:hanging="851"/>
        <w:rPr>
          <w:rFonts w:cs="Arial"/>
          <w:sz w:val="24"/>
        </w:rPr>
      </w:pPr>
      <w:bookmarkStart w:id="10" w:name="_Ref137160552"/>
      <w:r w:rsidRPr="00593411">
        <w:rPr>
          <w:rFonts w:cs="Arial"/>
          <w:sz w:val="24"/>
        </w:rPr>
        <w:t>“</w:t>
      </w:r>
      <w:r w:rsidRPr="00593411">
        <w:rPr>
          <w:rFonts w:cs="Arial"/>
          <w:i/>
          <w:iCs/>
          <w:sz w:val="24"/>
        </w:rPr>
        <w:t xml:space="preserve">[t]he respondent chose his domicilium citandi et executandi for purposes of all notices and correspondence sent by the applicant </w:t>
      </w:r>
      <w:r w:rsidRPr="00593411">
        <w:rPr>
          <w:rFonts w:cs="Arial"/>
          <w:i/>
          <w:iCs/>
          <w:sz w:val="24"/>
          <w:u w:val="single"/>
        </w:rPr>
        <w:t>to the nominated address at 284 Boekenhoutskloof, Cullinan</w:t>
      </w:r>
      <w:r w:rsidRPr="00593411">
        <w:rPr>
          <w:rFonts w:cs="Arial"/>
          <w:sz w:val="24"/>
        </w:rPr>
        <w:t>” (emphasis added);</w:t>
      </w:r>
      <w:bookmarkEnd w:id="10"/>
    </w:p>
    <w:p w14:paraId="6DFAD9A5" w14:textId="77777777" w:rsidR="0005237A" w:rsidRPr="00593411" w:rsidRDefault="0005237A" w:rsidP="0005237A">
      <w:pPr>
        <w:numPr>
          <w:ilvl w:val="1"/>
          <w:numId w:val="5"/>
        </w:numPr>
        <w:tabs>
          <w:tab w:val="clear" w:pos="1418"/>
          <w:tab w:val="num" w:pos="1560"/>
        </w:tabs>
        <w:spacing w:after="480" w:line="480" w:lineRule="auto"/>
        <w:ind w:left="1560" w:hanging="851"/>
        <w:rPr>
          <w:rFonts w:cs="Arial"/>
          <w:sz w:val="24"/>
        </w:rPr>
      </w:pPr>
      <w:r w:rsidRPr="00593411">
        <w:rPr>
          <w:rFonts w:cs="Arial"/>
          <w:sz w:val="24"/>
        </w:rPr>
        <w:lastRenderedPageBreak/>
        <w:t>“</w:t>
      </w:r>
      <w:r w:rsidRPr="00593411">
        <w:rPr>
          <w:rFonts w:cs="Arial"/>
          <w:i/>
          <w:iCs/>
          <w:sz w:val="24"/>
        </w:rPr>
        <w:t xml:space="preserve">on 08 November 2021 the applicant sent a notice in terms of section 129 of the NCA by post </w:t>
      </w:r>
      <w:r w:rsidRPr="00593411">
        <w:rPr>
          <w:rFonts w:cs="Arial"/>
          <w:i/>
          <w:iCs/>
          <w:sz w:val="24"/>
          <w:u w:val="single"/>
        </w:rPr>
        <w:t>to the address nominated in the agreement</w:t>
      </w:r>
      <w:r w:rsidRPr="00593411">
        <w:rPr>
          <w:rFonts w:cs="Arial"/>
          <w:i/>
          <w:iCs/>
          <w:sz w:val="24"/>
        </w:rPr>
        <w:t xml:space="preserve"> by the respondent</w:t>
      </w:r>
      <w:r w:rsidRPr="00593411">
        <w:rPr>
          <w:rFonts w:cs="Arial"/>
          <w:sz w:val="24"/>
        </w:rPr>
        <w:t>” (emphasis added);</w:t>
      </w:r>
    </w:p>
    <w:p w14:paraId="4B7C796A" w14:textId="77777777" w:rsidR="0005237A" w:rsidRPr="00593411" w:rsidRDefault="0005237A" w:rsidP="0005237A">
      <w:pPr>
        <w:numPr>
          <w:ilvl w:val="1"/>
          <w:numId w:val="5"/>
        </w:numPr>
        <w:tabs>
          <w:tab w:val="clear" w:pos="1418"/>
          <w:tab w:val="num" w:pos="1560"/>
        </w:tabs>
        <w:spacing w:after="480" w:line="480" w:lineRule="auto"/>
        <w:ind w:left="1560" w:hanging="851"/>
        <w:rPr>
          <w:rFonts w:cs="Arial"/>
          <w:sz w:val="24"/>
        </w:rPr>
      </w:pPr>
      <w:r w:rsidRPr="00593411">
        <w:rPr>
          <w:rFonts w:cs="Arial"/>
          <w:sz w:val="24"/>
        </w:rPr>
        <w:t>“</w:t>
      </w:r>
      <w:r w:rsidRPr="00593411">
        <w:rPr>
          <w:rFonts w:cs="Arial"/>
          <w:i/>
          <w:iCs/>
          <w:sz w:val="24"/>
        </w:rPr>
        <w:t xml:space="preserve">[a]ccording to the track and trace report from the Post Office, the section 120 notice reached the Cullinan branch of the Post Office and, on 27 November 2021, the Post Office sent a notification </w:t>
      </w:r>
      <w:r w:rsidRPr="00593411">
        <w:rPr>
          <w:rFonts w:cs="Arial"/>
          <w:i/>
          <w:iCs/>
          <w:sz w:val="24"/>
          <w:u w:val="single"/>
        </w:rPr>
        <w:t>to the address nominated by the respondent</w:t>
      </w:r>
      <w:r w:rsidRPr="00593411">
        <w:rPr>
          <w:rFonts w:cs="Arial"/>
          <w:i/>
          <w:iCs/>
          <w:sz w:val="24"/>
        </w:rPr>
        <w:t>; which would have informed him that an item was awaiting his collection</w:t>
      </w:r>
      <w:r w:rsidRPr="00593411">
        <w:rPr>
          <w:rFonts w:cs="Arial"/>
          <w:sz w:val="24"/>
        </w:rPr>
        <w:t>” (emphasis added); and</w:t>
      </w:r>
    </w:p>
    <w:p w14:paraId="014AB5B2" w14:textId="77777777" w:rsidR="0005237A" w:rsidRPr="00593411" w:rsidRDefault="0005237A" w:rsidP="0005237A">
      <w:pPr>
        <w:numPr>
          <w:ilvl w:val="1"/>
          <w:numId w:val="5"/>
        </w:numPr>
        <w:tabs>
          <w:tab w:val="clear" w:pos="1418"/>
          <w:tab w:val="num" w:pos="1560"/>
        </w:tabs>
        <w:spacing w:after="480" w:line="480" w:lineRule="auto"/>
        <w:ind w:left="1560" w:hanging="851"/>
        <w:rPr>
          <w:rFonts w:cs="Arial"/>
          <w:sz w:val="24"/>
        </w:rPr>
      </w:pPr>
      <w:r w:rsidRPr="00593411">
        <w:rPr>
          <w:rFonts w:cs="Arial"/>
          <w:sz w:val="24"/>
        </w:rPr>
        <w:t>“</w:t>
      </w:r>
      <w:r w:rsidRPr="00593411">
        <w:rPr>
          <w:rFonts w:cs="Arial"/>
          <w:i/>
          <w:iCs/>
          <w:sz w:val="24"/>
        </w:rPr>
        <w:t>I am advised that the applicant complied with the provisions of the NCA to apprise a reasonable consumer of the notice and his default, and the applicant validly terminated the contract with the result that the respondent is in unlawful position of the vehicle. Accordingly, I verify the cause of action made out in the combined summons.</w:t>
      </w:r>
      <w:r w:rsidRPr="00593411">
        <w:rPr>
          <w:rFonts w:cs="Arial"/>
          <w:sz w:val="24"/>
        </w:rPr>
        <w:t>”</w:t>
      </w:r>
    </w:p>
    <w:p w14:paraId="2A292D81" w14:textId="77777777" w:rsidR="0005237A" w:rsidRPr="00593411" w:rsidRDefault="0005237A" w:rsidP="0005237A">
      <w:pPr>
        <w:numPr>
          <w:ilvl w:val="0"/>
          <w:numId w:val="5"/>
        </w:numPr>
        <w:spacing w:after="480" w:line="480" w:lineRule="auto"/>
        <w:rPr>
          <w:rFonts w:cs="Arial"/>
          <w:sz w:val="24"/>
        </w:rPr>
      </w:pPr>
      <w:bookmarkStart w:id="11" w:name="_Ref136621170"/>
      <w:r w:rsidRPr="00593411">
        <w:rPr>
          <w:rFonts w:cs="Arial"/>
          <w:sz w:val="24"/>
        </w:rPr>
        <w:t>On 02 November 2022 Mr van der Walt delivered an affidavit resisting the application for summary judgment. The affidavit does not take issue with the merits of the claim pleaded by ABSA but raises what is acknowledged to be a “</w:t>
      </w:r>
      <w:r w:rsidRPr="00593411">
        <w:rPr>
          <w:rFonts w:cs="Arial"/>
          <w:i/>
          <w:iCs/>
          <w:sz w:val="24"/>
        </w:rPr>
        <w:t>technical</w:t>
      </w:r>
      <w:r w:rsidRPr="00593411">
        <w:rPr>
          <w:rFonts w:cs="Arial"/>
          <w:sz w:val="24"/>
        </w:rPr>
        <w:t>” defence that:</w:t>
      </w:r>
      <w:bookmarkEnd w:id="11"/>
    </w:p>
    <w:p w14:paraId="08C37E6B" w14:textId="77777777" w:rsidR="0005237A" w:rsidRPr="00593411" w:rsidRDefault="0005237A" w:rsidP="0005237A">
      <w:pPr>
        <w:numPr>
          <w:ilvl w:val="1"/>
          <w:numId w:val="5"/>
        </w:numPr>
        <w:tabs>
          <w:tab w:val="clear" w:pos="1418"/>
          <w:tab w:val="num" w:pos="1560"/>
        </w:tabs>
        <w:spacing w:after="480" w:line="480" w:lineRule="auto"/>
        <w:ind w:left="1560" w:hanging="851"/>
        <w:rPr>
          <w:rFonts w:cs="Arial"/>
          <w:sz w:val="24"/>
        </w:rPr>
      </w:pPr>
      <w:r w:rsidRPr="00593411">
        <w:rPr>
          <w:rFonts w:cs="Arial"/>
          <w:sz w:val="24"/>
        </w:rPr>
        <w:t xml:space="preserve">although Mr van der Walt did not nominate a </w:t>
      </w:r>
      <w:r w:rsidRPr="00593411">
        <w:rPr>
          <w:rFonts w:cs="Arial"/>
          <w:i/>
          <w:iCs/>
          <w:sz w:val="24"/>
        </w:rPr>
        <w:t>domicilium citandi et executandi</w:t>
      </w:r>
      <w:r w:rsidRPr="00593411">
        <w:rPr>
          <w:rFonts w:cs="Arial"/>
          <w:sz w:val="24"/>
        </w:rPr>
        <w:t xml:space="preserve"> for purposes of the agreement, he was requested to and did provide his physical address, being Farm 284, Boekenhoutskloof, </w:t>
      </w:r>
      <w:r w:rsidRPr="00593411">
        <w:rPr>
          <w:rFonts w:cs="Arial"/>
          <w:sz w:val="24"/>
        </w:rPr>
        <w:lastRenderedPageBreak/>
        <w:t>Cullinan, 1000. That is a farm (as opposed to a postal or street) address to which post is not delivered;</w:t>
      </w:r>
    </w:p>
    <w:p w14:paraId="4ED5719A" w14:textId="0FBC0399" w:rsidR="0005237A" w:rsidRPr="00593411" w:rsidRDefault="0005237A" w:rsidP="0005237A">
      <w:pPr>
        <w:numPr>
          <w:ilvl w:val="1"/>
          <w:numId w:val="5"/>
        </w:numPr>
        <w:tabs>
          <w:tab w:val="clear" w:pos="1418"/>
          <w:tab w:val="num" w:pos="1560"/>
        </w:tabs>
        <w:spacing w:after="480" w:line="480" w:lineRule="auto"/>
        <w:ind w:left="1560" w:hanging="851"/>
        <w:rPr>
          <w:rFonts w:cs="Arial"/>
          <w:sz w:val="24"/>
        </w:rPr>
      </w:pPr>
      <w:r w:rsidRPr="00593411">
        <w:rPr>
          <w:rFonts w:cs="Arial"/>
          <w:i/>
          <w:iCs/>
          <w:sz w:val="24"/>
        </w:rPr>
        <w:t>ex facie</w:t>
      </w:r>
      <w:r w:rsidRPr="00593411">
        <w:rPr>
          <w:rFonts w:cs="Arial"/>
          <w:sz w:val="24"/>
        </w:rPr>
        <w:t xml:space="preserve"> the documents referenced in paragraphs </w:t>
      </w:r>
      <w:r w:rsidRPr="00593411">
        <w:rPr>
          <w:rFonts w:cs="Arial"/>
          <w:sz w:val="24"/>
        </w:rPr>
        <w:fldChar w:fldCharType="begin"/>
      </w:r>
      <w:r w:rsidRPr="00593411">
        <w:rPr>
          <w:rFonts w:cs="Arial"/>
          <w:sz w:val="24"/>
        </w:rPr>
        <w:instrText xml:space="preserve"> REF _Ref136621088 \r \h </w:instrText>
      </w:r>
      <w:r w:rsidR="00593411">
        <w:rPr>
          <w:rFonts w:cs="Arial"/>
          <w:sz w:val="24"/>
        </w:rPr>
        <w:instrText xml:space="preserve"> \* MERGEFORMAT </w:instrText>
      </w:r>
      <w:r w:rsidRPr="00593411">
        <w:rPr>
          <w:rFonts w:cs="Arial"/>
          <w:sz w:val="24"/>
        </w:rPr>
      </w:r>
      <w:r w:rsidRPr="00593411">
        <w:rPr>
          <w:rFonts w:cs="Arial"/>
          <w:sz w:val="24"/>
        </w:rPr>
        <w:fldChar w:fldCharType="separate"/>
      </w:r>
      <w:r w:rsidR="007B662E">
        <w:rPr>
          <w:rFonts w:cs="Arial"/>
          <w:sz w:val="24"/>
        </w:rPr>
        <w:t>7</w:t>
      </w:r>
      <w:r w:rsidRPr="00593411">
        <w:rPr>
          <w:rFonts w:cs="Arial"/>
          <w:sz w:val="24"/>
        </w:rPr>
        <w:fldChar w:fldCharType="end"/>
      </w:r>
      <w:r w:rsidRPr="00593411">
        <w:rPr>
          <w:rFonts w:cs="Arial"/>
          <w:sz w:val="24"/>
        </w:rPr>
        <w:t xml:space="preserve"> and </w:t>
      </w:r>
      <w:r w:rsidRPr="00593411">
        <w:rPr>
          <w:rFonts w:cs="Arial"/>
          <w:sz w:val="24"/>
        </w:rPr>
        <w:fldChar w:fldCharType="begin"/>
      </w:r>
      <w:r w:rsidRPr="00593411">
        <w:rPr>
          <w:rFonts w:cs="Arial"/>
          <w:sz w:val="24"/>
        </w:rPr>
        <w:instrText xml:space="preserve"> REF _Ref136621095 \r \p \h </w:instrText>
      </w:r>
      <w:r w:rsidR="00593411">
        <w:rPr>
          <w:rFonts w:cs="Arial"/>
          <w:sz w:val="24"/>
        </w:rPr>
        <w:instrText xml:space="preserve"> \* MERGEFORMAT </w:instrText>
      </w:r>
      <w:r w:rsidRPr="00593411">
        <w:rPr>
          <w:rFonts w:cs="Arial"/>
          <w:sz w:val="24"/>
        </w:rPr>
      </w:r>
      <w:r w:rsidRPr="00593411">
        <w:rPr>
          <w:rFonts w:cs="Arial"/>
          <w:sz w:val="24"/>
        </w:rPr>
        <w:fldChar w:fldCharType="separate"/>
      </w:r>
      <w:r w:rsidR="007B662E">
        <w:rPr>
          <w:rFonts w:cs="Arial"/>
          <w:sz w:val="24"/>
        </w:rPr>
        <w:t>8 above</w:t>
      </w:r>
      <w:r w:rsidRPr="00593411">
        <w:rPr>
          <w:rFonts w:cs="Arial"/>
          <w:sz w:val="24"/>
        </w:rPr>
        <w:fldChar w:fldCharType="end"/>
      </w:r>
      <w:r w:rsidRPr="00593411">
        <w:rPr>
          <w:rFonts w:cs="Arial"/>
          <w:sz w:val="24"/>
        </w:rPr>
        <w:t>, the NCA notice was neither delivered nor posted to Mr van der Walt’s nominated physical address but directed to a different address that does not exist;</w:t>
      </w:r>
    </w:p>
    <w:p w14:paraId="6D73EEE8" w14:textId="77777777" w:rsidR="0005237A" w:rsidRPr="00593411" w:rsidRDefault="0005237A" w:rsidP="0005237A">
      <w:pPr>
        <w:numPr>
          <w:ilvl w:val="1"/>
          <w:numId w:val="5"/>
        </w:numPr>
        <w:tabs>
          <w:tab w:val="clear" w:pos="1418"/>
          <w:tab w:val="num" w:pos="1560"/>
        </w:tabs>
        <w:spacing w:after="480" w:line="480" w:lineRule="auto"/>
        <w:ind w:left="1560" w:hanging="851"/>
        <w:rPr>
          <w:rFonts w:cs="Arial"/>
          <w:sz w:val="24"/>
        </w:rPr>
      </w:pPr>
      <w:r w:rsidRPr="00593411">
        <w:rPr>
          <w:rFonts w:cs="Arial"/>
          <w:sz w:val="24"/>
        </w:rPr>
        <w:t>the NCA notice was neither delivered or posted to nor received by Mr van der Walt and did not come to his attention;</w:t>
      </w:r>
    </w:p>
    <w:p w14:paraId="13A1273B" w14:textId="01395B4A" w:rsidR="0005237A" w:rsidRPr="00593411" w:rsidRDefault="0005237A" w:rsidP="0005237A">
      <w:pPr>
        <w:numPr>
          <w:ilvl w:val="1"/>
          <w:numId w:val="5"/>
        </w:numPr>
        <w:tabs>
          <w:tab w:val="clear" w:pos="1418"/>
          <w:tab w:val="num" w:pos="1560"/>
        </w:tabs>
        <w:spacing w:after="480" w:line="480" w:lineRule="auto"/>
        <w:ind w:left="1560" w:hanging="851"/>
        <w:rPr>
          <w:rFonts w:cs="Arial"/>
          <w:sz w:val="24"/>
        </w:rPr>
      </w:pPr>
      <w:r w:rsidRPr="00593411">
        <w:rPr>
          <w:rFonts w:cs="Arial"/>
          <w:sz w:val="24"/>
        </w:rPr>
        <w:t>ABSA did not comply with the NCA and is not entitled to summary judgment against him;</w:t>
      </w:r>
    </w:p>
    <w:p w14:paraId="286ABA1B" w14:textId="77777777" w:rsidR="0005237A" w:rsidRPr="00593411" w:rsidRDefault="0005237A" w:rsidP="0005237A">
      <w:pPr>
        <w:numPr>
          <w:ilvl w:val="1"/>
          <w:numId w:val="5"/>
        </w:numPr>
        <w:tabs>
          <w:tab w:val="clear" w:pos="1418"/>
          <w:tab w:val="num" w:pos="1560"/>
        </w:tabs>
        <w:spacing w:after="480" w:line="480" w:lineRule="auto"/>
        <w:ind w:left="1560" w:hanging="851"/>
        <w:rPr>
          <w:rFonts w:cs="Arial"/>
          <w:sz w:val="24"/>
        </w:rPr>
      </w:pPr>
      <w:r w:rsidRPr="00593411">
        <w:rPr>
          <w:rFonts w:cs="Arial"/>
          <w:sz w:val="24"/>
        </w:rPr>
        <w:t xml:space="preserve">the judgment in </w:t>
      </w:r>
      <w:r w:rsidRPr="00593411">
        <w:rPr>
          <w:rFonts w:cs="Arial"/>
          <w:i/>
          <w:iCs/>
          <w:sz w:val="24"/>
        </w:rPr>
        <w:t>Kubyana</w:t>
      </w:r>
      <w:r w:rsidRPr="00593411">
        <w:rPr>
          <w:rStyle w:val="FootnoteReference"/>
          <w:rFonts w:cs="Arial"/>
          <w:sz w:val="24"/>
        </w:rPr>
        <w:footnoteReference w:id="1"/>
      </w:r>
      <w:r w:rsidRPr="00593411">
        <w:rPr>
          <w:rFonts w:cs="Arial"/>
          <w:sz w:val="24"/>
        </w:rPr>
        <w:t xml:space="preserve"> is distinguishable from this case, in that ABSA dispatched the NCA notice to an address not nominated by Mr van der Walt and which does not exist as opposed to any refusal or failure by him to collect the notice from the Post Office; and thus</w:t>
      </w:r>
    </w:p>
    <w:p w14:paraId="21727614" w14:textId="77777777" w:rsidR="0005237A" w:rsidRPr="00593411" w:rsidRDefault="0005237A" w:rsidP="0005237A">
      <w:pPr>
        <w:numPr>
          <w:ilvl w:val="1"/>
          <w:numId w:val="5"/>
        </w:numPr>
        <w:tabs>
          <w:tab w:val="clear" w:pos="1418"/>
          <w:tab w:val="num" w:pos="1560"/>
        </w:tabs>
        <w:spacing w:after="480" w:line="480" w:lineRule="auto"/>
        <w:ind w:left="1560" w:hanging="851"/>
        <w:rPr>
          <w:rFonts w:cs="Arial"/>
          <w:sz w:val="24"/>
        </w:rPr>
      </w:pPr>
      <w:r w:rsidRPr="00593411">
        <w:rPr>
          <w:rFonts w:cs="Arial"/>
          <w:sz w:val="24"/>
        </w:rPr>
        <w:t>“</w:t>
      </w:r>
      <w:r w:rsidRPr="00593411">
        <w:rPr>
          <w:rFonts w:cs="Arial"/>
          <w:i/>
          <w:iCs/>
          <w:sz w:val="24"/>
        </w:rPr>
        <w:t>the application for summary judgment must be dismissed, or at the very least, the Honourable Court is to adjourn the matter in terms of section 130(4)(b) and make an appropriate order setting out the steps that the applicant needs to follow and complete before the matter may proceed.</w:t>
      </w:r>
      <w:r w:rsidRPr="00593411">
        <w:rPr>
          <w:rFonts w:cs="Arial"/>
          <w:sz w:val="24"/>
        </w:rPr>
        <w:t>”</w:t>
      </w:r>
    </w:p>
    <w:p w14:paraId="3F288FB1" w14:textId="77777777" w:rsidR="0005237A" w:rsidRPr="00593411" w:rsidRDefault="0005237A" w:rsidP="0005237A">
      <w:pPr>
        <w:pStyle w:val="WLGLevel1"/>
        <w:keepNext/>
        <w:numPr>
          <w:ilvl w:val="0"/>
          <w:numId w:val="0"/>
        </w:numPr>
        <w:suppressAutoHyphens w:val="0"/>
        <w:spacing w:before="0" w:after="480"/>
        <w:rPr>
          <w:rFonts w:cs="Arial"/>
          <w:b/>
          <w:bCs/>
          <w:szCs w:val="24"/>
          <w:lang w:val="en-GB"/>
        </w:rPr>
      </w:pPr>
      <w:r w:rsidRPr="00593411">
        <w:rPr>
          <w:rFonts w:cs="Arial"/>
          <w:b/>
          <w:bCs/>
          <w:szCs w:val="24"/>
          <w:lang w:val="en-GB"/>
        </w:rPr>
        <w:lastRenderedPageBreak/>
        <w:t>The compelling application</w:t>
      </w:r>
    </w:p>
    <w:p w14:paraId="121D5C82" w14:textId="17ED3534" w:rsidR="0005237A" w:rsidRPr="00593411" w:rsidRDefault="0005237A" w:rsidP="0005237A">
      <w:pPr>
        <w:numPr>
          <w:ilvl w:val="0"/>
          <w:numId w:val="5"/>
        </w:numPr>
        <w:spacing w:after="480" w:line="480" w:lineRule="auto"/>
        <w:rPr>
          <w:rFonts w:cs="Arial"/>
          <w:sz w:val="24"/>
        </w:rPr>
      </w:pPr>
      <w:r w:rsidRPr="00593411">
        <w:rPr>
          <w:rFonts w:cs="Arial"/>
          <w:sz w:val="24"/>
        </w:rPr>
        <w:t xml:space="preserve">On 13 December 2022 ABSA delivered its practice note, heads of argument and list of authorities in the summary judgment application and called on Mr van der Walt to do likewise within 10 days. Besides foregrounding what is not in dispute between the parties, the heads of argument prepared by Ziphozihle Raqowa take issue with ABSA’s alleged non-compliance with the NCA. It is submitted that the documents referred to in paragraphs </w:t>
      </w:r>
      <w:r w:rsidRPr="00593411">
        <w:rPr>
          <w:rFonts w:cs="Arial"/>
          <w:sz w:val="24"/>
        </w:rPr>
        <w:fldChar w:fldCharType="begin"/>
      </w:r>
      <w:r w:rsidRPr="00593411">
        <w:rPr>
          <w:rFonts w:cs="Arial"/>
          <w:sz w:val="24"/>
        </w:rPr>
        <w:instrText xml:space="preserve"> REF _Ref136621088 \r \h  \* MERGEFORMAT </w:instrText>
      </w:r>
      <w:r w:rsidRPr="00593411">
        <w:rPr>
          <w:rFonts w:cs="Arial"/>
          <w:sz w:val="24"/>
        </w:rPr>
      </w:r>
      <w:r w:rsidRPr="00593411">
        <w:rPr>
          <w:rFonts w:cs="Arial"/>
          <w:sz w:val="24"/>
        </w:rPr>
        <w:fldChar w:fldCharType="separate"/>
      </w:r>
      <w:r w:rsidR="007B662E">
        <w:rPr>
          <w:rFonts w:cs="Arial"/>
          <w:sz w:val="24"/>
        </w:rPr>
        <w:t>7</w:t>
      </w:r>
      <w:r w:rsidRPr="00593411">
        <w:rPr>
          <w:rFonts w:cs="Arial"/>
          <w:sz w:val="24"/>
        </w:rPr>
        <w:fldChar w:fldCharType="end"/>
      </w:r>
      <w:r w:rsidRPr="00593411">
        <w:rPr>
          <w:rFonts w:cs="Arial"/>
          <w:sz w:val="24"/>
        </w:rPr>
        <w:t xml:space="preserve"> and </w:t>
      </w:r>
      <w:r w:rsidRPr="00593411">
        <w:rPr>
          <w:rFonts w:cs="Arial"/>
          <w:sz w:val="24"/>
        </w:rPr>
        <w:fldChar w:fldCharType="begin"/>
      </w:r>
      <w:r w:rsidRPr="00593411">
        <w:rPr>
          <w:rFonts w:cs="Arial"/>
          <w:sz w:val="24"/>
        </w:rPr>
        <w:instrText xml:space="preserve"> REF _Ref136621095 \r \p \h  \* MERGEFORMAT </w:instrText>
      </w:r>
      <w:r w:rsidRPr="00593411">
        <w:rPr>
          <w:rFonts w:cs="Arial"/>
          <w:sz w:val="24"/>
        </w:rPr>
      </w:r>
      <w:r w:rsidRPr="00593411">
        <w:rPr>
          <w:rFonts w:cs="Arial"/>
          <w:sz w:val="24"/>
        </w:rPr>
        <w:fldChar w:fldCharType="separate"/>
      </w:r>
      <w:r w:rsidR="007B662E">
        <w:rPr>
          <w:rFonts w:cs="Arial"/>
          <w:sz w:val="24"/>
        </w:rPr>
        <w:t>8 above</w:t>
      </w:r>
      <w:r w:rsidRPr="00593411">
        <w:rPr>
          <w:rFonts w:cs="Arial"/>
          <w:sz w:val="24"/>
        </w:rPr>
        <w:fldChar w:fldCharType="end"/>
      </w:r>
      <w:r w:rsidRPr="00593411">
        <w:rPr>
          <w:rFonts w:cs="Arial"/>
          <w:sz w:val="24"/>
        </w:rPr>
        <w:t xml:space="preserve"> demonstrate ABSA’s compliance with the requirements clarified in </w:t>
      </w:r>
      <w:r w:rsidRPr="00593411">
        <w:rPr>
          <w:rFonts w:cs="Arial"/>
          <w:i/>
          <w:iCs/>
          <w:sz w:val="24"/>
        </w:rPr>
        <w:t>Kubyana</w:t>
      </w:r>
      <w:r w:rsidRPr="00593411">
        <w:rPr>
          <w:rFonts w:cs="Arial"/>
          <w:sz w:val="24"/>
        </w:rPr>
        <w:t xml:space="preserve"> and that “</w:t>
      </w:r>
      <w:r w:rsidRPr="00593411">
        <w:rPr>
          <w:rFonts w:cs="Arial"/>
          <w:i/>
          <w:iCs/>
          <w:sz w:val="24"/>
        </w:rPr>
        <w:t>[f]atal to the defendant’s defence is the failure to adduce evidence and disclose fully how the notice would not have come to his attention by mere omission of the word ‘farm’ before the address, when the address is correct.</w:t>
      </w:r>
      <w:r w:rsidRPr="00593411">
        <w:rPr>
          <w:rFonts w:cs="Arial"/>
          <w:sz w:val="24"/>
        </w:rPr>
        <w:t>”</w:t>
      </w:r>
    </w:p>
    <w:p w14:paraId="0B72AD96" w14:textId="77777777" w:rsidR="0005237A" w:rsidRPr="00593411" w:rsidRDefault="0005237A" w:rsidP="0005237A">
      <w:pPr>
        <w:numPr>
          <w:ilvl w:val="0"/>
          <w:numId w:val="5"/>
        </w:numPr>
        <w:spacing w:after="480" w:line="480" w:lineRule="auto"/>
        <w:rPr>
          <w:rFonts w:cs="Arial"/>
          <w:sz w:val="24"/>
        </w:rPr>
      </w:pPr>
      <w:r w:rsidRPr="00593411">
        <w:rPr>
          <w:rFonts w:cs="Arial"/>
          <w:sz w:val="24"/>
        </w:rPr>
        <w:t>On 10 January 2023 ABSA delivered an interlocutory application to compel Mr van der Walt to deliver submissions in the summary judgment application.</w:t>
      </w:r>
    </w:p>
    <w:p w14:paraId="497A1C79" w14:textId="77777777" w:rsidR="0005237A" w:rsidRPr="00593411" w:rsidRDefault="0005237A" w:rsidP="0005237A">
      <w:pPr>
        <w:numPr>
          <w:ilvl w:val="0"/>
          <w:numId w:val="5"/>
        </w:numPr>
        <w:spacing w:after="480" w:line="480" w:lineRule="auto"/>
        <w:rPr>
          <w:rFonts w:cs="Arial"/>
          <w:sz w:val="24"/>
        </w:rPr>
      </w:pPr>
      <w:r w:rsidRPr="00593411">
        <w:rPr>
          <w:rFonts w:cs="Arial"/>
          <w:sz w:val="24"/>
        </w:rPr>
        <w:t>By order dated 01 March 2023, the court (per Vally J) directed Mr van der Walt to deliver heads of argument and a practice note in the summary judgment application within three days of service of the order and to pay the costs of the compelling application on the attorney and client scale.</w:t>
      </w:r>
    </w:p>
    <w:p w14:paraId="6CA324A6" w14:textId="77777777" w:rsidR="0005237A" w:rsidRPr="00593411" w:rsidRDefault="0005237A" w:rsidP="0005237A">
      <w:pPr>
        <w:numPr>
          <w:ilvl w:val="0"/>
          <w:numId w:val="5"/>
        </w:numPr>
        <w:spacing w:after="480" w:line="480" w:lineRule="auto"/>
        <w:rPr>
          <w:rFonts w:cs="Arial"/>
          <w:sz w:val="24"/>
        </w:rPr>
      </w:pPr>
      <w:r w:rsidRPr="00593411">
        <w:rPr>
          <w:rFonts w:cs="Arial"/>
          <w:sz w:val="24"/>
        </w:rPr>
        <w:t>Thereafter, a practice note and short heads of argument in opposition to summary judgment were filed by Gerhard de Beer of Mr van der Walt’s attorneys. As appears therefrom:</w:t>
      </w:r>
    </w:p>
    <w:p w14:paraId="49C1D436" w14:textId="77777777" w:rsidR="0005237A" w:rsidRPr="00593411" w:rsidRDefault="0005237A" w:rsidP="0005237A">
      <w:pPr>
        <w:numPr>
          <w:ilvl w:val="1"/>
          <w:numId w:val="5"/>
        </w:numPr>
        <w:tabs>
          <w:tab w:val="clear" w:pos="1418"/>
          <w:tab w:val="num" w:pos="1560"/>
        </w:tabs>
        <w:spacing w:after="480" w:line="480" w:lineRule="auto"/>
        <w:ind w:left="1560" w:hanging="851"/>
        <w:rPr>
          <w:rFonts w:cs="Arial"/>
          <w:sz w:val="24"/>
        </w:rPr>
      </w:pPr>
      <w:r w:rsidRPr="00593411">
        <w:rPr>
          <w:rFonts w:cs="Arial"/>
          <w:sz w:val="24"/>
        </w:rPr>
        <w:lastRenderedPageBreak/>
        <w:t>Paragraph 6.1 of the practice note confirms the relief sought by Mr van der Walt as being that “</w:t>
      </w:r>
      <w:r w:rsidRPr="00593411">
        <w:rPr>
          <w:rFonts w:cs="Arial"/>
          <w:i/>
          <w:iCs/>
          <w:sz w:val="24"/>
        </w:rPr>
        <w:t>the application for summary judgment be dismissed, and that the court adjourn the matter in terms of section 130(4)(b) and set out steps the credit provider must take before the matter may be resumed.</w:t>
      </w:r>
      <w:r w:rsidRPr="00593411">
        <w:rPr>
          <w:rFonts w:cs="Arial"/>
          <w:sz w:val="24"/>
        </w:rPr>
        <w:t>”</w:t>
      </w:r>
    </w:p>
    <w:p w14:paraId="2BF708A4" w14:textId="746EBEFA" w:rsidR="0005237A" w:rsidRPr="00593411" w:rsidRDefault="0005237A" w:rsidP="0005237A">
      <w:pPr>
        <w:numPr>
          <w:ilvl w:val="1"/>
          <w:numId w:val="5"/>
        </w:numPr>
        <w:tabs>
          <w:tab w:val="clear" w:pos="1418"/>
          <w:tab w:val="num" w:pos="1560"/>
        </w:tabs>
        <w:spacing w:after="480" w:line="480" w:lineRule="auto"/>
        <w:ind w:left="1560" w:hanging="851"/>
        <w:rPr>
          <w:rFonts w:cs="Arial"/>
          <w:sz w:val="24"/>
        </w:rPr>
      </w:pPr>
      <w:r w:rsidRPr="00593411">
        <w:rPr>
          <w:rFonts w:cs="Arial"/>
          <w:sz w:val="24"/>
        </w:rPr>
        <w:t xml:space="preserve">The heads of argument elaborate on the NCA-related submissions outlined in the answering affidavit referred to in paragraph </w:t>
      </w:r>
      <w:r w:rsidRPr="00593411">
        <w:rPr>
          <w:rFonts w:cs="Arial"/>
          <w:sz w:val="24"/>
        </w:rPr>
        <w:fldChar w:fldCharType="begin"/>
      </w:r>
      <w:r w:rsidRPr="00593411">
        <w:rPr>
          <w:rFonts w:cs="Arial"/>
          <w:sz w:val="24"/>
        </w:rPr>
        <w:instrText xml:space="preserve"> REF _Ref136621170 \r \p \h  \* MERGEFORMAT </w:instrText>
      </w:r>
      <w:r w:rsidRPr="00593411">
        <w:rPr>
          <w:rFonts w:cs="Arial"/>
          <w:sz w:val="24"/>
        </w:rPr>
      </w:r>
      <w:r w:rsidRPr="00593411">
        <w:rPr>
          <w:rFonts w:cs="Arial"/>
          <w:sz w:val="24"/>
        </w:rPr>
        <w:fldChar w:fldCharType="separate"/>
      </w:r>
      <w:r w:rsidR="007B662E">
        <w:rPr>
          <w:rFonts w:cs="Arial"/>
          <w:sz w:val="24"/>
        </w:rPr>
        <w:t>20 above</w:t>
      </w:r>
      <w:r w:rsidRPr="00593411">
        <w:rPr>
          <w:rFonts w:cs="Arial"/>
          <w:sz w:val="24"/>
        </w:rPr>
        <w:fldChar w:fldCharType="end"/>
      </w:r>
      <w:r w:rsidRPr="00593411">
        <w:rPr>
          <w:rFonts w:cs="Arial"/>
          <w:sz w:val="24"/>
        </w:rPr>
        <w:t>, including that “</w:t>
      </w:r>
      <w:r w:rsidRPr="00593411">
        <w:rPr>
          <w:rFonts w:cs="Arial"/>
          <w:i/>
          <w:iCs/>
          <w:sz w:val="24"/>
        </w:rPr>
        <w:t>[a]ny item sent to 284 Boekenhoutskloof, Cullinan, would therefore never reach the respondent/defendant as the address does not exist</w:t>
      </w:r>
      <w:r w:rsidRPr="00593411">
        <w:rPr>
          <w:rFonts w:cs="Arial"/>
          <w:sz w:val="24"/>
        </w:rPr>
        <w:t>”, as evidenced by the fact that “</w:t>
      </w:r>
      <w:r w:rsidRPr="00593411">
        <w:rPr>
          <w:rFonts w:cs="Arial"/>
          <w:i/>
          <w:iCs/>
          <w:sz w:val="24"/>
        </w:rPr>
        <w:t>the sheriff could not find the property [when endeavouring to serve the original summons] as the address seems to be insufficient.</w:t>
      </w:r>
      <w:r w:rsidRPr="00593411">
        <w:rPr>
          <w:rFonts w:cs="Arial"/>
          <w:sz w:val="24"/>
        </w:rPr>
        <w:t>”</w:t>
      </w:r>
    </w:p>
    <w:p w14:paraId="3F133A12" w14:textId="77777777" w:rsidR="0005237A" w:rsidRPr="00593411" w:rsidRDefault="0005237A" w:rsidP="0005237A">
      <w:pPr>
        <w:pStyle w:val="WLGLevel1"/>
        <w:keepNext/>
        <w:numPr>
          <w:ilvl w:val="0"/>
          <w:numId w:val="0"/>
        </w:numPr>
        <w:suppressAutoHyphens w:val="0"/>
        <w:spacing w:before="0" w:after="480"/>
        <w:ind w:left="567" w:hanging="567"/>
        <w:rPr>
          <w:rFonts w:cs="Arial"/>
          <w:b/>
          <w:bCs/>
          <w:szCs w:val="24"/>
          <w:lang w:val="en-GB"/>
        </w:rPr>
      </w:pPr>
      <w:r w:rsidRPr="00593411">
        <w:rPr>
          <w:rFonts w:cs="Arial"/>
          <w:b/>
          <w:bCs/>
          <w:szCs w:val="24"/>
          <w:lang w:val="en-GB"/>
        </w:rPr>
        <w:t>GENERAL PRINCIPLES</w:t>
      </w:r>
    </w:p>
    <w:p w14:paraId="5FA78ABF" w14:textId="77777777" w:rsidR="0005237A" w:rsidRPr="00593411" w:rsidRDefault="0005237A" w:rsidP="0005237A">
      <w:pPr>
        <w:pStyle w:val="WLGLevel1"/>
        <w:numPr>
          <w:ilvl w:val="0"/>
          <w:numId w:val="5"/>
        </w:numPr>
        <w:suppressAutoHyphens w:val="0"/>
        <w:spacing w:before="0" w:after="480"/>
        <w:rPr>
          <w:rFonts w:cs="Arial"/>
          <w:szCs w:val="24"/>
          <w:lang w:val="en-US"/>
        </w:rPr>
      </w:pPr>
      <w:r w:rsidRPr="00593411">
        <w:rPr>
          <w:rFonts w:cs="Arial"/>
          <w:szCs w:val="24"/>
          <w:lang w:val="en-US"/>
        </w:rPr>
        <w:t>An application for summary judgment is competent in action proceedings where a plaintiff believes that a defendant does not have a genuine defence to a claim and opposes it merely to delay the grant of relief.</w:t>
      </w:r>
      <w:r w:rsidRPr="00593411">
        <w:rPr>
          <w:rStyle w:val="FootnoteReference"/>
          <w:rFonts w:cs="Arial"/>
          <w:szCs w:val="24"/>
          <w:lang w:val="en-US"/>
        </w:rPr>
        <w:footnoteReference w:id="2"/>
      </w:r>
      <w:r w:rsidRPr="00593411">
        <w:rPr>
          <w:rFonts w:cs="Arial"/>
          <w:szCs w:val="24"/>
          <w:lang w:val="en-US"/>
        </w:rPr>
        <w:t xml:space="preserve"> </w:t>
      </w:r>
    </w:p>
    <w:p w14:paraId="3982A2CB" w14:textId="77777777" w:rsidR="0005237A" w:rsidRPr="00593411" w:rsidRDefault="0005237A" w:rsidP="0005237A">
      <w:pPr>
        <w:pStyle w:val="WLGLevel1"/>
        <w:numPr>
          <w:ilvl w:val="0"/>
          <w:numId w:val="5"/>
        </w:numPr>
        <w:suppressAutoHyphens w:val="0"/>
        <w:spacing w:before="0" w:after="480"/>
        <w:rPr>
          <w:rFonts w:cs="Arial"/>
          <w:szCs w:val="24"/>
          <w:lang w:val="en-US"/>
        </w:rPr>
      </w:pPr>
      <w:r w:rsidRPr="00593411">
        <w:rPr>
          <w:rFonts w:cs="Arial"/>
          <w:szCs w:val="24"/>
          <w:lang w:val="en-US"/>
        </w:rPr>
        <w:lastRenderedPageBreak/>
        <w:t xml:space="preserve">In deciding whether the defendant has a genuine defence, the court considers whether the plea discloses the nature and grounds of a defence to the claim that, on the face of it, is </w:t>
      </w:r>
      <w:r w:rsidRPr="00593411">
        <w:rPr>
          <w:rFonts w:cs="Arial"/>
          <w:i/>
          <w:iCs/>
          <w:szCs w:val="24"/>
          <w:lang w:val="en-US"/>
        </w:rPr>
        <w:t>bona fide</w:t>
      </w:r>
      <w:r w:rsidRPr="00593411">
        <w:rPr>
          <w:rFonts w:cs="Arial"/>
          <w:szCs w:val="24"/>
          <w:lang w:val="en-US"/>
        </w:rPr>
        <w:t xml:space="preserve"> and good in law.</w:t>
      </w:r>
      <w:r w:rsidRPr="00593411">
        <w:rPr>
          <w:rStyle w:val="FootnoteReference"/>
          <w:rFonts w:cs="Arial"/>
          <w:szCs w:val="24"/>
          <w:lang w:val="en-US"/>
        </w:rPr>
        <w:footnoteReference w:id="3"/>
      </w:r>
    </w:p>
    <w:p w14:paraId="63AC24AE" w14:textId="77777777" w:rsidR="0005237A" w:rsidRPr="00593411" w:rsidRDefault="0005237A" w:rsidP="0005237A">
      <w:pPr>
        <w:numPr>
          <w:ilvl w:val="0"/>
          <w:numId w:val="5"/>
        </w:numPr>
        <w:spacing w:after="480" w:line="480" w:lineRule="auto"/>
        <w:rPr>
          <w:rFonts w:cs="Arial"/>
          <w:sz w:val="24"/>
          <w:lang w:val="en-US"/>
        </w:rPr>
      </w:pPr>
      <w:bookmarkStart w:id="12" w:name="_Ref137203567"/>
      <w:r w:rsidRPr="00593411">
        <w:rPr>
          <w:rFonts w:cs="Arial"/>
          <w:sz w:val="24"/>
          <w:lang w:val="en-US"/>
        </w:rPr>
        <w:t>Rule 32 recognises that a hopeless defence may occasion the plaintiff costs and delays that amount to an abuse of process;</w:t>
      </w:r>
      <w:r w:rsidRPr="00593411">
        <w:rPr>
          <w:rStyle w:val="FootnoteReference"/>
          <w:rFonts w:cs="Arial"/>
          <w:sz w:val="24"/>
          <w:lang w:val="en-US"/>
        </w:rPr>
        <w:footnoteReference w:id="4"/>
      </w:r>
      <w:r w:rsidRPr="00593411">
        <w:rPr>
          <w:rFonts w:cs="Arial"/>
          <w:sz w:val="24"/>
          <w:lang w:val="en-US"/>
        </w:rPr>
        <w:t xml:space="preserve"> whereas, as an extraordinary remedy, the rule is not intended to deprive the defendant of an opportunity of placing a triable issue before court.</w:t>
      </w:r>
      <w:r w:rsidRPr="00593411">
        <w:rPr>
          <w:rStyle w:val="FootnoteReference"/>
          <w:rFonts w:cs="Arial"/>
          <w:sz w:val="24"/>
          <w:lang w:val="en-US"/>
        </w:rPr>
        <w:footnoteReference w:id="5"/>
      </w:r>
      <w:r w:rsidRPr="00593411">
        <w:rPr>
          <w:rFonts w:cs="Arial"/>
          <w:sz w:val="24"/>
          <w:lang w:val="en-US"/>
        </w:rPr>
        <w:t xml:space="preserve"> Traditionally, therefore, our courts have tended to require strict compliance with the rule.</w:t>
      </w:r>
      <w:r w:rsidRPr="00593411">
        <w:rPr>
          <w:rStyle w:val="FootnoteReference"/>
          <w:rFonts w:cs="Arial"/>
          <w:sz w:val="24"/>
          <w:lang w:val="en-US"/>
        </w:rPr>
        <w:footnoteReference w:id="6"/>
      </w:r>
      <w:bookmarkEnd w:id="12"/>
    </w:p>
    <w:p w14:paraId="5E08065E" w14:textId="77777777" w:rsidR="0005237A" w:rsidRPr="00593411" w:rsidRDefault="0005237A" w:rsidP="0005237A">
      <w:pPr>
        <w:keepNext/>
        <w:numPr>
          <w:ilvl w:val="0"/>
          <w:numId w:val="5"/>
        </w:numPr>
        <w:spacing w:after="480" w:line="480" w:lineRule="auto"/>
        <w:rPr>
          <w:rFonts w:cs="Arial"/>
          <w:sz w:val="24"/>
          <w:lang w:val="en-US"/>
        </w:rPr>
      </w:pPr>
      <w:r w:rsidRPr="00593411">
        <w:rPr>
          <w:rFonts w:cs="Arial"/>
          <w:sz w:val="24"/>
          <w:lang w:val="en-US"/>
        </w:rPr>
        <w:t xml:space="preserve">As amended, rule 32 provides </w:t>
      </w:r>
      <w:r w:rsidRPr="00593411">
        <w:rPr>
          <w:rFonts w:cs="Arial"/>
          <w:i/>
          <w:iCs/>
          <w:sz w:val="24"/>
          <w:lang w:val="en-US"/>
        </w:rPr>
        <w:t xml:space="preserve">inter alia </w:t>
      </w:r>
      <w:r w:rsidRPr="00593411">
        <w:rPr>
          <w:rFonts w:cs="Arial"/>
          <w:sz w:val="24"/>
          <w:lang w:val="en-US"/>
        </w:rPr>
        <w:t>that:</w:t>
      </w:r>
    </w:p>
    <w:p w14:paraId="74E93836" w14:textId="77777777" w:rsidR="0005237A" w:rsidRPr="00593411" w:rsidRDefault="0005237A" w:rsidP="0005237A">
      <w:pPr>
        <w:numPr>
          <w:ilvl w:val="1"/>
          <w:numId w:val="5"/>
        </w:numPr>
        <w:tabs>
          <w:tab w:val="clear" w:pos="1418"/>
          <w:tab w:val="num" w:pos="1560"/>
        </w:tabs>
        <w:spacing w:after="480" w:line="480" w:lineRule="auto"/>
        <w:ind w:left="1560" w:hanging="851"/>
        <w:rPr>
          <w:rFonts w:cs="Arial"/>
          <w:sz w:val="24"/>
          <w:lang w:val="en-US"/>
        </w:rPr>
      </w:pPr>
      <w:r w:rsidRPr="00593411">
        <w:rPr>
          <w:rFonts w:cs="Arial"/>
          <w:sz w:val="24"/>
          <w:lang w:val="en-US"/>
        </w:rPr>
        <w:t>within 15 court days of delivery of the defendant’s plea, the plaintiff applying for summary judgment in respect of a claim must, by affidavit, verify the cause of action and amount of the claim, identify any point of law and the material facts on which it is based, and explain briefly why the pleaded defence does not raise a triable issue; and</w:t>
      </w:r>
    </w:p>
    <w:p w14:paraId="321E5752" w14:textId="77777777" w:rsidR="0005237A" w:rsidRPr="00593411" w:rsidRDefault="0005237A" w:rsidP="0005237A">
      <w:pPr>
        <w:numPr>
          <w:ilvl w:val="1"/>
          <w:numId w:val="5"/>
        </w:numPr>
        <w:tabs>
          <w:tab w:val="clear" w:pos="1418"/>
          <w:tab w:val="num" w:pos="1560"/>
        </w:tabs>
        <w:spacing w:after="480" w:line="480" w:lineRule="auto"/>
        <w:ind w:left="1560" w:hanging="851"/>
        <w:rPr>
          <w:rFonts w:cs="Arial"/>
          <w:sz w:val="24"/>
          <w:lang w:val="en-US"/>
        </w:rPr>
      </w:pPr>
      <w:r w:rsidRPr="00593411">
        <w:rPr>
          <w:rFonts w:cs="Arial"/>
          <w:sz w:val="24"/>
          <w:lang w:val="en-US"/>
        </w:rPr>
        <w:lastRenderedPageBreak/>
        <w:t>in response, the defendant may satisfy the court, by affidavit or, with leave of the court, oral evidence, that the defendant has a genuine defence to the claim. The affidavit or evidence must disclose fully the nature and grounds of the defence and the material facts on which it is based.</w:t>
      </w:r>
    </w:p>
    <w:p w14:paraId="5108A740" w14:textId="77777777" w:rsidR="0005237A" w:rsidRPr="00593411" w:rsidRDefault="0005237A" w:rsidP="0005237A">
      <w:pPr>
        <w:pStyle w:val="WLGLevel1"/>
        <w:numPr>
          <w:ilvl w:val="0"/>
          <w:numId w:val="5"/>
        </w:numPr>
        <w:suppressAutoHyphens w:val="0"/>
        <w:spacing w:before="0" w:after="480"/>
        <w:rPr>
          <w:rFonts w:cs="Arial"/>
          <w:szCs w:val="24"/>
          <w:lang w:val="en-GB"/>
        </w:rPr>
      </w:pPr>
      <w:r w:rsidRPr="00593411">
        <w:rPr>
          <w:rFonts w:cs="Arial"/>
          <w:szCs w:val="24"/>
          <w:lang w:val="en-GB"/>
        </w:rPr>
        <w:t>In this case, these principles are to be applied in the context of sections 129 and 130 of the NCA. In relevant part, section 129 provides as follows:</w:t>
      </w:r>
    </w:p>
    <w:p w14:paraId="54052082" w14:textId="77777777" w:rsidR="0005237A" w:rsidRPr="00BF4C59" w:rsidRDefault="0005237A" w:rsidP="0005237A">
      <w:pPr>
        <w:pStyle w:val="NormalWeb"/>
        <w:spacing w:before="0" w:beforeAutospacing="0" w:after="360" w:afterAutospacing="0" w:line="360" w:lineRule="auto"/>
        <w:ind w:left="2552" w:hanging="992"/>
        <w:jc w:val="both"/>
        <w:rPr>
          <w:rFonts w:ascii="Arial" w:hAnsi="Arial" w:cs="Arial"/>
          <w:i/>
          <w:iCs/>
        </w:rPr>
      </w:pPr>
      <w:r w:rsidRPr="001029A5">
        <w:rPr>
          <w:rFonts w:ascii="Arial" w:hAnsi="Arial" w:cs="Arial"/>
          <w:lang w:val="en-GB"/>
        </w:rPr>
        <w:t>“</w:t>
      </w:r>
      <w:r w:rsidRPr="00BF4C59">
        <w:rPr>
          <w:rFonts w:ascii="Arial" w:hAnsi="Arial" w:cs="Arial"/>
          <w:i/>
          <w:iCs/>
        </w:rPr>
        <w:t>(1)</w:t>
      </w:r>
      <w:r w:rsidRPr="00BF4C59">
        <w:rPr>
          <w:rFonts w:ascii="Arial" w:hAnsi="Arial" w:cs="Arial"/>
          <w:i/>
          <w:iCs/>
        </w:rPr>
        <w:tab/>
        <w:t>If the consumer is in default under a credit agreement, the credit provider –</w:t>
      </w:r>
    </w:p>
    <w:p w14:paraId="63BD0865" w14:textId="77777777" w:rsidR="0005237A" w:rsidRPr="00BF4C59" w:rsidRDefault="0005237A" w:rsidP="0005237A">
      <w:pPr>
        <w:pStyle w:val="NormalWeb"/>
        <w:spacing w:before="0" w:beforeAutospacing="0" w:after="360" w:afterAutospacing="0" w:line="360" w:lineRule="auto"/>
        <w:ind w:left="3261" w:hanging="709"/>
        <w:jc w:val="both"/>
        <w:rPr>
          <w:rFonts w:ascii="Arial" w:hAnsi="Arial" w:cs="Arial"/>
          <w:i/>
          <w:iCs/>
        </w:rPr>
      </w:pPr>
      <w:r w:rsidRPr="00BF4C59">
        <w:rPr>
          <w:rFonts w:ascii="Arial" w:hAnsi="Arial" w:cs="Arial"/>
          <w:i/>
          <w:iCs/>
        </w:rPr>
        <w:t>(a)</w:t>
      </w:r>
      <w:r w:rsidRPr="00BF4C59">
        <w:rPr>
          <w:rFonts w:ascii="Arial" w:hAnsi="Arial" w:cs="Arial"/>
          <w:i/>
          <w:iCs/>
        </w:rPr>
        <w:tab/>
        <w:t>may draw the default to the notice of the consumer in writing and propose that the consumer refer the credit agreement to a debt counsellor, alternative dispute resolution agent, consumer court or ombud with jurisdiction, with the intent that the parties resolve any dispute under the agreement or develop and agree on a plan to bring the payments under the agreement up to date; and</w:t>
      </w:r>
    </w:p>
    <w:p w14:paraId="65F7FD7B" w14:textId="77777777" w:rsidR="0005237A" w:rsidRPr="00BF4C59" w:rsidRDefault="0005237A" w:rsidP="0005237A">
      <w:pPr>
        <w:pStyle w:val="NormalWeb"/>
        <w:spacing w:before="0" w:beforeAutospacing="0" w:after="360" w:afterAutospacing="0" w:line="360" w:lineRule="auto"/>
        <w:ind w:left="3261" w:hanging="709"/>
        <w:jc w:val="both"/>
        <w:rPr>
          <w:rFonts w:ascii="Arial" w:hAnsi="Arial" w:cs="Arial"/>
          <w:i/>
          <w:iCs/>
        </w:rPr>
      </w:pPr>
      <w:r w:rsidRPr="00BF4C59">
        <w:rPr>
          <w:rFonts w:ascii="Arial" w:hAnsi="Arial" w:cs="Arial"/>
          <w:i/>
          <w:iCs/>
        </w:rPr>
        <w:t>(b)</w:t>
      </w:r>
      <w:r w:rsidRPr="00BF4C59">
        <w:rPr>
          <w:rFonts w:ascii="Arial" w:hAnsi="Arial" w:cs="Arial"/>
          <w:i/>
          <w:iCs/>
        </w:rPr>
        <w:tab/>
        <w:t xml:space="preserve">…, may not commence any legal proceedings to enforce the agreement before – </w:t>
      </w:r>
    </w:p>
    <w:p w14:paraId="75C43C02" w14:textId="77777777" w:rsidR="0005237A" w:rsidRPr="00BF4C59" w:rsidRDefault="0005237A" w:rsidP="0005237A">
      <w:pPr>
        <w:pStyle w:val="NormalWeb"/>
        <w:spacing w:before="0" w:beforeAutospacing="0" w:after="360" w:afterAutospacing="0" w:line="360" w:lineRule="auto"/>
        <w:ind w:left="3969" w:hanging="708"/>
        <w:jc w:val="both"/>
        <w:rPr>
          <w:rFonts w:ascii="Arial" w:hAnsi="Arial" w:cs="Arial"/>
          <w:i/>
          <w:iCs/>
        </w:rPr>
      </w:pPr>
      <w:r w:rsidRPr="00BF4C59">
        <w:rPr>
          <w:rFonts w:ascii="Arial" w:hAnsi="Arial" w:cs="Arial"/>
          <w:i/>
          <w:iCs/>
        </w:rPr>
        <w:t>(i)</w:t>
      </w:r>
      <w:r w:rsidRPr="00BF4C59">
        <w:rPr>
          <w:rFonts w:ascii="Arial" w:hAnsi="Arial" w:cs="Arial"/>
          <w:i/>
          <w:iCs/>
        </w:rPr>
        <w:tab/>
        <w:t>first providing notice to the consumer, as contemplated in paragraph (a) …; and</w:t>
      </w:r>
    </w:p>
    <w:p w14:paraId="043F2140" w14:textId="77777777" w:rsidR="0005237A" w:rsidRPr="00BF4C59" w:rsidRDefault="0005237A" w:rsidP="0005237A">
      <w:pPr>
        <w:pStyle w:val="NormalWeb"/>
        <w:spacing w:before="0" w:beforeAutospacing="0" w:after="360" w:afterAutospacing="0" w:line="360" w:lineRule="auto"/>
        <w:ind w:left="3969" w:hanging="708"/>
        <w:jc w:val="both"/>
        <w:rPr>
          <w:rFonts w:ascii="Arial" w:hAnsi="Arial" w:cs="Arial"/>
          <w:i/>
          <w:iCs/>
        </w:rPr>
      </w:pPr>
      <w:r w:rsidRPr="00BF4C59">
        <w:rPr>
          <w:rFonts w:ascii="Arial" w:hAnsi="Arial" w:cs="Arial"/>
          <w:i/>
          <w:iCs/>
        </w:rPr>
        <w:t>(ii)</w:t>
      </w:r>
      <w:r w:rsidRPr="00BF4C59">
        <w:rPr>
          <w:rFonts w:ascii="Arial" w:hAnsi="Arial" w:cs="Arial"/>
          <w:i/>
          <w:iCs/>
        </w:rPr>
        <w:tab/>
        <w:t>meeting any further requirements set out in section 130.</w:t>
      </w:r>
    </w:p>
    <w:p w14:paraId="04EB45EE" w14:textId="77777777" w:rsidR="0005237A" w:rsidRPr="00BF4C59" w:rsidRDefault="0005237A" w:rsidP="0005237A">
      <w:pPr>
        <w:pStyle w:val="NormalWeb"/>
        <w:spacing w:before="0" w:beforeAutospacing="0" w:after="360" w:afterAutospacing="0" w:line="360" w:lineRule="auto"/>
        <w:ind w:left="2552" w:hanging="992"/>
        <w:jc w:val="both"/>
        <w:rPr>
          <w:rFonts w:ascii="Arial" w:hAnsi="Arial" w:cs="Arial"/>
          <w:i/>
          <w:iCs/>
        </w:rPr>
      </w:pPr>
      <w:r w:rsidRPr="00BF4C59">
        <w:rPr>
          <w:rFonts w:ascii="Arial" w:hAnsi="Arial" w:cs="Arial"/>
          <w:i/>
          <w:iCs/>
        </w:rPr>
        <w:t>…</w:t>
      </w:r>
    </w:p>
    <w:p w14:paraId="50E67F58" w14:textId="77777777" w:rsidR="0005237A" w:rsidRPr="00BF4C59" w:rsidRDefault="0005237A" w:rsidP="0005237A">
      <w:pPr>
        <w:pStyle w:val="NormalWeb"/>
        <w:spacing w:before="0" w:beforeAutospacing="0" w:after="360" w:afterAutospacing="0" w:line="360" w:lineRule="auto"/>
        <w:ind w:left="2552" w:hanging="992"/>
        <w:jc w:val="both"/>
        <w:rPr>
          <w:rFonts w:ascii="Arial" w:hAnsi="Arial" w:cs="Arial"/>
          <w:i/>
          <w:iCs/>
        </w:rPr>
      </w:pPr>
      <w:r w:rsidRPr="00BF4C59">
        <w:rPr>
          <w:rFonts w:ascii="Arial" w:hAnsi="Arial" w:cs="Arial"/>
          <w:i/>
          <w:iCs/>
        </w:rPr>
        <w:t>(5)</w:t>
      </w:r>
      <w:r w:rsidRPr="00BF4C59">
        <w:rPr>
          <w:rFonts w:ascii="Arial" w:hAnsi="Arial" w:cs="Arial"/>
          <w:i/>
          <w:iCs/>
        </w:rPr>
        <w:tab/>
        <w:t>The notice contemplated in subsection (1)(a) must be delivered to the consumer –</w:t>
      </w:r>
    </w:p>
    <w:p w14:paraId="35B0428A" w14:textId="77777777" w:rsidR="0005237A" w:rsidRPr="00BF4C59" w:rsidRDefault="0005237A" w:rsidP="0005237A">
      <w:pPr>
        <w:pStyle w:val="NormalWeb"/>
        <w:spacing w:before="0" w:beforeAutospacing="0" w:after="360" w:afterAutospacing="0" w:line="360" w:lineRule="auto"/>
        <w:ind w:left="3261" w:hanging="709"/>
        <w:jc w:val="both"/>
        <w:rPr>
          <w:rFonts w:ascii="Arial" w:hAnsi="Arial" w:cs="Arial"/>
          <w:i/>
          <w:iCs/>
        </w:rPr>
      </w:pPr>
      <w:r w:rsidRPr="00BF4C59">
        <w:rPr>
          <w:rFonts w:ascii="Arial" w:hAnsi="Arial" w:cs="Arial"/>
          <w:i/>
          <w:iCs/>
        </w:rPr>
        <w:lastRenderedPageBreak/>
        <w:t>(a)</w:t>
      </w:r>
      <w:r w:rsidRPr="00BF4C59">
        <w:rPr>
          <w:rFonts w:ascii="Arial" w:hAnsi="Arial" w:cs="Arial"/>
          <w:i/>
          <w:iCs/>
        </w:rPr>
        <w:tab/>
        <w:t>by registered mail; or</w:t>
      </w:r>
    </w:p>
    <w:p w14:paraId="45F56D5E" w14:textId="77777777" w:rsidR="0005237A" w:rsidRPr="00BF4C59" w:rsidRDefault="0005237A" w:rsidP="0005237A">
      <w:pPr>
        <w:pStyle w:val="NormalWeb"/>
        <w:spacing w:before="0" w:beforeAutospacing="0" w:after="360" w:afterAutospacing="0" w:line="360" w:lineRule="auto"/>
        <w:ind w:left="3261" w:hanging="709"/>
        <w:jc w:val="both"/>
        <w:rPr>
          <w:rFonts w:ascii="Arial" w:hAnsi="Arial" w:cs="Arial"/>
          <w:i/>
          <w:iCs/>
        </w:rPr>
      </w:pPr>
      <w:r w:rsidRPr="00BF4C59">
        <w:rPr>
          <w:rFonts w:ascii="Arial" w:hAnsi="Arial" w:cs="Arial"/>
          <w:i/>
          <w:iCs/>
        </w:rPr>
        <w:t>(b)</w:t>
      </w:r>
      <w:r w:rsidRPr="00BF4C59">
        <w:rPr>
          <w:rFonts w:ascii="Arial" w:hAnsi="Arial" w:cs="Arial"/>
          <w:i/>
          <w:iCs/>
        </w:rPr>
        <w:tab/>
        <w:t>to an adult person at the location designated by the consumer.</w:t>
      </w:r>
    </w:p>
    <w:p w14:paraId="737182B1" w14:textId="77777777" w:rsidR="0005237A" w:rsidRPr="00BF4C59" w:rsidRDefault="0005237A" w:rsidP="0005237A">
      <w:pPr>
        <w:pStyle w:val="NormalWeb"/>
        <w:spacing w:before="0" w:beforeAutospacing="0" w:after="360" w:afterAutospacing="0" w:line="360" w:lineRule="auto"/>
        <w:ind w:left="2552" w:hanging="992"/>
        <w:jc w:val="both"/>
        <w:rPr>
          <w:rFonts w:ascii="Arial" w:hAnsi="Arial" w:cs="Arial"/>
          <w:i/>
          <w:iCs/>
        </w:rPr>
      </w:pPr>
      <w:r w:rsidRPr="00BF4C59">
        <w:rPr>
          <w:rFonts w:ascii="Arial" w:hAnsi="Arial" w:cs="Arial"/>
          <w:i/>
          <w:iCs/>
        </w:rPr>
        <w:t>(6)</w:t>
      </w:r>
      <w:r w:rsidRPr="00BF4C59">
        <w:rPr>
          <w:rFonts w:ascii="Arial" w:hAnsi="Arial" w:cs="Arial"/>
          <w:i/>
          <w:iCs/>
        </w:rPr>
        <w:tab/>
        <w:t>The consumer must in writing indicate the preferred manner of delivery contemplated in subsection (5).</w:t>
      </w:r>
    </w:p>
    <w:p w14:paraId="64AFAE72" w14:textId="77777777" w:rsidR="0005237A" w:rsidRPr="00BF4C59" w:rsidRDefault="0005237A" w:rsidP="0005237A">
      <w:pPr>
        <w:pStyle w:val="NormalWeb"/>
        <w:spacing w:before="0" w:beforeAutospacing="0" w:after="360" w:afterAutospacing="0" w:line="360" w:lineRule="auto"/>
        <w:ind w:left="2552" w:hanging="992"/>
        <w:jc w:val="both"/>
        <w:rPr>
          <w:rFonts w:ascii="Arial" w:hAnsi="Arial" w:cs="Arial"/>
          <w:i/>
          <w:iCs/>
        </w:rPr>
      </w:pPr>
      <w:r w:rsidRPr="00BF4C59">
        <w:rPr>
          <w:rFonts w:ascii="Arial" w:hAnsi="Arial" w:cs="Arial"/>
          <w:i/>
          <w:iCs/>
        </w:rPr>
        <w:t>(7)</w:t>
      </w:r>
      <w:r w:rsidRPr="00BF4C59">
        <w:rPr>
          <w:rFonts w:ascii="Arial" w:hAnsi="Arial" w:cs="Arial"/>
          <w:i/>
          <w:iCs/>
        </w:rPr>
        <w:tab/>
        <w:t>Proof of delivery contemplated in subsection (5) is satisfied by –</w:t>
      </w:r>
    </w:p>
    <w:p w14:paraId="42C425DA" w14:textId="77777777" w:rsidR="0005237A" w:rsidRPr="00BF4C59" w:rsidRDefault="0005237A" w:rsidP="0005237A">
      <w:pPr>
        <w:pStyle w:val="NormalWeb"/>
        <w:spacing w:before="0" w:beforeAutospacing="0" w:after="360" w:afterAutospacing="0" w:line="360" w:lineRule="auto"/>
        <w:ind w:left="3261" w:hanging="709"/>
        <w:jc w:val="both"/>
        <w:rPr>
          <w:rFonts w:ascii="Arial" w:hAnsi="Arial" w:cs="Arial"/>
          <w:i/>
          <w:iCs/>
        </w:rPr>
      </w:pPr>
      <w:r w:rsidRPr="00BF4C59">
        <w:rPr>
          <w:rFonts w:ascii="Arial" w:hAnsi="Arial" w:cs="Arial"/>
          <w:i/>
          <w:iCs/>
        </w:rPr>
        <w:t>(a)</w:t>
      </w:r>
      <w:r w:rsidRPr="00BF4C59">
        <w:rPr>
          <w:rFonts w:ascii="Arial" w:hAnsi="Arial" w:cs="Arial"/>
          <w:i/>
          <w:iCs/>
        </w:rPr>
        <w:tab/>
        <w:t>written confirmation by the postal service or its authorised agent of delivery to the relevant post office or postal agency; or</w:t>
      </w:r>
    </w:p>
    <w:p w14:paraId="79ECFF3F" w14:textId="77777777" w:rsidR="0005237A" w:rsidRPr="001029A5" w:rsidRDefault="0005237A" w:rsidP="0005237A">
      <w:pPr>
        <w:pStyle w:val="WLGLevel1"/>
        <w:numPr>
          <w:ilvl w:val="0"/>
          <w:numId w:val="0"/>
        </w:numPr>
        <w:suppressAutoHyphens w:val="0"/>
        <w:spacing w:before="0" w:after="600" w:line="360" w:lineRule="auto"/>
        <w:ind w:left="3261" w:hanging="709"/>
        <w:rPr>
          <w:rFonts w:cs="Arial"/>
          <w:sz w:val="22"/>
          <w:szCs w:val="22"/>
          <w:lang w:val="en-GB"/>
        </w:rPr>
      </w:pPr>
      <w:r w:rsidRPr="00BF4C59">
        <w:rPr>
          <w:rFonts w:cs="Arial"/>
          <w:i/>
          <w:iCs/>
          <w:sz w:val="22"/>
          <w:szCs w:val="22"/>
        </w:rPr>
        <w:t>(b)</w:t>
      </w:r>
      <w:r w:rsidRPr="00BF4C59">
        <w:rPr>
          <w:rFonts w:cs="Arial"/>
          <w:i/>
          <w:iCs/>
          <w:sz w:val="22"/>
          <w:szCs w:val="22"/>
        </w:rPr>
        <w:tab/>
        <w:t>the signature or identifying mark of the recipient contemplated in subsection (5)(b).</w:t>
      </w:r>
      <w:r w:rsidRPr="001029A5">
        <w:rPr>
          <w:rFonts w:cs="Arial"/>
          <w:sz w:val="22"/>
          <w:szCs w:val="22"/>
          <w:lang w:val="en-GB"/>
        </w:rPr>
        <w:t>”</w:t>
      </w:r>
    </w:p>
    <w:p w14:paraId="1409190A" w14:textId="77777777" w:rsidR="0005237A" w:rsidRDefault="0005237A" w:rsidP="00593411">
      <w:pPr>
        <w:pStyle w:val="WLGLevel1"/>
        <w:keepNext/>
        <w:numPr>
          <w:ilvl w:val="0"/>
          <w:numId w:val="5"/>
        </w:numPr>
        <w:suppressAutoHyphens w:val="0"/>
        <w:spacing w:before="0" w:after="480"/>
        <w:rPr>
          <w:rFonts w:cs="Arial"/>
          <w:szCs w:val="24"/>
          <w:lang w:val="en-GB"/>
        </w:rPr>
      </w:pPr>
      <w:r>
        <w:rPr>
          <w:rFonts w:cs="Arial"/>
          <w:szCs w:val="24"/>
          <w:lang w:val="en-GB"/>
        </w:rPr>
        <w:t>Section 130 of the NCA provides, in relevant part, as follows:</w:t>
      </w:r>
    </w:p>
    <w:p w14:paraId="3C123F91" w14:textId="77777777" w:rsidR="0005237A" w:rsidRPr="00BF4C59" w:rsidRDefault="0005237A" w:rsidP="0005237A">
      <w:pPr>
        <w:pStyle w:val="NormalWeb"/>
        <w:spacing w:before="0" w:beforeAutospacing="0" w:after="360" w:afterAutospacing="0" w:line="360" w:lineRule="auto"/>
        <w:ind w:left="2552" w:hanging="992"/>
        <w:jc w:val="both"/>
        <w:rPr>
          <w:rFonts w:ascii="Arial" w:hAnsi="Arial" w:cs="Arial"/>
          <w:i/>
          <w:iCs/>
        </w:rPr>
      </w:pPr>
      <w:r w:rsidRPr="001029A5">
        <w:rPr>
          <w:rFonts w:ascii="Arial" w:hAnsi="Arial" w:cs="Arial"/>
          <w:lang w:val="en-GB"/>
        </w:rPr>
        <w:t>“</w:t>
      </w:r>
      <w:r w:rsidRPr="00BF4C59">
        <w:rPr>
          <w:rFonts w:ascii="Arial" w:hAnsi="Arial" w:cs="Arial"/>
          <w:i/>
          <w:iCs/>
        </w:rPr>
        <w:t>(1)</w:t>
      </w:r>
      <w:r w:rsidRPr="00BF4C59">
        <w:rPr>
          <w:rFonts w:ascii="Arial" w:hAnsi="Arial" w:cs="Arial"/>
          <w:i/>
          <w:iCs/>
        </w:rPr>
        <w:tab/>
        <w:t>…, a credit provider may approach the court for an order to enforce a credit agreement only if, at that time, the consumer is in default and has been in default under that credit agreement for at least 20 business days and –</w:t>
      </w:r>
    </w:p>
    <w:p w14:paraId="231D7A97" w14:textId="77777777" w:rsidR="0005237A" w:rsidRPr="00BF4C59" w:rsidRDefault="0005237A" w:rsidP="0005237A">
      <w:pPr>
        <w:pStyle w:val="NormalWeb"/>
        <w:spacing w:before="0" w:beforeAutospacing="0" w:after="360" w:afterAutospacing="0" w:line="360" w:lineRule="auto"/>
        <w:ind w:left="3261" w:hanging="709"/>
        <w:jc w:val="both"/>
        <w:rPr>
          <w:rFonts w:ascii="Arial" w:hAnsi="Arial" w:cs="Arial"/>
          <w:i/>
          <w:iCs/>
        </w:rPr>
      </w:pPr>
      <w:r w:rsidRPr="00BF4C59">
        <w:rPr>
          <w:rFonts w:ascii="Arial" w:hAnsi="Arial" w:cs="Arial"/>
          <w:i/>
          <w:iCs/>
        </w:rPr>
        <w:t>(a)</w:t>
      </w:r>
      <w:r w:rsidRPr="00BF4C59">
        <w:rPr>
          <w:rFonts w:ascii="Arial" w:hAnsi="Arial" w:cs="Arial"/>
          <w:i/>
          <w:iCs/>
        </w:rPr>
        <w:tab/>
        <w:t>at least 10 business days have elapsed since the credit provider delivered a notice to the consumer as contemplated in … section 129(1) …;</w:t>
      </w:r>
    </w:p>
    <w:p w14:paraId="3CF4AF53" w14:textId="77777777" w:rsidR="0005237A" w:rsidRPr="00BF4C59" w:rsidRDefault="0005237A" w:rsidP="0005237A">
      <w:pPr>
        <w:pStyle w:val="NormalWeb"/>
        <w:spacing w:before="0" w:beforeAutospacing="0" w:after="360" w:afterAutospacing="0" w:line="360" w:lineRule="auto"/>
        <w:ind w:left="3261" w:hanging="709"/>
        <w:jc w:val="both"/>
        <w:rPr>
          <w:rFonts w:ascii="Arial" w:hAnsi="Arial" w:cs="Arial"/>
          <w:i/>
          <w:iCs/>
        </w:rPr>
      </w:pPr>
      <w:r w:rsidRPr="00BF4C59">
        <w:rPr>
          <w:rFonts w:ascii="Arial" w:hAnsi="Arial" w:cs="Arial"/>
          <w:i/>
          <w:iCs/>
        </w:rPr>
        <w:t>(b)</w:t>
      </w:r>
      <w:r w:rsidRPr="00BF4C59">
        <w:rPr>
          <w:rFonts w:ascii="Arial" w:hAnsi="Arial" w:cs="Arial"/>
          <w:i/>
          <w:iCs/>
        </w:rPr>
        <w:tab/>
        <w:t>in the case of a notice contemplated in section 129(1), the consumer has –</w:t>
      </w:r>
    </w:p>
    <w:p w14:paraId="11F6CD09" w14:textId="77777777" w:rsidR="0005237A" w:rsidRPr="00BF4C59" w:rsidRDefault="0005237A" w:rsidP="0005237A">
      <w:pPr>
        <w:pStyle w:val="NormalWeb"/>
        <w:spacing w:before="0" w:beforeAutospacing="0" w:after="360" w:afterAutospacing="0" w:line="360" w:lineRule="auto"/>
        <w:ind w:left="3969" w:hanging="708"/>
        <w:jc w:val="both"/>
        <w:rPr>
          <w:rFonts w:ascii="Arial" w:hAnsi="Arial" w:cs="Arial"/>
          <w:i/>
          <w:iCs/>
        </w:rPr>
      </w:pPr>
      <w:r w:rsidRPr="00BF4C59">
        <w:rPr>
          <w:rFonts w:ascii="Arial" w:hAnsi="Arial" w:cs="Arial"/>
          <w:i/>
          <w:iCs/>
        </w:rPr>
        <w:t>(i)</w:t>
      </w:r>
      <w:r w:rsidRPr="00BF4C59">
        <w:rPr>
          <w:rFonts w:ascii="Arial" w:hAnsi="Arial" w:cs="Arial"/>
          <w:i/>
          <w:iCs/>
        </w:rPr>
        <w:tab/>
        <w:t>not responded to that notice; or</w:t>
      </w:r>
    </w:p>
    <w:p w14:paraId="4424897E" w14:textId="77777777" w:rsidR="0005237A" w:rsidRPr="00BF4C59" w:rsidRDefault="0005237A" w:rsidP="0005237A">
      <w:pPr>
        <w:pStyle w:val="NormalWeb"/>
        <w:spacing w:before="0" w:beforeAutospacing="0" w:after="360" w:afterAutospacing="0" w:line="360" w:lineRule="auto"/>
        <w:ind w:left="3969" w:hanging="708"/>
        <w:jc w:val="both"/>
        <w:rPr>
          <w:rFonts w:ascii="Arial" w:hAnsi="Arial" w:cs="Arial"/>
          <w:i/>
          <w:iCs/>
        </w:rPr>
      </w:pPr>
      <w:r w:rsidRPr="00BF4C59">
        <w:rPr>
          <w:rFonts w:ascii="Arial" w:hAnsi="Arial" w:cs="Arial"/>
          <w:i/>
          <w:iCs/>
        </w:rPr>
        <w:t>(ii)</w:t>
      </w:r>
      <w:r w:rsidRPr="00BF4C59">
        <w:rPr>
          <w:rFonts w:ascii="Arial" w:hAnsi="Arial" w:cs="Arial"/>
          <w:i/>
          <w:iCs/>
        </w:rPr>
        <w:tab/>
        <w:t>responded to the notice by rejecting the credit provider’s proposals; and</w:t>
      </w:r>
    </w:p>
    <w:p w14:paraId="48BB7B98" w14:textId="77777777" w:rsidR="0005237A" w:rsidRPr="00BF4C59" w:rsidRDefault="0005237A" w:rsidP="006F2FC0">
      <w:pPr>
        <w:pStyle w:val="NormalWeb"/>
        <w:spacing w:before="240" w:beforeAutospacing="0" w:after="360" w:afterAutospacing="0" w:line="360" w:lineRule="auto"/>
        <w:ind w:left="3261" w:hanging="709"/>
        <w:jc w:val="both"/>
        <w:rPr>
          <w:rFonts w:ascii="Arial" w:hAnsi="Arial" w:cs="Arial"/>
          <w:i/>
          <w:iCs/>
        </w:rPr>
      </w:pPr>
      <w:r w:rsidRPr="00BF4C59">
        <w:rPr>
          <w:rFonts w:ascii="Arial" w:hAnsi="Arial" w:cs="Arial"/>
          <w:i/>
          <w:iCs/>
        </w:rPr>
        <w:lastRenderedPageBreak/>
        <w:t>(c)</w:t>
      </w:r>
      <w:r w:rsidRPr="00BF4C59">
        <w:rPr>
          <w:rFonts w:ascii="Arial" w:hAnsi="Arial" w:cs="Arial"/>
          <w:i/>
          <w:iCs/>
        </w:rPr>
        <w:tab/>
        <w:t>in the case of an instalment agreement, secured loan, or lease, the consumer has not surrendered the relevant property to the credit provider as contemplated in section 127.</w:t>
      </w:r>
    </w:p>
    <w:p w14:paraId="5B81415F" w14:textId="77777777" w:rsidR="0005237A" w:rsidRPr="00BF4C59" w:rsidRDefault="0005237A" w:rsidP="0005237A">
      <w:pPr>
        <w:pStyle w:val="NormalWeb"/>
        <w:spacing w:before="0" w:beforeAutospacing="0" w:after="360" w:afterAutospacing="0" w:line="360" w:lineRule="auto"/>
        <w:ind w:left="2552" w:hanging="992"/>
        <w:jc w:val="both"/>
        <w:rPr>
          <w:rFonts w:ascii="Arial" w:hAnsi="Arial" w:cs="Arial"/>
          <w:i/>
          <w:iCs/>
        </w:rPr>
      </w:pPr>
      <w:r w:rsidRPr="00BF4C59">
        <w:rPr>
          <w:rFonts w:ascii="Arial" w:hAnsi="Arial" w:cs="Arial"/>
          <w:i/>
          <w:iCs/>
        </w:rPr>
        <w:t>…</w:t>
      </w:r>
    </w:p>
    <w:p w14:paraId="08B5BA79" w14:textId="77777777" w:rsidR="0005237A" w:rsidRPr="00BF4C59" w:rsidRDefault="0005237A" w:rsidP="0005237A">
      <w:pPr>
        <w:pStyle w:val="NormalWeb"/>
        <w:spacing w:before="0" w:beforeAutospacing="0" w:after="360" w:afterAutospacing="0" w:line="360" w:lineRule="auto"/>
        <w:ind w:left="2552" w:hanging="992"/>
        <w:jc w:val="both"/>
        <w:rPr>
          <w:rFonts w:ascii="Arial" w:hAnsi="Arial" w:cs="Arial"/>
          <w:i/>
          <w:iCs/>
        </w:rPr>
      </w:pPr>
      <w:r w:rsidRPr="00BF4C59">
        <w:rPr>
          <w:rFonts w:ascii="Arial" w:hAnsi="Arial" w:cs="Arial"/>
          <w:i/>
          <w:iCs/>
        </w:rPr>
        <w:t>(3)</w:t>
      </w:r>
      <w:r w:rsidRPr="00BF4C59">
        <w:rPr>
          <w:rFonts w:ascii="Arial" w:hAnsi="Arial" w:cs="Arial"/>
          <w:i/>
          <w:iCs/>
        </w:rPr>
        <w:tab/>
        <w:t>Despite any provision of law or contract to the contrary, in any proceedings commenced in a court in respect of a credit agreement to which this Act applies, the court may determine the matter only if the court is satisfied that –</w:t>
      </w:r>
    </w:p>
    <w:p w14:paraId="3EBF6915" w14:textId="77777777" w:rsidR="0005237A" w:rsidRPr="00BF4C59" w:rsidRDefault="0005237A" w:rsidP="0005237A">
      <w:pPr>
        <w:pStyle w:val="NormalWeb"/>
        <w:spacing w:before="0" w:beforeAutospacing="0" w:after="360" w:afterAutospacing="0" w:line="360" w:lineRule="auto"/>
        <w:ind w:left="3261" w:hanging="709"/>
        <w:jc w:val="both"/>
        <w:rPr>
          <w:rFonts w:ascii="Arial" w:hAnsi="Arial" w:cs="Arial"/>
          <w:i/>
          <w:iCs/>
        </w:rPr>
      </w:pPr>
      <w:r w:rsidRPr="00BF4C59">
        <w:rPr>
          <w:rFonts w:ascii="Arial" w:hAnsi="Arial" w:cs="Arial"/>
          <w:i/>
          <w:iCs/>
        </w:rPr>
        <w:t>(a)</w:t>
      </w:r>
      <w:r w:rsidRPr="00BF4C59">
        <w:rPr>
          <w:rFonts w:ascii="Arial" w:hAnsi="Arial" w:cs="Arial"/>
          <w:i/>
          <w:iCs/>
        </w:rPr>
        <w:tab/>
        <w:t>in the case of proceedings to which sections 127, 129 or 131 apply, the procedures required by those sections have been complied with;</w:t>
      </w:r>
    </w:p>
    <w:p w14:paraId="502F1C26" w14:textId="77777777" w:rsidR="0005237A" w:rsidRPr="00BF4C59" w:rsidRDefault="0005237A" w:rsidP="0005237A">
      <w:pPr>
        <w:pStyle w:val="NormalWeb"/>
        <w:spacing w:before="0" w:beforeAutospacing="0" w:after="360" w:afterAutospacing="0" w:line="360" w:lineRule="auto"/>
        <w:ind w:left="3261" w:hanging="709"/>
        <w:jc w:val="both"/>
        <w:rPr>
          <w:rFonts w:ascii="Arial" w:hAnsi="Arial" w:cs="Arial"/>
          <w:i/>
          <w:iCs/>
        </w:rPr>
      </w:pPr>
      <w:r w:rsidRPr="00BF4C59">
        <w:rPr>
          <w:rFonts w:ascii="Arial" w:hAnsi="Arial" w:cs="Arial"/>
          <w:i/>
          <w:iCs/>
        </w:rPr>
        <w:t>(b)</w:t>
      </w:r>
      <w:r w:rsidRPr="00BF4C59">
        <w:rPr>
          <w:rFonts w:ascii="Arial" w:hAnsi="Arial" w:cs="Arial"/>
          <w:i/>
          <w:iCs/>
        </w:rPr>
        <w:tab/>
        <w:t>…; and</w:t>
      </w:r>
    </w:p>
    <w:p w14:paraId="3A57CF9F" w14:textId="77777777" w:rsidR="0005237A" w:rsidRPr="00BF4C59" w:rsidRDefault="0005237A" w:rsidP="0005237A">
      <w:pPr>
        <w:pStyle w:val="NormalWeb"/>
        <w:spacing w:before="0" w:beforeAutospacing="0" w:after="360" w:afterAutospacing="0" w:line="360" w:lineRule="auto"/>
        <w:ind w:left="3261" w:hanging="709"/>
        <w:jc w:val="both"/>
        <w:rPr>
          <w:rFonts w:ascii="Arial" w:hAnsi="Arial" w:cs="Arial"/>
          <w:i/>
          <w:iCs/>
        </w:rPr>
      </w:pPr>
      <w:r w:rsidRPr="00BF4C59">
        <w:rPr>
          <w:rFonts w:ascii="Arial" w:hAnsi="Arial" w:cs="Arial"/>
          <w:i/>
          <w:iCs/>
        </w:rPr>
        <w:t>(c)</w:t>
      </w:r>
      <w:r w:rsidRPr="00BF4C59">
        <w:rPr>
          <w:rFonts w:ascii="Arial" w:hAnsi="Arial" w:cs="Arial"/>
          <w:i/>
          <w:iCs/>
        </w:rPr>
        <w:tab/>
        <w:t>….</w:t>
      </w:r>
    </w:p>
    <w:p w14:paraId="55C4DD3A" w14:textId="77777777" w:rsidR="0005237A" w:rsidRPr="00BF4C59" w:rsidRDefault="0005237A" w:rsidP="0005237A">
      <w:pPr>
        <w:pStyle w:val="NormalWeb"/>
        <w:spacing w:before="0" w:beforeAutospacing="0" w:after="360" w:afterAutospacing="0" w:line="360" w:lineRule="auto"/>
        <w:ind w:left="2552" w:hanging="992"/>
        <w:jc w:val="both"/>
        <w:rPr>
          <w:rFonts w:ascii="Arial" w:hAnsi="Arial" w:cs="Arial"/>
          <w:i/>
          <w:iCs/>
        </w:rPr>
      </w:pPr>
      <w:r w:rsidRPr="00BF4C59">
        <w:rPr>
          <w:rFonts w:ascii="Arial" w:hAnsi="Arial" w:cs="Arial"/>
          <w:i/>
          <w:iCs/>
        </w:rPr>
        <w:t>(4)</w:t>
      </w:r>
      <w:r w:rsidRPr="00BF4C59">
        <w:rPr>
          <w:rFonts w:ascii="Arial" w:hAnsi="Arial" w:cs="Arial"/>
          <w:i/>
          <w:iCs/>
        </w:rPr>
        <w:tab/>
        <w:t>In any proceedings contemplated in this section, if the court determines that –</w:t>
      </w:r>
    </w:p>
    <w:p w14:paraId="7C67EB6F" w14:textId="77777777" w:rsidR="0005237A" w:rsidRPr="00BF4C59" w:rsidRDefault="0005237A" w:rsidP="0005237A">
      <w:pPr>
        <w:pStyle w:val="NormalWeb"/>
        <w:spacing w:before="0" w:beforeAutospacing="0" w:after="360" w:afterAutospacing="0" w:line="360" w:lineRule="auto"/>
        <w:ind w:left="3261" w:hanging="709"/>
        <w:jc w:val="both"/>
        <w:rPr>
          <w:rFonts w:ascii="Arial" w:hAnsi="Arial" w:cs="Arial"/>
          <w:i/>
          <w:iCs/>
        </w:rPr>
      </w:pPr>
      <w:r w:rsidRPr="00BF4C59">
        <w:rPr>
          <w:rFonts w:ascii="Arial" w:hAnsi="Arial" w:cs="Arial"/>
          <w:i/>
          <w:iCs/>
        </w:rPr>
        <w:t>(a)</w:t>
      </w:r>
      <w:r w:rsidRPr="00BF4C59">
        <w:rPr>
          <w:rFonts w:ascii="Arial" w:hAnsi="Arial" w:cs="Arial"/>
          <w:i/>
          <w:iCs/>
        </w:rPr>
        <w:tab/>
        <w:t>…;</w:t>
      </w:r>
    </w:p>
    <w:p w14:paraId="39BFFAB5" w14:textId="77777777" w:rsidR="0005237A" w:rsidRPr="00BF4C59" w:rsidRDefault="0005237A" w:rsidP="0005237A">
      <w:pPr>
        <w:pStyle w:val="NormalWeb"/>
        <w:spacing w:before="0" w:beforeAutospacing="0" w:after="360" w:afterAutospacing="0" w:line="360" w:lineRule="auto"/>
        <w:ind w:left="3261" w:hanging="709"/>
        <w:jc w:val="both"/>
        <w:rPr>
          <w:rFonts w:ascii="Arial" w:hAnsi="Arial" w:cs="Arial"/>
          <w:i/>
          <w:iCs/>
        </w:rPr>
      </w:pPr>
      <w:r w:rsidRPr="00BF4C59">
        <w:rPr>
          <w:rFonts w:ascii="Arial" w:hAnsi="Arial" w:cs="Arial"/>
          <w:i/>
          <w:iCs/>
        </w:rPr>
        <w:t>(b)</w:t>
      </w:r>
      <w:r w:rsidRPr="00BF4C59">
        <w:rPr>
          <w:rFonts w:ascii="Arial" w:hAnsi="Arial" w:cs="Arial"/>
          <w:i/>
          <w:iCs/>
        </w:rPr>
        <w:tab/>
        <w:t>the credit provider has not complied with the relevant provisions of this Act, as contemplated in subsection (3)(a) …</w:t>
      </w:r>
    </w:p>
    <w:p w14:paraId="1501D57D" w14:textId="77777777" w:rsidR="0005237A" w:rsidRPr="00BF4C59" w:rsidRDefault="0005237A" w:rsidP="0005237A">
      <w:pPr>
        <w:pStyle w:val="NormalWeb"/>
        <w:spacing w:before="0" w:beforeAutospacing="0" w:after="360" w:afterAutospacing="0" w:line="360" w:lineRule="auto"/>
        <w:ind w:left="2552" w:firstLine="709"/>
        <w:jc w:val="both"/>
        <w:rPr>
          <w:rFonts w:ascii="Arial" w:hAnsi="Arial" w:cs="Arial"/>
          <w:i/>
          <w:iCs/>
        </w:rPr>
      </w:pPr>
      <w:r w:rsidRPr="00BF4C59">
        <w:rPr>
          <w:rFonts w:ascii="Arial" w:hAnsi="Arial" w:cs="Arial"/>
          <w:i/>
          <w:iCs/>
        </w:rPr>
        <w:t>the court must –</w:t>
      </w:r>
    </w:p>
    <w:p w14:paraId="0267C6D3" w14:textId="77777777" w:rsidR="0005237A" w:rsidRPr="00BF4C59" w:rsidRDefault="0005237A" w:rsidP="0005237A">
      <w:pPr>
        <w:pStyle w:val="NormalWeb"/>
        <w:spacing w:before="0" w:beforeAutospacing="0" w:after="360" w:afterAutospacing="0" w:line="360" w:lineRule="auto"/>
        <w:ind w:left="3969" w:hanging="708"/>
        <w:jc w:val="both"/>
        <w:rPr>
          <w:rFonts w:ascii="Arial" w:hAnsi="Arial" w:cs="Arial"/>
          <w:i/>
          <w:iCs/>
        </w:rPr>
      </w:pPr>
      <w:r w:rsidRPr="00BF4C59">
        <w:rPr>
          <w:rFonts w:ascii="Arial" w:hAnsi="Arial" w:cs="Arial"/>
          <w:i/>
          <w:iCs/>
        </w:rPr>
        <w:t xml:space="preserve">(i) </w:t>
      </w:r>
      <w:r w:rsidRPr="00BF4C59">
        <w:rPr>
          <w:rFonts w:ascii="Arial" w:hAnsi="Arial" w:cs="Arial"/>
          <w:i/>
          <w:iCs/>
        </w:rPr>
        <w:tab/>
        <w:t>adjourn the matter before it; and</w:t>
      </w:r>
    </w:p>
    <w:p w14:paraId="624338C9" w14:textId="77777777" w:rsidR="0005237A" w:rsidRPr="00BF4C59" w:rsidRDefault="0005237A" w:rsidP="0005237A">
      <w:pPr>
        <w:pStyle w:val="NormalWeb"/>
        <w:spacing w:before="0" w:beforeAutospacing="0" w:after="360" w:afterAutospacing="0" w:line="360" w:lineRule="auto"/>
        <w:ind w:left="3969" w:hanging="708"/>
        <w:jc w:val="both"/>
        <w:rPr>
          <w:rFonts w:ascii="Arial" w:hAnsi="Arial" w:cs="Arial"/>
          <w:i/>
          <w:iCs/>
        </w:rPr>
      </w:pPr>
      <w:r w:rsidRPr="00BF4C59">
        <w:rPr>
          <w:rFonts w:ascii="Arial" w:hAnsi="Arial" w:cs="Arial"/>
          <w:i/>
          <w:iCs/>
        </w:rPr>
        <w:t xml:space="preserve">(ii) </w:t>
      </w:r>
      <w:r w:rsidRPr="00BF4C59">
        <w:rPr>
          <w:rFonts w:ascii="Arial" w:hAnsi="Arial" w:cs="Arial"/>
          <w:i/>
          <w:iCs/>
        </w:rPr>
        <w:tab/>
        <w:t>make an appropriate order setting out the steps the credit provider must complete before the matter may be resumed;</w:t>
      </w:r>
    </w:p>
    <w:p w14:paraId="47E65056" w14:textId="77777777" w:rsidR="0005237A" w:rsidRPr="00BF4C59" w:rsidRDefault="0005237A" w:rsidP="0005237A">
      <w:pPr>
        <w:pStyle w:val="NormalWeb"/>
        <w:spacing w:before="0" w:beforeAutospacing="0" w:after="360" w:afterAutospacing="0" w:line="360" w:lineRule="auto"/>
        <w:ind w:left="3261" w:hanging="709"/>
        <w:jc w:val="both"/>
        <w:rPr>
          <w:rFonts w:ascii="Arial" w:hAnsi="Arial" w:cs="Arial"/>
          <w:i/>
          <w:iCs/>
        </w:rPr>
      </w:pPr>
      <w:r w:rsidRPr="00BF4C59">
        <w:rPr>
          <w:rFonts w:ascii="Arial" w:hAnsi="Arial" w:cs="Arial"/>
          <w:i/>
          <w:iCs/>
        </w:rPr>
        <w:lastRenderedPageBreak/>
        <w:t>(c)</w:t>
      </w:r>
      <w:r w:rsidRPr="00BF4C59">
        <w:rPr>
          <w:rFonts w:ascii="Arial" w:hAnsi="Arial" w:cs="Arial"/>
          <w:i/>
          <w:iCs/>
        </w:rPr>
        <w:tab/>
        <w:t>…;</w:t>
      </w:r>
    </w:p>
    <w:p w14:paraId="69A4D180" w14:textId="77777777" w:rsidR="0005237A" w:rsidRPr="00BF4C59" w:rsidRDefault="0005237A" w:rsidP="0005237A">
      <w:pPr>
        <w:pStyle w:val="NormalWeb"/>
        <w:spacing w:before="0" w:beforeAutospacing="0" w:after="360" w:afterAutospacing="0" w:line="360" w:lineRule="auto"/>
        <w:ind w:left="3261" w:hanging="709"/>
        <w:jc w:val="both"/>
        <w:rPr>
          <w:rFonts w:ascii="Arial" w:hAnsi="Arial" w:cs="Arial"/>
          <w:i/>
          <w:iCs/>
        </w:rPr>
      </w:pPr>
      <w:r w:rsidRPr="00BF4C59">
        <w:rPr>
          <w:rFonts w:ascii="Arial" w:hAnsi="Arial" w:cs="Arial"/>
          <w:i/>
          <w:iCs/>
        </w:rPr>
        <w:t>(d)</w:t>
      </w:r>
      <w:r w:rsidRPr="00BF4C59">
        <w:rPr>
          <w:rFonts w:ascii="Arial" w:hAnsi="Arial" w:cs="Arial"/>
          <w:i/>
          <w:iCs/>
        </w:rPr>
        <w:tab/>
        <w:t>…; or</w:t>
      </w:r>
    </w:p>
    <w:p w14:paraId="730608AB" w14:textId="77777777" w:rsidR="0005237A" w:rsidRPr="001029A5" w:rsidRDefault="0005237A" w:rsidP="0005237A">
      <w:pPr>
        <w:pStyle w:val="WLGLevel1"/>
        <w:numPr>
          <w:ilvl w:val="0"/>
          <w:numId w:val="0"/>
        </w:numPr>
        <w:suppressAutoHyphens w:val="0"/>
        <w:spacing w:before="0" w:after="600" w:line="360" w:lineRule="auto"/>
        <w:ind w:left="3261" w:hanging="709"/>
        <w:rPr>
          <w:rFonts w:cs="Arial"/>
          <w:sz w:val="22"/>
          <w:szCs w:val="22"/>
          <w:lang w:val="en-GB"/>
        </w:rPr>
      </w:pPr>
      <w:r w:rsidRPr="00BF4C59">
        <w:rPr>
          <w:rFonts w:cs="Arial"/>
          <w:i/>
          <w:iCs/>
          <w:sz w:val="22"/>
          <w:szCs w:val="22"/>
        </w:rPr>
        <w:t>(e)</w:t>
      </w:r>
      <w:r w:rsidRPr="00BF4C59">
        <w:rPr>
          <w:rFonts w:cs="Arial"/>
          <w:i/>
          <w:iCs/>
          <w:sz w:val="22"/>
          <w:szCs w:val="22"/>
        </w:rPr>
        <w:tab/>
        <w:t>….</w:t>
      </w:r>
      <w:r w:rsidRPr="001029A5">
        <w:rPr>
          <w:rFonts w:cs="Arial"/>
          <w:sz w:val="22"/>
          <w:szCs w:val="22"/>
          <w:lang w:val="en-GB"/>
        </w:rPr>
        <w:t>”</w:t>
      </w:r>
    </w:p>
    <w:p w14:paraId="49877AE9" w14:textId="77777777" w:rsidR="0005237A" w:rsidRPr="00507DDE" w:rsidRDefault="0005237A" w:rsidP="0005237A">
      <w:pPr>
        <w:pStyle w:val="WLGLevel1"/>
        <w:numPr>
          <w:ilvl w:val="0"/>
          <w:numId w:val="5"/>
        </w:numPr>
        <w:suppressAutoHyphens w:val="0"/>
        <w:spacing w:before="0" w:after="480"/>
        <w:rPr>
          <w:rFonts w:cs="Arial"/>
          <w:szCs w:val="24"/>
          <w:lang w:val="en-GB"/>
        </w:rPr>
      </w:pPr>
      <w:r>
        <w:rPr>
          <w:rFonts w:cs="Arial"/>
          <w:szCs w:val="24"/>
          <w:lang w:val="en-GB"/>
        </w:rPr>
        <w:t>Against the backdrop of these principles and provisions, b</w:t>
      </w:r>
      <w:r w:rsidRPr="00507DDE">
        <w:rPr>
          <w:rFonts w:cs="Arial"/>
          <w:szCs w:val="24"/>
          <w:lang w:val="en-GB"/>
        </w:rPr>
        <w:t xml:space="preserve">oth parties wrestle with the bearing on this </w:t>
      </w:r>
      <w:r>
        <w:rPr>
          <w:rFonts w:cs="Arial"/>
          <w:szCs w:val="24"/>
          <w:lang w:val="en-GB"/>
        </w:rPr>
        <w:t>case</w:t>
      </w:r>
      <w:r w:rsidRPr="00507DDE">
        <w:rPr>
          <w:rFonts w:cs="Arial"/>
          <w:szCs w:val="24"/>
          <w:lang w:val="en-GB"/>
        </w:rPr>
        <w:t xml:space="preserve"> of the judgment in </w:t>
      </w:r>
      <w:r w:rsidRPr="00507DDE">
        <w:rPr>
          <w:rFonts w:cs="Arial"/>
          <w:i/>
          <w:iCs/>
          <w:szCs w:val="24"/>
          <w:lang w:val="en-GB"/>
        </w:rPr>
        <w:t>Kubyana</w:t>
      </w:r>
      <w:r w:rsidRPr="00507DDE">
        <w:rPr>
          <w:rFonts w:cs="Arial"/>
          <w:szCs w:val="24"/>
          <w:lang w:val="en-GB"/>
        </w:rPr>
        <w:t xml:space="preserve">. </w:t>
      </w:r>
      <w:r>
        <w:rPr>
          <w:rFonts w:cs="Arial"/>
          <w:szCs w:val="24"/>
          <w:lang w:val="en-GB"/>
        </w:rPr>
        <w:t>Whilst</w:t>
      </w:r>
      <w:r w:rsidRPr="00507DDE">
        <w:rPr>
          <w:rFonts w:cs="Arial"/>
          <w:szCs w:val="24"/>
          <w:lang w:val="en-GB"/>
        </w:rPr>
        <w:t xml:space="preserve"> paragraphs 2 to 5 thereof disclose facts similar to those at issue in this </w:t>
      </w:r>
      <w:r>
        <w:rPr>
          <w:rFonts w:cs="Arial"/>
          <w:szCs w:val="24"/>
          <w:lang w:val="en-GB"/>
        </w:rPr>
        <w:t>case</w:t>
      </w:r>
      <w:r w:rsidRPr="00507DDE">
        <w:rPr>
          <w:rFonts w:cs="Arial"/>
          <w:szCs w:val="24"/>
          <w:lang w:val="en-GB"/>
        </w:rPr>
        <w:t xml:space="preserve">, Mr Kubyana had designated an address as his </w:t>
      </w:r>
      <w:r w:rsidRPr="00507DDE">
        <w:rPr>
          <w:rFonts w:cs="Arial"/>
          <w:i/>
          <w:iCs/>
          <w:szCs w:val="24"/>
          <w:lang w:val="en-GB"/>
        </w:rPr>
        <w:t>domicilium citandi et executandi</w:t>
      </w:r>
      <w:r w:rsidRPr="00507DDE">
        <w:rPr>
          <w:rFonts w:cs="Arial"/>
          <w:szCs w:val="24"/>
          <w:lang w:val="en-GB"/>
        </w:rPr>
        <w:t xml:space="preserve"> in his instalment sale agreement, Standard Bank had sent a notice in terms of section 129(1) of the NCA to </w:t>
      </w:r>
      <w:r w:rsidRPr="00507DDE">
        <w:rPr>
          <w:rFonts w:cs="Arial"/>
          <w:i/>
          <w:iCs/>
          <w:szCs w:val="24"/>
          <w:lang w:val="en-GB"/>
        </w:rPr>
        <w:t>that</w:t>
      </w:r>
      <w:r w:rsidRPr="00507DDE">
        <w:rPr>
          <w:rFonts w:cs="Arial"/>
          <w:szCs w:val="24"/>
          <w:lang w:val="en-GB"/>
        </w:rPr>
        <w:t xml:space="preserve"> address, via a local branch of the </w:t>
      </w:r>
      <w:r>
        <w:rPr>
          <w:rFonts w:cs="Arial"/>
          <w:szCs w:val="24"/>
          <w:lang w:val="en-GB"/>
        </w:rPr>
        <w:t>Post Office</w:t>
      </w:r>
      <w:r w:rsidRPr="00507DDE">
        <w:rPr>
          <w:rFonts w:cs="Arial"/>
          <w:szCs w:val="24"/>
          <w:lang w:val="en-GB"/>
        </w:rPr>
        <w:t xml:space="preserve">, the branch had sent a notification to </w:t>
      </w:r>
      <w:r w:rsidRPr="00507DDE">
        <w:rPr>
          <w:rFonts w:cs="Arial"/>
          <w:i/>
          <w:iCs/>
          <w:szCs w:val="24"/>
          <w:lang w:val="en-GB"/>
        </w:rPr>
        <w:t>that</w:t>
      </w:r>
      <w:r w:rsidRPr="00507DDE">
        <w:rPr>
          <w:rFonts w:cs="Arial"/>
          <w:szCs w:val="24"/>
          <w:lang w:val="en-GB"/>
        </w:rPr>
        <w:t xml:space="preserve"> address and Mr Kubyana had failed and/or refused to collect the notice.</w:t>
      </w:r>
    </w:p>
    <w:p w14:paraId="6D8320F9" w14:textId="77777777" w:rsidR="0005237A" w:rsidRPr="00507DDE" w:rsidRDefault="0005237A" w:rsidP="0005237A">
      <w:pPr>
        <w:pStyle w:val="WLGLevel1"/>
        <w:numPr>
          <w:ilvl w:val="0"/>
          <w:numId w:val="5"/>
        </w:numPr>
        <w:suppressAutoHyphens w:val="0"/>
        <w:spacing w:before="0" w:after="480"/>
        <w:rPr>
          <w:rFonts w:cs="Arial"/>
          <w:szCs w:val="24"/>
          <w:lang w:val="en-GB"/>
        </w:rPr>
      </w:pPr>
      <w:r w:rsidRPr="00507DDE">
        <w:rPr>
          <w:rFonts w:cs="Arial"/>
          <w:szCs w:val="24"/>
          <w:lang w:val="en-GB"/>
        </w:rPr>
        <w:t>It is in the context of those facts that paragraphs 39 and 40 of the judgment record the findings of the court in the following terms:</w:t>
      </w:r>
    </w:p>
    <w:p w14:paraId="5A94D29D" w14:textId="77777777" w:rsidR="0005237A" w:rsidRPr="008C2AE3" w:rsidRDefault="0005237A" w:rsidP="0005237A">
      <w:pPr>
        <w:pStyle w:val="WLGLevel1"/>
        <w:numPr>
          <w:ilvl w:val="0"/>
          <w:numId w:val="0"/>
        </w:numPr>
        <w:suppressAutoHyphens w:val="0"/>
        <w:spacing w:before="0" w:after="360" w:line="360" w:lineRule="auto"/>
        <w:ind w:left="1559"/>
        <w:rPr>
          <w:rFonts w:cs="Arial"/>
          <w:i/>
          <w:iCs/>
          <w:sz w:val="22"/>
          <w:szCs w:val="22"/>
          <w:lang w:val="en-GB"/>
        </w:rPr>
      </w:pPr>
      <w:r w:rsidRPr="008C2AE3">
        <w:rPr>
          <w:rFonts w:cs="Arial"/>
          <w:sz w:val="22"/>
          <w:szCs w:val="22"/>
          <w:lang w:val="en-GB"/>
        </w:rPr>
        <w:t>“</w:t>
      </w:r>
      <w:r w:rsidRPr="008C2AE3">
        <w:rPr>
          <w:rFonts w:cs="Arial"/>
          <w:i/>
          <w:iCs/>
          <w:sz w:val="22"/>
          <w:szCs w:val="22"/>
          <w:lang w:val="en-GB"/>
        </w:rPr>
        <w:t>In sum, the Act does not require a credit provider to bring the contents of a s</w:t>
      </w:r>
      <w:r>
        <w:rPr>
          <w:rFonts w:cs="Arial"/>
          <w:i/>
          <w:iCs/>
          <w:sz w:val="22"/>
          <w:szCs w:val="22"/>
          <w:lang w:val="en-GB"/>
        </w:rPr>
        <w:t xml:space="preserve"> </w:t>
      </w:r>
      <w:r w:rsidRPr="008C2AE3">
        <w:rPr>
          <w:rFonts w:cs="Arial"/>
          <w:i/>
          <w:iCs/>
          <w:sz w:val="22"/>
          <w:szCs w:val="22"/>
          <w:lang w:val="en-GB"/>
        </w:rPr>
        <w:t>129 notice to the subjective attention of a consumer. Rather, delivery consists of taking certain steps, prescribed by the Act, to apprise a reasonable consumer of the notice. Thus, a credit provider’s obligation may be to make the s</w:t>
      </w:r>
      <w:r>
        <w:rPr>
          <w:rFonts w:cs="Arial"/>
          <w:i/>
          <w:iCs/>
          <w:sz w:val="22"/>
          <w:szCs w:val="22"/>
          <w:lang w:val="en-GB"/>
        </w:rPr>
        <w:t xml:space="preserve"> </w:t>
      </w:r>
      <w:r w:rsidRPr="008C2AE3">
        <w:rPr>
          <w:rFonts w:cs="Arial"/>
          <w:i/>
          <w:iCs/>
          <w:sz w:val="22"/>
          <w:szCs w:val="22"/>
          <w:lang w:val="en-GB"/>
        </w:rPr>
        <w:t xml:space="preserve">129 notice available to the consumer by having it delivered to a designated address. </w:t>
      </w:r>
      <w:r w:rsidRPr="008C2AE3">
        <w:rPr>
          <w:rFonts w:cs="Arial"/>
          <w:i/>
          <w:iCs/>
          <w:sz w:val="22"/>
          <w:szCs w:val="22"/>
          <w:u w:val="single"/>
          <w:lang w:val="en-GB"/>
        </w:rPr>
        <w:t>When the consumer has elected to receive notices by way of postal service</w:t>
      </w:r>
      <w:r w:rsidRPr="008C2AE3">
        <w:rPr>
          <w:rFonts w:cs="Arial"/>
          <w:i/>
          <w:iCs/>
          <w:sz w:val="22"/>
          <w:szCs w:val="22"/>
          <w:lang w:val="en-GB"/>
        </w:rPr>
        <w:t xml:space="preserve">, the credit provider’s obligation to deliver generally consists of despatching the notice by registered mail, ensuring that the notice reaches the correct branch of the Post Office for collection and ensuring that the Post Office notifies the consumer (at her designated address) that a registered item is awaiting her collection. This is </w:t>
      </w:r>
      <w:r w:rsidRPr="008C2AE3">
        <w:rPr>
          <w:rFonts w:cs="Arial"/>
          <w:i/>
          <w:iCs/>
          <w:sz w:val="22"/>
          <w:szCs w:val="22"/>
          <w:lang w:val="en-GB"/>
        </w:rPr>
        <w:lastRenderedPageBreak/>
        <w:t>subject to the narrow disqualification that, if the steps would not have drawn a reasonable consumer’s attention to the s</w:t>
      </w:r>
      <w:r>
        <w:rPr>
          <w:rFonts w:cs="Arial"/>
          <w:i/>
          <w:iCs/>
          <w:sz w:val="22"/>
          <w:szCs w:val="22"/>
          <w:lang w:val="en-GB"/>
        </w:rPr>
        <w:t xml:space="preserve"> </w:t>
      </w:r>
      <w:r w:rsidRPr="008C2AE3">
        <w:rPr>
          <w:rFonts w:cs="Arial"/>
          <w:i/>
          <w:iCs/>
          <w:sz w:val="22"/>
          <w:szCs w:val="22"/>
          <w:lang w:val="en-GB"/>
        </w:rPr>
        <w:t>129 notice, delivery will not have been effected. The ultimate question is whether delivery as envisaged in the Act has been effected. In each case, this must be determined by evidence.</w:t>
      </w:r>
    </w:p>
    <w:p w14:paraId="1A60A914" w14:textId="77777777" w:rsidR="0005237A" w:rsidRPr="008C2AE3" w:rsidRDefault="0005237A" w:rsidP="0005237A">
      <w:pPr>
        <w:pStyle w:val="WLGLevel1"/>
        <w:numPr>
          <w:ilvl w:val="0"/>
          <w:numId w:val="0"/>
        </w:numPr>
        <w:suppressAutoHyphens w:val="0"/>
        <w:spacing w:before="0" w:after="600" w:line="360" w:lineRule="auto"/>
        <w:ind w:left="1559"/>
        <w:rPr>
          <w:rFonts w:cs="Arial"/>
          <w:sz w:val="22"/>
          <w:szCs w:val="22"/>
          <w:lang w:val="en-GB"/>
        </w:rPr>
      </w:pPr>
      <w:r w:rsidRPr="008C2AE3">
        <w:rPr>
          <w:rFonts w:cs="Arial"/>
          <w:i/>
          <w:iCs/>
          <w:sz w:val="22"/>
          <w:szCs w:val="22"/>
          <w:lang w:val="en-GB"/>
        </w:rPr>
        <w:t>The interpretation of ‘delivery’ set out in the preceding paragraph is consonant with the statutory objectives of consumer protection and consensual dispute resolution in that it imposes obligations on the credit provider to ensure that the consumer is adequately informed of her statutory rights to seek extra-curial assistance. It also reflects an appropriate balancing of interests: while the obligation to deliver the s</w:t>
      </w:r>
      <w:r>
        <w:rPr>
          <w:rFonts w:cs="Arial"/>
          <w:i/>
          <w:iCs/>
          <w:sz w:val="22"/>
          <w:szCs w:val="22"/>
          <w:lang w:val="en-GB"/>
        </w:rPr>
        <w:t xml:space="preserve"> </w:t>
      </w:r>
      <w:r w:rsidRPr="008C2AE3">
        <w:rPr>
          <w:rFonts w:cs="Arial"/>
          <w:i/>
          <w:iCs/>
          <w:sz w:val="22"/>
          <w:szCs w:val="22"/>
          <w:lang w:val="en-GB"/>
        </w:rPr>
        <w:t>129 notice rests on the credit provider, if the consumer acts unreasonably the credit provider may go ahead and seek enforcement of the credit agreement notwithstanding the consumer’s failure to engage with the contents of the notice.</w:t>
      </w:r>
      <w:r w:rsidRPr="008C2AE3">
        <w:rPr>
          <w:rFonts w:cs="Arial"/>
          <w:sz w:val="22"/>
          <w:szCs w:val="22"/>
          <w:lang w:val="en-GB"/>
        </w:rPr>
        <w:t>” (Emphasis added</w:t>
      </w:r>
      <w:r>
        <w:rPr>
          <w:rFonts w:cs="Arial"/>
          <w:sz w:val="22"/>
          <w:szCs w:val="22"/>
          <w:lang w:val="en-GB"/>
        </w:rPr>
        <w:t>;</w:t>
      </w:r>
      <w:r w:rsidRPr="008C2AE3">
        <w:rPr>
          <w:rFonts w:cs="Arial"/>
          <w:sz w:val="22"/>
          <w:szCs w:val="22"/>
          <w:lang w:val="en-GB"/>
        </w:rPr>
        <w:t xml:space="preserve"> footnotes omitted)</w:t>
      </w:r>
    </w:p>
    <w:p w14:paraId="09432828" w14:textId="77777777" w:rsidR="0005237A" w:rsidRPr="00593411" w:rsidRDefault="0005237A" w:rsidP="00593411">
      <w:pPr>
        <w:pStyle w:val="WLGLevel1"/>
        <w:numPr>
          <w:ilvl w:val="0"/>
          <w:numId w:val="5"/>
        </w:numPr>
        <w:suppressAutoHyphens w:val="0"/>
        <w:spacing w:before="0" w:after="480"/>
        <w:rPr>
          <w:rFonts w:cs="Arial"/>
          <w:szCs w:val="24"/>
          <w:lang w:val="en-GB"/>
        </w:rPr>
      </w:pPr>
      <w:r w:rsidRPr="00593411">
        <w:rPr>
          <w:rFonts w:cs="Arial"/>
          <w:szCs w:val="24"/>
          <w:lang w:val="en-GB"/>
        </w:rPr>
        <w:t>Paragraph 54 concludes that, when delivery occurs through the postal service, proof of delivery entails proof by the credit provider that:</w:t>
      </w:r>
    </w:p>
    <w:p w14:paraId="7068295F" w14:textId="77777777" w:rsidR="0005237A" w:rsidRPr="00593411" w:rsidRDefault="0005237A" w:rsidP="00593411">
      <w:pPr>
        <w:pStyle w:val="WLGLevel1"/>
        <w:numPr>
          <w:ilvl w:val="1"/>
          <w:numId w:val="5"/>
        </w:numPr>
        <w:tabs>
          <w:tab w:val="clear" w:pos="1418"/>
          <w:tab w:val="num" w:pos="1560"/>
        </w:tabs>
        <w:suppressAutoHyphens w:val="0"/>
        <w:spacing w:before="0" w:after="480"/>
        <w:ind w:left="1560" w:hanging="851"/>
        <w:rPr>
          <w:rFonts w:cs="Arial"/>
          <w:szCs w:val="24"/>
          <w:lang w:val="en-GB"/>
        </w:rPr>
      </w:pPr>
      <w:r w:rsidRPr="00593411">
        <w:rPr>
          <w:rFonts w:cs="Arial"/>
          <w:szCs w:val="24"/>
          <w:lang w:val="en-GB"/>
        </w:rPr>
        <w:t>the notice was sent via registered mail to the correct branch of the Post Office in accordance with the postal address designated by the consumer;</w:t>
      </w:r>
    </w:p>
    <w:p w14:paraId="67080D1B" w14:textId="77777777" w:rsidR="0005237A" w:rsidRPr="00593411" w:rsidRDefault="0005237A" w:rsidP="00593411">
      <w:pPr>
        <w:pStyle w:val="WLGLevel1"/>
        <w:numPr>
          <w:ilvl w:val="1"/>
          <w:numId w:val="5"/>
        </w:numPr>
        <w:tabs>
          <w:tab w:val="clear" w:pos="1418"/>
          <w:tab w:val="num" w:pos="1560"/>
        </w:tabs>
        <w:suppressAutoHyphens w:val="0"/>
        <w:spacing w:before="0" w:after="480"/>
        <w:ind w:left="1560" w:hanging="851"/>
        <w:rPr>
          <w:rFonts w:cs="Arial"/>
          <w:szCs w:val="24"/>
          <w:lang w:val="en-GB"/>
        </w:rPr>
      </w:pPr>
      <w:r w:rsidRPr="00593411">
        <w:rPr>
          <w:rFonts w:cs="Arial"/>
          <w:szCs w:val="24"/>
          <w:lang w:val="en-GB"/>
        </w:rPr>
        <w:t>the Post Office issued a notification to the consumer that a registered item was available for her collection;</w:t>
      </w:r>
    </w:p>
    <w:p w14:paraId="3AEBBEB8" w14:textId="77777777" w:rsidR="0005237A" w:rsidRPr="00593411" w:rsidRDefault="0005237A" w:rsidP="00593411">
      <w:pPr>
        <w:pStyle w:val="WLGLevel1"/>
        <w:numPr>
          <w:ilvl w:val="1"/>
          <w:numId w:val="5"/>
        </w:numPr>
        <w:tabs>
          <w:tab w:val="clear" w:pos="1418"/>
          <w:tab w:val="num" w:pos="1560"/>
        </w:tabs>
        <w:suppressAutoHyphens w:val="0"/>
        <w:spacing w:before="0" w:after="480"/>
        <w:ind w:left="1560" w:hanging="851"/>
        <w:rPr>
          <w:rFonts w:cs="Arial"/>
          <w:szCs w:val="24"/>
          <w:lang w:val="en-GB"/>
        </w:rPr>
      </w:pPr>
      <w:r w:rsidRPr="00593411">
        <w:rPr>
          <w:rFonts w:cs="Arial"/>
          <w:szCs w:val="24"/>
          <w:lang w:val="en-GB"/>
        </w:rPr>
        <w:t>that notification reached the consumer, as may be inferred from the fact that the Post Office sent the notification to the correct postal address of the consumer; and</w:t>
      </w:r>
    </w:p>
    <w:p w14:paraId="010060A1" w14:textId="77777777" w:rsidR="0005237A" w:rsidRPr="00593411" w:rsidRDefault="0005237A" w:rsidP="00593411">
      <w:pPr>
        <w:pStyle w:val="WLGLevel1"/>
        <w:numPr>
          <w:ilvl w:val="1"/>
          <w:numId w:val="5"/>
        </w:numPr>
        <w:tabs>
          <w:tab w:val="clear" w:pos="1418"/>
          <w:tab w:val="num" w:pos="1560"/>
        </w:tabs>
        <w:suppressAutoHyphens w:val="0"/>
        <w:spacing w:before="0" w:after="480"/>
        <w:ind w:left="1560" w:hanging="851"/>
        <w:rPr>
          <w:rFonts w:cs="Arial"/>
          <w:szCs w:val="24"/>
          <w:lang w:val="en-GB"/>
        </w:rPr>
      </w:pPr>
      <w:r w:rsidRPr="00593411">
        <w:rPr>
          <w:rFonts w:cs="Arial"/>
          <w:szCs w:val="24"/>
          <w:lang w:val="en-GB"/>
        </w:rPr>
        <w:lastRenderedPageBreak/>
        <w:t>a reasonable consumer would have collected the notice and engaged with its contents.</w:t>
      </w:r>
    </w:p>
    <w:p w14:paraId="0687B46B" w14:textId="77777777" w:rsidR="0005237A" w:rsidRPr="00593411" w:rsidRDefault="0005237A" w:rsidP="00593411">
      <w:pPr>
        <w:pStyle w:val="WLGLevel1"/>
        <w:numPr>
          <w:ilvl w:val="0"/>
          <w:numId w:val="5"/>
        </w:numPr>
        <w:suppressAutoHyphens w:val="0"/>
        <w:spacing w:before="0" w:after="480"/>
        <w:rPr>
          <w:rFonts w:cs="Arial"/>
          <w:szCs w:val="24"/>
          <w:lang w:val="en-GB"/>
        </w:rPr>
      </w:pPr>
      <w:r w:rsidRPr="00593411">
        <w:rPr>
          <w:rFonts w:cs="Arial"/>
          <w:szCs w:val="24"/>
          <w:lang w:val="en-GB"/>
        </w:rPr>
        <w:t>Paragraph 56 adds that it suffices to bring the notice to a consumer’s attention for her “</w:t>
      </w:r>
      <w:r w:rsidRPr="00593411">
        <w:rPr>
          <w:rFonts w:cs="Arial"/>
          <w:i/>
          <w:iCs/>
          <w:szCs w:val="24"/>
          <w:lang w:val="en-GB"/>
        </w:rPr>
        <w:t>to have agreed to receive the notice by way of registered mail and then to receive a notification that a registered item is awaiting her attention. This is the case unless a reasonable consumer would not, in the circumstances, have taken receipt of the notice.</w:t>
      </w:r>
      <w:r w:rsidRPr="00593411">
        <w:rPr>
          <w:rFonts w:cs="Arial"/>
          <w:szCs w:val="24"/>
          <w:lang w:val="en-GB"/>
        </w:rPr>
        <w:t>”</w:t>
      </w:r>
    </w:p>
    <w:p w14:paraId="1F211BA1" w14:textId="77777777" w:rsidR="0005237A" w:rsidRPr="00593411" w:rsidRDefault="0005237A" w:rsidP="00593411">
      <w:pPr>
        <w:pStyle w:val="WLGLevel1"/>
        <w:keepNext/>
        <w:numPr>
          <w:ilvl w:val="0"/>
          <w:numId w:val="0"/>
        </w:numPr>
        <w:suppressAutoHyphens w:val="0"/>
        <w:spacing w:before="0" w:after="480"/>
        <w:ind w:left="567" w:hanging="567"/>
        <w:rPr>
          <w:rFonts w:cs="Arial"/>
          <w:b/>
          <w:bCs/>
          <w:szCs w:val="24"/>
          <w:lang w:val="en-GB"/>
        </w:rPr>
      </w:pPr>
      <w:r w:rsidRPr="00593411">
        <w:rPr>
          <w:rFonts w:cs="Arial"/>
          <w:b/>
          <w:bCs/>
          <w:szCs w:val="24"/>
          <w:lang w:val="en-GB"/>
        </w:rPr>
        <w:t>THE ISSUES</w:t>
      </w:r>
    </w:p>
    <w:p w14:paraId="542DBBA6" w14:textId="77777777" w:rsidR="0005237A" w:rsidRPr="00593411" w:rsidRDefault="0005237A" w:rsidP="00593411">
      <w:pPr>
        <w:pStyle w:val="WLGLevel1"/>
        <w:keepNext/>
        <w:numPr>
          <w:ilvl w:val="0"/>
          <w:numId w:val="0"/>
        </w:numPr>
        <w:suppressAutoHyphens w:val="0"/>
        <w:spacing w:before="0" w:after="480"/>
        <w:rPr>
          <w:rFonts w:cs="Arial"/>
          <w:b/>
          <w:bCs/>
          <w:szCs w:val="24"/>
          <w:lang w:val="en-GB"/>
        </w:rPr>
      </w:pPr>
      <w:r w:rsidRPr="00593411">
        <w:rPr>
          <w:rFonts w:cs="Arial"/>
          <w:b/>
          <w:bCs/>
          <w:szCs w:val="24"/>
          <w:lang w:val="en-GB"/>
        </w:rPr>
        <w:t>Was there compliance with the NCA?</w:t>
      </w:r>
    </w:p>
    <w:p w14:paraId="7984A6C8" w14:textId="230BC602" w:rsidR="0005237A" w:rsidRPr="00593411" w:rsidRDefault="0005237A" w:rsidP="00593411">
      <w:pPr>
        <w:pStyle w:val="WLGLevel1"/>
        <w:numPr>
          <w:ilvl w:val="0"/>
          <w:numId w:val="5"/>
        </w:numPr>
        <w:suppressAutoHyphens w:val="0"/>
        <w:spacing w:before="0" w:after="480"/>
        <w:rPr>
          <w:rFonts w:cs="Arial"/>
          <w:szCs w:val="24"/>
          <w:lang w:val="en-GB"/>
        </w:rPr>
      </w:pPr>
      <w:r w:rsidRPr="00593411">
        <w:rPr>
          <w:rFonts w:cs="Arial"/>
          <w:szCs w:val="24"/>
          <w:lang w:val="en-GB"/>
        </w:rPr>
        <w:t>Advocate Thabiso Mhlanga, who appeared for ABSA, observed that Mr van der Walt does not dispute being in breach of the agreement before submitting that:</w:t>
      </w:r>
    </w:p>
    <w:p w14:paraId="70FF3626" w14:textId="15B80732" w:rsidR="0005237A" w:rsidRPr="00593411" w:rsidRDefault="0005237A" w:rsidP="00593411">
      <w:pPr>
        <w:pStyle w:val="WLGLevel1"/>
        <w:numPr>
          <w:ilvl w:val="1"/>
          <w:numId w:val="5"/>
        </w:numPr>
        <w:tabs>
          <w:tab w:val="clear" w:pos="1418"/>
          <w:tab w:val="num" w:pos="1560"/>
        </w:tabs>
        <w:suppressAutoHyphens w:val="0"/>
        <w:spacing w:before="0" w:after="480"/>
        <w:ind w:left="1560" w:hanging="851"/>
        <w:rPr>
          <w:rFonts w:cs="Arial"/>
          <w:szCs w:val="24"/>
          <w:lang w:val="en-GB"/>
        </w:rPr>
      </w:pPr>
      <w:r w:rsidRPr="00593411">
        <w:rPr>
          <w:rFonts w:cs="Arial"/>
          <w:szCs w:val="24"/>
          <w:lang w:val="en-GB"/>
        </w:rPr>
        <w:t xml:space="preserve">ABSA delivered the NCA notice to Mr van der Walt’s </w:t>
      </w:r>
      <w:r w:rsidRPr="00593411">
        <w:rPr>
          <w:rFonts w:cs="Arial"/>
          <w:szCs w:val="24"/>
        </w:rPr>
        <w:t xml:space="preserve">nominated </w:t>
      </w:r>
      <w:r w:rsidRPr="00593411">
        <w:rPr>
          <w:rFonts w:cs="Arial"/>
          <w:i/>
          <w:iCs/>
          <w:szCs w:val="24"/>
        </w:rPr>
        <w:t>domicilium citandi et executandi</w:t>
      </w:r>
      <w:r w:rsidRPr="00593411">
        <w:rPr>
          <w:rFonts w:cs="Arial"/>
          <w:szCs w:val="24"/>
        </w:rPr>
        <w:t xml:space="preserve"> in accordance with sections 129(1) and 130(1) read with section 65(1) of the NCA, i.e. in the manner prescribed in the agreement; </w:t>
      </w:r>
      <w:r w:rsidRPr="00593411">
        <w:rPr>
          <w:rFonts w:cs="Arial"/>
          <w:i/>
          <w:iCs/>
          <w:szCs w:val="24"/>
        </w:rPr>
        <w:t>alternatively</w:t>
      </w:r>
    </w:p>
    <w:p w14:paraId="09CD3470" w14:textId="13A1EA3E" w:rsidR="0005237A" w:rsidRPr="00593411" w:rsidRDefault="0005237A" w:rsidP="00593411">
      <w:pPr>
        <w:pStyle w:val="WLGLevel1"/>
        <w:numPr>
          <w:ilvl w:val="1"/>
          <w:numId w:val="5"/>
        </w:numPr>
        <w:tabs>
          <w:tab w:val="clear" w:pos="1418"/>
          <w:tab w:val="num" w:pos="1560"/>
        </w:tabs>
        <w:suppressAutoHyphens w:val="0"/>
        <w:spacing w:before="0" w:after="480"/>
        <w:ind w:left="1560" w:hanging="851"/>
        <w:rPr>
          <w:rFonts w:cs="Arial"/>
          <w:szCs w:val="24"/>
          <w:lang w:val="en-GB"/>
        </w:rPr>
      </w:pPr>
      <w:r w:rsidRPr="00593411">
        <w:rPr>
          <w:rFonts w:cs="Arial"/>
          <w:szCs w:val="24"/>
          <w:lang w:val="en-GB"/>
        </w:rPr>
        <w:t xml:space="preserve">even if he </w:t>
      </w:r>
      <w:r w:rsidRPr="00593411">
        <w:rPr>
          <w:rFonts w:cs="Arial"/>
          <w:szCs w:val="24"/>
        </w:rPr>
        <w:t xml:space="preserve">did not nominate a </w:t>
      </w:r>
      <w:r w:rsidRPr="00593411">
        <w:rPr>
          <w:rFonts w:cs="Arial"/>
          <w:i/>
          <w:iCs/>
          <w:szCs w:val="24"/>
        </w:rPr>
        <w:t>domicilium citandi et executandi</w:t>
      </w:r>
      <w:r w:rsidRPr="00593411">
        <w:rPr>
          <w:rFonts w:cs="Arial"/>
          <w:szCs w:val="24"/>
        </w:rPr>
        <w:t xml:space="preserve">, i.e. if the agreement prescribes no method of delivery of </w:t>
      </w:r>
      <w:r w:rsidR="00194CDA">
        <w:rPr>
          <w:rFonts w:cs="Arial"/>
          <w:szCs w:val="24"/>
        </w:rPr>
        <w:t>the</w:t>
      </w:r>
      <w:r w:rsidRPr="00593411">
        <w:rPr>
          <w:rFonts w:cs="Arial"/>
          <w:szCs w:val="24"/>
        </w:rPr>
        <w:t xml:space="preserve"> notice, </w:t>
      </w:r>
      <w:r w:rsidRPr="00593411">
        <w:rPr>
          <w:rFonts w:cs="Arial"/>
          <w:szCs w:val="24"/>
          <w:lang w:val="en-GB"/>
        </w:rPr>
        <w:t xml:space="preserve">Mr van der Walt received </w:t>
      </w:r>
      <w:r w:rsidR="00EA0478">
        <w:rPr>
          <w:rFonts w:cs="Arial"/>
          <w:szCs w:val="24"/>
          <w:lang w:val="en-GB"/>
        </w:rPr>
        <w:t>it</w:t>
      </w:r>
      <w:r w:rsidRPr="00593411">
        <w:rPr>
          <w:rFonts w:cs="Arial"/>
          <w:szCs w:val="24"/>
          <w:lang w:val="en-GB"/>
        </w:rPr>
        <w:t xml:space="preserve"> in accordance with </w:t>
      </w:r>
      <w:r w:rsidRPr="00593411">
        <w:rPr>
          <w:rFonts w:cs="Arial"/>
          <w:szCs w:val="24"/>
        </w:rPr>
        <w:t xml:space="preserve">section 65(2) of the NCA, which lists making </w:t>
      </w:r>
      <w:r w:rsidRPr="00593411">
        <w:rPr>
          <w:rFonts w:cs="Arial"/>
          <w:szCs w:val="24"/>
        </w:rPr>
        <w:lastRenderedPageBreak/>
        <w:t>the document available to the consumer “</w:t>
      </w:r>
      <w:r w:rsidRPr="00593411">
        <w:rPr>
          <w:rFonts w:cs="Arial"/>
          <w:i/>
          <w:iCs/>
          <w:szCs w:val="24"/>
        </w:rPr>
        <w:t>in person … at any other location designated by the consumer … or by ordinary mail</w:t>
      </w:r>
      <w:r w:rsidRPr="00593411">
        <w:rPr>
          <w:rFonts w:cs="Arial"/>
          <w:szCs w:val="24"/>
        </w:rPr>
        <w:t>” as a competent method of delivery of the NCA notice</w:t>
      </w:r>
      <w:r w:rsidRPr="00593411">
        <w:rPr>
          <w:rFonts w:cs="Arial"/>
          <w:szCs w:val="24"/>
          <w:lang w:val="en-GB"/>
        </w:rPr>
        <w:t>.</w:t>
      </w:r>
    </w:p>
    <w:p w14:paraId="20615E11" w14:textId="45A3FE47" w:rsidR="0005237A" w:rsidRPr="00593411" w:rsidRDefault="0005237A" w:rsidP="00593411">
      <w:pPr>
        <w:pStyle w:val="WLGLevel1"/>
        <w:numPr>
          <w:ilvl w:val="0"/>
          <w:numId w:val="5"/>
        </w:numPr>
        <w:suppressAutoHyphens w:val="0"/>
        <w:spacing w:before="0" w:after="480"/>
        <w:rPr>
          <w:rFonts w:cs="Arial"/>
          <w:szCs w:val="24"/>
          <w:lang w:val="en-GB"/>
        </w:rPr>
      </w:pPr>
      <w:r w:rsidRPr="00593411">
        <w:rPr>
          <w:rFonts w:cs="Arial"/>
          <w:szCs w:val="24"/>
          <w:lang w:val="en-GB"/>
        </w:rPr>
        <w:t xml:space="preserve">In either event, Mr Mhlanga submitted that </w:t>
      </w:r>
      <w:r w:rsidRPr="00593411">
        <w:rPr>
          <w:rFonts w:cs="Arial"/>
          <w:szCs w:val="24"/>
        </w:rPr>
        <w:t xml:space="preserve">the documents referred to in paragraphs </w:t>
      </w:r>
      <w:r w:rsidRPr="00593411">
        <w:rPr>
          <w:rFonts w:cs="Arial"/>
          <w:szCs w:val="24"/>
        </w:rPr>
        <w:fldChar w:fldCharType="begin"/>
      </w:r>
      <w:r w:rsidRPr="00593411">
        <w:rPr>
          <w:rFonts w:cs="Arial"/>
          <w:szCs w:val="24"/>
        </w:rPr>
        <w:instrText xml:space="preserve"> REF _Ref136621088 \r \h  \* MERGEFORMAT </w:instrText>
      </w:r>
      <w:r w:rsidRPr="00593411">
        <w:rPr>
          <w:rFonts w:cs="Arial"/>
          <w:szCs w:val="24"/>
        </w:rPr>
      </w:r>
      <w:r w:rsidRPr="00593411">
        <w:rPr>
          <w:rFonts w:cs="Arial"/>
          <w:szCs w:val="24"/>
        </w:rPr>
        <w:fldChar w:fldCharType="separate"/>
      </w:r>
      <w:r w:rsidR="007B662E">
        <w:rPr>
          <w:rFonts w:cs="Arial"/>
          <w:szCs w:val="24"/>
        </w:rPr>
        <w:t>7</w:t>
      </w:r>
      <w:r w:rsidRPr="00593411">
        <w:rPr>
          <w:rFonts w:cs="Arial"/>
          <w:szCs w:val="24"/>
        </w:rPr>
        <w:fldChar w:fldCharType="end"/>
      </w:r>
      <w:r w:rsidRPr="00593411">
        <w:rPr>
          <w:rFonts w:cs="Arial"/>
          <w:szCs w:val="24"/>
        </w:rPr>
        <w:t xml:space="preserve"> and </w:t>
      </w:r>
      <w:r w:rsidRPr="00593411">
        <w:rPr>
          <w:rFonts w:cs="Arial"/>
          <w:szCs w:val="24"/>
        </w:rPr>
        <w:fldChar w:fldCharType="begin"/>
      </w:r>
      <w:r w:rsidRPr="00593411">
        <w:rPr>
          <w:rFonts w:cs="Arial"/>
          <w:szCs w:val="24"/>
        </w:rPr>
        <w:instrText xml:space="preserve"> REF _Ref136621095 \r \p \h  \* MERGEFORMAT </w:instrText>
      </w:r>
      <w:r w:rsidRPr="00593411">
        <w:rPr>
          <w:rFonts w:cs="Arial"/>
          <w:szCs w:val="24"/>
        </w:rPr>
      </w:r>
      <w:r w:rsidRPr="00593411">
        <w:rPr>
          <w:rFonts w:cs="Arial"/>
          <w:szCs w:val="24"/>
        </w:rPr>
        <w:fldChar w:fldCharType="separate"/>
      </w:r>
      <w:r w:rsidR="007B662E">
        <w:rPr>
          <w:rFonts w:cs="Arial"/>
          <w:szCs w:val="24"/>
        </w:rPr>
        <w:t>8 above</w:t>
      </w:r>
      <w:r w:rsidRPr="00593411">
        <w:rPr>
          <w:rFonts w:cs="Arial"/>
          <w:szCs w:val="24"/>
        </w:rPr>
        <w:fldChar w:fldCharType="end"/>
      </w:r>
      <w:r w:rsidRPr="00593411">
        <w:rPr>
          <w:rFonts w:cs="Arial"/>
          <w:szCs w:val="24"/>
        </w:rPr>
        <w:t xml:space="preserve"> demonstrate ABSA’s compliance with the requirements clarified in </w:t>
      </w:r>
      <w:r w:rsidRPr="00593411">
        <w:rPr>
          <w:rFonts w:cs="Arial"/>
          <w:i/>
          <w:iCs/>
          <w:szCs w:val="24"/>
        </w:rPr>
        <w:t>Kubyana</w:t>
      </w:r>
      <w:r w:rsidRPr="00593411">
        <w:rPr>
          <w:rFonts w:cs="Arial"/>
          <w:szCs w:val="24"/>
          <w:lang w:val="en-GB"/>
        </w:rPr>
        <w:t xml:space="preserve">. When pressed, however, Mr Mhlanga confirmed that it is unknown on the papers what form of </w:t>
      </w:r>
      <w:r w:rsidRPr="00593411">
        <w:rPr>
          <w:rFonts w:cs="Arial"/>
          <w:szCs w:val="24"/>
        </w:rPr>
        <w:t>“</w:t>
      </w:r>
      <w:r w:rsidRPr="00593411">
        <w:rPr>
          <w:rFonts w:cs="Arial"/>
          <w:i/>
          <w:iCs/>
          <w:szCs w:val="24"/>
        </w:rPr>
        <w:t>first notification to recipient</w:t>
      </w:r>
      <w:r w:rsidRPr="00593411">
        <w:rPr>
          <w:rFonts w:cs="Arial"/>
          <w:szCs w:val="24"/>
        </w:rPr>
        <w:t xml:space="preserve">” was sent on 27 November 2021 </w:t>
      </w:r>
      <w:r w:rsidRPr="00593411">
        <w:rPr>
          <w:rFonts w:cs="Arial"/>
          <w:szCs w:val="24"/>
          <w:lang w:val="en-GB"/>
        </w:rPr>
        <w:t xml:space="preserve">from </w:t>
      </w:r>
      <w:r w:rsidRPr="00593411">
        <w:rPr>
          <w:rFonts w:cs="Arial"/>
          <w:szCs w:val="24"/>
        </w:rPr>
        <w:t xml:space="preserve">the Cullinan branch of the Post Office </w:t>
      </w:r>
      <w:r w:rsidRPr="00593411">
        <w:rPr>
          <w:rFonts w:cs="Arial"/>
          <w:szCs w:val="24"/>
          <w:lang w:val="en-GB"/>
        </w:rPr>
        <w:t>to “</w:t>
      </w:r>
      <w:r w:rsidRPr="00593411">
        <w:rPr>
          <w:rFonts w:cs="Arial"/>
          <w:i/>
          <w:iCs/>
          <w:szCs w:val="24"/>
          <w:lang w:val="en-GB"/>
        </w:rPr>
        <w:t>284 Boekenhoutskloof, Cullinan, 1000</w:t>
      </w:r>
      <w:r w:rsidRPr="00593411">
        <w:rPr>
          <w:rFonts w:cs="Arial"/>
          <w:szCs w:val="24"/>
          <w:lang w:val="en-GB"/>
        </w:rPr>
        <w:t>” or whether such notification reached Mr van der Walt’s nominated physical address.</w:t>
      </w:r>
    </w:p>
    <w:p w14:paraId="5262808D" w14:textId="3F5EB4A6" w:rsidR="0005237A" w:rsidRPr="00593411" w:rsidRDefault="0005237A" w:rsidP="00593411">
      <w:pPr>
        <w:pStyle w:val="WLGLevel1"/>
        <w:numPr>
          <w:ilvl w:val="0"/>
          <w:numId w:val="5"/>
        </w:numPr>
        <w:suppressAutoHyphens w:val="0"/>
        <w:spacing w:before="0" w:after="480"/>
        <w:rPr>
          <w:rFonts w:cs="Arial"/>
          <w:szCs w:val="24"/>
          <w:lang w:val="en-GB"/>
        </w:rPr>
      </w:pPr>
      <w:r w:rsidRPr="00593411">
        <w:rPr>
          <w:rFonts w:cs="Arial"/>
          <w:szCs w:val="24"/>
          <w:lang w:val="en-GB"/>
        </w:rPr>
        <w:t xml:space="preserve">Attorney de Beer, who appeared for Mr van der Walt, submitted that the address to which the NCA notice was </w:t>
      </w:r>
      <w:r w:rsidRPr="00593411">
        <w:rPr>
          <w:rFonts w:cs="Arial"/>
          <w:szCs w:val="24"/>
        </w:rPr>
        <w:t>directed does not exist</w:t>
      </w:r>
      <w:r w:rsidRPr="00593411">
        <w:rPr>
          <w:rFonts w:cs="Arial"/>
          <w:szCs w:val="24"/>
          <w:lang w:val="en-GB"/>
        </w:rPr>
        <w:t xml:space="preserve"> and, in any event, is not the physical address nominated in the agreement. He added that the agreement references no postal address and there is no postal delivery at Mr van der Walt’s farm. Thus, the notice could not have reached him; and, on the papers, did not reach him. </w:t>
      </w:r>
    </w:p>
    <w:p w14:paraId="27EA7AEA" w14:textId="2F450964" w:rsidR="0005237A" w:rsidRPr="00593411" w:rsidRDefault="0005237A" w:rsidP="00593411">
      <w:pPr>
        <w:pStyle w:val="WLGLevel1"/>
        <w:numPr>
          <w:ilvl w:val="0"/>
          <w:numId w:val="5"/>
        </w:numPr>
        <w:suppressAutoHyphens w:val="0"/>
        <w:spacing w:before="0" w:after="480"/>
        <w:rPr>
          <w:rFonts w:cs="Arial"/>
          <w:szCs w:val="24"/>
          <w:lang w:val="en-GB"/>
        </w:rPr>
      </w:pPr>
      <w:r w:rsidRPr="00593411">
        <w:rPr>
          <w:rFonts w:cs="Arial"/>
          <w:szCs w:val="24"/>
          <w:lang w:val="en-GB"/>
        </w:rPr>
        <w:t xml:space="preserve">Instead, on the argument of Mr de Beer, ABSA could have but did not have the notice delivered by sheriff to the farm. On the facts of this case, therefore, it was submitted that section </w:t>
      </w:r>
      <w:r w:rsidRPr="00593411">
        <w:rPr>
          <w:rFonts w:cs="Arial"/>
          <w:szCs w:val="24"/>
        </w:rPr>
        <w:t>65(1) and (2) of the NCA does not avail ABSA</w:t>
      </w:r>
      <w:r w:rsidRPr="00593411">
        <w:rPr>
          <w:rFonts w:cs="Arial"/>
          <w:szCs w:val="24"/>
          <w:lang w:val="en-GB"/>
        </w:rPr>
        <w:t>.</w:t>
      </w:r>
    </w:p>
    <w:p w14:paraId="697A26BE" w14:textId="5EC4F536" w:rsidR="0005237A" w:rsidRPr="00593411" w:rsidRDefault="0075391D" w:rsidP="00593411">
      <w:pPr>
        <w:pStyle w:val="WLGLevel1"/>
        <w:numPr>
          <w:ilvl w:val="0"/>
          <w:numId w:val="5"/>
        </w:numPr>
        <w:suppressAutoHyphens w:val="0"/>
        <w:spacing w:before="0" w:after="480"/>
        <w:rPr>
          <w:rFonts w:cs="Arial"/>
          <w:szCs w:val="24"/>
          <w:lang w:val="en-GB"/>
        </w:rPr>
      </w:pPr>
      <w:r>
        <w:rPr>
          <w:rFonts w:cs="Arial"/>
          <w:szCs w:val="24"/>
          <w:lang w:val="en-GB"/>
        </w:rPr>
        <w:lastRenderedPageBreak/>
        <w:t>O</w:t>
      </w:r>
      <w:r w:rsidR="0005237A" w:rsidRPr="00593411">
        <w:rPr>
          <w:rFonts w:cs="Arial"/>
          <w:szCs w:val="24"/>
          <w:lang w:val="en-GB"/>
        </w:rPr>
        <w:t xml:space="preserve">n the authorities, subject to the qualification in </w:t>
      </w:r>
      <w:r w:rsidR="0005237A" w:rsidRPr="00593411">
        <w:rPr>
          <w:rFonts w:cs="Arial"/>
          <w:i/>
          <w:iCs/>
          <w:szCs w:val="24"/>
          <w:lang w:val="en-GB"/>
        </w:rPr>
        <w:t xml:space="preserve">Kubyana </w:t>
      </w:r>
      <w:r w:rsidR="0005237A" w:rsidRPr="00593411">
        <w:rPr>
          <w:rFonts w:cs="Arial"/>
          <w:szCs w:val="24"/>
          <w:lang w:val="en-GB"/>
        </w:rPr>
        <w:t>regarding subjective knowledge on the part of the consumer, it remains for the credit provider to aver and prove that a notice in terms of section 129 of the NCA was delivered to the consumer.</w:t>
      </w:r>
      <w:r w:rsidR="0005237A" w:rsidRPr="00593411">
        <w:rPr>
          <w:rStyle w:val="FootnoteReference"/>
          <w:rFonts w:cs="Arial"/>
          <w:szCs w:val="24"/>
          <w:lang w:val="en-US"/>
        </w:rPr>
        <w:footnoteReference w:id="7"/>
      </w:r>
    </w:p>
    <w:p w14:paraId="0E2D28A9" w14:textId="77777777" w:rsidR="0005237A" w:rsidRPr="00593411" w:rsidRDefault="0005237A" w:rsidP="00593411">
      <w:pPr>
        <w:pStyle w:val="WLGLevel1"/>
        <w:numPr>
          <w:ilvl w:val="0"/>
          <w:numId w:val="5"/>
        </w:numPr>
        <w:suppressAutoHyphens w:val="0"/>
        <w:spacing w:before="0" w:after="480"/>
        <w:rPr>
          <w:rFonts w:cs="Arial"/>
          <w:szCs w:val="24"/>
          <w:lang w:val="en-GB"/>
        </w:rPr>
      </w:pPr>
      <w:bookmarkStart w:id="13" w:name="_Ref137203581"/>
      <w:r w:rsidRPr="00593411">
        <w:rPr>
          <w:rFonts w:cs="Arial"/>
          <w:szCs w:val="24"/>
          <w:lang w:val="en-GB"/>
        </w:rPr>
        <w:t>Even post-</w:t>
      </w:r>
      <w:r w:rsidRPr="00593411">
        <w:rPr>
          <w:rFonts w:cs="Arial"/>
          <w:i/>
          <w:iCs/>
          <w:szCs w:val="24"/>
          <w:lang w:val="en-GB"/>
        </w:rPr>
        <w:t>Kubyana</w:t>
      </w:r>
      <w:r w:rsidRPr="00593411">
        <w:rPr>
          <w:rFonts w:cs="Arial"/>
          <w:szCs w:val="24"/>
          <w:lang w:val="en-GB"/>
        </w:rPr>
        <w:t>, moreover, our courts incline towards requiring strict compliance in applying sections 129 and 130 of the NCA to credit agreements between parties.</w:t>
      </w:r>
      <w:r w:rsidRPr="00593411">
        <w:rPr>
          <w:rStyle w:val="FootnoteReference"/>
          <w:rFonts w:cs="Arial"/>
          <w:szCs w:val="24"/>
          <w:lang w:val="en-US"/>
        </w:rPr>
        <w:footnoteReference w:id="8"/>
      </w:r>
      <w:bookmarkEnd w:id="13"/>
    </w:p>
    <w:p w14:paraId="757D8281" w14:textId="77777777" w:rsidR="0005237A" w:rsidRPr="00593411" w:rsidRDefault="0005237A" w:rsidP="00593411">
      <w:pPr>
        <w:pStyle w:val="WLGLevel1"/>
        <w:numPr>
          <w:ilvl w:val="0"/>
          <w:numId w:val="5"/>
        </w:numPr>
        <w:suppressAutoHyphens w:val="0"/>
        <w:spacing w:before="0" w:after="480"/>
        <w:rPr>
          <w:rFonts w:cs="Arial"/>
          <w:szCs w:val="24"/>
          <w:lang w:val="en-GB"/>
        </w:rPr>
      </w:pPr>
      <w:r w:rsidRPr="00593411">
        <w:rPr>
          <w:rFonts w:cs="Arial"/>
          <w:szCs w:val="24"/>
          <w:lang w:val="en-GB"/>
        </w:rPr>
        <w:t>How then are these principles to be applied to the facts of this case?</w:t>
      </w:r>
    </w:p>
    <w:p w14:paraId="6B048805" w14:textId="44FFF228" w:rsidR="0005237A" w:rsidRPr="00593411" w:rsidRDefault="0005237A" w:rsidP="00593411">
      <w:pPr>
        <w:pStyle w:val="WLGLevel1"/>
        <w:numPr>
          <w:ilvl w:val="0"/>
          <w:numId w:val="5"/>
        </w:numPr>
        <w:suppressAutoHyphens w:val="0"/>
        <w:spacing w:before="0" w:after="480"/>
        <w:rPr>
          <w:rFonts w:cs="Arial"/>
          <w:szCs w:val="24"/>
          <w:lang w:val="en-GB"/>
        </w:rPr>
      </w:pPr>
      <w:r w:rsidRPr="00593411">
        <w:rPr>
          <w:rFonts w:cs="Arial"/>
          <w:szCs w:val="24"/>
          <w:lang w:val="en-GB"/>
        </w:rPr>
        <w:t xml:space="preserve">The agreement is a standard-form ABSA document. It regulates the permissible manners of communication between the parties. Mr van der Walt was not asked to provide a postal address; and did not do so. He was asked to provide a physical address; and did so, as recorded in paragraph </w:t>
      </w:r>
      <w:r w:rsidRPr="00593411">
        <w:rPr>
          <w:rFonts w:cs="Arial"/>
          <w:szCs w:val="24"/>
          <w:lang w:val="en-GB"/>
        </w:rPr>
        <w:fldChar w:fldCharType="begin"/>
      </w:r>
      <w:r w:rsidRPr="00593411">
        <w:rPr>
          <w:rFonts w:cs="Arial"/>
          <w:szCs w:val="24"/>
          <w:lang w:val="en-GB"/>
        </w:rPr>
        <w:instrText xml:space="preserve"> REF _Ref137197099 \r \p \h </w:instrText>
      </w:r>
      <w:r w:rsidR="00593411" w:rsidRPr="00593411">
        <w:rPr>
          <w:rFonts w:cs="Arial"/>
          <w:szCs w:val="24"/>
          <w:lang w:val="en-GB"/>
        </w:rPr>
        <w:instrText xml:space="preserve"> \* MERGEFORMAT </w:instrText>
      </w:r>
      <w:r w:rsidRPr="00593411">
        <w:rPr>
          <w:rFonts w:cs="Arial"/>
          <w:szCs w:val="24"/>
          <w:lang w:val="en-GB"/>
        </w:rPr>
      </w:r>
      <w:r w:rsidRPr="00593411">
        <w:rPr>
          <w:rFonts w:cs="Arial"/>
          <w:szCs w:val="24"/>
          <w:lang w:val="en-GB"/>
        </w:rPr>
        <w:fldChar w:fldCharType="separate"/>
      </w:r>
      <w:r w:rsidR="007B662E">
        <w:rPr>
          <w:rFonts w:cs="Arial"/>
          <w:szCs w:val="24"/>
          <w:lang w:val="en-GB"/>
        </w:rPr>
        <w:t>4.2 above</w:t>
      </w:r>
      <w:r w:rsidRPr="00593411">
        <w:rPr>
          <w:rFonts w:cs="Arial"/>
          <w:szCs w:val="24"/>
          <w:lang w:val="en-GB"/>
        </w:rPr>
        <w:fldChar w:fldCharType="end"/>
      </w:r>
      <w:r w:rsidRPr="00593411">
        <w:rPr>
          <w:rFonts w:cs="Arial"/>
          <w:szCs w:val="24"/>
          <w:lang w:val="en-GB"/>
        </w:rPr>
        <w:t xml:space="preserve">. The terms translated in paragraphs </w:t>
      </w:r>
      <w:r w:rsidRPr="00593411">
        <w:rPr>
          <w:rFonts w:cs="Arial"/>
          <w:szCs w:val="24"/>
          <w:lang w:val="en-GB"/>
        </w:rPr>
        <w:fldChar w:fldCharType="begin"/>
      </w:r>
      <w:r w:rsidRPr="00593411">
        <w:rPr>
          <w:rFonts w:cs="Arial"/>
          <w:szCs w:val="24"/>
          <w:lang w:val="en-GB"/>
        </w:rPr>
        <w:instrText xml:space="preserve"> REF _Ref137197186 \r \h </w:instrText>
      </w:r>
      <w:r w:rsidR="00593411" w:rsidRPr="00593411">
        <w:rPr>
          <w:rFonts w:cs="Arial"/>
          <w:szCs w:val="24"/>
          <w:lang w:val="en-GB"/>
        </w:rPr>
        <w:instrText xml:space="preserve"> \* MERGEFORMAT </w:instrText>
      </w:r>
      <w:r w:rsidRPr="00593411">
        <w:rPr>
          <w:rFonts w:cs="Arial"/>
          <w:szCs w:val="24"/>
          <w:lang w:val="en-GB"/>
        </w:rPr>
      </w:r>
      <w:r w:rsidRPr="00593411">
        <w:rPr>
          <w:rFonts w:cs="Arial"/>
          <w:szCs w:val="24"/>
          <w:lang w:val="en-GB"/>
        </w:rPr>
        <w:fldChar w:fldCharType="separate"/>
      </w:r>
      <w:r w:rsidR="007B662E">
        <w:rPr>
          <w:rFonts w:cs="Arial"/>
          <w:szCs w:val="24"/>
          <w:lang w:val="en-GB"/>
        </w:rPr>
        <w:t>4.3</w:t>
      </w:r>
      <w:r w:rsidRPr="00593411">
        <w:rPr>
          <w:rFonts w:cs="Arial"/>
          <w:szCs w:val="24"/>
          <w:lang w:val="en-GB"/>
        </w:rPr>
        <w:fldChar w:fldCharType="end"/>
      </w:r>
      <w:r w:rsidRPr="00593411">
        <w:rPr>
          <w:rFonts w:cs="Arial"/>
          <w:szCs w:val="24"/>
          <w:lang w:val="en-GB"/>
        </w:rPr>
        <w:t xml:space="preserve"> and </w:t>
      </w:r>
      <w:r w:rsidRPr="00593411">
        <w:rPr>
          <w:rFonts w:cs="Arial"/>
          <w:szCs w:val="24"/>
          <w:lang w:val="en-GB"/>
        </w:rPr>
        <w:fldChar w:fldCharType="begin"/>
      </w:r>
      <w:r w:rsidRPr="00593411">
        <w:rPr>
          <w:rFonts w:cs="Arial"/>
          <w:szCs w:val="24"/>
          <w:lang w:val="en-GB"/>
        </w:rPr>
        <w:instrText xml:space="preserve"> REF _Ref137197385 \r \p \h </w:instrText>
      </w:r>
      <w:r w:rsidR="00593411" w:rsidRPr="00593411">
        <w:rPr>
          <w:rFonts w:cs="Arial"/>
          <w:szCs w:val="24"/>
          <w:lang w:val="en-GB"/>
        </w:rPr>
        <w:instrText xml:space="preserve"> \* MERGEFORMAT </w:instrText>
      </w:r>
      <w:r w:rsidRPr="00593411">
        <w:rPr>
          <w:rFonts w:cs="Arial"/>
          <w:szCs w:val="24"/>
          <w:lang w:val="en-GB"/>
        </w:rPr>
      </w:r>
      <w:r w:rsidRPr="00593411">
        <w:rPr>
          <w:rFonts w:cs="Arial"/>
          <w:szCs w:val="24"/>
          <w:lang w:val="en-GB"/>
        </w:rPr>
        <w:fldChar w:fldCharType="separate"/>
      </w:r>
      <w:r w:rsidR="007B662E">
        <w:rPr>
          <w:rFonts w:cs="Arial"/>
          <w:szCs w:val="24"/>
          <w:lang w:val="en-GB"/>
        </w:rPr>
        <w:t>4.4 above</w:t>
      </w:r>
      <w:r w:rsidRPr="00593411">
        <w:rPr>
          <w:rFonts w:cs="Arial"/>
          <w:szCs w:val="24"/>
          <w:lang w:val="en-GB"/>
        </w:rPr>
        <w:fldChar w:fldCharType="end"/>
      </w:r>
      <w:r w:rsidRPr="00593411">
        <w:rPr>
          <w:rFonts w:cs="Arial"/>
          <w:szCs w:val="24"/>
          <w:lang w:val="en-GB"/>
        </w:rPr>
        <w:t xml:space="preserve"> suggest that, if there were to be communication by post, it was to be delivered to the nominated physical address. There is no evidence in the record that that requirement was observed in relation to the NCA notice.</w:t>
      </w:r>
    </w:p>
    <w:p w14:paraId="27E31D15" w14:textId="29F9C4B2" w:rsidR="0005237A" w:rsidRPr="00593411" w:rsidRDefault="0005237A" w:rsidP="00593411">
      <w:pPr>
        <w:pStyle w:val="WLGLevel1"/>
        <w:numPr>
          <w:ilvl w:val="0"/>
          <w:numId w:val="5"/>
        </w:numPr>
        <w:suppressAutoHyphens w:val="0"/>
        <w:spacing w:before="0" w:after="480"/>
        <w:rPr>
          <w:rFonts w:cs="Arial"/>
          <w:szCs w:val="24"/>
          <w:lang w:val="en-GB"/>
        </w:rPr>
      </w:pPr>
      <w:r w:rsidRPr="00593411">
        <w:rPr>
          <w:rFonts w:cs="Arial"/>
          <w:szCs w:val="24"/>
          <w:lang w:val="en-GB"/>
        </w:rPr>
        <w:lastRenderedPageBreak/>
        <w:t xml:space="preserve">It is notable that ABSA has been inconsistent in identifying the address at which it contends it was entitled to communicate with Mr van der Walt in relation to the agreement, as evidenced by the pleaded allegations paraphrased in paragraphs </w:t>
      </w:r>
      <w:r w:rsidRPr="00593411">
        <w:rPr>
          <w:rFonts w:cs="Arial"/>
          <w:szCs w:val="24"/>
          <w:lang w:val="en-GB"/>
        </w:rPr>
        <w:fldChar w:fldCharType="begin"/>
      </w:r>
      <w:r w:rsidRPr="00593411">
        <w:rPr>
          <w:rFonts w:cs="Arial"/>
          <w:szCs w:val="24"/>
          <w:lang w:val="en-GB"/>
        </w:rPr>
        <w:instrText xml:space="preserve"> REF _Ref137160503 \r \h </w:instrText>
      </w:r>
      <w:r w:rsidR="00593411" w:rsidRPr="00593411">
        <w:rPr>
          <w:rFonts w:cs="Arial"/>
          <w:szCs w:val="24"/>
          <w:lang w:val="en-GB"/>
        </w:rPr>
        <w:instrText xml:space="preserve"> \* MERGEFORMAT </w:instrText>
      </w:r>
      <w:r w:rsidRPr="00593411">
        <w:rPr>
          <w:rFonts w:cs="Arial"/>
          <w:szCs w:val="24"/>
          <w:lang w:val="en-GB"/>
        </w:rPr>
      </w:r>
      <w:r w:rsidRPr="00593411">
        <w:rPr>
          <w:rFonts w:cs="Arial"/>
          <w:szCs w:val="24"/>
          <w:lang w:val="en-GB"/>
        </w:rPr>
        <w:fldChar w:fldCharType="separate"/>
      </w:r>
      <w:r w:rsidR="007B662E">
        <w:rPr>
          <w:rFonts w:cs="Arial"/>
          <w:szCs w:val="24"/>
          <w:lang w:val="en-GB"/>
        </w:rPr>
        <w:t>11.1</w:t>
      </w:r>
      <w:r w:rsidRPr="00593411">
        <w:rPr>
          <w:rFonts w:cs="Arial"/>
          <w:szCs w:val="24"/>
          <w:lang w:val="en-GB"/>
        </w:rPr>
        <w:fldChar w:fldCharType="end"/>
      </w:r>
      <w:r w:rsidRPr="00593411">
        <w:rPr>
          <w:rFonts w:cs="Arial"/>
          <w:szCs w:val="24"/>
          <w:lang w:val="en-GB"/>
        </w:rPr>
        <w:t xml:space="preserve"> and </w:t>
      </w:r>
      <w:r w:rsidRPr="00593411">
        <w:rPr>
          <w:rFonts w:cs="Arial"/>
          <w:szCs w:val="24"/>
          <w:lang w:val="en-GB"/>
        </w:rPr>
        <w:fldChar w:fldCharType="begin"/>
      </w:r>
      <w:r w:rsidRPr="00593411">
        <w:rPr>
          <w:rFonts w:cs="Arial"/>
          <w:szCs w:val="24"/>
          <w:lang w:val="en-GB"/>
        </w:rPr>
        <w:instrText xml:space="preserve"> REF _Ref137160515 \r \p \h </w:instrText>
      </w:r>
      <w:r w:rsidR="00593411" w:rsidRPr="00593411">
        <w:rPr>
          <w:rFonts w:cs="Arial"/>
          <w:szCs w:val="24"/>
          <w:lang w:val="en-GB"/>
        </w:rPr>
        <w:instrText xml:space="preserve"> \* MERGEFORMAT </w:instrText>
      </w:r>
      <w:r w:rsidRPr="00593411">
        <w:rPr>
          <w:rFonts w:cs="Arial"/>
          <w:szCs w:val="24"/>
          <w:lang w:val="en-GB"/>
        </w:rPr>
      </w:r>
      <w:r w:rsidRPr="00593411">
        <w:rPr>
          <w:rFonts w:cs="Arial"/>
          <w:szCs w:val="24"/>
          <w:lang w:val="en-GB"/>
        </w:rPr>
        <w:fldChar w:fldCharType="separate"/>
      </w:r>
      <w:r w:rsidR="007B662E">
        <w:rPr>
          <w:rFonts w:cs="Arial"/>
          <w:szCs w:val="24"/>
          <w:lang w:val="en-GB"/>
        </w:rPr>
        <w:t>13.1 above</w:t>
      </w:r>
      <w:r w:rsidRPr="00593411">
        <w:rPr>
          <w:rFonts w:cs="Arial"/>
          <w:szCs w:val="24"/>
          <w:lang w:val="en-GB"/>
        </w:rPr>
        <w:fldChar w:fldCharType="end"/>
      </w:r>
      <w:r w:rsidRPr="00593411">
        <w:rPr>
          <w:rFonts w:cs="Arial"/>
          <w:szCs w:val="24"/>
          <w:lang w:val="en-GB"/>
        </w:rPr>
        <w:t>.</w:t>
      </w:r>
    </w:p>
    <w:p w14:paraId="4EDF6C72" w14:textId="6DFBA42C" w:rsidR="0005237A" w:rsidRPr="00593411" w:rsidRDefault="0005237A" w:rsidP="00593411">
      <w:pPr>
        <w:pStyle w:val="WLGLevel1"/>
        <w:numPr>
          <w:ilvl w:val="0"/>
          <w:numId w:val="5"/>
        </w:numPr>
        <w:suppressAutoHyphens w:val="0"/>
        <w:spacing w:before="0" w:after="480"/>
        <w:rPr>
          <w:rFonts w:cs="Arial"/>
          <w:szCs w:val="24"/>
          <w:lang w:val="en-GB"/>
        </w:rPr>
      </w:pPr>
      <w:r w:rsidRPr="00593411">
        <w:rPr>
          <w:rFonts w:cs="Arial"/>
          <w:szCs w:val="24"/>
          <w:lang w:val="en-GB"/>
        </w:rPr>
        <w:t xml:space="preserve">In addition, it is evident from the documents referenced in paragraphs </w:t>
      </w:r>
      <w:r w:rsidRPr="00593411">
        <w:rPr>
          <w:rFonts w:cs="Arial"/>
          <w:szCs w:val="24"/>
          <w:lang w:val="en-GB"/>
        </w:rPr>
        <w:fldChar w:fldCharType="begin"/>
      </w:r>
      <w:r w:rsidRPr="00593411">
        <w:rPr>
          <w:rFonts w:cs="Arial"/>
          <w:szCs w:val="24"/>
          <w:lang w:val="en-GB"/>
        </w:rPr>
        <w:instrText xml:space="preserve"> REF _Ref136621088 \r \h </w:instrText>
      </w:r>
      <w:r w:rsidR="00593411" w:rsidRPr="00593411">
        <w:rPr>
          <w:rFonts w:cs="Arial"/>
          <w:szCs w:val="24"/>
          <w:lang w:val="en-GB"/>
        </w:rPr>
        <w:instrText xml:space="preserve"> \* MERGEFORMAT </w:instrText>
      </w:r>
      <w:r w:rsidRPr="00593411">
        <w:rPr>
          <w:rFonts w:cs="Arial"/>
          <w:szCs w:val="24"/>
          <w:lang w:val="en-GB"/>
        </w:rPr>
      </w:r>
      <w:r w:rsidRPr="00593411">
        <w:rPr>
          <w:rFonts w:cs="Arial"/>
          <w:szCs w:val="24"/>
          <w:lang w:val="en-GB"/>
        </w:rPr>
        <w:fldChar w:fldCharType="separate"/>
      </w:r>
      <w:r w:rsidR="007B662E">
        <w:rPr>
          <w:rFonts w:cs="Arial"/>
          <w:szCs w:val="24"/>
          <w:lang w:val="en-GB"/>
        </w:rPr>
        <w:t>7</w:t>
      </w:r>
      <w:r w:rsidRPr="00593411">
        <w:rPr>
          <w:rFonts w:cs="Arial"/>
          <w:szCs w:val="24"/>
          <w:lang w:val="en-GB"/>
        </w:rPr>
        <w:fldChar w:fldCharType="end"/>
      </w:r>
      <w:r w:rsidRPr="00593411">
        <w:rPr>
          <w:rFonts w:cs="Arial"/>
          <w:szCs w:val="24"/>
          <w:lang w:val="en-GB"/>
        </w:rPr>
        <w:t xml:space="preserve"> to </w:t>
      </w:r>
      <w:r w:rsidRPr="00593411">
        <w:rPr>
          <w:rFonts w:cs="Arial"/>
          <w:szCs w:val="24"/>
          <w:lang w:val="en-GB"/>
        </w:rPr>
        <w:fldChar w:fldCharType="begin"/>
      </w:r>
      <w:r w:rsidRPr="00593411">
        <w:rPr>
          <w:rFonts w:cs="Arial"/>
          <w:szCs w:val="24"/>
          <w:lang w:val="en-GB"/>
        </w:rPr>
        <w:instrText xml:space="preserve"> REF _Ref137199071 \r \p \h </w:instrText>
      </w:r>
      <w:r w:rsidR="00593411" w:rsidRPr="00593411">
        <w:rPr>
          <w:rFonts w:cs="Arial"/>
          <w:szCs w:val="24"/>
          <w:lang w:val="en-GB"/>
        </w:rPr>
        <w:instrText xml:space="preserve"> \* MERGEFORMAT </w:instrText>
      </w:r>
      <w:r w:rsidRPr="00593411">
        <w:rPr>
          <w:rFonts w:cs="Arial"/>
          <w:szCs w:val="24"/>
          <w:lang w:val="en-GB"/>
        </w:rPr>
      </w:r>
      <w:r w:rsidRPr="00593411">
        <w:rPr>
          <w:rFonts w:cs="Arial"/>
          <w:szCs w:val="24"/>
          <w:lang w:val="en-GB"/>
        </w:rPr>
        <w:fldChar w:fldCharType="separate"/>
      </w:r>
      <w:r w:rsidR="007B662E">
        <w:rPr>
          <w:rFonts w:cs="Arial"/>
          <w:szCs w:val="24"/>
          <w:lang w:val="en-GB"/>
        </w:rPr>
        <w:t>12 above</w:t>
      </w:r>
      <w:r w:rsidRPr="00593411">
        <w:rPr>
          <w:rFonts w:cs="Arial"/>
          <w:szCs w:val="24"/>
          <w:lang w:val="en-GB"/>
        </w:rPr>
        <w:fldChar w:fldCharType="end"/>
      </w:r>
      <w:r w:rsidRPr="00593411">
        <w:rPr>
          <w:rFonts w:cs="Arial"/>
          <w:szCs w:val="24"/>
          <w:lang w:val="en-GB"/>
        </w:rPr>
        <w:t xml:space="preserve"> that, at some time between July 2019 and November 2021, the word “</w:t>
      </w:r>
      <w:r w:rsidRPr="00593411">
        <w:rPr>
          <w:rFonts w:cs="Arial"/>
          <w:i/>
          <w:iCs/>
          <w:szCs w:val="24"/>
          <w:lang w:val="en-GB"/>
        </w:rPr>
        <w:t>farm</w:t>
      </w:r>
      <w:r w:rsidRPr="00593411">
        <w:rPr>
          <w:rFonts w:cs="Arial"/>
          <w:szCs w:val="24"/>
          <w:lang w:val="en-GB"/>
        </w:rPr>
        <w:t xml:space="preserve">” was omitted from the physical address </w:t>
      </w:r>
      <w:r w:rsidR="004C58A9">
        <w:rPr>
          <w:rFonts w:cs="Arial"/>
          <w:szCs w:val="24"/>
          <w:lang w:val="en-GB"/>
        </w:rPr>
        <w:t>captured and</w:t>
      </w:r>
      <w:r w:rsidR="004C58A9" w:rsidRPr="00593411">
        <w:rPr>
          <w:rFonts w:cs="Arial"/>
          <w:szCs w:val="24"/>
          <w:lang w:val="en-GB"/>
        </w:rPr>
        <w:t xml:space="preserve"> </w:t>
      </w:r>
      <w:r w:rsidRPr="00593411">
        <w:rPr>
          <w:rFonts w:cs="Arial"/>
          <w:szCs w:val="24"/>
          <w:lang w:val="en-GB"/>
        </w:rPr>
        <w:t>use</w:t>
      </w:r>
      <w:r w:rsidR="004C58A9">
        <w:rPr>
          <w:rFonts w:cs="Arial"/>
          <w:szCs w:val="24"/>
          <w:lang w:val="en-GB"/>
        </w:rPr>
        <w:t>d</w:t>
      </w:r>
      <w:r w:rsidRPr="00593411">
        <w:rPr>
          <w:rFonts w:cs="Arial"/>
          <w:szCs w:val="24"/>
          <w:lang w:val="en-GB"/>
        </w:rPr>
        <w:t xml:space="preserve"> by ABSA and its attorneys in respect of Mr van der Walt.</w:t>
      </w:r>
    </w:p>
    <w:p w14:paraId="6C5025A2" w14:textId="69D61F12" w:rsidR="0005237A" w:rsidRPr="00593411" w:rsidRDefault="0005237A" w:rsidP="00593411">
      <w:pPr>
        <w:pStyle w:val="WLGLevel1"/>
        <w:numPr>
          <w:ilvl w:val="0"/>
          <w:numId w:val="5"/>
        </w:numPr>
        <w:suppressAutoHyphens w:val="0"/>
        <w:spacing w:before="0" w:after="480"/>
        <w:rPr>
          <w:rFonts w:cs="Arial"/>
          <w:szCs w:val="24"/>
          <w:lang w:val="en-GB"/>
        </w:rPr>
      </w:pPr>
      <w:r w:rsidRPr="00593411">
        <w:rPr>
          <w:rFonts w:cs="Arial"/>
          <w:szCs w:val="24"/>
          <w:lang w:val="en-GB"/>
        </w:rPr>
        <w:t>Whilst such an omission might ordinarily have been inconsequential, there is objective evidence that:</w:t>
      </w:r>
    </w:p>
    <w:p w14:paraId="59C097FC" w14:textId="77777777" w:rsidR="0005237A" w:rsidRPr="00593411" w:rsidRDefault="0005237A" w:rsidP="00593411">
      <w:pPr>
        <w:pStyle w:val="WLGLevel1"/>
        <w:numPr>
          <w:ilvl w:val="1"/>
          <w:numId w:val="5"/>
        </w:numPr>
        <w:tabs>
          <w:tab w:val="clear" w:pos="1418"/>
          <w:tab w:val="num" w:pos="1560"/>
        </w:tabs>
        <w:suppressAutoHyphens w:val="0"/>
        <w:spacing w:before="0" w:after="480"/>
        <w:ind w:left="1560" w:hanging="851"/>
        <w:rPr>
          <w:rFonts w:cs="Arial"/>
          <w:szCs w:val="24"/>
          <w:lang w:val="en-GB"/>
        </w:rPr>
      </w:pPr>
      <w:r w:rsidRPr="00593411">
        <w:rPr>
          <w:rFonts w:cs="Arial"/>
          <w:szCs w:val="24"/>
          <w:lang w:val="en-GB"/>
        </w:rPr>
        <w:t>the sheriff could not locate Mr van der Walt’s physical address in the absence of the word “</w:t>
      </w:r>
      <w:r w:rsidRPr="00593411">
        <w:rPr>
          <w:rFonts w:cs="Arial"/>
          <w:i/>
          <w:iCs/>
          <w:szCs w:val="24"/>
          <w:lang w:val="en-GB"/>
        </w:rPr>
        <w:t>farm</w:t>
      </w:r>
      <w:r w:rsidRPr="00593411">
        <w:rPr>
          <w:rFonts w:cs="Arial"/>
          <w:szCs w:val="24"/>
          <w:lang w:val="en-GB"/>
        </w:rPr>
        <w:t>” in his instructions to serve the original summons; and</w:t>
      </w:r>
    </w:p>
    <w:p w14:paraId="4C937A2F" w14:textId="5672F5BE" w:rsidR="0005237A" w:rsidRPr="00593411" w:rsidRDefault="0005237A" w:rsidP="00593411">
      <w:pPr>
        <w:pStyle w:val="WLGLevel1"/>
        <w:numPr>
          <w:ilvl w:val="1"/>
          <w:numId w:val="5"/>
        </w:numPr>
        <w:tabs>
          <w:tab w:val="clear" w:pos="1418"/>
          <w:tab w:val="num" w:pos="1560"/>
        </w:tabs>
        <w:suppressAutoHyphens w:val="0"/>
        <w:spacing w:before="0" w:after="480"/>
        <w:ind w:left="1560" w:hanging="851"/>
        <w:rPr>
          <w:rFonts w:cs="Arial"/>
          <w:szCs w:val="24"/>
          <w:lang w:val="en-GB"/>
        </w:rPr>
      </w:pPr>
      <w:r w:rsidRPr="00593411">
        <w:rPr>
          <w:rFonts w:cs="Arial"/>
          <w:szCs w:val="24"/>
          <w:lang w:val="en-GB"/>
        </w:rPr>
        <w:t>ABSA resorted to re-issuing the summons and serving it at the office of Mr van der Walt’s attorneys rather than at his farm.</w:t>
      </w:r>
    </w:p>
    <w:p w14:paraId="50C33C88" w14:textId="77777777" w:rsidR="0005237A" w:rsidRPr="00593411" w:rsidRDefault="0005237A" w:rsidP="00593411">
      <w:pPr>
        <w:pStyle w:val="WLGLevel1"/>
        <w:numPr>
          <w:ilvl w:val="0"/>
          <w:numId w:val="5"/>
        </w:numPr>
        <w:suppressAutoHyphens w:val="0"/>
        <w:spacing w:before="0" w:after="480"/>
        <w:rPr>
          <w:rFonts w:cs="Arial"/>
          <w:szCs w:val="24"/>
          <w:lang w:val="en-GB"/>
        </w:rPr>
      </w:pPr>
      <w:r w:rsidRPr="00593411">
        <w:rPr>
          <w:rFonts w:cs="Arial"/>
          <w:szCs w:val="24"/>
          <w:lang w:val="en-GB"/>
        </w:rPr>
        <w:t>There is no evidence in the record that ABSA instructed the sheriff or took any other step to deliver the NCA notice to the farm.</w:t>
      </w:r>
    </w:p>
    <w:p w14:paraId="6CF616FA" w14:textId="134A4BB3" w:rsidR="0005237A" w:rsidRPr="00593411" w:rsidRDefault="0005237A" w:rsidP="00593411">
      <w:pPr>
        <w:pStyle w:val="WLGLevel1"/>
        <w:numPr>
          <w:ilvl w:val="0"/>
          <w:numId w:val="5"/>
        </w:numPr>
        <w:suppressAutoHyphens w:val="0"/>
        <w:spacing w:before="0" w:after="480"/>
        <w:rPr>
          <w:rFonts w:cs="Arial"/>
          <w:szCs w:val="24"/>
          <w:lang w:val="en-GB"/>
        </w:rPr>
      </w:pPr>
      <w:r w:rsidRPr="00593411">
        <w:rPr>
          <w:rFonts w:cs="Arial"/>
          <w:szCs w:val="24"/>
          <w:lang w:val="en-GB"/>
        </w:rPr>
        <w:lastRenderedPageBreak/>
        <w:t xml:space="preserve">As noted, moreover, it is unknown on the papers what form of </w:t>
      </w:r>
      <w:r w:rsidRPr="00593411">
        <w:rPr>
          <w:rFonts w:cs="Arial"/>
          <w:szCs w:val="24"/>
        </w:rPr>
        <w:t>“</w:t>
      </w:r>
      <w:r w:rsidRPr="00593411">
        <w:rPr>
          <w:rFonts w:cs="Arial"/>
          <w:i/>
          <w:iCs/>
          <w:szCs w:val="24"/>
        </w:rPr>
        <w:t>first notification to recipient</w:t>
      </w:r>
      <w:r w:rsidRPr="00593411">
        <w:rPr>
          <w:rFonts w:cs="Arial"/>
          <w:szCs w:val="24"/>
        </w:rPr>
        <w:t xml:space="preserve">” was sent on 27 November 2021 </w:t>
      </w:r>
      <w:r w:rsidRPr="00593411">
        <w:rPr>
          <w:rFonts w:cs="Arial"/>
          <w:szCs w:val="24"/>
          <w:lang w:val="en-GB"/>
        </w:rPr>
        <w:t xml:space="preserve">from </w:t>
      </w:r>
      <w:r w:rsidRPr="00593411">
        <w:rPr>
          <w:rFonts w:cs="Arial"/>
          <w:szCs w:val="24"/>
        </w:rPr>
        <w:t xml:space="preserve">the Cullinan branch of the Post Office </w:t>
      </w:r>
      <w:r w:rsidRPr="00593411">
        <w:rPr>
          <w:rFonts w:cs="Arial"/>
          <w:szCs w:val="24"/>
          <w:lang w:val="en-GB"/>
        </w:rPr>
        <w:t>to “</w:t>
      </w:r>
      <w:r w:rsidRPr="00593411">
        <w:rPr>
          <w:rFonts w:cs="Arial"/>
          <w:i/>
          <w:iCs/>
          <w:szCs w:val="24"/>
          <w:lang w:val="en-GB"/>
        </w:rPr>
        <w:t>284 Boekenhoutskloof, Cullinan, 1000</w:t>
      </w:r>
      <w:r w:rsidRPr="00593411">
        <w:rPr>
          <w:rFonts w:cs="Arial"/>
          <w:szCs w:val="24"/>
          <w:lang w:val="en-GB"/>
        </w:rPr>
        <w:t>” or whether such notification reached Mr van der Walt’s nominated physical address.</w:t>
      </w:r>
    </w:p>
    <w:p w14:paraId="37DC7267" w14:textId="4A027850" w:rsidR="0005237A" w:rsidRPr="00593411" w:rsidRDefault="0005237A" w:rsidP="00593411">
      <w:pPr>
        <w:pStyle w:val="WLGLevel1"/>
        <w:numPr>
          <w:ilvl w:val="0"/>
          <w:numId w:val="5"/>
        </w:numPr>
        <w:suppressAutoHyphens w:val="0"/>
        <w:spacing w:before="0" w:after="480"/>
        <w:rPr>
          <w:rFonts w:cs="Arial"/>
          <w:szCs w:val="24"/>
          <w:lang w:val="en-GB"/>
        </w:rPr>
      </w:pPr>
      <w:r w:rsidRPr="00593411">
        <w:rPr>
          <w:rFonts w:cs="Arial"/>
          <w:szCs w:val="24"/>
          <w:lang w:val="en-GB"/>
        </w:rPr>
        <w:t xml:space="preserve">There is also Mr van der Walt’s testimony – that </w:t>
      </w:r>
      <w:r w:rsidRPr="00593411">
        <w:rPr>
          <w:rFonts w:cs="Arial"/>
          <w:szCs w:val="24"/>
        </w:rPr>
        <w:t>the NCA notice was neither delivered or posted to nor received by him and did not come to his attention</w:t>
      </w:r>
      <w:r w:rsidRPr="00593411">
        <w:rPr>
          <w:rFonts w:cs="Arial"/>
          <w:szCs w:val="24"/>
          <w:lang w:val="en-GB"/>
        </w:rPr>
        <w:t xml:space="preserve"> – which I am unable to reject or disregard in these proceedings.</w:t>
      </w:r>
    </w:p>
    <w:p w14:paraId="1F1D9D61" w14:textId="1764FDE8" w:rsidR="0005237A" w:rsidRPr="00593411" w:rsidRDefault="0005237A" w:rsidP="00593411">
      <w:pPr>
        <w:pStyle w:val="WLGLevel1"/>
        <w:numPr>
          <w:ilvl w:val="0"/>
          <w:numId w:val="5"/>
        </w:numPr>
        <w:suppressAutoHyphens w:val="0"/>
        <w:spacing w:before="0" w:after="480"/>
        <w:rPr>
          <w:rFonts w:cs="Arial"/>
          <w:szCs w:val="24"/>
          <w:lang w:val="en-GB"/>
        </w:rPr>
      </w:pPr>
      <w:bookmarkStart w:id="14" w:name="_Ref137205834"/>
      <w:r w:rsidRPr="00593411">
        <w:rPr>
          <w:rFonts w:cs="Arial"/>
          <w:szCs w:val="24"/>
          <w:lang w:val="en-GB"/>
        </w:rPr>
        <w:t xml:space="preserve">Hence I consider that compliance with section 129(5) to (7) of the NCA is not demonstrated on the papers, inasmuch as Mr van der Walt indicated in the agreement his preferred manner of delivery of any NCA notice – delivery to his </w:t>
      </w:r>
      <w:r w:rsidR="004629F3">
        <w:rPr>
          <w:rFonts w:cs="Arial"/>
          <w:szCs w:val="24"/>
          <w:lang w:val="en-GB"/>
        </w:rPr>
        <w:t>nominated</w:t>
      </w:r>
      <w:r w:rsidR="004629F3" w:rsidRPr="00593411">
        <w:rPr>
          <w:rFonts w:cs="Arial"/>
          <w:szCs w:val="24"/>
          <w:lang w:val="en-GB"/>
        </w:rPr>
        <w:t xml:space="preserve"> </w:t>
      </w:r>
      <w:r w:rsidRPr="00593411">
        <w:rPr>
          <w:rFonts w:cs="Arial"/>
          <w:szCs w:val="24"/>
          <w:lang w:val="en-GB"/>
        </w:rPr>
        <w:t>physical address – yet ABSA opted to use registered mail instead.</w:t>
      </w:r>
      <w:bookmarkEnd w:id="14"/>
      <w:r w:rsidRPr="00593411">
        <w:rPr>
          <w:rFonts w:cs="Arial"/>
          <w:szCs w:val="24"/>
          <w:lang w:val="en-GB"/>
        </w:rPr>
        <w:t xml:space="preserve"> </w:t>
      </w:r>
    </w:p>
    <w:p w14:paraId="4E2B6269" w14:textId="5EAEB702" w:rsidR="0005237A" w:rsidRPr="00593411" w:rsidRDefault="0005237A" w:rsidP="00593411">
      <w:pPr>
        <w:pStyle w:val="WLGLevel1"/>
        <w:numPr>
          <w:ilvl w:val="0"/>
          <w:numId w:val="5"/>
        </w:numPr>
        <w:suppressAutoHyphens w:val="0"/>
        <w:spacing w:before="0" w:after="480"/>
        <w:rPr>
          <w:rFonts w:cs="Arial"/>
          <w:szCs w:val="24"/>
          <w:lang w:val="en-GB"/>
        </w:rPr>
      </w:pPr>
      <w:bookmarkStart w:id="15" w:name="_Ref137205842"/>
      <w:r w:rsidRPr="00593411">
        <w:rPr>
          <w:rFonts w:cs="Arial"/>
          <w:szCs w:val="24"/>
          <w:lang w:val="en-GB"/>
        </w:rPr>
        <w:t xml:space="preserve">In doing so, an inaccurate or incomplete description of his address was </w:t>
      </w:r>
      <w:r w:rsidR="0004548A">
        <w:rPr>
          <w:rFonts w:cs="Arial"/>
          <w:szCs w:val="24"/>
          <w:lang w:val="en-GB"/>
        </w:rPr>
        <w:t xml:space="preserve">captured and </w:t>
      </w:r>
      <w:r w:rsidRPr="00593411">
        <w:rPr>
          <w:rFonts w:cs="Arial"/>
          <w:szCs w:val="24"/>
          <w:lang w:val="en-GB"/>
        </w:rPr>
        <w:t>used, such that I am unable to conclude that the Post Office’s notification reached Mr van der Walt at his nominated physical address or at all.</w:t>
      </w:r>
      <w:bookmarkEnd w:id="15"/>
    </w:p>
    <w:p w14:paraId="716B3D9E" w14:textId="77777777" w:rsidR="0005237A" w:rsidRPr="00593411" w:rsidRDefault="0005237A" w:rsidP="00593411">
      <w:pPr>
        <w:pStyle w:val="WLGLevel1"/>
        <w:numPr>
          <w:ilvl w:val="0"/>
          <w:numId w:val="5"/>
        </w:numPr>
        <w:suppressAutoHyphens w:val="0"/>
        <w:spacing w:before="0" w:after="480"/>
        <w:rPr>
          <w:rFonts w:cs="Arial"/>
          <w:szCs w:val="24"/>
          <w:lang w:val="en-GB"/>
        </w:rPr>
      </w:pPr>
      <w:r w:rsidRPr="00593411">
        <w:rPr>
          <w:rFonts w:cs="Arial"/>
          <w:szCs w:val="24"/>
          <w:lang w:val="en-GB"/>
        </w:rPr>
        <w:t xml:space="preserve">To my mind, </w:t>
      </w:r>
      <w:r w:rsidRPr="00593411">
        <w:rPr>
          <w:rFonts w:cs="Arial"/>
          <w:i/>
          <w:iCs/>
          <w:szCs w:val="24"/>
          <w:lang w:val="en-GB"/>
        </w:rPr>
        <w:t xml:space="preserve">Kubyana </w:t>
      </w:r>
      <w:r w:rsidRPr="00593411">
        <w:rPr>
          <w:rFonts w:cs="Arial"/>
          <w:szCs w:val="24"/>
          <w:lang w:val="en-GB"/>
        </w:rPr>
        <w:t>is distinguishable on the facts of this case.</w:t>
      </w:r>
    </w:p>
    <w:p w14:paraId="3A27D0AF" w14:textId="77777777" w:rsidR="0005237A" w:rsidRPr="00593411" w:rsidRDefault="0005237A" w:rsidP="00593411">
      <w:pPr>
        <w:pStyle w:val="WLGLevel1"/>
        <w:numPr>
          <w:ilvl w:val="0"/>
          <w:numId w:val="5"/>
        </w:numPr>
        <w:suppressAutoHyphens w:val="0"/>
        <w:spacing w:before="0" w:after="480"/>
        <w:rPr>
          <w:rFonts w:cs="Arial"/>
          <w:szCs w:val="24"/>
          <w:lang w:val="en-GB"/>
        </w:rPr>
      </w:pPr>
      <w:r w:rsidRPr="00593411">
        <w:rPr>
          <w:rFonts w:cs="Arial"/>
          <w:szCs w:val="24"/>
          <w:lang w:val="en-GB"/>
        </w:rPr>
        <w:t>In the circumstances, I am not satisfied, for purposes of section 130(3) of the NCA, that the procedures required by section 29(1) have been complied with, such that I may proceed to determine the summary judgment application.</w:t>
      </w:r>
    </w:p>
    <w:p w14:paraId="247D8DD6" w14:textId="77777777" w:rsidR="0005237A" w:rsidRPr="00593411" w:rsidRDefault="0005237A" w:rsidP="00593411">
      <w:pPr>
        <w:pStyle w:val="WLGLevel1"/>
        <w:keepNext/>
        <w:numPr>
          <w:ilvl w:val="0"/>
          <w:numId w:val="0"/>
        </w:numPr>
        <w:suppressAutoHyphens w:val="0"/>
        <w:spacing w:before="0" w:after="480"/>
        <w:rPr>
          <w:rFonts w:cs="Arial"/>
          <w:b/>
          <w:bCs/>
          <w:szCs w:val="24"/>
          <w:lang w:val="en-GB"/>
        </w:rPr>
      </w:pPr>
      <w:r w:rsidRPr="00593411">
        <w:rPr>
          <w:rFonts w:cs="Arial"/>
          <w:b/>
          <w:bCs/>
          <w:szCs w:val="24"/>
          <w:lang w:val="en-GB"/>
        </w:rPr>
        <w:lastRenderedPageBreak/>
        <w:t>What is the consequence of non-compliance with the NCA?</w:t>
      </w:r>
    </w:p>
    <w:p w14:paraId="7FB7106C" w14:textId="10958D88" w:rsidR="0005237A" w:rsidRPr="00593411" w:rsidRDefault="0005237A" w:rsidP="00593411">
      <w:pPr>
        <w:pStyle w:val="WLGLevel1"/>
        <w:numPr>
          <w:ilvl w:val="0"/>
          <w:numId w:val="5"/>
        </w:numPr>
        <w:suppressAutoHyphens w:val="0"/>
        <w:spacing w:before="0" w:after="480"/>
        <w:rPr>
          <w:rFonts w:cs="Arial"/>
          <w:szCs w:val="24"/>
          <w:lang w:val="en-GB"/>
        </w:rPr>
      </w:pPr>
      <w:r w:rsidRPr="00593411">
        <w:rPr>
          <w:rFonts w:cs="Arial"/>
          <w:szCs w:val="24"/>
          <w:lang w:val="en-GB"/>
        </w:rPr>
        <w:t xml:space="preserve">I understood Mr Mhlanga to acknowledge </w:t>
      </w:r>
      <w:r w:rsidRPr="00593411">
        <w:rPr>
          <w:rFonts w:cs="Arial"/>
          <w:i/>
          <w:iCs/>
          <w:szCs w:val="24"/>
          <w:lang w:val="en-GB"/>
        </w:rPr>
        <w:t>Benson</w:t>
      </w:r>
      <w:r w:rsidRPr="00593411">
        <w:rPr>
          <w:rStyle w:val="FootnoteReference"/>
          <w:rFonts w:cs="Arial"/>
          <w:szCs w:val="24"/>
          <w:lang w:val="en-US"/>
        </w:rPr>
        <w:footnoteReference w:id="9"/>
      </w:r>
      <w:r w:rsidRPr="00593411">
        <w:rPr>
          <w:rFonts w:cs="Arial"/>
          <w:i/>
          <w:iCs/>
          <w:szCs w:val="24"/>
          <w:lang w:val="en-GB"/>
        </w:rPr>
        <w:t xml:space="preserve"> </w:t>
      </w:r>
      <w:r w:rsidRPr="00593411">
        <w:rPr>
          <w:rFonts w:cs="Arial"/>
          <w:szCs w:val="24"/>
          <w:lang w:val="en-GB"/>
        </w:rPr>
        <w:t>as authority for the proposition that, although non-compliance with</w:t>
      </w:r>
      <w:r w:rsidRPr="00593411">
        <w:rPr>
          <w:rFonts w:cs="Arial"/>
          <w:szCs w:val="24"/>
        </w:rPr>
        <w:t xml:space="preserve"> sections 129 and 130 of the NCA does not nullify a summary judgment application, it generally require</w:t>
      </w:r>
      <w:r w:rsidR="00E35945">
        <w:rPr>
          <w:rFonts w:cs="Arial"/>
          <w:szCs w:val="24"/>
        </w:rPr>
        <w:t>s</w:t>
      </w:r>
      <w:r w:rsidRPr="00593411">
        <w:rPr>
          <w:rFonts w:cs="Arial"/>
          <w:szCs w:val="24"/>
        </w:rPr>
        <w:t xml:space="preserve"> the application’s adjournment “</w:t>
      </w:r>
      <w:r w:rsidRPr="00593411">
        <w:rPr>
          <w:rFonts w:cs="Arial"/>
          <w:i/>
          <w:iCs/>
          <w:szCs w:val="24"/>
        </w:rPr>
        <w:t>to permit the credit provider to give notice before the proceedings may be resumed</w:t>
      </w:r>
      <w:r w:rsidRPr="00593411">
        <w:rPr>
          <w:rFonts w:cs="Arial"/>
          <w:szCs w:val="24"/>
        </w:rPr>
        <w:t>.”</w:t>
      </w:r>
    </w:p>
    <w:p w14:paraId="2CFDFC97" w14:textId="77777777" w:rsidR="0005237A" w:rsidRPr="00593411" w:rsidRDefault="0005237A" w:rsidP="00593411">
      <w:pPr>
        <w:pStyle w:val="WLGLevel1"/>
        <w:numPr>
          <w:ilvl w:val="0"/>
          <w:numId w:val="5"/>
        </w:numPr>
        <w:suppressAutoHyphens w:val="0"/>
        <w:spacing w:before="0" w:after="480"/>
        <w:rPr>
          <w:rFonts w:cs="Arial"/>
          <w:szCs w:val="24"/>
          <w:lang w:val="en-GB"/>
        </w:rPr>
      </w:pPr>
      <w:r w:rsidRPr="00593411">
        <w:rPr>
          <w:rFonts w:cs="Arial"/>
          <w:szCs w:val="24"/>
          <w:lang w:val="en-GB"/>
        </w:rPr>
        <w:t>And</w:t>
      </w:r>
      <w:r w:rsidRPr="00593411">
        <w:rPr>
          <w:rFonts w:cs="Arial"/>
          <w:i/>
          <w:iCs/>
          <w:szCs w:val="24"/>
          <w:lang w:val="en-GB"/>
        </w:rPr>
        <w:t xml:space="preserve"> Kgomo</w:t>
      </w:r>
      <w:r w:rsidRPr="00593411">
        <w:rPr>
          <w:rStyle w:val="FootnoteReference"/>
          <w:rFonts w:cs="Arial"/>
          <w:szCs w:val="24"/>
          <w:lang w:val="en-US"/>
        </w:rPr>
        <w:footnoteReference w:id="10"/>
      </w:r>
      <w:r w:rsidRPr="00593411">
        <w:rPr>
          <w:rFonts w:cs="Arial"/>
          <w:i/>
          <w:iCs/>
          <w:szCs w:val="24"/>
          <w:lang w:val="en-GB"/>
        </w:rPr>
        <w:t xml:space="preserve"> </w:t>
      </w:r>
      <w:r w:rsidRPr="00593411">
        <w:rPr>
          <w:rFonts w:cs="Arial"/>
          <w:szCs w:val="24"/>
          <w:lang w:val="en-GB"/>
        </w:rPr>
        <w:t>is precedent for the understanding that a court would likely err in granting judgment against a consumer – as opposed to adjourning the proceedings and directing pre-resumption steps – in circumstances where an incorrect address is used for delivery of a section 129 notice.</w:t>
      </w:r>
    </w:p>
    <w:p w14:paraId="26D0025A" w14:textId="77777777" w:rsidR="0005237A" w:rsidRPr="00593411" w:rsidRDefault="0005237A" w:rsidP="00593411">
      <w:pPr>
        <w:pStyle w:val="WLGLevel1"/>
        <w:numPr>
          <w:ilvl w:val="0"/>
          <w:numId w:val="5"/>
        </w:numPr>
        <w:suppressAutoHyphens w:val="0"/>
        <w:spacing w:before="0" w:after="480"/>
        <w:rPr>
          <w:rFonts w:cs="Arial"/>
          <w:szCs w:val="24"/>
          <w:lang w:val="en-GB"/>
        </w:rPr>
      </w:pPr>
      <w:r w:rsidRPr="00593411">
        <w:rPr>
          <w:rFonts w:cs="Arial"/>
          <w:szCs w:val="24"/>
          <w:lang w:val="en-GB"/>
        </w:rPr>
        <w:t xml:space="preserve">In this regard, Mr de Beer stressed the prematurity of a summons issued in the absence of compliance with sections 129 and 130 of the NCA. </w:t>
      </w:r>
    </w:p>
    <w:p w14:paraId="14F6F3D7" w14:textId="77777777" w:rsidR="0005237A" w:rsidRPr="00593411" w:rsidRDefault="0005237A" w:rsidP="00593411">
      <w:pPr>
        <w:pStyle w:val="WLGLevel1"/>
        <w:numPr>
          <w:ilvl w:val="0"/>
          <w:numId w:val="5"/>
        </w:numPr>
        <w:suppressAutoHyphens w:val="0"/>
        <w:spacing w:before="0" w:after="480"/>
        <w:rPr>
          <w:rFonts w:cs="Arial"/>
          <w:szCs w:val="24"/>
          <w:lang w:val="en-GB"/>
        </w:rPr>
      </w:pPr>
      <w:r w:rsidRPr="00593411">
        <w:rPr>
          <w:rFonts w:cs="Arial"/>
          <w:szCs w:val="24"/>
          <w:lang w:val="en-GB"/>
        </w:rPr>
        <w:t xml:space="preserve">He urged me to dismiss the summary judgment application </w:t>
      </w:r>
      <w:r w:rsidRPr="00593411">
        <w:rPr>
          <w:rFonts w:cs="Arial"/>
          <w:i/>
          <w:iCs/>
          <w:szCs w:val="24"/>
          <w:lang w:val="en-GB"/>
        </w:rPr>
        <w:t xml:space="preserve">alternatively </w:t>
      </w:r>
      <w:r w:rsidRPr="00593411">
        <w:rPr>
          <w:rFonts w:cs="Arial"/>
          <w:szCs w:val="24"/>
          <w:lang w:val="en-GB"/>
        </w:rPr>
        <w:t>to adjourn the proceedings and direct pre-resumption steps.</w:t>
      </w:r>
    </w:p>
    <w:p w14:paraId="60F53AF9" w14:textId="77777777" w:rsidR="0005237A" w:rsidRPr="00593411" w:rsidRDefault="0005237A" w:rsidP="00593411">
      <w:pPr>
        <w:pStyle w:val="WLGLevel1"/>
        <w:numPr>
          <w:ilvl w:val="0"/>
          <w:numId w:val="5"/>
        </w:numPr>
        <w:suppressAutoHyphens w:val="0"/>
        <w:spacing w:before="0" w:after="480"/>
        <w:rPr>
          <w:rFonts w:cs="Arial"/>
          <w:szCs w:val="24"/>
          <w:lang w:val="en-GB"/>
        </w:rPr>
      </w:pPr>
      <w:r w:rsidRPr="00593411">
        <w:rPr>
          <w:rFonts w:cs="Arial"/>
          <w:szCs w:val="24"/>
          <w:lang w:val="en-GB"/>
        </w:rPr>
        <w:t xml:space="preserve">I am not minded to dismiss </w:t>
      </w:r>
      <w:r w:rsidRPr="00593411">
        <w:rPr>
          <w:rFonts w:cs="Arial"/>
          <w:szCs w:val="24"/>
        </w:rPr>
        <w:t xml:space="preserve">ABSA’s </w:t>
      </w:r>
      <w:r w:rsidRPr="00593411">
        <w:rPr>
          <w:rFonts w:cs="Arial"/>
          <w:szCs w:val="24"/>
          <w:lang w:val="en-GB"/>
        </w:rPr>
        <w:t xml:space="preserve">summary judgment application since it is resisted not on the </w:t>
      </w:r>
      <w:r w:rsidRPr="00593411">
        <w:rPr>
          <w:rFonts w:cs="Arial"/>
          <w:szCs w:val="24"/>
        </w:rPr>
        <w:t xml:space="preserve">merits of the claim but on a matter of statutory non-compliance that is remediable by further notice to Mr van der Walt. In these circumstances, the </w:t>
      </w:r>
      <w:r w:rsidRPr="00593411">
        <w:rPr>
          <w:rFonts w:cs="Arial"/>
          <w:szCs w:val="24"/>
        </w:rPr>
        <w:lastRenderedPageBreak/>
        <w:t>interests of the parties and of justice would not be served by consigning the determination of the claim to the costs and delays characteristic of a full-blown trial.</w:t>
      </w:r>
    </w:p>
    <w:p w14:paraId="3AE44151" w14:textId="54634377" w:rsidR="0005237A" w:rsidRPr="00593411" w:rsidRDefault="0005237A" w:rsidP="00593411">
      <w:pPr>
        <w:pStyle w:val="WLGLevel1"/>
        <w:numPr>
          <w:ilvl w:val="0"/>
          <w:numId w:val="5"/>
        </w:numPr>
        <w:suppressAutoHyphens w:val="0"/>
        <w:spacing w:before="0" w:after="480"/>
        <w:rPr>
          <w:rFonts w:cs="Arial"/>
          <w:szCs w:val="24"/>
          <w:lang w:val="en-GB"/>
        </w:rPr>
      </w:pPr>
      <w:r w:rsidRPr="00593411">
        <w:rPr>
          <w:rFonts w:cs="Arial"/>
          <w:szCs w:val="24"/>
          <w:lang w:val="en-GB"/>
        </w:rPr>
        <w:t xml:space="preserve">As noted in paragraphs </w:t>
      </w:r>
      <w:r w:rsidRPr="00593411">
        <w:rPr>
          <w:rFonts w:cs="Arial"/>
          <w:szCs w:val="24"/>
          <w:lang w:val="en-GB"/>
        </w:rPr>
        <w:fldChar w:fldCharType="begin"/>
      </w:r>
      <w:r w:rsidRPr="00593411">
        <w:rPr>
          <w:rFonts w:cs="Arial"/>
          <w:szCs w:val="24"/>
          <w:lang w:val="en-GB"/>
        </w:rPr>
        <w:instrText xml:space="preserve"> REF _Ref137203567 \r \h </w:instrText>
      </w:r>
      <w:r w:rsidR="00593411" w:rsidRPr="00593411">
        <w:rPr>
          <w:rFonts w:cs="Arial"/>
          <w:szCs w:val="24"/>
          <w:lang w:val="en-GB"/>
        </w:rPr>
        <w:instrText xml:space="preserve"> \* MERGEFORMAT </w:instrText>
      </w:r>
      <w:r w:rsidRPr="00593411">
        <w:rPr>
          <w:rFonts w:cs="Arial"/>
          <w:szCs w:val="24"/>
          <w:lang w:val="en-GB"/>
        </w:rPr>
      </w:r>
      <w:r w:rsidRPr="00593411">
        <w:rPr>
          <w:rFonts w:cs="Arial"/>
          <w:szCs w:val="24"/>
          <w:lang w:val="en-GB"/>
        </w:rPr>
        <w:fldChar w:fldCharType="separate"/>
      </w:r>
      <w:r w:rsidR="007B662E">
        <w:rPr>
          <w:rFonts w:cs="Arial"/>
          <w:szCs w:val="24"/>
          <w:lang w:val="en-GB"/>
        </w:rPr>
        <w:t>27</w:t>
      </w:r>
      <w:r w:rsidRPr="00593411">
        <w:rPr>
          <w:rFonts w:cs="Arial"/>
          <w:szCs w:val="24"/>
          <w:lang w:val="en-GB"/>
        </w:rPr>
        <w:fldChar w:fldCharType="end"/>
      </w:r>
      <w:r w:rsidRPr="00593411">
        <w:rPr>
          <w:rFonts w:cs="Arial"/>
          <w:szCs w:val="24"/>
          <w:lang w:val="en-GB"/>
        </w:rPr>
        <w:t xml:space="preserve"> and </w:t>
      </w:r>
      <w:r w:rsidRPr="00593411">
        <w:rPr>
          <w:rFonts w:cs="Arial"/>
          <w:szCs w:val="24"/>
          <w:lang w:val="en-GB"/>
        </w:rPr>
        <w:fldChar w:fldCharType="begin"/>
      </w:r>
      <w:r w:rsidRPr="00593411">
        <w:rPr>
          <w:rFonts w:cs="Arial"/>
          <w:szCs w:val="24"/>
          <w:lang w:val="en-GB"/>
        </w:rPr>
        <w:instrText xml:space="preserve"> REF _Ref137203581 \r \p \h </w:instrText>
      </w:r>
      <w:r w:rsidR="00593411" w:rsidRPr="00593411">
        <w:rPr>
          <w:rFonts w:cs="Arial"/>
          <w:szCs w:val="24"/>
          <w:lang w:val="en-GB"/>
        </w:rPr>
        <w:instrText xml:space="preserve"> \* MERGEFORMAT </w:instrText>
      </w:r>
      <w:r w:rsidRPr="00593411">
        <w:rPr>
          <w:rFonts w:cs="Arial"/>
          <w:szCs w:val="24"/>
          <w:lang w:val="en-GB"/>
        </w:rPr>
      </w:r>
      <w:r w:rsidRPr="00593411">
        <w:rPr>
          <w:rFonts w:cs="Arial"/>
          <w:szCs w:val="24"/>
          <w:lang w:val="en-GB"/>
        </w:rPr>
        <w:fldChar w:fldCharType="separate"/>
      </w:r>
      <w:r w:rsidR="007B662E">
        <w:rPr>
          <w:rFonts w:cs="Arial"/>
          <w:szCs w:val="24"/>
          <w:lang w:val="en-GB"/>
        </w:rPr>
        <w:t>40 above</w:t>
      </w:r>
      <w:r w:rsidRPr="00593411">
        <w:rPr>
          <w:rFonts w:cs="Arial"/>
          <w:szCs w:val="24"/>
          <w:lang w:val="en-GB"/>
        </w:rPr>
        <w:fldChar w:fldCharType="end"/>
      </w:r>
      <w:r w:rsidRPr="00593411">
        <w:rPr>
          <w:rFonts w:cs="Arial"/>
          <w:szCs w:val="24"/>
          <w:lang w:val="en-GB"/>
        </w:rPr>
        <w:t xml:space="preserve">, however, proper adherence to process and attention to detail are requisites of summary judgment proceedings generally and </w:t>
      </w:r>
      <w:r w:rsidR="00936CB2">
        <w:rPr>
          <w:rFonts w:cs="Arial"/>
          <w:szCs w:val="24"/>
          <w:lang w:val="en-GB"/>
        </w:rPr>
        <w:t xml:space="preserve">of </w:t>
      </w:r>
      <w:r w:rsidRPr="00593411">
        <w:rPr>
          <w:rFonts w:cs="Arial"/>
          <w:szCs w:val="24"/>
          <w:lang w:val="en-GB"/>
        </w:rPr>
        <w:t>those concerning sections 129 and 130 of the NCA specifically. Credit providers seeking to repossess vehicles or other assets may reasonably be expected to display diligence in ensuring that consumers receive due and timely notice of their statutory rights. I consider therefore that I should exercise my discretion in terms of section 130(4) of the NCA to adjourn these proceedings and regulate their resumption.</w:t>
      </w:r>
    </w:p>
    <w:p w14:paraId="61AA989D" w14:textId="77777777" w:rsidR="0005237A" w:rsidRPr="00593411" w:rsidRDefault="0005237A" w:rsidP="00593411">
      <w:pPr>
        <w:pStyle w:val="WLGLevel1"/>
        <w:keepNext/>
        <w:numPr>
          <w:ilvl w:val="0"/>
          <w:numId w:val="0"/>
        </w:numPr>
        <w:suppressAutoHyphens w:val="0"/>
        <w:spacing w:before="0" w:after="480"/>
        <w:rPr>
          <w:rFonts w:cs="Arial"/>
          <w:b/>
          <w:bCs/>
          <w:szCs w:val="24"/>
          <w:lang w:val="en-GB"/>
        </w:rPr>
      </w:pPr>
      <w:r w:rsidRPr="00593411">
        <w:rPr>
          <w:rFonts w:cs="Arial"/>
          <w:b/>
          <w:bCs/>
          <w:szCs w:val="24"/>
          <w:lang w:val="en-GB"/>
        </w:rPr>
        <w:t>The outcome and order</w:t>
      </w:r>
    </w:p>
    <w:p w14:paraId="68ADB738" w14:textId="0FCCC4FC" w:rsidR="0005237A" w:rsidRPr="00593411" w:rsidRDefault="0005237A" w:rsidP="00593411">
      <w:pPr>
        <w:pStyle w:val="WLGLevel1"/>
        <w:numPr>
          <w:ilvl w:val="0"/>
          <w:numId w:val="5"/>
        </w:numPr>
        <w:suppressAutoHyphens w:val="0"/>
        <w:spacing w:before="0" w:after="480"/>
        <w:rPr>
          <w:rFonts w:cs="Arial"/>
          <w:szCs w:val="24"/>
          <w:lang w:val="en-GB"/>
        </w:rPr>
      </w:pPr>
      <w:r w:rsidRPr="00593411">
        <w:rPr>
          <w:rFonts w:cs="Arial"/>
          <w:szCs w:val="24"/>
          <w:lang w:val="en-GB"/>
        </w:rPr>
        <w:t xml:space="preserve">Mr van der Walt denies that he was notified of his rights under the NCA. ABSA is </w:t>
      </w:r>
      <w:r w:rsidR="00693B7E">
        <w:rPr>
          <w:rFonts w:cs="Arial"/>
          <w:szCs w:val="24"/>
          <w:lang w:val="en-GB"/>
        </w:rPr>
        <w:t xml:space="preserve">ultimately </w:t>
      </w:r>
      <w:r w:rsidRPr="00593411">
        <w:rPr>
          <w:rFonts w:cs="Arial"/>
          <w:szCs w:val="24"/>
          <w:lang w:val="en-GB"/>
        </w:rPr>
        <w:t xml:space="preserve">unable to show compliance with sections 129 and 130. This inability flows from what appear to be administrative errors noted in paragraphs </w:t>
      </w:r>
      <w:r w:rsidRPr="00593411">
        <w:rPr>
          <w:rFonts w:cs="Arial"/>
          <w:szCs w:val="24"/>
          <w:lang w:val="en-GB"/>
        </w:rPr>
        <w:fldChar w:fldCharType="begin"/>
      </w:r>
      <w:r w:rsidRPr="00593411">
        <w:rPr>
          <w:rFonts w:cs="Arial"/>
          <w:szCs w:val="24"/>
          <w:lang w:val="en-GB"/>
        </w:rPr>
        <w:instrText xml:space="preserve"> REF _Ref137205834 \r \h </w:instrText>
      </w:r>
      <w:r w:rsidR="00593411" w:rsidRPr="00593411">
        <w:rPr>
          <w:rFonts w:cs="Arial"/>
          <w:szCs w:val="24"/>
          <w:lang w:val="en-GB"/>
        </w:rPr>
        <w:instrText xml:space="preserve"> \* MERGEFORMAT </w:instrText>
      </w:r>
      <w:r w:rsidRPr="00593411">
        <w:rPr>
          <w:rFonts w:cs="Arial"/>
          <w:szCs w:val="24"/>
          <w:lang w:val="en-GB"/>
        </w:rPr>
      </w:r>
      <w:r w:rsidRPr="00593411">
        <w:rPr>
          <w:rFonts w:cs="Arial"/>
          <w:szCs w:val="24"/>
          <w:lang w:val="en-GB"/>
        </w:rPr>
        <w:fldChar w:fldCharType="separate"/>
      </w:r>
      <w:r w:rsidR="007B662E">
        <w:rPr>
          <w:rFonts w:cs="Arial"/>
          <w:szCs w:val="24"/>
          <w:lang w:val="en-GB"/>
        </w:rPr>
        <w:t>49</w:t>
      </w:r>
      <w:r w:rsidRPr="00593411">
        <w:rPr>
          <w:rFonts w:cs="Arial"/>
          <w:szCs w:val="24"/>
          <w:lang w:val="en-GB"/>
        </w:rPr>
        <w:fldChar w:fldCharType="end"/>
      </w:r>
      <w:r w:rsidRPr="00593411">
        <w:rPr>
          <w:rFonts w:cs="Arial"/>
          <w:szCs w:val="24"/>
          <w:lang w:val="en-GB"/>
        </w:rPr>
        <w:t xml:space="preserve"> and </w:t>
      </w:r>
      <w:r w:rsidRPr="00593411">
        <w:rPr>
          <w:rFonts w:cs="Arial"/>
          <w:szCs w:val="24"/>
          <w:lang w:val="en-GB"/>
        </w:rPr>
        <w:fldChar w:fldCharType="begin"/>
      </w:r>
      <w:r w:rsidRPr="00593411">
        <w:rPr>
          <w:rFonts w:cs="Arial"/>
          <w:szCs w:val="24"/>
          <w:lang w:val="en-GB"/>
        </w:rPr>
        <w:instrText xml:space="preserve"> REF _Ref137205842 \r \p \h </w:instrText>
      </w:r>
      <w:r w:rsidR="00593411" w:rsidRPr="00593411">
        <w:rPr>
          <w:rFonts w:cs="Arial"/>
          <w:szCs w:val="24"/>
          <w:lang w:val="en-GB"/>
        </w:rPr>
        <w:instrText xml:space="preserve"> \* MERGEFORMAT </w:instrText>
      </w:r>
      <w:r w:rsidRPr="00593411">
        <w:rPr>
          <w:rFonts w:cs="Arial"/>
          <w:szCs w:val="24"/>
          <w:lang w:val="en-GB"/>
        </w:rPr>
      </w:r>
      <w:r w:rsidRPr="00593411">
        <w:rPr>
          <w:rFonts w:cs="Arial"/>
          <w:szCs w:val="24"/>
          <w:lang w:val="en-GB"/>
        </w:rPr>
        <w:fldChar w:fldCharType="separate"/>
      </w:r>
      <w:r w:rsidR="007B662E">
        <w:rPr>
          <w:rFonts w:cs="Arial"/>
          <w:szCs w:val="24"/>
          <w:lang w:val="en-GB"/>
        </w:rPr>
        <w:t>50 above</w:t>
      </w:r>
      <w:r w:rsidRPr="00593411">
        <w:rPr>
          <w:rFonts w:cs="Arial"/>
          <w:szCs w:val="24"/>
          <w:lang w:val="en-GB"/>
        </w:rPr>
        <w:fldChar w:fldCharType="end"/>
      </w:r>
      <w:r w:rsidRPr="00593411">
        <w:rPr>
          <w:rFonts w:cs="Arial"/>
          <w:szCs w:val="24"/>
          <w:lang w:val="en-GB"/>
        </w:rPr>
        <w:t xml:space="preserve"> – ABSA used registered mail instead of Mr van der Walt’s specified manner of communication (delivery to his </w:t>
      </w:r>
      <w:r w:rsidR="004629F3">
        <w:rPr>
          <w:rFonts w:cs="Arial"/>
          <w:szCs w:val="24"/>
          <w:lang w:val="en-GB"/>
        </w:rPr>
        <w:t>nominated</w:t>
      </w:r>
      <w:r w:rsidR="004629F3" w:rsidRPr="00593411">
        <w:rPr>
          <w:rFonts w:cs="Arial"/>
          <w:szCs w:val="24"/>
          <w:lang w:val="en-GB"/>
        </w:rPr>
        <w:t xml:space="preserve"> </w:t>
      </w:r>
      <w:r w:rsidRPr="00593411">
        <w:rPr>
          <w:rFonts w:cs="Arial"/>
          <w:szCs w:val="24"/>
          <w:lang w:val="en-GB"/>
        </w:rPr>
        <w:t>physical address) and, in any event, erred in capturing and/or using the physical address provided by Mr van der Walt. Th</w:t>
      </w:r>
      <w:r w:rsidRPr="00593411">
        <w:rPr>
          <w:rFonts w:cs="Arial"/>
          <w:szCs w:val="24"/>
        </w:rPr>
        <w:t>e summary judgment application</w:t>
      </w:r>
      <w:r w:rsidRPr="00593411">
        <w:rPr>
          <w:rFonts w:cs="Arial"/>
          <w:szCs w:val="24"/>
          <w:lang w:val="en-GB"/>
        </w:rPr>
        <w:t xml:space="preserve"> </w:t>
      </w:r>
      <w:r w:rsidR="002F7E7B">
        <w:rPr>
          <w:rFonts w:cs="Arial"/>
          <w:szCs w:val="24"/>
          <w:lang w:val="en-GB"/>
        </w:rPr>
        <w:t>should</w:t>
      </w:r>
      <w:r w:rsidR="002F7E7B" w:rsidRPr="00593411">
        <w:rPr>
          <w:rFonts w:cs="Arial"/>
          <w:szCs w:val="24"/>
          <w:lang w:val="en-GB"/>
        </w:rPr>
        <w:t xml:space="preserve"> </w:t>
      </w:r>
      <w:r w:rsidRPr="00593411">
        <w:rPr>
          <w:rFonts w:cs="Arial"/>
          <w:szCs w:val="24"/>
        </w:rPr>
        <w:t xml:space="preserve">thus </w:t>
      </w:r>
      <w:r w:rsidRPr="00593411">
        <w:rPr>
          <w:rFonts w:cs="Arial"/>
          <w:szCs w:val="24"/>
          <w:lang w:val="en-GB"/>
        </w:rPr>
        <w:t xml:space="preserve">be adjourned to allow for </w:t>
      </w:r>
      <w:r w:rsidRPr="00593411">
        <w:rPr>
          <w:rFonts w:cs="Arial"/>
          <w:szCs w:val="24"/>
        </w:rPr>
        <w:t xml:space="preserve">due and </w:t>
      </w:r>
      <w:r w:rsidRPr="00593411">
        <w:rPr>
          <w:rFonts w:cs="Arial"/>
          <w:szCs w:val="24"/>
          <w:lang w:val="en-GB"/>
        </w:rPr>
        <w:t>proper notification.</w:t>
      </w:r>
      <w:r w:rsidRPr="00593411" w:rsidDel="009836A2">
        <w:rPr>
          <w:rFonts w:cs="Arial"/>
          <w:szCs w:val="24"/>
          <w:lang w:val="en-GB"/>
        </w:rPr>
        <w:t xml:space="preserve"> </w:t>
      </w:r>
      <w:r w:rsidRPr="00593411">
        <w:rPr>
          <w:rFonts w:cs="Arial"/>
          <w:szCs w:val="24"/>
          <w:lang w:val="en-GB"/>
        </w:rPr>
        <w:t>It follows that the wasted costs of adjournment should be borne by ABSA.</w:t>
      </w:r>
    </w:p>
    <w:p w14:paraId="6B5AC6AB" w14:textId="77777777" w:rsidR="0005237A" w:rsidRPr="00593411" w:rsidRDefault="0005237A" w:rsidP="00593411">
      <w:pPr>
        <w:pStyle w:val="WLGLevel1"/>
        <w:keepNext/>
        <w:numPr>
          <w:ilvl w:val="0"/>
          <w:numId w:val="5"/>
        </w:numPr>
        <w:suppressAutoHyphens w:val="0"/>
        <w:spacing w:before="0" w:after="480"/>
        <w:rPr>
          <w:rFonts w:cs="Arial"/>
          <w:szCs w:val="24"/>
          <w:lang w:val="en-GB"/>
        </w:rPr>
      </w:pPr>
      <w:r w:rsidRPr="00593411">
        <w:rPr>
          <w:rFonts w:cs="Arial"/>
          <w:szCs w:val="24"/>
          <w:lang w:val="en-GB"/>
        </w:rPr>
        <w:lastRenderedPageBreak/>
        <w:t>In the circumstances, I grant the following order:</w:t>
      </w:r>
    </w:p>
    <w:p w14:paraId="14847A78" w14:textId="77777777" w:rsidR="0005237A" w:rsidRPr="00593411" w:rsidRDefault="0005237A" w:rsidP="00593411">
      <w:pPr>
        <w:pStyle w:val="WLGLevel1"/>
        <w:numPr>
          <w:ilvl w:val="1"/>
          <w:numId w:val="5"/>
        </w:numPr>
        <w:tabs>
          <w:tab w:val="clear" w:pos="1418"/>
          <w:tab w:val="num" w:pos="1560"/>
        </w:tabs>
        <w:suppressAutoHyphens w:val="0"/>
        <w:spacing w:before="0" w:after="480"/>
        <w:ind w:left="1560" w:hanging="851"/>
        <w:rPr>
          <w:rFonts w:cs="Arial"/>
          <w:szCs w:val="24"/>
          <w:lang w:val="en-GB"/>
        </w:rPr>
      </w:pPr>
      <w:r w:rsidRPr="00593411">
        <w:rPr>
          <w:rFonts w:cs="Arial"/>
          <w:szCs w:val="24"/>
          <w:lang w:val="en-GB"/>
        </w:rPr>
        <w:t xml:space="preserve">In terms of section 130(4) of </w:t>
      </w:r>
      <w:r w:rsidRPr="00593411">
        <w:rPr>
          <w:rFonts w:cs="Arial"/>
          <w:szCs w:val="24"/>
        </w:rPr>
        <w:t>the National Credit Act 34 of 2005 (NCA)</w:t>
      </w:r>
      <w:r w:rsidRPr="00593411">
        <w:rPr>
          <w:rFonts w:cs="Arial"/>
          <w:szCs w:val="24"/>
          <w:lang w:val="en-GB"/>
        </w:rPr>
        <w:t>, the summary judgment proceedings initiated and conducted under case number 8817/2022 (the action) are adjourned on the basis that:</w:t>
      </w:r>
    </w:p>
    <w:p w14:paraId="395B1A3F" w14:textId="77777777" w:rsidR="0005237A" w:rsidRPr="00593411" w:rsidRDefault="0005237A" w:rsidP="00593411">
      <w:pPr>
        <w:pStyle w:val="WLGLevel1"/>
        <w:numPr>
          <w:ilvl w:val="2"/>
          <w:numId w:val="5"/>
        </w:numPr>
        <w:tabs>
          <w:tab w:val="clear" w:pos="2552"/>
          <w:tab w:val="num" w:pos="2694"/>
        </w:tabs>
        <w:suppressAutoHyphens w:val="0"/>
        <w:spacing w:before="0" w:after="480"/>
        <w:ind w:left="2694"/>
        <w:rPr>
          <w:rFonts w:cs="Arial"/>
          <w:szCs w:val="24"/>
          <w:lang w:val="en-GB"/>
        </w:rPr>
      </w:pPr>
      <w:r w:rsidRPr="00593411">
        <w:rPr>
          <w:rFonts w:cs="Arial"/>
          <w:szCs w:val="24"/>
          <w:lang w:val="en-GB"/>
        </w:rPr>
        <w:t xml:space="preserve">should the applicant (plaintiff) wish such proceedings to resume, it is required to provide the respondent (defendant) with due and proper notice, in terms of sections 129 and 130 of the NCA, in the manner of communication specified and to the physical address designated in </w:t>
      </w:r>
      <w:r w:rsidRPr="00593411">
        <w:rPr>
          <w:rFonts w:cs="Arial"/>
          <w:szCs w:val="24"/>
        </w:rPr>
        <w:t>the motor vehicle instalment sale agreement entered into in July 2019</w:t>
      </w:r>
      <w:r w:rsidRPr="00593411">
        <w:rPr>
          <w:rFonts w:cs="Arial"/>
          <w:szCs w:val="24"/>
          <w:lang w:val="en-GB"/>
        </w:rPr>
        <w:t>, of its intention to pursue the action; and</w:t>
      </w:r>
    </w:p>
    <w:p w14:paraId="770AB5C1" w14:textId="77777777" w:rsidR="0005237A" w:rsidRPr="00593411" w:rsidRDefault="0005237A" w:rsidP="00593411">
      <w:pPr>
        <w:pStyle w:val="WLGLevel1"/>
        <w:numPr>
          <w:ilvl w:val="2"/>
          <w:numId w:val="5"/>
        </w:numPr>
        <w:tabs>
          <w:tab w:val="clear" w:pos="2552"/>
          <w:tab w:val="num" w:pos="2694"/>
        </w:tabs>
        <w:suppressAutoHyphens w:val="0"/>
        <w:spacing w:before="0" w:after="480"/>
        <w:ind w:left="2694"/>
        <w:rPr>
          <w:rFonts w:cs="Arial"/>
          <w:szCs w:val="24"/>
          <w:lang w:val="en-GB"/>
        </w:rPr>
      </w:pPr>
      <w:r w:rsidRPr="00593411">
        <w:rPr>
          <w:rFonts w:cs="Arial"/>
          <w:szCs w:val="24"/>
          <w:lang w:val="en-GB"/>
        </w:rPr>
        <w:t>in due course, should the action be unresolved on expiry of any applicable statutory time period, the applicant (plaintiff) may re-enrol the summary judgment proceedings for hearing in the ordinary course.</w:t>
      </w:r>
    </w:p>
    <w:p w14:paraId="70EBA944" w14:textId="77777777" w:rsidR="0005237A" w:rsidRPr="00593411" w:rsidRDefault="0005237A" w:rsidP="00593411">
      <w:pPr>
        <w:pStyle w:val="WLGLevel1"/>
        <w:numPr>
          <w:ilvl w:val="1"/>
          <w:numId w:val="5"/>
        </w:numPr>
        <w:tabs>
          <w:tab w:val="clear" w:pos="1418"/>
          <w:tab w:val="num" w:pos="1560"/>
        </w:tabs>
        <w:suppressAutoHyphens w:val="0"/>
        <w:spacing w:before="0" w:after="480"/>
        <w:ind w:left="1560" w:hanging="851"/>
        <w:rPr>
          <w:rFonts w:cs="Arial"/>
          <w:szCs w:val="24"/>
          <w:lang w:val="en-GB"/>
        </w:rPr>
      </w:pPr>
      <w:r w:rsidRPr="00593411">
        <w:rPr>
          <w:rFonts w:cs="Arial"/>
          <w:szCs w:val="24"/>
          <w:lang w:val="en-GB"/>
        </w:rPr>
        <w:t>The applicant (plaintiff) is to bear the wasted costs of adjournment.</w:t>
      </w:r>
    </w:p>
    <w:p w14:paraId="510A0842" w14:textId="77777777" w:rsidR="00F07027" w:rsidRDefault="00F07027" w:rsidP="00D12C62">
      <w:pPr>
        <w:pStyle w:val="ListParagraph"/>
        <w:tabs>
          <w:tab w:val="right" w:pos="0"/>
        </w:tabs>
        <w:spacing w:before="120"/>
        <w:ind w:left="0"/>
        <w:contextualSpacing w:val="0"/>
        <w:rPr>
          <w:rFonts w:cs="Arial"/>
          <w:sz w:val="24"/>
          <w:lang w:val="en-GB"/>
        </w:rPr>
      </w:pPr>
    </w:p>
    <w:p w14:paraId="2EAEA017" w14:textId="77777777" w:rsidR="009036FB" w:rsidRDefault="009036FB" w:rsidP="00D12C62">
      <w:pPr>
        <w:pStyle w:val="ListParagraph"/>
        <w:tabs>
          <w:tab w:val="right" w:pos="0"/>
        </w:tabs>
        <w:spacing w:before="120"/>
        <w:ind w:left="0"/>
        <w:contextualSpacing w:val="0"/>
        <w:rPr>
          <w:rFonts w:cs="Arial"/>
          <w:sz w:val="24"/>
          <w:lang w:val="en-GB"/>
        </w:rPr>
      </w:pPr>
    </w:p>
    <w:p w14:paraId="4C5BA4AB" w14:textId="77777777" w:rsidR="009036FB" w:rsidRDefault="009036FB" w:rsidP="00D12C62">
      <w:pPr>
        <w:pStyle w:val="ListParagraph"/>
        <w:tabs>
          <w:tab w:val="right" w:pos="0"/>
        </w:tabs>
        <w:spacing w:before="120"/>
        <w:ind w:left="0"/>
        <w:contextualSpacing w:val="0"/>
        <w:rPr>
          <w:rFonts w:cs="Arial"/>
          <w:sz w:val="24"/>
          <w:lang w:val="en-GB"/>
        </w:rPr>
      </w:pPr>
    </w:p>
    <w:p w14:paraId="23F60164" w14:textId="77777777" w:rsidR="009036FB" w:rsidRPr="00593411" w:rsidRDefault="009036FB" w:rsidP="00D12C62">
      <w:pPr>
        <w:pStyle w:val="ListParagraph"/>
        <w:tabs>
          <w:tab w:val="right" w:pos="0"/>
        </w:tabs>
        <w:spacing w:before="120"/>
        <w:ind w:left="0"/>
        <w:contextualSpacing w:val="0"/>
        <w:rPr>
          <w:rFonts w:cs="Arial"/>
          <w:sz w:val="24"/>
          <w:lang w:val="en-GB"/>
        </w:rPr>
      </w:pPr>
    </w:p>
    <w:p w14:paraId="510A0843" w14:textId="77777777" w:rsidR="00F07027" w:rsidRPr="00593411" w:rsidRDefault="00F07027" w:rsidP="000C5D99">
      <w:pPr>
        <w:pStyle w:val="ListParagraph"/>
        <w:keepNext/>
        <w:tabs>
          <w:tab w:val="right" w:pos="0"/>
        </w:tabs>
        <w:spacing w:before="360"/>
        <w:ind w:left="0"/>
        <w:contextualSpacing w:val="0"/>
        <w:jc w:val="right"/>
        <w:rPr>
          <w:rFonts w:cs="Arial"/>
          <w:b/>
          <w:sz w:val="24"/>
        </w:rPr>
      </w:pPr>
      <w:r w:rsidRPr="00593411">
        <w:rPr>
          <w:rFonts w:cs="Arial"/>
          <w:sz w:val="24"/>
          <w:lang w:val="en-GB"/>
        </w:rPr>
        <w:t>____________</w:t>
      </w:r>
      <w:r w:rsidR="009037B0" w:rsidRPr="00593411">
        <w:rPr>
          <w:rFonts w:cs="Arial"/>
          <w:sz w:val="24"/>
          <w:lang w:val="en-GB"/>
        </w:rPr>
        <w:t>________</w:t>
      </w:r>
      <w:r w:rsidRPr="00593411">
        <w:rPr>
          <w:rFonts w:cs="Arial"/>
          <w:b/>
          <w:sz w:val="24"/>
        </w:rPr>
        <w:t xml:space="preserve"> </w:t>
      </w:r>
    </w:p>
    <w:p w14:paraId="510A0844" w14:textId="7142DF34" w:rsidR="00F07027" w:rsidRPr="00593411" w:rsidRDefault="00F07027" w:rsidP="00D12C62">
      <w:pPr>
        <w:pStyle w:val="ListParagraph"/>
        <w:keepNext/>
        <w:tabs>
          <w:tab w:val="right" w:pos="0"/>
        </w:tabs>
        <w:spacing w:before="120"/>
        <w:ind w:left="0"/>
        <w:contextualSpacing w:val="0"/>
        <w:jc w:val="right"/>
        <w:rPr>
          <w:rFonts w:cs="Arial"/>
          <w:b/>
          <w:sz w:val="24"/>
        </w:rPr>
      </w:pPr>
      <w:r w:rsidRPr="00593411">
        <w:rPr>
          <w:rFonts w:cs="Arial"/>
          <w:b/>
          <w:sz w:val="24"/>
        </w:rPr>
        <w:t xml:space="preserve">PEARSE </w:t>
      </w:r>
      <w:r w:rsidR="00D26A84" w:rsidRPr="00593411">
        <w:rPr>
          <w:rFonts w:cs="Arial"/>
          <w:b/>
          <w:sz w:val="24"/>
        </w:rPr>
        <w:t>AJ</w:t>
      </w:r>
    </w:p>
    <w:p w14:paraId="510A0848" w14:textId="77777777" w:rsidR="00F07027" w:rsidRPr="00593411" w:rsidRDefault="00F07027" w:rsidP="00D12C62">
      <w:pPr>
        <w:tabs>
          <w:tab w:val="right" w:pos="0"/>
          <w:tab w:val="left" w:pos="4253"/>
        </w:tabs>
        <w:spacing w:before="120"/>
        <w:jc w:val="right"/>
        <w:rPr>
          <w:rFonts w:cs="Arial"/>
          <w:sz w:val="24"/>
        </w:rPr>
      </w:pPr>
    </w:p>
    <w:p w14:paraId="510A0849" w14:textId="3DADA1A8" w:rsidR="00054BDA" w:rsidRPr="00593411" w:rsidRDefault="00054BDA" w:rsidP="006A17B6">
      <w:pPr>
        <w:spacing w:before="120" w:line="480" w:lineRule="auto"/>
        <w:rPr>
          <w:rFonts w:cs="Arial"/>
          <w:b/>
          <w:sz w:val="24"/>
        </w:rPr>
      </w:pPr>
      <w:r w:rsidRPr="00593411">
        <w:rPr>
          <w:rFonts w:cs="Arial"/>
          <w:sz w:val="24"/>
        </w:rPr>
        <w:t xml:space="preserve">This judgment is handed down </w:t>
      </w:r>
      <w:r w:rsidR="00252BFB" w:rsidRPr="00593411">
        <w:rPr>
          <w:rFonts w:cs="Arial"/>
          <w:sz w:val="24"/>
        </w:rPr>
        <w:t xml:space="preserve">electronically </w:t>
      </w:r>
      <w:r w:rsidRPr="00593411">
        <w:rPr>
          <w:rFonts w:cs="Arial"/>
          <w:sz w:val="24"/>
        </w:rPr>
        <w:t xml:space="preserve">by uploading it to the file of this matter on CaseLines. </w:t>
      </w:r>
      <w:r w:rsidR="003C12C5" w:rsidRPr="00593411">
        <w:rPr>
          <w:rFonts w:cs="Arial"/>
          <w:sz w:val="24"/>
        </w:rPr>
        <w:t>I</w:t>
      </w:r>
      <w:r w:rsidR="000C217C" w:rsidRPr="00593411">
        <w:rPr>
          <w:rFonts w:cs="Arial"/>
          <w:sz w:val="24"/>
        </w:rPr>
        <w:t>t will also be emailed to the parties or their legal representatives</w:t>
      </w:r>
      <w:r w:rsidR="00A355F7" w:rsidRPr="00593411">
        <w:rPr>
          <w:rFonts w:cs="Arial"/>
          <w:sz w:val="24"/>
        </w:rPr>
        <w:t xml:space="preserve">. The date of delivery of this judgment is </w:t>
      </w:r>
      <w:r w:rsidR="00BD5DEA">
        <w:rPr>
          <w:rFonts w:cs="Arial"/>
          <w:sz w:val="24"/>
        </w:rPr>
        <w:t xml:space="preserve">deemed to be </w:t>
      </w:r>
      <w:r w:rsidR="00A355F7" w:rsidRPr="00593411">
        <w:rPr>
          <w:rFonts w:cs="Arial"/>
          <w:sz w:val="24"/>
        </w:rPr>
        <w:t>0</w:t>
      </w:r>
      <w:r w:rsidR="00702F00">
        <w:rPr>
          <w:rFonts w:cs="Arial"/>
          <w:sz w:val="24"/>
        </w:rPr>
        <w:t>9</w:t>
      </w:r>
      <w:r w:rsidR="00A355F7" w:rsidRPr="00593411">
        <w:rPr>
          <w:rFonts w:cs="Arial"/>
          <w:sz w:val="24"/>
        </w:rPr>
        <w:t xml:space="preserve"> June 2023.</w:t>
      </w:r>
    </w:p>
    <w:p w14:paraId="510A084A" w14:textId="5196AA63" w:rsidR="003F72EB" w:rsidRPr="00593411" w:rsidRDefault="003F72EB">
      <w:pPr>
        <w:spacing w:after="160" w:line="259" w:lineRule="auto"/>
        <w:jc w:val="left"/>
        <w:rPr>
          <w:rFonts w:cs="Arial"/>
          <w:sz w:val="24"/>
        </w:rPr>
      </w:pPr>
    </w:p>
    <w:p w14:paraId="1FC4AD96" w14:textId="77777777" w:rsidR="00054BDA" w:rsidRPr="00593411" w:rsidRDefault="00054BDA" w:rsidP="00D12C62">
      <w:pPr>
        <w:spacing w:before="120"/>
        <w:rPr>
          <w:rFonts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968"/>
      </w:tblGrid>
      <w:tr w:rsidR="0005307F" w:rsidRPr="00593411" w14:paraId="510A084D" w14:textId="77777777" w:rsidTr="00EF40AF">
        <w:tc>
          <w:tcPr>
            <w:tcW w:w="5382" w:type="dxa"/>
          </w:tcPr>
          <w:p w14:paraId="510A084B" w14:textId="3112613E" w:rsidR="0005307F" w:rsidRPr="00593411" w:rsidRDefault="0005307F" w:rsidP="00D12C62">
            <w:pPr>
              <w:tabs>
                <w:tab w:val="right" w:pos="0"/>
                <w:tab w:val="left" w:pos="4253"/>
              </w:tabs>
              <w:spacing w:before="120"/>
              <w:jc w:val="left"/>
              <w:rPr>
                <w:rFonts w:cs="Arial"/>
                <w:sz w:val="24"/>
              </w:rPr>
            </w:pPr>
            <w:r w:rsidRPr="00593411">
              <w:rPr>
                <w:rFonts w:cs="Arial"/>
                <w:sz w:val="24"/>
              </w:rPr>
              <w:t>Counsel for Applicant:</w:t>
            </w:r>
          </w:p>
        </w:tc>
        <w:tc>
          <w:tcPr>
            <w:tcW w:w="3968" w:type="dxa"/>
          </w:tcPr>
          <w:p w14:paraId="510A084C" w14:textId="559F0542" w:rsidR="0005307F" w:rsidRPr="00593411" w:rsidRDefault="00740153" w:rsidP="00D12C62">
            <w:pPr>
              <w:tabs>
                <w:tab w:val="right" w:pos="0"/>
                <w:tab w:val="left" w:pos="4253"/>
              </w:tabs>
              <w:spacing w:before="120"/>
              <w:jc w:val="right"/>
              <w:rPr>
                <w:rFonts w:cs="Arial"/>
                <w:sz w:val="24"/>
              </w:rPr>
            </w:pPr>
            <w:r w:rsidRPr="00593411">
              <w:rPr>
                <w:rFonts w:cs="Arial"/>
                <w:sz w:val="24"/>
                <w:lang w:val="en-GB"/>
              </w:rPr>
              <w:t>Advocate Thabiso Mhlanga</w:t>
            </w:r>
          </w:p>
        </w:tc>
      </w:tr>
      <w:tr w:rsidR="0005307F" w:rsidRPr="00593411" w14:paraId="510A0850" w14:textId="77777777" w:rsidTr="00EF40AF">
        <w:tc>
          <w:tcPr>
            <w:tcW w:w="5382" w:type="dxa"/>
          </w:tcPr>
          <w:p w14:paraId="510A084E" w14:textId="77777777" w:rsidR="0005307F" w:rsidRPr="00593411" w:rsidRDefault="0005307F" w:rsidP="00D12C62">
            <w:pPr>
              <w:tabs>
                <w:tab w:val="right" w:pos="0"/>
                <w:tab w:val="left" w:pos="4253"/>
              </w:tabs>
              <w:spacing w:before="120"/>
              <w:jc w:val="left"/>
              <w:rPr>
                <w:rFonts w:cs="Arial"/>
                <w:sz w:val="24"/>
              </w:rPr>
            </w:pPr>
            <w:r w:rsidRPr="00593411">
              <w:rPr>
                <w:rFonts w:cs="Arial"/>
                <w:sz w:val="24"/>
              </w:rPr>
              <w:t>Instructed By:</w:t>
            </w:r>
          </w:p>
        </w:tc>
        <w:tc>
          <w:tcPr>
            <w:tcW w:w="3968" w:type="dxa"/>
          </w:tcPr>
          <w:p w14:paraId="510A084F" w14:textId="29B884F3" w:rsidR="0005307F" w:rsidRPr="00593411" w:rsidRDefault="00BC5B4F" w:rsidP="00D12C62">
            <w:pPr>
              <w:tabs>
                <w:tab w:val="right" w:pos="0"/>
                <w:tab w:val="left" w:pos="4253"/>
              </w:tabs>
              <w:spacing w:before="120"/>
              <w:jc w:val="right"/>
              <w:rPr>
                <w:rFonts w:cs="Arial"/>
                <w:sz w:val="24"/>
              </w:rPr>
            </w:pPr>
            <w:r w:rsidRPr="00593411">
              <w:rPr>
                <w:rFonts w:cs="Arial"/>
                <w:sz w:val="24"/>
              </w:rPr>
              <w:t>Smit Sewgoolam Inc</w:t>
            </w:r>
          </w:p>
        </w:tc>
      </w:tr>
      <w:tr w:rsidR="0005307F" w:rsidRPr="00593411" w14:paraId="510A0856" w14:textId="77777777" w:rsidTr="00EF40AF">
        <w:tc>
          <w:tcPr>
            <w:tcW w:w="5382" w:type="dxa"/>
          </w:tcPr>
          <w:p w14:paraId="510A0854" w14:textId="18973513" w:rsidR="0005307F" w:rsidRPr="00593411" w:rsidRDefault="0005307F" w:rsidP="00D12C62">
            <w:pPr>
              <w:tabs>
                <w:tab w:val="right" w:pos="0"/>
                <w:tab w:val="left" w:pos="4253"/>
              </w:tabs>
              <w:spacing w:before="120"/>
              <w:jc w:val="left"/>
              <w:rPr>
                <w:rFonts w:cs="Arial"/>
                <w:sz w:val="24"/>
              </w:rPr>
            </w:pPr>
            <w:r w:rsidRPr="00593411">
              <w:rPr>
                <w:rFonts w:cs="Arial"/>
                <w:sz w:val="24"/>
              </w:rPr>
              <w:t>Counsel for Respondent:</w:t>
            </w:r>
          </w:p>
        </w:tc>
        <w:tc>
          <w:tcPr>
            <w:tcW w:w="3968" w:type="dxa"/>
          </w:tcPr>
          <w:p w14:paraId="510A0855" w14:textId="56B12B3F" w:rsidR="0005307F" w:rsidRPr="00593411" w:rsidRDefault="00003E7E" w:rsidP="00D12C62">
            <w:pPr>
              <w:tabs>
                <w:tab w:val="right" w:pos="0"/>
                <w:tab w:val="left" w:pos="4253"/>
              </w:tabs>
              <w:spacing w:before="120"/>
              <w:jc w:val="right"/>
              <w:rPr>
                <w:rFonts w:cs="Arial"/>
                <w:sz w:val="24"/>
              </w:rPr>
            </w:pPr>
            <w:r w:rsidRPr="00593411">
              <w:rPr>
                <w:rFonts w:cs="Arial"/>
                <w:sz w:val="24"/>
              </w:rPr>
              <w:t>Attorney Gerhard de Beer</w:t>
            </w:r>
          </w:p>
        </w:tc>
      </w:tr>
      <w:tr w:rsidR="0005307F" w:rsidRPr="00593411" w14:paraId="510A0859" w14:textId="77777777" w:rsidTr="00EF40AF">
        <w:tc>
          <w:tcPr>
            <w:tcW w:w="5382" w:type="dxa"/>
          </w:tcPr>
          <w:p w14:paraId="510A0857" w14:textId="77777777" w:rsidR="0005307F" w:rsidRPr="00593411" w:rsidRDefault="0005307F" w:rsidP="00D12C62">
            <w:pPr>
              <w:tabs>
                <w:tab w:val="right" w:pos="0"/>
                <w:tab w:val="left" w:pos="4253"/>
              </w:tabs>
              <w:spacing w:before="120"/>
              <w:jc w:val="left"/>
              <w:rPr>
                <w:rFonts w:cs="Arial"/>
                <w:sz w:val="24"/>
              </w:rPr>
            </w:pPr>
            <w:r w:rsidRPr="00593411">
              <w:rPr>
                <w:rFonts w:cs="Arial"/>
                <w:sz w:val="24"/>
              </w:rPr>
              <w:t>Instructed By:</w:t>
            </w:r>
          </w:p>
        </w:tc>
        <w:tc>
          <w:tcPr>
            <w:tcW w:w="3968" w:type="dxa"/>
          </w:tcPr>
          <w:p w14:paraId="510A0858" w14:textId="47F4A264" w:rsidR="0005307F" w:rsidRPr="00593411" w:rsidRDefault="00C22F51" w:rsidP="00D12C62">
            <w:pPr>
              <w:tabs>
                <w:tab w:val="right" w:pos="0"/>
                <w:tab w:val="left" w:pos="4253"/>
              </w:tabs>
              <w:spacing w:before="120"/>
              <w:jc w:val="right"/>
              <w:rPr>
                <w:rFonts w:cs="Arial"/>
                <w:sz w:val="24"/>
              </w:rPr>
            </w:pPr>
            <w:r w:rsidRPr="00593411">
              <w:rPr>
                <w:rFonts w:cs="Arial"/>
                <w:sz w:val="24"/>
              </w:rPr>
              <w:t>DBM</w:t>
            </w:r>
            <w:r w:rsidR="00262AD2" w:rsidRPr="00593411">
              <w:rPr>
                <w:rFonts w:cs="Arial"/>
                <w:sz w:val="24"/>
              </w:rPr>
              <w:t xml:space="preserve"> Attorneys</w:t>
            </w:r>
          </w:p>
        </w:tc>
      </w:tr>
      <w:tr w:rsidR="0005307F" w:rsidRPr="00593411" w14:paraId="510A085F" w14:textId="77777777" w:rsidTr="00EF40AF">
        <w:tc>
          <w:tcPr>
            <w:tcW w:w="5382" w:type="dxa"/>
          </w:tcPr>
          <w:p w14:paraId="510A085D" w14:textId="77777777" w:rsidR="0005307F" w:rsidRPr="00593411" w:rsidRDefault="0005307F" w:rsidP="00D12C62">
            <w:pPr>
              <w:keepNext/>
              <w:tabs>
                <w:tab w:val="right" w:pos="0"/>
                <w:tab w:val="left" w:pos="4253"/>
              </w:tabs>
              <w:spacing w:before="120"/>
              <w:jc w:val="left"/>
              <w:rPr>
                <w:rFonts w:cs="Arial"/>
                <w:sz w:val="24"/>
              </w:rPr>
            </w:pPr>
            <w:r w:rsidRPr="00593411">
              <w:rPr>
                <w:rFonts w:cs="Arial"/>
                <w:sz w:val="24"/>
              </w:rPr>
              <w:t>Date of Hearing:</w:t>
            </w:r>
          </w:p>
        </w:tc>
        <w:tc>
          <w:tcPr>
            <w:tcW w:w="3968" w:type="dxa"/>
          </w:tcPr>
          <w:p w14:paraId="510A085E" w14:textId="59C41D16" w:rsidR="0005307F" w:rsidRPr="00593411" w:rsidRDefault="004369CE" w:rsidP="00D12C62">
            <w:pPr>
              <w:keepNext/>
              <w:tabs>
                <w:tab w:val="right" w:pos="0"/>
                <w:tab w:val="left" w:pos="4253"/>
              </w:tabs>
              <w:spacing w:before="120"/>
              <w:jc w:val="right"/>
              <w:rPr>
                <w:rFonts w:cs="Arial"/>
                <w:sz w:val="24"/>
              </w:rPr>
            </w:pPr>
            <w:r w:rsidRPr="00593411">
              <w:rPr>
                <w:rFonts w:cs="Arial"/>
                <w:sz w:val="24"/>
              </w:rPr>
              <w:t>01 June</w:t>
            </w:r>
            <w:r w:rsidR="003F186C" w:rsidRPr="00593411">
              <w:rPr>
                <w:rFonts w:cs="Arial"/>
                <w:sz w:val="24"/>
              </w:rPr>
              <w:t xml:space="preserve"> 2023</w:t>
            </w:r>
          </w:p>
        </w:tc>
      </w:tr>
      <w:tr w:rsidR="0005307F" w:rsidRPr="00593411" w14:paraId="510A0862" w14:textId="77777777" w:rsidTr="00EF40AF">
        <w:tc>
          <w:tcPr>
            <w:tcW w:w="5382" w:type="dxa"/>
          </w:tcPr>
          <w:p w14:paraId="510A0860" w14:textId="77777777" w:rsidR="0005307F" w:rsidRPr="00593411" w:rsidRDefault="0005307F" w:rsidP="00D12C62">
            <w:pPr>
              <w:tabs>
                <w:tab w:val="right" w:pos="0"/>
                <w:tab w:val="left" w:pos="4253"/>
              </w:tabs>
              <w:spacing w:before="120"/>
              <w:jc w:val="left"/>
              <w:rPr>
                <w:rFonts w:cs="Arial"/>
                <w:sz w:val="24"/>
              </w:rPr>
            </w:pPr>
            <w:r w:rsidRPr="00593411">
              <w:rPr>
                <w:rFonts w:cs="Arial"/>
                <w:sz w:val="24"/>
              </w:rPr>
              <w:t>Date of Judgment:</w:t>
            </w:r>
          </w:p>
        </w:tc>
        <w:tc>
          <w:tcPr>
            <w:tcW w:w="3968" w:type="dxa"/>
          </w:tcPr>
          <w:p w14:paraId="510A0861" w14:textId="7EC7AC39" w:rsidR="0005307F" w:rsidRPr="00593411" w:rsidRDefault="002E74BD" w:rsidP="00D12C62">
            <w:pPr>
              <w:tabs>
                <w:tab w:val="right" w:pos="0"/>
                <w:tab w:val="left" w:pos="4253"/>
              </w:tabs>
              <w:spacing w:before="120"/>
              <w:jc w:val="right"/>
              <w:rPr>
                <w:rFonts w:cs="Arial"/>
                <w:sz w:val="24"/>
              </w:rPr>
            </w:pPr>
            <w:r w:rsidRPr="00593411">
              <w:rPr>
                <w:rFonts w:cs="Arial"/>
                <w:sz w:val="24"/>
              </w:rPr>
              <w:t>0</w:t>
            </w:r>
            <w:r w:rsidR="002E5FFD" w:rsidRPr="00593411">
              <w:rPr>
                <w:rFonts w:cs="Arial"/>
                <w:sz w:val="24"/>
              </w:rPr>
              <w:t>9</w:t>
            </w:r>
            <w:r w:rsidRPr="00593411">
              <w:rPr>
                <w:rFonts w:cs="Arial"/>
                <w:sz w:val="24"/>
              </w:rPr>
              <w:t xml:space="preserve"> June 2023</w:t>
            </w:r>
          </w:p>
        </w:tc>
      </w:tr>
    </w:tbl>
    <w:p w14:paraId="510A0863" w14:textId="77777777" w:rsidR="0005307F" w:rsidRPr="00593411" w:rsidRDefault="0005307F" w:rsidP="00D12C62">
      <w:pPr>
        <w:tabs>
          <w:tab w:val="right" w:pos="0"/>
          <w:tab w:val="left" w:pos="4253"/>
        </w:tabs>
        <w:spacing w:before="120"/>
        <w:rPr>
          <w:rFonts w:cs="Arial"/>
          <w:sz w:val="24"/>
        </w:rPr>
      </w:pPr>
    </w:p>
    <w:sectPr w:rsidR="0005307F" w:rsidRPr="0059341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ED5D4" w14:textId="77777777" w:rsidR="00F854E2" w:rsidRDefault="00F854E2" w:rsidP="009037B0">
      <w:pPr>
        <w:spacing w:line="240" w:lineRule="auto"/>
      </w:pPr>
      <w:r>
        <w:separator/>
      </w:r>
    </w:p>
  </w:endnote>
  <w:endnote w:type="continuationSeparator" w:id="0">
    <w:p w14:paraId="36275F3B" w14:textId="77777777" w:rsidR="00F854E2" w:rsidRDefault="00F854E2" w:rsidP="009037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519602"/>
      <w:docPartObj>
        <w:docPartGallery w:val="Page Numbers (Bottom of Page)"/>
        <w:docPartUnique/>
      </w:docPartObj>
    </w:sdtPr>
    <w:sdtEndPr>
      <w:rPr>
        <w:noProof/>
      </w:rPr>
    </w:sdtEndPr>
    <w:sdtContent>
      <w:p w14:paraId="510A086C" w14:textId="5AA5502A" w:rsidR="00E960D4" w:rsidRDefault="00E960D4">
        <w:pPr>
          <w:pStyle w:val="Footer"/>
          <w:jc w:val="right"/>
        </w:pPr>
        <w:r>
          <w:fldChar w:fldCharType="begin"/>
        </w:r>
        <w:r>
          <w:instrText xml:space="preserve"> PAGE   \* MERGEFORMAT </w:instrText>
        </w:r>
        <w:r>
          <w:fldChar w:fldCharType="separate"/>
        </w:r>
        <w:r w:rsidR="002445FE">
          <w:rPr>
            <w:noProof/>
          </w:rPr>
          <w:t>2</w:t>
        </w:r>
        <w:r>
          <w:rPr>
            <w:noProof/>
          </w:rPr>
          <w:fldChar w:fldCharType="end"/>
        </w:r>
      </w:p>
    </w:sdtContent>
  </w:sdt>
  <w:p w14:paraId="510A086D" w14:textId="77777777" w:rsidR="00E960D4" w:rsidRDefault="00E960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C0FB6" w14:textId="77777777" w:rsidR="00F854E2" w:rsidRDefault="00F854E2" w:rsidP="009037B0">
      <w:pPr>
        <w:spacing w:line="240" w:lineRule="auto"/>
      </w:pPr>
      <w:r>
        <w:separator/>
      </w:r>
    </w:p>
  </w:footnote>
  <w:footnote w:type="continuationSeparator" w:id="0">
    <w:p w14:paraId="0F9A707B" w14:textId="77777777" w:rsidR="00F854E2" w:rsidRDefault="00F854E2" w:rsidP="009037B0">
      <w:pPr>
        <w:spacing w:line="240" w:lineRule="auto"/>
      </w:pPr>
      <w:r>
        <w:continuationSeparator/>
      </w:r>
    </w:p>
  </w:footnote>
  <w:footnote w:id="1">
    <w:p w14:paraId="1BC99529" w14:textId="77777777" w:rsidR="0005237A" w:rsidRPr="00EE713B" w:rsidRDefault="0005237A" w:rsidP="0005237A">
      <w:pPr>
        <w:pStyle w:val="FootnoteText"/>
        <w:spacing w:before="120"/>
        <w:ind w:left="709" w:hanging="709"/>
        <w:jc w:val="both"/>
        <w:rPr>
          <w:rFonts w:ascii="Arial" w:hAnsi="Arial" w:cs="Arial"/>
          <w:lang w:val="en-US"/>
        </w:rPr>
      </w:pPr>
      <w:r w:rsidRPr="00E4519E">
        <w:rPr>
          <w:rStyle w:val="FootnoteReference"/>
          <w:rFonts w:ascii="Arial" w:hAnsi="Arial" w:cs="Arial"/>
        </w:rPr>
        <w:footnoteRef/>
      </w:r>
      <w:r w:rsidRPr="00E4519E">
        <w:rPr>
          <w:rFonts w:ascii="Arial" w:hAnsi="Arial" w:cs="Arial"/>
        </w:rPr>
        <w:t xml:space="preserve"> </w:t>
      </w:r>
      <w:r w:rsidRPr="00E4519E">
        <w:rPr>
          <w:rFonts w:ascii="Arial" w:hAnsi="Arial" w:cs="Arial"/>
          <w:lang w:val="en-US"/>
        </w:rPr>
        <w:tab/>
      </w:r>
      <w:r>
        <w:rPr>
          <w:rFonts w:ascii="Arial" w:hAnsi="Arial" w:cs="Arial"/>
          <w:i/>
          <w:iCs/>
          <w:lang w:val="en-US"/>
        </w:rPr>
        <w:t>Kubyana v Standard Bank of South Africa Ltd</w:t>
      </w:r>
      <w:r>
        <w:rPr>
          <w:rFonts w:ascii="Arial" w:hAnsi="Arial" w:cs="Arial"/>
          <w:lang w:val="en-US"/>
        </w:rPr>
        <w:t xml:space="preserve"> 2014 (3) SA 56 (CC) [39]-[40]</w:t>
      </w:r>
    </w:p>
  </w:footnote>
  <w:footnote w:id="2">
    <w:p w14:paraId="1F6BF853" w14:textId="77777777" w:rsidR="0005237A" w:rsidRPr="00F41B4F" w:rsidRDefault="0005237A" w:rsidP="0005237A">
      <w:pPr>
        <w:pStyle w:val="FootnoteText"/>
        <w:spacing w:before="120"/>
        <w:ind w:left="709" w:hanging="709"/>
        <w:jc w:val="both"/>
        <w:rPr>
          <w:rFonts w:ascii="Arial" w:hAnsi="Arial" w:cs="Arial"/>
          <w:lang w:val="fr-FR"/>
        </w:rPr>
      </w:pPr>
      <w:r w:rsidRPr="00F41B4F">
        <w:rPr>
          <w:rStyle w:val="FootnoteReference"/>
          <w:rFonts w:ascii="Arial" w:hAnsi="Arial" w:cs="Arial"/>
        </w:rPr>
        <w:footnoteRef/>
      </w:r>
      <w:r w:rsidRPr="00F41B4F">
        <w:rPr>
          <w:rFonts w:ascii="Arial" w:hAnsi="Arial" w:cs="Arial"/>
          <w:lang w:val="fr-FR"/>
        </w:rPr>
        <w:t xml:space="preserve"> </w:t>
      </w:r>
      <w:r>
        <w:rPr>
          <w:rFonts w:ascii="Arial" w:hAnsi="Arial" w:cs="Arial"/>
          <w:lang w:val="fr-FR"/>
        </w:rPr>
        <w:tab/>
      </w:r>
      <w:r w:rsidRPr="00F41B4F">
        <w:rPr>
          <w:rFonts w:ascii="Arial" w:hAnsi="Arial" w:cs="Arial"/>
          <w:i/>
          <w:iCs/>
          <w:lang w:val="fr-FR"/>
        </w:rPr>
        <w:t>Meek v Kruger</w:t>
      </w:r>
      <w:r w:rsidRPr="00F41B4F">
        <w:rPr>
          <w:rFonts w:ascii="Arial" w:hAnsi="Arial" w:cs="Arial"/>
          <w:lang w:val="fr-FR"/>
        </w:rPr>
        <w:t xml:space="preserve"> 1958 (3) SA 154 (T)</w:t>
      </w:r>
      <w:r>
        <w:rPr>
          <w:rFonts w:ascii="Arial" w:hAnsi="Arial" w:cs="Arial"/>
          <w:lang w:val="fr-FR"/>
        </w:rPr>
        <w:t xml:space="preserve"> 159B-160E</w:t>
      </w:r>
    </w:p>
  </w:footnote>
  <w:footnote w:id="3">
    <w:p w14:paraId="0C2244FF" w14:textId="77777777" w:rsidR="0005237A" w:rsidRPr="00F41B4F" w:rsidRDefault="0005237A" w:rsidP="0005237A">
      <w:pPr>
        <w:pStyle w:val="FootnoteText"/>
        <w:spacing w:before="120"/>
        <w:ind w:left="709" w:hanging="709"/>
        <w:jc w:val="both"/>
        <w:rPr>
          <w:rFonts w:ascii="Arial" w:hAnsi="Arial" w:cs="Arial"/>
          <w:lang w:val="en-US"/>
        </w:rPr>
      </w:pPr>
      <w:r w:rsidRPr="00F41B4F">
        <w:rPr>
          <w:rStyle w:val="FootnoteReference"/>
          <w:rFonts w:ascii="Arial" w:hAnsi="Arial" w:cs="Arial"/>
        </w:rPr>
        <w:footnoteRef/>
      </w:r>
      <w:r w:rsidRPr="00F41B4F">
        <w:rPr>
          <w:rFonts w:ascii="Arial" w:hAnsi="Arial" w:cs="Arial"/>
        </w:rPr>
        <w:t xml:space="preserve"> </w:t>
      </w:r>
      <w:r>
        <w:rPr>
          <w:rFonts w:ascii="Arial" w:hAnsi="Arial" w:cs="Arial"/>
        </w:rPr>
        <w:tab/>
      </w:r>
      <w:r w:rsidRPr="00F41B4F">
        <w:rPr>
          <w:rFonts w:ascii="Arial" w:hAnsi="Arial" w:cs="Arial"/>
          <w:i/>
          <w:iCs/>
        </w:rPr>
        <w:t xml:space="preserve">Maharaj v Barclays National Bank Ltd </w:t>
      </w:r>
      <w:r w:rsidRPr="00F41B4F">
        <w:rPr>
          <w:rFonts w:ascii="Arial" w:hAnsi="Arial" w:cs="Arial"/>
        </w:rPr>
        <w:t>1976 (1) SA 418 (A) 426</w:t>
      </w:r>
      <w:r>
        <w:rPr>
          <w:rFonts w:ascii="Arial" w:hAnsi="Arial" w:cs="Arial"/>
        </w:rPr>
        <w:t>A-F</w:t>
      </w:r>
    </w:p>
  </w:footnote>
  <w:footnote w:id="4">
    <w:p w14:paraId="19BDB0FF" w14:textId="77777777" w:rsidR="0005237A" w:rsidRPr="00F41B4F" w:rsidRDefault="0005237A" w:rsidP="0005237A">
      <w:pPr>
        <w:autoSpaceDE w:val="0"/>
        <w:autoSpaceDN w:val="0"/>
        <w:adjustRightInd w:val="0"/>
        <w:spacing w:before="120"/>
        <w:ind w:left="709" w:hanging="709"/>
        <w:rPr>
          <w:rFonts w:cs="Arial"/>
          <w:sz w:val="20"/>
          <w:szCs w:val="20"/>
          <w:lang w:val="en-US"/>
        </w:rPr>
      </w:pPr>
      <w:r w:rsidRPr="00F41B4F">
        <w:rPr>
          <w:rStyle w:val="FootnoteReference"/>
          <w:rFonts w:cs="Arial"/>
          <w:sz w:val="20"/>
          <w:szCs w:val="20"/>
        </w:rPr>
        <w:footnoteRef/>
      </w:r>
      <w:r w:rsidRPr="00F41B4F">
        <w:rPr>
          <w:rFonts w:cs="Arial"/>
          <w:sz w:val="20"/>
          <w:szCs w:val="20"/>
        </w:rPr>
        <w:t xml:space="preserve"> </w:t>
      </w:r>
      <w:r>
        <w:rPr>
          <w:rFonts w:cs="Arial"/>
          <w:sz w:val="20"/>
          <w:szCs w:val="20"/>
        </w:rPr>
        <w:tab/>
      </w:r>
      <w:r w:rsidRPr="00F41B4F">
        <w:rPr>
          <w:rFonts w:cs="Arial"/>
          <w:i/>
          <w:iCs/>
          <w:sz w:val="20"/>
          <w:szCs w:val="20"/>
        </w:rPr>
        <w:t>Joob Joob Investments (Pty) Ltd v Stocks Mavundla Zek Joint Venture</w:t>
      </w:r>
      <w:r w:rsidRPr="00F41B4F">
        <w:rPr>
          <w:rFonts w:cs="Arial"/>
          <w:sz w:val="20"/>
          <w:szCs w:val="20"/>
        </w:rPr>
        <w:t xml:space="preserve"> 2009 (5) SA 1 (SCA) </w:t>
      </w:r>
      <w:r>
        <w:rPr>
          <w:rFonts w:cs="Arial"/>
          <w:sz w:val="20"/>
          <w:szCs w:val="20"/>
        </w:rPr>
        <w:t>[30]-[33]</w:t>
      </w:r>
    </w:p>
  </w:footnote>
  <w:footnote w:id="5">
    <w:p w14:paraId="1D3BEF9F" w14:textId="77777777" w:rsidR="0005237A" w:rsidRPr="00F41B4F" w:rsidRDefault="0005237A" w:rsidP="0005237A">
      <w:pPr>
        <w:pStyle w:val="FootnoteText"/>
        <w:spacing w:before="120"/>
        <w:ind w:left="709" w:hanging="709"/>
        <w:jc w:val="both"/>
        <w:rPr>
          <w:rFonts w:ascii="Arial" w:hAnsi="Arial" w:cs="Arial"/>
          <w:lang w:val="en-US"/>
        </w:rPr>
      </w:pPr>
      <w:r w:rsidRPr="00F41B4F">
        <w:rPr>
          <w:rStyle w:val="FootnoteReference"/>
          <w:rFonts w:ascii="Arial" w:hAnsi="Arial" w:cs="Arial"/>
        </w:rPr>
        <w:footnoteRef/>
      </w:r>
      <w:r w:rsidRPr="00F41B4F">
        <w:rPr>
          <w:rFonts w:ascii="Arial" w:hAnsi="Arial" w:cs="Arial"/>
        </w:rPr>
        <w:t xml:space="preserve"> </w:t>
      </w:r>
      <w:r>
        <w:rPr>
          <w:rFonts w:ascii="Arial" w:hAnsi="Arial" w:cs="Arial"/>
        </w:rPr>
        <w:tab/>
      </w:r>
      <w:r w:rsidRPr="00F41B4F">
        <w:rPr>
          <w:rFonts w:ascii="Arial" w:hAnsi="Arial" w:cs="Arial"/>
          <w:i/>
          <w:iCs/>
        </w:rPr>
        <w:t>He &amp; She Investments (Pty) Ltd v Brand NO</w:t>
      </w:r>
      <w:r>
        <w:rPr>
          <w:rFonts w:ascii="Arial" w:hAnsi="Arial" w:cs="Arial"/>
          <w:i/>
          <w:iCs/>
        </w:rPr>
        <w:t xml:space="preserve"> and Others</w:t>
      </w:r>
      <w:r w:rsidRPr="00F41B4F">
        <w:rPr>
          <w:rFonts w:ascii="Arial" w:hAnsi="Arial" w:cs="Arial"/>
        </w:rPr>
        <w:t xml:space="preserve"> 2019 (5) SA 492 (WCC) </w:t>
      </w:r>
      <w:r>
        <w:rPr>
          <w:rFonts w:ascii="Arial" w:hAnsi="Arial" w:cs="Arial"/>
        </w:rPr>
        <w:t>[10]-[11]</w:t>
      </w:r>
    </w:p>
  </w:footnote>
  <w:footnote w:id="6">
    <w:p w14:paraId="1F645718" w14:textId="77777777" w:rsidR="0005237A" w:rsidRPr="00367FB6" w:rsidRDefault="0005237A" w:rsidP="0005237A">
      <w:pPr>
        <w:pStyle w:val="FootnoteText"/>
        <w:spacing w:before="120"/>
        <w:ind w:left="709" w:hanging="709"/>
        <w:jc w:val="both"/>
        <w:rPr>
          <w:rFonts w:ascii="Arial" w:hAnsi="Arial" w:cs="Arial"/>
          <w:kern w:val="2"/>
          <w:lang w:val="en-US" w:eastAsia="en-US"/>
        </w:rPr>
      </w:pPr>
      <w:r w:rsidRPr="00367FB6">
        <w:rPr>
          <w:rStyle w:val="FootnoteReference"/>
          <w:rFonts w:ascii="Arial" w:hAnsi="Arial" w:cs="Arial"/>
        </w:rPr>
        <w:footnoteRef/>
      </w:r>
      <w:r w:rsidRPr="00367FB6">
        <w:rPr>
          <w:rFonts w:ascii="Arial" w:hAnsi="Arial" w:cs="Arial"/>
          <w:lang w:val="en-ZA"/>
        </w:rPr>
        <w:t xml:space="preserve"> </w:t>
      </w:r>
      <w:r w:rsidRPr="00367FB6">
        <w:rPr>
          <w:rFonts w:ascii="Arial" w:hAnsi="Arial" w:cs="Arial"/>
          <w:lang w:val="en-ZA"/>
        </w:rPr>
        <w:tab/>
      </w:r>
      <w:r w:rsidRPr="00367FB6">
        <w:rPr>
          <w:rFonts w:ascii="Arial" w:hAnsi="Arial" w:cs="Arial"/>
          <w:i/>
          <w:iCs/>
          <w:lang w:val="en-ZA"/>
        </w:rPr>
        <w:t>Mo</w:t>
      </w:r>
      <w:r w:rsidRPr="00925375">
        <w:rPr>
          <w:rFonts w:ascii="Arial" w:hAnsi="Arial" w:cs="Arial"/>
          <w:i/>
          <w:iCs/>
          <w:lang w:val="en-ZA"/>
        </w:rPr>
        <w:t xml:space="preserve">wschenson </w:t>
      </w:r>
      <w:r>
        <w:rPr>
          <w:rFonts w:ascii="Arial" w:hAnsi="Arial" w:cs="Arial"/>
          <w:i/>
          <w:iCs/>
          <w:lang w:val="en-ZA"/>
        </w:rPr>
        <w:t>and</w:t>
      </w:r>
      <w:r w:rsidRPr="00925375">
        <w:rPr>
          <w:rFonts w:ascii="Arial" w:hAnsi="Arial" w:cs="Arial"/>
          <w:i/>
          <w:iCs/>
          <w:lang w:val="en-ZA"/>
        </w:rPr>
        <w:t xml:space="preserve"> Mowschenson v Mercantile Acceptance</w:t>
      </w:r>
      <w:r w:rsidRPr="00367FB6">
        <w:rPr>
          <w:rFonts w:ascii="Arial" w:hAnsi="Arial" w:cs="Arial"/>
          <w:i/>
          <w:iCs/>
          <w:lang w:val="en-ZA"/>
        </w:rPr>
        <w:t xml:space="preserve"> Corp of </w:t>
      </w:r>
      <w:r>
        <w:rPr>
          <w:rFonts w:ascii="Arial" w:hAnsi="Arial" w:cs="Arial"/>
          <w:i/>
          <w:iCs/>
          <w:lang w:val="en-ZA"/>
        </w:rPr>
        <w:t xml:space="preserve">SA Ltd </w:t>
      </w:r>
      <w:r>
        <w:rPr>
          <w:rFonts w:ascii="Arial" w:hAnsi="Arial" w:cs="Arial"/>
          <w:lang w:val="en-ZA"/>
        </w:rPr>
        <w:t>1959 (3) SA 362 (W) 366E-367B</w:t>
      </w:r>
    </w:p>
  </w:footnote>
  <w:footnote w:id="7">
    <w:p w14:paraId="676DED43" w14:textId="77777777" w:rsidR="0005237A" w:rsidRPr="00F41B4F" w:rsidRDefault="0005237A" w:rsidP="0005237A">
      <w:pPr>
        <w:pStyle w:val="FootnoteText"/>
        <w:spacing w:before="120"/>
        <w:ind w:left="709" w:hanging="709"/>
        <w:jc w:val="both"/>
        <w:rPr>
          <w:rFonts w:ascii="Arial" w:hAnsi="Arial" w:cs="Arial"/>
          <w:lang w:val="en-US"/>
        </w:rPr>
      </w:pPr>
      <w:r w:rsidRPr="00F41B4F">
        <w:rPr>
          <w:rStyle w:val="FootnoteReference"/>
          <w:rFonts w:ascii="Arial" w:hAnsi="Arial" w:cs="Arial"/>
        </w:rPr>
        <w:footnoteRef/>
      </w:r>
      <w:r w:rsidRPr="00F41B4F">
        <w:rPr>
          <w:rFonts w:ascii="Arial" w:hAnsi="Arial" w:cs="Arial"/>
        </w:rPr>
        <w:t xml:space="preserve"> </w:t>
      </w:r>
      <w:r>
        <w:rPr>
          <w:rFonts w:ascii="Arial" w:hAnsi="Arial" w:cs="Arial"/>
        </w:rPr>
        <w:tab/>
      </w:r>
      <w:r>
        <w:rPr>
          <w:rFonts w:ascii="Arial" w:hAnsi="Arial" w:cs="Arial"/>
          <w:i/>
          <w:iCs/>
        </w:rPr>
        <w:t xml:space="preserve">Sebola and Another v Standard Bank of South Africa Ltd and Another </w:t>
      </w:r>
      <w:r>
        <w:rPr>
          <w:rFonts w:ascii="Arial" w:hAnsi="Arial" w:cs="Arial"/>
        </w:rPr>
        <w:t xml:space="preserve">2012 (5) SA 142 (CC) [87]; </w:t>
      </w:r>
      <w:r>
        <w:rPr>
          <w:rFonts w:ascii="Arial" w:hAnsi="Arial" w:cs="Arial"/>
          <w:i/>
          <w:iCs/>
        </w:rPr>
        <w:t>Benson and Another v Standard Bank of South Africa (Pty) Ltd and Others</w:t>
      </w:r>
      <w:r w:rsidRPr="00F41B4F">
        <w:rPr>
          <w:rFonts w:ascii="Arial" w:hAnsi="Arial" w:cs="Arial"/>
        </w:rPr>
        <w:t xml:space="preserve"> 2019 (5) SA </w:t>
      </w:r>
      <w:r>
        <w:rPr>
          <w:rFonts w:ascii="Arial" w:hAnsi="Arial" w:cs="Arial"/>
        </w:rPr>
        <w:t>152</w:t>
      </w:r>
      <w:r w:rsidRPr="00F41B4F">
        <w:rPr>
          <w:rFonts w:ascii="Arial" w:hAnsi="Arial" w:cs="Arial"/>
        </w:rPr>
        <w:t xml:space="preserve"> (</w:t>
      </w:r>
      <w:r>
        <w:rPr>
          <w:rFonts w:ascii="Arial" w:hAnsi="Arial" w:cs="Arial"/>
        </w:rPr>
        <w:t>GJ</w:t>
      </w:r>
      <w:r w:rsidRPr="00F41B4F">
        <w:rPr>
          <w:rFonts w:ascii="Arial" w:hAnsi="Arial" w:cs="Arial"/>
        </w:rPr>
        <w:t xml:space="preserve">) </w:t>
      </w:r>
      <w:r>
        <w:rPr>
          <w:rFonts w:ascii="Arial" w:hAnsi="Arial" w:cs="Arial"/>
        </w:rPr>
        <w:t>[16]</w:t>
      </w:r>
    </w:p>
  </w:footnote>
  <w:footnote w:id="8">
    <w:p w14:paraId="7F34105B" w14:textId="77777777" w:rsidR="0005237A" w:rsidRPr="00EB39EC" w:rsidRDefault="0005237A" w:rsidP="0005237A">
      <w:pPr>
        <w:pStyle w:val="FootnoteText"/>
        <w:spacing w:before="120"/>
        <w:ind w:left="709" w:hanging="709"/>
        <w:jc w:val="both"/>
        <w:rPr>
          <w:rFonts w:ascii="Arial" w:hAnsi="Arial" w:cs="Arial"/>
          <w:lang w:val="en-US"/>
        </w:rPr>
      </w:pPr>
      <w:r w:rsidRPr="00F41B4F">
        <w:rPr>
          <w:rStyle w:val="FootnoteReference"/>
          <w:rFonts w:ascii="Arial" w:hAnsi="Arial" w:cs="Arial"/>
        </w:rPr>
        <w:footnoteRef/>
      </w:r>
      <w:r w:rsidRPr="00F41B4F">
        <w:rPr>
          <w:rFonts w:ascii="Arial" w:hAnsi="Arial" w:cs="Arial"/>
        </w:rPr>
        <w:t xml:space="preserve"> </w:t>
      </w:r>
      <w:r>
        <w:rPr>
          <w:rFonts w:ascii="Arial" w:hAnsi="Arial" w:cs="Arial"/>
        </w:rPr>
        <w:tab/>
      </w:r>
      <w:r>
        <w:rPr>
          <w:rFonts w:ascii="Arial" w:hAnsi="Arial" w:cs="Arial"/>
          <w:i/>
          <w:iCs/>
        </w:rPr>
        <w:t xml:space="preserve">Kgomo and Another v Standard Bank of South Africa and Others </w:t>
      </w:r>
      <w:r>
        <w:rPr>
          <w:rFonts w:ascii="Arial" w:hAnsi="Arial" w:cs="Arial"/>
        </w:rPr>
        <w:t>2016 (2) SA 184 (GP) [35]-[54]</w:t>
      </w:r>
    </w:p>
  </w:footnote>
  <w:footnote w:id="9">
    <w:p w14:paraId="0B647E47" w14:textId="77777777" w:rsidR="0005237A" w:rsidRPr="00EB39EC" w:rsidRDefault="0005237A" w:rsidP="0005237A">
      <w:pPr>
        <w:pStyle w:val="FootnoteText"/>
        <w:spacing w:before="120"/>
        <w:ind w:left="709" w:hanging="709"/>
        <w:jc w:val="both"/>
        <w:rPr>
          <w:rFonts w:ascii="Arial" w:hAnsi="Arial" w:cs="Arial"/>
          <w:lang w:val="en-US"/>
        </w:rPr>
      </w:pPr>
      <w:r w:rsidRPr="00F41B4F">
        <w:rPr>
          <w:rStyle w:val="FootnoteReference"/>
          <w:rFonts w:ascii="Arial" w:hAnsi="Arial" w:cs="Arial"/>
        </w:rPr>
        <w:footnoteRef/>
      </w:r>
      <w:r w:rsidRPr="00F41B4F">
        <w:rPr>
          <w:rFonts w:ascii="Arial" w:hAnsi="Arial" w:cs="Arial"/>
        </w:rPr>
        <w:t xml:space="preserve"> </w:t>
      </w:r>
      <w:r>
        <w:rPr>
          <w:rFonts w:ascii="Arial" w:hAnsi="Arial" w:cs="Arial"/>
        </w:rPr>
        <w:tab/>
      </w:r>
      <w:r>
        <w:rPr>
          <w:rFonts w:ascii="Arial" w:hAnsi="Arial" w:cs="Arial"/>
          <w:i/>
          <w:iCs/>
        </w:rPr>
        <w:t>Benson supra</w:t>
      </w:r>
      <w:r w:rsidRPr="00F41B4F">
        <w:rPr>
          <w:rFonts w:ascii="Arial" w:hAnsi="Arial" w:cs="Arial"/>
        </w:rPr>
        <w:t xml:space="preserve"> </w:t>
      </w:r>
      <w:r>
        <w:rPr>
          <w:rFonts w:ascii="Arial" w:hAnsi="Arial" w:cs="Arial"/>
        </w:rPr>
        <w:t xml:space="preserve">[14]-[17]; see too </w:t>
      </w:r>
      <w:r>
        <w:rPr>
          <w:rFonts w:ascii="Arial" w:hAnsi="Arial" w:cs="Arial"/>
          <w:i/>
          <w:iCs/>
        </w:rPr>
        <w:t xml:space="preserve">Sebola supra </w:t>
      </w:r>
      <w:r>
        <w:rPr>
          <w:rFonts w:ascii="Arial" w:hAnsi="Arial" w:cs="Arial"/>
        </w:rPr>
        <w:t>[53]</w:t>
      </w:r>
    </w:p>
  </w:footnote>
  <w:footnote w:id="10">
    <w:p w14:paraId="294D3027" w14:textId="77777777" w:rsidR="0005237A" w:rsidRPr="00EB39EC" w:rsidRDefault="0005237A" w:rsidP="0005237A">
      <w:pPr>
        <w:pStyle w:val="FootnoteText"/>
        <w:spacing w:before="120"/>
        <w:ind w:left="709" w:hanging="709"/>
        <w:jc w:val="both"/>
        <w:rPr>
          <w:rFonts w:ascii="Arial" w:hAnsi="Arial" w:cs="Arial"/>
          <w:lang w:val="en-US"/>
        </w:rPr>
      </w:pPr>
      <w:r w:rsidRPr="00F41B4F">
        <w:rPr>
          <w:rStyle w:val="FootnoteReference"/>
          <w:rFonts w:ascii="Arial" w:hAnsi="Arial" w:cs="Arial"/>
        </w:rPr>
        <w:footnoteRef/>
      </w:r>
      <w:r w:rsidRPr="00F41B4F">
        <w:rPr>
          <w:rFonts w:ascii="Arial" w:hAnsi="Arial" w:cs="Arial"/>
        </w:rPr>
        <w:t xml:space="preserve"> </w:t>
      </w:r>
      <w:r>
        <w:rPr>
          <w:rFonts w:ascii="Arial" w:hAnsi="Arial" w:cs="Arial"/>
        </w:rPr>
        <w:tab/>
      </w:r>
      <w:r>
        <w:rPr>
          <w:rFonts w:ascii="Arial" w:hAnsi="Arial" w:cs="Arial"/>
          <w:i/>
          <w:iCs/>
        </w:rPr>
        <w:t xml:space="preserve">Kgomo supra </w:t>
      </w:r>
      <w:r>
        <w:rPr>
          <w:rFonts w:ascii="Arial" w:hAnsi="Arial" w:cs="Arial"/>
        </w:rPr>
        <w:t>[55]-[58]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BE28FDB"/>
    <w:multiLevelType w:val="hybridMultilevel"/>
    <w:tmpl w:val="1939B3A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91500C"/>
    <w:multiLevelType w:val="multilevel"/>
    <w:tmpl w:val="FE187EC4"/>
    <w:lvl w:ilvl="0">
      <w:start w:val="1"/>
      <w:numFmt w:val="decimal"/>
      <w:lvlText w:val="%1"/>
      <w:lvlJc w:val="left"/>
      <w:pPr>
        <w:ind w:left="360" w:hanging="360"/>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2B44FBB"/>
    <w:multiLevelType w:val="hybridMultilevel"/>
    <w:tmpl w:val="14BCCD5A"/>
    <w:lvl w:ilvl="0" w:tplc="83D28E36">
      <w:numFmt w:val="bullet"/>
      <w:lvlText w:val=""/>
      <w:lvlJc w:val="left"/>
      <w:pPr>
        <w:ind w:left="1800" w:hanging="360"/>
      </w:pPr>
      <w:rPr>
        <w:rFonts w:ascii="Symbol" w:eastAsia="SimSun"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0314518E"/>
    <w:multiLevelType w:val="hybridMultilevel"/>
    <w:tmpl w:val="EFC604A2"/>
    <w:lvl w:ilvl="0" w:tplc="29945BD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3267628"/>
    <w:multiLevelType w:val="multilevel"/>
    <w:tmpl w:val="611E3AB0"/>
    <w:lvl w:ilvl="0">
      <w:start w:val="1"/>
      <w:numFmt w:val="decimal"/>
      <w:lvlText w:val="%1."/>
      <w:lvlJc w:val="left"/>
      <w:pPr>
        <w:ind w:left="709" w:hanging="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43C14D2"/>
    <w:multiLevelType w:val="multilevel"/>
    <w:tmpl w:val="1CCAD94E"/>
    <w:lvl w:ilvl="0">
      <w:start w:val="1"/>
      <w:numFmt w:val="decimal"/>
      <w:lvlText w:val="%1."/>
      <w:lvlJc w:val="left"/>
      <w:pPr>
        <w:ind w:left="709" w:hanging="709"/>
      </w:pPr>
      <w:rPr>
        <w:rFonts w:hint="default"/>
      </w:rPr>
    </w:lvl>
    <w:lvl w:ilvl="1">
      <w:start w:val="1"/>
      <w:numFmt w:val="decimal"/>
      <w:lvlText w:val="%1.%2."/>
      <w:lvlJc w:val="left"/>
      <w:pPr>
        <w:tabs>
          <w:tab w:val="num" w:pos="1418"/>
        </w:tabs>
        <w:ind w:left="1418" w:hanging="709"/>
      </w:pPr>
      <w:rPr>
        <w:rFonts w:hint="default"/>
        <w:b w:val="0"/>
      </w:rPr>
    </w:lvl>
    <w:lvl w:ilvl="2">
      <w:start w:val="1"/>
      <w:numFmt w:val="decimal"/>
      <w:lvlText w:val="%1.%2.%3."/>
      <w:lvlJc w:val="left"/>
      <w:pPr>
        <w:tabs>
          <w:tab w:val="num" w:pos="2552"/>
        </w:tabs>
        <w:ind w:left="2552" w:hanging="1134"/>
      </w:pPr>
      <w:rPr>
        <w:rFonts w:hint="default"/>
        <w:b w:val="0"/>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6354CBA"/>
    <w:multiLevelType w:val="hybridMultilevel"/>
    <w:tmpl w:val="5E6238D8"/>
    <w:lvl w:ilvl="0" w:tplc="1C090015">
      <w:start w:val="1"/>
      <w:numFmt w:val="upperLetter"/>
      <w:lvlText w:val="%1."/>
      <w:lvlJc w:val="left"/>
      <w:pPr>
        <w:ind w:left="709" w:hanging="360"/>
      </w:pPr>
    </w:lvl>
    <w:lvl w:ilvl="1" w:tplc="1C090019" w:tentative="1">
      <w:start w:val="1"/>
      <w:numFmt w:val="lowerLetter"/>
      <w:lvlText w:val="%2."/>
      <w:lvlJc w:val="left"/>
      <w:pPr>
        <w:ind w:left="1429" w:hanging="360"/>
      </w:pPr>
    </w:lvl>
    <w:lvl w:ilvl="2" w:tplc="1C09001B" w:tentative="1">
      <w:start w:val="1"/>
      <w:numFmt w:val="lowerRoman"/>
      <w:lvlText w:val="%3."/>
      <w:lvlJc w:val="right"/>
      <w:pPr>
        <w:ind w:left="2149" w:hanging="180"/>
      </w:pPr>
    </w:lvl>
    <w:lvl w:ilvl="3" w:tplc="1C09000F" w:tentative="1">
      <w:start w:val="1"/>
      <w:numFmt w:val="decimal"/>
      <w:lvlText w:val="%4."/>
      <w:lvlJc w:val="left"/>
      <w:pPr>
        <w:ind w:left="2869" w:hanging="360"/>
      </w:pPr>
    </w:lvl>
    <w:lvl w:ilvl="4" w:tplc="1C090019" w:tentative="1">
      <w:start w:val="1"/>
      <w:numFmt w:val="lowerLetter"/>
      <w:lvlText w:val="%5."/>
      <w:lvlJc w:val="left"/>
      <w:pPr>
        <w:ind w:left="3589" w:hanging="360"/>
      </w:pPr>
    </w:lvl>
    <w:lvl w:ilvl="5" w:tplc="1C09001B" w:tentative="1">
      <w:start w:val="1"/>
      <w:numFmt w:val="lowerRoman"/>
      <w:lvlText w:val="%6."/>
      <w:lvlJc w:val="right"/>
      <w:pPr>
        <w:ind w:left="4309" w:hanging="180"/>
      </w:pPr>
    </w:lvl>
    <w:lvl w:ilvl="6" w:tplc="1C09000F" w:tentative="1">
      <w:start w:val="1"/>
      <w:numFmt w:val="decimal"/>
      <w:lvlText w:val="%7."/>
      <w:lvlJc w:val="left"/>
      <w:pPr>
        <w:ind w:left="5029" w:hanging="360"/>
      </w:pPr>
    </w:lvl>
    <w:lvl w:ilvl="7" w:tplc="1C090019" w:tentative="1">
      <w:start w:val="1"/>
      <w:numFmt w:val="lowerLetter"/>
      <w:lvlText w:val="%8."/>
      <w:lvlJc w:val="left"/>
      <w:pPr>
        <w:ind w:left="5749" w:hanging="360"/>
      </w:pPr>
    </w:lvl>
    <w:lvl w:ilvl="8" w:tplc="1C09001B" w:tentative="1">
      <w:start w:val="1"/>
      <w:numFmt w:val="lowerRoman"/>
      <w:lvlText w:val="%9."/>
      <w:lvlJc w:val="right"/>
      <w:pPr>
        <w:ind w:left="6469" w:hanging="180"/>
      </w:pPr>
    </w:lvl>
  </w:abstractNum>
  <w:abstractNum w:abstractNumId="7">
    <w:nsid w:val="0936204A"/>
    <w:multiLevelType w:val="multilevel"/>
    <w:tmpl w:val="CF56B5C0"/>
    <w:lvl w:ilvl="0">
      <w:start w:val="1"/>
      <w:numFmt w:val="decimal"/>
      <w:lvlText w:val="%1."/>
      <w:lvlJc w:val="left"/>
      <w:pPr>
        <w:ind w:left="709" w:hanging="709"/>
      </w:pPr>
      <w:rPr>
        <w:rFonts w:hint="default"/>
      </w:rPr>
    </w:lvl>
    <w:lvl w:ilvl="1">
      <w:start w:val="1"/>
      <w:numFmt w:val="decimal"/>
      <w:lvlText w:val="%1.%2."/>
      <w:lvlJc w:val="left"/>
      <w:pPr>
        <w:tabs>
          <w:tab w:val="num" w:pos="1418"/>
        </w:tabs>
        <w:ind w:left="1418" w:hanging="709"/>
      </w:pPr>
      <w:rPr>
        <w:rFonts w:hint="default"/>
        <w:b w:val="0"/>
      </w:rPr>
    </w:lvl>
    <w:lvl w:ilvl="2">
      <w:start w:val="1"/>
      <w:numFmt w:val="decimal"/>
      <w:lvlText w:val="%1.%2.%3."/>
      <w:lvlJc w:val="left"/>
      <w:pPr>
        <w:tabs>
          <w:tab w:val="num" w:pos="2552"/>
        </w:tabs>
        <w:ind w:left="2552" w:hanging="1134"/>
      </w:pPr>
      <w:rPr>
        <w:rFonts w:hint="default"/>
        <w:b w:val="0"/>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9">
    <w:nsid w:val="0F58434B"/>
    <w:multiLevelType w:val="hybridMultilevel"/>
    <w:tmpl w:val="A0CA10DC"/>
    <w:lvl w:ilvl="0" w:tplc="1C09000F">
      <w:start w:val="1"/>
      <w:numFmt w:val="decimal"/>
      <w:lvlText w:val="%1."/>
      <w:lvlJc w:val="left"/>
      <w:pPr>
        <w:tabs>
          <w:tab w:val="num" w:pos="720"/>
        </w:tabs>
        <w:ind w:left="720" w:hanging="360"/>
      </w:pPr>
    </w:lvl>
    <w:lvl w:ilvl="1" w:tplc="1C090019" w:tentative="1">
      <w:start w:val="1"/>
      <w:numFmt w:val="lowerLetter"/>
      <w:lvlText w:val="%2."/>
      <w:lvlJc w:val="left"/>
      <w:pPr>
        <w:tabs>
          <w:tab w:val="num" w:pos="1440"/>
        </w:tabs>
        <w:ind w:left="1440" w:hanging="360"/>
      </w:pPr>
    </w:lvl>
    <w:lvl w:ilvl="2" w:tplc="1C09001B" w:tentative="1">
      <w:start w:val="1"/>
      <w:numFmt w:val="lowerRoman"/>
      <w:lvlText w:val="%3."/>
      <w:lvlJc w:val="right"/>
      <w:pPr>
        <w:tabs>
          <w:tab w:val="num" w:pos="2160"/>
        </w:tabs>
        <w:ind w:left="2160" w:hanging="180"/>
      </w:pPr>
    </w:lvl>
    <w:lvl w:ilvl="3" w:tplc="1C09000F" w:tentative="1">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10">
    <w:nsid w:val="104B3794"/>
    <w:multiLevelType w:val="multilevel"/>
    <w:tmpl w:val="09CE93A2"/>
    <w:lvl w:ilvl="0">
      <w:start w:val="1"/>
      <w:numFmt w:val="decimal"/>
      <w:lvlText w:val="%1."/>
      <w:lvlJc w:val="left"/>
      <w:pPr>
        <w:ind w:left="709" w:hanging="709"/>
      </w:pPr>
      <w:rPr>
        <w:rFonts w:hint="default"/>
      </w:rPr>
    </w:lvl>
    <w:lvl w:ilvl="1">
      <w:start w:val="1"/>
      <w:numFmt w:val="decimal"/>
      <w:lvlText w:val="%1.%2."/>
      <w:lvlJc w:val="left"/>
      <w:pPr>
        <w:tabs>
          <w:tab w:val="num" w:pos="1418"/>
        </w:tabs>
        <w:ind w:left="1418" w:hanging="709"/>
      </w:pPr>
      <w:rPr>
        <w:rFonts w:hint="default"/>
        <w:b w:val="0"/>
      </w:rPr>
    </w:lvl>
    <w:lvl w:ilvl="2">
      <w:start w:val="1"/>
      <w:numFmt w:val="decimal"/>
      <w:lvlText w:val="%1.%2.%3."/>
      <w:lvlJc w:val="left"/>
      <w:pPr>
        <w:tabs>
          <w:tab w:val="num" w:pos="2552"/>
        </w:tabs>
        <w:ind w:left="2552" w:hanging="1134"/>
      </w:pPr>
      <w:rPr>
        <w:rFonts w:hint="default"/>
        <w:b w:val="0"/>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201CF9E"/>
    <w:multiLevelType w:val="hybridMultilevel"/>
    <w:tmpl w:val="4CA9A2B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7247441"/>
    <w:multiLevelType w:val="multilevel"/>
    <w:tmpl w:val="796EECC2"/>
    <w:lvl w:ilvl="0">
      <w:start w:val="1"/>
      <w:numFmt w:val="decimal"/>
      <w:lvlText w:val="%1."/>
      <w:lvlJc w:val="left"/>
      <w:pPr>
        <w:ind w:left="709" w:hanging="709"/>
      </w:pPr>
      <w:rPr>
        <w:rFonts w:hint="default"/>
        <w:b w:val="0"/>
        <w:bCs/>
        <w:i w:val="0"/>
        <w:iCs/>
      </w:rPr>
    </w:lvl>
    <w:lvl w:ilvl="1">
      <w:start w:val="1"/>
      <w:numFmt w:val="decimal"/>
      <w:lvlText w:val="%1.%2."/>
      <w:lvlJc w:val="left"/>
      <w:pPr>
        <w:tabs>
          <w:tab w:val="num" w:pos="1418"/>
        </w:tabs>
        <w:ind w:left="1418" w:hanging="709"/>
      </w:pPr>
      <w:rPr>
        <w:rFonts w:hint="default"/>
        <w:b w:val="0"/>
      </w:rPr>
    </w:lvl>
    <w:lvl w:ilvl="2">
      <w:start w:val="1"/>
      <w:numFmt w:val="decimal"/>
      <w:lvlText w:val="%1.%2.%3."/>
      <w:lvlJc w:val="left"/>
      <w:pPr>
        <w:tabs>
          <w:tab w:val="num" w:pos="2552"/>
        </w:tabs>
        <w:ind w:left="2552" w:hanging="1134"/>
      </w:pPr>
      <w:rPr>
        <w:rFonts w:hint="default"/>
        <w:b w:val="0"/>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B5D62CC"/>
    <w:multiLevelType w:val="multilevel"/>
    <w:tmpl w:val="A3789DC2"/>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1814"/>
        </w:tabs>
        <w:ind w:left="1814" w:hanging="1077"/>
      </w:pPr>
      <w:rPr>
        <w:rFonts w:hint="default"/>
      </w:rPr>
    </w:lvl>
    <w:lvl w:ilvl="3">
      <w:start w:val="1"/>
      <w:numFmt w:val="decimal"/>
      <w:lvlText w:val="%1.%2.%3.%4"/>
      <w:lvlJc w:val="left"/>
      <w:pPr>
        <w:tabs>
          <w:tab w:val="num" w:pos="2835"/>
        </w:tabs>
        <w:ind w:left="2835" w:hanging="1134"/>
      </w:pPr>
      <w:rPr>
        <w:rFonts w:hint="default"/>
      </w:rPr>
    </w:lvl>
    <w:lvl w:ilvl="4">
      <w:start w:val="1"/>
      <w:numFmt w:val="decimal"/>
      <w:lvlText w:val="%1.%2.%3.%4.%5"/>
      <w:lvlJc w:val="left"/>
      <w:pPr>
        <w:tabs>
          <w:tab w:val="num" w:pos="5188"/>
        </w:tabs>
        <w:ind w:left="5188" w:hanging="1440"/>
      </w:pPr>
      <w:rPr>
        <w:rFonts w:hint="default"/>
      </w:rPr>
    </w:lvl>
    <w:lvl w:ilvl="5">
      <w:start w:val="1"/>
      <w:numFmt w:val="decimal"/>
      <w:lvlText w:val="%1.%2.%3.%4.%5.%6"/>
      <w:lvlJc w:val="left"/>
      <w:pPr>
        <w:tabs>
          <w:tab w:val="num" w:pos="6485"/>
        </w:tabs>
        <w:ind w:left="6485" w:hanging="1800"/>
      </w:pPr>
      <w:rPr>
        <w:rFonts w:hint="default"/>
      </w:rPr>
    </w:lvl>
    <w:lvl w:ilvl="6">
      <w:start w:val="1"/>
      <w:numFmt w:val="decimal"/>
      <w:lvlText w:val="%1.%2.%3.%4.%5.%6.%7"/>
      <w:lvlJc w:val="left"/>
      <w:pPr>
        <w:tabs>
          <w:tab w:val="num" w:pos="7422"/>
        </w:tabs>
        <w:ind w:left="7422" w:hanging="1800"/>
      </w:pPr>
      <w:rPr>
        <w:rFonts w:hint="default"/>
      </w:rPr>
    </w:lvl>
    <w:lvl w:ilvl="7">
      <w:start w:val="1"/>
      <w:numFmt w:val="decimal"/>
      <w:lvlText w:val="%1.%2.%3.%4.%5.%6.%7.%8"/>
      <w:lvlJc w:val="left"/>
      <w:pPr>
        <w:tabs>
          <w:tab w:val="num" w:pos="8719"/>
        </w:tabs>
        <w:ind w:left="8719" w:hanging="2160"/>
      </w:pPr>
      <w:rPr>
        <w:rFonts w:hint="default"/>
      </w:rPr>
    </w:lvl>
    <w:lvl w:ilvl="8">
      <w:start w:val="1"/>
      <w:numFmt w:val="decimal"/>
      <w:lvlText w:val="%1.%2.%3.%4.%5.%6.%7.%8.%9"/>
      <w:lvlJc w:val="left"/>
      <w:pPr>
        <w:tabs>
          <w:tab w:val="num" w:pos="10016"/>
        </w:tabs>
        <w:ind w:left="10016" w:hanging="2520"/>
      </w:pPr>
      <w:rPr>
        <w:rFonts w:hint="default"/>
      </w:rPr>
    </w:lvl>
  </w:abstractNum>
  <w:abstractNum w:abstractNumId="14">
    <w:nsid w:val="1C896BE7"/>
    <w:multiLevelType w:val="hybridMultilevel"/>
    <w:tmpl w:val="76E0D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5E80195"/>
    <w:multiLevelType w:val="multilevel"/>
    <w:tmpl w:val="D68C3E28"/>
    <w:lvl w:ilvl="0">
      <w:start w:val="1"/>
      <w:numFmt w:val="decimal"/>
      <w:pStyle w:val="BLLevel1HeadingAltQ"/>
      <w:lvlText w:val="%1."/>
      <w:lvlJc w:val="left"/>
      <w:pPr>
        <w:tabs>
          <w:tab w:val="num" w:pos="567"/>
        </w:tabs>
        <w:ind w:left="567" w:hanging="567"/>
      </w:pPr>
      <w:rPr>
        <w:rFonts w:hint="default"/>
        <w:b w:val="0"/>
        <w:i w:val="0"/>
        <w:sz w:val="18"/>
      </w:rPr>
    </w:lvl>
    <w:lvl w:ilvl="1">
      <w:start w:val="1"/>
      <w:numFmt w:val="decimal"/>
      <w:pStyle w:val="BLLevel2ListAlt"/>
      <w:lvlText w:val="%1.%2"/>
      <w:lvlJc w:val="left"/>
      <w:pPr>
        <w:tabs>
          <w:tab w:val="num" w:pos="851"/>
        </w:tabs>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BLLevel3ListAlt"/>
      <w:lvlText w:val="%1.%2.%3"/>
      <w:lvlJc w:val="left"/>
      <w:pPr>
        <w:tabs>
          <w:tab w:val="num" w:pos="1134"/>
        </w:tabs>
        <w:ind w:left="1134" w:hanging="113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BLLevel4ListAlt"/>
      <w:lvlText w:val="%1.%2.%3.%4"/>
      <w:lvlJc w:val="left"/>
      <w:pPr>
        <w:tabs>
          <w:tab w:val="num" w:pos="1418"/>
        </w:tabs>
        <w:ind w:left="1418" w:hanging="1418"/>
      </w:pPr>
      <w:rPr>
        <w:rFonts w:hint="default"/>
        <w:b w:val="0"/>
        <w:i w:val="0"/>
        <w:sz w:val="18"/>
      </w:rPr>
    </w:lvl>
    <w:lvl w:ilvl="4">
      <w:start w:val="1"/>
      <w:numFmt w:val="decimal"/>
      <w:pStyle w:val="BLLevel5ListAlt"/>
      <w:lvlText w:val="%1.%2.%3.%4.%5"/>
      <w:lvlJc w:val="left"/>
      <w:pPr>
        <w:tabs>
          <w:tab w:val="num" w:pos="1701"/>
        </w:tabs>
        <w:ind w:left="1701" w:hanging="1701"/>
      </w:pPr>
      <w:rPr>
        <w:rFonts w:hint="default"/>
        <w:b w:val="0"/>
        <w:i w:val="0"/>
        <w:sz w:val="18"/>
      </w:rPr>
    </w:lvl>
    <w:lvl w:ilvl="5">
      <w:start w:val="1"/>
      <w:numFmt w:val="decimal"/>
      <w:pStyle w:val="BLLevel6ListAlt"/>
      <w:lvlText w:val="%1.%2.%3.%4.%5.%6"/>
      <w:lvlJc w:val="left"/>
      <w:pPr>
        <w:tabs>
          <w:tab w:val="num" w:pos="1985"/>
        </w:tabs>
        <w:ind w:left="1985" w:hanging="1985"/>
      </w:pPr>
      <w:rPr>
        <w:rFonts w:hint="default"/>
        <w:b w:val="0"/>
        <w:i w:val="0"/>
        <w:sz w:val="18"/>
      </w:rPr>
    </w:lvl>
    <w:lvl w:ilvl="6">
      <w:start w:val="1"/>
      <w:numFmt w:val="decimal"/>
      <w:pStyle w:val="BLLevel7ListAltM"/>
      <w:lvlText w:val="%1.%2.%3.%4.%5.%6.%7"/>
      <w:lvlJc w:val="left"/>
      <w:pPr>
        <w:tabs>
          <w:tab w:val="num" w:pos="2268"/>
        </w:tabs>
        <w:ind w:left="2268" w:hanging="226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F405F02"/>
    <w:multiLevelType w:val="hybridMultilevel"/>
    <w:tmpl w:val="A89CF7D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nsid w:val="37DF2E7B"/>
    <w:multiLevelType w:val="multilevel"/>
    <w:tmpl w:val="DCFAE0E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9DE2D21"/>
    <w:multiLevelType w:val="multilevel"/>
    <w:tmpl w:val="C85E4948"/>
    <w:lvl w:ilvl="0">
      <w:start w:val="1"/>
      <w:numFmt w:val="decimal"/>
      <w:lvlText w:val="%1."/>
      <w:lvlJc w:val="left"/>
      <w:pPr>
        <w:ind w:left="709" w:hanging="709"/>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3165F8E"/>
    <w:multiLevelType w:val="multilevel"/>
    <w:tmpl w:val="C6449C2A"/>
    <w:lvl w:ilvl="0">
      <w:start w:val="1"/>
      <w:numFmt w:val="decimal"/>
      <w:lvlText w:val="%1."/>
      <w:lvlJc w:val="left"/>
      <w:pPr>
        <w:ind w:left="709" w:hanging="709"/>
      </w:pPr>
      <w:rPr>
        <w:rFonts w:hint="default"/>
      </w:rPr>
    </w:lvl>
    <w:lvl w:ilvl="1">
      <w:start w:val="1"/>
      <w:numFmt w:val="decimal"/>
      <w:lvlText w:val="%1.%2."/>
      <w:lvlJc w:val="left"/>
      <w:pPr>
        <w:tabs>
          <w:tab w:val="num" w:pos="1418"/>
        </w:tabs>
        <w:ind w:left="1418" w:hanging="709"/>
      </w:pPr>
      <w:rPr>
        <w:rFonts w:hint="default"/>
        <w:b w:val="0"/>
      </w:rPr>
    </w:lvl>
    <w:lvl w:ilvl="2">
      <w:start w:val="1"/>
      <w:numFmt w:val="decimal"/>
      <w:lvlText w:val="%1.%2.%3."/>
      <w:lvlJc w:val="left"/>
      <w:pPr>
        <w:tabs>
          <w:tab w:val="num" w:pos="2552"/>
        </w:tabs>
        <w:ind w:left="2552" w:hanging="1134"/>
      </w:pPr>
      <w:rPr>
        <w:rFonts w:hint="default"/>
        <w:b w:val="0"/>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521528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6847047"/>
    <w:multiLevelType w:val="multilevel"/>
    <w:tmpl w:val="796EECC2"/>
    <w:lvl w:ilvl="0">
      <w:start w:val="1"/>
      <w:numFmt w:val="decimal"/>
      <w:lvlText w:val="%1."/>
      <w:lvlJc w:val="left"/>
      <w:pPr>
        <w:ind w:left="709" w:hanging="709"/>
      </w:pPr>
      <w:rPr>
        <w:b w:val="0"/>
        <w:bCs/>
        <w:i w:val="0"/>
        <w:iCs/>
      </w:rPr>
    </w:lvl>
    <w:lvl w:ilvl="1">
      <w:start w:val="1"/>
      <w:numFmt w:val="decimal"/>
      <w:lvlText w:val="%1.%2."/>
      <w:lvlJc w:val="left"/>
      <w:pPr>
        <w:tabs>
          <w:tab w:val="num" w:pos="1418"/>
        </w:tabs>
        <w:ind w:left="1418" w:hanging="709"/>
      </w:pPr>
      <w:rPr>
        <w:b w:val="0"/>
      </w:rPr>
    </w:lvl>
    <w:lvl w:ilvl="2">
      <w:start w:val="1"/>
      <w:numFmt w:val="decimal"/>
      <w:lvlText w:val="%1.%2.%3."/>
      <w:lvlJc w:val="left"/>
      <w:pPr>
        <w:tabs>
          <w:tab w:val="num" w:pos="2552"/>
        </w:tabs>
        <w:ind w:left="2552" w:hanging="1134"/>
      </w:pPr>
      <w:rPr>
        <w:b w:val="0"/>
      </w:rPr>
    </w:lvl>
    <w:lvl w:ilvl="3">
      <w:start w:val="1"/>
      <w:numFmt w:val="decimal"/>
      <w:lvlText w:val="%1.%2.%3.%4."/>
      <w:lvlJc w:val="left"/>
      <w:pPr>
        <w:tabs>
          <w:tab w:val="num" w:pos="3686"/>
        </w:tabs>
        <w:ind w:left="3686" w:hanging="113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AE73B1C"/>
    <w:multiLevelType w:val="hybridMultilevel"/>
    <w:tmpl w:val="A54E36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D503C96"/>
    <w:multiLevelType w:val="multilevel"/>
    <w:tmpl w:val="1A56B566"/>
    <w:lvl w:ilvl="0">
      <w:start w:val="1"/>
      <w:numFmt w:val="upperLetter"/>
      <w:lvlText w:val="%1."/>
      <w:lvlJc w:val="left"/>
      <w:pPr>
        <w:ind w:left="709" w:hanging="709"/>
      </w:pPr>
      <w:rPr>
        <w:b w:val="0"/>
        <w:bCs/>
        <w:i w:val="0"/>
        <w:iCs/>
      </w:rPr>
    </w:lvl>
    <w:lvl w:ilvl="1">
      <w:start w:val="1"/>
      <w:numFmt w:val="decimal"/>
      <w:lvlText w:val="%1.%2."/>
      <w:lvlJc w:val="left"/>
      <w:pPr>
        <w:tabs>
          <w:tab w:val="num" w:pos="1418"/>
        </w:tabs>
        <w:ind w:left="1418" w:hanging="709"/>
      </w:pPr>
      <w:rPr>
        <w:b w:val="0"/>
      </w:rPr>
    </w:lvl>
    <w:lvl w:ilvl="2">
      <w:start w:val="1"/>
      <w:numFmt w:val="decimal"/>
      <w:lvlText w:val="%1.%2.%3."/>
      <w:lvlJc w:val="left"/>
      <w:pPr>
        <w:tabs>
          <w:tab w:val="num" w:pos="2552"/>
        </w:tabs>
        <w:ind w:left="2552" w:hanging="1134"/>
      </w:pPr>
      <w:rPr>
        <w:b w:val="0"/>
      </w:rPr>
    </w:lvl>
    <w:lvl w:ilvl="3">
      <w:start w:val="1"/>
      <w:numFmt w:val="decimal"/>
      <w:lvlText w:val="%1.%2.%3.%4."/>
      <w:lvlJc w:val="left"/>
      <w:pPr>
        <w:tabs>
          <w:tab w:val="num" w:pos="3686"/>
        </w:tabs>
        <w:ind w:left="3686" w:hanging="113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E2A6362"/>
    <w:multiLevelType w:val="hybridMultilevel"/>
    <w:tmpl w:val="A08CC74A"/>
    <w:lvl w:ilvl="0" w:tplc="F2FC6EE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nsid w:val="600A2A70"/>
    <w:multiLevelType w:val="multilevel"/>
    <w:tmpl w:val="8D30EAB4"/>
    <w:lvl w:ilvl="0">
      <w:start w:val="1"/>
      <w:numFmt w:val="upperLetter"/>
      <w:lvlText w:val="%1."/>
      <w:lvlJc w:val="left"/>
      <w:pPr>
        <w:ind w:left="709" w:hanging="709"/>
      </w:pPr>
      <w:rPr>
        <w:rFonts w:hint="default"/>
        <w:b w:val="0"/>
        <w:bCs/>
        <w:i w:val="0"/>
        <w:iCs/>
      </w:rPr>
    </w:lvl>
    <w:lvl w:ilvl="1">
      <w:start w:val="1"/>
      <w:numFmt w:val="decimal"/>
      <w:lvlText w:val="%1.%2."/>
      <w:lvlJc w:val="left"/>
      <w:pPr>
        <w:tabs>
          <w:tab w:val="num" w:pos="1418"/>
        </w:tabs>
        <w:ind w:left="1418" w:hanging="709"/>
      </w:pPr>
      <w:rPr>
        <w:rFonts w:hint="default"/>
        <w:b w:val="0"/>
      </w:rPr>
    </w:lvl>
    <w:lvl w:ilvl="2">
      <w:start w:val="1"/>
      <w:numFmt w:val="decimal"/>
      <w:lvlText w:val="%1.%2.%3."/>
      <w:lvlJc w:val="left"/>
      <w:pPr>
        <w:tabs>
          <w:tab w:val="num" w:pos="2552"/>
        </w:tabs>
        <w:ind w:left="2552" w:hanging="1134"/>
      </w:pPr>
      <w:rPr>
        <w:rFonts w:hint="default"/>
        <w:b w:val="0"/>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3271AA5"/>
    <w:multiLevelType w:val="hybridMultilevel"/>
    <w:tmpl w:val="DB3AF972"/>
    <w:lvl w:ilvl="0" w:tplc="1C090015">
      <w:start w:val="1"/>
      <w:numFmt w:val="upperLetter"/>
      <w:lvlText w:val="%1."/>
      <w:lvlJc w:val="left"/>
      <w:pPr>
        <w:ind w:left="709" w:hanging="360"/>
      </w:pPr>
    </w:lvl>
    <w:lvl w:ilvl="1" w:tplc="1C090019">
      <w:start w:val="1"/>
      <w:numFmt w:val="lowerLetter"/>
      <w:lvlText w:val="%2."/>
      <w:lvlJc w:val="left"/>
      <w:pPr>
        <w:ind w:left="1429" w:hanging="360"/>
      </w:pPr>
    </w:lvl>
    <w:lvl w:ilvl="2" w:tplc="1C09001B">
      <w:start w:val="1"/>
      <w:numFmt w:val="lowerRoman"/>
      <w:lvlText w:val="%3."/>
      <w:lvlJc w:val="right"/>
      <w:pPr>
        <w:ind w:left="2149" w:hanging="180"/>
      </w:pPr>
    </w:lvl>
    <w:lvl w:ilvl="3" w:tplc="1C09000F">
      <w:start w:val="1"/>
      <w:numFmt w:val="decimal"/>
      <w:lvlText w:val="%4."/>
      <w:lvlJc w:val="left"/>
      <w:pPr>
        <w:ind w:left="2869" w:hanging="360"/>
      </w:pPr>
    </w:lvl>
    <w:lvl w:ilvl="4" w:tplc="1C090019">
      <w:start w:val="1"/>
      <w:numFmt w:val="lowerLetter"/>
      <w:lvlText w:val="%5."/>
      <w:lvlJc w:val="left"/>
      <w:pPr>
        <w:ind w:left="3589" w:hanging="360"/>
      </w:pPr>
    </w:lvl>
    <w:lvl w:ilvl="5" w:tplc="1C09001B">
      <w:start w:val="1"/>
      <w:numFmt w:val="lowerRoman"/>
      <w:lvlText w:val="%6."/>
      <w:lvlJc w:val="right"/>
      <w:pPr>
        <w:ind w:left="4309" w:hanging="180"/>
      </w:pPr>
    </w:lvl>
    <w:lvl w:ilvl="6" w:tplc="1C09000F">
      <w:start w:val="1"/>
      <w:numFmt w:val="decimal"/>
      <w:lvlText w:val="%7."/>
      <w:lvlJc w:val="left"/>
      <w:pPr>
        <w:ind w:left="5029" w:hanging="360"/>
      </w:pPr>
    </w:lvl>
    <w:lvl w:ilvl="7" w:tplc="1C090019">
      <w:start w:val="1"/>
      <w:numFmt w:val="lowerLetter"/>
      <w:lvlText w:val="%8."/>
      <w:lvlJc w:val="left"/>
      <w:pPr>
        <w:ind w:left="5749" w:hanging="360"/>
      </w:pPr>
    </w:lvl>
    <w:lvl w:ilvl="8" w:tplc="1C09001B">
      <w:start w:val="1"/>
      <w:numFmt w:val="lowerRoman"/>
      <w:lvlText w:val="%9."/>
      <w:lvlJc w:val="right"/>
      <w:pPr>
        <w:ind w:left="6469" w:hanging="180"/>
      </w:pPr>
    </w:lvl>
  </w:abstractNum>
  <w:abstractNum w:abstractNumId="27">
    <w:nsid w:val="64A61304"/>
    <w:multiLevelType w:val="multilevel"/>
    <w:tmpl w:val="5336B056"/>
    <w:lvl w:ilvl="0">
      <w:start w:val="1"/>
      <w:numFmt w:val="decimal"/>
      <w:pStyle w:val="WLGLevel1"/>
      <w:lvlText w:val="%1"/>
      <w:lvlJc w:val="left"/>
      <w:pPr>
        <w:tabs>
          <w:tab w:val="num" w:pos="567"/>
        </w:tabs>
        <w:ind w:left="567" w:hanging="567"/>
      </w:pPr>
    </w:lvl>
    <w:lvl w:ilvl="1">
      <w:start w:val="1"/>
      <w:numFmt w:val="decimal"/>
      <w:pStyle w:val="WLGLevel2"/>
      <w:lvlText w:val="%1.%2"/>
      <w:lvlJc w:val="left"/>
      <w:pPr>
        <w:tabs>
          <w:tab w:val="num" w:pos="1361"/>
        </w:tabs>
        <w:ind w:left="1361" w:hanging="794"/>
      </w:pPr>
    </w:lvl>
    <w:lvl w:ilvl="2">
      <w:start w:val="1"/>
      <w:numFmt w:val="decimal"/>
      <w:pStyle w:val="WLGLevel3"/>
      <w:lvlText w:val="%1.%2.%3"/>
      <w:lvlJc w:val="left"/>
      <w:pPr>
        <w:tabs>
          <w:tab w:val="num" w:pos="2381"/>
        </w:tabs>
        <w:ind w:left="2381" w:hanging="1020"/>
      </w:pPr>
    </w:lvl>
    <w:lvl w:ilvl="3">
      <w:start w:val="1"/>
      <w:numFmt w:val="decimal"/>
      <w:pStyle w:val="WLGLevel4"/>
      <w:lvlText w:val="%1.%2.%3.%4"/>
      <w:lvlJc w:val="left"/>
      <w:pPr>
        <w:tabs>
          <w:tab w:val="num" w:pos="3969"/>
        </w:tabs>
        <w:ind w:left="3969" w:hanging="1276"/>
      </w:pPr>
    </w:lvl>
    <w:lvl w:ilvl="4">
      <w:start w:val="1"/>
      <w:numFmt w:val="decimal"/>
      <w:pStyle w:val="WLGLevel5"/>
      <w:lvlText w:val="%1.%2.%3.%4.%5"/>
      <w:lvlJc w:val="left"/>
      <w:pPr>
        <w:tabs>
          <w:tab w:val="num" w:pos="4933"/>
        </w:tabs>
        <w:ind w:left="4933" w:hanging="1361"/>
      </w:pPr>
    </w:lvl>
    <w:lvl w:ilvl="5">
      <w:start w:val="1"/>
      <w:numFmt w:val="decimal"/>
      <w:lvlText w:val="%1.%2.%3.%4.%5.%6"/>
      <w:lvlJc w:val="left"/>
      <w:pPr>
        <w:tabs>
          <w:tab w:val="num" w:pos="3629"/>
        </w:tabs>
        <w:ind w:left="3629" w:hanging="3062"/>
      </w:pPr>
    </w:lvl>
    <w:lvl w:ilvl="6">
      <w:start w:val="1"/>
      <w:numFmt w:val="decimal"/>
      <w:lvlText w:val="%1.%2.%3.%4.%5.%6.%7"/>
      <w:lvlJc w:val="left"/>
      <w:pPr>
        <w:tabs>
          <w:tab w:val="num" w:pos="4139"/>
        </w:tabs>
        <w:ind w:left="4139" w:hanging="3572"/>
      </w:pPr>
    </w:lvl>
    <w:lvl w:ilvl="7">
      <w:start w:val="1"/>
      <w:numFmt w:val="decimal"/>
      <w:lvlText w:val="%1.%2.%3.%4.%5.%6.%7.%8"/>
      <w:lvlJc w:val="left"/>
      <w:pPr>
        <w:tabs>
          <w:tab w:val="num" w:pos="4649"/>
        </w:tabs>
        <w:ind w:left="4649" w:hanging="4082"/>
      </w:pPr>
    </w:lvl>
    <w:lvl w:ilvl="8">
      <w:start w:val="1"/>
      <w:numFmt w:val="decimal"/>
      <w:lvlText w:val="%1.%2.%3.%4.%5.%6.%7.%8.%9"/>
      <w:lvlJc w:val="left"/>
      <w:pPr>
        <w:tabs>
          <w:tab w:val="num" w:pos="5160"/>
        </w:tabs>
        <w:ind w:left="5160" w:hanging="4593"/>
      </w:pPr>
    </w:lvl>
  </w:abstractNum>
  <w:abstractNum w:abstractNumId="28">
    <w:nsid w:val="67FB54D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BB6039C"/>
    <w:multiLevelType w:val="multilevel"/>
    <w:tmpl w:val="75CC7AAE"/>
    <w:lvl w:ilvl="0">
      <w:start w:val="1"/>
      <w:numFmt w:val="decimal"/>
      <w:lvlText w:val="%1."/>
      <w:lvlJc w:val="left"/>
      <w:pPr>
        <w:ind w:left="709" w:hanging="709"/>
      </w:pPr>
      <w:rPr>
        <w:rFonts w:hint="default"/>
      </w:rPr>
    </w:lvl>
    <w:lvl w:ilvl="1">
      <w:start w:val="1"/>
      <w:numFmt w:val="decimal"/>
      <w:lvlText w:val="%1.%2."/>
      <w:lvlJc w:val="left"/>
      <w:pPr>
        <w:tabs>
          <w:tab w:val="num" w:pos="1418"/>
        </w:tabs>
        <w:ind w:left="1418" w:hanging="709"/>
      </w:pPr>
      <w:rPr>
        <w:rFonts w:hint="default"/>
        <w:b w:val="0"/>
      </w:rPr>
    </w:lvl>
    <w:lvl w:ilvl="2">
      <w:start w:val="1"/>
      <w:numFmt w:val="decimal"/>
      <w:lvlText w:val="%1.%2.%3."/>
      <w:lvlJc w:val="left"/>
      <w:pPr>
        <w:tabs>
          <w:tab w:val="num" w:pos="2552"/>
        </w:tabs>
        <w:ind w:left="2552" w:hanging="1134"/>
      </w:pPr>
      <w:rPr>
        <w:rFonts w:hint="default"/>
        <w:b w:val="0"/>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CBD6805"/>
    <w:multiLevelType w:val="multilevel"/>
    <w:tmpl w:val="DFFC8078"/>
    <w:lvl w:ilvl="0">
      <w:start w:val="1"/>
      <w:numFmt w:val="decimal"/>
      <w:lvlText w:val="%1."/>
      <w:lvlJc w:val="left"/>
      <w:pPr>
        <w:ind w:left="709" w:hanging="709"/>
      </w:pPr>
      <w:rPr>
        <w:rFonts w:hint="default"/>
      </w:rPr>
    </w:lvl>
    <w:lvl w:ilvl="1">
      <w:start w:val="1"/>
      <w:numFmt w:val="decimal"/>
      <w:lvlText w:val="%1.%2."/>
      <w:lvlJc w:val="left"/>
      <w:pPr>
        <w:tabs>
          <w:tab w:val="num" w:pos="1418"/>
        </w:tabs>
        <w:ind w:left="1418" w:hanging="709"/>
      </w:pPr>
      <w:rPr>
        <w:rFonts w:hint="default"/>
        <w:b w:val="0"/>
      </w:rPr>
    </w:lvl>
    <w:lvl w:ilvl="2">
      <w:start w:val="1"/>
      <w:numFmt w:val="decimal"/>
      <w:lvlText w:val="%1.%2.%3."/>
      <w:lvlJc w:val="left"/>
      <w:pPr>
        <w:tabs>
          <w:tab w:val="num" w:pos="2552"/>
        </w:tabs>
        <w:ind w:left="2552" w:hanging="1134"/>
      </w:pPr>
      <w:rPr>
        <w:rFonts w:hint="default"/>
        <w:b w:val="0"/>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7"/>
  </w:num>
  <w:num w:numId="7">
    <w:abstractNumId w:val="26"/>
  </w:num>
  <w:num w:numId="8">
    <w:abstractNumId w:val="6"/>
  </w:num>
  <w:num w:numId="9">
    <w:abstractNumId w:val="25"/>
  </w:num>
  <w:num w:numId="10">
    <w:abstractNumId w:val="18"/>
  </w:num>
  <w:num w:numId="11">
    <w:abstractNumId w:val="23"/>
  </w:num>
  <w:num w:numId="12">
    <w:abstractNumId w:val="9"/>
  </w:num>
  <w:num w:numId="13">
    <w:abstractNumId w:val="13"/>
  </w:num>
  <w:num w:numId="14">
    <w:abstractNumId w:val="17"/>
  </w:num>
  <w:num w:numId="15">
    <w:abstractNumId w:val="1"/>
  </w:num>
  <w:num w:numId="16">
    <w:abstractNumId w:val="2"/>
  </w:num>
  <w:num w:numId="17">
    <w:abstractNumId w:val="24"/>
  </w:num>
  <w:num w:numId="18">
    <w:abstractNumId w:val="20"/>
  </w:num>
  <w:num w:numId="19">
    <w:abstractNumId w:val="10"/>
  </w:num>
  <w:num w:numId="20">
    <w:abstractNumId w:val="3"/>
  </w:num>
  <w:num w:numId="21">
    <w:abstractNumId w:val="28"/>
  </w:num>
  <w:num w:numId="22">
    <w:abstractNumId w:val="15"/>
  </w:num>
  <w:num w:numId="23">
    <w:abstractNumId w:val="4"/>
  </w:num>
  <w:num w:numId="24">
    <w:abstractNumId w:val="0"/>
  </w:num>
  <w:num w:numId="25">
    <w:abstractNumId w:val="11"/>
  </w:num>
  <w:num w:numId="26">
    <w:abstractNumId w:val="30"/>
  </w:num>
  <w:num w:numId="27">
    <w:abstractNumId w:val="19"/>
  </w:num>
  <w:num w:numId="28">
    <w:abstractNumId w:val="29"/>
  </w:num>
  <w:num w:numId="29">
    <w:abstractNumId w:val="7"/>
  </w:num>
  <w:num w:numId="30">
    <w:abstractNumId w:val="5"/>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4"/>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36A"/>
    <w:rsid w:val="00003E7E"/>
    <w:rsid w:val="00004393"/>
    <w:rsid w:val="00007A76"/>
    <w:rsid w:val="00017505"/>
    <w:rsid w:val="00020F97"/>
    <w:rsid w:val="0004548A"/>
    <w:rsid w:val="0005237A"/>
    <w:rsid w:val="0005307F"/>
    <w:rsid w:val="00054BDA"/>
    <w:rsid w:val="00064BD7"/>
    <w:rsid w:val="00091A7E"/>
    <w:rsid w:val="000A31F3"/>
    <w:rsid w:val="000A7616"/>
    <w:rsid w:val="000B74FB"/>
    <w:rsid w:val="000C217C"/>
    <w:rsid w:val="000C5D99"/>
    <w:rsid w:val="000D3CCC"/>
    <w:rsid w:val="000D4E3C"/>
    <w:rsid w:val="000F057B"/>
    <w:rsid w:val="000F6F51"/>
    <w:rsid w:val="001021BA"/>
    <w:rsid w:val="001465B2"/>
    <w:rsid w:val="00155768"/>
    <w:rsid w:val="001620A8"/>
    <w:rsid w:val="00191741"/>
    <w:rsid w:val="00194CDA"/>
    <w:rsid w:val="001A108E"/>
    <w:rsid w:val="001A6DD1"/>
    <w:rsid w:val="001B4752"/>
    <w:rsid w:val="001B47A2"/>
    <w:rsid w:val="001B61CE"/>
    <w:rsid w:val="001C3180"/>
    <w:rsid w:val="001F3E0E"/>
    <w:rsid w:val="00205275"/>
    <w:rsid w:val="00205E5D"/>
    <w:rsid w:val="00206124"/>
    <w:rsid w:val="00234CEB"/>
    <w:rsid w:val="002445FE"/>
    <w:rsid w:val="00246821"/>
    <w:rsid w:val="00251F52"/>
    <w:rsid w:val="00252BFB"/>
    <w:rsid w:val="00253C04"/>
    <w:rsid w:val="00255903"/>
    <w:rsid w:val="00262AD2"/>
    <w:rsid w:val="00264C4B"/>
    <w:rsid w:val="00281E22"/>
    <w:rsid w:val="002832E5"/>
    <w:rsid w:val="00287A15"/>
    <w:rsid w:val="00294CEB"/>
    <w:rsid w:val="002A7A23"/>
    <w:rsid w:val="002B0678"/>
    <w:rsid w:val="002B53F7"/>
    <w:rsid w:val="002C5C8C"/>
    <w:rsid w:val="002E5FFD"/>
    <w:rsid w:val="002E74BD"/>
    <w:rsid w:val="002F08C5"/>
    <w:rsid w:val="002F7E7B"/>
    <w:rsid w:val="0030248F"/>
    <w:rsid w:val="00304974"/>
    <w:rsid w:val="00316AC7"/>
    <w:rsid w:val="00324645"/>
    <w:rsid w:val="00352375"/>
    <w:rsid w:val="00356C24"/>
    <w:rsid w:val="00357143"/>
    <w:rsid w:val="00360C4B"/>
    <w:rsid w:val="00361FB0"/>
    <w:rsid w:val="00364902"/>
    <w:rsid w:val="003737B2"/>
    <w:rsid w:val="003774D3"/>
    <w:rsid w:val="003817CE"/>
    <w:rsid w:val="0039017E"/>
    <w:rsid w:val="00395F9A"/>
    <w:rsid w:val="0039782A"/>
    <w:rsid w:val="003A2604"/>
    <w:rsid w:val="003A28A3"/>
    <w:rsid w:val="003A4B41"/>
    <w:rsid w:val="003A7560"/>
    <w:rsid w:val="003B69D3"/>
    <w:rsid w:val="003C12C5"/>
    <w:rsid w:val="003D6089"/>
    <w:rsid w:val="003E7279"/>
    <w:rsid w:val="003F186C"/>
    <w:rsid w:val="003F72EB"/>
    <w:rsid w:val="00417348"/>
    <w:rsid w:val="004253BC"/>
    <w:rsid w:val="004369CE"/>
    <w:rsid w:val="00452C45"/>
    <w:rsid w:val="004563F9"/>
    <w:rsid w:val="00456EEA"/>
    <w:rsid w:val="004614C8"/>
    <w:rsid w:val="0046184A"/>
    <w:rsid w:val="004629F3"/>
    <w:rsid w:val="00464608"/>
    <w:rsid w:val="004705BF"/>
    <w:rsid w:val="00471AC6"/>
    <w:rsid w:val="0048436A"/>
    <w:rsid w:val="004871CA"/>
    <w:rsid w:val="004876CA"/>
    <w:rsid w:val="00494414"/>
    <w:rsid w:val="00494580"/>
    <w:rsid w:val="004A4B95"/>
    <w:rsid w:val="004B53BB"/>
    <w:rsid w:val="004C58A9"/>
    <w:rsid w:val="004D3E86"/>
    <w:rsid w:val="004D4164"/>
    <w:rsid w:val="004F0429"/>
    <w:rsid w:val="005165B5"/>
    <w:rsid w:val="00521639"/>
    <w:rsid w:val="0052624C"/>
    <w:rsid w:val="005305F0"/>
    <w:rsid w:val="00534299"/>
    <w:rsid w:val="00540A25"/>
    <w:rsid w:val="00541527"/>
    <w:rsid w:val="005427F3"/>
    <w:rsid w:val="005505B1"/>
    <w:rsid w:val="00557B83"/>
    <w:rsid w:val="005652A6"/>
    <w:rsid w:val="005738FB"/>
    <w:rsid w:val="005776EA"/>
    <w:rsid w:val="005801F9"/>
    <w:rsid w:val="00593411"/>
    <w:rsid w:val="005B5D82"/>
    <w:rsid w:val="005B690C"/>
    <w:rsid w:val="005C4257"/>
    <w:rsid w:val="005E3624"/>
    <w:rsid w:val="005E4A96"/>
    <w:rsid w:val="005F058D"/>
    <w:rsid w:val="005F425D"/>
    <w:rsid w:val="0060221D"/>
    <w:rsid w:val="0060587A"/>
    <w:rsid w:val="00616F5E"/>
    <w:rsid w:val="006307CF"/>
    <w:rsid w:val="00636B64"/>
    <w:rsid w:val="006447DA"/>
    <w:rsid w:val="00647DB6"/>
    <w:rsid w:val="00651FBE"/>
    <w:rsid w:val="0065464A"/>
    <w:rsid w:val="00656B6B"/>
    <w:rsid w:val="006632B6"/>
    <w:rsid w:val="006905DC"/>
    <w:rsid w:val="00693B7E"/>
    <w:rsid w:val="006A17B6"/>
    <w:rsid w:val="006B65DC"/>
    <w:rsid w:val="006C3320"/>
    <w:rsid w:val="006D0CD9"/>
    <w:rsid w:val="006D170B"/>
    <w:rsid w:val="006D3F4C"/>
    <w:rsid w:val="006D41C4"/>
    <w:rsid w:val="006E4359"/>
    <w:rsid w:val="006F179D"/>
    <w:rsid w:val="006F2461"/>
    <w:rsid w:val="006F2FC0"/>
    <w:rsid w:val="006F71A1"/>
    <w:rsid w:val="00700D1F"/>
    <w:rsid w:val="00700D64"/>
    <w:rsid w:val="0070156D"/>
    <w:rsid w:val="007028C6"/>
    <w:rsid w:val="00702F00"/>
    <w:rsid w:val="00710A5F"/>
    <w:rsid w:val="00715134"/>
    <w:rsid w:val="007223C1"/>
    <w:rsid w:val="0073154A"/>
    <w:rsid w:val="00740153"/>
    <w:rsid w:val="0075140A"/>
    <w:rsid w:val="00751C56"/>
    <w:rsid w:val="0075391D"/>
    <w:rsid w:val="007607EC"/>
    <w:rsid w:val="00760A3C"/>
    <w:rsid w:val="00767274"/>
    <w:rsid w:val="00770238"/>
    <w:rsid w:val="00771AC8"/>
    <w:rsid w:val="007A0182"/>
    <w:rsid w:val="007A4658"/>
    <w:rsid w:val="007A7A72"/>
    <w:rsid w:val="007B2970"/>
    <w:rsid w:val="007B662E"/>
    <w:rsid w:val="007C30F4"/>
    <w:rsid w:val="007C3606"/>
    <w:rsid w:val="007D7391"/>
    <w:rsid w:val="007E43E7"/>
    <w:rsid w:val="0081046E"/>
    <w:rsid w:val="008117A6"/>
    <w:rsid w:val="00830A55"/>
    <w:rsid w:val="00832BD7"/>
    <w:rsid w:val="00833BCF"/>
    <w:rsid w:val="0084250A"/>
    <w:rsid w:val="00843A06"/>
    <w:rsid w:val="00844676"/>
    <w:rsid w:val="0085408C"/>
    <w:rsid w:val="0085502D"/>
    <w:rsid w:val="00860964"/>
    <w:rsid w:val="00862336"/>
    <w:rsid w:val="00885490"/>
    <w:rsid w:val="00892EA2"/>
    <w:rsid w:val="008A2244"/>
    <w:rsid w:val="008A3531"/>
    <w:rsid w:val="008A5145"/>
    <w:rsid w:val="008A7754"/>
    <w:rsid w:val="008B33AA"/>
    <w:rsid w:val="008B6569"/>
    <w:rsid w:val="008C04EC"/>
    <w:rsid w:val="008C14E5"/>
    <w:rsid w:val="008C331C"/>
    <w:rsid w:val="008C3983"/>
    <w:rsid w:val="008D6807"/>
    <w:rsid w:val="008F0041"/>
    <w:rsid w:val="008F6538"/>
    <w:rsid w:val="009036FB"/>
    <w:rsid w:val="009037B0"/>
    <w:rsid w:val="00914DF0"/>
    <w:rsid w:val="00930FA7"/>
    <w:rsid w:val="00931A58"/>
    <w:rsid w:val="00936C7E"/>
    <w:rsid w:val="00936CB2"/>
    <w:rsid w:val="00960BC0"/>
    <w:rsid w:val="0097354E"/>
    <w:rsid w:val="00977A2A"/>
    <w:rsid w:val="00985AB9"/>
    <w:rsid w:val="009905D0"/>
    <w:rsid w:val="009907C9"/>
    <w:rsid w:val="009935F0"/>
    <w:rsid w:val="00995DEE"/>
    <w:rsid w:val="009963D4"/>
    <w:rsid w:val="009A37C8"/>
    <w:rsid w:val="009B237D"/>
    <w:rsid w:val="009B5105"/>
    <w:rsid w:val="009C41A7"/>
    <w:rsid w:val="009C4A5C"/>
    <w:rsid w:val="009E1FC4"/>
    <w:rsid w:val="009F510A"/>
    <w:rsid w:val="009F63F9"/>
    <w:rsid w:val="00A01A6A"/>
    <w:rsid w:val="00A01B98"/>
    <w:rsid w:val="00A04B1B"/>
    <w:rsid w:val="00A30D54"/>
    <w:rsid w:val="00A313B0"/>
    <w:rsid w:val="00A355F7"/>
    <w:rsid w:val="00A35FB8"/>
    <w:rsid w:val="00A46C83"/>
    <w:rsid w:val="00A55A5C"/>
    <w:rsid w:val="00A6437F"/>
    <w:rsid w:val="00A75D58"/>
    <w:rsid w:val="00A84414"/>
    <w:rsid w:val="00A8684A"/>
    <w:rsid w:val="00A968D9"/>
    <w:rsid w:val="00AA1318"/>
    <w:rsid w:val="00AA6795"/>
    <w:rsid w:val="00AA72A1"/>
    <w:rsid w:val="00AB65C0"/>
    <w:rsid w:val="00AC0A8B"/>
    <w:rsid w:val="00AD04A9"/>
    <w:rsid w:val="00AD185B"/>
    <w:rsid w:val="00AD3EFF"/>
    <w:rsid w:val="00AE0B35"/>
    <w:rsid w:val="00AE21C3"/>
    <w:rsid w:val="00AE24F0"/>
    <w:rsid w:val="00AE53F3"/>
    <w:rsid w:val="00AE60DB"/>
    <w:rsid w:val="00AF2679"/>
    <w:rsid w:val="00AF69AB"/>
    <w:rsid w:val="00B103DD"/>
    <w:rsid w:val="00B15939"/>
    <w:rsid w:val="00B21FEE"/>
    <w:rsid w:val="00B2259E"/>
    <w:rsid w:val="00B2440A"/>
    <w:rsid w:val="00B33399"/>
    <w:rsid w:val="00B3502A"/>
    <w:rsid w:val="00B53E3F"/>
    <w:rsid w:val="00B62E10"/>
    <w:rsid w:val="00B63B2A"/>
    <w:rsid w:val="00B70058"/>
    <w:rsid w:val="00B767C3"/>
    <w:rsid w:val="00B8319F"/>
    <w:rsid w:val="00B83471"/>
    <w:rsid w:val="00B84D18"/>
    <w:rsid w:val="00BA416F"/>
    <w:rsid w:val="00BA7B7E"/>
    <w:rsid w:val="00BB1CCB"/>
    <w:rsid w:val="00BC5B4F"/>
    <w:rsid w:val="00BD5DEA"/>
    <w:rsid w:val="00BE1218"/>
    <w:rsid w:val="00BE16BD"/>
    <w:rsid w:val="00BF6634"/>
    <w:rsid w:val="00C028D0"/>
    <w:rsid w:val="00C02BE4"/>
    <w:rsid w:val="00C03C7D"/>
    <w:rsid w:val="00C164AE"/>
    <w:rsid w:val="00C22F51"/>
    <w:rsid w:val="00C471A7"/>
    <w:rsid w:val="00C473CF"/>
    <w:rsid w:val="00C516AF"/>
    <w:rsid w:val="00C53738"/>
    <w:rsid w:val="00C552FE"/>
    <w:rsid w:val="00C814DA"/>
    <w:rsid w:val="00C831AA"/>
    <w:rsid w:val="00C9220D"/>
    <w:rsid w:val="00C951E5"/>
    <w:rsid w:val="00CA1F4C"/>
    <w:rsid w:val="00CA7C38"/>
    <w:rsid w:val="00CB51F6"/>
    <w:rsid w:val="00CC7C05"/>
    <w:rsid w:val="00CE155A"/>
    <w:rsid w:val="00CF20CD"/>
    <w:rsid w:val="00D060C9"/>
    <w:rsid w:val="00D10414"/>
    <w:rsid w:val="00D12C62"/>
    <w:rsid w:val="00D17679"/>
    <w:rsid w:val="00D26A84"/>
    <w:rsid w:val="00D360B3"/>
    <w:rsid w:val="00D4231A"/>
    <w:rsid w:val="00D435E7"/>
    <w:rsid w:val="00D51808"/>
    <w:rsid w:val="00D5200E"/>
    <w:rsid w:val="00D56D43"/>
    <w:rsid w:val="00D64C57"/>
    <w:rsid w:val="00D66577"/>
    <w:rsid w:val="00D85630"/>
    <w:rsid w:val="00D9003B"/>
    <w:rsid w:val="00DC5C5A"/>
    <w:rsid w:val="00DC78E5"/>
    <w:rsid w:val="00DD33AA"/>
    <w:rsid w:val="00DF3A70"/>
    <w:rsid w:val="00E0273E"/>
    <w:rsid w:val="00E12330"/>
    <w:rsid w:val="00E13A42"/>
    <w:rsid w:val="00E141A8"/>
    <w:rsid w:val="00E14BBE"/>
    <w:rsid w:val="00E22CFB"/>
    <w:rsid w:val="00E27AFD"/>
    <w:rsid w:val="00E31821"/>
    <w:rsid w:val="00E3247C"/>
    <w:rsid w:val="00E35945"/>
    <w:rsid w:val="00E433B2"/>
    <w:rsid w:val="00E446B7"/>
    <w:rsid w:val="00E47617"/>
    <w:rsid w:val="00E50063"/>
    <w:rsid w:val="00E50B9C"/>
    <w:rsid w:val="00E7766D"/>
    <w:rsid w:val="00E81AC1"/>
    <w:rsid w:val="00E8541C"/>
    <w:rsid w:val="00E86395"/>
    <w:rsid w:val="00E960D4"/>
    <w:rsid w:val="00EA0478"/>
    <w:rsid w:val="00EA1AB1"/>
    <w:rsid w:val="00EB0172"/>
    <w:rsid w:val="00EB0223"/>
    <w:rsid w:val="00EB25CA"/>
    <w:rsid w:val="00EB5EB6"/>
    <w:rsid w:val="00EB7457"/>
    <w:rsid w:val="00EC25FA"/>
    <w:rsid w:val="00ED0CD9"/>
    <w:rsid w:val="00ED22C9"/>
    <w:rsid w:val="00EE381A"/>
    <w:rsid w:val="00EE510D"/>
    <w:rsid w:val="00EE71E0"/>
    <w:rsid w:val="00EF15E4"/>
    <w:rsid w:val="00EF1C15"/>
    <w:rsid w:val="00EF40AF"/>
    <w:rsid w:val="00F03535"/>
    <w:rsid w:val="00F0578B"/>
    <w:rsid w:val="00F07027"/>
    <w:rsid w:val="00F10D41"/>
    <w:rsid w:val="00F120BD"/>
    <w:rsid w:val="00F15EB6"/>
    <w:rsid w:val="00F3408A"/>
    <w:rsid w:val="00F364C5"/>
    <w:rsid w:val="00F41E3C"/>
    <w:rsid w:val="00F448A6"/>
    <w:rsid w:val="00F55DB2"/>
    <w:rsid w:val="00F56841"/>
    <w:rsid w:val="00F6035A"/>
    <w:rsid w:val="00F64E24"/>
    <w:rsid w:val="00F6616D"/>
    <w:rsid w:val="00F71B9F"/>
    <w:rsid w:val="00F7250C"/>
    <w:rsid w:val="00F82550"/>
    <w:rsid w:val="00F82D8E"/>
    <w:rsid w:val="00F8345F"/>
    <w:rsid w:val="00F854E2"/>
    <w:rsid w:val="00F87272"/>
    <w:rsid w:val="00F87436"/>
    <w:rsid w:val="00F942B7"/>
    <w:rsid w:val="00F9440A"/>
    <w:rsid w:val="00FB2AE6"/>
    <w:rsid w:val="00FB55A0"/>
    <w:rsid w:val="00FB55A1"/>
    <w:rsid w:val="00FC0CC6"/>
    <w:rsid w:val="00FC1076"/>
    <w:rsid w:val="00FC5993"/>
    <w:rsid w:val="00FC668B"/>
    <w:rsid w:val="00FD0F9C"/>
    <w:rsid w:val="00FD3137"/>
    <w:rsid w:val="00FE057A"/>
    <w:rsid w:val="00FE0C04"/>
    <w:rsid w:val="00FE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A07E8"/>
  <w15:chartTrackingRefBased/>
  <w15:docId w15:val="{DB08234C-95EC-4D4E-BAFA-AEA9BAB06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36A"/>
    <w:pPr>
      <w:spacing w:after="0" w:line="360" w:lineRule="auto"/>
      <w:jc w:val="both"/>
    </w:pPr>
    <w:rPr>
      <w:rFonts w:ascii="Arial" w:eastAsia="Times New Roman" w:hAnsi="Arial" w:cs="Times New Roman"/>
      <w:szCs w:val="24"/>
      <w:lang w:val="en-ZA"/>
    </w:rPr>
  </w:style>
  <w:style w:type="paragraph" w:styleId="Heading1">
    <w:name w:val="heading 1"/>
    <w:basedOn w:val="Normal"/>
    <w:next w:val="Normal"/>
    <w:link w:val="Heading1Char"/>
    <w:qFormat/>
    <w:rsid w:val="0048436A"/>
    <w:pPr>
      <w:keepNext/>
      <w:spacing w:line="480" w:lineRule="auto"/>
      <w:outlineLvl w:val="0"/>
    </w:pPr>
    <w:rPr>
      <w:rFonts w:cs="Arial"/>
      <w:b/>
      <w:bCs/>
    </w:rPr>
  </w:style>
  <w:style w:type="paragraph" w:styleId="Heading2">
    <w:name w:val="heading 2"/>
    <w:basedOn w:val="Normal"/>
    <w:next w:val="Normal"/>
    <w:link w:val="Heading2Char"/>
    <w:uiPriority w:val="9"/>
    <w:semiHidden/>
    <w:unhideWhenUsed/>
    <w:qFormat/>
    <w:rsid w:val="0048436A"/>
    <w:pPr>
      <w:keepNext/>
      <w:spacing w:line="480" w:lineRule="auto"/>
      <w:jc w:val="center"/>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436A"/>
    <w:rPr>
      <w:rFonts w:ascii="Arial" w:eastAsia="Times New Roman" w:hAnsi="Arial" w:cs="Arial"/>
      <w:b/>
      <w:bCs/>
      <w:szCs w:val="24"/>
      <w:lang w:val="en-ZA"/>
    </w:rPr>
  </w:style>
  <w:style w:type="character" w:customStyle="1" w:styleId="Heading2Char">
    <w:name w:val="Heading 2 Char"/>
    <w:basedOn w:val="DefaultParagraphFont"/>
    <w:link w:val="Heading2"/>
    <w:uiPriority w:val="9"/>
    <w:semiHidden/>
    <w:rsid w:val="0048436A"/>
    <w:rPr>
      <w:rFonts w:ascii="Arial" w:eastAsia="Times New Roman" w:hAnsi="Arial" w:cs="Arial"/>
      <w:b/>
      <w:bCs/>
      <w:szCs w:val="24"/>
      <w:lang w:val="en-ZA"/>
    </w:rPr>
  </w:style>
  <w:style w:type="paragraph" w:styleId="Title">
    <w:name w:val="Title"/>
    <w:basedOn w:val="Normal"/>
    <w:link w:val="TitleChar"/>
    <w:qFormat/>
    <w:rsid w:val="0048436A"/>
    <w:pPr>
      <w:spacing w:line="480" w:lineRule="auto"/>
      <w:jc w:val="center"/>
    </w:pPr>
    <w:rPr>
      <w:rFonts w:cs="Arial"/>
      <w:b/>
      <w:bCs/>
    </w:rPr>
  </w:style>
  <w:style w:type="character" w:customStyle="1" w:styleId="TitleChar">
    <w:name w:val="Title Char"/>
    <w:basedOn w:val="DefaultParagraphFont"/>
    <w:link w:val="Title"/>
    <w:rsid w:val="0048436A"/>
    <w:rPr>
      <w:rFonts w:ascii="Arial" w:eastAsia="Times New Roman" w:hAnsi="Arial" w:cs="Arial"/>
      <w:b/>
      <w:bCs/>
      <w:szCs w:val="24"/>
      <w:lang w:val="en-ZA"/>
    </w:rPr>
  </w:style>
  <w:style w:type="paragraph" w:customStyle="1" w:styleId="WLGLevel1">
    <w:name w:val="WLGLevel1"/>
    <w:basedOn w:val="Normal"/>
    <w:qFormat/>
    <w:rsid w:val="00F07027"/>
    <w:pPr>
      <w:numPr>
        <w:numId w:val="2"/>
      </w:numPr>
      <w:suppressAutoHyphens/>
      <w:spacing w:before="320" w:after="320" w:line="480" w:lineRule="auto"/>
      <w:outlineLvl w:val="0"/>
    </w:pPr>
    <w:rPr>
      <w:sz w:val="24"/>
      <w:szCs w:val="20"/>
    </w:rPr>
  </w:style>
  <w:style w:type="paragraph" w:customStyle="1" w:styleId="WLGLevel2">
    <w:name w:val="WLGLevel2"/>
    <w:basedOn w:val="Normal"/>
    <w:qFormat/>
    <w:rsid w:val="00F07027"/>
    <w:pPr>
      <w:numPr>
        <w:ilvl w:val="1"/>
        <w:numId w:val="2"/>
      </w:numPr>
      <w:suppressAutoHyphens/>
      <w:spacing w:after="320" w:line="480" w:lineRule="auto"/>
      <w:outlineLvl w:val="1"/>
    </w:pPr>
    <w:rPr>
      <w:sz w:val="24"/>
      <w:szCs w:val="20"/>
    </w:rPr>
  </w:style>
  <w:style w:type="paragraph" w:customStyle="1" w:styleId="WLGLevel3">
    <w:name w:val="WLGLevel3"/>
    <w:basedOn w:val="Normal"/>
    <w:qFormat/>
    <w:rsid w:val="00F07027"/>
    <w:pPr>
      <w:numPr>
        <w:ilvl w:val="2"/>
        <w:numId w:val="2"/>
      </w:numPr>
      <w:suppressAutoHyphens/>
      <w:spacing w:after="320" w:line="480" w:lineRule="auto"/>
      <w:outlineLvl w:val="2"/>
    </w:pPr>
    <w:rPr>
      <w:sz w:val="24"/>
      <w:szCs w:val="20"/>
    </w:rPr>
  </w:style>
  <w:style w:type="paragraph" w:customStyle="1" w:styleId="WLGLevel4">
    <w:name w:val="WLGLevel4"/>
    <w:basedOn w:val="Normal"/>
    <w:qFormat/>
    <w:rsid w:val="00F07027"/>
    <w:pPr>
      <w:numPr>
        <w:ilvl w:val="3"/>
        <w:numId w:val="2"/>
      </w:numPr>
      <w:suppressAutoHyphens/>
      <w:spacing w:after="320" w:line="480" w:lineRule="auto"/>
      <w:outlineLvl w:val="3"/>
    </w:pPr>
    <w:rPr>
      <w:sz w:val="24"/>
      <w:szCs w:val="20"/>
    </w:rPr>
  </w:style>
  <w:style w:type="paragraph" w:customStyle="1" w:styleId="WLGLevel5">
    <w:name w:val="WLGLevel5"/>
    <w:basedOn w:val="Normal"/>
    <w:qFormat/>
    <w:rsid w:val="00F07027"/>
    <w:pPr>
      <w:numPr>
        <w:ilvl w:val="4"/>
        <w:numId w:val="2"/>
      </w:numPr>
      <w:suppressAutoHyphens/>
      <w:spacing w:after="320" w:line="480" w:lineRule="auto"/>
      <w:outlineLvl w:val="4"/>
    </w:pPr>
    <w:rPr>
      <w:sz w:val="24"/>
      <w:szCs w:val="20"/>
    </w:rPr>
  </w:style>
  <w:style w:type="paragraph" w:styleId="ListParagraph">
    <w:name w:val="List Paragraph"/>
    <w:basedOn w:val="Normal"/>
    <w:uiPriority w:val="34"/>
    <w:qFormat/>
    <w:rsid w:val="00F07027"/>
    <w:pPr>
      <w:ind w:left="720"/>
      <w:contextualSpacing/>
    </w:pPr>
  </w:style>
  <w:style w:type="paragraph" w:styleId="BalloonText">
    <w:name w:val="Balloon Text"/>
    <w:basedOn w:val="Normal"/>
    <w:link w:val="BalloonTextChar"/>
    <w:uiPriority w:val="99"/>
    <w:semiHidden/>
    <w:unhideWhenUsed/>
    <w:rsid w:val="00AD04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4A9"/>
    <w:rPr>
      <w:rFonts w:ascii="Segoe UI" w:eastAsia="Times New Roman" w:hAnsi="Segoe UI" w:cs="Segoe UI"/>
      <w:sz w:val="18"/>
      <w:szCs w:val="18"/>
      <w:lang w:val="en-ZA"/>
    </w:rPr>
  </w:style>
  <w:style w:type="paragraph" w:styleId="FootnoteText">
    <w:name w:val="footnote text"/>
    <w:aliases w:val="Footnote Text Char Char Char,Footnote Text Char Char,Footnote Text Char1,Footnote Text Char1 Char Char,Footnote Text Char Char Char Char Char,Footnote Text Char Char1 Char Char,Footnote Text Char Char1 Char,Footnote Text Char Char1,fn,ft,f"/>
    <w:basedOn w:val="Normal"/>
    <w:link w:val="FootnoteTextChar"/>
    <w:uiPriority w:val="99"/>
    <w:qFormat/>
    <w:rsid w:val="009037B0"/>
    <w:pPr>
      <w:spacing w:line="240" w:lineRule="auto"/>
      <w:jc w:val="left"/>
    </w:pPr>
    <w:rPr>
      <w:rFonts w:ascii="Times New Roman" w:eastAsia="SimSun" w:hAnsi="Times New Roman"/>
      <w:sz w:val="20"/>
      <w:szCs w:val="20"/>
      <w:lang w:val="en-GB" w:eastAsia="zh-CN"/>
    </w:rPr>
  </w:style>
  <w:style w:type="character" w:customStyle="1" w:styleId="FootnoteTextChar">
    <w:name w:val="Footnote Text Char"/>
    <w:aliases w:val="Footnote Text Char Char Char Char,Footnote Text Char Char Char1,Footnote Text Char1 Char,Footnote Text Char1 Char Char Char,Footnote Text Char Char Char Char Char Char,Footnote Text Char Char1 Char Char Char,fn Char,ft Char,f Char"/>
    <w:basedOn w:val="DefaultParagraphFont"/>
    <w:link w:val="FootnoteText"/>
    <w:uiPriority w:val="99"/>
    <w:qFormat/>
    <w:rsid w:val="009037B0"/>
    <w:rPr>
      <w:rFonts w:ascii="Times New Roman" w:eastAsia="SimSun" w:hAnsi="Times New Roman" w:cs="Times New Roman"/>
      <w:sz w:val="20"/>
      <w:szCs w:val="20"/>
      <w:lang w:val="en-GB" w:eastAsia="zh-CN"/>
    </w:rPr>
  </w:style>
  <w:style w:type="character" w:styleId="FootnoteReference">
    <w:name w:val="footnote reference"/>
    <w:aliases w:val="Ref,de nota al pie,註腳內容,Heading 6 Char1,do not use4 Char1,Footnote symbol,(NECG) Footnote Reference,Footnotes refss,Appel note de bas de page,fr,Footnote Reference + Superscript,Style 12,Footnote Reference in text,o,Style 4,Nota"/>
    <w:uiPriority w:val="99"/>
    <w:qFormat/>
    <w:rsid w:val="009037B0"/>
    <w:rPr>
      <w:vertAlign w:val="superscript"/>
    </w:rPr>
  </w:style>
  <w:style w:type="table" w:styleId="TableGrid">
    <w:name w:val="Table Grid"/>
    <w:basedOn w:val="TableNormal"/>
    <w:uiPriority w:val="59"/>
    <w:rsid w:val="00053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60D4"/>
    <w:pPr>
      <w:tabs>
        <w:tab w:val="center" w:pos="4513"/>
        <w:tab w:val="right" w:pos="9026"/>
      </w:tabs>
      <w:spacing w:line="240" w:lineRule="auto"/>
    </w:pPr>
  </w:style>
  <w:style w:type="character" w:customStyle="1" w:styleId="HeaderChar">
    <w:name w:val="Header Char"/>
    <w:basedOn w:val="DefaultParagraphFont"/>
    <w:link w:val="Header"/>
    <w:uiPriority w:val="99"/>
    <w:rsid w:val="00E960D4"/>
    <w:rPr>
      <w:rFonts w:ascii="Arial" w:eastAsia="Times New Roman" w:hAnsi="Arial" w:cs="Times New Roman"/>
      <w:szCs w:val="24"/>
      <w:lang w:val="en-ZA"/>
    </w:rPr>
  </w:style>
  <w:style w:type="paragraph" w:styleId="Footer">
    <w:name w:val="footer"/>
    <w:basedOn w:val="Normal"/>
    <w:link w:val="FooterChar"/>
    <w:uiPriority w:val="99"/>
    <w:unhideWhenUsed/>
    <w:rsid w:val="00E960D4"/>
    <w:pPr>
      <w:tabs>
        <w:tab w:val="center" w:pos="4513"/>
        <w:tab w:val="right" w:pos="9026"/>
      </w:tabs>
      <w:spacing w:line="240" w:lineRule="auto"/>
    </w:pPr>
  </w:style>
  <w:style w:type="character" w:customStyle="1" w:styleId="FooterChar">
    <w:name w:val="Footer Char"/>
    <w:basedOn w:val="DefaultParagraphFont"/>
    <w:link w:val="Footer"/>
    <w:uiPriority w:val="99"/>
    <w:rsid w:val="00E960D4"/>
    <w:rPr>
      <w:rFonts w:ascii="Arial" w:eastAsia="Times New Roman" w:hAnsi="Arial" w:cs="Times New Roman"/>
      <w:szCs w:val="24"/>
      <w:lang w:val="en-ZA"/>
    </w:rPr>
  </w:style>
  <w:style w:type="character" w:styleId="Hyperlink">
    <w:name w:val="Hyperlink"/>
    <w:uiPriority w:val="99"/>
    <w:unhideWhenUsed/>
    <w:rsid w:val="00521639"/>
    <w:rPr>
      <w:color w:val="0563C1"/>
      <w:u w:val="single"/>
    </w:rPr>
  </w:style>
  <w:style w:type="paragraph" w:customStyle="1" w:styleId="Level1">
    <w:name w:val="Level 1"/>
    <w:basedOn w:val="Normal"/>
    <w:rsid w:val="00521639"/>
    <w:pPr>
      <w:widowControl w:val="0"/>
      <w:autoSpaceDE w:val="0"/>
      <w:autoSpaceDN w:val="0"/>
      <w:adjustRightInd w:val="0"/>
      <w:spacing w:line="240" w:lineRule="auto"/>
      <w:ind w:left="720" w:hanging="720"/>
      <w:jc w:val="left"/>
      <w:outlineLvl w:val="0"/>
    </w:pPr>
    <w:rPr>
      <w:rFonts w:eastAsia="Calibri" w:cs="Arial"/>
      <w:sz w:val="24"/>
      <w:lang w:val="en-US" w:eastAsia="en-ZA"/>
    </w:rPr>
  </w:style>
  <w:style w:type="paragraph" w:customStyle="1" w:styleId="BLLevel1HeadingAltQ">
    <w:name w:val="BL_Level 1 Heading Alt+Q"/>
    <w:basedOn w:val="Normal"/>
    <w:next w:val="BLLevel2ListAlt"/>
    <w:rsid w:val="00521639"/>
    <w:pPr>
      <w:keepNext/>
      <w:numPr>
        <w:numId w:val="22"/>
      </w:numPr>
      <w:spacing w:line="240" w:lineRule="auto"/>
      <w:outlineLvl w:val="0"/>
    </w:pPr>
    <w:rPr>
      <w:rFonts w:ascii="Century Gothic" w:hAnsi="Century Gothic"/>
      <w:b/>
      <w:caps/>
      <w:sz w:val="18"/>
      <w:szCs w:val="18"/>
      <w:lang w:eastAsia="en-ZA"/>
    </w:rPr>
  </w:style>
  <w:style w:type="paragraph" w:customStyle="1" w:styleId="BLLevel2ListAlt">
    <w:name w:val="BL_Level 2 List Alt+]"/>
    <w:basedOn w:val="Normal"/>
    <w:rsid w:val="00521639"/>
    <w:pPr>
      <w:numPr>
        <w:ilvl w:val="1"/>
        <w:numId w:val="22"/>
      </w:numPr>
      <w:spacing w:line="240" w:lineRule="auto"/>
      <w:outlineLvl w:val="1"/>
    </w:pPr>
    <w:rPr>
      <w:rFonts w:ascii="Century Gothic" w:hAnsi="Century Gothic"/>
      <w:sz w:val="18"/>
      <w:szCs w:val="18"/>
      <w:lang w:eastAsia="en-ZA"/>
    </w:rPr>
  </w:style>
  <w:style w:type="paragraph" w:customStyle="1" w:styleId="BLLevel3ListAlt">
    <w:name w:val="BL_Level 3 List Alt+'"/>
    <w:basedOn w:val="Normal"/>
    <w:rsid w:val="00521639"/>
    <w:pPr>
      <w:numPr>
        <w:ilvl w:val="2"/>
        <w:numId w:val="22"/>
      </w:numPr>
      <w:spacing w:line="240" w:lineRule="auto"/>
      <w:outlineLvl w:val="2"/>
    </w:pPr>
    <w:rPr>
      <w:rFonts w:ascii="Century Gothic" w:hAnsi="Century Gothic"/>
      <w:sz w:val="18"/>
      <w:szCs w:val="18"/>
      <w:lang w:eastAsia="en-ZA"/>
    </w:rPr>
  </w:style>
  <w:style w:type="paragraph" w:customStyle="1" w:styleId="BLLevel4ListAlt">
    <w:name w:val="BL_Level 4 List Alt+/"/>
    <w:basedOn w:val="Normal"/>
    <w:rsid w:val="00521639"/>
    <w:pPr>
      <w:numPr>
        <w:ilvl w:val="3"/>
        <w:numId w:val="22"/>
      </w:numPr>
      <w:spacing w:line="240" w:lineRule="auto"/>
      <w:outlineLvl w:val="3"/>
    </w:pPr>
    <w:rPr>
      <w:rFonts w:ascii="Century Gothic" w:hAnsi="Century Gothic"/>
      <w:sz w:val="18"/>
      <w:szCs w:val="18"/>
      <w:lang w:eastAsia="en-ZA"/>
    </w:rPr>
  </w:style>
  <w:style w:type="paragraph" w:customStyle="1" w:styleId="BLLevel5ListAlt">
    <w:name w:val="BL_Level 5 List Alt+."/>
    <w:basedOn w:val="Normal"/>
    <w:rsid w:val="00521639"/>
    <w:pPr>
      <w:numPr>
        <w:ilvl w:val="4"/>
        <w:numId w:val="22"/>
      </w:numPr>
      <w:spacing w:line="240" w:lineRule="auto"/>
      <w:outlineLvl w:val="4"/>
    </w:pPr>
    <w:rPr>
      <w:rFonts w:ascii="Century Gothic" w:hAnsi="Century Gothic"/>
      <w:sz w:val="18"/>
      <w:szCs w:val="18"/>
      <w:lang w:eastAsia="en-ZA"/>
    </w:rPr>
  </w:style>
  <w:style w:type="paragraph" w:customStyle="1" w:styleId="BLLevel6ListAlt">
    <w:name w:val="BL_Level 6 List Alt+"/>
    <w:basedOn w:val="Normal"/>
    <w:rsid w:val="00521639"/>
    <w:pPr>
      <w:numPr>
        <w:ilvl w:val="5"/>
        <w:numId w:val="22"/>
      </w:numPr>
      <w:spacing w:line="240" w:lineRule="auto"/>
      <w:outlineLvl w:val="5"/>
    </w:pPr>
    <w:rPr>
      <w:rFonts w:ascii="Century Gothic" w:hAnsi="Century Gothic"/>
      <w:sz w:val="18"/>
      <w:szCs w:val="18"/>
      <w:lang w:eastAsia="en-ZA"/>
    </w:rPr>
  </w:style>
  <w:style w:type="paragraph" w:customStyle="1" w:styleId="BLLevel7ListAltM">
    <w:name w:val="BL_Level 7 List Alt+M"/>
    <w:basedOn w:val="Normal"/>
    <w:rsid w:val="00521639"/>
    <w:pPr>
      <w:numPr>
        <w:ilvl w:val="6"/>
        <w:numId w:val="22"/>
      </w:numPr>
      <w:spacing w:line="240" w:lineRule="auto"/>
      <w:outlineLvl w:val="6"/>
    </w:pPr>
    <w:rPr>
      <w:rFonts w:ascii="Century Gothic" w:hAnsi="Century Gothic"/>
      <w:sz w:val="18"/>
      <w:szCs w:val="18"/>
      <w:lang w:eastAsia="en-ZA"/>
    </w:rPr>
  </w:style>
  <w:style w:type="character" w:customStyle="1" w:styleId="UnresolvedMention">
    <w:name w:val="Unresolved Mention"/>
    <w:uiPriority w:val="99"/>
    <w:semiHidden/>
    <w:unhideWhenUsed/>
    <w:rsid w:val="00521639"/>
    <w:rPr>
      <w:color w:val="808080"/>
      <w:shd w:val="clear" w:color="auto" w:fill="E6E6E6"/>
    </w:rPr>
  </w:style>
  <w:style w:type="paragraph" w:styleId="Revision">
    <w:name w:val="Revision"/>
    <w:hidden/>
    <w:uiPriority w:val="99"/>
    <w:semiHidden/>
    <w:rsid w:val="00521639"/>
    <w:pPr>
      <w:spacing w:after="0" w:line="240" w:lineRule="auto"/>
    </w:pPr>
    <w:rPr>
      <w:rFonts w:ascii="Times New Roman" w:eastAsia="SimSun" w:hAnsi="Times New Roman" w:cs="Times New Roman"/>
      <w:sz w:val="24"/>
      <w:szCs w:val="24"/>
      <w:lang w:val="en-GB" w:eastAsia="zh-CN"/>
    </w:rPr>
  </w:style>
  <w:style w:type="paragraph" w:customStyle="1" w:styleId="Default">
    <w:name w:val="Default"/>
    <w:rsid w:val="00521639"/>
    <w:pPr>
      <w:autoSpaceDE w:val="0"/>
      <w:autoSpaceDN w:val="0"/>
      <w:adjustRightInd w:val="0"/>
      <w:spacing w:after="0" w:line="240" w:lineRule="auto"/>
    </w:pPr>
    <w:rPr>
      <w:rFonts w:ascii="Calibri" w:eastAsia="SimSun" w:hAnsi="Calibri" w:cs="Calibri"/>
      <w:color w:val="000000"/>
      <w:sz w:val="24"/>
      <w:szCs w:val="24"/>
      <w:lang w:val="en-ZA" w:eastAsia="en-ZA"/>
    </w:rPr>
  </w:style>
  <w:style w:type="character" w:styleId="CommentReference">
    <w:name w:val="annotation reference"/>
    <w:uiPriority w:val="99"/>
    <w:semiHidden/>
    <w:unhideWhenUsed/>
    <w:rsid w:val="00521639"/>
    <w:rPr>
      <w:sz w:val="16"/>
      <w:szCs w:val="16"/>
    </w:rPr>
  </w:style>
  <w:style w:type="paragraph" w:styleId="CommentText">
    <w:name w:val="annotation text"/>
    <w:basedOn w:val="Normal"/>
    <w:link w:val="CommentTextChar"/>
    <w:uiPriority w:val="99"/>
    <w:semiHidden/>
    <w:unhideWhenUsed/>
    <w:rsid w:val="00521639"/>
    <w:pPr>
      <w:spacing w:line="240" w:lineRule="auto"/>
      <w:jc w:val="left"/>
    </w:pPr>
    <w:rPr>
      <w:rFonts w:ascii="Times New Roman" w:eastAsia="SimSun" w:hAnsi="Times New Roman"/>
      <w:sz w:val="20"/>
      <w:szCs w:val="20"/>
      <w:lang w:val="en-GB" w:eastAsia="zh-CN"/>
    </w:rPr>
  </w:style>
  <w:style w:type="character" w:customStyle="1" w:styleId="CommentTextChar">
    <w:name w:val="Comment Text Char"/>
    <w:basedOn w:val="DefaultParagraphFont"/>
    <w:link w:val="CommentText"/>
    <w:uiPriority w:val="99"/>
    <w:semiHidden/>
    <w:rsid w:val="00521639"/>
    <w:rPr>
      <w:rFonts w:ascii="Times New Roman" w:eastAsia="SimSun" w:hAnsi="Times New Roman"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521639"/>
    <w:rPr>
      <w:b/>
      <w:bCs/>
    </w:rPr>
  </w:style>
  <w:style w:type="character" w:customStyle="1" w:styleId="CommentSubjectChar">
    <w:name w:val="Comment Subject Char"/>
    <w:basedOn w:val="CommentTextChar"/>
    <w:link w:val="CommentSubject"/>
    <w:uiPriority w:val="99"/>
    <w:semiHidden/>
    <w:rsid w:val="00521639"/>
    <w:rPr>
      <w:rFonts w:ascii="Times New Roman" w:eastAsia="SimSun" w:hAnsi="Times New Roman" w:cs="Times New Roman"/>
      <w:b/>
      <w:bCs/>
      <w:sz w:val="20"/>
      <w:szCs w:val="20"/>
      <w:lang w:val="en-GB" w:eastAsia="zh-CN"/>
    </w:rPr>
  </w:style>
  <w:style w:type="paragraph" w:styleId="EndnoteText">
    <w:name w:val="endnote text"/>
    <w:basedOn w:val="Normal"/>
    <w:link w:val="EndnoteTextChar"/>
    <w:uiPriority w:val="99"/>
    <w:semiHidden/>
    <w:unhideWhenUsed/>
    <w:rsid w:val="00521639"/>
    <w:pPr>
      <w:spacing w:line="240" w:lineRule="auto"/>
      <w:jc w:val="left"/>
    </w:pPr>
    <w:rPr>
      <w:rFonts w:ascii="Times New Roman" w:eastAsia="SimSun" w:hAnsi="Times New Roman"/>
      <w:sz w:val="20"/>
      <w:szCs w:val="20"/>
      <w:lang w:val="en-GB" w:eastAsia="zh-CN"/>
    </w:rPr>
  </w:style>
  <w:style w:type="character" w:customStyle="1" w:styleId="EndnoteTextChar">
    <w:name w:val="Endnote Text Char"/>
    <w:basedOn w:val="DefaultParagraphFont"/>
    <w:link w:val="EndnoteText"/>
    <w:uiPriority w:val="99"/>
    <w:semiHidden/>
    <w:rsid w:val="00521639"/>
    <w:rPr>
      <w:rFonts w:ascii="Times New Roman" w:eastAsia="SimSun" w:hAnsi="Times New Roman" w:cs="Times New Roman"/>
      <w:sz w:val="20"/>
      <w:szCs w:val="20"/>
      <w:lang w:val="en-GB" w:eastAsia="zh-CN"/>
    </w:rPr>
  </w:style>
  <w:style w:type="character" w:styleId="EndnoteReference">
    <w:name w:val="endnote reference"/>
    <w:uiPriority w:val="99"/>
    <w:semiHidden/>
    <w:unhideWhenUsed/>
    <w:rsid w:val="00521639"/>
    <w:rPr>
      <w:vertAlign w:val="superscript"/>
    </w:rPr>
  </w:style>
  <w:style w:type="paragraph" w:styleId="NormalWeb">
    <w:name w:val="Normal (Web)"/>
    <w:basedOn w:val="Normal"/>
    <w:uiPriority w:val="99"/>
    <w:semiHidden/>
    <w:unhideWhenUsed/>
    <w:rsid w:val="0005237A"/>
    <w:pPr>
      <w:spacing w:before="100" w:beforeAutospacing="1" w:after="100" w:afterAutospacing="1" w:line="240" w:lineRule="auto"/>
      <w:jc w:val="left"/>
    </w:pPr>
    <w:rPr>
      <w:rFonts w:ascii="Calibri" w:eastAsia="Calibri" w:hAnsi="Calibri" w:cs="Calibri"/>
      <w:szCs w:val="22"/>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896161">
      <w:bodyDiv w:val="1"/>
      <w:marLeft w:val="0"/>
      <w:marRight w:val="0"/>
      <w:marTop w:val="0"/>
      <w:marBottom w:val="0"/>
      <w:divBdr>
        <w:top w:val="none" w:sz="0" w:space="0" w:color="auto"/>
        <w:left w:val="none" w:sz="0" w:space="0" w:color="auto"/>
        <w:bottom w:val="none" w:sz="0" w:space="0" w:color="auto"/>
        <w:right w:val="none" w:sz="0" w:space="0" w:color="auto"/>
      </w:divBdr>
    </w:div>
    <w:div w:id="123955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C2FB4-1CDA-4C1E-94DA-36C8135A5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5039</Words>
  <Characters>28726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Fulufhelo Mawela</dc:creator>
  <cp:keywords/>
  <dc:description/>
  <cp:lastModifiedBy>Mokone</cp:lastModifiedBy>
  <cp:revision>2</cp:revision>
  <cp:lastPrinted>2023-06-09T11:57:00Z</cp:lastPrinted>
  <dcterms:created xsi:type="dcterms:W3CDTF">2023-06-12T13:09:00Z</dcterms:created>
  <dcterms:modified xsi:type="dcterms:W3CDTF">2023-06-12T13:09:00Z</dcterms:modified>
</cp:coreProperties>
</file>