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E00EB76">
            <wp:extent cx="1498600" cy="143211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819" cy="1435187"/>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6E3F2EE5">
                <wp:simplePos x="0" y="0"/>
                <wp:positionH relativeFrom="column">
                  <wp:posOffset>-107949</wp:posOffset>
                </wp:positionH>
                <wp:positionV relativeFrom="paragraph">
                  <wp:posOffset>179070</wp:posOffset>
                </wp:positionV>
                <wp:extent cx="3270250" cy="15240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1524000"/>
                        </a:xfrm>
                        <a:prstGeom prst="rect">
                          <a:avLst/>
                        </a:prstGeom>
                        <a:solidFill>
                          <a:srgbClr val="FFFFFF"/>
                        </a:solidFill>
                        <a:ln w="9525">
                          <a:solidFill>
                            <a:srgbClr val="000000"/>
                          </a:solidFill>
                          <a:miter lim="800000"/>
                          <a:headEnd/>
                          <a:tailEnd/>
                        </a:ln>
                      </wps:spPr>
                      <wps:txbx>
                        <w:txbxContent>
                          <w:p w14:paraId="56D477FD" w14:textId="522ADFD9" w:rsidR="00AB60DA" w:rsidRDefault="00F91846" w:rsidP="00F9184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B60DA">
                              <w:rPr>
                                <w:rFonts w:ascii="Century Gothic" w:hAnsi="Century Gothic"/>
                                <w:sz w:val="20"/>
                                <w:szCs w:val="20"/>
                              </w:rPr>
                              <w:t xml:space="preserve">REPORTABLE:  </w:t>
                            </w:r>
                            <w:r w:rsidR="005A7023">
                              <w:rPr>
                                <w:rFonts w:ascii="Century Gothic" w:hAnsi="Century Gothic"/>
                                <w:sz w:val="20"/>
                                <w:szCs w:val="20"/>
                              </w:rPr>
                              <w:t>YES</w:t>
                            </w:r>
                          </w:p>
                          <w:p w14:paraId="300C0173" w14:textId="22131C21" w:rsidR="00AB60DA" w:rsidRDefault="00F91846" w:rsidP="00F9184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B60DA">
                              <w:rPr>
                                <w:rFonts w:ascii="Century Gothic" w:hAnsi="Century Gothic"/>
                                <w:sz w:val="20"/>
                                <w:szCs w:val="20"/>
                              </w:rPr>
                              <w:t xml:space="preserve">OF INTEREST TO OTHER JUDGES: </w:t>
                            </w:r>
                            <w:r w:rsidR="005A7023">
                              <w:rPr>
                                <w:rFonts w:ascii="Century Gothic" w:hAnsi="Century Gothic"/>
                                <w:sz w:val="20"/>
                                <w:szCs w:val="20"/>
                              </w:rPr>
                              <w:t>YES</w:t>
                            </w:r>
                          </w:p>
                          <w:p w14:paraId="57A058C4" w14:textId="65AFBDD9" w:rsidR="00AB60DA" w:rsidRDefault="00F91846" w:rsidP="00F9184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B60DA">
                              <w:rPr>
                                <w:rFonts w:ascii="Century Gothic" w:hAnsi="Century Gothic"/>
                                <w:sz w:val="20"/>
                                <w:szCs w:val="20"/>
                              </w:rPr>
                              <w:t xml:space="preserve">REVISED.  </w:t>
                            </w:r>
                          </w:p>
                          <w:p w14:paraId="00DE972E" w14:textId="4B7FE287" w:rsidR="00AB60DA" w:rsidRDefault="00AB60DA" w:rsidP="006D4C73">
                            <w:pPr>
                              <w:rPr>
                                <w:noProof/>
                                <w:lang w:val="en-ZA" w:eastAsia="en-ZA"/>
                              </w:rPr>
                            </w:pPr>
                            <w:r>
                              <w:rPr>
                                <w:rFonts w:ascii="Century Gothic" w:hAnsi="Century Gothic"/>
                                <w:b/>
                                <w:sz w:val="18"/>
                                <w:szCs w:val="18"/>
                              </w:rPr>
                              <w:t xml:space="preserve"> </w:t>
                            </w:r>
                          </w:p>
                          <w:p w14:paraId="04222E49" w14:textId="77777777" w:rsidR="002159C4" w:rsidRDefault="002159C4" w:rsidP="006D4C73">
                            <w:pPr>
                              <w:rPr>
                                <w:rFonts w:ascii="Century Gothic" w:hAnsi="Century Gothic"/>
                                <w:b/>
                                <w:noProof/>
                                <w:sz w:val="18"/>
                                <w:szCs w:val="18"/>
                              </w:rPr>
                            </w:pPr>
                          </w:p>
                          <w:p w14:paraId="146A7CA7" w14:textId="5A1B530C" w:rsidR="00AB60DA" w:rsidRDefault="00AB60DA" w:rsidP="006D4C73">
                            <w:pPr>
                              <w:rPr>
                                <w:rFonts w:ascii="Century Gothic" w:hAnsi="Century Gothic"/>
                                <w:sz w:val="18"/>
                                <w:szCs w:val="18"/>
                              </w:rPr>
                            </w:pPr>
                            <w:r>
                              <w:rPr>
                                <w:rFonts w:ascii="Century Gothic" w:hAnsi="Century Gothic"/>
                                <w:b/>
                                <w:sz w:val="18"/>
                                <w:szCs w:val="18"/>
                              </w:rPr>
                              <w:t xml:space="preserve">   </w:t>
                            </w:r>
                          </w:p>
                          <w:p w14:paraId="543CD2BB" w14:textId="2A554524" w:rsidR="00AB60DA" w:rsidRDefault="00AB60DA"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10 January 2023</w:t>
                            </w:r>
                            <w:r>
                              <w:rPr>
                                <w:rFonts w:ascii="Century Gothic" w:hAnsi="Century Gothic"/>
                                <w:b/>
                                <w:sz w:val="18"/>
                                <w:szCs w:val="18"/>
                              </w:rPr>
                              <w:tab/>
                            </w:r>
                          </w:p>
                          <w:p w14:paraId="3C6D3563" w14:textId="77777777" w:rsidR="00AB60DA" w:rsidRPr="0046498E" w:rsidRDefault="00AB60DA"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5pt;margin-top:14.1pt;width:257.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">
                <v:textbox>
                  <w:txbxContent>
                    <w:p w14:paraId="56D477FD" w14:textId="522ADFD9" w:rsidR="00AB60DA" w:rsidRDefault="00F91846" w:rsidP="00F9184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B60DA">
                        <w:rPr>
                          <w:rFonts w:ascii="Century Gothic" w:hAnsi="Century Gothic"/>
                          <w:sz w:val="20"/>
                          <w:szCs w:val="20"/>
                        </w:rPr>
                        <w:t xml:space="preserve">REPORTABLE:  </w:t>
                      </w:r>
                      <w:r w:rsidR="005A7023">
                        <w:rPr>
                          <w:rFonts w:ascii="Century Gothic" w:hAnsi="Century Gothic"/>
                          <w:sz w:val="20"/>
                          <w:szCs w:val="20"/>
                        </w:rPr>
                        <w:t>YES</w:t>
                      </w:r>
                    </w:p>
                    <w:p w14:paraId="300C0173" w14:textId="22131C21" w:rsidR="00AB60DA" w:rsidRDefault="00F91846" w:rsidP="00F9184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B60DA">
                        <w:rPr>
                          <w:rFonts w:ascii="Century Gothic" w:hAnsi="Century Gothic"/>
                          <w:sz w:val="20"/>
                          <w:szCs w:val="20"/>
                        </w:rPr>
                        <w:t xml:space="preserve">OF INTEREST TO OTHER JUDGES: </w:t>
                      </w:r>
                      <w:r w:rsidR="005A7023">
                        <w:rPr>
                          <w:rFonts w:ascii="Century Gothic" w:hAnsi="Century Gothic"/>
                          <w:sz w:val="20"/>
                          <w:szCs w:val="20"/>
                        </w:rPr>
                        <w:t>YES</w:t>
                      </w:r>
                    </w:p>
                    <w:p w14:paraId="57A058C4" w14:textId="65AFBDD9" w:rsidR="00AB60DA" w:rsidRDefault="00F91846" w:rsidP="00F9184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AB60DA">
                        <w:rPr>
                          <w:rFonts w:ascii="Century Gothic" w:hAnsi="Century Gothic"/>
                          <w:sz w:val="20"/>
                          <w:szCs w:val="20"/>
                        </w:rPr>
                        <w:t xml:space="preserve">REVISED.  </w:t>
                      </w:r>
                    </w:p>
                    <w:p w14:paraId="00DE972E" w14:textId="4B7FE287" w:rsidR="00AB60DA" w:rsidRDefault="00AB60DA" w:rsidP="006D4C73">
                      <w:pPr>
                        <w:rPr>
                          <w:noProof/>
                          <w:lang w:val="en-ZA" w:eastAsia="en-ZA"/>
                        </w:rPr>
                      </w:pPr>
                      <w:r>
                        <w:rPr>
                          <w:rFonts w:ascii="Century Gothic" w:hAnsi="Century Gothic"/>
                          <w:b/>
                          <w:sz w:val="18"/>
                          <w:szCs w:val="18"/>
                        </w:rPr>
                        <w:t xml:space="preserve"> </w:t>
                      </w:r>
                    </w:p>
                    <w:p w14:paraId="04222E49" w14:textId="77777777" w:rsidR="002159C4" w:rsidRDefault="002159C4" w:rsidP="006D4C73">
                      <w:pPr>
                        <w:rPr>
                          <w:rFonts w:ascii="Century Gothic" w:hAnsi="Century Gothic"/>
                          <w:b/>
                          <w:noProof/>
                          <w:sz w:val="18"/>
                          <w:szCs w:val="18"/>
                        </w:rPr>
                      </w:pPr>
                    </w:p>
                    <w:p w14:paraId="146A7CA7" w14:textId="5A1B530C" w:rsidR="00AB60DA" w:rsidRDefault="00AB60DA" w:rsidP="006D4C73">
                      <w:pPr>
                        <w:rPr>
                          <w:rFonts w:ascii="Century Gothic" w:hAnsi="Century Gothic"/>
                          <w:sz w:val="18"/>
                          <w:szCs w:val="18"/>
                        </w:rPr>
                      </w:pPr>
                      <w:r>
                        <w:rPr>
                          <w:rFonts w:ascii="Century Gothic" w:hAnsi="Century Gothic"/>
                          <w:b/>
                          <w:sz w:val="18"/>
                          <w:szCs w:val="18"/>
                        </w:rPr>
                        <w:t xml:space="preserve">   </w:t>
                      </w:r>
                    </w:p>
                    <w:p w14:paraId="543CD2BB" w14:textId="2A554524" w:rsidR="00AB60DA" w:rsidRDefault="00AB60DA"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10 January 2023</w:t>
                      </w:r>
                      <w:r>
                        <w:rPr>
                          <w:rFonts w:ascii="Century Gothic" w:hAnsi="Century Gothic"/>
                          <w:b/>
                          <w:sz w:val="18"/>
                          <w:szCs w:val="18"/>
                        </w:rPr>
                        <w:tab/>
                      </w:r>
                    </w:p>
                    <w:p w14:paraId="3C6D3563" w14:textId="77777777" w:rsidR="00AB60DA" w:rsidRPr="0046498E" w:rsidRDefault="00AB60DA"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2934C4C1" w14:textId="3D9AFFC8" w:rsidR="00D261C3" w:rsidRPr="00DD2308" w:rsidRDefault="00DD2308" w:rsidP="00DD2308">
      <w:pPr>
        <w:keepNext/>
        <w:spacing w:line="360" w:lineRule="auto"/>
        <w:jc w:val="right"/>
        <w:outlineLvl w:val="0"/>
        <w:rPr>
          <w:rFonts w:ascii="Arial" w:hAnsi="Arial" w:cs="Arial"/>
          <w:b/>
          <w:bCs/>
          <w:u w:val="single"/>
          <w:lang w:val="en-US"/>
        </w:rPr>
      </w:pPr>
      <w:r w:rsidRPr="00DD2308">
        <w:rPr>
          <w:rFonts w:ascii="Arial" w:hAnsi="Arial" w:cs="Arial"/>
          <w:bCs/>
          <w:u w:val="single"/>
          <w:lang w:val="en-US"/>
        </w:rPr>
        <w:t>Case No.</w:t>
      </w:r>
      <w:r w:rsidR="00D261C3" w:rsidRPr="00DD2308">
        <w:rPr>
          <w:rFonts w:ascii="Arial" w:hAnsi="Arial" w:cs="Arial"/>
          <w:b/>
          <w:bCs/>
          <w:u w:val="single"/>
          <w:lang w:val="en-US"/>
        </w:rPr>
        <w:t xml:space="preserve"> </w:t>
      </w:r>
      <w:r w:rsidRPr="00DD2308">
        <w:rPr>
          <w:rFonts w:ascii="Arial" w:hAnsi="Arial" w:cs="Arial"/>
          <w:u w:val="single"/>
          <w:lang w:val="en-US"/>
        </w:rPr>
        <w:t>22/023954</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21E3C011" w:rsidR="00D261C3" w:rsidRDefault="00DD2308" w:rsidP="00D261C3">
      <w:pPr>
        <w:tabs>
          <w:tab w:val="right" w:pos="8646"/>
        </w:tabs>
        <w:rPr>
          <w:rFonts w:ascii="Arial" w:hAnsi="Arial"/>
          <w:bCs/>
        </w:rPr>
      </w:pPr>
      <w:r>
        <w:rPr>
          <w:rFonts w:ascii="Arial" w:hAnsi="Arial"/>
          <w:b/>
        </w:rPr>
        <w:t>MADULAMMOHO HOUSING ASSOCIATION NPC</w:t>
      </w:r>
      <w:r w:rsidR="00D261C3" w:rsidRPr="00D261C3">
        <w:rPr>
          <w:rFonts w:ascii="Arial" w:hAnsi="Arial"/>
          <w:b/>
        </w:rPr>
        <w:tab/>
      </w:r>
      <w:r w:rsidR="00A54164">
        <w:rPr>
          <w:rFonts w:ascii="Arial" w:hAnsi="Arial"/>
          <w:bCs/>
        </w:rPr>
        <w:t>Applicant</w:t>
      </w:r>
    </w:p>
    <w:p w14:paraId="0B3E415F" w14:textId="77777777" w:rsidR="002367E2" w:rsidRDefault="002367E2" w:rsidP="00D261C3">
      <w:pPr>
        <w:tabs>
          <w:tab w:val="right" w:pos="8646"/>
        </w:tabs>
        <w:rPr>
          <w:rFonts w:ascii="Arial" w:hAnsi="Arial"/>
        </w:rPr>
      </w:pPr>
    </w:p>
    <w:p w14:paraId="44F7E725" w14:textId="3FE69065"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0A4C74F4" w:rsidR="00D261C3" w:rsidRDefault="00DD2308" w:rsidP="00D261C3">
      <w:pPr>
        <w:tabs>
          <w:tab w:val="right" w:pos="8646"/>
        </w:tabs>
        <w:rPr>
          <w:rFonts w:ascii="Arial" w:hAnsi="Arial"/>
          <w:bCs/>
        </w:rPr>
      </w:pPr>
      <w:r>
        <w:rPr>
          <w:rFonts w:ascii="Arial" w:hAnsi="Arial"/>
          <w:b/>
        </w:rPr>
        <w:t>SHOT</w:t>
      </w:r>
      <w:r w:rsidR="00774245">
        <w:rPr>
          <w:rFonts w:ascii="Arial" w:hAnsi="Arial"/>
          <w:b/>
        </w:rPr>
        <w:t>H</w:t>
      </w:r>
      <w:r>
        <w:rPr>
          <w:rFonts w:ascii="Arial" w:hAnsi="Arial"/>
          <w:b/>
        </w:rPr>
        <w:t>ODZO NEPHAWE</w:t>
      </w:r>
      <w:r w:rsidR="00D261C3" w:rsidRPr="00D261C3">
        <w:rPr>
          <w:rFonts w:ascii="Arial" w:hAnsi="Arial"/>
          <w:b/>
        </w:rPr>
        <w:tab/>
      </w:r>
      <w:r w:rsidRPr="00DD2308">
        <w:rPr>
          <w:rFonts w:ascii="Arial" w:hAnsi="Arial"/>
        </w:rPr>
        <w:t>First</w:t>
      </w:r>
      <w:r>
        <w:rPr>
          <w:rFonts w:ascii="Arial" w:hAnsi="Arial"/>
          <w:b/>
        </w:rPr>
        <w:t xml:space="preserve"> </w:t>
      </w:r>
      <w:r w:rsidR="00A54164">
        <w:rPr>
          <w:rFonts w:ascii="Arial" w:hAnsi="Arial"/>
          <w:bCs/>
        </w:rPr>
        <w:t>Respondent</w:t>
      </w:r>
    </w:p>
    <w:p w14:paraId="3F61A28B" w14:textId="1FA57C59" w:rsidR="00A54164" w:rsidRDefault="00A54164" w:rsidP="00D261C3">
      <w:pPr>
        <w:tabs>
          <w:tab w:val="right" w:pos="8646"/>
        </w:tabs>
        <w:rPr>
          <w:rFonts w:ascii="Arial" w:hAnsi="Arial"/>
          <w:bCs/>
        </w:rPr>
      </w:pPr>
    </w:p>
    <w:p w14:paraId="2AA0319C" w14:textId="651C4EF8" w:rsidR="00A54164" w:rsidRDefault="00DD2308" w:rsidP="00D261C3">
      <w:pPr>
        <w:tabs>
          <w:tab w:val="right" w:pos="8646"/>
        </w:tabs>
        <w:rPr>
          <w:rFonts w:ascii="Arial" w:hAnsi="Arial"/>
          <w:bCs/>
        </w:rPr>
      </w:pPr>
      <w:r>
        <w:rPr>
          <w:rFonts w:ascii="Arial" w:hAnsi="Arial"/>
          <w:b/>
        </w:rPr>
        <w:t>CITY OF JOHANNESBURG</w:t>
      </w:r>
      <w:r w:rsidR="00A54164">
        <w:rPr>
          <w:rFonts w:ascii="Arial" w:hAnsi="Arial"/>
          <w:bCs/>
        </w:rPr>
        <w:t xml:space="preserve"> </w:t>
      </w:r>
      <w:r w:rsidR="00A54164">
        <w:rPr>
          <w:rFonts w:ascii="Arial" w:hAnsi="Arial"/>
          <w:bCs/>
        </w:rPr>
        <w:tab/>
        <w:t>Second Respondent</w:t>
      </w:r>
    </w:p>
    <w:p w14:paraId="0A0E67B9" w14:textId="770F5AC3" w:rsidR="00DD2308" w:rsidRDefault="00DD2308" w:rsidP="00D261C3">
      <w:pPr>
        <w:tabs>
          <w:tab w:val="right" w:pos="8646"/>
        </w:tabs>
        <w:rPr>
          <w:rFonts w:ascii="Arial" w:hAnsi="Arial"/>
          <w:bCs/>
        </w:rPr>
      </w:pPr>
    </w:p>
    <w:p w14:paraId="05003F49" w14:textId="543FC947" w:rsidR="002367E2" w:rsidRPr="00DD2308" w:rsidRDefault="00DD2308" w:rsidP="00DD2308">
      <w:pPr>
        <w:tabs>
          <w:tab w:val="right" w:pos="8646"/>
        </w:tabs>
        <w:jc w:val="right"/>
        <w:rPr>
          <w:rFonts w:ascii="Arial" w:hAnsi="Arial"/>
          <w:bCs/>
          <w:u w:val="single"/>
        </w:rPr>
      </w:pPr>
      <w:r>
        <w:rPr>
          <w:rFonts w:ascii="Arial" w:hAnsi="Arial"/>
          <w:bCs/>
        </w:rPr>
        <w:tab/>
      </w:r>
      <w:r w:rsidRPr="00DD2308">
        <w:rPr>
          <w:rFonts w:ascii="Arial" w:hAnsi="Arial"/>
          <w:bCs/>
          <w:u w:val="single"/>
        </w:rPr>
        <w:t>Case No. 21/40262</w:t>
      </w:r>
    </w:p>
    <w:p w14:paraId="533ABD29" w14:textId="3F2C8A82" w:rsidR="00DD2308" w:rsidRDefault="00DD2308" w:rsidP="00D261C3">
      <w:pPr>
        <w:tabs>
          <w:tab w:val="right" w:pos="8646"/>
        </w:tabs>
        <w:rPr>
          <w:rFonts w:ascii="Arial" w:hAnsi="Arial"/>
          <w:bCs/>
        </w:rPr>
      </w:pPr>
      <w:r>
        <w:rPr>
          <w:rFonts w:ascii="Arial" w:hAnsi="Arial"/>
          <w:bCs/>
        </w:rPr>
        <w:t xml:space="preserve">And in the matter between: </w:t>
      </w:r>
    </w:p>
    <w:p w14:paraId="799B63CA" w14:textId="77777777" w:rsidR="00DD2308" w:rsidRDefault="00DD2308" w:rsidP="00D261C3">
      <w:pPr>
        <w:tabs>
          <w:tab w:val="right" w:pos="8646"/>
        </w:tabs>
        <w:rPr>
          <w:rFonts w:ascii="Arial" w:hAnsi="Arial"/>
          <w:bCs/>
        </w:rPr>
      </w:pPr>
    </w:p>
    <w:p w14:paraId="119017BC" w14:textId="5111CCBD" w:rsidR="002367E2" w:rsidRDefault="00DD2308" w:rsidP="00D261C3">
      <w:pPr>
        <w:tabs>
          <w:tab w:val="right" w:pos="8646"/>
        </w:tabs>
        <w:rPr>
          <w:rFonts w:ascii="Arial" w:hAnsi="Arial"/>
          <w:bCs/>
        </w:rPr>
      </w:pPr>
      <w:r>
        <w:rPr>
          <w:rFonts w:ascii="Arial" w:hAnsi="Arial"/>
          <w:b/>
        </w:rPr>
        <w:t>FINAL HOUSING SOLUTIONS (PTY) LTD</w:t>
      </w:r>
      <w:r w:rsidR="002367E2">
        <w:rPr>
          <w:rFonts w:ascii="Arial" w:hAnsi="Arial"/>
          <w:bCs/>
        </w:rPr>
        <w:tab/>
      </w:r>
      <w:r>
        <w:rPr>
          <w:rFonts w:ascii="Arial" w:hAnsi="Arial"/>
          <w:bCs/>
        </w:rPr>
        <w:t>Applicant</w:t>
      </w:r>
    </w:p>
    <w:p w14:paraId="32E83D30" w14:textId="0A1D8266" w:rsidR="00DD2308" w:rsidRDefault="00DD2308" w:rsidP="00D261C3">
      <w:pPr>
        <w:tabs>
          <w:tab w:val="right" w:pos="8646"/>
        </w:tabs>
        <w:rPr>
          <w:rFonts w:ascii="Arial" w:hAnsi="Arial"/>
          <w:bCs/>
        </w:rPr>
      </w:pPr>
    </w:p>
    <w:p w14:paraId="2920357C" w14:textId="665E0748" w:rsidR="00DD2308" w:rsidRDefault="00DD2308" w:rsidP="00D261C3">
      <w:pPr>
        <w:tabs>
          <w:tab w:val="right" w:pos="8646"/>
        </w:tabs>
        <w:rPr>
          <w:rFonts w:ascii="Arial" w:hAnsi="Arial"/>
          <w:bCs/>
        </w:rPr>
      </w:pPr>
      <w:r>
        <w:rPr>
          <w:rFonts w:ascii="Arial" w:hAnsi="Arial"/>
          <w:bCs/>
        </w:rPr>
        <w:t>and</w:t>
      </w:r>
    </w:p>
    <w:p w14:paraId="4F9197F1" w14:textId="1F7EE89C" w:rsidR="002367E2" w:rsidRDefault="002367E2" w:rsidP="00D261C3">
      <w:pPr>
        <w:tabs>
          <w:tab w:val="right" w:pos="8646"/>
        </w:tabs>
        <w:rPr>
          <w:rFonts w:ascii="Arial" w:hAnsi="Arial"/>
          <w:bCs/>
        </w:rPr>
      </w:pPr>
    </w:p>
    <w:p w14:paraId="62AE619E" w14:textId="2FA22546" w:rsidR="002367E2" w:rsidRDefault="00DD2308" w:rsidP="00D261C3">
      <w:pPr>
        <w:tabs>
          <w:tab w:val="right" w:pos="8646"/>
        </w:tabs>
        <w:rPr>
          <w:rFonts w:ascii="Arial" w:hAnsi="Arial"/>
          <w:bCs/>
        </w:rPr>
      </w:pPr>
      <w:r>
        <w:rPr>
          <w:rFonts w:ascii="Arial" w:hAnsi="Arial"/>
          <w:b/>
        </w:rPr>
        <w:t>LUVALO LUKHANYA</w:t>
      </w:r>
      <w:r w:rsidR="002367E2">
        <w:rPr>
          <w:rFonts w:ascii="Arial" w:hAnsi="Arial"/>
          <w:bCs/>
        </w:rPr>
        <w:tab/>
      </w:r>
      <w:r>
        <w:rPr>
          <w:rFonts w:ascii="Arial" w:hAnsi="Arial"/>
          <w:bCs/>
        </w:rPr>
        <w:t>First</w:t>
      </w:r>
      <w:r w:rsidR="002367E2">
        <w:rPr>
          <w:rFonts w:ascii="Arial" w:hAnsi="Arial"/>
          <w:bCs/>
        </w:rPr>
        <w:t xml:space="preserve"> Respondent</w:t>
      </w:r>
    </w:p>
    <w:p w14:paraId="7A7CB515" w14:textId="2A2FC13E" w:rsidR="00DD2308" w:rsidRDefault="00DD2308" w:rsidP="00D261C3">
      <w:pPr>
        <w:tabs>
          <w:tab w:val="right" w:pos="8646"/>
        </w:tabs>
        <w:rPr>
          <w:rFonts w:ascii="Arial" w:hAnsi="Arial"/>
          <w:bCs/>
        </w:rPr>
      </w:pPr>
    </w:p>
    <w:p w14:paraId="05152E2F" w14:textId="271A18D6" w:rsidR="00DD2308" w:rsidRPr="00DD2308" w:rsidRDefault="00DD2308" w:rsidP="00D261C3">
      <w:pPr>
        <w:tabs>
          <w:tab w:val="right" w:pos="8646"/>
        </w:tabs>
        <w:rPr>
          <w:rFonts w:ascii="Arial" w:hAnsi="Arial"/>
          <w:b/>
          <w:bCs/>
        </w:rPr>
      </w:pPr>
      <w:r w:rsidRPr="00DD2308">
        <w:rPr>
          <w:rFonts w:ascii="Arial" w:hAnsi="Arial"/>
          <w:b/>
          <w:bCs/>
        </w:rPr>
        <w:t>ALL THE UNIDENTIFIED ILLEGAL OCCUPANTS OF</w:t>
      </w:r>
    </w:p>
    <w:p w14:paraId="2F379113" w14:textId="57BDF333" w:rsidR="00DD2308" w:rsidRDefault="00DD2308" w:rsidP="00D261C3">
      <w:pPr>
        <w:tabs>
          <w:tab w:val="right" w:pos="8646"/>
        </w:tabs>
        <w:rPr>
          <w:rFonts w:ascii="Arial" w:hAnsi="Arial"/>
          <w:bCs/>
        </w:rPr>
      </w:pPr>
      <w:r w:rsidRPr="00DD2308">
        <w:rPr>
          <w:rFonts w:ascii="Arial" w:hAnsi="Arial"/>
          <w:b/>
          <w:bCs/>
        </w:rPr>
        <w:t>ERF 10367 VOSLOORUS EXTENSION 14</w:t>
      </w:r>
      <w:r>
        <w:rPr>
          <w:rFonts w:ascii="Arial" w:hAnsi="Arial"/>
          <w:bCs/>
        </w:rPr>
        <w:tab/>
        <w:t>Second Respondents</w:t>
      </w:r>
    </w:p>
    <w:p w14:paraId="2D27E00B" w14:textId="180CA91A" w:rsidR="00DD2308" w:rsidRDefault="00DD2308" w:rsidP="00D261C3">
      <w:pPr>
        <w:tabs>
          <w:tab w:val="right" w:pos="8646"/>
        </w:tabs>
        <w:rPr>
          <w:rFonts w:ascii="Arial" w:hAnsi="Arial"/>
          <w:bCs/>
        </w:rPr>
      </w:pPr>
    </w:p>
    <w:p w14:paraId="38BFF89A" w14:textId="16826E41" w:rsidR="00DD2308" w:rsidRDefault="00DD2308" w:rsidP="00D261C3">
      <w:pPr>
        <w:tabs>
          <w:tab w:val="right" w:pos="8646"/>
        </w:tabs>
        <w:rPr>
          <w:rFonts w:ascii="Arial" w:hAnsi="Arial"/>
          <w:bCs/>
        </w:rPr>
      </w:pPr>
      <w:r w:rsidRPr="00DD2308">
        <w:rPr>
          <w:rFonts w:ascii="Arial" w:hAnsi="Arial"/>
          <w:b/>
          <w:bCs/>
        </w:rPr>
        <w:t>CITY OF EKURHULENI MUNICIPALITY</w:t>
      </w:r>
      <w:r>
        <w:rPr>
          <w:rFonts w:ascii="Arial" w:hAnsi="Arial"/>
          <w:bCs/>
        </w:rPr>
        <w:tab/>
        <w:t>Third Respondent</w:t>
      </w:r>
    </w:p>
    <w:p w14:paraId="24CC7A33" w14:textId="53479DE0" w:rsidR="005A7023" w:rsidRDefault="005A7023" w:rsidP="00D261C3">
      <w:pPr>
        <w:tabs>
          <w:tab w:val="right" w:pos="8646"/>
        </w:tabs>
        <w:rPr>
          <w:rFonts w:ascii="Arial" w:hAnsi="Arial"/>
          <w:bCs/>
        </w:rPr>
      </w:pPr>
    </w:p>
    <w:p w14:paraId="7D806E37" w14:textId="43113E00" w:rsidR="005A7023" w:rsidRDefault="005A7023" w:rsidP="00D261C3">
      <w:pPr>
        <w:tabs>
          <w:tab w:val="right" w:pos="8646"/>
        </w:tabs>
        <w:rPr>
          <w:rFonts w:ascii="Arial" w:hAnsi="Arial"/>
          <w:bCs/>
        </w:rPr>
      </w:pPr>
    </w:p>
    <w:p w14:paraId="07844FF5" w14:textId="79FC2831" w:rsidR="005A7023" w:rsidRDefault="005A7023" w:rsidP="00D261C3">
      <w:pPr>
        <w:tabs>
          <w:tab w:val="right" w:pos="8646"/>
        </w:tabs>
        <w:rPr>
          <w:rFonts w:ascii="Arial" w:hAnsi="Arial"/>
          <w:bCs/>
        </w:rPr>
      </w:pPr>
    </w:p>
    <w:p w14:paraId="599ED6DC" w14:textId="77777777" w:rsidR="005A7023" w:rsidRDefault="005A7023" w:rsidP="00D261C3">
      <w:pPr>
        <w:tabs>
          <w:tab w:val="right" w:pos="8646"/>
        </w:tabs>
        <w:rPr>
          <w:rFonts w:ascii="Arial" w:hAnsi="Arial"/>
          <w:bCs/>
        </w:rPr>
      </w:pPr>
    </w:p>
    <w:p w14:paraId="57B9F30D" w14:textId="2D27D0A7" w:rsidR="005A7023" w:rsidRDefault="005A7023" w:rsidP="00D261C3">
      <w:pPr>
        <w:tabs>
          <w:tab w:val="right" w:pos="8646"/>
        </w:tabs>
        <w:rPr>
          <w:rFonts w:ascii="Arial" w:hAnsi="Arial"/>
          <w:bCs/>
          <w:u w:val="single"/>
        </w:rPr>
      </w:pPr>
      <w:r w:rsidRPr="005A7023">
        <w:rPr>
          <w:rFonts w:ascii="Arial" w:hAnsi="Arial"/>
          <w:bCs/>
          <w:u w:val="single"/>
        </w:rPr>
        <w:lastRenderedPageBreak/>
        <w:t>Summary</w:t>
      </w:r>
    </w:p>
    <w:p w14:paraId="7CEA6080" w14:textId="402C206A" w:rsidR="005A7023" w:rsidRDefault="005A7023" w:rsidP="00D261C3">
      <w:pPr>
        <w:tabs>
          <w:tab w:val="right" w:pos="8646"/>
        </w:tabs>
        <w:rPr>
          <w:rFonts w:ascii="Arial" w:hAnsi="Arial"/>
          <w:bCs/>
          <w:u w:val="single"/>
        </w:rPr>
      </w:pPr>
    </w:p>
    <w:p w14:paraId="2679B3EA" w14:textId="5D3C072F" w:rsidR="005A7023" w:rsidRDefault="005A7023" w:rsidP="005A7023">
      <w:pPr>
        <w:tabs>
          <w:tab w:val="right" w:pos="8646"/>
        </w:tabs>
        <w:jc w:val="both"/>
        <w:rPr>
          <w:rFonts w:ascii="Arial" w:hAnsi="Arial"/>
          <w:bCs/>
        </w:rPr>
      </w:pPr>
      <w:r>
        <w:rPr>
          <w:rFonts w:ascii="Arial" w:hAnsi="Arial"/>
          <w:bCs/>
        </w:rPr>
        <w:t xml:space="preserve">Unlawful occupation of land – application of the Prevention of Illegal Eviction from, and Unlawful Occupation of, Land Act 19 of 1998 (“PIE”) – substantive requirements discussed. </w:t>
      </w:r>
    </w:p>
    <w:p w14:paraId="2F2C1B60" w14:textId="77777777" w:rsidR="005A7023" w:rsidRDefault="005A7023" w:rsidP="005A7023">
      <w:pPr>
        <w:tabs>
          <w:tab w:val="right" w:pos="8646"/>
        </w:tabs>
        <w:jc w:val="both"/>
        <w:rPr>
          <w:rFonts w:ascii="Arial" w:hAnsi="Arial"/>
          <w:bCs/>
        </w:rPr>
      </w:pPr>
    </w:p>
    <w:p w14:paraId="77E469D5" w14:textId="174736DC" w:rsidR="005A7023" w:rsidRPr="005A7023" w:rsidRDefault="005A7023" w:rsidP="005A7023">
      <w:pPr>
        <w:tabs>
          <w:tab w:val="right" w:pos="8646"/>
        </w:tabs>
        <w:jc w:val="both"/>
        <w:rPr>
          <w:rFonts w:ascii="Arial" w:hAnsi="Arial"/>
          <w:bCs/>
        </w:rPr>
      </w:pPr>
      <w:r>
        <w:rPr>
          <w:rFonts w:ascii="Arial" w:hAnsi="Arial"/>
          <w:bCs/>
        </w:rPr>
        <w:t xml:space="preserve">Practice – Pleading – Burden of pleading under PIE is threefold – applicant must demonstrate ownership or lawful control of the property, that the respondent is in unlawful occupation, and that there are facts that support the conclusion that an eviction would be just and equitable. </w:t>
      </w:r>
    </w:p>
    <w:p w14:paraId="63E97888" w14:textId="6CA25A0C" w:rsidR="00DD2308" w:rsidRDefault="00DD2308" w:rsidP="00D261C3">
      <w:pPr>
        <w:pBdr>
          <w:bottom w:val="single" w:sz="12" w:space="1" w:color="auto"/>
        </w:pBdr>
        <w:rPr>
          <w:rFonts w:ascii="Arial" w:hAnsi="Arial"/>
        </w:rPr>
      </w:pPr>
      <w:r>
        <w:rPr>
          <w:rFonts w:ascii="Arial" w:hAnsi="Arial"/>
        </w:rPr>
        <w:tab/>
      </w:r>
      <w:r>
        <w:rPr>
          <w:rFonts w:ascii="Arial" w:hAnsi="Arial"/>
        </w:rPr>
        <w:tab/>
      </w:r>
    </w:p>
    <w:p w14:paraId="4D9538E6" w14:textId="77777777" w:rsidR="00DD2308" w:rsidRPr="00D261C3" w:rsidRDefault="00DD2308"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70511BEC"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03927837"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1C2FB6AE" w14:textId="11117485" w:rsidR="008235B4" w:rsidRDefault="00F91846" w:rsidP="00F91846">
      <w:pPr>
        <w:pStyle w:val="Paragraph12pt"/>
        <w:tabs>
          <w:tab w:val="left" w:pos="851"/>
        </w:tabs>
        <w:ind w:left="851" w:hanging="851"/>
      </w:pPr>
      <w:r>
        <w:rPr>
          <w:rFonts w:cs="Arial"/>
          <w:color w:val="000000"/>
          <w:szCs w:val="24"/>
        </w:rPr>
        <w:t>1</w:t>
      </w:r>
      <w:r>
        <w:rPr>
          <w:rFonts w:cs="Arial"/>
          <w:color w:val="000000"/>
          <w:szCs w:val="24"/>
        </w:rPr>
        <w:tab/>
      </w:r>
      <w:r w:rsidR="00A54164">
        <w:t xml:space="preserve">The </w:t>
      </w:r>
      <w:r w:rsidR="008235B4">
        <w:t xml:space="preserve">applicant in each of these matters owns residential property </w:t>
      </w:r>
      <w:r w:rsidR="00D131DC">
        <w:t>from which it seeks to evict unlawful occupiers</w:t>
      </w:r>
      <w:r w:rsidR="008235B4">
        <w:t xml:space="preserve">. </w:t>
      </w:r>
    </w:p>
    <w:p w14:paraId="79FC91E8" w14:textId="5E7A335E" w:rsidR="008235B4" w:rsidRDefault="00F91846" w:rsidP="00F91846">
      <w:pPr>
        <w:pStyle w:val="Paragraph12pt"/>
        <w:tabs>
          <w:tab w:val="left" w:pos="851"/>
        </w:tabs>
        <w:ind w:left="851" w:hanging="851"/>
      </w:pPr>
      <w:r>
        <w:rPr>
          <w:rFonts w:cs="Arial"/>
          <w:color w:val="000000"/>
          <w:szCs w:val="24"/>
        </w:rPr>
        <w:t>2</w:t>
      </w:r>
      <w:r>
        <w:rPr>
          <w:rFonts w:cs="Arial"/>
          <w:color w:val="000000"/>
          <w:szCs w:val="24"/>
        </w:rPr>
        <w:tab/>
      </w:r>
      <w:r w:rsidR="008235B4">
        <w:t>In case</w:t>
      </w:r>
      <w:r w:rsidR="00D131DC">
        <w:t xml:space="preserve"> number</w:t>
      </w:r>
      <w:r w:rsidR="008235B4">
        <w:t xml:space="preserve"> </w:t>
      </w:r>
      <w:r w:rsidR="005A7023">
        <w:t>22/</w:t>
      </w:r>
      <w:r w:rsidR="008235B4">
        <w:t xml:space="preserve">023954, the applicant is </w:t>
      </w:r>
      <w:proofErr w:type="spellStart"/>
      <w:r w:rsidR="008235B4">
        <w:t>Madulammoho</w:t>
      </w:r>
      <w:proofErr w:type="spellEnd"/>
      <w:r w:rsidR="008235B4">
        <w:t xml:space="preserve">, a well-known social housing </w:t>
      </w:r>
      <w:r w:rsidR="00583F74">
        <w:t>company</w:t>
      </w:r>
      <w:r w:rsidR="008235B4">
        <w:t xml:space="preserve">. </w:t>
      </w:r>
      <w:proofErr w:type="spellStart"/>
      <w:r w:rsidR="009644C4">
        <w:t>Madulammoho</w:t>
      </w:r>
      <w:proofErr w:type="spellEnd"/>
      <w:r w:rsidR="00514AED">
        <w:t xml:space="preserve"> is a non-profit </w:t>
      </w:r>
      <w:r w:rsidR="00583F74">
        <w:t>landlord</w:t>
      </w:r>
      <w:r w:rsidR="00514AED">
        <w:t xml:space="preserve"> that exists to provide low cost housing to people who cannot afford to rent on the open market. </w:t>
      </w:r>
      <w:proofErr w:type="spellStart"/>
      <w:r w:rsidR="009644C4">
        <w:t>Madulammoho</w:t>
      </w:r>
      <w:proofErr w:type="spellEnd"/>
      <w:r w:rsidR="009644C4">
        <w:t xml:space="preserve"> let a unit in the </w:t>
      </w:r>
      <w:proofErr w:type="spellStart"/>
      <w:r w:rsidR="009644C4">
        <w:t>Fleurhof</w:t>
      </w:r>
      <w:proofErr w:type="spellEnd"/>
      <w:r w:rsidR="009644C4">
        <w:t xml:space="preserve"> Views housing development to the first respondent, Mr. </w:t>
      </w:r>
      <w:proofErr w:type="spellStart"/>
      <w:r w:rsidR="009644C4">
        <w:t>Nephawe</w:t>
      </w:r>
      <w:proofErr w:type="spellEnd"/>
      <w:r w:rsidR="009644C4">
        <w:t xml:space="preserve">. </w:t>
      </w:r>
      <w:r w:rsidR="00514AED">
        <w:t xml:space="preserve">Its lease with Mr. </w:t>
      </w:r>
      <w:proofErr w:type="spellStart"/>
      <w:r w:rsidR="00514AED">
        <w:t>Nephawe</w:t>
      </w:r>
      <w:proofErr w:type="spellEnd"/>
      <w:r w:rsidR="00514AED">
        <w:t xml:space="preserve"> commenced on 1 June 2016. </w:t>
      </w:r>
      <w:r w:rsidR="009644C4">
        <w:t>The monthly rent payable at the commencement of the lease was just over R2</w:t>
      </w:r>
      <w:r w:rsidR="002A5C37">
        <w:t xml:space="preserve"> </w:t>
      </w:r>
      <w:r w:rsidR="009644C4">
        <w:t xml:space="preserve">500. By 31 March 2021, Mr. </w:t>
      </w:r>
      <w:proofErr w:type="spellStart"/>
      <w:r w:rsidR="009644C4">
        <w:t>Nephawe</w:t>
      </w:r>
      <w:proofErr w:type="spellEnd"/>
      <w:r w:rsidR="009644C4">
        <w:t xml:space="preserve"> had fallen into arrears in the sum of R14</w:t>
      </w:r>
      <w:r w:rsidR="002A5C37">
        <w:t xml:space="preserve"> </w:t>
      </w:r>
      <w:r w:rsidR="009644C4">
        <w:t>984.80. He continued making payments, however, and by 4 July 2022, his arrears had been reduced to R9</w:t>
      </w:r>
      <w:r w:rsidR="002A5C37">
        <w:t xml:space="preserve"> </w:t>
      </w:r>
      <w:r w:rsidR="009644C4">
        <w:t xml:space="preserve">715.83. At the point he signed his lease in 2016 it appears that no-one was living with him. It is not clear from </w:t>
      </w:r>
      <w:proofErr w:type="spellStart"/>
      <w:r w:rsidR="009644C4">
        <w:t>Madulammoho’s</w:t>
      </w:r>
      <w:proofErr w:type="spellEnd"/>
      <w:r w:rsidR="009644C4">
        <w:t xml:space="preserve"> papers whether Mr. </w:t>
      </w:r>
      <w:proofErr w:type="spellStart"/>
      <w:r w:rsidR="009644C4">
        <w:t>Nephawe</w:t>
      </w:r>
      <w:proofErr w:type="spellEnd"/>
      <w:r w:rsidR="009644C4">
        <w:t xml:space="preserve"> still lives alone. </w:t>
      </w:r>
    </w:p>
    <w:p w14:paraId="3D24CBB4" w14:textId="530AC025" w:rsidR="005A7023" w:rsidRDefault="00F91846" w:rsidP="00F91846">
      <w:pPr>
        <w:pStyle w:val="Paragraph12pt"/>
        <w:tabs>
          <w:tab w:val="left" w:pos="851"/>
        </w:tabs>
        <w:ind w:left="851" w:hanging="851"/>
      </w:pPr>
      <w:r>
        <w:rPr>
          <w:rFonts w:cs="Arial"/>
          <w:color w:val="000000"/>
          <w:szCs w:val="24"/>
        </w:rPr>
        <w:t>3</w:t>
      </w:r>
      <w:r>
        <w:rPr>
          <w:rFonts w:cs="Arial"/>
          <w:color w:val="000000"/>
          <w:szCs w:val="24"/>
        </w:rPr>
        <w:tab/>
      </w:r>
      <w:r w:rsidR="008235B4">
        <w:t>In case</w:t>
      </w:r>
      <w:r w:rsidR="00D131DC">
        <w:t xml:space="preserve"> number</w:t>
      </w:r>
      <w:r w:rsidR="008235B4">
        <w:t xml:space="preserve"> </w:t>
      </w:r>
      <w:r w:rsidR="005A7023">
        <w:t>21/</w:t>
      </w:r>
      <w:r w:rsidR="008235B4">
        <w:t>40262, the applicant is Final Housing Solutions (Pty) Ltd (“FHS”)</w:t>
      </w:r>
      <w:r w:rsidR="009644C4">
        <w:t>.</w:t>
      </w:r>
      <w:r w:rsidR="00AA7484">
        <w:t xml:space="preserve"> FHS owns a property in </w:t>
      </w:r>
      <w:proofErr w:type="spellStart"/>
      <w:r w:rsidR="00AA7484">
        <w:t>Vosloorus</w:t>
      </w:r>
      <w:proofErr w:type="spellEnd"/>
      <w:r w:rsidR="00AA7484">
        <w:t xml:space="preserve"> Extension 14. FHS says that it </w:t>
      </w:r>
      <w:r w:rsidR="00AA7484">
        <w:lastRenderedPageBreak/>
        <w:t>purchased the property from Nedbank in 2005, and</w:t>
      </w:r>
      <w:r w:rsidR="00583F74">
        <w:t xml:space="preserve"> that it</w:t>
      </w:r>
      <w:r w:rsidR="00AA7484">
        <w:t xml:space="preserve"> found the first respondent, Mr. </w:t>
      </w:r>
      <w:proofErr w:type="spellStart"/>
      <w:r w:rsidR="00AA7484">
        <w:t>Lukhanya</w:t>
      </w:r>
      <w:proofErr w:type="spellEnd"/>
      <w:r w:rsidR="00AA7484">
        <w:t xml:space="preserve">, living on it with his family. FHS entered into an agreement with Mr. </w:t>
      </w:r>
      <w:proofErr w:type="spellStart"/>
      <w:r w:rsidR="00AA7484">
        <w:t>Lukhanya</w:t>
      </w:r>
      <w:proofErr w:type="spellEnd"/>
      <w:r w:rsidR="00AA7484">
        <w:t xml:space="preserve"> that entailed what appear</w:t>
      </w:r>
      <w:r w:rsidR="002A5C37">
        <w:t>s</w:t>
      </w:r>
      <w:r w:rsidR="00AA7484">
        <w:t xml:space="preserve"> to have been a complex set of arrangements aimed at enabling Mr. </w:t>
      </w:r>
      <w:proofErr w:type="spellStart"/>
      <w:r w:rsidR="00AA7484">
        <w:t>L</w:t>
      </w:r>
      <w:r w:rsidR="002C66C5">
        <w:t>u</w:t>
      </w:r>
      <w:r w:rsidR="00AA7484">
        <w:t>khanya</w:t>
      </w:r>
      <w:proofErr w:type="spellEnd"/>
      <w:r w:rsidR="00AA7484">
        <w:t xml:space="preserve"> to purchase the property with the assistance of the State. </w:t>
      </w:r>
      <w:r w:rsidR="00583F74">
        <w:t>It is not clear</w:t>
      </w:r>
      <w:r w:rsidR="002C66C5">
        <w:t xml:space="preserve"> precisely what that arrangement was, because the critical averments describing the arrangement appear at paragraphs 17 to 20.7 of FHS’ founding affidavit, which have been omitted from the papers presented to me. </w:t>
      </w:r>
    </w:p>
    <w:p w14:paraId="40B8FA4E" w14:textId="460543E7" w:rsidR="00490D02" w:rsidRDefault="00F91846" w:rsidP="00F91846">
      <w:pPr>
        <w:pStyle w:val="Paragraph12pt"/>
        <w:tabs>
          <w:tab w:val="left" w:pos="851"/>
        </w:tabs>
        <w:ind w:left="851" w:hanging="851"/>
      </w:pPr>
      <w:r>
        <w:rPr>
          <w:rFonts w:cs="Arial"/>
          <w:color w:val="000000"/>
          <w:szCs w:val="24"/>
        </w:rPr>
        <w:t>4</w:t>
      </w:r>
      <w:r>
        <w:rPr>
          <w:rFonts w:cs="Arial"/>
          <w:color w:val="000000"/>
          <w:szCs w:val="24"/>
        </w:rPr>
        <w:tab/>
      </w:r>
      <w:r w:rsidR="002C66C5">
        <w:t>Still, the founding affidavit makes mention of “guarantees for the subsidy”</w:t>
      </w:r>
      <w:r w:rsidR="00D131DC">
        <w:t xml:space="preserve"> given by “the department”</w:t>
      </w:r>
      <w:r w:rsidR="002C66C5">
        <w:t xml:space="preserve"> in the sum of R163</w:t>
      </w:r>
      <w:r w:rsidR="005D0991">
        <w:t xml:space="preserve"> </w:t>
      </w:r>
      <w:r w:rsidR="002C66C5">
        <w:t xml:space="preserve">573. The purchase agreement annexed to the founding affidavit puts the total purchase price at R210 000, R50 000 of which is payable as a deposit, presumably on signature of the agreement. It is not clear whether this amount was actually paid, but FHS does not complain that it was not. FHS’ complaint is that Mr. </w:t>
      </w:r>
      <w:proofErr w:type="spellStart"/>
      <w:r w:rsidR="002C66C5">
        <w:t>Lukhanya</w:t>
      </w:r>
      <w:proofErr w:type="spellEnd"/>
      <w:r w:rsidR="002C66C5">
        <w:t xml:space="preserve"> neglected to pay the outstanding rates and taxes on the property, which was apparently necessary to unlock the subsidy</w:t>
      </w:r>
      <w:r w:rsidR="005254A5">
        <w:t xml:space="preserve">. It seems that, if the subsidy were paid, Mr. </w:t>
      </w:r>
      <w:proofErr w:type="spellStart"/>
      <w:r w:rsidR="005254A5">
        <w:t>Lukhanya</w:t>
      </w:r>
      <w:proofErr w:type="spellEnd"/>
      <w:r w:rsidR="005254A5">
        <w:t xml:space="preserve"> would be able to take ownership of his home. </w:t>
      </w:r>
      <w:r w:rsidR="002C66C5">
        <w:t xml:space="preserve">However, the purchase agreement makes no mention of the subsidy guarantees, and the precise nature of their relationship to the purchase agreement remains obscure. </w:t>
      </w:r>
      <w:r w:rsidR="00BE053E">
        <w:t xml:space="preserve">This is notwithstanding a supplementary affidavit filed on the applicant’s behalf, in which it is baldly asserted that the subsidy guarantees, which turn out to have been given by the Department of Human Settlements, have now expired.  </w:t>
      </w:r>
    </w:p>
    <w:p w14:paraId="5C83502B" w14:textId="2B466108" w:rsidR="002C66C5" w:rsidRDefault="00F91846" w:rsidP="00F91846">
      <w:pPr>
        <w:pStyle w:val="Paragraph12pt"/>
        <w:tabs>
          <w:tab w:val="left" w:pos="851"/>
        </w:tabs>
        <w:ind w:left="851" w:hanging="851"/>
      </w:pPr>
      <w:r>
        <w:rPr>
          <w:rFonts w:cs="Arial"/>
          <w:color w:val="000000"/>
          <w:szCs w:val="24"/>
        </w:rPr>
        <w:lastRenderedPageBreak/>
        <w:t>5</w:t>
      </w:r>
      <w:r>
        <w:rPr>
          <w:rFonts w:cs="Arial"/>
          <w:color w:val="000000"/>
          <w:szCs w:val="24"/>
        </w:rPr>
        <w:tab/>
      </w:r>
      <w:proofErr w:type="spellStart"/>
      <w:r w:rsidR="00BE10AA">
        <w:t>Madulammoho</w:t>
      </w:r>
      <w:proofErr w:type="spellEnd"/>
      <w:r w:rsidR="00BE10AA">
        <w:t xml:space="preserve"> and FHS</w:t>
      </w:r>
      <w:r w:rsidR="005D0991">
        <w:t xml:space="preserve"> each</w:t>
      </w:r>
      <w:r w:rsidR="00BE10AA">
        <w:t xml:space="preserve"> claim an eviction order under the Prevention of Illegal Eviction from, and Unlawful Occupation of, Land Act 19 of 1998 (“PIE”). They allege that the occupation of the property in each case has become unlawful</w:t>
      </w:r>
      <w:r w:rsidR="00583F74">
        <w:t>. I</w:t>
      </w:r>
      <w:r w:rsidR="00BE10AA">
        <w:t xml:space="preserve">n Mr. </w:t>
      </w:r>
      <w:proofErr w:type="spellStart"/>
      <w:r w:rsidR="00BE10AA">
        <w:t>Nephawe’s</w:t>
      </w:r>
      <w:proofErr w:type="spellEnd"/>
      <w:r w:rsidR="00BE10AA">
        <w:t xml:space="preserve"> case</w:t>
      </w:r>
      <w:r w:rsidR="00583F74">
        <w:t>, this is</w:t>
      </w:r>
      <w:r w:rsidR="00BE10AA">
        <w:t xml:space="preserve"> because his leas</w:t>
      </w:r>
      <w:r w:rsidR="00583F74">
        <w:t>e has been cancelled on breach. I</w:t>
      </w:r>
      <w:r w:rsidR="00BE10AA">
        <w:t xml:space="preserve">n Mr. </w:t>
      </w:r>
      <w:proofErr w:type="spellStart"/>
      <w:r w:rsidR="00BE10AA">
        <w:t>Lukhanya’s</w:t>
      </w:r>
      <w:proofErr w:type="spellEnd"/>
      <w:r w:rsidR="00BE10AA">
        <w:t xml:space="preserve"> case</w:t>
      </w:r>
      <w:r w:rsidR="00583F74">
        <w:t xml:space="preserve"> it is</w:t>
      </w:r>
      <w:r w:rsidR="00BE10AA">
        <w:t xml:space="preserve"> because the purchase agreement has been cancelled, apparently because of Mr. </w:t>
      </w:r>
      <w:proofErr w:type="spellStart"/>
      <w:r w:rsidR="00BE10AA">
        <w:t>Lukhanya’s</w:t>
      </w:r>
      <w:proofErr w:type="spellEnd"/>
      <w:r w:rsidR="00BE10AA">
        <w:t xml:space="preserve"> failure to pay the outstanding rates and taxes on the </w:t>
      </w:r>
      <w:proofErr w:type="spellStart"/>
      <w:r w:rsidR="00BE10AA">
        <w:t>Vosloorus</w:t>
      </w:r>
      <w:proofErr w:type="spellEnd"/>
      <w:r w:rsidR="00BE10AA">
        <w:t xml:space="preserve"> property</w:t>
      </w:r>
      <w:r w:rsidR="005A7023">
        <w:t>.</w:t>
      </w:r>
      <w:r w:rsidR="00BE10AA">
        <w:t xml:space="preserve"> </w:t>
      </w:r>
    </w:p>
    <w:p w14:paraId="25369877" w14:textId="27E8DBD6" w:rsidR="00583F74" w:rsidRDefault="00F91846" w:rsidP="00F91846">
      <w:pPr>
        <w:pStyle w:val="Paragraph12pt"/>
        <w:tabs>
          <w:tab w:val="left" w:pos="851"/>
        </w:tabs>
        <w:ind w:left="851" w:hanging="851"/>
      </w:pPr>
      <w:r>
        <w:rPr>
          <w:rFonts w:cs="Arial"/>
          <w:color w:val="000000"/>
          <w:szCs w:val="24"/>
        </w:rPr>
        <w:t>6</w:t>
      </w:r>
      <w:r>
        <w:rPr>
          <w:rFonts w:cs="Arial"/>
          <w:color w:val="000000"/>
          <w:szCs w:val="24"/>
        </w:rPr>
        <w:tab/>
      </w:r>
      <w:r w:rsidR="00D131DC">
        <w:t>T</w:t>
      </w:r>
      <w:r w:rsidR="00BE10AA">
        <w:t xml:space="preserve">he case for </w:t>
      </w:r>
      <w:proofErr w:type="spellStart"/>
      <w:r w:rsidR="00BE10AA">
        <w:t>Madulammoho</w:t>
      </w:r>
      <w:proofErr w:type="spellEnd"/>
      <w:r w:rsidR="00BE10AA">
        <w:t xml:space="preserve"> and FHS ended there. The attitude of counsel appearing before me was that once unlawful occupation has been proved, an owner is entitled to an eviction order</w:t>
      </w:r>
      <w:r w:rsidR="000705DE">
        <w:t>, at least in the absence of any other relevant information</w:t>
      </w:r>
      <w:r w:rsidR="00BE10AA">
        <w:t xml:space="preserve">. </w:t>
      </w:r>
      <w:r w:rsidR="000705DE">
        <w:t>T</w:t>
      </w:r>
      <w:r w:rsidR="00BE10AA">
        <w:t xml:space="preserve">hat is </w:t>
      </w:r>
      <w:r w:rsidR="00583F74">
        <w:t xml:space="preserve">a fundamental misunderstanding of the applicable law. It is unfortunately a common one in the unopposed motion courts over which I have presided, in which eviction applications under PIE are regularly moved without any attempt to satisfy the </w:t>
      </w:r>
      <w:r w:rsidR="005A7023">
        <w:t xml:space="preserve">substantive </w:t>
      </w:r>
      <w:r w:rsidR="00583F74">
        <w:t xml:space="preserve">requirements PIE imposes. In these circumstances, it is necessary to restate the requirements of PIE before moving on to deal the applications brought by </w:t>
      </w:r>
      <w:proofErr w:type="spellStart"/>
      <w:r w:rsidR="00583F74">
        <w:t>Madulammoho</w:t>
      </w:r>
      <w:proofErr w:type="spellEnd"/>
      <w:r w:rsidR="00583F74">
        <w:t xml:space="preserve"> and FHS. </w:t>
      </w:r>
    </w:p>
    <w:p w14:paraId="34D64778" w14:textId="1ED32D24" w:rsidR="00583F74" w:rsidRDefault="00583F74" w:rsidP="00583F74">
      <w:pPr>
        <w:pStyle w:val="Paragraph12pt"/>
        <w:rPr>
          <w:b/>
        </w:rPr>
      </w:pPr>
      <w:r w:rsidRPr="00583F74">
        <w:rPr>
          <w:b/>
        </w:rPr>
        <w:t>PIE’s substantive requirements</w:t>
      </w:r>
    </w:p>
    <w:p w14:paraId="4CE91B25" w14:textId="4C63B378" w:rsidR="00BA6633" w:rsidRDefault="00F91846" w:rsidP="00F91846">
      <w:pPr>
        <w:pStyle w:val="Paragraph12pt"/>
        <w:tabs>
          <w:tab w:val="left" w:pos="851"/>
        </w:tabs>
        <w:ind w:left="851" w:hanging="851"/>
      </w:pPr>
      <w:r>
        <w:rPr>
          <w:rFonts w:cs="Arial"/>
          <w:color w:val="000000"/>
          <w:szCs w:val="24"/>
        </w:rPr>
        <w:t>7</w:t>
      </w:r>
      <w:r>
        <w:rPr>
          <w:rFonts w:cs="Arial"/>
          <w:color w:val="000000"/>
          <w:szCs w:val="24"/>
        </w:rPr>
        <w:tab/>
      </w:r>
      <w:r w:rsidR="00583F74">
        <w:t>PIE authorise</w:t>
      </w:r>
      <w:r w:rsidR="00BA6633">
        <w:t>s</w:t>
      </w:r>
      <w:r w:rsidR="00583F74">
        <w:t xml:space="preserve"> a</w:t>
      </w:r>
      <w:r w:rsidR="001E1CC2">
        <w:t xml:space="preserve"> court </w:t>
      </w:r>
      <w:r w:rsidR="00583F74">
        <w:t>to evict an unlawful occupier</w:t>
      </w:r>
      <w:r w:rsidR="00BE10AA">
        <w:t xml:space="preserve"> only where it is “just and equitable”</w:t>
      </w:r>
      <w:r w:rsidR="001E1CC2">
        <w:t xml:space="preserve">, after </w:t>
      </w:r>
      <w:r w:rsidR="00A5219B">
        <w:t>having considered</w:t>
      </w:r>
      <w:r w:rsidR="001E1CC2">
        <w:t xml:space="preserve"> all the relevant circumstances</w:t>
      </w:r>
      <w:r w:rsidR="00BE10AA">
        <w:t xml:space="preserve"> (sections</w:t>
      </w:r>
      <w:r w:rsidR="00583F74">
        <w:t xml:space="preserve"> 4 (1),</w:t>
      </w:r>
      <w:r w:rsidR="00BE10AA">
        <w:t xml:space="preserve"> 4 (6) and 4 (7</w:t>
      </w:r>
      <w:r w:rsidR="00D131DC">
        <w:t>)</w:t>
      </w:r>
      <w:r w:rsidR="00583F74">
        <w:t xml:space="preserve"> of PIE</w:t>
      </w:r>
      <w:r w:rsidR="00D131DC">
        <w:t xml:space="preserve">). </w:t>
      </w:r>
      <w:r w:rsidR="00BA6633">
        <w:t>The justice and equity standard has</w:t>
      </w:r>
      <w:r w:rsidR="000776D4">
        <w:t xml:space="preserve"> a clear and principled structure, developed through a series of well-known appellate decisions</w:t>
      </w:r>
      <w:r w:rsidR="004F7A18">
        <w:t xml:space="preserve">. </w:t>
      </w:r>
      <w:r w:rsidR="00BA6633">
        <w:t xml:space="preserve"> </w:t>
      </w:r>
    </w:p>
    <w:p w14:paraId="3A12AB8C" w14:textId="0B0B525F" w:rsidR="004F7A18" w:rsidRDefault="00F91846" w:rsidP="00F91846">
      <w:pPr>
        <w:pStyle w:val="Paragraph12pt"/>
        <w:tabs>
          <w:tab w:val="left" w:pos="851"/>
        </w:tabs>
        <w:ind w:left="851" w:hanging="851"/>
      </w:pPr>
      <w:r>
        <w:rPr>
          <w:rFonts w:cs="Arial"/>
          <w:color w:val="000000"/>
          <w:szCs w:val="24"/>
        </w:rPr>
        <w:lastRenderedPageBreak/>
        <w:t>8</w:t>
      </w:r>
      <w:r>
        <w:rPr>
          <w:rFonts w:cs="Arial"/>
          <w:color w:val="000000"/>
          <w:szCs w:val="24"/>
        </w:rPr>
        <w:tab/>
      </w:r>
      <w:r w:rsidR="00BA6633">
        <w:t xml:space="preserve">The principles of justice and equity are, first, that the applicant for an eviction order bears the onus to </w:t>
      </w:r>
      <w:r w:rsidR="001E1CC2">
        <w:t>establish</w:t>
      </w:r>
      <w:r w:rsidR="00BA6633">
        <w:t xml:space="preserve"> that it is just and equitable to grant one; second,</w:t>
      </w:r>
      <w:r w:rsidR="00291E28">
        <w:t xml:space="preserve"> that evictions that lead to homelessness are not generally </w:t>
      </w:r>
      <w:r w:rsidR="00130EDB">
        <w:t>just and equitable</w:t>
      </w:r>
      <w:r w:rsidR="00291E28">
        <w:t>; third</w:t>
      </w:r>
      <w:r w:rsidR="005D0991">
        <w:t>,</w:t>
      </w:r>
      <w:r w:rsidR="00BA6633">
        <w:t xml:space="preserve"> that a court has wide powers to require applicants for eviction orders</w:t>
      </w:r>
      <w:r w:rsidR="001E1CC2">
        <w:t xml:space="preserve">, </w:t>
      </w:r>
      <w:r w:rsidR="00BA6633">
        <w:t>organs of state</w:t>
      </w:r>
      <w:r w:rsidR="001E1CC2">
        <w:t xml:space="preserve"> and unlawful occupiers</w:t>
      </w:r>
      <w:r w:rsidR="00BA6633">
        <w:t xml:space="preserve"> to produce the information necessary to enable the </w:t>
      </w:r>
      <w:r w:rsidR="000776D4">
        <w:t>formulation</w:t>
      </w:r>
      <w:r w:rsidR="00BA6633">
        <w:t xml:space="preserve"> of a just and equitable order; and fourth, that where an eviction would lead to homelessness, the duty </w:t>
      </w:r>
      <w:r w:rsidR="005D0991">
        <w:t xml:space="preserve">to </w:t>
      </w:r>
      <w:r w:rsidR="00BA6633">
        <w:t xml:space="preserve">provide the alternative accommodation necessary to </w:t>
      </w:r>
      <w:r w:rsidR="001E1CC2">
        <w:t>prevent</w:t>
      </w:r>
      <w:r w:rsidR="00BA6633">
        <w:t xml:space="preserve"> an unlawful occupier from becoming homeless generally falls on the local authority with jurisdiction over the property. I address each of these principles in turn.</w:t>
      </w:r>
    </w:p>
    <w:p w14:paraId="6951949F" w14:textId="22B3BA81" w:rsidR="00BA6633" w:rsidRPr="00291E28" w:rsidRDefault="00BA6633" w:rsidP="00BA6633">
      <w:pPr>
        <w:pStyle w:val="Paragraph12pt"/>
        <w:rPr>
          <w:u w:val="single"/>
        </w:rPr>
      </w:pPr>
      <w:r w:rsidRPr="00291E28">
        <w:rPr>
          <w:u w:val="single"/>
        </w:rPr>
        <w:t>Onus</w:t>
      </w:r>
    </w:p>
    <w:p w14:paraId="7F053F77" w14:textId="15D798BD" w:rsidR="00D131DC" w:rsidRDefault="00F91846" w:rsidP="00F91846">
      <w:pPr>
        <w:pStyle w:val="Paragraph12pt"/>
        <w:tabs>
          <w:tab w:val="left" w:pos="851"/>
        </w:tabs>
        <w:ind w:left="851" w:hanging="851"/>
      </w:pPr>
      <w:r>
        <w:rPr>
          <w:rFonts w:cs="Arial"/>
          <w:color w:val="000000"/>
          <w:szCs w:val="24"/>
        </w:rPr>
        <w:t>9</w:t>
      </w:r>
      <w:r>
        <w:rPr>
          <w:rFonts w:cs="Arial"/>
          <w:color w:val="000000"/>
          <w:szCs w:val="24"/>
        </w:rPr>
        <w:tab/>
      </w:r>
      <w:r w:rsidR="00D131DC">
        <w:t xml:space="preserve">The onus of demonstrating the justice and equity of an eviction rests on the </w:t>
      </w:r>
      <w:r w:rsidR="007C5F21">
        <w:t>applicant for an eviction order. The applicant has a duty to place facts before a court from which an inference can be drawn that an eviction would be just and equitable</w:t>
      </w:r>
      <w:r w:rsidR="00D131DC">
        <w:t xml:space="preserve"> (</w:t>
      </w:r>
      <w:r w:rsidR="00D131DC" w:rsidRPr="007C5F21">
        <w:rPr>
          <w:i/>
        </w:rPr>
        <w:t xml:space="preserve">City of Johannesburg v Changing Tides </w:t>
      </w:r>
      <w:r w:rsidR="007C5F21" w:rsidRPr="007C5F21">
        <w:rPr>
          <w:i/>
        </w:rPr>
        <w:t>74 (Pty) Ltd</w:t>
      </w:r>
      <w:r w:rsidR="007C5F21">
        <w:t xml:space="preserve"> 2012 (6) SA 294 (SCA), paragraph 34) (“</w:t>
      </w:r>
      <w:r w:rsidR="007C5F21" w:rsidRPr="007C5F21">
        <w:rPr>
          <w:i/>
        </w:rPr>
        <w:t>Changing Tides</w:t>
      </w:r>
      <w:r w:rsidR="007C5F21">
        <w:t xml:space="preserve">”). The decision in </w:t>
      </w:r>
      <w:r w:rsidR="007C5F21" w:rsidRPr="007C5F21">
        <w:rPr>
          <w:i/>
        </w:rPr>
        <w:t>Changing Tides</w:t>
      </w:r>
      <w:r w:rsidR="007C5F21">
        <w:t xml:space="preserve"> supersedes and overrules earlier</w:t>
      </w:r>
      <w:r w:rsidR="00583F74">
        <w:t xml:space="preserve"> decisions in which it was held, </w:t>
      </w:r>
      <w:r w:rsidR="00583F74" w:rsidRPr="00583F74">
        <w:rPr>
          <w:i/>
        </w:rPr>
        <w:t>obiter</w:t>
      </w:r>
      <w:r w:rsidR="00583F74">
        <w:t xml:space="preserve">, </w:t>
      </w:r>
      <w:r w:rsidR="007C5F21">
        <w:t xml:space="preserve">that the onus to place information before the court shifts to the unlawful occupier once the applicant has proven ownership and unlawful occupation (see for example </w:t>
      </w:r>
      <w:r w:rsidR="007C5F21" w:rsidRPr="007C5F21">
        <w:rPr>
          <w:i/>
        </w:rPr>
        <w:t xml:space="preserve">Ndlovu v Ngcobo, </w:t>
      </w:r>
      <w:proofErr w:type="spellStart"/>
      <w:r w:rsidR="007C5F21" w:rsidRPr="007C5F21">
        <w:rPr>
          <w:i/>
        </w:rPr>
        <w:t>Bekker</w:t>
      </w:r>
      <w:proofErr w:type="spellEnd"/>
      <w:r w:rsidR="007C5F21" w:rsidRPr="007C5F21">
        <w:rPr>
          <w:i/>
        </w:rPr>
        <w:t xml:space="preserve"> and Another v Jika</w:t>
      </w:r>
      <w:r w:rsidR="007C5F21">
        <w:t xml:space="preserve"> </w:t>
      </w:r>
      <w:r w:rsidR="007C5F21" w:rsidRPr="007C5F21">
        <w:t>[2002] 4 All SA 384 (SCA)</w:t>
      </w:r>
      <w:r w:rsidR="00FF0412">
        <w:t xml:space="preserve"> (“</w:t>
      </w:r>
      <w:r w:rsidR="00FF0412" w:rsidRPr="00FF0412">
        <w:rPr>
          <w:i/>
        </w:rPr>
        <w:t>Ndlovu</w:t>
      </w:r>
      <w:r w:rsidR="00FF0412">
        <w:t>”)</w:t>
      </w:r>
      <w:r w:rsidR="007C5F21">
        <w:t xml:space="preserve">, paragraph 19). </w:t>
      </w:r>
    </w:p>
    <w:p w14:paraId="52FA2D2B" w14:textId="203113F6" w:rsidR="00291E28" w:rsidRDefault="00F91846" w:rsidP="00F91846">
      <w:pPr>
        <w:pStyle w:val="Paragraph12pt"/>
        <w:tabs>
          <w:tab w:val="left" w:pos="851"/>
        </w:tabs>
        <w:ind w:left="851" w:hanging="851"/>
      </w:pPr>
      <w:r>
        <w:rPr>
          <w:rFonts w:cs="Arial"/>
          <w:color w:val="000000"/>
          <w:szCs w:val="24"/>
        </w:rPr>
        <w:t>10</w:t>
      </w:r>
      <w:r>
        <w:rPr>
          <w:rFonts w:cs="Arial"/>
          <w:color w:val="000000"/>
          <w:szCs w:val="24"/>
        </w:rPr>
        <w:tab/>
      </w:r>
      <w:r w:rsidR="00291E28">
        <w:t xml:space="preserve">It follows that it is no longer sufficient to approach a court for an eviction order merely on the basis of the applicant’s ownership or control of a property, and the respondent’s unlawful occupation. Before an eviction order can be </w:t>
      </w:r>
      <w:r w:rsidR="00291E28">
        <w:lastRenderedPageBreak/>
        <w:t>granted, the facts must demonstrate that it would be just and equitable to make one.</w:t>
      </w:r>
    </w:p>
    <w:p w14:paraId="62A39E9D" w14:textId="41EC4573" w:rsidR="00291E28" w:rsidRDefault="00F91846" w:rsidP="00F91846">
      <w:pPr>
        <w:pStyle w:val="Paragraph12pt"/>
        <w:tabs>
          <w:tab w:val="left" w:pos="851"/>
        </w:tabs>
        <w:ind w:left="851" w:hanging="851"/>
      </w:pPr>
      <w:r>
        <w:rPr>
          <w:rFonts w:cs="Arial"/>
          <w:color w:val="000000"/>
          <w:szCs w:val="24"/>
        </w:rPr>
        <w:t>11</w:t>
      </w:r>
      <w:r>
        <w:rPr>
          <w:rFonts w:cs="Arial"/>
          <w:color w:val="000000"/>
          <w:szCs w:val="24"/>
        </w:rPr>
        <w:tab/>
      </w:r>
      <w:r w:rsidR="00291E28">
        <w:t xml:space="preserve">There is </w:t>
      </w:r>
      <w:r w:rsidR="001E1CC2">
        <w:t xml:space="preserve">accordingly </w:t>
      </w:r>
      <w:r w:rsidR="00291E28">
        <w:t>no presumption in favour of granting an eviction order simply because the applicant has alleged and proven ownership and unlawful occupation. Satisfying these requirements does no more than trigger a further enquiry into whether it would be just and equitable to evict an unlawful occupier. The fact that an owner is, at common law, entitled to exclusive use and occupation of their property where there are no other counter-veiling common law rights held over it is a factor that counts in favour of granting an eviction order. But it is by no means dispositive of the issue.</w:t>
      </w:r>
    </w:p>
    <w:p w14:paraId="05642AF8" w14:textId="2C6ADE4F" w:rsidR="00291E28" w:rsidRPr="00291E28" w:rsidRDefault="004F7A18" w:rsidP="00291E28">
      <w:pPr>
        <w:pStyle w:val="Paragraph12pt"/>
        <w:rPr>
          <w:u w:val="single"/>
        </w:rPr>
      </w:pPr>
      <w:r>
        <w:rPr>
          <w:u w:val="single"/>
        </w:rPr>
        <w:t xml:space="preserve">Homelessness </w:t>
      </w:r>
    </w:p>
    <w:p w14:paraId="56E9DE16" w14:textId="00E3E59C" w:rsidR="000705DE" w:rsidRPr="00C02208" w:rsidRDefault="00F91846" w:rsidP="00F91846">
      <w:pPr>
        <w:pStyle w:val="Paragraph12pt"/>
        <w:tabs>
          <w:tab w:val="left" w:pos="851"/>
        </w:tabs>
        <w:ind w:left="851" w:hanging="851"/>
      </w:pPr>
      <w:r w:rsidRPr="00C02208">
        <w:rPr>
          <w:rFonts w:cs="Arial"/>
          <w:color w:val="000000"/>
          <w:szCs w:val="24"/>
        </w:rPr>
        <w:t>12</w:t>
      </w:r>
      <w:r w:rsidRPr="00C02208">
        <w:rPr>
          <w:rFonts w:cs="Arial"/>
          <w:color w:val="000000"/>
          <w:szCs w:val="24"/>
        </w:rPr>
        <w:tab/>
      </w:r>
      <w:r w:rsidR="005D0991">
        <w:t>Although there are potentially a wide variety of reasons why an eviction may not be just and equitable, the case law developed under PIE has tended to focus on the injustice of homelessness. The appellate courts have consistently held that i</w:t>
      </w:r>
      <w:r w:rsidR="00291E28">
        <w:t>t will not be just and equitable to order an eviction where the execution of the eviction order would leave an unlawful occupier homeless (</w:t>
      </w:r>
      <w:r w:rsidR="001E1CC2">
        <w:t xml:space="preserve">See </w:t>
      </w:r>
      <w:r w:rsidR="001E1CC2" w:rsidRPr="001E1CC2">
        <w:rPr>
          <w:i/>
          <w:iCs/>
        </w:rPr>
        <w:t>Occupiers, Berea v De Wet</w:t>
      </w:r>
      <w:r w:rsidR="001E1CC2" w:rsidRPr="001E1CC2">
        <w:t xml:space="preserve"> 2017 (5) SA 346 (CC)</w:t>
      </w:r>
      <w:r w:rsidR="001E1CC2">
        <w:t xml:space="preserve">, paragraph 57 and </w:t>
      </w:r>
      <w:r w:rsidR="00291E28" w:rsidRPr="007C5F21">
        <w:rPr>
          <w:i/>
        </w:rPr>
        <w:t xml:space="preserve">Occupiers, </w:t>
      </w:r>
      <w:proofErr w:type="spellStart"/>
      <w:r w:rsidR="00291E28" w:rsidRPr="007C5F21">
        <w:rPr>
          <w:i/>
        </w:rPr>
        <w:t>Shulana</w:t>
      </w:r>
      <w:proofErr w:type="spellEnd"/>
      <w:r w:rsidR="00291E28" w:rsidRPr="007C5F21">
        <w:rPr>
          <w:i/>
        </w:rPr>
        <w:t xml:space="preserve"> Court, 11 Hendon Road, </w:t>
      </w:r>
      <w:proofErr w:type="spellStart"/>
      <w:r w:rsidR="00291E28" w:rsidRPr="007C5F21">
        <w:rPr>
          <w:i/>
        </w:rPr>
        <w:t>Yeoville</w:t>
      </w:r>
      <w:proofErr w:type="spellEnd"/>
      <w:r w:rsidR="00291E28" w:rsidRPr="007C5F21">
        <w:rPr>
          <w:i/>
        </w:rPr>
        <w:t>, Johannesburg v Steele</w:t>
      </w:r>
      <w:r w:rsidR="00291E28">
        <w:t xml:space="preserve"> </w:t>
      </w:r>
      <w:r w:rsidR="00291E28" w:rsidRPr="007C5F21">
        <w:t>[2010] 4 All SA 54 (SCA)</w:t>
      </w:r>
      <w:r w:rsidR="00291E28">
        <w:t xml:space="preserve"> (“</w:t>
      </w:r>
      <w:proofErr w:type="spellStart"/>
      <w:r w:rsidR="00291E28" w:rsidRPr="00443B0E">
        <w:rPr>
          <w:i/>
        </w:rPr>
        <w:t>Shulana</w:t>
      </w:r>
      <w:proofErr w:type="spellEnd"/>
      <w:r w:rsidR="00291E28" w:rsidRPr="00443B0E">
        <w:rPr>
          <w:i/>
        </w:rPr>
        <w:t xml:space="preserve"> Court</w:t>
      </w:r>
      <w:r w:rsidR="00291E28">
        <w:t>”), paragraph 16). It follows that</w:t>
      </w:r>
      <w:r w:rsidR="001E1CC2">
        <w:t xml:space="preserve"> </w:t>
      </w:r>
      <w:r w:rsidR="00291E28">
        <w:t xml:space="preserve">eviction orders that will lead to homelessness cannot be made. </w:t>
      </w:r>
    </w:p>
    <w:p w14:paraId="7ECE7F64" w14:textId="6585BE7E" w:rsidR="00291E28" w:rsidRPr="004F7A18" w:rsidRDefault="00291E28" w:rsidP="004F7A18">
      <w:pPr>
        <w:pStyle w:val="Paragraph12pt"/>
        <w:rPr>
          <w:u w:val="single"/>
        </w:rPr>
      </w:pPr>
      <w:r w:rsidRPr="004F7A18">
        <w:rPr>
          <w:u w:val="single"/>
        </w:rPr>
        <w:t>A court’s fact-finding and remedial powers</w:t>
      </w:r>
    </w:p>
    <w:p w14:paraId="3310F93F" w14:textId="04BDD012" w:rsidR="00291E28" w:rsidRDefault="00F91846" w:rsidP="00F91846">
      <w:pPr>
        <w:pStyle w:val="Paragraph12pt"/>
        <w:tabs>
          <w:tab w:val="left" w:pos="851"/>
        </w:tabs>
        <w:ind w:left="851" w:hanging="851"/>
      </w:pPr>
      <w:r>
        <w:rPr>
          <w:rFonts w:cs="Arial"/>
          <w:color w:val="000000"/>
          <w:szCs w:val="24"/>
        </w:rPr>
        <w:t>13</w:t>
      </w:r>
      <w:r>
        <w:rPr>
          <w:rFonts w:cs="Arial"/>
          <w:color w:val="000000"/>
          <w:szCs w:val="24"/>
        </w:rPr>
        <w:tab/>
      </w:r>
      <w:r w:rsidR="00BC2886">
        <w:t>E</w:t>
      </w:r>
      <w:r w:rsidR="00CC740B">
        <w:t>ven where an eviction application is unopposed, if</w:t>
      </w:r>
      <w:r w:rsidR="00291E28">
        <w:t xml:space="preserve"> it appears that an eviction might lead to homelessness, </w:t>
      </w:r>
      <w:r w:rsidR="00CC740B">
        <w:t xml:space="preserve">a court is entitled </w:t>
      </w:r>
      <w:r w:rsidR="002A5C37">
        <w:t xml:space="preserve">neither </w:t>
      </w:r>
      <w:r w:rsidR="00CC740B">
        <w:t xml:space="preserve">summarily to evict an </w:t>
      </w:r>
      <w:r w:rsidR="00CC740B">
        <w:lastRenderedPageBreak/>
        <w:t>unlawful occupier</w:t>
      </w:r>
      <w:r w:rsidR="002A5C37">
        <w:t>, nor summarily</w:t>
      </w:r>
      <w:r w:rsidR="00BC2886">
        <w:t xml:space="preserve"> to</w:t>
      </w:r>
      <w:r w:rsidR="002A5C37">
        <w:t xml:space="preserve"> dismiss the application</w:t>
      </w:r>
      <w:r w:rsidR="00CC740B">
        <w:t>. It is required to act “proactive[</w:t>
      </w:r>
      <w:proofErr w:type="spellStart"/>
      <w:r w:rsidR="00CC740B">
        <w:t>ly</w:t>
      </w:r>
      <w:proofErr w:type="spellEnd"/>
      <w:r w:rsidR="00CC740B">
        <w:t>]” to ensure that it is “</w:t>
      </w:r>
      <w:r w:rsidR="00CC740B" w:rsidRPr="00CC740B">
        <w:t>appraised of all relevant information in order to enable it to make a just and equitable decision</w:t>
      </w:r>
      <w:r w:rsidR="00CC740B">
        <w:t>” (</w:t>
      </w:r>
      <w:proofErr w:type="spellStart"/>
      <w:r w:rsidR="00CC740B" w:rsidRPr="00CC740B">
        <w:rPr>
          <w:i/>
          <w:iCs/>
        </w:rPr>
        <w:t>Shulana</w:t>
      </w:r>
      <w:proofErr w:type="spellEnd"/>
      <w:r w:rsidR="00CC740B" w:rsidRPr="00CC740B">
        <w:rPr>
          <w:i/>
          <w:iCs/>
        </w:rPr>
        <w:t xml:space="preserve"> Court</w:t>
      </w:r>
      <w:r w:rsidR="00CC740B" w:rsidRPr="00CC740B">
        <w:t xml:space="preserve">, </w:t>
      </w:r>
      <w:r w:rsidR="00CC740B">
        <w:t>paragraph 15). Its principal method of obtaining the necessary information will be to require a</w:t>
      </w:r>
      <w:r w:rsidR="00291E28">
        <w:t xml:space="preserve"> local authority to investigate the circumstances of the unlawful occupiers, and to report to the court on a range of matters, including whether and to what extent an eviction order may lead to homelessness, what steps the local authority will take to provide </w:t>
      </w:r>
      <w:r w:rsidR="00C02208">
        <w:t xml:space="preserve">any necessary </w:t>
      </w:r>
      <w:r w:rsidR="00291E28">
        <w:t xml:space="preserve">alternative accommodation, and when those steps will be taken (see, in this respect, </w:t>
      </w:r>
      <w:r w:rsidR="00291E28" w:rsidRPr="009B6C71">
        <w:rPr>
          <w:i/>
        </w:rPr>
        <w:t>Changing Tides</w:t>
      </w:r>
      <w:r w:rsidR="00291E28">
        <w:t>, paragraph 40).</w:t>
      </w:r>
    </w:p>
    <w:p w14:paraId="2D36AE45" w14:textId="05E030D3" w:rsidR="00291E28" w:rsidRDefault="00F91846" w:rsidP="00F91846">
      <w:pPr>
        <w:pStyle w:val="Paragraph12pt"/>
        <w:tabs>
          <w:tab w:val="left" w:pos="851"/>
        </w:tabs>
        <w:ind w:left="851" w:hanging="851"/>
      </w:pPr>
      <w:r>
        <w:rPr>
          <w:rFonts w:cs="Arial"/>
          <w:color w:val="000000"/>
          <w:szCs w:val="24"/>
        </w:rPr>
        <w:t>14</w:t>
      </w:r>
      <w:r>
        <w:rPr>
          <w:rFonts w:cs="Arial"/>
          <w:color w:val="000000"/>
          <w:szCs w:val="24"/>
        </w:rPr>
        <w:tab/>
      </w:r>
      <w:r w:rsidR="00291E28">
        <w:t>That is why applicants for eviction orders that may lead to homelessness are required to join the relevant local authority from the outset (</w:t>
      </w:r>
      <w:r w:rsidR="000705DE" w:rsidRPr="002A5C37">
        <w:rPr>
          <w:i/>
          <w:iCs/>
        </w:rPr>
        <w:t>City of Johannesburg</w:t>
      </w:r>
      <w:r w:rsidR="000705DE">
        <w:t xml:space="preserve"> v </w:t>
      </w:r>
      <w:r w:rsidR="00291E28" w:rsidRPr="00A3786F">
        <w:rPr>
          <w:i/>
        </w:rPr>
        <w:t>Blue Moonlight</w:t>
      </w:r>
      <w:r w:rsidR="000705DE">
        <w:rPr>
          <w:i/>
        </w:rPr>
        <w:t xml:space="preserve"> Properties 39 (Pty) Ltd </w:t>
      </w:r>
      <w:r w:rsidR="000705DE">
        <w:rPr>
          <w:iCs/>
        </w:rPr>
        <w:t>2012 (2) SA 104 (CC) (“</w:t>
      </w:r>
      <w:r w:rsidR="000705DE" w:rsidRPr="000705DE">
        <w:rPr>
          <w:i/>
        </w:rPr>
        <w:t>Blue Moonlight</w:t>
      </w:r>
      <w:r w:rsidR="000705DE">
        <w:rPr>
          <w:iCs/>
        </w:rPr>
        <w:t>”)</w:t>
      </w:r>
      <w:r w:rsidR="00291E28">
        <w:t xml:space="preserve"> paragraph 45). Where they fail to do so, a court will rectify that failure by joining the relevant local authority</w:t>
      </w:r>
      <w:r w:rsidR="000705DE">
        <w:t>, and, if necessary, other organs of state concerned with the provision of housing. The court will generally</w:t>
      </w:r>
      <w:r w:rsidR="00291E28">
        <w:t xml:space="preserve"> requi</w:t>
      </w:r>
      <w:r w:rsidR="000705DE">
        <w:t>re</w:t>
      </w:r>
      <w:r w:rsidR="00291E28">
        <w:t xml:space="preserve"> a report to be filed</w:t>
      </w:r>
      <w:r w:rsidR="000705DE">
        <w:t xml:space="preserve"> addressing the </w:t>
      </w:r>
      <w:r w:rsidR="00C02208">
        <w:t xml:space="preserve">need for and </w:t>
      </w:r>
      <w:r w:rsidR="000705DE">
        <w:t>provision of alternative accommodation</w:t>
      </w:r>
      <w:r w:rsidR="00291E28">
        <w:t xml:space="preserve"> (</w:t>
      </w:r>
      <w:r w:rsidR="00291E28" w:rsidRPr="00A3786F">
        <w:rPr>
          <w:i/>
        </w:rPr>
        <w:t>Sailing Queen Investments CC v Occupants of La Colleen Court</w:t>
      </w:r>
      <w:r w:rsidR="00291E28">
        <w:t xml:space="preserve"> 2008 6 BCLR 666 (W) and </w:t>
      </w:r>
      <w:r w:rsidR="00291E28" w:rsidRPr="00A3786F">
        <w:rPr>
          <w:i/>
        </w:rPr>
        <w:t>Occupiers of ERF 101,102, 104 and 112, Shorts Retreat, Pietermaritzburg v Daisy Dear Investments (Pty) Ltd</w:t>
      </w:r>
      <w:r w:rsidR="00291E28">
        <w:t xml:space="preserve"> </w:t>
      </w:r>
      <w:r w:rsidR="00291E28" w:rsidRPr="009B6C71">
        <w:t>[2009] 4 All SA 410 (SCA)</w:t>
      </w:r>
      <w:r w:rsidR="00291E28">
        <w:t>).</w:t>
      </w:r>
    </w:p>
    <w:p w14:paraId="25C85261" w14:textId="0748909B" w:rsidR="00291E28" w:rsidRDefault="00F91846" w:rsidP="00F91846">
      <w:pPr>
        <w:pStyle w:val="Paragraph12pt"/>
        <w:tabs>
          <w:tab w:val="left" w:pos="851"/>
        </w:tabs>
        <w:ind w:left="851" w:hanging="851"/>
      </w:pPr>
      <w:r>
        <w:rPr>
          <w:rFonts w:cs="Arial"/>
          <w:color w:val="000000"/>
          <w:szCs w:val="24"/>
        </w:rPr>
        <w:t>15</w:t>
      </w:r>
      <w:r>
        <w:rPr>
          <w:rFonts w:cs="Arial"/>
          <w:color w:val="000000"/>
          <w:szCs w:val="24"/>
        </w:rPr>
        <w:tab/>
      </w:r>
      <w:r w:rsidR="00291E28">
        <w:t>Once that report is filed, a court will generally be in a position to make an order directing alternative accommodation to be provided where it is needed,</w:t>
      </w:r>
      <w:r w:rsidR="00BC2886">
        <w:t xml:space="preserve"> </w:t>
      </w:r>
      <w:r w:rsidR="00291E28">
        <w:t xml:space="preserve">and </w:t>
      </w:r>
      <w:r w:rsidR="00291E28">
        <w:lastRenderedPageBreak/>
        <w:t xml:space="preserve">setting a timetable for the provision of the accommodation and for the eviction of the unlawful occupiers who do not or are not entitled to relocate to it. </w:t>
      </w:r>
    </w:p>
    <w:p w14:paraId="110D0764" w14:textId="31D303E1" w:rsidR="00291E28" w:rsidRDefault="00F91846" w:rsidP="00F91846">
      <w:pPr>
        <w:pStyle w:val="Paragraph12pt"/>
        <w:tabs>
          <w:tab w:val="left" w:pos="851"/>
        </w:tabs>
        <w:ind w:left="851" w:hanging="851"/>
      </w:pPr>
      <w:r>
        <w:rPr>
          <w:rFonts w:cs="Arial"/>
          <w:color w:val="000000"/>
          <w:szCs w:val="24"/>
        </w:rPr>
        <w:t>16</w:t>
      </w:r>
      <w:r>
        <w:rPr>
          <w:rFonts w:cs="Arial"/>
          <w:color w:val="000000"/>
          <w:szCs w:val="24"/>
        </w:rPr>
        <w:tab/>
      </w:r>
      <w:r w:rsidR="00291E28">
        <w:t xml:space="preserve">Sometimes, however, local authorities may </w:t>
      </w:r>
      <w:r w:rsidR="002F7C18">
        <w:t xml:space="preserve">unreasonably </w:t>
      </w:r>
      <w:r w:rsidR="00291E28">
        <w:t>refuse to provide alternative accommodation, or provide information that is of such a generalised nature as to be of little or no assistance in resolving the specific case before a court. In those circumstances, a court may order the local authority to produce further specific information (see</w:t>
      </w:r>
      <w:r w:rsidR="00291E28" w:rsidRPr="00A3786F">
        <w:rPr>
          <w:i/>
        </w:rPr>
        <w:t xml:space="preserve"> Blue Moonlight Properties 39 (Pty) Ltd v Occupiers Saratoga Avenue</w:t>
      </w:r>
      <w:r w:rsidR="00291E28">
        <w:rPr>
          <w:i/>
        </w:rPr>
        <w:t xml:space="preserve"> </w:t>
      </w:r>
      <w:r w:rsidR="00291E28" w:rsidRPr="00A3786F">
        <w:t>2009 (1) SA 470 (W)</w:t>
      </w:r>
      <w:r w:rsidR="00291E28">
        <w:t xml:space="preserve">), or it may direct a local authority simply to provide the accommodation by a given date, linking that date to a date on which an eviction </w:t>
      </w:r>
      <w:r w:rsidR="000776D4">
        <w:t xml:space="preserve">order </w:t>
      </w:r>
      <w:r w:rsidR="00291E28">
        <w:t xml:space="preserve">may be executed (see </w:t>
      </w:r>
      <w:r w:rsidR="00291E28" w:rsidRPr="00A3786F">
        <w:rPr>
          <w:i/>
        </w:rPr>
        <w:t>Blue Moonlight</w:t>
      </w:r>
      <w:r w:rsidR="00291E28">
        <w:t xml:space="preserve">, paragraph 97). </w:t>
      </w:r>
    </w:p>
    <w:p w14:paraId="6A3B5012" w14:textId="6FFF57AA" w:rsidR="002F7C18" w:rsidRPr="002F7C18" w:rsidRDefault="00F91846" w:rsidP="00F91846">
      <w:pPr>
        <w:pStyle w:val="Paragraph12pt"/>
        <w:tabs>
          <w:tab w:val="left" w:pos="851"/>
        </w:tabs>
        <w:ind w:left="851" w:hanging="851"/>
        <w:rPr>
          <w:u w:val="single"/>
        </w:rPr>
      </w:pPr>
      <w:r w:rsidRPr="002F7C18">
        <w:rPr>
          <w:rFonts w:cs="Arial"/>
          <w:color w:val="000000"/>
          <w:szCs w:val="24"/>
        </w:rPr>
        <w:t>17</w:t>
      </w:r>
      <w:r w:rsidRPr="002F7C18">
        <w:rPr>
          <w:rFonts w:cs="Arial"/>
          <w:color w:val="000000"/>
          <w:szCs w:val="24"/>
        </w:rPr>
        <w:tab/>
      </w:r>
      <w:r w:rsidR="001640B9">
        <w:t>PIE</w:t>
      </w:r>
      <w:r w:rsidR="005D0991">
        <w:t xml:space="preserve"> does not </w:t>
      </w:r>
      <w:r w:rsidR="002A5C37">
        <w:t>enjoin a court</w:t>
      </w:r>
      <w:r w:rsidR="00BA6F06">
        <w:t xml:space="preserve"> automatically to</w:t>
      </w:r>
      <w:r w:rsidR="002A5C37">
        <w:t xml:space="preserve"> </w:t>
      </w:r>
      <w:r w:rsidR="005D0991">
        <w:t xml:space="preserve">dismiss an eviction application merely because it </w:t>
      </w:r>
      <w:r w:rsidR="00BA6F06">
        <w:t>might</w:t>
      </w:r>
      <w:r w:rsidR="002A5C37">
        <w:t xml:space="preserve"> result in homelessness</w:t>
      </w:r>
      <w:r w:rsidR="005D0991">
        <w:t xml:space="preserve">. There </w:t>
      </w:r>
      <w:r w:rsidR="000705DE">
        <w:t>are</w:t>
      </w:r>
      <w:r w:rsidR="005D0991">
        <w:t xml:space="preserve"> cases where </w:t>
      </w:r>
      <w:r w:rsidR="002A5C37">
        <w:t>the facts</w:t>
      </w:r>
      <w:r w:rsidR="005D0991">
        <w:t xml:space="preserve"> require the dismissal of </w:t>
      </w:r>
      <w:r w:rsidR="00745BBF">
        <w:t xml:space="preserve">such </w:t>
      </w:r>
      <w:r w:rsidR="005D0991">
        <w:t>an application</w:t>
      </w:r>
      <w:r w:rsidR="000705DE">
        <w:t>, but they are rare</w:t>
      </w:r>
      <w:r w:rsidR="005D0991">
        <w:t xml:space="preserve"> (see</w:t>
      </w:r>
      <w:r w:rsidR="002F7C18">
        <w:t>,</w:t>
      </w:r>
      <w:r w:rsidR="005D0991">
        <w:t xml:space="preserve"> </w:t>
      </w:r>
      <w:r w:rsidR="002F7C18">
        <w:t xml:space="preserve">for </w:t>
      </w:r>
      <w:r w:rsidR="000705DE">
        <w:t>example</w:t>
      </w:r>
      <w:r w:rsidR="002F7C18">
        <w:t xml:space="preserve">, </w:t>
      </w:r>
      <w:r w:rsidR="00C02208" w:rsidRPr="00C02208">
        <w:rPr>
          <w:i/>
          <w:iCs/>
        </w:rPr>
        <w:t>Ekurhuleni Metropolitan Municipality v Various Occupiers, Eden Park Extension 5</w:t>
      </w:r>
      <w:r w:rsidR="00C02208" w:rsidRPr="00C02208">
        <w:t xml:space="preserve"> 2014 (3) SA 23 (SCA)</w:t>
      </w:r>
      <w:r w:rsidR="00C02208">
        <w:t>,</w:t>
      </w:r>
      <w:r w:rsidR="00C02208" w:rsidRPr="00C02208">
        <w:t xml:space="preserve"> </w:t>
      </w:r>
      <w:r w:rsidR="005D0991" w:rsidRPr="002F7C18">
        <w:rPr>
          <w:i/>
          <w:iCs/>
        </w:rPr>
        <w:t xml:space="preserve">All Builders </w:t>
      </w:r>
      <w:r w:rsidR="000705DE">
        <w:rPr>
          <w:i/>
          <w:iCs/>
        </w:rPr>
        <w:t>a</w:t>
      </w:r>
      <w:r w:rsidR="005D0991" w:rsidRPr="002F7C18">
        <w:rPr>
          <w:i/>
          <w:iCs/>
        </w:rPr>
        <w:t xml:space="preserve">nd Cleaning Services CC v </w:t>
      </w:r>
      <w:proofErr w:type="spellStart"/>
      <w:r w:rsidR="005D0991" w:rsidRPr="002F7C18">
        <w:rPr>
          <w:i/>
          <w:iCs/>
        </w:rPr>
        <w:t>Matlaila</w:t>
      </w:r>
      <w:proofErr w:type="spellEnd"/>
      <w:r w:rsidR="005D0991" w:rsidRPr="002F7C18">
        <w:rPr>
          <w:i/>
          <w:iCs/>
        </w:rPr>
        <w:t xml:space="preserve"> </w:t>
      </w:r>
      <w:r w:rsidR="005D0991" w:rsidRPr="005D0991">
        <w:t>[2015] ZAGPJHC 2 (16 January 2015)</w:t>
      </w:r>
      <w:r w:rsidR="002F7C18">
        <w:t xml:space="preserve"> and </w:t>
      </w:r>
      <w:r w:rsidR="002F7C18" w:rsidRPr="002F7C18">
        <w:rPr>
          <w:i/>
          <w:iCs/>
        </w:rPr>
        <w:t>Fischer v Unlawful Occupiers</w:t>
      </w:r>
      <w:r w:rsidR="002F7C18">
        <w:t xml:space="preserve"> </w:t>
      </w:r>
      <w:r w:rsidR="002F7C18" w:rsidRPr="002F7C18">
        <w:t>2018 (2) SA 228 (WCC)</w:t>
      </w:r>
      <w:r w:rsidR="002F7C18">
        <w:t>).</w:t>
      </w:r>
    </w:p>
    <w:p w14:paraId="53716395" w14:textId="723B8236" w:rsidR="004F7A18" w:rsidRPr="005D0991" w:rsidRDefault="00F91846" w:rsidP="00F91846">
      <w:pPr>
        <w:pStyle w:val="Paragraph12pt"/>
        <w:tabs>
          <w:tab w:val="left" w:pos="851"/>
        </w:tabs>
        <w:ind w:left="851" w:hanging="851"/>
        <w:rPr>
          <w:u w:val="single"/>
        </w:rPr>
      </w:pPr>
      <w:r w:rsidRPr="005D0991">
        <w:rPr>
          <w:rFonts w:cs="Arial"/>
          <w:color w:val="000000"/>
          <w:szCs w:val="24"/>
        </w:rPr>
        <w:t>18</w:t>
      </w:r>
      <w:r w:rsidRPr="005D0991">
        <w:rPr>
          <w:rFonts w:cs="Arial"/>
          <w:color w:val="000000"/>
          <w:szCs w:val="24"/>
        </w:rPr>
        <w:tab/>
      </w:r>
      <w:r w:rsidR="00130EDB">
        <w:t>Instead, a</w:t>
      </w:r>
      <w:r w:rsidR="002F7C18">
        <w:t xml:space="preserve"> court will </w:t>
      </w:r>
      <w:r w:rsidR="00745BBF">
        <w:t xml:space="preserve">normally </w:t>
      </w:r>
      <w:r w:rsidR="002F7C18">
        <w:t xml:space="preserve">seek to craft an eviction order that </w:t>
      </w:r>
      <w:r w:rsidR="00291E28">
        <w:t>may only be executed once alternative accommodation is objectively available to the unlawful occupiers, and</w:t>
      </w:r>
      <w:r w:rsidR="002F7C18">
        <w:t xml:space="preserve"> which allows</w:t>
      </w:r>
      <w:r w:rsidR="00291E28">
        <w:t xml:space="preserve"> the local authority </w:t>
      </w:r>
      <w:r w:rsidR="002F7C18">
        <w:t xml:space="preserve">to </w:t>
      </w:r>
      <w:r w:rsidR="00291E28">
        <w:t xml:space="preserve">be compelled, </w:t>
      </w:r>
      <w:r w:rsidR="000705DE">
        <w:t>if necessary</w:t>
      </w:r>
      <w:r w:rsidR="00291E28">
        <w:t>, to provide the accommodation if it fails to do so</w:t>
      </w:r>
      <w:r w:rsidR="002F7C18">
        <w:t xml:space="preserve"> promptly</w:t>
      </w:r>
      <w:r w:rsidR="00291E28">
        <w:t xml:space="preserve"> (see, for example, </w:t>
      </w:r>
      <w:r w:rsidR="00291E28" w:rsidRPr="005D0991">
        <w:rPr>
          <w:i/>
        </w:rPr>
        <w:t xml:space="preserve">City of Johannesburg Metropolitan Municipality v </w:t>
      </w:r>
      <w:proofErr w:type="spellStart"/>
      <w:r w:rsidR="00291E28" w:rsidRPr="005D0991">
        <w:rPr>
          <w:i/>
        </w:rPr>
        <w:t>Hlophe</w:t>
      </w:r>
      <w:proofErr w:type="spellEnd"/>
      <w:r w:rsidR="00291E28">
        <w:t xml:space="preserve"> [2015] 2 All SA 251 (SCA)).</w:t>
      </w:r>
    </w:p>
    <w:p w14:paraId="07B94AB6" w14:textId="3E664B81" w:rsidR="004F7A18" w:rsidRPr="004F7A18" w:rsidRDefault="004F7A18" w:rsidP="004F7A18">
      <w:pPr>
        <w:pStyle w:val="Paragraph12pt"/>
        <w:rPr>
          <w:b/>
          <w:bCs/>
        </w:rPr>
      </w:pPr>
      <w:r w:rsidRPr="004F7A18">
        <w:rPr>
          <w:b/>
          <w:bCs/>
        </w:rPr>
        <w:lastRenderedPageBreak/>
        <w:t xml:space="preserve">Cases that do not raise the possibility of homelessness </w:t>
      </w:r>
    </w:p>
    <w:p w14:paraId="7BF188EF" w14:textId="03050272" w:rsidR="004F7A18" w:rsidRDefault="00F91846" w:rsidP="00F91846">
      <w:pPr>
        <w:pStyle w:val="Paragraph12pt"/>
        <w:tabs>
          <w:tab w:val="left" w:pos="851"/>
        </w:tabs>
        <w:ind w:left="851" w:hanging="851"/>
      </w:pPr>
      <w:r>
        <w:rPr>
          <w:rFonts w:cs="Arial"/>
          <w:color w:val="000000"/>
          <w:szCs w:val="24"/>
        </w:rPr>
        <w:t>19</w:t>
      </w:r>
      <w:r>
        <w:rPr>
          <w:rFonts w:cs="Arial"/>
          <w:color w:val="000000"/>
          <w:szCs w:val="24"/>
        </w:rPr>
        <w:tab/>
      </w:r>
      <w:r w:rsidR="004F7A18">
        <w:t>There are, of course, many eviction applications under PIE where there is no indication that  homelessness will follow on eviction. In the absence of some other reason why an eviction would be unjust and inequitable, a court will</w:t>
      </w:r>
      <w:r w:rsidR="001E1CC2">
        <w:t xml:space="preserve"> in those cases</w:t>
      </w:r>
      <w:r w:rsidR="004F7A18">
        <w:t xml:space="preserve"> give effect to the applicant’s</w:t>
      </w:r>
      <w:r w:rsidR="001E1CC2">
        <w:t xml:space="preserve"> common law</w:t>
      </w:r>
      <w:r w:rsidR="004F7A18">
        <w:t xml:space="preserve"> right to exclusive possession, and will issue an eviction order. But the only way a court will be able to </w:t>
      </w:r>
      <w:r w:rsidR="001E1CC2">
        <w:t xml:space="preserve">draw the conclusion that </w:t>
      </w:r>
      <w:r w:rsidR="00C02208">
        <w:t xml:space="preserve">an eviction would be just and equitable </w:t>
      </w:r>
      <w:r w:rsidR="001E1CC2">
        <w:t xml:space="preserve">is if the applicant sets out facts that allow the court to do so. That is why it is important for applicants for eviction orders under PIE to plead their cases fully, going beyond the traditional common law approach of alleging ownership and unlawful occupation. </w:t>
      </w:r>
    </w:p>
    <w:p w14:paraId="07B6B556" w14:textId="587B8224" w:rsidR="002B31C3" w:rsidRPr="002B31C3" w:rsidRDefault="002B31C3" w:rsidP="002B31C3">
      <w:pPr>
        <w:pStyle w:val="Paragraph12pt"/>
        <w:rPr>
          <w:b/>
          <w:bCs/>
        </w:rPr>
      </w:pPr>
      <w:r w:rsidRPr="002B31C3">
        <w:rPr>
          <w:b/>
          <w:bCs/>
        </w:rPr>
        <w:t xml:space="preserve">The </w:t>
      </w:r>
      <w:proofErr w:type="spellStart"/>
      <w:r w:rsidRPr="002B31C3">
        <w:rPr>
          <w:b/>
          <w:bCs/>
        </w:rPr>
        <w:t>Madulammoho</w:t>
      </w:r>
      <w:proofErr w:type="spellEnd"/>
      <w:r w:rsidRPr="002B31C3">
        <w:rPr>
          <w:b/>
          <w:bCs/>
        </w:rPr>
        <w:t xml:space="preserve"> and FHS cases</w:t>
      </w:r>
    </w:p>
    <w:p w14:paraId="131AC960" w14:textId="1547EABD" w:rsidR="00284CA0" w:rsidRDefault="00F91846" w:rsidP="00F91846">
      <w:pPr>
        <w:pStyle w:val="Paragraph12pt"/>
        <w:tabs>
          <w:tab w:val="left" w:pos="851"/>
        </w:tabs>
        <w:ind w:left="851" w:hanging="851"/>
      </w:pPr>
      <w:r>
        <w:rPr>
          <w:rFonts w:cs="Arial"/>
          <w:color w:val="000000"/>
          <w:szCs w:val="24"/>
        </w:rPr>
        <w:t>20</w:t>
      </w:r>
      <w:r>
        <w:rPr>
          <w:rFonts w:cs="Arial"/>
          <w:color w:val="000000"/>
          <w:szCs w:val="24"/>
        </w:rPr>
        <w:tab/>
      </w:r>
      <w:r w:rsidR="004F7A18">
        <w:t xml:space="preserve">It follows that, apart from the need to address PIE’s procedural requirements, the burden of pleading on an applicant for an eviction order is now three-fold. The applicant must allege (1) ownership of the property (or control of it in the sense conveyed by the term “person-in-charge” in section 4 (1) of PIE); (2) unlawful occupation of the property; and (3) facts on which a just and equitable eviction order can be made. </w:t>
      </w:r>
    </w:p>
    <w:p w14:paraId="03A0F683" w14:textId="759FFA08" w:rsidR="00284CA0" w:rsidRDefault="00F91846" w:rsidP="00F91846">
      <w:pPr>
        <w:pStyle w:val="Paragraph12pt"/>
        <w:tabs>
          <w:tab w:val="left" w:pos="851"/>
        </w:tabs>
        <w:ind w:left="851" w:hanging="851"/>
      </w:pPr>
      <w:r>
        <w:rPr>
          <w:rFonts w:cs="Arial"/>
          <w:color w:val="000000"/>
          <w:szCs w:val="24"/>
        </w:rPr>
        <w:t>21</w:t>
      </w:r>
      <w:r>
        <w:rPr>
          <w:rFonts w:cs="Arial"/>
          <w:color w:val="000000"/>
          <w:szCs w:val="24"/>
        </w:rPr>
        <w:tab/>
      </w:r>
      <w:r w:rsidR="00284CA0">
        <w:t>It may be that</w:t>
      </w:r>
      <w:r w:rsidR="004F7A18">
        <w:t xml:space="preserve"> these facts are not available to the applicant and it would be unreasonable to put the applicant to the trouble of obtaining them</w:t>
      </w:r>
      <w:r w:rsidR="00284CA0">
        <w:t>. In that event, there is no reason why the applicant themselves should not procure</w:t>
      </w:r>
      <w:r w:rsidR="004F7A18">
        <w:t xml:space="preserve"> a local authority’s report to provide a basis on which the court can exercise its equitable jurisdiction, having regard to the principles I have set out.</w:t>
      </w:r>
      <w:r w:rsidR="00284CA0">
        <w:t xml:space="preserve"> </w:t>
      </w:r>
    </w:p>
    <w:p w14:paraId="35801EDB" w14:textId="52BB4702" w:rsidR="002530D5" w:rsidRDefault="00F91846" w:rsidP="00F91846">
      <w:pPr>
        <w:pStyle w:val="Paragraph12pt"/>
        <w:tabs>
          <w:tab w:val="left" w:pos="851"/>
        </w:tabs>
        <w:ind w:left="851" w:hanging="851"/>
      </w:pPr>
      <w:r>
        <w:rPr>
          <w:rFonts w:cs="Arial"/>
          <w:color w:val="000000"/>
          <w:szCs w:val="24"/>
        </w:rPr>
        <w:lastRenderedPageBreak/>
        <w:t>22</w:t>
      </w:r>
      <w:r>
        <w:rPr>
          <w:rFonts w:cs="Arial"/>
          <w:color w:val="000000"/>
          <w:szCs w:val="24"/>
        </w:rPr>
        <w:tab/>
      </w:r>
      <w:r w:rsidR="002B31C3">
        <w:t>In</w:t>
      </w:r>
      <w:r w:rsidR="00AF0D39">
        <w:t xml:space="preserve"> both matters</w:t>
      </w:r>
      <w:r w:rsidR="004F7A18">
        <w:t xml:space="preserve"> currently before me</w:t>
      </w:r>
      <w:r w:rsidR="00AF0D39">
        <w:t>,</w:t>
      </w:r>
      <w:r w:rsidR="004F7A18">
        <w:t xml:space="preserve"> however,</w:t>
      </w:r>
      <w:r w:rsidR="00AF0D39">
        <w:t xml:space="preserve"> the applicants and the respondents are embedded </w:t>
      </w:r>
      <w:r w:rsidR="002530D5">
        <w:t>in long-</w:t>
      </w:r>
      <w:r w:rsidR="00AF0D39">
        <w:t>standing relationships.</w:t>
      </w:r>
      <w:r w:rsidR="002B31C3">
        <w:t xml:space="preserve"> I</w:t>
      </w:r>
      <w:r w:rsidR="002530D5">
        <w:t>t is inconceivable that the applicants could have had any trouble in providing the facts on which I would have been able to exercise my equitable jurisdiction.</w:t>
      </w:r>
      <w:r w:rsidR="00284CA0">
        <w:t xml:space="preserve"> But n</w:t>
      </w:r>
      <w:r w:rsidR="002530D5">
        <w:t>either applicant has</w:t>
      </w:r>
      <w:r w:rsidR="00284CA0">
        <w:t xml:space="preserve"> ultimately</w:t>
      </w:r>
      <w:r w:rsidR="002530D5">
        <w:t xml:space="preserve"> done so. </w:t>
      </w:r>
    </w:p>
    <w:p w14:paraId="79EB4851" w14:textId="214679BD" w:rsidR="002530D5" w:rsidRPr="002B31C3" w:rsidRDefault="002530D5" w:rsidP="002530D5">
      <w:pPr>
        <w:pStyle w:val="Paragraph12pt"/>
        <w:rPr>
          <w:bCs/>
          <w:u w:val="single"/>
        </w:rPr>
      </w:pPr>
      <w:r w:rsidRPr="002B31C3">
        <w:rPr>
          <w:bCs/>
          <w:u w:val="single"/>
        </w:rPr>
        <w:t xml:space="preserve">The </w:t>
      </w:r>
      <w:proofErr w:type="spellStart"/>
      <w:r w:rsidRPr="002B31C3">
        <w:rPr>
          <w:bCs/>
          <w:u w:val="single"/>
        </w:rPr>
        <w:t>Madulammoho</w:t>
      </w:r>
      <w:proofErr w:type="spellEnd"/>
      <w:r w:rsidRPr="002B31C3">
        <w:rPr>
          <w:bCs/>
          <w:u w:val="single"/>
        </w:rPr>
        <w:t xml:space="preserve"> case</w:t>
      </w:r>
    </w:p>
    <w:p w14:paraId="2C364856" w14:textId="40568864" w:rsidR="00C44369" w:rsidRDefault="00F91846" w:rsidP="00F91846">
      <w:pPr>
        <w:pStyle w:val="Paragraph12pt"/>
        <w:tabs>
          <w:tab w:val="left" w:pos="851"/>
        </w:tabs>
        <w:ind w:left="851" w:hanging="851"/>
      </w:pPr>
      <w:r>
        <w:rPr>
          <w:rFonts w:cs="Arial"/>
          <w:color w:val="000000"/>
          <w:szCs w:val="24"/>
        </w:rPr>
        <w:t>23</w:t>
      </w:r>
      <w:r>
        <w:rPr>
          <w:rFonts w:cs="Arial"/>
          <w:color w:val="000000"/>
          <w:szCs w:val="24"/>
        </w:rPr>
        <w:tab/>
      </w:r>
      <w:r w:rsidR="002530D5">
        <w:t xml:space="preserve">In the </w:t>
      </w:r>
      <w:proofErr w:type="spellStart"/>
      <w:r w:rsidR="002530D5">
        <w:t>Madulammoho</w:t>
      </w:r>
      <w:proofErr w:type="spellEnd"/>
      <w:r w:rsidR="002530D5">
        <w:t xml:space="preserve"> case, the applicant limited itself to alleging Mr. </w:t>
      </w:r>
      <w:proofErr w:type="spellStart"/>
      <w:r w:rsidR="002530D5">
        <w:t>Nephawe’s</w:t>
      </w:r>
      <w:proofErr w:type="spellEnd"/>
      <w:r w:rsidR="002530D5">
        <w:t xml:space="preserve"> breach of his lease, and the valid cancellation of that lease. I</w:t>
      </w:r>
      <w:r w:rsidR="00C44369">
        <w:t>t stated</w:t>
      </w:r>
      <w:r w:rsidR="00720919">
        <w:t xml:space="preserve"> that</w:t>
      </w:r>
      <w:r w:rsidR="00C44369">
        <w:t>, other than his sex, his identity number, and his occupation of one of its units, Mr</w:t>
      </w:r>
      <w:r w:rsidR="000705DE">
        <w:t>.</w:t>
      </w:r>
      <w:r w:rsidR="00C44369">
        <w:t xml:space="preserve"> </w:t>
      </w:r>
      <w:proofErr w:type="spellStart"/>
      <w:r w:rsidR="00C44369">
        <w:t>Nephawe’s</w:t>
      </w:r>
      <w:proofErr w:type="spellEnd"/>
      <w:r w:rsidR="00C44369">
        <w:t xml:space="preserve"> further details were unknown. That obviously cannot be taken at face value. A social housing provider will be aware of a range of facts and circumstances relevant to whether an eviction would be just and equitable. In particular, a social housing provider will likely have, or easily be able to obtain, important information about an unlawful occupier’s means and ability to afford alternative accommodation. </w:t>
      </w:r>
    </w:p>
    <w:p w14:paraId="20FCD672" w14:textId="772778E9" w:rsidR="00C44369" w:rsidRDefault="00F91846" w:rsidP="00F91846">
      <w:pPr>
        <w:pStyle w:val="Paragraph12pt"/>
        <w:tabs>
          <w:tab w:val="left" w:pos="851"/>
        </w:tabs>
        <w:ind w:left="851" w:hanging="851"/>
      </w:pPr>
      <w:r>
        <w:rPr>
          <w:rFonts w:cs="Arial"/>
          <w:color w:val="000000"/>
          <w:szCs w:val="24"/>
        </w:rPr>
        <w:t>24</w:t>
      </w:r>
      <w:r>
        <w:rPr>
          <w:rFonts w:cs="Arial"/>
          <w:color w:val="000000"/>
          <w:szCs w:val="24"/>
        </w:rPr>
        <w:tab/>
      </w:r>
      <w:r w:rsidR="00C44369">
        <w:t xml:space="preserve">These details are critical, especially where Mr. </w:t>
      </w:r>
      <w:proofErr w:type="spellStart"/>
      <w:r w:rsidR="00C44369">
        <w:t>Nephawe</w:t>
      </w:r>
      <w:proofErr w:type="spellEnd"/>
      <w:r w:rsidR="00C44369">
        <w:t xml:space="preserve"> appears to have taken occupation of his unit precisely because he was poor and vulnerable. His lease</w:t>
      </w:r>
      <w:r w:rsidR="002B31C3">
        <w:t xml:space="preserve"> also</w:t>
      </w:r>
      <w:r w:rsidR="00C44369">
        <w:t xml:space="preserve"> indicates the possibility that his unit was constructed with the assistance of a state housing subsidy. In these circumstances, </w:t>
      </w:r>
      <w:proofErr w:type="spellStart"/>
      <w:r w:rsidR="00C44369">
        <w:t>Madulammoho</w:t>
      </w:r>
      <w:proofErr w:type="spellEnd"/>
      <w:r w:rsidR="00C44369">
        <w:t xml:space="preserve"> very likely had more relevant information </w:t>
      </w:r>
      <w:r w:rsidR="002B31C3">
        <w:t>within its grasp</w:t>
      </w:r>
      <w:r w:rsidR="00C44369">
        <w:t xml:space="preserve"> than it disclosed in its </w:t>
      </w:r>
      <w:r w:rsidR="002B31C3">
        <w:t>founding papers</w:t>
      </w:r>
      <w:r w:rsidR="00C44369">
        <w:t xml:space="preserve">. </w:t>
      </w:r>
    </w:p>
    <w:p w14:paraId="295F6CD1" w14:textId="112FF06E" w:rsidR="00AF0D39" w:rsidRDefault="00F91846" w:rsidP="00F91846">
      <w:pPr>
        <w:pStyle w:val="Paragraph12pt"/>
        <w:tabs>
          <w:tab w:val="left" w:pos="851"/>
        </w:tabs>
        <w:ind w:left="851" w:hanging="851"/>
      </w:pPr>
      <w:r>
        <w:rPr>
          <w:rFonts w:cs="Arial"/>
          <w:color w:val="000000"/>
          <w:szCs w:val="24"/>
        </w:rPr>
        <w:t>25</w:t>
      </w:r>
      <w:r>
        <w:rPr>
          <w:rFonts w:cs="Arial"/>
          <w:color w:val="000000"/>
          <w:szCs w:val="24"/>
        </w:rPr>
        <w:tab/>
      </w:r>
      <w:r w:rsidR="00C44369">
        <w:t xml:space="preserve">My principal concern on reading the papers was that Mr. </w:t>
      </w:r>
      <w:proofErr w:type="spellStart"/>
      <w:r w:rsidR="00C44369">
        <w:t>Nephawe</w:t>
      </w:r>
      <w:proofErr w:type="spellEnd"/>
      <w:r w:rsidR="00C44369">
        <w:t xml:space="preserve"> was (a) plainly not a recalcitrant tenant, in that he had, on </w:t>
      </w:r>
      <w:proofErr w:type="spellStart"/>
      <w:r w:rsidR="00C44369">
        <w:t>Madulammoho’s</w:t>
      </w:r>
      <w:proofErr w:type="spellEnd"/>
      <w:r w:rsidR="00C44369">
        <w:t xml:space="preserve"> own documents, been making payments in reduction of his arrears, and (b) if </w:t>
      </w:r>
      <w:r w:rsidR="000705DE">
        <w:t xml:space="preserve">Mr. </w:t>
      </w:r>
      <w:proofErr w:type="spellStart"/>
      <w:r w:rsidR="000705DE">
        <w:lastRenderedPageBreak/>
        <w:t>Nephawe</w:t>
      </w:r>
      <w:proofErr w:type="spellEnd"/>
      <w:r w:rsidR="00C44369">
        <w:t xml:space="preserve"> could </w:t>
      </w:r>
      <w:r w:rsidR="00692466">
        <w:t xml:space="preserve">genuinely </w:t>
      </w:r>
      <w:r w:rsidR="00C44369">
        <w:t xml:space="preserve">no longer afford to live at </w:t>
      </w:r>
      <w:proofErr w:type="spellStart"/>
      <w:r w:rsidR="00C44369">
        <w:t>Fle</w:t>
      </w:r>
      <w:r w:rsidR="00C02208">
        <w:t>u</w:t>
      </w:r>
      <w:r w:rsidR="00C44369">
        <w:t>rhof</w:t>
      </w:r>
      <w:proofErr w:type="spellEnd"/>
      <w:r w:rsidR="00C44369">
        <w:t xml:space="preserve"> View – itself a low-cost housing development – there was a strong possibility that he faced homelessness on eviction. When I put these difficulties to </w:t>
      </w:r>
      <w:proofErr w:type="spellStart"/>
      <w:r w:rsidR="00C44369">
        <w:t>Madulammoho’s</w:t>
      </w:r>
      <w:proofErr w:type="spellEnd"/>
      <w:r w:rsidR="00C44369">
        <w:t xml:space="preserve"> counsel, she was understandably constrained by the paucity of the information on the affidavits. </w:t>
      </w:r>
    </w:p>
    <w:p w14:paraId="4262E901" w14:textId="0279AEB4" w:rsidR="00692466" w:rsidRDefault="00F91846" w:rsidP="00F91846">
      <w:pPr>
        <w:pStyle w:val="Paragraph12pt"/>
        <w:tabs>
          <w:tab w:val="left" w:pos="851"/>
        </w:tabs>
        <w:ind w:left="851" w:hanging="851"/>
      </w:pPr>
      <w:r>
        <w:rPr>
          <w:rFonts w:cs="Arial"/>
          <w:color w:val="000000"/>
          <w:szCs w:val="24"/>
        </w:rPr>
        <w:t>26</w:t>
      </w:r>
      <w:r>
        <w:rPr>
          <w:rFonts w:cs="Arial"/>
          <w:color w:val="000000"/>
          <w:szCs w:val="24"/>
        </w:rPr>
        <w:tab/>
      </w:r>
      <w:r w:rsidR="002B31C3">
        <w:t>My</w:t>
      </w:r>
      <w:r w:rsidR="00077E4D">
        <w:t xml:space="preserve"> concerns were borne out by what happened after I reserved judgment. The next morning, Mr. </w:t>
      </w:r>
      <w:proofErr w:type="spellStart"/>
      <w:r w:rsidR="00077E4D">
        <w:t>Nephawe</w:t>
      </w:r>
      <w:proofErr w:type="spellEnd"/>
      <w:r w:rsidR="00077E4D">
        <w:t xml:space="preserve"> extinguished his arrears, and the eviction application was withdrawn. </w:t>
      </w:r>
      <w:r w:rsidR="00692466">
        <w:t xml:space="preserve">The notice of withdrawal was </w:t>
      </w:r>
      <w:r w:rsidR="00474471">
        <w:t>invalid</w:t>
      </w:r>
      <w:r w:rsidR="00692466">
        <w:t xml:space="preserve">, as it was filed without my leave and in the absence of evidence of either of the respondents’ consent (see </w:t>
      </w:r>
      <w:r w:rsidR="00692466" w:rsidRPr="00474471">
        <w:rPr>
          <w:i/>
        </w:rPr>
        <w:t xml:space="preserve">Protea Assurance Co Ltd v </w:t>
      </w:r>
      <w:proofErr w:type="spellStart"/>
      <w:r w:rsidR="00692466" w:rsidRPr="00474471">
        <w:rPr>
          <w:i/>
        </w:rPr>
        <w:t>Gamlase</w:t>
      </w:r>
      <w:proofErr w:type="spellEnd"/>
      <w:r w:rsidR="00692466">
        <w:t xml:space="preserve"> </w:t>
      </w:r>
      <w:r w:rsidR="00474471">
        <w:t>1971 (1) SA 460 (E) at 465G)</w:t>
      </w:r>
      <w:r w:rsidR="00692466">
        <w:t xml:space="preserve">. </w:t>
      </w:r>
    </w:p>
    <w:p w14:paraId="63F575DA" w14:textId="2DC89144" w:rsidR="00E12F28" w:rsidRDefault="00F91846" w:rsidP="00F91846">
      <w:pPr>
        <w:pStyle w:val="Paragraph12pt"/>
        <w:tabs>
          <w:tab w:val="left" w:pos="851"/>
        </w:tabs>
        <w:ind w:left="851" w:hanging="851"/>
      </w:pPr>
      <w:r>
        <w:rPr>
          <w:rFonts w:cs="Arial"/>
          <w:color w:val="000000"/>
          <w:szCs w:val="24"/>
        </w:rPr>
        <w:t>27</w:t>
      </w:r>
      <w:r>
        <w:rPr>
          <w:rFonts w:cs="Arial"/>
          <w:color w:val="000000"/>
          <w:szCs w:val="24"/>
        </w:rPr>
        <w:tab/>
      </w:r>
      <w:r w:rsidR="00692466">
        <w:t xml:space="preserve">Mr. </w:t>
      </w:r>
      <w:proofErr w:type="spellStart"/>
      <w:r w:rsidR="00692466">
        <w:t>Nephawe’s</w:t>
      </w:r>
      <w:proofErr w:type="spellEnd"/>
      <w:r w:rsidR="00692466">
        <w:t xml:space="preserve"> payment nonetheless</w:t>
      </w:r>
      <w:r w:rsidR="00077E4D">
        <w:t xml:space="preserve"> rendered the m</w:t>
      </w:r>
      <w:r w:rsidR="00692466">
        <w:t xml:space="preserve">atter moot. But </w:t>
      </w:r>
      <w:r w:rsidR="00077E4D">
        <w:t>I indicated that I would deliver judgment</w:t>
      </w:r>
      <w:r w:rsidR="00692466">
        <w:t xml:space="preserve"> in any event</w:t>
      </w:r>
      <w:r w:rsidR="00077E4D">
        <w:t>. In doing so, I exercised my discretion to decide a matter that has become moot where it is in the interests of justice to do so (</w:t>
      </w:r>
      <w:proofErr w:type="spellStart"/>
      <w:r w:rsidR="00077E4D" w:rsidRPr="00077E4D">
        <w:rPr>
          <w:i/>
        </w:rPr>
        <w:t>Sebola</w:t>
      </w:r>
      <w:proofErr w:type="spellEnd"/>
      <w:r w:rsidR="00077E4D" w:rsidRPr="00077E4D">
        <w:rPr>
          <w:i/>
        </w:rPr>
        <w:t xml:space="preserve"> v Standard Bank of South Africa</w:t>
      </w:r>
      <w:r w:rsidR="00077E4D">
        <w:t xml:space="preserve"> </w:t>
      </w:r>
      <w:r w:rsidR="00077E4D" w:rsidRPr="00077E4D">
        <w:t>2012 (5) SA 142 (CC)</w:t>
      </w:r>
      <w:r w:rsidR="00077E4D">
        <w:t xml:space="preserve">, paragraph 32). </w:t>
      </w:r>
      <w:r w:rsidR="009026AD">
        <w:t>Because of the fundamental misunderstanding of PIE’s substantive requirements to which I have already referred,</w:t>
      </w:r>
      <w:r w:rsidR="00077E4D">
        <w:t xml:space="preserve"> it is </w:t>
      </w:r>
      <w:r w:rsidR="009026AD">
        <w:t xml:space="preserve">plainly </w:t>
      </w:r>
      <w:r w:rsidR="00077E4D">
        <w:t xml:space="preserve">in the interests of justice to decide the issues arising in the </w:t>
      </w:r>
      <w:proofErr w:type="spellStart"/>
      <w:r w:rsidR="00077E4D">
        <w:t>Madula</w:t>
      </w:r>
      <w:r w:rsidR="00692466">
        <w:t>m</w:t>
      </w:r>
      <w:r w:rsidR="00077E4D">
        <w:t>moho</w:t>
      </w:r>
      <w:proofErr w:type="spellEnd"/>
      <w:r w:rsidR="00077E4D">
        <w:t xml:space="preserve"> case. </w:t>
      </w:r>
    </w:p>
    <w:p w14:paraId="75A6BC2E" w14:textId="4C532BEA" w:rsidR="00077E4D" w:rsidRDefault="00F91846" w:rsidP="00F91846">
      <w:pPr>
        <w:pStyle w:val="Paragraph12pt"/>
        <w:tabs>
          <w:tab w:val="left" w:pos="851"/>
        </w:tabs>
        <w:ind w:left="851" w:hanging="851"/>
      </w:pPr>
      <w:r>
        <w:rPr>
          <w:rFonts w:cs="Arial"/>
          <w:color w:val="000000"/>
          <w:szCs w:val="24"/>
        </w:rPr>
        <w:t>28</w:t>
      </w:r>
      <w:r>
        <w:rPr>
          <w:rFonts w:cs="Arial"/>
          <w:color w:val="000000"/>
          <w:szCs w:val="24"/>
        </w:rPr>
        <w:tab/>
      </w:r>
      <w:r w:rsidR="00077E4D">
        <w:t xml:space="preserve">Had Mr. </w:t>
      </w:r>
      <w:proofErr w:type="spellStart"/>
      <w:r w:rsidR="00077E4D">
        <w:t>Nephawe</w:t>
      </w:r>
      <w:proofErr w:type="spellEnd"/>
      <w:r w:rsidR="00077E4D">
        <w:t xml:space="preserve"> not paid his arrears, I would have directed the applicants to file an affidavit addressing the obscurities I have outlined. I would also have directed the City of Johannesburg to file a report dealing with </w:t>
      </w:r>
      <w:r w:rsidR="002B31C3">
        <w:t xml:space="preserve">Mr. </w:t>
      </w:r>
      <w:proofErr w:type="spellStart"/>
      <w:r w:rsidR="002B31C3">
        <w:t>Nephawe’s</w:t>
      </w:r>
      <w:proofErr w:type="spellEnd"/>
      <w:r w:rsidR="00692466">
        <w:t xml:space="preserve"> ability to afford alternative accommodation, and the City’s capacity to provide it. </w:t>
      </w:r>
    </w:p>
    <w:p w14:paraId="69DB3A12" w14:textId="3AEDB55B" w:rsidR="000705DE" w:rsidRPr="000705DE" w:rsidRDefault="00F91846" w:rsidP="00F91846">
      <w:pPr>
        <w:pStyle w:val="Paragraph12pt"/>
        <w:tabs>
          <w:tab w:val="left" w:pos="851"/>
        </w:tabs>
        <w:ind w:left="851" w:hanging="851"/>
      </w:pPr>
      <w:r w:rsidRPr="000705DE">
        <w:rPr>
          <w:rFonts w:cs="Arial"/>
          <w:color w:val="000000"/>
          <w:szCs w:val="24"/>
        </w:rPr>
        <w:lastRenderedPageBreak/>
        <w:t>29</w:t>
      </w:r>
      <w:r w:rsidRPr="000705DE">
        <w:rPr>
          <w:rFonts w:cs="Arial"/>
          <w:color w:val="000000"/>
          <w:szCs w:val="24"/>
        </w:rPr>
        <w:tab/>
      </w:r>
      <w:r w:rsidR="001640B9">
        <w:t>N</w:t>
      </w:r>
      <w:r w:rsidR="00692466">
        <w:t xml:space="preserve">one of those orders </w:t>
      </w:r>
      <w:r w:rsidR="001640B9">
        <w:t>is now</w:t>
      </w:r>
      <w:r w:rsidR="00692466">
        <w:t xml:space="preserve"> necessary.</w:t>
      </w:r>
      <w:r w:rsidR="000705DE">
        <w:t xml:space="preserve"> Nevertheless, </w:t>
      </w:r>
      <w:proofErr w:type="spellStart"/>
      <w:r w:rsidR="000705DE">
        <w:t>Madulammoho</w:t>
      </w:r>
      <w:proofErr w:type="spellEnd"/>
      <w:r w:rsidR="000705DE">
        <w:t xml:space="preserve"> failed to discharge its onus to demonstrate that Mr. </w:t>
      </w:r>
      <w:proofErr w:type="spellStart"/>
      <w:r w:rsidR="000705DE">
        <w:t>Nephawe’s</w:t>
      </w:r>
      <w:proofErr w:type="spellEnd"/>
      <w:r w:rsidR="000705DE">
        <w:t xml:space="preserve"> eviction would be just and equitable.</w:t>
      </w:r>
      <w:r w:rsidR="00692466">
        <w:t xml:space="preserve"> </w:t>
      </w:r>
      <w:r w:rsidR="000705DE">
        <w:t>For that reason, the</w:t>
      </w:r>
      <w:r w:rsidR="00692466">
        <w:t xml:space="preserve"> application will be dismissed</w:t>
      </w:r>
      <w:r w:rsidR="000705DE">
        <w:t>. Since the matter was called in unopposed court, there is no reason to make a</w:t>
      </w:r>
      <w:r w:rsidR="00C02208">
        <w:t xml:space="preserve"> </w:t>
      </w:r>
      <w:r w:rsidR="000705DE">
        <w:t xml:space="preserve">costs order against </w:t>
      </w:r>
      <w:proofErr w:type="spellStart"/>
      <w:r w:rsidR="000705DE">
        <w:t>Madulammoho</w:t>
      </w:r>
      <w:proofErr w:type="spellEnd"/>
      <w:r w:rsidR="000705DE">
        <w:t>.</w:t>
      </w:r>
      <w:r w:rsidR="00692466">
        <w:t xml:space="preserve"> </w:t>
      </w:r>
      <w:r w:rsidR="000705DE">
        <w:t>E</w:t>
      </w:r>
      <w:r w:rsidR="00692466">
        <w:t xml:space="preserve">ach party </w:t>
      </w:r>
      <w:r w:rsidR="000705DE">
        <w:t>will pay</w:t>
      </w:r>
      <w:r w:rsidR="00692466">
        <w:t xml:space="preserve"> their own costs.</w:t>
      </w:r>
    </w:p>
    <w:p w14:paraId="73C5FC3D" w14:textId="2EAE2557" w:rsidR="00692466" w:rsidRPr="00692466" w:rsidRDefault="00692466" w:rsidP="00692466">
      <w:pPr>
        <w:pStyle w:val="Paragraph12pt"/>
        <w:rPr>
          <w:b/>
        </w:rPr>
      </w:pPr>
      <w:r w:rsidRPr="00692466">
        <w:rPr>
          <w:b/>
        </w:rPr>
        <w:t>The FHS case</w:t>
      </w:r>
    </w:p>
    <w:p w14:paraId="47E7CFD5" w14:textId="5C40BF09" w:rsidR="00E12F28" w:rsidRDefault="00F91846" w:rsidP="00F91846">
      <w:pPr>
        <w:pStyle w:val="Paragraph12pt"/>
        <w:tabs>
          <w:tab w:val="left" w:pos="851"/>
        </w:tabs>
        <w:ind w:left="851" w:hanging="851"/>
      </w:pPr>
      <w:r>
        <w:rPr>
          <w:rFonts w:cs="Arial"/>
          <w:color w:val="000000"/>
          <w:szCs w:val="24"/>
        </w:rPr>
        <w:t>30</w:t>
      </w:r>
      <w:r>
        <w:rPr>
          <w:rFonts w:cs="Arial"/>
          <w:color w:val="000000"/>
          <w:szCs w:val="24"/>
        </w:rPr>
        <w:tab/>
      </w:r>
      <w:r w:rsidR="00AB60DA">
        <w:t xml:space="preserve">The FHS case is more complex. There are two principal </w:t>
      </w:r>
      <w:r w:rsidR="000776D4">
        <w:t>obscurities to be explored before just and equitable relief can be granted</w:t>
      </w:r>
      <w:r w:rsidR="00AB60DA">
        <w:t xml:space="preserve">. The first is the fate of the arrangement through which Mr. </w:t>
      </w:r>
      <w:proofErr w:type="spellStart"/>
      <w:r w:rsidR="00AB60DA">
        <w:t>Lukhanya</w:t>
      </w:r>
      <w:proofErr w:type="spellEnd"/>
      <w:r w:rsidR="00AB60DA">
        <w:t xml:space="preserve"> was supposed to have </w:t>
      </w:r>
      <w:r w:rsidR="00BE053E">
        <w:t xml:space="preserve">been able to take ownership of his home. The second relates to the numbers and circumstances of those in occupation of the property. </w:t>
      </w:r>
    </w:p>
    <w:p w14:paraId="47ADBC88" w14:textId="1AA58DE1" w:rsidR="00692466" w:rsidRDefault="00F91846" w:rsidP="00F91846">
      <w:pPr>
        <w:pStyle w:val="Paragraph12pt"/>
        <w:tabs>
          <w:tab w:val="left" w:pos="851"/>
        </w:tabs>
        <w:ind w:left="851" w:hanging="851"/>
      </w:pPr>
      <w:r>
        <w:rPr>
          <w:rFonts w:cs="Arial"/>
          <w:color w:val="000000"/>
          <w:szCs w:val="24"/>
        </w:rPr>
        <w:t>31</w:t>
      </w:r>
      <w:r>
        <w:rPr>
          <w:rFonts w:cs="Arial"/>
          <w:color w:val="000000"/>
          <w:szCs w:val="24"/>
        </w:rPr>
        <w:tab/>
      </w:r>
      <w:r w:rsidR="00BE053E">
        <w:t xml:space="preserve">It was initially submitted on the applicant’s behalf that there was no-one other than Mr. </w:t>
      </w:r>
      <w:proofErr w:type="spellStart"/>
      <w:r w:rsidR="00BE053E">
        <w:t>Lukhanya</w:t>
      </w:r>
      <w:proofErr w:type="spellEnd"/>
      <w:r w:rsidR="00BE053E">
        <w:t xml:space="preserve"> and his family in occupation of the property. But Mr. </w:t>
      </w:r>
      <w:proofErr w:type="spellStart"/>
      <w:r w:rsidR="00BE053E">
        <w:t>Lukhanya</w:t>
      </w:r>
      <w:proofErr w:type="spellEnd"/>
      <w:r w:rsidR="00BE053E">
        <w:t xml:space="preserve">, who appeared in person, states that there are a significant number of people living in backyard rooms on the property. </w:t>
      </w:r>
    </w:p>
    <w:p w14:paraId="2D213E6E" w14:textId="3CFB9590" w:rsidR="00BE053E" w:rsidRDefault="00F91846" w:rsidP="00F91846">
      <w:pPr>
        <w:pStyle w:val="Paragraph12pt"/>
        <w:tabs>
          <w:tab w:val="left" w:pos="851"/>
        </w:tabs>
        <w:ind w:left="851" w:hanging="851"/>
      </w:pPr>
      <w:r>
        <w:rPr>
          <w:rFonts w:cs="Arial"/>
          <w:color w:val="000000"/>
          <w:szCs w:val="24"/>
        </w:rPr>
        <w:t>32</w:t>
      </w:r>
      <w:r>
        <w:rPr>
          <w:rFonts w:cs="Arial"/>
          <w:color w:val="000000"/>
          <w:szCs w:val="24"/>
        </w:rPr>
        <w:tab/>
      </w:r>
      <w:r w:rsidR="00BE053E">
        <w:t xml:space="preserve">In these circumstances, I am left with little option but to join the Provincial Department of Human Settlements to the proceedings, and to direct it and the third respondent, the Ekurhuleni Municipality, to file reports dealing with the </w:t>
      </w:r>
      <w:r w:rsidR="002B31C3">
        <w:t xml:space="preserve">relevant </w:t>
      </w:r>
      <w:r w:rsidR="00BE053E">
        <w:t>matters that lie with their p</w:t>
      </w:r>
      <w:r w:rsidR="005C0F84">
        <w:t xml:space="preserve">urview. When those reports are filed, I may be in a position to decide whether an eviction would be just and equitable, and, if so, on what terms. </w:t>
      </w:r>
    </w:p>
    <w:p w14:paraId="075DA026" w14:textId="72EC2DCF" w:rsidR="005C0F84" w:rsidRPr="005C0F84" w:rsidRDefault="005C0F84" w:rsidP="005C0F84">
      <w:pPr>
        <w:pStyle w:val="Paragraph12pt"/>
        <w:rPr>
          <w:b/>
        </w:rPr>
      </w:pPr>
      <w:r w:rsidRPr="005C0F84">
        <w:rPr>
          <w:b/>
        </w:rPr>
        <w:t>Order</w:t>
      </w:r>
    </w:p>
    <w:p w14:paraId="3BFACB4A" w14:textId="2D33F2EF" w:rsidR="001640B9" w:rsidRDefault="00F91846" w:rsidP="00F91846">
      <w:pPr>
        <w:pStyle w:val="Paragraph12pt"/>
        <w:tabs>
          <w:tab w:val="left" w:pos="851"/>
        </w:tabs>
        <w:ind w:left="851" w:hanging="851"/>
      </w:pPr>
      <w:r>
        <w:rPr>
          <w:rFonts w:cs="Arial"/>
          <w:color w:val="000000"/>
          <w:szCs w:val="24"/>
        </w:rPr>
        <w:t>33</w:t>
      </w:r>
      <w:r>
        <w:rPr>
          <w:rFonts w:cs="Arial"/>
          <w:color w:val="000000"/>
          <w:szCs w:val="24"/>
        </w:rPr>
        <w:tab/>
      </w:r>
      <w:r w:rsidR="005C0F84">
        <w:t xml:space="preserve">For all these reasons, I make the following orders. </w:t>
      </w:r>
    </w:p>
    <w:p w14:paraId="0239ABC3" w14:textId="71D5ABFD" w:rsidR="001640B9" w:rsidRDefault="00F91846" w:rsidP="00F91846">
      <w:pPr>
        <w:pStyle w:val="Paragraph12pt"/>
        <w:tabs>
          <w:tab w:val="left" w:pos="851"/>
        </w:tabs>
        <w:ind w:left="851" w:hanging="851"/>
      </w:pPr>
      <w:r>
        <w:rPr>
          <w:rFonts w:cs="Arial"/>
          <w:color w:val="000000"/>
          <w:szCs w:val="24"/>
        </w:rPr>
        <w:lastRenderedPageBreak/>
        <w:t>34</w:t>
      </w:r>
      <w:r>
        <w:rPr>
          <w:rFonts w:cs="Arial"/>
          <w:color w:val="000000"/>
          <w:szCs w:val="24"/>
        </w:rPr>
        <w:tab/>
      </w:r>
      <w:r w:rsidR="005C0F84" w:rsidRPr="001640B9">
        <w:rPr>
          <w:u w:val="single"/>
        </w:rPr>
        <w:t xml:space="preserve">In case number </w:t>
      </w:r>
      <w:r w:rsidR="005C0F84" w:rsidRPr="001640B9">
        <w:rPr>
          <w:rFonts w:cs="Arial"/>
          <w:u w:val="single"/>
          <w:lang w:val="en-US"/>
        </w:rPr>
        <w:t>22/023954</w:t>
      </w:r>
      <w:r w:rsidR="001640B9">
        <w:rPr>
          <w:rFonts w:cs="Arial"/>
          <w:lang w:val="en-US"/>
        </w:rPr>
        <w:t xml:space="preserve">, </w:t>
      </w:r>
      <w:r w:rsidR="001640B9">
        <w:t>t</w:t>
      </w:r>
      <w:r w:rsidR="005C0F84">
        <w:t xml:space="preserve">he application is dismissed, with each party paying their own costs. </w:t>
      </w:r>
    </w:p>
    <w:p w14:paraId="79E6EB05" w14:textId="1540CBC3" w:rsidR="005C0F84" w:rsidRDefault="00F91846" w:rsidP="00F91846">
      <w:pPr>
        <w:pStyle w:val="Paragraph12pt"/>
        <w:tabs>
          <w:tab w:val="left" w:pos="851"/>
        </w:tabs>
        <w:ind w:left="851" w:hanging="851"/>
      </w:pPr>
      <w:r>
        <w:rPr>
          <w:rFonts w:cs="Arial"/>
          <w:color w:val="000000"/>
          <w:szCs w:val="24"/>
        </w:rPr>
        <w:t>35</w:t>
      </w:r>
      <w:r>
        <w:rPr>
          <w:rFonts w:cs="Arial"/>
          <w:color w:val="000000"/>
          <w:szCs w:val="24"/>
        </w:rPr>
        <w:tab/>
      </w:r>
      <w:r w:rsidR="005C0F84" w:rsidRPr="001640B9">
        <w:rPr>
          <w:u w:val="single"/>
        </w:rPr>
        <w:t xml:space="preserve">In case number </w:t>
      </w:r>
      <w:r w:rsidR="005C0F84" w:rsidRPr="001640B9">
        <w:rPr>
          <w:bCs/>
          <w:u w:val="single"/>
        </w:rPr>
        <w:t>21/40262</w:t>
      </w:r>
      <w:r w:rsidR="001640B9" w:rsidRPr="001640B9">
        <w:rPr>
          <w:bCs/>
        </w:rPr>
        <w:t xml:space="preserve">, </w:t>
      </w:r>
      <w:r w:rsidR="001640B9">
        <w:t>t</w:t>
      </w:r>
      <w:r w:rsidR="005C0F84">
        <w:t xml:space="preserve">he Member of the Executive Council for Human Settlements (Gauteng) is joined as the fourth respondent in these proceedings. </w:t>
      </w:r>
    </w:p>
    <w:p w14:paraId="03674D0A" w14:textId="3FD97A97" w:rsidR="005C0F84" w:rsidRDefault="00F91846" w:rsidP="00F91846">
      <w:pPr>
        <w:pStyle w:val="Paragraph12pt"/>
        <w:tabs>
          <w:tab w:val="left" w:pos="851"/>
        </w:tabs>
        <w:ind w:left="851" w:hanging="851"/>
      </w:pPr>
      <w:r>
        <w:rPr>
          <w:rFonts w:cs="Arial"/>
          <w:color w:val="000000"/>
          <w:szCs w:val="24"/>
        </w:rPr>
        <w:t>36</w:t>
      </w:r>
      <w:r>
        <w:rPr>
          <w:rFonts w:cs="Arial"/>
          <w:color w:val="000000"/>
          <w:szCs w:val="24"/>
        </w:rPr>
        <w:tab/>
      </w:r>
      <w:r w:rsidR="005C0F84">
        <w:t>The MEC is directed to file a report, under oath, by no later than 28 February 2023, dealing with the following issues –</w:t>
      </w:r>
    </w:p>
    <w:p w14:paraId="2D5C22A6" w14:textId="1304F28B" w:rsidR="005C0F84" w:rsidRDefault="00F91846" w:rsidP="00F91846">
      <w:pPr>
        <w:pStyle w:val="Paragraph12pt"/>
        <w:tabs>
          <w:tab w:val="left" w:pos="1814"/>
        </w:tabs>
        <w:ind w:left="1814" w:hanging="963"/>
      </w:pPr>
      <w:r>
        <w:t>36.1</w:t>
      </w:r>
      <w:r>
        <w:tab/>
      </w:r>
      <w:r w:rsidR="005C0F84">
        <w:t>The nature of the subsidy scheme applicable to the parties in this matter;</w:t>
      </w:r>
    </w:p>
    <w:p w14:paraId="7D6B3193" w14:textId="00C7FB6B" w:rsidR="005C0F84" w:rsidRDefault="00F91846" w:rsidP="00F91846">
      <w:pPr>
        <w:pStyle w:val="Paragraph12pt"/>
        <w:tabs>
          <w:tab w:val="left" w:pos="1814"/>
        </w:tabs>
        <w:ind w:left="1814" w:hanging="963"/>
      </w:pPr>
      <w:r>
        <w:t>36.2</w:t>
      </w:r>
      <w:r>
        <w:tab/>
      </w:r>
      <w:r w:rsidR="005C0F84">
        <w:t>Whether it is possible to arrange the purchase of</w:t>
      </w:r>
      <w:r w:rsidR="004E5AD3">
        <w:t xml:space="preserve"> ERF 1067 VOSLOORUS EXTENSION 14, GAUTENG</w:t>
      </w:r>
      <w:r w:rsidR="005C0F84">
        <w:t xml:space="preserve"> </w:t>
      </w:r>
      <w:r w:rsidR="004E5AD3">
        <w:t>(“</w:t>
      </w:r>
      <w:r w:rsidR="005C0F84">
        <w:t>the property</w:t>
      </w:r>
      <w:r w:rsidR="004E5AD3">
        <w:t>”)</w:t>
      </w:r>
      <w:r w:rsidR="005C0F84">
        <w:t xml:space="preserve"> for the benefit of the first respondent using that subsidy scheme, or any other applicable scheme; and </w:t>
      </w:r>
    </w:p>
    <w:p w14:paraId="007F7186" w14:textId="3BDBF80E" w:rsidR="005C0F84" w:rsidRDefault="00F91846" w:rsidP="00F91846">
      <w:pPr>
        <w:pStyle w:val="Paragraph12pt"/>
        <w:tabs>
          <w:tab w:val="left" w:pos="1814"/>
        </w:tabs>
        <w:ind w:left="1814" w:hanging="963"/>
      </w:pPr>
      <w:r>
        <w:t>36.3</w:t>
      </w:r>
      <w:r>
        <w:tab/>
      </w:r>
      <w:r w:rsidR="005C0F84">
        <w:t xml:space="preserve">Any other information the Department of Human Settlements has under its control relating to the purchase agreement concluded between the parties, and the role of the Department in implementing that agreement. </w:t>
      </w:r>
    </w:p>
    <w:p w14:paraId="40FBB27E" w14:textId="20962A28" w:rsidR="005C0F84" w:rsidRDefault="00F91846" w:rsidP="00F91846">
      <w:pPr>
        <w:pStyle w:val="Paragraph12pt"/>
        <w:tabs>
          <w:tab w:val="left" w:pos="851"/>
        </w:tabs>
        <w:ind w:left="851" w:hanging="851"/>
      </w:pPr>
      <w:r>
        <w:rPr>
          <w:rFonts w:cs="Arial"/>
          <w:color w:val="000000"/>
          <w:szCs w:val="24"/>
        </w:rPr>
        <w:t>37</w:t>
      </w:r>
      <w:r>
        <w:rPr>
          <w:rFonts w:cs="Arial"/>
          <w:color w:val="000000"/>
          <w:szCs w:val="24"/>
        </w:rPr>
        <w:tab/>
      </w:r>
      <w:r w:rsidR="005C0F84">
        <w:t xml:space="preserve">The third respondent is directed to file a report, under oath, </w:t>
      </w:r>
      <w:r w:rsidR="002B31C3">
        <w:t xml:space="preserve">by no later than 28 February 2023 </w:t>
      </w:r>
      <w:r w:rsidR="005C0F84">
        <w:t xml:space="preserve">dealing with the following issues – </w:t>
      </w:r>
    </w:p>
    <w:p w14:paraId="319F385F" w14:textId="40C354BA" w:rsidR="005C0F84" w:rsidRDefault="00F91846" w:rsidP="00F91846">
      <w:pPr>
        <w:pStyle w:val="Paragraph12pt"/>
        <w:tabs>
          <w:tab w:val="left" w:pos="1814"/>
        </w:tabs>
        <w:ind w:left="1814" w:hanging="963"/>
      </w:pPr>
      <w:r>
        <w:t>37.1</w:t>
      </w:r>
      <w:r>
        <w:tab/>
      </w:r>
      <w:r w:rsidR="005C0F84">
        <w:t>The number and circumstances of the occupiers of the property;</w:t>
      </w:r>
    </w:p>
    <w:p w14:paraId="0E998C37" w14:textId="65FD4816" w:rsidR="005C0F84" w:rsidRDefault="00F91846" w:rsidP="00F91846">
      <w:pPr>
        <w:pStyle w:val="Paragraph12pt"/>
        <w:tabs>
          <w:tab w:val="left" w:pos="1814"/>
        </w:tabs>
        <w:ind w:left="1814" w:hanging="963"/>
      </w:pPr>
      <w:r>
        <w:t>37.2</w:t>
      </w:r>
      <w:r>
        <w:tab/>
      </w:r>
      <w:r w:rsidR="005C0F84">
        <w:t>The occupiers’ ability to afford alternative accommodation;</w:t>
      </w:r>
    </w:p>
    <w:p w14:paraId="233611B8" w14:textId="6F3F2F0F" w:rsidR="005C0F84" w:rsidRDefault="00F91846" w:rsidP="00F91846">
      <w:pPr>
        <w:pStyle w:val="Paragraph12pt"/>
        <w:tabs>
          <w:tab w:val="left" w:pos="1814"/>
        </w:tabs>
        <w:ind w:left="1814" w:hanging="963"/>
      </w:pPr>
      <w:r>
        <w:lastRenderedPageBreak/>
        <w:t>37.3</w:t>
      </w:r>
      <w:r>
        <w:tab/>
      </w:r>
      <w:r w:rsidR="005C0F84">
        <w:t>Whether the eviction of anyone in occupation of the property would lead to homelessness; and</w:t>
      </w:r>
    </w:p>
    <w:p w14:paraId="173EA888" w14:textId="0498A6AF" w:rsidR="005C0F84" w:rsidRDefault="00F91846" w:rsidP="00F91846">
      <w:pPr>
        <w:pStyle w:val="Paragraph12pt"/>
        <w:tabs>
          <w:tab w:val="left" w:pos="1814"/>
        </w:tabs>
        <w:ind w:left="1814" w:hanging="963"/>
      </w:pPr>
      <w:r>
        <w:t>37.4</w:t>
      </w:r>
      <w:r>
        <w:tab/>
      </w:r>
      <w:r w:rsidR="005C0F84">
        <w:t xml:space="preserve">What steps the third respondent will take to provide alternative accommodation, and when those steps will be taken. </w:t>
      </w:r>
    </w:p>
    <w:p w14:paraId="2640EE4B" w14:textId="6F3CA526" w:rsidR="004E5AD3" w:rsidRDefault="00F91846" w:rsidP="00F91846">
      <w:pPr>
        <w:pStyle w:val="Paragraph12pt"/>
        <w:tabs>
          <w:tab w:val="left" w:pos="851"/>
        </w:tabs>
        <w:ind w:left="851" w:hanging="851"/>
      </w:pPr>
      <w:r>
        <w:rPr>
          <w:rFonts w:cs="Arial"/>
          <w:color w:val="000000"/>
          <w:szCs w:val="24"/>
        </w:rPr>
        <w:t>38</w:t>
      </w:r>
      <w:r>
        <w:rPr>
          <w:rFonts w:cs="Arial"/>
          <w:color w:val="000000"/>
          <w:szCs w:val="24"/>
        </w:rPr>
        <w:tab/>
      </w:r>
      <w:r w:rsidR="005C0F84">
        <w:t>The applicant is directed</w:t>
      </w:r>
      <w:r w:rsidR="004E5AD3">
        <w:t>, by no later than 20 January 2023,</w:t>
      </w:r>
      <w:r w:rsidR="005C0F84">
        <w:t xml:space="preserve"> to serve a copy of this judgment on</w:t>
      </w:r>
      <w:r w:rsidR="004E5AD3">
        <w:t xml:space="preserve"> the following persons, and to draw their attention to the contents of this order</w:t>
      </w:r>
      <w:r w:rsidR="005C0F84">
        <w:t xml:space="preserve"> </w:t>
      </w:r>
      <w:r w:rsidR="004E5AD3">
        <w:t>–</w:t>
      </w:r>
    </w:p>
    <w:p w14:paraId="23DB4944" w14:textId="2974570F" w:rsidR="004E5AD3" w:rsidRDefault="00F91846" w:rsidP="00F91846">
      <w:pPr>
        <w:pStyle w:val="Paragraph12pt"/>
        <w:tabs>
          <w:tab w:val="left" w:pos="1814"/>
        </w:tabs>
        <w:ind w:left="1814" w:hanging="963"/>
      </w:pPr>
      <w:r>
        <w:t>38.1</w:t>
      </w:r>
      <w:r>
        <w:tab/>
      </w:r>
      <w:r w:rsidR="004E5AD3">
        <w:t xml:space="preserve">The </w:t>
      </w:r>
      <w:r w:rsidR="002B31C3">
        <w:t>first and second respondents</w:t>
      </w:r>
      <w:r w:rsidR="004E5AD3">
        <w:t>;</w:t>
      </w:r>
    </w:p>
    <w:p w14:paraId="0239BA74" w14:textId="6CF5B6D7" w:rsidR="004E5AD3" w:rsidRDefault="00F91846" w:rsidP="00F91846">
      <w:pPr>
        <w:pStyle w:val="Paragraph12pt"/>
        <w:tabs>
          <w:tab w:val="left" w:pos="1814"/>
        </w:tabs>
        <w:ind w:left="1814" w:hanging="963"/>
      </w:pPr>
      <w:r>
        <w:t>38.2</w:t>
      </w:r>
      <w:r>
        <w:tab/>
      </w:r>
      <w:r w:rsidR="004E5AD3">
        <w:t>The MEC for Human Settlements (Gauteng);</w:t>
      </w:r>
    </w:p>
    <w:p w14:paraId="25969E10" w14:textId="54055E0B" w:rsidR="004E5AD3" w:rsidRDefault="00F91846" w:rsidP="00F91846">
      <w:pPr>
        <w:pStyle w:val="Paragraph12pt"/>
        <w:tabs>
          <w:tab w:val="left" w:pos="1814"/>
        </w:tabs>
        <w:ind w:left="1814" w:hanging="963"/>
      </w:pPr>
      <w:r>
        <w:t>38.3</w:t>
      </w:r>
      <w:r>
        <w:tab/>
      </w:r>
      <w:r w:rsidR="004E5AD3">
        <w:t>The State Attorney</w:t>
      </w:r>
      <w:r w:rsidR="002B31C3">
        <w:t>; and</w:t>
      </w:r>
    </w:p>
    <w:p w14:paraId="4AF08CFB" w14:textId="44B7A36D" w:rsidR="004E5AD3" w:rsidRDefault="00F91846" w:rsidP="00F91846">
      <w:pPr>
        <w:pStyle w:val="Paragraph12pt"/>
        <w:tabs>
          <w:tab w:val="left" w:pos="1814"/>
        </w:tabs>
        <w:ind w:left="1814" w:hanging="963"/>
      </w:pPr>
      <w:r>
        <w:t>38.4</w:t>
      </w:r>
      <w:r>
        <w:tab/>
      </w:r>
      <w:r w:rsidR="004E5AD3">
        <w:t xml:space="preserve">The third respondent. </w:t>
      </w:r>
    </w:p>
    <w:p w14:paraId="4A5CED50" w14:textId="6F7DB5E2" w:rsidR="004E5AD3" w:rsidRDefault="00F91846" w:rsidP="00F91846">
      <w:pPr>
        <w:pStyle w:val="Paragraph12pt"/>
        <w:tabs>
          <w:tab w:val="left" w:pos="851"/>
        </w:tabs>
        <w:ind w:left="851" w:hanging="851"/>
      </w:pPr>
      <w:r>
        <w:rPr>
          <w:rFonts w:cs="Arial"/>
          <w:color w:val="000000"/>
          <w:szCs w:val="24"/>
        </w:rPr>
        <w:t>39</w:t>
      </w:r>
      <w:r>
        <w:rPr>
          <w:rFonts w:cs="Arial"/>
          <w:color w:val="000000"/>
          <w:szCs w:val="24"/>
        </w:rPr>
        <w:tab/>
      </w:r>
      <w:r w:rsidR="004E5AD3">
        <w:t>The matter will remain with Wilson J, who will supervise the matter until it is finally determined. The applica</w:t>
      </w:r>
      <w:r w:rsidR="007123E0">
        <w:t>nt may</w:t>
      </w:r>
      <w:r w:rsidR="004E5AD3">
        <w:t>, at any time after 1 March 2023, have the matter re-enrolled before Wilson J</w:t>
      </w:r>
      <w:r w:rsidR="007123E0">
        <w:t>, having given all the other parties ten days’ notice of the re-enrolment</w:t>
      </w:r>
      <w:r w:rsidR="000776D4">
        <w:t>, for such further relief as may then be appropriate</w:t>
      </w:r>
      <w:r w:rsidR="007123E0">
        <w:t xml:space="preserve">. </w:t>
      </w:r>
    </w:p>
    <w:p w14:paraId="7D8BD533" w14:textId="0F634C95" w:rsidR="004E5AD3" w:rsidRDefault="00F91846" w:rsidP="00F91846">
      <w:pPr>
        <w:pStyle w:val="Paragraph12pt"/>
        <w:tabs>
          <w:tab w:val="left" w:pos="851"/>
        </w:tabs>
        <w:spacing w:after="0"/>
        <w:ind w:left="851" w:hanging="851"/>
      </w:pPr>
      <w:r>
        <w:rPr>
          <w:rFonts w:cs="Arial"/>
          <w:color w:val="000000"/>
          <w:szCs w:val="24"/>
        </w:rPr>
        <w:t>40</w:t>
      </w:r>
      <w:r>
        <w:rPr>
          <w:rFonts w:cs="Arial"/>
          <w:color w:val="000000"/>
          <w:szCs w:val="24"/>
        </w:rPr>
        <w:tab/>
      </w:r>
      <w:r w:rsidR="004E5AD3">
        <w:t>The question of costs is reserved.</w:t>
      </w:r>
    </w:p>
    <w:p w14:paraId="238273DE" w14:textId="5A76AFAF" w:rsidR="007F48CC" w:rsidRDefault="007F48CC" w:rsidP="001640B9">
      <w:pPr>
        <w:pStyle w:val="Paragraph12pt"/>
        <w:spacing w:after="0"/>
        <w:ind w:left="851"/>
        <w:jc w:val="right"/>
        <w:rPr>
          <w:noProof/>
          <w:lang w:eastAsia="en-ZA"/>
        </w:rPr>
      </w:pPr>
    </w:p>
    <w:p w14:paraId="02CF1230" w14:textId="02D56479" w:rsidR="002159C4" w:rsidRDefault="002159C4" w:rsidP="001640B9">
      <w:pPr>
        <w:pStyle w:val="Paragraph12pt"/>
        <w:spacing w:after="0"/>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547A96F1" w:rsidR="004F6A2D" w:rsidRDefault="007F48CC" w:rsidP="00394CE7">
      <w:pPr>
        <w:pStyle w:val="Paragraph12pt"/>
        <w:spacing w:after="0" w:line="240" w:lineRule="auto"/>
        <w:ind w:left="851" w:firstLine="589"/>
        <w:jc w:val="right"/>
      </w:pPr>
      <w:r>
        <w:t>Judge of the High Court</w:t>
      </w:r>
    </w:p>
    <w:p w14:paraId="471838F4" w14:textId="77777777" w:rsidR="002A30D3" w:rsidRDefault="002A30D3" w:rsidP="004F6A2D">
      <w:pPr>
        <w:pStyle w:val="Paragraph12pt"/>
        <w:spacing w:after="0" w:line="240" w:lineRule="auto"/>
        <w:ind w:left="3600" w:hanging="3600"/>
        <w:jc w:val="left"/>
      </w:pPr>
    </w:p>
    <w:p w14:paraId="21605095" w14:textId="5E100A3B" w:rsidR="000315F7" w:rsidRDefault="0051403A" w:rsidP="00617BAC">
      <w:pPr>
        <w:pStyle w:val="Paragraph12pt"/>
        <w:spacing w:after="0" w:line="240" w:lineRule="auto"/>
        <w:jc w:val="left"/>
      </w:pPr>
      <w:r>
        <w:t>HEARD ON:</w:t>
      </w:r>
      <w:r>
        <w:tab/>
      </w:r>
      <w:r w:rsidR="000E6377">
        <w:tab/>
      </w:r>
      <w:r w:rsidR="000E6377">
        <w:tab/>
      </w:r>
      <w:r w:rsidR="00617BAC">
        <w:tab/>
      </w:r>
      <w:r w:rsidR="00617BAC">
        <w:tab/>
      </w:r>
      <w:r w:rsidR="00617BAC">
        <w:tab/>
      </w:r>
      <w:r w:rsidR="00490D02">
        <w:t>29</w:t>
      </w:r>
      <w:r w:rsidR="002367E2">
        <w:t xml:space="preserve"> </w:t>
      </w:r>
      <w:r w:rsidR="00A54164">
        <w:t>November</w:t>
      </w:r>
      <w:r w:rsidR="0094521E">
        <w:t xml:space="preserve"> </w:t>
      </w:r>
      <w:r w:rsidR="00490D02">
        <w:t xml:space="preserve">and 1 December </w:t>
      </w:r>
      <w:r w:rsidR="0094521E">
        <w:t>2022</w:t>
      </w:r>
    </w:p>
    <w:p w14:paraId="43FBA835" w14:textId="2870D4AB" w:rsidR="000E6377" w:rsidRDefault="000E6377" w:rsidP="004F6A2D">
      <w:pPr>
        <w:pStyle w:val="Paragraph12pt"/>
        <w:spacing w:after="0" w:line="240" w:lineRule="auto"/>
        <w:ind w:left="3600" w:hanging="3600"/>
        <w:jc w:val="left"/>
      </w:pPr>
    </w:p>
    <w:p w14:paraId="0B9B6EAE" w14:textId="58719869" w:rsidR="000E6377" w:rsidRDefault="00A12390" w:rsidP="004F6A2D">
      <w:pPr>
        <w:pStyle w:val="Paragraph12pt"/>
        <w:spacing w:after="0" w:line="240" w:lineRule="auto"/>
        <w:ind w:left="3600" w:hanging="3600"/>
        <w:jc w:val="left"/>
      </w:pPr>
      <w:r>
        <w:lastRenderedPageBreak/>
        <w:t>DECIDED ON:</w:t>
      </w:r>
      <w:r>
        <w:tab/>
      </w:r>
      <w:r w:rsidR="000E6377">
        <w:tab/>
      </w:r>
      <w:r>
        <w:tab/>
      </w:r>
      <w:r w:rsidR="00DB3A5B">
        <w:t>10</w:t>
      </w:r>
      <w:r w:rsidR="000E6377">
        <w:t xml:space="preserve"> </w:t>
      </w:r>
      <w:r w:rsidR="002367E2">
        <w:t>January</w:t>
      </w:r>
      <w:r w:rsidR="000E6377">
        <w:t xml:space="preserve"> 202</w:t>
      </w:r>
      <w:r w:rsidR="002367E2">
        <w:t>3</w:t>
      </w:r>
    </w:p>
    <w:p w14:paraId="4D7570D5" w14:textId="2D768A59" w:rsidR="00A15B8D" w:rsidRDefault="00A15B8D" w:rsidP="00A31389">
      <w:pPr>
        <w:pStyle w:val="Paragraph12pt"/>
        <w:spacing w:after="0" w:line="240" w:lineRule="auto"/>
        <w:jc w:val="left"/>
      </w:pPr>
    </w:p>
    <w:p w14:paraId="621D480D" w14:textId="35934DFC" w:rsidR="00A54164" w:rsidRDefault="0051403A" w:rsidP="002367E2">
      <w:pPr>
        <w:pStyle w:val="Paragraph12pt"/>
        <w:spacing w:after="0" w:line="240" w:lineRule="auto"/>
        <w:jc w:val="left"/>
      </w:pPr>
      <w:r>
        <w:t>For the</w:t>
      </w:r>
      <w:r w:rsidR="00226B2D">
        <w:t xml:space="preserve"> </w:t>
      </w:r>
      <w:r w:rsidR="00A54164">
        <w:t>Applicant</w:t>
      </w:r>
      <w:r w:rsidR="00490D02">
        <w:t xml:space="preserve"> in case no. 023954</w:t>
      </w:r>
      <w:r>
        <w:t xml:space="preserve">: </w:t>
      </w:r>
      <w:r>
        <w:tab/>
      </w:r>
      <w:r>
        <w:tab/>
      </w:r>
      <w:r w:rsidR="00490D02">
        <w:t>A Kohler</w:t>
      </w:r>
    </w:p>
    <w:p w14:paraId="253BCC30" w14:textId="30981A68" w:rsidR="00A31389" w:rsidRDefault="0051403A" w:rsidP="000E6377">
      <w:pPr>
        <w:pStyle w:val="Paragraph12pt"/>
        <w:spacing w:after="0" w:line="240" w:lineRule="auto"/>
        <w:ind w:left="5040"/>
        <w:jc w:val="left"/>
        <w:rPr>
          <w:lang w:val="en-GB"/>
        </w:rPr>
      </w:pPr>
      <w:r>
        <w:t xml:space="preserve">Instructed by </w:t>
      </w:r>
      <w:proofErr w:type="spellStart"/>
      <w:r w:rsidR="00490D02">
        <w:t>Vermaak</w:t>
      </w:r>
      <w:proofErr w:type="spellEnd"/>
      <w:r w:rsidR="00490D02">
        <w:t xml:space="preserve"> Marshall </w:t>
      </w:r>
      <w:proofErr w:type="spellStart"/>
      <w:r w:rsidR="00490D02">
        <w:t>Wellbeloved</w:t>
      </w:r>
      <w:proofErr w:type="spellEnd"/>
      <w:r w:rsidR="00490D02">
        <w:t xml:space="preserve"> Inc</w:t>
      </w:r>
    </w:p>
    <w:p w14:paraId="41BD4642" w14:textId="77777777" w:rsidR="00335B03" w:rsidRDefault="00335B03" w:rsidP="00A31389">
      <w:pPr>
        <w:pStyle w:val="Paragraph12pt"/>
        <w:spacing w:after="0" w:line="240" w:lineRule="auto"/>
        <w:jc w:val="left"/>
      </w:pPr>
    </w:p>
    <w:p w14:paraId="66BA4503" w14:textId="56070967" w:rsidR="002367E2" w:rsidRDefault="0051403A" w:rsidP="00290C1B">
      <w:pPr>
        <w:pStyle w:val="Paragraph12pt"/>
        <w:spacing w:after="0" w:line="240" w:lineRule="auto"/>
        <w:ind w:left="3600" w:hanging="3600"/>
        <w:jc w:val="left"/>
      </w:pPr>
      <w:r>
        <w:t>For the</w:t>
      </w:r>
      <w:r w:rsidR="00490D02">
        <w:t xml:space="preserve"> Applicant in case no. 40262:</w:t>
      </w:r>
      <w:r w:rsidR="00490D02">
        <w:tab/>
      </w:r>
      <w:r w:rsidR="00490D02">
        <w:tab/>
        <w:t>T Manda</w:t>
      </w:r>
    </w:p>
    <w:p w14:paraId="6C4A1856" w14:textId="0F3B698A" w:rsidR="00DF66A7" w:rsidRDefault="00025BD3" w:rsidP="00DF66A7">
      <w:pPr>
        <w:pStyle w:val="Paragraph12pt"/>
        <w:spacing w:after="0" w:line="240" w:lineRule="auto"/>
        <w:ind w:left="5040" w:hanging="5040"/>
        <w:jc w:val="left"/>
      </w:pPr>
      <w:r>
        <w:tab/>
      </w:r>
      <w:r w:rsidR="00DF66A7">
        <w:t xml:space="preserve">Instructed by </w:t>
      </w:r>
      <w:r w:rsidR="00490D02">
        <w:t xml:space="preserve">M </w:t>
      </w:r>
      <w:proofErr w:type="spellStart"/>
      <w:r w:rsidR="00490D02">
        <w:t>Ngomane</w:t>
      </w:r>
      <w:proofErr w:type="spellEnd"/>
      <w:r w:rsidR="00490D02">
        <w:t xml:space="preserve"> Attorneys</w:t>
      </w:r>
    </w:p>
    <w:p w14:paraId="7D66B08B" w14:textId="3C54FD76" w:rsidR="00490D02" w:rsidRDefault="00490D02" w:rsidP="00DF66A7">
      <w:pPr>
        <w:pStyle w:val="Paragraph12pt"/>
        <w:spacing w:after="0" w:line="240" w:lineRule="auto"/>
        <w:ind w:left="5040" w:hanging="5040"/>
        <w:jc w:val="left"/>
      </w:pPr>
    </w:p>
    <w:p w14:paraId="50C4DCA9" w14:textId="77777777" w:rsidR="00490D02" w:rsidRDefault="00490D02" w:rsidP="00DF66A7">
      <w:pPr>
        <w:pStyle w:val="Paragraph12pt"/>
        <w:spacing w:after="0" w:line="240" w:lineRule="auto"/>
        <w:ind w:left="5040" w:hanging="5040"/>
        <w:jc w:val="left"/>
      </w:pPr>
      <w:r>
        <w:t xml:space="preserve">For the First and Second Respondents </w:t>
      </w:r>
    </w:p>
    <w:p w14:paraId="238C711C" w14:textId="612CF689" w:rsidR="00490D02" w:rsidRDefault="00490D02" w:rsidP="00DF66A7">
      <w:pPr>
        <w:pStyle w:val="Paragraph12pt"/>
        <w:spacing w:after="0" w:line="240" w:lineRule="auto"/>
        <w:ind w:left="5040" w:hanging="5040"/>
        <w:jc w:val="left"/>
      </w:pPr>
      <w:r>
        <w:t>in case no. 40262:</w:t>
      </w:r>
      <w:r>
        <w:tab/>
        <w:t>In person</w:t>
      </w:r>
    </w:p>
    <w:p w14:paraId="22FA96F5" w14:textId="7194856A" w:rsidR="00754D03" w:rsidRDefault="00754D03" w:rsidP="00290C1B">
      <w:pPr>
        <w:pStyle w:val="Paragraph12pt"/>
        <w:spacing w:after="0" w:line="240" w:lineRule="auto"/>
        <w:ind w:left="3600" w:hanging="3600"/>
        <w:jc w:val="left"/>
      </w:pPr>
    </w:p>
    <w:sectPr w:rsidR="00754D0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0514" w14:textId="77777777" w:rsidR="00143A78" w:rsidRDefault="00143A78" w:rsidP="00023136">
      <w:r>
        <w:separator/>
      </w:r>
    </w:p>
  </w:endnote>
  <w:endnote w:type="continuationSeparator" w:id="0">
    <w:p w14:paraId="2506D97A" w14:textId="77777777" w:rsidR="00143A78" w:rsidRDefault="00143A78"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113542AF" w:rsidR="00AB60DA" w:rsidRPr="00E34C05" w:rsidRDefault="00AB60DA">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2159C4">
          <w:rPr>
            <w:noProof/>
            <w:sz w:val="24"/>
            <w:szCs w:val="24"/>
          </w:rPr>
          <w:t>15</w:t>
        </w:r>
        <w:r w:rsidRPr="00E34C05">
          <w:rPr>
            <w:noProof/>
            <w:sz w:val="24"/>
            <w:szCs w:val="24"/>
          </w:rPr>
          <w:fldChar w:fldCharType="end"/>
        </w:r>
      </w:p>
    </w:sdtContent>
  </w:sdt>
  <w:p w14:paraId="2DCAAB9C" w14:textId="77777777" w:rsidR="00AB60DA" w:rsidRDefault="00AB60D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5E25" w14:textId="77777777" w:rsidR="00143A78" w:rsidRDefault="00143A78" w:rsidP="00023136">
      <w:r>
        <w:separator/>
      </w:r>
    </w:p>
  </w:footnote>
  <w:footnote w:type="continuationSeparator" w:id="0">
    <w:p w14:paraId="71316465" w14:textId="77777777" w:rsidR="00143A78" w:rsidRDefault="00143A78"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5A653FB"/>
    <w:multiLevelType w:val="multilevel"/>
    <w:tmpl w:val="2E56221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6187890">
    <w:abstractNumId w:val="15"/>
  </w:num>
  <w:num w:numId="2" w16cid:durableId="85545585">
    <w:abstractNumId w:val="8"/>
  </w:num>
  <w:num w:numId="3" w16cid:durableId="142939262">
    <w:abstractNumId w:val="14"/>
  </w:num>
  <w:num w:numId="4" w16cid:durableId="2001083616">
    <w:abstractNumId w:val="10"/>
  </w:num>
  <w:num w:numId="5" w16cid:durableId="1356538973">
    <w:abstractNumId w:val="31"/>
  </w:num>
  <w:num w:numId="6" w16cid:durableId="1678923243">
    <w:abstractNumId w:val="18"/>
  </w:num>
  <w:num w:numId="7" w16cid:durableId="151260703">
    <w:abstractNumId w:val="21"/>
  </w:num>
  <w:num w:numId="8" w16cid:durableId="1174221960">
    <w:abstractNumId w:val="3"/>
  </w:num>
  <w:num w:numId="9" w16cid:durableId="623737141">
    <w:abstractNumId w:val="19"/>
  </w:num>
  <w:num w:numId="10" w16cid:durableId="75441779">
    <w:abstractNumId w:val="27"/>
  </w:num>
  <w:num w:numId="11" w16cid:durableId="2083136707">
    <w:abstractNumId w:val="32"/>
  </w:num>
  <w:num w:numId="12" w16cid:durableId="24673955">
    <w:abstractNumId w:val="23"/>
  </w:num>
  <w:num w:numId="13" w16cid:durableId="1629890866">
    <w:abstractNumId w:val="26"/>
  </w:num>
  <w:num w:numId="14" w16cid:durableId="161744421">
    <w:abstractNumId w:val="38"/>
  </w:num>
  <w:num w:numId="15" w16cid:durableId="1557353252">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689328125">
    <w:abstractNumId w:val="29"/>
  </w:num>
  <w:num w:numId="17" w16cid:durableId="53893863">
    <w:abstractNumId w:val="33"/>
  </w:num>
  <w:num w:numId="18" w16cid:durableId="1559048010">
    <w:abstractNumId w:val="17"/>
  </w:num>
  <w:num w:numId="19" w16cid:durableId="1314064326">
    <w:abstractNumId w:val="37"/>
  </w:num>
  <w:num w:numId="20" w16cid:durableId="1667125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8831096">
    <w:abstractNumId w:val="28"/>
  </w:num>
  <w:num w:numId="22" w16cid:durableId="696780241">
    <w:abstractNumId w:val="16"/>
  </w:num>
  <w:num w:numId="23" w16cid:durableId="2022968317">
    <w:abstractNumId w:val="11"/>
  </w:num>
  <w:num w:numId="24" w16cid:durableId="20215901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2110900">
    <w:abstractNumId w:val="4"/>
  </w:num>
  <w:num w:numId="26" w16cid:durableId="1320380515">
    <w:abstractNumId w:val="20"/>
  </w:num>
  <w:num w:numId="27" w16cid:durableId="1296057353">
    <w:abstractNumId w:val="0"/>
  </w:num>
  <w:num w:numId="28" w16cid:durableId="1099370845">
    <w:abstractNumId w:val="2"/>
  </w:num>
  <w:num w:numId="29" w16cid:durableId="9612329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4780049">
    <w:abstractNumId w:val="25"/>
  </w:num>
  <w:num w:numId="31" w16cid:durableId="1145008239">
    <w:abstractNumId w:val="35"/>
  </w:num>
  <w:num w:numId="32" w16cid:durableId="483009890">
    <w:abstractNumId w:val="34"/>
  </w:num>
  <w:num w:numId="33" w16cid:durableId="228000603">
    <w:abstractNumId w:val="24"/>
  </w:num>
  <w:num w:numId="34" w16cid:durableId="769207334">
    <w:abstractNumId w:val="5"/>
  </w:num>
  <w:num w:numId="35" w16cid:durableId="1090469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3443906">
    <w:abstractNumId w:val="9"/>
  </w:num>
  <w:num w:numId="37" w16cid:durableId="21053858">
    <w:abstractNumId w:val="22"/>
  </w:num>
  <w:num w:numId="38" w16cid:durableId="363336361">
    <w:abstractNumId w:val="12"/>
  </w:num>
  <w:num w:numId="39" w16cid:durableId="1803424865">
    <w:abstractNumId w:val="36"/>
  </w:num>
  <w:num w:numId="40" w16cid:durableId="2102985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B01"/>
    <w:rsid w:val="00003764"/>
    <w:rsid w:val="00003E89"/>
    <w:rsid w:val="00005573"/>
    <w:rsid w:val="00005831"/>
    <w:rsid w:val="00005987"/>
    <w:rsid w:val="00005F56"/>
    <w:rsid w:val="00006BB5"/>
    <w:rsid w:val="0000741E"/>
    <w:rsid w:val="000078CF"/>
    <w:rsid w:val="00007909"/>
    <w:rsid w:val="000102A8"/>
    <w:rsid w:val="00010977"/>
    <w:rsid w:val="0001207E"/>
    <w:rsid w:val="000142F6"/>
    <w:rsid w:val="000175D2"/>
    <w:rsid w:val="00021557"/>
    <w:rsid w:val="000225ED"/>
    <w:rsid w:val="000227EB"/>
    <w:rsid w:val="00022A59"/>
    <w:rsid w:val="00023136"/>
    <w:rsid w:val="000242E6"/>
    <w:rsid w:val="00025BD3"/>
    <w:rsid w:val="00025CAF"/>
    <w:rsid w:val="00026AB9"/>
    <w:rsid w:val="000271F7"/>
    <w:rsid w:val="00030255"/>
    <w:rsid w:val="000315F7"/>
    <w:rsid w:val="00032CF6"/>
    <w:rsid w:val="00032FF8"/>
    <w:rsid w:val="00035D43"/>
    <w:rsid w:val="00037B84"/>
    <w:rsid w:val="000419C2"/>
    <w:rsid w:val="000420E9"/>
    <w:rsid w:val="000438D7"/>
    <w:rsid w:val="00044F81"/>
    <w:rsid w:val="00047647"/>
    <w:rsid w:val="000528BA"/>
    <w:rsid w:val="00053C2B"/>
    <w:rsid w:val="00054B4E"/>
    <w:rsid w:val="00055586"/>
    <w:rsid w:val="000559FB"/>
    <w:rsid w:val="00057B4E"/>
    <w:rsid w:val="000607DF"/>
    <w:rsid w:val="000610BF"/>
    <w:rsid w:val="00061450"/>
    <w:rsid w:val="000649FE"/>
    <w:rsid w:val="00070230"/>
    <w:rsid w:val="000705DE"/>
    <w:rsid w:val="00070D0E"/>
    <w:rsid w:val="000739D3"/>
    <w:rsid w:val="00073EA4"/>
    <w:rsid w:val="000776D4"/>
    <w:rsid w:val="00077E4D"/>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3B3D"/>
    <w:rsid w:val="000A5D41"/>
    <w:rsid w:val="000A63B7"/>
    <w:rsid w:val="000A6CCE"/>
    <w:rsid w:val="000A7A01"/>
    <w:rsid w:val="000A7E6C"/>
    <w:rsid w:val="000B0260"/>
    <w:rsid w:val="000B0F27"/>
    <w:rsid w:val="000B163E"/>
    <w:rsid w:val="000B1A09"/>
    <w:rsid w:val="000B433A"/>
    <w:rsid w:val="000C111B"/>
    <w:rsid w:val="000C2F6A"/>
    <w:rsid w:val="000C7667"/>
    <w:rsid w:val="000D1822"/>
    <w:rsid w:val="000D4AB1"/>
    <w:rsid w:val="000D54BF"/>
    <w:rsid w:val="000D716E"/>
    <w:rsid w:val="000E0266"/>
    <w:rsid w:val="000E0FCE"/>
    <w:rsid w:val="000E118F"/>
    <w:rsid w:val="000E222D"/>
    <w:rsid w:val="000E2B7C"/>
    <w:rsid w:val="000E3412"/>
    <w:rsid w:val="000E5685"/>
    <w:rsid w:val="000E6377"/>
    <w:rsid w:val="000F0300"/>
    <w:rsid w:val="000F0A27"/>
    <w:rsid w:val="000F12B6"/>
    <w:rsid w:val="000F1501"/>
    <w:rsid w:val="000F15C2"/>
    <w:rsid w:val="000F4D80"/>
    <w:rsid w:val="000F4FA4"/>
    <w:rsid w:val="00102D51"/>
    <w:rsid w:val="001049AD"/>
    <w:rsid w:val="001052DD"/>
    <w:rsid w:val="00105EBE"/>
    <w:rsid w:val="00112426"/>
    <w:rsid w:val="0011340A"/>
    <w:rsid w:val="00114215"/>
    <w:rsid w:val="00115770"/>
    <w:rsid w:val="00115A83"/>
    <w:rsid w:val="00117216"/>
    <w:rsid w:val="00123BF9"/>
    <w:rsid w:val="00127B1D"/>
    <w:rsid w:val="00130083"/>
    <w:rsid w:val="00130EDB"/>
    <w:rsid w:val="0013238A"/>
    <w:rsid w:val="00132BB9"/>
    <w:rsid w:val="00135544"/>
    <w:rsid w:val="00135E43"/>
    <w:rsid w:val="00136040"/>
    <w:rsid w:val="00143A78"/>
    <w:rsid w:val="001446DD"/>
    <w:rsid w:val="00147A36"/>
    <w:rsid w:val="00147CF8"/>
    <w:rsid w:val="001505EB"/>
    <w:rsid w:val="0015187C"/>
    <w:rsid w:val="001544B0"/>
    <w:rsid w:val="00154598"/>
    <w:rsid w:val="00156C9A"/>
    <w:rsid w:val="00157307"/>
    <w:rsid w:val="00160B29"/>
    <w:rsid w:val="001625E9"/>
    <w:rsid w:val="001640B9"/>
    <w:rsid w:val="00167FFD"/>
    <w:rsid w:val="0017083E"/>
    <w:rsid w:val="00170977"/>
    <w:rsid w:val="0017523E"/>
    <w:rsid w:val="00177EE4"/>
    <w:rsid w:val="00181A11"/>
    <w:rsid w:val="00183089"/>
    <w:rsid w:val="00183346"/>
    <w:rsid w:val="00185028"/>
    <w:rsid w:val="00186FF2"/>
    <w:rsid w:val="0019057E"/>
    <w:rsid w:val="001930EF"/>
    <w:rsid w:val="00193C5C"/>
    <w:rsid w:val="001953D5"/>
    <w:rsid w:val="001A143C"/>
    <w:rsid w:val="001A462C"/>
    <w:rsid w:val="001A532C"/>
    <w:rsid w:val="001A5662"/>
    <w:rsid w:val="001A7A0F"/>
    <w:rsid w:val="001B011B"/>
    <w:rsid w:val="001B0CD4"/>
    <w:rsid w:val="001B270D"/>
    <w:rsid w:val="001B29BB"/>
    <w:rsid w:val="001B50EB"/>
    <w:rsid w:val="001B633D"/>
    <w:rsid w:val="001B63E9"/>
    <w:rsid w:val="001C007C"/>
    <w:rsid w:val="001C0737"/>
    <w:rsid w:val="001C2E44"/>
    <w:rsid w:val="001C4F4C"/>
    <w:rsid w:val="001C63A0"/>
    <w:rsid w:val="001D248E"/>
    <w:rsid w:val="001D2DAF"/>
    <w:rsid w:val="001D351D"/>
    <w:rsid w:val="001E0C36"/>
    <w:rsid w:val="001E1CC2"/>
    <w:rsid w:val="001E3C28"/>
    <w:rsid w:val="001E4400"/>
    <w:rsid w:val="001E4F79"/>
    <w:rsid w:val="001E699D"/>
    <w:rsid w:val="001E7CC4"/>
    <w:rsid w:val="001F2896"/>
    <w:rsid w:val="001F3A43"/>
    <w:rsid w:val="001F4C5D"/>
    <w:rsid w:val="001F6B3A"/>
    <w:rsid w:val="001F727F"/>
    <w:rsid w:val="001F799C"/>
    <w:rsid w:val="00204A99"/>
    <w:rsid w:val="002055DF"/>
    <w:rsid w:val="00207C68"/>
    <w:rsid w:val="002115E1"/>
    <w:rsid w:val="002115F6"/>
    <w:rsid w:val="002159C4"/>
    <w:rsid w:val="00215B41"/>
    <w:rsid w:val="0021646F"/>
    <w:rsid w:val="00217A4E"/>
    <w:rsid w:val="00220D67"/>
    <w:rsid w:val="0022152D"/>
    <w:rsid w:val="00222BFD"/>
    <w:rsid w:val="00224200"/>
    <w:rsid w:val="00225614"/>
    <w:rsid w:val="00225EF9"/>
    <w:rsid w:val="00226B2D"/>
    <w:rsid w:val="002367E2"/>
    <w:rsid w:val="002377F5"/>
    <w:rsid w:val="00237B58"/>
    <w:rsid w:val="002406F8"/>
    <w:rsid w:val="002420C3"/>
    <w:rsid w:val="00242C0C"/>
    <w:rsid w:val="00244DB2"/>
    <w:rsid w:val="002457FF"/>
    <w:rsid w:val="00251CBA"/>
    <w:rsid w:val="00251EA0"/>
    <w:rsid w:val="0025235A"/>
    <w:rsid w:val="002530D5"/>
    <w:rsid w:val="002539AA"/>
    <w:rsid w:val="00254775"/>
    <w:rsid w:val="00255A2A"/>
    <w:rsid w:val="002564F7"/>
    <w:rsid w:val="00257ED1"/>
    <w:rsid w:val="00261A49"/>
    <w:rsid w:val="00264A56"/>
    <w:rsid w:val="0026728E"/>
    <w:rsid w:val="002712C3"/>
    <w:rsid w:val="002737CF"/>
    <w:rsid w:val="002739CC"/>
    <w:rsid w:val="0027676E"/>
    <w:rsid w:val="002769E1"/>
    <w:rsid w:val="00277325"/>
    <w:rsid w:val="00281207"/>
    <w:rsid w:val="0028361E"/>
    <w:rsid w:val="00283BF6"/>
    <w:rsid w:val="00284CA0"/>
    <w:rsid w:val="00290C1B"/>
    <w:rsid w:val="00291174"/>
    <w:rsid w:val="00291B14"/>
    <w:rsid w:val="00291E28"/>
    <w:rsid w:val="00292C2F"/>
    <w:rsid w:val="00294B0B"/>
    <w:rsid w:val="00295341"/>
    <w:rsid w:val="00297A0D"/>
    <w:rsid w:val="00297B82"/>
    <w:rsid w:val="002A30D3"/>
    <w:rsid w:val="002A33F4"/>
    <w:rsid w:val="002A5C37"/>
    <w:rsid w:val="002A6607"/>
    <w:rsid w:val="002B021B"/>
    <w:rsid w:val="002B0351"/>
    <w:rsid w:val="002B30C6"/>
    <w:rsid w:val="002B31C3"/>
    <w:rsid w:val="002B4772"/>
    <w:rsid w:val="002B485D"/>
    <w:rsid w:val="002B4A76"/>
    <w:rsid w:val="002B6083"/>
    <w:rsid w:val="002B6DE9"/>
    <w:rsid w:val="002C0728"/>
    <w:rsid w:val="002C14FA"/>
    <w:rsid w:val="002C1A93"/>
    <w:rsid w:val="002C2A8D"/>
    <w:rsid w:val="002C4999"/>
    <w:rsid w:val="002C52BE"/>
    <w:rsid w:val="002C58DD"/>
    <w:rsid w:val="002C66C5"/>
    <w:rsid w:val="002C6C6E"/>
    <w:rsid w:val="002D0141"/>
    <w:rsid w:val="002D4B37"/>
    <w:rsid w:val="002D5667"/>
    <w:rsid w:val="002D701F"/>
    <w:rsid w:val="002D7817"/>
    <w:rsid w:val="002E2969"/>
    <w:rsid w:val="002E3F36"/>
    <w:rsid w:val="002E3F5D"/>
    <w:rsid w:val="002E5C39"/>
    <w:rsid w:val="002E7E63"/>
    <w:rsid w:val="002F216B"/>
    <w:rsid w:val="002F229A"/>
    <w:rsid w:val="002F2C49"/>
    <w:rsid w:val="002F456D"/>
    <w:rsid w:val="002F529B"/>
    <w:rsid w:val="002F6526"/>
    <w:rsid w:val="002F7C18"/>
    <w:rsid w:val="00303B86"/>
    <w:rsid w:val="00303DB2"/>
    <w:rsid w:val="0030416C"/>
    <w:rsid w:val="0030418E"/>
    <w:rsid w:val="00305097"/>
    <w:rsid w:val="003052BE"/>
    <w:rsid w:val="00312F1C"/>
    <w:rsid w:val="0031632A"/>
    <w:rsid w:val="00321A27"/>
    <w:rsid w:val="00321A66"/>
    <w:rsid w:val="003239E3"/>
    <w:rsid w:val="003257D4"/>
    <w:rsid w:val="00330567"/>
    <w:rsid w:val="00335B03"/>
    <w:rsid w:val="00336589"/>
    <w:rsid w:val="00336644"/>
    <w:rsid w:val="00336EBA"/>
    <w:rsid w:val="00341C5D"/>
    <w:rsid w:val="003441A3"/>
    <w:rsid w:val="0034660F"/>
    <w:rsid w:val="00351249"/>
    <w:rsid w:val="00354471"/>
    <w:rsid w:val="00355802"/>
    <w:rsid w:val="00355CE6"/>
    <w:rsid w:val="00355D85"/>
    <w:rsid w:val="0035693B"/>
    <w:rsid w:val="00360569"/>
    <w:rsid w:val="003610CA"/>
    <w:rsid w:val="00361B23"/>
    <w:rsid w:val="00364F74"/>
    <w:rsid w:val="00366969"/>
    <w:rsid w:val="00371284"/>
    <w:rsid w:val="00371936"/>
    <w:rsid w:val="00372C1E"/>
    <w:rsid w:val="00375125"/>
    <w:rsid w:val="0037538A"/>
    <w:rsid w:val="00376473"/>
    <w:rsid w:val="00377ADF"/>
    <w:rsid w:val="00377BF0"/>
    <w:rsid w:val="00377C65"/>
    <w:rsid w:val="003811ED"/>
    <w:rsid w:val="003834BD"/>
    <w:rsid w:val="0038751A"/>
    <w:rsid w:val="00387983"/>
    <w:rsid w:val="003900FB"/>
    <w:rsid w:val="003908EC"/>
    <w:rsid w:val="00392DB5"/>
    <w:rsid w:val="00393310"/>
    <w:rsid w:val="00393838"/>
    <w:rsid w:val="00393CBA"/>
    <w:rsid w:val="00394CE7"/>
    <w:rsid w:val="003966CC"/>
    <w:rsid w:val="00396EED"/>
    <w:rsid w:val="00397185"/>
    <w:rsid w:val="003A017F"/>
    <w:rsid w:val="003A349E"/>
    <w:rsid w:val="003A6A44"/>
    <w:rsid w:val="003A6D47"/>
    <w:rsid w:val="003B2A56"/>
    <w:rsid w:val="003C0720"/>
    <w:rsid w:val="003C0ED3"/>
    <w:rsid w:val="003C499A"/>
    <w:rsid w:val="003C5B1A"/>
    <w:rsid w:val="003C5BCF"/>
    <w:rsid w:val="003C7F90"/>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25B7"/>
    <w:rsid w:val="00403723"/>
    <w:rsid w:val="004042FF"/>
    <w:rsid w:val="00405F9D"/>
    <w:rsid w:val="00407622"/>
    <w:rsid w:val="00413484"/>
    <w:rsid w:val="00421357"/>
    <w:rsid w:val="0042272B"/>
    <w:rsid w:val="00423481"/>
    <w:rsid w:val="00424137"/>
    <w:rsid w:val="004244E1"/>
    <w:rsid w:val="00437617"/>
    <w:rsid w:val="004405D8"/>
    <w:rsid w:val="00440BFC"/>
    <w:rsid w:val="004415B7"/>
    <w:rsid w:val="00442E62"/>
    <w:rsid w:val="00443B0E"/>
    <w:rsid w:val="00444593"/>
    <w:rsid w:val="00444CE8"/>
    <w:rsid w:val="00445BDD"/>
    <w:rsid w:val="00451E8D"/>
    <w:rsid w:val="00453B1F"/>
    <w:rsid w:val="00453DDF"/>
    <w:rsid w:val="00456455"/>
    <w:rsid w:val="00462885"/>
    <w:rsid w:val="0046498E"/>
    <w:rsid w:val="004701EE"/>
    <w:rsid w:val="00470703"/>
    <w:rsid w:val="004720E0"/>
    <w:rsid w:val="004728FC"/>
    <w:rsid w:val="00473C00"/>
    <w:rsid w:val="004740CD"/>
    <w:rsid w:val="00474471"/>
    <w:rsid w:val="00474D78"/>
    <w:rsid w:val="00475201"/>
    <w:rsid w:val="00476881"/>
    <w:rsid w:val="00476BC0"/>
    <w:rsid w:val="0048014C"/>
    <w:rsid w:val="00480AF8"/>
    <w:rsid w:val="00485754"/>
    <w:rsid w:val="00487B4A"/>
    <w:rsid w:val="00490D02"/>
    <w:rsid w:val="0049144C"/>
    <w:rsid w:val="004938A4"/>
    <w:rsid w:val="00493F3D"/>
    <w:rsid w:val="00494D5A"/>
    <w:rsid w:val="0049771D"/>
    <w:rsid w:val="00497AFE"/>
    <w:rsid w:val="004A105A"/>
    <w:rsid w:val="004A2C8C"/>
    <w:rsid w:val="004A3209"/>
    <w:rsid w:val="004A4575"/>
    <w:rsid w:val="004B0356"/>
    <w:rsid w:val="004B615F"/>
    <w:rsid w:val="004B631C"/>
    <w:rsid w:val="004B6C09"/>
    <w:rsid w:val="004B72E9"/>
    <w:rsid w:val="004C052C"/>
    <w:rsid w:val="004C0A7B"/>
    <w:rsid w:val="004C318D"/>
    <w:rsid w:val="004C7405"/>
    <w:rsid w:val="004D1C5B"/>
    <w:rsid w:val="004D54E7"/>
    <w:rsid w:val="004D56C0"/>
    <w:rsid w:val="004D7372"/>
    <w:rsid w:val="004E02F6"/>
    <w:rsid w:val="004E435D"/>
    <w:rsid w:val="004E4AF7"/>
    <w:rsid w:val="004E5AD3"/>
    <w:rsid w:val="004F17B7"/>
    <w:rsid w:val="004F1F85"/>
    <w:rsid w:val="004F2C17"/>
    <w:rsid w:val="004F351A"/>
    <w:rsid w:val="004F4F7E"/>
    <w:rsid w:val="004F5837"/>
    <w:rsid w:val="004F6614"/>
    <w:rsid w:val="004F6A2D"/>
    <w:rsid w:val="004F6B70"/>
    <w:rsid w:val="004F7A18"/>
    <w:rsid w:val="004F7B40"/>
    <w:rsid w:val="005000FC"/>
    <w:rsid w:val="0050027D"/>
    <w:rsid w:val="00503094"/>
    <w:rsid w:val="00505088"/>
    <w:rsid w:val="0051403A"/>
    <w:rsid w:val="00514AED"/>
    <w:rsid w:val="005152CE"/>
    <w:rsid w:val="0051578F"/>
    <w:rsid w:val="00515D76"/>
    <w:rsid w:val="00516025"/>
    <w:rsid w:val="005207AB"/>
    <w:rsid w:val="00520C15"/>
    <w:rsid w:val="005230A2"/>
    <w:rsid w:val="00523907"/>
    <w:rsid w:val="005240A6"/>
    <w:rsid w:val="00524A8D"/>
    <w:rsid w:val="005254A5"/>
    <w:rsid w:val="005271E9"/>
    <w:rsid w:val="00531F76"/>
    <w:rsid w:val="00533AFF"/>
    <w:rsid w:val="00534EEF"/>
    <w:rsid w:val="00534FF1"/>
    <w:rsid w:val="005425DC"/>
    <w:rsid w:val="00542E2F"/>
    <w:rsid w:val="00544704"/>
    <w:rsid w:val="005461E8"/>
    <w:rsid w:val="005479A5"/>
    <w:rsid w:val="0055038F"/>
    <w:rsid w:val="00550EE9"/>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75691"/>
    <w:rsid w:val="0058158A"/>
    <w:rsid w:val="00581DDF"/>
    <w:rsid w:val="00583F74"/>
    <w:rsid w:val="00586068"/>
    <w:rsid w:val="005861E0"/>
    <w:rsid w:val="005867B9"/>
    <w:rsid w:val="00587D3E"/>
    <w:rsid w:val="00587E35"/>
    <w:rsid w:val="005901C0"/>
    <w:rsid w:val="00590BC1"/>
    <w:rsid w:val="00591864"/>
    <w:rsid w:val="00592870"/>
    <w:rsid w:val="00593432"/>
    <w:rsid w:val="005A032A"/>
    <w:rsid w:val="005A2316"/>
    <w:rsid w:val="005A6E16"/>
    <w:rsid w:val="005A7023"/>
    <w:rsid w:val="005B343C"/>
    <w:rsid w:val="005B577C"/>
    <w:rsid w:val="005B6074"/>
    <w:rsid w:val="005B7564"/>
    <w:rsid w:val="005B7EAC"/>
    <w:rsid w:val="005C0F84"/>
    <w:rsid w:val="005C36D6"/>
    <w:rsid w:val="005C429C"/>
    <w:rsid w:val="005C73B3"/>
    <w:rsid w:val="005D0973"/>
    <w:rsid w:val="005D0991"/>
    <w:rsid w:val="005D2223"/>
    <w:rsid w:val="005D2E79"/>
    <w:rsid w:val="005D6B00"/>
    <w:rsid w:val="005D7499"/>
    <w:rsid w:val="005D758A"/>
    <w:rsid w:val="005E4E43"/>
    <w:rsid w:val="005E5A19"/>
    <w:rsid w:val="005E661B"/>
    <w:rsid w:val="005F0D75"/>
    <w:rsid w:val="005F33BD"/>
    <w:rsid w:val="005F383B"/>
    <w:rsid w:val="005F3907"/>
    <w:rsid w:val="005F4155"/>
    <w:rsid w:val="005F5290"/>
    <w:rsid w:val="005F732F"/>
    <w:rsid w:val="0060137B"/>
    <w:rsid w:val="006029D8"/>
    <w:rsid w:val="00606A42"/>
    <w:rsid w:val="0061057F"/>
    <w:rsid w:val="00611631"/>
    <w:rsid w:val="00612DD1"/>
    <w:rsid w:val="00614D8C"/>
    <w:rsid w:val="00616283"/>
    <w:rsid w:val="006170C0"/>
    <w:rsid w:val="00617BAC"/>
    <w:rsid w:val="00617EFF"/>
    <w:rsid w:val="00620788"/>
    <w:rsid w:val="00623177"/>
    <w:rsid w:val="00623E41"/>
    <w:rsid w:val="006243C2"/>
    <w:rsid w:val="00627EA9"/>
    <w:rsid w:val="0063031C"/>
    <w:rsid w:val="00636146"/>
    <w:rsid w:val="00636596"/>
    <w:rsid w:val="00640A3B"/>
    <w:rsid w:val="006414D1"/>
    <w:rsid w:val="00643E56"/>
    <w:rsid w:val="006454F7"/>
    <w:rsid w:val="006478AB"/>
    <w:rsid w:val="0065107D"/>
    <w:rsid w:val="00655A8E"/>
    <w:rsid w:val="00655D46"/>
    <w:rsid w:val="00656231"/>
    <w:rsid w:val="00656306"/>
    <w:rsid w:val="0065650F"/>
    <w:rsid w:val="00657395"/>
    <w:rsid w:val="00657EEC"/>
    <w:rsid w:val="0066135C"/>
    <w:rsid w:val="00661C3C"/>
    <w:rsid w:val="00662BC6"/>
    <w:rsid w:val="006644DC"/>
    <w:rsid w:val="00666F66"/>
    <w:rsid w:val="00667036"/>
    <w:rsid w:val="00667FFB"/>
    <w:rsid w:val="006710E5"/>
    <w:rsid w:val="006761B3"/>
    <w:rsid w:val="00676666"/>
    <w:rsid w:val="006775AE"/>
    <w:rsid w:val="00680F44"/>
    <w:rsid w:val="0068746C"/>
    <w:rsid w:val="006918A4"/>
    <w:rsid w:val="00692466"/>
    <w:rsid w:val="00692473"/>
    <w:rsid w:val="00692F19"/>
    <w:rsid w:val="00693824"/>
    <w:rsid w:val="00693B36"/>
    <w:rsid w:val="006960BB"/>
    <w:rsid w:val="00696305"/>
    <w:rsid w:val="0069648D"/>
    <w:rsid w:val="00697231"/>
    <w:rsid w:val="006A0935"/>
    <w:rsid w:val="006A14D2"/>
    <w:rsid w:val="006A27F4"/>
    <w:rsid w:val="006A75D6"/>
    <w:rsid w:val="006B0C30"/>
    <w:rsid w:val="006B0ED5"/>
    <w:rsid w:val="006B1FFC"/>
    <w:rsid w:val="006B3475"/>
    <w:rsid w:val="006B4912"/>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2A13"/>
    <w:rsid w:val="006E2C77"/>
    <w:rsid w:val="006E6E99"/>
    <w:rsid w:val="006F0178"/>
    <w:rsid w:val="006F2EC1"/>
    <w:rsid w:val="006F3B9F"/>
    <w:rsid w:val="006F4F6A"/>
    <w:rsid w:val="007002E9"/>
    <w:rsid w:val="007017CC"/>
    <w:rsid w:val="00701B6F"/>
    <w:rsid w:val="00702F3D"/>
    <w:rsid w:val="007030F3"/>
    <w:rsid w:val="00704C28"/>
    <w:rsid w:val="0070606A"/>
    <w:rsid w:val="00707B54"/>
    <w:rsid w:val="00711265"/>
    <w:rsid w:val="00711F5C"/>
    <w:rsid w:val="007123E0"/>
    <w:rsid w:val="00715B48"/>
    <w:rsid w:val="007206AD"/>
    <w:rsid w:val="00720919"/>
    <w:rsid w:val="0072092A"/>
    <w:rsid w:val="00720B37"/>
    <w:rsid w:val="00720F65"/>
    <w:rsid w:val="00724671"/>
    <w:rsid w:val="00724768"/>
    <w:rsid w:val="007273CE"/>
    <w:rsid w:val="0073155E"/>
    <w:rsid w:val="007369BE"/>
    <w:rsid w:val="00736E02"/>
    <w:rsid w:val="007416C3"/>
    <w:rsid w:val="00743443"/>
    <w:rsid w:val="00745BBF"/>
    <w:rsid w:val="00746354"/>
    <w:rsid w:val="007466AB"/>
    <w:rsid w:val="0074692A"/>
    <w:rsid w:val="007470BA"/>
    <w:rsid w:val="007517F4"/>
    <w:rsid w:val="0075333F"/>
    <w:rsid w:val="007540F4"/>
    <w:rsid w:val="007543B2"/>
    <w:rsid w:val="00754D03"/>
    <w:rsid w:val="00755AE8"/>
    <w:rsid w:val="00760570"/>
    <w:rsid w:val="0076589A"/>
    <w:rsid w:val="00766BD7"/>
    <w:rsid w:val="0076756F"/>
    <w:rsid w:val="0077312E"/>
    <w:rsid w:val="00774245"/>
    <w:rsid w:val="007758D2"/>
    <w:rsid w:val="00780BBC"/>
    <w:rsid w:val="00782AA7"/>
    <w:rsid w:val="007846C9"/>
    <w:rsid w:val="0078645E"/>
    <w:rsid w:val="00786C3D"/>
    <w:rsid w:val="00790AFC"/>
    <w:rsid w:val="00790C6D"/>
    <w:rsid w:val="00791B77"/>
    <w:rsid w:val="00792A54"/>
    <w:rsid w:val="00793610"/>
    <w:rsid w:val="0079377C"/>
    <w:rsid w:val="0079395A"/>
    <w:rsid w:val="007953A4"/>
    <w:rsid w:val="007958BB"/>
    <w:rsid w:val="0079693B"/>
    <w:rsid w:val="0079776C"/>
    <w:rsid w:val="00797A78"/>
    <w:rsid w:val="007A0A9B"/>
    <w:rsid w:val="007A1173"/>
    <w:rsid w:val="007A287F"/>
    <w:rsid w:val="007B1EBD"/>
    <w:rsid w:val="007B3833"/>
    <w:rsid w:val="007B5277"/>
    <w:rsid w:val="007B5EE5"/>
    <w:rsid w:val="007B683A"/>
    <w:rsid w:val="007C0693"/>
    <w:rsid w:val="007C5F21"/>
    <w:rsid w:val="007D016A"/>
    <w:rsid w:val="007D1939"/>
    <w:rsid w:val="007D29D7"/>
    <w:rsid w:val="007D53AE"/>
    <w:rsid w:val="007D57A4"/>
    <w:rsid w:val="007D5890"/>
    <w:rsid w:val="007D62F3"/>
    <w:rsid w:val="007D647E"/>
    <w:rsid w:val="007D68BE"/>
    <w:rsid w:val="007E435A"/>
    <w:rsid w:val="007E44CE"/>
    <w:rsid w:val="007E49DE"/>
    <w:rsid w:val="007E55F4"/>
    <w:rsid w:val="007E5B9A"/>
    <w:rsid w:val="007E6915"/>
    <w:rsid w:val="007F0DF6"/>
    <w:rsid w:val="007F1345"/>
    <w:rsid w:val="007F1736"/>
    <w:rsid w:val="007F21A5"/>
    <w:rsid w:val="007F368B"/>
    <w:rsid w:val="007F3DEC"/>
    <w:rsid w:val="007F4887"/>
    <w:rsid w:val="007F48CC"/>
    <w:rsid w:val="007F4D46"/>
    <w:rsid w:val="007F623D"/>
    <w:rsid w:val="0080019C"/>
    <w:rsid w:val="00800694"/>
    <w:rsid w:val="00800F69"/>
    <w:rsid w:val="008023C4"/>
    <w:rsid w:val="00806946"/>
    <w:rsid w:val="00806985"/>
    <w:rsid w:val="008121D0"/>
    <w:rsid w:val="0081435E"/>
    <w:rsid w:val="008162BC"/>
    <w:rsid w:val="00822C4A"/>
    <w:rsid w:val="008231D9"/>
    <w:rsid w:val="008235B4"/>
    <w:rsid w:val="00825D2C"/>
    <w:rsid w:val="0083030A"/>
    <w:rsid w:val="00833258"/>
    <w:rsid w:val="00833771"/>
    <w:rsid w:val="00833C05"/>
    <w:rsid w:val="00834386"/>
    <w:rsid w:val="008361F6"/>
    <w:rsid w:val="00836320"/>
    <w:rsid w:val="0083702D"/>
    <w:rsid w:val="00837070"/>
    <w:rsid w:val="0084094A"/>
    <w:rsid w:val="00841418"/>
    <w:rsid w:val="008448BF"/>
    <w:rsid w:val="00844F54"/>
    <w:rsid w:val="00846425"/>
    <w:rsid w:val="00846EB8"/>
    <w:rsid w:val="0085245B"/>
    <w:rsid w:val="00854F39"/>
    <w:rsid w:val="00857DE5"/>
    <w:rsid w:val="008601DB"/>
    <w:rsid w:val="0086140B"/>
    <w:rsid w:val="0086193A"/>
    <w:rsid w:val="00862400"/>
    <w:rsid w:val="00862CD3"/>
    <w:rsid w:val="00865FF4"/>
    <w:rsid w:val="0086634A"/>
    <w:rsid w:val="00866B56"/>
    <w:rsid w:val="00866C7F"/>
    <w:rsid w:val="008724E0"/>
    <w:rsid w:val="0087282C"/>
    <w:rsid w:val="008735D2"/>
    <w:rsid w:val="008741FA"/>
    <w:rsid w:val="00874CAA"/>
    <w:rsid w:val="008757E9"/>
    <w:rsid w:val="00875E25"/>
    <w:rsid w:val="00877096"/>
    <w:rsid w:val="008822F2"/>
    <w:rsid w:val="008849AB"/>
    <w:rsid w:val="008853F7"/>
    <w:rsid w:val="00887EB4"/>
    <w:rsid w:val="00890F54"/>
    <w:rsid w:val="00892484"/>
    <w:rsid w:val="008925E0"/>
    <w:rsid w:val="00892F89"/>
    <w:rsid w:val="008938A8"/>
    <w:rsid w:val="00894C54"/>
    <w:rsid w:val="00897915"/>
    <w:rsid w:val="008979E4"/>
    <w:rsid w:val="008A05DA"/>
    <w:rsid w:val="008A0815"/>
    <w:rsid w:val="008A0FE1"/>
    <w:rsid w:val="008A142E"/>
    <w:rsid w:val="008A208A"/>
    <w:rsid w:val="008A2236"/>
    <w:rsid w:val="008A7E4E"/>
    <w:rsid w:val="008B4C2B"/>
    <w:rsid w:val="008B690B"/>
    <w:rsid w:val="008B7385"/>
    <w:rsid w:val="008B7929"/>
    <w:rsid w:val="008C0C5D"/>
    <w:rsid w:val="008C1260"/>
    <w:rsid w:val="008C32EC"/>
    <w:rsid w:val="008D35F4"/>
    <w:rsid w:val="008D3C4E"/>
    <w:rsid w:val="008D3D6B"/>
    <w:rsid w:val="008D46C8"/>
    <w:rsid w:val="008E3D27"/>
    <w:rsid w:val="008E5EE2"/>
    <w:rsid w:val="008E6DA3"/>
    <w:rsid w:val="008E7105"/>
    <w:rsid w:val="008E73E3"/>
    <w:rsid w:val="008E74D3"/>
    <w:rsid w:val="008E7A6A"/>
    <w:rsid w:val="008E7DEC"/>
    <w:rsid w:val="008E7F77"/>
    <w:rsid w:val="008F0CFB"/>
    <w:rsid w:val="008F14E6"/>
    <w:rsid w:val="008F28DA"/>
    <w:rsid w:val="009026AD"/>
    <w:rsid w:val="00903C32"/>
    <w:rsid w:val="00904327"/>
    <w:rsid w:val="009105F0"/>
    <w:rsid w:val="00911535"/>
    <w:rsid w:val="0091274D"/>
    <w:rsid w:val="00912B3A"/>
    <w:rsid w:val="0091427A"/>
    <w:rsid w:val="0091641B"/>
    <w:rsid w:val="00920540"/>
    <w:rsid w:val="00920778"/>
    <w:rsid w:val="00920DC1"/>
    <w:rsid w:val="00921FEB"/>
    <w:rsid w:val="00922321"/>
    <w:rsid w:val="009229D4"/>
    <w:rsid w:val="00925406"/>
    <w:rsid w:val="00925A62"/>
    <w:rsid w:val="00930618"/>
    <w:rsid w:val="00937D20"/>
    <w:rsid w:val="00941666"/>
    <w:rsid w:val="00942801"/>
    <w:rsid w:val="0094521E"/>
    <w:rsid w:val="00946291"/>
    <w:rsid w:val="00947431"/>
    <w:rsid w:val="009507F5"/>
    <w:rsid w:val="00950F5D"/>
    <w:rsid w:val="00952D3C"/>
    <w:rsid w:val="00953D1F"/>
    <w:rsid w:val="00955A98"/>
    <w:rsid w:val="00955B3E"/>
    <w:rsid w:val="009563AF"/>
    <w:rsid w:val="00956CEB"/>
    <w:rsid w:val="009570AD"/>
    <w:rsid w:val="00957DC1"/>
    <w:rsid w:val="009626AA"/>
    <w:rsid w:val="009644C4"/>
    <w:rsid w:val="00970C48"/>
    <w:rsid w:val="00970FB0"/>
    <w:rsid w:val="009710E6"/>
    <w:rsid w:val="00971E3F"/>
    <w:rsid w:val="009735FF"/>
    <w:rsid w:val="00973B21"/>
    <w:rsid w:val="00983D90"/>
    <w:rsid w:val="00984686"/>
    <w:rsid w:val="00984F1D"/>
    <w:rsid w:val="00985C74"/>
    <w:rsid w:val="0098747C"/>
    <w:rsid w:val="00990090"/>
    <w:rsid w:val="00990143"/>
    <w:rsid w:val="009A0487"/>
    <w:rsid w:val="009A194C"/>
    <w:rsid w:val="009A2626"/>
    <w:rsid w:val="009A2EF5"/>
    <w:rsid w:val="009A3D72"/>
    <w:rsid w:val="009A4C31"/>
    <w:rsid w:val="009B10C5"/>
    <w:rsid w:val="009B2916"/>
    <w:rsid w:val="009B3230"/>
    <w:rsid w:val="009B3638"/>
    <w:rsid w:val="009B5239"/>
    <w:rsid w:val="009B6C71"/>
    <w:rsid w:val="009C01E8"/>
    <w:rsid w:val="009C359A"/>
    <w:rsid w:val="009C4FD7"/>
    <w:rsid w:val="009C6A0C"/>
    <w:rsid w:val="009C6A7E"/>
    <w:rsid w:val="009C70E6"/>
    <w:rsid w:val="009D1BAD"/>
    <w:rsid w:val="009D1F6B"/>
    <w:rsid w:val="009D277B"/>
    <w:rsid w:val="009D3680"/>
    <w:rsid w:val="009D3D53"/>
    <w:rsid w:val="009D4303"/>
    <w:rsid w:val="009D629D"/>
    <w:rsid w:val="009D7040"/>
    <w:rsid w:val="009E0560"/>
    <w:rsid w:val="009E08BF"/>
    <w:rsid w:val="009E1568"/>
    <w:rsid w:val="009E5E9D"/>
    <w:rsid w:val="009E5EF1"/>
    <w:rsid w:val="009E65B8"/>
    <w:rsid w:val="009F1CE6"/>
    <w:rsid w:val="009F4872"/>
    <w:rsid w:val="009F6F21"/>
    <w:rsid w:val="00A004E2"/>
    <w:rsid w:val="00A01416"/>
    <w:rsid w:val="00A0142A"/>
    <w:rsid w:val="00A02CDF"/>
    <w:rsid w:val="00A054F1"/>
    <w:rsid w:val="00A06037"/>
    <w:rsid w:val="00A06D4D"/>
    <w:rsid w:val="00A12390"/>
    <w:rsid w:val="00A139DC"/>
    <w:rsid w:val="00A15B8D"/>
    <w:rsid w:val="00A15D6A"/>
    <w:rsid w:val="00A1786A"/>
    <w:rsid w:val="00A2166C"/>
    <w:rsid w:val="00A23ED2"/>
    <w:rsid w:val="00A2403C"/>
    <w:rsid w:val="00A24C2A"/>
    <w:rsid w:val="00A252E9"/>
    <w:rsid w:val="00A25DA4"/>
    <w:rsid w:val="00A26727"/>
    <w:rsid w:val="00A2783A"/>
    <w:rsid w:val="00A31389"/>
    <w:rsid w:val="00A32E29"/>
    <w:rsid w:val="00A3786F"/>
    <w:rsid w:val="00A40C93"/>
    <w:rsid w:val="00A4269B"/>
    <w:rsid w:val="00A42FCC"/>
    <w:rsid w:val="00A43B07"/>
    <w:rsid w:val="00A44BA6"/>
    <w:rsid w:val="00A4512F"/>
    <w:rsid w:val="00A455C0"/>
    <w:rsid w:val="00A45B89"/>
    <w:rsid w:val="00A517DE"/>
    <w:rsid w:val="00A5219B"/>
    <w:rsid w:val="00A5410E"/>
    <w:rsid w:val="00A54164"/>
    <w:rsid w:val="00A562F1"/>
    <w:rsid w:val="00A56307"/>
    <w:rsid w:val="00A56920"/>
    <w:rsid w:val="00A573E1"/>
    <w:rsid w:val="00A578D2"/>
    <w:rsid w:val="00A61B43"/>
    <w:rsid w:val="00A64B7B"/>
    <w:rsid w:val="00A67A51"/>
    <w:rsid w:val="00A70D8F"/>
    <w:rsid w:val="00A70F50"/>
    <w:rsid w:val="00A746DF"/>
    <w:rsid w:val="00A74A02"/>
    <w:rsid w:val="00A74A8A"/>
    <w:rsid w:val="00A75587"/>
    <w:rsid w:val="00A81559"/>
    <w:rsid w:val="00A825C7"/>
    <w:rsid w:val="00A83DD8"/>
    <w:rsid w:val="00A850AC"/>
    <w:rsid w:val="00A85CB1"/>
    <w:rsid w:val="00A9008F"/>
    <w:rsid w:val="00A92AC1"/>
    <w:rsid w:val="00A93498"/>
    <w:rsid w:val="00A93C9C"/>
    <w:rsid w:val="00A93CDE"/>
    <w:rsid w:val="00A948EC"/>
    <w:rsid w:val="00AA00C9"/>
    <w:rsid w:val="00AA1B11"/>
    <w:rsid w:val="00AA4035"/>
    <w:rsid w:val="00AA4B84"/>
    <w:rsid w:val="00AA68D5"/>
    <w:rsid w:val="00AA7484"/>
    <w:rsid w:val="00AA7F56"/>
    <w:rsid w:val="00AB0605"/>
    <w:rsid w:val="00AB0FD3"/>
    <w:rsid w:val="00AB31FE"/>
    <w:rsid w:val="00AB321F"/>
    <w:rsid w:val="00AB60DA"/>
    <w:rsid w:val="00AB7D63"/>
    <w:rsid w:val="00AC1BE1"/>
    <w:rsid w:val="00AC1D1B"/>
    <w:rsid w:val="00AC2A18"/>
    <w:rsid w:val="00AC64A8"/>
    <w:rsid w:val="00AD1A65"/>
    <w:rsid w:val="00AD2906"/>
    <w:rsid w:val="00AD3DE5"/>
    <w:rsid w:val="00AD4280"/>
    <w:rsid w:val="00AD435A"/>
    <w:rsid w:val="00AD4747"/>
    <w:rsid w:val="00AD6331"/>
    <w:rsid w:val="00AE060F"/>
    <w:rsid w:val="00AE21FF"/>
    <w:rsid w:val="00AE2AE0"/>
    <w:rsid w:val="00AE546D"/>
    <w:rsid w:val="00AE69F7"/>
    <w:rsid w:val="00AE7456"/>
    <w:rsid w:val="00AF0322"/>
    <w:rsid w:val="00AF0847"/>
    <w:rsid w:val="00AF0D39"/>
    <w:rsid w:val="00AF537A"/>
    <w:rsid w:val="00AF739D"/>
    <w:rsid w:val="00B00409"/>
    <w:rsid w:val="00B02891"/>
    <w:rsid w:val="00B02F42"/>
    <w:rsid w:val="00B03855"/>
    <w:rsid w:val="00B0514D"/>
    <w:rsid w:val="00B0739C"/>
    <w:rsid w:val="00B110E1"/>
    <w:rsid w:val="00B1127F"/>
    <w:rsid w:val="00B11691"/>
    <w:rsid w:val="00B12559"/>
    <w:rsid w:val="00B16DB4"/>
    <w:rsid w:val="00B16FA9"/>
    <w:rsid w:val="00B2021B"/>
    <w:rsid w:val="00B22C69"/>
    <w:rsid w:val="00B22EB2"/>
    <w:rsid w:val="00B24855"/>
    <w:rsid w:val="00B25F31"/>
    <w:rsid w:val="00B35360"/>
    <w:rsid w:val="00B37175"/>
    <w:rsid w:val="00B40E4A"/>
    <w:rsid w:val="00B418D7"/>
    <w:rsid w:val="00B42C81"/>
    <w:rsid w:val="00B43589"/>
    <w:rsid w:val="00B43658"/>
    <w:rsid w:val="00B4433D"/>
    <w:rsid w:val="00B4511C"/>
    <w:rsid w:val="00B45982"/>
    <w:rsid w:val="00B45BC1"/>
    <w:rsid w:val="00B4651B"/>
    <w:rsid w:val="00B500B8"/>
    <w:rsid w:val="00B5091C"/>
    <w:rsid w:val="00B51390"/>
    <w:rsid w:val="00B552AF"/>
    <w:rsid w:val="00B56037"/>
    <w:rsid w:val="00B56188"/>
    <w:rsid w:val="00B577D1"/>
    <w:rsid w:val="00B62A9A"/>
    <w:rsid w:val="00B63217"/>
    <w:rsid w:val="00B63551"/>
    <w:rsid w:val="00B653E3"/>
    <w:rsid w:val="00B667C4"/>
    <w:rsid w:val="00B67971"/>
    <w:rsid w:val="00B70059"/>
    <w:rsid w:val="00B70EC8"/>
    <w:rsid w:val="00B80948"/>
    <w:rsid w:val="00B85517"/>
    <w:rsid w:val="00B9033C"/>
    <w:rsid w:val="00B93BD9"/>
    <w:rsid w:val="00B93DBB"/>
    <w:rsid w:val="00B94BE4"/>
    <w:rsid w:val="00B94DA4"/>
    <w:rsid w:val="00B95BF2"/>
    <w:rsid w:val="00B95D9F"/>
    <w:rsid w:val="00B96F28"/>
    <w:rsid w:val="00BA00B7"/>
    <w:rsid w:val="00BA4860"/>
    <w:rsid w:val="00BA6633"/>
    <w:rsid w:val="00BA6F06"/>
    <w:rsid w:val="00BA74A1"/>
    <w:rsid w:val="00BA7A07"/>
    <w:rsid w:val="00BA7B84"/>
    <w:rsid w:val="00BB0A10"/>
    <w:rsid w:val="00BB0AB1"/>
    <w:rsid w:val="00BB277F"/>
    <w:rsid w:val="00BB2997"/>
    <w:rsid w:val="00BB4D83"/>
    <w:rsid w:val="00BB5682"/>
    <w:rsid w:val="00BB572D"/>
    <w:rsid w:val="00BB5B8B"/>
    <w:rsid w:val="00BB6378"/>
    <w:rsid w:val="00BC0916"/>
    <w:rsid w:val="00BC2520"/>
    <w:rsid w:val="00BC2886"/>
    <w:rsid w:val="00BC3446"/>
    <w:rsid w:val="00BC35EB"/>
    <w:rsid w:val="00BC5867"/>
    <w:rsid w:val="00BC587B"/>
    <w:rsid w:val="00BC5A8D"/>
    <w:rsid w:val="00BC646D"/>
    <w:rsid w:val="00BC7FA5"/>
    <w:rsid w:val="00BD0FD8"/>
    <w:rsid w:val="00BD4DB0"/>
    <w:rsid w:val="00BD53D4"/>
    <w:rsid w:val="00BD712F"/>
    <w:rsid w:val="00BE053E"/>
    <w:rsid w:val="00BE10AA"/>
    <w:rsid w:val="00BE40B7"/>
    <w:rsid w:val="00BF14AB"/>
    <w:rsid w:val="00BF2D91"/>
    <w:rsid w:val="00BF37A0"/>
    <w:rsid w:val="00BF47C5"/>
    <w:rsid w:val="00BF666F"/>
    <w:rsid w:val="00C01012"/>
    <w:rsid w:val="00C02208"/>
    <w:rsid w:val="00C02878"/>
    <w:rsid w:val="00C02B96"/>
    <w:rsid w:val="00C0480B"/>
    <w:rsid w:val="00C04A6C"/>
    <w:rsid w:val="00C04E83"/>
    <w:rsid w:val="00C12A16"/>
    <w:rsid w:val="00C142AB"/>
    <w:rsid w:val="00C1467F"/>
    <w:rsid w:val="00C15596"/>
    <w:rsid w:val="00C15A80"/>
    <w:rsid w:val="00C173CA"/>
    <w:rsid w:val="00C17E61"/>
    <w:rsid w:val="00C205E6"/>
    <w:rsid w:val="00C20CC8"/>
    <w:rsid w:val="00C21428"/>
    <w:rsid w:val="00C24059"/>
    <w:rsid w:val="00C25F74"/>
    <w:rsid w:val="00C26B83"/>
    <w:rsid w:val="00C2709A"/>
    <w:rsid w:val="00C30C15"/>
    <w:rsid w:val="00C30FE3"/>
    <w:rsid w:val="00C32013"/>
    <w:rsid w:val="00C3204F"/>
    <w:rsid w:val="00C34842"/>
    <w:rsid w:val="00C359DE"/>
    <w:rsid w:val="00C35E38"/>
    <w:rsid w:val="00C3796E"/>
    <w:rsid w:val="00C40F21"/>
    <w:rsid w:val="00C414CB"/>
    <w:rsid w:val="00C42B4D"/>
    <w:rsid w:val="00C44369"/>
    <w:rsid w:val="00C4560B"/>
    <w:rsid w:val="00C471C1"/>
    <w:rsid w:val="00C57C38"/>
    <w:rsid w:val="00C6383A"/>
    <w:rsid w:val="00C6570F"/>
    <w:rsid w:val="00C670E9"/>
    <w:rsid w:val="00C67440"/>
    <w:rsid w:val="00C7153F"/>
    <w:rsid w:val="00C73727"/>
    <w:rsid w:val="00C76221"/>
    <w:rsid w:val="00C80708"/>
    <w:rsid w:val="00C80FD9"/>
    <w:rsid w:val="00C81706"/>
    <w:rsid w:val="00C82197"/>
    <w:rsid w:val="00C85731"/>
    <w:rsid w:val="00C86C1D"/>
    <w:rsid w:val="00C86E08"/>
    <w:rsid w:val="00C92DF1"/>
    <w:rsid w:val="00C92DFC"/>
    <w:rsid w:val="00C93224"/>
    <w:rsid w:val="00C96E9F"/>
    <w:rsid w:val="00C96F60"/>
    <w:rsid w:val="00CA08EC"/>
    <w:rsid w:val="00CA15BD"/>
    <w:rsid w:val="00CA670F"/>
    <w:rsid w:val="00CA7E0F"/>
    <w:rsid w:val="00CB2319"/>
    <w:rsid w:val="00CB2917"/>
    <w:rsid w:val="00CB349A"/>
    <w:rsid w:val="00CB5B82"/>
    <w:rsid w:val="00CB5BB3"/>
    <w:rsid w:val="00CB7B58"/>
    <w:rsid w:val="00CC2AA7"/>
    <w:rsid w:val="00CC3546"/>
    <w:rsid w:val="00CC4B47"/>
    <w:rsid w:val="00CC740B"/>
    <w:rsid w:val="00CD1091"/>
    <w:rsid w:val="00CD16CE"/>
    <w:rsid w:val="00CD2D41"/>
    <w:rsid w:val="00CD73A3"/>
    <w:rsid w:val="00CE04DA"/>
    <w:rsid w:val="00CE1BF2"/>
    <w:rsid w:val="00CE2896"/>
    <w:rsid w:val="00CE3B7C"/>
    <w:rsid w:val="00CE57E8"/>
    <w:rsid w:val="00CF2941"/>
    <w:rsid w:val="00CF362F"/>
    <w:rsid w:val="00CF3632"/>
    <w:rsid w:val="00CF66B7"/>
    <w:rsid w:val="00CF76B6"/>
    <w:rsid w:val="00CF7D82"/>
    <w:rsid w:val="00CF7E2E"/>
    <w:rsid w:val="00D0540A"/>
    <w:rsid w:val="00D12313"/>
    <w:rsid w:val="00D12AB0"/>
    <w:rsid w:val="00D131DC"/>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2966"/>
    <w:rsid w:val="00D4374D"/>
    <w:rsid w:val="00D5212B"/>
    <w:rsid w:val="00D53629"/>
    <w:rsid w:val="00D56BD2"/>
    <w:rsid w:val="00D62F55"/>
    <w:rsid w:val="00D65DDB"/>
    <w:rsid w:val="00D67153"/>
    <w:rsid w:val="00D67E23"/>
    <w:rsid w:val="00D70C62"/>
    <w:rsid w:val="00D71E5E"/>
    <w:rsid w:val="00D725E0"/>
    <w:rsid w:val="00D73039"/>
    <w:rsid w:val="00D736B3"/>
    <w:rsid w:val="00D74043"/>
    <w:rsid w:val="00D747FF"/>
    <w:rsid w:val="00D76077"/>
    <w:rsid w:val="00D76220"/>
    <w:rsid w:val="00D762ED"/>
    <w:rsid w:val="00D76554"/>
    <w:rsid w:val="00D774F1"/>
    <w:rsid w:val="00D809A9"/>
    <w:rsid w:val="00D80C52"/>
    <w:rsid w:val="00D81A61"/>
    <w:rsid w:val="00D831DD"/>
    <w:rsid w:val="00D85110"/>
    <w:rsid w:val="00D87B09"/>
    <w:rsid w:val="00D87FE0"/>
    <w:rsid w:val="00D9115E"/>
    <w:rsid w:val="00D918BE"/>
    <w:rsid w:val="00D9316D"/>
    <w:rsid w:val="00D956E1"/>
    <w:rsid w:val="00D95B29"/>
    <w:rsid w:val="00D95F56"/>
    <w:rsid w:val="00D9606E"/>
    <w:rsid w:val="00D97B78"/>
    <w:rsid w:val="00D97FD0"/>
    <w:rsid w:val="00DA2200"/>
    <w:rsid w:val="00DA45C5"/>
    <w:rsid w:val="00DA56E9"/>
    <w:rsid w:val="00DB0D8C"/>
    <w:rsid w:val="00DB0F30"/>
    <w:rsid w:val="00DB1749"/>
    <w:rsid w:val="00DB200D"/>
    <w:rsid w:val="00DB2144"/>
    <w:rsid w:val="00DB3A5B"/>
    <w:rsid w:val="00DB4519"/>
    <w:rsid w:val="00DB4710"/>
    <w:rsid w:val="00DB495C"/>
    <w:rsid w:val="00DB535E"/>
    <w:rsid w:val="00DB76B8"/>
    <w:rsid w:val="00DC1B7D"/>
    <w:rsid w:val="00DC22F7"/>
    <w:rsid w:val="00DC3C53"/>
    <w:rsid w:val="00DC4667"/>
    <w:rsid w:val="00DD2308"/>
    <w:rsid w:val="00DD2524"/>
    <w:rsid w:val="00DD2E23"/>
    <w:rsid w:val="00DD3864"/>
    <w:rsid w:val="00DD4A71"/>
    <w:rsid w:val="00DD70EA"/>
    <w:rsid w:val="00DD7321"/>
    <w:rsid w:val="00DE0275"/>
    <w:rsid w:val="00DE08A8"/>
    <w:rsid w:val="00DE2B09"/>
    <w:rsid w:val="00DE55B4"/>
    <w:rsid w:val="00DE60BE"/>
    <w:rsid w:val="00DE7272"/>
    <w:rsid w:val="00DE7D66"/>
    <w:rsid w:val="00DF0563"/>
    <w:rsid w:val="00DF55AB"/>
    <w:rsid w:val="00DF61C7"/>
    <w:rsid w:val="00DF66A7"/>
    <w:rsid w:val="00E00072"/>
    <w:rsid w:val="00E0123E"/>
    <w:rsid w:val="00E014A2"/>
    <w:rsid w:val="00E01B06"/>
    <w:rsid w:val="00E02C74"/>
    <w:rsid w:val="00E05DEB"/>
    <w:rsid w:val="00E0602A"/>
    <w:rsid w:val="00E0650B"/>
    <w:rsid w:val="00E06E9E"/>
    <w:rsid w:val="00E077AF"/>
    <w:rsid w:val="00E12F28"/>
    <w:rsid w:val="00E14983"/>
    <w:rsid w:val="00E15639"/>
    <w:rsid w:val="00E1610B"/>
    <w:rsid w:val="00E1626C"/>
    <w:rsid w:val="00E17181"/>
    <w:rsid w:val="00E20C71"/>
    <w:rsid w:val="00E2362C"/>
    <w:rsid w:val="00E2388C"/>
    <w:rsid w:val="00E26D8D"/>
    <w:rsid w:val="00E3043C"/>
    <w:rsid w:val="00E31181"/>
    <w:rsid w:val="00E31E70"/>
    <w:rsid w:val="00E34C05"/>
    <w:rsid w:val="00E362B0"/>
    <w:rsid w:val="00E36B48"/>
    <w:rsid w:val="00E4137E"/>
    <w:rsid w:val="00E42E9C"/>
    <w:rsid w:val="00E469B4"/>
    <w:rsid w:val="00E46DD6"/>
    <w:rsid w:val="00E47A33"/>
    <w:rsid w:val="00E50F24"/>
    <w:rsid w:val="00E52D10"/>
    <w:rsid w:val="00E55867"/>
    <w:rsid w:val="00E62B5B"/>
    <w:rsid w:val="00E64125"/>
    <w:rsid w:val="00E66D95"/>
    <w:rsid w:val="00E67D87"/>
    <w:rsid w:val="00E70467"/>
    <w:rsid w:val="00E71ACD"/>
    <w:rsid w:val="00E7367D"/>
    <w:rsid w:val="00E74645"/>
    <w:rsid w:val="00E756BB"/>
    <w:rsid w:val="00E76C98"/>
    <w:rsid w:val="00E831B2"/>
    <w:rsid w:val="00E83E1E"/>
    <w:rsid w:val="00E844E9"/>
    <w:rsid w:val="00E86DD7"/>
    <w:rsid w:val="00E9302A"/>
    <w:rsid w:val="00E95A89"/>
    <w:rsid w:val="00E96FC2"/>
    <w:rsid w:val="00E97A76"/>
    <w:rsid w:val="00E97B90"/>
    <w:rsid w:val="00EA131A"/>
    <w:rsid w:val="00EA2408"/>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4C82"/>
    <w:rsid w:val="00ED7200"/>
    <w:rsid w:val="00EE19FE"/>
    <w:rsid w:val="00EE3087"/>
    <w:rsid w:val="00EE4245"/>
    <w:rsid w:val="00EE4A48"/>
    <w:rsid w:val="00EE6D64"/>
    <w:rsid w:val="00EF0044"/>
    <w:rsid w:val="00EF5E2A"/>
    <w:rsid w:val="00EF64B1"/>
    <w:rsid w:val="00EF6548"/>
    <w:rsid w:val="00F00D98"/>
    <w:rsid w:val="00F00EFA"/>
    <w:rsid w:val="00F017D9"/>
    <w:rsid w:val="00F02574"/>
    <w:rsid w:val="00F0538E"/>
    <w:rsid w:val="00F05A90"/>
    <w:rsid w:val="00F05E3C"/>
    <w:rsid w:val="00F07248"/>
    <w:rsid w:val="00F07B0D"/>
    <w:rsid w:val="00F07C34"/>
    <w:rsid w:val="00F10664"/>
    <w:rsid w:val="00F14264"/>
    <w:rsid w:val="00F146B3"/>
    <w:rsid w:val="00F14C98"/>
    <w:rsid w:val="00F24423"/>
    <w:rsid w:val="00F2730E"/>
    <w:rsid w:val="00F311C0"/>
    <w:rsid w:val="00F31375"/>
    <w:rsid w:val="00F31F4A"/>
    <w:rsid w:val="00F335BE"/>
    <w:rsid w:val="00F34E44"/>
    <w:rsid w:val="00F373D4"/>
    <w:rsid w:val="00F4056B"/>
    <w:rsid w:val="00F42672"/>
    <w:rsid w:val="00F44A9F"/>
    <w:rsid w:val="00F460F8"/>
    <w:rsid w:val="00F474A5"/>
    <w:rsid w:val="00F47DCF"/>
    <w:rsid w:val="00F528DD"/>
    <w:rsid w:val="00F57E0A"/>
    <w:rsid w:val="00F61DCF"/>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87DF6"/>
    <w:rsid w:val="00F904BB"/>
    <w:rsid w:val="00F9173C"/>
    <w:rsid w:val="00F91846"/>
    <w:rsid w:val="00F91C33"/>
    <w:rsid w:val="00F97379"/>
    <w:rsid w:val="00F97E5B"/>
    <w:rsid w:val="00FA0C5C"/>
    <w:rsid w:val="00FA3077"/>
    <w:rsid w:val="00FA3DB8"/>
    <w:rsid w:val="00FB6614"/>
    <w:rsid w:val="00FB6BBA"/>
    <w:rsid w:val="00FB7F40"/>
    <w:rsid w:val="00FC0429"/>
    <w:rsid w:val="00FC3A4E"/>
    <w:rsid w:val="00FC4772"/>
    <w:rsid w:val="00FC6173"/>
    <w:rsid w:val="00FC6303"/>
    <w:rsid w:val="00FC6C3A"/>
    <w:rsid w:val="00FC6EE9"/>
    <w:rsid w:val="00FD2AD0"/>
    <w:rsid w:val="00FD42CD"/>
    <w:rsid w:val="00FD5DB5"/>
    <w:rsid w:val="00FE2146"/>
    <w:rsid w:val="00FE339D"/>
    <w:rsid w:val="00FE4935"/>
    <w:rsid w:val="00FE596A"/>
    <w:rsid w:val="00FE72B1"/>
    <w:rsid w:val="00FF0412"/>
    <w:rsid w:val="00FF1607"/>
    <w:rsid w:val="00FF267A"/>
    <w:rsid w:val="00FF3263"/>
    <w:rsid w:val="00FF333E"/>
    <w:rsid w:val="00FF58E7"/>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78332198">
      <w:bodyDiv w:val="1"/>
      <w:marLeft w:val="0"/>
      <w:marRight w:val="0"/>
      <w:marTop w:val="0"/>
      <w:marBottom w:val="0"/>
      <w:divBdr>
        <w:top w:val="none" w:sz="0" w:space="0" w:color="auto"/>
        <w:left w:val="none" w:sz="0" w:space="0" w:color="auto"/>
        <w:bottom w:val="none" w:sz="0" w:space="0" w:color="auto"/>
        <w:right w:val="none" w:sz="0" w:space="0" w:color="auto"/>
      </w:divBdr>
    </w:div>
    <w:div w:id="135997707">
      <w:bodyDiv w:val="1"/>
      <w:marLeft w:val="0"/>
      <w:marRight w:val="0"/>
      <w:marTop w:val="0"/>
      <w:marBottom w:val="0"/>
      <w:divBdr>
        <w:top w:val="none" w:sz="0" w:space="0" w:color="auto"/>
        <w:left w:val="none" w:sz="0" w:space="0" w:color="auto"/>
        <w:bottom w:val="none" w:sz="0" w:space="0" w:color="auto"/>
        <w:right w:val="none" w:sz="0" w:space="0" w:color="auto"/>
      </w:divBdr>
    </w:div>
    <w:div w:id="166870406">
      <w:bodyDiv w:val="1"/>
      <w:marLeft w:val="0"/>
      <w:marRight w:val="0"/>
      <w:marTop w:val="0"/>
      <w:marBottom w:val="0"/>
      <w:divBdr>
        <w:top w:val="none" w:sz="0" w:space="0" w:color="auto"/>
        <w:left w:val="none" w:sz="0" w:space="0" w:color="auto"/>
        <w:bottom w:val="none" w:sz="0" w:space="0" w:color="auto"/>
        <w:right w:val="none" w:sz="0" w:space="0" w:color="auto"/>
      </w:divBdr>
    </w:div>
    <w:div w:id="167182631">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64522945">
      <w:bodyDiv w:val="1"/>
      <w:marLeft w:val="0"/>
      <w:marRight w:val="0"/>
      <w:marTop w:val="0"/>
      <w:marBottom w:val="0"/>
      <w:divBdr>
        <w:top w:val="none" w:sz="0" w:space="0" w:color="auto"/>
        <w:left w:val="none" w:sz="0" w:space="0" w:color="auto"/>
        <w:bottom w:val="none" w:sz="0" w:space="0" w:color="auto"/>
        <w:right w:val="none" w:sz="0" w:space="0" w:color="auto"/>
      </w:divBdr>
    </w:div>
    <w:div w:id="379330372">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382485525">
      <w:bodyDiv w:val="1"/>
      <w:marLeft w:val="0"/>
      <w:marRight w:val="0"/>
      <w:marTop w:val="0"/>
      <w:marBottom w:val="0"/>
      <w:divBdr>
        <w:top w:val="none" w:sz="0" w:space="0" w:color="auto"/>
        <w:left w:val="none" w:sz="0" w:space="0" w:color="auto"/>
        <w:bottom w:val="none" w:sz="0" w:space="0" w:color="auto"/>
        <w:right w:val="none" w:sz="0" w:space="0" w:color="auto"/>
      </w:divBdr>
    </w:div>
    <w:div w:id="405151168">
      <w:bodyDiv w:val="1"/>
      <w:marLeft w:val="0"/>
      <w:marRight w:val="0"/>
      <w:marTop w:val="0"/>
      <w:marBottom w:val="0"/>
      <w:divBdr>
        <w:top w:val="none" w:sz="0" w:space="0" w:color="auto"/>
        <w:left w:val="none" w:sz="0" w:space="0" w:color="auto"/>
        <w:bottom w:val="none" w:sz="0" w:space="0" w:color="auto"/>
        <w:right w:val="none" w:sz="0" w:space="0" w:color="auto"/>
      </w:divBdr>
    </w:div>
    <w:div w:id="426850977">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08259438">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15734888">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692419869">
      <w:bodyDiv w:val="1"/>
      <w:marLeft w:val="0"/>
      <w:marRight w:val="0"/>
      <w:marTop w:val="0"/>
      <w:marBottom w:val="0"/>
      <w:divBdr>
        <w:top w:val="none" w:sz="0" w:space="0" w:color="auto"/>
        <w:left w:val="none" w:sz="0" w:space="0" w:color="auto"/>
        <w:bottom w:val="none" w:sz="0" w:space="0" w:color="auto"/>
        <w:right w:val="none" w:sz="0" w:space="0" w:color="auto"/>
      </w:divBdr>
    </w:div>
    <w:div w:id="731468193">
      <w:bodyDiv w:val="1"/>
      <w:marLeft w:val="0"/>
      <w:marRight w:val="0"/>
      <w:marTop w:val="0"/>
      <w:marBottom w:val="0"/>
      <w:divBdr>
        <w:top w:val="none" w:sz="0" w:space="0" w:color="auto"/>
        <w:left w:val="none" w:sz="0" w:space="0" w:color="auto"/>
        <w:bottom w:val="none" w:sz="0" w:space="0" w:color="auto"/>
        <w:right w:val="none" w:sz="0" w:space="0" w:color="auto"/>
      </w:divBdr>
    </w:div>
    <w:div w:id="850072175">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98769810">
      <w:bodyDiv w:val="1"/>
      <w:marLeft w:val="0"/>
      <w:marRight w:val="0"/>
      <w:marTop w:val="0"/>
      <w:marBottom w:val="0"/>
      <w:divBdr>
        <w:top w:val="none" w:sz="0" w:space="0" w:color="auto"/>
        <w:left w:val="none" w:sz="0" w:space="0" w:color="auto"/>
        <w:bottom w:val="none" w:sz="0" w:space="0" w:color="auto"/>
        <w:right w:val="none" w:sz="0" w:space="0" w:color="auto"/>
      </w:divBdr>
      <w:divsChild>
        <w:div w:id="731923202">
          <w:marLeft w:val="0"/>
          <w:marRight w:val="0"/>
          <w:marTop w:val="0"/>
          <w:marBottom w:val="0"/>
          <w:divBdr>
            <w:top w:val="none" w:sz="0" w:space="0" w:color="auto"/>
            <w:left w:val="none" w:sz="0" w:space="0" w:color="auto"/>
            <w:bottom w:val="none" w:sz="0" w:space="0" w:color="auto"/>
            <w:right w:val="none" w:sz="0" w:space="0" w:color="auto"/>
          </w:divBdr>
          <w:divsChild>
            <w:div w:id="1309869965">
              <w:marLeft w:val="0"/>
              <w:marRight w:val="0"/>
              <w:marTop w:val="0"/>
              <w:marBottom w:val="0"/>
              <w:divBdr>
                <w:top w:val="none" w:sz="0" w:space="0" w:color="auto"/>
                <w:left w:val="none" w:sz="0" w:space="0" w:color="auto"/>
                <w:bottom w:val="none" w:sz="0" w:space="0" w:color="auto"/>
                <w:right w:val="none" w:sz="0" w:space="0" w:color="auto"/>
              </w:divBdr>
              <w:divsChild>
                <w:div w:id="1581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3382">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0336">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455909102">
      <w:bodyDiv w:val="1"/>
      <w:marLeft w:val="0"/>
      <w:marRight w:val="0"/>
      <w:marTop w:val="0"/>
      <w:marBottom w:val="0"/>
      <w:divBdr>
        <w:top w:val="none" w:sz="0" w:space="0" w:color="auto"/>
        <w:left w:val="none" w:sz="0" w:space="0" w:color="auto"/>
        <w:bottom w:val="none" w:sz="0" w:space="0" w:color="auto"/>
        <w:right w:val="none" w:sz="0" w:space="0" w:color="auto"/>
      </w:divBdr>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750687624">
      <w:bodyDiv w:val="1"/>
      <w:marLeft w:val="0"/>
      <w:marRight w:val="0"/>
      <w:marTop w:val="0"/>
      <w:marBottom w:val="0"/>
      <w:divBdr>
        <w:top w:val="none" w:sz="0" w:space="0" w:color="auto"/>
        <w:left w:val="none" w:sz="0" w:space="0" w:color="auto"/>
        <w:bottom w:val="none" w:sz="0" w:space="0" w:color="auto"/>
        <w:right w:val="none" w:sz="0" w:space="0" w:color="auto"/>
      </w:divBdr>
    </w:div>
    <w:div w:id="1777410888">
      <w:bodyDiv w:val="1"/>
      <w:marLeft w:val="0"/>
      <w:marRight w:val="0"/>
      <w:marTop w:val="0"/>
      <w:marBottom w:val="0"/>
      <w:divBdr>
        <w:top w:val="none" w:sz="0" w:space="0" w:color="auto"/>
        <w:left w:val="none" w:sz="0" w:space="0" w:color="auto"/>
        <w:bottom w:val="none" w:sz="0" w:space="0" w:color="auto"/>
        <w:right w:val="none" w:sz="0" w:space="0" w:color="auto"/>
      </w:divBdr>
      <w:divsChild>
        <w:div w:id="2074618318">
          <w:marLeft w:val="0"/>
          <w:marRight w:val="0"/>
          <w:marTop w:val="0"/>
          <w:marBottom w:val="0"/>
          <w:divBdr>
            <w:top w:val="none" w:sz="0" w:space="0" w:color="auto"/>
            <w:left w:val="none" w:sz="0" w:space="0" w:color="auto"/>
            <w:bottom w:val="none" w:sz="0" w:space="0" w:color="auto"/>
            <w:right w:val="none" w:sz="0" w:space="0" w:color="auto"/>
          </w:divBdr>
          <w:divsChild>
            <w:div w:id="291205795">
              <w:marLeft w:val="0"/>
              <w:marRight w:val="0"/>
              <w:marTop w:val="0"/>
              <w:marBottom w:val="0"/>
              <w:divBdr>
                <w:top w:val="none" w:sz="0" w:space="0" w:color="auto"/>
                <w:left w:val="none" w:sz="0" w:space="0" w:color="auto"/>
                <w:bottom w:val="none" w:sz="0" w:space="0" w:color="auto"/>
                <w:right w:val="none" w:sz="0" w:space="0" w:color="auto"/>
              </w:divBdr>
              <w:divsChild>
                <w:div w:id="20742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879735404">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47733028">
      <w:bodyDiv w:val="1"/>
      <w:marLeft w:val="0"/>
      <w:marRight w:val="0"/>
      <w:marTop w:val="0"/>
      <w:marBottom w:val="0"/>
      <w:divBdr>
        <w:top w:val="none" w:sz="0" w:space="0" w:color="auto"/>
        <w:left w:val="none" w:sz="0" w:space="0" w:color="auto"/>
        <w:bottom w:val="none" w:sz="0" w:space="0" w:color="auto"/>
        <w:right w:val="none" w:sz="0" w:space="0" w:color="auto"/>
      </w:divBdr>
    </w:div>
    <w:div w:id="1953826200">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91595819">
      <w:bodyDiv w:val="1"/>
      <w:marLeft w:val="0"/>
      <w:marRight w:val="0"/>
      <w:marTop w:val="0"/>
      <w:marBottom w:val="0"/>
      <w:divBdr>
        <w:top w:val="none" w:sz="0" w:space="0" w:color="auto"/>
        <w:left w:val="none" w:sz="0" w:space="0" w:color="auto"/>
        <w:bottom w:val="none" w:sz="0" w:space="0" w:color="auto"/>
        <w:right w:val="none" w:sz="0" w:space="0" w:color="auto"/>
      </w:divBdr>
    </w:div>
    <w:div w:id="1993674228">
      <w:bodyDiv w:val="1"/>
      <w:marLeft w:val="0"/>
      <w:marRight w:val="0"/>
      <w:marTop w:val="0"/>
      <w:marBottom w:val="0"/>
      <w:divBdr>
        <w:top w:val="none" w:sz="0" w:space="0" w:color="auto"/>
        <w:left w:val="none" w:sz="0" w:space="0" w:color="auto"/>
        <w:bottom w:val="none" w:sz="0" w:space="0" w:color="auto"/>
        <w:right w:val="none" w:sz="0" w:space="0" w:color="auto"/>
      </w:divBdr>
    </w:div>
    <w:div w:id="2022976210">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59A2-903D-46CA-AA6D-913D0490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2971</Words>
  <Characters>17832</Characters>
  <Application>Microsoft Office Word</Application>
  <DocSecurity>0</DocSecurity>
  <Lines>1486</Lines>
  <Paragraphs>1094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2023-01-08T08:56:00Z</cp:lastPrinted>
  <dcterms:created xsi:type="dcterms:W3CDTF">2023-01-11T13:41:00Z</dcterms:created>
  <dcterms:modified xsi:type="dcterms:W3CDTF">2023-01-12T18:22:00Z</dcterms:modified>
</cp:coreProperties>
</file>