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08" w:rsidRPr="00A81108" w:rsidRDefault="00A81108" w:rsidP="00A81108">
      <w:pPr>
        <w:spacing w:after="120" w:line="360" w:lineRule="auto"/>
        <w:jc w:val="center"/>
        <w:rPr>
          <w:rFonts w:cs="Arial"/>
          <w:b/>
          <w:bCs/>
          <w:sz w:val="22"/>
        </w:rPr>
      </w:pPr>
      <w:r w:rsidRPr="00A81108">
        <w:rPr>
          <w:rFonts w:cs="Arial"/>
          <w:b/>
          <w:bCs/>
          <w:noProof/>
          <w:sz w:val="22"/>
          <w:lang w:val="en-US"/>
        </w:rPr>
        <w:drawing>
          <wp:inline distT="0" distB="0" distL="0" distR="0" wp14:anchorId="75BDA8DB" wp14:editId="0803CFB9">
            <wp:extent cx="1536065" cy="1536065"/>
            <wp:effectExtent l="0" t="0" r="6985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108" w:rsidRPr="00A81108" w:rsidRDefault="00A81108" w:rsidP="00A81108">
      <w:pPr>
        <w:jc w:val="center"/>
        <w:rPr>
          <w:b/>
          <w:sz w:val="22"/>
        </w:rPr>
      </w:pPr>
      <w:r w:rsidRPr="00A81108">
        <w:rPr>
          <w:b/>
          <w:sz w:val="22"/>
        </w:rPr>
        <w:t xml:space="preserve">IN THE HIGH COURT OF SOUTH AFRICA, </w:t>
      </w:r>
    </w:p>
    <w:p w:rsidR="00A81108" w:rsidRPr="00A81108" w:rsidRDefault="00A81108" w:rsidP="00A81108">
      <w:pPr>
        <w:jc w:val="center"/>
        <w:rPr>
          <w:b/>
          <w:sz w:val="22"/>
        </w:rPr>
      </w:pPr>
      <w:r w:rsidRPr="00A81108">
        <w:rPr>
          <w:b/>
          <w:sz w:val="22"/>
        </w:rPr>
        <w:t xml:space="preserve">GAUTENG </w:t>
      </w:r>
      <w:r w:rsidR="00E2420C">
        <w:rPr>
          <w:b/>
          <w:sz w:val="22"/>
        </w:rPr>
        <w:t>LOCA</w:t>
      </w:r>
      <w:r w:rsidR="00F82337">
        <w:rPr>
          <w:b/>
          <w:sz w:val="22"/>
        </w:rPr>
        <w:t xml:space="preserve">L </w:t>
      </w:r>
      <w:r w:rsidRPr="00A81108">
        <w:rPr>
          <w:b/>
          <w:sz w:val="22"/>
        </w:rPr>
        <w:t>DIVISION, JOHANNESBURG</w:t>
      </w:r>
    </w:p>
    <w:p w:rsidR="00A81108" w:rsidRPr="00A81108" w:rsidRDefault="00A81108" w:rsidP="00A81108">
      <w:pPr>
        <w:jc w:val="both"/>
        <w:rPr>
          <w:b/>
          <w:sz w:val="22"/>
        </w:rPr>
      </w:pPr>
    </w:p>
    <w:p w:rsidR="00A81108" w:rsidRDefault="00A81108" w:rsidP="00A81108">
      <w:pPr>
        <w:spacing w:line="360" w:lineRule="auto"/>
        <w:jc w:val="right"/>
        <w:rPr>
          <w:b/>
          <w:sz w:val="22"/>
        </w:rPr>
      </w:pPr>
      <w:r w:rsidRPr="00A81108">
        <w:rPr>
          <w:b/>
          <w:sz w:val="22"/>
        </w:rPr>
        <w:t xml:space="preserve">CASE NO:  </w:t>
      </w:r>
      <w:r w:rsidR="008B2008">
        <w:rPr>
          <w:b/>
          <w:sz w:val="22"/>
        </w:rPr>
        <w:t>2022/037664</w:t>
      </w:r>
    </w:p>
    <w:p w:rsidR="00A81108" w:rsidRPr="00A81108" w:rsidRDefault="00A81108" w:rsidP="00A81108">
      <w:pPr>
        <w:spacing w:line="360" w:lineRule="auto"/>
        <w:jc w:val="right"/>
        <w:rPr>
          <w:sz w:val="22"/>
        </w:rPr>
      </w:pPr>
      <w:r w:rsidRPr="00A81108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4B0EB" wp14:editId="0743F081">
                <wp:simplePos x="0" y="0"/>
                <wp:positionH relativeFrom="column">
                  <wp:posOffset>-4445</wp:posOffset>
                </wp:positionH>
                <wp:positionV relativeFrom="paragraph">
                  <wp:posOffset>47189</wp:posOffset>
                </wp:positionV>
                <wp:extent cx="3314700" cy="13716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08" w:rsidRPr="00913F95" w:rsidRDefault="00A81108" w:rsidP="00A811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108" w:rsidRDefault="00ED1FA4" w:rsidP="00ED1FA4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A8110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NO</w:t>
                            </w:r>
                          </w:p>
                          <w:p w:rsidR="00A81108" w:rsidRPr="00913F95" w:rsidRDefault="00ED1FA4" w:rsidP="00ED1FA4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A81108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</w:t>
                            </w:r>
                            <w:r w:rsidR="00A8110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81108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A81108" w:rsidRPr="00913F95" w:rsidRDefault="00ED1FA4" w:rsidP="00ED1FA4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A81108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</w:t>
                            </w:r>
                            <w:r w:rsidR="00A8110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81108" w:rsidRDefault="00A81108" w:rsidP="00A8110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81108" w:rsidRPr="00084341" w:rsidRDefault="00A81108" w:rsidP="00A8110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8A239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239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396" w:rsidRPr="008A239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12 June 2023</w:t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:rsidR="00A81108" w:rsidRPr="00084341" w:rsidRDefault="00A81108" w:rsidP="00A8110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DATE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4B0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5pt;margin-top:3.7pt;width:26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">
                <v:textbox>
                  <w:txbxContent>
                    <w:p w:rsidR="00A81108" w:rsidRPr="00913F95" w:rsidRDefault="00A81108" w:rsidP="00A81108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A81108" w:rsidRDefault="00ED1FA4" w:rsidP="00ED1FA4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A81108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NO</w:t>
                      </w:r>
                    </w:p>
                    <w:p w:rsidR="00A81108" w:rsidRPr="00913F95" w:rsidRDefault="00ED1FA4" w:rsidP="00ED1FA4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A81108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</w:t>
                      </w:r>
                      <w:r w:rsidR="00A8110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 w:rsidR="00A81108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:rsidR="00A81108" w:rsidRPr="00913F95" w:rsidRDefault="00ED1FA4" w:rsidP="00ED1FA4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A81108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</w:t>
                      </w:r>
                      <w:r w:rsidR="00A8110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81108" w:rsidRDefault="00A81108" w:rsidP="00A8110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A81108" w:rsidRPr="00084341" w:rsidRDefault="00A81108" w:rsidP="00A8110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8A239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A239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A2396" w:rsidRPr="008A2396">
                        <w:rPr>
                          <w:rFonts w:ascii="Century Gothic" w:hAnsi="Century Gothic"/>
                          <w:sz w:val="18"/>
                          <w:szCs w:val="18"/>
                        </w:rPr>
                        <w:t>12 June 2023</w:t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:rsidR="00A81108" w:rsidRPr="00084341" w:rsidRDefault="00A81108" w:rsidP="00A8110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DATE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A81108" w:rsidRPr="00A81108" w:rsidRDefault="00A81108" w:rsidP="00A81108">
      <w:pPr>
        <w:spacing w:line="360" w:lineRule="auto"/>
        <w:jc w:val="both"/>
        <w:rPr>
          <w:sz w:val="22"/>
        </w:rPr>
      </w:pPr>
    </w:p>
    <w:p w:rsidR="00A81108" w:rsidRPr="00A81108" w:rsidRDefault="00A81108" w:rsidP="00A81108">
      <w:pPr>
        <w:spacing w:line="360" w:lineRule="auto"/>
        <w:jc w:val="both"/>
        <w:rPr>
          <w:sz w:val="22"/>
        </w:rPr>
      </w:pPr>
    </w:p>
    <w:p w:rsidR="00A81108" w:rsidRPr="00A81108" w:rsidRDefault="00A81108" w:rsidP="00A81108">
      <w:pPr>
        <w:spacing w:line="360" w:lineRule="auto"/>
        <w:jc w:val="both"/>
        <w:rPr>
          <w:sz w:val="22"/>
        </w:rPr>
      </w:pPr>
    </w:p>
    <w:p w:rsidR="00A81108" w:rsidRPr="00A81108" w:rsidRDefault="00A81108" w:rsidP="00A81108">
      <w:pPr>
        <w:spacing w:line="480" w:lineRule="auto"/>
        <w:jc w:val="both"/>
        <w:rPr>
          <w:sz w:val="22"/>
        </w:rPr>
      </w:pPr>
    </w:p>
    <w:p w:rsidR="00A81108" w:rsidRPr="00A81108" w:rsidRDefault="00A81108" w:rsidP="00A81108">
      <w:pPr>
        <w:spacing w:line="480" w:lineRule="auto"/>
        <w:jc w:val="both"/>
        <w:rPr>
          <w:sz w:val="22"/>
        </w:rPr>
      </w:pPr>
    </w:p>
    <w:p w:rsidR="00A81108" w:rsidRPr="00A81108" w:rsidRDefault="00A81108" w:rsidP="00A81108">
      <w:pPr>
        <w:spacing w:line="480" w:lineRule="auto"/>
        <w:jc w:val="both"/>
        <w:rPr>
          <w:rFonts w:cs="Arial"/>
          <w:sz w:val="22"/>
          <w:szCs w:val="22"/>
        </w:rPr>
      </w:pPr>
      <w:r w:rsidRPr="00A81108">
        <w:rPr>
          <w:rFonts w:cs="Arial"/>
          <w:sz w:val="22"/>
          <w:szCs w:val="22"/>
        </w:rPr>
        <w:t>In the matter between:</w:t>
      </w:r>
    </w:p>
    <w:p w:rsidR="00A81108" w:rsidRPr="00A81108" w:rsidRDefault="00A81108" w:rsidP="00A81108">
      <w:pPr>
        <w:spacing w:line="480" w:lineRule="auto"/>
        <w:jc w:val="both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79"/>
        <w:gridCol w:w="2372"/>
      </w:tblGrid>
      <w:tr w:rsidR="00A81108" w:rsidRPr="00A81108" w:rsidTr="008A04EF">
        <w:tc>
          <w:tcPr>
            <w:tcW w:w="6345" w:type="dxa"/>
          </w:tcPr>
          <w:p w:rsidR="00A81108" w:rsidRPr="00A81108" w:rsidRDefault="008B2008" w:rsidP="00AD19A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HLOMP</w:t>
            </w:r>
            <w:r w:rsidR="00C845A3">
              <w:rPr>
                <w:rFonts w:cs="Arial"/>
                <w:b/>
                <w:bCs/>
                <w:sz w:val="22"/>
                <w:szCs w:val="22"/>
              </w:rPr>
              <w:t>H</w:t>
            </w:r>
            <w:r>
              <w:rPr>
                <w:rFonts w:cs="Arial"/>
                <w:b/>
                <w:bCs/>
                <w:sz w:val="22"/>
                <w:szCs w:val="22"/>
              </w:rPr>
              <w:t>O HUMPHREY LEPHAILA</w:t>
            </w:r>
          </w:p>
        </w:tc>
        <w:tc>
          <w:tcPr>
            <w:tcW w:w="2410" w:type="dxa"/>
          </w:tcPr>
          <w:p w:rsidR="00A81108" w:rsidRPr="00A81108" w:rsidRDefault="008B2008" w:rsidP="00B30362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Applicant</w:t>
            </w:r>
          </w:p>
        </w:tc>
      </w:tr>
      <w:tr w:rsidR="00A81108" w:rsidRPr="00A81108" w:rsidTr="008A04EF">
        <w:tc>
          <w:tcPr>
            <w:tcW w:w="6345" w:type="dxa"/>
          </w:tcPr>
          <w:p w:rsidR="00A81108" w:rsidRPr="00A81108" w:rsidRDefault="00A81108" w:rsidP="00A81108">
            <w:pPr>
              <w:rPr>
                <w:sz w:val="22"/>
                <w:szCs w:val="22"/>
              </w:rPr>
            </w:pPr>
          </w:p>
          <w:p w:rsidR="00A81108" w:rsidRPr="00A81108" w:rsidRDefault="00A81108" w:rsidP="00A8110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1108" w:rsidRPr="00A81108" w:rsidRDefault="00A81108" w:rsidP="00A81108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81108" w:rsidRPr="00A81108" w:rsidTr="008A04EF">
        <w:tc>
          <w:tcPr>
            <w:tcW w:w="6345" w:type="dxa"/>
          </w:tcPr>
          <w:p w:rsidR="00A81108" w:rsidRPr="00A81108" w:rsidRDefault="00A81108" w:rsidP="00A81108">
            <w:pPr>
              <w:rPr>
                <w:sz w:val="22"/>
                <w:szCs w:val="22"/>
              </w:rPr>
            </w:pPr>
            <w:r w:rsidRPr="00A81108">
              <w:rPr>
                <w:sz w:val="22"/>
                <w:szCs w:val="22"/>
              </w:rPr>
              <w:t xml:space="preserve">and  </w:t>
            </w:r>
          </w:p>
        </w:tc>
        <w:tc>
          <w:tcPr>
            <w:tcW w:w="2410" w:type="dxa"/>
          </w:tcPr>
          <w:p w:rsidR="00A81108" w:rsidRPr="00A81108" w:rsidRDefault="00A81108" w:rsidP="00A81108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81108" w:rsidRPr="00A81108" w:rsidTr="008A04EF">
        <w:tc>
          <w:tcPr>
            <w:tcW w:w="6345" w:type="dxa"/>
          </w:tcPr>
          <w:p w:rsidR="00A81108" w:rsidRPr="00A81108" w:rsidRDefault="00A81108" w:rsidP="00A81108">
            <w:pPr>
              <w:rPr>
                <w:sz w:val="22"/>
                <w:szCs w:val="22"/>
              </w:rPr>
            </w:pPr>
          </w:p>
          <w:p w:rsidR="00A81108" w:rsidRPr="00A81108" w:rsidRDefault="00A81108" w:rsidP="00A8110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1108" w:rsidRPr="00A81108" w:rsidRDefault="00A81108" w:rsidP="00A81108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81108" w:rsidRPr="00A81108" w:rsidTr="008A04EF">
        <w:tc>
          <w:tcPr>
            <w:tcW w:w="6345" w:type="dxa"/>
          </w:tcPr>
          <w:p w:rsidR="00A81108" w:rsidRPr="00AD19A0" w:rsidRDefault="008B2008" w:rsidP="00A811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 OF JUSTICE AND CORRECTIONAL SERVICES</w:t>
            </w:r>
          </w:p>
        </w:tc>
        <w:tc>
          <w:tcPr>
            <w:tcW w:w="2410" w:type="dxa"/>
          </w:tcPr>
          <w:p w:rsidR="00A81108" w:rsidRPr="00A81108" w:rsidRDefault="008B2008" w:rsidP="00B30362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 Respondent</w:t>
            </w:r>
          </w:p>
        </w:tc>
      </w:tr>
      <w:tr w:rsidR="008B2008" w:rsidRPr="00A81108" w:rsidTr="008A04EF">
        <w:tc>
          <w:tcPr>
            <w:tcW w:w="6345" w:type="dxa"/>
          </w:tcPr>
          <w:p w:rsidR="008B2008" w:rsidRDefault="008B2008" w:rsidP="00A81108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B2008" w:rsidRDefault="008B2008" w:rsidP="00B30362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8B2008" w:rsidRPr="00A81108" w:rsidTr="008A04EF">
        <w:tc>
          <w:tcPr>
            <w:tcW w:w="6345" w:type="dxa"/>
          </w:tcPr>
          <w:p w:rsidR="008B2008" w:rsidRDefault="008B2008" w:rsidP="00A811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CHAIRPERSON OF THE NATIONAL COUNCIL OF CORRECTIONAL SERVICES</w:t>
            </w:r>
          </w:p>
        </w:tc>
        <w:tc>
          <w:tcPr>
            <w:tcW w:w="2410" w:type="dxa"/>
          </w:tcPr>
          <w:p w:rsidR="008B2008" w:rsidRDefault="008B2008" w:rsidP="00B30362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B2008" w:rsidRDefault="008B2008" w:rsidP="00B30362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Second Respondent</w:t>
            </w:r>
          </w:p>
        </w:tc>
      </w:tr>
    </w:tbl>
    <w:p w:rsidR="00A81108" w:rsidRPr="00A81108" w:rsidRDefault="00A81108" w:rsidP="00A81108">
      <w:pPr>
        <w:spacing w:line="360" w:lineRule="auto"/>
        <w:jc w:val="both"/>
        <w:rPr>
          <w:rFonts w:cs="Arial"/>
          <w:sz w:val="22"/>
          <w:szCs w:val="22"/>
        </w:rPr>
      </w:pPr>
    </w:p>
    <w:p w:rsidR="00A81108" w:rsidRPr="00A81108" w:rsidRDefault="00A81108" w:rsidP="00A81108">
      <w:pPr>
        <w:pBdr>
          <w:bottom w:val="single" w:sz="4" w:space="1" w:color="auto"/>
        </w:pBdr>
        <w:spacing w:line="360" w:lineRule="auto"/>
        <w:jc w:val="both"/>
        <w:rPr>
          <w:rFonts w:cs="Arial"/>
          <w:sz w:val="22"/>
          <w:szCs w:val="22"/>
        </w:rPr>
      </w:pPr>
    </w:p>
    <w:p w:rsidR="00A81108" w:rsidRPr="00A81108" w:rsidRDefault="00A81108" w:rsidP="00A81108">
      <w:pPr>
        <w:spacing w:line="276" w:lineRule="auto"/>
        <w:jc w:val="both"/>
        <w:rPr>
          <w:rFonts w:cs="Arial"/>
          <w:sz w:val="22"/>
          <w:szCs w:val="22"/>
        </w:rPr>
      </w:pPr>
    </w:p>
    <w:p w:rsidR="00A81108" w:rsidRPr="00A81108" w:rsidRDefault="00A81108" w:rsidP="00A81108">
      <w:pPr>
        <w:keepNext/>
        <w:spacing w:line="276" w:lineRule="auto"/>
        <w:jc w:val="center"/>
        <w:outlineLvl w:val="1"/>
        <w:rPr>
          <w:rFonts w:cs="Arial"/>
          <w:b/>
          <w:bCs/>
          <w:sz w:val="22"/>
          <w:szCs w:val="22"/>
        </w:rPr>
      </w:pPr>
      <w:r w:rsidRPr="00A81108">
        <w:rPr>
          <w:rFonts w:cs="Arial"/>
          <w:b/>
          <w:bCs/>
          <w:sz w:val="22"/>
          <w:szCs w:val="22"/>
        </w:rPr>
        <w:t>JUDGMENT</w:t>
      </w:r>
    </w:p>
    <w:p w:rsidR="00A81108" w:rsidRPr="00A81108" w:rsidRDefault="00A81108" w:rsidP="00A81108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</w:p>
    <w:p w:rsidR="00A81108" w:rsidRPr="00A81108" w:rsidRDefault="00A81108" w:rsidP="00A81108">
      <w:pPr>
        <w:spacing w:after="480" w:line="480" w:lineRule="auto"/>
        <w:jc w:val="both"/>
        <w:rPr>
          <w:rFonts w:cs="Arial"/>
          <w:sz w:val="22"/>
          <w:szCs w:val="22"/>
        </w:rPr>
      </w:pPr>
    </w:p>
    <w:p w:rsidR="00A81108" w:rsidRPr="00A81108" w:rsidRDefault="00A81108" w:rsidP="00A81108">
      <w:pPr>
        <w:spacing w:after="480" w:line="480" w:lineRule="auto"/>
        <w:jc w:val="both"/>
        <w:rPr>
          <w:rFonts w:cs="Arial"/>
          <w:b/>
          <w:sz w:val="22"/>
          <w:szCs w:val="22"/>
        </w:rPr>
      </w:pPr>
      <w:r w:rsidRPr="00A81108">
        <w:rPr>
          <w:rFonts w:cs="Arial"/>
          <w:b/>
          <w:sz w:val="22"/>
          <w:szCs w:val="22"/>
        </w:rPr>
        <w:t>CRUTCHFIELD J:</w:t>
      </w:r>
    </w:p>
    <w:p w:rsidR="00463BED" w:rsidRPr="008B2008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8B2008">
        <w:rPr>
          <w:rFonts w:cs="Arial"/>
          <w:bCs/>
          <w:sz w:val="21"/>
          <w:szCs w:val="21"/>
        </w:rPr>
        <w:lastRenderedPageBreak/>
        <w:t>[1]</w:t>
      </w:r>
      <w:r w:rsidRPr="008B2008">
        <w:rPr>
          <w:rFonts w:cs="Arial"/>
          <w:bCs/>
          <w:sz w:val="21"/>
          <w:szCs w:val="21"/>
        </w:rPr>
        <w:tab/>
      </w:r>
      <w:r w:rsidR="008B2008">
        <w:rPr>
          <w:rFonts w:cs="Arial"/>
          <w:bCs/>
          <w:szCs w:val="22"/>
        </w:rPr>
        <w:t>This matter came before me on the unopposed motion roll of 12 April 2023. The applicant</w:t>
      </w:r>
      <w:r w:rsidR="00353469">
        <w:rPr>
          <w:rFonts w:cs="Arial"/>
          <w:bCs/>
          <w:szCs w:val="22"/>
        </w:rPr>
        <w:t>,</w:t>
      </w:r>
      <w:r w:rsidR="008B2008">
        <w:rPr>
          <w:rFonts w:cs="Arial"/>
          <w:bCs/>
          <w:szCs w:val="22"/>
        </w:rPr>
        <w:t xml:space="preserve"> </w:t>
      </w:r>
      <w:r w:rsidR="00353469" w:rsidRPr="00353469">
        <w:rPr>
          <w:rFonts w:cs="Arial"/>
          <w:bCs/>
          <w:sz w:val="22"/>
          <w:szCs w:val="22"/>
        </w:rPr>
        <w:t>Hlomp</w:t>
      </w:r>
      <w:r w:rsidR="00C845A3">
        <w:rPr>
          <w:rFonts w:cs="Arial"/>
          <w:bCs/>
          <w:sz w:val="22"/>
          <w:szCs w:val="22"/>
        </w:rPr>
        <w:t>h</w:t>
      </w:r>
      <w:r w:rsidR="00353469" w:rsidRPr="00353469">
        <w:rPr>
          <w:rFonts w:cs="Arial"/>
          <w:bCs/>
          <w:sz w:val="22"/>
          <w:szCs w:val="22"/>
        </w:rPr>
        <w:t>o Humphrey Lephaila</w:t>
      </w:r>
      <w:r w:rsidR="00353469">
        <w:rPr>
          <w:rFonts w:cs="Arial"/>
          <w:bCs/>
          <w:sz w:val="22"/>
          <w:szCs w:val="22"/>
        </w:rPr>
        <w:t>,</w:t>
      </w:r>
      <w:r w:rsidR="00353469">
        <w:rPr>
          <w:rFonts w:cs="Arial"/>
          <w:bCs/>
          <w:szCs w:val="22"/>
        </w:rPr>
        <w:t xml:space="preserve"> appeared in person. T</w:t>
      </w:r>
      <w:r w:rsidR="008B2008">
        <w:rPr>
          <w:rFonts w:cs="Arial"/>
          <w:bCs/>
          <w:szCs w:val="22"/>
        </w:rPr>
        <w:t xml:space="preserve">he </w:t>
      </w:r>
      <w:r w:rsidR="00353469">
        <w:rPr>
          <w:rFonts w:cs="Arial"/>
          <w:bCs/>
          <w:szCs w:val="22"/>
        </w:rPr>
        <w:t xml:space="preserve">first </w:t>
      </w:r>
      <w:r w:rsidR="008B2008">
        <w:rPr>
          <w:rFonts w:cs="Arial"/>
          <w:bCs/>
          <w:szCs w:val="22"/>
        </w:rPr>
        <w:t xml:space="preserve">respondent, the Minister of Justice and Correctional Services, and the second respondent, the </w:t>
      </w:r>
      <w:r w:rsidR="00353469">
        <w:rPr>
          <w:rFonts w:cs="Arial"/>
          <w:bCs/>
          <w:szCs w:val="22"/>
        </w:rPr>
        <w:t xml:space="preserve">Chairperson of the </w:t>
      </w:r>
      <w:r w:rsidR="008B2008">
        <w:rPr>
          <w:rFonts w:cs="Arial"/>
          <w:bCs/>
          <w:szCs w:val="22"/>
        </w:rPr>
        <w:t>National Council of Correctional Services</w:t>
      </w:r>
      <w:r w:rsidR="005F734A">
        <w:rPr>
          <w:rFonts w:cs="Arial"/>
          <w:bCs/>
          <w:szCs w:val="22"/>
        </w:rPr>
        <w:t xml:space="preserve">, </w:t>
      </w:r>
      <w:r w:rsidR="002502C9">
        <w:rPr>
          <w:rFonts w:cs="Arial"/>
          <w:bCs/>
          <w:szCs w:val="22"/>
        </w:rPr>
        <w:t xml:space="preserve">opposed the application and </w:t>
      </w:r>
      <w:r w:rsidR="005F734A">
        <w:rPr>
          <w:rFonts w:cs="Arial"/>
          <w:bCs/>
          <w:szCs w:val="22"/>
        </w:rPr>
        <w:t>were represented by the state a</w:t>
      </w:r>
      <w:r w:rsidR="008B2008">
        <w:rPr>
          <w:rFonts w:cs="Arial"/>
          <w:bCs/>
          <w:szCs w:val="22"/>
        </w:rPr>
        <w:t xml:space="preserve">ttorney at the hearing. </w:t>
      </w:r>
    </w:p>
    <w:p w:rsidR="008B2008" w:rsidRPr="008B2008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8B2008">
        <w:rPr>
          <w:rFonts w:cs="Arial"/>
          <w:bCs/>
          <w:sz w:val="21"/>
          <w:szCs w:val="21"/>
        </w:rPr>
        <w:t>[2]</w:t>
      </w:r>
      <w:r w:rsidRPr="008B2008">
        <w:rPr>
          <w:rFonts w:cs="Arial"/>
          <w:bCs/>
          <w:sz w:val="21"/>
          <w:szCs w:val="21"/>
        </w:rPr>
        <w:tab/>
      </w:r>
      <w:r w:rsidR="005F734A">
        <w:rPr>
          <w:rFonts w:cs="Arial"/>
          <w:bCs/>
          <w:szCs w:val="22"/>
        </w:rPr>
        <w:t>The state a</w:t>
      </w:r>
      <w:r w:rsidR="008B2008">
        <w:rPr>
          <w:rFonts w:cs="Arial"/>
          <w:bCs/>
          <w:szCs w:val="22"/>
        </w:rPr>
        <w:t>ttorney complained that the respondents had not been s</w:t>
      </w:r>
      <w:r w:rsidR="00353469">
        <w:rPr>
          <w:rFonts w:cs="Arial"/>
          <w:bCs/>
          <w:szCs w:val="22"/>
        </w:rPr>
        <w:t>erved with the application. The respondents had not filed opposing affidavits but</w:t>
      </w:r>
      <w:r w:rsidR="005F734A">
        <w:rPr>
          <w:rFonts w:cs="Arial"/>
          <w:bCs/>
          <w:szCs w:val="22"/>
        </w:rPr>
        <w:t xml:space="preserve"> the s</w:t>
      </w:r>
      <w:r w:rsidR="008B2008">
        <w:rPr>
          <w:rFonts w:cs="Arial"/>
          <w:bCs/>
          <w:szCs w:val="22"/>
        </w:rPr>
        <w:t xml:space="preserve">tate </w:t>
      </w:r>
      <w:r w:rsidR="005F734A">
        <w:rPr>
          <w:rFonts w:cs="Arial"/>
          <w:bCs/>
          <w:szCs w:val="22"/>
        </w:rPr>
        <w:t>a</w:t>
      </w:r>
      <w:r w:rsidR="008B2008">
        <w:rPr>
          <w:rFonts w:cs="Arial"/>
          <w:bCs/>
          <w:szCs w:val="22"/>
        </w:rPr>
        <w:t>ttorney e</w:t>
      </w:r>
      <w:r w:rsidR="00353469">
        <w:rPr>
          <w:rFonts w:cs="Arial"/>
          <w:bCs/>
          <w:szCs w:val="22"/>
        </w:rPr>
        <w:t>lected to proceed with argument</w:t>
      </w:r>
      <w:r w:rsidR="008B2008">
        <w:rPr>
          <w:rFonts w:cs="Arial"/>
          <w:bCs/>
          <w:szCs w:val="22"/>
        </w:rPr>
        <w:t xml:space="preserve"> in the matter.</w:t>
      </w:r>
      <w:r w:rsidR="00353469">
        <w:rPr>
          <w:rFonts w:cs="Arial"/>
          <w:bCs/>
          <w:szCs w:val="22"/>
        </w:rPr>
        <w:t xml:space="preserve">   </w:t>
      </w:r>
    </w:p>
    <w:p w:rsidR="008B2008" w:rsidRPr="008B2008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8B2008">
        <w:rPr>
          <w:rFonts w:cs="Arial"/>
          <w:bCs/>
          <w:sz w:val="21"/>
          <w:szCs w:val="21"/>
        </w:rPr>
        <w:t>[3]</w:t>
      </w:r>
      <w:r w:rsidRPr="008B2008">
        <w:rPr>
          <w:rFonts w:cs="Arial"/>
          <w:bCs/>
          <w:sz w:val="21"/>
          <w:szCs w:val="21"/>
        </w:rPr>
        <w:tab/>
      </w:r>
      <w:r w:rsidR="008B2008">
        <w:rPr>
          <w:rFonts w:cs="Arial"/>
          <w:bCs/>
          <w:szCs w:val="22"/>
        </w:rPr>
        <w:t>The applicant claimed the following relief:</w:t>
      </w:r>
    </w:p>
    <w:p w:rsidR="008B2008" w:rsidRPr="008B2008" w:rsidRDefault="00ED1FA4" w:rsidP="00ED1FA4">
      <w:pPr>
        <w:tabs>
          <w:tab w:val="left" w:pos="1531"/>
        </w:tabs>
        <w:spacing w:after="480" w:line="480" w:lineRule="auto"/>
        <w:ind w:left="1531" w:hanging="851"/>
        <w:jc w:val="both"/>
        <w:rPr>
          <w:rFonts w:cs="Arial"/>
          <w:bCs/>
          <w:sz w:val="22"/>
          <w:szCs w:val="22"/>
        </w:rPr>
      </w:pPr>
      <w:r w:rsidRPr="008B2008">
        <w:rPr>
          <w:rFonts w:cs="Arial"/>
          <w:bCs/>
          <w:sz w:val="22"/>
          <w:szCs w:val="22"/>
        </w:rPr>
        <w:t>3.</w:t>
      </w:r>
      <w:bookmarkStart w:id="0" w:name="_GoBack"/>
      <w:bookmarkEnd w:id="0"/>
      <w:r w:rsidRPr="008B2008">
        <w:rPr>
          <w:rFonts w:cs="Arial"/>
          <w:bCs/>
          <w:sz w:val="22"/>
          <w:szCs w:val="22"/>
        </w:rPr>
        <w:t>1</w:t>
      </w:r>
      <w:r w:rsidRPr="008B2008">
        <w:rPr>
          <w:rFonts w:cs="Arial"/>
          <w:bCs/>
          <w:sz w:val="22"/>
          <w:szCs w:val="22"/>
        </w:rPr>
        <w:tab/>
      </w:r>
      <w:r w:rsidR="008B2008">
        <w:rPr>
          <w:rFonts w:cs="Arial"/>
          <w:bCs/>
          <w:szCs w:val="22"/>
        </w:rPr>
        <w:t>That the matt</w:t>
      </w:r>
      <w:r w:rsidR="00353469">
        <w:rPr>
          <w:rFonts w:cs="Arial"/>
          <w:bCs/>
          <w:szCs w:val="22"/>
        </w:rPr>
        <w:t>er be dealt with</w:t>
      </w:r>
      <w:r w:rsidR="008B2008">
        <w:rPr>
          <w:rFonts w:cs="Arial"/>
          <w:bCs/>
          <w:szCs w:val="22"/>
        </w:rPr>
        <w:t xml:space="preserve"> urgen</w:t>
      </w:r>
      <w:r w:rsidR="00353469">
        <w:rPr>
          <w:rFonts w:cs="Arial"/>
          <w:bCs/>
          <w:szCs w:val="22"/>
        </w:rPr>
        <w:t xml:space="preserve">tly; </w:t>
      </w:r>
    </w:p>
    <w:p w:rsidR="008B2008" w:rsidRPr="008B2008" w:rsidRDefault="00ED1FA4" w:rsidP="00ED1FA4">
      <w:pPr>
        <w:tabs>
          <w:tab w:val="left" w:pos="1531"/>
        </w:tabs>
        <w:spacing w:after="480" w:line="480" w:lineRule="auto"/>
        <w:ind w:left="1531" w:hanging="851"/>
        <w:jc w:val="both"/>
        <w:rPr>
          <w:rFonts w:cs="Arial"/>
          <w:bCs/>
          <w:sz w:val="22"/>
          <w:szCs w:val="22"/>
        </w:rPr>
      </w:pPr>
      <w:r w:rsidRPr="008B2008">
        <w:rPr>
          <w:rFonts w:cs="Arial"/>
          <w:bCs/>
          <w:sz w:val="22"/>
          <w:szCs w:val="22"/>
        </w:rPr>
        <w:t>3.2</w:t>
      </w:r>
      <w:r w:rsidRPr="008B2008">
        <w:rPr>
          <w:rFonts w:cs="Arial"/>
          <w:bCs/>
          <w:sz w:val="22"/>
          <w:szCs w:val="22"/>
        </w:rPr>
        <w:tab/>
      </w:r>
      <w:r w:rsidR="008B2008">
        <w:rPr>
          <w:rFonts w:cs="Arial"/>
          <w:bCs/>
          <w:szCs w:val="22"/>
        </w:rPr>
        <w:t xml:space="preserve">A mandamus compelling the first </w:t>
      </w:r>
      <w:r w:rsidR="00353469">
        <w:rPr>
          <w:rFonts w:cs="Arial"/>
          <w:bCs/>
          <w:szCs w:val="22"/>
        </w:rPr>
        <w:t>respondent to consider placing</w:t>
      </w:r>
      <w:r w:rsidR="008B2008">
        <w:rPr>
          <w:rFonts w:cs="Arial"/>
          <w:bCs/>
          <w:szCs w:val="22"/>
        </w:rPr>
        <w:t xml:space="preserve"> the applicant on day parole and parole within 30 days;</w:t>
      </w:r>
    </w:p>
    <w:p w:rsidR="008B2008" w:rsidRPr="008B2008" w:rsidRDefault="00ED1FA4" w:rsidP="00ED1FA4">
      <w:pPr>
        <w:tabs>
          <w:tab w:val="left" w:pos="1531"/>
        </w:tabs>
        <w:spacing w:after="480" w:line="480" w:lineRule="auto"/>
        <w:ind w:left="1531" w:hanging="851"/>
        <w:jc w:val="both"/>
        <w:rPr>
          <w:rFonts w:cs="Arial"/>
          <w:bCs/>
          <w:sz w:val="22"/>
          <w:szCs w:val="22"/>
        </w:rPr>
      </w:pPr>
      <w:r w:rsidRPr="008B2008">
        <w:rPr>
          <w:rFonts w:cs="Arial"/>
          <w:bCs/>
          <w:sz w:val="22"/>
          <w:szCs w:val="22"/>
        </w:rPr>
        <w:t>3.3</w:t>
      </w:r>
      <w:r w:rsidRPr="008B2008">
        <w:rPr>
          <w:rFonts w:cs="Arial"/>
          <w:bCs/>
          <w:sz w:val="22"/>
          <w:szCs w:val="22"/>
        </w:rPr>
        <w:tab/>
      </w:r>
      <w:r w:rsidR="00353469">
        <w:rPr>
          <w:rFonts w:cs="Arial"/>
          <w:bCs/>
          <w:szCs w:val="22"/>
        </w:rPr>
        <w:t xml:space="preserve">That s </w:t>
      </w:r>
      <w:r w:rsidR="008B2008">
        <w:rPr>
          <w:rFonts w:cs="Arial"/>
          <w:bCs/>
          <w:szCs w:val="22"/>
        </w:rPr>
        <w:t>3(1) of the Promotion of Ad</w:t>
      </w:r>
      <w:r w:rsidR="00353469">
        <w:rPr>
          <w:rFonts w:cs="Arial"/>
          <w:bCs/>
          <w:szCs w:val="22"/>
        </w:rPr>
        <w:t xml:space="preserve">ministrative Justice Act 3 of 2000 and s </w:t>
      </w:r>
      <w:r w:rsidR="008B2008">
        <w:rPr>
          <w:rFonts w:cs="Arial"/>
          <w:bCs/>
          <w:szCs w:val="22"/>
        </w:rPr>
        <w:t>33(1) of the Constitution be considered;</w:t>
      </w:r>
    </w:p>
    <w:p w:rsidR="008B2008" w:rsidRPr="00353469" w:rsidRDefault="00ED1FA4" w:rsidP="00ED1FA4">
      <w:pPr>
        <w:tabs>
          <w:tab w:val="left" w:pos="1531"/>
        </w:tabs>
        <w:spacing w:after="480" w:line="480" w:lineRule="auto"/>
        <w:ind w:left="1531" w:hanging="851"/>
        <w:jc w:val="both"/>
        <w:rPr>
          <w:rFonts w:cs="Arial"/>
          <w:bCs/>
          <w:sz w:val="22"/>
          <w:szCs w:val="22"/>
        </w:rPr>
      </w:pPr>
      <w:r w:rsidRPr="00353469">
        <w:rPr>
          <w:rFonts w:cs="Arial"/>
          <w:bCs/>
          <w:sz w:val="22"/>
          <w:szCs w:val="22"/>
        </w:rPr>
        <w:t>3.4</w:t>
      </w:r>
      <w:r w:rsidRPr="00353469">
        <w:rPr>
          <w:rFonts w:cs="Arial"/>
          <w:bCs/>
          <w:sz w:val="22"/>
          <w:szCs w:val="22"/>
        </w:rPr>
        <w:tab/>
      </w:r>
      <w:r w:rsidR="008B2008">
        <w:rPr>
          <w:rFonts w:cs="Arial"/>
          <w:bCs/>
          <w:szCs w:val="22"/>
        </w:rPr>
        <w:t xml:space="preserve">That the </w:t>
      </w:r>
      <w:r w:rsidR="00353469">
        <w:rPr>
          <w:rFonts w:cs="Arial"/>
          <w:bCs/>
          <w:szCs w:val="22"/>
        </w:rPr>
        <w:t xml:space="preserve">first and </w:t>
      </w:r>
      <w:r w:rsidR="008B2008">
        <w:rPr>
          <w:rFonts w:cs="Arial"/>
          <w:bCs/>
          <w:szCs w:val="22"/>
        </w:rPr>
        <w:t>second respondent</w:t>
      </w:r>
      <w:r w:rsidR="00353469">
        <w:rPr>
          <w:rFonts w:cs="Arial"/>
          <w:bCs/>
          <w:szCs w:val="22"/>
        </w:rPr>
        <w:t>s</w:t>
      </w:r>
      <w:r w:rsidR="008B2008">
        <w:rPr>
          <w:rFonts w:cs="Arial"/>
          <w:bCs/>
          <w:szCs w:val="22"/>
        </w:rPr>
        <w:t xml:space="preserve"> </w:t>
      </w:r>
      <w:r w:rsidR="00353469">
        <w:rPr>
          <w:rFonts w:cs="Arial"/>
          <w:bCs/>
          <w:szCs w:val="22"/>
        </w:rPr>
        <w:t xml:space="preserve">act in terms of s </w:t>
      </w:r>
      <w:r w:rsidR="008B2008">
        <w:rPr>
          <w:rFonts w:cs="Arial"/>
          <w:bCs/>
          <w:szCs w:val="22"/>
        </w:rPr>
        <w:t>136(3)(b) of the Correc</w:t>
      </w:r>
      <w:r>
        <w:rPr>
          <w:rFonts w:cs="Arial"/>
          <w:bCs/>
          <w:szCs w:val="22"/>
        </w:rPr>
        <w:t>x</w:t>
      </w:r>
      <w:r w:rsidR="008B2008">
        <w:rPr>
          <w:rFonts w:cs="Arial"/>
          <w:bCs/>
          <w:szCs w:val="22"/>
        </w:rPr>
        <w:t>tional Services Act, 111 of 1998</w:t>
      </w:r>
      <w:r w:rsidR="00353469">
        <w:rPr>
          <w:rFonts w:cs="Arial"/>
          <w:bCs/>
          <w:szCs w:val="22"/>
        </w:rPr>
        <w:t xml:space="preserve"> (“the Act”)</w:t>
      </w:r>
      <w:r w:rsidR="002502C9" w:rsidRPr="002502C9">
        <w:rPr>
          <w:rFonts w:cs="Arial"/>
          <w:bCs/>
          <w:szCs w:val="22"/>
        </w:rPr>
        <w:t xml:space="preserve"> </w:t>
      </w:r>
      <w:r w:rsidR="002502C9">
        <w:rPr>
          <w:rFonts w:cs="Arial"/>
          <w:bCs/>
          <w:szCs w:val="22"/>
        </w:rPr>
        <w:t>within 180 days</w:t>
      </w:r>
      <w:r w:rsidR="008B2008">
        <w:rPr>
          <w:rFonts w:cs="Arial"/>
          <w:bCs/>
          <w:szCs w:val="22"/>
        </w:rPr>
        <w:t>;</w:t>
      </w:r>
      <w:r w:rsidR="00353469">
        <w:rPr>
          <w:rFonts w:cs="Arial"/>
          <w:bCs/>
          <w:sz w:val="22"/>
          <w:szCs w:val="22"/>
        </w:rPr>
        <w:t xml:space="preserve"> and</w:t>
      </w:r>
    </w:p>
    <w:p w:rsidR="008B2008" w:rsidRPr="008B2008" w:rsidRDefault="00ED1FA4" w:rsidP="00ED1FA4">
      <w:pPr>
        <w:tabs>
          <w:tab w:val="left" w:pos="1531"/>
        </w:tabs>
        <w:spacing w:after="480" w:line="480" w:lineRule="auto"/>
        <w:ind w:left="1531" w:hanging="851"/>
        <w:jc w:val="both"/>
        <w:rPr>
          <w:rFonts w:cs="Arial"/>
          <w:bCs/>
          <w:sz w:val="22"/>
          <w:szCs w:val="22"/>
        </w:rPr>
      </w:pPr>
      <w:r w:rsidRPr="008B2008">
        <w:rPr>
          <w:rFonts w:cs="Arial"/>
          <w:bCs/>
          <w:sz w:val="22"/>
          <w:szCs w:val="22"/>
        </w:rPr>
        <w:t>3.5</w:t>
      </w:r>
      <w:r w:rsidRPr="008B2008">
        <w:rPr>
          <w:rFonts w:cs="Arial"/>
          <w:bCs/>
          <w:sz w:val="22"/>
          <w:szCs w:val="22"/>
        </w:rPr>
        <w:tab/>
      </w:r>
      <w:r w:rsidR="002502C9">
        <w:rPr>
          <w:rFonts w:cs="Arial"/>
          <w:bCs/>
          <w:szCs w:val="22"/>
        </w:rPr>
        <w:t>C</w:t>
      </w:r>
      <w:r w:rsidR="008B2008">
        <w:rPr>
          <w:rFonts w:cs="Arial"/>
          <w:bCs/>
          <w:szCs w:val="22"/>
        </w:rPr>
        <w:t>osts of the application on an attorney and client scale.</w:t>
      </w:r>
    </w:p>
    <w:p w:rsidR="005F1174" w:rsidRPr="00DB55BA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DB55BA">
        <w:rPr>
          <w:rFonts w:cs="Arial"/>
          <w:bCs/>
          <w:sz w:val="21"/>
          <w:szCs w:val="21"/>
        </w:rPr>
        <w:lastRenderedPageBreak/>
        <w:t>[4]</w:t>
      </w:r>
      <w:r w:rsidRPr="00DB55BA">
        <w:rPr>
          <w:rFonts w:cs="Arial"/>
          <w:bCs/>
          <w:sz w:val="21"/>
          <w:szCs w:val="21"/>
        </w:rPr>
        <w:tab/>
      </w:r>
      <w:r w:rsidR="00DB55BA" w:rsidRPr="00DB55BA">
        <w:rPr>
          <w:rFonts w:cs="Arial"/>
          <w:bCs/>
          <w:sz w:val="22"/>
          <w:szCs w:val="22"/>
        </w:rPr>
        <w:t xml:space="preserve">The applicant delivered a supplementary affidavit signed on 14 October 2022 (“supplementary affidavit”).  </w:t>
      </w:r>
    </w:p>
    <w:p w:rsidR="00DB55BA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[5]</w:t>
      </w:r>
      <w:r>
        <w:rPr>
          <w:rFonts w:cs="Arial"/>
          <w:bCs/>
          <w:sz w:val="21"/>
          <w:szCs w:val="21"/>
        </w:rPr>
        <w:tab/>
      </w:r>
      <w:r w:rsidR="008B2008">
        <w:rPr>
          <w:rFonts w:cs="Arial"/>
          <w:bCs/>
          <w:szCs w:val="22"/>
        </w:rPr>
        <w:t>Th</w:t>
      </w:r>
      <w:r w:rsidR="00353469">
        <w:rPr>
          <w:rFonts w:cs="Arial"/>
          <w:bCs/>
          <w:szCs w:val="22"/>
        </w:rPr>
        <w:t>e applicant is a prisoner incarcer</w:t>
      </w:r>
      <w:r w:rsidR="008B2008">
        <w:rPr>
          <w:rFonts w:cs="Arial"/>
          <w:bCs/>
          <w:szCs w:val="22"/>
        </w:rPr>
        <w:t>ated at Johannesburg Correctional Centre where he is serving a life sentence</w:t>
      </w:r>
      <w:r w:rsidR="00353469" w:rsidRPr="00353469">
        <w:rPr>
          <w:rFonts w:cs="Arial"/>
          <w:bCs/>
          <w:szCs w:val="22"/>
        </w:rPr>
        <w:t xml:space="preserve"> </w:t>
      </w:r>
      <w:r w:rsidR="00353469">
        <w:rPr>
          <w:rFonts w:cs="Arial"/>
          <w:bCs/>
          <w:szCs w:val="22"/>
        </w:rPr>
        <w:t>imposed on 12 September 2005,</w:t>
      </w:r>
      <w:r w:rsidR="008B2008">
        <w:rPr>
          <w:rFonts w:cs="Arial"/>
          <w:bCs/>
          <w:szCs w:val="22"/>
        </w:rPr>
        <w:t xml:space="preserve"> under prisoner number 20529</w:t>
      </w:r>
      <w:r w:rsidR="00353469">
        <w:rPr>
          <w:rFonts w:cs="Arial"/>
          <w:bCs/>
          <w:szCs w:val="22"/>
        </w:rPr>
        <w:t>4007.</w:t>
      </w:r>
    </w:p>
    <w:p w:rsidR="008B2008" w:rsidRPr="00DB55BA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DB55BA">
        <w:rPr>
          <w:rFonts w:cs="Arial"/>
          <w:bCs/>
          <w:sz w:val="21"/>
          <w:szCs w:val="21"/>
        </w:rPr>
        <w:t>[6]</w:t>
      </w:r>
      <w:r w:rsidRPr="00DB55BA">
        <w:rPr>
          <w:rFonts w:cs="Arial"/>
          <w:bCs/>
          <w:sz w:val="21"/>
          <w:szCs w:val="21"/>
        </w:rPr>
        <w:tab/>
      </w:r>
      <w:r w:rsidR="00DB55BA" w:rsidRPr="00DB55BA">
        <w:rPr>
          <w:rFonts w:cs="Arial"/>
          <w:bCs/>
          <w:sz w:val="22"/>
          <w:szCs w:val="22"/>
        </w:rPr>
        <w:t xml:space="preserve">The applicant, </w:t>
      </w:r>
      <w:r w:rsidR="00DB55BA">
        <w:rPr>
          <w:rFonts w:cs="Arial"/>
          <w:bCs/>
          <w:sz w:val="22"/>
          <w:szCs w:val="22"/>
        </w:rPr>
        <w:t>i</w:t>
      </w:r>
      <w:r w:rsidR="00132F8E">
        <w:rPr>
          <w:rFonts w:cs="Arial"/>
          <w:bCs/>
          <w:sz w:val="22"/>
          <w:szCs w:val="22"/>
        </w:rPr>
        <w:t>n</w:t>
      </w:r>
      <w:r w:rsidR="00DB55BA" w:rsidRPr="00DB55BA">
        <w:rPr>
          <w:rFonts w:cs="Arial"/>
          <w:bCs/>
          <w:sz w:val="22"/>
          <w:szCs w:val="22"/>
        </w:rPr>
        <w:t xml:space="preserve"> his founding papers, sought</w:t>
      </w:r>
      <w:r w:rsidR="00353469" w:rsidRPr="00DB55BA">
        <w:rPr>
          <w:rFonts w:cs="Arial"/>
          <w:bCs/>
          <w:sz w:val="22"/>
          <w:szCs w:val="22"/>
        </w:rPr>
        <w:t xml:space="preserve"> a determination in terms of s </w:t>
      </w:r>
      <w:r w:rsidR="008B2008" w:rsidRPr="00DB55BA">
        <w:rPr>
          <w:rFonts w:cs="Arial"/>
          <w:bCs/>
          <w:sz w:val="22"/>
          <w:szCs w:val="22"/>
        </w:rPr>
        <w:t xml:space="preserve">136(3)(c) of the </w:t>
      </w:r>
      <w:r w:rsidR="00E67AAE" w:rsidRPr="00DB55BA">
        <w:rPr>
          <w:rFonts w:cs="Arial"/>
          <w:bCs/>
          <w:sz w:val="22"/>
          <w:szCs w:val="22"/>
        </w:rPr>
        <w:t>Act</w:t>
      </w:r>
      <w:r w:rsidR="008B2008" w:rsidRPr="00DB55BA">
        <w:rPr>
          <w:rFonts w:cs="Arial"/>
          <w:bCs/>
          <w:sz w:val="22"/>
          <w:szCs w:val="22"/>
        </w:rPr>
        <w:t xml:space="preserve"> in respect of his applicati</w:t>
      </w:r>
      <w:r w:rsidR="00DB55BA">
        <w:rPr>
          <w:rFonts w:cs="Arial"/>
          <w:bCs/>
          <w:sz w:val="22"/>
          <w:szCs w:val="22"/>
        </w:rPr>
        <w:t xml:space="preserve">on for </w:t>
      </w:r>
      <w:r w:rsidR="00E67AAE" w:rsidRPr="00DB55BA">
        <w:rPr>
          <w:rFonts w:cs="Arial"/>
          <w:bCs/>
          <w:sz w:val="22"/>
          <w:szCs w:val="22"/>
        </w:rPr>
        <w:t xml:space="preserve">parole and </w:t>
      </w:r>
      <w:r w:rsidR="00DB55BA" w:rsidRPr="00DB55BA">
        <w:rPr>
          <w:rFonts w:cs="Arial"/>
          <w:bCs/>
          <w:sz w:val="22"/>
          <w:szCs w:val="22"/>
        </w:rPr>
        <w:t>contended that the respondents we</w:t>
      </w:r>
      <w:r w:rsidR="008B2008" w:rsidRPr="00DB55BA">
        <w:rPr>
          <w:rFonts w:cs="Arial"/>
          <w:bCs/>
          <w:sz w:val="22"/>
          <w:szCs w:val="22"/>
        </w:rPr>
        <w:t>re unreasonab</w:t>
      </w:r>
      <w:r w:rsidR="00E67AAE" w:rsidRPr="00DB55BA">
        <w:rPr>
          <w:rFonts w:cs="Arial"/>
          <w:bCs/>
          <w:sz w:val="22"/>
          <w:szCs w:val="22"/>
        </w:rPr>
        <w:t>ly delaying consideration of his application.</w:t>
      </w:r>
      <w:r w:rsidR="008B2008" w:rsidRPr="00DB55BA">
        <w:rPr>
          <w:rFonts w:cs="Arial"/>
          <w:bCs/>
          <w:sz w:val="22"/>
          <w:szCs w:val="22"/>
        </w:rPr>
        <w:t xml:space="preserve"> </w:t>
      </w:r>
      <w:r w:rsidR="00E67AAE" w:rsidRPr="00DB55BA">
        <w:rPr>
          <w:rFonts w:cs="Arial"/>
          <w:bCs/>
          <w:sz w:val="22"/>
          <w:szCs w:val="22"/>
        </w:rPr>
        <w:t xml:space="preserve"> </w:t>
      </w:r>
      <w:r w:rsidR="008B2008" w:rsidRPr="00DB55BA">
        <w:rPr>
          <w:rFonts w:cs="Arial"/>
          <w:bCs/>
          <w:sz w:val="22"/>
          <w:szCs w:val="22"/>
        </w:rPr>
        <w:t xml:space="preserve"> </w:t>
      </w:r>
    </w:p>
    <w:p w:rsidR="00132F8E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[7]</w:t>
      </w:r>
      <w:r>
        <w:rPr>
          <w:rFonts w:cs="Arial"/>
          <w:bCs/>
          <w:sz w:val="21"/>
          <w:szCs w:val="21"/>
        </w:rPr>
        <w:tab/>
      </w:r>
      <w:r w:rsidR="008B2008">
        <w:rPr>
          <w:rFonts w:cs="Arial"/>
          <w:bCs/>
          <w:sz w:val="22"/>
          <w:szCs w:val="22"/>
        </w:rPr>
        <w:t xml:space="preserve">The applicant relied upon </w:t>
      </w:r>
      <w:r w:rsidR="008B2008">
        <w:rPr>
          <w:rFonts w:cs="Arial"/>
          <w:bCs/>
          <w:i/>
          <w:sz w:val="22"/>
          <w:szCs w:val="22"/>
        </w:rPr>
        <w:t>Phaahla v Minister of Justice and Correctional Services &amp; Another (Tlhakanye intervening)</w:t>
      </w:r>
      <w:r w:rsidR="008B2008">
        <w:rPr>
          <w:rStyle w:val="FootnoteReference"/>
          <w:rFonts w:cs="Arial"/>
          <w:bCs/>
          <w:i/>
          <w:sz w:val="22"/>
          <w:szCs w:val="22"/>
        </w:rPr>
        <w:footnoteReference w:id="1"/>
      </w:r>
      <w:r w:rsidR="00E67AAE">
        <w:rPr>
          <w:rFonts w:cs="Arial"/>
          <w:bCs/>
          <w:sz w:val="22"/>
          <w:szCs w:val="22"/>
        </w:rPr>
        <w:t xml:space="preserve"> together with</w:t>
      </w:r>
      <w:r w:rsidR="006F2D15">
        <w:rPr>
          <w:rFonts w:cs="Arial"/>
          <w:bCs/>
          <w:sz w:val="22"/>
          <w:szCs w:val="22"/>
        </w:rPr>
        <w:t xml:space="preserve"> </w:t>
      </w:r>
      <w:r w:rsidR="00E67AAE">
        <w:rPr>
          <w:rFonts w:cs="Arial"/>
          <w:bCs/>
          <w:sz w:val="22"/>
          <w:szCs w:val="22"/>
        </w:rPr>
        <w:t xml:space="preserve">Circular 8/2019 </w:t>
      </w:r>
      <w:r w:rsidR="006F2D15">
        <w:rPr>
          <w:rFonts w:cs="Arial"/>
          <w:bCs/>
          <w:sz w:val="22"/>
          <w:szCs w:val="22"/>
        </w:rPr>
        <w:t>issued by the Department,</w:t>
      </w:r>
      <w:r w:rsidR="00E67AAE">
        <w:rPr>
          <w:rFonts w:cs="Arial"/>
          <w:bCs/>
          <w:sz w:val="22"/>
          <w:szCs w:val="22"/>
        </w:rPr>
        <w:t xml:space="preserve"> (“the c</w:t>
      </w:r>
      <w:r w:rsidR="006F2D15">
        <w:rPr>
          <w:rFonts w:cs="Arial"/>
          <w:bCs/>
          <w:sz w:val="22"/>
          <w:szCs w:val="22"/>
        </w:rPr>
        <w:t>ircular</w:t>
      </w:r>
      <w:r w:rsidR="002502C9">
        <w:rPr>
          <w:rFonts w:cs="Arial"/>
          <w:bCs/>
          <w:sz w:val="22"/>
          <w:szCs w:val="22"/>
        </w:rPr>
        <w:t>”).</w:t>
      </w:r>
      <w:r w:rsidR="00132F8E" w:rsidRPr="00132F8E">
        <w:rPr>
          <w:rFonts w:cs="Arial"/>
          <w:bCs/>
          <w:sz w:val="22"/>
          <w:szCs w:val="22"/>
        </w:rPr>
        <w:t xml:space="preserve"> </w:t>
      </w:r>
      <w:r w:rsidR="00132F8E">
        <w:rPr>
          <w:rFonts w:cs="Arial"/>
          <w:bCs/>
          <w:sz w:val="22"/>
          <w:szCs w:val="22"/>
        </w:rPr>
        <w:t xml:space="preserve">The applicant alleged that the circular  resulted from the judgment in </w:t>
      </w:r>
      <w:r w:rsidR="00132F8E">
        <w:rPr>
          <w:rFonts w:cs="Arial"/>
          <w:bCs/>
          <w:i/>
          <w:sz w:val="22"/>
          <w:szCs w:val="22"/>
        </w:rPr>
        <w:t>C J van Wyk v The Minister of Correctional Services &amp; Others</w:t>
      </w:r>
      <w:r w:rsidR="005F734A">
        <w:rPr>
          <w:rFonts w:cs="Arial"/>
          <w:bCs/>
          <w:i/>
          <w:sz w:val="22"/>
          <w:szCs w:val="22"/>
        </w:rPr>
        <w:t>.</w:t>
      </w:r>
      <w:r w:rsidR="00132F8E">
        <w:rPr>
          <w:rStyle w:val="FootnoteReference"/>
          <w:rFonts w:cs="Arial"/>
          <w:bCs/>
          <w:i/>
          <w:sz w:val="22"/>
          <w:szCs w:val="22"/>
        </w:rPr>
        <w:footnoteReference w:id="2"/>
      </w:r>
    </w:p>
    <w:p w:rsidR="00132F8E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[8]</w:t>
      </w:r>
      <w:r>
        <w:rPr>
          <w:rFonts w:cs="Arial"/>
          <w:bCs/>
          <w:sz w:val="21"/>
          <w:szCs w:val="21"/>
        </w:rPr>
        <w:tab/>
      </w:r>
      <w:r w:rsidR="00CA5E00">
        <w:rPr>
          <w:rFonts w:cs="Arial"/>
          <w:bCs/>
          <w:sz w:val="22"/>
          <w:szCs w:val="22"/>
        </w:rPr>
        <w:t xml:space="preserve">The applicant, in his </w:t>
      </w:r>
      <w:r w:rsidR="00CA5E00" w:rsidRPr="001311B7">
        <w:rPr>
          <w:rFonts w:cs="Arial"/>
          <w:bCs/>
          <w:sz w:val="22"/>
          <w:szCs w:val="22"/>
        </w:rPr>
        <w:t>supplementary affidavit,</w:t>
      </w:r>
      <w:r w:rsidR="00CA5E00" w:rsidRPr="00132F8E">
        <w:rPr>
          <w:rFonts w:cs="Arial"/>
          <w:bCs/>
          <w:sz w:val="22"/>
          <w:szCs w:val="22"/>
        </w:rPr>
        <w:t xml:space="preserve"> </w:t>
      </w:r>
      <w:r w:rsidR="00CA5E00">
        <w:rPr>
          <w:rFonts w:cs="Arial"/>
          <w:bCs/>
          <w:sz w:val="22"/>
          <w:szCs w:val="22"/>
        </w:rPr>
        <w:t xml:space="preserve">appeared to change course and </w:t>
      </w:r>
      <w:r w:rsidR="00132F8E">
        <w:rPr>
          <w:rFonts w:cs="Arial"/>
          <w:bCs/>
          <w:sz w:val="22"/>
          <w:szCs w:val="22"/>
        </w:rPr>
        <w:t>sought</w:t>
      </w:r>
      <w:r w:rsidR="00132F8E" w:rsidRPr="001311B7">
        <w:rPr>
          <w:rFonts w:cs="Arial"/>
          <w:bCs/>
          <w:sz w:val="22"/>
          <w:szCs w:val="22"/>
        </w:rPr>
        <w:t xml:space="preserve"> a review of the decision taken by the second respondent on 23 – 25 </w:t>
      </w:r>
      <w:r w:rsidR="00132F8E">
        <w:rPr>
          <w:rFonts w:cs="Arial"/>
          <w:bCs/>
          <w:sz w:val="22"/>
          <w:szCs w:val="22"/>
        </w:rPr>
        <w:t>M</w:t>
      </w:r>
      <w:r w:rsidR="00132F8E" w:rsidRPr="001311B7">
        <w:rPr>
          <w:rFonts w:cs="Arial"/>
          <w:bCs/>
          <w:sz w:val="22"/>
          <w:szCs w:val="22"/>
        </w:rPr>
        <w:t>arch 2022 and a review of the decision taken by the first respondent on 18 September 2022.</w:t>
      </w:r>
      <w:r w:rsidR="00F323F0">
        <w:rPr>
          <w:rFonts w:cs="Arial"/>
          <w:bCs/>
          <w:sz w:val="22"/>
          <w:szCs w:val="22"/>
        </w:rPr>
        <w:t xml:space="preserve"> </w:t>
      </w:r>
      <w:r w:rsidR="007769F2">
        <w:rPr>
          <w:rFonts w:cs="Arial"/>
          <w:bCs/>
          <w:sz w:val="22"/>
          <w:szCs w:val="22"/>
        </w:rPr>
        <w:t xml:space="preserve"> </w:t>
      </w:r>
    </w:p>
    <w:p w:rsidR="007769F2" w:rsidRPr="00D7161A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/>
          <w:bCs/>
          <w:sz w:val="22"/>
          <w:szCs w:val="22"/>
        </w:rPr>
      </w:pPr>
      <w:r w:rsidRPr="00D7161A">
        <w:rPr>
          <w:rFonts w:cs="Arial"/>
          <w:bCs/>
          <w:sz w:val="21"/>
          <w:szCs w:val="21"/>
        </w:rPr>
        <w:t>[9]</w:t>
      </w:r>
      <w:r w:rsidRPr="00D7161A">
        <w:rPr>
          <w:rFonts w:cs="Arial"/>
          <w:bCs/>
          <w:sz w:val="21"/>
          <w:szCs w:val="21"/>
        </w:rPr>
        <w:tab/>
      </w:r>
      <w:r w:rsidR="005F734A">
        <w:rPr>
          <w:rFonts w:cs="Arial"/>
          <w:bCs/>
          <w:sz w:val="22"/>
          <w:szCs w:val="22"/>
        </w:rPr>
        <w:t>In terms of t</w:t>
      </w:r>
      <w:r w:rsidR="007769F2" w:rsidRPr="001311B7">
        <w:rPr>
          <w:rFonts w:cs="Arial"/>
          <w:bCs/>
          <w:sz w:val="22"/>
          <w:szCs w:val="22"/>
        </w:rPr>
        <w:t xml:space="preserve">he </w:t>
      </w:r>
      <w:r w:rsidR="007769F2">
        <w:rPr>
          <w:rFonts w:cs="Arial"/>
          <w:bCs/>
          <w:sz w:val="22"/>
          <w:szCs w:val="22"/>
        </w:rPr>
        <w:t>second respondent’s decision of</w:t>
      </w:r>
      <w:r w:rsidR="007769F2" w:rsidRPr="001311B7">
        <w:rPr>
          <w:rFonts w:cs="Arial"/>
          <w:bCs/>
          <w:sz w:val="22"/>
          <w:szCs w:val="22"/>
        </w:rPr>
        <w:t xml:space="preserve"> 23 – 25 </w:t>
      </w:r>
      <w:r w:rsidR="007769F2">
        <w:rPr>
          <w:rFonts w:cs="Arial"/>
          <w:bCs/>
          <w:sz w:val="22"/>
          <w:szCs w:val="22"/>
        </w:rPr>
        <w:t>M</w:t>
      </w:r>
      <w:r w:rsidR="007769F2" w:rsidRPr="001311B7">
        <w:rPr>
          <w:rFonts w:cs="Arial"/>
          <w:bCs/>
          <w:sz w:val="22"/>
          <w:szCs w:val="22"/>
        </w:rPr>
        <w:t>arch 2022</w:t>
      </w:r>
      <w:r w:rsidR="00623004">
        <w:rPr>
          <w:rFonts w:cs="Arial"/>
          <w:bCs/>
          <w:sz w:val="22"/>
          <w:szCs w:val="22"/>
        </w:rPr>
        <w:t>,</w:t>
      </w:r>
      <w:r w:rsidR="007769F2">
        <w:rPr>
          <w:rStyle w:val="FootnoteReference"/>
          <w:rFonts w:cs="Arial"/>
          <w:bCs/>
          <w:sz w:val="22"/>
          <w:szCs w:val="22"/>
        </w:rPr>
        <w:footnoteReference w:id="3"/>
      </w:r>
      <w:r w:rsidR="00623004">
        <w:rPr>
          <w:rFonts w:cs="Arial"/>
          <w:bCs/>
          <w:sz w:val="22"/>
          <w:szCs w:val="22"/>
        </w:rPr>
        <w:t xml:space="preserve"> signed by</w:t>
      </w:r>
      <w:r w:rsidR="007769F2">
        <w:rPr>
          <w:rFonts w:cs="Arial"/>
          <w:bCs/>
          <w:sz w:val="22"/>
          <w:szCs w:val="22"/>
        </w:rPr>
        <w:t xml:space="preserve"> the Minister on 18 September 2022</w:t>
      </w:r>
      <w:r w:rsidR="00623004">
        <w:rPr>
          <w:rFonts w:cs="Arial"/>
          <w:bCs/>
          <w:sz w:val="22"/>
          <w:szCs w:val="22"/>
        </w:rPr>
        <w:t xml:space="preserve">, </w:t>
      </w:r>
      <w:r w:rsidR="005F734A">
        <w:rPr>
          <w:rFonts w:cs="Arial"/>
          <w:bCs/>
          <w:sz w:val="22"/>
          <w:szCs w:val="22"/>
        </w:rPr>
        <w:t>t</w:t>
      </w:r>
      <w:r w:rsidR="00623004" w:rsidRPr="00132F8E">
        <w:rPr>
          <w:rFonts w:cs="Arial"/>
          <w:bCs/>
          <w:sz w:val="22"/>
          <w:szCs w:val="22"/>
        </w:rPr>
        <w:t>he</w:t>
      </w:r>
      <w:r w:rsidR="00623004">
        <w:rPr>
          <w:rFonts w:cs="Arial"/>
          <w:bCs/>
          <w:sz w:val="22"/>
          <w:szCs w:val="22"/>
        </w:rPr>
        <w:t xml:space="preserve"> </w:t>
      </w:r>
      <w:r w:rsidR="00623004" w:rsidRPr="00132F8E">
        <w:rPr>
          <w:rFonts w:cs="Arial"/>
          <w:bCs/>
          <w:sz w:val="22"/>
          <w:szCs w:val="22"/>
        </w:rPr>
        <w:t>applicant was not recommended for parole but</w:t>
      </w:r>
      <w:r w:rsidR="00623004">
        <w:rPr>
          <w:rFonts w:cs="Arial"/>
          <w:bCs/>
          <w:sz w:val="22"/>
          <w:szCs w:val="22"/>
        </w:rPr>
        <w:t xml:space="preserve"> </w:t>
      </w:r>
      <w:r w:rsidR="005F734A">
        <w:rPr>
          <w:rFonts w:cs="Arial"/>
          <w:bCs/>
          <w:sz w:val="22"/>
          <w:szCs w:val="22"/>
        </w:rPr>
        <w:t xml:space="preserve">that </w:t>
      </w:r>
      <w:r w:rsidR="00623004">
        <w:rPr>
          <w:rFonts w:cs="Arial"/>
          <w:bCs/>
          <w:sz w:val="22"/>
          <w:szCs w:val="22"/>
        </w:rPr>
        <w:t>the matter should return to the Council in</w:t>
      </w:r>
      <w:r w:rsidR="00623004" w:rsidRPr="00132F8E">
        <w:rPr>
          <w:rFonts w:cs="Arial"/>
          <w:bCs/>
          <w:sz w:val="22"/>
          <w:szCs w:val="22"/>
        </w:rPr>
        <w:t xml:space="preserve"> 24 months</w:t>
      </w:r>
      <w:r w:rsidR="00623004">
        <w:rPr>
          <w:rFonts w:cs="Arial"/>
          <w:bCs/>
          <w:sz w:val="22"/>
          <w:szCs w:val="22"/>
        </w:rPr>
        <w:t>.</w:t>
      </w:r>
      <w:r w:rsidR="00623004" w:rsidRPr="00132F8E">
        <w:rPr>
          <w:rFonts w:cs="Arial"/>
          <w:bCs/>
          <w:sz w:val="22"/>
          <w:szCs w:val="22"/>
        </w:rPr>
        <w:t xml:space="preserve"> </w:t>
      </w:r>
      <w:r w:rsidR="00623004">
        <w:rPr>
          <w:rFonts w:cs="Arial"/>
          <w:bCs/>
          <w:sz w:val="22"/>
          <w:szCs w:val="22"/>
        </w:rPr>
        <w:t xml:space="preserve"> Furthermore,</w:t>
      </w:r>
      <w:r w:rsidR="00623004" w:rsidRPr="00132F8E">
        <w:rPr>
          <w:rFonts w:cs="Arial"/>
          <w:bCs/>
          <w:sz w:val="22"/>
          <w:szCs w:val="22"/>
        </w:rPr>
        <w:t xml:space="preserve"> the </w:t>
      </w:r>
      <w:r w:rsidR="00623004">
        <w:rPr>
          <w:rFonts w:cs="Arial"/>
          <w:bCs/>
          <w:sz w:val="22"/>
          <w:szCs w:val="22"/>
        </w:rPr>
        <w:t>second respondent urged the applicant to improve his situation by undergoing various</w:t>
      </w:r>
      <w:r w:rsidR="00623004" w:rsidRPr="00132F8E">
        <w:rPr>
          <w:rFonts w:cs="Arial"/>
          <w:bCs/>
          <w:sz w:val="22"/>
          <w:szCs w:val="22"/>
        </w:rPr>
        <w:t xml:space="preserve"> additional </w:t>
      </w:r>
      <w:r w:rsidR="00623004" w:rsidRPr="00132F8E">
        <w:rPr>
          <w:rFonts w:cs="Arial"/>
          <w:bCs/>
          <w:sz w:val="22"/>
          <w:szCs w:val="22"/>
        </w:rPr>
        <w:lastRenderedPageBreak/>
        <w:t>rehabilitation programmes, inc</w:t>
      </w:r>
      <w:r w:rsidR="002502C9">
        <w:rPr>
          <w:rFonts w:cs="Arial"/>
          <w:bCs/>
          <w:sz w:val="22"/>
          <w:szCs w:val="22"/>
        </w:rPr>
        <w:t>luding psychotherapy and a risk assessment as well upskilling himself.</w:t>
      </w:r>
    </w:p>
    <w:p w:rsidR="00D7161A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[10]</w:t>
      </w:r>
      <w:r>
        <w:rPr>
          <w:rFonts w:cs="Arial"/>
          <w:bCs/>
          <w:sz w:val="21"/>
          <w:szCs w:val="21"/>
        </w:rPr>
        <w:tab/>
      </w:r>
      <w:r w:rsidR="00D7161A">
        <w:rPr>
          <w:rFonts w:cs="Arial"/>
          <w:bCs/>
          <w:sz w:val="22"/>
          <w:szCs w:val="22"/>
        </w:rPr>
        <w:t xml:space="preserve">The applicant alleged in his supplementary affidavit that </w:t>
      </w:r>
      <w:r w:rsidR="00D7161A" w:rsidRPr="00132F8E">
        <w:rPr>
          <w:rFonts w:cs="Arial"/>
          <w:bCs/>
          <w:sz w:val="22"/>
          <w:szCs w:val="22"/>
        </w:rPr>
        <w:t>he submitted an application for parole on 12 August 2022.</w:t>
      </w:r>
      <w:r w:rsidR="00D7161A">
        <w:rPr>
          <w:rFonts w:cs="Arial"/>
          <w:bCs/>
          <w:sz w:val="22"/>
          <w:szCs w:val="22"/>
        </w:rPr>
        <w:t xml:space="preserve"> </w:t>
      </w:r>
    </w:p>
    <w:p w:rsidR="00BB2E3B" w:rsidRPr="00D7161A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/>
          <w:bCs/>
          <w:sz w:val="22"/>
          <w:szCs w:val="22"/>
        </w:rPr>
      </w:pPr>
      <w:r w:rsidRPr="00D7161A">
        <w:rPr>
          <w:rFonts w:cs="Arial"/>
          <w:bCs/>
          <w:sz w:val="21"/>
          <w:szCs w:val="21"/>
        </w:rPr>
        <w:t>[11]</w:t>
      </w:r>
      <w:r w:rsidRPr="00D7161A">
        <w:rPr>
          <w:rFonts w:cs="Arial"/>
          <w:bCs/>
          <w:sz w:val="21"/>
          <w:szCs w:val="21"/>
        </w:rPr>
        <w:tab/>
      </w:r>
      <w:r w:rsidR="00D7161A" w:rsidRPr="00D7161A">
        <w:rPr>
          <w:rFonts w:cs="Arial"/>
          <w:bCs/>
          <w:sz w:val="22"/>
          <w:szCs w:val="22"/>
        </w:rPr>
        <w:t xml:space="preserve">Further, </w:t>
      </w:r>
      <w:r w:rsidR="00DB55BA" w:rsidRPr="00D7161A">
        <w:rPr>
          <w:rFonts w:cs="Arial"/>
          <w:bCs/>
          <w:sz w:val="22"/>
          <w:szCs w:val="22"/>
        </w:rPr>
        <w:t xml:space="preserve">that </w:t>
      </w:r>
      <w:r w:rsidR="00BB2E3B" w:rsidRPr="00D7161A">
        <w:rPr>
          <w:rFonts w:cs="Arial"/>
          <w:bCs/>
          <w:sz w:val="22"/>
          <w:szCs w:val="22"/>
        </w:rPr>
        <w:t xml:space="preserve"> the Judge President of this Division issued a directive dated 11 August 2022</w:t>
      </w:r>
      <w:r w:rsidR="002502C9" w:rsidRPr="00D7161A">
        <w:rPr>
          <w:rFonts w:cs="Arial"/>
          <w:bCs/>
          <w:sz w:val="22"/>
          <w:szCs w:val="22"/>
        </w:rPr>
        <w:t>,</w:t>
      </w:r>
      <w:r w:rsidR="00BB2E3B">
        <w:rPr>
          <w:rStyle w:val="FootnoteReference"/>
          <w:rFonts w:cs="Arial"/>
          <w:bCs/>
          <w:sz w:val="22"/>
          <w:szCs w:val="22"/>
        </w:rPr>
        <w:footnoteReference w:id="4"/>
      </w:r>
      <w:r w:rsidR="00BB2E3B" w:rsidRPr="00D7161A">
        <w:rPr>
          <w:rFonts w:cs="Arial"/>
          <w:bCs/>
          <w:sz w:val="22"/>
          <w:szCs w:val="22"/>
        </w:rPr>
        <w:t xml:space="preserve"> that the Minister file an answering affidavit on or before 5 September 2022 and thereafter heads of argument on or before 26 September 2022. The Minister allegedly failed to comply with the directive. Thereafter, the applicant was furnished allegedly with a copy of his prisoner profile, signed by the Minister on 18 September 2022.  </w:t>
      </w:r>
    </w:p>
    <w:p w:rsidR="005F734A" w:rsidRPr="00BB2E3B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BB2E3B">
        <w:rPr>
          <w:rFonts w:cs="Arial"/>
          <w:bCs/>
          <w:sz w:val="21"/>
          <w:szCs w:val="21"/>
        </w:rPr>
        <w:t>[12]</w:t>
      </w:r>
      <w:r w:rsidRPr="00BB2E3B">
        <w:rPr>
          <w:rFonts w:cs="Arial"/>
          <w:bCs/>
          <w:sz w:val="21"/>
          <w:szCs w:val="21"/>
        </w:rPr>
        <w:tab/>
      </w:r>
      <w:r w:rsidR="00D7161A">
        <w:rPr>
          <w:rFonts w:cs="Arial"/>
          <w:bCs/>
          <w:sz w:val="22"/>
          <w:szCs w:val="22"/>
        </w:rPr>
        <w:t>T</w:t>
      </w:r>
      <w:r w:rsidR="00D7161A" w:rsidRPr="00D7161A">
        <w:rPr>
          <w:rFonts w:cs="Arial"/>
          <w:bCs/>
          <w:sz w:val="22"/>
          <w:szCs w:val="22"/>
        </w:rPr>
        <w:t xml:space="preserve">he applicant </w:t>
      </w:r>
      <w:r w:rsidR="00CA5E00" w:rsidRPr="00BB2E3B">
        <w:rPr>
          <w:rFonts w:cs="Arial"/>
          <w:bCs/>
          <w:sz w:val="22"/>
          <w:szCs w:val="22"/>
        </w:rPr>
        <w:t>appeared</w:t>
      </w:r>
      <w:r w:rsidR="00090B6C" w:rsidRPr="00BB2E3B">
        <w:rPr>
          <w:rFonts w:cs="Arial"/>
          <w:bCs/>
          <w:sz w:val="22"/>
          <w:szCs w:val="22"/>
        </w:rPr>
        <w:t xml:space="preserve"> b</w:t>
      </w:r>
      <w:r w:rsidR="00E67AAE" w:rsidRPr="00BB2E3B">
        <w:rPr>
          <w:rFonts w:cs="Arial"/>
          <w:bCs/>
          <w:sz w:val="22"/>
          <w:szCs w:val="22"/>
        </w:rPr>
        <w:t>efore the parole b</w:t>
      </w:r>
      <w:r w:rsidR="00CA5E00" w:rsidRPr="00BB2E3B">
        <w:rPr>
          <w:rFonts w:cs="Arial"/>
          <w:bCs/>
          <w:sz w:val="22"/>
          <w:szCs w:val="22"/>
        </w:rPr>
        <w:t>oard on 24</w:t>
      </w:r>
      <w:r w:rsidR="00090B6C" w:rsidRPr="00BB2E3B">
        <w:rPr>
          <w:rFonts w:cs="Arial"/>
          <w:bCs/>
          <w:sz w:val="22"/>
          <w:szCs w:val="22"/>
        </w:rPr>
        <w:t xml:space="preserve"> October 2022. </w:t>
      </w:r>
      <w:r w:rsidR="005F734A" w:rsidRPr="00BB2E3B">
        <w:rPr>
          <w:rFonts w:cs="Arial"/>
          <w:bCs/>
          <w:sz w:val="22"/>
          <w:szCs w:val="22"/>
        </w:rPr>
        <w:t xml:space="preserve">The second respondent’s decision </w:t>
      </w:r>
      <w:r w:rsidR="00BB2E3B" w:rsidRPr="00BB2E3B">
        <w:rPr>
          <w:rFonts w:cs="Arial"/>
          <w:bCs/>
          <w:sz w:val="22"/>
          <w:szCs w:val="22"/>
        </w:rPr>
        <w:t xml:space="preserve">pursuant </w:t>
      </w:r>
      <w:r w:rsidR="005F734A" w:rsidRPr="00BB2E3B">
        <w:rPr>
          <w:rFonts w:cs="Arial"/>
          <w:bCs/>
          <w:sz w:val="22"/>
          <w:szCs w:val="22"/>
        </w:rPr>
        <w:t>to the applicant’s appearance on 24 October 2022</w:t>
      </w:r>
      <w:r w:rsidR="00BB2E3B" w:rsidRPr="00BB2E3B">
        <w:rPr>
          <w:rFonts w:cs="Arial"/>
          <w:bCs/>
          <w:sz w:val="22"/>
          <w:szCs w:val="22"/>
        </w:rPr>
        <w:t xml:space="preserve">, signed by the Minister, </w:t>
      </w:r>
      <w:r w:rsidR="005F734A" w:rsidRPr="00BB2E3B">
        <w:rPr>
          <w:rFonts w:cs="Arial"/>
          <w:bCs/>
          <w:sz w:val="22"/>
          <w:szCs w:val="22"/>
        </w:rPr>
        <w:t xml:space="preserve">was not included in the papers before me. </w:t>
      </w:r>
    </w:p>
    <w:p w:rsidR="00E67AAE" w:rsidRPr="00BB2E3B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BB2E3B">
        <w:rPr>
          <w:rFonts w:cs="Arial"/>
          <w:bCs/>
          <w:sz w:val="21"/>
          <w:szCs w:val="21"/>
        </w:rPr>
        <w:t>[13]</w:t>
      </w:r>
      <w:r w:rsidRPr="00BB2E3B">
        <w:rPr>
          <w:rFonts w:cs="Arial"/>
          <w:bCs/>
          <w:sz w:val="21"/>
          <w:szCs w:val="21"/>
        </w:rPr>
        <w:tab/>
      </w:r>
      <w:r w:rsidR="00090B6C" w:rsidRPr="00BB2E3B">
        <w:rPr>
          <w:rFonts w:cs="Arial"/>
          <w:bCs/>
          <w:sz w:val="22"/>
          <w:szCs w:val="22"/>
        </w:rPr>
        <w:t>The respondents</w:t>
      </w:r>
      <w:r w:rsidR="005F734A" w:rsidRPr="00BB2E3B">
        <w:rPr>
          <w:rFonts w:cs="Arial"/>
          <w:bCs/>
          <w:sz w:val="22"/>
          <w:szCs w:val="22"/>
        </w:rPr>
        <w:t xml:space="preserve"> </w:t>
      </w:r>
      <w:r w:rsidR="00090B6C" w:rsidRPr="00BB2E3B">
        <w:rPr>
          <w:rFonts w:cs="Arial"/>
          <w:bCs/>
          <w:sz w:val="22"/>
          <w:szCs w:val="22"/>
        </w:rPr>
        <w:t>submitted</w:t>
      </w:r>
      <w:r w:rsidR="00BB2E3B" w:rsidRPr="00BB2E3B">
        <w:rPr>
          <w:rFonts w:cs="Arial"/>
          <w:bCs/>
          <w:sz w:val="22"/>
          <w:szCs w:val="22"/>
        </w:rPr>
        <w:t>,</w:t>
      </w:r>
      <w:r w:rsidR="00090B6C" w:rsidRPr="00BB2E3B">
        <w:rPr>
          <w:rFonts w:cs="Arial"/>
          <w:bCs/>
          <w:sz w:val="22"/>
          <w:szCs w:val="22"/>
        </w:rPr>
        <w:t xml:space="preserve"> </w:t>
      </w:r>
      <w:r w:rsidR="00BB2E3B" w:rsidRPr="00BB2E3B">
        <w:rPr>
          <w:rFonts w:cs="Arial"/>
          <w:bCs/>
          <w:sz w:val="22"/>
          <w:szCs w:val="22"/>
        </w:rPr>
        <w:t xml:space="preserve">however, </w:t>
      </w:r>
      <w:r w:rsidR="00090B6C" w:rsidRPr="00BB2E3B">
        <w:rPr>
          <w:rFonts w:cs="Arial"/>
          <w:bCs/>
          <w:sz w:val="22"/>
          <w:szCs w:val="22"/>
        </w:rPr>
        <w:t xml:space="preserve">that the applicant was not </w:t>
      </w:r>
      <w:r w:rsidR="00E67AAE" w:rsidRPr="00BB2E3B">
        <w:rPr>
          <w:rFonts w:cs="Arial"/>
          <w:bCs/>
          <w:sz w:val="22"/>
          <w:szCs w:val="22"/>
        </w:rPr>
        <w:t>recommended for parole but</w:t>
      </w:r>
      <w:r w:rsidR="00DB55BA" w:rsidRPr="00BB2E3B">
        <w:rPr>
          <w:rFonts w:cs="Arial"/>
          <w:bCs/>
          <w:sz w:val="22"/>
          <w:szCs w:val="22"/>
        </w:rPr>
        <w:t xml:space="preserve"> </w:t>
      </w:r>
      <w:r w:rsidR="00E67AAE" w:rsidRPr="00BB2E3B">
        <w:rPr>
          <w:rFonts w:cs="Arial"/>
          <w:bCs/>
          <w:sz w:val="22"/>
          <w:szCs w:val="22"/>
        </w:rPr>
        <w:t>that the</w:t>
      </w:r>
      <w:r w:rsidR="00BB2E3B" w:rsidRPr="00BB2E3B">
        <w:rPr>
          <w:rFonts w:cs="Arial"/>
          <w:bCs/>
          <w:sz w:val="22"/>
          <w:szCs w:val="22"/>
        </w:rPr>
        <w:t xml:space="preserve"> second respondent </w:t>
      </w:r>
      <w:r w:rsidR="00E67AAE" w:rsidRPr="00BB2E3B">
        <w:rPr>
          <w:rFonts w:cs="Arial"/>
          <w:bCs/>
          <w:sz w:val="22"/>
          <w:szCs w:val="22"/>
        </w:rPr>
        <w:t>parole board</w:t>
      </w:r>
      <w:r w:rsidR="00DB55BA" w:rsidRPr="00BB2E3B">
        <w:rPr>
          <w:rFonts w:cs="Arial"/>
          <w:bCs/>
          <w:sz w:val="22"/>
          <w:szCs w:val="22"/>
        </w:rPr>
        <w:t xml:space="preserve"> recommended</w:t>
      </w:r>
      <w:r w:rsidR="00E67AAE" w:rsidRPr="00BB2E3B">
        <w:rPr>
          <w:rFonts w:cs="Arial"/>
          <w:bCs/>
          <w:sz w:val="22"/>
          <w:szCs w:val="22"/>
        </w:rPr>
        <w:t xml:space="preserve"> </w:t>
      </w:r>
      <w:r w:rsidR="005F734A" w:rsidRPr="00BB2E3B">
        <w:rPr>
          <w:rFonts w:cs="Arial"/>
          <w:bCs/>
          <w:sz w:val="22"/>
          <w:szCs w:val="22"/>
        </w:rPr>
        <w:t>that he return in</w:t>
      </w:r>
      <w:r w:rsidR="00090B6C" w:rsidRPr="00BB2E3B">
        <w:rPr>
          <w:rFonts w:cs="Arial"/>
          <w:bCs/>
          <w:sz w:val="22"/>
          <w:szCs w:val="22"/>
        </w:rPr>
        <w:t xml:space="preserve"> 24 months and that only </w:t>
      </w:r>
      <w:r w:rsidR="00E67AAE" w:rsidRPr="00BB2E3B">
        <w:rPr>
          <w:rFonts w:cs="Arial"/>
          <w:bCs/>
          <w:sz w:val="22"/>
          <w:szCs w:val="22"/>
        </w:rPr>
        <w:t>seven</w:t>
      </w:r>
      <w:r w:rsidR="00090B6C" w:rsidRPr="00BB2E3B">
        <w:rPr>
          <w:rFonts w:cs="Arial"/>
          <w:bCs/>
          <w:sz w:val="22"/>
          <w:szCs w:val="22"/>
        </w:rPr>
        <w:t xml:space="preserve"> months of that 24-month period had expir</w:t>
      </w:r>
      <w:r w:rsidR="00E67AAE" w:rsidRPr="00BB2E3B">
        <w:rPr>
          <w:rFonts w:cs="Arial"/>
          <w:bCs/>
          <w:sz w:val="22"/>
          <w:szCs w:val="22"/>
        </w:rPr>
        <w:t>ed. Furthermore, that the parole b</w:t>
      </w:r>
      <w:r w:rsidR="00090B6C" w:rsidRPr="00BB2E3B">
        <w:rPr>
          <w:rFonts w:cs="Arial"/>
          <w:bCs/>
          <w:sz w:val="22"/>
          <w:szCs w:val="22"/>
        </w:rPr>
        <w:t>oard recommended that the applicant participate in additional rehabilitation programmes, inc</w:t>
      </w:r>
      <w:r w:rsidR="00D7161A">
        <w:rPr>
          <w:rFonts w:cs="Arial"/>
          <w:bCs/>
          <w:sz w:val="22"/>
          <w:szCs w:val="22"/>
        </w:rPr>
        <w:t>luding psychotherapy and undergo</w:t>
      </w:r>
      <w:r w:rsidR="00090B6C" w:rsidRPr="00BB2E3B">
        <w:rPr>
          <w:rFonts w:cs="Arial"/>
          <w:bCs/>
          <w:sz w:val="22"/>
          <w:szCs w:val="22"/>
        </w:rPr>
        <w:t xml:space="preserve"> a risk assessment. </w:t>
      </w:r>
    </w:p>
    <w:p w:rsidR="00090B6C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[14]</w:t>
      </w:r>
      <w:r>
        <w:rPr>
          <w:rFonts w:cs="Arial"/>
          <w:bCs/>
          <w:sz w:val="21"/>
          <w:szCs w:val="21"/>
        </w:rPr>
        <w:tab/>
      </w:r>
      <w:r w:rsidR="00090B6C">
        <w:rPr>
          <w:rFonts w:cs="Arial"/>
          <w:bCs/>
          <w:sz w:val="22"/>
          <w:szCs w:val="22"/>
        </w:rPr>
        <w:t>The respondents submitted further that the matter was dealt with and signed off accordingly and that this application should be dismis</w:t>
      </w:r>
      <w:r w:rsidR="00E67AAE">
        <w:rPr>
          <w:rFonts w:cs="Arial"/>
          <w:bCs/>
          <w:sz w:val="22"/>
          <w:szCs w:val="22"/>
        </w:rPr>
        <w:t>sed in that the parole process wa</w:t>
      </w:r>
      <w:r w:rsidR="00090B6C">
        <w:rPr>
          <w:rFonts w:cs="Arial"/>
          <w:bCs/>
          <w:sz w:val="22"/>
          <w:szCs w:val="22"/>
        </w:rPr>
        <w:t xml:space="preserve">s proceeding. The applicant contended in reply that he had complied with the </w:t>
      </w:r>
      <w:r w:rsidR="00090B6C">
        <w:rPr>
          <w:rFonts w:cs="Arial"/>
          <w:bCs/>
          <w:sz w:val="22"/>
          <w:szCs w:val="22"/>
        </w:rPr>
        <w:lastRenderedPageBreak/>
        <w:t xml:space="preserve">recommendations of the </w:t>
      </w:r>
      <w:r w:rsidR="009452AC">
        <w:rPr>
          <w:rFonts w:cs="Arial"/>
          <w:bCs/>
          <w:sz w:val="22"/>
          <w:szCs w:val="22"/>
        </w:rPr>
        <w:t>parole board although he did not include proof of his compliance in the application.</w:t>
      </w:r>
    </w:p>
    <w:p w:rsidR="001F63F8" w:rsidRPr="001311B7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1311B7">
        <w:rPr>
          <w:rFonts w:cs="Arial"/>
          <w:bCs/>
          <w:sz w:val="21"/>
          <w:szCs w:val="21"/>
        </w:rPr>
        <w:t>[15]</w:t>
      </w:r>
      <w:r w:rsidRPr="001311B7">
        <w:rPr>
          <w:rFonts w:cs="Arial"/>
          <w:bCs/>
          <w:sz w:val="21"/>
          <w:szCs w:val="21"/>
        </w:rPr>
        <w:tab/>
      </w:r>
      <w:r w:rsidR="00D7161A">
        <w:rPr>
          <w:rFonts w:cs="Arial"/>
          <w:bCs/>
          <w:sz w:val="22"/>
          <w:szCs w:val="22"/>
        </w:rPr>
        <w:t xml:space="preserve"> </w:t>
      </w:r>
      <w:r w:rsidR="003D0A2C">
        <w:rPr>
          <w:rFonts w:cs="Arial"/>
          <w:bCs/>
          <w:sz w:val="22"/>
          <w:szCs w:val="22"/>
        </w:rPr>
        <w:t xml:space="preserve">The applicant alleged that </w:t>
      </w:r>
      <w:r w:rsidR="00D7161A">
        <w:rPr>
          <w:rFonts w:cs="Arial"/>
          <w:bCs/>
          <w:sz w:val="22"/>
          <w:szCs w:val="22"/>
        </w:rPr>
        <w:t>the Minister’s signatures on</w:t>
      </w:r>
      <w:r w:rsidR="003D0A2C">
        <w:rPr>
          <w:rFonts w:cs="Arial"/>
          <w:bCs/>
          <w:sz w:val="22"/>
          <w:szCs w:val="22"/>
        </w:rPr>
        <w:t xml:space="preserve"> document</w:t>
      </w:r>
      <w:r w:rsidR="001F63F8">
        <w:rPr>
          <w:rFonts w:cs="Arial"/>
          <w:bCs/>
          <w:sz w:val="22"/>
          <w:szCs w:val="22"/>
        </w:rPr>
        <w:t>s</w:t>
      </w:r>
      <w:r w:rsidR="009452AC">
        <w:rPr>
          <w:rFonts w:cs="Arial"/>
          <w:bCs/>
          <w:sz w:val="22"/>
          <w:szCs w:val="22"/>
        </w:rPr>
        <w:t xml:space="preserve"> dated 18 September 2022</w:t>
      </w:r>
      <w:r w:rsidR="003D0A2C">
        <w:rPr>
          <w:rFonts w:cs="Arial"/>
          <w:bCs/>
          <w:sz w:val="22"/>
          <w:szCs w:val="22"/>
        </w:rPr>
        <w:t xml:space="preserve"> and 26 September 2019 were markedly different to the extent that th</w:t>
      </w:r>
      <w:r w:rsidR="001F63F8">
        <w:rPr>
          <w:rFonts w:cs="Arial"/>
          <w:bCs/>
          <w:sz w:val="22"/>
          <w:szCs w:val="22"/>
        </w:rPr>
        <w:t>ose differences raised</w:t>
      </w:r>
      <w:r w:rsidR="003D0A2C">
        <w:rPr>
          <w:rFonts w:cs="Arial"/>
          <w:bCs/>
          <w:sz w:val="22"/>
          <w:szCs w:val="22"/>
        </w:rPr>
        <w:t xml:space="preserve"> suspicions as to the authenticity </w:t>
      </w:r>
      <w:r w:rsidR="001F63F8">
        <w:rPr>
          <w:rFonts w:cs="Arial"/>
          <w:bCs/>
          <w:sz w:val="22"/>
          <w:szCs w:val="22"/>
        </w:rPr>
        <w:t xml:space="preserve">of </w:t>
      </w:r>
      <w:r w:rsidR="003D0A2C">
        <w:rPr>
          <w:rFonts w:cs="Arial"/>
          <w:bCs/>
          <w:sz w:val="22"/>
          <w:szCs w:val="22"/>
        </w:rPr>
        <w:t>the</w:t>
      </w:r>
      <w:r w:rsidR="00BB2E3B">
        <w:rPr>
          <w:rFonts w:cs="Arial"/>
          <w:bCs/>
          <w:sz w:val="22"/>
          <w:szCs w:val="22"/>
        </w:rPr>
        <w:t xml:space="preserve"> signatures and that I should order that the signatures be examined by handwriting experts.</w:t>
      </w:r>
      <w:r w:rsidR="00D7161A">
        <w:rPr>
          <w:rStyle w:val="FootnoteReference"/>
          <w:rFonts w:cs="Arial"/>
          <w:bCs/>
          <w:sz w:val="22"/>
          <w:szCs w:val="22"/>
        </w:rPr>
        <w:footnoteReference w:id="5"/>
      </w:r>
      <w:r w:rsidR="00BB2E3B">
        <w:rPr>
          <w:rFonts w:cs="Arial"/>
          <w:bCs/>
          <w:sz w:val="22"/>
          <w:szCs w:val="22"/>
        </w:rPr>
        <w:t xml:space="preserve"> </w:t>
      </w:r>
      <w:r w:rsidR="008446AB">
        <w:rPr>
          <w:rFonts w:cs="Arial"/>
          <w:bCs/>
          <w:sz w:val="22"/>
          <w:szCs w:val="22"/>
        </w:rPr>
        <w:t>The document dated 26 September 2019 concerned a prisone</w:t>
      </w:r>
      <w:r w:rsidR="00D7161A">
        <w:rPr>
          <w:rFonts w:cs="Arial"/>
          <w:bCs/>
          <w:sz w:val="22"/>
          <w:szCs w:val="22"/>
        </w:rPr>
        <w:t>r other than the applicant. T</w:t>
      </w:r>
      <w:r w:rsidR="008446AB">
        <w:rPr>
          <w:rFonts w:cs="Arial"/>
          <w:bCs/>
          <w:sz w:val="22"/>
          <w:szCs w:val="22"/>
        </w:rPr>
        <w:t>here is no cogent basis for me to make an order that the signatures be examined.</w:t>
      </w:r>
    </w:p>
    <w:p w:rsidR="003D0A2C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[16]</w:t>
      </w:r>
      <w:r>
        <w:rPr>
          <w:rFonts w:cs="Arial"/>
          <w:bCs/>
          <w:sz w:val="21"/>
          <w:szCs w:val="21"/>
        </w:rPr>
        <w:tab/>
      </w:r>
      <w:r w:rsidR="00FE6DD8">
        <w:rPr>
          <w:rFonts w:cs="Arial"/>
          <w:bCs/>
          <w:sz w:val="22"/>
          <w:szCs w:val="22"/>
        </w:rPr>
        <w:t>In the circumstances of this application</w:t>
      </w:r>
      <w:r w:rsidR="00F323F0">
        <w:rPr>
          <w:rFonts w:cs="Arial"/>
          <w:bCs/>
          <w:sz w:val="22"/>
          <w:szCs w:val="22"/>
        </w:rPr>
        <w:t>,</w:t>
      </w:r>
      <w:r w:rsidR="00FE6DD8">
        <w:rPr>
          <w:rFonts w:cs="Arial"/>
          <w:bCs/>
          <w:sz w:val="22"/>
          <w:szCs w:val="22"/>
        </w:rPr>
        <w:t xml:space="preserve"> where</w:t>
      </w:r>
      <w:r w:rsidR="001311B7">
        <w:rPr>
          <w:rFonts w:cs="Arial"/>
          <w:bCs/>
          <w:sz w:val="22"/>
          <w:szCs w:val="22"/>
        </w:rPr>
        <w:t xml:space="preserve"> the appl</w:t>
      </w:r>
      <w:r w:rsidR="00F323F0">
        <w:rPr>
          <w:rFonts w:cs="Arial"/>
          <w:bCs/>
          <w:sz w:val="22"/>
          <w:szCs w:val="22"/>
        </w:rPr>
        <w:t>icant appeared</w:t>
      </w:r>
      <w:r w:rsidR="001311B7">
        <w:rPr>
          <w:rFonts w:cs="Arial"/>
          <w:bCs/>
          <w:sz w:val="22"/>
          <w:szCs w:val="22"/>
        </w:rPr>
        <w:t xml:space="preserve"> before the parole b</w:t>
      </w:r>
      <w:r w:rsidR="00FE6DD8">
        <w:rPr>
          <w:rFonts w:cs="Arial"/>
          <w:bCs/>
          <w:sz w:val="22"/>
          <w:szCs w:val="22"/>
        </w:rPr>
        <w:t>oard which issued certain recommendations</w:t>
      </w:r>
      <w:r w:rsidR="00F323F0">
        <w:rPr>
          <w:rFonts w:cs="Arial"/>
          <w:bCs/>
          <w:sz w:val="22"/>
          <w:szCs w:val="22"/>
        </w:rPr>
        <w:t>,</w:t>
      </w:r>
      <w:r w:rsidR="00FE6DD8">
        <w:rPr>
          <w:rFonts w:cs="Arial"/>
          <w:bCs/>
          <w:sz w:val="22"/>
          <w:szCs w:val="22"/>
        </w:rPr>
        <w:t xml:space="preserve"> including that </w:t>
      </w:r>
      <w:r w:rsidR="001311B7">
        <w:rPr>
          <w:rFonts w:cs="Arial"/>
          <w:bCs/>
          <w:sz w:val="22"/>
          <w:szCs w:val="22"/>
        </w:rPr>
        <w:t>t</w:t>
      </w:r>
      <w:r w:rsidR="00FE6DD8">
        <w:rPr>
          <w:rFonts w:cs="Arial"/>
          <w:bCs/>
          <w:sz w:val="22"/>
          <w:szCs w:val="22"/>
        </w:rPr>
        <w:t xml:space="preserve">he </w:t>
      </w:r>
      <w:r w:rsidR="001311B7">
        <w:rPr>
          <w:rFonts w:cs="Arial"/>
          <w:bCs/>
          <w:sz w:val="22"/>
          <w:szCs w:val="22"/>
        </w:rPr>
        <w:t>applicant be eligible to return to the parole b</w:t>
      </w:r>
      <w:r w:rsidR="00FE6DD8">
        <w:rPr>
          <w:rFonts w:cs="Arial"/>
          <w:bCs/>
          <w:sz w:val="22"/>
          <w:szCs w:val="22"/>
        </w:rPr>
        <w:t xml:space="preserve">oard after 24 months, the appropriate order to be made in this matter, in my view, is that the application be postponed pending the outcome of </w:t>
      </w:r>
      <w:r w:rsidR="00132F8E">
        <w:rPr>
          <w:rFonts w:cs="Arial"/>
          <w:bCs/>
          <w:sz w:val="22"/>
          <w:szCs w:val="22"/>
        </w:rPr>
        <w:t>the applicant going before the parole b</w:t>
      </w:r>
      <w:r w:rsidR="00FE6DD8">
        <w:rPr>
          <w:rFonts w:cs="Arial"/>
          <w:bCs/>
          <w:sz w:val="22"/>
          <w:szCs w:val="22"/>
        </w:rPr>
        <w:t>oard after the expiry of the 24-month period</w:t>
      </w:r>
      <w:r w:rsidR="00D7161A">
        <w:rPr>
          <w:rFonts w:cs="Arial"/>
          <w:bCs/>
          <w:sz w:val="22"/>
          <w:szCs w:val="22"/>
        </w:rPr>
        <w:t xml:space="preserve"> referred to in the second respondent’s decision of </w:t>
      </w:r>
      <w:r w:rsidR="00802300">
        <w:rPr>
          <w:rFonts w:cs="Arial"/>
          <w:bCs/>
          <w:sz w:val="22"/>
          <w:szCs w:val="22"/>
        </w:rPr>
        <w:t>23-25 March 2022,</w:t>
      </w:r>
      <w:r w:rsidR="00FE6DD8">
        <w:rPr>
          <w:rFonts w:cs="Arial"/>
          <w:bCs/>
          <w:sz w:val="22"/>
          <w:szCs w:val="22"/>
        </w:rPr>
        <w:t xml:space="preserve"> and completion by the applicant of the various</w:t>
      </w:r>
      <w:r w:rsidR="00132F8E">
        <w:rPr>
          <w:rFonts w:cs="Arial"/>
          <w:bCs/>
          <w:sz w:val="22"/>
          <w:szCs w:val="22"/>
        </w:rPr>
        <w:t xml:space="preserve"> programmes recommended by the parole b</w:t>
      </w:r>
      <w:r w:rsidR="00F323F0">
        <w:rPr>
          <w:rFonts w:cs="Arial"/>
          <w:bCs/>
          <w:sz w:val="22"/>
          <w:szCs w:val="22"/>
        </w:rPr>
        <w:t xml:space="preserve">oard.  </w:t>
      </w:r>
    </w:p>
    <w:p w:rsidR="00FE6DD8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[17]</w:t>
      </w:r>
      <w:r>
        <w:rPr>
          <w:rFonts w:cs="Arial"/>
          <w:bCs/>
          <w:sz w:val="21"/>
          <w:szCs w:val="21"/>
        </w:rPr>
        <w:tab/>
      </w:r>
      <w:r w:rsidR="00FE6DD8">
        <w:rPr>
          <w:rFonts w:cs="Arial"/>
          <w:bCs/>
          <w:sz w:val="22"/>
          <w:szCs w:val="22"/>
        </w:rPr>
        <w:t>As regards the applicant’s clai</w:t>
      </w:r>
      <w:r w:rsidR="00F323F0">
        <w:rPr>
          <w:rFonts w:cs="Arial"/>
          <w:bCs/>
          <w:sz w:val="22"/>
          <w:szCs w:val="22"/>
        </w:rPr>
        <w:t xml:space="preserve">m for costs on a punitive scale, </w:t>
      </w:r>
      <w:r w:rsidR="00FE6DD8">
        <w:rPr>
          <w:rFonts w:cs="Arial"/>
          <w:bCs/>
          <w:sz w:val="22"/>
          <w:szCs w:val="22"/>
        </w:rPr>
        <w:t>the applicant appeared in person without legal</w:t>
      </w:r>
      <w:r w:rsidR="00F323F0">
        <w:rPr>
          <w:rFonts w:cs="Arial"/>
          <w:bCs/>
          <w:sz w:val="22"/>
          <w:szCs w:val="22"/>
        </w:rPr>
        <w:t xml:space="preserve"> representation and accordingly</w:t>
      </w:r>
      <w:r w:rsidR="00FE6DD8">
        <w:rPr>
          <w:rFonts w:cs="Arial"/>
          <w:bCs/>
          <w:sz w:val="22"/>
          <w:szCs w:val="22"/>
        </w:rPr>
        <w:t xml:space="preserve"> there are no</w:t>
      </w:r>
      <w:r w:rsidR="00F323F0">
        <w:rPr>
          <w:rFonts w:cs="Arial"/>
          <w:bCs/>
          <w:sz w:val="22"/>
          <w:szCs w:val="22"/>
        </w:rPr>
        <w:t xml:space="preserve"> legal costs incurred by him.</w:t>
      </w:r>
    </w:p>
    <w:p w:rsidR="00FE6DD8" w:rsidRDefault="00ED1FA4" w:rsidP="00ED1FA4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[18]</w:t>
      </w:r>
      <w:r>
        <w:rPr>
          <w:rFonts w:cs="Arial"/>
          <w:bCs/>
          <w:sz w:val="21"/>
          <w:szCs w:val="21"/>
        </w:rPr>
        <w:tab/>
      </w:r>
      <w:r w:rsidR="00FE6DD8">
        <w:rPr>
          <w:rFonts w:cs="Arial"/>
          <w:bCs/>
          <w:sz w:val="22"/>
          <w:szCs w:val="22"/>
        </w:rPr>
        <w:t>Accordingly, the following order is granted:</w:t>
      </w:r>
    </w:p>
    <w:p w:rsidR="00FE6DD8" w:rsidRPr="00ED1FA4" w:rsidRDefault="00ED1FA4" w:rsidP="00ED1FA4">
      <w:pPr>
        <w:tabs>
          <w:tab w:val="left" w:pos="1701"/>
        </w:tabs>
        <w:spacing w:after="480" w:line="480" w:lineRule="auto"/>
        <w:ind w:left="1701" w:hanging="56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1.</w:t>
      </w:r>
      <w:r>
        <w:rPr>
          <w:rFonts w:cs="Arial"/>
          <w:bCs/>
          <w:sz w:val="22"/>
          <w:szCs w:val="22"/>
        </w:rPr>
        <w:tab/>
      </w:r>
      <w:r w:rsidR="00FE6DD8" w:rsidRPr="00ED1FA4">
        <w:rPr>
          <w:rFonts w:cs="Arial"/>
          <w:bCs/>
          <w:sz w:val="22"/>
          <w:szCs w:val="22"/>
        </w:rPr>
        <w:t xml:space="preserve">The application is postponed </w:t>
      </w:r>
      <w:r w:rsidR="00FE6DD8" w:rsidRPr="00ED1FA4">
        <w:rPr>
          <w:rFonts w:cs="Arial"/>
          <w:bCs/>
          <w:i/>
          <w:sz w:val="22"/>
          <w:szCs w:val="22"/>
        </w:rPr>
        <w:t xml:space="preserve">sine die </w:t>
      </w:r>
      <w:r w:rsidR="00FE6DD8" w:rsidRPr="00ED1FA4">
        <w:rPr>
          <w:rFonts w:cs="Arial"/>
          <w:bCs/>
          <w:sz w:val="22"/>
          <w:szCs w:val="22"/>
        </w:rPr>
        <w:t xml:space="preserve">pending the </w:t>
      </w:r>
      <w:r w:rsidR="00F323F0" w:rsidRPr="00ED1FA4">
        <w:rPr>
          <w:rFonts w:cs="Arial"/>
          <w:bCs/>
          <w:sz w:val="22"/>
          <w:szCs w:val="22"/>
        </w:rPr>
        <w:t>applicant appearing before the parole b</w:t>
      </w:r>
      <w:r w:rsidR="00FE6DD8" w:rsidRPr="00ED1FA4">
        <w:rPr>
          <w:rFonts w:cs="Arial"/>
          <w:bCs/>
          <w:sz w:val="22"/>
          <w:szCs w:val="22"/>
        </w:rPr>
        <w:t>oard afte</w:t>
      </w:r>
      <w:r w:rsidR="00F323F0" w:rsidRPr="00ED1FA4">
        <w:rPr>
          <w:rFonts w:cs="Arial"/>
          <w:bCs/>
          <w:sz w:val="22"/>
          <w:szCs w:val="22"/>
        </w:rPr>
        <w:t>r 24</w:t>
      </w:r>
      <w:r w:rsidR="00802300" w:rsidRPr="00ED1FA4">
        <w:rPr>
          <w:rFonts w:cs="Arial"/>
          <w:bCs/>
          <w:sz w:val="22"/>
          <w:szCs w:val="22"/>
        </w:rPr>
        <w:t xml:space="preserve"> months of his appearance referred to in the second respondent’s decision of 23-25 March 2022.</w:t>
      </w:r>
    </w:p>
    <w:p w:rsidR="00802300" w:rsidRPr="00ED1FA4" w:rsidRDefault="00ED1FA4" w:rsidP="00ED1FA4">
      <w:pPr>
        <w:tabs>
          <w:tab w:val="left" w:pos="1701"/>
        </w:tabs>
        <w:spacing w:after="480" w:line="480" w:lineRule="auto"/>
        <w:ind w:left="1701" w:hanging="567"/>
        <w:jc w:val="both"/>
        <w:rPr>
          <w:rFonts w:cs="Arial"/>
          <w:bCs/>
          <w:sz w:val="22"/>
          <w:szCs w:val="22"/>
        </w:rPr>
      </w:pPr>
      <w:r w:rsidRPr="001D170D">
        <w:rPr>
          <w:rFonts w:cs="Arial"/>
          <w:bCs/>
          <w:sz w:val="22"/>
          <w:szCs w:val="22"/>
        </w:rPr>
        <w:t>2.</w:t>
      </w:r>
      <w:r w:rsidRPr="001D170D">
        <w:rPr>
          <w:rFonts w:cs="Arial"/>
          <w:bCs/>
          <w:sz w:val="22"/>
          <w:szCs w:val="22"/>
        </w:rPr>
        <w:tab/>
      </w:r>
      <w:r w:rsidR="00F323F0" w:rsidRPr="00ED1FA4">
        <w:rPr>
          <w:rFonts w:cs="Arial"/>
          <w:bCs/>
          <w:sz w:val="22"/>
          <w:szCs w:val="22"/>
        </w:rPr>
        <w:t xml:space="preserve"> No order is granted in respect of the </w:t>
      </w:r>
      <w:r w:rsidR="00FE6DD8" w:rsidRPr="00ED1FA4">
        <w:rPr>
          <w:rFonts w:cs="Arial"/>
          <w:bCs/>
          <w:sz w:val="22"/>
          <w:szCs w:val="22"/>
        </w:rPr>
        <w:t>costs o</w:t>
      </w:r>
      <w:r w:rsidR="00F323F0" w:rsidRPr="00ED1FA4">
        <w:rPr>
          <w:rFonts w:cs="Arial"/>
          <w:bCs/>
          <w:sz w:val="22"/>
          <w:szCs w:val="22"/>
        </w:rPr>
        <w:t xml:space="preserve">f this application.  </w:t>
      </w:r>
    </w:p>
    <w:p w:rsidR="001D170D" w:rsidRPr="001D170D" w:rsidRDefault="001D170D" w:rsidP="001D170D">
      <w:pPr>
        <w:spacing w:after="200" w:line="360" w:lineRule="auto"/>
        <w:ind w:left="1134"/>
        <w:jc w:val="both"/>
        <w:rPr>
          <w:rFonts w:eastAsia="Arial Unicode MS" w:cs="Arial"/>
          <w:bCs/>
          <w:sz w:val="22"/>
        </w:rPr>
      </w:pPr>
    </w:p>
    <w:p w:rsidR="00A81108" w:rsidRPr="00A81108" w:rsidRDefault="00A81108" w:rsidP="00A81108">
      <w:pPr>
        <w:keepNext/>
        <w:tabs>
          <w:tab w:val="right" w:pos="0"/>
        </w:tabs>
        <w:spacing w:line="360" w:lineRule="auto"/>
        <w:contextualSpacing/>
        <w:jc w:val="right"/>
        <w:rPr>
          <w:rFonts w:cs="Arial"/>
        </w:rPr>
      </w:pPr>
      <w:r w:rsidRPr="00A81108">
        <w:rPr>
          <w:rFonts w:cs="Arial"/>
        </w:rPr>
        <w:t>________________</w:t>
      </w:r>
      <w:r w:rsidR="00F323F0">
        <w:rPr>
          <w:rFonts w:cs="Arial"/>
        </w:rPr>
        <w:t xml:space="preserve">  </w:t>
      </w:r>
    </w:p>
    <w:p w:rsidR="00A81108" w:rsidRPr="00A81108" w:rsidRDefault="00F323F0" w:rsidP="00A81108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  <w:r w:rsidR="00A81108" w:rsidRPr="00A81108">
        <w:rPr>
          <w:rFonts w:cs="Arial"/>
          <w:b/>
        </w:rPr>
        <w:t xml:space="preserve"> CRUTCHFIELD</w:t>
      </w:r>
      <w:r>
        <w:rPr>
          <w:rFonts w:cs="Arial"/>
          <w:b/>
        </w:rPr>
        <w:t xml:space="preserve"> J</w:t>
      </w:r>
    </w:p>
    <w:p w:rsidR="00A81108" w:rsidRPr="00A81108" w:rsidRDefault="00A81108" w:rsidP="00A81108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</w:rPr>
      </w:pPr>
      <w:r w:rsidRPr="00A81108">
        <w:rPr>
          <w:rFonts w:cs="Arial"/>
          <w:b/>
        </w:rPr>
        <w:t>JUDGE OF THE HIGH COURT OF SOUTH AFRICA</w:t>
      </w:r>
    </w:p>
    <w:p w:rsidR="00A81108" w:rsidRPr="00A81108" w:rsidRDefault="00A81108" w:rsidP="00A81108">
      <w:pPr>
        <w:tabs>
          <w:tab w:val="right" w:pos="0"/>
          <w:tab w:val="left" w:pos="4253"/>
        </w:tabs>
        <w:spacing w:line="360" w:lineRule="auto"/>
        <w:contextualSpacing/>
        <w:jc w:val="right"/>
        <w:rPr>
          <w:rFonts w:cs="Arial"/>
          <w:b/>
        </w:rPr>
      </w:pPr>
      <w:r w:rsidRPr="00A81108">
        <w:rPr>
          <w:rFonts w:cs="Arial"/>
          <w:b/>
        </w:rPr>
        <w:t>GAUTENG LOCAL DIVISION</w:t>
      </w:r>
    </w:p>
    <w:p w:rsidR="00A81108" w:rsidRPr="00A81108" w:rsidRDefault="00A81108" w:rsidP="00A81108">
      <w:pPr>
        <w:tabs>
          <w:tab w:val="right" w:pos="0"/>
          <w:tab w:val="left" w:pos="4253"/>
        </w:tabs>
        <w:spacing w:line="360" w:lineRule="auto"/>
        <w:contextualSpacing/>
        <w:jc w:val="right"/>
        <w:rPr>
          <w:rFonts w:cs="Arial"/>
          <w:b/>
        </w:rPr>
      </w:pPr>
      <w:r w:rsidRPr="00A81108">
        <w:rPr>
          <w:rFonts w:cs="Arial"/>
          <w:b/>
        </w:rPr>
        <w:t>JOHANNESBURG</w:t>
      </w:r>
    </w:p>
    <w:p w:rsidR="00A81108" w:rsidRPr="00A81108" w:rsidRDefault="00F323F0" w:rsidP="00F323F0">
      <w:pPr>
        <w:spacing w:after="200" w:line="480" w:lineRule="auto"/>
        <w:contextualSpacing/>
        <w:rPr>
          <w:rFonts w:cs="Arial"/>
          <w:b/>
          <w:i/>
          <w:iCs/>
          <w:sz w:val="22"/>
        </w:rPr>
      </w:pPr>
      <w:r>
        <w:rPr>
          <w:rFonts w:cs="Arial"/>
          <w:b/>
          <w:i/>
          <w:iCs/>
          <w:sz w:val="22"/>
        </w:rPr>
        <w:t xml:space="preserve"> </w:t>
      </w:r>
    </w:p>
    <w:p w:rsidR="00A81108" w:rsidRPr="00A81108" w:rsidRDefault="00A81108" w:rsidP="00A81108">
      <w:pPr>
        <w:spacing w:after="200" w:line="360" w:lineRule="auto"/>
        <w:contextualSpacing/>
        <w:jc w:val="both"/>
        <w:rPr>
          <w:rFonts w:eastAsia="Arial Unicode MS" w:cs="Arial"/>
          <w:bCs/>
          <w:sz w:val="22"/>
        </w:rPr>
      </w:pPr>
    </w:p>
    <w:p w:rsidR="00A81108" w:rsidRPr="00A81108" w:rsidRDefault="00A81108" w:rsidP="00A81108">
      <w:pPr>
        <w:spacing w:after="200" w:line="360" w:lineRule="auto"/>
        <w:contextualSpacing/>
        <w:jc w:val="both"/>
        <w:rPr>
          <w:rFonts w:eastAsia="Arial Unicode MS" w:cs="Arial"/>
          <w:bCs/>
          <w:sz w:val="22"/>
        </w:rPr>
      </w:pPr>
      <w:r w:rsidRPr="00A81108">
        <w:rPr>
          <w:rFonts w:eastAsia="Arial Unicode MS" w:cs="Arial"/>
          <w:bCs/>
          <w:sz w:val="22"/>
        </w:rPr>
        <w:t xml:space="preserve">Delivered: This judgment was prepared and authored by the Judge whose name is reflected and is handed down electronically by circulation to the Parties / their legal representatives by email and by uploading it to the electronic file of this matter on CaseLines. The date of the judgment is deemed to be </w:t>
      </w:r>
      <w:r w:rsidR="00FE6DD8" w:rsidRPr="00F323F0">
        <w:rPr>
          <w:rFonts w:eastAsia="Arial Unicode MS" w:cs="Arial"/>
          <w:bCs/>
          <w:sz w:val="22"/>
        </w:rPr>
        <w:t>12 June</w:t>
      </w:r>
      <w:r w:rsidRPr="00F323F0">
        <w:rPr>
          <w:rFonts w:eastAsia="Arial Unicode MS" w:cs="Arial"/>
          <w:bCs/>
          <w:sz w:val="22"/>
        </w:rPr>
        <w:t xml:space="preserve"> 202</w:t>
      </w:r>
      <w:r w:rsidR="00457A56" w:rsidRPr="00F323F0">
        <w:rPr>
          <w:rFonts w:eastAsia="Arial Unicode MS" w:cs="Arial"/>
          <w:bCs/>
          <w:sz w:val="22"/>
        </w:rPr>
        <w:t>3</w:t>
      </w:r>
      <w:r w:rsidRPr="00F323F0">
        <w:rPr>
          <w:rFonts w:eastAsia="Arial Unicode MS" w:cs="Arial"/>
          <w:bCs/>
          <w:sz w:val="22"/>
        </w:rPr>
        <w:t>.</w:t>
      </w:r>
    </w:p>
    <w:p w:rsidR="00A81108" w:rsidRDefault="00A81108" w:rsidP="00A81108">
      <w:pPr>
        <w:tabs>
          <w:tab w:val="right" w:pos="0"/>
          <w:tab w:val="left" w:pos="4253"/>
        </w:tabs>
        <w:spacing w:line="360" w:lineRule="auto"/>
        <w:contextualSpacing/>
        <w:jc w:val="both"/>
        <w:rPr>
          <w:rFonts w:cs="Arial"/>
        </w:rPr>
      </w:pPr>
    </w:p>
    <w:p w:rsidR="00463BED" w:rsidRPr="00A81108" w:rsidRDefault="00463BED" w:rsidP="00A81108">
      <w:pPr>
        <w:tabs>
          <w:tab w:val="right" w:pos="0"/>
          <w:tab w:val="left" w:pos="4253"/>
        </w:tabs>
        <w:spacing w:line="360" w:lineRule="auto"/>
        <w:contextualSpacing/>
        <w:jc w:val="both"/>
        <w:rPr>
          <w:rFonts w:cs="Arial"/>
        </w:rPr>
      </w:pPr>
    </w:p>
    <w:p w:rsidR="00A81108" w:rsidRPr="00A81108" w:rsidRDefault="00A81108" w:rsidP="00A81108">
      <w:pPr>
        <w:tabs>
          <w:tab w:val="right" w:pos="8647"/>
        </w:tabs>
        <w:spacing w:line="360" w:lineRule="auto"/>
        <w:contextualSpacing/>
        <w:jc w:val="both"/>
        <w:rPr>
          <w:rFonts w:cs="Arial"/>
        </w:rPr>
      </w:pPr>
      <w:r w:rsidRPr="00A81108">
        <w:rPr>
          <w:rFonts w:cs="Arial"/>
        </w:rPr>
        <w:t xml:space="preserve">FOR THE </w:t>
      </w:r>
      <w:r w:rsidR="00FE6DD8">
        <w:rPr>
          <w:rFonts w:cs="Arial"/>
        </w:rPr>
        <w:t>APPLICANT</w:t>
      </w:r>
      <w:r w:rsidRPr="00A81108">
        <w:rPr>
          <w:rFonts w:cs="Arial"/>
        </w:rPr>
        <w:t xml:space="preserve">: </w:t>
      </w:r>
      <w:r w:rsidRPr="00A81108">
        <w:rPr>
          <w:rFonts w:cs="Arial"/>
        </w:rPr>
        <w:tab/>
      </w:r>
      <w:r w:rsidR="00FE6DD8">
        <w:rPr>
          <w:rFonts w:cs="Arial"/>
        </w:rPr>
        <w:t>In person</w:t>
      </w:r>
      <w:r w:rsidR="00F323F0">
        <w:rPr>
          <w:rFonts w:cs="Arial"/>
        </w:rPr>
        <w:t>.</w:t>
      </w:r>
    </w:p>
    <w:p w:rsidR="00A81108" w:rsidRPr="00A81108" w:rsidRDefault="00A81108" w:rsidP="00F323F0">
      <w:pPr>
        <w:tabs>
          <w:tab w:val="right" w:pos="8647"/>
        </w:tabs>
        <w:spacing w:line="360" w:lineRule="auto"/>
        <w:contextualSpacing/>
        <w:rPr>
          <w:rFonts w:cs="Arial"/>
        </w:rPr>
      </w:pPr>
    </w:p>
    <w:p w:rsidR="001D170D" w:rsidRDefault="00A81108" w:rsidP="00A81108">
      <w:pPr>
        <w:tabs>
          <w:tab w:val="right" w:pos="0"/>
          <w:tab w:val="right" w:pos="8647"/>
        </w:tabs>
        <w:spacing w:line="360" w:lineRule="auto"/>
        <w:contextualSpacing/>
        <w:jc w:val="both"/>
        <w:rPr>
          <w:rFonts w:cs="Arial"/>
        </w:rPr>
      </w:pPr>
      <w:r w:rsidRPr="00A81108">
        <w:rPr>
          <w:rFonts w:cs="Arial"/>
        </w:rPr>
        <w:t xml:space="preserve">FOR THE </w:t>
      </w:r>
      <w:r w:rsidR="001D170D">
        <w:rPr>
          <w:rFonts w:cs="Arial"/>
        </w:rPr>
        <w:t xml:space="preserve">FIRST AND </w:t>
      </w:r>
    </w:p>
    <w:p w:rsidR="00A81108" w:rsidRPr="00A81108" w:rsidRDefault="001D170D" w:rsidP="00A81108">
      <w:pPr>
        <w:tabs>
          <w:tab w:val="right" w:pos="0"/>
          <w:tab w:val="right" w:pos="8647"/>
        </w:tabs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SECOND </w:t>
      </w:r>
      <w:r w:rsidR="00FE6DD8">
        <w:rPr>
          <w:rFonts w:cs="Arial"/>
        </w:rPr>
        <w:t>RESPONDENT</w:t>
      </w:r>
      <w:r w:rsidR="00463BED">
        <w:rPr>
          <w:rFonts w:cs="Arial"/>
        </w:rPr>
        <w:t>S</w:t>
      </w:r>
      <w:r w:rsidR="00A81108" w:rsidRPr="00A81108">
        <w:rPr>
          <w:rFonts w:cs="Arial"/>
        </w:rPr>
        <w:t xml:space="preserve">: </w:t>
      </w:r>
      <w:r w:rsidR="00A81108" w:rsidRPr="00A81108">
        <w:rPr>
          <w:rFonts w:cs="Arial"/>
        </w:rPr>
        <w:tab/>
      </w:r>
      <w:r w:rsidR="00FE6DD8">
        <w:rPr>
          <w:rFonts w:cs="Arial"/>
        </w:rPr>
        <w:t>State Attorney</w:t>
      </w:r>
      <w:r w:rsidR="00F323F0">
        <w:rPr>
          <w:rFonts w:cs="Arial"/>
        </w:rPr>
        <w:t xml:space="preserve"> Johannesburg.</w:t>
      </w:r>
    </w:p>
    <w:p w:rsidR="00A81108" w:rsidRPr="00A81108" w:rsidRDefault="00A81108" w:rsidP="00A81108">
      <w:pPr>
        <w:tabs>
          <w:tab w:val="right" w:pos="8647"/>
        </w:tabs>
        <w:spacing w:line="360" w:lineRule="auto"/>
        <w:contextualSpacing/>
        <w:jc w:val="both"/>
        <w:rPr>
          <w:rFonts w:cs="Arial"/>
        </w:rPr>
      </w:pPr>
    </w:p>
    <w:p w:rsidR="00A81108" w:rsidRPr="00A81108" w:rsidRDefault="00A81108" w:rsidP="00A81108">
      <w:pPr>
        <w:tabs>
          <w:tab w:val="right" w:pos="0"/>
          <w:tab w:val="right" w:pos="8647"/>
        </w:tabs>
        <w:spacing w:line="360" w:lineRule="auto"/>
        <w:contextualSpacing/>
        <w:jc w:val="both"/>
        <w:rPr>
          <w:rFonts w:cs="Arial"/>
        </w:rPr>
      </w:pPr>
      <w:r w:rsidRPr="00A81108">
        <w:rPr>
          <w:rFonts w:cs="Arial"/>
        </w:rPr>
        <w:t>DATE OF THE HEARING:</w:t>
      </w:r>
      <w:r w:rsidRPr="00A81108">
        <w:rPr>
          <w:rFonts w:cs="Arial"/>
        </w:rPr>
        <w:tab/>
      </w:r>
      <w:r w:rsidR="00FE6DD8">
        <w:rPr>
          <w:rFonts w:cs="Arial"/>
        </w:rPr>
        <w:t>12 April 2023</w:t>
      </w:r>
      <w:r w:rsidR="00F323F0">
        <w:rPr>
          <w:rFonts w:cs="Arial"/>
        </w:rPr>
        <w:t>.</w:t>
      </w:r>
    </w:p>
    <w:p w:rsidR="00A81108" w:rsidRPr="00A81108" w:rsidRDefault="00A81108" w:rsidP="00A81108">
      <w:pPr>
        <w:tabs>
          <w:tab w:val="right" w:pos="0"/>
          <w:tab w:val="right" w:pos="8647"/>
        </w:tabs>
        <w:spacing w:line="360" w:lineRule="auto"/>
        <w:contextualSpacing/>
        <w:jc w:val="both"/>
        <w:rPr>
          <w:rFonts w:cs="Arial"/>
        </w:rPr>
      </w:pPr>
    </w:p>
    <w:p w:rsidR="00AA6E8C" w:rsidRPr="00463BED" w:rsidRDefault="00A81108" w:rsidP="00463BED">
      <w:pPr>
        <w:tabs>
          <w:tab w:val="right" w:pos="0"/>
          <w:tab w:val="right" w:pos="8647"/>
        </w:tabs>
        <w:spacing w:line="360" w:lineRule="auto"/>
        <w:contextualSpacing/>
        <w:jc w:val="both"/>
        <w:rPr>
          <w:rFonts w:cs="Arial"/>
        </w:rPr>
      </w:pPr>
      <w:r w:rsidRPr="00A81108">
        <w:rPr>
          <w:rFonts w:cs="Arial"/>
        </w:rPr>
        <w:t>DATE OF JUDGMENT:</w:t>
      </w:r>
      <w:r w:rsidRPr="00A81108">
        <w:rPr>
          <w:rFonts w:cs="Arial"/>
        </w:rPr>
        <w:tab/>
      </w:r>
      <w:r w:rsidR="00FE6DD8">
        <w:rPr>
          <w:rFonts w:cs="Arial"/>
        </w:rPr>
        <w:t>12 June 2023</w:t>
      </w:r>
      <w:r w:rsidR="00F323F0">
        <w:rPr>
          <w:rFonts w:cs="Arial"/>
        </w:rPr>
        <w:t>.</w:t>
      </w:r>
    </w:p>
    <w:sectPr w:rsidR="00AA6E8C" w:rsidRPr="00463BED" w:rsidSect="00FE6DD8">
      <w:headerReference w:type="default" r:id="rId9"/>
      <w:pgSz w:w="11906" w:h="16838"/>
      <w:pgMar w:top="1440" w:right="1558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64" w:rsidRDefault="00EA7964">
      <w:r>
        <w:separator/>
      </w:r>
    </w:p>
  </w:endnote>
  <w:endnote w:type="continuationSeparator" w:id="0">
    <w:p w:rsidR="00EA7964" w:rsidRDefault="00EA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64" w:rsidRDefault="00EA7964">
      <w:r>
        <w:separator/>
      </w:r>
    </w:p>
  </w:footnote>
  <w:footnote w:type="continuationSeparator" w:id="0">
    <w:p w:rsidR="00EA7964" w:rsidRDefault="00EA7964">
      <w:r>
        <w:continuationSeparator/>
      </w:r>
    </w:p>
  </w:footnote>
  <w:footnote w:id="1">
    <w:p w:rsidR="008B2008" w:rsidRPr="008B2008" w:rsidRDefault="008B2008" w:rsidP="003D0A2C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ab/>
      </w:r>
      <w:r w:rsidRPr="003D0A2C">
        <w:rPr>
          <w:rFonts w:cs="Arial"/>
          <w:bCs/>
          <w:i/>
          <w:szCs w:val="22"/>
        </w:rPr>
        <w:t xml:space="preserve">Phaahla v Minister of Justice and Correctional Services &amp; Another (Tlhakanye intervening) </w:t>
      </w:r>
      <w:r w:rsidRPr="003D0A2C">
        <w:rPr>
          <w:rFonts w:cs="Arial"/>
          <w:bCs/>
          <w:szCs w:val="22"/>
        </w:rPr>
        <w:t>(CCT44/18) [2019] ZACC 18; 2019 (2) SACR 88 (CC); 2019 (7) BCLR 795 (CC) (3 May 2019) (“</w:t>
      </w:r>
      <w:r w:rsidRPr="00E67AAE">
        <w:rPr>
          <w:rFonts w:cs="Arial"/>
          <w:bCs/>
          <w:i/>
          <w:szCs w:val="22"/>
        </w:rPr>
        <w:t>Phaahla</w:t>
      </w:r>
      <w:r w:rsidRPr="003D0A2C">
        <w:rPr>
          <w:rFonts w:cs="Arial"/>
          <w:bCs/>
          <w:szCs w:val="22"/>
        </w:rPr>
        <w:t>”).</w:t>
      </w:r>
    </w:p>
  </w:footnote>
  <w:footnote w:id="2">
    <w:p w:rsidR="00132F8E" w:rsidRPr="003D0A2C" w:rsidRDefault="00132F8E" w:rsidP="00132F8E">
      <w:pPr>
        <w:pStyle w:val="FootnoteText"/>
        <w:rPr>
          <w:sz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ab/>
      </w:r>
      <w:r w:rsidRPr="003D0A2C">
        <w:rPr>
          <w:rFonts w:cs="Arial"/>
          <w:bCs/>
          <w:i/>
          <w:szCs w:val="22"/>
        </w:rPr>
        <w:t>C J van Wyk v The Minister of Correctional Services &amp; Others</w:t>
      </w:r>
      <w:r w:rsidRPr="003D0A2C">
        <w:rPr>
          <w:rFonts w:cs="Arial"/>
          <w:bCs/>
          <w:szCs w:val="22"/>
        </w:rPr>
        <w:t xml:space="preserve"> Case No 40915/10.</w:t>
      </w:r>
    </w:p>
  </w:footnote>
  <w:footnote w:id="3">
    <w:p w:rsidR="007769F2" w:rsidRPr="007769F2" w:rsidRDefault="007769F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Annexure HHL1 </w:t>
      </w:r>
      <w:r>
        <w:rPr>
          <w:lang w:val="en-GB"/>
        </w:rPr>
        <w:t xml:space="preserve"> </w:t>
      </w:r>
    </w:p>
  </w:footnote>
  <w:footnote w:id="4">
    <w:p w:rsidR="00BB2E3B" w:rsidRPr="00CA5E00" w:rsidRDefault="00BB2E3B" w:rsidP="00BB2E3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ab/>
        <w:t xml:space="preserve">Annexure HHL2 </w:t>
      </w:r>
      <w:r>
        <w:rPr>
          <w:lang w:val="en-GB"/>
        </w:rPr>
        <w:t>CaseLines 03-3.</w:t>
      </w:r>
    </w:p>
  </w:footnote>
  <w:footnote w:id="5">
    <w:p w:rsidR="00D7161A" w:rsidRPr="003D0A2C" w:rsidRDefault="00D7161A" w:rsidP="00D7161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ab/>
        <w:t>CaseLines 01-30.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1B" w:rsidRDefault="0022218D">
    <w:pPr>
      <w:pStyle w:val="Header"/>
      <w:spacing w:line="480" w:lineRule="auto"/>
      <w:jc w:val="right"/>
      <w:rPr>
        <w:rStyle w:val="PageNumber"/>
        <w:rFonts w:cs="Arial"/>
      </w:rPr>
    </w:pPr>
    <w:r>
      <w:rPr>
        <w:rFonts w:cs="Arial"/>
        <w:lang w:val="en-US"/>
      </w:rP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ED1FA4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01111B" w:rsidRDefault="0001111B">
    <w:pPr>
      <w:pStyle w:val="Header"/>
      <w:jc w:val="right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FFC1874"/>
    <w:multiLevelType w:val="multilevel"/>
    <w:tmpl w:val="9964028C"/>
    <w:lvl w:ilvl="0">
      <w:start w:val="1"/>
      <w:numFmt w:val="decimal"/>
      <w:lvlText w:val="[%1]"/>
      <w:lvlJc w:val="left"/>
      <w:pPr>
        <w:tabs>
          <w:tab w:val="num" w:pos="680"/>
        </w:tabs>
        <w:ind w:left="0" w:firstLine="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851"/>
      </w:pPr>
      <w:rPr>
        <w:rFonts w:hint="default"/>
        <w:b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381"/>
        </w:tabs>
        <w:ind w:left="2381" w:hanging="8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51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33"/>
        </w:tabs>
        <w:ind w:left="4933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AB078D7"/>
    <w:multiLevelType w:val="multilevel"/>
    <w:tmpl w:val="40AC933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8"/>
        </w:tabs>
        <w:ind w:left="243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96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BB345E5"/>
    <w:multiLevelType w:val="multilevel"/>
    <w:tmpl w:val="5E5A0D06"/>
    <w:lvl w:ilvl="0">
      <w:start w:val="1"/>
      <w:numFmt w:val="decimal"/>
      <w:lvlText w:val="%1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2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A0"/>
    <w:rsid w:val="0001111B"/>
    <w:rsid w:val="00090B6C"/>
    <w:rsid w:val="001311B7"/>
    <w:rsid w:val="00132F8E"/>
    <w:rsid w:val="00175015"/>
    <w:rsid w:val="00181E9D"/>
    <w:rsid w:val="001D170D"/>
    <w:rsid w:val="001F63F8"/>
    <w:rsid w:val="0022218D"/>
    <w:rsid w:val="002502C9"/>
    <w:rsid w:val="00257E5A"/>
    <w:rsid w:val="00262819"/>
    <w:rsid w:val="002C20D3"/>
    <w:rsid w:val="00312EBC"/>
    <w:rsid w:val="00346DE6"/>
    <w:rsid w:val="00353469"/>
    <w:rsid w:val="003D0A2C"/>
    <w:rsid w:val="003E4867"/>
    <w:rsid w:val="00413122"/>
    <w:rsid w:val="00434200"/>
    <w:rsid w:val="00457A56"/>
    <w:rsid w:val="00463BED"/>
    <w:rsid w:val="00506FE2"/>
    <w:rsid w:val="0052527A"/>
    <w:rsid w:val="005559B0"/>
    <w:rsid w:val="005C7FC2"/>
    <w:rsid w:val="005D36A8"/>
    <w:rsid w:val="005E20AF"/>
    <w:rsid w:val="005E3935"/>
    <w:rsid w:val="005E5142"/>
    <w:rsid w:val="005F1174"/>
    <w:rsid w:val="005F734A"/>
    <w:rsid w:val="00612234"/>
    <w:rsid w:val="00623004"/>
    <w:rsid w:val="00660C84"/>
    <w:rsid w:val="006752A2"/>
    <w:rsid w:val="006B457F"/>
    <w:rsid w:val="006C5694"/>
    <w:rsid w:val="006C5D02"/>
    <w:rsid w:val="006F2D15"/>
    <w:rsid w:val="006F2FCE"/>
    <w:rsid w:val="007769F2"/>
    <w:rsid w:val="007821F1"/>
    <w:rsid w:val="007B0D50"/>
    <w:rsid w:val="007F12BE"/>
    <w:rsid w:val="007F558C"/>
    <w:rsid w:val="008016B5"/>
    <w:rsid w:val="00801AB3"/>
    <w:rsid w:val="00802300"/>
    <w:rsid w:val="00806C8D"/>
    <w:rsid w:val="008446AB"/>
    <w:rsid w:val="008A2396"/>
    <w:rsid w:val="008B1DA9"/>
    <w:rsid w:val="008B2008"/>
    <w:rsid w:val="008F653F"/>
    <w:rsid w:val="00917FFD"/>
    <w:rsid w:val="00943EF8"/>
    <w:rsid w:val="00944804"/>
    <w:rsid w:val="009452AC"/>
    <w:rsid w:val="00965A33"/>
    <w:rsid w:val="009B08AF"/>
    <w:rsid w:val="009B3DFC"/>
    <w:rsid w:val="00A0501A"/>
    <w:rsid w:val="00A37BA4"/>
    <w:rsid w:val="00A71FF0"/>
    <w:rsid w:val="00A72A15"/>
    <w:rsid w:val="00A73DEF"/>
    <w:rsid w:val="00A81108"/>
    <w:rsid w:val="00AA6E8C"/>
    <w:rsid w:val="00AD19A0"/>
    <w:rsid w:val="00B21DAA"/>
    <w:rsid w:val="00B30362"/>
    <w:rsid w:val="00B41297"/>
    <w:rsid w:val="00B72A13"/>
    <w:rsid w:val="00BB280F"/>
    <w:rsid w:val="00BB2E3B"/>
    <w:rsid w:val="00C36667"/>
    <w:rsid w:val="00C42D20"/>
    <w:rsid w:val="00C458AF"/>
    <w:rsid w:val="00C83FB4"/>
    <w:rsid w:val="00C845A3"/>
    <w:rsid w:val="00CA5E00"/>
    <w:rsid w:val="00CD13F4"/>
    <w:rsid w:val="00CF3A31"/>
    <w:rsid w:val="00D152AF"/>
    <w:rsid w:val="00D32A95"/>
    <w:rsid w:val="00D7161A"/>
    <w:rsid w:val="00D93200"/>
    <w:rsid w:val="00D94745"/>
    <w:rsid w:val="00DB55BA"/>
    <w:rsid w:val="00DC6A98"/>
    <w:rsid w:val="00DD4E1D"/>
    <w:rsid w:val="00DE503D"/>
    <w:rsid w:val="00E2420C"/>
    <w:rsid w:val="00E576BB"/>
    <w:rsid w:val="00E6644B"/>
    <w:rsid w:val="00E67AAE"/>
    <w:rsid w:val="00E87AC0"/>
    <w:rsid w:val="00EA7964"/>
    <w:rsid w:val="00EC70BC"/>
    <w:rsid w:val="00ED1FA4"/>
    <w:rsid w:val="00F221FC"/>
    <w:rsid w:val="00F323F0"/>
    <w:rsid w:val="00F82337"/>
    <w:rsid w:val="00FA6CC0"/>
    <w:rsid w:val="00FE6DD8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75DDA0-5048-4408-B047-E60EDAE5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F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B08AF"/>
    <w:pPr>
      <w:keepNext/>
      <w:spacing w:after="480" w:line="480" w:lineRule="auto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80" w:lineRule="auto"/>
      <w:jc w:val="center"/>
    </w:pPr>
    <w:rPr>
      <w:rFonts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Footer">
    <w:name w:val="footer"/>
    <w:basedOn w:val="Normal"/>
    <w:link w:val="FooterChar"/>
    <w:uiPriority w:val="99"/>
    <w:unhideWhenUsed/>
    <w:rsid w:val="008B1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DA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08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57A56"/>
    <w:pPr>
      <w:ind w:left="340" w:hanging="3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7A5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7A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JR%20TYPING%20SERVICES\CRUTCHFIELD,%20ALLYSON\Judgment%20Crutchfie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A416C-A065-43CF-B041-4AAEF223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Crutchfield</Template>
  <TotalTime>1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JUDGMENT</vt:lpstr>
    </vt:vector>
  </TitlesOfParts>
  <Company>Group21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</dc:title>
  <dc:creator>JR TYPING SERVICES</dc:creator>
  <cp:keywords>A A CRUTCHFIELD J</cp:keywords>
  <cp:lastModifiedBy>Mokone</cp:lastModifiedBy>
  <cp:revision>3</cp:revision>
  <cp:lastPrinted>1900-12-31T22:00:00Z</cp:lastPrinted>
  <dcterms:created xsi:type="dcterms:W3CDTF">2023-06-14T10:51:00Z</dcterms:created>
  <dcterms:modified xsi:type="dcterms:W3CDTF">2023-06-14T10:52:00Z</dcterms:modified>
</cp:coreProperties>
</file>