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77777777" w:rsidR="006C43D7" w:rsidRPr="0009745A" w:rsidRDefault="006C43D7" w:rsidP="006C43D7">
      <w:pPr>
        <w:spacing w:after="120" w:line="360" w:lineRule="auto"/>
        <w:jc w:val="center"/>
        <w:rPr>
          <w:rFonts w:cs="Arial"/>
          <w:b/>
          <w:bCs/>
          <w:szCs w:val="22"/>
        </w:rPr>
      </w:pPr>
      <w:r w:rsidRPr="0009745A">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9745A" w:rsidRDefault="006C43D7" w:rsidP="006C43D7">
      <w:pPr>
        <w:jc w:val="center"/>
        <w:rPr>
          <w:rFonts w:cs="Arial"/>
          <w:b/>
          <w:szCs w:val="22"/>
        </w:rPr>
      </w:pPr>
      <w:r w:rsidRPr="0009745A">
        <w:rPr>
          <w:rFonts w:cs="Arial"/>
          <w:b/>
          <w:szCs w:val="22"/>
        </w:rPr>
        <w:t xml:space="preserve">IN THE HIGH COURT OF SOUTH AFRICA, </w:t>
      </w:r>
    </w:p>
    <w:p w14:paraId="566C4D1B" w14:textId="77777777" w:rsidR="006C43D7" w:rsidRPr="0009745A" w:rsidRDefault="006C43D7" w:rsidP="006C43D7">
      <w:pPr>
        <w:jc w:val="center"/>
        <w:rPr>
          <w:rFonts w:cs="Arial"/>
          <w:b/>
          <w:szCs w:val="22"/>
        </w:rPr>
      </w:pPr>
      <w:r w:rsidRPr="0009745A">
        <w:rPr>
          <w:rFonts w:cs="Arial"/>
          <w:b/>
          <w:szCs w:val="22"/>
        </w:rPr>
        <w:t>GAUTENG DIVISION, JOHANNESBURG</w:t>
      </w:r>
    </w:p>
    <w:p w14:paraId="13D6E83E" w14:textId="77777777" w:rsidR="006C43D7" w:rsidRPr="0009745A" w:rsidRDefault="006C43D7" w:rsidP="006C43D7">
      <w:pPr>
        <w:jc w:val="both"/>
        <w:rPr>
          <w:rFonts w:cs="Arial"/>
          <w:b/>
          <w:szCs w:val="22"/>
        </w:rPr>
      </w:pPr>
    </w:p>
    <w:p w14:paraId="3698476C" w14:textId="61EF9443" w:rsidR="006C43D7" w:rsidRPr="0009745A" w:rsidRDefault="006C43D7" w:rsidP="006C43D7">
      <w:pPr>
        <w:spacing w:line="360" w:lineRule="auto"/>
        <w:jc w:val="right"/>
        <w:rPr>
          <w:rFonts w:cs="Arial"/>
          <w:b/>
          <w:szCs w:val="22"/>
        </w:rPr>
      </w:pPr>
      <w:r w:rsidRPr="0009745A">
        <w:rPr>
          <w:rFonts w:cs="Arial"/>
          <w:b/>
          <w:szCs w:val="22"/>
        </w:rPr>
        <w:t xml:space="preserve">CASE NO: </w:t>
      </w:r>
      <w:bookmarkStart w:id="0" w:name="_GoBack"/>
      <w:r w:rsidR="00F2485C">
        <w:rPr>
          <w:rFonts w:cs="Arial"/>
          <w:b/>
          <w:szCs w:val="22"/>
        </w:rPr>
        <w:t>20</w:t>
      </w:r>
      <w:r w:rsidR="00510B22">
        <w:rPr>
          <w:rFonts w:cs="Arial"/>
          <w:b/>
          <w:szCs w:val="22"/>
        </w:rPr>
        <w:t>22/</w:t>
      </w:r>
      <w:r w:rsidR="00B46FF7">
        <w:rPr>
          <w:rFonts w:cs="Arial"/>
          <w:b/>
          <w:szCs w:val="22"/>
        </w:rPr>
        <w:t>748</w:t>
      </w:r>
      <w:r w:rsidR="007B2053">
        <w:rPr>
          <w:rFonts w:cs="Arial"/>
          <w:b/>
          <w:szCs w:val="22"/>
        </w:rPr>
        <w:t>3</w:t>
      </w:r>
    </w:p>
    <w:bookmarkEnd w:id="0"/>
    <w:p w14:paraId="0AF8DD38" w14:textId="0F9033BE" w:rsidR="006C43D7" w:rsidRPr="0009745A" w:rsidRDefault="00007CC6" w:rsidP="006C43D7">
      <w:pPr>
        <w:spacing w:line="360" w:lineRule="auto"/>
        <w:jc w:val="right"/>
        <w:rPr>
          <w:rFonts w:cs="Arial"/>
          <w:szCs w:val="22"/>
        </w:rPr>
      </w:pPr>
      <w:r w:rsidRPr="0009745A">
        <w:rPr>
          <w:rFonts w:cs="Arial"/>
          <w:noProof/>
          <w:szCs w:val="22"/>
          <w:lang w:val="en-US"/>
        </w:rPr>
        <mc:AlternateContent>
          <mc:Choice Requires="wps">
            <w:drawing>
              <wp:anchor distT="0" distB="0" distL="114300" distR="114300" simplePos="0" relativeHeight="251659264" behindDoc="0" locked="0" layoutInCell="1" allowOverlap="1" wp14:anchorId="66068A6B" wp14:editId="71561C7F">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42119D" w:rsidRPr="00913F95" w:rsidRDefault="0042119D" w:rsidP="006C43D7">
                            <w:pPr>
                              <w:jc w:val="center"/>
                              <w:rPr>
                                <w:rFonts w:ascii="Century Gothic" w:hAnsi="Century Gothic"/>
                                <w:b/>
                                <w:sz w:val="20"/>
                                <w:szCs w:val="20"/>
                              </w:rPr>
                            </w:pPr>
                          </w:p>
                          <w:p w14:paraId="01FDAE28" w14:textId="6006F5FE" w:rsidR="0042119D" w:rsidRDefault="00E37EAE" w:rsidP="00E37EA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2119D" w:rsidRPr="001D3CC2">
                              <w:rPr>
                                <w:rFonts w:ascii="Century Gothic" w:hAnsi="Century Gothic"/>
                                <w:sz w:val="20"/>
                                <w:szCs w:val="20"/>
                              </w:rPr>
                              <w:t xml:space="preserve">REPORTABLE: </w:t>
                            </w:r>
                            <w:r w:rsidR="000131A4">
                              <w:rPr>
                                <w:rFonts w:ascii="Century Gothic" w:hAnsi="Century Gothic"/>
                                <w:sz w:val="20"/>
                                <w:szCs w:val="20"/>
                              </w:rPr>
                              <w:t>NO</w:t>
                            </w:r>
                          </w:p>
                          <w:p w14:paraId="3A4C7296" w14:textId="6B56123F" w:rsidR="0042119D" w:rsidRPr="001D3CC2" w:rsidRDefault="00E37EAE" w:rsidP="00E37EAE">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42119D" w:rsidRPr="001D3CC2">
                              <w:rPr>
                                <w:rFonts w:ascii="Century Gothic" w:hAnsi="Century Gothic"/>
                                <w:sz w:val="20"/>
                                <w:szCs w:val="20"/>
                              </w:rPr>
                              <w:t>OF INTEREST TO OTHER JUDGES</w:t>
                            </w:r>
                            <w:r w:rsidR="0042119D">
                              <w:rPr>
                                <w:rFonts w:ascii="Century Gothic" w:hAnsi="Century Gothic"/>
                                <w:sz w:val="20"/>
                                <w:szCs w:val="20"/>
                              </w:rPr>
                              <w:t xml:space="preserve">: </w:t>
                            </w:r>
                            <w:r w:rsidR="00B46FF7">
                              <w:rPr>
                                <w:rFonts w:ascii="Century Gothic" w:hAnsi="Century Gothic"/>
                                <w:sz w:val="20"/>
                                <w:szCs w:val="20"/>
                              </w:rPr>
                              <w:t>NO</w:t>
                            </w:r>
                          </w:p>
                          <w:p w14:paraId="21D4A71B" w14:textId="5B58BFC8" w:rsidR="0042119D" w:rsidRPr="00913F95" w:rsidRDefault="0042119D" w:rsidP="001D3CC2">
                            <w:pPr>
                              <w:ind w:left="180"/>
                              <w:rPr>
                                <w:rFonts w:ascii="Century Gothic" w:hAnsi="Century Gothic"/>
                                <w:sz w:val="20"/>
                                <w:szCs w:val="20"/>
                              </w:rPr>
                            </w:pPr>
                          </w:p>
                          <w:p w14:paraId="761B7CA4" w14:textId="77777777" w:rsidR="0042119D" w:rsidRDefault="0042119D" w:rsidP="006C43D7">
                            <w:pPr>
                              <w:rPr>
                                <w:rFonts w:ascii="Century Gothic" w:hAnsi="Century Gothic"/>
                                <w:b/>
                                <w:sz w:val="18"/>
                                <w:szCs w:val="18"/>
                              </w:rPr>
                            </w:pPr>
                          </w:p>
                          <w:p w14:paraId="0EC4BA5C" w14:textId="61945B0D" w:rsidR="0042119D" w:rsidRPr="001D3CC2" w:rsidRDefault="0042119D"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42119D" w:rsidRPr="00084341" w:rsidRDefault="0042119D"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68A6B"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42119D" w:rsidRPr="00913F95" w:rsidRDefault="0042119D" w:rsidP="006C43D7">
                      <w:pPr>
                        <w:jc w:val="center"/>
                        <w:rPr>
                          <w:rFonts w:ascii="Century Gothic" w:hAnsi="Century Gothic"/>
                          <w:b/>
                          <w:sz w:val="20"/>
                          <w:szCs w:val="20"/>
                        </w:rPr>
                      </w:pPr>
                    </w:p>
                    <w:p w14:paraId="01FDAE28" w14:textId="6006F5FE" w:rsidR="0042119D" w:rsidRDefault="00E37EAE" w:rsidP="00E37EA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2119D" w:rsidRPr="001D3CC2">
                        <w:rPr>
                          <w:rFonts w:ascii="Century Gothic" w:hAnsi="Century Gothic"/>
                          <w:sz w:val="20"/>
                          <w:szCs w:val="20"/>
                        </w:rPr>
                        <w:t xml:space="preserve">REPORTABLE: </w:t>
                      </w:r>
                      <w:r w:rsidR="000131A4">
                        <w:rPr>
                          <w:rFonts w:ascii="Century Gothic" w:hAnsi="Century Gothic"/>
                          <w:sz w:val="20"/>
                          <w:szCs w:val="20"/>
                        </w:rPr>
                        <w:t>NO</w:t>
                      </w:r>
                    </w:p>
                    <w:p w14:paraId="3A4C7296" w14:textId="6B56123F" w:rsidR="0042119D" w:rsidRPr="001D3CC2" w:rsidRDefault="00E37EAE" w:rsidP="00E37EAE">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42119D" w:rsidRPr="001D3CC2">
                        <w:rPr>
                          <w:rFonts w:ascii="Century Gothic" w:hAnsi="Century Gothic"/>
                          <w:sz w:val="20"/>
                          <w:szCs w:val="20"/>
                        </w:rPr>
                        <w:t>OF INTEREST TO OTHER JUDGES</w:t>
                      </w:r>
                      <w:r w:rsidR="0042119D">
                        <w:rPr>
                          <w:rFonts w:ascii="Century Gothic" w:hAnsi="Century Gothic"/>
                          <w:sz w:val="20"/>
                          <w:szCs w:val="20"/>
                        </w:rPr>
                        <w:t xml:space="preserve">: </w:t>
                      </w:r>
                      <w:r w:rsidR="00B46FF7">
                        <w:rPr>
                          <w:rFonts w:ascii="Century Gothic" w:hAnsi="Century Gothic"/>
                          <w:sz w:val="20"/>
                          <w:szCs w:val="20"/>
                        </w:rPr>
                        <w:t>NO</w:t>
                      </w:r>
                    </w:p>
                    <w:p w14:paraId="21D4A71B" w14:textId="5B58BFC8" w:rsidR="0042119D" w:rsidRPr="00913F95" w:rsidRDefault="0042119D" w:rsidP="001D3CC2">
                      <w:pPr>
                        <w:ind w:left="180"/>
                        <w:rPr>
                          <w:rFonts w:ascii="Century Gothic" w:hAnsi="Century Gothic"/>
                          <w:sz w:val="20"/>
                          <w:szCs w:val="20"/>
                        </w:rPr>
                      </w:pPr>
                    </w:p>
                    <w:p w14:paraId="761B7CA4" w14:textId="77777777" w:rsidR="0042119D" w:rsidRDefault="0042119D" w:rsidP="006C43D7">
                      <w:pPr>
                        <w:rPr>
                          <w:rFonts w:ascii="Century Gothic" w:hAnsi="Century Gothic"/>
                          <w:b/>
                          <w:sz w:val="18"/>
                          <w:szCs w:val="18"/>
                        </w:rPr>
                      </w:pPr>
                    </w:p>
                    <w:p w14:paraId="0EC4BA5C" w14:textId="61945B0D" w:rsidR="0042119D" w:rsidRPr="001D3CC2" w:rsidRDefault="0042119D"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42119D" w:rsidRPr="00084341" w:rsidRDefault="0042119D"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09745A" w:rsidRDefault="006C43D7" w:rsidP="006C43D7">
      <w:pPr>
        <w:spacing w:line="360" w:lineRule="auto"/>
        <w:jc w:val="both"/>
        <w:rPr>
          <w:rFonts w:cs="Arial"/>
          <w:szCs w:val="22"/>
        </w:rPr>
      </w:pPr>
    </w:p>
    <w:p w14:paraId="4E808D74" w14:textId="77777777" w:rsidR="006C43D7" w:rsidRPr="0009745A" w:rsidRDefault="006C43D7" w:rsidP="006C43D7">
      <w:pPr>
        <w:spacing w:line="360" w:lineRule="auto"/>
        <w:jc w:val="both"/>
        <w:rPr>
          <w:rFonts w:cs="Arial"/>
          <w:szCs w:val="22"/>
        </w:rPr>
      </w:pPr>
    </w:p>
    <w:p w14:paraId="34BF70B6" w14:textId="77777777" w:rsidR="006C43D7" w:rsidRPr="0009745A" w:rsidRDefault="006C43D7" w:rsidP="006C43D7">
      <w:pPr>
        <w:spacing w:line="360" w:lineRule="auto"/>
        <w:jc w:val="both"/>
        <w:rPr>
          <w:rFonts w:cs="Arial"/>
          <w:szCs w:val="22"/>
        </w:rPr>
      </w:pPr>
    </w:p>
    <w:p w14:paraId="2F53BA3A" w14:textId="77777777" w:rsidR="006C43D7" w:rsidRPr="0009745A" w:rsidRDefault="006C43D7" w:rsidP="006C43D7">
      <w:pPr>
        <w:spacing w:line="480" w:lineRule="auto"/>
        <w:jc w:val="both"/>
        <w:rPr>
          <w:rFonts w:cs="Arial"/>
          <w:szCs w:val="22"/>
        </w:rPr>
      </w:pPr>
    </w:p>
    <w:p w14:paraId="3A1C212E" w14:textId="77777777" w:rsidR="006C43D7" w:rsidRPr="0009745A" w:rsidRDefault="006C43D7" w:rsidP="006C43D7">
      <w:pPr>
        <w:spacing w:line="480" w:lineRule="auto"/>
        <w:jc w:val="both"/>
        <w:rPr>
          <w:rFonts w:cs="Arial"/>
          <w:szCs w:val="22"/>
        </w:rPr>
      </w:pPr>
    </w:p>
    <w:p w14:paraId="278F2EEB" w14:textId="294C0F9F" w:rsidR="00970E3D" w:rsidRDefault="00970E3D" w:rsidP="00970E3D">
      <w:pPr>
        <w:autoSpaceDE w:val="0"/>
        <w:autoSpaceDN w:val="0"/>
        <w:adjustRightInd w:val="0"/>
        <w:rPr>
          <w:rFonts w:ascii="Century Gothic" w:hAnsi="Century Gothic" w:cs="Century Gothic"/>
          <w:sz w:val="24"/>
          <w:lang w:eastAsia="en-ZA"/>
        </w:rPr>
      </w:pPr>
    </w:p>
    <w:p w14:paraId="2A3E8EC7" w14:textId="35BFF3B1" w:rsidR="00CC48E3" w:rsidRPr="0009745A" w:rsidRDefault="00CC48E3" w:rsidP="00CC48E3">
      <w:pPr>
        <w:rPr>
          <w:rFonts w:cs="Arial"/>
          <w:szCs w:val="22"/>
        </w:rPr>
      </w:pPr>
    </w:p>
    <w:p w14:paraId="3CF828F5" w14:textId="08ADA014" w:rsidR="00CC48E3" w:rsidRDefault="00CC48E3" w:rsidP="00CC48E3">
      <w:pPr>
        <w:rPr>
          <w:rFonts w:cs="Arial"/>
          <w:szCs w:val="22"/>
        </w:rPr>
      </w:pPr>
      <w:r w:rsidRPr="0009745A">
        <w:rPr>
          <w:rFonts w:cs="Arial"/>
          <w:szCs w:val="22"/>
        </w:rPr>
        <w:t>In the matter between –</w:t>
      </w:r>
    </w:p>
    <w:p w14:paraId="684CF908" w14:textId="6BFAA436" w:rsidR="002369D8" w:rsidRDefault="002369D8" w:rsidP="00CC48E3">
      <w:pPr>
        <w:rPr>
          <w:rFonts w:cs="Arial"/>
          <w:szCs w:val="22"/>
        </w:rPr>
      </w:pPr>
    </w:p>
    <w:p w14:paraId="5CA8F57B" w14:textId="3A5CECEB" w:rsidR="006C43D7" w:rsidRPr="0009745A" w:rsidRDefault="006C43D7" w:rsidP="00016C5A">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46"/>
      </w:tblGrid>
      <w:tr w:rsidR="00C35C76" w:rsidRPr="0009745A" w14:paraId="3F391BAE" w14:textId="77777777" w:rsidTr="00970E3D">
        <w:tc>
          <w:tcPr>
            <w:tcW w:w="5670" w:type="dxa"/>
          </w:tcPr>
          <w:p w14:paraId="14A5291F" w14:textId="7E3AC9FA" w:rsidR="00C35C76" w:rsidRPr="00970E3D" w:rsidRDefault="007B2053" w:rsidP="00B7031E">
            <w:pPr>
              <w:autoSpaceDE w:val="0"/>
              <w:autoSpaceDN w:val="0"/>
              <w:adjustRightInd w:val="0"/>
              <w:spacing w:before="120" w:after="120"/>
              <w:rPr>
                <w:rFonts w:cs="Arial"/>
                <w:b/>
                <w:bCs/>
                <w:szCs w:val="22"/>
              </w:rPr>
            </w:pPr>
            <w:r>
              <w:rPr>
                <w:rFonts w:cs="Arial"/>
                <w:b/>
                <w:bCs/>
                <w:szCs w:val="22"/>
              </w:rPr>
              <w:t>SIBINDI, KHULEKHANI</w:t>
            </w:r>
          </w:p>
        </w:tc>
        <w:tc>
          <w:tcPr>
            <w:tcW w:w="3346" w:type="dxa"/>
          </w:tcPr>
          <w:p w14:paraId="1F273C18" w14:textId="09D5D809" w:rsidR="00C35C76" w:rsidRPr="00970E3D" w:rsidRDefault="00970E3D" w:rsidP="00B7031E">
            <w:pPr>
              <w:spacing w:before="120" w:after="120"/>
              <w:jc w:val="both"/>
              <w:rPr>
                <w:rFonts w:cs="Arial"/>
                <w:b/>
                <w:bCs/>
                <w:szCs w:val="22"/>
              </w:rPr>
            </w:pPr>
            <w:r w:rsidRPr="00970E3D">
              <w:rPr>
                <w:rFonts w:cs="Arial"/>
                <w:b/>
                <w:bCs/>
                <w:szCs w:val="22"/>
              </w:rPr>
              <w:t>APPLICANT</w:t>
            </w:r>
          </w:p>
        </w:tc>
      </w:tr>
      <w:tr w:rsidR="00C35C76" w:rsidRPr="0009745A" w14:paraId="4FC5C5F1" w14:textId="77777777" w:rsidTr="00970E3D">
        <w:tc>
          <w:tcPr>
            <w:tcW w:w="5670" w:type="dxa"/>
          </w:tcPr>
          <w:p w14:paraId="66607EB5" w14:textId="77777777" w:rsidR="00B7031E" w:rsidRPr="00970E3D" w:rsidRDefault="00B7031E" w:rsidP="00B7031E">
            <w:pPr>
              <w:autoSpaceDE w:val="0"/>
              <w:autoSpaceDN w:val="0"/>
              <w:adjustRightInd w:val="0"/>
              <w:spacing w:before="120" w:after="120"/>
              <w:rPr>
                <w:rFonts w:cs="Arial"/>
                <w:b/>
                <w:bCs/>
                <w:szCs w:val="22"/>
              </w:rPr>
            </w:pPr>
          </w:p>
          <w:p w14:paraId="7FC1C32A" w14:textId="13ED275E" w:rsidR="00C35C76" w:rsidRPr="000E055C" w:rsidRDefault="000E055C" w:rsidP="00B7031E">
            <w:pPr>
              <w:autoSpaceDE w:val="0"/>
              <w:autoSpaceDN w:val="0"/>
              <w:adjustRightInd w:val="0"/>
              <w:spacing w:before="120" w:after="120"/>
              <w:rPr>
                <w:rFonts w:cs="Arial"/>
                <w:bCs/>
                <w:szCs w:val="22"/>
              </w:rPr>
            </w:pPr>
            <w:r>
              <w:rPr>
                <w:rFonts w:cs="Arial"/>
                <w:bCs/>
                <w:szCs w:val="22"/>
              </w:rPr>
              <w:t xml:space="preserve">and  </w:t>
            </w:r>
          </w:p>
          <w:p w14:paraId="0CE7B1D3" w14:textId="77777777" w:rsidR="00C35C76" w:rsidRPr="00970E3D" w:rsidRDefault="00C35C76" w:rsidP="00B7031E">
            <w:pPr>
              <w:spacing w:before="120" w:after="120"/>
              <w:jc w:val="both"/>
              <w:rPr>
                <w:rFonts w:cs="Arial"/>
                <w:b/>
                <w:bCs/>
                <w:szCs w:val="22"/>
              </w:rPr>
            </w:pPr>
          </w:p>
        </w:tc>
        <w:tc>
          <w:tcPr>
            <w:tcW w:w="3346" w:type="dxa"/>
          </w:tcPr>
          <w:p w14:paraId="2F9DB216" w14:textId="77777777" w:rsidR="00C35C76" w:rsidRPr="00970E3D" w:rsidRDefault="00C35C76" w:rsidP="00B7031E">
            <w:pPr>
              <w:spacing w:before="120" w:after="120"/>
              <w:jc w:val="both"/>
              <w:rPr>
                <w:rFonts w:cs="Arial"/>
                <w:b/>
                <w:bCs/>
                <w:szCs w:val="22"/>
              </w:rPr>
            </w:pPr>
          </w:p>
        </w:tc>
      </w:tr>
      <w:tr w:rsidR="00C35C76" w:rsidRPr="0009745A" w14:paraId="049E5813" w14:textId="77777777" w:rsidTr="00970E3D">
        <w:tc>
          <w:tcPr>
            <w:tcW w:w="5670" w:type="dxa"/>
          </w:tcPr>
          <w:p w14:paraId="7147811E" w14:textId="001B8713" w:rsidR="00C35C76" w:rsidRPr="00970E3D" w:rsidRDefault="007B2053" w:rsidP="00B7031E">
            <w:pPr>
              <w:spacing w:before="120" w:after="120"/>
              <w:jc w:val="both"/>
              <w:rPr>
                <w:rFonts w:cs="Arial"/>
                <w:b/>
                <w:bCs/>
                <w:szCs w:val="22"/>
              </w:rPr>
            </w:pPr>
            <w:r>
              <w:rPr>
                <w:rFonts w:cs="Arial"/>
                <w:b/>
                <w:bCs/>
                <w:szCs w:val="22"/>
                <w:lang w:eastAsia="en-ZA"/>
              </w:rPr>
              <w:t>TIGER CONSUMER BRANDS LTD</w:t>
            </w:r>
          </w:p>
        </w:tc>
        <w:tc>
          <w:tcPr>
            <w:tcW w:w="3346" w:type="dxa"/>
          </w:tcPr>
          <w:p w14:paraId="5F31628B" w14:textId="3B19847F" w:rsidR="00C35C76" w:rsidRPr="00970E3D" w:rsidRDefault="00970E3D" w:rsidP="003C3AC6">
            <w:pPr>
              <w:autoSpaceDE w:val="0"/>
              <w:autoSpaceDN w:val="0"/>
              <w:adjustRightInd w:val="0"/>
              <w:spacing w:before="120" w:after="120"/>
              <w:rPr>
                <w:rFonts w:cs="Arial"/>
                <w:b/>
                <w:bCs/>
                <w:szCs w:val="22"/>
              </w:rPr>
            </w:pPr>
            <w:r w:rsidRPr="00970E3D">
              <w:rPr>
                <w:rFonts w:cs="Arial"/>
                <w:b/>
                <w:bCs/>
                <w:szCs w:val="22"/>
              </w:rPr>
              <w:t>RESPONDENT</w:t>
            </w:r>
          </w:p>
        </w:tc>
      </w:tr>
      <w:tr w:rsidR="00970E3D" w:rsidRPr="007B2053" w14:paraId="44892D22" w14:textId="77777777" w:rsidTr="00970E3D">
        <w:tc>
          <w:tcPr>
            <w:tcW w:w="5670" w:type="dxa"/>
          </w:tcPr>
          <w:p w14:paraId="0A17C6A7" w14:textId="64B3B907" w:rsidR="00970E3D" w:rsidRPr="007B2053" w:rsidRDefault="007B2053" w:rsidP="00B7031E">
            <w:pPr>
              <w:spacing w:before="120" w:after="120"/>
              <w:jc w:val="both"/>
              <w:rPr>
                <w:rFonts w:cs="Arial"/>
                <w:i/>
                <w:iCs/>
                <w:szCs w:val="22"/>
                <w:lang w:eastAsia="en-ZA"/>
              </w:rPr>
            </w:pPr>
            <w:r w:rsidRPr="007B2053">
              <w:rPr>
                <w:rFonts w:cs="Arial"/>
                <w:i/>
                <w:iCs/>
                <w:sz w:val="18"/>
                <w:szCs w:val="18"/>
                <w:lang w:eastAsia="en-ZA"/>
              </w:rPr>
              <w:t>in re</w:t>
            </w:r>
          </w:p>
        </w:tc>
        <w:tc>
          <w:tcPr>
            <w:tcW w:w="3346" w:type="dxa"/>
          </w:tcPr>
          <w:p w14:paraId="4D2CA37F" w14:textId="4C8C3042" w:rsidR="00970E3D" w:rsidRPr="007B2053" w:rsidRDefault="00970E3D" w:rsidP="003C3AC6">
            <w:pPr>
              <w:autoSpaceDE w:val="0"/>
              <w:autoSpaceDN w:val="0"/>
              <w:adjustRightInd w:val="0"/>
              <w:spacing w:before="120" w:after="120"/>
              <w:rPr>
                <w:rFonts w:cs="Arial"/>
                <w:szCs w:val="22"/>
              </w:rPr>
            </w:pPr>
          </w:p>
        </w:tc>
      </w:tr>
      <w:tr w:rsidR="00970E3D" w:rsidRPr="0009745A" w14:paraId="42D582FB" w14:textId="77777777" w:rsidTr="00970E3D">
        <w:tc>
          <w:tcPr>
            <w:tcW w:w="5670" w:type="dxa"/>
          </w:tcPr>
          <w:p w14:paraId="7E7744ED" w14:textId="28D359B3" w:rsidR="00970E3D" w:rsidRPr="00970E3D" w:rsidRDefault="007B2053" w:rsidP="000E055C">
            <w:pPr>
              <w:spacing w:before="120" w:after="120"/>
              <w:jc w:val="both"/>
              <w:rPr>
                <w:rFonts w:cs="Arial"/>
                <w:b/>
                <w:bCs/>
                <w:szCs w:val="22"/>
                <w:lang w:eastAsia="en-ZA"/>
              </w:rPr>
            </w:pPr>
            <w:r>
              <w:rPr>
                <w:rFonts w:cs="Arial"/>
                <w:b/>
                <w:bCs/>
                <w:szCs w:val="22"/>
                <w:lang w:eastAsia="en-ZA"/>
              </w:rPr>
              <w:t>TIGER CONSUMER BRANDS LTD</w:t>
            </w:r>
          </w:p>
        </w:tc>
        <w:tc>
          <w:tcPr>
            <w:tcW w:w="3346" w:type="dxa"/>
          </w:tcPr>
          <w:p w14:paraId="409C2F75" w14:textId="5D3F5697" w:rsidR="00970E3D" w:rsidRPr="00970E3D" w:rsidRDefault="007B2053" w:rsidP="003C3AC6">
            <w:pPr>
              <w:autoSpaceDE w:val="0"/>
              <w:autoSpaceDN w:val="0"/>
              <w:adjustRightInd w:val="0"/>
              <w:spacing w:before="120" w:after="120"/>
              <w:rPr>
                <w:rFonts w:cs="Arial"/>
                <w:b/>
                <w:bCs/>
                <w:szCs w:val="22"/>
              </w:rPr>
            </w:pPr>
            <w:r>
              <w:rPr>
                <w:rFonts w:cs="Arial"/>
                <w:b/>
                <w:bCs/>
                <w:szCs w:val="22"/>
              </w:rPr>
              <w:t>PLAINTIFF</w:t>
            </w:r>
          </w:p>
        </w:tc>
      </w:tr>
      <w:tr w:rsidR="007B2053" w:rsidRPr="0009745A" w14:paraId="1B059B32" w14:textId="77777777" w:rsidTr="00970E3D">
        <w:tc>
          <w:tcPr>
            <w:tcW w:w="5670" w:type="dxa"/>
          </w:tcPr>
          <w:p w14:paraId="74001EA5" w14:textId="5018E8E9" w:rsidR="007B2053" w:rsidRDefault="007B2053" w:rsidP="000E055C">
            <w:pPr>
              <w:spacing w:before="120" w:after="120"/>
              <w:jc w:val="both"/>
              <w:rPr>
                <w:rFonts w:cs="Arial"/>
                <w:b/>
                <w:bCs/>
                <w:szCs w:val="22"/>
                <w:lang w:eastAsia="en-ZA"/>
              </w:rPr>
            </w:pPr>
            <w:r>
              <w:rPr>
                <w:rFonts w:cs="Arial"/>
                <w:b/>
                <w:bCs/>
                <w:szCs w:val="22"/>
                <w:lang w:eastAsia="en-ZA"/>
              </w:rPr>
              <w:t>And</w:t>
            </w:r>
          </w:p>
        </w:tc>
        <w:tc>
          <w:tcPr>
            <w:tcW w:w="3346" w:type="dxa"/>
          </w:tcPr>
          <w:p w14:paraId="43A48EC3" w14:textId="77777777" w:rsidR="007B2053" w:rsidRDefault="007B2053" w:rsidP="003C3AC6">
            <w:pPr>
              <w:autoSpaceDE w:val="0"/>
              <w:autoSpaceDN w:val="0"/>
              <w:adjustRightInd w:val="0"/>
              <w:spacing w:before="120" w:after="120"/>
              <w:rPr>
                <w:rFonts w:cs="Arial"/>
                <w:b/>
                <w:bCs/>
                <w:szCs w:val="22"/>
              </w:rPr>
            </w:pPr>
          </w:p>
        </w:tc>
      </w:tr>
      <w:tr w:rsidR="007B2053" w:rsidRPr="0009745A" w14:paraId="6A79B4F2" w14:textId="77777777" w:rsidTr="00970E3D">
        <w:tc>
          <w:tcPr>
            <w:tcW w:w="5670" w:type="dxa"/>
          </w:tcPr>
          <w:p w14:paraId="34C50357" w14:textId="6BE4A199" w:rsidR="007B2053" w:rsidRDefault="007B2053" w:rsidP="000E055C">
            <w:pPr>
              <w:spacing w:before="120" w:after="120"/>
              <w:jc w:val="both"/>
              <w:rPr>
                <w:rFonts w:cs="Arial"/>
                <w:b/>
                <w:bCs/>
                <w:szCs w:val="22"/>
                <w:lang w:eastAsia="en-ZA"/>
              </w:rPr>
            </w:pPr>
            <w:r>
              <w:rPr>
                <w:rFonts w:cs="Arial"/>
                <w:b/>
                <w:bCs/>
                <w:szCs w:val="22"/>
              </w:rPr>
              <w:t>SIBINDI, KHULEKHANI</w:t>
            </w:r>
          </w:p>
        </w:tc>
        <w:tc>
          <w:tcPr>
            <w:tcW w:w="3346" w:type="dxa"/>
          </w:tcPr>
          <w:p w14:paraId="051DFCD9" w14:textId="17BAC25E" w:rsidR="007B2053" w:rsidRDefault="007B2053" w:rsidP="003C3AC6">
            <w:pPr>
              <w:autoSpaceDE w:val="0"/>
              <w:autoSpaceDN w:val="0"/>
              <w:adjustRightInd w:val="0"/>
              <w:spacing w:before="120" w:after="120"/>
              <w:rPr>
                <w:rFonts w:cs="Arial"/>
                <w:b/>
                <w:bCs/>
                <w:szCs w:val="22"/>
              </w:rPr>
            </w:pPr>
            <w:r>
              <w:rPr>
                <w:rFonts w:cs="Arial"/>
                <w:b/>
                <w:bCs/>
                <w:szCs w:val="22"/>
              </w:rPr>
              <w:t>DEFENDANT</w:t>
            </w:r>
          </w:p>
        </w:tc>
      </w:tr>
    </w:tbl>
    <w:p w14:paraId="6874877A" w14:textId="77777777" w:rsidR="00510B22" w:rsidRDefault="00510B22" w:rsidP="00F2485C">
      <w:pPr>
        <w:spacing w:line="360" w:lineRule="auto"/>
        <w:jc w:val="both"/>
        <w:rPr>
          <w:b/>
        </w:rPr>
      </w:pPr>
    </w:p>
    <w:p w14:paraId="265ABA61" w14:textId="77777777" w:rsidR="007B2053" w:rsidRPr="0009745A" w:rsidRDefault="007B2053" w:rsidP="006C43D7">
      <w:pPr>
        <w:pBdr>
          <w:bottom w:val="single" w:sz="4" w:space="1" w:color="auto"/>
        </w:pBdr>
        <w:spacing w:line="360" w:lineRule="auto"/>
        <w:jc w:val="both"/>
        <w:rPr>
          <w:rFonts w:cs="Arial"/>
          <w:szCs w:val="22"/>
        </w:rPr>
      </w:pPr>
    </w:p>
    <w:p w14:paraId="58DE5549" w14:textId="77777777" w:rsidR="006C43D7" w:rsidRPr="0009745A" w:rsidRDefault="006C43D7" w:rsidP="006C43D7">
      <w:pPr>
        <w:spacing w:line="276" w:lineRule="auto"/>
        <w:jc w:val="both"/>
        <w:rPr>
          <w:rFonts w:cs="Arial"/>
          <w:szCs w:val="22"/>
        </w:rPr>
      </w:pPr>
    </w:p>
    <w:p w14:paraId="647AB70C" w14:textId="77777777" w:rsidR="006C43D7" w:rsidRPr="0009745A" w:rsidRDefault="006C43D7" w:rsidP="006C43D7">
      <w:pPr>
        <w:keepNext/>
        <w:spacing w:line="276" w:lineRule="auto"/>
        <w:jc w:val="center"/>
        <w:outlineLvl w:val="1"/>
        <w:rPr>
          <w:rFonts w:cs="Arial"/>
          <w:b/>
          <w:bCs/>
          <w:szCs w:val="22"/>
        </w:rPr>
      </w:pPr>
      <w:r w:rsidRPr="0009745A">
        <w:rPr>
          <w:rFonts w:cs="Arial"/>
          <w:b/>
          <w:bCs/>
          <w:szCs w:val="22"/>
        </w:rPr>
        <w:t>JUDGMENT</w:t>
      </w:r>
    </w:p>
    <w:p w14:paraId="52CD25EB" w14:textId="77777777" w:rsidR="006C43D7" w:rsidRPr="0009745A" w:rsidRDefault="006C43D7" w:rsidP="006C43D7">
      <w:pPr>
        <w:pBdr>
          <w:bottom w:val="single" w:sz="4" w:space="1" w:color="auto"/>
        </w:pBdr>
        <w:jc w:val="both"/>
        <w:rPr>
          <w:rFonts w:cs="Arial"/>
          <w:szCs w:val="22"/>
        </w:rPr>
      </w:pPr>
    </w:p>
    <w:p w14:paraId="5BD82EFE" w14:textId="0F8FBF70" w:rsidR="00BE6AB8" w:rsidRPr="0009745A" w:rsidRDefault="00C676F3" w:rsidP="00250A46">
      <w:pPr>
        <w:widowControl w:val="0"/>
        <w:spacing w:after="480" w:line="480" w:lineRule="auto"/>
        <w:jc w:val="both"/>
        <w:rPr>
          <w:rFonts w:cs="Arial"/>
          <w:b/>
          <w:szCs w:val="22"/>
        </w:rPr>
      </w:pPr>
      <w:r w:rsidRPr="0009745A">
        <w:rPr>
          <w:rFonts w:cs="Arial"/>
          <w:b/>
          <w:szCs w:val="22"/>
        </w:rPr>
        <w:t>MOORCROFT</w:t>
      </w:r>
      <w:r w:rsidR="006C43D7" w:rsidRPr="0009745A">
        <w:rPr>
          <w:rFonts w:cs="Arial"/>
          <w:b/>
          <w:szCs w:val="22"/>
        </w:rPr>
        <w:t xml:space="preserve"> AJ:</w:t>
      </w:r>
    </w:p>
    <w:p w14:paraId="10D6BD31" w14:textId="696957DB" w:rsidR="00131957" w:rsidRPr="0009745A" w:rsidRDefault="00131957" w:rsidP="00250A46">
      <w:pPr>
        <w:widowControl w:val="0"/>
        <w:spacing w:after="480" w:line="480" w:lineRule="auto"/>
        <w:jc w:val="both"/>
        <w:rPr>
          <w:rFonts w:cs="Arial"/>
          <w:bCs/>
          <w:i/>
          <w:iCs/>
          <w:szCs w:val="22"/>
          <w:u w:val="single"/>
        </w:rPr>
      </w:pPr>
      <w:r w:rsidRPr="0009745A">
        <w:rPr>
          <w:rFonts w:cs="Arial"/>
          <w:bCs/>
          <w:i/>
          <w:iCs/>
          <w:szCs w:val="22"/>
          <w:u w:val="single"/>
        </w:rPr>
        <w:lastRenderedPageBreak/>
        <w:t>Summary</w:t>
      </w:r>
    </w:p>
    <w:p w14:paraId="54F64660" w14:textId="2B1DAD6B" w:rsidR="0015037C" w:rsidRPr="0009745A" w:rsidRDefault="007B2053" w:rsidP="00250A46">
      <w:pPr>
        <w:widowControl w:val="0"/>
        <w:spacing w:after="480" w:line="480" w:lineRule="auto"/>
        <w:jc w:val="both"/>
        <w:rPr>
          <w:rFonts w:cs="Arial"/>
          <w:bCs/>
          <w:i/>
          <w:iCs/>
          <w:szCs w:val="22"/>
        </w:rPr>
      </w:pPr>
      <w:r>
        <w:rPr>
          <w:rFonts w:cs="Arial"/>
          <w:bCs/>
          <w:i/>
          <w:iCs/>
          <w:szCs w:val="22"/>
        </w:rPr>
        <w:t>Rescission of default judgment</w:t>
      </w:r>
      <w:r w:rsidR="00F436D8">
        <w:rPr>
          <w:rFonts w:cs="Arial"/>
          <w:bCs/>
          <w:i/>
          <w:iCs/>
          <w:szCs w:val="22"/>
        </w:rPr>
        <w:t xml:space="preserve"> under common law – Reconsideration in terms of Rule 31(5</w:t>
      </w:r>
      <w:proofErr w:type="gramStart"/>
      <w:r w:rsidR="00F436D8">
        <w:rPr>
          <w:rFonts w:cs="Arial"/>
          <w:bCs/>
          <w:i/>
          <w:iCs/>
          <w:szCs w:val="22"/>
        </w:rPr>
        <w:t>)(</w:t>
      </w:r>
      <w:proofErr w:type="gramEnd"/>
      <w:r w:rsidR="00F436D8">
        <w:rPr>
          <w:rFonts w:cs="Arial"/>
          <w:bCs/>
          <w:i/>
          <w:iCs/>
          <w:szCs w:val="22"/>
        </w:rPr>
        <w:t>d) – must show good cause</w:t>
      </w:r>
    </w:p>
    <w:p w14:paraId="6F2E03D0" w14:textId="77777777" w:rsidR="0009745A" w:rsidRDefault="0009745A" w:rsidP="00250A46">
      <w:pPr>
        <w:widowControl w:val="0"/>
        <w:spacing w:after="480" w:line="480" w:lineRule="auto"/>
        <w:jc w:val="both"/>
        <w:rPr>
          <w:rFonts w:cs="Arial"/>
          <w:bCs/>
          <w:szCs w:val="22"/>
          <w:u w:val="single"/>
        </w:rPr>
      </w:pPr>
    </w:p>
    <w:p w14:paraId="32DA3C2C" w14:textId="152CB525" w:rsidR="003A6F23" w:rsidRPr="00D53744" w:rsidRDefault="003A6F23" w:rsidP="00D53744">
      <w:pPr>
        <w:widowControl w:val="0"/>
        <w:spacing w:after="480" w:line="360" w:lineRule="auto"/>
        <w:jc w:val="both"/>
        <w:rPr>
          <w:rFonts w:cs="Arial"/>
          <w:bCs/>
          <w:szCs w:val="22"/>
          <w:u w:val="single"/>
        </w:rPr>
      </w:pPr>
      <w:r w:rsidRPr="00D53744">
        <w:rPr>
          <w:rFonts w:cs="Arial"/>
          <w:bCs/>
          <w:szCs w:val="22"/>
          <w:u w:val="single"/>
        </w:rPr>
        <w:t>Order</w:t>
      </w:r>
    </w:p>
    <w:p w14:paraId="794327A4" w14:textId="4CC637C3" w:rsidR="003A6F23" w:rsidRPr="00D53744" w:rsidRDefault="00E37EAE" w:rsidP="00E37EAE">
      <w:pPr>
        <w:widowControl w:val="0"/>
        <w:tabs>
          <w:tab w:val="left" w:pos="567"/>
        </w:tabs>
        <w:spacing w:after="480" w:line="360" w:lineRule="auto"/>
        <w:jc w:val="both"/>
        <w:rPr>
          <w:rFonts w:cs="Arial"/>
          <w:bCs/>
          <w:szCs w:val="22"/>
        </w:rPr>
      </w:pPr>
      <w:r w:rsidRPr="00D53744">
        <w:rPr>
          <w:rFonts w:cs="Arial"/>
          <w:bCs/>
          <w:szCs w:val="22"/>
        </w:rPr>
        <w:t>[1]</w:t>
      </w:r>
      <w:r w:rsidRPr="00D53744">
        <w:rPr>
          <w:rFonts w:cs="Arial"/>
          <w:bCs/>
          <w:szCs w:val="22"/>
        </w:rPr>
        <w:tab/>
      </w:r>
      <w:r w:rsidR="00B87B26" w:rsidRPr="00D53744">
        <w:rPr>
          <w:rFonts w:cs="Arial"/>
          <w:bCs/>
          <w:szCs w:val="22"/>
        </w:rPr>
        <w:t>I ma</w:t>
      </w:r>
      <w:r w:rsidR="00FA2987" w:rsidRPr="00D53744">
        <w:rPr>
          <w:rFonts w:cs="Arial"/>
          <w:bCs/>
          <w:szCs w:val="22"/>
        </w:rPr>
        <w:t>k</w:t>
      </w:r>
      <w:r w:rsidR="00B87B26" w:rsidRPr="00D53744">
        <w:rPr>
          <w:rFonts w:cs="Arial"/>
          <w:bCs/>
          <w:szCs w:val="22"/>
        </w:rPr>
        <w:t>e the following order</w:t>
      </w:r>
      <w:r w:rsidR="005A27EF" w:rsidRPr="00D53744">
        <w:rPr>
          <w:rFonts w:cs="Arial"/>
          <w:bCs/>
          <w:szCs w:val="22"/>
        </w:rPr>
        <w:t>:</w:t>
      </w:r>
    </w:p>
    <w:p w14:paraId="3F3B9F71" w14:textId="06C19D8F" w:rsidR="00B2726B" w:rsidRPr="00D53744" w:rsidRDefault="00E37EAE" w:rsidP="00E37EAE">
      <w:pPr>
        <w:pStyle w:val="Indent"/>
        <w:widowControl w:val="0"/>
        <w:numPr>
          <w:ilvl w:val="0"/>
          <w:numId w:val="0"/>
        </w:numPr>
        <w:spacing w:after="240" w:line="360" w:lineRule="auto"/>
        <w:ind w:left="360" w:hanging="360"/>
        <w:jc w:val="both"/>
        <w:rPr>
          <w:rFonts w:ascii="Arial" w:hAnsi="Arial" w:cs="Arial"/>
          <w:i/>
          <w:sz w:val="22"/>
          <w:szCs w:val="22"/>
          <w:lang w:val="en-GB"/>
        </w:rPr>
      </w:pPr>
      <w:r w:rsidRPr="00D53744">
        <w:rPr>
          <w:rFonts w:ascii="Arial" w:hAnsi="Arial" w:cs="Arial"/>
          <w:i/>
          <w:sz w:val="22"/>
          <w:szCs w:val="22"/>
          <w:lang w:val="en-GB"/>
        </w:rPr>
        <w:t>1.</w:t>
      </w:r>
      <w:r w:rsidRPr="00D53744">
        <w:rPr>
          <w:rFonts w:ascii="Arial" w:hAnsi="Arial" w:cs="Arial"/>
          <w:i/>
          <w:sz w:val="22"/>
          <w:szCs w:val="22"/>
          <w:lang w:val="en-GB"/>
        </w:rPr>
        <w:tab/>
      </w:r>
      <w:r w:rsidR="002953C0" w:rsidRPr="00D53744">
        <w:rPr>
          <w:rFonts w:ascii="Arial" w:hAnsi="Arial" w:cs="Arial"/>
          <w:i/>
          <w:sz w:val="22"/>
          <w:szCs w:val="22"/>
          <w:lang w:val="en-GB"/>
        </w:rPr>
        <w:t>The application is dismissed;</w:t>
      </w:r>
    </w:p>
    <w:p w14:paraId="20D2F0E5" w14:textId="65D0650D" w:rsidR="002953C0" w:rsidRPr="00D53744" w:rsidRDefault="00E37EAE" w:rsidP="00E37EAE">
      <w:pPr>
        <w:pStyle w:val="Indent"/>
        <w:widowControl w:val="0"/>
        <w:numPr>
          <w:ilvl w:val="0"/>
          <w:numId w:val="0"/>
        </w:numPr>
        <w:spacing w:after="240" w:line="360" w:lineRule="auto"/>
        <w:ind w:left="360" w:hanging="360"/>
        <w:jc w:val="both"/>
        <w:rPr>
          <w:rFonts w:ascii="Arial" w:hAnsi="Arial" w:cs="Arial"/>
          <w:i/>
          <w:sz w:val="22"/>
          <w:szCs w:val="22"/>
          <w:lang w:val="en-GB"/>
        </w:rPr>
      </w:pPr>
      <w:r w:rsidRPr="00D53744">
        <w:rPr>
          <w:rFonts w:ascii="Arial" w:hAnsi="Arial" w:cs="Arial"/>
          <w:i/>
          <w:sz w:val="22"/>
          <w:szCs w:val="22"/>
          <w:lang w:val="en-GB"/>
        </w:rPr>
        <w:t>2.</w:t>
      </w:r>
      <w:r w:rsidRPr="00D53744">
        <w:rPr>
          <w:rFonts w:ascii="Arial" w:hAnsi="Arial" w:cs="Arial"/>
          <w:i/>
          <w:sz w:val="22"/>
          <w:szCs w:val="22"/>
          <w:lang w:val="en-GB"/>
        </w:rPr>
        <w:tab/>
      </w:r>
      <w:r w:rsidR="002953C0" w:rsidRPr="00D53744">
        <w:rPr>
          <w:rFonts w:ascii="Arial" w:hAnsi="Arial" w:cs="Arial"/>
          <w:i/>
          <w:sz w:val="22"/>
          <w:szCs w:val="22"/>
          <w:lang w:val="en-GB"/>
        </w:rPr>
        <w:t>The applicant is ordered to pay the costs</w:t>
      </w:r>
      <w:r w:rsidR="001E34E7" w:rsidRPr="00D53744">
        <w:rPr>
          <w:rFonts w:ascii="Arial" w:hAnsi="Arial" w:cs="Arial"/>
          <w:i/>
          <w:sz w:val="22"/>
          <w:szCs w:val="22"/>
          <w:lang w:val="en-GB"/>
        </w:rPr>
        <w:t>, including the wasted costs incurred on 22 May 2023.</w:t>
      </w:r>
    </w:p>
    <w:p w14:paraId="19E04392" w14:textId="58984D0A" w:rsidR="00A72651" w:rsidRPr="00D53744" w:rsidRDefault="00E37EAE" w:rsidP="00E37EAE">
      <w:pPr>
        <w:widowControl w:val="0"/>
        <w:tabs>
          <w:tab w:val="left" w:pos="567"/>
        </w:tabs>
        <w:spacing w:before="480" w:after="480" w:line="360" w:lineRule="auto"/>
        <w:jc w:val="both"/>
        <w:rPr>
          <w:rFonts w:cs="Arial"/>
          <w:bCs/>
          <w:szCs w:val="22"/>
        </w:rPr>
      </w:pPr>
      <w:r w:rsidRPr="00D53744">
        <w:rPr>
          <w:rFonts w:cs="Arial"/>
          <w:bCs/>
          <w:szCs w:val="22"/>
        </w:rPr>
        <w:t>[2]</w:t>
      </w:r>
      <w:r w:rsidRPr="00D53744">
        <w:rPr>
          <w:rFonts w:cs="Arial"/>
          <w:bCs/>
          <w:szCs w:val="22"/>
        </w:rPr>
        <w:tab/>
      </w:r>
      <w:r w:rsidR="003A6F23" w:rsidRPr="00D53744">
        <w:rPr>
          <w:rFonts w:cs="Arial"/>
          <w:bCs/>
          <w:szCs w:val="22"/>
        </w:rPr>
        <w:t xml:space="preserve">The reasons for the order </w:t>
      </w:r>
      <w:r w:rsidR="006145CE" w:rsidRPr="00D53744">
        <w:rPr>
          <w:rFonts w:cs="Arial"/>
          <w:bCs/>
          <w:szCs w:val="22"/>
        </w:rPr>
        <w:t>follow</w:t>
      </w:r>
      <w:r w:rsidR="003A6F23" w:rsidRPr="00D53744">
        <w:rPr>
          <w:rFonts w:cs="Arial"/>
          <w:bCs/>
          <w:szCs w:val="22"/>
        </w:rPr>
        <w:t xml:space="preserve"> below.</w:t>
      </w:r>
    </w:p>
    <w:p w14:paraId="554D5962" w14:textId="77777777" w:rsidR="00DF2208" w:rsidRDefault="00DF2208" w:rsidP="00D53744">
      <w:pPr>
        <w:keepNext/>
        <w:widowControl w:val="0"/>
        <w:spacing w:before="480" w:after="480" w:line="360" w:lineRule="auto"/>
        <w:jc w:val="both"/>
        <w:rPr>
          <w:rFonts w:cs="Arial"/>
          <w:bCs/>
          <w:szCs w:val="22"/>
          <w:u w:val="single"/>
        </w:rPr>
      </w:pPr>
    </w:p>
    <w:p w14:paraId="4C8D7BAB" w14:textId="17A2A2D4" w:rsidR="003A6F23" w:rsidRPr="00D53744" w:rsidRDefault="003A6F23" w:rsidP="00D53744">
      <w:pPr>
        <w:keepNext/>
        <w:widowControl w:val="0"/>
        <w:spacing w:before="480" w:after="480" w:line="360" w:lineRule="auto"/>
        <w:jc w:val="both"/>
        <w:rPr>
          <w:rFonts w:cs="Arial"/>
          <w:bCs/>
          <w:szCs w:val="22"/>
          <w:u w:val="single"/>
        </w:rPr>
      </w:pPr>
      <w:r w:rsidRPr="00D53744">
        <w:rPr>
          <w:rFonts w:cs="Arial"/>
          <w:bCs/>
          <w:szCs w:val="22"/>
          <w:u w:val="single"/>
        </w:rPr>
        <w:t>Introduction</w:t>
      </w:r>
    </w:p>
    <w:p w14:paraId="003FE46D" w14:textId="1B384413" w:rsidR="00D606C4" w:rsidRDefault="00E37EAE" w:rsidP="00E37EAE">
      <w:pPr>
        <w:widowControl w:val="0"/>
        <w:tabs>
          <w:tab w:val="left" w:pos="567"/>
        </w:tabs>
        <w:spacing w:before="480" w:after="480" w:line="360" w:lineRule="auto"/>
        <w:jc w:val="both"/>
        <w:rPr>
          <w:rFonts w:cs="Arial"/>
          <w:bCs/>
          <w:szCs w:val="22"/>
        </w:rPr>
      </w:pPr>
      <w:r>
        <w:rPr>
          <w:rFonts w:cs="Arial"/>
          <w:bCs/>
          <w:szCs w:val="22"/>
        </w:rPr>
        <w:t>[3]</w:t>
      </w:r>
      <w:r>
        <w:rPr>
          <w:rFonts w:cs="Arial"/>
          <w:bCs/>
          <w:szCs w:val="22"/>
        </w:rPr>
        <w:tab/>
      </w:r>
      <w:r w:rsidR="0066767C" w:rsidRPr="00D53744">
        <w:rPr>
          <w:rFonts w:cs="Arial"/>
          <w:bCs/>
          <w:szCs w:val="22"/>
        </w:rPr>
        <w:t>This is an application for the rescission of a judgment granted by the Registrar on 26 August 2022. The matter was on the roll on 22 May 2023 but due to an error by the applicant’s attorneys, counsel was not briefed to appear. The matter was then postponed to 25 May 2023 for argument.</w:t>
      </w:r>
      <w:r w:rsidR="00C20795">
        <w:rPr>
          <w:rFonts w:cs="Arial"/>
          <w:bCs/>
          <w:szCs w:val="22"/>
        </w:rPr>
        <w:t xml:space="preserve"> </w:t>
      </w:r>
    </w:p>
    <w:p w14:paraId="6EE77C8E" w14:textId="52A83CFB" w:rsidR="00150E8B" w:rsidRPr="00D606C4" w:rsidRDefault="00E37EAE" w:rsidP="00E37EAE">
      <w:pPr>
        <w:widowControl w:val="0"/>
        <w:tabs>
          <w:tab w:val="left" w:pos="567"/>
        </w:tabs>
        <w:spacing w:before="480" w:after="480" w:line="360" w:lineRule="auto"/>
        <w:jc w:val="both"/>
        <w:rPr>
          <w:rFonts w:cs="Arial"/>
          <w:bCs/>
          <w:szCs w:val="22"/>
        </w:rPr>
      </w:pPr>
      <w:r w:rsidRPr="00D606C4">
        <w:rPr>
          <w:rFonts w:cs="Arial"/>
          <w:bCs/>
          <w:szCs w:val="22"/>
        </w:rPr>
        <w:t>[4]</w:t>
      </w:r>
      <w:r w:rsidRPr="00D606C4">
        <w:rPr>
          <w:rFonts w:cs="Arial"/>
          <w:bCs/>
          <w:szCs w:val="22"/>
        </w:rPr>
        <w:tab/>
      </w:r>
      <w:r w:rsidR="00C20795" w:rsidRPr="00D606C4">
        <w:rPr>
          <w:rFonts w:cs="Arial"/>
          <w:bCs/>
          <w:szCs w:val="22"/>
        </w:rPr>
        <w:t>The defendant relied on the common law and on Uniform Rules 31(5</w:t>
      </w:r>
      <w:proofErr w:type="gramStart"/>
      <w:r w:rsidR="00C20795" w:rsidRPr="00D606C4">
        <w:rPr>
          <w:rFonts w:cs="Arial"/>
          <w:bCs/>
          <w:szCs w:val="22"/>
        </w:rPr>
        <w:t>)(</w:t>
      </w:r>
      <w:proofErr w:type="gramEnd"/>
      <w:r w:rsidR="00C20795" w:rsidRPr="00D606C4">
        <w:rPr>
          <w:rFonts w:cs="Arial"/>
          <w:bCs/>
          <w:szCs w:val="22"/>
        </w:rPr>
        <w:t>d) and 42(1)</w:t>
      </w:r>
      <w:r w:rsidR="00D606C4" w:rsidRPr="00D606C4">
        <w:rPr>
          <w:rFonts w:cs="Arial"/>
          <w:bCs/>
          <w:szCs w:val="22"/>
        </w:rPr>
        <w:t xml:space="preserve">. </w:t>
      </w:r>
      <w:r w:rsidR="0066767C" w:rsidRPr="00D606C4">
        <w:rPr>
          <w:rFonts w:cs="Arial"/>
          <w:bCs/>
          <w:szCs w:val="22"/>
        </w:rPr>
        <w:t>The application was brought within the time limits</w:t>
      </w:r>
      <w:r w:rsidR="00150E8B" w:rsidRPr="00D606C4">
        <w:rPr>
          <w:rFonts w:cs="Arial"/>
          <w:bCs/>
          <w:szCs w:val="22"/>
        </w:rPr>
        <w:t xml:space="preserve"> prescribed</w:t>
      </w:r>
      <w:r w:rsidR="0066767C" w:rsidRPr="00D606C4">
        <w:rPr>
          <w:rFonts w:cs="Arial"/>
          <w:bCs/>
          <w:szCs w:val="22"/>
        </w:rPr>
        <w:t xml:space="preserve"> in Rule 31(5</w:t>
      </w:r>
      <w:proofErr w:type="gramStart"/>
      <w:r w:rsidR="0066767C" w:rsidRPr="00D606C4">
        <w:rPr>
          <w:rFonts w:cs="Arial"/>
          <w:bCs/>
          <w:szCs w:val="22"/>
        </w:rPr>
        <w:t>)(</w:t>
      </w:r>
      <w:proofErr w:type="gramEnd"/>
      <w:r w:rsidR="00C20795" w:rsidRPr="00D606C4">
        <w:rPr>
          <w:rFonts w:cs="Arial"/>
          <w:bCs/>
          <w:szCs w:val="22"/>
        </w:rPr>
        <w:t>d</w:t>
      </w:r>
      <w:r w:rsidR="0066767C" w:rsidRPr="00D606C4">
        <w:rPr>
          <w:rFonts w:cs="Arial"/>
          <w:bCs/>
          <w:szCs w:val="22"/>
        </w:rPr>
        <w:t>)</w:t>
      </w:r>
      <w:r w:rsidR="00150E8B" w:rsidRPr="00D606C4">
        <w:rPr>
          <w:rFonts w:cs="Arial"/>
          <w:bCs/>
          <w:szCs w:val="22"/>
        </w:rPr>
        <w:t xml:space="preserve"> and within a reasonable time in terms of the common law</w:t>
      </w:r>
      <w:r w:rsidR="0066767C" w:rsidRPr="00D606C4">
        <w:rPr>
          <w:rFonts w:cs="Arial"/>
          <w:bCs/>
          <w:szCs w:val="22"/>
        </w:rPr>
        <w:t xml:space="preserve">. </w:t>
      </w:r>
    </w:p>
    <w:p w14:paraId="7F4510CE" w14:textId="77777777" w:rsidR="00DF2208" w:rsidRDefault="00DF2208" w:rsidP="006B4092">
      <w:pPr>
        <w:widowControl w:val="0"/>
        <w:spacing w:before="480" w:after="480" w:line="360" w:lineRule="auto"/>
        <w:jc w:val="both"/>
        <w:rPr>
          <w:rFonts w:cs="Arial"/>
          <w:bCs/>
          <w:szCs w:val="22"/>
          <w:u w:val="single"/>
        </w:rPr>
      </w:pPr>
    </w:p>
    <w:p w14:paraId="15B212C6" w14:textId="7366B842" w:rsidR="006B4092" w:rsidRPr="00D53744" w:rsidRDefault="006B4092" w:rsidP="006B4092">
      <w:pPr>
        <w:widowControl w:val="0"/>
        <w:spacing w:before="480" w:after="480" w:line="360" w:lineRule="auto"/>
        <w:jc w:val="both"/>
        <w:rPr>
          <w:rFonts w:cs="Arial"/>
          <w:bCs/>
          <w:szCs w:val="22"/>
          <w:u w:val="single"/>
        </w:rPr>
      </w:pPr>
      <w:r w:rsidRPr="00D53744">
        <w:rPr>
          <w:rFonts w:cs="Arial"/>
          <w:bCs/>
          <w:szCs w:val="22"/>
          <w:u w:val="single"/>
        </w:rPr>
        <w:lastRenderedPageBreak/>
        <w:t>Rule 31(5</w:t>
      </w:r>
      <w:proofErr w:type="gramStart"/>
      <w:r w:rsidRPr="00D53744">
        <w:rPr>
          <w:rFonts w:cs="Arial"/>
          <w:bCs/>
          <w:szCs w:val="22"/>
          <w:u w:val="single"/>
        </w:rPr>
        <w:t>)(</w:t>
      </w:r>
      <w:proofErr w:type="gramEnd"/>
      <w:r w:rsidRPr="00D53744">
        <w:rPr>
          <w:rFonts w:cs="Arial"/>
          <w:bCs/>
          <w:szCs w:val="22"/>
          <w:u w:val="single"/>
        </w:rPr>
        <w:t>d)</w:t>
      </w:r>
      <w:r w:rsidR="00D606C4">
        <w:rPr>
          <w:rFonts w:cs="Arial"/>
          <w:bCs/>
          <w:szCs w:val="22"/>
          <w:u w:val="single"/>
        </w:rPr>
        <w:t xml:space="preserve"> and the reconsideration of a judgment granted by the Registrar</w:t>
      </w:r>
    </w:p>
    <w:p w14:paraId="6B86E488" w14:textId="1016B847" w:rsidR="006B4092" w:rsidRPr="00496EB8" w:rsidRDefault="00E37EAE" w:rsidP="00E37EAE">
      <w:pPr>
        <w:widowControl w:val="0"/>
        <w:tabs>
          <w:tab w:val="left" w:pos="567"/>
        </w:tabs>
        <w:spacing w:before="480" w:after="480" w:line="360" w:lineRule="auto"/>
        <w:jc w:val="both"/>
        <w:rPr>
          <w:rFonts w:cs="Arial"/>
          <w:bCs/>
          <w:szCs w:val="22"/>
        </w:rPr>
      </w:pPr>
      <w:r w:rsidRPr="00496EB8">
        <w:rPr>
          <w:rFonts w:cs="Arial"/>
          <w:bCs/>
          <w:szCs w:val="22"/>
        </w:rPr>
        <w:t>[5]</w:t>
      </w:r>
      <w:r w:rsidRPr="00496EB8">
        <w:rPr>
          <w:rFonts w:cs="Arial"/>
          <w:bCs/>
          <w:szCs w:val="22"/>
        </w:rPr>
        <w:tab/>
      </w:r>
      <w:r w:rsidR="006B4092" w:rsidRPr="00496EB8">
        <w:rPr>
          <w:rFonts w:cs="Arial"/>
          <w:bCs/>
          <w:szCs w:val="22"/>
        </w:rPr>
        <w:t>The plaintiff’s claim was for a debt or liquidated demand and default judgment was granted by the Registrar of the High Court in accordance with Rule 35(5</w:t>
      </w:r>
      <w:proofErr w:type="gramStart"/>
      <w:r w:rsidR="006B4092" w:rsidRPr="00496EB8">
        <w:rPr>
          <w:rFonts w:cs="Arial"/>
          <w:bCs/>
          <w:szCs w:val="22"/>
        </w:rPr>
        <w:t>)(</w:t>
      </w:r>
      <w:proofErr w:type="gramEnd"/>
      <w:r w:rsidR="006B4092" w:rsidRPr="00496EB8">
        <w:rPr>
          <w:rFonts w:cs="Arial"/>
          <w:bCs/>
          <w:szCs w:val="22"/>
        </w:rPr>
        <w:t>a)</w:t>
      </w:r>
      <w:r w:rsidR="00A62B78" w:rsidRPr="00496EB8">
        <w:rPr>
          <w:rFonts w:cs="Arial"/>
          <w:bCs/>
          <w:szCs w:val="22"/>
        </w:rPr>
        <w:t>.</w:t>
      </w:r>
      <w:r w:rsidR="00496EB8" w:rsidRPr="00496EB8">
        <w:rPr>
          <w:rFonts w:cs="Arial"/>
          <w:bCs/>
          <w:szCs w:val="22"/>
        </w:rPr>
        <w:t xml:space="preserve"> </w:t>
      </w:r>
      <w:r w:rsidR="006B4092" w:rsidRPr="00496EB8">
        <w:rPr>
          <w:rFonts w:cs="Arial"/>
          <w:bCs/>
          <w:szCs w:val="22"/>
        </w:rPr>
        <w:t>Rule 31(5</w:t>
      </w:r>
      <w:proofErr w:type="gramStart"/>
      <w:r w:rsidR="006B4092" w:rsidRPr="00496EB8">
        <w:rPr>
          <w:rFonts w:cs="Arial"/>
          <w:bCs/>
          <w:szCs w:val="22"/>
        </w:rPr>
        <w:t>)(</w:t>
      </w:r>
      <w:proofErr w:type="gramEnd"/>
      <w:r w:rsidR="006B4092" w:rsidRPr="00496EB8">
        <w:rPr>
          <w:rFonts w:cs="Arial"/>
          <w:bCs/>
          <w:szCs w:val="22"/>
        </w:rPr>
        <w:t>d)</w:t>
      </w:r>
      <w:r w:rsidR="009A0C8C">
        <w:rPr>
          <w:rStyle w:val="FootnoteReference"/>
          <w:rFonts w:cs="Arial"/>
          <w:bCs/>
          <w:szCs w:val="22"/>
        </w:rPr>
        <w:footnoteReference w:id="1"/>
      </w:r>
      <w:r w:rsidR="00A62B78" w:rsidRPr="00496EB8">
        <w:rPr>
          <w:rFonts w:cs="Arial"/>
          <w:bCs/>
          <w:szCs w:val="22"/>
        </w:rPr>
        <w:t xml:space="preserve"> provides for a reconsideration of the judgment by the Court. The sub-rule </w:t>
      </w:r>
      <w:r w:rsidR="006B4092" w:rsidRPr="00496EB8">
        <w:rPr>
          <w:rFonts w:cs="Arial"/>
          <w:bCs/>
          <w:szCs w:val="22"/>
        </w:rPr>
        <w:t>reads as follows:</w:t>
      </w:r>
    </w:p>
    <w:p w14:paraId="30FA34DC" w14:textId="66F709E1" w:rsidR="006B4092" w:rsidRPr="00496EB8" w:rsidRDefault="006B4092" w:rsidP="006B4092">
      <w:pPr>
        <w:widowControl w:val="0"/>
        <w:spacing w:before="480" w:after="480" w:line="360" w:lineRule="auto"/>
        <w:ind w:left="720"/>
        <w:jc w:val="both"/>
        <w:rPr>
          <w:rFonts w:cs="Arial"/>
          <w:bCs/>
          <w:i/>
          <w:iCs/>
          <w:szCs w:val="22"/>
        </w:rPr>
      </w:pPr>
      <w:r w:rsidRPr="00A62B78">
        <w:rPr>
          <w:rFonts w:cs="Arial"/>
          <w:bCs/>
          <w:i/>
          <w:iCs/>
          <w:szCs w:val="22"/>
        </w:rPr>
        <w:t>“</w:t>
      </w:r>
      <w:r w:rsidR="00A62B78" w:rsidRPr="00BC2A53">
        <w:rPr>
          <w:i/>
          <w:iCs/>
          <w:lang w:eastAsia="en-ZA"/>
        </w:rPr>
        <w:t>(d) Any party dissatisfied with a judgment granted or direction given by the registrar may, within 20 days after such party has acquired knowledge of such judgment or directio</w:t>
      </w:r>
      <w:r w:rsidR="00A62B78" w:rsidRPr="00BC2A53">
        <w:rPr>
          <w:i/>
          <w:iCs/>
          <w:szCs w:val="22"/>
          <w:lang w:eastAsia="en-ZA"/>
        </w:rPr>
        <w:t>n, set the matter down for reconsideration by the court.</w:t>
      </w:r>
      <w:r w:rsidRPr="00496EB8">
        <w:rPr>
          <w:rFonts w:cs="Arial"/>
          <w:bCs/>
          <w:i/>
          <w:iCs/>
          <w:szCs w:val="22"/>
        </w:rPr>
        <w:t>”</w:t>
      </w:r>
    </w:p>
    <w:p w14:paraId="78F49518" w14:textId="1FDD83D1" w:rsidR="00E425FF" w:rsidRPr="00C501EB" w:rsidRDefault="00E37EAE" w:rsidP="00E37EAE">
      <w:pPr>
        <w:widowControl w:val="0"/>
        <w:tabs>
          <w:tab w:val="left" w:pos="567"/>
        </w:tabs>
        <w:spacing w:before="480" w:after="480" w:line="360" w:lineRule="auto"/>
        <w:jc w:val="both"/>
        <w:rPr>
          <w:rFonts w:cs="Arial"/>
          <w:bCs/>
          <w:szCs w:val="22"/>
        </w:rPr>
      </w:pPr>
      <w:r w:rsidRPr="00C501EB">
        <w:rPr>
          <w:rFonts w:cs="Arial"/>
          <w:bCs/>
          <w:szCs w:val="22"/>
        </w:rPr>
        <w:t>[6]</w:t>
      </w:r>
      <w:r w:rsidRPr="00C501EB">
        <w:rPr>
          <w:rFonts w:cs="Arial"/>
          <w:bCs/>
          <w:szCs w:val="22"/>
        </w:rPr>
        <w:tab/>
      </w:r>
      <w:r w:rsidR="00496EB8" w:rsidRPr="00C501EB">
        <w:rPr>
          <w:rFonts w:cs="Arial"/>
          <w:bCs/>
          <w:szCs w:val="22"/>
        </w:rPr>
        <w:t>When a default judgment is granted by the Court</w:t>
      </w:r>
      <w:r w:rsidR="00D606C4">
        <w:rPr>
          <w:rFonts w:cs="Arial"/>
          <w:bCs/>
          <w:szCs w:val="22"/>
        </w:rPr>
        <w:t xml:space="preserve"> and not by the Registrar</w:t>
      </w:r>
      <w:r w:rsidR="00496EB8" w:rsidRPr="00C501EB">
        <w:rPr>
          <w:rFonts w:cs="Arial"/>
          <w:bCs/>
          <w:szCs w:val="22"/>
        </w:rPr>
        <w:t xml:space="preserve">, a defendant is entitled to apply for </w:t>
      </w:r>
      <w:r w:rsidR="00C501EB" w:rsidRPr="00C501EB">
        <w:rPr>
          <w:rFonts w:cs="Arial"/>
          <w:bCs/>
          <w:szCs w:val="22"/>
        </w:rPr>
        <w:t>the setting aside</w:t>
      </w:r>
      <w:r w:rsidR="00496EB8" w:rsidRPr="00C501EB">
        <w:rPr>
          <w:rFonts w:cs="Arial"/>
          <w:bCs/>
          <w:szCs w:val="22"/>
        </w:rPr>
        <w:t xml:space="preserve"> of the judgment on good cause shown rather than </w:t>
      </w:r>
      <w:r w:rsidR="00C501EB" w:rsidRPr="00C501EB">
        <w:rPr>
          <w:rFonts w:cs="Arial"/>
          <w:bCs/>
          <w:szCs w:val="22"/>
        </w:rPr>
        <w:t xml:space="preserve">for </w:t>
      </w:r>
      <w:r w:rsidR="00496EB8" w:rsidRPr="00C501EB">
        <w:rPr>
          <w:rFonts w:cs="Arial"/>
          <w:bCs/>
          <w:szCs w:val="22"/>
        </w:rPr>
        <w:t>a reconsideration</w:t>
      </w:r>
      <w:r w:rsidR="00C501EB" w:rsidRPr="00C501EB">
        <w:rPr>
          <w:rFonts w:cs="Arial"/>
          <w:bCs/>
          <w:szCs w:val="22"/>
        </w:rPr>
        <w:t xml:space="preserve">. </w:t>
      </w:r>
      <w:r w:rsidR="00C501EB" w:rsidRPr="00C501EB">
        <w:rPr>
          <w:rFonts w:cs="Arial"/>
          <w:color w:val="000000" w:themeColor="text1"/>
          <w:szCs w:val="22"/>
          <w:shd w:val="clear" w:color="auto" w:fill="FFFFFF"/>
        </w:rPr>
        <w:t>Does this now mean that the test</w:t>
      </w:r>
      <w:r w:rsidR="00DF2208">
        <w:rPr>
          <w:rFonts w:cs="Arial"/>
          <w:color w:val="000000" w:themeColor="text1"/>
          <w:szCs w:val="22"/>
          <w:shd w:val="clear" w:color="auto" w:fill="FFFFFF"/>
        </w:rPr>
        <w:t>s</w:t>
      </w:r>
      <w:r w:rsidR="00C501EB" w:rsidRPr="00C501EB">
        <w:rPr>
          <w:rFonts w:cs="Arial"/>
          <w:color w:val="000000" w:themeColor="text1"/>
          <w:szCs w:val="22"/>
          <w:shd w:val="clear" w:color="auto" w:fill="FFFFFF"/>
        </w:rPr>
        <w:t xml:space="preserve"> for a reconsideration of a </w:t>
      </w:r>
      <w:r w:rsidR="00D606C4">
        <w:rPr>
          <w:rFonts w:cs="Arial"/>
          <w:color w:val="000000" w:themeColor="text1"/>
          <w:szCs w:val="22"/>
          <w:shd w:val="clear" w:color="auto" w:fill="FFFFFF"/>
        </w:rPr>
        <w:t xml:space="preserve">default </w:t>
      </w:r>
      <w:r w:rsidR="00C501EB" w:rsidRPr="00C501EB">
        <w:rPr>
          <w:rFonts w:cs="Arial"/>
          <w:color w:val="000000" w:themeColor="text1"/>
          <w:szCs w:val="22"/>
          <w:shd w:val="clear" w:color="auto" w:fill="FFFFFF"/>
        </w:rPr>
        <w:t>judgment granted by the Registrar in terms of Rule 31(5</w:t>
      </w:r>
      <w:proofErr w:type="gramStart"/>
      <w:r w:rsidR="00C501EB" w:rsidRPr="00C501EB">
        <w:rPr>
          <w:rFonts w:cs="Arial"/>
          <w:color w:val="000000" w:themeColor="text1"/>
          <w:szCs w:val="22"/>
          <w:shd w:val="clear" w:color="auto" w:fill="FFFFFF"/>
        </w:rPr>
        <w:t>)(</w:t>
      </w:r>
      <w:proofErr w:type="gramEnd"/>
      <w:r w:rsidR="00C501EB" w:rsidRPr="00C501EB">
        <w:rPr>
          <w:rFonts w:cs="Arial"/>
          <w:color w:val="000000" w:themeColor="text1"/>
          <w:szCs w:val="22"/>
          <w:shd w:val="clear" w:color="auto" w:fill="FFFFFF"/>
        </w:rPr>
        <w:t>b) and for a rescission of a default judgment granted by the Court under Rule 31(2)</w:t>
      </w:r>
      <w:r w:rsidR="00DF2208">
        <w:rPr>
          <w:rFonts w:cs="Arial"/>
          <w:color w:val="000000" w:themeColor="text1"/>
          <w:szCs w:val="22"/>
          <w:shd w:val="clear" w:color="auto" w:fill="FFFFFF"/>
        </w:rPr>
        <w:t xml:space="preserve"> are</w:t>
      </w:r>
      <w:r w:rsidR="00C501EB" w:rsidRPr="00C501EB">
        <w:rPr>
          <w:rFonts w:cs="Arial"/>
          <w:color w:val="000000" w:themeColor="text1"/>
          <w:szCs w:val="22"/>
          <w:shd w:val="clear" w:color="auto" w:fill="FFFFFF"/>
        </w:rPr>
        <w:t xml:space="preserve"> different? </w:t>
      </w:r>
      <w:r w:rsidR="007262CD" w:rsidRPr="00C501EB">
        <w:rPr>
          <w:rFonts w:cs="Arial"/>
          <w:bCs/>
          <w:szCs w:val="22"/>
        </w:rPr>
        <w:t>In</w:t>
      </w:r>
      <w:r w:rsidR="00DB1DA5" w:rsidRPr="00C501EB">
        <w:rPr>
          <w:i/>
          <w:iCs/>
        </w:rPr>
        <w:t xml:space="preserve"> </w:t>
      </w:r>
      <w:proofErr w:type="spellStart"/>
      <w:r w:rsidR="00DB1DA5" w:rsidRPr="00C501EB">
        <w:rPr>
          <w:i/>
          <w:iCs/>
        </w:rPr>
        <w:t>Pansolutions</w:t>
      </w:r>
      <w:proofErr w:type="spellEnd"/>
      <w:r w:rsidR="00DB1DA5" w:rsidRPr="00C501EB">
        <w:rPr>
          <w:i/>
          <w:iCs/>
        </w:rPr>
        <w:t xml:space="preserve"> Holdings Ltd v P&amp;G Gen</w:t>
      </w:r>
      <w:r w:rsidR="00DB1DA5" w:rsidRPr="00C501EB">
        <w:rPr>
          <w:rFonts w:cs="Arial"/>
          <w:i/>
          <w:iCs/>
          <w:color w:val="000000" w:themeColor="text1"/>
          <w:szCs w:val="22"/>
        </w:rPr>
        <w:t>eral Dealers &amp; Repairers CC,</w:t>
      </w:r>
      <w:r w:rsidR="007262CD" w:rsidRPr="00DB1DA5">
        <w:rPr>
          <w:rStyle w:val="FootnoteReference"/>
          <w:rFonts w:cs="Arial"/>
          <w:bCs/>
          <w:i/>
          <w:color w:val="000000" w:themeColor="text1"/>
          <w:szCs w:val="22"/>
        </w:rPr>
        <w:footnoteReference w:id="2"/>
      </w:r>
      <w:r w:rsidR="007262CD" w:rsidRPr="00C501EB">
        <w:rPr>
          <w:rFonts w:cs="Arial"/>
          <w:bCs/>
          <w:color w:val="000000" w:themeColor="text1"/>
          <w:szCs w:val="22"/>
        </w:rPr>
        <w:t xml:space="preserve"> Swain J said that the power of the Court under this Rule is that</w:t>
      </w:r>
      <w:r w:rsidR="00DB1DA5" w:rsidRPr="00C501EB">
        <w:rPr>
          <w:rFonts w:cs="Arial"/>
          <w:color w:val="000000" w:themeColor="text1"/>
          <w:szCs w:val="22"/>
          <w:shd w:val="clear" w:color="auto" w:fill="FFFFFF"/>
        </w:rPr>
        <w:t xml:space="preserve"> of substituting its discretion</w:t>
      </w:r>
      <w:r w:rsidR="00C501EB">
        <w:rPr>
          <w:rStyle w:val="FootnoteReference"/>
          <w:rFonts w:cs="Arial"/>
          <w:color w:val="000000" w:themeColor="text1"/>
          <w:szCs w:val="22"/>
          <w:shd w:val="clear" w:color="auto" w:fill="FFFFFF"/>
        </w:rPr>
        <w:footnoteReference w:id="3"/>
      </w:r>
      <w:r w:rsidR="00DB1DA5" w:rsidRPr="00C501EB">
        <w:rPr>
          <w:rFonts w:cs="Arial"/>
          <w:color w:val="000000" w:themeColor="text1"/>
          <w:szCs w:val="22"/>
          <w:shd w:val="clear" w:color="auto" w:fill="FFFFFF"/>
        </w:rPr>
        <w:t xml:space="preserve"> for that of the Registrar. </w:t>
      </w:r>
      <w:r w:rsidR="00E425FF" w:rsidRPr="00C501EB">
        <w:rPr>
          <w:rFonts w:cs="Arial"/>
          <w:color w:val="000000" w:themeColor="text1"/>
          <w:szCs w:val="22"/>
          <w:shd w:val="clear" w:color="auto" w:fill="FFFFFF"/>
        </w:rPr>
        <w:t>He continued:</w:t>
      </w:r>
    </w:p>
    <w:p w14:paraId="03C6E8F0" w14:textId="77777777" w:rsidR="00496EB8" w:rsidRPr="00C501EB" w:rsidRDefault="00496EB8" w:rsidP="00496EB8">
      <w:pPr>
        <w:spacing w:line="360" w:lineRule="auto"/>
        <w:ind w:left="720"/>
        <w:jc w:val="both"/>
        <w:rPr>
          <w:rFonts w:cs="Arial"/>
          <w:i/>
          <w:iCs/>
          <w:color w:val="000000" w:themeColor="text1"/>
          <w:szCs w:val="22"/>
          <w:lang w:eastAsia="en-ZA"/>
        </w:rPr>
      </w:pPr>
      <w:r w:rsidRPr="00C501EB">
        <w:rPr>
          <w:rFonts w:cs="Arial"/>
          <w:i/>
          <w:iCs/>
          <w:color w:val="000000" w:themeColor="text1"/>
          <w:szCs w:val="22"/>
        </w:rPr>
        <w:t xml:space="preserve">[12] </w:t>
      </w:r>
      <w:r w:rsidRPr="00C501EB">
        <w:rPr>
          <w:rFonts w:cs="Arial"/>
          <w:i/>
          <w:iCs/>
          <w:color w:val="000000" w:themeColor="text1"/>
          <w:szCs w:val="22"/>
          <w:lang w:eastAsia="en-ZA"/>
        </w:rPr>
        <w:t>The anomalous position therefore arises on the clear wording of the</w:t>
      </w:r>
      <w:r w:rsidRPr="00C501EB">
        <w:rPr>
          <w:rFonts w:cs="Arial"/>
          <w:i/>
          <w:iCs/>
          <w:color w:val="000000" w:themeColor="text1"/>
          <w:szCs w:val="22"/>
        </w:rPr>
        <w:t xml:space="preserve"> </w:t>
      </w:r>
      <w:r w:rsidRPr="00C501EB">
        <w:rPr>
          <w:rFonts w:cs="Arial"/>
          <w:i/>
          <w:iCs/>
          <w:color w:val="000000" w:themeColor="text1"/>
          <w:szCs w:val="22"/>
          <w:lang w:eastAsia="en-ZA"/>
        </w:rPr>
        <w:t xml:space="preserve">relevant </w:t>
      </w:r>
      <w:proofErr w:type="gramStart"/>
      <w:r w:rsidRPr="00C501EB">
        <w:rPr>
          <w:rFonts w:cs="Arial"/>
          <w:i/>
          <w:iCs/>
          <w:color w:val="000000" w:themeColor="text1"/>
          <w:szCs w:val="22"/>
          <w:lang w:eastAsia="en-ZA"/>
        </w:rPr>
        <w:t>rules, that</w:t>
      </w:r>
      <w:proofErr w:type="gramEnd"/>
      <w:r w:rsidRPr="00C501EB">
        <w:rPr>
          <w:rFonts w:cs="Arial"/>
          <w:i/>
          <w:iCs/>
          <w:color w:val="000000" w:themeColor="text1"/>
          <w:szCs w:val="22"/>
          <w:lang w:eastAsia="en-ZA"/>
        </w:rPr>
        <w:t xml:space="preserve"> a different standard applies when a default judgment granted by the court is sought to be set aside, as opposed to a default judgment granted by the registrar.</w:t>
      </w:r>
    </w:p>
    <w:p w14:paraId="00E2FFA1" w14:textId="77777777" w:rsidR="00496EB8" w:rsidRPr="00C501EB" w:rsidRDefault="00496EB8" w:rsidP="00496EB8">
      <w:pPr>
        <w:spacing w:line="360" w:lineRule="auto"/>
        <w:ind w:left="720"/>
        <w:jc w:val="both"/>
        <w:rPr>
          <w:rFonts w:cs="Arial"/>
          <w:i/>
          <w:iCs/>
          <w:color w:val="000000" w:themeColor="text1"/>
          <w:szCs w:val="22"/>
          <w:lang w:eastAsia="en-ZA"/>
        </w:rPr>
      </w:pPr>
      <w:r w:rsidRPr="00C501EB">
        <w:rPr>
          <w:rFonts w:cs="Arial"/>
          <w:i/>
          <w:iCs/>
          <w:color w:val="000000" w:themeColor="text1"/>
          <w:szCs w:val="22"/>
          <w:lang w:eastAsia="en-ZA"/>
        </w:rPr>
        <w:t>[13] It seems to me however that the conflict is more apparent than real, for the following reasons:</w:t>
      </w:r>
    </w:p>
    <w:p w14:paraId="1F757F0F" w14:textId="77777777" w:rsidR="00496EB8" w:rsidRPr="00C501EB" w:rsidRDefault="00496EB8" w:rsidP="00496EB8">
      <w:pPr>
        <w:spacing w:line="360" w:lineRule="auto"/>
        <w:ind w:left="720"/>
        <w:jc w:val="both"/>
        <w:rPr>
          <w:rFonts w:cs="Arial"/>
          <w:i/>
          <w:iCs/>
          <w:color w:val="000000" w:themeColor="text1"/>
          <w:szCs w:val="22"/>
          <w:lang w:eastAsia="en-ZA"/>
        </w:rPr>
      </w:pPr>
      <w:r w:rsidRPr="00C501EB">
        <w:rPr>
          <w:rFonts w:cs="Arial"/>
          <w:i/>
          <w:iCs/>
          <w:color w:val="000000" w:themeColor="text1"/>
          <w:szCs w:val="22"/>
          <w:lang w:eastAsia="en-ZA"/>
        </w:rPr>
        <w:t>[13.1]</w:t>
      </w:r>
      <w:r w:rsidRPr="00C501EB">
        <w:rPr>
          <w:rFonts w:cs="Arial"/>
          <w:i/>
          <w:iCs/>
          <w:color w:val="000000" w:themeColor="text1"/>
          <w:szCs w:val="22"/>
        </w:rPr>
        <w:t xml:space="preserve"> </w:t>
      </w:r>
      <w:proofErr w:type="gramStart"/>
      <w:r w:rsidRPr="00C501EB">
        <w:rPr>
          <w:rFonts w:cs="Arial"/>
          <w:i/>
          <w:iCs/>
          <w:color w:val="000000" w:themeColor="text1"/>
          <w:szCs w:val="22"/>
          <w:lang w:eastAsia="en-ZA"/>
        </w:rPr>
        <w:t>It</w:t>
      </w:r>
      <w:proofErr w:type="gramEnd"/>
      <w:r w:rsidRPr="00C501EB">
        <w:rPr>
          <w:rFonts w:cs="Arial"/>
          <w:i/>
          <w:iCs/>
          <w:color w:val="000000" w:themeColor="text1"/>
          <w:szCs w:val="22"/>
          <w:lang w:eastAsia="en-ZA"/>
        </w:rPr>
        <w:t xml:space="preserve"> is clear that a court, in evaluating 'good cause', has a wide discretion in order to ensure that justice is done. Wahl v </w:t>
      </w:r>
      <w:proofErr w:type="spellStart"/>
      <w:r w:rsidRPr="00C501EB">
        <w:rPr>
          <w:rFonts w:cs="Arial"/>
          <w:i/>
          <w:iCs/>
          <w:color w:val="000000" w:themeColor="text1"/>
          <w:szCs w:val="22"/>
          <w:lang w:eastAsia="en-ZA"/>
        </w:rPr>
        <w:t>Prinswil</w:t>
      </w:r>
      <w:proofErr w:type="spellEnd"/>
      <w:r w:rsidRPr="00C501EB">
        <w:rPr>
          <w:rFonts w:cs="Arial"/>
          <w:i/>
          <w:iCs/>
          <w:color w:val="000000" w:themeColor="text1"/>
          <w:szCs w:val="22"/>
          <w:lang w:eastAsia="en-ZA"/>
        </w:rPr>
        <w:t xml:space="preserve"> </w:t>
      </w:r>
      <w:proofErr w:type="spellStart"/>
      <w:r w:rsidRPr="00C501EB">
        <w:rPr>
          <w:rFonts w:cs="Arial"/>
          <w:i/>
          <w:iCs/>
          <w:color w:val="000000" w:themeColor="text1"/>
          <w:szCs w:val="22"/>
          <w:lang w:eastAsia="en-ZA"/>
        </w:rPr>
        <w:t>Beleggings</w:t>
      </w:r>
      <w:proofErr w:type="spellEnd"/>
      <w:r w:rsidRPr="00C501EB">
        <w:rPr>
          <w:rFonts w:cs="Arial"/>
          <w:i/>
          <w:iCs/>
          <w:color w:val="000000" w:themeColor="text1"/>
          <w:szCs w:val="22"/>
          <w:lang w:eastAsia="en-ZA"/>
        </w:rPr>
        <w:t xml:space="preserve"> (</w:t>
      </w:r>
      <w:proofErr w:type="spellStart"/>
      <w:r w:rsidRPr="00C501EB">
        <w:rPr>
          <w:rFonts w:cs="Arial"/>
          <w:i/>
          <w:iCs/>
          <w:color w:val="000000" w:themeColor="text1"/>
          <w:szCs w:val="22"/>
          <w:lang w:eastAsia="en-ZA"/>
        </w:rPr>
        <w:t>Edms</w:t>
      </w:r>
      <w:proofErr w:type="spellEnd"/>
      <w:r w:rsidRPr="00C501EB">
        <w:rPr>
          <w:rFonts w:cs="Arial"/>
          <w:i/>
          <w:iCs/>
          <w:color w:val="000000" w:themeColor="text1"/>
          <w:szCs w:val="22"/>
          <w:lang w:eastAsia="en-ZA"/>
        </w:rPr>
        <w:t xml:space="preserve">) </w:t>
      </w:r>
      <w:proofErr w:type="spellStart"/>
      <w:r w:rsidRPr="00C501EB">
        <w:rPr>
          <w:rFonts w:cs="Arial"/>
          <w:i/>
          <w:iCs/>
          <w:color w:val="000000" w:themeColor="text1"/>
          <w:szCs w:val="22"/>
          <w:lang w:eastAsia="en-ZA"/>
        </w:rPr>
        <w:t>Bpk</w:t>
      </w:r>
      <w:proofErr w:type="spellEnd"/>
      <w:r w:rsidRPr="00C501EB">
        <w:rPr>
          <w:rFonts w:cs="Arial"/>
          <w:i/>
          <w:iCs/>
          <w:color w:val="000000" w:themeColor="text1"/>
          <w:szCs w:val="22"/>
          <w:lang w:eastAsia="en-ZA"/>
        </w:rPr>
        <w:t> </w:t>
      </w:r>
      <w:hyperlink r:id="rId9" w:history="1">
        <w:r w:rsidRPr="00C501EB">
          <w:rPr>
            <w:rStyle w:val="Hyperlink"/>
            <w:rFonts w:cs="Arial"/>
            <w:i/>
            <w:iCs/>
            <w:color w:val="000000" w:themeColor="text1"/>
            <w:szCs w:val="22"/>
            <w:u w:val="none"/>
            <w:lang w:eastAsia="en-ZA"/>
          </w:rPr>
          <w:t>1984 (1) SA 457 (T)</w:t>
        </w:r>
      </w:hyperlink>
      <w:r w:rsidRPr="00C501EB">
        <w:rPr>
          <w:rFonts w:cs="Arial"/>
          <w:i/>
          <w:iCs/>
          <w:color w:val="000000" w:themeColor="text1"/>
          <w:szCs w:val="22"/>
          <w:lang w:eastAsia="en-ZA"/>
        </w:rPr>
        <w:t>.</w:t>
      </w:r>
    </w:p>
    <w:p w14:paraId="7998256F" w14:textId="77777777" w:rsidR="00496EB8" w:rsidRPr="00C501EB" w:rsidRDefault="00496EB8" w:rsidP="00496EB8">
      <w:pPr>
        <w:spacing w:line="360" w:lineRule="auto"/>
        <w:ind w:left="720"/>
        <w:jc w:val="both"/>
        <w:rPr>
          <w:rFonts w:cs="Arial"/>
          <w:i/>
          <w:iCs/>
          <w:color w:val="000000" w:themeColor="text1"/>
          <w:szCs w:val="22"/>
          <w:lang w:eastAsia="en-ZA"/>
        </w:rPr>
      </w:pPr>
      <w:r w:rsidRPr="00C501EB">
        <w:rPr>
          <w:rFonts w:cs="Arial"/>
          <w:i/>
          <w:iCs/>
          <w:color w:val="000000" w:themeColor="text1"/>
          <w:szCs w:val="22"/>
          <w:lang w:eastAsia="en-ZA"/>
        </w:rPr>
        <w:lastRenderedPageBreak/>
        <w:t>[13.2]</w:t>
      </w:r>
      <w:r w:rsidRPr="00C501EB">
        <w:rPr>
          <w:rFonts w:cs="Arial"/>
          <w:i/>
          <w:iCs/>
          <w:color w:val="000000" w:themeColor="text1"/>
          <w:szCs w:val="22"/>
        </w:rPr>
        <w:t xml:space="preserve"> </w:t>
      </w:r>
      <w:r w:rsidRPr="00C501EB">
        <w:rPr>
          <w:rFonts w:cs="Arial"/>
          <w:i/>
          <w:iCs/>
          <w:color w:val="000000" w:themeColor="text1"/>
          <w:szCs w:val="22"/>
          <w:lang w:eastAsia="en-ZA"/>
        </w:rPr>
        <w:t>The courts have declined to frame 'an exhaustive definition of what would constitute sufficient cause to justify the grant of an</w:t>
      </w:r>
      <w:proofErr w:type="gramStart"/>
      <w:r w:rsidRPr="00C501EB">
        <w:rPr>
          <w:rFonts w:cs="Arial"/>
          <w:i/>
          <w:iCs/>
          <w:color w:val="000000" w:themeColor="text1"/>
          <w:szCs w:val="22"/>
          <w:lang w:eastAsia="en-ZA"/>
        </w:rPr>
        <w:t> </w:t>
      </w:r>
      <w:r w:rsidRPr="00C501EB">
        <w:rPr>
          <w:rFonts w:cs="Arial"/>
          <w:i/>
          <w:iCs/>
          <w:color w:val="000000" w:themeColor="text1"/>
          <w:szCs w:val="22"/>
        </w:rPr>
        <w:t xml:space="preserve"> </w:t>
      </w:r>
      <w:r w:rsidRPr="00C501EB">
        <w:rPr>
          <w:rFonts w:cs="Arial"/>
          <w:i/>
          <w:iCs/>
          <w:color w:val="000000" w:themeColor="text1"/>
          <w:szCs w:val="22"/>
          <w:lang w:eastAsia="en-ZA"/>
        </w:rPr>
        <w:t>indulgence'</w:t>
      </w:r>
      <w:proofErr w:type="gramEnd"/>
      <w:r w:rsidRPr="00C501EB">
        <w:rPr>
          <w:rFonts w:cs="Arial"/>
          <w:i/>
          <w:iCs/>
          <w:color w:val="000000" w:themeColor="text1"/>
          <w:szCs w:val="22"/>
          <w:lang w:eastAsia="en-ZA"/>
        </w:rPr>
        <w:t xml:space="preserve">. Per Innes J in Cairns' Executors v </w:t>
      </w:r>
      <w:proofErr w:type="spellStart"/>
      <w:r w:rsidRPr="00C501EB">
        <w:rPr>
          <w:rFonts w:cs="Arial"/>
          <w:i/>
          <w:iCs/>
          <w:color w:val="000000" w:themeColor="text1"/>
          <w:szCs w:val="22"/>
          <w:lang w:eastAsia="en-ZA"/>
        </w:rPr>
        <w:t>Gaarn</w:t>
      </w:r>
      <w:proofErr w:type="spellEnd"/>
      <w:r w:rsidRPr="00C501EB">
        <w:rPr>
          <w:rFonts w:cs="Arial"/>
          <w:i/>
          <w:iCs/>
          <w:color w:val="000000" w:themeColor="text1"/>
          <w:szCs w:val="22"/>
          <w:lang w:eastAsia="en-ZA"/>
        </w:rPr>
        <w:t> </w:t>
      </w:r>
      <w:hyperlink r:id="rId10" w:history="1">
        <w:r w:rsidRPr="00C501EB">
          <w:rPr>
            <w:rStyle w:val="Hyperlink"/>
            <w:rFonts w:cs="Arial"/>
            <w:i/>
            <w:iCs/>
            <w:color w:val="000000" w:themeColor="text1"/>
            <w:szCs w:val="22"/>
            <w:u w:val="none"/>
            <w:lang w:eastAsia="en-ZA"/>
          </w:rPr>
          <w:t>1912 AD 181</w:t>
        </w:r>
      </w:hyperlink>
      <w:r w:rsidRPr="00C501EB">
        <w:rPr>
          <w:rFonts w:cs="Arial"/>
          <w:i/>
          <w:iCs/>
          <w:color w:val="000000" w:themeColor="text1"/>
          <w:szCs w:val="22"/>
          <w:lang w:eastAsia="en-ZA"/>
        </w:rPr>
        <w:t> at 186.</w:t>
      </w:r>
    </w:p>
    <w:p w14:paraId="5CE10780" w14:textId="77777777" w:rsidR="00496EB8" w:rsidRPr="00C501EB" w:rsidRDefault="00496EB8" w:rsidP="00496EB8">
      <w:pPr>
        <w:spacing w:line="360" w:lineRule="auto"/>
        <w:ind w:left="720"/>
        <w:jc w:val="both"/>
        <w:rPr>
          <w:rFonts w:cs="Arial"/>
          <w:i/>
          <w:iCs/>
          <w:color w:val="000000" w:themeColor="text1"/>
          <w:szCs w:val="22"/>
          <w:lang w:eastAsia="en-ZA"/>
        </w:rPr>
      </w:pPr>
      <w:r w:rsidRPr="00C501EB">
        <w:rPr>
          <w:rFonts w:cs="Arial"/>
          <w:i/>
          <w:iCs/>
          <w:color w:val="000000" w:themeColor="text1"/>
          <w:szCs w:val="22"/>
          <w:lang w:eastAsia="en-ZA"/>
        </w:rPr>
        <w:t>[13.3]</w:t>
      </w:r>
      <w:r w:rsidRPr="00C501EB">
        <w:rPr>
          <w:rFonts w:cs="Arial"/>
          <w:i/>
          <w:iCs/>
          <w:color w:val="000000" w:themeColor="text1"/>
          <w:szCs w:val="22"/>
        </w:rPr>
        <w:t xml:space="preserve"> </w:t>
      </w:r>
      <w:proofErr w:type="gramStart"/>
      <w:r w:rsidRPr="00C501EB">
        <w:rPr>
          <w:rFonts w:cs="Arial"/>
          <w:i/>
          <w:iCs/>
          <w:color w:val="000000" w:themeColor="text1"/>
          <w:szCs w:val="22"/>
          <w:lang w:eastAsia="en-ZA"/>
        </w:rPr>
        <w:t>The</w:t>
      </w:r>
      <w:proofErr w:type="gramEnd"/>
      <w:r w:rsidRPr="00C501EB">
        <w:rPr>
          <w:rFonts w:cs="Arial"/>
          <w:i/>
          <w:iCs/>
          <w:color w:val="000000" w:themeColor="text1"/>
          <w:szCs w:val="22"/>
          <w:lang w:eastAsia="en-ZA"/>
        </w:rPr>
        <w:t xml:space="preserve"> enquiry in both instances is directed at establishing the reasons for the aggrieved parties' absence. In the case of rule 31(2</w:t>
      </w:r>
      <w:proofErr w:type="gramStart"/>
      <w:r w:rsidRPr="00C501EB">
        <w:rPr>
          <w:rFonts w:cs="Arial"/>
          <w:i/>
          <w:iCs/>
          <w:color w:val="000000" w:themeColor="text1"/>
          <w:szCs w:val="22"/>
          <w:lang w:eastAsia="en-ZA"/>
        </w:rPr>
        <w:t>)(</w:t>
      </w:r>
      <w:proofErr w:type="gramEnd"/>
      <w:r w:rsidRPr="00C501EB">
        <w:rPr>
          <w:rFonts w:cs="Arial"/>
          <w:i/>
          <w:iCs/>
          <w:color w:val="000000" w:themeColor="text1"/>
          <w:szCs w:val="22"/>
          <w:lang w:eastAsia="en-ZA"/>
        </w:rPr>
        <w:t>b) it is incumbent upon the applicant to show that the default was not wilful.</w:t>
      </w:r>
    </w:p>
    <w:p w14:paraId="3FE99896" w14:textId="4963BA9A" w:rsidR="00496EB8" w:rsidRPr="00C501EB" w:rsidRDefault="00496EB8" w:rsidP="00496EB8">
      <w:pPr>
        <w:spacing w:line="360" w:lineRule="auto"/>
        <w:ind w:left="720"/>
        <w:jc w:val="both"/>
        <w:rPr>
          <w:rFonts w:cs="Arial"/>
          <w:i/>
          <w:iCs/>
          <w:color w:val="000000" w:themeColor="text1"/>
          <w:szCs w:val="22"/>
          <w:lang w:eastAsia="en-ZA"/>
        </w:rPr>
      </w:pPr>
      <w:r w:rsidRPr="00C501EB">
        <w:rPr>
          <w:rFonts w:cs="Arial"/>
          <w:i/>
          <w:iCs/>
          <w:color w:val="000000" w:themeColor="text1"/>
          <w:szCs w:val="22"/>
          <w:lang w:eastAsia="en-ZA"/>
        </w:rPr>
        <w:t>[13.4]</w:t>
      </w:r>
      <w:r w:rsidRPr="00C501EB">
        <w:rPr>
          <w:rFonts w:cs="Arial"/>
          <w:i/>
          <w:iCs/>
          <w:color w:val="000000" w:themeColor="text1"/>
          <w:szCs w:val="22"/>
        </w:rPr>
        <w:t xml:space="preserve"> </w:t>
      </w:r>
      <w:r w:rsidRPr="00C501EB">
        <w:rPr>
          <w:rFonts w:cs="Arial"/>
          <w:i/>
          <w:iCs/>
          <w:color w:val="000000" w:themeColor="text1"/>
          <w:szCs w:val="22"/>
          <w:lang w:eastAsia="en-ZA"/>
        </w:rPr>
        <w:t>That an applicant is bona fide in bringing the application, and has a bona fide defence to the claim, as required as part of the obligation to show 'good cause' in terms of rule 31(2</w:t>
      </w:r>
      <w:proofErr w:type="gramStart"/>
      <w:r w:rsidRPr="00C501EB">
        <w:rPr>
          <w:rFonts w:cs="Arial"/>
          <w:i/>
          <w:iCs/>
          <w:color w:val="000000" w:themeColor="text1"/>
          <w:szCs w:val="22"/>
          <w:lang w:eastAsia="en-ZA"/>
        </w:rPr>
        <w:t>)(</w:t>
      </w:r>
      <w:proofErr w:type="gramEnd"/>
      <w:r w:rsidRPr="00C501EB">
        <w:rPr>
          <w:rFonts w:cs="Arial"/>
          <w:i/>
          <w:iCs/>
          <w:color w:val="000000" w:themeColor="text1"/>
          <w:szCs w:val="22"/>
          <w:lang w:eastAsia="en-ZA"/>
        </w:rPr>
        <w:t>b) is equally embraced by the concept of determining whether an imbalance, oppression or injustice has resulted from the judgment  granted by the registrar in terms of rule 31(5)(d).</w:t>
      </w:r>
      <w:r w:rsidR="0083144F">
        <w:rPr>
          <w:rFonts w:cs="Arial"/>
          <w:i/>
          <w:iCs/>
          <w:color w:val="000000" w:themeColor="text1"/>
          <w:szCs w:val="22"/>
          <w:lang w:eastAsia="en-ZA"/>
        </w:rPr>
        <w:t>”</w:t>
      </w:r>
    </w:p>
    <w:p w14:paraId="7F8F7939" w14:textId="77777777" w:rsidR="00496EB8" w:rsidRPr="004B383D" w:rsidRDefault="00496EB8" w:rsidP="004B383D">
      <w:pPr>
        <w:rPr>
          <w:color w:val="000000" w:themeColor="text1"/>
        </w:rPr>
      </w:pPr>
    </w:p>
    <w:p w14:paraId="688D336A" w14:textId="77777777" w:rsidR="00DF2208" w:rsidRDefault="00DF2208" w:rsidP="00C20795">
      <w:pPr>
        <w:widowControl w:val="0"/>
        <w:spacing w:before="480" w:after="480" w:line="360" w:lineRule="auto"/>
        <w:jc w:val="both"/>
        <w:rPr>
          <w:rFonts w:cs="Arial"/>
          <w:bCs/>
          <w:szCs w:val="22"/>
          <w:u w:val="single"/>
        </w:rPr>
      </w:pPr>
    </w:p>
    <w:p w14:paraId="6C83BD09" w14:textId="3A304328" w:rsidR="00C20795" w:rsidRPr="00C20795" w:rsidRDefault="00C20795" w:rsidP="00C20795">
      <w:pPr>
        <w:widowControl w:val="0"/>
        <w:spacing w:before="480" w:after="480" w:line="360" w:lineRule="auto"/>
        <w:jc w:val="both"/>
        <w:rPr>
          <w:rFonts w:cs="Arial"/>
          <w:bCs/>
          <w:szCs w:val="22"/>
          <w:u w:val="single"/>
        </w:rPr>
      </w:pPr>
      <w:r w:rsidRPr="00C20795">
        <w:rPr>
          <w:rFonts w:cs="Arial"/>
          <w:bCs/>
          <w:szCs w:val="22"/>
          <w:u w:val="single"/>
        </w:rPr>
        <w:t>Good cause</w:t>
      </w:r>
    </w:p>
    <w:p w14:paraId="24BA736F" w14:textId="6F155151" w:rsidR="007262CD" w:rsidRPr="00D53744" w:rsidRDefault="00E37EAE" w:rsidP="00E37EAE">
      <w:pPr>
        <w:widowControl w:val="0"/>
        <w:tabs>
          <w:tab w:val="left" w:pos="567"/>
        </w:tabs>
        <w:spacing w:before="480" w:after="480" w:line="360" w:lineRule="auto"/>
        <w:jc w:val="both"/>
        <w:rPr>
          <w:rFonts w:cs="Arial"/>
          <w:bCs/>
          <w:szCs w:val="22"/>
        </w:rPr>
      </w:pPr>
      <w:r w:rsidRPr="00D53744">
        <w:rPr>
          <w:rFonts w:cs="Arial"/>
          <w:bCs/>
          <w:szCs w:val="22"/>
        </w:rPr>
        <w:t>[7]</w:t>
      </w:r>
      <w:r w:rsidRPr="00D53744">
        <w:rPr>
          <w:rFonts w:cs="Arial"/>
          <w:bCs/>
          <w:szCs w:val="22"/>
        </w:rPr>
        <w:tab/>
      </w:r>
      <w:r w:rsidR="008268FE">
        <w:rPr>
          <w:rFonts w:cs="Arial"/>
          <w:bCs/>
          <w:szCs w:val="22"/>
        </w:rPr>
        <w:t>The ‘good cause’ requirement is</w:t>
      </w:r>
      <w:r w:rsidR="00C20795">
        <w:rPr>
          <w:rFonts w:cs="Arial"/>
          <w:bCs/>
          <w:szCs w:val="22"/>
        </w:rPr>
        <w:t xml:space="preserve"> </w:t>
      </w:r>
      <w:r w:rsidR="008268FE">
        <w:rPr>
          <w:rFonts w:cs="Arial"/>
          <w:bCs/>
          <w:szCs w:val="22"/>
        </w:rPr>
        <w:t>the same</w:t>
      </w:r>
      <w:r w:rsidR="00C20795">
        <w:rPr>
          <w:rStyle w:val="FootnoteReference"/>
          <w:rFonts w:cs="Arial"/>
          <w:bCs/>
          <w:szCs w:val="22"/>
        </w:rPr>
        <w:footnoteReference w:id="4"/>
      </w:r>
      <w:r w:rsidR="008268FE">
        <w:rPr>
          <w:rFonts w:cs="Arial"/>
          <w:bCs/>
          <w:szCs w:val="22"/>
        </w:rPr>
        <w:t xml:space="preserve"> in applications under the common law, and under both Rule 31(2) and Rule 31(5</w:t>
      </w:r>
      <w:proofErr w:type="gramStart"/>
      <w:r w:rsidR="008268FE">
        <w:rPr>
          <w:rFonts w:cs="Arial"/>
          <w:bCs/>
          <w:szCs w:val="22"/>
        </w:rPr>
        <w:t>)(</w:t>
      </w:r>
      <w:proofErr w:type="gramEnd"/>
      <w:r w:rsidR="008268FE">
        <w:rPr>
          <w:rFonts w:cs="Arial"/>
          <w:bCs/>
          <w:szCs w:val="22"/>
        </w:rPr>
        <w:t>b)</w:t>
      </w:r>
      <w:r w:rsidR="00C20795">
        <w:rPr>
          <w:rFonts w:cs="Arial"/>
          <w:bCs/>
          <w:szCs w:val="22"/>
        </w:rPr>
        <w:t>.</w:t>
      </w:r>
      <w:r w:rsidR="008268FE">
        <w:rPr>
          <w:rStyle w:val="FootnoteReference"/>
          <w:rFonts w:cs="Arial"/>
          <w:bCs/>
          <w:szCs w:val="22"/>
        </w:rPr>
        <w:footnoteReference w:id="5"/>
      </w:r>
      <w:r w:rsidR="00D606C4">
        <w:rPr>
          <w:rFonts w:cs="Arial"/>
          <w:bCs/>
          <w:szCs w:val="22"/>
        </w:rPr>
        <w:t xml:space="preserve"> The concept stands on two pillars, namely a reasonable explanation for the default and a </w:t>
      </w:r>
      <w:r w:rsidR="00D606C4" w:rsidRPr="00D606C4">
        <w:rPr>
          <w:rFonts w:cs="Arial"/>
          <w:bCs/>
          <w:i/>
          <w:iCs/>
          <w:szCs w:val="22"/>
        </w:rPr>
        <w:t>bona fide</w:t>
      </w:r>
      <w:r w:rsidR="00D606C4">
        <w:rPr>
          <w:rFonts w:cs="Arial"/>
          <w:bCs/>
          <w:szCs w:val="22"/>
        </w:rPr>
        <w:t xml:space="preserve"> defence to the claim.</w:t>
      </w:r>
    </w:p>
    <w:p w14:paraId="2DEADB55" w14:textId="1B322DD7" w:rsidR="00C20795" w:rsidRPr="006B4092" w:rsidRDefault="00E37EAE" w:rsidP="00E37EAE">
      <w:pPr>
        <w:keepNext/>
        <w:widowControl w:val="0"/>
        <w:tabs>
          <w:tab w:val="left" w:pos="567"/>
        </w:tabs>
        <w:spacing w:before="480" w:after="480" w:line="360" w:lineRule="auto"/>
        <w:jc w:val="both"/>
        <w:rPr>
          <w:rFonts w:cs="Arial"/>
          <w:bCs/>
          <w:color w:val="000000" w:themeColor="text1"/>
          <w:szCs w:val="22"/>
        </w:rPr>
      </w:pPr>
      <w:r w:rsidRPr="006B4092">
        <w:rPr>
          <w:rFonts w:cs="Arial"/>
          <w:bCs/>
          <w:szCs w:val="22"/>
        </w:rPr>
        <w:t>[8]</w:t>
      </w:r>
      <w:r w:rsidRPr="006B4092">
        <w:rPr>
          <w:rFonts w:cs="Arial"/>
          <w:bCs/>
          <w:szCs w:val="22"/>
        </w:rPr>
        <w:tab/>
      </w:r>
      <w:r w:rsidR="00C20795" w:rsidRPr="006B4092">
        <w:rPr>
          <w:rFonts w:cs="Arial"/>
          <w:bCs/>
          <w:szCs w:val="22"/>
        </w:rPr>
        <w:t>The concept of ‘good cause’ or ‘sufficient cause’ has received the attention of the Courts over many years.</w:t>
      </w:r>
      <w:r w:rsidR="00C20795">
        <w:rPr>
          <w:rStyle w:val="FootnoteReference"/>
          <w:rFonts w:cs="Arial"/>
          <w:bCs/>
          <w:szCs w:val="22"/>
        </w:rPr>
        <w:footnoteReference w:id="6"/>
      </w:r>
      <w:r w:rsidR="00D606C4">
        <w:rPr>
          <w:rFonts w:cs="Arial"/>
          <w:bCs/>
          <w:szCs w:val="22"/>
        </w:rPr>
        <w:t xml:space="preserve"> </w:t>
      </w:r>
      <w:r w:rsidR="00C20795" w:rsidRPr="006B4092">
        <w:rPr>
          <w:rFonts w:cs="Arial"/>
          <w:bCs/>
          <w:szCs w:val="22"/>
        </w:rPr>
        <w:t>I</w:t>
      </w:r>
      <w:r w:rsidR="00C20795" w:rsidRPr="006B4092">
        <w:rPr>
          <w:rFonts w:cs="Arial"/>
          <w:bCs/>
          <w:color w:val="000000" w:themeColor="text1"/>
          <w:szCs w:val="22"/>
        </w:rPr>
        <w:t xml:space="preserve">n </w:t>
      </w:r>
      <w:r w:rsidR="00C20795" w:rsidRPr="006B4092">
        <w:rPr>
          <w:rFonts w:cs="Arial"/>
          <w:i/>
          <w:iCs/>
          <w:color w:val="000000" w:themeColor="text1"/>
          <w:szCs w:val="22"/>
          <w:shd w:val="clear" w:color="auto" w:fill="FFFFFF"/>
        </w:rPr>
        <w:t>Grant v Plumbers (Pty) Ltd</w:t>
      </w:r>
      <w:r w:rsidR="00C20795" w:rsidRPr="00D53744">
        <w:rPr>
          <w:rStyle w:val="FootnoteReference"/>
          <w:rFonts w:cs="Arial"/>
          <w:i/>
          <w:iCs/>
          <w:color w:val="000000" w:themeColor="text1"/>
          <w:szCs w:val="22"/>
          <w:shd w:val="clear" w:color="auto" w:fill="FFFFFF"/>
        </w:rPr>
        <w:footnoteReference w:id="7"/>
      </w:r>
      <w:r w:rsidR="00C20795" w:rsidRPr="006B4092">
        <w:rPr>
          <w:rFonts w:cs="Arial"/>
          <w:color w:val="000000" w:themeColor="text1"/>
          <w:szCs w:val="22"/>
          <w:shd w:val="clear" w:color="auto" w:fill="FFFFFF"/>
        </w:rPr>
        <w:t xml:space="preserve"> Brink J was dealing with </w:t>
      </w:r>
      <w:r w:rsidR="008E3DC4">
        <w:rPr>
          <w:rFonts w:cs="Arial"/>
          <w:color w:val="000000" w:themeColor="text1"/>
          <w:szCs w:val="22"/>
          <w:shd w:val="clear" w:color="auto" w:fill="FFFFFF"/>
        </w:rPr>
        <w:t>an older</w:t>
      </w:r>
      <w:r w:rsidR="00C20795" w:rsidRPr="006B4092">
        <w:rPr>
          <w:rFonts w:cs="Arial"/>
          <w:color w:val="000000" w:themeColor="text1"/>
          <w:szCs w:val="22"/>
          <w:shd w:val="clear" w:color="auto" w:fill="FFFFFF"/>
        </w:rPr>
        <w:t xml:space="preserve"> Rule</w:t>
      </w:r>
      <w:r w:rsidR="00C20795" w:rsidRPr="00D53744">
        <w:rPr>
          <w:rStyle w:val="FootnoteReference"/>
          <w:rFonts w:cs="Arial"/>
          <w:color w:val="000000" w:themeColor="text1"/>
          <w:szCs w:val="22"/>
          <w:shd w:val="clear" w:color="auto" w:fill="FFFFFF"/>
        </w:rPr>
        <w:footnoteReference w:id="8"/>
      </w:r>
      <w:r w:rsidR="00C20795" w:rsidRPr="006B4092">
        <w:rPr>
          <w:rFonts w:cs="Arial"/>
          <w:color w:val="000000" w:themeColor="text1"/>
          <w:szCs w:val="22"/>
          <w:shd w:val="clear" w:color="auto" w:fill="FFFFFF"/>
        </w:rPr>
        <w:t xml:space="preserve"> </w:t>
      </w:r>
      <w:r w:rsidR="008E3DC4">
        <w:rPr>
          <w:rFonts w:cs="Arial"/>
          <w:color w:val="000000" w:themeColor="text1"/>
          <w:szCs w:val="22"/>
          <w:shd w:val="clear" w:color="auto" w:fill="FFFFFF"/>
        </w:rPr>
        <w:t xml:space="preserve">that also required good or sufficient cause </w:t>
      </w:r>
      <w:r w:rsidR="00C20795" w:rsidRPr="006B4092">
        <w:rPr>
          <w:rFonts w:cs="Arial"/>
          <w:color w:val="000000" w:themeColor="text1"/>
          <w:szCs w:val="22"/>
          <w:shd w:val="clear" w:color="auto" w:fill="FFFFFF"/>
        </w:rPr>
        <w:t>in the Free State Division of the High Court. He said:</w:t>
      </w:r>
    </w:p>
    <w:p w14:paraId="25ED04AD" w14:textId="77777777" w:rsidR="00C20795" w:rsidRPr="00D53744" w:rsidRDefault="00C20795" w:rsidP="00C20795">
      <w:pPr>
        <w:pStyle w:val="lrpara"/>
        <w:shd w:val="clear" w:color="auto" w:fill="FFFFFF"/>
        <w:spacing w:before="120" w:beforeAutospacing="0" w:after="120" w:afterAutospacing="0" w:line="360" w:lineRule="auto"/>
        <w:ind w:left="1440"/>
        <w:jc w:val="both"/>
        <w:rPr>
          <w:rFonts w:ascii="Arial" w:hAnsi="Arial" w:cs="Arial"/>
          <w:i/>
          <w:iCs/>
          <w:color w:val="000000" w:themeColor="text1"/>
          <w:sz w:val="22"/>
          <w:szCs w:val="22"/>
        </w:rPr>
      </w:pPr>
      <w:r w:rsidRPr="00D53744">
        <w:rPr>
          <w:rFonts w:ascii="Arial" w:hAnsi="Arial" w:cs="Arial"/>
          <w:i/>
          <w:iCs/>
          <w:color w:val="000000" w:themeColor="text1"/>
          <w:sz w:val="22"/>
          <w:szCs w:val="22"/>
        </w:rPr>
        <w:t>“Having regard to the decisions above referred to,</w:t>
      </w:r>
      <w:r w:rsidRPr="00D53744">
        <w:rPr>
          <w:rStyle w:val="FootnoteReference"/>
          <w:rFonts w:ascii="Arial" w:hAnsi="Arial" w:cs="Arial"/>
          <w:i/>
          <w:iCs/>
          <w:color w:val="000000" w:themeColor="text1"/>
          <w:sz w:val="22"/>
          <w:szCs w:val="22"/>
        </w:rPr>
        <w:footnoteReference w:id="9"/>
      </w:r>
      <w:r w:rsidRPr="00D53744">
        <w:rPr>
          <w:rFonts w:ascii="Arial" w:hAnsi="Arial" w:cs="Arial"/>
          <w:i/>
          <w:iCs/>
          <w:color w:val="000000" w:themeColor="text1"/>
          <w:sz w:val="22"/>
          <w:szCs w:val="22"/>
        </w:rPr>
        <w:t xml:space="preserve"> I am of opinion that an applicant who claims relief under Rule 43 should comply with the following requirements:</w:t>
      </w:r>
    </w:p>
    <w:p w14:paraId="10D92E8D" w14:textId="77777777" w:rsidR="00C20795" w:rsidRPr="00D53744" w:rsidRDefault="00C20795" w:rsidP="00C20795">
      <w:pPr>
        <w:pStyle w:val="NormalWeb"/>
        <w:shd w:val="clear" w:color="auto" w:fill="FFFFFF"/>
        <w:spacing w:before="120" w:beforeAutospacing="0" w:after="120" w:afterAutospacing="0" w:line="360" w:lineRule="auto"/>
        <w:ind w:left="1440"/>
        <w:jc w:val="both"/>
        <w:rPr>
          <w:rFonts w:ascii="Arial" w:hAnsi="Arial" w:cs="Arial"/>
          <w:i/>
          <w:iCs/>
          <w:color w:val="000000" w:themeColor="text1"/>
          <w:sz w:val="22"/>
          <w:szCs w:val="22"/>
        </w:rPr>
      </w:pPr>
      <w:r w:rsidRPr="00D53744">
        <w:rPr>
          <w:rFonts w:ascii="Arial" w:hAnsi="Arial" w:cs="Arial"/>
          <w:i/>
          <w:iCs/>
          <w:color w:val="000000" w:themeColor="text1"/>
          <w:sz w:val="22"/>
          <w:szCs w:val="22"/>
        </w:rPr>
        <w:lastRenderedPageBreak/>
        <w:t xml:space="preserve">(a) He must give a </w:t>
      </w:r>
      <w:r w:rsidRPr="00D53744">
        <w:rPr>
          <w:rFonts w:ascii="Arial" w:hAnsi="Arial" w:cs="Arial"/>
          <w:i/>
          <w:iCs/>
          <w:color w:val="000000" w:themeColor="text1"/>
          <w:sz w:val="22"/>
          <w:szCs w:val="22"/>
          <w:u w:val="single"/>
        </w:rPr>
        <w:t>reasonable explanation of his default</w:t>
      </w:r>
      <w:r w:rsidRPr="00D53744">
        <w:rPr>
          <w:rFonts w:ascii="Arial" w:hAnsi="Arial" w:cs="Arial"/>
          <w:i/>
          <w:iCs/>
          <w:color w:val="000000" w:themeColor="text1"/>
          <w:sz w:val="22"/>
          <w:szCs w:val="22"/>
        </w:rPr>
        <w:t>. If it appears that his default was wilful or that it was due to gross negligence the Court should not come to his assistance.</w:t>
      </w:r>
    </w:p>
    <w:p w14:paraId="76DB988F" w14:textId="77777777" w:rsidR="00C20795" w:rsidRPr="00D53744" w:rsidRDefault="00C20795" w:rsidP="00C20795">
      <w:pPr>
        <w:pStyle w:val="NormalWeb"/>
        <w:shd w:val="clear" w:color="auto" w:fill="FFFFFF"/>
        <w:spacing w:before="120" w:beforeAutospacing="0" w:after="120" w:afterAutospacing="0" w:line="360" w:lineRule="auto"/>
        <w:ind w:left="1440"/>
        <w:jc w:val="both"/>
        <w:rPr>
          <w:rFonts w:ascii="Arial" w:hAnsi="Arial" w:cs="Arial"/>
          <w:i/>
          <w:iCs/>
          <w:color w:val="000000" w:themeColor="text1"/>
          <w:sz w:val="22"/>
          <w:szCs w:val="22"/>
        </w:rPr>
      </w:pPr>
      <w:r w:rsidRPr="00D53744">
        <w:rPr>
          <w:rFonts w:ascii="Arial" w:hAnsi="Arial" w:cs="Arial"/>
          <w:i/>
          <w:iCs/>
          <w:color w:val="000000" w:themeColor="text1"/>
          <w:sz w:val="22"/>
          <w:szCs w:val="22"/>
        </w:rPr>
        <w:t>(b) His application must be </w:t>
      </w:r>
      <w:r w:rsidRPr="00D53744">
        <w:rPr>
          <w:rFonts w:ascii="Arial" w:hAnsi="Arial" w:cs="Arial"/>
          <w:i/>
          <w:iCs/>
          <w:color w:val="000000" w:themeColor="text1"/>
          <w:sz w:val="22"/>
          <w:szCs w:val="22"/>
          <w:u w:val="single"/>
        </w:rPr>
        <w:t>bona fide</w:t>
      </w:r>
      <w:r w:rsidRPr="00D53744">
        <w:rPr>
          <w:rFonts w:ascii="Arial" w:hAnsi="Arial" w:cs="Arial"/>
          <w:i/>
          <w:iCs/>
          <w:color w:val="000000" w:themeColor="text1"/>
          <w:sz w:val="22"/>
          <w:szCs w:val="22"/>
        </w:rPr>
        <w:t> and not made with the intention of merely delaying plaintiff's claim.</w:t>
      </w:r>
    </w:p>
    <w:p w14:paraId="61788EC6" w14:textId="77777777" w:rsidR="00C20795" w:rsidRPr="00D53744" w:rsidRDefault="00C20795" w:rsidP="00C20795">
      <w:pPr>
        <w:pStyle w:val="NormalWeb"/>
        <w:shd w:val="clear" w:color="auto" w:fill="FFFFFF"/>
        <w:spacing w:before="120" w:beforeAutospacing="0" w:after="120" w:afterAutospacing="0" w:line="360" w:lineRule="auto"/>
        <w:ind w:left="1440"/>
        <w:jc w:val="both"/>
        <w:rPr>
          <w:rFonts w:ascii="Arial" w:hAnsi="Arial" w:cs="Arial"/>
          <w:i/>
          <w:iCs/>
          <w:color w:val="000000" w:themeColor="text1"/>
          <w:sz w:val="22"/>
          <w:szCs w:val="22"/>
        </w:rPr>
      </w:pPr>
      <w:r w:rsidRPr="00D53744">
        <w:rPr>
          <w:rFonts w:ascii="Arial" w:hAnsi="Arial" w:cs="Arial"/>
          <w:i/>
          <w:iCs/>
          <w:color w:val="000000" w:themeColor="text1"/>
          <w:sz w:val="22"/>
          <w:szCs w:val="22"/>
        </w:rPr>
        <w:t xml:space="preserve">(c) He must show that he has </w:t>
      </w:r>
      <w:r w:rsidRPr="00D53744">
        <w:rPr>
          <w:rFonts w:ascii="Arial" w:hAnsi="Arial" w:cs="Arial"/>
          <w:i/>
          <w:iCs/>
          <w:color w:val="000000" w:themeColor="text1"/>
          <w:sz w:val="22"/>
          <w:szCs w:val="22"/>
          <w:u w:val="single"/>
        </w:rPr>
        <w:t>a bona fide defence</w:t>
      </w:r>
      <w:r w:rsidRPr="00D53744">
        <w:rPr>
          <w:rFonts w:ascii="Arial" w:hAnsi="Arial" w:cs="Arial"/>
          <w:i/>
          <w:iCs/>
          <w:color w:val="000000" w:themeColor="text1"/>
          <w:sz w:val="22"/>
          <w:szCs w:val="22"/>
        </w:rPr>
        <w:t xml:space="preserve"> to plaintiff's claim. It is sufficient if he makes out a </w:t>
      </w:r>
      <w:r w:rsidRPr="00D53744">
        <w:rPr>
          <w:rFonts w:ascii="Arial" w:hAnsi="Arial" w:cs="Arial"/>
          <w:i/>
          <w:iCs/>
          <w:color w:val="000000" w:themeColor="text1"/>
          <w:sz w:val="22"/>
          <w:szCs w:val="22"/>
          <w:u w:val="single"/>
        </w:rPr>
        <w:t>prima facie defence</w:t>
      </w:r>
      <w:r w:rsidRPr="00D53744">
        <w:rPr>
          <w:rFonts w:ascii="Arial" w:hAnsi="Arial" w:cs="Arial"/>
          <w:i/>
          <w:iCs/>
          <w:color w:val="000000" w:themeColor="text1"/>
          <w:sz w:val="22"/>
          <w:szCs w:val="22"/>
        </w:rPr>
        <w:t xml:space="preserve"> in the sense of setting out averments which, if established at the trial, would entitle him to the relief asked for. He need not deal fully with the merits of the case and produce evidence that the probabilities are actually in his favour. (Brown v Chapman (1938 TPD 320 at p. 325).”</w:t>
      </w:r>
      <w:r w:rsidRPr="00D53744">
        <w:rPr>
          <w:rFonts w:ascii="Arial" w:hAnsi="Arial" w:cs="Arial"/>
          <w:color w:val="000000" w:themeColor="text1"/>
          <w:sz w:val="22"/>
          <w:szCs w:val="22"/>
        </w:rPr>
        <w:t xml:space="preserve"> [</w:t>
      </w:r>
      <w:proofErr w:type="gramStart"/>
      <w:r w:rsidRPr="00D53744">
        <w:rPr>
          <w:rFonts w:ascii="Arial" w:hAnsi="Arial" w:cs="Arial"/>
          <w:color w:val="000000" w:themeColor="text1"/>
          <w:sz w:val="22"/>
          <w:szCs w:val="22"/>
        </w:rPr>
        <w:t>emphasis</w:t>
      </w:r>
      <w:proofErr w:type="gramEnd"/>
      <w:r w:rsidRPr="00D53744">
        <w:rPr>
          <w:rFonts w:ascii="Arial" w:hAnsi="Arial" w:cs="Arial"/>
          <w:color w:val="000000" w:themeColor="text1"/>
          <w:sz w:val="22"/>
          <w:szCs w:val="22"/>
        </w:rPr>
        <w:t xml:space="preserve"> added]</w:t>
      </w:r>
    </w:p>
    <w:p w14:paraId="690A2043" w14:textId="30111A7E" w:rsidR="00C20795" w:rsidRPr="00D53744" w:rsidRDefault="00E37EAE" w:rsidP="00E37EAE">
      <w:pPr>
        <w:keepNext/>
        <w:widowControl w:val="0"/>
        <w:tabs>
          <w:tab w:val="left" w:pos="567"/>
        </w:tabs>
        <w:spacing w:before="480" w:after="480" w:line="360" w:lineRule="auto"/>
        <w:jc w:val="both"/>
        <w:rPr>
          <w:rFonts w:cs="Arial"/>
          <w:bCs/>
          <w:color w:val="000000" w:themeColor="text1"/>
          <w:szCs w:val="22"/>
        </w:rPr>
      </w:pPr>
      <w:r w:rsidRPr="00D53744">
        <w:rPr>
          <w:rFonts w:cs="Arial"/>
          <w:bCs/>
          <w:szCs w:val="22"/>
        </w:rPr>
        <w:t>[9]</w:t>
      </w:r>
      <w:r w:rsidRPr="00D53744">
        <w:rPr>
          <w:rFonts w:cs="Arial"/>
          <w:bCs/>
          <w:szCs w:val="22"/>
        </w:rPr>
        <w:tab/>
      </w:r>
      <w:r w:rsidR="00C20795" w:rsidRPr="00D53744">
        <w:rPr>
          <w:rFonts w:cs="Arial"/>
          <w:bCs/>
          <w:color w:val="000000" w:themeColor="text1"/>
          <w:szCs w:val="22"/>
        </w:rPr>
        <w:t xml:space="preserve">One of the cases referred to by Brink J is </w:t>
      </w:r>
      <w:r w:rsidR="00C20795" w:rsidRPr="00D53744">
        <w:rPr>
          <w:rFonts w:cs="Arial"/>
          <w:i/>
          <w:iCs/>
          <w:color w:val="000000" w:themeColor="text1"/>
          <w:szCs w:val="22"/>
        </w:rPr>
        <w:t xml:space="preserve">Cairns' Executors v </w:t>
      </w:r>
      <w:proofErr w:type="spellStart"/>
      <w:r w:rsidR="00C20795" w:rsidRPr="00D53744">
        <w:rPr>
          <w:rFonts w:cs="Arial"/>
          <w:i/>
          <w:iCs/>
          <w:color w:val="000000" w:themeColor="text1"/>
          <w:szCs w:val="22"/>
        </w:rPr>
        <w:t>Gaarn</w:t>
      </w:r>
      <w:proofErr w:type="spellEnd"/>
      <w:r w:rsidR="00C20795" w:rsidRPr="00D53744">
        <w:rPr>
          <w:rStyle w:val="FootnoteReference"/>
          <w:rFonts w:cs="Arial"/>
          <w:color w:val="000000" w:themeColor="text1"/>
          <w:szCs w:val="22"/>
        </w:rPr>
        <w:footnoteReference w:id="10"/>
      </w:r>
      <w:r w:rsidR="00C20795" w:rsidRPr="00D53744">
        <w:rPr>
          <w:rFonts w:cs="Arial"/>
          <w:i/>
          <w:iCs/>
          <w:color w:val="000000" w:themeColor="text1"/>
          <w:szCs w:val="22"/>
        </w:rPr>
        <w:t xml:space="preserve"> </w:t>
      </w:r>
      <w:r w:rsidR="00C20795" w:rsidRPr="00D53744">
        <w:rPr>
          <w:rFonts w:cs="Arial"/>
          <w:color w:val="000000" w:themeColor="text1"/>
          <w:szCs w:val="22"/>
        </w:rPr>
        <w:t>where Innes JA (as he then was) said:</w:t>
      </w:r>
    </w:p>
    <w:p w14:paraId="44849E7B" w14:textId="77777777" w:rsidR="00C20795" w:rsidRPr="00D53744" w:rsidRDefault="00C20795" w:rsidP="00C20795">
      <w:pPr>
        <w:keepNext/>
        <w:widowControl w:val="0"/>
        <w:spacing w:before="120" w:after="120" w:line="360" w:lineRule="auto"/>
        <w:ind w:left="1440"/>
        <w:jc w:val="both"/>
        <w:rPr>
          <w:rFonts w:cs="Arial"/>
          <w:bCs/>
          <w:i/>
          <w:iCs/>
          <w:color w:val="000000" w:themeColor="text1"/>
          <w:szCs w:val="22"/>
        </w:rPr>
      </w:pPr>
      <w:r w:rsidRPr="00D53744">
        <w:rPr>
          <w:rFonts w:cs="Arial"/>
          <w:i/>
          <w:iCs/>
          <w:color w:val="000000" w:themeColor="text1"/>
          <w:szCs w:val="22"/>
        </w:rPr>
        <w:t xml:space="preserve">“It would be quite impossible to frame an exhaustive definition of what would constitute sufficient cause to justify the grant of indulgence. Any attempt to do so would merely hamper the exercise of a discretion which the Rules have purposely made very extensive and which it is highly desirable not to abridge. All that can be said is that the applicant must show, in the words of COTTON, L.J. (In re Manchester Economic Building Society (24 Ch. D. at p. 491)) </w:t>
      </w:r>
      <w:r w:rsidRPr="00D53744">
        <w:rPr>
          <w:rFonts w:cs="Arial"/>
          <w:i/>
          <w:iCs/>
          <w:color w:val="000000" w:themeColor="text1"/>
          <w:szCs w:val="22"/>
          <w:u w:val="single"/>
        </w:rPr>
        <w:t>'something which entitles him to ask for the indulgence of the Court'.</w:t>
      </w:r>
      <w:r w:rsidRPr="00D53744">
        <w:rPr>
          <w:rFonts w:cs="Arial"/>
          <w:i/>
          <w:iCs/>
          <w:color w:val="000000" w:themeColor="text1"/>
          <w:szCs w:val="22"/>
        </w:rPr>
        <w:t xml:space="preserve"> What that something is must be decided upon the circumstances of each particular application.” </w:t>
      </w:r>
      <w:r w:rsidRPr="00D53744">
        <w:rPr>
          <w:rFonts w:cs="Arial"/>
          <w:color w:val="000000" w:themeColor="text1"/>
          <w:szCs w:val="22"/>
        </w:rPr>
        <w:t>[</w:t>
      </w:r>
      <w:proofErr w:type="gramStart"/>
      <w:r w:rsidRPr="00D53744">
        <w:rPr>
          <w:rFonts w:cs="Arial"/>
          <w:color w:val="000000" w:themeColor="text1"/>
          <w:szCs w:val="22"/>
        </w:rPr>
        <w:t>emphasis</w:t>
      </w:r>
      <w:proofErr w:type="gramEnd"/>
      <w:r w:rsidRPr="00D53744">
        <w:rPr>
          <w:rFonts w:cs="Arial"/>
          <w:color w:val="000000" w:themeColor="text1"/>
          <w:szCs w:val="22"/>
        </w:rPr>
        <w:t xml:space="preserve"> added]</w:t>
      </w:r>
    </w:p>
    <w:p w14:paraId="2EC09CFE" w14:textId="23027361" w:rsidR="00C20795" w:rsidRPr="00D53744" w:rsidRDefault="00E37EAE" w:rsidP="00E37EAE">
      <w:pPr>
        <w:keepNext/>
        <w:widowControl w:val="0"/>
        <w:tabs>
          <w:tab w:val="left" w:pos="567"/>
        </w:tabs>
        <w:spacing w:before="480" w:after="480" w:line="360" w:lineRule="auto"/>
        <w:jc w:val="both"/>
        <w:rPr>
          <w:rFonts w:cs="Arial"/>
          <w:bCs/>
          <w:szCs w:val="22"/>
        </w:rPr>
      </w:pPr>
      <w:r w:rsidRPr="00D53744">
        <w:rPr>
          <w:rFonts w:cs="Arial"/>
          <w:bCs/>
          <w:szCs w:val="22"/>
        </w:rPr>
        <w:t>[10]</w:t>
      </w:r>
      <w:r w:rsidRPr="00D53744">
        <w:rPr>
          <w:rFonts w:cs="Arial"/>
          <w:bCs/>
          <w:szCs w:val="22"/>
        </w:rPr>
        <w:tab/>
      </w:r>
      <w:r w:rsidR="00C20795" w:rsidRPr="00D53744">
        <w:rPr>
          <w:rFonts w:cs="Arial"/>
          <w:bCs/>
          <w:szCs w:val="22"/>
        </w:rPr>
        <w:t>Good cause includes, but is not limited to the existence of a substantial defence.</w:t>
      </w:r>
      <w:r w:rsidR="00C20795" w:rsidRPr="00D53744">
        <w:rPr>
          <w:rStyle w:val="FootnoteReference"/>
          <w:rFonts w:cs="Arial"/>
          <w:bCs/>
          <w:szCs w:val="22"/>
        </w:rPr>
        <w:footnoteReference w:id="11"/>
      </w:r>
      <w:r w:rsidR="00C20795" w:rsidRPr="00D53744">
        <w:rPr>
          <w:rFonts w:cs="Arial"/>
          <w:bCs/>
          <w:szCs w:val="22"/>
        </w:rPr>
        <w:t xml:space="preserve"> It is therefore necessary to determine whether there is a satisfactory explanation of the delay, and whether the appellant raised a </w:t>
      </w:r>
      <w:r w:rsidR="00C20795" w:rsidRPr="00D606C4">
        <w:rPr>
          <w:rFonts w:cs="Arial"/>
          <w:bCs/>
          <w:i/>
          <w:iCs/>
          <w:szCs w:val="22"/>
        </w:rPr>
        <w:t>bona fide</w:t>
      </w:r>
      <w:r w:rsidR="00C20795" w:rsidRPr="00D53744">
        <w:rPr>
          <w:rFonts w:cs="Arial"/>
          <w:bCs/>
          <w:szCs w:val="22"/>
        </w:rPr>
        <w:t xml:space="preserve"> and </w:t>
      </w:r>
      <w:r w:rsidR="008E3DC4">
        <w:rPr>
          <w:rFonts w:cs="Arial"/>
          <w:bCs/>
          <w:szCs w:val="22"/>
        </w:rPr>
        <w:t>substantial</w:t>
      </w:r>
      <w:r w:rsidR="00C20795" w:rsidRPr="00D53744">
        <w:rPr>
          <w:rFonts w:cs="Arial"/>
          <w:bCs/>
          <w:szCs w:val="22"/>
        </w:rPr>
        <w:t xml:space="preserve"> defence.</w:t>
      </w:r>
    </w:p>
    <w:p w14:paraId="061FECA0" w14:textId="77777777" w:rsidR="008E3DC4" w:rsidRDefault="008E3DC4" w:rsidP="00715C5A">
      <w:pPr>
        <w:widowControl w:val="0"/>
        <w:spacing w:before="480" w:after="480" w:line="360" w:lineRule="auto"/>
        <w:jc w:val="both"/>
        <w:rPr>
          <w:rFonts w:cs="Arial"/>
          <w:bCs/>
          <w:szCs w:val="22"/>
          <w:u w:val="single"/>
        </w:rPr>
      </w:pPr>
    </w:p>
    <w:p w14:paraId="40A85AD9" w14:textId="2DC55378" w:rsidR="006B4092" w:rsidRPr="00715C5A" w:rsidRDefault="00715C5A" w:rsidP="00715C5A">
      <w:pPr>
        <w:widowControl w:val="0"/>
        <w:spacing w:before="480" w:after="480" w:line="360" w:lineRule="auto"/>
        <w:jc w:val="both"/>
        <w:rPr>
          <w:rFonts w:cs="Arial"/>
          <w:bCs/>
          <w:szCs w:val="22"/>
          <w:u w:val="single"/>
        </w:rPr>
      </w:pPr>
      <w:r w:rsidRPr="00715C5A">
        <w:rPr>
          <w:rFonts w:cs="Arial"/>
          <w:bCs/>
          <w:szCs w:val="22"/>
          <w:u w:val="single"/>
        </w:rPr>
        <w:lastRenderedPageBreak/>
        <w:t>The explanation for the failure to file a plea and to react to the notice of bar</w:t>
      </w:r>
    </w:p>
    <w:p w14:paraId="7856F9D8" w14:textId="745604C8" w:rsidR="00D53744" w:rsidRPr="00715C5A" w:rsidRDefault="00E37EAE" w:rsidP="00E37EAE">
      <w:pPr>
        <w:widowControl w:val="0"/>
        <w:tabs>
          <w:tab w:val="left" w:pos="567"/>
        </w:tabs>
        <w:spacing w:before="480" w:after="480" w:line="360" w:lineRule="auto"/>
        <w:jc w:val="both"/>
        <w:rPr>
          <w:rFonts w:cs="Arial"/>
          <w:bCs/>
          <w:szCs w:val="22"/>
        </w:rPr>
      </w:pPr>
      <w:r w:rsidRPr="00715C5A">
        <w:rPr>
          <w:rFonts w:cs="Arial"/>
          <w:bCs/>
          <w:szCs w:val="22"/>
        </w:rPr>
        <w:t>[11]</w:t>
      </w:r>
      <w:r w:rsidRPr="00715C5A">
        <w:rPr>
          <w:rFonts w:cs="Arial"/>
          <w:bCs/>
          <w:szCs w:val="22"/>
        </w:rPr>
        <w:tab/>
      </w:r>
      <w:r w:rsidR="00715C5A" w:rsidRPr="00715C5A">
        <w:rPr>
          <w:rFonts w:cs="Arial"/>
          <w:bCs/>
          <w:szCs w:val="22"/>
        </w:rPr>
        <w:t xml:space="preserve">The summons was served on 25 February 2022 and the plea was due by 1 April 2022. On 12 July 2022 the plaintiff’s attorneys requested delivery of the plea not later than 18 July 2022. On 19 July 2022 a notice of bar was delivered. The defendant was </w:t>
      </w:r>
      <w:r w:rsidR="00715C5A" w:rsidRPr="00715C5A">
        <w:rPr>
          <w:rFonts w:cs="Arial"/>
          <w:bCs/>
          <w:i/>
          <w:szCs w:val="22"/>
        </w:rPr>
        <w:t xml:space="preserve">ipso facto </w:t>
      </w:r>
      <w:r w:rsidR="00715C5A" w:rsidRPr="00715C5A">
        <w:rPr>
          <w:rFonts w:cs="Arial"/>
          <w:bCs/>
          <w:szCs w:val="22"/>
        </w:rPr>
        <w:t xml:space="preserve">barred by 26 July 2022. </w:t>
      </w:r>
      <w:r w:rsidR="00D53744" w:rsidRPr="00715C5A">
        <w:rPr>
          <w:rFonts w:cs="Arial"/>
          <w:bCs/>
          <w:szCs w:val="22"/>
        </w:rPr>
        <w:t xml:space="preserve">On 28 July 2022 the defendant’s attorney requested an indulgence to deliver the plea and on 2 August 2022 the plaintiff’s attorneys advised that no indulgence would be granted. On 8 August 2022 the defendant’s attorney requested a copy of the application for default judgment and this was provided on the same day </w:t>
      </w:r>
      <w:proofErr w:type="gramStart"/>
      <w:r w:rsidR="00715C5A" w:rsidRPr="00715C5A">
        <w:rPr>
          <w:rFonts w:cs="Arial"/>
          <w:bCs/>
          <w:szCs w:val="22"/>
        </w:rPr>
        <w:t>T</w:t>
      </w:r>
      <w:r w:rsidR="00D53744" w:rsidRPr="00715C5A">
        <w:rPr>
          <w:rFonts w:cs="Arial"/>
          <w:bCs/>
          <w:szCs w:val="22"/>
        </w:rPr>
        <w:t>he</w:t>
      </w:r>
      <w:proofErr w:type="gramEnd"/>
      <w:r w:rsidR="00D53744" w:rsidRPr="00715C5A">
        <w:rPr>
          <w:rFonts w:cs="Arial"/>
          <w:bCs/>
          <w:szCs w:val="22"/>
        </w:rPr>
        <w:t xml:space="preserve"> defendant’s attorneys delivered a notice of intention to oppose the application for default judgment</w:t>
      </w:r>
      <w:r w:rsidR="00715C5A" w:rsidRPr="00715C5A">
        <w:rPr>
          <w:rFonts w:cs="Arial"/>
          <w:bCs/>
          <w:szCs w:val="22"/>
        </w:rPr>
        <w:t xml:space="preserve"> instead of applying for the lifting of the bar.</w:t>
      </w:r>
    </w:p>
    <w:p w14:paraId="4C437044" w14:textId="3DE77A92" w:rsidR="00150E8B" w:rsidRPr="00D53744" w:rsidRDefault="00E37EAE" w:rsidP="00E37EAE">
      <w:pPr>
        <w:widowControl w:val="0"/>
        <w:tabs>
          <w:tab w:val="left" w:pos="567"/>
        </w:tabs>
        <w:spacing w:before="480" w:after="480" w:line="360" w:lineRule="auto"/>
        <w:jc w:val="both"/>
        <w:rPr>
          <w:rFonts w:cs="Arial"/>
          <w:bCs/>
          <w:szCs w:val="22"/>
        </w:rPr>
      </w:pPr>
      <w:r w:rsidRPr="00D53744">
        <w:rPr>
          <w:rFonts w:cs="Arial"/>
          <w:bCs/>
          <w:szCs w:val="22"/>
        </w:rPr>
        <w:t>[12]</w:t>
      </w:r>
      <w:r w:rsidRPr="00D53744">
        <w:rPr>
          <w:rFonts w:cs="Arial"/>
          <w:bCs/>
          <w:szCs w:val="22"/>
        </w:rPr>
        <w:tab/>
      </w:r>
      <w:r w:rsidR="00D53744" w:rsidRPr="00D53744">
        <w:rPr>
          <w:rFonts w:cs="Arial"/>
          <w:bCs/>
          <w:szCs w:val="22"/>
        </w:rPr>
        <w:t>Default judgment was therefore properly granted and no case is made out for rescission under Rule 42(1). Judgment was not sought or granted erroneously</w:t>
      </w:r>
      <w:r w:rsidR="006B4092">
        <w:rPr>
          <w:rFonts w:cs="Arial"/>
          <w:bCs/>
          <w:szCs w:val="22"/>
        </w:rPr>
        <w:t>;</w:t>
      </w:r>
      <w:r w:rsidR="00D53744" w:rsidRPr="00D53744">
        <w:rPr>
          <w:rFonts w:cs="Arial"/>
          <w:bCs/>
          <w:szCs w:val="22"/>
        </w:rPr>
        <w:t xml:space="preserve"> </w:t>
      </w:r>
      <w:r w:rsidR="006B4092">
        <w:rPr>
          <w:rFonts w:cs="Arial"/>
          <w:bCs/>
          <w:szCs w:val="22"/>
        </w:rPr>
        <w:t>t</w:t>
      </w:r>
      <w:r w:rsidR="00D53744" w:rsidRPr="00D53744">
        <w:rPr>
          <w:rFonts w:cs="Arial"/>
          <w:bCs/>
          <w:szCs w:val="22"/>
        </w:rPr>
        <w:t>here was no ambiguity or parent error or omission</w:t>
      </w:r>
      <w:r w:rsidR="00715C5A">
        <w:rPr>
          <w:rFonts w:cs="Arial"/>
          <w:bCs/>
          <w:szCs w:val="22"/>
        </w:rPr>
        <w:t>;</w:t>
      </w:r>
      <w:r w:rsidR="00D53744" w:rsidRPr="00D53744">
        <w:rPr>
          <w:rFonts w:cs="Arial"/>
          <w:bCs/>
          <w:szCs w:val="22"/>
        </w:rPr>
        <w:t xml:space="preserve"> and judgment was not granted as a result of a mistake common to the parties.</w:t>
      </w:r>
    </w:p>
    <w:p w14:paraId="0ACF58B2" w14:textId="7D5841F6" w:rsidR="00150E8B" w:rsidRPr="006B4092" w:rsidRDefault="00E37EAE" w:rsidP="00E37EAE">
      <w:pPr>
        <w:keepNext/>
        <w:widowControl w:val="0"/>
        <w:tabs>
          <w:tab w:val="left" w:pos="567"/>
        </w:tabs>
        <w:spacing w:before="480" w:after="480" w:line="360" w:lineRule="auto"/>
        <w:jc w:val="both"/>
        <w:rPr>
          <w:rFonts w:cs="Arial"/>
          <w:bCs/>
          <w:color w:val="000000" w:themeColor="text1"/>
          <w:szCs w:val="22"/>
        </w:rPr>
      </w:pPr>
      <w:r w:rsidRPr="006B4092">
        <w:rPr>
          <w:rFonts w:cs="Arial"/>
          <w:bCs/>
          <w:szCs w:val="22"/>
        </w:rPr>
        <w:t>[13]</w:t>
      </w:r>
      <w:r w:rsidRPr="006B4092">
        <w:rPr>
          <w:rFonts w:cs="Arial"/>
          <w:bCs/>
          <w:szCs w:val="22"/>
        </w:rPr>
        <w:tab/>
      </w:r>
      <w:r w:rsidR="0066767C" w:rsidRPr="00D53744">
        <w:rPr>
          <w:rFonts w:cs="Arial"/>
          <w:bCs/>
          <w:szCs w:val="22"/>
        </w:rPr>
        <w:t>The reason why the plea was not</w:t>
      </w:r>
      <w:r w:rsidR="00D606C4">
        <w:rPr>
          <w:rFonts w:cs="Arial"/>
          <w:bCs/>
          <w:szCs w:val="22"/>
        </w:rPr>
        <w:t xml:space="preserve"> filed, was not</w:t>
      </w:r>
      <w:r w:rsidR="0066767C" w:rsidRPr="00D53744">
        <w:rPr>
          <w:rFonts w:cs="Arial"/>
          <w:bCs/>
          <w:szCs w:val="22"/>
        </w:rPr>
        <w:t xml:space="preserve"> </w:t>
      </w:r>
      <w:r w:rsidR="006B4092">
        <w:rPr>
          <w:rFonts w:cs="Arial"/>
          <w:bCs/>
          <w:szCs w:val="22"/>
        </w:rPr>
        <w:t>due to anything the defendant did, but the failure of his attorneys to file a plea and subsequently to apply for the bar to be lifted.</w:t>
      </w:r>
    </w:p>
    <w:p w14:paraId="5572149B" w14:textId="0809DC62" w:rsidR="006B4092" w:rsidRPr="00D53744" w:rsidRDefault="00E37EAE" w:rsidP="00E37EAE">
      <w:pPr>
        <w:widowControl w:val="0"/>
        <w:tabs>
          <w:tab w:val="left" w:pos="567"/>
        </w:tabs>
        <w:spacing w:before="480" w:after="480" w:line="360" w:lineRule="auto"/>
        <w:jc w:val="both"/>
        <w:rPr>
          <w:rFonts w:cs="Arial"/>
          <w:bCs/>
          <w:szCs w:val="22"/>
        </w:rPr>
      </w:pPr>
      <w:r w:rsidRPr="00D53744">
        <w:rPr>
          <w:rFonts w:cs="Arial"/>
          <w:bCs/>
          <w:szCs w:val="22"/>
        </w:rPr>
        <w:t>[14]</w:t>
      </w:r>
      <w:r w:rsidRPr="00D53744">
        <w:rPr>
          <w:rFonts w:cs="Arial"/>
          <w:bCs/>
          <w:szCs w:val="22"/>
        </w:rPr>
        <w:tab/>
      </w:r>
      <w:r w:rsidR="006B4092" w:rsidRPr="00D53744">
        <w:rPr>
          <w:rFonts w:cs="Arial"/>
          <w:bCs/>
          <w:szCs w:val="22"/>
        </w:rPr>
        <w:t xml:space="preserve">In </w:t>
      </w:r>
      <w:r w:rsidR="006B4092" w:rsidRPr="00D53744">
        <w:rPr>
          <w:rFonts w:cs="Arial"/>
          <w:bCs/>
          <w:i/>
          <w:szCs w:val="22"/>
        </w:rPr>
        <w:t xml:space="preserve">Buckle v </w:t>
      </w:r>
      <w:proofErr w:type="spellStart"/>
      <w:r w:rsidR="006B4092" w:rsidRPr="00D53744">
        <w:rPr>
          <w:rFonts w:cs="Arial"/>
          <w:bCs/>
          <w:i/>
          <w:szCs w:val="22"/>
        </w:rPr>
        <w:t>Kotze</w:t>
      </w:r>
      <w:proofErr w:type="spellEnd"/>
      <w:r w:rsidR="006B4092" w:rsidRPr="00D53744">
        <w:rPr>
          <w:rStyle w:val="FootnoteReference"/>
          <w:rFonts w:cs="Arial"/>
          <w:bCs/>
          <w:i/>
          <w:szCs w:val="22"/>
        </w:rPr>
        <w:footnoteReference w:id="12"/>
      </w:r>
      <w:r w:rsidR="006B4092" w:rsidRPr="00D53744">
        <w:rPr>
          <w:rFonts w:cs="Arial"/>
          <w:bCs/>
          <w:szCs w:val="22"/>
        </w:rPr>
        <w:t xml:space="preserve">, Van </w:t>
      </w:r>
      <w:proofErr w:type="spellStart"/>
      <w:r w:rsidR="006B4092" w:rsidRPr="00D53744">
        <w:rPr>
          <w:rFonts w:cs="Arial"/>
          <w:bCs/>
          <w:szCs w:val="22"/>
        </w:rPr>
        <w:t>Oosten</w:t>
      </w:r>
      <w:proofErr w:type="spellEnd"/>
      <w:r w:rsidR="006B4092" w:rsidRPr="00D53744">
        <w:rPr>
          <w:rFonts w:cs="Arial"/>
          <w:bCs/>
          <w:szCs w:val="22"/>
        </w:rPr>
        <w:t> J said</w:t>
      </w:r>
      <w:r w:rsidR="006B4092">
        <w:rPr>
          <w:rFonts w:cs="Arial"/>
          <w:bCs/>
          <w:szCs w:val="22"/>
        </w:rPr>
        <w:t>:</w:t>
      </w:r>
      <w:r w:rsidR="006B4092" w:rsidRPr="00D53744">
        <w:rPr>
          <w:rFonts w:cs="Arial"/>
          <w:bCs/>
          <w:szCs w:val="22"/>
        </w:rPr>
        <w:t xml:space="preserve"> </w:t>
      </w:r>
    </w:p>
    <w:p w14:paraId="148D52E8" w14:textId="77777777" w:rsidR="006B4092" w:rsidRPr="00D53744" w:rsidRDefault="006B4092" w:rsidP="006B4092">
      <w:pPr>
        <w:widowControl w:val="0"/>
        <w:spacing w:before="480" w:after="480" w:line="360" w:lineRule="auto"/>
        <w:ind w:left="720"/>
        <w:jc w:val="both"/>
        <w:rPr>
          <w:rFonts w:cs="Arial"/>
          <w:bCs/>
          <w:i/>
          <w:iCs/>
          <w:szCs w:val="22"/>
        </w:rPr>
      </w:pPr>
      <w:r w:rsidRPr="00D53744">
        <w:rPr>
          <w:rFonts w:cs="Arial"/>
          <w:bCs/>
          <w:i/>
          <w:iCs/>
          <w:szCs w:val="22"/>
        </w:rPr>
        <w:t>“It can furthermore not be expected of a lay client who has entrusted the defence of his case to a qualified and competent attorney to sit on his attorney’s shoulders and to check whether technical aspects like time limits have been observed.”</w:t>
      </w:r>
    </w:p>
    <w:p w14:paraId="670114D5" w14:textId="77777777" w:rsidR="00785F6C" w:rsidRDefault="00785F6C" w:rsidP="00715C5A">
      <w:pPr>
        <w:widowControl w:val="0"/>
        <w:spacing w:before="480" w:after="480" w:line="360" w:lineRule="auto"/>
        <w:jc w:val="both"/>
        <w:rPr>
          <w:rFonts w:cs="Arial"/>
          <w:bCs/>
          <w:szCs w:val="22"/>
          <w:u w:val="single"/>
        </w:rPr>
      </w:pPr>
    </w:p>
    <w:p w14:paraId="1595917A" w14:textId="78476BD7" w:rsidR="00715C5A" w:rsidRPr="00715C5A" w:rsidRDefault="00715C5A" w:rsidP="00715C5A">
      <w:pPr>
        <w:widowControl w:val="0"/>
        <w:spacing w:before="480" w:after="480" w:line="360" w:lineRule="auto"/>
        <w:jc w:val="both"/>
        <w:rPr>
          <w:rFonts w:cs="Arial"/>
          <w:bCs/>
          <w:szCs w:val="22"/>
          <w:u w:val="single"/>
        </w:rPr>
      </w:pPr>
      <w:r w:rsidRPr="00715C5A">
        <w:rPr>
          <w:rFonts w:cs="Arial"/>
          <w:bCs/>
          <w:szCs w:val="22"/>
          <w:u w:val="single"/>
        </w:rPr>
        <w:t>The defences relied upon</w:t>
      </w:r>
    </w:p>
    <w:p w14:paraId="66E92EB5" w14:textId="21CE7276" w:rsidR="000E483E" w:rsidRPr="00D53744" w:rsidRDefault="00E37EAE" w:rsidP="00E37EAE">
      <w:pPr>
        <w:widowControl w:val="0"/>
        <w:tabs>
          <w:tab w:val="left" w:pos="567"/>
        </w:tabs>
        <w:spacing w:before="480" w:after="480" w:line="360" w:lineRule="auto"/>
        <w:jc w:val="both"/>
        <w:rPr>
          <w:rFonts w:cs="Arial"/>
          <w:bCs/>
          <w:szCs w:val="22"/>
        </w:rPr>
      </w:pPr>
      <w:r w:rsidRPr="00D53744">
        <w:rPr>
          <w:rFonts w:cs="Arial"/>
          <w:bCs/>
          <w:szCs w:val="22"/>
        </w:rPr>
        <w:t>[15]</w:t>
      </w:r>
      <w:r w:rsidRPr="00D53744">
        <w:rPr>
          <w:rFonts w:cs="Arial"/>
          <w:bCs/>
          <w:szCs w:val="22"/>
        </w:rPr>
        <w:tab/>
      </w:r>
      <w:r w:rsidR="000E483E" w:rsidRPr="00D53744">
        <w:rPr>
          <w:rFonts w:cs="Arial"/>
          <w:bCs/>
          <w:szCs w:val="22"/>
        </w:rPr>
        <w:t xml:space="preserve">In </w:t>
      </w:r>
      <w:proofErr w:type="spellStart"/>
      <w:r w:rsidR="00715C5A" w:rsidRPr="007870B7">
        <w:rPr>
          <w:i/>
          <w:iCs/>
        </w:rPr>
        <w:t>Colyn</w:t>
      </w:r>
      <w:proofErr w:type="spellEnd"/>
      <w:r w:rsidR="00715C5A" w:rsidRPr="007870B7">
        <w:rPr>
          <w:i/>
          <w:iCs/>
        </w:rPr>
        <w:t xml:space="preserve"> v Tiger Food Industries Ltd t/a Meadow Feed Mills (Cape)</w:t>
      </w:r>
      <w:r w:rsidR="000E483E" w:rsidRPr="00D53744">
        <w:rPr>
          <w:rStyle w:val="FootnoteReference"/>
          <w:rFonts w:cs="Arial"/>
          <w:bCs/>
          <w:i/>
          <w:szCs w:val="22"/>
        </w:rPr>
        <w:footnoteReference w:id="13"/>
      </w:r>
      <w:r w:rsidR="000E483E" w:rsidRPr="00D53744">
        <w:rPr>
          <w:rFonts w:cs="Arial"/>
          <w:bCs/>
          <w:szCs w:val="22"/>
        </w:rPr>
        <w:t xml:space="preserve"> the Supreme Court </w:t>
      </w:r>
      <w:r w:rsidR="000E483E" w:rsidRPr="00D53744">
        <w:rPr>
          <w:rFonts w:cs="Arial"/>
          <w:bCs/>
          <w:szCs w:val="22"/>
        </w:rPr>
        <w:lastRenderedPageBreak/>
        <w:t xml:space="preserve">of Appeal pointed out that a weak explanation for the default may be cancelled out by a strong </w:t>
      </w:r>
      <w:r w:rsidR="000E483E" w:rsidRPr="00D53744">
        <w:rPr>
          <w:rFonts w:cs="Arial"/>
          <w:bCs/>
          <w:i/>
          <w:szCs w:val="22"/>
        </w:rPr>
        <w:t xml:space="preserve">bona fide </w:t>
      </w:r>
      <w:r w:rsidR="000E483E" w:rsidRPr="00D53744">
        <w:rPr>
          <w:rFonts w:cs="Arial"/>
          <w:bCs/>
          <w:szCs w:val="22"/>
        </w:rPr>
        <w:t>defence.</w:t>
      </w:r>
    </w:p>
    <w:p w14:paraId="6828FD72" w14:textId="52D072BC" w:rsidR="000F6E8E" w:rsidRDefault="00E37EAE" w:rsidP="00E37EAE">
      <w:pPr>
        <w:widowControl w:val="0"/>
        <w:tabs>
          <w:tab w:val="left" w:pos="567"/>
        </w:tabs>
        <w:spacing w:before="480" w:after="480" w:line="360" w:lineRule="auto"/>
        <w:jc w:val="both"/>
        <w:rPr>
          <w:rFonts w:cs="Arial"/>
          <w:bCs/>
          <w:szCs w:val="22"/>
        </w:rPr>
      </w:pPr>
      <w:r>
        <w:rPr>
          <w:rFonts w:cs="Arial"/>
          <w:bCs/>
          <w:szCs w:val="22"/>
        </w:rPr>
        <w:t>[16]</w:t>
      </w:r>
      <w:r>
        <w:rPr>
          <w:rFonts w:cs="Arial"/>
          <w:bCs/>
          <w:szCs w:val="22"/>
        </w:rPr>
        <w:tab/>
      </w:r>
      <w:r w:rsidR="001E3FA5">
        <w:rPr>
          <w:rFonts w:cs="Arial"/>
          <w:bCs/>
          <w:szCs w:val="22"/>
        </w:rPr>
        <w:t xml:space="preserve">The defendant’s explanation for the cause of the failure </w:t>
      </w:r>
      <w:r w:rsidR="000F6E8E">
        <w:rPr>
          <w:rFonts w:cs="Arial"/>
          <w:bCs/>
          <w:szCs w:val="22"/>
        </w:rPr>
        <w:t xml:space="preserve">to file a plea timeously and later to apply for the lifting of the bar </w:t>
      </w:r>
      <w:r w:rsidR="001E3FA5">
        <w:rPr>
          <w:rFonts w:cs="Arial"/>
          <w:bCs/>
          <w:szCs w:val="22"/>
        </w:rPr>
        <w:t xml:space="preserve">would be acceptable if a </w:t>
      </w:r>
      <w:r w:rsidR="001E3FA5" w:rsidRPr="001E3FA5">
        <w:rPr>
          <w:rFonts w:cs="Arial"/>
          <w:bCs/>
          <w:i/>
          <w:iCs/>
          <w:szCs w:val="22"/>
        </w:rPr>
        <w:t>bona fide</w:t>
      </w:r>
      <w:r w:rsidR="001E3FA5">
        <w:rPr>
          <w:rFonts w:cs="Arial"/>
          <w:bCs/>
          <w:szCs w:val="22"/>
        </w:rPr>
        <w:t xml:space="preserve"> defence were shown.</w:t>
      </w:r>
      <w:r w:rsidR="000F6E8E">
        <w:rPr>
          <w:rFonts w:cs="Arial"/>
          <w:bCs/>
          <w:szCs w:val="22"/>
        </w:rPr>
        <w:t xml:space="preserve"> </w:t>
      </w:r>
    </w:p>
    <w:p w14:paraId="6C7A5A0C" w14:textId="1463C6DB" w:rsidR="000E483E" w:rsidRPr="000F6E8E" w:rsidRDefault="00E37EAE" w:rsidP="00E37EAE">
      <w:pPr>
        <w:widowControl w:val="0"/>
        <w:tabs>
          <w:tab w:val="left" w:pos="567"/>
        </w:tabs>
        <w:spacing w:before="480" w:after="480" w:line="360" w:lineRule="auto"/>
        <w:jc w:val="both"/>
        <w:rPr>
          <w:rFonts w:cs="Arial"/>
          <w:bCs/>
          <w:szCs w:val="22"/>
        </w:rPr>
      </w:pPr>
      <w:r w:rsidRPr="000F6E8E">
        <w:rPr>
          <w:rFonts w:cs="Arial"/>
          <w:bCs/>
          <w:szCs w:val="22"/>
        </w:rPr>
        <w:t>[17]</w:t>
      </w:r>
      <w:r w:rsidRPr="000F6E8E">
        <w:rPr>
          <w:rFonts w:cs="Arial"/>
          <w:bCs/>
          <w:szCs w:val="22"/>
        </w:rPr>
        <w:tab/>
      </w:r>
      <w:r w:rsidR="000F6E8E" w:rsidRPr="000F6E8E">
        <w:rPr>
          <w:rFonts w:cs="Arial"/>
          <w:bCs/>
          <w:szCs w:val="22"/>
        </w:rPr>
        <w:t xml:space="preserve">The defendant raised a number of defences to the claim. </w:t>
      </w:r>
      <w:r w:rsidR="000E483E" w:rsidRPr="000F6E8E">
        <w:rPr>
          <w:rFonts w:cs="Arial"/>
          <w:bCs/>
          <w:szCs w:val="22"/>
        </w:rPr>
        <w:t>The first defence</w:t>
      </w:r>
      <w:r w:rsidR="001E3FA5" w:rsidRPr="000F6E8E">
        <w:rPr>
          <w:rFonts w:cs="Arial"/>
          <w:bCs/>
          <w:szCs w:val="22"/>
        </w:rPr>
        <w:t xml:space="preserve"> raised relates to the alleged breach of the plaintiff’s relocation policy.</w:t>
      </w:r>
      <w:r w:rsidR="000E483E" w:rsidRPr="000F6E8E">
        <w:rPr>
          <w:rFonts w:cs="Arial"/>
          <w:bCs/>
          <w:szCs w:val="22"/>
        </w:rPr>
        <w:t xml:space="preserve"> The defendant denies breaching the plaintiff’s relocation policy by failing to obtain the defendant’s executive management’s prior approval in relation to his own personal rental expenditure. </w:t>
      </w:r>
      <w:r w:rsidR="001E3FA5" w:rsidRPr="000F6E8E">
        <w:rPr>
          <w:rFonts w:cs="Arial"/>
          <w:bCs/>
          <w:szCs w:val="22"/>
        </w:rPr>
        <w:t>He however does not allege that he</w:t>
      </w:r>
      <w:r w:rsidR="000F6E8E">
        <w:rPr>
          <w:rFonts w:cs="Arial"/>
          <w:bCs/>
          <w:szCs w:val="22"/>
        </w:rPr>
        <w:t xml:space="preserve"> did indeed</w:t>
      </w:r>
      <w:r w:rsidR="001E3FA5" w:rsidRPr="000F6E8E">
        <w:rPr>
          <w:rFonts w:cs="Arial"/>
          <w:bCs/>
          <w:szCs w:val="22"/>
        </w:rPr>
        <w:t xml:space="preserve"> obtain the prior approval of the executive management as required in clauses 2.3, 2.4 and 2.5 of the plaintiff’s relocation policy. </w:t>
      </w:r>
      <w:r w:rsidR="000E483E" w:rsidRPr="000F6E8E">
        <w:rPr>
          <w:rFonts w:cs="Arial"/>
          <w:bCs/>
          <w:szCs w:val="22"/>
        </w:rPr>
        <w:t xml:space="preserve">He alleges that the expenditure was authorised by officials in the Department of Human Resources and that this was done verbally. </w:t>
      </w:r>
    </w:p>
    <w:p w14:paraId="14D3489F" w14:textId="5FA33CE3" w:rsidR="000E483E" w:rsidRPr="00D53744" w:rsidRDefault="00E37EAE" w:rsidP="00E37EAE">
      <w:pPr>
        <w:widowControl w:val="0"/>
        <w:tabs>
          <w:tab w:val="left" w:pos="567"/>
        </w:tabs>
        <w:spacing w:before="480" w:after="480" w:line="360" w:lineRule="auto"/>
        <w:jc w:val="both"/>
        <w:rPr>
          <w:rFonts w:cs="Arial"/>
          <w:bCs/>
          <w:szCs w:val="22"/>
        </w:rPr>
      </w:pPr>
      <w:r w:rsidRPr="00D53744">
        <w:rPr>
          <w:rFonts w:cs="Arial"/>
          <w:bCs/>
          <w:szCs w:val="22"/>
        </w:rPr>
        <w:t>[18]</w:t>
      </w:r>
      <w:r w:rsidRPr="00D53744">
        <w:rPr>
          <w:rFonts w:cs="Arial"/>
          <w:bCs/>
          <w:szCs w:val="22"/>
        </w:rPr>
        <w:tab/>
      </w:r>
      <w:r w:rsidR="000E483E" w:rsidRPr="00D53744">
        <w:rPr>
          <w:rFonts w:cs="Arial"/>
          <w:bCs/>
          <w:szCs w:val="22"/>
        </w:rPr>
        <w:t xml:space="preserve">The second defence relates to furniture purchased by the defendant. He alleges that a </w:t>
      </w:r>
      <w:r w:rsidR="001E3FA5">
        <w:rPr>
          <w:rFonts w:cs="Arial"/>
          <w:bCs/>
          <w:szCs w:val="22"/>
        </w:rPr>
        <w:t>‘</w:t>
      </w:r>
      <w:r w:rsidR="000E483E" w:rsidRPr="00D53744">
        <w:rPr>
          <w:rFonts w:cs="Arial"/>
          <w:bCs/>
          <w:szCs w:val="22"/>
        </w:rPr>
        <w:t>relevant official</w:t>
      </w:r>
      <w:r w:rsidR="001E3FA5">
        <w:rPr>
          <w:rFonts w:cs="Arial"/>
          <w:bCs/>
          <w:szCs w:val="22"/>
        </w:rPr>
        <w:t>’</w:t>
      </w:r>
      <w:r w:rsidR="000E483E" w:rsidRPr="00D53744">
        <w:rPr>
          <w:rFonts w:cs="Arial"/>
          <w:bCs/>
          <w:szCs w:val="22"/>
        </w:rPr>
        <w:t xml:space="preserve"> of the </w:t>
      </w:r>
      <w:r w:rsidR="001E3FA5">
        <w:rPr>
          <w:rFonts w:cs="Arial"/>
          <w:bCs/>
          <w:szCs w:val="22"/>
        </w:rPr>
        <w:t>plaintiff</w:t>
      </w:r>
      <w:r w:rsidR="000E483E" w:rsidRPr="00D53744">
        <w:rPr>
          <w:rFonts w:cs="Arial"/>
          <w:bCs/>
          <w:szCs w:val="22"/>
        </w:rPr>
        <w:t xml:space="preserve"> had recommended the purchase thereof. The identity</w:t>
      </w:r>
      <w:r w:rsidR="000F6E8E">
        <w:rPr>
          <w:rFonts w:cs="Arial"/>
          <w:bCs/>
          <w:szCs w:val="22"/>
        </w:rPr>
        <w:t xml:space="preserve"> and authority</w:t>
      </w:r>
      <w:r w:rsidR="000E483E" w:rsidRPr="00D53744">
        <w:rPr>
          <w:rFonts w:cs="Arial"/>
          <w:bCs/>
          <w:szCs w:val="22"/>
        </w:rPr>
        <w:t xml:space="preserve"> of the relevant official is not disclosed nor does he say why the unknown official recommended the purchase. </w:t>
      </w:r>
    </w:p>
    <w:p w14:paraId="3548C274" w14:textId="48D6485F" w:rsidR="000E483E" w:rsidRPr="00D53744" w:rsidRDefault="00E37EAE" w:rsidP="00E37EAE">
      <w:pPr>
        <w:widowControl w:val="0"/>
        <w:tabs>
          <w:tab w:val="left" w:pos="567"/>
        </w:tabs>
        <w:spacing w:before="480" w:after="480" w:line="360" w:lineRule="auto"/>
        <w:jc w:val="both"/>
        <w:rPr>
          <w:rFonts w:cs="Arial"/>
          <w:bCs/>
          <w:szCs w:val="22"/>
        </w:rPr>
      </w:pPr>
      <w:r w:rsidRPr="00D53744">
        <w:rPr>
          <w:rFonts w:cs="Arial"/>
          <w:bCs/>
          <w:szCs w:val="22"/>
        </w:rPr>
        <w:t>[19]</w:t>
      </w:r>
      <w:r w:rsidRPr="00D53744">
        <w:rPr>
          <w:rFonts w:cs="Arial"/>
          <w:bCs/>
          <w:szCs w:val="22"/>
        </w:rPr>
        <w:tab/>
      </w:r>
      <w:r w:rsidR="000E483E" w:rsidRPr="00D53744">
        <w:rPr>
          <w:rFonts w:cs="Arial"/>
          <w:bCs/>
          <w:szCs w:val="22"/>
        </w:rPr>
        <w:t>The third defence</w:t>
      </w:r>
      <w:r w:rsidR="001E3FA5">
        <w:rPr>
          <w:rFonts w:cs="Arial"/>
          <w:bCs/>
          <w:szCs w:val="22"/>
        </w:rPr>
        <w:t xml:space="preserve"> is a </w:t>
      </w:r>
      <w:r w:rsidR="001E3FA5" w:rsidRPr="001E3FA5">
        <w:rPr>
          <w:rFonts w:cs="Arial"/>
          <w:bCs/>
          <w:i/>
          <w:iCs/>
          <w:szCs w:val="22"/>
        </w:rPr>
        <w:t xml:space="preserve">res </w:t>
      </w:r>
      <w:proofErr w:type="spellStart"/>
      <w:r w:rsidR="001E3FA5" w:rsidRPr="001E3FA5">
        <w:rPr>
          <w:rFonts w:cs="Arial"/>
          <w:bCs/>
          <w:i/>
          <w:iCs/>
          <w:szCs w:val="22"/>
        </w:rPr>
        <w:t>iudicata</w:t>
      </w:r>
      <w:proofErr w:type="spellEnd"/>
      <w:r w:rsidR="001E3FA5">
        <w:rPr>
          <w:rFonts w:cs="Arial"/>
          <w:bCs/>
          <w:szCs w:val="22"/>
        </w:rPr>
        <w:t xml:space="preserve"> defence.</w:t>
      </w:r>
      <w:r w:rsidR="000E483E" w:rsidRPr="00D53744">
        <w:rPr>
          <w:rFonts w:cs="Arial"/>
          <w:bCs/>
          <w:szCs w:val="22"/>
        </w:rPr>
        <w:t xml:space="preserve"> The defendant contends that the subject matter of the action had been dealt with in the CCMA (the Commission for Conciliation, Mediation and Arbitration) and settled in terms of a settlement agreement. He does not disclose in his affidavit that in terms of clause 4.1.1 of the agreement the parties specifically agreed that an amount of R617 221.56 could not be released to the defendant because of the dispute in this very action. The settlement agreement dealt with the present action and the amount retained in terms of Section 37D of the Pension Funds Act, subject to allegations of theft, dishonesty, fraud or misconduct. </w:t>
      </w:r>
      <w:r w:rsidR="001E3FA5">
        <w:rPr>
          <w:rFonts w:cs="Arial"/>
          <w:bCs/>
          <w:szCs w:val="22"/>
        </w:rPr>
        <w:t xml:space="preserve">The present dispute was specifically excluded from the settlement and </w:t>
      </w:r>
      <w:r w:rsidR="001E3FA5" w:rsidRPr="001E3FA5">
        <w:rPr>
          <w:rFonts w:cs="Arial"/>
          <w:bCs/>
          <w:i/>
          <w:iCs/>
          <w:szCs w:val="22"/>
        </w:rPr>
        <w:t xml:space="preserve">res </w:t>
      </w:r>
      <w:proofErr w:type="spellStart"/>
      <w:r w:rsidR="001E3FA5" w:rsidRPr="001E3FA5">
        <w:rPr>
          <w:rFonts w:cs="Arial"/>
          <w:bCs/>
          <w:i/>
          <w:iCs/>
          <w:szCs w:val="22"/>
        </w:rPr>
        <w:t>iudicata</w:t>
      </w:r>
      <w:proofErr w:type="spellEnd"/>
      <w:r w:rsidR="001E3FA5">
        <w:rPr>
          <w:rFonts w:cs="Arial"/>
          <w:bCs/>
          <w:szCs w:val="22"/>
        </w:rPr>
        <w:t xml:space="preserve"> plays no role.</w:t>
      </w:r>
    </w:p>
    <w:p w14:paraId="345E0B6C" w14:textId="293DF46A" w:rsidR="0043546D" w:rsidRPr="001E3FA5" w:rsidRDefault="00E37EAE" w:rsidP="00E37EAE">
      <w:pPr>
        <w:widowControl w:val="0"/>
        <w:tabs>
          <w:tab w:val="left" w:pos="567"/>
        </w:tabs>
        <w:spacing w:before="480" w:after="480" w:line="360" w:lineRule="auto"/>
        <w:jc w:val="both"/>
        <w:rPr>
          <w:rFonts w:cs="Arial"/>
          <w:bCs/>
          <w:szCs w:val="22"/>
        </w:rPr>
      </w:pPr>
      <w:r w:rsidRPr="001E3FA5">
        <w:rPr>
          <w:rFonts w:cs="Arial"/>
          <w:bCs/>
          <w:szCs w:val="22"/>
        </w:rPr>
        <w:t>[20]</w:t>
      </w:r>
      <w:r w:rsidRPr="001E3FA5">
        <w:rPr>
          <w:rFonts w:cs="Arial"/>
          <w:bCs/>
          <w:szCs w:val="22"/>
        </w:rPr>
        <w:tab/>
      </w:r>
      <w:r w:rsidR="000E483E" w:rsidRPr="001E3FA5">
        <w:rPr>
          <w:rFonts w:cs="Arial"/>
          <w:bCs/>
          <w:szCs w:val="22"/>
        </w:rPr>
        <w:t xml:space="preserve">The fourth defence is that the jurisdiction </w:t>
      </w:r>
      <w:r w:rsidR="0043546D" w:rsidRPr="001E3FA5">
        <w:rPr>
          <w:rFonts w:cs="Arial"/>
          <w:bCs/>
          <w:szCs w:val="22"/>
        </w:rPr>
        <w:t xml:space="preserve">of the High Court is disputed. In expressly excluding these proceedings from the settlement in the CCMA, the defendant has however submitted himself to the jurisdiction of this Court and the Labour Court in any event as concurrent jurisdiction with the Civil Courts in respect of any matter concerning a contract of </w:t>
      </w:r>
      <w:r w:rsidR="0043546D" w:rsidRPr="001E3FA5">
        <w:rPr>
          <w:rFonts w:cs="Arial"/>
          <w:bCs/>
          <w:szCs w:val="22"/>
        </w:rPr>
        <w:lastRenderedPageBreak/>
        <w:t>employment.</w:t>
      </w:r>
      <w:r w:rsidR="00FD6834">
        <w:rPr>
          <w:rStyle w:val="FootnoteReference"/>
          <w:rFonts w:cs="Arial"/>
          <w:bCs/>
          <w:szCs w:val="22"/>
        </w:rPr>
        <w:footnoteReference w:id="14"/>
      </w:r>
      <w:r w:rsidR="001E3FA5" w:rsidRPr="001E3FA5">
        <w:rPr>
          <w:rFonts w:cs="Arial"/>
          <w:bCs/>
          <w:szCs w:val="22"/>
        </w:rPr>
        <w:t xml:space="preserve"> </w:t>
      </w:r>
      <w:r w:rsidR="0043546D" w:rsidRPr="001E3FA5">
        <w:rPr>
          <w:rFonts w:cs="Arial"/>
          <w:bCs/>
          <w:szCs w:val="22"/>
        </w:rPr>
        <w:t xml:space="preserve">The </w:t>
      </w:r>
      <w:r w:rsidR="008953BF">
        <w:rPr>
          <w:rFonts w:cs="Arial"/>
          <w:bCs/>
          <w:szCs w:val="22"/>
        </w:rPr>
        <w:t>p</w:t>
      </w:r>
      <w:r w:rsidR="0043546D" w:rsidRPr="001E3FA5">
        <w:rPr>
          <w:rFonts w:cs="Arial"/>
          <w:bCs/>
          <w:szCs w:val="22"/>
        </w:rPr>
        <w:t xml:space="preserve">laintiff’s case against the defendant is one for the breach of contract. </w:t>
      </w:r>
    </w:p>
    <w:p w14:paraId="03178C56" w14:textId="0190C0B8" w:rsidR="0043546D" w:rsidRPr="00D53744" w:rsidRDefault="00E37EAE" w:rsidP="00E37EAE">
      <w:pPr>
        <w:widowControl w:val="0"/>
        <w:tabs>
          <w:tab w:val="left" w:pos="567"/>
        </w:tabs>
        <w:spacing w:before="480" w:after="480" w:line="360" w:lineRule="auto"/>
        <w:jc w:val="both"/>
        <w:rPr>
          <w:rFonts w:cs="Arial"/>
          <w:bCs/>
          <w:szCs w:val="22"/>
        </w:rPr>
      </w:pPr>
      <w:r w:rsidRPr="00D53744">
        <w:rPr>
          <w:rFonts w:cs="Arial"/>
          <w:bCs/>
          <w:szCs w:val="22"/>
        </w:rPr>
        <w:t>[21]</w:t>
      </w:r>
      <w:r w:rsidRPr="00D53744">
        <w:rPr>
          <w:rFonts w:cs="Arial"/>
          <w:bCs/>
          <w:szCs w:val="22"/>
        </w:rPr>
        <w:tab/>
      </w:r>
      <w:r w:rsidR="0043546D" w:rsidRPr="00D53744">
        <w:rPr>
          <w:rFonts w:cs="Arial"/>
          <w:bCs/>
          <w:szCs w:val="22"/>
        </w:rPr>
        <w:t>The</w:t>
      </w:r>
      <w:r w:rsidR="0034090F">
        <w:rPr>
          <w:rFonts w:cs="Arial"/>
          <w:bCs/>
          <w:szCs w:val="22"/>
        </w:rPr>
        <w:t xml:space="preserve"> defendant also alleges that the claim was not for a liquid amount and he</w:t>
      </w:r>
      <w:r w:rsidR="0043546D" w:rsidRPr="00D53744">
        <w:rPr>
          <w:rFonts w:cs="Arial"/>
          <w:bCs/>
          <w:szCs w:val="22"/>
        </w:rPr>
        <w:t xml:space="preserve"> denies that the amount </w:t>
      </w:r>
      <w:r w:rsidR="0034090F">
        <w:rPr>
          <w:rFonts w:cs="Arial"/>
          <w:bCs/>
          <w:szCs w:val="22"/>
        </w:rPr>
        <w:t>was</w:t>
      </w:r>
      <w:r w:rsidR="0043546D" w:rsidRPr="00D53744">
        <w:rPr>
          <w:rFonts w:cs="Arial"/>
          <w:bCs/>
          <w:szCs w:val="22"/>
        </w:rPr>
        <w:t xml:space="preserve"> properly calculated.</w:t>
      </w:r>
      <w:r w:rsidR="0034090F" w:rsidRPr="0034090F">
        <w:rPr>
          <w:rFonts w:cs="Arial"/>
          <w:bCs/>
          <w:szCs w:val="22"/>
        </w:rPr>
        <w:t xml:space="preserve"> </w:t>
      </w:r>
      <w:r w:rsidR="0034090F" w:rsidRPr="00D53744">
        <w:rPr>
          <w:rFonts w:cs="Arial"/>
          <w:bCs/>
          <w:szCs w:val="22"/>
        </w:rPr>
        <w:t>The manner in which the plaintiff’s claim was calculated is set out in the schedule annexed to the particulars of claim and in the founding affidavit in this rescission application the defendant</w:t>
      </w:r>
      <w:r w:rsidR="0034090F">
        <w:rPr>
          <w:rFonts w:cs="Arial"/>
          <w:bCs/>
          <w:szCs w:val="22"/>
        </w:rPr>
        <w:t xml:space="preserve"> does not dispute or deal with the plaintiff’s</w:t>
      </w:r>
      <w:r w:rsidR="0034090F" w:rsidRPr="00D53744">
        <w:rPr>
          <w:rFonts w:cs="Arial"/>
          <w:bCs/>
          <w:szCs w:val="22"/>
        </w:rPr>
        <w:t xml:space="preserve"> quantification</w:t>
      </w:r>
      <w:r w:rsidR="0034090F">
        <w:rPr>
          <w:rFonts w:cs="Arial"/>
          <w:bCs/>
          <w:szCs w:val="22"/>
        </w:rPr>
        <w:t>.</w:t>
      </w:r>
      <w:r w:rsidR="0043546D" w:rsidRPr="00D53744">
        <w:rPr>
          <w:rFonts w:cs="Arial"/>
          <w:bCs/>
          <w:szCs w:val="22"/>
        </w:rPr>
        <w:t xml:space="preserve"> He lays no basis for the allegations</w:t>
      </w:r>
      <w:r w:rsidR="00FD6834">
        <w:rPr>
          <w:rFonts w:cs="Arial"/>
          <w:bCs/>
          <w:szCs w:val="22"/>
        </w:rPr>
        <w:t xml:space="preserve"> but contends himself with bald and sketchy averments.</w:t>
      </w:r>
      <w:r w:rsidR="0034090F">
        <w:rPr>
          <w:rFonts w:cs="Arial"/>
          <w:bCs/>
          <w:szCs w:val="22"/>
        </w:rPr>
        <w:t xml:space="preserve"> </w:t>
      </w:r>
    </w:p>
    <w:p w14:paraId="15D92507" w14:textId="2A1EFB05" w:rsidR="00DE494D" w:rsidRPr="00D53744" w:rsidRDefault="00E37EAE" w:rsidP="00E37EAE">
      <w:pPr>
        <w:widowControl w:val="0"/>
        <w:tabs>
          <w:tab w:val="left" w:pos="567"/>
        </w:tabs>
        <w:spacing w:before="480" w:after="480" w:line="360" w:lineRule="auto"/>
        <w:jc w:val="both"/>
        <w:rPr>
          <w:rFonts w:cs="Arial"/>
          <w:bCs/>
          <w:szCs w:val="22"/>
        </w:rPr>
      </w:pPr>
      <w:r w:rsidRPr="00D53744">
        <w:rPr>
          <w:rFonts w:cs="Arial"/>
          <w:bCs/>
          <w:szCs w:val="22"/>
        </w:rPr>
        <w:t>[22]</w:t>
      </w:r>
      <w:r w:rsidRPr="00D53744">
        <w:rPr>
          <w:rFonts w:cs="Arial"/>
          <w:bCs/>
          <w:szCs w:val="22"/>
        </w:rPr>
        <w:tab/>
      </w:r>
      <w:r w:rsidR="00DE494D" w:rsidRPr="00D53744">
        <w:rPr>
          <w:rFonts w:cs="Arial"/>
          <w:bCs/>
          <w:szCs w:val="22"/>
        </w:rPr>
        <w:t>The defendant also alleges non-compliance with Rule 41A. A notice in terms of Rule 41A forms part of the papers and it is dated 21 February 2022. While the Rule has the laudable objective of promoting mediation and settlements, parties can in any event not be compelled to mediate.</w:t>
      </w:r>
    </w:p>
    <w:p w14:paraId="74A4AB65" w14:textId="0FEA49D4" w:rsidR="00DE494D" w:rsidRPr="0034090F" w:rsidRDefault="00E37EAE" w:rsidP="00E37EAE">
      <w:pPr>
        <w:widowControl w:val="0"/>
        <w:tabs>
          <w:tab w:val="left" w:pos="567"/>
        </w:tabs>
        <w:spacing w:before="480" w:after="480" w:line="360" w:lineRule="auto"/>
        <w:jc w:val="both"/>
        <w:rPr>
          <w:rFonts w:cs="Arial"/>
          <w:bCs/>
          <w:szCs w:val="22"/>
        </w:rPr>
      </w:pPr>
      <w:r w:rsidRPr="0034090F">
        <w:rPr>
          <w:rFonts w:cs="Arial"/>
          <w:bCs/>
          <w:szCs w:val="22"/>
        </w:rPr>
        <w:t>[23]</w:t>
      </w:r>
      <w:r w:rsidRPr="0034090F">
        <w:rPr>
          <w:rFonts w:cs="Arial"/>
          <w:bCs/>
          <w:szCs w:val="22"/>
        </w:rPr>
        <w:tab/>
      </w:r>
      <w:r w:rsidR="00DE494D" w:rsidRPr="0034090F">
        <w:rPr>
          <w:rFonts w:cs="Arial"/>
          <w:bCs/>
          <w:szCs w:val="22"/>
        </w:rPr>
        <w:t xml:space="preserve">It is also alleged that the summons did not comply with Rule </w:t>
      </w:r>
      <w:r w:rsidR="0034090F" w:rsidRPr="0034090F">
        <w:rPr>
          <w:rFonts w:cs="Arial"/>
          <w:bCs/>
          <w:szCs w:val="22"/>
        </w:rPr>
        <w:t>1</w:t>
      </w:r>
      <w:r w:rsidR="00DE494D" w:rsidRPr="0034090F">
        <w:rPr>
          <w:rFonts w:cs="Arial"/>
          <w:bCs/>
          <w:szCs w:val="22"/>
        </w:rPr>
        <w:t>8(1) as it has not been signed by an attorney with right of appearance or by an advocate of the High Court. Notice of intention to defend was delivered early in March 2022 and no notice in terms of Rule 30(2) was delivered within 10 days as required.</w:t>
      </w:r>
      <w:r w:rsidR="0034090F" w:rsidRPr="0034090F">
        <w:rPr>
          <w:rFonts w:cs="Arial"/>
          <w:bCs/>
          <w:szCs w:val="22"/>
        </w:rPr>
        <w:t xml:space="preserve"> </w:t>
      </w:r>
      <w:r w:rsidR="00DE494D" w:rsidRPr="0034090F">
        <w:rPr>
          <w:rFonts w:cs="Arial"/>
          <w:bCs/>
          <w:szCs w:val="22"/>
        </w:rPr>
        <w:t>The particulars of claim annexed to the summons w</w:t>
      </w:r>
      <w:r w:rsidR="008953BF">
        <w:rPr>
          <w:rFonts w:cs="Arial"/>
          <w:bCs/>
          <w:szCs w:val="22"/>
        </w:rPr>
        <w:t>ere</w:t>
      </w:r>
      <w:r w:rsidR="00DE494D" w:rsidRPr="0034090F">
        <w:rPr>
          <w:rFonts w:cs="Arial"/>
          <w:bCs/>
          <w:szCs w:val="22"/>
        </w:rPr>
        <w:t xml:space="preserve"> signed by an attorney claiming right of appearance under Section 25 of the Legal Practice Act, 28 of 2014, and also by and on behalf of the plaintiff’s attorneys.</w:t>
      </w:r>
    </w:p>
    <w:p w14:paraId="17B9D8A0" w14:textId="12883F1F" w:rsidR="0034090F" w:rsidRDefault="00E37EAE" w:rsidP="00E37EAE">
      <w:pPr>
        <w:widowControl w:val="0"/>
        <w:tabs>
          <w:tab w:val="left" w:pos="567"/>
        </w:tabs>
        <w:spacing w:before="480" w:after="480" w:line="360" w:lineRule="auto"/>
        <w:jc w:val="both"/>
        <w:rPr>
          <w:rFonts w:cs="Arial"/>
          <w:bCs/>
          <w:szCs w:val="22"/>
        </w:rPr>
      </w:pPr>
      <w:r>
        <w:rPr>
          <w:rFonts w:cs="Arial"/>
          <w:bCs/>
          <w:szCs w:val="22"/>
        </w:rPr>
        <w:t>[24]</w:t>
      </w:r>
      <w:r>
        <w:rPr>
          <w:rFonts w:cs="Arial"/>
          <w:bCs/>
          <w:szCs w:val="22"/>
        </w:rPr>
        <w:tab/>
      </w:r>
      <w:r w:rsidR="0034090F">
        <w:rPr>
          <w:rFonts w:cs="Arial"/>
          <w:bCs/>
          <w:szCs w:val="22"/>
        </w:rPr>
        <w:t xml:space="preserve">Lastly the defendant seeks to rely on the provisions of the National </w:t>
      </w:r>
      <w:r w:rsidR="00715433">
        <w:rPr>
          <w:rFonts w:cs="Arial"/>
          <w:bCs/>
          <w:szCs w:val="22"/>
        </w:rPr>
        <w:t xml:space="preserve">Credit </w:t>
      </w:r>
      <w:r w:rsidR="0034090F">
        <w:rPr>
          <w:rFonts w:cs="Arial"/>
          <w:bCs/>
          <w:szCs w:val="22"/>
        </w:rPr>
        <w:t>Act, 34 of 2005.</w:t>
      </w:r>
      <w:r w:rsidR="00715433">
        <w:rPr>
          <w:rFonts w:cs="Arial"/>
          <w:bCs/>
          <w:szCs w:val="22"/>
        </w:rPr>
        <w:t xml:space="preserve"> The Act is not applicable as the claim is not based on a credit agreement.</w:t>
      </w:r>
    </w:p>
    <w:p w14:paraId="5459E944" w14:textId="3395BD34" w:rsidR="00DE494D" w:rsidRPr="00D53744" w:rsidRDefault="00E37EAE" w:rsidP="00E37EAE">
      <w:pPr>
        <w:widowControl w:val="0"/>
        <w:tabs>
          <w:tab w:val="left" w:pos="567"/>
        </w:tabs>
        <w:spacing w:before="480" w:after="480" w:line="360" w:lineRule="auto"/>
        <w:jc w:val="both"/>
        <w:rPr>
          <w:rFonts w:cs="Arial"/>
          <w:bCs/>
          <w:szCs w:val="22"/>
        </w:rPr>
      </w:pPr>
      <w:r w:rsidRPr="00D53744">
        <w:rPr>
          <w:rFonts w:cs="Arial"/>
          <w:bCs/>
          <w:szCs w:val="22"/>
        </w:rPr>
        <w:t>[25]</w:t>
      </w:r>
      <w:r w:rsidRPr="00D53744">
        <w:rPr>
          <w:rFonts w:cs="Arial"/>
          <w:bCs/>
          <w:szCs w:val="22"/>
        </w:rPr>
        <w:tab/>
      </w:r>
      <w:r w:rsidR="00DE494D" w:rsidRPr="00D53744">
        <w:rPr>
          <w:rFonts w:cs="Arial"/>
          <w:bCs/>
          <w:szCs w:val="22"/>
        </w:rPr>
        <w:t>Even if it is assume</w:t>
      </w:r>
      <w:r w:rsidR="00343092">
        <w:rPr>
          <w:rFonts w:cs="Arial"/>
          <w:bCs/>
          <w:szCs w:val="22"/>
        </w:rPr>
        <w:t>d, as I do</w:t>
      </w:r>
      <w:proofErr w:type="gramStart"/>
      <w:r w:rsidR="00343092">
        <w:rPr>
          <w:rFonts w:cs="Arial"/>
          <w:bCs/>
          <w:szCs w:val="22"/>
        </w:rPr>
        <w:t xml:space="preserve">, </w:t>
      </w:r>
      <w:r w:rsidR="00DE494D" w:rsidRPr="00D53744">
        <w:rPr>
          <w:rFonts w:cs="Arial"/>
          <w:bCs/>
          <w:szCs w:val="22"/>
        </w:rPr>
        <w:t xml:space="preserve"> that</w:t>
      </w:r>
      <w:proofErr w:type="gramEnd"/>
      <w:r w:rsidR="00DE494D" w:rsidRPr="00D53744">
        <w:rPr>
          <w:rFonts w:cs="Arial"/>
          <w:bCs/>
          <w:szCs w:val="22"/>
        </w:rPr>
        <w:t xml:space="preserve"> the defendant’s delay and failure to file a plea and to defend the matter is due entirely to </w:t>
      </w:r>
      <w:r w:rsidR="009A5F21">
        <w:rPr>
          <w:rFonts w:cs="Arial"/>
          <w:bCs/>
          <w:szCs w:val="22"/>
        </w:rPr>
        <w:t>the negligence of his</w:t>
      </w:r>
      <w:r w:rsidR="00DE494D" w:rsidRPr="00D53744">
        <w:rPr>
          <w:rFonts w:cs="Arial"/>
          <w:bCs/>
          <w:szCs w:val="22"/>
        </w:rPr>
        <w:t xml:space="preserve"> attorneys, </w:t>
      </w:r>
      <w:r w:rsidR="00715433">
        <w:rPr>
          <w:rFonts w:cs="Arial"/>
          <w:bCs/>
          <w:szCs w:val="22"/>
        </w:rPr>
        <w:t>t</w:t>
      </w:r>
      <w:r w:rsidR="00DE494D" w:rsidRPr="00D53744">
        <w:rPr>
          <w:rFonts w:cs="Arial"/>
          <w:bCs/>
          <w:szCs w:val="22"/>
        </w:rPr>
        <w:t xml:space="preserve">he </w:t>
      </w:r>
      <w:r w:rsidR="00715433">
        <w:rPr>
          <w:rFonts w:cs="Arial"/>
          <w:bCs/>
          <w:szCs w:val="22"/>
        </w:rPr>
        <w:t xml:space="preserve">defences raised are not </w:t>
      </w:r>
      <w:r w:rsidR="00715433" w:rsidRPr="009A5F21">
        <w:rPr>
          <w:rFonts w:cs="Arial"/>
          <w:bCs/>
          <w:i/>
          <w:iCs/>
          <w:szCs w:val="22"/>
        </w:rPr>
        <w:t>bona fide</w:t>
      </w:r>
      <w:r w:rsidR="00715433">
        <w:rPr>
          <w:rFonts w:cs="Arial"/>
          <w:bCs/>
          <w:szCs w:val="22"/>
        </w:rPr>
        <w:t>.</w:t>
      </w:r>
      <w:r w:rsidR="008953BF">
        <w:rPr>
          <w:rStyle w:val="FootnoteReference"/>
          <w:rFonts w:cs="Arial"/>
          <w:bCs/>
          <w:szCs w:val="22"/>
        </w:rPr>
        <w:footnoteReference w:id="15"/>
      </w:r>
    </w:p>
    <w:p w14:paraId="4192C87D" w14:textId="1BC8A033" w:rsidR="0035778C" w:rsidRPr="00D53744" w:rsidRDefault="00E37EAE" w:rsidP="00E37EAE">
      <w:pPr>
        <w:widowControl w:val="0"/>
        <w:tabs>
          <w:tab w:val="left" w:pos="567"/>
        </w:tabs>
        <w:spacing w:before="480" w:after="480" w:line="360" w:lineRule="auto"/>
        <w:jc w:val="both"/>
        <w:rPr>
          <w:rFonts w:cs="Arial"/>
          <w:bCs/>
          <w:szCs w:val="22"/>
        </w:rPr>
      </w:pPr>
      <w:r w:rsidRPr="00D53744">
        <w:rPr>
          <w:rFonts w:cs="Arial"/>
          <w:bCs/>
          <w:szCs w:val="22"/>
        </w:rPr>
        <w:t>[26]</w:t>
      </w:r>
      <w:r w:rsidRPr="00D53744">
        <w:rPr>
          <w:rFonts w:cs="Arial"/>
          <w:bCs/>
          <w:szCs w:val="22"/>
        </w:rPr>
        <w:tab/>
      </w:r>
      <w:r w:rsidR="0035778C" w:rsidRPr="00D53744">
        <w:rPr>
          <w:rFonts w:cs="Arial"/>
          <w:bCs/>
          <w:szCs w:val="22"/>
        </w:rPr>
        <w:t>I therefore make the order in paragraph 1 above.</w:t>
      </w:r>
    </w:p>
    <w:p w14:paraId="57B05A6B" w14:textId="77777777" w:rsidR="007C6DF0" w:rsidRPr="0009745A" w:rsidRDefault="007C6DF0" w:rsidP="005E09BA">
      <w:pPr>
        <w:widowControl w:val="0"/>
        <w:tabs>
          <w:tab w:val="right" w:pos="0"/>
        </w:tabs>
        <w:spacing w:line="360" w:lineRule="auto"/>
        <w:contextualSpacing/>
        <w:jc w:val="both"/>
        <w:rPr>
          <w:rFonts w:cs="Arial"/>
          <w:b/>
          <w:szCs w:val="22"/>
        </w:rPr>
      </w:pPr>
    </w:p>
    <w:p w14:paraId="740EAE43" w14:textId="77777777" w:rsidR="007C6DF0" w:rsidRPr="0009745A" w:rsidRDefault="007C6DF0" w:rsidP="005E09BA">
      <w:pPr>
        <w:widowControl w:val="0"/>
        <w:tabs>
          <w:tab w:val="right" w:pos="0"/>
        </w:tabs>
        <w:spacing w:line="360" w:lineRule="auto"/>
        <w:contextualSpacing/>
        <w:jc w:val="both"/>
        <w:rPr>
          <w:rFonts w:cs="Arial"/>
          <w:b/>
          <w:szCs w:val="22"/>
        </w:rPr>
      </w:pPr>
    </w:p>
    <w:p w14:paraId="162481B2" w14:textId="3E18B653" w:rsidR="00581C59" w:rsidRPr="0009745A" w:rsidRDefault="00581C59" w:rsidP="005E09BA">
      <w:pPr>
        <w:widowControl w:val="0"/>
        <w:tabs>
          <w:tab w:val="right" w:pos="0"/>
        </w:tabs>
        <w:spacing w:line="360" w:lineRule="auto"/>
        <w:contextualSpacing/>
        <w:jc w:val="right"/>
        <w:rPr>
          <w:rFonts w:cs="Arial"/>
          <w:b/>
          <w:szCs w:val="22"/>
        </w:rPr>
      </w:pPr>
      <w:r w:rsidRPr="0009745A">
        <w:rPr>
          <w:rFonts w:cs="Arial"/>
          <w:b/>
          <w:szCs w:val="22"/>
        </w:rPr>
        <w:lastRenderedPageBreak/>
        <w:t>_____________</w:t>
      </w:r>
    </w:p>
    <w:p w14:paraId="0CCB9BFE" w14:textId="2B9BE171" w:rsidR="006C43D7" w:rsidRPr="0009745A" w:rsidRDefault="00C676F3" w:rsidP="005E09BA">
      <w:pPr>
        <w:widowControl w:val="0"/>
        <w:tabs>
          <w:tab w:val="right" w:pos="0"/>
        </w:tabs>
        <w:spacing w:line="360" w:lineRule="auto"/>
        <w:contextualSpacing/>
        <w:jc w:val="right"/>
        <w:rPr>
          <w:rFonts w:cs="Arial"/>
          <w:b/>
          <w:szCs w:val="22"/>
        </w:rPr>
      </w:pPr>
      <w:r w:rsidRPr="0009745A">
        <w:rPr>
          <w:rFonts w:cs="Arial"/>
          <w:b/>
          <w:szCs w:val="22"/>
        </w:rPr>
        <w:t>J MOORCROFT</w:t>
      </w:r>
    </w:p>
    <w:p w14:paraId="7A2C1059" w14:textId="77777777" w:rsidR="006C43D7" w:rsidRPr="0009745A" w:rsidRDefault="006C43D7" w:rsidP="005E09BA">
      <w:pPr>
        <w:widowControl w:val="0"/>
        <w:tabs>
          <w:tab w:val="right" w:pos="0"/>
        </w:tabs>
        <w:spacing w:line="360" w:lineRule="auto"/>
        <w:contextualSpacing/>
        <w:jc w:val="right"/>
        <w:rPr>
          <w:rFonts w:cs="Arial"/>
          <w:b/>
          <w:szCs w:val="22"/>
        </w:rPr>
      </w:pPr>
      <w:r w:rsidRPr="0009745A">
        <w:rPr>
          <w:rFonts w:cs="Arial"/>
          <w:b/>
          <w:szCs w:val="22"/>
        </w:rPr>
        <w:t>ACTING JUDGE OF THE HIGH COURT OF SOUTH AFRICA</w:t>
      </w:r>
    </w:p>
    <w:p w14:paraId="077C2590" w14:textId="7C2C605F"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GAUTENG DIVISION</w:t>
      </w:r>
    </w:p>
    <w:p w14:paraId="40B9C946"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JOHANNESBURG</w:t>
      </w:r>
    </w:p>
    <w:p w14:paraId="326B529B"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p>
    <w:p w14:paraId="5A4CC56C" w14:textId="051C4E22" w:rsidR="006C43D7" w:rsidRPr="0009745A" w:rsidRDefault="006C43D7" w:rsidP="005E09BA">
      <w:pPr>
        <w:widowControl w:val="0"/>
        <w:spacing w:after="200" w:line="480" w:lineRule="auto"/>
        <w:contextualSpacing/>
        <w:jc w:val="right"/>
        <w:rPr>
          <w:rFonts w:cs="Arial"/>
          <w:b/>
          <w:i/>
          <w:iCs/>
          <w:szCs w:val="22"/>
        </w:rPr>
      </w:pPr>
      <w:r w:rsidRPr="0009745A">
        <w:rPr>
          <w:rFonts w:cs="Arial"/>
          <w:b/>
          <w:i/>
          <w:iCs/>
          <w:szCs w:val="22"/>
        </w:rPr>
        <w:t>Electronically submitted</w:t>
      </w:r>
    </w:p>
    <w:p w14:paraId="4E3E9427" w14:textId="77777777" w:rsidR="006C43D7" w:rsidRPr="0009745A" w:rsidRDefault="006C43D7" w:rsidP="00250A46">
      <w:pPr>
        <w:widowControl w:val="0"/>
        <w:spacing w:after="200" w:line="360" w:lineRule="auto"/>
        <w:contextualSpacing/>
        <w:jc w:val="both"/>
        <w:rPr>
          <w:rFonts w:eastAsia="Arial Unicode MS" w:cs="Arial"/>
          <w:bCs/>
          <w:szCs w:val="22"/>
        </w:rPr>
      </w:pPr>
    </w:p>
    <w:p w14:paraId="51C686CA" w14:textId="0F6F1A24" w:rsidR="006C43D7" w:rsidRPr="0009745A" w:rsidRDefault="006C43D7" w:rsidP="00250A46">
      <w:pPr>
        <w:widowControl w:val="0"/>
        <w:spacing w:after="200" w:line="360" w:lineRule="auto"/>
        <w:contextualSpacing/>
        <w:jc w:val="both"/>
        <w:rPr>
          <w:rFonts w:eastAsia="Arial Unicode MS" w:cs="Arial"/>
          <w:bCs/>
          <w:szCs w:val="22"/>
        </w:rPr>
      </w:pPr>
      <w:r w:rsidRPr="0009745A">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09745A">
        <w:rPr>
          <w:rFonts w:eastAsia="Arial Unicode MS" w:cs="Arial"/>
          <w:bCs/>
          <w:szCs w:val="22"/>
        </w:rPr>
        <w:t>Case</w:t>
      </w:r>
      <w:r w:rsidR="000C1421" w:rsidRPr="0009745A">
        <w:rPr>
          <w:rFonts w:eastAsia="Arial Unicode MS" w:cs="Arial"/>
          <w:bCs/>
          <w:szCs w:val="22"/>
        </w:rPr>
        <w:t>L</w:t>
      </w:r>
      <w:r w:rsidRPr="0009745A">
        <w:rPr>
          <w:rFonts w:eastAsia="Arial Unicode MS" w:cs="Arial"/>
          <w:bCs/>
          <w:szCs w:val="22"/>
        </w:rPr>
        <w:t>ines</w:t>
      </w:r>
      <w:proofErr w:type="spellEnd"/>
      <w:r w:rsidRPr="0009745A">
        <w:rPr>
          <w:rFonts w:eastAsia="Arial Unicode MS" w:cs="Arial"/>
          <w:bCs/>
          <w:szCs w:val="22"/>
        </w:rPr>
        <w:t>. The date of the judgment is deemed to be</w:t>
      </w:r>
      <w:r w:rsidR="00357D35" w:rsidRPr="0009745A">
        <w:rPr>
          <w:rFonts w:eastAsia="Arial Unicode MS" w:cs="Arial"/>
          <w:bCs/>
          <w:szCs w:val="22"/>
        </w:rPr>
        <w:t xml:space="preserve"> </w:t>
      </w:r>
      <w:r w:rsidR="00715433">
        <w:rPr>
          <w:rFonts w:eastAsia="Arial Unicode MS" w:cs="Arial"/>
          <w:b/>
          <w:bCs/>
          <w:szCs w:val="22"/>
        </w:rPr>
        <w:t>1</w:t>
      </w:r>
      <w:r w:rsidR="000C1921">
        <w:rPr>
          <w:rFonts w:eastAsia="Arial Unicode MS" w:cs="Arial"/>
          <w:b/>
          <w:bCs/>
          <w:szCs w:val="22"/>
        </w:rPr>
        <w:t>4</w:t>
      </w:r>
      <w:r w:rsidR="00715433">
        <w:rPr>
          <w:rFonts w:eastAsia="Arial Unicode MS" w:cs="Arial"/>
          <w:b/>
          <w:bCs/>
          <w:szCs w:val="22"/>
        </w:rPr>
        <w:t xml:space="preserve"> June</w:t>
      </w:r>
      <w:r w:rsidR="00991B1A" w:rsidRPr="0009745A">
        <w:rPr>
          <w:rFonts w:eastAsia="Arial Unicode MS" w:cs="Arial"/>
          <w:b/>
          <w:bCs/>
          <w:szCs w:val="22"/>
        </w:rPr>
        <w:t xml:space="preserve"> 2023</w:t>
      </w:r>
      <w:r w:rsidR="00FE0E9D" w:rsidRPr="0009745A">
        <w:rPr>
          <w:rFonts w:eastAsia="Arial Unicode MS" w:cs="Arial"/>
          <w:bCs/>
          <w:szCs w:val="22"/>
        </w:rPr>
        <w:t>.</w:t>
      </w:r>
    </w:p>
    <w:p w14:paraId="6A7E1A15" w14:textId="02BB845B" w:rsidR="009B62F7" w:rsidRPr="0009745A" w:rsidRDefault="009B62F7" w:rsidP="00250A46">
      <w:pPr>
        <w:widowControl w:val="0"/>
        <w:spacing w:after="200" w:line="360" w:lineRule="auto"/>
        <w:contextualSpacing/>
        <w:jc w:val="both"/>
        <w:rPr>
          <w:rFonts w:eastAsia="Arial Unicode MS" w:cs="Arial"/>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62F7" w:rsidRPr="0009745A" w14:paraId="6CDD4926" w14:textId="77777777" w:rsidTr="0098739F">
        <w:tc>
          <w:tcPr>
            <w:tcW w:w="4508" w:type="dxa"/>
          </w:tcPr>
          <w:p w14:paraId="0F4C5124" w14:textId="5404BF87" w:rsidR="009B62F7" w:rsidRPr="0009745A" w:rsidRDefault="009B62F7" w:rsidP="00C45125">
            <w:pPr>
              <w:widowControl w:val="0"/>
              <w:spacing w:before="120" w:after="120"/>
              <w:jc w:val="both"/>
              <w:rPr>
                <w:rFonts w:eastAsia="Arial Unicode MS" w:cs="Arial"/>
                <w:b/>
                <w:bCs/>
                <w:szCs w:val="22"/>
              </w:rPr>
            </w:pPr>
            <w:r w:rsidRPr="0009745A">
              <w:rPr>
                <w:rFonts w:cs="Arial"/>
                <w:szCs w:val="22"/>
              </w:rPr>
              <w:t xml:space="preserve">COUNSEL FOR THE </w:t>
            </w:r>
            <w:r w:rsidR="00C45125">
              <w:rPr>
                <w:rFonts w:cs="Arial"/>
                <w:szCs w:val="22"/>
              </w:rPr>
              <w:t>APPLICANT</w:t>
            </w:r>
            <w:r w:rsidRPr="0009745A">
              <w:rPr>
                <w:rFonts w:cs="Arial"/>
                <w:szCs w:val="22"/>
              </w:rPr>
              <w:t>:</w:t>
            </w:r>
          </w:p>
        </w:tc>
        <w:tc>
          <w:tcPr>
            <w:tcW w:w="4508" w:type="dxa"/>
          </w:tcPr>
          <w:p w14:paraId="7DD198BB" w14:textId="25347DBD" w:rsidR="009B62F7" w:rsidRPr="00C905EB" w:rsidRDefault="007B2053" w:rsidP="0098739F">
            <w:pPr>
              <w:widowControl w:val="0"/>
              <w:spacing w:before="120" w:after="120"/>
              <w:jc w:val="right"/>
              <w:rPr>
                <w:rFonts w:eastAsia="Arial Unicode MS" w:cs="Arial"/>
                <w:szCs w:val="22"/>
              </w:rPr>
            </w:pPr>
            <w:r>
              <w:rPr>
                <w:rFonts w:eastAsia="Arial Unicode MS" w:cs="Arial"/>
                <w:szCs w:val="22"/>
              </w:rPr>
              <w:t xml:space="preserve">M S </w:t>
            </w:r>
            <w:proofErr w:type="spellStart"/>
            <w:r>
              <w:rPr>
                <w:rFonts w:eastAsia="Arial Unicode MS" w:cs="Arial"/>
                <w:szCs w:val="22"/>
              </w:rPr>
              <w:t>Sikhwari</w:t>
            </w:r>
            <w:proofErr w:type="spellEnd"/>
          </w:p>
        </w:tc>
      </w:tr>
      <w:tr w:rsidR="009B62F7" w:rsidRPr="0009745A" w14:paraId="6B458BBE" w14:textId="77777777" w:rsidTr="0098739F">
        <w:tc>
          <w:tcPr>
            <w:tcW w:w="4508" w:type="dxa"/>
          </w:tcPr>
          <w:p w14:paraId="004C2388" w14:textId="4D252395" w:rsidR="009B62F7" w:rsidRPr="0009745A" w:rsidRDefault="009B62F7" w:rsidP="0098739F">
            <w:pPr>
              <w:widowControl w:val="0"/>
              <w:spacing w:before="120" w:after="120"/>
              <w:jc w:val="both"/>
              <w:rPr>
                <w:rFonts w:eastAsia="Arial Unicode MS" w:cs="Arial"/>
                <w:b/>
                <w:bCs/>
                <w:szCs w:val="22"/>
              </w:rPr>
            </w:pPr>
            <w:r w:rsidRPr="0009745A">
              <w:rPr>
                <w:rFonts w:cs="Arial"/>
                <w:szCs w:val="22"/>
              </w:rPr>
              <w:t xml:space="preserve">INSTRUCTED BY: </w:t>
            </w:r>
          </w:p>
        </w:tc>
        <w:tc>
          <w:tcPr>
            <w:tcW w:w="4508" w:type="dxa"/>
          </w:tcPr>
          <w:p w14:paraId="66D395DE" w14:textId="77777777" w:rsidR="001E34E7" w:rsidRDefault="007B2053" w:rsidP="0098739F">
            <w:pPr>
              <w:widowControl w:val="0"/>
              <w:spacing w:before="120" w:after="120"/>
              <w:jc w:val="right"/>
              <w:rPr>
                <w:rFonts w:eastAsia="Arial Unicode MS" w:cs="Arial"/>
                <w:szCs w:val="22"/>
              </w:rPr>
            </w:pPr>
            <w:proofErr w:type="spellStart"/>
            <w:r>
              <w:rPr>
                <w:rFonts w:eastAsia="Arial Unicode MS" w:cs="Arial"/>
                <w:szCs w:val="22"/>
              </w:rPr>
              <w:t>Nemukangwe</w:t>
            </w:r>
            <w:proofErr w:type="spellEnd"/>
            <w:r>
              <w:rPr>
                <w:rFonts w:eastAsia="Arial Unicode MS" w:cs="Arial"/>
                <w:szCs w:val="22"/>
              </w:rPr>
              <w:t xml:space="preserve"> Attorneys</w:t>
            </w:r>
            <w:r w:rsidR="001E34E7">
              <w:rPr>
                <w:rFonts w:eastAsia="Arial Unicode MS" w:cs="Arial"/>
                <w:szCs w:val="22"/>
              </w:rPr>
              <w:t xml:space="preserve"> (Pretoria)</w:t>
            </w:r>
          </w:p>
          <w:p w14:paraId="03FBBB1A" w14:textId="26A15313" w:rsidR="009B62F7" w:rsidRPr="00C905EB" w:rsidRDefault="001E34E7" w:rsidP="0098739F">
            <w:pPr>
              <w:widowControl w:val="0"/>
              <w:spacing w:before="120" w:after="120"/>
              <w:jc w:val="right"/>
              <w:rPr>
                <w:rFonts w:eastAsia="Arial Unicode MS" w:cs="Arial"/>
                <w:szCs w:val="22"/>
              </w:rPr>
            </w:pPr>
            <w:proofErr w:type="spellStart"/>
            <w:r>
              <w:rPr>
                <w:rFonts w:eastAsia="Arial Unicode MS" w:cs="Arial"/>
                <w:szCs w:val="22"/>
              </w:rPr>
              <w:t>Mariba</w:t>
            </w:r>
            <w:proofErr w:type="spellEnd"/>
            <w:r>
              <w:rPr>
                <w:rFonts w:eastAsia="Arial Unicode MS" w:cs="Arial"/>
                <w:szCs w:val="22"/>
              </w:rPr>
              <w:t xml:space="preserve"> Attorneys (Johannesburg)</w:t>
            </w:r>
          </w:p>
        </w:tc>
      </w:tr>
      <w:tr w:rsidR="009B62F7" w:rsidRPr="0009745A" w14:paraId="2094B6A6" w14:textId="77777777" w:rsidTr="0098739F">
        <w:tc>
          <w:tcPr>
            <w:tcW w:w="4508" w:type="dxa"/>
          </w:tcPr>
          <w:p w14:paraId="660EE22E" w14:textId="56E71993" w:rsidR="009B62F7" w:rsidRPr="0009745A" w:rsidRDefault="009B62F7" w:rsidP="00C45125">
            <w:pPr>
              <w:widowControl w:val="0"/>
              <w:spacing w:before="120" w:after="120"/>
              <w:jc w:val="both"/>
              <w:rPr>
                <w:rFonts w:eastAsia="Arial Unicode MS" w:cs="Arial"/>
                <w:b/>
                <w:bCs/>
                <w:szCs w:val="22"/>
              </w:rPr>
            </w:pPr>
            <w:r w:rsidRPr="0009745A">
              <w:rPr>
                <w:rFonts w:cs="Arial"/>
                <w:szCs w:val="22"/>
              </w:rPr>
              <w:t>COUNSEL FOR TH</w:t>
            </w:r>
            <w:r w:rsidR="00870ECF">
              <w:rPr>
                <w:rFonts w:cs="Arial"/>
                <w:szCs w:val="22"/>
              </w:rPr>
              <w:t xml:space="preserve">E </w:t>
            </w:r>
            <w:r w:rsidR="00C45125">
              <w:rPr>
                <w:rFonts w:eastAsia="Arial Unicode MS" w:cs="Arial"/>
                <w:szCs w:val="22"/>
              </w:rPr>
              <w:t>RESPONDENT</w:t>
            </w:r>
            <w:r w:rsidR="00502CBC" w:rsidRPr="00502CBC">
              <w:rPr>
                <w:rFonts w:eastAsia="Arial Unicode MS" w:cs="Arial"/>
                <w:szCs w:val="22"/>
              </w:rPr>
              <w:t>:</w:t>
            </w:r>
          </w:p>
        </w:tc>
        <w:tc>
          <w:tcPr>
            <w:tcW w:w="4508" w:type="dxa"/>
          </w:tcPr>
          <w:p w14:paraId="6407F6D2" w14:textId="093345E8" w:rsidR="00C45125" w:rsidRPr="00C905EB" w:rsidRDefault="007B2053" w:rsidP="007B2053">
            <w:pPr>
              <w:autoSpaceDE w:val="0"/>
              <w:autoSpaceDN w:val="0"/>
              <w:adjustRightInd w:val="0"/>
              <w:spacing w:before="120" w:after="120"/>
              <w:jc w:val="right"/>
              <w:rPr>
                <w:rFonts w:eastAsia="Arial Unicode MS" w:cs="Arial"/>
                <w:szCs w:val="22"/>
              </w:rPr>
            </w:pPr>
            <w:r>
              <w:rPr>
                <w:rFonts w:eastAsia="Arial Unicode MS" w:cs="Arial"/>
                <w:szCs w:val="22"/>
              </w:rPr>
              <w:t xml:space="preserve">D Van </w:t>
            </w:r>
            <w:proofErr w:type="spellStart"/>
            <w:r>
              <w:rPr>
                <w:rFonts w:eastAsia="Arial Unicode MS" w:cs="Arial"/>
                <w:szCs w:val="22"/>
              </w:rPr>
              <w:t>Niekerk</w:t>
            </w:r>
            <w:proofErr w:type="spellEnd"/>
          </w:p>
        </w:tc>
      </w:tr>
      <w:tr w:rsidR="009B62F7" w:rsidRPr="0009745A" w14:paraId="78D0B5E2" w14:textId="77777777" w:rsidTr="0098739F">
        <w:tc>
          <w:tcPr>
            <w:tcW w:w="4508" w:type="dxa"/>
          </w:tcPr>
          <w:p w14:paraId="042FC86A" w14:textId="24C629D6" w:rsidR="009B62F7" w:rsidRPr="0009745A" w:rsidRDefault="009B62F7" w:rsidP="0098739F">
            <w:pPr>
              <w:widowControl w:val="0"/>
              <w:spacing w:before="120" w:after="120"/>
              <w:jc w:val="both"/>
              <w:rPr>
                <w:rFonts w:eastAsia="Arial Unicode MS" w:cs="Arial"/>
                <w:b/>
                <w:bCs/>
                <w:szCs w:val="22"/>
              </w:rPr>
            </w:pPr>
            <w:r w:rsidRPr="0009745A">
              <w:rPr>
                <w:rFonts w:cs="Arial"/>
                <w:szCs w:val="22"/>
              </w:rPr>
              <w:t>INSTRUCTED BY:</w:t>
            </w:r>
          </w:p>
        </w:tc>
        <w:tc>
          <w:tcPr>
            <w:tcW w:w="4508" w:type="dxa"/>
          </w:tcPr>
          <w:p w14:paraId="38283046" w14:textId="40302976" w:rsidR="0015037C" w:rsidRPr="00C905EB" w:rsidRDefault="007B2053" w:rsidP="0098739F">
            <w:pPr>
              <w:widowControl w:val="0"/>
              <w:spacing w:before="120" w:after="120"/>
              <w:jc w:val="right"/>
              <w:rPr>
                <w:rFonts w:eastAsia="Arial Unicode MS" w:cs="Arial"/>
                <w:szCs w:val="22"/>
              </w:rPr>
            </w:pPr>
            <w:proofErr w:type="spellStart"/>
            <w:r>
              <w:rPr>
                <w:rFonts w:eastAsia="Arial Unicode MS" w:cs="Arial"/>
                <w:szCs w:val="22"/>
              </w:rPr>
              <w:t>Cliffe</w:t>
            </w:r>
            <w:proofErr w:type="spellEnd"/>
            <w:r>
              <w:rPr>
                <w:rFonts w:eastAsia="Arial Unicode MS" w:cs="Arial"/>
                <w:szCs w:val="22"/>
              </w:rPr>
              <w:t xml:space="preserve"> Dekker </w:t>
            </w:r>
            <w:proofErr w:type="spellStart"/>
            <w:r>
              <w:rPr>
                <w:rFonts w:eastAsia="Arial Unicode MS" w:cs="Arial"/>
                <w:szCs w:val="22"/>
              </w:rPr>
              <w:t>Hofmeyr</w:t>
            </w:r>
            <w:proofErr w:type="spellEnd"/>
            <w:r>
              <w:rPr>
                <w:rFonts w:eastAsia="Arial Unicode MS" w:cs="Arial"/>
                <w:szCs w:val="22"/>
              </w:rPr>
              <w:t xml:space="preserve"> </w:t>
            </w:r>
            <w:proofErr w:type="spellStart"/>
            <w:r>
              <w:rPr>
                <w:rFonts w:eastAsia="Arial Unicode MS" w:cs="Arial"/>
                <w:szCs w:val="22"/>
              </w:rPr>
              <w:t>Inc</w:t>
            </w:r>
            <w:proofErr w:type="spellEnd"/>
          </w:p>
        </w:tc>
      </w:tr>
      <w:tr w:rsidR="009B62F7" w:rsidRPr="0009745A" w14:paraId="4AAB18B9" w14:textId="77777777" w:rsidTr="0098739F">
        <w:tc>
          <w:tcPr>
            <w:tcW w:w="4508" w:type="dxa"/>
          </w:tcPr>
          <w:p w14:paraId="79DE91BD" w14:textId="2E42E4A5" w:rsidR="009B62F7" w:rsidRPr="0009745A" w:rsidRDefault="0098739F" w:rsidP="0098739F">
            <w:pPr>
              <w:widowControl w:val="0"/>
              <w:spacing w:before="120" w:after="120"/>
              <w:jc w:val="both"/>
              <w:rPr>
                <w:rFonts w:eastAsia="Arial Unicode MS" w:cs="Arial"/>
                <w:b/>
                <w:bCs/>
                <w:szCs w:val="22"/>
              </w:rPr>
            </w:pPr>
            <w:r w:rsidRPr="0009745A">
              <w:rPr>
                <w:rFonts w:cs="Arial"/>
                <w:szCs w:val="22"/>
              </w:rPr>
              <w:t>DATE OF THE HEARING:</w:t>
            </w:r>
          </w:p>
        </w:tc>
        <w:tc>
          <w:tcPr>
            <w:tcW w:w="4508" w:type="dxa"/>
          </w:tcPr>
          <w:p w14:paraId="6A89FC90" w14:textId="6DE2CDAD" w:rsidR="009B62F7" w:rsidRPr="00C905EB" w:rsidRDefault="001E34E7" w:rsidP="0098739F">
            <w:pPr>
              <w:widowControl w:val="0"/>
              <w:spacing w:before="120" w:after="120"/>
              <w:jc w:val="right"/>
              <w:rPr>
                <w:rFonts w:eastAsia="Arial Unicode MS" w:cs="Arial"/>
                <w:szCs w:val="22"/>
              </w:rPr>
            </w:pPr>
            <w:r>
              <w:rPr>
                <w:rFonts w:eastAsia="Arial Unicode MS" w:cs="Arial"/>
                <w:szCs w:val="22"/>
              </w:rPr>
              <w:t xml:space="preserve">22 &amp; </w:t>
            </w:r>
            <w:r w:rsidR="00B25714">
              <w:rPr>
                <w:rFonts w:eastAsia="Arial Unicode MS" w:cs="Arial"/>
                <w:szCs w:val="22"/>
              </w:rPr>
              <w:t>2</w:t>
            </w:r>
            <w:r w:rsidR="007B2053">
              <w:rPr>
                <w:rFonts w:eastAsia="Arial Unicode MS" w:cs="Arial"/>
                <w:szCs w:val="22"/>
              </w:rPr>
              <w:t>5</w:t>
            </w:r>
            <w:r w:rsidR="00B25714">
              <w:rPr>
                <w:rFonts w:eastAsia="Arial Unicode MS" w:cs="Arial"/>
                <w:szCs w:val="22"/>
              </w:rPr>
              <w:t xml:space="preserve"> </w:t>
            </w:r>
            <w:r w:rsidR="007B2053">
              <w:rPr>
                <w:rFonts w:eastAsia="Arial Unicode MS" w:cs="Arial"/>
                <w:szCs w:val="22"/>
              </w:rPr>
              <w:t>May</w:t>
            </w:r>
            <w:r w:rsidR="00F2485C">
              <w:rPr>
                <w:rFonts w:eastAsia="Arial Unicode MS" w:cs="Arial"/>
                <w:szCs w:val="22"/>
              </w:rPr>
              <w:t xml:space="preserve"> 2023</w:t>
            </w:r>
          </w:p>
        </w:tc>
      </w:tr>
      <w:tr w:rsidR="0098739F" w:rsidRPr="0009745A" w14:paraId="32221BF2" w14:textId="77777777" w:rsidTr="0098739F">
        <w:tc>
          <w:tcPr>
            <w:tcW w:w="4508" w:type="dxa"/>
          </w:tcPr>
          <w:p w14:paraId="0EFD4A3E" w14:textId="0FD2ACFD" w:rsidR="0098739F" w:rsidRPr="0009745A" w:rsidRDefault="0098739F" w:rsidP="0098739F">
            <w:pPr>
              <w:widowControl w:val="0"/>
              <w:spacing w:before="120" w:after="120"/>
              <w:jc w:val="both"/>
              <w:rPr>
                <w:rFonts w:cs="Arial"/>
                <w:szCs w:val="22"/>
              </w:rPr>
            </w:pPr>
            <w:r w:rsidRPr="0009745A">
              <w:rPr>
                <w:rFonts w:cs="Arial"/>
                <w:szCs w:val="22"/>
              </w:rPr>
              <w:t>DATE OF JUDGMENT:</w:t>
            </w:r>
          </w:p>
        </w:tc>
        <w:tc>
          <w:tcPr>
            <w:tcW w:w="4508" w:type="dxa"/>
          </w:tcPr>
          <w:p w14:paraId="2615EC97" w14:textId="2D8C5A69" w:rsidR="0098739F" w:rsidRPr="00C905EB" w:rsidRDefault="00715433" w:rsidP="0098739F">
            <w:pPr>
              <w:widowControl w:val="0"/>
              <w:spacing w:before="120" w:after="120"/>
              <w:jc w:val="right"/>
              <w:rPr>
                <w:rFonts w:cs="Arial"/>
                <w:szCs w:val="22"/>
              </w:rPr>
            </w:pPr>
            <w:r>
              <w:rPr>
                <w:rFonts w:cs="Arial"/>
                <w:szCs w:val="22"/>
              </w:rPr>
              <w:t>1</w:t>
            </w:r>
            <w:r w:rsidR="000C1921">
              <w:rPr>
                <w:rFonts w:cs="Arial"/>
                <w:szCs w:val="22"/>
              </w:rPr>
              <w:t>4</w:t>
            </w:r>
            <w:r w:rsidR="007B2053">
              <w:rPr>
                <w:rFonts w:cs="Arial"/>
                <w:szCs w:val="22"/>
              </w:rPr>
              <w:t xml:space="preserve"> June</w:t>
            </w:r>
            <w:r w:rsidR="00F2485C">
              <w:rPr>
                <w:rFonts w:cs="Arial"/>
                <w:szCs w:val="22"/>
              </w:rPr>
              <w:t xml:space="preserve"> 2023</w:t>
            </w:r>
          </w:p>
        </w:tc>
      </w:tr>
    </w:tbl>
    <w:p w14:paraId="6D7F3969" w14:textId="76A86C9F" w:rsidR="00A675FB" w:rsidRPr="0009745A" w:rsidRDefault="00A675FB" w:rsidP="00B9328E">
      <w:pPr>
        <w:widowControl w:val="0"/>
        <w:spacing w:after="200" w:line="360" w:lineRule="auto"/>
        <w:contextualSpacing/>
        <w:jc w:val="both"/>
        <w:rPr>
          <w:rFonts w:cs="Arial"/>
          <w:szCs w:val="22"/>
        </w:rPr>
      </w:pPr>
    </w:p>
    <w:sectPr w:rsidR="00A675FB" w:rsidRPr="0009745A" w:rsidSect="00A675FB">
      <w:head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193FD" w14:textId="77777777" w:rsidR="00B731C4" w:rsidRDefault="00B731C4">
      <w:r>
        <w:separator/>
      </w:r>
    </w:p>
  </w:endnote>
  <w:endnote w:type="continuationSeparator" w:id="0">
    <w:p w14:paraId="646E7F8A" w14:textId="77777777" w:rsidR="00B731C4" w:rsidRDefault="00B7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A639C" w14:textId="77777777" w:rsidR="00B731C4" w:rsidRDefault="00B731C4">
      <w:r>
        <w:separator/>
      </w:r>
    </w:p>
  </w:footnote>
  <w:footnote w:type="continuationSeparator" w:id="0">
    <w:p w14:paraId="69EE9FE0" w14:textId="77777777" w:rsidR="00B731C4" w:rsidRDefault="00B731C4">
      <w:r>
        <w:continuationSeparator/>
      </w:r>
    </w:p>
  </w:footnote>
  <w:footnote w:id="1">
    <w:p w14:paraId="17170320" w14:textId="07F2B6C4" w:rsidR="009A0C8C" w:rsidRDefault="009A0C8C" w:rsidP="00C20795">
      <w:pPr>
        <w:pStyle w:val="FootnoteText"/>
        <w:jc w:val="both"/>
      </w:pPr>
      <w:r>
        <w:rPr>
          <w:rStyle w:val="FootnoteReference"/>
        </w:rPr>
        <w:footnoteRef/>
      </w:r>
      <w:r>
        <w:t xml:space="preserve"> </w:t>
      </w:r>
      <w:r>
        <w:tab/>
        <w:t xml:space="preserve">See </w:t>
      </w:r>
      <w:proofErr w:type="spellStart"/>
      <w:r w:rsidRPr="008053CF">
        <w:t>Cilliers</w:t>
      </w:r>
      <w:proofErr w:type="spellEnd"/>
      <w:r w:rsidRPr="008053CF">
        <w:t xml:space="preserve">, Loots and </w:t>
      </w:r>
      <w:proofErr w:type="spellStart"/>
      <w:r w:rsidRPr="008053CF">
        <w:t>Nel</w:t>
      </w:r>
      <w:proofErr w:type="spellEnd"/>
      <w:r w:rsidRPr="008053CF">
        <w:t xml:space="preserve"> </w:t>
      </w:r>
      <w:proofErr w:type="spellStart"/>
      <w:r w:rsidRPr="008053CF">
        <w:rPr>
          <w:i/>
          <w:iCs/>
        </w:rPr>
        <w:t>Herbstein</w:t>
      </w:r>
      <w:proofErr w:type="spellEnd"/>
      <w:r w:rsidRPr="008053CF">
        <w:rPr>
          <w:i/>
          <w:iCs/>
        </w:rPr>
        <w:t xml:space="preserve"> and Van </w:t>
      </w:r>
      <w:proofErr w:type="spellStart"/>
      <w:r w:rsidRPr="008053CF">
        <w:rPr>
          <w:i/>
          <w:iCs/>
        </w:rPr>
        <w:t>Winsen</w:t>
      </w:r>
      <w:proofErr w:type="spellEnd"/>
      <w:r w:rsidRPr="008053CF">
        <w:rPr>
          <w:i/>
          <w:iCs/>
        </w:rPr>
        <w:t>: Civil Practice of the High Courts and the Supreme Court of Appeal of South Africa</w:t>
      </w:r>
      <w:r>
        <w:rPr>
          <w:i/>
          <w:iCs/>
        </w:rPr>
        <w:t>,</w:t>
      </w:r>
      <w:r w:rsidRPr="008053CF">
        <w:t xml:space="preserve"> 2009, </w:t>
      </w:r>
      <w:r>
        <w:t>p 23-39 and 40.</w:t>
      </w:r>
    </w:p>
  </w:footnote>
  <w:footnote w:id="2">
    <w:p w14:paraId="1FEB1F5A" w14:textId="77229826" w:rsidR="007262CD" w:rsidRPr="00E425FF" w:rsidRDefault="007262CD" w:rsidP="00C20795">
      <w:pPr>
        <w:pStyle w:val="FootnoteText"/>
        <w:jc w:val="both"/>
        <w:rPr>
          <w:rFonts w:cs="Arial"/>
          <w:color w:val="000000" w:themeColor="text1"/>
        </w:rPr>
      </w:pPr>
      <w:r>
        <w:rPr>
          <w:rStyle w:val="FootnoteReference"/>
        </w:rPr>
        <w:footnoteRef/>
      </w:r>
      <w:r>
        <w:t xml:space="preserve"> </w:t>
      </w:r>
      <w:r>
        <w:tab/>
      </w:r>
      <w:proofErr w:type="spellStart"/>
      <w:r w:rsidR="00DB1DA5" w:rsidRPr="00E73BA6">
        <w:rPr>
          <w:i/>
          <w:iCs/>
        </w:rPr>
        <w:t>Pansolutions</w:t>
      </w:r>
      <w:proofErr w:type="spellEnd"/>
      <w:r w:rsidR="00DB1DA5" w:rsidRPr="00E73BA6">
        <w:rPr>
          <w:i/>
          <w:iCs/>
        </w:rPr>
        <w:t xml:space="preserve"> Holdings Ltd v P&amp;G General Dealers &amp; Repairers CC</w:t>
      </w:r>
      <w:r w:rsidR="00DB1DA5">
        <w:t xml:space="preserve"> 2</w:t>
      </w:r>
      <w:r w:rsidR="00DB1DA5" w:rsidRPr="00E73BA6">
        <w:t>011</w:t>
      </w:r>
      <w:r w:rsidR="00DB1DA5">
        <w:t xml:space="preserve"> </w:t>
      </w:r>
      <w:r w:rsidR="00DB1DA5" w:rsidRPr="00E73BA6">
        <w:t>(5)</w:t>
      </w:r>
      <w:r w:rsidR="00DB1DA5">
        <w:t xml:space="preserve"> </w:t>
      </w:r>
      <w:r w:rsidR="00DB1DA5" w:rsidRPr="00E73BA6">
        <w:t>SA</w:t>
      </w:r>
      <w:r w:rsidR="00DB1DA5">
        <w:t xml:space="preserve"> </w:t>
      </w:r>
      <w:r w:rsidR="00DB1DA5" w:rsidRPr="00E73BA6">
        <w:t>608</w:t>
      </w:r>
      <w:r w:rsidR="00DB1DA5">
        <w:t xml:space="preserve"> </w:t>
      </w:r>
      <w:r w:rsidR="00DB1DA5" w:rsidRPr="00E73BA6">
        <w:t>(KZD)</w:t>
      </w:r>
      <w:r>
        <w:t xml:space="preserve"> para 11</w:t>
      </w:r>
      <w:r w:rsidR="00DF2208">
        <w:t>, a</w:t>
      </w:r>
      <w:r w:rsidR="00C501EB">
        <w:rPr>
          <w:rFonts w:cs="Arial"/>
          <w:color w:val="000000" w:themeColor="text1"/>
        </w:rPr>
        <w:t xml:space="preserve">lso reported at </w:t>
      </w:r>
      <w:r w:rsidR="00C501EB" w:rsidRPr="00F25F93">
        <w:rPr>
          <w:lang w:eastAsia="en-ZA"/>
        </w:rPr>
        <w:t>[2011] JOL 26977 (KZD)</w:t>
      </w:r>
      <w:r w:rsidR="00C501EB">
        <w:rPr>
          <w:lang w:eastAsia="en-ZA"/>
        </w:rPr>
        <w:t>.</w:t>
      </w:r>
    </w:p>
  </w:footnote>
  <w:footnote w:id="3">
    <w:p w14:paraId="6C355376" w14:textId="15B41FAF" w:rsidR="00C501EB" w:rsidRDefault="00C501EB" w:rsidP="00C20795">
      <w:pPr>
        <w:pStyle w:val="FootnoteText"/>
        <w:jc w:val="both"/>
      </w:pPr>
      <w:r>
        <w:rPr>
          <w:rStyle w:val="FootnoteReference"/>
        </w:rPr>
        <w:footnoteRef/>
      </w:r>
      <w:r>
        <w:t xml:space="preserve"> </w:t>
      </w:r>
      <w:r>
        <w:tab/>
      </w:r>
      <w:r w:rsidRPr="00E425FF">
        <w:rPr>
          <w:rFonts w:cs="Arial"/>
          <w:color w:val="000000" w:themeColor="text1"/>
        </w:rPr>
        <w:t xml:space="preserve">Contra </w:t>
      </w:r>
      <w:r w:rsidRPr="00E425FF">
        <w:rPr>
          <w:rFonts w:cs="Arial"/>
          <w:i/>
          <w:iCs/>
          <w:color w:val="000000" w:themeColor="text1"/>
          <w:lang w:eastAsia="en-ZA"/>
        </w:rPr>
        <w:t xml:space="preserve">Bloemfontein Board Nominees Ltd v Benbrook </w:t>
      </w:r>
      <w:r w:rsidRPr="00E425FF">
        <w:rPr>
          <w:rFonts w:cs="Arial"/>
          <w:color w:val="000000" w:themeColor="text1"/>
          <w:lang w:eastAsia="en-ZA"/>
        </w:rPr>
        <w:t>1996 (1) SA 631 (O) 633H – I</w:t>
      </w:r>
      <w:r w:rsidR="00DF2208">
        <w:rPr>
          <w:rFonts w:cs="Arial"/>
          <w:color w:val="000000" w:themeColor="text1"/>
          <w:lang w:eastAsia="en-ZA"/>
        </w:rPr>
        <w:t>, a</w:t>
      </w:r>
      <w:r w:rsidR="004B383D">
        <w:rPr>
          <w:rFonts w:cs="Arial"/>
          <w:color w:val="000000" w:themeColor="text1"/>
          <w:lang w:eastAsia="en-ZA"/>
        </w:rPr>
        <w:t xml:space="preserve">lso reported at </w:t>
      </w:r>
      <w:r w:rsidR="004B383D" w:rsidRPr="00D7254F">
        <w:t>[</w:t>
      </w:r>
      <w:proofErr w:type="gramStart"/>
      <w:r w:rsidR="004B383D" w:rsidRPr="00D7254F">
        <w:rPr>
          <w:lang w:eastAsia="en-ZA"/>
        </w:rPr>
        <w:t>1996 ]</w:t>
      </w:r>
      <w:proofErr w:type="gramEnd"/>
      <w:r w:rsidR="004B383D" w:rsidRPr="00D7254F">
        <w:rPr>
          <w:lang w:eastAsia="en-ZA"/>
        </w:rPr>
        <w:t xml:space="preserve"> 2 All SA 79 (O)</w:t>
      </w:r>
      <w:r w:rsidR="004B383D">
        <w:rPr>
          <w:lang w:eastAsia="en-ZA"/>
        </w:rPr>
        <w:t xml:space="preserve">. The </w:t>
      </w:r>
      <w:r w:rsidR="004B383D" w:rsidRPr="004B383D">
        <w:rPr>
          <w:i/>
          <w:iCs/>
          <w:lang w:eastAsia="en-ZA"/>
        </w:rPr>
        <w:t>Benbrook</w:t>
      </w:r>
      <w:r w:rsidR="004B383D">
        <w:rPr>
          <w:lang w:eastAsia="en-ZA"/>
        </w:rPr>
        <w:t xml:space="preserve"> judgment was given in an unopposed application</w:t>
      </w:r>
      <w:r w:rsidR="001C3CF6">
        <w:rPr>
          <w:lang w:eastAsia="en-ZA"/>
        </w:rPr>
        <w:t xml:space="preserve"> by the </w:t>
      </w:r>
      <w:r w:rsidR="001C3CF6" w:rsidRPr="00C20795">
        <w:rPr>
          <w:i/>
          <w:iCs/>
          <w:lang w:eastAsia="en-ZA"/>
        </w:rPr>
        <w:t>plaintiff</w:t>
      </w:r>
      <w:r w:rsidR="001C3CF6">
        <w:rPr>
          <w:lang w:eastAsia="en-ZA"/>
        </w:rPr>
        <w:t xml:space="preserve"> who had set the matter down for reconsideration,</w:t>
      </w:r>
      <w:r w:rsidR="004B383D">
        <w:rPr>
          <w:lang w:eastAsia="en-ZA"/>
        </w:rPr>
        <w:t xml:space="preserve"> and was </w:t>
      </w:r>
      <w:r w:rsidR="001C3CF6">
        <w:rPr>
          <w:lang w:eastAsia="en-ZA"/>
        </w:rPr>
        <w:t>criticised</w:t>
      </w:r>
      <w:r w:rsidR="004B383D">
        <w:rPr>
          <w:lang w:eastAsia="en-ZA"/>
        </w:rPr>
        <w:t xml:space="preserve"> by Swain J in </w:t>
      </w:r>
      <w:proofErr w:type="spellStart"/>
      <w:r w:rsidR="004B383D" w:rsidRPr="004B383D">
        <w:rPr>
          <w:i/>
          <w:iCs/>
          <w:lang w:eastAsia="en-ZA"/>
        </w:rPr>
        <w:t>Pansolutions</w:t>
      </w:r>
      <w:proofErr w:type="spellEnd"/>
      <w:r w:rsidR="001C3CF6">
        <w:rPr>
          <w:i/>
          <w:iCs/>
          <w:lang w:eastAsia="en-ZA"/>
        </w:rPr>
        <w:t>.</w:t>
      </w:r>
      <w:r w:rsidR="009A0C8C">
        <w:rPr>
          <w:lang w:eastAsia="en-ZA"/>
        </w:rPr>
        <w:t xml:space="preserve"> </w:t>
      </w:r>
      <w:r w:rsidR="001C3CF6">
        <w:rPr>
          <w:lang w:eastAsia="en-ZA"/>
        </w:rPr>
        <w:t>T</w:t>
      </w:r>
      <w:r w:rsidR="009A0C8C">
        <w:rPr>
          <w:lang w:eastAsia="en-ZA"/>
        </w:rPr>
        <w:t xml:space="preserve">he latter case was followed in the Gauteng Division in </w:t>
      </w:r>
      <w:proofErr w:type="spellStart"/>
      <w:r w:rsidR="001C3CF6" w:rsidRPr="009D22E0">
        <w:rPr>
          <w:i/>
          <w:iCs/>
        </w:rPr>
        <w:t>Steenkamp</w:t>
      </w:r>
      <w:proofErr w:type="spellEnd"/>
      <w:r w:rsidR="001C3CF6" w:rsidRPr="009D22E0">
        <w:rPr>
          <w:i/>
          <w:iCs/>
        </w:rPr>
        <w:t xml:space="preserve"> v </w:t>
      </w:r>
      <w:proofErr w:type="spellStart"/>
      <w:r w:rsidR="001C3CF6" w:rsidRPr="009D22E0">
        <w:rPr>
          <w:i/>
          <w:iCs/>
        </w:rPr>
        <w:t>Sasfin</w:t>
      </w:r>
      <w:proofErr w:type="spellEnd"/>
      <w:r w:rsidR="001C3CF6" w:rsidRPr="009D22E0">
        <w:rPr>
          <w:i/>
          <w:iCs/>
        </w:rPr>
        <w:t xml:space="preserve"> Bank Limited and Another; In re </w:t>
      </w:r>
      <w:proofErr w:type="spellStart"/>
      <w:r w:rsidR="001C3CF6" w:rsidRPr="009D22E0">
        <w:rPr>
          <w:i/>
          <w:iCs/>
        </w:rPr>
        <w:t>Sasfin</w:t>
      </w:r>
      <w:proofErr w:type="spellEnd"/>
      <w:r w:rsidR="001C3CF6" w:rsidRPr="009D22E0">
        <w:rPr>
          <w:i/>
          <w:iCs/>
        </w:rPr>
        <w:t xml:space="preserve"> Bank Limited and Another v </w:t>
      </w:r>
      <w:proofErr w:type="spellStart"/>
      <w:r w:rsidR="001C3CF6" w:rsidRPr="009D22E0">
        <w:rPr>
          <w:i/>
          <w:iCs/>
        </w:rPr>
        <w:t>Steenkamp</w:t>
      </w:r>
      <w:proofErr w:type="spellEnd"/>
      <w:r w:rsidR="001C3CF6" w:rsidRPr="009D22E0">
        <w:rPr>
          <w:i/>
          <w:iCs/>
        </w:rPr>
        <w:t xml:space="preserve"> and Another</w:t>
      </w:r>
      <w:r w:rsidR="001C3CF6" w:rsidRPr="009D22E0">
        <w:t xml:space="preserve"> [2023] ZAGPPHC 99</w:t>
      </w:r>
      <w:r w:rsidR="008268FE">
        <w:t xml:space="preserve"> para 9</w:t>
      </w:r>
      <w:r w:rsidR="009A0C8C" w:rsidRPr="009A0C8C">
        <w:rPr>
          <w:lang w:eastAsia="en-ZA"/>
        </w:rPr>
        <w:t>.</w:t>
      </w:r>
      <w:r w:rsidR="001C3CF6">
        <w:rPr>
          <w:lang w:eastAsia="en-ZA"/>
        </w:rPr>
        <w:t xml:space="preserve"> See also </w:t>
      </w:r>
      <w:r w:rsidR="00C20795" w:rsidRPr="005C715A">
        <w:rPr>
          <w:i/>
          <w:iCs/>
        </w:rPr>
        <w:t>Pretorius and Others v Iliad Africa Trading (Pty) Ltd</w:t>
      </w:r>
      <w:r w:rsidR="00C20795" w:rsidRPr="005C715A">
        <w:t xml:space="preserve"> [2017] ZAFSHC 85</w:t>
      </w:r>
      <w:r w:rsidR="00C20795">
        <w:t xml:space="preserve"> para 4 and </w:t>
      </w:r>
      <w:r w:rsidR="001C3CF6" w:rsidRPr="004B3FB4">
        <w:rPr>
          <w:i/>
          <w:iCs/>
        </w:rPr>
        <w:t xml:space="preserve">SA Taxi Impact Fund (RF) (Pty) Limited v </w:t>
      </w:r>
      <w:proofErr w:type="spellStart"/>
      <w:r w:rsidR="001C3CF6" w:rsidRPr="004B3FB4">
        <w:rPr>
          <w:i/>
          <w:iCs/>
        </w:rPr>
        <w:t>Maluleka</w:t>
      </w:r>
      <w:proofErr w:type="spellEnd"/>
      <w:r w:rsidR="001C3CF6" w:rsidRPr="004B3FB4">
        <w:rPr>
          <w:i/>
          <w:iCs/>
        </w:rPr>
        <w:t xml:space="preserve">; SA Taxi Development Finance (Pty) Limited v </w:t>
      </w:r>
      <w:proofErr w:type="spellStart"/>
      <w:r w:rsidR="001C3CF6" w:rsidRPr="004B3FB4">
        <w:rPr>
          <w:i/>
          <w:iCs/>
        </w:rPr>
        <w:t>Ndaba</w:t>
      </w:r>
      <w:proofErr w:type="spellEnd"/>
      <w:r w:rsidR="001C3CF6" w:rsidRPr="004B3FB4">
        <w:rPr>
          <w:i/>
          <w:iCs/>
        </w:rPr>
        <w:t xml:space="preserve">; SA Taxi Finance Solutions (Pty) Limited v </w:t>
      </w:r>
      <w:proofErr w:type="spellStart"/>
      <w:r w:rsidR="001C3CF6" w:rsidRPr="004B3FB4">
        <w:rPr>
          <w:i/>
          <w:iCs/>
        </w:rPr>
        <w:t>Ngqukumba</w:t>
      </w:r>
      <w:proofErr w:type="spellEnd"/>
      <w:r w:rsidR="001C3CF6" w:rsidRPr="004B3FB4">
        <w:rPr>
          <w:i/>
          <w:iCs/>
        </w:rPr>
        <w:t xml:space="preserve">; </w:t>
      </w:r>
      <w:proofErr w:type="spellStart"/>
      <w:r w:rsidR="001C3CF6" w:rsidRPr="004B3FB4">
        <w:rPr>
          <w:i/>
          <w:iCs/>
        </w:rPr>
        <w:t>Potpale</w:t>
      </w:r>
      <w:proofErr w:type="spellEnd"/>
      <w:r w:rsidR="001C3CF6" w:rsidRPr="004B3FB4">
        <w:rPr>
          <w:i/>
          <w:iCs/>
        </w:rPr>
        <w:t xml:space="preserve"> Investments (Proprietary) Limited v </w:t>
      </w:r>
      <w:proofErr w:type="spellStart"/>
      <w:r w:rsidR="001C3CF6" w:rsidRPr="004B3FB4">
        <w:rPr>
          <w:i/>
          <w:iCs/>
        </w:rPr>
        <w:t>Ntong</w:t>
      </w:r>
      <w:proofErr w:type="spellEnd"/>
      <w:r w:rsidR="001C3CF6" w:rsidRPr="004B3FB4">
        <w:t xml:space="preserve"> [2020] ZAGPJHC 219</w:t>
      </w:r>
      <w:r w:rsidR="001C3CF6">
        <w:t xml:space="preserve"> par</w:t>
      </w:r>
      <w:r w:rsidR="008268FE">
        <w:t>as 14 and 19</w:t>
      </w:r>
      <w:r w:rsidR="001C3CF6">
        <w:t>.</w:t>
      </w:r>
    </w:p>
  </w:footnote>
  <w:footnote w:id="4">
    <w:p w14:paraId="3BDAF537" w14:textId="19BDF9B8" w:rsidR="00C20795" w:rsidRDefault="00C20795">
      <w:pPr>
        <w:pStyle w:val="FootnoteText"/>
      </w:pPr>
      <w:r>
        <w:rPr>
          <w:rStyle w:val="FootnoteReference"/>
        </w:rPr>
        <w:footnoteRef/>
      </w:r>
      <w:r>
        <w:t xml:space="preserve"> </w:t>
      </w:r>
      <w:r>
        <w:tab/>
      </w:r>
      <w:r>
        <w:rPr>
          <w:rFonts w:cs="Arial"/>
          <w:bCs/>
          <w:szCs w:val="22"/>
        </w:rPr>
        <w:t>The 20-day time period apply in Rule 31(2) and (5) in the Rules and the common law requirement that applications must be brought within a reasonable time.</w:t>
      </w:r>
    </w:p>
  </w:footnote>
  <w:footnote w:id="5">
    <w:p w14:paraId="06B622A5" w14:textId="5EF0DC32" w:rsidR="008268FE" w:rsidRDefault="008268FE" w:rsidP="00C20795">
      <w:pPr>
        <w:pStyle w:val="FootnoteText"/>
        <w:jc w:val="both"/>
      </w:pPr>
      <w:r>
        <w:rPr>
          <w:rStyle w:val="FootnoteReference"/>
        </w:rPr>
        <w:footnoteRef/>
      </w:r>
      <w:r>
        <w:t xml:space="preserve"> </w:t>
      </w:r>
      <w:r>
        <w:tab/>
      </w:r>
      <w:r w:rsidRPr="005C715A">
        <w:rPr>
          <w:i/>
          <w:iCs/>
        </w:rPr>
        <w:t>Pretorius and Others v Iliad Africa Trading (Pty) Ltd</w:t>
      </w:r>
      <w:r w:rsidRPr="005C715A">
        <w:t xml:space="preserve"> [2017] ZAFSHC 85</w:t>
      </w:r>
      <w:r>
        <w:t xml:space="preserve"> para 4.</w:t>
      </w:r>
    </w:p>
  </w:footnote>
  <w:footnote w:id="6">
    <w:p w14:paraId="2E537A9D" w14:textId="38F0C873" w:rsidR="00C20795" w:rsidRPr="00D53744" w:rsidRDefault="00C20795" w:rsidP="00C20795">
      <w:pPr>
        <w:pStyle w:val="FootnoteText"/>
        <w:jc w:val="both"/>
      </w:pPr>
      <w:r>
        <w:rPr>
          <w:rStyle w:val="FootnoteReference"/>
        </w:rPr>
        <w:footnoteRef/>
      </w:r>
      <w:r>
        <w:t xml:space="preserve"> </w:t>
      </w:r>
      <w:r w:rsidRPr="00D53744">
        <w:tab/>
      </w:r>
      <w:r w:rsidRPr="00D53744">
        <w:rPr>
          <w:rFonts w:cs="Arial"/>
          <w:bCs/>
        </w:rPr>
        <w:t xml:space="preserve">See the cases referred to by </w:t>
      </w:r>
      <w:r w:rsidRPr="00D53744">
        <w:t xml:space="preserve">Van </w:t>
      </w:r>
      <w:proofErr w:type="spellStart"/>
      <w:r w:rsidRPr="00D53744">
        <w:t>Loggerenberg</w:t>
      </w:r>
      <w:proofErr w:type="spellEnd"/>
      <w:r w:rsidRPr="00D53744">
        <w:t xml:space="preserve"> and Bertelsmann </w:t>
      </w:r>
      <w:r w:rsidRPr="00D53744">
        <w:rPr>
          <w:i/>
          <w:iCs/>
        </w:rPr>
        <w:t>Erasmus: Superior Court Practice</w:t>
      </w:r>
      <w:r w:rsidRPr="00D53744">
        <w:t xml:space="preserve"> 2022</w:t>
      </w:r>
      <w:r>
        <w:t>,</w:t>
      </w:r>
      <w:r w:rsidRPr="00D53744">
        <w:rPr>
          <w:rFonts w:cs="Arial"/>
          <w:bCs/>
        </w:rPr>
        <w:t xml:space="preserve"> </w:t>
      </w:r>
      <w:proofErr w:type="spellStart"/>
      <w:r>
        <w:rPr>
          <w:rFonts w:cs="Arial"/>
          <w:bCs/>
        </w:rPr>
        <w:t>Vol</w:t>
      </w:r>
      <w:proofErr w:type="spellEnd"/>
      <w:r>
        <w:rPr>
          <w:rFonts w:cs="Arial"/>
          <w:bCs/>
        </w:rPr>
        <w:t xml:space="preserve"> 2, </w:t>
      </w:r>
      <w:proofErr w:type="gramStart"/>
      <w:r w:rsidRPr="00D53744">
        <w:rPr>
          <w:rFonts w:cs="Arial"/>
          <w:bCs/>
        </w:rPr>
        <w:t>D1</w:t>
      </w:r>
      <w:proofErr w:type="gramEnd"/>
      <w:r>
        <w:rPr>
          <w:rFonts w:cs="Arial"/>
          <w:bCs/>
        </w:rPr>
        <w:t xml:space="preserve">-564 to </w:t>
      </w:r>
      <w:r w:rsidRPr="00D53744">
        <w:rPr>
          <w:rFonts w:cs="Arial"/>
          <w:bCs/>
        </w:rPr>
        <w:t>565</w:t>
      </w:r>
      <w:r>
        <w:rPr>
          <w:rFonts w:cs="Arial"/>
          <w:bCs/>
        </w:rPr>
        <w:t>, footnotes 33 and 49.</w:t>
      </w:r>
    </w:p>
  </w:footnote>
  <w:footnote w:id="7">
    <w:p w14:paraId="5393B7AB" w14:textId="77777777" w:rsidR="00C20795" w:rsidRPr="00D53744" w:rsidRDefault="00C20795" w:rsidP="00C20795">
      <w:pPr>
        <w:pStyle w:val="FootnoteText"/>
        <w:jc w:val="both"/>
      </w:pPr>
      <w:r w:rsidRPr="00D53744">
        <w:rPr>
          <w:rStyle w:val="FootnoteReference"/>
        </w:rPr>
        <w:footnoteRef/>
      </w:r>
      <w:r w:rsidRPr="00D53744">
        <w:t xml:space="preserve"> </w:t>
      </w:r>
      <w:r w:rsidRPr="00D53744">
        <w:tab/>
      </w:r>
      <w:r w:rsidRPr="00D53744">
        <w:rPr>
          <w:rFonts w:cs="Arial"/>
          <w:i/>
          <w:iCs/>
          <w:color w:val="000000" w:themeColor="text1"/>
          <w:shd w:val="clear" w:color="auto" w:fill="FFFFFF"/>
        </w:rPr>
        <w:t>Grant v Plumbers (Pty) Ltd</w:t>
      </w:r>
      <w:r w:rsidRPr="00D53744">
        <w:rPr>
          <w:rFonts w:cs="Arial"/>
          <w:color w:val="000000" w:themeColor="text1"/>
          <w:shd w:val="clear" w:color="auto" w:fill="FFFFFF"/>
        </w:rPr>
        <w:t> </w:t>
      </w:r>
      <w:hyperlink r:id="rId1" w:anchor="unresolved-internal/scpr-SCPR_492470" w:history="1">
        <w:r w:rsidRPr="00D53744">
          <w:rPr>
            <w:rStyle w:val="Hyperlink"/>
            <w:rFonts w:cs="Arial"/>
            <w:color w:val="000000" w:themeColor="text1"/>
            <w:u w:val="none"/>
            <w:shd w:val="clear" w:color="auto" w:fill="FFFFFF"/>
          </w:rPr>
          <w:t>1949 (2) SA 470 (O)</w:t>
        </w:r>
      </w:hyperlink>
      <w:r w:rsidRPr="00D53744">
        <w:rPr>
          <w:rFonts w:cs="Arial"/>
          <w:color w:val="000000" w:themeColor="text1"/>
          <w:shd w:val="clear" w:color="auto" w:fill="FFFFFF"/>
        </w:rPr>
        <w:t xml:space="preserve"> 476–7.</w:t>
      </w:r>
    </w:p>
  </w:footnote>
  <w:footnote w:id="8">
    <w:p w14:paraId="64FA04C5" w14:textId="77777777" w:rsidR="00C20795" w:rsidRPr="00D53744" w:rsidRDefault="00C20795" w:rsidP="00C20795">
      <w:pPr>
        <w:pStyle w:val="FootnoteText"/>
        <w:jc w:val="both"/>
      </w:pPr>
      <w:r w:rsidRPr="00D53744">
        <w:rPr>
          <w:rStyle w:val="FootnoteReference"/>
        </w:rPr>
        <w:footnoteRef/>
      </w:r>
      <w:r w:rsidRPr="00D53744">
        <w:t xml:space="preserve"> </w:t>
      </w:r>
      <w:r w:rsidRPr="00D53744">
        <w:tab/>
        <w:t>Rule 43 (O.F.S.).</w:t>
      </w:r>
    </w:p>
  </w:footnote>
  <w:footnote w:id="9">
    <w:p w14:paraId="6695D7C0" w14:textId="77777777" w:rsidR="00C20795" w:rsidRPr="00530C11" w:rsidRDefault="00C20795" w:rsidP="00C20795">
      <w:pPr>
        <w:pStyle w:val="FootnoteText"/>
        <w:jc w:val="both"/>
        <w:rPr>
          <w:rFonts w:cs="Arial"/>
          <w:color w:val="000000" w:themeColor="text1"/>
        </w:rPr>
      </w:pPr>
      <w:r w:rsidRPr="00D53744">
        <w:rPr>
          <w:rStyle w:val="FootnoteReference"/>
        </w:rPr>
        <w:footnoteRef/>
      </w:r>
      <w:r w:rsidRPr="00D53744">
        <w:t xml:space="preserve"> </w:t>
      </w:r>
      <w:r w:rsidRPr="00D53744">
        <w:tab/>
        <w:t>The</w:t>
      </w:r>
      <w:r>
        <w:t xml:space="preserve"> Judge referred to </w:t>
      </w:r>
      <w:proofErr w:type="spellStart"/>
      <w:r w:rsidRPr="00530C11">
        <w:rPr>
          <w:rFonts w:cs="Arial"/>
          <w:i/>
          <w:iCs/>
          <w:color w:val="000000" w:themeColor="text1"/>
        </w:rPr>
        <w:t>Joosub</w:t>
      </w:r>
      <w:proofErr w:type="spellEnd"/>
      <w:r w:rsidRPr="00530C11">
        <w:rPr>
          <w:rFonts w:cs="Arial"/>
          <w:i/>
          <w:iCs/>
          <w:color w:val="000000" w:themeColor="text1"/>
        </w:rPr>
        <w:t xml:space="preserve"> v Natal Bank</w:t>
      </w:r>
      <w:r w:rsidRPr="00530C11">
        <w:rPr>
          <w:rFonts w:cs="Arial"/>
          <w:color w:val="000000" w:themeColor="text1"/>
        </w:rPr>
        <w:t> 1908 TS 375</w:t>
      </w:r>
      <w:r>
        <w:rPr>
          <w:rFonts w:cs="Arial"/>
          <w:color w:val="000000" w:themeColor="text1"/>
        </w:rPr>
        <w:t xml:space="preserve">, </w:t>
      </w:r>
      <w:r w:rsidRPr="00530C11">
        <w:rPr>
          <w:rFonts w:cs="Arial"/>
          <w:i/>
          <w:iCs/>
          <w:color w:val="000000" w:themeColor="text1"/>
        </w:rPr>
        <w:t xml:space="preserve">Cairns' Executors v </w:t>
      </w:r>
      <w:proofErr w:type="spellStart"/>
      <w:r w:rsidRPr="00530C11">
        <w:rPr>
          <w:rFonts w:cs="Arial"/>
          <w:i/>
          <w:iCs/>
          <w:color w:val="000000" w:themeColor="text1"/>
        </w:rPr>
        <w:t>Gaarn</w:t>
      </w:r>
      <w:proofErr w:type="spellEnd"/>
      <w:r w:rsidRPr="00530C11">
        <w:rPr>
          <w:rFonts w:cs="Arial"/>
          <w:color w:val="000000" w:themeColor="text1"/>
        </w:rPr>
        <w:t> </w:t>
      </w:r>
      <w:hyperlink r:id="rId2" w:history="1">
        <w:r w:rsidRPr="00530C11">
          <w:rPr>
            <w:rStyle w:val="Hyperlink"/>
            <w:rFonts w:cs="Arial"/>
            <w:color w:val="000000" w:themeColor="text1"/>
            <w:u w:val="none"/>
          </w:rPr>
          <w:t>1912 AD 181</w:t>
        </w:r>
      </w:hyperlink>
      <w:r w:rsidRPr="00530C11">
        <w:rPr>
          <w:rFonts w:cs="Arial"/>
          <w:color w:val="000000" w:themeColor="text1"/>
        </w:rPr>
        <w:t xml:space="preserve">, </w:t>
      </w:r>
      <w:proofErr w:type="spellStart"/>
      <w:r w:rsidRPr="00530C11">
        <w:rPr>
          <w:rFonts w:cs="Arial"/>
          <w:i/>
          <w:iCs/>
          <w:color w:val="000000" w:themeColor="text1"/>
        </w:rPr>
        <w:t>Abdool</w:t>
      </w:r>
      <w:proofErr w:type="spellEnd"/>
      <w:r w:rsidRPr="00530C11">
        <w:rPr>
          <w:rFonts w:cs="Arial"/>
          <w:i/>
          <w:iCs/>
          <w:color w:val="000000" w:themeColor="text1"/>
        </w:rPr>
        <w:t xml:space="preserve"> </w:t>
      </w:r>
      <w:proofErr w:type="spellStart"/>
      <w:r w:rsidRPr="00530C11">
        <w:rPr>
          <w:rFonts w:cs="Arial"/>
          <w:i/>
          <w:iCs/>
          <w:color w:val="000000" w:themeColor="text1"/>
        </w:rPr>
        <w:t>Latieb</w:t>
      </w:r>
      <w:proofErr w:type="spellEnd"/>
      <w:r w:rsidRPr="00530C11">
        <w:rPr>
          <w:rFonts w:cs="Arial"/>
          <w:i/>
          <w:iCs/>
          <w:color w:val="000000" w:themeColor="text1"/>
        </w:rPr>
        <w:t xml:space="preserve"> &amp; Co v Jones</w:t>
      </w:r>
      <w:r w:rsidRPr="00530C11">
        <w:rPr>
          <w:rFonts w:cs="Arial"/>
          <w:color w:val="000000" w:themeColor="text1"/>
        </w:rPr>
        <w:t> 1918 TPD 215</w:t>
      </w:r>
      <w:r>
        <w:rPr>
          <w:rFonts w:cs="Arial"/>
          <w:color w:val="000000" w:themeColor="text1"/>
        </w:rPr>
        <w:t xml:space="preserve">, </w:t>
      </w:r>
      <w:proofErr w:type="spellStart"/>
      <w:r w:rsidRPr="00530C11">
        <w:rPr>
          <w:rFonts w:cs="Arial"/>
          <w:i/>
          <w:iCs/>
          <w:color w:val="000000" w:themeColor="text1"/>
        </w:rPr>
        <w:t>Thlobelo</w:t>
      </w:r>
      <w:proofErr w:type="spellEnd"/>
      <w:r w:rsidRPr="00530C11">
        <w:rPr>
          <w:rFonts w:cs="Arial"/>
          <w:i/>
          <w:iCs/>
          <w:color w:val="000000" w:themeColor="text1"/>
        </w:rPr>
        <w:t xml:space="preserve"> v </w:t>
      </w:r>
      <w:proofErr w:type="spellStart"/>
      <w:r w:rsidRPr="00530C11">
        <w:rPr>
          <w:rFonts w:cs="Arial"/>
          <w:i/>
          <w:iCs/>
          <w:color w:val="000000" w:themeColor="text1"/>
        </w:rPr>
        <w:t>Kehiloe</w:t>
      </w:r>
      <w:proofErr w:type="spellEnd"/>
      <w:r w:rsidRPr="00530C11">
        <w:rPr>
          <w:rFonts w:cs="Arial"/>
          <w:color w:val="000000" w:themeColor="text1"/>
        </w:rPr>
        <w:t> (2) 1932 OPD 24</w:t>
      </w:r>
      <w:r>
        <w:rPr>
          <w:rFonts w:cs="Arial"/>
          <w:color w:val="000000" w:themeColor="text1"/>
        </w:rPr>
        <w:t xml:space="preserve">, </w:t>
      </w:r>
      <w:r w:rsidRPr="00530C11">
        <w:rPr>
          <w:rFonts w:cs="Arial"/>
          <w:i/>
          <w:iCs/>
          <w:color w:val="000000" w:themeColor="text1"/>
        </w:rPr>
        <w:t xml:space="preserve">Scott v Trustee, Insolvent Estate </w:t>
      </w:r>
      <w:proofErr w:type="spellStart"/>
      <w:r w:rsidRPr="00530C11">
        <w:rPr>
          <w:rFonts w:cs="Arial"/>
          <w:i/>
          <w:iCs/>
          <w:color w:val="000000" w:themeColor="text1"/>
        </w:rPr>
        <w:t>Comerma</w:t>
      </w:r>
      <w:proofErr w:type="spellEnd"/>
      <w:r w:rsidRPr="00530C11">
        <w:rPr>
          <w:rFonts w:cs="Arial"/>
          <w:color w:val="000000" w:themeColor="text1"/>
        </w:rPr>
        <w:t> 1938 WLD 129,</w:t>
      </w:r>
      <w:r>
        <w:rPr>
          <w:rFonts w:cs="Arial"/>
          <w:color w:val="000000" w:themeColor="text1"/>
        </w:rPr>
        <w:t xml:space="preserve"> and</w:t>
      </w:r>
      <w:r w:rsidRPr="00530C11">
        <w:rPr>
          <w:rFonts w:cs="Arial"/>
          <w:color w:val="000000" w:themeColor="text1"/>
        </w:rPr>
        <w:t xml:space="preserve"> </w:t>
      </w:r>
      <w:proofErr w:type="spellStart"/>
      <w:r w:rsidRPr="00530C11">
        <w:rPr>
          <w:rFonts w:cs="Arial"/>
          <w:i/>
          <w:iCs/>
          <w:color w:val="000000" w:themeColor="text1"/>
        </w:rPr>
        <w:t>Schabort</w:t>
      </w:r>
      <w:proofErr w:type="spellEnd"/>
      <w:r w:rsidRPr="00530C11">
        <w:rPr>
          <w:rFonts w:cs="Arial"/>
          <w:i/>
          <w:iCs/>
          <w:color w:val="000000" w:themeColor="text1"/>
        </w:rPr>
        <w:t xml:space="preserve"> v </w:t>
      </w:r>
      <w:proofErr w:type="spellStart"/>
      <w:r w:rsidRPr="00530C11">
        <w:rPr>
          <w:rFonts w:cs="Arial"/>
          <w:i/>
          <w:iCs/>
          <w:color w:val="000000" w:themeColor="text1"/>
        </w:rPr>
        <w:t>Pocock</w:t>
      </w:r>
      <w:proofErr w:type="spellEnd"/>
      <w:r w:rsidRPr="00530C11">
        <w:rPr>
          <w:rFonts w:cs="Arial"/>
          <w:color w:val="000000" w:themeColor="text1"/>
        </w:rPr>
        <w:t> 1946 CPD 363</w:t>
      </w:r>
      <w:r>
        <w:rPr>
          <w:rFonts w:cs="Arial"/>
          <w:color w:val="000000" w:themeColor="text1"/>
        </w:rPr>
        <w:t>.</w:t>
      </w:r>
    </w:p>
  </w:footnote>
  <w:footnote w:id="10">
    <w:p w14:paraId="1D82C6F4" w14:textId="77777777" w:rsidR="00C20795" w:rsidRPr="00530C11" w:rsidRDefault="00C20795" w:rsidP="00C20795">
      <w:pPr>
        <w:pStyle w:val="FootnoteText"/>
        <w:jc w:val="both"/>
        <w:rPr>
          <w:color w:val="000000" w:themeColor="text1"/>
        </w:rPr>
      </w:pPr>
      <w:r w:rsidRPr="00530C11">
        <w:rPr>
          <w:rStyle w:val="FootnoteReference"/>
          <w:color w:val="000000" w:themeColor="text1"/>
        </w:rPr>
        <w:footnoteRef/>
      </w:r>
      <w:r w:rsidRPr="00530C11">
        <w:rPr>
          <w:color w:val="000000" w:themeColor="text1"/>
        </w:rPr>
        <w:t xml:space="preserve"> </w:t>
      </w:r>
      <w:r w:rsidRPr="00530C11">
        <w:rPr>
          <w:color w:val="000000" w:themeColor="text1"/>
        </w:rPr>
        <w:tab/>
      </w:r>
      <w:r w:rsidRPr="00530C11">
        <w:rPr>
          <w:i/>
          <w:iCs/>
          <w:color w:val="000000" w:themeColor="text1"/>
        </w:rPr>
        <w:t xml:space="preserve">Cairns' Executors v </w:t>
      </w:r>
      <w:proofErr w:type="spellStart"/>
      <w:r w:rsidRPr="00530C11">
        <w:rPr>
          <w:i/>
          <w:iCs/>
          <w:color w:val="000000" w:themeColor="text1"/>
        </w:rPr>
        <w:t>Gaarn</w:t>
      </w:r>
      <w:proofErr w:type="spellEnd"/>
      <w:r w:rsidRPr="00530C11">
        <w:rPr>
          <w:color w:val="000000" w:themeColor="text1"/>
        </w:rPr>
        <w:t> </w:t>
      </w:r>
      <w:hyperlink r:id="rId3" w:history="1">
        <w:r w:rsidRPr="00530C11">
          <w:rPr>
            <w:rStyle w:val="Hyperlink"/>
            <w:color w:val="000000" w:themeColor="text1"/>
            <w:u w:val="none"/>
          </w:rPr>
          <w:t>1912 AD 181</w:t>
        </w:r>
      </w:hyperlink>
      <w:r w:rsidRPr="00530C11">
        <w:rPr>
          <w:color w:val="000000" w:themeColor="text1"/>
        </w:rPr>
        <w:t xml:space="preserve"> at 186.</w:t>
      </w:r>
    </w:p>
  </w:footnote>
  <w:footnote w:id="11">
    <w:p w14:paraId="3D174F30" w14:textId="77777777" w:rsidR="00C20795" w:rsidRPr="00C82E44" w:rsidRDefault="00C20795" w:rsidP="00C20795">
      <w:pPr>
        <w:pStyle w:val="FootnoteText"/>
        <w:jc w:val="both"/>
        <w:rPr>
          <w:color w:val="000000" w:themeColor="text1"/>
        </w:rPr>
      </w:pPr>
      <w:r>
        <w:rPr>
          <w:rStyle w:val="FootnoteReference"/>
        </w:rPr>
        <w:footnoteRef/>
      </w:r>
      <w:r>
        <w:t xml:space="preserve"> </w:t>
      </w:r>
      <w:r>
        <w:tab/>
      </w:r>
      <w:r w:rsidRPr="00C82E44">
        <w:rPr>
          <w:i/>
          <w:iCs/>
        </w:rPr>
        <w:t xml:space="preserve">Silber v </w:t>
      </w:r>
      <w:proofErr w:type="spellStart"/>
      <w:r w:rsidRPr="00C82E44">
        <w:rPr>
          <w:i/>
          <w:iCs/>
        </w:rPr>
        <w:t>Ozen</w:t>
      </w:r>
      <w:proofErr w:type="spellEnd"/>
      <w:r w:rsidRPr="00C82E44">
        <w:rPr>
          <w:i/>
          <w:iCs/>
        </w:rPr>
        <w:t xml:space="preserve"> Wholesalers (Pty) Ltd</w:t>
      </w:r>
      <w:proofErr w:type="gramStart"/>
      <w:r w:rsidRPr="00C82E44">
        <w:rPr>
          <w:i/>
          <w:iCs/>
        </w:rPr>
        <w:t> </w:t>
      </w:r>
      <w:r w:rsidRPr="00C82E44">
        <w:rPr>
          <w:color w:val="000000" w:themeColor="text1"/>
        </w:rPr>
        <w:t> </w:t>
      </w:r>
      <w:proofErr w:type="gramEnd"/>
      <w:hyperlink r:id="rId4" w:anchor="y1954v2SApg345" w:history="1">
        <w:r w:rsidRPr="00C82E44">
          <w:rPr>
            <w:rStyle w:val="Hyperlink"/>
            <w:color w:val="000000" w:themeColor="text1"/>
            <w:u w:val="none"/>
          </w:rPr>
          <w:t>1954 (2) SA 345 (A)</w:t>
        </w:r>
      </w:hyperlink>
      <w:r w:rsidRPr="00C82E44">
        <w:rPr>
          <w:color w:val="000000" w:themeColor="text1"/>
        </w:rPr>
        <w:t> 352G</w:t>
      </w:r>
      <w:r>
        <w:rPr>
          <w:color w:val="000000" w:themeColor="text1"/>
        </w:rPr>
        <w:t>.</w:t>
      </w:r>
    </w:p>
  </w:footnote>
  <w:footnote w:id="12">
    <w:p w14:paraId="0CB24488" w14:textId="77777777" w:rsidR="006B4092" w:rsidRPr="0066767C" w:rsidRDefault="006B4092" w:rsidP="00C20795">
      <w:pPr>
        <w:pStyle w:val="FootnoteText"/>
        <w:jc w:val="both"/>
      </w:pPr>
      <w:r>
        <w:rPr>
          <w:rStyle w:val="FootnoteReference"/>
        </w:rPr>
        <w:footnoteRef/>
      </w:r>
      <w:r>
        <w:t xml:space="preserve"> </w:t>
      </w:r>
      <w:r>
        <w:tab/>
      </w:r>
      <w:r>
        <w:rPr>
          <w:i/>
        </w:rPr>
        <w:t xml:space="preserve">Buckle v </w:t>
      </w:r>
      <w:proofErr w:type="spellStart"/>
      <w:r>
        <w:rPr>
          <w:i/>
        </w:rPr>
        <w:t>Kotze</w:t>
      </w:r>
      <w:proofErr w:type="spellEnd"/>
      <w:r>
        <w:rPr>
          <w:i/>
        </w:rPr>
        <w:t xml:space="preserve"> </w:t>
      </w:r>
      <w:r>
        <w:t xml:space="preserve">2000 (1) SA 453 (W) 457J-458A. See also </w:t>
      </w:r>
      <w:r w:rsidRPr="00466AE8">
        <w:rPr>
          <w:i/>
          <w:iCs/>
        </w:rPr>
        <w:t>Regal v African </w:t>
      </w:r>
      <w:proofErr w:type="spellStart"/>
      <w:r w:rsidRPr="00466AE8">
        <w:rPr>
          <w:i/>
          <w:iCs/>
        </w:rPr>
        <w:t>Superslate</w:t>
      </w:r>
      <w:proofErr w:type="spellEnd"/>
      <w:r w:rsidRPr="00466AE8">
        <w:rPr>
          <w:i/>
          <w:iCs/>
        </w:rPr>
        <w:t> (Pty) Ltd</w:t>
      </w:r>
      <w:r>
        <w:t xml:space="preserve"> </w:t>
      </w:r>
      <w:r w:rsidRPr="00466AE8">
        <w:t>1962 (3) SA 18 (A)</w:t>
      </w:r>
      <w:r>
        <w:t xml:space="preserve"> 23C.</w:t>
      </w:r>
    </w:p>
  </w:footnote>
  <w:footnote w:id="13">
    <w:p w14:paraId="59C0DF84" w14:textId="6BA31F4E" w:rsidR="000E483E" w:rsidRPr="000E483E" w:rsidRDefault="000E483E" w:rsidP="00C20795">
      <w:pPr>
        <w:pStyle w:val="FootnoteText"/>
        <w:jc w:val="both"/>
        <w:rPr>
          <w:i/>
        </w:rPr>
      </w:pPr>
      <w:r>
        <w:rPr>
          <w:rStyle w:val="FootnoteReference"/>
        </w:rPr>
        <w:footnoteRef/>
      </w:r>
      <w:r>
        <w:t xml:space="preserve"> </w:t>
      </w:r>
      <w:r>
        <w:tab/>
      </w:r>
      <w:proofErr w:type="spellStart"/>
      <w:r w:rsidR="00715C5A" w:rsidRPr="007870B7">
        <w:rPr>
          <w:i/>
          <w:iCs/>
        </w:rPr>
        <w:t>Colyn</w:t>
      </w:r>
      <w:proofErr w:type="spellEnd"/>
      <w:r w:rsidR="00715C5A" w:rsidRPr="007870B7">
        <w:rPr>
          <w:i/>
          <w:iCs/>
        </w:rPr>
        <w:t xml:space="preserve"> v Tiger Food Industries Ltd t/a Meadow Feed Mills (Cape)</w:t>
      </w:r>
      <w:r w:rsidR="00715C5A">
        <w:t xml:space="preserve"> </w:t>
      </w:r>
      <w:r w:rsidR="00715C5A" w:rsidRPr="007870B7">
        <w:t>2003 (6) SA 1 (SCA)</w:t>
      </w:r>
      <w:r w:rsidR="00715C5A">
        <w:t>.</w:t>
      </w:r>
      <w:r w:rsidR="001E3FA5">
        <w:t xml:space="preserve"> See also </w:t>
      </w:r>
      <w:proofErr w:type="spellStart"/>
      <w:r w:rsidR="001E3FA5">
        <w:rPr>
          <w:rFonts w:cs="Arial"/>
          <w:bCs/>
          <w:i/>
          <w:szCs w:val="22"/>
        </w:rPr>
        <w:t>Melane</w:t>
      </w:r>
      <w:proofErr w:type="spellEnd"/>
      <w:r w:rsidR="001E3FA5">
        <w:rPr>
          <w:rFonts w:cs="Arial"/>
          <w:bCs/>
          <w:i/>
          <w:szCs w:val="22"/>
        </w:rPr>
        <w:t xml:space="preserve"> v </w:t>
      </w:r>
      <w:proofErr w:type="spellStart"/>
      <w:r w:rsidR="001E3FA5">
        <w:rPr>
          <w:rFonts w:cs="Arial"/>
          <w:bCs/>
          <w:i/>
          <w:szCs w:val="22"/>
        </w:rPr>
        <w:t>Santam</w:t>
      </w:r>
      <w:proofErr w:type="spellEnd"/>
      <w:r w:rsidR="001E3FA5">
        <w:rPr>
          <w:rFonts w:cs="Arial"/>
          <w:bCs/>
          <w:i/>
          <w:szCs w:val="22"/>
        </w:rPr>
        <w:t xml:space="preserve"> Insurance Co Ltd</w:t>
      </w:r>
      <w:r w:rsidR="001E3FA5" w:rsidRPr="000E483E">
        <w:rPr>
          <w:rFonts w:cs="Arial"/>
          <w:bCs/>
          <w:szCs w:val="22"/>
        </w:rPr>
        <w:t xml:space="preserve"> 1962 (4) SA 531 (A)</w:t>
      </w:r>
    </w:p>
  </w:footnote>
  <w:footnote w:id="14">
    <w:p w14:paraId="6F8637A7" w14:textId="539100CA" w:rsidR="00FD6834" w:rsidRDefault="00FD6834">
      <w:pPr>
        <w:pStyle w:val="FootnoteText"/>
      </w:pPr>
      <w:r>
        <w:rPr>
          <w:rStyle w:val="FootnoteReference"/>
        </w:rPr>
        <w:footnoteRef/>
      </w:r>
      <w:r>
        <w:t xml:space="preserve"> </w:t>
      </w:r>
      <w:r>
        <w:tab/>
        <w:t>Section 77(3) of the Basic Conditions of Employment Act, 75 of 1997.</w:t>
      </w:r>
    </w:p>
  </w:footnote>
  <w:footnote w:id="15">
    <w:p w14:paraId="40060028" w14:textId="77777777" w:rsidR="008953BF" w:rsidRDefault="008953BF" w:rsidP="008953BF">
      <w:pPr>
        <w:pStyle w:val="FootnoteText"/>
      </w:pPr>
      <w:r>
        <w:rPr>
          <w:rStyle w:val="FootnoteReference"/>
        </w:rPr>
        <w:footnoteRef/>
      </w:r>
      <w:r>
        <w:t xml:space="preserve"> </w:t>
      </w:r>
      <w:r>
        <w:tab/>
        <w:t xml:space="preserve">Compare </w:t>
      </w:r>
      <w:proofErr w:type="spellStart"/>
      <w:r w:rsidRPr="00963562">
        <w:rPr>
          <w:i/>
          <w:iCs/>
        </w:rPr>
        <w:t>Breitenbach</w:t>
      </w:r>
      <w:proofErr w:type="spellEnd"/>
      <w:r w:rsidRPr="00963562">
        <w:rPr>
          <w:i/>
          <w:iCs/>
        </w:rPr>
        <w:t xml:space="preserve"> v Fiat SA (</w:t>
      </w:r>
      <w:proofErr w:type="spellStart"/>
      <w:r w:rsidRPr="00963562">
        <w:rPr>
          <w:i/>
          <w:iCs/>
        </w:rPr>
        <w:t>Edms</w:t>
      </w:r>
      <w:proofErr w:type="spellEnd"/>
      <w:r w:rsidRPr="00963562">
        <w:rPr>
          <w:i/>
          <w:iCs/>
        </w:rPr>
        <w:t xml:space="preserve">) </w:t>
      </w:r>
      <w:proofErr w:type="spellStart"/>
      <w:r w:rsidRPr="00963562">
        <w:rPr>
          <w:i/>
          <w:iCs/>
        </w:rPr>
        <w:t>Bpk</w:t>
      </w:r>
      <w:proofErr w:type="spellEnd"/>
      <w:r w:rsidRPr="00963562">
        <w:rPr>
          <w:i/>
          <w:iCs/>
        </w:rPr>
        <w:t xml:space="preserve"> </w:t>
      </w:r>
      <w:r w:rsidRPr="00963562">
        <w:t xml:space="preserve">1976 (2) SA 226 (T) 227G to 228A and </w:t>
      </w:r>
      <w:r w:rsidRPr="00963562">
        <w:rPr>
          <w:i/>
          <w:iCs/>
        </w:rPr>
        <w:t>Standard Bank of SA Ltd v El-</w:t>
      </w:r>
      <w:proofErr w:type="spellStart"/>
      <w:r w:rsidRPr="00963562">
        <w:rPr>
          <w:i/>
          <w:iCs/>
        </w:rPr>
        <w:t>Naddaf</w:t>
      </w:r>
      <w:proofErr w:type="spellEnd"/>
      <w:r w:rsidRPr="00963562">
        <w:rPr>
          <w:i/>
          <w:iCs/>
        </w:rPr>
        <w:t xml:space="preserve"> and Another</w:t>
      </w:r>
      <w:r>
        <w:t xml:space="preserve"> </w:t>
      </w:r>
      <w:r w:rsidRPr="00963562">
        <w:t>1999 (4) SA 779 (W) 785G to 786F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23BE55EB" w:rsidR="0042119D" w:rsidRPr="006C43D7" w:rsidRDefault="0042119D"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E37EAE">
      <w:rPr>
        <w:rFonts w:cs="Arial"/>
        <w:noProof/>
        <w:sz w:val="20"/>
        <w:szCs w:val="20"/>
        <w:lang w:val="en-GB"/>
      </w:rPr>
      <w:t>9</w:t>
    </w:r>
    <w:r w:rsidRPr="006C43D7">
      <w:rPr>
        <w:rFonts w:cs="Arial"/>
        <w:sz w:val="20"/>
        <w:szCs w:val="20"/>
        <w:lang w:val="en-GB"/>
      </w:rPr>
      <w:fldChar w:fldCharType="end"/>
    </w:r>
  </w:p>
  <w:p w14:paraId="08C008E5" w14:textId="77777777" w:rsidR="0042119D" w:rsidRPr="006C43D7" w:rsidRDefault="0042119D" w:rsidP="006C43D7">
    <w:pPr>
      <w:tabs>
        <w:tab w:val="center" w:pos="4153"/>
        <w:tab w:val="right" w:pos="8306"/>
      </w:tabs>
      <w:spacing w:line="276" w:lineRule="auto"/>
      <w:jc w:val="right"/>
      <w:rPr>
        <w:rFonts w:cs="Arial"/>
        <w:lang w:val="en-US"/>
      </w:rPr>
    </w:pPr>
  </w:p>
  <w:p w14:paraId="4A21EF97" w14:textId="77777777" w:rsidR="0042119D" w:rsidRPr="006C43D7" w:rsidRDefault="0042119D"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057022D"/>
    <w:multiLevelType w:val="multilevel"/>
    <w:tmpl w:val="92E03ED2"/>
    <w:lvl w:ilvl="0">
      <w:start w:val="1"/>
      <w:numFmt w:val="decimal"/>
      <w:pStyle w:val="Indent"/>
      <w:lvlText w:val="[%1]"/>
      <w:lvlJc w:val="left"/>
      <w:pPr>
        <w:ind w:left="0" w:firstLine="0"/>
      </w:pPr>
      <w:rPr>
        <w:rFonts w:ascii="Arial" w:hAnsi="Arial" w:hint="default"/>
        <w:i w:val="0"/>
        <w:sz w:val="25"/>
        <w:szCs w:val="25"/>
      </w:rPr>
    </w:lvl>
    <w:lvl w:ilvl="1">
      <w:start w:val="1"/>
      <w:numFmt w:val="decimal"/>
      <w:lvlText w:val="(%1.%2)"/>
      <w:lvlJc w:val="left"/>
      <w:pPr>
        <w:ind w:left="680" w:hanging="680"/>
      </w:pPr>
      <w:rPr>
        <w:rFonts w:ascii="Arial" w:hAnsi="Arial" w:hint="default"/>
        <w:i w:val="0"/>
        <w:sz w:val="25"/>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3">
    <w:nsid w:val="11B74B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A85151"/>
    <w:multiLevelType w:val="multilevel"/>
    <w:tmpl w:val="09C07210"/>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3600"/>
        </w:tabs>
        <w:ind w:left="3600" w:hanging="1008"/>
      </w:pPr>
      <w:rPr>
        <w:rFonts w:hint="default"/>
      </w:rPr>
    </w:lvl>
    <w:lvl w:ilvl="4">
      <w:start w:val="1"/>
      <w:numFmt w:val="decimal"/>
      <w:lvlText w:val="%1.%2.%3.%4.%5."/>
      <w:lvlJc w:val="left"/>
      <w:pPr>
        <w:tabs>
          <w:tab w:val="num" w:pos="4752"/>
        </w:tabs>
        <w:ind w:left="4752" w:hanging="1152"/>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E640CDB"/>
    <w:multiLevelType w:val="hybridMultilevel"/>
    <w:tmpl w:val="A3A6AB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nsid w:val="405F452C"/>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9CD5976"/>
    <w:multiLevelType w:val="hybridMultilevel"/>
    <w:tmpl w:val="4E58F3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E425838"/>
    <w:multiLevelType w:val="hybridMultilevel"/>
    <w:tmpl w:val="EBEAFE8C"/>
    <w:lvl w:ilvl="0" w:tplc="77BE15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6"/>
  </w:num>
  <w:num w:numId="2">
    <w:abstractNumId w:val="1"/>
  </w:num>
  <w:num w:numId="3">
    <w:abstractNumId w:val="14"/>
  </w:num>
  <w:num w:numId="4">
    <w:abstractNumId w:val="7"/>
  </w:num>
  <w:num w:numId="5">
    <w:abstractNumId w:val="13"/>
  </w:num>
  <w:num w:numId="6">
    <w:abstractNumId w:val="10"/>
  </w:num>
  <w:num w:numId="7">
    <w:abstractNumId w:val="0"/>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1"/>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3045"/>
    <w:rsid w:val="00006113"/>
    <w:rsid w:val="00007CC6"/>
    <w:rsid w:val="0001111B"/>
    <w:rsid w:val="0001140A"/>
    <w:rsid w:val="00012B49"/>
    <w:rsid w:val="000131A4"/>
    <w:rsid w:val="00013B7F"/>
    <w:rsid w:val="000153E9"/>
    <w:rsid w:val="00015C47"/>
    <w:rsid w:val="00016C5A"/>
    <w:rsid w:val="000207F6"/>
    <w:rsid w:val="000248F1"/>
    <w:rsid w:val="00024A29"/>
    <w:rsid w:val="000318DA"/>
    <w:rsid w:val="00034AE8"/>
    <w:rsid w:val="000441E4"/>
    <w:rsid w:val="00047055"/>
    <w:rsid w:val="00047AA2"/>
    <w:rsid w:val="00050086"/>
    <w:rsid w:val="000504F1"/>
    <w:rsid w:val="0005465E"/>
    <w:rsid w:val="00054804"/>
    <w:rsid w:val="00060508"/>
    <w:rsid w:val="0006312B"/>
    <w:rsid w:val="00063D2E"/>
    <w:rsid w:val="00063F7B"/>
    <w:rsid w:val="000737E1"/>
    <w:rsid w:val="00073D6B"/>
    <w:rsid w:val="00073E30"/>
    <w:rsid w:val="00075AA1"/>
    <w:rsid w:val="00080688"/>
    <w:rsid w:val="00083242"/>
    <w:rsid w:val="000833BB"/>
    <w:rsid w:val="0008526A"/>
    <w:rsid w:val="00085A94"/>
    <w:rsid w:val="00091FAD"/>
    <w:rsid w:val="00093F79"/>
    <w:rsid w:val="0009488C"/>
    <w:rsid w:val="0009745A"/>
    <w:rsid w:val="0009787A"/>
    <w:rsid w:val="00097968"/>
    <w:rsid w:val="00097AD1"/>
    <w:rsid w:val="000A1CEC"/>
    <w:rsid w:val="000A2D03"/>
    <w:rsid w:val="000A6AD8"/>
    <w:rsid w:val="000B03EB"/>
    <w:rsid w:val="000B580F"/>
    <w:rsid w:val="000C1421"/>
    <w:rsid w:val="000C1921"/>
    <w:rsid w:val="000D10C0"/>
    <w:rsid w:val="000D45F0"/>
    <w:rsid w:val="000D7D6A"/>
    <w:rsid w:val="000E055C"/>
    <w:rsid w:val="000E1813"/>
    <w:rsid w:val="000E254E"/>
    <w:rsid w:val="000E2767"/>
    <w:rsid w:val="000E34DF"/>
    <w:rsid w:val="000E483E"/>
    <w:rsid w:val="000F0BBE"/>
    <w:rsid w:val="000F23B3"/>
    <w:rsid w:val="000F39F6"/>
    <w:rsid w:val="000F59F8"/>
    <w:rsid w:val="000F6007"/>
    <w:rsid w:val="000F6E8E"/>
    <w:rsid w:val="000F71C2"/>
    <w:rsid w:val="0010288A"/>
    <w:rsid w:val="00104142"/>
    <w:rsid w:val="00111EFC"/>
    <w:rsid w:val="00112301"/>
    <w:rsid w:val="001135E7"/>
    <w:rsid w:val="00113E49"/>
    <w:rsid w:val="00114E52"/>
    <w:rsid w:val="001166D4"/>
    <w:rsid w:val="00120FB1"/>
    <w:rsid w:val="0012741F"/>
    <w:rsid w:val="00131957"/>
    <w:rsid w:val="001330D2"/>
    <w:rsid w:val="001410DC"/>
    <w:rsid w:val="001479CC"/>
    <w:rsid w:val="00147BD7"/>
    <w:rsid w:val="00147FF5"/>
    <w:rsid w:val="0015037C"/>
    <w:rsid w:val="00150E8B"/>
    <w:rsid w:val="00153AAC"/>
    <w:rsid w:val="0015788C"/>
    <w:rsid w:val="00160147"/>
    <w:rsid w:val="00162F4F"/>
    <w:rsid w:val="00170A22"/>
    <w:rsid w:val="00177D8F"/>
    <w:rsid w:val="001801C1"/>
    <w:rsid w:val="00185ACF"/>
    <w:rsid w:val="00190579"/>
    <w:rsid w:val="00196215"/>
    <w:rsid w:val="00196E14"/>
    <w:rsid w:val="00197AAE"/>
    <w:rsid w:val="001A1819"/>
    <w:rsid w:val="001A1A55"/>
    <w:rsid w:val="001A464D"/>
    <w:rsid w:val="001A522A"/>
    <w:rsid w:val="001B1D39"/>
    <w:rsid w:val="001B4217"/>
    <w:rsid w:val="001B5D3E"/>
    <w:rsid w:val="001B606B"/>
    <w:rsid w:val="001B62D3"/>
    <w:rsid w:val="001B6FFC"/>
    <w:rsid w:val="001C01DF"/>
    <w:rsid w:val="001C0B5A"/>
    <w:rsid w:val="001C3CF6"/>
    <w:rsid w:val="001C5D18"/>
    <w:rsid w:val="001D12D9"/>
    <w:rsid w:val="001D3CC2"/>
    <w:rsid w:val="001D68D9"/>
    <w:rsid w:val="001E14CF"/>
    <w:rsid w:val="001E2EED"/>
    <w:rsid w:val="001E34E7"/>
    <w:rsid w:val="001E3FA5"/>
    <w:rsid w:val="001F0A29"/>
    <w:rsid w:val="001F11EA"/>
    <w:rsid w:val="001F2072"/>
    <w:rsid w:val="001F2C31"/>
    <w:rsid w:val="001F3DBD"/>
    <w:rsid w:val="001F45CB"/>
    <w:rsid w:val="001F648A"/>
    <w:rsid w:val="001F6E8E"/>
    <w:rsid w:val="002014D0"/>
    <w:rsid w:val="00201620"/>
    <w:rsid w:val="0020571A"/>
    <w:rsid w:val="00210971"/>
    <w:rsid w:val="002133DC"/>
    <w:rsid w:val="00215824"/>
    <w:rsid w:val="00216BC8"/>
    <w:rsid w:val="00217DB9"/>
    <w:rsid w:val="0022218D"/>
    <w:rsid w:val="00224EF0"/>
    <w:rsid w:val="00226926"/>
    <w:rsid w:val="00232528"/>
    <w:rsid w:val="0023614F"/>
    <w:rsid w:val="002369D8"/>
    <w:rsid w:val="00237FF9"/>
    <w:rsid w:val="00246429"/>
    <w:rsid w:val="00250A46"/>
    <w:rsid w:val="00253D24"/>
    <w:rsid w:val="00256719"/>
    <w:rsid w:val="00262819"/>
    <w:rsid w:val="00273C93"/>
    <w:rsid w:val="00281213"/>
    <w:rsid w:val="00285040"/>
    <w:rsid w:val="00285062"/>
    <w:rsid w:val="00285DE9"/>
    <w:rsid w:val="00287BC8"/>
    <w:rsid w:val="00290B89"/>
    <w:rsid w:val="00294B84"/>
    <w:rsid w:val="00294ED8"/>
    <w:rsid w:val="002953C0"/>
    <w:rsid w:val="0029606F"/>
    <w:rsid w:val="002A0160"/>
    <w:rsid w:val="002A2AE7"/>
    <w:rsid w:val="002A3998"/>
    <w:rsid w:val="002A4F68"/>
    <w:rsid w:val="002A5EEA"/>
    <w:rsid w:val="002A7485"/>
    <w:rsid w:val="002B7824"/>
    <w:rsid w:val="002C05F2"/>
    <w:rsid w:val="002C115B"/>
    <w:rsid w:val="002C15AC"/>
    <w:rsid w:val="002C3500"/>
    <w:rsid w:val="002C364B"/>
    <w:rsid w:val="002C4638"/>
    <w:rsid w:val="002C4687"/>
    <w:rsid w:val="002C481E"/>
    <w:rsid w:val="002D05A6"/>
    <w:rsid w:val="002D10E4"/>
    <w:rsid w:val="002D5C85"/>
    <w:rsid w:val="002D77CC"/>
    <w:rsid w:val="002E1342"/>
    <w:rsid w:val="002E4B98"/>
    <w:rsid w:val="002E5B57"/>
    <w:rsid w:val="002E6CD7"/>
    <w:rsid w:val="002E77C4"/>
    <w:rsid w:val="002F3010"/>
    <w:rsid w:val="002F4134"/>
    <w:rsid w:val="002F465B"/>
    <w:rsid w:val="002F4CCC"/>
    <w:rsid w:val="002F6D39"/>
    <w:rsid w:val="003005DF"/>
    <w:rsid w:val="003016BE"/>
    <w:rsid w:val="00302290"/>
    <w:rsid w:val="00302C31"/>
    <w:rsid w:val="00303A63"/>
    <w:rsid w:val="0030470A"/>
    <w:rsid w:val="0030653F"/>
    <w:rsid w:val="00307471"/>
    <w:rsid w:val="0031024B"/>
    <w:rsid w:val="00310A3B"/>
    <w:rsid w:val="0031117B"/>
    <w:rsid w:val="0031170D"/>
    <w:rsid w:val="00311B1E"/>
    <w:rsid w:val="00312EBC"/>
    <w:rsid w:val="00313056"/>
    <w:rsid w:val="00320DD8"/>
    <w:rsid w:val="00321F7F"/>
    <w:rsid w:val="00323DD7"/>
    <w:rsid w:val="0033376C"/>
    <w:rsid w:val="00337135"/>
    <w:rsid w:val="0034090F"/>
    <w:rsid w:val="00341086"/>
    <w:rsid w:val="0034147B"/>
    <w:rsid w:val="00343092"/>
    <w:rsid w:val="00345211"/>
    <w:rsid w:val="003463D6"/>
    <w:rsid w:val="003469B6"/>
    <w:rsid w:val="00346D31"/>
    <w:rsid w:val="00346DE6"/>
    <w:rsid w:val="003518A3"/>
    <w:rsid w:val="00351ABE"/>
    <w:rsid w:val="003543C5"/>
    <w:rsid w:val="00354EF2"/>
    <w:rsid w:val="00357081"/>
    <w:rsid w:val="0035778C"/>
    <w:rsid w:val="00357D35"/>
    <w:rsid w:val="00357E01"/>
    <w:rsid w:val="00357F9E"/>
    <w:rsid w:val="003605A3"/>
    <w:rsid w:val="0036353E"/>
    <w:rsid w:val="00363FCD"/>
    <w:rsid w:val="00364C43"/>
    <w:rsid w:val="00365492"/>
    <w:rsid w:val="00367720"/>
    <w:rsid w:val="0037029D"/>
    <w:rsid w:val="0037153E"/>
    <w:rsid w:val="00381213"/>
    <w:rsid w:val="003840EC"/>
    <w:rsid w:val="00387F78"/>
    <w:rsid w:val="00390C3F"/>
    <w:rsid w:val="003A5210"/>
    <w:rsid w:val="003A6B8E"/>
    <w:rsid w:val="003A6F23"/>
    <w:rsid w:val="003A7864"/>
    <w:rsid w:val="003B080A"/>
    <w:rsid w:val="003B142D"/>
    <w:rsid w:val="003B156E"/>
    <w:rsid w:val="003B323E"/>
    <w:rsid w:val="003B4100"/>
    <w:rsid w:val="003C1A16"/>
    <w:rsid w:val="003C1E91"/>
    <w:rsid w:val="003C3AC6"/>
    <w:rsid w:val="003D5739"/>
    <w:rsid w:val="003D5E47"/>
    <w:rsid w:val="003E1423"/>
    <w:rsid w:val="003E1436"/>
    <w:rsid w:val="003E1B5F"/>
    <w:rsid w:val="003E3B27"/>
    <w:rsid w:val="003E5A19"/>
    <w:rsid w:val="003F30AE"/>
    <w:rsid w:val="003F5560"/>
    <w:rsid w:val="004026CF"/>
    <w:rsid w:val="0040795A"/>
    <w:rsid w:val="00407F28"/>
    <w:rsid w:val="00410C15"/>
    <w:rsid w:val="004131C5"/>
    <w:rsid w:val="00417D72"/>
    <w:rsid w:val="0042119D"/>
    <w:rsid w:val="00422DDD"/>
    <w:rsid w:val="004239DA"/>
    <w:rsid w:val="0042423E"/>
    <w:rsid w:val="00431DD4"/>
    <w:rsid w:val="0043256C"/>
    <w:rsid w:val="004339E6"/>
    <w:rsid w:val="0043546D"/>
    <w:rsid w:val="0043683A"/>
    <w:rsid w:val="0044085B"/>
    <w:rsid w:val="00441422"/>
    <w:rsid w:val="00441869"/>
    <w:rsid w:val="004450BD"/>
    <w:rsid w:val="004459CF"/>
    <w:rsid w:val="00445DCB"/>
    <w:rsid w:val="004460B9"/>
    <w:rsid w:val="00446853"/>
    <w:rsid w:val="004518EF"/>
    <w:rsid w:val="004531BF"/>
    <w:rsid w:val="0045354F"/>
    <w:rsid w:val="00456542"/>
    <w:rsid w:val="00460A64"/>
    <w:rsid w:val="004630B6"/>
    <w:rsid w:val="00467D30"/>
    <w:rsid w:val="00474607"/>
    <w:rsid w:val="00474910"/>
    <w:rsid w:val="004749AF"/>
    <w:rsid w:val="004766B3"/>
    <w:rsid w:val="00476754"/>
    <w:rsid w:val="00483E40"/>
    <w:rsid w:val="00484116"/>
    <w:rsid w:val="0048424E"/>
    <w:rsid w:val="0048507B"/>
    <w:rsid w:val="00486F42"/>
    <w:rsid w:val="00487D14"/>
    <w:rsid w:val="00487FAD"/>
    <w:rsid w:val="00492289"/>
    <w:rsid w:val="004956CA"/>
    <w:rsid w:val="00496EB8"/>
    <w:rsid w:val="00497938"/>
    <w:rsid w:val="00497FF4"/>
    <w:rsid w:val="004A2C7E"/>
    <w:rsid w:val="004A33EC"/>
    <w:rsid w:val="004A6FEA"/>
    <w:rsid w:val="004A7B29"/>
    <w:rsid w:val="004A7DFE"/>
    <w:rsid w:val="004B21D9"/>
    <w:rsid w:val="004B294A"/>
    <w:rsid w:val="004B383D"/>
    <w:rsid w:val="004B4621"/>
    <w:rsid w:val="004C368B"/>
    <w:rsid w:val="004C5250"/>
    <w:rsid w:val="004C6492"/>
    <w:rsid w:val="004D262A"/>
    <w:rsid w:val="004D2C6F"/>
    <w:rsid w:val="004D2E01"/>
    <w:rsid w:val="004D7AE9"/>
    <w:rsid w:val="004E173B"/>
    <w:rsid w:val="004E34C1"/>
    <w:rsid w:val="004E568C"/>
    <w:rsid w:val="004E5AD8"/>
    <w:rsid w:val="004F12D8"/>
    <w:rsid w:val="004F22A6"/>
    <w:rsid w:val="004F5A08"/>
    <w:rsid w:val="004F5E43"/>
    <w:rsid w:val="004F6B7A"/>
    <w:rsid w:val="0050258E"/>
    <w:rsid w:val="00502CBC"/>
    <w:rsid w:val="00504B53"/>
    <w:rsid w:val="00506B31"/>
    <w:rsid w:val="00507D49"/>
    <w:rsid w:val="0051015D"/>
    <w:rsid w:val="00510B22"/>
    <w:rsid w:val="0051292D"/>
    <w:rsid w:val="0051622D"/>
    <w:rsid w:val="00516C44"/>
    <w:rsid w:val="0052009A"/>
    <w:rsid w:val="0052179E"/>
    <w:rsid w:val="00521AD6"/>
    <w:rsid w:val="005262C2"/>
    <w:rsid w:val="00526328"/>
    <w:rsid w:val="0052705A"/>
    <w:rsid w:val="005316EE"/>
    <w:rsid w:val="005363ED"/>
    <w:rsid w:val="00537A72"/>
    <w:rsid w:val="005429E9"/>
    <w:rsid w:val="00545A74"/>
    <w:rsid w:val="00545B01"/>
    <w:rsid w:val="00546A0D"/>
    <w:rsid w:val="005503CC"/>
    <w:rsid w:val="00551687"/>
    <w:rsid w:val="00553AC4"/>
    <w:rsid w:val="0055729D"/>
    <w:rsid w:val="005660FD"/>
    <w:rsid w:val="00571E13"/>
    <w:rsid w:val="00573759"/>
    <w:rsid w:val="0057408C"/>
    <w:rsid w:val="00581C59"/>
    <w:rsid w:val="00587B78"/>
    <w:rsid w:val="0059024D"/>
    <w:rsid w:val="00594FE6"/>
    <w:rsid w:val="00596509"/>
    <w:rsid w:val="00597E64"/>
    <w:rsid w:val="005A27EF"/>
    <w:rsid w:val="005A313A"/>
    <w:rsid w:val="005A637B"/>
    <w:rsid w:val="005A680F"/>
    <w:rsid w:val="005A75D7"/>
    <w:rsid w:val="005B53B0"/>
    <w:rsid w:val="005B62A6"/>
    <w:rsid w:val="005B6D81"/>
    <w:rsid w:val="005B7DD3"/>
    <w:rsid w:val="005C657D"/>
    <w:rsid w:val="005C7FC2"/>
    <w:rsid w:val="005D2408"/>
    <w:rsid w:val="005D4FE0"/>
    <w:rsid w:val="005D6122"/>
    <w:rsid w:val="005D6E80"/>
    <w:rsid w:val="005E004E"/>
    <w:rsid w:val="005E035E"/>
    <w:rsid w:val="005E09BA"/>
    <w:rsid w:val="005E2F7B"/>
    <w:rsid w:val="005E5C01"/>
    <w:rsid w:val="005E7118"/>
    <w:rsid w:val="005F03F7"/>
    <w:rsid w:val="005F2910"/>
    <w:rsid w:val="005F2C91"/>
    <w:rsid w:val="005F37A4"/>
    <w:rsid w:val="005F62CB"/>
    <w:rsid w:val="006000D8"/>
    <w:rsid w:val="00600235"/>
    <w:rsid w:val="0060139C"/>
    <w:rsid w:val="00603CD1"/>
    <w:rsid w:val="006041A4"/>
    <w:rsid w:val="0061089B"/>
    <w:rsid w:val="00613721"/>
    <w:rsid w:val="006145CE"/>
    <w:rsid w:val="006165CB"/>
    <w:rsid w:val="006169ED"/>
    <w:rsid w:val="00617F98"/>
    <w:rsid w:val="0062211A"/>
    <w:rsid w:val="00622ED5"/>
    <w:rsid w:val="00623C9B"/>
    <w:rsid w:val="00626F12"/>
    <w:rsid w:val="0062754A"/>
    <w:rsid w:val="006275B4"/>
    <w:rsid w:val="00627B0C"/>
    <w:rsid w:val="00630DD5"/>
    <w:rsid w:val="00645D60"/>
    <w:rsid w:val="00647DDD"/>
    <w:rsid w:val="00653BA4"/>
    <w:rsid w:val="00654654"/>
    <w:rsid w:val="00654D4B"/>
    <w:rsid w:val="00657EDA"/>
    <w:rsid w:val="00660C84"/>
    <w:rsid w:val="0066194B"/>
    <w:rsid w:val="00666D4D"/>
    <w:rsid w:val="0066767C"/>
    <w:rsid w:val="00671C76"/>
    <w:rsid w:val="0068229A"/>
    <w:rsid w:val="006858DA"/>
    <w:rsid w:val="0068621A"/>
    <w:rsid w:val="006902F1"/>
    <w:rsid w:val="006918E9"/>
    <w:rsid w:val="006924FA"/>
    <w:rsid w:val="00694C71"/>
    <w:rsid w:val="006951CE"/>
    <w:rsid w:val="006974F9"/>
    <w:rsid w:val="006A0C2E"/>
    <w:rsid w:val="006A1756"/>
    <w:rsid w:val="006A5418"/>
    <w:rsid w:val="006B4092"/>
    <w:rsid w:val="006C3A24"/>
    <w:rsid w:val="006C4213"/>
    <w:rsid w:val="006C43D7"/>
    <w:rsid w:val="006C5694"/>
    <w:rsid w:val="006D797F"/>
    <w:rsid w:val="006D7CD4"/>
    <w:rsid w:val="006E2346"/>
    <w:rsid w:val="006E323B"/>
    <w:rsid w:val="006E32B4"/>
    <w:rsid w:val="006E38D7"/>
    <w:rsid w:val="006E3A5B"/>
    <w:rsid w:val="006E68E6"/>
    <w:rsid w:val="006F0BB6"/>
    <w:rsid w:val="006F25E5"/>
    <w:rsid w:val="006F2FCE"/>
    <w:rsid w:val="006F415C"/>
    <w:rsid w:val="006F72F0"/>
    <w:rsid w:val="00700C8E"/>
    <w:rsid w:val="00701BBE"/>
    <w:rsid w:val="007046F8"/>
    <w:rsid w:val="0070513D"/>
    <w:rsid w:val="00706D06"/>
    <w:rsid w:val="00710D76"/>
    <w:rsid w:val="0071137C"/>
    <w:rsid w:val="0071253E"/>
    <w:rsid w:val="007133AE"/>
    <w:rsid w:val="007148A5"/>
    <w:rsid w:val="00715433"/>
    <w:rsid w:val="00715C5A"/>
    <w:rsid w:val="00720436"/>
    <w:rsid w:val="007241D4"/>
    <w:rsid w:val="007262CD"/>
    <w:rsid w:val="0073191E"/>
    <w:rsid w:val="00732130"/>
    <w:rsid w:val="00732A6F"/>
    <w:rsid w:val="007349CA"/>
    <w:rsid w:val="007404AE"/>
    <w:rsid w:val="007407CE"/>
    <w:rsid w:val="00742764"/>
    <w:rsid w:val="00746338"/>
    <w:rsid w:val="0075156A"/>
    <w:rsid w:val="00751F90"/>
    <w:rsid w:val="00752759"/>
    <w:rsid w:val="00756E65"/>
    <w:rsid w:val="00761C35"/>
    <w:rsid w:val="00762FCF"/>
    <w:rsid w:val="00764B50"/>
    <w:rsid w:val="007659FB"/>
    <w:rsid w:val="00766026"/>
    <w:rsid w:val="00772B54"/>
    <w:rsid w:val="007766D0"/>
    <w:rsid w:val="00781AA0"/>
    <w:rsid w:val="00783072"/>
    <w:rsid w:val="00785746"/>
    <w:rsid w:val="00785F6C"/>
    <w:rsid w:val="00787683"/>
    <w:rsid w:val="00792386"/>
    <w:rsid w:val="007A3A09"/>
    <w:rsid w:val="007B0648"/>
    <w:rsid w:val="007B13BB"/>
    <w:rsid w:val="007B165A"/>
    <w:rsid w:val="007B2053"/>
    <w:rsid w:val="007B3410"/>
    <w:rsid w:val="007B6964"/>
    <w:rsid w:val="007B78C2"/>
    <w:rsid w:val="007C5008"/>
    <w:rsid w:val="007C5673"/>
    <w:rsid w:val="007C6DF0"/>
    <w:rsid w:val="007C6EE4"/>
    <w:rsid w:val="007D0E56"/>
    <w:rsid w:val="007D1E79"/>
    <w:rsid w:val="007D1F78"/>
    <w:rsid w:val="007D27CF"/>
    <w:rsid w:val="007D31A3"/>
    <w:rsid w:val="007D5CB5"/>
    <w:rsid w:val="007D710C"/>
    <w:rsid w:val="007D7528"/>
    <w:rsid w:val="007E1D3C"/>
    <w:rsid w:val="007E3AB4"/>
    <w:rsid w:val="007E468A"/>
    <w:rsid w:val="007E58FC"/>
    <w:rsid w:val="007E6D02"/>
    <w:rsid w:val="007F207F"/>
    <w:rsid w:val="007F7E0A"/>
    <w:rsid w:val="00802357"/>
    <w:rsid w:val="00802780"/>
    <w:rsid w:val="00803CEC"/>
    <w:rsid w:val="00807ECB"/>
    <w:rsid w:val="00812F92"/>
    <w:rsid w:val="008135EC"/>
    <w:rsid w:val="0081475E"/>
    <w:rsid w:val="00815C5A"/>
    <w:rsid w:val="00822050"/>
    <w:rsid w:val="008246E5"/>
    <w:rsid w:val="00825D3F"/>
    <w:rsid w:val="00825F6C"/>
    <w:rsid w:val="008268FE"/>
    <w:rsid w:val="00830952"/>
    <w:rsid w:val="00831234"/>
    <w:rsid w:val="0083144F"/>
    <w:rsid w:val="00841968"/>
    <w:rsid w:val="008443A9"/>
    <w:rsid w:val="00846EF4"/>
    <w:rsid w:val="008479F2"/>
    <w:rsid w:val="0085548F"/>
    <w:rsid w:val="00856289"/>
    <w:rsid w:val="00860576"/>
    <w:rsid w:val="00861FA9"/>
    <w:rsid w:val="00862564"/>
    <w:rsid w:val="0086345E"/>
    <w:rsid w:val="008674AA"/>
    <w:rsid w:val="00867E6F"/>
    <w:rsid w:val="00870ECF"/>
    <w:rsid w:val="008761FC"/>
    <w:rsid w:val="0088094C"/>
    <w:rsid w:val="00881004"/>
    <w:rsid w:val="00882C40"/>
    <w:rsid w:val="008878AC"/>
    <w:rsid w:val="008953BF"/>
    <w:rsid w:val="008972E2"/>
    <w:rsid w:val="0089779E"/>
    <w:rsid w:val="008A082A"/>
    <w:rsid w:val="008A4152"/>
    <w:rsid w:val="008A4DF4"/>
    <w:rsid w:val="008A6783"/>
    <w:rsid w:val="008A7E58"/>
    <w:rsid w:val="008B0DB3"/>
    <w:rsid w:val="008B1BB7"/>
    <w:rsid w:val="008B1DA9"/>
    <w:rsid w:val="008B21EB"/>
    <w:rsid w:val="008B526B"/>
    <w:rsid w:val="008B7FFC"/>
    <w:rsid w:val="008D33A3"/>
    <w:rsid w:val="008D4715"/>
    <w:rsid w:val="008E03F7"/>
    <w:rsid w:val="008E0638"/>
    <w:rsid w:val="008E3DC4"/>
    <w:rsid w:val="008F189C"/>
    <w:rsid w:val="008F1BBC"/>
    <w:rsid w:val="008F1FE1"/>
    <w:rsid w:val="008F281D"/>
    <w:rsid w:val="008F4486"/>
    <w:rsid w:val="008F4FC6"/>
    <w:rsid w:val="008F5A82"/>
    <w:rsid w:val="008F6BD3"/>
    <w:rsid w:val="00903F5D"/>
    <w:rsid w:val="009055B0"/>
    <w:rsid w:val="009108D0"/>
    <w:rsid w:val="0091544C"/>
    <w:rsid w:val="00916368"/>
    <w:rsid w:val="009165D0"/>
    <w:rsid w:val="00920D43"/>
    <w:rsid w:val="00927FD9"/>
    <w:rsid w:val="00933065"/>
    <w:rsid w:val="00933569"/>
    <w:rsid w:val="0093799C"/>
    <w:rsid w:val="00942835"/>
    <w:rsid w:val="00944003"/>
    <w:rsid w:val="00944804"/>
    <w:rsid w:val="009473D8"/>
    <w:rsid w:val="0095427F"/>
    <w:rsid w:val="00960ADF"/>
    <w:rsid w:val="00962B21"/>
    <w:rsid w:val="00963A0C"/>
    <w:rsid w:val="00964367"/>
    <w:rsid w:val="00964A4A"/>
    <w:rsid w:val="009653C0"/>
    <w:rsid w:val="00970E3D"/>
    <w:rsid w:val="00974A92"/>
    <w:rsid w:val="00974AB5"/>
    <w:rsid w:val="00976BB2"/>
    <w:rsid w:val="0097721C"/>
    <w:rsid w:val="009773E8"/>
    <w:rsid w:val="00980CE6"/>
    <w:rsid w:val="00980FDE"/>
    <w:rsid w:val="009835E3"/>
    <w:rsid w:val="00986050"/>
    <w:rsid w:val="00986455"/>
    <w:rsid w:val="0098739F"/>
    <w:rsid w:val="00987CDB"/>
    <w:rsid w:val="00991B1A"/>
    <w:rsid w:val="00994C5C"/>
    <w:rsid w:val="00994D8A"/>
    <w:rsid w:val="0099709D"/>
    <w:rsid w:val="009A0C8C"/>
    <w:rsid w:val="009A1034"/>
    <w:rsid w:val="009A15B0"/>
    <w:rsid w:val="009A30E0"/>
    <w:rsid w:val="009A3619"/>
    <w:rsid w:val="009A524B"/>
    <w:rsid w:val="009A5F21"/>
    <w:rsid w:val="009A6493"/>
    <w:rsid w:val="009B08AF"/>
    <w:rsid w:val="009B241C"/>
    <w:rsid w:val="009B2FB6"/>
    <w:rsid w:val="009B3DFC"/>
    <w:rsid w:val="009B62F7"/>
    <w:rsid w:val="009B7A7B"/>
    <w:rsid w:val="009C28AC"/>
    <w:rsid w:val="009C37B9"/>
    <w:rsid w:val="009C38E7"/>
    <w:rsid w:val="009C3DBE"/>
    <w:rsid w:val="009C5BEF"/>
    <w:rsid w:val="009D32BD"/>
    <w:rsid w:val="009D4486"/>
    <w:rsid w:val="009D5DAE"/>
    <w:rsid w:val="009E140F"/>
    <w:rsid w:val="009E6F69"/>
    <w:rsid w:val="009F211E"/>
    <w:rsid w:val="009F294E"/>
    <w:rsid w:val="009F30F1"/>
    <w:rsid w:val="009F37C7"/>
    <w:rsid w:val="009F50AB"/>
    <w:rsid w:val="009F5FBB"/>
    <w:rsid w:val="00A000A9"/>
    <w:rsid w:val="00A005F6"/>
    <w:rsid w:val="00A010F7"/>
    <w:rsid w:val="00A0424F"/>
    <w:rsid w:val="00A048C6"/>
    <w:rsid w:val="00A06D09"/>
    <w:rsid w:val="00A11958"/>
    <w:rsid w:val="00A130D6"/>
    <w:rsid w:val="00A14006"/>
    <w:rsid w:val="00A1488A"/>
    <w:rsid w:val="00A17A3E"/>
    <w:rsid w:val="00A2193F"/>
    <w:rsid w:val="00A21FA2"/>
    <w:rsid w:val="00A225EE"/>
    <w:rsid w:val="00A3133F"/>
    <w:rsid w:val="00A3693F"/>
    <w:rsid w:val="00A36AAB"/>
    <w:rsid w:val="00A3775F"/>
    <w:rsid w:val="00A37BA4"/>
    <w:rsid w:val="00A40357"/>
    <w:rsid w:val="00A43739"/>
    <w:rsid w:val="00A453D4"/>
    <w:rsid w:val="00A46BED"/>
    <w:rsid w:val="00A507B5"/>
    <w:rsid w:val="00A51666"/>
    <w:rsid w:val="00A533E3"/>
    <w:rsid w:val="00A539CB"/>
    <w:rsid w:val="00A60A90"/>
    <w:rsid w:val="00A62B78"/>
    <w:rsid w:val="00A63078"/>
    <w:rsid w:val="00A649AA"/>
    <w:rsid w:val="00A64A98"/>
    <w:rsid w:val="00A65124"/>
    <w:rsid w:val="00A660AF"/>
    <w:rsid w:val="00A675FB"/>
    <w:rsid w:val="00A70A95"/>
    <w:rsid w:val="00A72651"/>
    <w:rsid w:val="00A73821"/>
    <w:rsid w:val="00A74920"/>
    <w:rsid w:val="00A74923"/>
    <w:rsid w:val="00A74DC5"/>
    <w:rsid w:val="00A77EE7"/>
    <w:rsid w:val="00A809F0"/>
    <w:rsid w:val="00A93351"/>
    <w:rsid w:val="00A93A39"/>
    <w:rsid w:val="00A97CE6"/>
    <w:rsid w:val="00AA36D1"/>
    <w:rsid w:val="00AA6E8C"/>
    <w:rsid w:val="00AA6F19"/>
    <w:rsid w:val="00AA7A76"/>
    <w:rsid w:val="00AB03EF"/>
    <w:rsid w:val="00AB50EE"/>
    <w:rsid w:val="00AB6F96"/>
    <w:rsid w:val="00AD2631"/>
    <w:rsid w:val="00AD4233"/>
    <w:rsid w:val="00AD58C5"/>
    <w:rsid w:val="00AE3320"/>
    <w:rsid w:val="00AE63BD"/>
    <w:rsid w:val="00AE70A9"/>
    <w:rsid w:val="00AE7682"/>
    <w:rsid w:val="00AF0711"/>
    <w:rsid w:val="00AF0B2B"/>
    <w:rsid w:val="00AF0FA7"/>
    <w:rsid w:val="00AF2914"/>
    <w:rsid w:val="00AF3136"/>
    <w:rsid w:val="00AF363F"/>
    <w:rsid w:val="00AF3A71"/>
    <w:rsid w:val="00AF3E4F"/>
    <w:rsid w:val="00AF6144"/>
    <w:rsid w:val="00B05438"/>
    <w:rsid w:val="00B071FF"/>
    <w:rsid w:val="00B11505"/>
    <w:rsid w:val="00B11DC2"/>
    <w:rsid w:val="00B121D2"/>
    <w:rsid w:val="00B15CAA"/>
    <w:rsid w:val="00B1673B"/>
    <w:rsid w:val="00B17897"/>
    <w:rsid w:val="00B201A8"/>
    <w:rsid w:val="00B20ABA"/>
    <w:rsid w:val="00B20C42"/>
    <w:rsid w:val="00B22CE8"/>
    <w:rsid w:val="00B25714"/>
    <w:rsid w:val="00B2726B"/>
    <w:rsid w:val="00B27C5D"/>
    <w:rsid w:val="00B304D4"/>
    <w:rsid w:val="00B3585E"/>
    <w:rsid w:val="00B37BB0"/>
    <w:rsid w:val="00B40CD3"/>
    <w:rsid w:val="00B41247"/>
    <w:rsid w:val="00B42024"/>
    <w:rsid w:val="00B42807"/>
    <w:rsid w:val="00B428A6"/>
    <w:rsid w:val="00B44E7E"/>
    <w:rsid w:val="00B46FF7"/>
    <w:rsid w:val="00B53913"/>
    <w:rsid w:val="00B54E42"/>
    <w:rsid w:val="00B56906"/>
    <w:rsid w:val="00B57FCC"/>
    <w:rsid w:val="00B61782"/>
    <w:rsid w:val="00B6393C"/>
    <w:rsid w:val="00B63D44"/>
    <w:rsid w:val="00B65AF6"/>
    <w:rsid w:val="00B7031E"/>
    <w:rsid w:val="00B72922"/>
    <w:rsid w:val="00B72A13"/>
    <w:rsid w:val="00B731C4"/>
    <w:rsid w:val="00B73FCD"/>
    <w:rsid w:val="00B75196"/>
    <w:rsid w:val="00B824C4"/>
    <w:rsid w:val="00B84DD5"/>
    <w:rsid w:val="00B87538"/>
    <w:rsid w:val="00B87B26"/>
    <w:rsid w:val="00B91EA6"/>
    <w:rsid w:val="00B9328E"/>
    <w:rsid w:val="00B94CAA"/>
    <w:rsid w:val="00B95910"/>
    <w:rsid w:val="00B97F7D"/>
    <w:rsid w:val="00BA0249"/>
    <w:rsid w:val="00BA0B86"/>
    <w:rsid w:val="00BA24FC"/>
    <w:rsid w:val="00BA394B"/>
    <w:rsid w:val="00BA3A4C"/>
    <w:rsid w:val="00BB0F20"/>
    <w:rsid w:val="00BC1F7E"/>
    <w:rsid w:val="00BC3B5C"/>
    <w:rsid w:val="00BD2CDE"/>
    <w:rsid w:val="00BD41CF"/>
    <w:rsid w:val="00BD7CC1"/>
    <w:rsid w:val="00BE0164"/>
    <w:rsid w:val="00BE0251"/>
    <w:rsid w:val="00BE12BD"/>
    <w:rsid w:val="00BE2554"/>
    <w:rsid w:val="00BE2ED7"/>
    <w:rsid w:val="00BE464D"/>
    <w:rsid w:val="00BE6AB8"/>
    <w:rsid w:val="00BF086D"/>
    <w:rsid w:val="00BF2167"/>
    <w:rsid w:val="00BF2774"/>
    <w:rsid w:val="00BF4013"/>
    <w:rsid w:val="00C02D96"/>
    <w:rsid w:val="00C0551D"/>
    <w:rsid w:val="00C12767"/>
    <w:rsid w:val="00C12883"/>
    <w:rsid w:val="00C12D49"/>
    <w:rsid w:val="00C20795"/>
    <w:rsid w:val="00C20A22"/>
    <w:rsid w:val="00C213DA"/>
    <w:rsid w:val="00C21632"/>
    <w:rsid w:val="00C221AE"/>
    <w:rsid w:val="00C24256"/>
    <w:rsid w:val="00C2444F"/>
    <w:rsid w:val="00C25581"/>
    <w:rsid w:val="00C25BD1"/>
    <w:rsid w:val="00C264E3"/>
    <w:rsid w:val="00C2788D"/>
    <w:rsid w:val="00C313A9"/>
    <w:rsid w:val="00C34803"/>
    <w:rsid w:val="00C35C76"/>
    <w:rsid w:val="00C35E4F"/>
    <w:rsid w:val="00C361F6"/>
    <w:rsid w:val="00C3669A"/>
    <w:rsid w:val="00C41C0B"/>
    <w:rsid w:val="00C423E3"/>
    <w:rsid w:val="00C44428"/>
    <w:rsid w:val="00C45125"/>
    <w:rsid w:val="00C458AF"/>
    <w:rsid w:val="00C47F76"/>
    <w:rsid w:val="00C501EB"/>
    <w:rsid w:val="00C50A80"/>
    <w:rsid w:val="00C52051"/>
    <w:rsid w:val="00C52D48"/>
    <w:rsid w:val="00C54642"/>
    <w:rsid w:val="00C63B9F"/>
    <w:rsid w:val="00C676F3"/>
    <w:rsid w:val="00C72A4C"/>
    <w:rsid w:val="00C72C0C"/>
    <w:rsid w:val="00C731BF"/>
    <w:rsid w:val="00C77EFD"/>
    <w:rsid w:val="00C8009F"/>
    <w:rsid w:val="00C82759"/>
    <w:rsid w:val="00C829DF"/>
    <w:rsid w:val="00C84021"/>
    <w:rsid w:val="00C84EB7"/>
    <w:rsid w:val="00C86C26"/>
    <w:rsid w:val="00C875AE"/>
    <w:rsid w:val="00C905EB"/>
    <w:rsid w:val="00C91188"/>
    <w:rsid w:val="00C9208E"/>
    <w:rsid w:val="00C92700"/>
    <w:rsid w:val="00C92A2F"/>
    <w:rsid w:val="00C9634D"/>
    <w:rsid w:val="00CA28E0"/>
    <w:rsid w:val="00CA762C"/>
    <w:rsid w:val="00CA7B11"/>
    <w:rsid w:val="00CB4F4C"/>
    <w:rsid w:val="00CB5DEF"/>
    <w:rsid w:val="00CB5E49"/>
    <w:rsid w:val="00CC0C54"/>
    <w:rsid w:val="00CC1016"/>
    <w:rsid w:val="00CC48E3"/>
    <w:rsid w:val="00CD09A5"/>
    <w:rsid w:val="00CD0E32"/>
    <w:rsid w:val="00CD39E9"/>
    <w:rsid w:val="00CD4424"/>
    <w:rsid w:val="00CE1966"/>
    <w:rsid w:val="00CE2983"/>
    <w:rsid w:val="00CE392C"/>
    <w:rsid w:val="00CE6764"/>
    <w:rsid w:val="00CF171D"/>
    <w:rsid w:val="00CF1F63"/>
    <w:rsid w:val="00CF2008"/>
    <w:rsid w:val="00CF40D1"/>
    <w:rsid w:val="00CF4188"/>
    <w:rsid w:val="00CF42BA"/>
    <w:rsid w:val="00CF563C"/>
    <w:rsid w:val="00D06213"/>
    <w:rsid w:val="00D07D6A"/>
    <w:rsid w:val="00D24425"/>
    <w:rsid w:val="00D2585F"/>
    <w:rsid w:val="00D277A3"/>
    <w:rsid w:val="00D277C2"/>
    <w:rsid w:val="00D31882"/>
    <w:rsid w:val="00D31BAB"/>
    <w:rsid w:val="00D327FF"/>
    <w:rsid w:val="00D34F24"/>
    <w:rsid w:val="00D35A03"/>
    <w:rsid w:val="00D37358"/>
    <w:rsid w:val="00D37377"/>
    <w:rsid w:val="00D457F9"/>
    <w:rsid w:val="00D45B09"/>
    <w:rsid w:val="00D45B8C"/>
    <w:rsid w:val="00D46729"/>
    <w:rsid w:val="00D5107C"/>
    <w:rsid w:val="00D51538"/>
    <w:rsid w:val="00D532F2"/>
    <w:rsid w:val="00D53744"/>
    <w:rsid w:val="00D5375D"/>
    <w:rsid w:val="00D567E0"/>
    <w:rsid w:val="00D5756F"/>
    <w:rsid w:val="00D578D9"/>
    <w:rsid w:val="00D60356"/>
    <w:rsid w:val="00D606C4"/>
    <w:rsid w:val="00D630DE"/>
    <w:rsid w:val="00D63E46"/>
    <w:rsid w:val="00D664AD"/>
    <w:rsid w:val="00D67E1E"/>
    <w:rsid w:val="00D71B57"/>
    <w:rsid w:val="00D72C82"/>
    <w:rsid w:val="00D7327A"/>
    <w:rsid w:val="00D75AA5"/>
    <w:rsid w:val="00D80A1D"/>
    <w:rsid w:val="00D86818"/>
    <w:rsid w:val="00D87625"/>
    <w:rsid w:val="00D92504"/>
    <w:rsid w:val="00D94745"/>
    <w:rsid w:val="00DA41B2"/>
    <w:rsid w:val="00DA4EE5"/>
    <w:rsid w:val="00DA508B"/>
    <w:rsid w:val="00DA5D06"/>
    <w:rsid w:val="00DA7B20"/>
    <w:rsid w:val="00DB0D4D"/>
    <w:rsid w:val="00DB1DA5"/>
    <w:rsid w:val="00DB2CE4"/>
    <w:rsid w:val="00DB2E02"/>
    <w:rsid w:val="00DB37CF"/>
    <w:rsid w:val="00DB407F"/>
    <w:rsid w:val="00DC6A98"/>
    <w:rsid w:val="00DC7016"/>
    <w:rsid w:val="00DC7245"/>
    <w:rsid w:val="00DC730A"/>
    <w:rsid w:val="00DC75B5"/>
    <w:rsid w:val="00DD12FC"/>
    <w:rsid w:val="00DD296E"/>
    <w:rsid w:val="00DD2E95"/>
    <w:rsid w:val="00DE0E3B"/>
    <w:rsid w:val="00DE130A"/>
    <w:rsid w:val="00DE38B2"/>
    <w:rsid w:val="00DE4148"/>
    <w:rsid w:val="00DE44F5"/>
    <w:rsid w:val="00DE494D"/>
    <w:rsid w:val="00DE5957"/>
    <w:rsid w:val="00DF2208"/>
    <w:rsid w:val="00E00F46"/>
    <w:rsid w:val="00E0623A"/>
    <w:rsid w:val="00E07822"/>
    <w:rsid w:val="00E1008B"/>
    <w:rsid w:val="00E12D6B"/>
    <w:rsid w:val="00E1303E"/>
    <w:rsid w:val="00E145ED"/>
    <w:rsid w:val="00E15596"/>
    <w:rsid w:val="00E166FD"/>
    <w:rsid w:val="00E16CB2"/>
    <w:rsid w:val="00E17247"/>
    <w:rsid w:val="00E24560"/>
    <w:rsid w:val="00E264BB"/>
    <w:rsid w:val="00E26CE0"/>
    <w:rsid w:val="00E276DF"/>
    <w:rsid w:val="00E3040F"/>
    <w:rsid w:val="00E31C2F"/>
    <w:rsid w:val="00E3291F"/>
    <w:rsid w:val="00E3664B"/>
    <w:rsid w:val="00E37870"/>
    <w:rsid w:val="00E37EAE"/>
    <w:rsid w:val="00E4050D"/>
    <w:rsid w:val="00E420BE"/>
    <w:rsid w:val="00E425FF"/>
    <w:rsid w:val="00E427C7"/>
    <w:rsid w:val="00E45E6A"/>
    <w:rsid w:val="00E50A42"/>
    <w:rsid w:val="00E51043"/>
    <w:rsid w:val="00E537FA"/>
    <w:rsid w:val="00E549A2"/>
    <w:rsid w:val="00E55311"/>
    <w:rsid w:val="00E5663F"/>
    <w:rsid w:val="00E56D64"/>
    <w:rsid w:val="00E604A1"/>
    <w:rsid w:val="00E611CC"/>
    <w:rsid w:val="00E63EE0"/>
    <w:rsid w:val="00E65F64"/>
    <w:rsid w:val="00E66A30"/>
    <w:rsid w:val="00E712B1"/>
    <w:rsid w:val="00E75DDF"/>
    <w:rsid w:val="00E76641"/>
    <w:rsid w:val="00E80193"/>
    <w:rsid w:val="00E81B17"/>
    <w:rsid w:val="00E82722"/>
    <w:rsid w:val="00E85BF7"/>
    <w:rsid w:val="00E87A28"/>
    <w:rsid w:val="00E93114"/>
    <w:rsid w:val="00E941E6"/>
    <w:rsid w:val="00E947E6"/>
    <w:rsid w:val="00E95AB3"/>
    <w:rsid w:val="00EA2187"/>
    <w:rsid w:val="00EA5E2D"/>
    <w:rsid w:val="00EA5E85"/>
    <w:rsid w:val="00EA7C7B"/>
    <w:rsid w:val="00EB3A53"/>
    <w:rsid w:val="00EB5058"/>
    <w:rsid w:val="00EB7EB6"/>
    <w:rsid w:val="00EC194E"/>
    <w:rsid w:val="00EC496C"/>
    <w:rsid w:val="00EC5057"/>
    <w:rsid w:val="00EC70BC"/>
    <w:rsid w:val="00ED018E"/>
    <w:rsid w:val="00ED1A67"/>
    <w:rsid w:val="00ED2F4A"/>
    <w:rsid w:val="00ED3283"/>
    <w:rsid w:val="00ED77CF"/>
    <w:rsid w:val="00EE55F9"/>
    <w:rsid w:val="00EE59B6"/>
    <w:rsid w:val="00EE62A5"/>
    <w:rsid w:val="00EF0734"/>
    <w:rsid w:val="00EF32C4"/>
    <w:rsid w:val="00EF39AD"/>
    <w:rsid w:val="00EF4195"/>
    <w:rsid w:val="00EF5F63"/>
    <w:rsid w:val="00F05C27"/>
    <w:rsid w:val="00F11454"/>
    <w:rsid w:val="00F125DA"/>
    <w:rsid w:val="00F15575"/>
    <w:rsid w:val="00F1782F"/>
    <w:rsid w:val="00F20A42"/>
    <w:rsid w:val="00F221FC"/>
    <w:rsid w:val="00F2269C"/>
    <w:rsid w:val="00F2485C"/>
    <w:rsid w:val="00F24F1B"/>
    <w:rsid w:val="00F26820"/>
    <w:rsid w:val="00F31B79"/>
    <w:rsid w:val="00F33859"/>
    <w:rsid w:val="00F35614"/>
    <w:rsid w:val="00F436D8"/>
    <w:rsid w:val="00F43BDB"/>
    <w:rsid w:val="00F46C28"/>
    <w:rsid w:val="00F53254"/>
    <w:rsid w:val="00F53D7C"/>
    <w:rsid w:val="00F627E4"/>
    <w:rsid w:val="00F6377B"/>
    <w:rsid w:val="00F65D8E"/>
    <w:rsid w:val="00F665A8"/>
    <w:rsid w:val="00F669B9"/>
    <w:rsid w:val="00F72573"/>
    <w:rsid w:val="00F73268"/>
    <w:rsid w:val="00F819C9"/>
    <w:rsid w:val="00F8259F"/>
    <w:rsid w:val="00F853F2"/>
    <w:rsid w:val="00F86BC7"/>
    <w:rsid w:val="00F901AD"/>
    <w:rsid w:val="00FA0D89"/>
    <w:rsid w:val="00FA1EE6"/>
    <w:rsid w:val="00FA2987"/>
    <w:rsid w:val="00FA584E"/>
    <w:rsid w:val="00FA6D24"/>
    <w:rsid w:val="00FB2251"/>
    <w:rsid w:val="00FB3ABD"/>
    <w:rsid w:val="00FB59A0"/>
    <w:rsid w:val="00FB6596"/>
    <w:rsid w:val="00FC42BD"/>
    <w:rsid w:val="00FC62D7"/>
    <w:rsid w:val="00FD2E9B"/>
    <w:rsid w:val="00FD3552"/>
    <w:rsid w:val="00FD3D6E"/>
    <w:rsid w:val="00FD6834"/>
    <w:rsid w:val="00FE008D"/>
    <w:rsid w:val="00FE065B"/>
    <w:rsid w:val="00FE090E"/>
    <w:rsid w:val="00FE0E9D"/>
    <w:rsid w:val="00FE11E5"/>
    <w:rsid w:val="00FE2BBF"/>
    <w:rsid w:val="00FE50EB"/>
    <w:rsid w:val="00FE703A"/>
    <w:rsid w:val="00FE7A4D"/>
    <w:rsid w:val="00FF1F53"/>
    <w:rsid w:val="00FF59F3"/>
    <w:rsid w:val="00FF6D2A"/>
    <w:rsid w:val="00FF7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7696"/>
  <w15:docId w15:val="{42F4F8DB-C827-46D4-8A4C-AC94D479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paragraph" w:styleId="Heading3">
    <w:name w:val="heading 3"/>
    <w:basedOn w:val="Normal"/>
    <w:next w:val="Normal"/>
    <w:link w:val="Heading3Char"/>
    <w:uiPriority w:val="9"/>
    <w:semiHidden/>
    <w:unhideWhenUsed/>
    <w:qFormat/>
    <w:rsid w:val="00D46729"/>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Normal1">
    <w:name w:val="Normal1"/>
    <w:basedOn w:val="Normal"/>
    <w:rsid w:val="00DB2CE4"/>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DB2CE4"/>
    <w:pPr>
      <w:spacing w:before="100" w:beforeAutospacing="1" w:after="100" w:afterAutospacing="1"/>
    </w:pPr>
    <w:rPr>
      <w:rFonts w:ascii="Times New Roman" w:hAnsi="Times New Roman"/>
      <w:sz w:val="24"/>
      <w:lang w:eastAsia="en-ZA"/>
    </w:rPr>
  </w:style>
  <w:style w:type="paragraph" w:customStyle="1" w:styleId="para-10">
    <w:name w:val="para-10"/>
    <w:basedOn w:val="Normal"/>
    <w:rsid w:val="00054804"/>
    <w:pPr>
      <w:spacing w:before="100" w:beforeAutospacing="1" w:after="100" w:afterAutospacing="1"/>
    </w:pPr>
    <w:rPr>
      <w:rFonts w:ascii="Times New Roman" w:hAnsi="Times New Roman"/>
      <w:sz w:val="24"/>
      <w:lang w:eastAsia="en-ZA"/>
    </w:rPr>
  </w:style>
  <w:style w:type="character" w:customStyle="1" w:styleId="popup-link">
    <w:name w:val="popup-link"/>
    <w:basedOn w:val="DefaultParagraphFont"/>
    <w:rsid w:val="00054804"/>
  </w:style>
  <w:style w:type="character" w:customStyle="1" w:styleId="footnote-link">
    <w:name w:val="footnote-link"/>
    <w:basedOn w:val="DefaultParagraphFont"/>
    <w:rsid w:val="00054804"/>
  </w:style>
  <w:style w:type="character" w:styleId="Hyperlink">
    <w:name w:val="Hyperlink"/>
    <w:basedOn w:val="DefaultParagraphFont"/>
    <w:uiPriority w:val="99"/>
    <w:unhideWhenUsed/>
    <w:rsid w:val="00701BBE"/>
    <w:rPr>
      <w:color w:val="0000FF"/>
      <w:u w:val="single"/>
    </w:rPr>
  </w:style>
  <w:style w:type="table" w:styleId="TableGrid">
    <w:name w:val="Table Grid"/>
    <w:basedOn w:val="TableNormal"/>
    <w:uiPriority w:val="39"/>
    <w:rsid w:val="00CC4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
    <w:name w:val="mc"/>
    <w:basedOn w:val="DefaultParagraphFont"/>
    <w:rsid w:val="00E12D6B"/>
  </w:style>
  <w:style w:type="paragraph" w:customStyle="1" w:styleId="lrpara">
    <w:name w:val="lrpara"/>
    <w:basedOn w:val="Normal"/>
    <w:rsid w:val="003B142D"/>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3B142D"/>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3B142D"/>
    <w:pPr>
      <w:spacing w:before="100" w:beforeAutospacing="1" w:after="100" w:afterAutospacing="1"/>
    </w:pPr>
    <w:rPr>
      <w:rFonts w:ascii="Times New Roman" w:hAnsi="Times New Roman"/>
      <w:sz w:val="24"/>
      <w:lang w:eastAsia="en-ZA"/>
    </w:rPr>
  </w:style>
  <w:style w:type="paragraph" w:styleId="Revision">
    <w:name w:val="Revision"/>
    <w:hidden/>
    <w:uiPriority w:val="99"/>
    <w:semiHidden/>
    <w:rsid w:val="00FA2987"/>
    <w:rPr>
      <w:rFonts w:ascii="Arial" w:hAnsi="Arial"/>
      <w:sz w:val="22"/>
      <w:szCs w:val="24"/>
      <w:lang w:eastAsia="en-US"/>
    </w:rPr>
  </w:style>
  <w:style w:type="character" w:customStyle="1" w:styleId="footnoteanchor">
    <w:name w:val="footnoteanchor"/>
    <w:basedOn w:val="DefaultParagraphFont"/>
    <w:rsid w:val="00597E64"/>
  </w:style>
  <w:style w:type="character" w:customStyle="1" w:styleId="italic">
    <w:name w:val="italic"/>
    <w:basedOn w:val="DefaultParagraphFont"/>
    <w:rsid w:val="00A64A98"/>
  </w:style>
  <w:style w:type="paragraph" w:customStyle="1" w:styleId="Quote1">
    <w:name w:val="Quote1"/>
    <w:basedOn w:val="Normal"/>
    <w:rsid w:val="00B54E42"/>
    <w:pPr>
      <w:adjustRightInd w:val="0"/>
      <w:spacing w:before="120"/>
      <w:ind w:left="567" w:right="567"/>
      <w:jc w:val="both"/>
    </w:pPr>
    <w:rPr>
      <w:rFonts w:ascii="Verdana" w:hAnsi="Verdana"/>
      <w:sz w:val="16"/>
      <w:szCs w:val="20"/>
      <w:lang w:val="en-US" w:eastAsia="en-ZA"/>
    </w:rPr>
  </w:style>
  <w:style w:type="character" w:customStyle="1" w:styleId="Heading3Char">
    <w:name w:val="Heading 3 Char"/>
    <w:basedOn w:val="DefaultParagraphFont"/>
    <w:link w:val="Heading3"/>
    <w:uiPriority w:val="9"/>
    <w:semiHidden/>
    <w:rsid w:val="00D46729"/>
    <w:rPr>
      <w:rFonts w:asciiTheme="majorHAnsi" w:eastAsiaTheme="majorEastAsia" w:hAnsiTheme="majorHAnsi" w:cstheme="majorBidi"/>
      <w:color w:val="243F60" w:themeColor="accent1" w:themeShade="7F"/>
      <w:sz w:val="24"/>
      <w:szCs w:val="24"/>
      <w:lang w:eastAsia="en-US"/>
    </w:rPr>
  </w:style>
  <w:style w:type="paragraph" w:customStyle="1" w:styleId="Indent">
    <w:name w:val="Indent"/>
    <w:basedOn w:val="Normal"/>
    <w:rsid w:val="00622ED5"/>
    <w:pPr>
      <w:numPr>
        <w:numId w:val="15"/>
      </w:numPr>
    </w:pPr>
    <w:rPr>
      <w:rFonts w:ascii="Times New Roman" w:hAnsi="Times New Roman"/>
      <w:sz w:val="24"/>
      <w:szCs w:val="20"/>
      <w:lang w:val="en-US"/>
    </w:rPr>
  </w:style>
  <w:style w:type="paragraph" w:styleId="NormalWeb">
    <w:name w:val="Normal (Web)"/>
    <w:basedOn w:val="Normal"/>
    <w:uiPriority w:val="99"/>
    <w:unhideWhenUsed/>
    <w:rsid w:val="00150E8B"/>
    <w:pPr>
      <w:spacing w:before="100" w:beforeAutospacing="1" w:after="100" w:afterAutospacing="1"/>
    </w:pPr>
    <w:rPr>
      <w:rFonts w:ascii="Times New Roman" w:hAnsi="Times New Roman"/>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07940296">
      <w:bodyDiv w:val="1"/>
      <w:marLeft w:val="0"/>
      <w:marRight w:val="0"/>
      <w:marTop w:val="0"/>
      <w:marBottom w:val="0"/>
      <w:divBdr>
        <w:top w:val="none" w:sz="0" w:space="0" w:color="auto"/>
        <w:left w:val="none" w:sz="0" w:space="0" w:color="auto"/>
        <w:bottom w:val="none" w:sz="0" w:space="0" w:color="auto"/>
        <w:right w:val="none" w:sz="0" w:space="0" w:color="auto"/>
      </w:divBdr>
    </w:div>
    <w:div w:id="178859699">
      <w:bodyDiv w:val="1"/>
      <w:marLeft w:val="0"/>
      <w:marRight w:val="0"/>
      <w:marTop w:val="0"/>
      <w:marBottom w:val="0"/>
      <w:divBdr>
        <w:top w:val="none" w:sz="0" w:space="0" w:color="auto"/>
        <w:left w:val="none" w:sz="0" w:space="0" w:color="auto"/>
        <w:bottom w:val="none" w:sz="0" w:space="0" w:color="auto"/>
        <w:right w:val="none" w:sz="0" w:space="0" w:color="auto"/>
      </w:divBdr>
    </w:div>
    <w:div w:id="2180544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76204756">
      <w:bodyDiv w:val="1"/>
      <w:marLeft w:val="0"/>
      <w:marRight w:val="0"/>
      <w:marTop w:val="0"/>
      <w:marBottom w:val="0"/>
      <w:divBdr>
        <w:top w:val="none" w:sz="0" w:space="0" w:color="auto"/>
        <w:left w:val="none" w:sz="0" w:space="0" w:color="auto"/>
        <w:bottom w:val="none" w:sz="0" w:space="0" w:color="auto"/>
        <w:right w:val="none" w:sz="0" w:space="0" w:color="auto"/>
      </w:divBdr>
    </w:div>
    <w:div w:id="466508592">
      <w:bodyDiv w:val="1"/>
      <w:marLeft w:val="0"/>
      <w:marRight w:val="0"/>
      <w:marTop w:val="0"/>
      <w:marBottom w:val="0"/>
      <w:divBdr>
        <w:top w:val="none" w:sz="0" w:space="0" w:color="auto"/>
        <w:left w:val="none" w:sz="0" w:space="0" w:color="auto"/>
        <w:bottom w:val="none" w:sz="0" w:space="0" w:color="auto"/>
        <w:right w:val="none" w:sz="0" w:space="0" w:color="auto"/>
      </w:divBdr>
    </w:div>
    <w:div w:id="508057950">
      <w:bodyDiv w:val="1"/>
      <w:marLeft w:val="0"/>
      <w:marRight w:val="0"/>
      <w:marTop w:val="0"/>
      <w:marBottom w:val="0"/>
      <w:divBdr>
        <w:top w:val="none" w:sz="0" w:space="0" w:color="auto"/>
        <w:left w:val="none" w:sz="0" w:space="0" w:color="auto"/>
        <w:bottom w:val="none" w:sz="0" w:space="0" w:color="auto"/>
        <w:right w:val="none" w:sz="0" w:space="0" w:color="auto"/>
      </w:divBdr>
    </w:div>
    <w:div w:id="730809466">
      <w:bodyDiv w:val="1"/>
      <w:marLeft w:val="0"/>
      <w:marRight w:val="0"/>
      <w:marTop w:val="0"/>
      <w:marBottom w:val="0"/>
      <w:divBdr>
        <w:top w:val="none" w:sz="0" w:space="0" w:color="auto"/>
        <w:left w:val="none" w:sz="0" w:space="0" w:color="auto"/>
        <w:bottom w:val="none" w:sz="0" w:space="0" w:color="auto"/>
        <w:right w:val="none" w:sz="0" w:space="0" w:color="auto"/>
      </w:divBdr>
    </w:div>
    <w:div w:id="790783525">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272517094">
      <w:bodyDiv w:val="1"/>
      <w:marLeft w:val="0"/>
      <w:marRight w:val="0"/>
      <w:marTop w:val="0"/>
      <w:marBottom w:val="0"/>
      <w:divBdr>
        <w:top w:val="none" w:sz="0" w:space="0" w:color="auto"/>
        <w:left w:val="none" w:sz="0" w:space="0" w:color="auto"/>
        <w:bottom w:val="none" w:sz="0" w:space="0" w:color="auto"/>
        <w:right w:val="none" w:sz="0" w:space="0" w:color="auto"/>
      </w:divBdr>
      <w:divsChild>
        <w:div w:id="621888388">
          <w:marLeft w:val="0"/>
          <w:marRight w:val="0"/>
          <w:marTop w:val="120"/>
          <w:marBottom w:val="0"/>
          <w:divBdr>
            <w:top w:val="none" w:sz="0" w:space="0" w:color="auto"/>
            <w:left w:val="none" w:sz="0" w:space="0" w:color="auto"/>
            <w:bottom w:val="none" w:sz="0" w:space="0" w:color="auto"/>
            <w:right w:val="none" w:sz="0" w:space="0" w:color="auto"/>
          </w:divBdr>
        </w:div>
      </w:divsChild>
    </w:div>
    <w:div w:id="1311442725">
      <w:bodyDiv w:val="1"/>
      <w:marLeft w:val="0"/>
      <w:marRight w:val="0"/>
      <w:marTop w:val="0"/>
      <w:marBottom w:val="0"/>
      <w:divBdr>
        <w:top w:val="none" w:sz="0" w:space="0" w:color="auto"/>
        <w:left w:val="none" w:sz="0" w:space="0" w:color="auto"/>
        <w:bottom w:val="none" w:sz="0" w:space="0" w:color="auto"/>
        <w:right w:val="none" w:sz="0" w:space="0" w:color="auto"/>
      </w:divBdr>
    </w:div>
    <w:div w:id="1354575220">
      <w:bodyDiv w:val="1"/>
      <w:marLeft w:val="0"/>
      <w:marRight w:val="0"/>
      <w:marTop w:val="0"/>
      <w:marBottom w:val="0"/>
      <w:divBdr>
        <w:top w:val="none" w:sz="0" w:space="0" w:color="auto"/>
        <w:left w:val="none" w:sz="0" w:space="0" w:color="auto"/>
        <w:bottom w:val="none" w:sz="0" w:space="0" w:color="auto"/>
        <w:right w:val="none" w:sz="0" w:space="0" w:color="auto"/>
      </w:divBdr>
    </w:div>
    <w:div w:id="1366829353">
      <w:bodyDiv w:val="1"/>
      <w:marLeft w:val="0"/>
      <w:marRight w:val="0"/>
      <w:marTop w:val="0"/>
      <w:marBottom w:val="0"/>
      <w:divBdr>
        <w:top w:val="none" w:sz="0" w:space="0" w:color="auto"/>
        <w:left w:val="none" w:sz="0" w:space="0" w:color="auto"/>
        <w:bottom w:val="none" w:sz="0" w:space="0" w:color="auto"/>
        <w:right w:val="none" w:sz="0" w:space="0" w:color="auto"/>
      </w:divBdr>
    </w:div>
    <w:div w:id="1439563795">
      <w:bodyDiv w:val="1"/>
      <w:marLeft w:val="0"/>
      <w:marRight w:val="0"/>
      <w:marTop w:val="0"/>
      <w:marBottom w:val="0"/>
      <w:divBdr>
        <w:top w:val="none" w:sz="0" w:space="0" w:color="auto"/>
        <w:left w:val="none" w:sz="0" w:space="0" w:color="auto"/>
        <w:bottom w:val="none" w:sz="0" w:space="0" w:color="auto"/>
        <w:right w:val="none" w:sz="0" w:space="0" w:color="auto"/>
      </w:divBdr>
    </w:div>
    <w:div w:id="1440948415">
      <w:bodyDiv w:val="1"/>
      <w:marLeft w:val="0"/>
      <w:marRight w:val="0"/>
      <w:marTop w:val="0"/>
      <w:marBottom w:val="0"/>
      <w:divBdr>
        <w:top w:val="none" w:sz="0" w:space="0" w:color="auto"/>
        <w:left w:val="none" w:sz="0" w:space="0" w:color="auto"/>
        <w:bottom w:val="none" w:sz="0" w:space="0" w:color="auto"/>
        <w:right w:val="none" w:sz="0" w:space="0" w:color="auto"/>
      </w:divBdr>
      <w:divsChild>
        <w:div w:id="229080418">
          <w:marLeft w:val="1985"/>
          <w:marRight w:val="0"/>
          <w:marTop w:val="60"/>
          <w:marBottom w:val="0"/>
          <w:divBdr>
            <w:top w:val="none" w:sz="0" w:space="0" w:color="auto"/>
            <w:left w:val="none" w:sz="0" w:space="0" w:color="auto"/>
            <w:bottom w:val="none" w:sz="0" w:space="0" w:color="auto"/>
            <w:right w:val="none" w:sz="0" w:space="0" w:color="auto"/>
          </w:divBdr>
        </w:div>
        <w:div w:id="275718915">
          <w:marLeft w:val="0"/>
          <w:marRight w:val="0"/>
          <w:marTop w:val="120"/>
          <w:marBottom w:val="0"/>
          <w:divBdr>
            <w:top w:val="none" w:sz="0" w:space="0" w:color="auto"/>
            <w:left w:val="none" w:sz="0" w:space="0" w:color="auto"/>
            <w:bottom w:val="none" w:sz="0" w:space="0" w:color="auto"/>
            <w:right w:val="none" w:sz="0" w:space="0" w:color="auto"/>
          </w:divBdr>
        </w:div>
        <w:div w:id="838615442">
          <w:marLeft w:val="1985"/>
          <w:marRight w:val="0"/>
          <w:marTop w:val="60"/>
          <w:marBottom w:val="0"/>
          <w:divBdr>
            <w:top w:val="none" w:sz="0" w:space="0" w:color="auto"/>
            <w:left w:val="none" w:sz="0" w:space="0" w:color="auto"/>
            <w:bottom w:val="none" w:sz="0" w:space="0" w:color="auto"/>
            <w:right w:val="none" w:sz="0" w:space="0" w:color="auto"/>
          </w:divBdr>
        </w:div>
        <w:div w:id="1278102533">
          <w:marLeft w:val="1134"/>
          <w:marRight w:val="0"/>
          <w:marTop w:val="60"/>
          <w:marBottom w:val="0"/>
          <w:divBdr>
            <w:top w:val="none" w:sz="0" w:space="0" w:color="auto"/>
            <w:left w:val="none" w:sz="0" w:space="0" w:color="auto"/>
            <w:bottom w:val="none" w:sz="0" w:space="0" w:color="auto"/>
            <w:right w:val="none" w:sz="0" w:space="0" w:color="auto"/>
          </w:divBdr>
        </w:div>
        <w:div w:id="1386904079">
          <w:marLeft w:val="1134"/>
          <w:marRight w:val="0"/>
          <w:marTop w:val="60"/>
          <w:marBottom w:val="0"/>
          <w:divBdr>
            <w:top w:val="none" w:sz="0" w:space="0" w:color="auto"/>
            <w:left w:val="none" w:sz="0" w:space="0" w:color="auto"/>
            <w:bottom w:val="none" w:sz="0" w:space="0" w:color="auto"/>
            <w:right w:val="none" w:sz="0" w:space="0" w:color="auto"/>
          </w:divBdr>
        </w:div>
        <w:div w:id="2041277253">
          <w:marLeft w:val="1134"/>
          <w:marRight w:val="0"/>
          <w:marTop w:val="6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26761566">
      <w:bodyDiv w:val="1"/>
      <w:marLeft w:val="0"/>
      <w:marRight w:val="0"/>
      <w:marTop w:val="0"/>
      <w:marBottom w:val="0"/>
      <w:divBdr>
        <w:top w:val="none" w:sz="0" w:space="0" w:color="auto"/>
        <w:left w:val="none" w:sz="0" w:space="0" w:color="auto"/>
        <w:bottom w:val="none" w:sz="0" w:space="0" w:color="auto"/>
        <w:right w:val="none" w:sz="0" w:space="0" w:color="auto"/>
      </w:divBdr>
      <w:divsChild>
        <w:div w:id="1316491851">
          <w:marLeft w:val="0"/>
          <w:marRight w:val="0"/>
          <w:marTop w:val="120"/>
          <w:marBottom w:val="0"/>
          <w:divBdr>
            <w:top w:val="none" w:sz="0" w:space="0" w:color="auto"/>
            <w:left w:val="none" w:sz="0" w:space="0" w:color="auto"/>
            <w:bottom w:val="none" w:sz="0" w:space="0" w:color="auto"/>
            <w:right w:val="none" w:sz="0" w:space="0" w:color="auto"/>
          </w:divBdr>
        </w:div>
        <w:div w:id="1588494043">
          <w:marLeft w:val="0"/>
          <w:marRight w:val="0"/>
          <w:marTop w:val="240"/>
          <w:marBottom w:val="0"/>
          <w:divBdr>
            <w:top w:val="none" w:sz="0" w:space="0" w:color="auto"/>
            <w:left w:val="none" w:sz="0" w:space="0" w:color="auto"/>
            <w:bottom w:val="none" w:sz="0" w:space="0" w:color="auto"/>
            <w:right w:val="none" w:sz="0" w:space="0" w:color="auto"/>
          </w:divBdr>
        </w:div>
      </w:divsChild>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833179417">
      <w:bodyDiv w:val="1"/>
      <w:marLeft w:val="0"/>
      <w:marRight w:val="0"/>
      <w:marTop w:val="0"/>
      <w:marBottom w:val="0"/>
      <w:divBdr>
        <w:top w:val="none" w:sz="0" w:space="0" w:color="auto"/>
        <w:left w:val="none" w:sz="0" w:space="0" w:color="auto"/>
        <w:bottom w:val="none" w:sz="0" w:space="0" w:color="auto"/>
        <w:right w:val="none" w:sz="0" w:space="0" w:color="auto"/>
      </w:divBdr>
      <w:divsChild>
        <w:div w:id="28145141">
          <w:marLeft w:val="0"/>
          <w:marRight w:val="0"/>
          <w:marTop w:val="240"/>
          <w:marBottom w:val="0"/>
          <w:divBdr>
            <w:top w:val="none" w:sz="0" w:space="0" w:color="auto"/>
            <w:left w:val="none" w:sz="0" w:space="0" w:color="auto"/>
            <w:bottom w:val="none" w:sz="0" w:space="0" w:color="auto"/>
            <w:right w:val="none" w:sz="0" w:space="0" w:color="auto"/>
          </w:divBdr>
        </w:div>
        <w:div w:id="1470047754">
          <w:marLeft w:val="0"/>
          <w:marRight w:val="0"/>
          <w:marTop w:val="120"/>
          <w:marBottom w:val="0"/>
          <w:divBdr>
            <w:top w:val="none" w:sz="0" w:space="0" w:color="auto"/>
            <w:left w:val="none" w:sz="0" w:space="0" w:color="auto"/>
            <w:bottom w:val="none" w:sz="0" w:space="0" w:color="auto"/>
            <w:right w:val="none" w:sz="0" w:space="0" w:color="auto"/>
          </w:divBdr>
        </w:div>
      </w:divsChild>
    </w:div>
    <w:div w:id="1844784232">
      <w:bodyDiv w:val="1"/>
      <w:marLeft w:val="0"/>
      <w:marRight w:val="0"/>
      <w:marTop w:val="0"/>
      <w:marBottom w:val="0"/>
      <w:divBdr>
        <w:top w:val="none" w:sz="0" w:space="0" w:color="auto"/>
        <w:left w:val="none" w:sz="0" w:space="0" w:color="auto"/>
        <w:bottom w:val="none" w:sz="0" w:space="0" w:color="auto"/>
        <w:right w:val="none" w:sz="0" w:space="0" w:color="auto"/>
      </w:divBdr>
    </w:div>
    <w:div w:id="2061900314">
      <w:bodyDiv w:val="1"/>
      <w:marLeft w:val="0"/>
      <w:marRight w:val="0"/>
      <w:marTop w:val="0"/>
      <w:marBottom w:val="0"/>
      <w:divBdr>
        <w:top w:val="none" w:sz="0" w:space="0" w:color="auto"/>
        <w:left w:val="none" w:sz="0" w:space="0" w:color="auto"/>
        <w:bottom w:val="none" w:sz="0" w:space="0" w:color="auto"/>
        <w:right w:val="none" w:sz="0" w:space="0" w:color="auto"/>
      </w:divBdr>
      <w:divsChild>
        <w:div w:id="314454383">
          <w:marLeft w:val="0"/>
          <w:marRight w:val="0"/>
          <w:marTop w:val="240"/>
          <w:marBottom w:val="0"/>
          <w:divBdr>
            <w:top w:val="none" w:sz="0" w:space="0" w:color="auto"/>
            <w:left w:val="none" w:sz="0" w:space="0" w:color="auto"/>
            <w:bottom w:val="none" w:sz="0" w:space="0" w:color="auto"/>
            <w:right w:val="none" w:sz="0" w:space="0" w:color="auto"/>
          </w:divBdr>
        </w:div>
        <w:div w:id="344787395">
          <w:marLeft w:val="0"/>
          <w:marRight w:val="0"/>
          <w:marTop w:val="120"/>
          <w:marBottom w:val="0"/>
          <w:divBdr>
            <w:top w:val="none" w:sz="0" w:space="0" w:color="auto"/>
            <w:left w:val="none" w:sz="0" w:space="0" w:color="auto"/>
            <w:bottom w:val="none" w:sz="0" w:space="0" w:color="auto"/>
            <w:right w:val="none" w:sz="0" w:space="0" w:color="auto"/>
          </w:divBdr>
        </w:div>
      </w:divsChild>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jutastatevolve.co.za/y1912ADpg181" TargetMode="External"/><Relationship Id="rId4" Type="http://schemas.openxmlformats.org/officeDocument/2006/relationships/settings" Target="settings.xml"/><Relationship Id="rId9" Type="http://schemas.openxmlformats.org/officeDocument/2006/relationships/hyperlink" Target="https://app.jutastatevolve.co.za/y1984v1SApg45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1912ADpg181" TargetMode="External"/><Relationship Id="rId2" Type="http://schemas.openxmlformats.org/officeDocument/2006/relationships/hyperlink" Target="https://app.jutastatevolve.co.za/y1912ADpg181" TargetMode="External"/><Relationship Id="rId1" Type="http://schemas.openxmlformats.org/officeDocument/2006/relationships/hyperlink" Target="https://app.jutastatevolve.co.za/" TargetMode="External"/><Relationship Id="rId4" Type="http://schemas.openxmlformats.org/officeDocument/2006/relationships/hyperlink" Target="https://app.jutastatevolve.co.za/y1954v2SApg3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4209-125E-4790-A24C-C20EB794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5</TotalTime>
  <Pages>1</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4</cp:revision>
  <cp:lastPrinted>2023-05-26T18:13:00Z</cp:lastPrinted>
  <dcterms:created xsi:type="dcterms:W3CDTF">2023-06-14T13:49:00Z</dcterms:created>
  <dcterms:modified xsi:type="dcterms:W3CDTF">2023-06-14T13:54:00Z</dcterms:modified>
</cp:coreProperties>
</file>