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bookmarkStart w:id="0" w:name="_GoBack"/>
      <w:bookmarkEnd w:id="0"/>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832A4B">
      <w:pPr>
        <w:spacing w:line="360" w:lineRule="auto"/>
        <w:jc w:val="center"/>
        <w:rPr>
          <w:rFonts w:cs="Arial"/>
          <w:b/>
          <w:szCs w:val="22"/>
        </w:rPr>
      </w:pPr>
      <w:r w:rsidRPr="0009745A">
        <w:rPr>
          <w:rFonts w:cs="Arial"/>
          <w:b/>
          <w:szCs w:val="22"/>
        </w:rPr>
        <w:t xml:space="preserve">IN THE HIGH COURT OF SOUTH AFRICA, </w:t>
      </w:r>
    </w:p>
    <w:p w14:paraId="13D6E83E" w14:textId="23A51226" w:rsidR="006C43D7" w:rsidRDefault="006C43D7" w:rsidP="00832A4B">
      <w:pPr>
        <w:spacing w:line="360" w:lineRule="auto"/>
        <w:jc w:val="center"/>
        <w:rPr>
          <w:rFonts w:cs="Arial"/>
          <w:b/>
          <w:szCs w:val="22"/>
        </w:rPr>
      </w:pPr>
      <w:r w:rsidRPr="0009745A">
        <w:rPr>
          <w:rFonts w:cs="Arial"/>
          <w:b/>
          <w:szCs w:val="22"/>
        </w:rPr>
        <w:t>GAUTENG DIVISION, JOHANNESBURG</w:t>
      </w:r>
    </w:p>
    <w:p w14:paraId="5D943039" w14:textId="373B10D0" w:rsidR="008C00C5" w:rsidRDefault="008C00C5" w:rsidP="00832A4B">
      <w:pPr>
        <w:spacing w:line="360" w:lineRule="auto"/>
        <w:jc w:val="center"/>
        <w:rPr>
          <w:rFonts w:cs="Arial"/>
          <w:b/>
          <w:szCs w:val="22"/>
        </w:rPr>
      </w:pPr>
    </w:p>
    <w:p w14:paraId="7000DED7" w14:textId="4888FB48" w:rsidR="008C00C5" w:rsidRDefault="008C00C5" w:rsidP="00832A4B">
      <w:pPr>
        <w:spacing w:line="360" w:lineRule="auto"/>
        <w:jc w:val="center"/>
        <w:rPr>
          <w:rFonts w:cs="Arial"/>
          <w:b/>
          <w:szCs w:val="22"/>
        </w:rPr>
      </w:pPr>
    </w:p>
    <w:p w14:paraId="4A1CD5B1" w14:textId="77777777" w:rsidR="008C00C5" w:rsidRPr="0009745A" w:rsidRDefault="008C00C5" w:rsidP="00832A4B">
      <w:pPr>
        <w:spacing w:line="360" w:lineRule="auto"/>
        <w:jc w:val="center"/>
        <w:rPr>
          <w:rFonts w:cs="Arial"/>
          <w:b/>
          <w:szCs w:val="22"/>
        </w:rPr>
      </w:pPr>
    </w:p>
    <w:p w14:paraId="3698476C" w14:textId="5190E38D" w:rsidR="006C43D7" w:rsidRPr="00A813C8" w:rsidRDefault="00EC6E87" w:rsidP="00AC7493">
      <w:pPr>
        <w:spacing w:line="360" w:lineRule="auto"/>
        <w:jc w:val="right"/>
        <w:rPr>
          <w:rFonts w:cs="Arial"/>
          <w:b/>
          <w:szCs w:val="22"/>
        </w:rPr>
      </w:pPr>
      <w:r>
        <w:rPr>
          <w:rFonts w:cs="Arial"/>
          <w:b/>
          <w:szCs w:val="22"/>
        </w:rPr>
        <w:t xml:space="preserve">CASE NO: </w:t>
      </w:r>
      <w:r w:rsidR="00A813C8" w:rsidRPr="00A813C8">
        <w:rPr>
          <w:rFonts w:cs="Arial"/>
          <w:b/>
          <w:szCs w:val="22"/>
        </w:rPr>
        <w:t>2022</w:t>
      </w:r>
      <w:r>
        <w:rPr>
          <w:rFonts w:cs="Arial"/>
          <w:b/>
          <w:szCs w:val="22"/>
        </w:rPr>
        <w:t>/20849</w:t>
      </w:r>
    </w:p>
    <w:p w14:paraId="61F632DB" w14:textId="73FC3457" w:rsidR="00392DB9" w:rsidRPr="00392DB9" w:rsidRDefault="00392DB9">
      <w:pPr>
        <w:spacing w:line="360" w:lineRule="auto"/>
        <w:jc w:val="right"/>
        <w:rPr>
          <w:rFonts w:cs="Arial"/>
          <w:b/>
          <w:szCs w:val="22"/>
        </w:rPr>
      </w:pPr>
    </w:p>
    <w:p w14:paraId="0AF8DD38" w14:textId="0F9033BE" w:rsidR="006C43D7" w:rsidRPr="0009745A" w:rsidRDefault="00007CC6">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AC40AF" w:rsidRPr="00913F95" w:rsidRDefault="00AC40AF" w:rsidP="006C43D7">
                            <w:pPr>
                              <w:jc w:val="center"/>
                              <w:rPr>
                                <w:rFonts w:ascii="Century Gothic" w:hAnsi="Century Gothic"/>
                                <w:b/>
                                <w:sz w:val="20"/>
                                <w:szCs w:val="20"/>
                              </w:rPr>
                            </w:pPr>
                          </w:p>
                          <w:p w14:paraId="01FDAE28" w14:textId="4E56AD01" w:rsidR="00AC40AF" w:rsidRDefault="00AC40AF"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3A4C7296" w14:textId="596877B4" w:rsidR="00AC40AF" w:rsidRPr="001D3CC2" w:rsidRDefault="00AC40AF"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21D4A71B" w14:textId="5B58BFC8" w:rsidR="00AC40AF" w:rsidRPr="00913F95" w:rsidRDefault="00AC40AF" w:rsidP="001D3CC2">
                            <w:pPr>
                              <w:ind w:left="180"/>
                              <w:rPr>
                                <w:rFonts w:ascii="Century Gothic" w:hAnsi="Century Gothic"/>
                                <w:sz w:val="20"/>
                                <w:szCs w:val="20"/>
                              </w:rPr>
                            </w:pPr>
                          </w:p>
                          <w:p w14:paraId="761B7CA4" w14:textId="77777777" w:rsidR="00AC40AF" w:rsidRDefault="00AC40AF" w:rsidP="006C43D7">
                            <w:pPr>
                              <w:rPr>
                                <w:rFonts w:ascii="Century Gothic" w:hAnsi="Century Gothic"/>
                                <w:b/>
                                <w:sz w:val="18"/>
                                <w:szCs w:val="18"/>
                              </w:rPr>
                            </w:pPr>
                          </w:p>
                          <w:p w14:paraId="0EC4BA5C" w14:textId="61945B0D" w:rsidR="00AC40AF" w:rsidRPr="001D3CC2" w:rsidRDefault="00AC40AF"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29C6A9BB" w:rsidR="00AC40AF" w:rsidRDefault="00AC40AF"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456A3AF5" w14:textId="35C5EEFB" w:rsidR="00AB2701" w:rsidRDefault="00AB2701" w:rsidP="001D3CC2">
                            <w:pPr>
                              <w:rPr>
                                <w:rFonts w:ascii="Century Gothic" w:hAnsi="Century Gothic"/>
                                <w:sz w:val="18"/>
                                <w:szCs w:val="18"/>
                              </w:rPr>
                            </w:pPr>
                          </w:p>
                          <w:p w14:paraId="056DD845" w14:textId="788E9E81" w:rsidR="00AB2701" w:rsidRPr="00084341" w:rsidRDefault="00AB2701" w:rsidP="001D3CC2">
                            <w:pPr>
                              <w:rPr>
                                <w:rFonts w:ascii="Century Gothic" w:hAnsi="Century Gothic"/>
                                <w:sz w:val="18"/>
                                <w:szCs w:val="18"/>
                              </w:rPr>
                            </w:pPr>
                            <w:r>
                              <w:rPr>
                                <w:rFonts w:ascii="Century Gothic" w:hAnsi="Century Gothic"/>
                                <w:sz w:val="18"/>
                                <w:szCs w:val="18"/>
                              </w:rPr>
                              <w:t xml:space="preserve">     _____________________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AC40AF" w:rsidRPr="00913F95" w:rsidRDefault="00AC40AF" w:rsidP="006C43D7">
                      <w:pPr>
                        <w:jc w:val="center"/>
                        <w:rPr>
                          <w:rFonts w:ascii="Century Gothic" w:hAnsi="Century Gothic"/>
                          <w:b/>
                          <w:sz w:val="20"/>
                          <w:szCs w:val="20"/>
                        </w:rPr>
                      </w:pPr>
                    </w:p>
                    <w:p w14:paraId="01FDAE28" w14:textId="4E56AD01" w:rsidR="00AC40AF" w:rsidRDefault="00AC40AF"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3A4C7296" w14:textId="596877B4" w:rsidR="00AC40AF" w:rsidRPr="001D3CC2" w:rsidRDefault="00AC40AF"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21D4A71B" w14:textId="5B58BFC8" w:rsidR="00AC40AF" w:rsidRPr="00913F95" w:rsidRDefault="00AC40AF" w:rsidP="001D3CC2">
                      <w:pPr>
                        <w:ind w:left="180"/>
                        <w:rPr>
                          <w:rFonts w:ascii="Century Gothic" w:hAnsi="Century Gothic"/>
                          <w:sz w:val="20"/>
                          <w:szCs w:val="20"/>
                        </w:rPr>
                      </w:pPr>
                    </w:p>
                    <w:p w14:paraId="761B7CA4" w14:textId="77777777" w:rsidR="00AC40AF" w:rsidRDefault="00AC40AF" w:rsidP="006C43D7">
                      <w:pPr>
                        <w:rPr>
                          <w:rFonts w:ascii="Century Gothic" w:hAnsi="Century Gothic"/>
                          <w:b/>
                          <w:sz w:val="18"/>
                          <w:szCs w:val="18"/>
                        </w:rPr>
                      </w:pPr>
                    </w:p>
                    <w:p w14:paraId="0EC4BA5C" w14:textId="61945B0D" w:rsidR="00AC40AF" w:rsidRPr="001D3CC2" w:rsidRDefault="00AC40AF"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29C6A9BB" w:rsidR="00AC40AF" w:rsidRDefault="00AC40AF"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456A3AF5" w14:textId="35C5EEFB" w:rsidR="00AB2701" w:rsidRDefault="00AB2701" w:rsidP="001D3CC2">
                      <w:pPr>
                        <w:rPr>
                          <w:rFonts w:ascii="Century Gothic" w:hAnsi="Century Gothic"/>
                          <w:sz w:val="18"/>
                          <w:szCs w:val="18"/>
                        </w:rPr>
                      </w:pPr>
                    </w:p>
                    <w:p w14:paraId="056DD845" w14:textId="788E9E81" w:rsidR="00AB2701" w:rsidRPr="00084341" w:rsidRDefault="00AB2701" w:rsidP="001D3CC2">
                      <w:pPr>
                        <w:rPr>
                          <w:rFonts w:ascii="Century Gothic" w:hAnsi="Century Gothic"/>
                          <w:sz w:val="18"/>
                          <w:szCs w:val="18"/>
                        </w:rPr>
                      </w:pPr>
                      <w:r>
                        <w:rPr>
                          <w:rFonts w:ascii="Century Gothic" w:hAnsi="Century Gothic"/>
                          <w:sz w:val="18"/>
                          <w:szCs w:val="18"/>
                        </w:rPr>
                        <w:t xml:space="preserve">     _____________________             _____________________</w:t>
                      </w:r>
                    </w:p>
                  </w:txbxContent>
                </v:textbox>
                <w10:wrap anchorx="margin"/>
              </v:shape>
            </w:pict>
          </mc:Fallback>
        </mc:AlternateContent>
      </w:r>
    </w:p>
    <w:p w14:paraId="084B5ECD" w14:textId="77777777" w:rsidR="006C43D7" w:rsidRPr="0009745A" w:rsidRDefault="006C43D7">
      <w:pPr>
        <w:spacing w:line="360" w:lineRule="auto"/>
        <w:jc w:val="both"/>
        <w:rPr>
          <w:rFonts w:cs="Arial"/>
          <w:szCs w:val="22"/>
        </w:rPr>
      </w:pPr>
    </w:p>
    <w:p w14:paraId="4E808D74" w14:textId="77777777" w:rsidR="006C43D7" w:rsidRPr="0009745A" w:rsidRDefault="006C43D7">
      <w:pPr>
        <w:spacing w:line="360" w:lineRule="auto"/>
        <w:jc w:val="both"/>
        <w:rPr>
          <w:rFonts w:cs="Arial"/>
          <w:szCs w:val="22"/>
        </w:rPr>
      </w:pPr>
    </w:p>
    <w:p w14:paraId="34BF70B6" w14:textId="77777777" w:rsidR="006C43D7" w:rsidRPr="0009745A" w:rsidRDefault="006C43D7">
      <w:pPr>
        <w:spacing w:line="360" w:lineRule="auto"/>
        <w:jc w:val="both"/>
        <w:rPr>
          <w:rFonts w:cs="Arial"/>
          <w:szCs w:val="22"/>
        </w:rPr>
      </w:pPr>
    </w:p>
    <w:p w14:paraId="2F53BA3A" w14:textId="77777777" w:rsidR="006C43D7" w:rsidRPr="0009745A" w:rsidRDefault="006C43D7" w:rsidP="00832A4B">
      <w:pPr>
        <w:spacing w:line="360" w:lineRule="auto"/>
        <w:jc w:val="both"/>
        <w:rPr>
          <w:rFonts w:cs="Arial"/>
          <w:szCs w:val="22"/>
        </w:rPr>
      </w:pPr>
    </w:p>
    <w:p w14:paraId="3A1C212E" w14:textId="77777777" w:rsidR="006C43D7" w:rsidRPr="0009745A" w:rsidRDefault="006C43D7" w:rsidP="00832A4B">
      <w:pPr>
        <w:spacing w:line="360" w:lineRule="auto"/>
        <w:jc w:val="both"/>
        <w:rPr>
          <w:rFonts w:cs="Arial"/>
          <w:szCs w:val="22"/>
        </w:rPr>
      </w:pPr>
    </w:p>
    <w:p w14:paraId="2A3E8EC7" w14:textId="35BFF3B1" w:rsidR="00CC48E3" w:rsidRPr="0009745A" w:rsidRDefault="00CC48E3" w:rsidP="00832A4B">
      <w:pPr>
        <w:spacing w:line="360" w:lineRule="auto"/>
        <w:rPr>
          <w:rFonts w:cs="Arial"/>
          <w:szCs w:val="22"/>
        </w:rPr>
      </w:pPr>
    </w:p>
    <w:p w14:paraId="3CF828F5" w14:textId="18D0F1D2" w:rsidR="00CC48E3" w:rsidRDefault="00CC48E3" w:rsidP="003B5FBA">
      <w:pPr>
        <w:spacing w:line="480" w:lineRule="auto"/>
        <w:rPr>
          <w:rFonts w:cs="Arial"/>
          <w:szCs w:val="22"/>
        </w:rPr>
      </w:pPr>
      <w:r w:rsidRPr="0009745A">
        <w:rPr>
          <w:rFonts w:cs="Arial"/>
          <w:szCs w:val="22"/>
        </w:rPr>
        <w:t>In the matter between</w:t>
      </w:r>
    </w:p>
    <w:p w14:paraId="25F9853F" w14:textId="6C4DE694" w:rsidR="00B10AE6" w:rsidRPr="003B5FBA" w:rsidRDefault="00B10AE6" w:rsidP="003B5FBA">
      <w:pPr>
        <w:spacing w:line="480" w:lineRule="auto"/>
        <w:rPr>
          <w:rFonts w:cs="Arial"/>
          <w:b/>
          <w:szCs w:val="22"/>
        </w:rPr>
      </w:pPr>
      <w:r w:rsidRPr="00B10AE6">
        <w:rPr>
          <w:rFonts w:cs="Arial"/>
          <w:b/>
          <w:szCs w:val="22"/>
        </w:rPr>
        <w:t>ARB ELECTRICAL WHOLESALERS (PTY) LTD</w:t>
      </w:r>
      <w:r>
        <w:rPr>
          <w:rFonts w:cs="Arial"/>
          <w:szCs w:val="22"/>
        </w:rPr>
        <w:t xml:space="preserve">                                   Applicant</w:t>
      </w:r>
    </w:p>
    <w:p w14:paraId="02F014EF" w14:textId="77777777" w:rsidR="003B5FBA" w:rsidRDefault="003B5FBA" w:rsidP="003B5FBA">
      <w:pPr>
        <w:spacing w:line="480" w:lineRule="auto"/>
        <w:rPr>
          <w:rFonts w:cs="Arial"/>
          <w:szCs w:val="22"/>
        </w:rPr>
      </w:pPr>
    </w:p>
    <w:p w14:paraId="35C1C0CD" w14:textId="7EAB0BC9" w:rsidR="00B10AE6" w:rsidRDefault="00B10AE6" w:rsidP="003B5FBA">
      <w:pPr>
        <w:spacing w:line="480" w:lineRule="auto"/>
        <w:rPr>
          <w:rFonts w:cs="Arial"/>
          <w:szCs w:val="22"/>
        </w:rPr>
      </w:pPr>
      <w:r>
        <w:rPr>
          <w:rFonts w:cs="Arial"/>
          <w:szCs w:val="22"/>
        </w:rPr>
        <w:t>And</w:t>
      </w:r>
    </w:p>
    <w:p w14:paraId="6C58903C" w14:textId="77777777" w:rsidR="003B5FBA" w:rsidRDefault="003B5FBA" w:rsidP="003B5FBA">
      <w:pPr>
        <w:spacing w:line="480" w:lineRule="auto"/>
        <w:rPr>
          <w:rFonts w:cs="Arial"/>
          <w:b/>
          <w:szCs w:val="22"/>
        </w:rPr>
      </w:pPr>
    </w:p>
    <w:p w14:paraId="67582E1F" w14:textId="4C79810C" w:rsidR="00B10AE6" w:rsidRDefault="00B10AE6" w:rsidP="003B5FBA">
      <w:pPr>
        <w:spacing w:line="480" w:lineRule="auto"/>
        <w:rPr>
          <w:rFonts w:cs="Arial"/>
          <w:szCs w:val="22"/>
        </w:rPr>
      </w:pPr>
      <w:r w:rsidRPr="00B10AE6">
        <w:rPr>
          <w:rFonts w:cs="Arial"/>
          <w:b/>
          <w:szCs w:val="22"/>
        </w:rPr>
        <w:t>DE JAGER ELECTRICAL &amp; MAINTENANCE CC</w:t>
      </w:r>
      <w:r>
        <w:rPr>
          <w:rFonts w:cs="Arial"/>
          <w:szCs w:val="22"/>
        </w:rPr>
        <w:t xml:space="preserve">                                   First Respondent</w:t>
      </w:r>
    </w:p>
    <w:p w14:paraId="1B2E5DBB" w14:textId="4C0BF921" w:rsidR="009F115C" w:rsidRDefault="00B10AE6" w:rsidP="005D6DCB">
      <w:pPr>
        <w:spacing w:line="480" w:lineRule="auto"/>
        <w:rPr>
          <w:rFonts w:cs="Arial"/>
          <w:szCs w:val="22"/>
        </w:rPr>
      </w:pPr>
      <w:r w:rsidRPr="00B10AE6">
        <w:rPr>
          <w:rFonts w:cs="Arial"/>
          <w:b/>
          <w:szCs w:val="22"/>
        </w:rPr>
        <w:t xml:space="preserve">DE JAGER, TOBIE DANIEL                                                                     </w:t>
      </w:r>
      <w:r w:rsidR="005D6DCB">
        <w:rPr>
          <w:rFonts w:cs="Arial"/>
          <w:szCs w:val="22"/>
        </w:rPr>
        <w:t>Second Respondent</w:t>
      </w:r>
    </w:p>
    <w:p w14:paraId="341FE365" w14:textId="5BF4A40A" w:rsidR="008D584B" w:rsidRDefault="008D584B" w:rsidP="00832A4B">
      <w:pPr>
        <w:widowControl w:val="0"/>
        <w:spacing w:after="480" w:line="360" w:lineRule="auto"/>
        <w:jc w:val="both"/>
        <w:rPr>
          <w:rFonts w:cs="Arial"/>
          <w:b/>
          <w:bCs/>
          <w:szCs w:val="22"/>
        </w:rPr>
      </w:pPr>
    </w:p>
    <w:p w14:paraId="56E324D4" w14:textId="1C2F5668" w:rsidR="008D584B" w:rsidRDefault="008D584B" w:rsidP="008D584B">
      <w:pPr>
        <w:widowControl w:val="0"/>
        <w:spacing w:after="240" w:line="360" w:lineRule="auto"/>
        <w:jc w:val="both"/>
        <w:rPr>
          <w:rFonts w:cs="Arial"/>
          <w:bCs/>
          <w:szCs w:val="22"/>
        </w:rPr>
      </w:pPr>
      <w:r>
        <w:rPr>
          <w:rFonts w:cs="Arial"/>
          <w:bCs/>
          <w:szCs w:val="22"/>
        </w:rPr>
        <w:t>_________________________________________________________________________</w:t>
      </w:r>
    </w:p>
    <w:p w14:paraId="5F128A8D" w14:textId="297C089F" w:rsidR="008D584B" w:rsidRDefault="008D584B" w:rsidP="008D584B">
      <w:pPr>
        <w:widowControl w:val="0"/>
        <w:spacing w:line="360" w:lineRule="auto"/>
        <w:jc w:val="center"/>
        <w:rPr>
          <w:rFonts w:cs="Arial"/>
          <w:b/>
          <w:bCs/>
          <w:szCs w:val="22"/>
        </w:rPr>
      </w:pPr>
      <w:r>
        <w:rPr>
          <w:rFonts w:cs="Arial"/>
          <w:b/>
          <w:bCs/>
          <w:szCs w:val="22"/>
        </w:rPr>
        <w:t>JUDGMENT</w:t>
      </w:r>
    </w:p>
    <w:p w14:paraId="31812583" w14:textId="17D9A136" w:rsidR="008D584B" w:rsidRDefault="008D584B" w:rsidP="008D584B">
      <w:pPr>
        <w:widowControl w:val="0"/>
        <w:spacing w:line="360" w:lineRule="auto"/>
        <w:jc w:val="center"/>
        <w:rPr>
          <w:rFonts w:cs="Arial"/>
          <w:b/>
          <w:bCs/>
          <w:szCs w:val="22"/>
        </w:rPr>
      </w:pPr>
      <w:r>
        <w:rPr>
          <w:rFonts w:cs="Arial"/>
          <w:b/>
          <w:bCs/>
          <w:szCs w:val="22"/>
        </w:rPr>
        <w:t>_________________________________________________________________________</w:t>
      </w:r>
    </w:p>
    <w:p w14:paraId="130A52BC" w14:textId="77777777" w:rsidR="008D584B" w:rsidRDefault="008D584B" w:rsidP="008D584B">
      <w:pPr>
        <w:widowControl w:val="0"/>
        <w:spacing w:line="360" w:lineRule="auto"/>
        <w:jc w:val="center"/>
        <w:rPr>
          <w:rFonts w:cs="Arial"/>
          <w:b/>
          <w:bCs/>
          <w:szCs w:val="22"/>
        </w:rPr>
      </w:pPr>
    </w:p>
    <w:p w14:paraId="4C8D7BAB" w14:textId="0B0DF51E" w:rsidR="003A6F23" w:rsidRPr="0009745A" w:rsidRDefault="00EC6E87" w:rsidP="00832A4B">
      <w:pPr>
        <w:widowControl w:val="0"/>
        <w:spacing w:after="480" w:line="360" w:lineRule="auto"/>
        <w:jc w:val="both"/>
        <w:rPr>
          <w:rFonts w:cs="Arial"/>
          <w:bCs/>
          <w:szCs w:val="22"/>
          <w:u w:val="single"/>
        </w:rPr>
      </w:pPr>
      <w:r>
        <w:rPr>
          <w:rFonts w:cs="Arial"/>
          <w:b/>
          <w:szCs w:val="22"/>
        </w:rPr>
        <w:lastRenderedPageBreak/>
        <w:t xml:space="preserve">COPPIN J </w:t>
      </w:r>
    </w:p>
    <w:p w14:paraId="474E48CC" w14:textId="3B5DAF8F" w:rsidR="00DA5F4B" w:rsidRDefault="00EC6E87" w:rsidP="00832A4B">
      <w:pPr>
        <w:keepNext/>
        <w:widowControl w:val="0"/>
        <w:spacing w:before="480" w:after="480" w:line="360" w:lineRule="auto"/>
        <w:jc w:val="both"/>
        <w:rPr>
          <w:rFonts w:cs="Arial"/>
          <w:sz w:val="24"/>
          <w:lang w:eastAsia="en-ZA"/>
        </w:rPr>
      </w:pPr>
      <w:r w:rsidRPr="00832A4B">
        <w:rPr>
          <w:rFonts w:cs="Arial"/>
          <w:sz w:val="24"/>
          <w:lang w:eastAsia="en-ZA"/>
        </w:rPr>
        <w:t xml:space="preserve"> </w:t>
      </w:r>
      <w:r w:rsidR="00A1751E">
        <w:rPr>
          <w:rFonts w:cs="Arial"/>
          <w:sz w:val="24"/>
          <w:lang w:eastAsia="en-ZA"/>
        </w:rPr>
        <w:t>[1</w:t>
      </w:r>
      <w:r w:rsidR="00731448" w:rsidRPr="00832A4B">
        <w:rPr>
          <w:rFonts w:cs="Arial"/>
          <w:sz w:val="24"/>
          <w:lang w:eastAsia="en-ZA"/>
        </w:rPr>
        <w:t>]</w:t>
      </w:r>
      <w:r w:rsidR="000D66FF">
        <w:rPr>
          <w:rFonts w:cs="Arial"/>
          <w:sz w:val="24"/>
          <w:lang w:eastAsia="en-ZA"/>
        </w:rPr>
        <w:tab/>
        <w:t>This is a summary judg</w:t>
      </w:r>
      <w:r w:rsidR="00DA5F4B">
        <w:rPr>
          <w:rFonts w:cs="Arial"/>
          <w:sz w:val="24"/>
          <w:lang w:eastAsia="en-ZA"/>
        </w:rPr>
        <w:t>ment application in terms of which the applicant seeks an order (as foreshadowed in the combined summons) against the second respondent for payment: (a)</w:t>
      </w:r>
      <w:r w:rsidR="000D66FF">
        <w:rPr>
          <w:rFonts w:cs="Arial"/>
          <w:sz w:val="24"/>
          <w:lang w:eastAsia="en-ZA"/>
        </w:rPr>
        <w:t xml:space="preserve"> of the sum of R1,633,888-66; (b</w:t>
      </w:r>
      <w:r w:rsidR="00DA5F4B">
        <w:rPr>
          <w:rFonts w:cs="Arial"/>
          <w:sz w:val="24"/>
          <w:lang w:eastAsia="en-ZA"/>
        </w:rPr>
        <w:t>) interest on that amount at the rate of 2% per month (being the maximum pe</w:t>
      </w:r>
      <w:r w:rsidR="000D66FF">
        <w:rPr>
          <w:rFonts w:cs="Arial"/>
          <w:sz w:val="24"/>
          <w:lang w:eastAsia="en-ZA"/>
        </w:rPr>
        <w:t>rmissible rate in terms of the National Credit A</w:t>
      </w:r>
      <w:r w:rsidR="00DA5F4B">
        <w:rPr>
          <w:rFonts w:cs="Arial"/>
          <w:sz w:val="24"/>
          <w:lang w:eastAsia="en-ZA"/>
        </w:rPr>
        <w:t>ct 34 of 2005) from 1 April 2022 to date of fi</w:t>
      </w:r>
      <w:r w:rsidR="000D66FF">
        <w:rPr>
          <w:rFonts w:cs="Arial"/>
          <w:sz w:val="24"/>
          <w:lang w:eastAsia="en-ZA"/>
        </w:rPr>
        <w:t>nal payment; and (c</w:t>
      </w:r>
      <w:r w:rsidR="00DA5F4B">
        <w:rPr>
          <w:rFonts w:cs="Arial"/>
          <w:sz w:val="24"/>
          <w:lang w:eastAsia="en-ZA"/>
        </w:rPr>
        <w:t>) costs of suit to be taxed on the scale as between attorney and client.</w:t>
      </w:r>
    </w:p>
    <w:p w14:paraId="5E98A34E" w14:textId="0B84CD8A" w:rsidR="00DA5F4B" w:rsidRDefault="000D66FF" w:rsidP="00832A4B">
      <w:pPr>
        <w:keepNext/>
        <w:widowControl w:val="0"/>
        <w:spacing w:before="480" w:after="480" w:line="360" w:lineRule="auto"/>
        <w:jc w:val="both"/>
        <w:rPr>
          <w:rFonts w:cs="Arial"/>
          <w:sz w:val="24"/>
          <w:lang w:eastAsia="en-ZA"/>
        </w:rPr>
      </w:pPr>
      <w:r>
        <w:rPr>
          <w:rFonts w:cs="Arial"/>
          <w:sz w:val="24"/>
          <w:lang w:eastAsia="en-ZA"/>
        </w:rPr>
        <w:t>[2]</w:t>
      </w:r>
      <w:r>
        <w:rPr>
          <w:rFonts w:cs="Arial"/>
          <w:sz w:val="24"/>
          <w:lang w:eastAsia="en-ZA"/>
        </w:rPr>
        <w:tab/>
        <w:t>T</w:t>
      </w:r>
      <w:r w:rsidR="00DA5F4B">
        <w:rPr>
          <w:rFonts w:cs="Arial"/>
          <w:sz w:val="24"/>
          <w:lang w:eastAsia="en-ZA"/>
        </w:rPr>
        <w:t>he second respondent, who had filed a joint plea with the first respondent, is opposing the application.</w:t>
      </w:r>
    </w:p>
    <w:p w14:paraId="64B1C3C7" w14:textId="767AC3B1" w:rsidR="00DA5F4B" w:rsidRDefault="000D66FF" w:rsidP="00832A4B">
      <w:pPr>
        <w:keepNext/>
        <w:widowControl w:val="0"/>
        <w:spacing w:before="480" w:after="480" w:line="360" w:lineRule="auto"/>
        <w:jc w:val="both"/>
        <w:rPr>
          <w:rFonts w:cs="Arial"/>
          <w:sz w:val="24"/>
          <w:lang w:eastAsia="en-ZA"/>
        </w:rPr>
      </w:pPr>
      <w:r>
        <w:rPr>
          <w:rFonts w:cs="Arial"/>
          <w:sz w:val="24"/>
          <w:lang w:eastAsia="en-ZA"/>
        </w:rPr>
        <w:t>[3]</w:t>
      </w:r>
      <w:r>
        <w:rPr>
          <w:rFonts w:cs="Arial"/>
          <w:sz w:val="24"/>
          <w:lang w:eastAsia="en-ZA"/>
        </w:rPr>
        <w:tab/>
        <w:t>I</w:t>
      </w:r>
      <w:r w:rsidR="00DA5F4B">
        <w:rPr>
          <w:rFonts w:cs="Arial"/>
          <w:sz w:val="24"/>
          <w:lang w:eastAsia="en-ZA"/>
        </w:rPr>
        <w:t>n terms of the applicant’s particulars of claim the applicant and the first respondent, duly represented by the second respondent, concluded a written agreement in terms of which the applicant extended credit facilities to the first respondent, which would purchase electrical goods from it in terms of such agreement</w:t>
      </w:r>
      <w:r>
        <w:rPr>
          <w:rFonts w:cs="Arial"/>
          <w:sz w:val="24"/>
          <w:lang w:eastAsia="en-ZA"/>
        </w:rPr>
        <w:t xml:space="preserve"> (the agreement)</w:t>
      </w:r>
      <w:r w:rsidR="00DA5F4B">
        <w:rPr>
          <w:rFonts w:cs="Arial"/>
          <w:sz w:val="24"/>
          <w:lang w:eastAsia="en-ZA"/>
        </w:rPr>
        <w:t>.</w:t>
      </w:r>
    </w:p>
    <w:p w14:paraId="3F7CC368" w14:textId="7AADADD0" w:rsidR="00DA5F4B" w:rsidRDefault="000D66FF" w:rsidP="00832A4B">
      <w:pPr>
        <w:keepNext/>
        <w:widowControl w:val="0"/>
        <w:spacing w:before="480" w:after="480" w:line="360" w:lineRule="auto"/>
        <w:jc w:val="both"/>
        <w:rPr>
          <w:rFonts w:cs="Arial"/>
          <w:sz w:val="24"/>
          <w:lang w:eastAsia="en-ZA"/>
        </w:rPr>
      </w:pPr>
      <w:r>
        <w:rPr>
          <w:rFonts w:cs="Arial"/>
          <w:sz w:val="24"/>
          <w:lang w:eastAsia="en-ZA"/>
        </w:rPr>
        <w:t>[4]</w:t>
      </w:r>
      <w:r>
        <w:rPr>
          <w:rFonts w:cs="Arial"/>
          <w:sz w:val="24"/>
          <w:lang w:eastAsia="en-ZA"/>
        </w:rPr>
        <w:tab/>
        <w:t>In terms</w:t>
      </w:r>
      <w:r w:rsidR="00DA5F4B">
        <w:rPr>
          <w:rFonts w:cs="Arial"/>
          <w:sz w:val="24"/>
          <w:lang w:eastAsia="en-ZA"/>
        </w:rPr>
        <w:t xml:space="preserve"> of the agreement the first respondent had to pay the applicant’s usual, alternatively</w:t>
      </w:r>
      <w:r>
        <w:rPr>
          <w:rFonts w:cs="Arial"/>
          <w:sz w:val="24"/>
          <w:lang w:eastAsia="en-ZA"/>
        </w:rPr>
        <w:t>,</w:t>
      </w:r>
      <w:r w:rsidR="00DA5F4B">
        <w:rPr>
          <w:rFonts w:cs="Arial"/>
          <w:sz w:val="24"/>
          <w:lang w:eastAsia="en-ZA"/>
        </w:rPr>
        <w:t xml:space="preserve"> reasonable price for the goods </w:t>
      </w:r>
      <w:r>
        <w:rPr>
          <w:rFonts w:cs="Arial"/>
          <w:sz w:val="24"/>
          <w:lang w:eastAsia="en-ZA"/>
        </w:rPr>
        <w:t>purchased, within 30 days of a</w:t>
      </w:r>
      <w:r w:rsidR="00DA5F4B">
        <w:rPr>
          <w:rFonts w:cs="Arial"/>
          <w:sz w:val="24"/>
          <w:lang w:eastAsia="en-ZA"/>
        </w:rPr>
        <w:t xml:space="preserve"> statement rendered by the applicant to the first respondent. In the event of the first respondent not making a payment of any amount on due date the full amount owing at the time of the default would immediately become due and payable and the first respondent would also be liable to pay (a) interest of the maximum permissible rate in t</w:t>
      </w:r>
      <w:r>
        <w:rPr>
          <w:rFonts w:cs="Arial"/>
          <w:sz w:val="24"/>
          <w:lang w:eastAsia="en-ZA"/>
        </w:rPr>
        <w:t>erms of the National Credit A</w:t>
      </w:r>
      <w:r w:rsidR="00DA5F4B">
        <w:rPr>
          <w:rFonts w:cs="Arial"/>
          <w:sz w:val="24"/>
          <w:lang w:eastAsia="en-ZA"/>
        </w:rPr>
        <w:t>ct</w:t>
      </w:r>
      <w:r w:rsidR="00404327">
        <w:rPr>
          <w:rStyle w:val="FootnoteReference"/>
          <w:rFonts w:cs="Arial"/>
          <w:sz w:val="24"/>
          <w:lang w:eastAsia="en-ZA"/>
        </w:rPr>
        <w:footnoteReference w:id="1"/>
      </w:r>
      <w:r w:rsidR="00DA5F4B">
        <w:rPr>
          <w:rFonts w:cs="Arial"/>
          <w:sz w:val="24"/>
          <w:lang w:eastAsia="en-ZA"/>
        </w:rPr>
        <w:t xml:space="preserve"> from the due da</w:t>
      </w:r>
      <w:r>
        <w:rPr>
          <w:rFonts w:cs="Arial"/>
          <w:sz w:val="24"/>
          <w:lang w:eastAsia="en-ZA"/>
        </w:rPr>
        <w:t>te until the date of full and final payment; (b</w:t>
      </w:r>
      <w:r w:rsidR="00DA5F4B">
        <w:rPr>
          <w:rFonts w:cs="Arial"/>
          <w:sz w:val="24"/>
          <w:lang w:eastAsia="en-ZA"/>
        </w:rPr>
        <w:t xml:space="preserve">) any legal costs incurred by the applicant in recovering any outstanding amount, on the attorney and client scale. The agreement also provided, inter-alia, that a certificate signed by a director of the applicant would be </w:t>
      </w:r>
      <w:r w:rsidR="00DA5F4B" w:rsidRPr="000D66FF">
        <w:rPr>
          <w:rFonts w:cs="Arial"/>
          <w:i/>
          <w:sz w:val="24"/>
          <w:lang w:eastAsia="en-ZA"/>
        </w:rPr>
        <w:t>prima facie</w:t>
      </w:r>
      <w:r w:rsidR="00DA5F4B">
        <w:rPr>
          <w:rFonts w:cs="Arial"/>
          <w:sz w:val="24"/>
          <w:lang w:eastAsia="en-ZA"/>
        </w:rPr>
        <w:t xml:space="preserve"> proof of the amount owing by the first applicant in terms of the agreement.</w:t>
      </w:r>
    </w:p>
    <w:p w14:paraId="045DA176" w14:textId="7B794C8A" w:rsidR="00D35FD8" w:rsidRDefault="000D66FF" w:rsidP="00832A4B">
      <w:pPr>
        <w:keepNext/>
        <w:widowControl w:val="0"/>
        <w:spacing w:before="480" w:after="480" w:line="360" w:lineRule="auto"/>
        <w:jc w:val="both"/>
        <w:rPr>
          <w:rFonts w:cs="Arial"/>
          <w:sz w:val="24"/>
          <w:lang w:eastAsia="en-ZA"/>
        </w:rPr>
      </w:pPr>
      <w:r>
        <w:rPr>
          <w:rFonts w:cs="Arial"/>
          <w:sz w:val="24"/>
          <w:lang w:eastAsia="en-ZA"/>
        </w:rPr>
        <w:t>[5]</w:t>
      </w:r>
      <w:r>
        <w:rPr>
          <w:rFonts w:cs="Arial"/>
          <w:sz w:val="24"/>
          <w:lang w:eastAsia="en-ZA"/>
        </w:rPr>
        <w:tab/>
        <w:t>In terms of a written surety</w:t>
      </w:r>
      <w:r w:rsidR="00DA5F4B">
        <w:rPr>
          <w:rFonts w:cs="Arial"/>
          <w:sz w:val="24"/>
          <w:lang w:eastAsia="en-ZA"/>
        </w:rPr>
        <w:t xml:space="preserve">ship agreement </w:t>
      </w:r>
      <w:r>
        <w:rPr>
          <w:rFonts w:cs="Arial"/>
          <w:sz w:val="24"/>
          <w:lang w:eastAsia="en-ZA"/>
        </w:rPr>
        <w:t xml:space="preserve">(the suretyship) </w:t>
      </w:r>
      <w:r w:rsidR="00DA5F4B">
        <w:rPr>
          <w:rFonts w:cs="Arial"/>
          <w:sz w:val="24"/>
          <w:lang w:eastAsia="en-ZA"/>
        </w:rPr>
        <w:t>the second respondent bound himself as surety and co</w:t>
      </w:r>
      <w:r w:rsidR="00D35FD8">
        <w:rPr>
          <w:rFonts w:cs="Arial"/>
          <w:sz w:val="24"/>
          <w:lang w:eastAsia="en-ZA"/>
        </w:rPr>
        <w:t>-</w:t>
      </w:r>
      <w:r w:rsidR="00DA5F4B">
        <w:rPr>
          <w:rFonts w:cs="Arial"/>
          <w:sz w:val="24"/>
          <w:lang w:eastAsia="en-ZA"/>
        </w:rPr>
        <w:t xml:space="preserve">principal debtor with the first respondent, </w:t>
      </w:r>
      <w:r w:rsidR="00DA5F4B">
        <w:rPr>
          <w:rFonts w:cs="Arial"/>
          <w:sz w:val="24"/>
          <w:lang w:eastAsia="en-ZA"/>
        </w:rPr>
        <w:lastRenderedPageBreak/>
        <w:t>for the due and punctual performance of the first respondent’s obligations in terms of the agreement. In te</w:t>
      </w:r>
      <w:r>
        <w:rPr>
          <w:rFonts w:cs="Arial"/>
          <w:sz w:val="24"/>
          <w:lang w:eastAsia="en-ZA"/>
        </w:rPr>
        <w:t>rms of the suretyship</w:t>
      </w:r>
      <w:r w:rsidR="00DA5F4B">
        <w:rPr>
          <w:rFonts w:cs="Arial"/>
          <w:sz w:val="24"/>
          <w:lang w:eastAsia="en-ZA"/>
        </w:rPr>
        <w:t xml:space="preserve"> the second respondent, inter-alia,</w:t>
      </w:r>
      <w:r>
        <w:rPr>
          <w:rFonts w:cs="Arial"/>
          <w:sz w:val="24"/>
          <w:lang w:eastAsia="en-ZA"/>
        </w:rPr>
        <w:t xml:space="preserve"> renounced the benefits of </w:t>
      </w:r>
      <w:proofErr w:type="spellStart"/>
      <w:r>
        <w:rPr>
          <w:rFonts w:cs="Arial"/>
          <w:sz w:val="24"/>
          <w:lang w:eastAsia="en-ZA"/>
        </w:rPr>
        <w:t>excus</w:t>
      </w:r>
      <w:r w:rsidR="00DA5F4B">
        <w:rPr>
          <w:rFonts w:cs="Arial"/>
          <w:sz w:val="24"/>
          <w:lang w:eastAsia="en-ZA"/>
        </w:rPr>
        <w:t>sion</w:t>
      </w:r>
      <w:proofErr w:type="spellEnd"/>
      <w:r w:rsidR="00DA5F4B">
        <w:rPr>
          <w:rFonts w:cs="Arial"/>
          <w:sz w:val="24"/>
          <w:lang w:eastAsia="en-ZA"/>
        </w:rPr>
        <w:t>, division and cession of actions</w:t>
      </w:r>
      <w:r>
        <w:rPr>
          <w:rFonts w:cs="Arial"/>
          <w:sz w:val="24"/>
          <w:lang w:eastAsia="en-ZA"/>
        </w:rPr>
        <w:t>, and the suretyship also provides</w:t>
      </w:r>
      <w:r w:rsidR="00D35FD8">
        <w:rPr>
          <w:rFonts w:cs="Arial"/>
          <w:sz w:val="24"/>
          <w:lang w:eastAsia="en-ZA"/>
        </w:rPr>
        <w:t xml:space="preserve"> for the amount of indebtedness</w:t>
      </w:r>
      <w:r>
        <w:rPr>
          <w:rFonts w:cs="Arial"/>
          <w:sz w:val="24"/>
          <w:lang w:eastAsia="en-ZA"/>
        </w:rPr>
        <w:t xml:space="preserve"> to be </w:t>
      </w:r>
      <w:r w:rsidRPr="000D66FF">
        <w:rPr>
          <w:rFonts w:cs="Arial"/>
          <w:i/>
          <w:sz w:val="24"/>
          <w:lang w:eastAsia="en-ZA"/>
        </w:rPr>
        <w:t>prima facie</w:t>
      </w:r>
      <w:r>
        <w:rPr>
          <w:rFonts w:cs="Arial"/>
          <w:sz w:val="24"/>
          <w:lang w:eastAsia="en-ZA"/>
        </w:rPr>
        <w:t xml:space="preserve"> established </w:t>
      </w:r>
      <w:r w:rsidR="00D35FD8">
        <w:rPr>
          <w:rFonts w:cs="Arial"/>
          <w:sz w:val="24"/>
          <w:lang w:eastAsia="en-ZA"/>
        </w:rPr>
        <w:t>by means of a certificate signed by a director of the applican</w:t>
      </w:r>
      <w:r>
        <w:rPr>
          <w:rFonts w:cs="Arial"/>
          <w:sz w:val="24"/>
          <w:lang w:eastAsia="en-ZA"/>
        </w:rPr>
        <w:t xml:space="preserve">t, and </w:t>
      </w:r>
      <w:r w:rsidR="00D35FD8">
        <w:rPr>
          <w:rFonts w:cs="Arial"/>
          <w:sz w:val="24"/>
          <w:lang w:eastAsia="en-ZA"/>
        </w:rPr>
        <w:t>that the second respondent would be liable for legal costs incurred by the applicant on the attorney and client scale.</w:t>
      </w:r>
    </w:p>
    <w:p w14:paraId="640B5932" w14:textId="7DFD2A84" w:rsidR="00C512B9" w:rsidRDefault="0077668E"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[6]</w:t>
      </w:r>
      <w:r w:rsidR="000D66FF">
        <w:rPr>
          <w:rFonts w:cs="Arial"/>
          <w:sz w:val="24"/>
          <w:lang w:eastAsia="en-ZA"/>
        </w:rPr>
        <w:tab/>
        <w:t>I</w:t>
      </w:r>
      <w:r w:rsidR="00C512B9">
        <w:rPr>
          <w:rFonts w:cs="Arial"/>
          <w:sz w:val="24"/>
          <w:lang w:eastAsia="en-ZA"/>
        </w:rPr>
        <w:t>n its particulars of claim the applicant alleges that during February, March, and April 2022 it sold and delivered electrical goods to the first respondent in terms of the agreement for a total amo</w:t>
      </w:r>
      <w:r w:rsidR="000D66FF">
        <w:rPr>
          <w:rFonts w:cs="Arial"/>
          <w:sz w:val="24"/>
          <w:lang w:eastAsia="en-ZA"/>
        </w:rPr>
        <w:t>unt of R1,633,888-66, which t</w:t>
      </w:r>
      <w:r w:rsidR="00C512B9">
        <w:rPr>
          <w:rFonts w:cs="Arial"/>
          <w:sz w:val="24"/>
          <w:lang w:eastAsia="en-ZA"/>
        </w:rPr>
        <w:t xml:space="preserve">he first applicant failed to pay, despite the amount been due and payable. It relies on a certificate of indebtedness to prove the amount as contemplated in the agreement. The applicant further alleges that the respondent failed to respond to its notice </w:t>
      </w:r>
      <w:r w:rsidR="004F6653">
        <w:rPr>
          <w:rFonts w:cs="Arial"/>
          <w:sz w:val="24"/>
          <w:lang w:eastAsia="en-ZA"/>
        </w:rPr>
        <w:t>in terms of section 129 of the National Credit A</w:t>
      </w:r>
      <w:r w:rsidR="00C512B9">
        <w:rPr>
          <w:rFonts w:cs="Arial"/>
          <w:sz w:val="24"/>
          <w:lang w:eastAsia="en-ZA"/>
        </w:rPr>
        <w:t>ct although it also alleges that the said provisions a</w:t>
      </w:r>
      <w:r w:rsidR="004F6653">
        <w:rPr>
          <w:rFonts w:cs="Arial"/>
          <w:sz w:val="24"/>
          <w:lang w:eastAsia="en-ZA"/>
        </w:rPr>
        <w:t xml:space="preserve">re not applicable to the </w:t>
      </w:r>
      <w:r w:rsidR="00C512B9">
        <w:rPr>
          <w:rFonts w:cs="Arial"/>
          <w:sz w:val="24"/>
          <w:lang w:eastAsia="en-ZA"/>
        </w:rPr>
        <w:t>agreement by virtue o</w:t>
      </w:r>
      <w:r w:rsidR="004F6653">
        <w:rPr>
          <w:rFonts w:cs="Arial"/>
          <w:sz w:val="24"/>
          <w:lang w:eastAsia="en-ZA"/>
        </w:rPr>
        <w:t>f the provisions of section 4(1)(a)(1), alternatively section 4(1) (b) of that A</w:t>
      </w:r>
      <w:r w:rsidR="00C512B9">
        <w:rPr>
          <w:rFonts w:cs="Arial"/>
          <w:sz w:val="24"/>
          <w:lang w:eastAsia="en-ZA"/>
        </w:rPr>
        <w:t>c</w:t>
      </w:r>
      <w:r w:rsidR="004F6653">
        <w:rPr>
          <w:rFonts w:cs="Arial"/>
          <w:sz w:val="24"/>
          <w:lang w:eastAsia="en-ZA"/>
        </w:rPr>
        <w:t>t. A</w:t>
      </w:r>
      <w:r w:rsidR="00C512B9">
        <w:rPr>
          <w:rFonts w:cs="Arial"/>
          <w:sz w:val="24"/>
          <w:lang w:eastAsia="en-ZA"/>
        </w:rPr>
        <w:t>ccordingly</w:t>
      </w:r>
      <w:r w:rsidR="004F6653">
        <w:rPr>
          <w:rFonts w:cs="Arial"/>
          <w:sz w:val="24"/>
          <w:lang w:eastAsia="en-ZA"/>
        </w:rPr>
        <w:t>, in its combined summons the applicant sought judg</w:t>
      </w:r>
      <w:r w:rsidR="00C512B9">
        <w:rPr>
          <w:rFonts w:cs="Arial"/>
          <w:sz w:val="24"/>
          <w:lang w:eastAsia="en-ZA"/>
        </w:rPr>
        <w:t>ment against the respondents jointly and severally for the amount, the interest and costs.</w:t>
      </w:r>
    </w:p>
    <w:p w14:paraId="7F084A05" w14:textId="3D5FD1B1" w:rsidR="00C512B9" w:rsidRDefault="004F6653"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[7]</w:t>
      </w:r>
      <w:r>
        <w:rPr>
          <w:rFonts w:cs="Arial"/>
          <w:sz w:val="24"/>
          <w:lang w:eastAsia="en-ZA"/>
        </w:rPr>
        <w:tab/>
        <w:t>I</w:t>
      </w:r>
      <w:r w:rsidR="00C512B9">
        <w:rPr>
          <w:rFonts w:cs="Arial"/>
          <w:sz w:val="24"/>
          <w:lang w:eastAsia="en-ZA"/>
        </w:rPr>
        <w:t>n a joint plea the first and second respondents, inter-alia, admitted the terms of the agreement, the pur</w:t>
      </w:r>
      <w:r>
        <w:rPr>
          <w:rFonts w:cs="Arial"/>
          <w:sz w:val="24"/>
          <w:lang w:eastAsia="en-ZA"/>
        </w:rPr>
        <w:t>chase and delivery of the goods</w:t>
      </w:r>
      <w:r w:rsidR="00C512B9">
        <w:rPr>
          <w:rFonts w:cs="Arial"/>
          <w:sz w:val="24"/>
          <w:lang w:eastAsia="en-ZA"/>
        </w:rPr>
        <w:t xml:space="preserve"> and the first respondent</w:t>
      </w:r>
      <w:r>
        <w:rPr>
          <w:rFonts w:cs="Arial"/>
          <w:sz w:val="24"/>
          <w:lang w:eastAsia="en-ZA"/>
        </w:rPr>
        <w:t>’s</w:t>
      </w:r>
      <w:r w:rsidR="00C512B9">
        <w:rPr>
          <w:rFonts w:cs="Arial"/>
          <w:sz w:val="24"/>
          <w:lang w:eastAsia="en-ZA"/>
        </w:rPr>
        <w:t xml:space="preserve"> indebtedness</w:t>
      </w:r>
      <w:r>
        <w:rPr>
          <w:rFonts w:cs="Arial"/>
          <w:sz w:val="24"/>
          <w:lang w:eastAsia="en-ZA"/>
        </w:rPr>
        <w:t>,</w:t>
      </w:r>
      <w:r w:rsidR="00C512B9">
        <w:rPr>
          <w:rFonts w:cs="Arial"/>
          <w:sz w:val="24"/>
          <w:lang w:eastAsia="en-ZA"/>
        </w:rPr>
        <w:t xml:space="preserve"> but pleaded t</w:t>
      </w:r>
      <w:r>
        <w:rPr>
          <w:rFonts w:cs="Arial"/>
          <w:sz w:val="24"/>
          <w:lang w:eastAsia="en-ZA"/>
        </w:rPr>
        <w:t>he following in effect: (a) (</w:t>
      </w:r>
      <w:proofErr w:type="spellStart"/>
      <w:r>
        <w:rPr>
          <w:rFonts w:cs="Arial"/>
          <w:sz w:val="24"/>
          <w:lang w:eastAsia="en-ZA"/>
        </w:rPr>
        <w:t>i</w:t>
      </w:r>
      <w:proofErr w:type="spellEnd"/>
      <w:r w:rsidR="00C512B9">
        <w:rPr>
          <w:rFonts w:cs="Arial"/>
          <w:sz w:val="24"/>
          <w:lang w:eastAsia="en-ZA"/>
        </w:rPr>
        <w:t>) that the first respondent was in the process of being placed under supervision in terms of the bus</w:t>
      </w:r>
      <w:r>
        <w:rPr>
          <w:rFonts w:cs="Arial"/>
          <w:sz w:val="24"/>
          <w:lang w:eastAsia="en-ZA"/>
        </w:rPr>
        <w:t>iness rescue provisions of the Companies Act, 2008</w:t>
      </w:r>
      <w:r w:rsidR="00404327">
        <w:rPr>
          <w:rStyle w:val="FootnoteReference"/>
          <w:rFonts w:cs="Arial"/>
          <w:sz w:val="24"/>
          <w:lang w:eastAsia="en-ZA"/>
        </w:rPr>
        <w:footnoteReference w:id="2"/>
      </w:r>
      <w:r>
        <w:rPr>
          <w:rFonts w:cs="Arial"/>
          <w:sz w:val="24"/>
          <w:lang w:eastAsia="en-ZA"/>
        </w:rPr>
        <w:t xml:space="preserve"> (the Companies Act); (ii) that the applicant was precluded</w:t>
      </w:r>
      <w:r w:rsidR="00C512B9">
        <w:rPr>
          <w:rFonts w:cs="Arial"/>
          <w:sz w:val="24"/>
          <w:lang w:eastAsia="en-ZA"/>
        </w:rPr>
        <w:t xml:space="preserve"> from instituting legal action for the recovery of the amount from the first respondent in terms of the moratorium envisaged in se</w:t>
      </w:r>
      <w:r>
        <w:rPr>
          <w:rFonts w:cs="Arial"/>
          <w:sz w:val="24"/>
          <w:lang w:eastAsia="en-ZA"/>
        </w:rPr>
        <w:t xml:space="preserve">ction 133 of the Companies Act; (iii) </w:t>
      </w:r>
      <w:r w:rsidR="00C512B9">
        <w:rPr>
          <w:rFonts w:cs="Arial"/>
          <w:sz w:val="24"/>
          <w:lang w:eastAsia="en-ZA"/>
        </w:rPr>
        <w:t>the applicant was also precluded</w:t>
      </w:r>
      <w:r>
        <w:rPr>
          <w:rFonts w:cs="Arial"/>
          <w:sz w:val="24"/>
          <w:lang w:eastAsia="en-ZA"/>
        </w:rPr>
        <w:t xml:space="preserve"> by the moratorium fro</w:t>
      </w:r>
      <w:r w:rsidR="00C512B9">
        <w:rPr>
          <w:rFonts w:cs="Arial"/>
          <w:sz w:val="24"/>
          <w:lang w:eastAsia="en-ZA"/>
        </w:rPr>
        <w:t>m instituting legal action against the second res</w:t>
      </w:r>
      <w:r>
        <w:rPr>
          <w:rFonts w:cs="Arial"/>
          <w:sz w:val="24"/>
          <w:lang w:eastAsia="en-ZA"/>
        </w:rPr>
        <w:t>pondent for that debt; and (iv</w:t>
      </w:r>
      <w:r w:rsidR="00C512B9">
        <w:rPr>
          <w:rFonts w:cs="Arial"/>
          <w:sz w:val="24"/>
          <w:lang w:eastAsia="en-ZA"/>
        </w:rPr>
        <w:t>) that the business rescue plan (that was anticipated at the time) may in due cours</w:t>
      </w:r>
      <w:r>
        <w:rPr>
          <w:rFonts w:cs="Arial"/>
          <w:sz w:val="24"/>
          <w:lang w:eastAsia="en-ZA"/>
        </w:rPr>
        <w:t>e release the first respondent</w:t>
      </w:r>
      <w:r w:rsidR="00C512B9">
        <w:rPr>
          <w:rFonts w:cs="Arial"/>
          <w:sz w:val="24"/>
          <w:lang w:eastAsia="en-ZA"/>
        </w:rPr>
        <w:t xml:space="preserve"> in full or in part from its debt.</w:t>
      </w:r>
    </w:p>
    <w:p w14:paraId="1F1CBB7C" w14:textId="6D88DFCB" w:rsidR="00C512B9" w:rsidRDefault="004F6653"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[8]</w:t>
      </w:r>
      <w:r>
        <w:rPr>
          <w:rFonts w:cs="Arial"/>
          <w:sz w:val="24"/>
          <w:lang w:eastAsia="en-ZA"/>
        </w:rPr>
        <w:tab/>
        <w:t>F</w:t>
      </w:r>
      <w:r w:rsidR="00C512B9">
        <w:rPr>
          <w:rFonts w:cs="Arial"/>
          <w:sz w:val="24"/>
          <w:lang w:eastAsia="en-ZA"/>
        </w:rPr>
        <w:t xml:space="preserve">urther in their joint plea </w:t>
      </w:r>
      <w:r>
        <w:rPr>
          <w:rFonts w:cs="Arial"/>
          <w:sz w:val="24"/>
          <w:lang w:eastAsia="en-ZA"/>
        </w:rPr>
        <w:t xml:space="preserve">the respondents </w:t>
      </w:r>
      <w:r w:rsidR="00C512B9">
        <w:rPr>
          <w:rFonts w:cs="Arial"/>
          <w:sz w:val="24"/>
          <w:lang w:eastAsia="en-ZA"/>
        </w:rPr>
        <w:t xml:space="preserve">denied that the second respondent bound himself as surety and co-principal debtor as alleged by the applicant. The </w:t>
      </w:r>
      <w:r w:rsidR="00C512B9">
        <w:rPr>
          <w:rFonts w:cs="Arial"/>
          <w:sz w:val="24"/>
          <w:lang w:eastAsia="en-ZA"/>
        </w:rPr>
        <w:lastRenderedPageBreak/>
        <w:t>second respondent</w:t>
      </w:r>
      <w:r w:rsidR="006E1AFF">
        <w:rPr>
          <w:rFonts w:cs="Arial"/>
          <w:sz w:val="24"/>
          <w:lang w:eastAsia="en-ZA"/>
        </w:rPr>
        <w:t xml:space="preserve"> specifically denied that</w:t>
      </w:r>
      <w:r>
        <w:rPr>
          <w:rFonts w:cs="Arial"/>
          <w:sz w:val="24"/>
          <w:lang w:eastAsia="en-ZA"/>
        </w:rPr>
        <w:t xml:space="preserve"> the consequences of the surety</w:t>
      </w:r>
      <w:r w:rsidR="006E1AFF">
        <w:rPr>
          <w:rFonts w:cs="Arial"/>
          <w:sz w:val="24"/>
          <w:lang w:eastAsia="en-ZA"/>
        </w:rPr>
        <w:t>ship had been “explain</w:t>
      </w:r>
      <w:r w:rsidR="00BD79C3">
        <w:rPr>
          <w:rFonts w:cs="Arial"/>
          <w:sz w:val="24"/>
          <w:lang w:eastAsia="en-ZA"/>
        </w:rPr>
        <w:t>ed</w:t>
      </w:r>
      <w:r w:rsidR="006E1AFF">
        <w:rPr>
          <w:rFonts w:cs="Arial"/>
          <w:sz w:val="24"/>
          <w:lang w:eastAsia="en-ZA"/>
        </w:rPr>
        <w:t>” to him, alternatively, he alleged that he was not informed (either expressly</w:t>
      </w:r>
      <w:r w:rsidR="00BD79C3">
        <w:rPr>
          <w:rFonts w:cs="Arial"/>
          <w:sz w:val="24"/>
          <w:lang w:eastAsia="en-ZA"/>
        </w:rPr>
        <w:t>,</w:t>
      </w:r>
      <w:r w:rsidR="006E1AFF">
        <w:rPr>
          <w:rFonts w:cs="Arial"/>
          <w:sz w:val="24"/>
          <w:lang w:eastAsia="en-ZA"/>
        </w:rPr>
        <w:t xml:space="preserve"> or tacitly) that by me</w:t>
      </w:r>
      <w:r w:rsidR="00BD79C3">
        <w:rPr>
          <w:rFonts w:cs="Arial"/>
          <w:sz w:val="24"/>
          <w:lang w:eastAsia="en-ZA"/>
        </w:rPr>
        <w:t>rely signing the deed of surety</w:t>
      </w:r>
      <w:r w:rsidR="006E1AFF">
        <w:rPr>
          <w:rFonts w:cs="Arial"/>
          <w:sz w:val="24"/>
          <w:lang w:eastAsia="en-ZA"/>
        </w:rPr>
        <w:t>ship and the credit application form</w:t>
      </w:r>
      <w:r w:rsidR="00BD79C3">
        <w:rPr>
          <w:rFonts w:cs="Arial"/>
          <w:sz w:val="24"/>
          <w:lang w:eastAsia="en-ZA"/>
        </w:rPr>
        <w:t xml:space="preserve"> (i.e. the agreement) </w:t>
      </w:r>
      <w:r w:rsidR="006E1AFF">
        <w:rPr>
          <w:rFonts w:cs="Arial"/>
          <w:sz w:val="24"/>
          <w:lang w:eastAsia="en-ZA"/>
        </w:rPr>
        <w:t xml:space="preserve">he would be bound as surety, and particularly, “jointly </w:t>
      </w:r>
      <w:r w:rsidR="006E1AFF" w:rsidRPr="00BD79C3">
        <w:rPr>
          <w:rFonts w:cs="Arial"/>
          <w:i/>
          <w:sz w:val="24"/>
          <w:lang w:eastAsia="en-ZA"/>
        </w:rPr>
        <w:t xml:space="preserve">in </w:t>
      </w:r>
      <w:proofErr w:type="spellStart"/>
      <w:r w:rsidR="006E1AFF" w:rsidRPr="00BD79C3">
        <w:rPr>
          <w:rFonts w:cs="Arial"/>
          <w:i/>
          <w:sz w:val="24"/>
          <w:lang w:eastAsia="en-ZA"/>
        </w:rPr>
        <w:t>solidum</w:t>
      </w:r>
      <w:proofErr w:type="spellEnd"/>
      <w:r w:rsidR="006E1AFF">
        <w:rPr>
          <w:rFonts w:cs="Arial"/>
          <w:sz w:val="24"/>
          <w:lang w:eastAsia="en-ZA"/>
        </w:rPr>
        <w:t xml:space="preserve"> as surety and co-principal debtor in favour of” the applicant. He also denied that he had been informed that by signing of the de</w:t>
      </w:r>
      <w:r w:rsidR="00BD79C3">
        <w:rPr>
          <w:rFonts w:cs="Arial"/>
          <w:sz w:val="24"/>
          <w:lang w:eastAsia="en-ZA"/>
        </w:rPr>
        <w:t>ed of surety ship he would be re</w:t>
      </w:r>
      <w:r w:rsidR="006E1AFF">
        <w:rPr>
          <w:rFonts w:cs="Arial"/>
          <w:sz w:val="24"/>
          <w:lang w:eastAsia="en-ZA"/>
        </w:rPr>
        <w:t>n</w:t>
      </w:r>
      <w:r w:rsidR="00BD79C3">
        <w:rPr>
          <w:rFonts w:cs="Arial"/>
          <w:sz w:val="24"/>
          <w:lang w:eastAsia="en-ZA"/>
        </w:rPr>
        <w:t xml:space="preserve">ouncing the benefits of </w:t>
      </w:r>
      <w:proofErr w:type="spellStart"/>
      <w:r w:rsidR="00BD79C3">
        <w:rPr>
          <w:rFonts w:cs="Arial"/>
          <w:sz w:val="24"/>
          <w:lang w:eastAsia="en-ZA"/>
        </w:rPr>
        <w:t>excus</w:t>
      </w:r>
      <w:r w:rsidR="006E1AFF">
        <w:rPr>
          <w:rFonts w:cs="Arial"/>
          <w:sz w:val="24"/>
          <w:lang w:eastAsia="en-ZA"/>
        </w:rPr>
        <w:t>sion</w:t>
      </w:r>
      <w:proofErr w:type="spellEnd"/>
      <w:r w:rsidR="006E1AFF">
        <w:rPr>
          <w:rFonts w:cs="Arial"/>
          <w:sz w:val="24"/>
          <w:lang w:eastAsia="en-ZA"/>
        </w:rPr>
        <w:t xml:space="preserve"> and division.</w:t>
      </w:r>
      <w:r w:rsidR="00BD79C3">
        <w:rPr>
          <w:rFonts w:cs="Arial"/>
          <w:sz w:val="24"/>
          <w:lang w:eastAsia="en-ZA"/>
        </w:rPr>
        <w:t xml:space="preserve"> He also denied that the surety</w:t>
      </w:r>
      <w:r w:rsidR="006E1AFF">
        <w:rPr>
          <w:rFonts w:cs="Arial"/>
          <w:sz w:val="24"/>
          <w:lang w:eastAsia="en-ZA"/>
        </w:rPr>
        <w:t>ship complied with the statutory requirements for validity, and ultimately that he was liable for the debts of the first respondent.</w:t>
      </w:r>
    </w:p>
    <w:p w14:paraId="23C1EFFB" w14:textId="0AF651E5" w:rsidR="006E1AFF" w:rsidRDefault="00BD79C3"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[9]</w:t>
      </w:r>
      <w:r>
        <w:rPr>
          <w:rFonts w:cs="Arial"/>
          <w:sz w:val="24"/>
          <w:lang w:eastAsia="en-ZA"/>
        </w:rPr>
        <w:tab/>
        <w:t>I</w:t>
      </w:r>
      <w:r w:rsidR="006E1AFF">
        <w:rPr>
          <w:rFonts w:cs="Arial"/>
          <w:sz w:val="24"/>
          <w:lang w:eastAsia="en-ZA"/>
        </w:rPr>
        <w:t>ronically, elsewhere in the plea, the respondents “admit that they are in default and have been so for 20 business days” and they further admit that they “failed and/or neglected to pay the amount mentioned”.</w:t>
      </w:r>
    </w:p>
    <w:p w14:paraId="788C2504" w14:textId="302E7B6D" w:rsidR="006E1AFF" w:rsidRDefault="00BD79C3"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[10]</w:t>
      </w:r>
      <w:r>
        <w:rPr>
          <w:rFonts w:cs="Arial"/>
          <w:sz w:val="24"/>
          <w:lang w:eastAsia="en-ZA"/>
        </w:rPr>
        <w:tab/>
        <w:t>I</w:t>
      </w:r>
      <w:r w:rsidR="006E1AFF">
        <w:rPr>
          <w:rFonts w:cs="Arial"/>
          <w:sz w:val="24"/>
          <w:lang w:eastAsia="en-ZA"/>
        </w:rPr>
        <w:t>n due time the applicant brought t</w:t>
      </w:r>
      <w:r>
        <w:rPr>
          <w:rFonts w:cs="Arial"/>
          <w:sz w:val="24"/>
          <w:lang w:eastAsia="en-ZA"/>
        </w:rPr>
        <w:t>he application for summary judg</w:t>
      </w:r>
      <w:r w:rsidR="006E1AFF">
        <w:rPr>
          <w:rFonts w:cs="Arial"/>
          <w:sz w:val="24"/>
          <w:lang w:eastAsia="en-ZA"/>
        </w:rPr>
        <w:t>ment only against the second respondent. In the affidavit filed in support of the application the causes of action in the combined summons and the amounts claimed are verified and the facts set out therein are confirmed and sworn to positively. The applicant further avers that the respondents have no bona fide defence to its claim and entered an appear</w:t>
      </w:r>
      <w:r>
        <w:rPr>
          <w:rFonts w:cs="Arial"/>
          <w:sz w:val="24"/>
          <w:lang w:eastAsia="en-ZA"/>
        </w:rPr>
        <w:t>ance to defend the claim and</w:t>
      </w:r>
      <w:r w:rsidR="006E1AFF">
        <w:rPr>
          <w:rFonts w:cs="Arial"/>
          <w:sz w:val="24"/>
          <w:lang w:eastAsia="en-ZA"/>
        </w:rPr>
        <w:t xml:space="preserve"> file</w:t>
      </w:r>
      <w:r>
        <w:rPr>
          <w:rFonts w:cs="Arial"/>
          <w:sz w:val="24"/>
          <w:lang w:eastAsia="en-ZA"/>
        </w:rPr>
        <w:t xml:space="preserve">d a </w:t>
      </w:r>
      <w:r w:rsidR="006E1AFF">
        <w:rPr>
          <w:rFonts w:cs="Arial"/>
          <w:sz w:val="24"/>
          <w:lang w:eastAsia="en-ZA"/>
        </w:rPr>
        <w:t xml:space="preserve">plea solely for the purposes of delay. </w:t>
      </w:r>
    </w:p>
    <w:p w14:paraId="17A4F873" w14:textId="1AB12ABB" w:rsidR="006E1AFF" w:rsidRDefault="006E1AFF"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[11]</w:t>
      </w:r>
      <w:r>
        <w:rPr>
          <w:rFonts w:cs="Arial"/>
          <w:sz w:val="24"/>
          <w:lang w:eastAsia="en-ZA"/>
        </w:rPr>
        <w:tab/>
        <w:t>It also appears from the affid</w:t>
      </w:r>
      <w:r w:rsidR="00BD79C3">
        <w:rPr>
          <w:rFonts w:cs="Arial"/>
          <w:sz w:val="24"/>
          <w:lang w:eastAsia="en-ZA"/>
        </w:rPr>
        <w:t>avit in support of summary judg</w:t>
      </w:r>
      <w:r>
        <w:rPr>
          <w:rFonts w:cs="Arial"/>
          <w:sz w:val="24"/>
          <w:lang w:eastAsia="en-ZA"/>
        </w:rPr>
        <w:t>ment that the business rescue practitioner appointed in respect of the first respondent had delivered a</w:t>
      </w:r>
      <w:r w:rsidR="00BD79C3">
        <w:rPr>
          <w:rFonts w:cs="Arial"/>
          <w:sz w:val="24"/>
          <w:lang w:eastAsia="en-ZA"/>
        </w:rPr>
        <w:t xml:space="preserve"> notice in terms of section 141(2)(a) of the Companies A</w:t>
      </w:r>
      <w:r>
        <w:rPr>
          <w:rFonts w:cs="Arial"/>
          <w:sz w:val="24"/>
          <w:lang w:eastAsia="en-ZA"/>
        </w:rPr>
        <w:t>ct indicating that there was no reasonable prospect of the first respondent being rescued and that an application</w:t>
      </w:r>
      <w:r w:rsidR="00BD79C3">
        <w:rPr>
          <w:rFonts w:cs="Arial"/>
          <w:sz w:val="24"/>
          <w:lang w:eastAsia="en-ZA"/>
        </w:rPr>
        <w:t xml:space="preserve"> would</w:t>
      </w:r>
      <w:r>
        <w:rPr>
          <w:rFonts w:cs="Arial"/>
          <w:sz w:val="24"/>
          <w:lang w:eastAsia="en-ZA"/>
        </w:rPr>
        <w:t xml:space="preserve"> be brought to discontinue the bus</w:t>
      </w:r>
      <w:r w:rsidR="00BD79C3">
        <w:rPr>
          <w:rFonts w:cs="Arial"/>
          <w:sz w:val="24"/>
          <w:lang w:eastAsia="en-ZA"/>
        </w:rPr>
        <w:t>iness rescue proceedings and to place the first respondent in</w:t>
      </w:r>
      <w:r>
        <w:rPr>
          <w:rFonts w:cs="Arial"/>
          <w:sz w:val="24"/>
          <w:lang w:eastAsia="en-ZA"/>
        </w:rPr>
        <w:t xml:space="preserve"> liquidation. The applicant accepted that in all those circumstances all legal proceedings </w:t>
      </w:r>
      <w:r w:rsidR="00BD79C3">
        <w:rPr>
          <w:rFonts w:cs="Arial"/>
          <w:sz w:val="24"/>
          <w:lang w:eastAsia="en-ZA"/>
        </w:rPr>
        <w:t>against the first respondent were</w:t>
      </w:r>
      <w:r>
        <w:rPr>
          <w:rFonts w:cs="Arial"/>
          <w:sz w:val="24"/>
          <w:lang w:eastAsia="en-ZA"/>
        </w:rPr>
        <w:t xml:space="preserve"> suspended and </w:t>
      </w:r>
      <w:r w:rsidR="00BD79C3">
        <w:rPr>
          <w:rFonts w:cs="Arial"/>
          <w:sz w:val="24"/>
          <w:lang w:eastAsia="en-ZA"/>
        </w:rPr>
        <w:t xml:space="preserve">therefore </w:t>
      </w:r>
      <w:r>
        <w:rPr>
          <w:rFonts w:cs="Arial"/>
          <w:sz w:val="24"/>
          <w:lang w:eastAsia="en-ZA"/>
        </w:rPr>
        <w:t>that it would only be persisting with its claim against the second respondent.</w:t>
      </w:r>
    </w:p>
    <w:p w14:paraId="24F13A28" w14:textId="77AA7E91" w:rsidR="006E1AFF" w:rsidRDefault="00BD79C3"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[12]</w:t>
      </w:r>
      <w:r>
        <w:rPr>
          <w:rFonts w:cs="Arial"/>
          <w:sz w:val="24"/>
          <w:lang w:eastAsia="en-ZA"/>
        </w:rPr>
        <w:tab/>
        <w:t>T</w:t>
      </w:r>
      <w:r w:rsidR="006E1AFF">
        <w:rPr>
          <w:rFonts w:cs="Arial"/>
          <w:sz w:val="24"/>
          <w:lang w:eastAsia="en-ZA"/>
        </w:rPr>
        <w:t>he applicant</w:t>
      </w:r>
      <w:r>
        <w:rPr>
          <w:rFonts w:cs="Arial"/>
          <w:sz w:val="24"/>
          <w:lang w:eastAsia="en-ZA"/>
        </w:rPr>
        <w:t>,</w:t>
      </w:r>
      <w:r w:rsidR="006E1AFF">
        <w:rPr>
          <w:rFonts w:cs="Arial"/>
          <w:sz w:val="24"/>
          <w:lang w:eastAsia="en-ZA"/>
        </w:rPr>
        <w:t xml:space="preserve"> inter-alia</w:t>
      </w:r>
      <w:r>
        <w:rPr>
          <w:rFonts w:cs="Arial"/>
          <w:sz w:val="24"/>
          <w:lang w:eastAsia="en-ZA"/>
        </w:rPr>
        <w:t>,</w:t>
      </w:r>
      <w:r w:rsidR="006E1AFF">
        <w:rPr>
          <w:rFonts w:cs="Arial"/>
          <w:sz w:val="24"/>
          <w:lang w:eastAsia="en-ZA"/>
        </w:rPr>
        <w:t xml:space="preserve"> denied that the second defendant enjoyed the protection of the moratorium; contended that the second respondent was properly bo</w:t>
      </w:r>
      <w:r>
        <w:rPr>
          <w:rFonts w:cs="Arial"/>
          <w:sz w:val="24"/>
          <w:lang w:eastAsia="en-ZA"/>
        </w:rPr>
        <w:t>und by the suretyship</w:t>
      </w:r>
      <w:r w:rsidR="006E1AFF">
        <w:rPr>
          <w:rFonts w:cs="Arial"/>
          <w:sz w:val="24"/>
          <w:lang w:eastAsia="en-ZA"/>
        </w:rPr>
        <w:t>;</w:t>
      </w:r>
      <w:r>
        <w:rPr>
          <w:rFonts w:cs="Arial"/>
          <w:sz w:val="24"/>
          <w:lang w:eastAsia="en-ZA"/>
        </w:rPr>
        <w:t xml:space="preserve"> that the suretyship</w:t>
      </w:r>
      <w:r w:rsidR="006E1AFF">
        <w:rPr>
          <w:rFonts w:cs="Arial"/>
          <w:sz w:val="24"/>
          <w:lang w:eastAsia="en-ZA"/>
        </w:rPr>
        <w:t xml:space="preserve"> was valid and that it had been completed </w:t>
      </w:r>
      <w:r w:rsidR="006E1AFF">
        <w:rPr>
          <w:rFonts w:cs="Arial"/>
          <w:sz w:val="24"/>
          <w:lang w:eastAsia="en-ZA"/>
        </w:rPr>
        <w:lastRenderedPageBreak/>
        <w:t xml:space="preserve">by the second respondent </w:t>
      </w:r>
      <w:r>
        <w:rPr>
          <w:rFonts w:cs="Arial"/>
          <w:sz w:val="24"/>
          <w:lang w:eastAsia="en-ZA"/>
        </w:rPr>
        <w:t>(</w:t>
      </w:r>
      <w:r w:rsidR="006E1AFF">
        <w:rPr>
          <w:rFonts w:cs="Arial"/>
          <w:sz w:val="24"/>
          <w:lang w:eastAsia="en-ZA"/>
        </w:rPr>
        <w:t>in his own hand</w:t>
      </w:r>
      <w:r>
        <w:rPr>
          <w:rFonts w:cs="Arial"/>
          <w:sz w:val="24"/>
          <w:lang w:eastAsia="en-ZA"/>
        </w:rPr>
        <w:t>)</w:t>
      </w:r>
      <w:r w:rsidR="006E1AFF">
        <w:rPr>
          <w:rFonts w:cs="Arial"/>
          <w:sz w:val="24"/>
          <w:lang w:eastAsia="en-ZA"/>
        </w:rPr>
        <w:t xml:space="preserve"> and that the second respondent had no </w:t>
      </w:r>
      <w:r w:rsidR="006E1AFF" w:rsidRPr="00BD79C3">
        <w:rPr>
          <w:rFonts w:cs="Arial"/>
          <w:i/>
          <w:sz w:val="24"/>
          <w:lang w:eastAsia="en-ZA"/>
        </w:rPr>
        <w:t>bona fide</w:t>
      </w:r>
      <w:r w:rsidR="006E1AFF">
        <w:rPr>
          <w:rFonts w:cs="Arial"/>
          <w:sz w:val="24"/>
          <w:lang w:eastAsia="en-ZA"/>
        </w:rPr>
        <w:t xml:space="preserve"> defence to its claim against him.</w:t>
      </w:r>
    </w:p>
    <w:p w14:paraId="2FA14EE4" w14:textId="6B5E2B9F" w:rsidR="006E1AFF" w:rsidRDefault="006E1AFF"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[13]</w:t>
      </w:r>
      <w:r>
        <w:rPr>
          <w:rFonts w:cs="Arial"/>
          <w:sz w:val="24"/>
          <w:lang w:eastAsia="en-ZA"/>
        </w:rPr>
        <w:tab/>
      </w:r>
      <w:r w:rsidR="00BD79C3">
        <w:rPr>
          <w:rFonts w:cs="Arial"/>
          <w:sz w:val="24"/>
          <w:lang w:eastAsia="en-ZA"/>
        </w:rPr>
        <w:t>I</w:t>
      </w:r>
      <w:r w:rsidR="006221F0">
        <w:rPr>
          <w:rFonts w:cs="Arial"/>
          <w:sz w:val="24"/>
          <w:lang w:eastAsia="en-ZA"/>
        </w:rPr>
        <w:t>n his a</w:t>
      </w:r>
      <w:r w:rsidR="00BD79C3">
        <w:rPr>
          <w:rFonts w:cs="Arial"/>
          <w:sz w:val="24"/>
          <w:lang w:eastAsia="en-ZA"/>
        </w:rPr>
        <w:t>ffidavit resisting summary judg</w:t>
      </w:r>
      <w:r w:rsidR="006221F0">
        <w:rPr>
          <w:rFonts w:cs="Arial"/>
          <w:sz w:val="24"/>
          <w:lang w:eastAsia="en-ZA"/>
        </w:rPr>
        <w:t xml:space="preserve">ment the second respondent raised the following defences: (a) that </w:t>
      </w:r>
      <w:r w:rsidR="00BD79C3">
        <w:rPr>
          <w:rFonts w:cs="Arial"/>
          <w:sz w:val="24"/>
          <w:lang w:eastAsia="en-ZA"/>
        </w:rPr>
        <w:t xml:space="preserve">he </w:t>
      </w:r>
      <w:r w:rsidR="006221F0">
        <w:rPr>
          <w:rFonts w:cs="Arial"/>
          <w:sz w:val="24"/>
          <w:lang w:eastAsia="en-ZA"/>
        </w:rPr>
        <w:t>enjoy</w:t>
      </w:r>
      <w:r w:rsidR="00BD79C3">
        <w:rPr>
          <w:rFonts w:cs="Arial"/>
          <w:sz w:val="24"/>
          <w:lang w:eastAsia="en-ZA"/>
        </w:rPr>
        <w:t>ed</w:t>
      </w:r>
      <w:r w:rsidR="006221F0">
        <w:rPr>
          <w:rFonts w:cs="Arial"/>
          <w:sz w:val="24"/>
          <w:lang w:eastAsia="en-ZA"/>
        </w:rPr>
        <w:t xml:space="preserve"> the protection of the mora</w:t>
      </w:r>
      <w:r w:rsidR="00BD79C3">
        <w:rPr>
          <w:rFonts w:cs="Arial"/>
          <w:sz w:val="24"/>
          <w:lang w:eastAsia="en-ZA"/>
        </w:rPr>
        <w:t>torium envisaged in section 133(2) of the Companies Act; (b) the surety</w:t>
      </w:r>
      <w:r w:rsidR="006221F0">
        <w:rPr>
          <w:rFonts w:cs="Arial"/>
          <w:sz w:val="24"/>
          <w:lang w:eastAsia="en-ZA"/>
        </w:rPr>
        <w:t>ship was not valid because it does not comply with the legal requirements for such a document to be binding on</w:t>
      </w:r>
      <w:r w:rsidR="00BD79C3">
        <w:rPr>
          <w:rFonts w:cs="Arial"/>
          <w:sz w:val="24"/>
          <w:lang w:eastAsia="en-ZA"/>
        </w:rPr>
        <w:t xml:space="preserve"> and enforceable against him; (c</w:t>
      </w:r>
      <w:r w:rsidR="006221F0">
        <w:rPr>
          <w:rFonts w:cs="Arial"/>
          <w:sz w:val="24"/>
          <w:lang w:eastAsia="en-ZA"/>
        </w:rPr>
        <w:t>) effectively, that he did not believe that he was bound as sure</w:t>
      </w:r>
      <w:r w:rsidR="00BD79C3">
        <w:rPr>
          <w:rFonts w:cs="Arial"/>
          <w:sz w:val="24"/>
          <w:lang w:eastAsia="en-ZA"/>
        </w:rPr>
        <w:t>ty merely by signing the suretyship; (d) that the surety</w:t>
      </w:r>
      <w:r w:rsidR="006221F0">
        <w:rPr>
          <w:rFonts w:cs="Arial"/>
          <w:sz w:val="24"/>
          <w:lang w:eastAsia="en-ZA"/>
        </w:rPr>
        <w:t>ship was for an unlimited amount and therefore the deed of suretyship did not constitut</w:t>
      </w:r>
      <w:r w:rsidR="0065656F">
        <w:rPr>
          <w:rFonts w:cs="Arial"/>
          <w:sz w:val="24"/>
          <w:lang w:eastAsia="en-ZA"/>
        </w:rPr>
        <w:t>e a liquid amount; and lastly, (e</w:t>
      </w:r>
      <w:r w:rsidR="006221F0">
        <w:rPr>
          <w:rFonts w:cs="Arial"/>
          <w:sz w:val="24"/>
          <w:lang w:eastAsia="en-ZA"/>
        </w:rPr>
        <w:t>) the second respondent (despite the admissions in the plea to that effect) denied that the goods were delivered and col</w:t>
      </w:r>
      <w:r w:rsidR="0065656F">
        <w:rPr>
          <w:rFonts w:cs="Arial"/>
          <w:sz w:val="24"/>
          <w:lang w:eastAsia="en-ZA"/>
        </w:rPr>
        <w:t xml:space="preserve">lected by the first respondent, </w:t>
      </w:r>
      <w:r w:rsidR="006221F0">
        <w:rPr>
          <w:rFonts w:cs="Arial"/>
          <w:sz w:val="24"/>
          <w:lang w:eastAsia="en-ZA"/>
        </w:rPr>
        <w:t>i.e. he denied that delivery ever occurred.</w:t>
      </w:r>
    </w:p>
    <w:p w14:paraId="30DD5331" w14:textId="29315C20" w:rsidR="006221F0" w:rsidRDefault="006221F0"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[14</w:t>
      </w:r>
      <w:r w:rsidR="006E1AFF">
        <w:rPr>
          <w:rFonts w:cs="Arial"/>
          <w:sz w:val="24"/>
          <w:lang w:eastAsia="en-ZA"/>
        </w:rPr>
        <w:t>]</w:t>
      </w:r>
      <w:r w:rsidR="0065656F">
        <w:rPr>
          <w:rFonts w:cs="Arial"/>
          <w:sz w:val="24"/>
          <w:lang w:eastAsia="en-ZA"/>
        </w:rPr>
        <w:tab/>
        <w:t>A</w:t>
      </w:r>
      <w:r>
        <w:rPr>
          <w:rFonts w:cs="Arial"/>
          <w:sz w:val="24"/>
          <w:lang w:eastAsia="en-ZA"/>
        </w:rPr>
        <w:t>t the hearing of this application the second respondent’s counsel (correct</w:t>
      </w:r>
      <w:r w:rsidR="0065656F">
        <w:rPr>
          <w:rFonts w:cs="Arial"/>
          <w:sz w:val="24"/>
          <w:lang w:eastAsia="en-ZA"/>
        </w:rPr>
        <w:t>ly) conceded that the defences</w:t>
      </w:r>
      <w:r>
        <w:rPr>
          <w:rFonts w:cs="Arial"/>
          <w:sz w:val="24"/>
          <w:lang w:eastAsia="en-ZA"/>
        </w:rPr>
        <w:t xml:space="preserve"> relating to the protection of the moratorium and the validity and enforceabi</w:t>
      </w:r>
      <w:r w:rsidR="0065656F">
        <w:rPr>
          <w:rFonts w:cs="Arial"/>
          <w:sz w:val="24"/>
          <w:lang w:eastAsia="en-ZA"/>
        </w:rPr>
        <w:t>lity of the suretyship</w:t>
      </w:r>
      <w:r>
        <w:rPr>
          <w:rFonts w:cs="Arial"/>
          <w:sz w:val="24"/>
          <w:lang w:eastAsia="en-ZA"/>
        </w:rPr>
        <w:t xml:space="preserve"> against the second respondent, had no merit, but persisted with the latter two ar</w:t>
      </w:r>
      <w:r w:rsidR="0065656F">
        <w:rPr>
          <w:rFonts w:cs="Arial"/>
          <w:sz w:val="24"/>
          <w:lang w:eastAsia="en-ZA"/>
        </w:rPr>
        <w:t>guments or defences, namely those</w:t>
      </w:r>
      <w:r>
        <w:rPr>
          <w:rFonts w:cs="Arial"/>
          <w:sz w:val="24"/>
          <w:lang w:eastAsia="en-ZA"/>
        </w:rPr>
        <w:t xml:space="preserve"> pertaining to the liquidity of the </w:t>
      </w:r>
      <w:r w:rsidR="0065656F">
        <w:rPr>
          <w:rFonts w:cs="Arial"/>
          <w:sz w:val="24"/>
          <w:lang w:eastAsia="en-ZA"/>
        </w:rPr>
        <w:t xml:space="preserve">deed of </w:t>
      </w:r>
      <w:r>
        <w:rPr>
          <w:rFonts w:cs="Arial"/>
          <w:sz w:val="24"/>
          <w:lang w:eastAsia="en-ZA"/>
        </w:rPr>
        <w:t>suretyship, and the denial of the delivery of the goods.</w:t>
      </w:r>
    </w:p>
    <w:p w14:paraId="337B3823" w14:textId="6FB7C607" w:rsidR="006221F0" w:rsidRDefault="007A0AE8"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w:t>
      </w:r>
      <w:r w:rsidR="0065656F">
        <w:rPr>
          <w:rFonts w:cs="Arial"/>
          <w:sz w:val="24"/>
          <w:lang w:eastAsia="en-ZA"/>
        </w:rPr>
        <w:t>15]</w:t>
      </w:r>
      <w:r w:rsidR="0065656F">
        <w:rPr>
          <w:rFonts w:cs="Arial"/>
          <w:sz w:val="24"/>
          <w:lang w:eastAsia="en-ZA"/>
        </w:rPr>
        <w:tab/>
      </w:r>
      <w:r w:rsidR="006221F0">
        <w:rPr>
          <w:rFonts w:cs="Arial"/>
          <w:sz w:val="24"/>
          <w:lang w:eastAsia="en-ZA"/>
        </w:rPr>
        <w:t>In brief</w:t>
      </w:r>
      <w:r w:rsidR="0065656F">
        <w:rPr>
          <w:rFonts w:cs="Arial"/>
          <w:sz w:val="24"/>
          <w:lang w:eastAsia="en-ZA"/>
        </w:rPr>
        <w:t>,</w:t>
      </w:r>
      <w:r w:rsidR="006221F0">
        <w:rPr>
          <w:rFonts w:cs="Arial"/>
          <w:sz w:val="24"/>
          <w:lang w:eastAsia="en-ZA"/>
        </w:rPr>
        <w:t xml:space="preserve"> regarding the aspects conceded. In the absence of a specific provision in a business rescue plan for</w:t>
      </w:r>
      <w:r w:rsidR="0065656F">
        <w:rPr>
          <w:rFonts w:cs="Arial"/>
          <w:sz w:val="24"/>
          <w:lang w:eastAsia="en-ZA"/>
        </w:rPr>
        <w:t xml:space="preserve"> the protection of </w:t>
      </w:r>
      <w:r w:rsidR="006221F0">
        <w:rPr>
          <w:rFonts w:cs="Arial"/>
          <w:sz w:val="24"/>
          <w:lang w:eastAsia="en-ZA"/>
        </w:rPr>
        <w:t>a surety o</w:t>
      </w:r>
      <w:r w:rsidR="0065656F">
        <w:rPr>
          <w:rFonts w:cs="Arial"/>
          <w:sz w:val="24"/>
          <w:lang w:eastAsia="en-ZA"/>
        </w:rPr>
        <w:t xml:space="preserve">f the company in business </w:t>
      </w:r>
      <w:r w:rsidR="006221F0">
        <w:rPr>
          <w:rFonts w:cs="Arial"/>
          <w:sz w:val="24"/>
          <w:lang w:eastAsia="en-ZA"/>
        </w:rPr>
        <w:t>rescue, the liability of the surety remains unaffected thereby</w:t>
      </w:r>
      <w:r w:rsidR="00404327">
        <w:rPr>
          <w:rStyle w:val="FootnoteReference"/>
          <w:rFonts w:cs="Arial"/>
          <w:sz w:val="24"/>
          <w:lang w:eastAsia="en-ZA"/>
        </w:rPr>
        <w:footnoteReference w:id="3"/>
      </w:r>
      <w:r w:rsidR="006221F0">
        <w:rPr>
          <w:rFonts w:cs="Arial"/>
          <w:sz w:val="24"/>
          <w:lang w:eastAsia="en-ZA"/>
        </w:rPr>
        <w:t xml:space="preserve">. Further, the requirements </w:t>
      </w:r>
      <w:r w:rsidR="0065656F">
        <w:rPr>
          <w:rFonts w:cs="Arial"/>
          <w:sz w:val="24"/>
          <w:lang w:eastAsia="en-ZA"/>
        </w:rPr>
        <w:t>for a valid suretyship as envisaged in section 6 of the General Laws Amendment A</w:t>
      </w:r>
      <w:r w:rsidR="006221F0">
        <w:rPr>
          <w:rFonts w:cs="Arial"/>
          <w:sz w:val="24"/>
          <w:lang w:eastAsia="en-ZA"/>
        </w:rPr>
        <w:t>ct</w:t>
      </w:r>
      <w:r w:rsidR="00A05A88">
        <w:rPr>
          <w:rStyle w:val="FootnoteReference"/>
          <w:rFonts w:cs="Arial"/>
          <w:sz w:val="24"/>
          <w:lang w:eastAsia="en-ZA"/>
        </w:rPr>
        <w:footnoteReference w:id="4"/>
      </w:r>
      <w:r w:rsidR="006221F0">
        <w:rPr>
          <w:rFonts w:cs="Arial"/>
          <w:sz w:val="24"/>
          <w:lang w:eastAsia="en-ZA"/>
        </w:rPr>
        <w:t xml:space="preserve"> are met. The suretyship</w:t>
      </w:r>
      <w:r w:rsidR="0065656F">
        <w:rPr>
          <w:rFonts w:cs="Arial"/>
          <w:sz w:val="24"/>
          <w:lang w:eastAsia="en-ZA"/>
        </w:rPr>
        <w:t>,</w:t>
      </w:r>
      <w:r w:rsidR="006221F0">
        <w:rPr>
          <w:rFonts w:cs="Arial"/>
          <w:sz w:val="24"/>
          <w:lang w:eastAsia="en-ZA"/>
        </w:rPr>
        <w:t xml:space="preserve"> in this instance</w:t>
      </w:r>
      <w:r w:rsidR="0065656F">
        <w:rPr>
          <w:rFonts w:cs="Arial"/>
          <w:sz w:val="24"/>
          <w:lang w:eastAsia="en-ZA"/>
        </w:rPr>
        <w:t>,</w:t>
      </w:r>
      <w:r w:rsidR="006221F0">
        <w:rPr>
          <w:rFonts w:cs="Arial"/>
          <w:sz w:val="24"/>
          <w:lang w:eastAsia="en-ZA"/>
        </w:rPr>
        <w:t xml:space="preserve"> is in writing and it is signed by the surety himself. The</w:t>
      </w:r>
      <w:r w:rsidR="0065656F">
        <w:rPr>
          <w:rFonts w:cs="Arial"/>
          <w:sz w:val="24"/>
          <w:lang w:eastAsia="en-ZA"/>
        </w:rPr>
        <w:t xml:space="preserve"> identities of the creditor, </w:t>
      </w:r>
      <w:r w:rsidR="006221F0">
        <w:rPr>
          <w:rFonts w:cs="Arial"/>
          <w:sz w:val="24"/>
          <w:lang w:eastAsia="en-ZA"/>
        </w:rPr>
        <w:t>the debtor and the surety</w:t>
      </w:r>
      <w:r w:rsidR="0065656F">
        <w:rPr>
          <w:rFonts w:cs="Arial"/>
          <w:sz w:val="24"/>
          <w:lang w:eastAsia="en-ZA"/>
        </w:rPr>
        <w:t>,</w:t>
      </w:r>
      <w:r w:rsidR="006221F0">
        <w:rPr>
          <w:rFonts w:cs="Arial"/>
          <w:sz w:val="24"/>
          <w:lang w:eastAsia="en-ZA"/>
        </w:rPr>
        <w:t xml:space="preserve"> as well as the nature of the amount of the principal debt are all clearly reflected in the document. The surety agreement is therefore valid and binding. The second respondent not only completed the sp</w:t>
      </w:r>
      <w:r w:rsidR="0065656F">
        <w:rPr>
          <w:rFonts w:cs="Arial"/>
          <w:sz w:val="24"/>
          <w:lang w:eastAsia="en-ZA"/>
        </w:rPr>
        <w:t>aces in the deed himself,</w:t>
      </w:r>
      <w:r w:rsidR="006221F0">
        <w:rPr>
          <w:rFonts w:cs="Arial"/>
          <w:sz w:val="24"/>
          <w:lang w:eastAsia="en-ZA"/>
        </w:rPr>
        <w:t xml:space="preserve"> but the fa</w:t>
      </w:r>
      <w:r w:rsidR="0065656F">
        <w:rPr>
          <w:rFonts w:cs="Arial"/>
          <w:sz w:val="24"/>
          <w:lang w:eastAsia="en-ZA"/>
        </w:rPr>
        <w:t xml:space="preserve">ct that it </w:t>
      </w:r>
      <w:r w:rsidR="0065656F">
        <w:rPr>
          <w:rFonts w:cs="Arial"/>
          <w:sz w:val="24"/>
          <w:lang w:eastAsia="en-ZA"/>
        </w:rPr>
        <w:lastRenderedPageBreak/>
        <w:t>constituted a surety</w:t>
      </w:r>
      <w:r w:rsidR="006221F0">
        <w:rPr>
          <w:rFonts w:cs="Arial"/>
          <w:sz w:val="24"/>
          <w:lang w:eastAsia="en-ZA"/>
        </w:rPr>
        <w:t>ship agreement is apparent from the document itself</w:t>
      </w:r>
      <w:r w:rsidR="0065656F">
        <w:rPr>
          <w:rFonts w:cs="Arial"/>
          <w:sz w:val="24"/>
          <w:lang w:eastAsia="en-ZA"/>
        </w:rPr>
        <w:t xml:space="preserve">, and that fact is </w:t>
      </w:r>
      <w:r w:rsidR="006221F0">
        <w:rPr>
          <w:rFonts w:cs="Arial"/>
          <w:sz w:val="24"/>
          <w:lang w:eastAsia="en-ZA"/>
        </w:rPr>
        <w:t>unmistakable. By appending his signature to the deed of suretyship the second respondent indicated his assent to its contents. It is clear from the document its</w:t>
      </w:r>
      <w:r w:rsidR="0065656F">
        <w:rPr>
          <w:rFonts w:cs="Arial"/>
          <w:sz w:val="24"/>
          <w:lang w:eastAsia="en-ZA"/>
        </w:rPr>
        <w:t>elf that it contains contractual</w:t>
      </w:r>
      <w:r w:rsidR="006221F0">
        <w:rPr>
          <w:rFonts w:cs="Arial"/>
          <w:sz w:val="24"/>
          <w:lang w:eastAsia="en-ZA"/>
        </w:rPr>
        <w:t xml:space="preserve"> terms and the second respondent does not claim that he could not read the document. He is bound by its terms.</w:t>
      </w:r>
    </w:p>
    <w:p w14:paraId="15F9B7BE" w14:textId="60F80557" w:rsidR="006221F0" w:rsidRDefault="00DF6345"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[16</w:t>
      </w:r>
      <w:r w:rsidR="0065656F">
        <w:rPr>
          <w:rFonts w:cs="Arial"/>
          <w:sz w:val="24"/>
          <w:lang w:eastAsia="en-ZA"/>
        </w:rPr>
        <w:t>]</w:t>
      </w:r>
      <w:r w:rsidR="0065656F">
        <w:rPr>
          <w:rFonts w:cs="Arial"/>
          <w:sz w:val="24"/>
          <w:lang w:eastAsia="en-ZA"/>
        </w:rPr>
        <w:tab/>
        <w:t>T</w:t>
      </w:r>
      <w:r w:rsidR="006221F0">
        <w:rPr>
          <w:rFonts w:cs="Arial"/>
          <w:sz w:val="24"/>
          <w:lang w:eastAsia="en-ZA"/>
        </w:rPr>
        <w:t xml:space="preserve">urning to the defences that were persisted with. The defence regarding the delivery of the goods clearly lacks merit. Firstly, in their joint plea the respondents admitted the purchase, delivery and the amount of indebtedness. The second respondent does not explain the </w:t>
      </w:r>
      <w:r w:rsidR="006221F0" w:rsidRPr="00621E35">
        <w:rPr>
          <w:rFonts w:cs="Arial"/>
          <w:i/>
          <w:sz w:val="24"/>
          <w:lang w:eastAsia="en-ZA"/>
        </w:rPr>
        <w:t>volte-face</w:t>
      </w:r>
      <w:r w:rsidR="006221F0">
        <w:rPr>
          <w:rFonts w:cs="Arial"/>
          <w:sz w:val="24"/>
          <w:lang w:eastAsia="en-ZA"/>
        </w:rPr>
        <w:t xml:space="preserve"> in his a</w:t>
      </w:r>
      <w:r w:rsidR="0065656F">
        <w:rPr>
          <w:rFonts w:cs="Arial"/>
          <w:sz w:val="24"/>
          <w:lang w:eastAsia="en-ZA"/>
        </w:rPr>
        <w:t>ffidavit resisting summary judg</w:t>
      </w:r>
      <w:r w:rsidR="006221F0">
        <w:rPr>
          <w:rFonts w:cs="Arial"/>
          <w:sz w:val="24"/>
          <w:lang w:eastAsia="en-ZA"/>
        </w:rPr>
        <w:t>ment. In any event, the actual buyer, namely the firs</w:t>
      </w:r>
      <w:r w:rsidR="00621E35">
        <w:rPr>
          <w:rFonts w:cs="Arial"/>
          <w:sz w:val="24"/>
          <w:lang w:eastAsia="en-ZA"/>
        </w:rPr>
        <w:t xml:space="preserve">t respondent, did not </w:t>
      </w:r>
      <w:r w:rsidR="006221F0">
        <w:rPr>
          <w:rFonts w:cs="Arial"/>
          <w:sz w:val="24"/>
          <w:lang w:eastAsia="en-ZA"/>
        </w:rPr>
        <w:t xml:space="preserve">withdraw its admission of delivery made in the joint plea. The second </w:t>
      </w:r>
      <w:r w:rsidR="0065656F">
        <w:rPr>
          <w:rFonts w:cs="Arial"/>
          <w:sz w:val="24"/>
          <w:lang w:eastAsia="en-ZA"/>
        </w:rPr>
        <w:t>respondent, even though a co-</w:t>
      </w:r>
      <w:r w:rsidR="006221F0">
        <w:rPr>
          <w:rFonts w:cs="Arial"/>
          <w:sz w:val="24"/>
          <w:lang w:eastAsia="en-ZA"/>
        </w:rPr>
        <w:t>debtor</w:t>
      </w:r>
      <w:r w:rsidR="0065656F">
        <w:rPr>
          <w:rFonts w:cs="Arial"/>
          <w:sz w:val="24"/>
          <w:lang w:eastAsia="en-ZA"/>
        </w:rPr>
        <w:t>, was not the</w:t>
      </w:r>
      <w:r w:rsidR="006221F0">
        <w:rPr>
          <w:rFonts w:cs="Arial"/>
          <w:sz w:val="24"/>
          <w:lang w:eastAsia="en-ZA"/>
        </w:rPr>
        <w:t xml:space="preserve"> buyer of the goods and his liability</w:t>
      </w:r>
      <w:r w:rsidR="0065656F">
        <w:rPr>
          <w:rFonts w:cs="Arial"/>
          <w:sz w:val="24"/>
          <w:lang w:eastAsia="en-ZA"/>
        </w:rPr>
        <w:t xml:space="preserve"> did not stem from the </w:t>
      </w:r>
      <w:r w:rsidR="006221F0">
        <w:rPr>
          <w:rFonts w:cs="Arial"/>
          <w:sz w:val="24"/>
          <w:lang w:eastAsia="en-ZA"/>
        </w:rPr>
        <w:t>agreement</w:t>
      </w:r>
      <w:r>
        <w:rPr>
          <w:rFonts w:cs="Arial"/>
          <w:sz w:val="24"/>
          <w:lang w:eastAsia="en-ZA"/>
        </w:rPr>
        <w:t>,</w:t>
      </w:r>
      <w:r w:rsidR="00A05A88">
        <w:rPr>
          <w:rFonts w:cs="Arial"/>
          <w:sz w:val="24"/>
          <w:lang w:eastAsia="en-ZA"/>
        </w:rPr>
        <w:t xml:space="preserve"> but from the suretyship. He is being sued</w:t>
      </w:r>
      <w:r w:rsidR="006221F0">
        <w:rPr>
          <w:rFonts w:cs="Arial"/>
          <w:sz w:val="24"/>
          <w:lang w:eastAsia="en-ZA"/>
        </w:rPr>
        <w:t xml:space="preserve"> in his capacity as surety</w:t>
      </w:r>
      <w:r w:rsidR="00A05A88">
        <w:rPr>
          <w:rStyle w:val="FootnoteReference"/>
          <w:rFonts w:cs="Arial"/>
          <w:sz w:val="24"/>
          <w:lang w:eastAsia="en-ZA"/>
        </w:rPr>
        <w:footnoteReference w:id="5"/>
      </w:r>
      <w:r w:rsidR="006221F0">
        <w:rPr>
          <w:rFonts w:cs="Arial"/>
          <w:sz w:val="24"/>
          <w:lang w:eastAsia="en-ZA"/>
        </w:rPr>
        <w:t>.</w:t>
      </w:r>
    </w:p>
    <w:p w14:paraId="52B9E4E3" w14:textId="13042E12" w:rsidR="00BF7DAE" w:rsidRDefault="00DF6345"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[17</w:t>
      </w:r>
      <w:r w:rsidR="006221F0">
        <w:rPr>
          <w:rFonts w:cs="Arial"/>
          <w:sz w:val="24"/>
          <w:lang w:eastAsia="en-ZA"/>
        </w:rPr>
        <w:t>]</w:t>
      </w:r>
      <w:r>
        <w:rPr>
          <w:rFonts w:cs="Arial"/>
          <w:sz w:val="24"/>
          <w:lang w:eastAsia="en-ZA"/>
        </w:rPr>
        <w:tab/>
        <w:t xml:space="preserve"> I</w:t>
      </w:r>
      <w:r w:rsidR="006221F0">
        <w:rPr>
          <w:rFonts w:cs="Arial"/>
          <w:sz w:val="24"/>
          <w:lang w:eastAsia="en-ZA"/>
        </w:rPr>
        <w:t xml:space="preserve">n argument counsel for the second respondent elaborated </w:t>
      </w:r>
      <w:r>
        <w:rPr>
          <w:rFonts w:cs="Arial"/>
          <w:sz w:val="24"/>
          <w:lang w:eastAsia="en-ZA"/>
        </w:rPr>
        <w:t xml:space="preserve">on the technical point of </w:t>
      </w:r>
      <w:r w:rsidR="006221F0">
        <w:rPr>
          <w:rFonts w:cs="Arial"/>
          <w:sz w:val="24"/>
          <w:lang w:eastAsia="en-ZA"/>
        </w:rPr>
        <w:t>liquidity as follows. She submitted that the suretyship itself was not liquid and that the</w:t>
      </w:r>
      <w:r>
        <w:rPr>
          <w:rFonts w:cs="Arial"/>
          <w:sz w:val="24"/>
          <w:lang w:eastAsia="en-ZA"/>
        </w:rPr>
        <w:t xml:space="preserve"> certificate of balance, which </w:t>
      </w:r>
      <w:r w:rsidR="006221F0">
        <w:rPr>
          <w:rFonts w:cs="Arial"/>
          <w:sz w:val="24"/>
          <w:lang w:eastAsia="en-ZA"/>
        </w:rPr>
        <w:t>would render the amount claimed liquid</w:t>
      </w:r>
      <w:r>
        <w:rPr>
          <w:rFonts w:cs="Arial"/>
          <w:sz w:val="24"/>
          <w:lang w:eastAsia="en-ZA"/>
        </w:rPr>
        <w:t>,</w:t>
      </w:r>
      <w:r w:rsidR="006221F0">
        <w:rPr>
          <w:rFonts w:cs="Arial"/>
          <w:sz w:val="24"/>
          <w:lang w:eastAsia="en-ZA"/>
        </w:rPr>
        <w:t xml:space="preserve"> had not been attached to t</w:t>
      </w:r>
      <w:r>
        <w:rPr>
          <w:rFonts w:cs="Arial"/>
          <w:sz w:val="24"/>
          <w:lang w:eastAsia="en-ZA"/>
        </w:rPr>
        <w:t>he application for summary judg</w:t>
      </w:r>
      <w:r w:rsidR="006221F0">
        <w:rPr>
          <w:rFonts w:cs="Arial"/>
          <w:sz w:val="24"/>
          <w:lang w:eastAsia="en-ZA"/>
        </w:rPr>
        <w:t xml:space="preserve">ment </w:t>
      </w:r>
      <w:r>
        <w:rPr>
          <w:rFonts w:cs="Arial"/>
          <w:sz w:val="24"/>
          <w:lang w:eastAsia="en-ZA"/>
        </w:rPr>
        <w:t>as is required in terms of Rule 32(2); that the R</w:t>
      </w:r>
      <w:r w:rsidR="006221F0">
        <w:rPr>
          <w:rFonts w:cs="Arial"/>
          <w:sz w:val="24"/>
          <w:lang w:eastAsia="en-ZA"/>
        </w:rPr>
        <w:t>ule was peremptory and that the failure to attach</w:t>
      </w:r>
      <w:r>
        <w:rPr>
          <w:rFonts w:cs="Arial"/>
          <w:sz w:val="24"/>
          <w:lang w:eastAsia="en-ZA"/>
        </w:rPr>
        <w:t xml:space="preserve"> the certificate</w:t>
      </w:r>
      <w:r w:rsidR="00BF7DAE">
        <w:rPr>
          <w:rFonts w:cs="Arial"/>
          <w:sz w:val="24"/>
          <w:lang w:eastAsia="en-ZA"/>
        </w:rPr>
        <w:t xml:space="preserve"> was fatal to the app</w:t>
      </w:r>
      <w:r>
        <w:rPr>
          <w:rFonts w:cs="Arial"/>
          <w:sz w:val="24"/>
          <w:lang w:eastAsia="en-ZA"/>
        </w:rPr>
        <w:t xml:space="preserve">lication. It was further argued that </w:t>
      </w:r>
      <w:r w:rsidR="00BF7DAE">
        <w:rPr>
          <w:rFonts w:cs="Arial"/>
          <w:sz w:val="24"/>
          <w:lang w:eastAsia="en-ZA"/>
        </w:rPr>
        <w:t>bec</w:t>
      </w:r>
      <w:r>
        <w:rPr>
          <w:rFonts w:cs="Arial"/>
          <w:sz w:val="24"/>
          <w:lang w:eastAsia="en-ZA"/>
        </w:rPr>
        <w:t>ause the remedy of summary judg</w:t>
      </w:r>
      <w:r w:rsidR="00BF7DAE">
        <w:rPr>
          <w:rFonts w:cs="Arial"/>
          <w:sz w:val="24"/>
          <w:lang w:eastAsia="en-ZA"/>
        </w:rPr>
        <w:t>ment is “extraordinary, very stringent and closes the doors of the court to a defendant</w:t>
      </w:r>
      <w:r w:rsidR="00221C9C">
        <w:rPr>
          <w:rFonts w:cs="Arial"/>
          <w:sz w:val="24"/>
          <w:lang w:eastAsia="en-ZA"/>
        </w:rPr>
        <w:t>,</w:t>
      </w:r>
      <w:r w:rsidR="00BF7DAE">
        <w:rPr>
          <w:rFonts w:cs="Arial"/>
          <w:sz w:val="24"/>
          <w:lang w:eastAsia="en-ZA"/>
        </w:rPr>
        <w:t xml:space="preserve"> a plaintiff seeking such relief “must c</w:t>
      </w:r>
      <w:r>
        <w:rPr>
          <w:rFonts w:cs="Arial"/>
          <w:sz w:val="24"/>
          <w:lang w:eastAsia="en-ZA"/>
        </w:rPr>
        <w:t>omply with the requirements of R</w:t>
      </w:r>
      <w:r w:rsidR="00BF7DAE">
        <w:rPr>
          <w:rFonts w:cs="Arial"/>
          <w:sz w:val="24"/>
          <w:lang w:eastAsia="en-ZA"/>
        </w:rPr>
        <w:t>ule 32</w:t>
      </w:r>
      <w:r>
        <w:rPr>
          <w:rFonts w:cs="Arial"/>
          <w:sz w:val="24"/>
          <w:lang w:eastAsia="en-ZA"/>
        </w:rPr>
        <w:t>”</w:t>
      </w:r>
      <w:r w:rsidR="00BF7DAE">
        <w:rPr>
          <w:rFonts w:cs="Arial"/>
          <w:sz w:val="24"/>
          <w:lang w:eastAsia="en-ZA"/>
        </w:rPr>
        <w:t>.</w:t>
      </w:r>
    </w:p>
    <w:p w14:paraId="085F9520" w14:textId="570F448A" w:rsidR="00BF7DAE" w:rsidRDefault="00272A57"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[18</w:t>
      </w:r>
      <w:r w:rsidR="00DF6345">
        <w:rPr>
          <w:rFonts w:cs="Arial"/>
          <w:sz w:val="24"/>
          <w:lang w:eastAsia="en-ZA"/>
        </w:rPr>
        <w:t>]</w:t>
      </w:r>
      <w:r w:rsidR="00DF6345">
        <w:rPr>
          <w:rFonts w:cs="Arial"/>
          <w:sz w:val="24"/>
          <w:lang w:eastAsia="en-ZA"/>
        </w:rPr>
        <w:tab/>
        <w:t>C</w:t>
      </w:r>
      <w:r w:rsidR="00BF7DAE">
        <w:rPr>
          <w:rFonts w:cs="Arial"/>
          <w:sz w:val="24"/>
          <w:lang w:eastAsia="en-ZA"/>
        </w:rPr>
        <w:t xml:space="preserve">ounsel for the applicant submitted in brief, that the claim was indeed for a liquidated amount of money and was not based on </w:t>
      </w:r>
      <w:r w:rsidR="00BE7D6C">
        <w:rPr>
          <w:rFonts w:cs="Arial"/>
          <w:sz w:val="24"/>
          <w:lang w:eastAsia="en-ZA"/>
        </w:rPr>
        <w:t xml:space="preserve">a </w:t>
      </w:r>
      <w:r w:rsidR="00BF7DAE">
        <w:rPr>
          <w:rFonts w:cs="Arial"/>
          <w:sz w:val="24"/>
          <w:lang w:eastAsia="en-ZA"/>
        </w:rPr>
        <w:t>liquid document and that in any</w:t>
      </w:r>
      <w:r w:rsidR="00DF6345">
        <w:rPr>
          <w:rFonts w:cs="Arial"/>
          <w:sz w:val="24"/>
          <w:lang w:eastAsia="en-ZA"/>
        </w:rPr>
        <w:t xml:space="preserve"> event the suretyship </w:t>
      </w:r>
      <w:r w:rsidR="00BF7DAE">
        <w:rPr>
          <w:rFonts w:cs="Arial"/>
          <w:sz w:val="24"/>
          <w:lang w:eastAsia="en-ZA"/>
        </w:rPr>
        <w:t>a</w:t>
      </w:r>
      <w:r w:rsidR="00DF6345">
        <w:rPr>
          <w:rFonts w:cs="Arial"/>
          <w:sz w:val="24"/>
          <w:lang w:eastAsia="en-ZA"/>
        </w:rPr>
        <w:t>nd the certificate of balance are part of the combined summons</w:t>
      </w:r>
      <w:r w:rsidR="00BF7DAE">
        <w:rPr>
          <w:rFonts w:cs="Arial"/>
          <w:sz w:val="24"/>
          <w:lang w:eastAsia="en-ZA"/>
        </w:rPr>
        <w:t xml:space="preserve"> and had been verified and confirmed by the applicant and that this defence was technical and opportunistic and had been raised as a last resort. Counsel for the applicant further subm</w:t>
      </w:r>
      <w:r w:rsidR="00DF6345">
        <w:rPr>
          <w:rFonts w:cs="Arial"/>
          <w:sz w:val="24"/>
          <w:lang w:eastAsia="en-ZA"/>
        </w:rPr>
        <w:t>itted that non-compliance with Rule 32(2)</w:t>
      </w:r>
      <w:r w:rsidR="00BF7DAE">
        <w:rPr>
          <w:rFonts w:cs="Arial"/>
          <w:sz w:val="24"/>
          <w:lang w:eastAsia="en-ZA"/>
        </w:rPr>
        <w:t xml:space="preserve"> was</w:t>
      </w:r>
      <w:r w:rsidR="00DF6345">
        <w:rPr>
          <w:rFonts w:cs="Arial"/>
          <w:sz w:val="24"/>
          <w:lang w:eastAsia="en-ZA"/>
        </w:rPr>
        <w:t>,</w:t>
      </w:r>
      <w:r w:rsidR="00BF7DAE">
        <w:rPr>
          <w:rFonts w:cs="Arial"/>
          <w:sz w:val="24"/>
          <w:lang w:eastAsia="en-ZA"/>
        </w:rPr>
        <w:t xml:space="preserve"> in any event</w:t>
      </w:r>
      <w:r w:rsidR="00DF6345">
        <w:rPr>
          <w:rFonts w:cs="Arial"/>
          <w:sz w:val="24"/>
          <w:lang w:eastAsia="en-ZA"/>
        </w:rPr>
        <w:t xml:space="preserve">, condonable </w:t>
      </w:r>
      <w:r w:rsidR="00BF7DAE">
        <w:rPr>
          <w:rFonts w:cs="Arial"/>
          <w:sz w:val="24"/>
          <w:lang w:eastAsia="en-ZA"/>
        </w:rPr>
        <w:t>and t</w:t>
      </w:r>
      <w:r w:rsidR="00DF6345">
        <w:rPr>
          <w:rFonts w:cs="Arial"/>
          <w:sz w:val="24"/>
          <w:lang w:eastAsia="en-ZA"/>
        </w:rPr>
        <w:t>hat the second respondent, who</w:t>
      </w:r>
      <w:r w:rsidR="00BF7DAE">
        <w:rPr>
          <w:rFonts w:cs="Arial"/>
          <w:sz w:val="24"/>
          <w:lang w:eastAsia="en-ZA"/>
        </w:rPr>
        <w:t xml:space="preserve"> had no </w:t>
      </w:r>
      <w:r w:rsidR="00BF7DAE" w:rsidRPr="00272A57">
        <w:rPr>
          <w:rFonts w:cs="Arial"/>
          <w:i/>
          <w:sz w:val="24"/>
          <w:lang w:eastAsia="en-ZA"/>
        </w:rPr>
        <w:t xml:space="preserve">bona fide </w:t>
      </w:r>
      <w:r w:rsidR="00BF7DAE">
        <w:rPr>
          <w:rFonts w:cs="Arial"/>
          <w:sz w:val="24"/>
          <w:lang w:eastAsia="en-ZA"/>
        </w:rPr>
        <w:t xml:space="preserve">defence, would </w:t>
      </w:r>
      <w:r w:rsidR="00BF7DAE">
        <w:rPr>
          <w:rFonts w:cs="Arial"/>
          <w:sz w:val="24"/>
          <w:lang w:eastAsia="en-ZA"/>
        </w:rPr>
        <w:lastRenderedPageBreak/>
        <w:t>not be prejudiced if the non-compliance were to be condoned.</w:t>
      </w:r>
    </w:p>
    <w:p w14:paraId="5E4F104F" w14:textId="3CF59CFA" w:rsidR="00BF7DAE" w:rsidRDefault="00272A57"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[19]</w:t>
      </w:r>
      <w:r>
        <w:rPr>
          <w:rFonts w:cs="Arial"/>
          <w:sz w:val="24"/>
          <w:lang w:eastAsia="en-ZA"/>
        </w:rPr>
        <w:tab/>
        <w:t>E</w:t>
      </w:r>
      <w:r w:rsidR="00BF7DAE">
        <w:rPr>
          <w:rFonts w:cs="Arial"/>
          <w:sz w:val="24"/>
          <w:lang w:eastAsia="en-ZA"/>
        </w:rPr>
        <w:t xml:space="preserve">ven though the suretyship and certificate of indebtedness were not attached to the affidavit they were attached to the particulars of claim and the causes of action </w:t>
      </w:r>
      <w:r>
        <w:rPr>
          <w:rFonts w:cs="Arial"/>
          <w:sz w:val="24"/>
          <w:lang w:eastAsia="en-ZA"/>
        </w:rPr>
        <w:t xml:space="preserve">in the combined summons </w:t>
      </w:r>
      <w:r w:rsidR="00BF7DAE">
        <w:rPr>
          <w:rFonts w:cs="Arial"/>
          <w:sz w:val="24"/>
          <w:lang w:eastAsia="en-ZA"/>
        </w:rPr>
        <w:t>(which include the particulars of claim) were verified. Attaching them again may have been superfluous and unnecessary in the circumstances of this case. The second respondent would not be prejudiced by the fact that there were also not attached to the affidavit. In fact</w:t>
      </w:r>
      <w:r>
        <w:rPr>
          <w:rFonts w:cs="Arial"/>
          <w:sz w:val="24"/>
          <w:lang w:eastAsia="en-ZA"/>
        </w:rPr>
        <w:t>,</w:t>
      </w:r>
      <w:r w:rsidR="00BF7DAE">
        <w:rPr>
          <w:rFonts w:cs="Arial"/>
          <w:sz w:val="24"/>
          <w:lang w:eastAsia="en-ZA"/>
        </w:rPr>
        <w:t xml:space="preserve"> in his affidavit resisting summary</w:t>
      </w:r>
      <w:r>
        <w:rPr>
          <w:rFonts w:cs="Arial"/>
          <w:sz w:val="24"/>
          <w:lang w:eastAsia="en-ZA"/>
        </w:rPr>
        <w:t xml:space="preserve"> judg</w:t>
      </w:r>
      <w:r w:rsidR="00BF7DAE">
        <w:rPr>
          <w:rFonts w:cs="Arial"/>
          <w:sz w:val="24"/>
          <w:lang w:eastAsia="en-ZA"/>
        </w:rPr>
        <w:t xml:space="preserve">ment the second respondent did not raise this issue. In </w:t>
      </w:r>
      <w:r>
        <w:rPr>
          <w:rFonts w:cs="Arial"/>
          <w:sz w:val="24"/>
          <w:lang w:eastAsia="en-ZA"/>
        </w:rPr>
        <w:t xml:space="preserve">any event, insofar as such an </w:t>
      </w:r>
      <w:r w:rsidR="00BF7DAE">
        <w:rPr>
          <w:rFonts w:cs="Arial"/>
          <w:sz w:val="24"/>
          <w:lang w:eastAsia="en-ZA"/>
        </w:rPr>
        <w:t>attachment may h</w:t>
      </w:r>
      <w:r>
        <w:rPr>
          <w:rFonts w:cs="Arial"/>
          <w:sz w:val="24"/>
          <w:lang w:eastAsia="en-ZA"/>
        </w:rPr>
        <w:t>ave been necessary in terms of Rule 32(2), the non-</w:t>
      </w:r>
      <w:r w:rsidR="00BF7DAE">
        <w:rPr>
          <w:rFonts w:cs="Arial"/>
          <w:sz w:val="24"/>
          <w:lang w:eastAsia="en-ZA"/>
        </w:rPr>
        <w:t>compliance is condoned</w:t>
      </w:r>
      <w:r w:rsidR="00A05A88">
        <w:rPr>
          <w:rStyle w:val="FootnoteReference"/>
          <w:rFonts w:cs="Arial"/>
          <w:sz w:val="24"/>
          <w:lang w:eastAsia="en-ZA"/>
        </w:rPr>
        <w:footnoteReference w:id="6"/>
      </w:r>
      <w:r w:rsidR="00BF7DAE">
        <w:rPr>
          <w:rFonts w:cs="Arial"/>
          <w:sz w:val="24"/>
          <w:lang w:eastAsia="en-ZA"/>
        </w:rPr>
        <w:t>.</w:t>
      </w:r>
    </w:p>
    <w:p w14:paraId="6434F203" w14:textId="7CB6B9FD" w:rsidR="00BF7DAE" w:rsidRDefault="00272A57" w:rsidP="0077668E">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[20]</w:t>
      </w:r>
      <w:r>
        <w:rPr>
          <w:rFonts w:cs="Arial"/>
          <w:sz w:val="24"/>
          <w:lang w:eastAsia="en-ZA"/>
        </w:rPr>
        <w:tab/>
        <w:t>T</w:t>
      </w:r>
      <w:r w:rsidR="00BF7DAE">
        <w:rPr>
          <w:rFonts w:cs="Arial"/>
          <w:sz w:val="24"/>
          <w:lang w:eastAsia="en-ZA"/>
        </w:rPr>
        <w:t>he defences raised</w:t>
      </w:r>
      <w:r>
        <w:rPr>
          <w:rFonts w:cs="Arial"/>
          <w:sz w:val="24"/>
          <w:lang w:eastAsia="en-ZA"/>
        </w:rPr>
        <w:t xml:space="preserve"> by the second respondent are not </w:t>
      </w:r>
      <w:r w:rsidRPr="00272A57">
        <w:rPr>
          <w:rFonts w:cs="Arial"/>
          <w:i/>
          <w:sz w:val="24"/>
          <w:lang w:eastAsia="en-ZA"/>
        </w:rPr>
        <w:t>bona fide</w:t>
      </w:r>
      <w:r>
        <w:rPr>
          <w:rFonts w:cs="Arial"/>
          <w:sz w:val="24"/>
          <w:lang w:eastAsia="en-ZA"/>
        </w:rPr>
        <w:t xml:space="preserve"> defences</w:t>
      </w:r>
      <w:r w:rsidR="00BF7DAE">
        <w:rPr>
          <w:rFonts w:cs="Arial"/>
          <w:sz w:val="24"/>
          <w:lang w:eastAsia="en-ZA"/>
        </w:rPr>
        <w:t xml:space="preserve"> and</w:t>
      </w:r>
      <w:r>
        <w:rPr>
          <w:rFonts w:cs="Arial"/>
          <w:sz w:val="24"/>
          <w:lang w:eastAsia="en-ZA"/>
        </w:rPr>
        <w:t xml:space="preserve"> are clearly merely dilatory. I</w:t>
      </w:r>
      <w:r w:rsidR="00BF7DAE">
        <w:rPr>
          <w:rFonts w:cs="Arial"/>
          <w:sz w:val="24"/>
          <w:lang w:eastAsia="en-ZA"/>
        </w:rPr>
        <w:t>t would be remiss for this court to allow such defence</w:t>
      </w:r>
      <w:r>
        <w:rPr>
          <w:rFonts w:cs="Arial"/>
          <w:sz w:val="24"/>
          <w:lang w:eastAsia="en-ZA"/>
        </w:rPr>
        <w:t>s to defeat the applicant’s claim for summary judgment</w:t>
      </w:r>
      <w:r w:rsidR="00EC5011">
        <w:rPr>
          <w:rStyle w:val="FootnoteReference"/>
          <w:rFonts w:cs="Arial"/>
          <w:sz w:val="24"/>
          <w:lang w:eastAsia="en-ZA"/>
        </w:rPr>
        <w:footnoteReference w:id="7"/>
      </w:r>
      <w:r w:rsidR="00BF7DAE">
        <w:rPr>
          <w:rFonts w:cs="Arial"/>
          <w:sz w:val="24"/>
          <w:lang w:eastAsia="en-ZA"/>
        </w:rPr>
        <w:t>.</w:t>
      </w:r>
    </w:p>
    <w:p w14:paraId="185F2132" w14:textId="5847375F" w:rsidR="00AB2701" w:rsidRDefault="00F23E47" w:rsidP="00AB2701">
      <w:pPr>
        <w:keepNext/>
        <w:widowControl w:val="0"/>
        <w:tabs>
          <w:tab w:val="left" w:pos="720"/>
          <w:tab w:val="left" w:pos="1420"/>
        </w:tabs>
        <w:spacing w:before="480" w:after="480" w:line="360" w:lineRule="auto"/>
        <w:jc w:val="both"/>
        <w:rPr>
          <w:rFonts w:cs="Arial"/>
          <w:sz w:val="24"/>
          <w:lang w:eastAsia="en-ZA"/>
        </w:rPr>
      </w:pPr>
      <w:r>
        <w:rPr>
          <w:rFonts w:cs="Arial"/>
          <w:sz w:val="24"/>
          <w:lang w:eastAsia="en-ZA"/>
        </w:rPr>
        <w:t>[21</w:t>
      </w:r>
      <w:r w:rsidR="00272A57">
        <w:rPr>
          <w:rFonts w:cs="Arial"/>
          <w:sz w:val="24"/>
          <w:lang w:eastAsia="en-ZA"/>
        </w:rPr>
        <w:t>]</w:t>
      </w:r>
      <w:r w:rsidR="00272A57">
        <w:rPr>
          <w:rFonts w:cs="Arial"/>
          <w:sz w:val="24"/>
          <w:lang w:eastAsia="en-ZA"/>
        </w:rPr>
        <w:tab/>
        <w:t>A</w:t>
      </w:r>
      <w:r w:rsidR="00BF7DAE">
        <w:rPr>
          <w:rFonts w:cs="Arial"/>
          <w:sz w:val="24"/>
          <w:lang w:eastAsia="en-ZA"/>
        </w:rPr>
        <w:t>ccordingly an order is g</w:t>
      </w:r>
      <w:r w:rsidR="00272A57">
        <w:rPr>
          <w:rFonts w:cs="Arial"/>
          <w:sz w:val="24"/>
          <w:lang w:eastAsia="en-ZA"/>
        </w:rPr>
        <w:t>ranted in the following terms: T</w:t>
      </w:r>
      <w:r w:rsidR="00BF7DAE">
        <w:rPr>
          <w:rFonts w:cs="Arial"/>
          <w:sz w:val="24"/>
          <w:lang w:eastAsia="en-ZA"/>
        </w:rPr>
        <w:t>he second respondent is ordered to pay to t</w:t>
      </w:r>
      <w:r w:rsidR="00272A57">
        <w:rPr>
          <w:rFonts w:cs="Arial"/>
          <w:sz w:val="24"/>
          <w:lang w:eastAsia="en-ZA"/>
        </w:rPr>
        <w:t>he applicant the following: (1</w:t>
      </w:r>
      <w:r w:rsidR="00BF7DAE">
        <w:rPr>
          <w:rFonts w:cs="Arial"/>
          <w:sz w:val="24"/>
          <w:lang w:eastAsia="en-ZA"/>
        </w:rPr>
        <w:t>) the amount of R1</w:t>
      </w:r>
      <w:r w:rsidR="00272A57">
        <w:rPr>
          <w:rFonts w:cs="Arial"/>
          <w:sz w:val="24"/>
          <w:lang w:eastAsia="en-ZA"/>
        </w:rPr>
        <w:t xml:space="preserve">, </w:t>
      </w:r>
      <w:r w:rsidR="00BF7DAE">
        <w:rPr>
          <w:rFonts w:cs="Arial"/>
          <w:sz w:val="24"/>
          <w:lang w:eastAsia="en-ZA"/>
        </w:rPr>
        <w:t>633</w:t>
      </w:r>
      <w:r w:rsidR="00272A57">
        <w:rPr>
          <w:rFonts w:cs="Arial"/>
          <w:sz w:val="24"/>
          <w:lang w:eastAsia="en-ZA"/>
        </w:rPr>
        <w:t>, 888 – 64; (2</w:t>
      </w:r>
      <w:r w:rsidR="00BF7DAE">
        <w:rPr>
          <w:rFonts w:cs="Arial"/>
          <w:sz w:val="24"/>
          <w:lang w:eastAsia="en-ZA"/>
        </w:rPr>
        <w:t>) interest on that amount at the rate of 2% monthly from 1 April 2022 to date o</w:t>
      </w:r>
      <w:r w:rsidR="00272A57">
        <w:rPr>
          <w:rFonts w:cs="Arial"/>
          <w:sz w:val="24"/>
          <w:lang w:eastAsia="en-ZA"/>
        </w:rPr>
        <w:t>f full and final payment; (3</w:t>
      </w:r>
      <w:r w:rsidR="00BF7DAE">
        <w:rPr>
          <w:rFonts w:cs="Arial"/>
          <w:sz w:val="24"/>
          <w:lang w:eastAsia="en-ZA"/>
        </w:rPr>
        <w:t>) costs of suit to be taxed on the scale as between attorney and</w:t>
      </w:r>
      <w:r w:rsidR="005D6DCB">
        <w:rPr>
          <w:rFonts w:cs="Arial"/>
          <w:sz w:val="24"/>
          <w:lang w:eastAsia="en-ZA"/>
        </w:rPr>
        <w:t xml:space="preserve"> </w:t>
      </w:r>
      <w:r w:rsidR="00BF7DAE">
        <w:rPr>
          <w:rFonts w:cs="Arial"/>
          <w:sz w:val="24"/>
          <w:lang w:eastAsia="en-ZA"/>
        </w:rPr>
        <w:t>client.</w:t>
      </w:r>
    </w:p>
    <w:p w14:paraId="10B2DF16" w14:textId="77777777" w:rsidR="00AB2701" w:rsidRDefault="00AB2701" w:rsidP="00AB2701">
      <w:pPr>
        <w:keepNext/>
        <w:widowControl w:val="0"/>
        <w:tabs>
          <w:tab w:val="left" w:pos="720"/>
          <w:tab w:val="left" w:pos="1420"/>
        </w:tabs>
        <w:spacing w:before="480" w:line="360" w:lineRule="auto"/>
        <w:jc w:val="both"/>
        <w:rPr>
          <w:rFonts w:cs="Arial"/>
          <w:sz w:val="24"/>
          <w:lang w:eastAsia="en-ZA"/>
        </w:rPr>
      </w:pP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p>
    <w:p w14:paraId="4318E485" w14:textId="0CA8ED4E" w:rsidR="00AB2701" w:rsidRDefault="00AB2701" w:rsidP="00AB2701">
      <w:pPr>
        <w:keepNext/>
        <w:widowControl w:val="0"/>
        <w:tabs>
          <w:tab w:val="left" w:pos="720"/>
          <w:tab w:val="left" w:pos="1420"/>
        </w:tabs>
        <w:spacing w:before="480" w:line="360" w:lineRule="auto"/>
        <w:jc w:val="both"/>
        <w:rPr>
          <w:rFonts w:cs="Arial"/>
          <w:sz w:val="24"/>
          <w:lang w:eastAsia="en-ZA"/>
        </w:rPr>
      </w:pP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t xml:space="preserve">________________________ </w:t>
      </w:r>
    </w:p>
    <w:p w14:paraId="4781E68C" w14:textId="037442E2" w:rsidR="00AB2701" w:rsidRDefault="00AB2701" w:rsidP="00AB2701">
      <w:pPr>
        <w:keepNext/>
        <w:widowControl w:val="0"/>
        <w:tabs>
          <w:tab w:val="left" w:pos="720"/>
          <w:tab w:val="left" w:pos="1420"/>
        </w:tabs>
        <w:spacing w:line="360" w:lineRule="auto"/>
        <w:jc w:val="both"/>
        <w:rPr>
          <w:rFonts w:cs="Arial"/>
          <w:b/>
          <w:sz w:val="24"/>
          <w:lang w:eastAsia="en-ZA"/>
        </w:rPr>
      </w:pP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r>
      <w:r>
        <w:rPr>
          <w:rFonts w:cs="Arial"/>
          <w:sz w:val="24"/>
          <w:lang w:eastAsia="en-ZA"/>
        </w:rPr>
        <w:tab/>
        <w:t xml:space="preserve">         </w:t>
      </w:r>
      <w:r>
        <w:rPr>
          <w:rFonts w:cs="Arial"/>
          <w:b/>
          <w:sz w:val="24"/>
          <w:lang w:eastAsia="en-ZA"/>
        </w:rPr>
        <w:t>P COPPIN</w:t>
      </w:r>
    </w:p>
    <w:p w14:paraId="1E36806A" w14:textId="12E7C76B" w:rsidR="00AB2701" w:rsidRDefault="00AB2701" w:rsidP="00AB2701">
      <w:pPr>
        <w:keepNext/>
        <w:widowControl w:val="0"/>
        <w:tabs>
          <w:tab w:val="left" w:pos="720"/>
          <w:tab w:val="left" w:pos="1420"/>
        </w:tabs>
        <w:spacing w:line="360" w:lineRule="auto"/>
        <w:jc w:val="both"/>
        <w:rPr>
          <w:rFonts w:cs="Arial"/>
          <w:b/>
          <w:sz w:val="24"/>
          <w:lang w:eastAsia="en-ZA"/>
        </w:rPr>
      </w:pP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t xml:space="preserve">         JUDGE OF THE HIGH COURT</w:t>
      </w:r>
    </w:p>
    <w:p w14:paraId="51C686CA" w14:textId="1136D2F1" w:rsidR="006C43D7" w:rsidRPr="00A1751E" w:rsidRDefault="00AB2701" w:rsidP="00AB2701">
      <w:pPr>
        <w:keepNext/>
        <w:widowControl w:val="0"/>
        <w:tabs>
          <w:tab w:val="left" w:pos="720"/>
          <w:tab w:val="left" w:pos="1420"/>
        </w:tabs>
        <w:spacing w:line="360" w:lineRule="auto"/>
        <w:jc w:val="both"/>
        <w:rPr>
          <w:rFonts w:cs="Arial"/>
          <w:b/>
          <w:sz w:val="24"/>
          <w:lang w:eastAsia="en-ZA"/>
        </w:rPr>
      </w:pP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r>
      <w:r>
        <w:rPr>
          <w:rFonts w:cs="Arial"/>
          <w:b/>
          <w:sz w:val="24"/>
          <w:lang w:eastAsia="en-ZA"/>
        </w:rPr>
        <w:tab/>
        <w:t xml:space="preserve"> GAUTENG LOCAL DIVISION</w:t>
      </w:r>
    </w:p>
    <w:p w14:paraId="03FBFBBD" w14:textId="77777777" w:rsidR="00F23E47" w:rsidRDefault="00F23E47">
      <w:pPr>
        <w:widowControl w:val="0"/>
        <w:spacing w:after="200" w:line="360" w:lineRule="auto"/>
        <w:contextualSpacing/>
        <w:jc w:val="both"/>
        <w:rPr>
          <w:rFonts w:cs="Arial"/>
          <w:sz w:val="24"/>
        </w:rPr>
      </w:pPr>
    </w:p>
    <w:p w14:paraId="6DDC75AC" w14:textId="77777777" w:rsidR="00F23E47" w:rsidRDefault="00F23E47">
      <w:pPr>
        <w:widowControl w:val="0"/>
        <w:spacing w:after="200" w:line="360" w:lineRule="auto"/>
        <w:contextualSpacing/>
        <w:jc w:val="both"/>
        <w:rPr>
          <w:rFonts w:cs="Arial"/>
          <w:sz w:val="24"/>
        </w:rPr>
      </w:pPr>
    </w:p>
    <w:p w14:paraId="1CDE76E5" w14:textId="77777777" w:rsidR="00AB2701" w:rsidRDefault="00AB2701">
      <w:pPr>
        <w:widowControl w:val="0"/>
        <w:spacing w:after="200" w:line="360" w:lineRule="auto"/>
        <w:contextualSpacing/>
        <w:jc w:val="both"/>
        <w:rPr>
          <w:rFonts w:cs="Arial"/>
          <w:sz w:val="24"/>
        </w:rPr>
      </w:pPr>
    </w:p>
    <w:p w14:paraId="157DEC49" w14:textId="77777777" w:rsidR="00AB2701" w:rsidRDefault="00AB2701">
      <w:pPr>
        <w:widowControl w:val="0"/>
        <w:spacing w:after="200" w:line="360" w:lineRule="auto"/>
        <w:contextualSpacing/>
        <w:jc w:val="both"/>
        <w:rPr>
          <w:rFonts w:cs="Arial"/>
          <w:sz w:val="24"/>
        </w:rPr>
      </w:pPr>
    </w:p>
    <w:p w14:paraId="0C140982" w14:textId="77777777" w:rsidR="00AB2701" w:rsidRDefault="00AB2701">
      <w:pPr>
        <w:widowControl w:val="0"/>
        <w:spacing w:after="200" w:line="360" w:lineRule="auto"/>
        <w:contextualSpacing/>
        <w:jc w:val="both"/>
        <w:rPr>
          <w:rFonts w:cs="Arial"/>
          <w:sz w:val="24"/>
        </w:rPr>
      </w:pPr>
    </w:p>
    <w:p w14:paraId="64EC01EC" w14:textId="77777777" w:rsidR="00AB2701" w:rsidRDefault="00AB2701">
      <w:pPr>
        <w:widowControl w:val="0"/>
        <w:spacing w:after="200" w:line="360" w:lineRule="auto"/>
        <w:contextualSpacing/>
        <w:jc w:val="both"/>
        <w:rPr>
          <w:rFonts w:cs="Arial"/>
          <w:sz w:val="24"/>
        </w:rPr>
      </w:pPr>
    </w:p>
    <w:p w14:paraId="6A7E1A15" w14:textId="1AEF2F08" w:rsidR="009B62F7" w:rsidRDefault="00F23E47">
      <w:pPr>
        <w:widowControl w:val="0"/>
        <w:spacing w:after="200" w:line="360" w:lineRule="auto"/>
        <w:contextualSpacing/>
        <w:jc w:val="both"/>
        <w:rPr>
          <w:rFonts w:cs="Arial"/>
          <w:sz w:val="24"/>
        </w:rPr>
      </w:pPr>
      <w:r w:rsidRPr="00832A4B">
        <w:rPr>
          <w:rFonts w:cs="Arial"/>
          <w:sz w:val="24"/>
        </w:rPr>
        <w:t>APPEARANCES</w:t>
      </w:r>
      <w:r>
        <w:rPr>
          <w:rFonts w:cs="Arial"/>
          <w:sz w:val="24"/>
        </w:rPr>
        <w:t>:</w:t>
      </w:r>
    </w:p>
    <w:p w14:paraId="3CFDBC78" w14:textId="77777777" w:rsidR="00F23E47" w:rsidRDefault="00F23E47" w:rsidP="00F23E47">
      <w:pPr>
        <w:widowControl w:val="0"/>
        <w:spacing w:after="200" w:line="480" w:lineRule="auto"/>
        <w:contextualSpacing/>
        <w:jc w:val="center"/>
        <w:rPr>
          <w:rFonts w:cs="Arial"/>
          <w:sz w:val="24"/>
        </w:rPr>
      </w:pPr>
    </w:p>
    <w:p w14:paraId="52FDC047" w14:textId="7D6779BB" w:rsidR="00F23E47" w:rsidRDefault="00F23E47" w:rsidP="00F23E47">
      <w:pPr>
        <w:widowControl w:val="0"/>
        <w:spacing w:after="200" w:line="480" w:lineRule="auto"/>
        <w:contextualSpacing/>
        <w:jc w:val="both"/>
        <w:rPr>
          <w:rFonts w:cs="Arial"/>
          <w:sz w:val="24"/>
        </w:rPr>
      </w:pPr>
      <w:r>
        <w:rPr>
          <w:rFonts w:cs="Arial"/>
          <w:sz w:val="24"/>
        </w:rPr>
        <w:t xml:space="preserve">Counsel for the Applicant: </w:t>
      </w:r>
      <w:r w:rsidR="00BE7D6C">
        <w:rPr>
          <w:rFonts w:cs="Arial"/>
          <w:sz w:val="24"/>
        </w:rPr>
        <w:tab/>
      </w:r>
      <w:r w:rsidR="00BE7D6C">
        <w:rPr>
          <w:rFonts w:cs="Arial"/>
          <w:sz w:val="24"/>
        </w:rPr>
        <w:tab/>
      </w:r>
      <w:r w:rsidR="00BE7D6C">
        <w:rPr>
          <w:rFonts w:cs="Arial"/>
          <w:sz w:val="24"/>
        </w:rPr>
        <w:tab/>
      </w:r>
      <w:r w:rsidR="00BE7D6C">
        <w:rPr>
          <w:rFonts w:cs="Arial"/>
          <w:sz w:val="24"/>
        </w:rPr>
        <w:tab/>
      </w:r>
      <w:r w:rsidR="00BE7D6C">
        <w:rPr>
          <w:rFonts w:cs="Arial"/>
          <w:sz w:val="24"/>
        </w:rPr>
        <w:tab/>
      </w:r>
      <w:r>
        <w:rPr>
          <w:rFonts w:cs="Arial"/>
          <w:sz w:val="24"/>
        </w:rPr>
        <w:t>A Scott</w:t>
      </w:r>
    </w:p>
    <w:p w14:paraId="0ADD9C3A" w14:textId="74DE58F3" w:rsidR="00F23E47" w:rsidRDefault="00F23E47" w:rsidP="00F23E47">
      <w:pPr>
        <w:widowControl w:val="0"/>
        <w:spacing w:after="200" w:line="480" w:lineRule="auto"/>
        <w:contextualSpacing/>
        <w:jc w:val="both"/>
      </w:pPr>
      <w:r>
        <w:rPr>
          <w:rFonts w:cs="Arial"/>
          <w:sz w:val="24"/>
        </w:rPr>
        <w:t xml:space="preserve">Instructed by: </w:t>
      </w:r>
      <w:r w:rsidR="00BE7D6C">
        <w:rPr>
          <w:rFonts w:cs="Arial"/>
          <w:sz w:val="24"/>
        </w:rPr>
        <w:tab/>
      </w:r>
      <w:r w:rsidR="00BE7D6C">
        <w:rPr>
          <w:rFonts w:cs="Arial"/>
          <w:sz w:val="24"/>
        </w:rPr>
        <w:tab/>
      </w:r>
      <w:r w:rsidR="00BE7D6C">
        <w:rPr>
          <w:rFonts w:cs="Arial"/>
          <w:sz w:val="24"/>
        </w:rPr>
        <w:tab/>
      </w:r>
      <w:r w:rsidR="00BE7D6C">
        <w:rPr>
          <w:rFonts w:cs="Arial"/>
          <w:sz w:val="24"/>
        </w:rPr>
        <w:tab/>
      </w:r>
      <w:r w:rsidR="00BE7D6C">
        <w:rPr>
          <w:rFonts w:cs="Arial"/>
          <w:sz w:val="24"/>
        </w:rPr>
        <w:tab/>
      </w:r>
      <w:r w:rsidR="00BE7D6C">
        <w:rPr>
          <w:rFonts w:cs="Arial"/>
          <w:sz w:val="24"/>
        </w:rPr>
        <w:tab/>
      </w:r>
      <w:r>
        <w:rPr>
          <w:rFonts w:cs="Arial"/>
          <w:sz w:val="24"/>
        </w:rPr>
        <w:t>Lomas</w:t>
      </w:r>
      <w:r>
        <w:t>-Walker Attorneys</w:t>
      </w:r>
    </w:p>
    <w:p w14:paraId="766FABA4" w14:textId="77777777" w:rsidR="00F23E47" w:rsidRDefault="00F23E47" w:rsidP="00F23E47">
      <w:pPr>
        <w:widowControl w:val="0"/>
        <w:spacing w:after="200" w:line="480" w:lineRule="auto"/>
        <w:contextualSpacing/>
        <w:jc w:val="both"/>
      </w:pPr>
    </w:p>
    <w:p w14:paraId="773EDD1E" w14:textId="3ADF0950" w:rsidR="00F23E47" w:rsidRPr="005D6DCB" w:rsidRDefault="00F23E47" w:rsidP="00F23E47">
      <w:pPr>
        <w:widowControl w:val="0"/>
        <w:spacing w:after="200" w:line="480" w:lineRule="auto"/>
        <w:contextualSpacing/>
        <w:jc w:val="both"/>
        <w:rPr>
          <w:sz w:val="24"/>
        </w:rPr>
      </w:pPr>
      <w:r w:rsidRPr="005D6DCB">
        <w:rPr>
          <w:sz w:val="24"/>
        </w:rPr>
        <w:t xml:space="preserve">Counsel for the second respondent: </w:t>
      </w:r>
      <w:r w:rsidR="00BE7D6C" w:rsidRPr="005D6DCB">
        <w:rPr>
          <w:sz w:val="24"/>
        </w:rPr>
        <w:tab/>
      </w:r>
      <w:r w:rsidR="00BE7D6C" w:rsidRPr="005D6DCB">
        <w:rPr>
          <w:sz w:val="24"/>
        </w:rPr>
        <w:tab/>
      </w:r>
      <w:r w:rsidR="00BE7D6C" w:rsidRPr="005D6DCB">
        <w:rPr>
          <w:sz w:val="24"/>
        </w:rPr>
        <w:tab/>
      </w:r>
      <w:r w:rsidRPr="005D6DCB">
        <w:rPr>
          <w:sz w:val="24"/>
        </w:rPr>
        <w:t xml:space="preserve">A </w:t>
      </w:r>
      <w:proofErr w:type="spellStart"/>
      <w:r w:rsidRPr="005D6DCB">
        <w:rPr>
          <w:sz w:val="24"/>
        </w:rPr>
        <w:t>Granova</w:t>
      </w:r>
      <w:proofErr w:type="spellEnd"/>
    </w:p>
    <w:p w14:paraId="7A0138F7" w14:textId="5A77A81B" w:rsidR="00F23E47" w:rsidRPr="005D6DCB" w:rsidRDefault="00F23E47" w:rsidP="00F23E47">
      <w:pPr>
        <w:widowControl w:val="0"/>
        <w:spacing w:after="200" w:line="480" w:lineRule="auto"/>
        <w:contextualSpacing/>
        <w:jc w:val="both"/>
        <w:rPr>
          <w:rFonts w:eastAsia="Arial Unicode MS"/>
          <w:sz w:val="24"/>
        </w:rPr>
      </w:pPr>
      <w:r w:rsidRPr="005D6DCB">
        <w:rPr>
          <w:sz w:val="24"/>
        </w:rPr>
        <w:t xml:space="preserve">Instructed by: </w:t>
      </w:r>
      <w:r w:rsidR="00BE7D6C" w:rsidRPr="005D6DCB">
        <w:rPr>
          <w:sz w:val="24"/>
        </w:rPr>
        <w:tab/>
      </w:r>
      <w:r w:rsidR="00BE7D6C" w:rsidRPr="005D6DCB">
        <w:rPr>
          <w:sz w:val="24"/>
        </w:rPr>
        <w:tab/>
      </w:r>
      <w:r w:rsidR="00BE7D6C" w:rsidRPr="005D6DCB">
        <w:rPr>
          <w:sz w:val="24"/>
        </w:rPr>
        <w:tab/>
      </w:r>
      <w:r w:rsidR="00BE7D6C" w:rsidRPr="005D6DCB">
        <w:rPr>
          <w:sz w:val="24"/>
        </w:rPr>
        <w:tab/>
      </w:r>
      <w:r w:rsidR="00BE7D6C" w:rsidRPr="005D6DCB">
        <w:rPr>
          <w:sz w:val="24"/>
        </w:rPr>
        <w:tab/>
      </w:r>
      <w:r w:rsidR="00BE7D6C" w:rsidRPr="005D6DCB">
        <w:rPr>
          <w:sz w:val="24"/>
        </w:rPr>
        <w:tab/>
      </w:r>
      <w:r w:rsidRPr="005D6DCB">
        <w:rPr>
          <w:sz w:val="24"/>
        </w:rPr>
        <w:t>Wentzel &amp; Partners Attorneys</w:t>
      </w:r>
    </w:p>
    <w:p w14:paraId="13E12BC6" w14:textId="0D1E0E0B" w:rsidR="00F23E47" w:rsidRDefault="00F23E47" w:rsidP="00F23E47">
      <w:pPr>
        <w:widowControl w:val="0"/>
        <w:spacing w:after="200" w:line="480" w:lineRule="auto"/>
        <w:contextualSpacing/>
        <w:jc w:val="both"/>
        <w:rPr>
          <w:rFonts w:eastAsia="Arial Unicode MS" w:cs="Arial"/>
          <w:bCs/>
          <w:sz w:val="24"/>
        </w:rPr>
      </w:pPr>
    </w:p>
    <w:p w14:paraId="550D8473" w14:textId="66C895C6" w:rsidR="00F23E47" w:rsidRDefault="00F23E47" w:rsidP="00F23E47">
      <w:pPr>
        <w:widowControl w:val="0"/>
        <w:spacing w:after="200" w:line="480" w:lineRule="auto"/>
        <w:contextualSpacing/>
        <w:jc w:val="both"/>
        <w:rPr>
          <w:rFonts w:eastAsia="Arial Unicode MS" w:cs="Arial"/>
          <w:bCs/>
          <w:sz w:val="24"/>
        </w:rPr>
      </w:pPr>
    </w:p>
    <w:p w14:paraId="3826C4D1" w14:textId="77777777" w:rsidR="00F23E47" w:rsidRDefault="00F23E47" w:rsidP="00F23E47">
      <w:pPr>
        <w:widowControl w:val="0"/>
        <w:spacing w:after="200" w:line="480" w:lineRule="auto"/>
        <w:contextualSpacing/>
        <w:jc w:val="both"/>
        <w:rPr>
          <w:rFonts w:eastAsia="Arial Unicode MS" w:cs="Arial"/>
          <w:bCs/>
          <w:sz w:val="24"/>
        </w:rPr>
      </w:pPr>
    </w:p>
    <w:p w14:paraId="444E5628" w14:textId="049644FC" w:rsidR="00D33FB7" w:rsidRDefault="00F23E47" w:rsidP="00F23E47">
      <w:pPr>
        <w:widowControl w:val="0"/>
        <w:spacing w:after="200" w:line="480" w:lineRule="auto"/>
        <w:contextualSpacing/>
        <w:jc w:val="both"/>
        <w:rPr>
          <w:rFonts w:eastAsia="Arial Unicode MS" w:cs="Arial"/>
          <w:bCs/>
          <w:sz w:val="24"/>
        </w:rPr>
      </w:pPr>
      <w:r>
        <w:rPr>
          <w:rFonts w:eastAsia="Arial Unicode MS" w:cs="Arial"/>
          <w:bCs/>
          <w:sz w:val="24"/>
        </w:rPr>
        <w:t>Date of Hearing: 6,7 June 2023</w:t>
      </w:r>
    </w:p>
    <w:p w14:paraId="2C143A8C" w14:textId="1B708B59" w:rsidR="00F23E47" w:rsidRPr="00832A4B" w:rsidRDefault="00E35BE1" w:rsidP="00F23E47">
      <w:pPr>
        <w:widowControl w:val="0"/>
        <w:spacing w:after="200" w:line="480" w:lineRule="auto"/>
        <w:contextualSpacing/>
        <w:jc w:val="both"/>
        <w:rPr>
          <w:rFonts w:eastAsia="Arial Unicode MS" w:cs="Arial"/>
          <w:bCs/>
          <w:sz w:val="24"/>
        </w:rPr>
      </w:pPr>
      <w:r>
        <w:rPr>
          <w:rFonts w:eastAsia="Arial Unicode MS" w:cs="Arial"/>
          <w:bCs/>
          <w:sz w:val="24"/>
        </w:rPr>
        <w:t xml:space="preserve">Date of Judgement: 14 </w:t>
      </w:r>
      <w:r w:rsidR="00F23E47">
        <w:rPr>
          <w:rFonts w:eastAsia="Arial Unicode MS" w:cs="Arial"/>
          <w:bCs/>
          <w:sz w:val="24"/>
        </w:rPr>
        <w:t>June 2023</w:t>
      </w:r>
    </w:p>
    <w:p w14:paraId="4E325551" w14:textId="77777777" w:rsidR="00AB2701" w:rsidRDefault="00AB2701">
      <w:pPr>
        <w:widowControl w:val="0"/>
        <w:spacing w:after="200" w:line="360" w:lineRule="auto"/>
        <w:contextualSpacing/>
        <w:jc w:val="both"/>
        <w:rPr>
          <w:rFonts w:cs="Arial"/>
          <w:i/>
          <w:sz w:val="24"/>
          <w:lang w:val="en-GB"/>
        </w:rPr>
      </w:pPr>
    </w:p>
    <w:p w14:paraId="6D7F3969" w14:textId="59D4A7B3" w:rsidR="00A675FB" w:rsidRPr="00832A4B" w:rsidRDefault="00AB2701">
      <w:pPr>
        <w:widowControl w:val="0"/>
        <w:spacing w:after="200" w:line="360" w:lineRule="auto"/>
        <w:contextualSpacing/>
        <w:jc w:val="both"/>
        <w:rPr>
          <w:rFonts w:cs="Arial"/>
          <w:sz w:val="24"/>
        </w:rPr>
      </w:pPr>
      <w:r w:rsidRPr="00AB2701">
        <w:rPr>
          <w:rFonts w:cs="Arial"/>
          <w:i/>
          <w:sz w:val="24"/>
          <w:lang w:val="en-GB"/>
        </w:rPr>
        <w:t xml:space="preserve">This judgment was handed down electronically by circulation to the parties’ legal representatives by email, publication on </w:t>
      </w:r>
      <w:proofErr w:type="spellStart"/>
      <w:r w:rsidRPr="00AB2701">
        <w:rPr>
          <w:rFonts w:cs="Arial"/>
          <w:i/>
          <w:sz w:val="24"/>
          <w:lang w:val="en-GB"/>
        </w:rPr>
        <w:t>Caselines</w:t>
      </w:r>
      <w:proofErr w:type="spellEnd"/>
      <w:r w:rsidRPr="00AB2701">
        <w:rPr>
          <w:rFonts w:cs="Arial"/>
          <w:i/>
          <w:sz w:val="24"/>
          <w:lang w:val="en-GB"/>
        </w:rPr>
        <w:t xml:space="preserve"> and release to SAFLII. The date and time for hand-down is </w:t>
      </w:r>
      <w:r>
        <w:rPr>
          <w:rFonts w:cs="Arial"/>
          <w:i/>
          <w:sz w:val="24"/>
          <w:lang w:val="en-GB"/>
        </w:rPr>
        <w:t xml:space="preserve">deemed to be have been </w:t>
      </w:r>
      <w:r w:rsidRPr="00AB2701">
        <w:rPr>
          <w:rFonts w:cs="Arial"/>
          <w:i/>
          <w:sz w:val="24"/>
          <w:lang w:val="en-GB"/>
        </w:rPr>
        <w:t xml:space="preserve">on </w:t>
      </w:r>
      <w:r>
        <w:rPr>
          <w:rFonts w:cs="Arial"/>
          <w:i/>
          <w:sz w:val="24"/>
          <w:lang w:val="en-GB"/>
        </w:rPr>
        <w:t>14 June</w:t>
      </w:r>
      <w:r w:rsidRPr="00AB2701">
        <w:rPr>
          <w:rFonts w:cs="Arial"/>
          <w:i/>
          <w:sz w:val="24"/>
          <w:lang w:val="en-GB"/>
        </w:rPr>
        <w:t xml:space="preserve"> 202</w:t>
      </w:r>
      <w:r>
        <w:rPr>
          <w:rFonts w:cs="Arial"/>
          <w:i/>
          <w:sz w:val="24"/>
          <w:lang w:val="en-GB"/>
        </w:rPr>
        <w:t>3</w:t>
      </w:r>
    </w:p>
    <w:sectPr w:rsidR="00A675FB" w:rsidRPr="00832A4B" w:rsidSect="007A0AE8">
      <w:headerReference w:type="default" r:id="rId9"/>
      <w:footerReference w:type="first" r:id="rId10"/>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203D" w14:textId="77777777" w:rsidR="00061A43" w:rsidRDefault="00061A43">
      <w:r>
        <w:separator/>
      </w:r>
    </w:p>
  </w:endnote>
  <w:endnote w:type="continuationSeparator" w:id="0">
    <w:p w14:paraId="24A9E0A7" w14:textId="77777777" w:rsidR="00061A43" w:rsidRDefault="0006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1993" w14:textId="77777777" w:rsidR="00212DBE" w:rsidRDefault="00212DBE" w:rsidP="00212D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9F7A" w14:textId="77777777" w:rsidR="00061A43" w:rsidRDefault="00061A43">
      <w:r>
        <w:separator/>
      </w:r>
    </w:p>
  </w:footnote>
  <w:footnote w:type="continuationSeparator" w:id="0">
    <w:p w14:paraId="282665C2" w14:textId="77777777" w:rsidR="00061A43" w:rsidRDefault="00061A43">
      <w:r>
        <w:continuationSeparator/>
      </w:r>
    </w:p>
  </w:footnote>
  <w:footnote w:id="1">
    <w:p w14:paraId="73F21000" w14:textId="1E7CA5F8" w:rsidR="00404327" w:rsidRPr="00404327" w:rsidRDefault="00404327">
      <w:pPr>
        <w:pStyle w:val="FootnoteText"/>
        <w:rPr>
          <w:lang w:val="en-GB"/>
        </w:rPr>
      </w:pPr>
      <w:r>
        <w:rPr>
          <w:rStyle w:val="FootnoteReference"/>
        </w:rPr>
        <w:footnoteRef/>
      </w:r>
      <w:r>
        <w:t xml:space="preserve"> </w:t>
      </w:r>
      <w:r>
        <w:rPr>
          <w:lang w:val="en-GB"/>
        </w:rPr>
        <w:t>Act 34 of 2005.</w:t>
      </w:r>
    </w:p>
  </w:footnote>
  <w:footnote w:id="2">
    <w:p w14:paraId="1FFC5383" w14:textId="1D8FD6E5" w:rsidR="00404327" w:rsidRPr="00404327" w:rsidRDefault="00404327">
      <w:pPr>
        <w:pStyle w:val="FootnoteText"/>
        <w:rPr>
          <w:lang w:val="en-GB"/>
        </w:rPr>
      </w:pPr>
      <w:r>
        <w:rPr>
          <w:rStyle w:val="FootnoteReference"/>
        </w:rPr>
        <w:footnoteRef/>
      </w:r>
      <w:r>
        <w:t xml:space="preserve"> </w:t>
      </w:r>
      <w:r>
        <w:rPr>
          <w:lang w:val="en-GB"/>
        </w:rPr>
        <w:t>Act 71 of 2008.</w:t>
      </w:r>
    </w:p>
  </w:footnote>
  <w:footnote w:id="3">
    <w:p w14:paraId="10414CAF" w14:textId="638D95D9" w:rsidR="00404327" w:rsidRPr="00404327" w:rsidRDefault="00404327" w:rsidP="00A05A88">
      <w:pPr>
        <w:pStyle w:val="FootnoteText"/>
        <w:jc w:val="both"/>
        <w:rPr>
          <w:lang w:val="en-GB"/>
        </w:rPr>
      </w:pPr>
      <w:r>
        <w:rPr>
          <w:rStyle w:val="FootnoteReference"/>
        </w:rPr>
        <w:footnoteRef/>
      </w:r>
      <w:r>
        <w:t xml:space="preserve"> </w:t>
      </w:r>
      <w:r>
        <w:rPr>
          <w:lang w:val="en-GB"/>
        </w:rPr>
        <w:t xml:space="preserve">See, </w:t>
      </w:r>
      <w:r w:rsidRPr="00A05A88">
        <w:rPr>
          <w:i/>
          <w:lang w:val="en-GB"/>
        </w:rPr>
        <w:t>inter alia</w:t>
      </w:r>
      <w:r>
        <w:rPr>
          <w:lang w:val="en-GB"/>
        </w:rPr>
        <w:t xml:space="preserve">, </w:t>
      </w:r>
      <w:r w:rsidRPr="00A05A88">
        <w:rPr>
          <w:i/>
          <w:lang w:val="en-GB"/>
        </w:rPr>
        <w:t>New Port Finance Co(Pty) Ltd and Another v Nedbank Ltd</w:t>
      </w:r>
      <w:r>
        <w:rPr>
          <w:lang w:val="en-GB"/>
        </w:rPr>
        <w:t xml:space="preserve"> 2016</w:t>
      </w:r>
      <w:r w:rsidR="00A05A88">
        <w:rPr>
          <w:lang w:val="en-GB"/>
        </w:rPr>
        <w:t xml:space="preserve"> </w:t>
      </w:r>
      <w:r>
        <w:rPr>
          <w:lang w:val="en-GB"/>
        </w:rPr>
        <w:t>(5)</w:t>
      </w:r>
      <w:r w:rsidR="00A05A88">
        <w:rPr>
          <w:lang w:val="en-GB"/>
        </w:rPr>
        <w:t xml:space="preserve"> </w:t>
      </w:r>
      <w:r>
        <w:rPr>
          <w:lang w:val="en-GB"/>
        </w:rPr>
        <w:t>SA</w:t>
      </w:r>
      <w:r w:rsidR="00A05A88">
        <w:rPr>
          <w:lang w:val="en-GB"/>
        </w:rPr>
        <w:t xml:space="preserve"> </w:t>
      </w:r>
      <w:r>
        <w:rPr>
          <w:lang w:val="en-GB"/>
        </w:rPr>
        <w:t xml:space="preserve">503 (SCA); </w:t>
      </w:r>
      <w:r w:rsidRPr="00A05A88">
        <w:rPr>
          <w:i/>
          <w:lang w:val="en-GB"/>
        </w:rPr>
        <w:t xml:space="preserve">Investec Bank Ltd v </w:t>
      </w:r>
      <w:proofErr w:type="spellStart"/>
      <w:r w:rsidRPr="00A05A88">
        <w:rPr>
          <w:i/>
          <w:lang w:val="en-GB"/>
        </w:rPr>
        <w:t>Bruyns</w:t>
      </w:r>
      <w:proofErr w:type="spellEnd"/>
      <w:r>
        <w:rPr>
          <w:lang w:val="en-GB"/>
        </w:rPr>
        <w:t xml:space="preserve"> 2012</w:t>
      </w:r>
      <w:r w:rsidR="00A05A88">
        <w:rPr>
          <w:lang w:val="en-GB"/>
        </w:rPr>
        <w:t xml:space="preserve"> </w:t>
      </w:r>
      <w:r>
        <w:rPr>
          <w:lang w:val="en-GB"/>
        </w:rPr>
        <w:t xml:space="preserve">(5) SA 430 (WCC); </w:t>
      </w:r>
      <w:proofErr w:type="spellStart"/>
      <w:r w:rsidRPr="00A05A88">
        <w:rPr>
          <w:i/>
          <w:lang w:val="en-GB"/>
        </w:rPr>
        <w:t>J</w:t>
      </w:r>
      <w:r w:rsidR="00A05A88" w:rsidRPr="00A05A88">
        <w:rPr>
          <w:i/>
          <w:lang w:val="en-GB"/>
        </w:rPr>
        <w:t>ea</w:t>
      </w:r>
      <w:r w:rsidRPr="00A05A88">
        <w:rPr>
          <w:i/>
          <w:lang w:val="en-GB"/>
        </w:rPr>
        <w:t>ny</w:t>
      </w:r>
      <w:proofErr w:type="spellEnd"/>
      <w:r w:rsidRPr="00A05A88">
        <w:rPr>
          <w:i/>
          <w:lang w:val="en-GB"/>
        </w:rPr>
        <w:t xml:space="preserve"> Industrial Holdings (Pty)</w:t>
      </w:r>
      <w:r w:rsidR="00A05A88" w:rsidRPr="00A05A88">
        <w:rPr>
          <w:i/>
          <w:lang w:val="en-GB"/>
        </w:rPr>
        <w:t xml:space="preserve"> L</w:t>
      </w:r>
      <w:r w:rsidRPr="00A05A88">
        <w:rPr>
          <w:i/>
          <w:lang w:val="en-GB"/>
        </w:rPr>
        <w:t xml:space="preserve">td and Others v </w:t>
      </w:r>
      <w:proofErr w:type="spellStart"/>
      <w:r w:rsidRPr="00A05A88">
        <w:rPr>
          <w:i/>
          <w:lang w:val="en-GB"/>
        </w:rPr>
        <w:t>Zungu</w:t>
      </w:r>
      <w:proofErr w:type="spellEnd"/>
      <w:r w:rsidRPr="00A05A88">
        <w:rPr>
          <w:i/>
          <w:lang w:val="en-GB"/>
        </w:rPr>
        <w:t>-Elgin Engineering (Pty) Ltd</w:t>
      </w:r>
      <w:r>
        <w:rPr>
          <w:lang w:val="en-GB"/>
        </w:rPr>
        <w:t xml:space="preserve"> 2020</w:t>
      </w:r>
      <w:r w:rsidR="00A05A88">
        <w:rPr>
          <w:lang w:val="en-GB"/>
        </w:rPr>
        <w:t xml:space="preserve"> </w:t>
      </w:r>
      <w:r>
        <w:rPr>
          <w:lang w:val="en-GB"/>
        </w:rPr>
        <w:t xml:space="preserve">(2) SA 504 (KZD); </w:t>
      </w:r>
      <w:proofErr w:type="spellStart"/>
      <w:r w:rsidRPr="00A05A88">
        <w:rPr>
          <w:i/>
          <w:lang w:val="en-GB"/>
        </w:rPr>
        <w:t>Nedbank</w:t>
      </w:r>
      <w:proofErr w:type="spellEnd"/>
      <w:r w:rsidRPr="00A05A88">
        <w:rPr>
          <w:i/>
          <w:lang w:val="en-GB"/>
        </w:rPr>
        <w:t xml:space="preserve"> Ltd v </w:t>
      </w:r>
      <w:proofErr w:type="spellStart"/>
      <w:r w:rsidRPr="00A05A88">
        <w:rPr>
          <w:i/>
          <w:lang w:val="en-GB"/>
        </w:rPr>
        <w:t>Zevoli</w:t>
      </w:r>
      <w:proofErr w:type="spellEnd"/>
      <w:r w:rsidRPr="00A05A88">
        <w:rPr>
          <w:i/>
          <w:lang w:val="en-GB"/>
        </w:rPr>
        <w:t xml:space="preserve"> 208 (Pty) Ltd </w:t>
      </w:r>
      <w:r>
        <w:rPr>
          <w:lang w:val="en-GB"/>
        </w:rPr>
        <w:t xml:space="preserve">2017 (6) SA 318 (KZP); </w:t>
      </w:r>
      <w:r w:rsidRPr="00A05A88">
        <w:rPr>
          <w:i/>
          <w:lang w:val="en-GB"/>
        </w:rPr>
        <w:t>African Banking of Botswana v Kariba Furniture M</w:t>
      </w:r>
      <w:r w:rsidR="00A05A88" w:rsidRPr="00A05A88">
        <w:rPr>
          <w:i/>
          <w:lang w:val="en-GB"/>
        </w:rPr>
        <w:t xml:space="preserve">anufacturers </w:t>
      </w:r>
      <w:r w:rsidR="00A05A88">
        <w:rPr>
          <w:lang w:val="en-GB"/>
        </w:rPr>
        <w:t>2013 (6) SA 471 (GNP) par 69.</w:t>
      </w:r>
    </w:p>
  </w:footnote>
  <w:footnote w:id="4">
    <w:p w14:paraId="538FBA27" w14:textId="4DBD68A0" w:rsidR="00A05A88" w:rsidRPr="00A05A88" w:rsidRDefault="00A05A88">
      <w:pPr>
        <w:pStyle w:val="FootnoteText"/>
        <w:rPr>
          <w:lang w:val="en-GB"/>
        </w:rPr>
      </w:pPr>
      <w:r>
        <w:rPr>
          <w:rStyle w:val="FootnoteReference"/>
        </w:rPr>
        <w:footnoteRef/>
      </w:r>
      <w:r>
        <w:t xml:space="preserve"> </w:t>
      </w:r>
      <w:r>
        <w:rPr>
          <w:lang w:val="en-GB"/>
        </w:rPr>
        <w:t>Act 50 of 1956.</w:t>
      </w:r>
    </w:p>
  </w:footnote>
  <w:footnote w:id="5">
    <w:p w14:paraId="622A3BDD" w14:textId="3F295572" w:rsidR="00A05A88" w:rsidRPr="00A05A88" w:rsidRDefault="00A05A88">
      <w:pPr>
        <w:pStyle w:val="FootnoteText"/>
        <w:rPr>
          <w:lang w:val="en-GB"/>
        </w:rPr>
      </w:pPr>
      <w:r>
        <w:rPr>
          <w:rStyle w:val="FootnoteReference"/>
        </w:rPr>
        <w:footnoteRef/>
      </w:r>
      <w:r>
        <w:t xml:space="preserve"> </w:t>
      </w:r>
      <w:r w:rsidRPr="00A05A88">
        <w:rPr>
          <w:i/>
          <w:lang w:val="en-GB"/>
        </w:rPr>
        <w:t>Neon and Cold Cathode Illuminations (Pty) Ltd v Ephron</w:t>
      </w:r>
      <w:r>
        <w:rPr>
          <w:lang w:val="en-GB"/>
        </w:rPr>
        <w:t xml:space="preserve"> 1978 (1) SA 463 (A).</w:t>
      </w:r>
    </w:p>
  </w:footnote>
  <w:footnote w:id="6">
    <w:p w14:paraId="3593E761" w14:textId="76E47682" w:rsidR="00A05A88" w:rsidRPr="00A05A88" w:rsidRDefault="00A05A88" w:rsidP="00621E35">
      <w:pPr>
        <w:pStyle w:val="FootnoteText"/>
        <w:jc w:val="both"/>
        <w:rPr>
          <w:lang w:val="en-GB"/>
        </w:rPr>
      </w:pPr>
      <w:r>
        <w:rPr>
          <w:rStyle w:val="FootnoteReference"/>
        </w:rPr>
        <w:footnoteRef/>
      </w:r>
      <w:r>
        <w:t xml:space="preserve"> </w:t>
      </w:r>
      <w:r w:rsidRPr="00EC5011">
        <w:rPr>
          <w:i/>
          <w:lang w:val="en-GB"/>
        </w:rPr>
        <w:t xml:space="preserve">Nedcor Bank Ltd v </w:t>
      </w:r>
      <w:proofErr w:type="spellStart"/>
      <w:r w:rsidRPr="00EC5011">
        <w:rPr>
          <w:i/>
          <w:lang w:val="en-GB"/>
        </w:rPr>
        <w:t>Lisinfo</w:t>
      </w:r>
      <w:proofErr w:type="spellEnd"/>
      <w:r w:rsidRPr="00EC5011">
        <w:rPr>
          <w:i/>
          <w:lang w:val="en-GB"/>
        </w:rPr>
        <w:t xml:space="preserve"> 61 Trading (Pty) Ltd</w:t>
      </w:r>
      <w:r>
        <w:rPr>
          <w:lang w:val="en-GB"/>
        </w:rPr>
        <w:t xml:space="preserve"> 2005 (2) SA 432 </w:t>
      </w:r>
      <w:r w:rsidR="00EC5011">
        <w:rPr>
          <w:lang w:val="en-GB"/>
        </w:rPr>
        <w:t xml:space="preserve">(C) </w:t>
      </w:r>
      <w:r>
        <w:rPr>
          <w:lang w:val="en-GB"/>
        </w:rPr>
        <w:t>par 5</w:t>
      </w:r>
      <w:r w:rsidR="00EC5011">
        <w:rPr>
          <w:lang w:val="en-GB"/>
        </w:rPr>
        <w:t xml:space="preserve">; </w:t>
      </w:r>
      <w:r w:rsidR="00EC5011" w:rsidRPr="00EC5011">
        <w:rPr>
          <w:i/>
          <w:lang w:val="en-GB"/>
        </w:rPr>
        <w:t>ABSA B</w:t>
      </w:r>
      <w:r w:rsidR="00EC5011">
        <w:rPr>
          <w:i/>
          <w:lang w:val="en-GB"/>
        </w:rPr>
        <w:t xml:space="preserve">ank v </w:t>
      </w:r>
      <w:r w:rsidR="00EC5011" w:rsidRPr="00EC5011">
        <w:rPr>
          <w:i/>
          <w:lang w:val="en-GB"/>
        </w:rPr>
        <w:t>Botha NO &amp; Others</w:t>
      </w:r>
      <w:r w:rsidR="00EC5011">
        <w:rPr>
          <w:lang w:val="en-GB"/>
        </w:rPr>
        <w:t xml:space="preserve"> 2013 (50 SA 563 (GNP) par 16.</w:t>
      </w:r>
    </w:p>
  </w:footnote>
  <w:footnote w:id="7">
    <w:p w14:paraId="090A2410" w14:textId="3EFC6840" w:rsidR="00EC5011" w:rsidRPr="00EC5011" w:rsidRDefault="00EC5011" w:rsidP="00621E35">
      <w:pPr>
        <w:pStyle w:val="FootnoteText"/>
        <w:jc w:val="both"/>
        <w:rPr>
          <w:lang w:val="en-GB"/>
        </w:rPr>
      </w:pPr>
      <w:r>
        <w:rPr>
          <w:rStyle w:val="FootnoteReference"/>
        </w:rPr>
        <w:footnoteRef/>
      </w:r>
      <w:r>
        <w:t xml:space="preserve"> </w:t>
      </w:r>
      <w:proofErr w:type="spellStart"/>
      <w:r w:rsidRPr="00EC5011">
        <w:rPr>
          <w:i/>
          <w:lang w:val="en-GB"/>
        </w:rPr>
        <w:t>Maharaj</w:t>
      </w:r>
      <w:proofErr w:type="spellEnd"/>
      <w:r w:rsidRPr="00EC5011">
        <w:rPr>
          <w:i/>
          <w:lang w:val="en-GB"/>
        </w:rPr>
        <w:t xml:space="preserve"> v Barclays National Bank Ltd</w:t>
      </w:r>
      <w:r>
        <w:rPr>
          <w:lang w:val="en-GB"/>
        </w:rPr>
        <w:t xml:space="preserve"> 1976 (10 SA 418 (A) 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030457D" w:rsidR="00AC40AF" w:rsidRPr="006C43D7" w:rsidRDefault="00AC40AF" w:rsidP="00212DBE">
    <w:pPr>
      <w:tabs>
        <w:tab w:val="center" w:pos="4153"/>
        <w:tab w:val="right" w:pos="8306"/>
      </w:tabs>
      <w:spacing w:line="276" w:lineRule="auto"/>
      <w:jc w:val="center"/>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5A23A1">
      <w:rPr>
        <w:rFonts w:cs="Arial"/>
        <w:noProof/>
        <w:sz w:val="20"/>
        <w:szCs w:val="20"/>
        <w:lang w:val="en-GB"/>
      </w:rPr>
      <w:t>8</w:t>
    </w:r>
    <w:r w:rsidRPr="006C43D7">
      <w:rPr>
        <w:rFonts w:cs="Arial"/>
        <w:sz w:val="20"/>
        <w:szCs w:val="20"/>
        <w:lang w:val="en-GB"/>
      </w:rPr>
      <w:fldChar w:fldCharType="end"/>
    </w:r>
  </w:p>
  <w:p w14:paraId="08C008E5" w14:textId="77777777" w:rsidR="00AC40AF" w:rsidRPr="006C43D7" w:rsidRDefault="00AC40AF" w:rsidP="006C43D7">
    <w:pPr>
      <w:tabs>
        <w:tab w:val="center" w:pos="4153"/>
        <w:tab w:val="right" w:pos="8306"/>
      </w:tabs>
      <w:spacing w:line="276" w:lineRule="auto"/>
      <w:jc w:val="right"/>
      <w:rPr>
        <w:rFonts w:cs="Arial"/>
        <w:lang w:val="en-US"/>
      </w:rPr>
    </w:pPr>
  </w:p>
  <w:p w14:paraId="4A21EF97" w14:textId="77777777" w:rsidR="00AC40AF" w:rsidRPr="006C43D7" w:rsidRDefault="00AC40AF"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B0E590C"/>
    <w:multiLevelType w:val="hybridMultilevel"/>
    <w:tmpl w:val="B3CAE28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4E4BF9"/>
    <w:multiLevelType w:val="hybridMultilevel"/>
    <w:tmpl w:val="A23670E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FA36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086EE0"/>
    <w:multiLevelType w:val="hybridMultilevel"/>
    <w:tmpl w:val="CF6AB424"/>
    <w:lvl w:ilvl="0" w:tplc="1A5ECB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nsid w:val="459768D8"/>
    <w:multiLevelType w:val="hybridMultilevel"/>
    <w:tmpl w:val="90CC534A"/>
    <w:lvl w:ilvl="0" w:tplc="CAC0E4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A81F90"/>
    <w:multiLevelType w:val="hybridMultilevel"/>
    <w:tmpl w:val="27EABE7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7FBB72D3"/>
    <w:multiLevelType w:val="hybridMultilevel"/>
    <w:tmpl w:val="A6DCD6A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9"/>
  </w:num>
  <w:num w:numId="5">
    <w:abstractNumId w:val="16"/>
  </w:num>
  <w:num w:numId="6">
    <w:abstractNumId w:val="12"/>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4"/>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7"/>
  </w:num>
  <w:num w:numId="17">
    <w:abstractNumId w:val="11"/>
  </w:num>
  <w:num w:numId="18">
    <w:abstractNumId w:val="3"/>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DC5861-00D2-41C5-AB8F-07D01C09F342}"/>
    <w:docVar w:name="dgnword-eventsink" w:val="2401840191696"/>
  </w:docVars>
  <w:rsids>
    <w:rsidRoot w:val="00C676F3"/>
    <w:rsid w:val="000004A3"/>
    <w:rsid w:val="00002614"/>
    <w:rsid w:val="00006113"/>
    <w:rsid w:val="00007CC6"/>
    <w:rsid w:val="0001111B"/>
    <w:rsid w:val="0001140A"/>
    <w:rsid w:val="00013B7F"/>
    <w:rsid w:val="0001502D"/>
    <w:rsid w:val="000153E9"/>
    <w:rsid w:val="00015C47"/>
    <w:rsid w:val="00016C5A"/>
    <w:rsid w:val="000207F6"/>
    <w:rsid w:val="000224D5"/>
    <w:rsid w:val="000226ED"/>
    <w:rsid w:val="000248F1"/>
    <w:rsid w:val="00024A29"/>
    <w:rsid w:val="000252AC"/>
    <w:rsid w:val="000268B0"/>
    <w:rsid w:val="00034AE8"/>
    <w:rsid w:val="00035FAA"/>
    <w:rsid w:val="00040E18"/>
    <w:rsid w:val="00047055"/>
    <w:rsid w:val="00047AA2"/>
    <w:rsid w:val="00050086"/>
    <w:rsid w:val="000504F1"/>
    <w:rsid w:val="0005465E"/>
    <w:rsid w:val="00054804"/>
    <w:rsid w:val="00056223"/>
    <w:rsid w:val="00061A43"/>
    <w:rsid w:val="00063F7B"/>
    <w:rsid w:val="00071BF3"/>
    <w:rsid w:val="00072E89"/>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A6B07"/>
    <w:rsid w:val="000B03EB"/>
    <w:rsid w:val="000B580F"/>
    <w:rsid w:val="000C1421"/>
    <w:rsid w:val="000C3755"/>
    <w:rsid w:val="000D10C0"/>
    <w:rsid w:val="000D1B7A"/>
    <w:rsid w:val="000D1E55"/>
    <w:rsid w:val="000D45F0"/>
    <w:rsid w:val="000D66FF"/>
    <w:rsid w:val="000D7D6A"/>
    <w:rsid w:val="000E1813"/>
    <w:rsid w:val="000E254E"/>
    <w:rsid w:val="000E57BC"/>
    <w:rsid w:val="000F0BBE"/>
    <w:rsid w:val="000F23B3"/>
    <w:rsid w:val="000F39F6"/>
    <w:rsid w:val="000F59F8"/>
    <w:rsid w:val="000F6007"/>
    <w:rsid w:val="000F71C2"/>
    <w:rsid w:val="001000D9"/>
    <w:rsid w:val="00101EE2"/>
    <w:rsid w:val="0010288A"/>
    <w:rsid w:val="00102BC5"/>
    <w:rsid w:val="00104142"/>
    <w:rsid w:val="001050D1"/>
    <w:rsid w:val="00111EFC"/>
    <w:rsid w:val="00112301"/>
    <w:rsid w:val="001135E7"/>
    <w:rsid w:val="00114E52"/>
    <w:rsid w:val="00120FB1"/>
    <w:rsid w:val="00126C83"/>
    <w:rsid w:val="0012741F"/>
    <w:rsid w:val="00131957"/>
    <w:rsid w:val="001330D2"/>
    <w:rsid w:val="001410DC"/>
    <w:rsid w:val="0014680B"/>
    <w:rsid w:val="00147BD7"/>
    <w:rsid w:val="00147FF5"/>
    <w:rsid w:val="0015003D"/>
    <w:rsid w:val="0015788C"/>
    <w:rsid w:val="00162F4F"/>
    <w:rsid w:val="00166B26"/>
    <w:rsid w:val="00170A22"/>
    <w:rsid w:val="00177D8F"/>
    <w:rsid w:val="00183126"/>
    <w:rsid w:val="00185ACF"/>
    <w:rsid w:val="00190579"/>
    <w:rsid w:val="00191783"/>
    <w:rsid w:val="00194057"/>
    <w:rsid w:val="0019623C"/>
    <w:rsid w:val="00196E14"/>
    <w:rsid w:val="001A1819"/>
    <w:rsid w:val="001A1A55"/>
    <w:rsid w:val="001A464D"/>
    <w:rsid w:val="001A522A"/>
    <w:rsid w:val="001B1D39"/>
    <w:rsid w:val="001B3092"/>
    <w:rsid w:val="001B4217"/>
    <w:rsid w:val="001B5D3E"/>
    <w:rsid w:val="001B606B"/>
    <w:rsid w:val="001B62D3"/>
    <w:rsid w:val="001B6FFC"/>
    <w:rsid w:val="001C01DF"/>
    <w:rsid w:val="001D12D9"/>
    <w:rsid w:val="001D3CC2"/>
    <w:rsid w:val="001D6728"/>
    <w:rsid w:val="001D68D9"/>
    <w:rsid w:val="001D770D"/>
    <w:rsid w:val="001E2EED"/>
    <w:rsid w:val="001E35C1"/>
    <w:rsid w:val="001F0A29"/>
    <w:rsid w:val="001F0EF3"/>
    <w:rsid w:val="001F11EA"/>
    <w:rsid w:val="001F2072"/>
    <w:rsid w:val="001F2C31"/>
    <w:rsid w:val="001F3DBD"/>
    <w:rsid w:val="001F45CB"/>
    <w:rsid w:val="001F648A"/>
    <w:rsid w:val="001F6E8E"/>
    <w:rsid w:val="002014D0"/>
    <w:rsid w:val="00201620"/>
    <w:rsid w:val="00203CE8"/>
    <w:rsid w:val="0020571A"/>
    <w:rsid w:val="002079D1"/>
    <w:rsid w:val="00210971"/>
    <w:rsid w:val="00212DBE"/>
    <w:rsid w:val="002133DC"/>
    <w:rsid w:val="00215824"/>
    <w:rsid w:val="00216BC8"/>
    <w:rsid w:val="00221C9C"/>
    <w:rsid w:val="0022218D"/>
    <w:rsid w:val="00224EF0"/>
    <w:rsid w:val="00226926"/>
    <w:rsid w:val="00232528"/>
    <w:rsid w:val="00232EB3"/>
    <w:rsid w:val="002369D8"/>
    <w:rsid w:val="00237FF9"/>
    <w:rsid w:val="00245819"/>
    <w:rsid w:val="002504B8"/>
    <w:rsid w:val="00250A46"/>
    <w:rsid w:val="00262819"/>
    <w:rsid w:val="00272A57"/>
    <w:rsid w:val="002778A1"/>
    <w:rsid w:val="00281213"/>
    <w:rsid w:val="0028484B"/>
    <w:rsid w:val="00285040"/>
    <w:rsid w:val="00285062"/>
    <w:rsid w:val="00285DE9"/>
    <w:rsid w:val="00290B89"/>
    <w:rsid w:val="00294B84"/>
    <w:rsid w:val="00294ED8"/>
    <w:rsid w:val="0029606F"/>
    <w:rsid w:val="002A0160"/>
    <w:rsid w:val="002A2AE7"/>
    <w:rsid w:val="002A47CD"/>
    <w:rsid w:val="002A5EEA"/>
    <w:rsid w:val="002A7485"/>
    <w:rsid w:val="002B7824"/>
    <w:rsid w:val="002C05F2"/>
    <w:rsid w:val="002C115B"/>
    <w:rsid w:val="002C15AC"/>
    <w:rsid w:val="002C2597"/>
    <w:rsid w:val="002C2AC0"/>
    <w:rsid w:val="002C3500"/>
    <w:rsid w:val="002C364B"/>
    <w:rsid w:val="002C4638"/>
    <w:rsid w:val="002C4687"/>
    <w:rsid w:val="002C481E"/>
    <w:rsid w:val="002D10E4"/>
    <w:rsid w:val="002D2317"/>
    <w:rsid w:val="002D5C85"/>
    <w:rsid w:val="002D77CC"/>
    <w:rsid w:val="002E1342"/>
    <w:rsid w:val="002E4B98"/>
    <w:rsid w:val="002E5B57"/>
    <w:rsid w:val="002E6CD7"/>
    <w:rsid w:val="002E77C4"/>
    <w:rsid w:val="002F3010"/>
    <w:rsid w:val="002F465B"/>
    <w:rsid w:val="002F4CCC"/>
    <w:rsid w:val="002F6D39"/>
    <w:rsid w:val="002F7515"/>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08B0"/>
    <w:rsid w:val="00341086"/>
    <w:rsid w:val="0034147B"/>
    <w:rsid w:val="00345211"/>
    <w:rsid w:val="003463D6"/>
    <w:rsid w:val="003469B6"/>
    <w:rsid w:val="00346D31"/>
    <w:rsid w:val="00346DE6"/>
    <w:rsid w:val="00351809"/>
    <w:rsid w:val="003518A3"/>
    <w:rsid w:val="00351ABE"/>
    <w:rsid w:val="003543C5"/>
    <w:rsid w:val="00354EF2"/>
    <w:rsid w:val="00357081"/>
    <w:rsid w:val="00357D35"/>
    <w:rsid w:val="00357E01"/>
    <w:rsid w:val="00357F9E"/>
    <w:rsid w:val="003605A3"/>
    <w:rsid w:val="00363FCD"/>
    <w:rsid w:val="003646DF"/>
    <w:rsid w:val="00364C43"/>
    <w:rsid w:val="00367720"/>
    <w:rsid w:val="0037029D"/>
    <w:rsid w:val="0037153E"/>
    <w:rsid w:val="00381213"/>
    <w:rsid w:val="00381DCB"/>
    <w:rsid w:val="003840EC"/>
    <w:rsid w:val="00387F78"/>
    <w:rsid w:val="00390C3F"/>
    <w:rsid w:val="00392DB9"/>
    <w:rsid w:val="003A6F23"/>
    <w:rsid w:val="003A7864"/>
    <w:rsid w:val="003B080A"/>
    <w:rsid w:val="003B142D"/>
    <w:rsid w:val="003B323E"/>
    <w:rsid w:val="003B4100"/>
    <w:rsid w:val="003B5FBA"/>
    <w:rsid w:val="003B78E3"/>
    <w:rsid w:val="003C1A16"/>
    <w:rsid w:val="003C1E91"/>
    <w:rsid w:val="003C3AC6"/>
    <w:rsid w:val="003D5739"/>
    <w:rsid w:val="003E0BF4"/>
    <w:rsid w:val="003E1423"/>
    <w:rsid w:val="003E1436"/>
    <w:rsid w:val="003E3B27"/>
    <w:rsid w:val="003F0B24"/>
    <w:rsid w:val="003F5560"/>
    <w:rsid w:val="004026CF"/>
    <w:rsid w:val="00404327"/>
    <w:rsid w:val="0040795A"/>
    <w:rsid w:val="00407F28"/>
    <w:rsid w:val="004131C5"/>
    <w:rsid w:val="00417D72"/>
    <w:rsid w:val="00421F19"/>
    <w:rsid w:val="00422DDD"/>
    <w:rsid w:val="004239DA"/>
    <w:rsid w:val="0042423E"/>
    <w:rsid w:val="00425757"/>
    <w:rsid w:val="00431DD4"/>
    <w:rsid w:val="0043256C"/>
    <w:rsid w:val="004339E6"/>
    <w:rsid w:val="0043683A"/>
    <w:rsid w:val="0044085B"/>
    <w:rsid w:val="00441422"/>
    <w:rsid w:val="004450BD"/>
    <w:rsid w:val="004459CF"/>
    <w:rsid w:val="00445DCB"/>
    <w:rsid w:val="004460B9"/>
    <w:rsid w:val="00456542"/>
    <w:rsid w:val="00460EF7"/>
    <w:rsid w:val="004630B6"/>
    <w:rsid w:val="00467D30"/>
    <w:rsid w:val="00471FAC"/>
    <w:rsid w:val="00473024"/>
    <w:rsid w:val="00473114"/>
    <w:rsid w:val="00474607"/>
    <w:rsid w:val="00474910"/>
    <w:rsid w:val="004749AF"/>
    <w:rsid w:val="004766B3"/>
    <w:rsid w:val="00476754"/>
    <w:rsid w:val="00483E40"/>
    <w:rsid w:val="00484116"/>
    <w:rsid w:val="0048424E"/>
    <w:rsid w:val="0048507B"/>
    <w:rsid w:val="00486F42"/>
    <w:rsid w:val="00487D14"/>
    <w:rsid w:val="00487FAD"/>
    <w:rsid w:val="004913E6"/>
    <w:rsid w:val="00497938"/>
    <w:rsid w:val="00497D8E"/>
    <w:rsid w:val="00497FF4"/>
    <w:rsid w:val="004A2C7E"/>
    <w:rsid w:val="004A33EC"/>
    <w:rsid w:val="004A7DFE"/>
    <w:rsid w:val="004B21D9"/>
    <w:rsid w:val="004B2899"/>
    <w:rsid w:val="004B4621"/>
    <w:rsid w:val="004C368B"/>
    <w:rsid w:val="004C4FFB"/>
    <w:rsid w:val="004C6492"/>
    <w:rsid w:val="004D262A"/>
    <w:rsid w:val="004D2C6F"/>
    <w:rsid w:val="004D2E01"/>
    <w:rsid w:val="004D7AE9"/>
    <w:rsid w:val="004E173B"/>
    <w:rsid w:val="004E4275"/>
    <w:rsid w:val="004E568C"/>
    <w:rsid w:val="004E5AD8"/>
    <w:rsid w:val="004F12D8"/>
    <w:rsid w:val="004F22A6"/>
    <w:rsid w:val="004F2682"/>
    <w:rsid w:val="004F28EE"/>
    <w:rsid w:val="004F5E43"/>
    <w:rsid w:val="004F6653"/>
    <w:rsid w:val="004F7E8C"/>
    <w:rsid w:val="00502CBC"/>
    <w:rsid w:val="00503FE7"/>
    <w:rsid w:val="00504B53"/>
    <w:rsid w:val="00504D85"/>
    <w:rsid w:val="00506B31"/>
    <w:rsid w:val="00507D49"/>
    <w:rsid w:val="00507DD6"/>
    <w:rsid w:val="0051015D"/>
    <w:rsid w:val="00510323"/>
    <w:rsid w:val="0051292D"/>
    <w:rsid w:val="00514796"/>
    <w:rsid w:val="0051622D"/>
    <w:rsid w:val="00516C44"/>
    <w:rsid w:val="00516CF0"/>
    <w:rsid w:val="0052179E"/>
    <w:rsid w:val="005262C2"/>
    <w:rsid w:val="0052705A"/>
    <w:rsid w:val="005363ED"/>
    <w:rsid w:val="00537A72"/>
    <w:rsid w:val="005432DD"/>
    <w:rsid w:val="005434F6"/>
    <w:rsid w:val="00545A74"/>
    <w:rsid w:val="00545B01"/>
    <w:rsid w:val="00546A0D"/>
    <w:rsid w:val="005503A8"/>
    <w:rsid w:val="005503CC"/>
    <w:rsid w:val="00551687"/>
    <w:rsid w:val="00553AC4"/>
    <w:rsid w:val="00553AF1"/>
    <w:rsid w:val="0055729D"/>
    <w:rsid w:val="00557AF3"/>
    <w:rsid w:val="00567959"/>
    <w:rsid w:val="00573759"/>
    <w:rsid w:val="005802B7"/>
    <w:rsid w:val="00580489"/>
    <w:rsid w:val="00581C59"/>
    <w:rsid w:val="00583DAC"/>
    <w:rsid w:val="00584A03"/>
    <w:rsid w:val="00585F3B"/>
    <w:rsid w:val="0059024D"/>
    <w:rsid w:val="005933C8"/>
    <w:rsid w:val="00596509"/>
    <w:rsid w:val="00597E64"/>
    <w:rsid w:val="005A23A1"/>
    <w:rsid w:val="005A27EF"/>
    <w:rsid w:val="005A3105"/>
    <w:rsid w:val="005A313A"/>
    <w:rsid w:val="005A637B"/>
    <w:rsid w:val="005A680F"/>
    <w:rsid w:val="005A75D7"/>
    <w:rsid w:val="005B2D28"/>
    <w:rsid w:val="005B53B0"/>
    <w:rsid w:val="005B62A6"/>
    <w:rsid w:val="005B6D81"/>
    <w:rsid w:val="005B7DD3"/>
    <w:rsid w:val="005C657D"/>
    <w:rsid w:val="005C6E34"/>
    <w:rsid w:val="005C7FC2"/>
    <w:rsid w:val="005D2408"/>
    <w:rsid w:val="005D36AF"/>
    <w:rsid w:val="005D4FE0"/>
    <w:rsid w:val="005D6122"/>
    <w:rsid w:val="005D6DCB"/>
    <w:rsid w:val="005D6E80"/>
    <w:rsid w:val="005E004E"/>
    <w:rsid w:val="005E0323"/>
    <w:rsid w:val="005E035E"/>
    <w:rsid w:val="005E09BA"/>
    <w:rsid w:val="005E2681"/>
    <w:rsid w:val="005E2F7B"/>
    <w:rsid w:val="005E40A0"/>
    <w:rsid w:val="005E4ED3"/>
    <w:rsid w:val="005E5C01"/>
    <w:rsid w:val="005E7118"/>
    <w:rsid w:val="005F03F7"/>
    <w:rsid w:val="005F2B59"/>
    <w:rsid w:val="005F2C91"/>
    <w:rsid w:val="005F37A4"/>
    <w:rsid w:val="005F62CB"/>
    <w:rsid w:val="006000D8"/>
    <w:rsid w:val="0060139C"/>
    <w:rsid w:val="00603CD1"/>
    <w:rsid w:val="006041A4"/>
    <w:rsid w:val="0061089B"/>
    <w:rsid w:val="00613721"/>
    <w:rsid w:val="006145CE"/>
    <w:rsid w:val="00616BCF"/>
    <w:rsid w:val="00617F98"/>
    <w:rsid w:val="00621E35"/>
    <w:rsid w:val="006221F0"/>
    <w:rsid w:val="00622D3D"/>
    <w:rsid w:val="00623C9B"/>
    <w:rsid w:val="00623D75"/>
    <w:rsid w:val="00626F12"/>
    <w:rsid w:val="0062754A"/>
    <w:rsid w:val="006275B4"/>
    <w:rsid w:val="00630BF2"/>
    <w:rsid w:val="00630DD5"/>
    <w:rsid w:val="00633A82"/>
    <w:rsid w:val="00647DDD"/>
    <w:rsid w:val="00647F67"/>
    <w:rsid w:val="00652C04"/>
    <w:rsid w:val="00653BA4"/>
    <w:rsid w:val="00654654"/>
    <w:rsid w:val="00654D4B"/>
    <w:rsid w:val="0065656F"/>
    <w:rsid w:val="00657EDA"/>
    <w:rsid w:val="00660C84"/>
    <w:rsid w:val="0066194B"/>
    <w:rsid w:val="006621F8"/>
    <w:rsid w:val="00663756"/>
    <w:rsid w:val="00664516"/>
    <w:rsid w:val="00666D4D"/>
    <w:rsid w:val="00671C76"/>
    <w:rsid w:val="006858DA"/>
    <w:rsid w:val="0068621A"/>
    <w:rsid w:val="00686840"/>
    <w:rsid w:val="006902F1"/>
    <w:rsid w:val="006918E9"/>
    <w:rsid w:val="00694C71"/>
    <w:rsid w:val="006951CE"/>
    <w:rsid w:val="006A0C2E"/>
    <w:rsid w:val="006A1756"/>
    <w:rsid w:val="006C3A24"/>
    <w:rsid w:val="006C4213"/>
    <w:rsid w:val="006C43D7"/>
    <w:rsid w:val="006C5694"/>
    <w:rsid w:val="006D4E6D"/>
    <w:rsid w:val="006D54C4"/>
    <w:rsid w:val="006D797F"/>
    <w:rsid w:val="006D7CD4"/>
    <w:rsid w:val="006E1AFF"/>
    <w:rsid w:val="006E2346"/>
    <w:rsid w:val="006E323B"/>
    <w:rsid w:val="006E32B4"/>
    <w:rsid w:val="006E38D7"/>
    <w:rsid w:val="006E68E6"/>
    <w:rsid w:val="006F0BB6"/>
    <w:rsid w:val="006F20D8"/>
    <w:rsid w:val="006F25E5"/>
    <w:rsid w:val="006F2FCE"/>
    <w:rsid w:val="006F415C"/>
    <w:rsid w:val="006F72F0"/>
    <w:rsid w:val="00701BBE"/>
    <w:rsid w:val="007046F8"/>
    <w:rsid w:val="00705076"/>
    <w:rsid w:val="00706D06"/>
    <w:rsid w:val="00710D76"/>
    <w:rsid w:val="0071137C"/>
    <w:rsid w:val="0071253E"/>
    <w:rsid w:val="007148A5"/>
    <w:rsid w:val="0071630B"/>
    <w:rsid w:val="00720436"/>
    <w:rsid w:val="007241D4"/>
    <w:rsid w:val="00731448"/>
    <w:rsid w:val="0073191E"/>
    <w:rsid w:val="00732130"/>
    <w:rsid w:val="00732A6F"/>
    <w:rsid w:val="007349CA"/>
    <w:rsid w:val="0073732B"/>
    <w:rsid w:val="007404AE"/>
    <w:rsid w:val="007407CE"/>
    <w:rsid w:val="00742764"/>
    <w:rsid w:val="00744440"/>
    <w:rsid w:val="007453DD"/>
    <w:rsid w:val="00750713"/>
    <w:rsid w:val="0075156A"/>
    <w:rsid w:val="00751F90"/>
    <w:rsid w:val="00752759"/>
    <w:rsid w:val="00756E1B"/>
    <w:rsid w:val="00756E65"/>
    <w:rsid w:val="00757B2D"/>
    <w:rsid w:val="00761C35"/>
    <w:rsid w:val="00762FCF"/>
    <w:rsid w:val="00764B50"/>
    <w:rsid w:val="007659FB"/>
    <w:rsid w:val="00766026"/>
    <w:rsid w:val="00766DAE"/>
    <w:rsid w:val="00772B54"/>
    <w:rsid w:val="0077668E"/>
    <w:rsid w:val="00777920"/>
    <w:rsid w:val="00781AA0"/>
    <w:rsid w:val="00783072"/>
    <w:rsid w:val="007844CD"/>
    <w:rsid w:val="00785746"/>
    <w:rsid w:val="00792386"/>
    <w:rsid w:val="007A0AE8"/>
    <w:rsid w:val="007A3A09"/>
    <w:rsid w:val="007B0648"/>
    <w:rsid w:val="007B0FB8"/>
    <w:rsid w:val="007B13BB"/>
    <w:rsid w:val="007B165A"/>
    <w:rsid w:val="007B3410"/>
    <w:rsid w:val="007B6964"/>
    <w:rsid w:val="007B78C2"/>
    <w:rsid w:val="007C5008"/>
    <w:rsid w:val="007C5673"/>
    <w:rsid w:val="007C6DF0"/>
    <w:rsid w:val="007D1E79"/>
    <w:rsid w:val="007D27CF"/>
    <w:rsid w:val="007D31A3"/>
    <w:rsid w:val="007D710C"/>
    <w:rsid w:val="007D7528"/>
    <w:rsid w:val="007E1D3C"/>
    <w:rsid w:val="007E3AB4"/>
    <w:rsid w:val="007E468A"/>
    <w:rsid w:val="007E58FC"/>
    <w:rsid w:val="007E69D8"/>
    <w:rsid w:val="007E6D02"/>
    <w:rsid w:val="007F207F"/>
    <w:rsid w:val="0080156E"/>
    <w:rsid w:val="008016EA"/>
    <w:rsid w:val="00802357"/>
    <w:rsid w:val="00803CEC"/>
    <w:rsid w:val="00804B86"/>
    <w:rsid w:val="00805AB6"/>
    <w:rsid w:val="008076DD"/>
    <w:rsid w:val="00807ECB"/>
    <w:rsid w:val="00812F92"/>
    <w:rsid w:val="008135EC"/>
    <w:rsid w:val="0081475E"/>
    <w:rsid w:val="00815C5A"/>
    <w:rsid w:val="00816AB6"/>
    <w:rsid w:val="00822050"/>
    <w:rsid w:val="008246E5"/>
    <w:rsid w:val="00825F6C"/>
    <w:rsid w:val="00830952"/>
    <w:rsid w:val="00831234"/>
    <w:rsid w:val="00832A4B"/>
    <w:rsid w:val="0083447F"/>
    <w:rsid w:val="008443A9"/>
    <w:rsid w:val="00846EF4"/>
    <w:rsid w:val="00847116"/>
    <w:rsid w:val="00853C22"/>
    <w:rsid w:val="0085548F"/>
    <w:rsid w:val="00856289"/>
    <w:rsid w:val="00860576"/>
    <w:rsid w:val="00861FA9"/>
    <w:rsid w:val="00862564"/>
    <w:rsid w:val="0086345E"/>
    <w:rsid w:val="0086462D"/>
    <w:rsid w:val="0086527B"/>
    <w:rsid w:val="008674AA"/>
    <w:rsid w:val="00867E6F"/>
    <w:rsid w:val="008761FC"/>
    <w:rsid w:val="0088094C"/>
    <w:rsid w:val="00881004"/>
    <w:rsid w:val="00882C40"/>
    <w:rsid w:val="008839D8"/>
    <w:rsid w:val="008972E2"/>
    <w:rsid w:val="0089779E"/>
    <w:rsid w:val="00897A3E"/>
    <w:rsid w:val="008A082A"/>
    <w:rsid w:val="008A4152"/>
    <w:rsid w:val="008A42E5"/>
    <w:rsid w:val="008A4DF4"/>
    <w:rsid w:val="008A6783"/>
    <w:rsid w:val="008A7E58"/>
    <w:rsid w:val="008B0245"/>
    <w:rsid w:val="008B0DB3"/>
    <w:rsid w:val="008B1BB7"/>
    <w:rsid w:val="008B1DA9"/>
    <w:rsid w:val="008B2075"/>
    <w:rsid w:val="008B21EB"/>
    <w:rsid w:val="008B235C"/>
    <w:rsid w:val="008B526B"/>
    <w:rsid w:val="008B7FFC"/>
    <w:rsid w:val="008C00C5"/>
    <w:rsid w:val="008C4854"/>
    <w:rsid w:val="008C62B2"/>
    <w:rsid w:val="008C724C"/>
    <w:rsid w:val="008D33A3"/>
    <w:rsid w:val="008D4715"/>
    <w:rsid w:val="008D4D2A"/>
    <w:rsid w:val="008D584B"/>
    <w:rsid w:val="008E03F7"/>
    <w:rsid w:val="008E0638"/>
    <w:rsid w:val="008F189C"/>
    <w:rsid w:val="008F1BBC"/>
    <w:rsid w:val="008F1FE1"/>
    <w:rsid w:val="008F4486"/>
    <w:rsid w:val="008F4FC6"/>
    <w:rsid w:val="008F5A82"/>
    <w:rsid w:val="008F63DB"/>
    <w:rsid w:val="009003C2"/>
    <w:rsid w:val="00903492"/>
    <w:rsid w:val="00903F5D"/>
    <w:rsid w:val="009055B0"/>
    <w:rsid w:val="009108D0"/>
    <w:rsid w:val="00913160"/>
    <w:rsid w:val="00913657"/>
    <w:rsid w:val="0091544C"/>
    <w:rsid w:val="009165D0"/>
    <w:rsid w:val="00920D43"/>
    <w:rsid w:val="009251F6"/>
    <w:rsid w:val="00927FD9"/>
    <w:rsid w:val="00933065"/>
    <w:rsid w:val="00933569"/>
    <w:rsid w:val="0093799C"/>
    <w:rsid w:val="00940652"/>
    <w:rsid w:val="00942835"/>
    <w:rsid w:val="00943B83"/>
    <w:rsid w:val="00944003"/>
    <w:rsid w:val="00944804"/>
    <w:rsid w:val="009473D8"/>
    <w:rsid w:val="0095427F"/>
    <w:rsid w:val="00960ADF"/>
    <w:rsid w:val="00962B21"/>
    <w:rsid w:val="00963A0C"/>
    <w:rsid w:val="00964278"/>
    <w:rsid w:val="00964367"/>
    <w:rsid w:val="00964A4A"/>
    <w:rsid w:val="009653C0"/>
    <w:rsid w:val="0097462B"/>
    <w:rsid w:val="00974A92"/>
    <w:rsid w:val="00974AB5"/>
    <w:rsid w:val="00976BB2"/>
    <w:rsid w:val="0097721C"/>
    <w:rsid w:val="009773E8"/>
    <w:rsid w:val="00980CE6"/>
    <w:rsid w:val="00981F35"/>
    <w:rsid w:val="00982F59"/>
    <w:rsid w:val="009835E3"/>
    <w:rsid w:val="00986050"/>
    <w:rsid w:val="00986455"/>
    <w:rsid w:val="0098739F"/>
    <w:rsid w:val="00987CDB"/>
    <w:rsid w:val="00991B1A"/>
    <w:rsid w:val="00992269"/>
    <w:rsid w:val="00994C5C"/>
    <w:rsid w:val="00994D8A"/>
    <w:rsid w:val="0099709D"/>
    <w:rsid w:val="009A1034"/>
    <w:rsid w:val="009A30E0"/>
    <w:rsid w:val="009A3619"/>
    <w:rsid w:val="009A524B"/>
    <w:rsid w:val="009A6493"/>
    <w:rsid w:val="009B08AF"/>
    <w:rsid w:val="009B241C"/>
    <w:rsid w:val="009B2FB6"/>
    <w:rsid w:val="009B3DFC"/>
    <w:rsid w:val="009B62F7"/>
    <w:rsid w:val="009B7A7B"/>
    <w:rsid w:val="009C28AC"/>
    <w:rsid w:val="009C37B9"/>
    <w:rsid w:val="009C38E7"/>
    <w:rsid w:val="009C4484"/>
    <w:rsid w:val="009C5BEF"/>
    <w:rsid w:val="009D32BD"/>
    <w:rsid w:val="009D4486"/>
    <w:rsid w:val="009D58A4"/>
    <w:rsid w:val="009D5DAE"/>
    <w:rsid w:val="009E0C10"/>
    <w:rsid w:val="009E140F"/>
    <w:rsid w:val="009F115C"/>
    <w:rsid w:val="009F1A7F"/>
    <w:rsid w:val="009F211E"/>
    <w:rsid w:val="009F294E"/>
    <w:rsid w:val="009F30F1"/>
    <w:rsid w:val="009F37C7"/>
    <w:rsid w:val="009F50AB"/>
    <w:rsid w:val="009F5FBB"/>
    <w:rsid w:val="00A000A9"/>
    <w:rsid w:val="00A005F6"/>
    <w:rsid w:val="00A010F7"/>
    <w:rsid w:val="00A022C3"/>
    <w:rsid w:val="00A0424F"/>
    <w:rsid w:val="00A048C6"/>
    <w:rsid w:val="00A05A88"/>
    <w:rsid w:val="00A06D09"/>
    <w:rsid w:val="00A11958"/>
    <w:rsid w:val="00A130D6"/>
    <w:rsid w:val="00A1488A"/>
    <w:rsid w:val="00A1751E"/>
    <w:rsid w:val="00A17A3E"/>
    <w:rsid w:val="00A2193F"/>
    <w:rsid w:val="00A225EE"/>
    <w:rsid w:val="00A22EE2"/>
    <w:rsid w:val="00A23A76"/>
    <w:rsid w:val="00A30E9C"/>
    <w:rsid w:val="00A3693F"/>
    <w:rsid w:val="00A37BA4"/>
    <w:rsid w:val="00A400A1"/>
    <w:rsid w:val="00A40357"/>
    <w:rsid w:val="00A43739"/>
    <w:rsid w:val="00A515CB"/>
    <w:rsid w:val="00A533E3"/>
    <w:rsid w:val="00A539CB"/>
    <w:rsid w:val="00A63078"/>
    <w:rsid w:val="00A649AA"/>
    <w:rsid w:val="00A65124"/>
    <w:rsid w:val="00A660AF"/>
    <w:rsid w:val="00A66A4E"/>
    <w:rsid w:val="00A675FB"/>
    <w:rsid w:val="00A70A95"/>
    <w:rsid w:val="00A72651"/>
    <w:rsid w:val="00A73821"/>
    <w:rsid w:val="00A77EE7"/>
    <w:rsid w:val="00A809F0"/>
    <w:rsid w:val="00A811D6"/>
    <w:rsid w:val="00A813C8"/>
    <w:rsid w:val="00A81C8D"/>
    <w:rsid w:val="00A85602"/>
    <w:rsid w:val="00A93351"/>
    <w:rsid w:val="00A93A39"/>
    <w:rsid w:val="00A97CE6"/>
    <w:rsid w:val="00AA36D1"/>
    <w:rsid w:val="00AA6E8C"/>
    <w:rsid w:val="00AA6F19"/>
    <w:rsid w:val="00AA7A76"/>
    <w:rsid w:val="00AB03EF"/>
    <w:rsid w:val="00AB2701"/>
    <w:rsid w:val="00AB50EE"/>
    <w:rsid w:val="00AC40AF"/>
    <w:rsid w:val="00AC7493"/>
    <w:rsid w:val="00AD2631"/>
    <w:rsid w:val="00AD58C5"/>
    <w:rsid w:val="00AE3320"/>
    <w:rsid w:val="00AE4618"/>
    <w:rsid w:val="00AE63BD"/>
    <w:rsid w:val="00AE70A9"/>
    <w:rsid w:val="00AE7682"/>
    <w:rsid w:val="00AF0711"/>
    <w:rsid w:val="00AF0B2B"/>
    <w:rsid w:val="00AF0FA7"/>
    <w:rsid w:val="00AF2914"/>
    <w:rsid w:val="00AF3136"/>
    <w:rsid w:val="00AF363F"/>
    <w:rsid w:val="00AF3A71"/>
    <w:rsid w:val="00AF3E4F"/>
    <w:rsid w:val="00B03DA5"/>
    <w:rsid w:val="00B071FF"/>
    <w:rsid w:val="00B10AE6"/>
    <w:rsid w:val="00B10CCF"/>
    <w:rsid w:val="00B11505"/>
    <w:rsid w:val="00B11DC2"/>
    <w:rsid w:val="00B121D2"/>
    <w:rsid w:val="00B15CAA"/>
    <w:rsid w:val="00B1673B"/>
    <w:rsid w:val="00B17897"/>
    <w:rsid w:val="00B201A8"/>
    <w:rsid w:val="00B20ABA"/>
    <w:rsid w:val="00B20C42"/>
    <w:rsid w:val="00B22CE8"/>
    <w:rsid w:val="00B24FEE"/>
    <w:rsid w:val="00B25062"/>
    <w:rsid w:val="00B27C5D"/>
    <w:rsid w:val="00B34C7F"/>
    <w:rsid w:val="00B3585E"/>
    <w:rsid w:val="00B37BB0"/>
    <w:rsid w:val="00B40CD3"/>
    <w:rsid w:val="00B41247"/>
    <w:rsid w:val="00B422EA"/>
    <w:rsid w:val="00B42807"/>
    <w:rsid w:val="00B428A6"/>
    <w:rsid w:val="00B53913"/>
    <w:rsid w:val="00B56906"/>
    <w:rsid w:val="00B57FCC"/>
    <w:rsid w:val="00B61782"/>
    <w:rsid w:val="00B63D44"/>
    <w:rsid w:val="00B65AF6"/>
    <w:rsid w:val="00B661F0"/>
    <w:rsid w:val="00B7031E"/>
    <w:rsid w:val="00B72922"/>
    <w:rsid w:val="00B72A13"/>
    <w:rsid w:val="00B75196"/>
    <w:rsid w:val="00B824C4"/>
    <w:rsid w:val="00B84DD5"/>
    <w:rsid w:val="00B87538"/>
    <w:rsid w:val="00B87B26"/>
    <w:rsid w:val="00B910E0"/>
    <w:rsid w:val="00B91EA6"/>
    <w:rsid w:val="00B94CAA"/>
    <w:rsid w:val="00B95910"/>
    <w:rsid w:val="00B97F7D"/>
    <w:rsid w:val="00BA24FC"/>
    <w:rsid w:val="00BA394B"/>
    <w:rsid w:val="00BA3A4C"/>
    <w:rsid w:val="00BA78C0"/>
    <w:rsid w:val="00BB0F20"/>
    <w:rsid w:val="00BB29BA"/>
    <w:rsid w:val="00BC0AA8"/>
    <w:rsid w:val="00BC2A7D"/>
    <w:rsid w:val="00BC3B5C"/>
    <w:rsid w:val="00BD2CDE"/>
    <w:rsid w:val="00BD41CF"/>
    <w:rsid w:val="00BD79C3"/>
    <w:rsid w:val="00BD7CC1"/>
    <w:rsid w:val="00BE0164"/>
    <w:rsid w:val="00BE0251"/>
    <w:rsid w:val="00BE12BD"/>
    <w:rsid w:val="00BE2554"/>
    <w:rsid w:val="00BE2ED7"/>
    <w:rsid w:val="00BE464D"/>
    <w:rsid w:val="00BE6AB8"/>
    <w:rsid w:val="00BE7D6C"/>
    <w:rsid w:val="00BF086D"/>
    <w:rsid w:val="00BF2167"/>
    <w:rsid w:val="00BF2774"/>
    <w:rsid w:val="00BF4013"/>
    <w:rsid w:val="00BF7DAE"/>
    <w:rsid w:val="00C02D96"/>
    <w:rsid w:val="00C03B69"/>
    <w:rsid w:val="00C0551D"/>
    <w:rsid w:val="00C12767"/>
    <w:rsid w:val="00C12883"/>
    <w:rsid w:val="00C20A22"/>
    <w:rsid w:val="00C21632"/>
    <w:rsid w:val="00C221AE"/>
    <w:rsid w:val="00C23F0C"/>
    <w:rsid w:val="00C25581"/>
    <w:rsid w:val="00C264E3"/>
    <w:rsid w:val="00C2788D"/>
    <w:rsid w:val="00C34803"/>
    <w:rsid w:val="00C35C76"/>
    <w:rsid w:val="00C361F6"/>
    <w:rsid w:val="00C3669A"/>
    <w:rsid w:val="00C374E5"/>
    <w:rsid w:val="00C423E3"/>
    <w:rsid w:val="00C44428"/>
    <w:rsid w:val="00C458AF"/>
    <w:rsid w:val="00C50A80"/>
    <w:rsid w:val="00C512B9"/>
    <w:rsid w:val="00C52D48"/>
    <w:rsid w:val="00C54642"/>
    <w:rsid w:val="00C64A12"/>
    <w:rsid w:val="00C65189"/>
    <w:rsid w:val="00C676F3"/>
    <w:rsid w:val="00C72A4C"/>
    <w:rsid w:val="00C72C0C"/>
    <w:rsid w:val="00C731BF"/>
    <w:rsid w:val="00C77EFD"/>
    <w:rsid w:val="00C8009F"/>
    <w:rsid w:val="00C8184A"/>
    <w:rsid w:val="00C82759"/>
    <w:rsid w:val="00C829DF"/>
    <w:rsid w:val="00C82E44"/>
    <w:rsid w:val="00C84021"/>
    <w:rsid w:val="00C84EB7"/>
    <w:rsid w:val="00C86C26"/>
    <w:rsid w:val="00C875AE"/>
    <w:rsid w:val="00C905EB"/>
    <w:rsid w:val="00C91188"/>
    <w:rsid w:val="00C9208E"/>
    <w:rsid w:val="00C92700"/>
    <w:rsid w:val="00C92A2F"/>
    <w:rsid w:val="00C9634D"/>
    <w:rsid w:val="00CA1FB7"/>
    <w:rsid w:val="00CA28E0"/>
    <w:rsid w:val="00CA3357"/>
    <w:rsid w:val="00CA46CF"/>
    <w:rsid w:val="00CA7B11"/>
    <w:rsid w:val="00CB4399"/>
    <w:rsid w:val="00CB4F4C"/>
    <w:rsid w:val="00CB5DEF"/>
    <w:rsid w:val="00CB5E49"/>
    <w:rsid w:val="00CC0C54"/>
    <w:rsid w:val="00CC1016"/>
    <w:rsid w:val="00CC48E3"/>
    <w:rsid w:val="00CC76DE"/>
    <w:rsid w:val="00CD0E32"/>
    <w:rsid w:val="00CD434D"/>
    <w:rsid w:val="00CD4424"/>
    <w:rsid w:val="00CE1966"/>
    <w:rsid w:val="00CE2983"/>
    <w:rsid w:val="00CE5F25"/>
    <w:rsid w:val="00CE7103"/>
    <w:rsid w:val="00CF171D"/>
    <w:rsid w:val="00CF2008"/>
    <w:rsid w:val="00CF40D1"/>
    <w:rsid w:val="00CF4188"/>
    <w:rsid w:val="00CF42BA"/>
    <w:rsid w:val="00D032C2"/>
    <w:rsid w:val="00D06213"/>
    <w:rsid w:val="00D07D6A"/>
    <w:rsid w:val="00D24425"/>
    <w:rsid w:val="00D2585F"/>
    <w:rsid w:val="00D277A3"/>
    <w:rsid w:val="00D277C2"/>
    <w:rsid w:val="00D31882"/>
    <w:rsid w:val="00D31BAB"/>
    <w:rsid w:val="00D327FF"/>
    <w:rsid w:val="00D33FB7"/>
    <w:rsid w:val="00D34F24"/>
    <w:rsid w:val="00D35A03"/>
    <w:rsid w:val="00D35FD8"/>
    <w:rsid w:val="00D363FB"/>
    <w:rsid w:val="00D37377"/>
    <w:rsid w:val="00D41CD7"/>
    <w:rsid w:val="00D457F9"/>
    <w:rsid w:val="00D45B09"/>
    <w:rsid w:val="00D45B8C"/>
    <w:rsid w:val="00D51538"/>
    <w:rsid w:val="00D5279B"/>
    <w:rsid w:val="00D532F2"/>
    <w:rsid w:val="00D5375D"/>
    <w:rsid w:val="00D567E0"/>
    <w:rsid w:val="00D5756F"/>
    <w:rsid w:val="00D578D9"/>
    <w:rsid w:val="00D6101E"/>
    <w:rsid w:val="00D61ABA"/>
    <w:rsid w:val="00D630DE"/>
    <w:rsid w:val="00D64AC3"/>
    <w:rsid w:val="00D65C4C"/>
    <w:rsid w:val="00D664AD"/>
    <w:rsid w:val="00D71B57"/>
    <w:rsid w:val="00D72C82"/>
    <w:rsid w:val="00D72CF4"/>
    <w:rsid w:val="00D7327A"/>
    <w:rsid w:val="00D74D08"/>
    <w:rsid w:val="00D77897"/>
    <w:rsid w:val="00D83CC9"/>
    <w:rsid w:val="00D87625"/>
    <w:rsid w:val="00D92504"/>
    <w:rsid w:val="00D94745"/>
    <w:rsid w:val="00DA41B2"/>
    <w:rsid w:val="00DA4EE5"/>
    <w:rsid w:val="00DA508B"/>
    <w:rsid w:val="00DA5D06"/>
    <w:rsid w:val="00DA5F4B"/>
    <w:rsid w:val="00DA7B20"/>
    <w:rsid w:val="00DB0D4D"/>
    <w:rsid w:val="00DB2CE4"/>
    <w:rsid w:val="00DB2E02"/>
    <w:rsid w:val="00DB37CF"/>
    <w:rsid w:val="00DB407F"/>
    <w:rsid w:val="00DB6E2A"/>
    <w:rsid w:val="00DC2409"/>
    <w:rsid w:val="00DC6A98"/>
    <w:rsid w:val="00DC7016"/>
    <w:rsid w:val="00DC7245"/>
    <w:rsid w:val="00DC730A"/>
    <w:rsid w:val="00DD12FC"/>
    <w:rsid w:val="00DD296E"/>
    <w:rsid w:val="00DE130A"/>
    <w:rsid w:val="00DE38B2"/>
    <w:rsid w:val="00DE4148"/>
    <w:rsid w:val="00DE44F5"/>
    <w:rsid w:val="00DF1080"/>
    <w:rsid w:val="00DF4B88"/>
    <w:rsid w:val="00DF6345"/>
    <w:rsid w:val="00DF7908"/>
    <w:rsid w:val="00E00F46"/>
    <w:rsid w:val="00E12D6B"/>
    <w:rsid w:val="00E1303E"/>
    <w:rsid w:val="00E145ED"/>
    <w:rsid w:val="00E15596"/>
    <w:rsid w:val="00E166FD"/>
    <w:rsid w:val="00E17247"/>
    <w:rsid w:val="00E17EC3"/>
    <w:rsid w:val="00E24560"/>
    <w:rsid w:val="00E264BB"/>
    <w:rsid w:val="00E26CE0"/>
    <w:rsid w:val="00E276DF"/>
    <w:rsid w:val="00E35BE1"/>
    <w:rsid w:val="00E37870"/>
    <w:rsid w:val="00E4050D"/>
    <w:rsid w:val="00E420BE"/>
    <w:rsid w:val="00E427C7"/>
    <w:rsid w:val="00E45E6A"/>
    <w:rsid w:val="00E461D4"/>
    <w:rsid w:val="00E50A42"/>
    <w:rsid w:val="00E537FA"/>
    <w:rsid w:val="00E549A2"/>
    <w:rsid w:val="00E55311"/>
    <w:rsid w:val="00E5663F"/>
    <w:rsid w:val="00E56D64"/>
    <w:rsid w:val="00E6085F"/>
    <w:rsid w:val="00E611CC"/>
    <w:rsid w:val="00E623A2"/>
    <w:rsid w:val="00E65F64"/>
    <w:rsid w:val="00E66A30"/>
    <w:rsid w:val="00E712B1"/>
    <w:rsid w:val="00E75C18"/>
    <w:rsid w:val="00E75DDF"/>
    <w:rsid w:val="00E76641"/>
    <w:rsid w:val="00E77F48"/>
    <w:rsid w:val="00E80193"/>
    <w:rsid w:val="00E81B17"/>
    <w:rsid w:val="00E82722"/>
    <w:rsid w:val="00E842CE"/>
    <w:rsid w:val="00E85BF7"/>
    <w:rsid w:val="00E87A28"/>
    <w:rsid w:val="00E941E6"/>
    <w:rsid w:val="00E95AB3"/>
    <w:rsid w:val="00E96469"/>
    <w:rsid w:val="00EA2187"/>
    <w:rsid w:val="00EA3035"/>
    <w:rsid w:val="00EA5E85"/>
    <w:rsid w:val="00EB2520"/>
    <w:rsid w:val="00EB5058"/>
    <w:rsid w:val="00EB7EB6"/>
    <w:rsid w:val="00EC194E"/>
    <w:rsid w:val="00EC1A2C"/>
    <w:rsid w:val="00EC496C"/>
    <w:rsid w:val="00EC5011"/>
    <w:rsid w:val="00EC5057"/>
    <w:rsid w:val="00EC6E87"/>
    <w:rsid w:val="00EC70BC"/>
    <w:rsid w:val="00ED018E"/>
    <w:rsid w:val="00ED1A67"/>
    <w:rsid w:val="00ED3283"/>
    <w:rsid w:val="00ED6314"/>
    <w:rsid w:val="00EE16FB"/>
    <w:rsid w:val="00EE2E8C"/>
    <w:rsid w:val="00EE3DBB"/>
    <w:rsid w:val="00EE55F9"/>
    <w:rsid w:val="00EE62A5"/>
    <w:rsid w:val="00EF0734"/>
    <w:rsid w:val="00EF32C4"/>
    <w:rsid w:val="00EF39AD"/>
    <w:rsid w:val="00EF5F63"/>
    <w:rsid w:val="00F05C27"/>
    <w:rsid w:val="00F1064F"/>
    <w:rsid w:val="00F11454"/>
    <w:rsid w:val="00F125DA"/>
    <w:rsid w:val="00F15575"/>
    <w:rsid w:val="00F1765E"/>
    <w:rsid w:val="00F1782F"/>
    <w:rsid w:val="00F221FC"/>
    <w:rsid w:val="00F23E47"/>
    <w:rsid w:val="00F33859"/>
    <w:rsid w:val="00F43BDB"/>
    <w:rsid w:val="00F51F27"/>
    <w:rsid w:val="00F53254"/>
    <w:rsid w:val="00F627E4"/>
    <w:rsid w:val="00F62BF0"/>
    <w:rsid w:val="00F6377B"/>
    <w:rsid w:val="00F649B6"/>
    <w:rsid w:val="00F65D8E"/>
    <w:rsid w:val="00F665A8"/>
    <w:rsid w:val="00F669B9"/>
    <w:rsid w:val="00F67098"/>
    <w:rsid w:val="00F7202D"/>
    <w:rsid w:val="00F72573"/>
    <w:rsid w:val="00F827D5"/>
    <w:rsid w:val="00F84B1C"/>
    <w:rsid w:val="00F853F2"/>
    <w:rsid w:val="00F86BC7"/>
    <w:rsid w:val="00F87DD4"/>
    <w:rsid w:val="00F94337"/>
    <w:rsid w:val="00FA0D89"/>
    <w:rsid w:val="00FA2987"/>
    <w:rsid w:val="00FA2EDF"/>
    <w:rsid w:val="00FA584E"/>
    <w:rsid w:val="00FA6D24"/>
    <w:rsid w:val="00FB3ABD"/>
    <w:rsid w:val="00FB59A0"/>
    <w:rsid w:val="00FB6596"/>
    <w:rsid w:val="00FC42BD"/>
    <w:rsid w:val="00FC62D7"/>
    <w:rsid w:val="00FD2E9B"/>
    <w:rsid w:val="00FD3552"/>
    <w:rsid w:val="00FD3D6E"/>
    <w:rsid w:val="00FE008D"/>
    <w:rsid w:val="00FE03CE"/>
    <w:rsid w:val="00FE065B"/>
    <w:rsid w:val="00FE090E"/>
    <w:rsid w:val="00FE0E9D"/>
    <w:rsid w:val="00FE2BBF"/>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styleId="NormalWeb">
    <w:name w:val="Normal (Web)"/>
    <w:basedOn w:val="Normal"/>
    <w:uiPriority w:val="99"/>
    <w:unhideWhenUsed/>
    <w:rsid w:val="00913160"/>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13198971">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2A0A-F0A8-4683-94B4-E0E25C74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8</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2</cp:revision>
  <cp:lastPrinted>2023-06-14T09:23:00Z</cp:lastPrinted>
  <dcterms:created xsi:type="dcterms:W3CDTF">2023-06-15T10:13:00Z</dcterms:created>
  <dcterms:modified xsi:type="dcterms:W3CDTF">2023-06-15T10:13:00Z</dcterms:modified>
</cp:coreProperties>
</file>