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8853B" w14:textId="77777777" w:rsidR="00633CD8" w:rsidRPr="00B34F21" w:rsidRDefault="00633CD8" w:rsidP="00633CD8">
      <w:pPr>
        <w:pStyle w:val="LegalNormal"/>
        <w:spacing w:after="0" w:line="360" w:lineRule="auto"/>
        <w:jc w:val="center"/>
        <w:rPr>
          <w:rFonts w:cs="Arial"/>
        </w:rPr>
      </w:pPr>
      <w:bookmarkStart w:id="0" w:name="_GoBack"/>
      <w:bookmarkEnd w:id="0"/>
      <w:r w:rsidRPr="00B34F21">
        <w:rPr>
          <w:rFonts w:cs="Arial"/>
          <w:noProof/>
          <w:color w:val="1F497D"/>
          <w:lang w:val="en-ZA" w:eastAsia="en-ZA"/>
        </w:rPr>
        <w:drawing>
          <wp:inline distT="0" distB="0" distL="0" distR="0" wp14:anchorId="0291BE0F" wp14:editId="2C34F4BB">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62F5C444" w14:textId="77777777" w:rsidR="00F11A88" w:rsidRPr="00B34F21" w:rsidRDefault="00F11A88" w:rsidP="00633CD8">
      <w:pPr>
        <w:pStyle w:val="LegalTitle"/>
        <w:spacing w:after="0" w:line="360" w:lineRule="auto"/>
        <w:rPr>
          <w:rFonts w:cs="Arial"/>
          <w:u w:val="single"/>
        </w:rPr>
      </w:pPr>
    </w:p>
    <w:p w14:paraId="733BDA42" w14:textId="274025C5" w:rsidR="00633CD8" w:rsidRPr="00B34F21" w:rsidRDefault="00633CD8" w:rsidP="00633CD8">
      <w:pPr>
        <w:pStyle w:val="LegalTitle"/>
        <w:spacing w:after="0" w:line="360" w:lineRule="auto"/>
        <w:rPr>
          <w:rFonts w:cs="Arial"/>
          <w:u w:val="single"/>
        </w:rPr>
      </w:pPr>
      <w:r w:rsidRPr="00B34F21">
        <w:rPr>
          <w:rFonts w:cs="Arial"/>
          <w:u w:val="single"/>
        </w:rPr>
        <w:t>IN THE HIGH COURT of south africa</w:t>
      </w:r>
    </w:p>
    <w:p w14:paraId="5A310E29" w14:textId="75320F7A" w:rsidR="00633CD8" w:rsidRPr="00B34F21" w:rsidRDefault="00633CD8" w:rsidP="00633CD8">
      <w:pPr>
        <w:pStyle w:val="LegalTitle"/>
        <w:spacing w:after="0" w:line="360" w:lineRule="auto"/>
        <w:rPr>
          <w:rFonts w:cs="Arial"/>
          <w:u w:val="single"/>
        </w:rPr>
      </w:pPr>
      <w:r w:rsidRPr="00B34F21">
        <w:rPr>
          <w:rFonts w:cs="Arial"/>
          <w:u w:val="single"/>
        </w:rPr>
        <w:t>GAUTENG DIVISION, JOHANNESBURG</w:t>
      </w:r>
    </w:p>
    <w:p w14:paraId="26F92239" w14:textId="09774C68" w:rsidR="00633CD8" w:rsidRPr="00B34F21" w:rsidRDefault="00633CD8" w:rsidP="00633CD8">
      <w:pPr>
        <w:pStyle w:val="LegalAnnexure"/>
        <w:spacing w:after="960" w:line="360" w:lineRule="auto"/>
        <w:rPr>
          <w:rFonts w:cs="Arial"/>
          <w:u w:val="single"/>
        </w:rPr>
      </w:pPr>
      <w:r w:rsidRPr="00B34F21">
        <w:rPr>
          <w:rFonts w:cs="Arial"/>
          <w:noProof/>
          <w:lang w:val="en-ZA" w:eastAsia="en-ZA"/>
        </w:rPr>
        <mc:AlternateContent>
          <mc:Choice Requires="wps">
            <w:drawing>
              <wp:anchor distT="0" distB="0" distL="114300" distR="114300" simplePos="0" relativeHeight="251659264" behindDoc="0" locked="0" layoutInCell="1" allowOverlap="1" wp14:anchorId="069D7505" wp14:editId="4BA7DAC4">
                <wp:simplePos x="0" y="0"/>
                <wp:positionH relativeFrom="column">
                  <wp:posOffset>-127635</wp:posOffset>
                </wp:positionH>
                <wp:positionV relativeFrom="paragraph">
                  <wp:posOffset>173355</wp:posOffset>
                </wp:positionV>
                <wp:extent cx="3619500" cy="8572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57250"/>
                        </a:xfrm>
                        <a:prstGeom prst="rect">
                          <a:avLst/>
                        </a:prstGeom>
                        <a:solidFill>
                          <a:srgbClr val="FFFFFF"/>
                        </a:solidFill>
                        <a:ln w="9525">
                          <a:solidFill>
                            <a:srgbClr val="000000"/>
                          </a:solidFill>
                          <a:miter lim="800000"/>
                          <a:headEnd/>
                          <a:tailEnd/>
                        </a:ln>
                      </wps:spPr>
                      <wps:txbx>
                        <w:txbxContent>
                          <w:p w14:paraId="031C1BFF" w14:textId="7C0903BB" w:rsidR="00633CD8" w:rsidRDefault="00ED73A1" w:rsidP="00ED73A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r w:rsidR="003B02E3">
                              <w:rPr>
                                <w:rFonts w:ascii="Century Gothic" w:hAnsi="Century Gothic"/>
                                <w:sz w:val="20"/>
                              </w:rPr>
                              <w:t>NO</w:t>
                            </w:r>
                          </w:p>
                          <w:p w14:paraId="686AC699" w14:textId="08E95FB3" w:rsidR="00633CD8" w:rsidRDefault="00ED73A1" w:rsidP="00ED73A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r w:rsidR="003B02E3">
                              <w:rPr>
                                <w:rFonts w:ascii="Century Gothic" w:hAnsi="Century Gothic"/>
                                <w:sz w:val="20"/>
                              </w:rPr>
                              <w:t xml:space="preserve"> NO</w:t>
                            </w:r>
                          </w:p>
                          <w:p w14:paraId="6351C7EE" w14:textId="0F534777" w:rsidR="00633CD8" w:rsidRDefault="00ED73A1" w:rsidP="00ED73A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536FD8F7" w14:textId="39D0A525" w:rsidR="00633CD8" w:rsidRDefault="00633CD8" w:rsidP="00633CD8">
                            <w:pPr>
                              <w:rPr>
                                <w:rFonts w:ascii="Century Gothic" w:hAnsi="Century Gothic"/>
                                <w:sz w:val="28"/>
                                <w:szCs w:val="28"/>
                              </w:rPr>
                            </w:pPr>
                            <w:r>
                              <w:rPr>
                                <w:rFonts w:ascii="Century Gothic" w:hAnsi="Century Gothic"/>
                                <w:sz w:val="22"/>
                                <w:szCs w:val="22"/>
                              </w:rPr>
                              <w:t>Date:</w:t>
                            </w:r>
                            <w:r w:rsidR="003B02E3">
                              <w:rPr>
                                <w:rFonts w:ascii="Century Gothic" w:hAnsi="Century Gothic"/>
                                <w:sz w:val="22"/>
                                <w:szCs w:val="22"/>
                              </w:rPr>
                              <w:t>24 July 2023</w:t>
                            </w:r>
                            <w:r>
                              <w:rPr>
                                <w:rFonts w:ascii="Century Gothic" w:hAnsi="Century Gothic"/>
                                <w:sz w:val="22"/>
                                <w:szCs w:val="22"/>
                              </w:rPr>
                              <w:t xml:space="preserve"> Signature: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7505" id="_x0000_t202" coordsize="21600,21600" o:spt="202" path="m,l,21600r21600,l21600,xe">
                <v:stroke joinstyle="miter"/>
                <v:path gradientshapeok="t" o:connecttype="rect"/>
              </v:shapetype>
              <v:shape id="Text Box 1" o:spid="_x0000_s1026" type="#_x0000_t202" style="position:absolute;left:0;text-align:left;margin-left:-10.05pt;margin-top:13.65pt;width:28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">
                <v:textbox>
                  <w:txbxContent>
                    <w:p w14:paraId="031C1BFF" w14:textId="7C0903BB" w:rsidR="00633CD8" w:rsidRDefault="00ED73A1" w:rsidP="00ED73A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r w:rsidR="003B02E3">
                        <w:rPr>
                          <w:rFonts w:ascii="Century Gothic" w:hAnsi="Century Gothic"/>
                          <w:sz w:val="20"/>
                        </w:rPr>
                        <w:t>NO</w:t>
                      </w:r>
                    </w:p>
                    <w:p w14:paraId="686AC699" w14:textId="08E95FB3" w:rsidR="00633CD8" w:rsidRDefault="00ED73A1" w:rsidP="00ED73A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r w:rsidR="003B02E3">
                        <w:rPr>
                          <w:rFonts w:ascii="Century Gothic" w:hAnsi="Century Gothic"/>
                          <w:sz w:val="20"/>
                        </w:rPr>
                        <w:t xml:space="preserve"> NO</w:t>
                      </w:r>
                    </w:p>
                    <w:p w14:paraId="6351C7EE" w14:textId="0F534777" w:rsidR="00633CD8" w:rsidRDefault="00ED73A1" w:rsidP="00ED73A1">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536FD8F7" w14:textId="39D0A525" w:rsidR="00633CD8" w:rsidRDefault="00633CD8" w:rsidP="00633CD8">
                      <w:pPr>
                        <w:rPr>
                          <w:rFonts w:ascii="Century Gothic" w:hAnsi="Century Gothic"/>
                          <w:sz w:val="28"/>
                          <w:szCs w:val="28"/>
                        </w:rPr>
                      </w:pPr>
                      <w:r>
                        <w:rPr>
                          <w:rFonts w:ascii="Century Gothic" w:hAnsi="Century Gothic"/>
                          <w:sz w:val="22"/>
                          <w:szCs w:val="22"/>
                        </w:rPr>
                        <w:t>Date:</w:t>
                      </w:r>
                      <w:r w:rsidR="003B02E3">
                        <w:rPr>
                          <w:rFonts w:ascii="Century Gothic" w:hAnsi="Century Gothic"/>
                          <w:sz w:val="22"/>
                          <w:szCs w:val="22"/>
                        </w:rPr>
                        <w:t>24 July 2023</w:t>
                      </w:r>
                      <w:r>
                        <w:rPr>
                          <w:rFonts w:ascii="Century Gothic" w:hAnsi="Century Gothic"/>
                          <w:sz w:val="22"/>
                          <w:szCs w:val="22"/>
                        </w:rPr>
                        <w:t xml:space="preserve"> Signature: _____________</w:t>
                      </w:r>
                    </w:p>
                  </w:txbxContent>
                </v:textbox>
              </v:shape>
            </w:pict>
          </mc:Fallback>
        </mc:AlternateContent>
      </w:r>
    </w:p>
    <w:p w14:paraId="1C4FD250" w14:textId="77777777" w:rsidR="00633CD8" w:rsidRPr="00B34F21" w:rsidRDefault="00633CD8" w:rsidP="00F9061B">
      <w:pPr>
        <w:pStyle w:val="LegalAnnexure"/>
        <w:spacing w:after="0" w:line="360" w:lineRule="auto"/>
        <w:jc w:val="both"/>
        <w:rPr>
          <w:rFonts w:cs="Arial"/>
        </w:rPr>
      </w:pPr>
    </w:p>
    <w:p w14:paraId="3E410ACD" w14:textId="06586B59" w:rsidR="003B02E3" w:rsidRPr="00B34F21" w:rsidRDefault="003B02E3" w:rsidP="003B02E3">
      <w:pPr>
        <w:pStyle w:val="LegalAnnexure"/>
        <w:spacing w:after="0" w:line="360" w:lineRule="auto"/>
        <w:ind w:left="4253" w:hanging="4240"/>
        <w:jc w:val="center"/>
        <w:rPr>
          <w:rFonts w:cs="Arial"/>
        </w:rPr>
      </w:pPr>
      <w:r w:rsidRPr="00B34F21">
        <w:rPr>
          <w:rFonts w:cs="Arial"/>
        </w:rPr>
        <w:tab/>
      </w:r>
      <w:r w:rsidRPr="00B34F21">
        <w:rPr>
          <w:rFonts w:cs="Arial"/>
        </w:rPr>
        <w:tab/>
      </w:r>
      <w:r w:rsidRPr="00B34F21">
        <w:rPr>
          <w:rFonts w:cs="Arial"/>
        </w:rPr>
        <w:tab/>
      </w:r>
      <w:r w:rsidRPr="00B34F21">
        <w:rPr>
          <w:rFonts w:cs="Arial"/>
        </w:rPr>
        <w:tab/>
      </w:r>
      <w:r w:rsidRPr="00B34F21">
        <w:rPr>
          <w:rFonts w:cs="Arial"/>
        </w:rPr>
        <w:tab/>
      </w:r>
      <w:r w:rsidRPr="00B34F21">
        <w:rPr>
          <w:rFonts w:cs="Arial"/>
        </w:rPr>
        <w:tab/>
      </w:r>
      <w:r w:rsidRPr="00B34F21">
        <w:rPr>
          <w:rFonts w:cs="Arial"/>
        </w:rPr>
        <w:tab/>
      </w:r>
      <w:r w:rsidRPr="00B34F21">
        <w:rPr>
          <w:rFonts w:cs="Arial"/>
        </w:rPr>
        <w:tab/>
      </w:r>
      <w:r w:rsidRPr="00B34F21">
        <w:rPr>
          <w:rFonts w:cs="Arial"/>
        </w:rPr>
        <w:tab/>
      </w:r>
      <w:r w:rsidRPr="00B34F21">
        <w:rPr>
          <w:rFonts w:cs="Arial"/>
        </w:rPr>
        <w:tab/>
      </w:r>
      <w:r w:rsidRPr="00B34F21">
        <w:rPr>
          <w:rFonts w:cs="Arial"/>
        </w:rPr>
        <w:tab/>
      </w:r>
      <w:r w:rsidRPr="00B34F21">
        <w:rPr>
          <w:rFonts w:cs="Arial"/>
        </w:rPr>
        <w:tab/>
      </w:r>
      <w:r w:rsidRPr="00B34F21">
        <w:rPr>
          <w:rFonts w:cs="Arial"/>
        </w:rPr>
        <w:tab/>
      </w:r>
      <w:r w:rsidRPr="00B34F21">
        <w:rPr>
          <w:rFonts w:cs="Arial"/>
        </w:rPr>
        <w:tab/>
      </w:r>
      <w:r w:rsidRPr="00B34F21">
        <w:rPr>
          <w:rFonts w:cs="Arial"/>
        </w:rPr>
        <w:tab/>
      </w:r>
      <w:r w:rsidRPr="00B34F21">
        <w:rPr>
          <w:rFonts w:cs="Arial"/>
          <w:u w:val="single"/>
        </w:rPr>
        <w:t>CASE NO</w:t>
      </w:r>
      <w:r w:rsidRPr="00B34F21">
        <w:rPr>
          <w:rFonts w:cs="Arial"/>
          <w:b w:val="0"/>
        </w:rPr>
        <w:t>: 030636/2022</w:t>
      </w:r>
      <w:r w:rsidRPr="00B34F21">
        <w:rPr>
          <w:rFonts w:cs="Arial"/>
        </w:rPr>
        <w:t xml:space="preserve">                          </w:t>
      </w:r>
    </w:p>
    <w:p w14:paraId="7302FE41" w14:textId="604838F5" w:rsidR="003B02E3" w:rsidRPr="00B34F21" w:rsidRDefault="003B02E3" w:rsidP="003B02E3">
      <w:pPr>
        <w:pStyle w:val="LegalNormal"/>
        <w:ind w:left="5954" w:hanging="5954"/>
        <w:rPr>
          <w:rFonts w:cs="Arial"/>
        </w:rPr>
      </w:pPr>
    </w:p>
    <w:p w14:paraId="69D9E7C5" w14:textId="77777777" w:rsidR="00633CD8" w:rsidRPr="00B34F21" w:rsidRDefault="00633CD8" w:rsidP="00633CD8">
      <w:pPr>
        <w:pStyle w:val="LegalNormal"/>
        <w:spacing w:after="240" w:line="360" w:lineRule="auto"/>
        <w:rPr>
          <w:rFonts w:cs="Arial"/>
        </w:rPr>
      </w:pPr>
      <w:r w:rsidRPr="00B34F21">
        <w:rPr>
          <w:rFonts w:cs="Arial"/>
        </w:rPr>
        <w:t>In the matter between:</w:t>
      </w:r>
    </w:p>
    <w:tbl>
      <w:tblPr>
        <w:tblW w:w="8810" w:type="dxa"/>
        <w:tblLayout w:type="fixed"/>
        <w:tblLook w:val="0000" w:firstRow="0" w:lastRow="0" w:firstColumn="0" w:lastColumn="0" w:noHBand="0" w:noVBand="0"/>
      </w:tblPr>
      <w:tblGrid>
        <w:gridCol w:w="6204"/>
        <w:gridCol w:w="2606"/>
      </w:tblGrid>
      <w:tr w:rsidR="006E34E4" w:rsidRPr="00B34F21" w14:paraId="3808171C" w14:textId="77777777" w:rsidTr="006E34E4">
        <w:tc>
          <w:tcPr>
            <w:tcW w:w="6204" w:type="dxa"/>
          </w:tcPr>
          <w:p w14:paraId="2CB986D7" w14:textId="30C10010" w:rsidR="006E34E4" w:rsidRPr="00B34F21" w:rsidRDefault="00863A38" w:rsidP="005545E1">
            <w:pPr>
              <w:pStyle w:val="Title"/>
              <w:rPr>
                <w:rFonts w:cs="Arial"/>
                <w:b/>
                <w:sz w:val="24"/>
                <w:szCs w:val="24"/>
              </w:rPr>
            </w:pPr>
            <w:r w:rsidRPr="00B34F21">
              <w:rPr>
                <w:rFonts w:cs="Arial"/>
                <w:b/>
                <w:sz w:val="24"/>
                <w:szCs w:val="24"/>
              </w:rPr>
              <w:t>THE FOUNTAIN PRIVATE HOSPITAL</w:t>
            </w:r>
          </w:p>
        </w:tc>
        <w:tc>
          <w:tcPr>
            <w:tcW w:w="2606" w:type="dxa"/>
          </w:tcPr>
          <w:p w14:paraId="6476AE42" w14:textId="772C2FC4" w:rsidR="006E34E4" w:rsidRPr="00B34F21" w:rsidRDefault="003F1E6B" w:rsidP="005545E1">
            <w:pPr>
              <w:pStyle w:val="Title"/>
              <w:spacing w:line="360" w:lineRule="auto"/>
              <w:jc w:val="right"/>
              <w:rPr>
                <w:rFonts w:cs="Arial"/>
                <w:sz w:val="24"/>
                <w:szCs w:val="24"/>
              </w:rPr>
            </w:pPr>
            <w:r w:rsidRPr="00B34F21">
              <w:rPr>
                <w:rFonts w:cs="Arial"/>
                <w:sz w:val="24"/>
                <w:szCs w:val="24"/>
              </w:rPr>
              <w:t xml:space="preserve">Applicant </w:t>
            </w:r>
            <w:r w:rsidR="006E34E4" w:rsidRPr="00B34F21">
              <w:rPr>
                <w:rFonts w:cs="Arial"/>
                <w:sz w:val="24"/>
                <w:szCs w:val="24"/>
              </w:rPr>
              <w:t xml:space="preserve"> </w:t>
            </w:r>
          </w:p>
        </w:tc>
      </w:tr>
      <w:tr w:rsidR="008770E9" w:rsidRPr="00B34F21" w14:paraId="4ED0EE99" w14:textId="77777777" w:rsidTr="006E34E4">
        <w:tc>
          <w:tcPr>
            <w:tcW w:w="6204" w:type="dxa"/>
          </w:tcPr>
          <w:p w14:paraId="2D8E49E7" w14:textId="77777777" w:rsidR="008770E9" w:rsidRPr="00B34F21" w:rsidRDefault="008770E9" w:rsidP="005545E1">
            <w:pPr>
              <w:pStyle w:val="Title"/>
              <w:spacing w:line="360" w:lineRule="auto"/>
              <w:rPr>
                <w:rFonts w:cs="Arial"/>
                <w:sz w:val="24"/>
                <w:szCs w:val="24"/>
              </w:rPr>
            </w:pPr>
          </w:p>
        </w:tc>
        <w:tc>
          <w:tcPr>
            <w:tcW w:w="2606" w:type="dxa"/>
          </w:tcPr>
          <w:p w14:paraId="46B5FDA8" w14:textId="77777777" w:rsidR="008770E9" w:rsidRPr="00B34F21" w:rsidRDefault="008770E9" w:rsidP="005545E1">
            <w:pPr>
              <w:pStyle w:val="Title"/>
              <w:spacing w:line="360" w:lineRule="auto"/>
              <w:rPr>
                <w:rFonts w:cs="Arial"/>
                <w:sz w:val="24"/>
                <w:szCs w:val="24"/>
              </w:rPr>
            </w:pPr>
          </w:p>
        </w:tc>
      </w:tr>
      <w:tr w:rsidR="006E34E4" w:rsidRPr="00B34F21" w14:paraId="29265C62" w14:textId="77777777" w:rsidTr="006E34E4">
        <w:tc>
          <w:tcPr>
            <w:tcW w:w="6204" w:type="dxa"/>
          </w:tcPr>
          <w:p w14:paraId="3EB8A71D" w14:textId="77777777" w:rsidR="006E34E4" w:rsidRPr="00B34F21" w:rsidRDefault="006E34E4" w:rsidP="005545E1">
            <w:pPr>
              <w:pStyle w:val="Title"/>
              <w:spacing w:line="360" w:lineRule="auto"/>
              <w:rPr>
                <w:rFonts w:cs="Arial"/>
                <w:sz w:val="24"/>
                <w:szCs w:val="24"/>
              </w:rPr>
            </w:pPr>
            <w:r w:rsidRPr="00B34F21">
              <w:rPr>
                <w:rFonts w:cs="Arial"/>
                <w:sz w:val="24"/>
                <w:szCs w:val="24"/>
              </w:rPr>
              <w:t>and</w:t>
            </w:r>
          </w:p>
        </w:tc>
        <w:tc>
          <w:tcPr>
            <w:tcW w:w="2606" w:type="dxa"/>
          </w:tcPr>
          <w:p w14:paraId="4CEFDE0C" w14:textId="77777777" w:rsidR="006E34E4" w:rsidRPr="00B34F21" w:rsidRDefault="006E34E4" w:rsidP="005545E1">
            <w:pPr>
              <w:pStyle w:val="Title"/>
              <w:spacing w:line="360" w:lineRule="auto"/>
              <w:rPr>
                <w:rFonts w:cs="Arial"/>
                <w:sz w:val="24"/>
                <w:szCs w:val="24"/>
              </w:rPr>
            </w:pPr>
          </w:p>
        </w:tc>
      </w:tr>
      <w:tr w:rsidR="006E34E4" w:rsidRPr="00B34F21" w14:paraId="09E13C66" w14:textId="77777777" w:rsidTr="006E34E4">
        <w:tc>
          <w:tcPr>
            <w:tcW w:w="6204" w:type="dxa"/>
          </w:tcPr>
          <w:p w14:paraId="3FB2F644" w14:textId="77777777" w:rsidR="006E34E4" w:rsidRPr="00B34F21" w:rsidRDefault="006E34E4" w:rsidP="005545E1">
            <w:pPr>
              <w:pStyle w:val="Title"/>
              <w:spacing w:after="120"/>
              <w:rPr>
                <w:rFonts w:cs="Arial"/>
                <w:b/>
                <w:sz w:val="24"/>
                <w:szCs w:val="24"/>
              </w:rPr>
            </w:pPr>
            <w:r w:rsidRPr="00B34F21">
              <w:rPr>
                <w:rFonts w:cs="Arial"/>
                <w:b/>
                <w:sz w:val="24"/>
                <w:szCs w:val="24"/>
              </w:rPr>
              <w:fldChar w:fldCharType="begin"/>
            </w:r>
            <w:r w:rsidRPr="00B34F21">
              <w:rPr>
                <w:rFonts w:cs="Arial"/>
                <w:b/>
                <w:sz w:val="24"/>
                <w:szCs w:val="24"/>
              </w:rPr>
              <w:instrText xml:space="preserve">  </w:instrText>
            </w:r>
            <w:r w:rsidRPr="00B34F21">
              <w:rPr>
                <w:rFonts w:cs="Arial"/>
                <w:b/>
                <w:sz w:val="24"/>
                <w:szCs w:val="24"/>
              </w:rPr>
              <w:fldChar w:fldCharType="end"/>
            </w:r>
          </w:p>
        </w:tc>
        <w:tc>
          <w:tcPr>
            <w:tcW w:w="2606" w:type="dxa"/>
          </w:tcPr>
          <w:p w14:paraId="4F9E604D" w14:textId="77777777" w:rsidR="006E34E4" w:rsidRPr="00B34F21" w:rsidRDefault="006E34E4" w:rsidP="005545E1">
            <w:pPr>
              <w:pStyle w:val="Title"/>
              <w:spacing w:line="360" w:lineRule="auto"/>
              <w:jc w:val="right"/>
              <w:rPr>
                <w:rFonts w:cs="Arial"/>
                <w:sz w:val="24"/>
                <w:szCs w:val="24"/>
              </w:rPr>
            </w:pPr>
          </w:p>
        </w:tc>
      </w:tr>
      <w:tr w:rsidR="006E34E4" w:rsidRPr="00B34F21" w14:paraId="627B0A96" w14:textId="77777777" w:rsidTr="006E34E4">
        <w:tc>
          <w:tcPr>
            <w:tcW w:w="6204" w:type="dxa"/>
          </w:tcPr>
          <w:p w14:paraId="20D6C10A" w14:textId="5286DEA5" w:rsidR="006E34E4" w:rsidRPr="00B34F21" w:rsidRDefault="00863A38" w:rsidP="005545E1">
            <w:pPr>
              <w:pStyle w:val="Title"/>
              <w:rPr>
                <w:rFonts w:cs="Arial"/>
                <w:bCs/>
                <w:sz w:val="24"/>
                <w:szCs w:val="24"/>
              </w:rPr>
            </w:pPr>
            <w:r w:rsidRPr="00B34F21">
              <w:rPr>
                <w:rFonts w:cs="Arial"/>
                <w:b/>
                <w:sz w:val="24"/>
                <w:szCs w:val="24"/>
              </w:rPr>
              <w:t>MMABATHO NGOANANOKA PORTIA RATAU-DINTWE</w:t>
            </w:r>
          </w:p>
        </w:tc>
        <w:tc>
          <w:tcPr>
            <w:tcW w:w="2606" w:type="dxa"/>
          </w:tcPr>
          <w:p w14:paraId="69B86802" w14:textId="1B184433" w:rsidR="006E34E4" w:rsidRPr="00B34F21" w:rsidRDefault="006E34E4" w:rsidP="005545E1">
            <w:pPr>
              <w:pStyle w:val="Title"/>
              <w:spacing w:line="360" w:lineRule="auto"/>
              <w:jc w:val="right"/>
              <w:rPr>
                <w:rFonts w:cs="Arial"/>
                <w:sz w:val="24"/>
                <w:szCs w:val="24"/>
              </w:rPr>
            </w:pPr>
            <w:r w:rsidRPr="00B34F21">
              <w:rPr>
                <w:rFonts w:cs="Arial"/>
                <w:sz w:val="24"/>
                <w:szCs w:val="24"/>
              </w:rPr>
              <w:t>Respondent</w:t>
            </w:r>
            <w:r w:rsidR="003F1E6B" w:rsidRPr="00B34F21">
              <w:rPr>
                <w:rFonts w:cs="Arial"/>
                <w:sz w:val="24"/>
                <w:szCs w:val="24"/>
              </w:rPr>
              <w:t xml:space="preserve"> </w:t>
            </w:r>
            <w:r w:rsidRPr="00B34F21">
              <w:rPr>
                <w:rFonts w:cs="Arial"/>
                <w:sz w:val="24"/>
                <w:szCs w:val="24"/>
              </w:rPr>
              <w:t xml:space="preserve"> </w:t>
            </w:r>
          </w:p>
        </w:tc>
      </w:tr>
    </w:tbl>
    <w:p w14:paraId="080B1F8B" w14:textId="77777777" w:rsidR="006E34E4" w:rsidRPr="00B34F21" w:rsidRDefault="006E34E4" w:rsidP="006E34E4">
      <w:pPr>
        <w:pStyle w:val="Title"/>
        <w:rPr>
          <w:rFonts w:cs="Arial"/>
          <w:sz w:val="24"/>
          <w:szCs w:val="24"/>
        </w:rPr>
      </w:pPr>
    </w:p>
    <w:p w14:paraId="3E9A3BA1" w14:textId="1C159310" w:rsidR="00633CD8" w:rsidRPr="00B34F21" w:rsidRDefault="00633CD8" w:rsidP="00633CD8">
      <w:pPr>
        <w:spacing w:after="240"/>
        <w:rPr>
          <w:rFonts w:cs="Arial"/>
          <w:szCs w:val="24"/>
        </w:rPr>
      </w:pPr>
      <w:r w:rsidRPr="00B34F21">
        <w:rPr>
          <w:rFonts w:cs="Arial"/>
          <w:b/>
          <w:bCs/>
          <w:szCs w:val="24"/>
        </w:rPr>
        <w:tab/>
      </w:r>
    </w:p>
    <w:p w14:paraId="7C37C51C" w14:textId="77777777" w:rsidR="00633CD8" w:rsidRPr="00B34F21" w:rsidRDefault="00633CD8" w:rsidP="00633CD8">
      <w:pPr>
        <w:pStyle w:val="LegalTramLines"/>
        <w:spacing w:after="240"/>
        <w:rPr>
          <w:rFonts w:ascii="Arial" w:hAnsi="Arial" w:cs="Arial"/>
        </w:rPr>
      </w:pPr>
      <w:r w:rsidRPr="00B34F21">
        <w:rPr>
          <w:rFonts w:ascii="Arial" w:hAnsi="Arial" w:cs="Arial"/>
        </w:rPr>
        <w:t xml:space="preserve">JUDGMENT </w:t>
      </w:r>
    </w:p>
    <w:p w14:paraId="100A4C80" w14:textId="4B8025D3" w:rsidR="000460FA" w:rsidRPr="00B34F21" w:rsidRDefault="005F5D78" w:rsidP="00431CC4">
      <w:pPr>
        <w:pStyle w:val="Heading1"/>
        <w:keepNext/>
        <w:numPr>
          <w:ilvl w:val="0"/>
          <w:numId w:val="0"/>
        </w:numPr>
        <w:ind w:left="862" w:hanging="862"/>
        <w:rPr>
          <w:rFonts w:cs="Arial"/>
          <w:szCs w:val="24"/>
        </w:rPr>
      </w:pPr>
      <w:bookmarkStart w:id="1" w:name="_Hlk81386236"/>
      <w:bookmarkStart w:id="2" w:name="_Hlk81386419"/>
      <w:r w:rsidRPr="00B34F21">
        <w:rPr>
          <w:rFonts w:cs="Arial"/>
          <w:b/>
          <w:bCs/>
          <w:szCs w:val="24"/>
          <w:u w:val="single"/>
        </w:rPr>
        <w:t>TERNENT</w:t>
      </w:r>
      <w:r w:rsidR="00833533" w:rsidRPr="00B34F21">
        <w:rPr>
          <w:rFonts w:cs="Arial"/>
          <w:b/>
          <w:bCs/>
          <w:szCs w:val="24"/>
          <w:u w:val="single"/>
        </w:rPr>
        <w:t>, AJ</w:t>
      </w:r>
      <w:r w:rsidR="002A19E4" w:rsidRPr="00B34F21">
        <w:rPr>
          <w:rFonts w:cs="Arial"/>
          <w:szCs w:val="24"/>
        </w:rPr>
        <w:t>:</w:t>
      </w:r>
      <w:bookmarkStart w:id="3" w:name="_Hlk81386187"/>
      <w:bookmarkEnd w:id="1"/>
    </w:p>
    <w:p w14:paraId="590A9A61" w14:textId="6CDA5748" w:rsidR="00FC4478"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t>[1]</w:t>
      </w:r>
      <w:r w:rsidRPr="00B34F21">
        <w:rPr>
          <w:rFonts w:cs="Arial"/>
          <w:szCs w:val="24"/>
        </w:rPr>
        <w:tab/>
      </w:r>
      <w:r w:rsidR="00863A38" w:rsidRPr="00B34F21">
        <w:rPr>
          <w:rFonts w:cs="Arial"/>
          <w:szCs w:val="24"/>
        </w:rPr>
        <w:t>The applicant sought an order from this Court in an interlocutory application which it instituted against the respondent declaring the combined summons issued and served by the respondent as irregular in terms of the provisions of Rule 30(2)(</w:t>
      </w:r>
      <w:r w:rsidR="0053116D" w:rsidRPr="00B34F21">
        <w:rPr>
          <w:rFonts w:cs="Arial"/>
          <w:szCs w:val="24"/>
        </w:rPr>
        <w:t>b</w:t>
      </w:r>
      <w:r w:rsidR="00863A38" w:rsidRPr="00B34F21">
        <w:rPr>
          <w:rFonts w:cs="Arial"/>
          <w:szCs w:val="24"/>
        </w:rPr>
        <w:t xml:space="preserve">) of the High Court Rules.  The </w:t>
      </w:r>
      <w:r w:rsidR="00863A38" w:rsidRPr="00B34F21">
        <w:rPr>
          <w:rFonts w:cs="Arial"/>
          <w:szCs w:val="24"/>
        </w:rPr>
        <w:lastRenderedPageBreak/>
        <w:t>irregularity stemmed from the manner in which the particulars of claim had been signed by the respondent’s attorney</w:t>
      </w:r>
      <w:r w:rsidR="00FC4478" w:rsidRPr="00B34F21">
        <w:rPr>
          <w:rFonts w:cs="Arial"/>
          <w:szCs w:val="24"/>
        </w:rPr>
        <w:t>,</w:t>
      </w:r>
      <w:r w:rsidR="00863A38" w:rsidRPr="00B34F21">
        <w:rPr>
          <w:rFonts w:cs="Arial"/>
          <w:szCs w:val="24"/>
        </w:rPr>
        <w:t xml:space="preserve"> Ms Mmatl</w:t>
      </w:r>
      <w:r w:rsidR="000449C9" w:rsidRPr="00B34F21">
        <w:rPr>
          <w:rFonts w:cs="Arial"/>
          <w:szCs w:val="24"/>
        </w:rPr>
        <w:t>o</w:t>
      </w:r>
      <w:r w:rsidR="00863A38" w:rsidRPr="00B34F21">
        <w:rPr>
          <w:rFonts w:cs="Arial"/>
          <w:szCs w:val="24"/>
        </w:rPr>
        <w:t xml:space="preserve">u Hellen </w:t>
      </w:r>
      <w:r w:rsidR="000449C9" w:rsidRPr="00B34F21">
        <w:rPr>
          <w:rFonts w:cs="Arial"/>
          <w:szCs w:val="24"/>
        </w:rPr>
        <w:t>Phaleng</w:t>
      </w:r>
      <w:r w:rsidR="00863A38" w:rsidRPr="00B34F21">
        <w:rPr>
          <w:rFonts w:cs="Arial"/>
          <w:szCs w:val="24"/>
        </w:rPr>
        <w:t>.</w:t>
      </w:r>
      <w:r w:rsidR="000449C9" w:rsidRPr="00B34F21">
        <w:rPr>
          <w:rFonts w:cs="Arial"/>
          <w:szCs w:val="24"/>
        </w:rPr>
        <w:t xml:space="preserve">  In essence, the complaint was that the attorney had failed to designate that she was authorised under</w:t>
      </w:r>
      <w:r w:rsidR="00FC4478" w:rsidRPr="00B34F21">
        <w:rPr>
          <w:rFonts w:cs="Arial"/>
          <w:szCs w:val="24"/>
        </w:rPr>
        <w:t xml:space="preserve"> the repealed</w:t>
      </w:r>
      <w:r w:rsidR="000449C9" w:rsidRPr="00B34F21">
        <w:rPr>
          <w:rFonts w:cs="Arial"/>
          <w:szCs w:val="24"/>
        </w:rPr>
        <w:t xml:space="preserve"> section 4(2) of the Right of Appearance in Courts Act 62 of 1995</w:t>
      </w:r>
      <w:r w:rsidR="00FC4478" w:rsidRPr="00B34F21">
        <w:rPr>
          <w:rFonts w:cs="Arial"/>
          <w:szCs w:val="24"/>
        </w:rPr>
        <w:t xml:space="preserve"> and presently required by</w:t>
      </w:r>
      <w:r w:rsidR="000449C9" w:rsidRPr="00B34F21">
        <w:rPr>
          <w:rFonts w:cs="Arial"/>
          <w:szCs w:val="24"/>
        </w:rPr>
        <w:t xml:space="preserve"> section 25(4) of the Legal Practice Act 28 of 2014, to sign the p</w:t>
      </w:r>
      <w:r w:rsidR="00431CC4" w:rsidRPr="00B34F21">
        <w:rPr>
          <w:rFonts w:cs="Arial"/>
          <w:szCs w:val="24"/>
        </w:rPr>
        <w:t>articulars of claim</w:t>
      </w:r>
      <w:r w:rsidR="000449C9" w:rsidRPr="00B34F21">
        <w:rPr>
          <w:rFonts w:cs="Arial"/>
          <w:szCs w:val="24"/>
        </w:rPr>
        <w:t xml:space="preserve"> as required in terms of the provisions of Rule 18(1) of the Uniform Rules of the above Honourable Court.</w:t>
      </w:r>
    </w:p>
    <w:p w14:paraId="0A977721" w14:textId="10A38963" w:rsidR="0050502F"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t>[2]</w:t>
      </w:r>
      <w:r w:rsidRPr="00B34F21">
        <w:rPr>
          <w:rFonts w:cs="Arial"/>
          <w:szCs w:val="24"/>
        </w:rPr>
        <w:tab/>
      </w:r>
      <w:r w:rsidR="000449C9" w:rsidRPr="00B34F21">
        <w:rPr>
          <w:rFonts w:cs="Arial"/>
          <w:szCs w:val="24"/>
        </w:rPr>
        <w:t>Rule 18(1) provides:</w:t>
      </w:r>
      <w:r w:rsidR="00863A38" w:rsidRPr="00B34F21">
        <w:rPr>
          <w:rFonts w:cs="Arial"/>
          <w:szCs w:val="24"/>
        </w:rPr>
        <w:t xml:space="preserve">  </w:t>
      </w:r>
      <w:bookmarkStart w:id="4" w:name="_Hlk81386320"/>
      <w:bookmarkEnd w:id="3"/>
    </w:p>
    <w:p w14:paraId="12234B98" w14:textId="32F4585D" w:rsidR="000449C9" w:rsidRPr="00B34F21" w:rsidRDefault="000449C9" w:rsidP="005C5F65">
      <w:pPr>
        <w:ind w:left="1871" w:hanging="1871"/>
        <w:rPr>
          <w:rFonts w:cs="Arial"/>
          <w:i/>
          <w:iCs/>
          <w:szCs w:val="24"/>
        </w:rPr>
      </w:pPr>
      <w:r w:rsidRPr="00B34F21">
        <w:rPr>
          <w:rFonts w:cs="Arial"/>
          <w:szCs w:val="24"/>
        </w:rPr>
        <w:tab/>
      </w:r>
      <w:r w:rsidRPr="00B34F21">
        <w:rPr>
          <w:rFonts w:cs="Arial"/>
          <w:szCs w:val="24"/>
        </w:rPr>
        <w:tab/>
      </w:r>
      <w:r w:rsidRPr="00B34F21">
        <w:rPr>
          <w:rFonts w:cs="Arial"/>
          <w:i/>
          <w:iCs/>
          <w:szCs w:val="24"/>
        </w:rPr>
        <w:t>“</w:t>
      </w:r>
      <w:r w:rsidR="005C5F65" w:rsidRPr="00B34F21">
        <w:rPr>
          <w:rFonts w:cs="Arial"/>
          <w:i/>
          <w:iCs/>
          <w:szCs w:val="24"/>
        </w:rPr>
        <w:t>A combined summons, and every other pleading except a summons, shall be signed by both an advocate and an attorney or, in the case of an attorney who, under section 4(2) of the Right of Appearance in Courts Act, 1995 (Act 62 of 1995), has the right of appearance in the Supreme Court, only by such attorney or, if a party sues or defends personally, by that party.”</w:t>
      </w:r>
    </w:p>
    <w:p w14:paraId="767DBB0E" w14:textId="510191D3" w:rsidR="0050502F"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t>[3]</w:t>
      </w:r>
      <w:r w:rsidRPr="00B34F21">
        <w:rPr>
          <w:rFonts w:cs="Arial"/>
          <w:szCs w:val="24"/>
        </w:rPr>
        <w:tab/>
      </w:r>
      <w:r w:rsidR="005C5F65" w:rsidRPr="00B34F21">
        <w:rPr>
          <w:rFonts w:cs="Arial"/>
          <w:szCs w:val="24"/>
        </w:rPr>
        <w:t>As a consequence, the applicant sought an order that the combined summons was non-compliant with Rule 18(1) and furthermore should be set aside as an irregular step.  Should this Court be inclined to grant this relief, an order was also sought that the respondent deliver a new combined summons within 10 (ten) days and furthermore that this irregularity entitled the applicant to a costs order on the attorney client scale.</w:t>
      </w:r>
    </w:p>
    <w:p w14:paraId="739F2D27" w14:textId="1052BBF6" w:rsidR="005C5F65"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t>[4]</w:t>
      </w:r>
      <w:r w:rsidRPr="00B34F21">
        <w:rPr>
          <w:rFonts w:cs="Arial"/>
          <w:szCs w:val="24"/>
        </w:rPr>
        <w:tab/>
      </w:r>
      <w:r w:rsidR="005C5F65" w:rsidRPr="00B34F21">
        <w:rPr>
          <w:rFonts w:cs="Arial"/>
          <w:szCs w:val="24"/>
        </w:rPr>
        <w:t>The summons reflects the signature of the attorney under the attorney’s practice’s name Phaleng-Podile Attorneys, is dated 29 September 2022 and reflects the necessary address, contact numbers and e-mail addresses and file reference on page 4 thereof.  The particulars of claim reflects on page 14 thereof that the attorney again signed the particulars of claim</w:t>
      </w:r>
      <w:r w:rsidR="00FC4478" w:rsidRPr="00B34F21">
        <w:rPr>
          <w:rFonts w:cs="Arial"/>
          <w:szCs w:val="24"/>
        </w:rPr>
        <w:t>,</w:t>
      </w:r>
      <w:r w:rsidR="005C5F65" w:rsidRPr="00B34F21">
        <w:rPr>
          <w:rFonts w:cs="Arial"/>
          <w:szCs w:val="24"/>
        </w:rPr>
        <w:t xml:space="preserve"> on 29 September 2022</w:t>
      </w:r>
      <w:r w:rsidR="00FC4478" w:rsidRPr="00B34F21">
        <w:rPr>
          <w:rFonts w:cs="Arial"/>
          <w:szCs w:val="24"/>
        </w:rPr>
        <w:t>,</w:t>
      </w:r>
      <w:r w:rsidR="005C5F65" w:rsidRPr="00B34F21">
        <w:rPr>
          <w:rFonts w:cs="Arial"/>
          <w:szCs w:val="24"/>
        </w:rPr>
        <w:t xml:space="preserve"> reflecting her practice name and the identical information as </w:t>
      </w:r>
      <w:r w:rsidR="00FC4478" w:rsidRPr="00B34F21">
        <w:rPr>
          <w:rFonts w:cs="Arial"/>
          <w:szCs w:val="24"/>
        </w:rPr>
        <w:t>contained</w:t>
      </w:r>
      <w:r w:rsidR="005C5F65" w:rsidRPr="00B34F21">
        <w:rPr>
          <w:rFonts w:cs="Arial"/>
          <w:szCs w:val="24"/>
        </w:rPr>
        <w:t xml:space="preserve"> in the summons.</w:t>
      </w:r>
    </w:p>
    <w:p w14:paraId="79FE7871" w14:textId="76A0C281" w:rsidR="005C5F65"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lastRenderedPageBreak/>
        <w:t>[5]</w:t>
      </w:r>
      <w:r w:rsidRPr="00B34F21">
        <w:rPr>
          <w:rFonts w:cs="Arial"/>
          <w:szCs w:val="24"/>
        </w:rPr>
        <w:tab/>
      </w:r>
      <w:r w:rsidR="005C5F65" w:rsidRPr="00B34F21">
        <w:rPr>
          <w:rFonts w:cs="Arial"/>
          <w:szCs w:val="24"/>
        </w:rPr>
        <w:t xml:space="preserve">Having entered an appearance to defend on 1 November 2022, the applicant then filed its notice in terms of Rule 30(2)(b) setting out the aforesaid irregular step.  In so doing it afforded the respondent a period of </w:t>
      </w:r>
      <w:r w:rsidR="00D1692F" w:rsidRPr="00B34F21">
        <w:rPr>
          <w:rFonts w:cs="Arial"/>
          <w:szCs w:val="24"/>
        </w:rPr>
        <w:t xml:space="preserve">10 (ten) days within which to remove her cause of complaint.  The notice is dated 11 November 2022.  As such the cause of complaint was to be removed by 25 November 2022.  </w:t>
      </w:r>
      <w:r w:rsidR="00FC4478" w:rsidRPr="00B34F21">
        <w:rPr>
          <w:rFonts w:cs="Arial"/>
          <w:szCs w:val="24"/>
        </w:rPr>
        <w:t>T</w:t>
      </w:r>
      <w:r w:rsidR="00D1692F" w:rsidRPr="00B34F21">
        <w:rPr>
          <w:rFonts w:cs="Arial"/>
          <w:szCs w:val="24"/>
        </w:rPr>
        <w:t>he applicant contends that it is prejudiced because the combined summons is not properly before the Court and is not a pleading and therefore it cannot defend the action until this irregular step has been regularised.  It moves for an</w:t>
      </w:r>
      <w:r w:rsidR="00D431F2" w:rsidRPr="00B34F21">
        <w:rPr>
          <w:rFonts w:cs="Arial"/>
          <w:szCs w:val="24"/>
        </w:rPr>
        <w:t xml:space="preserve"> adverse</w:t>
      </w:r>
      <w:r w:rsidR="00D1692F" w:rsidRPr="00B34F21">
        <w:rPr>
          <w:rFonts w:cs="Arial"/>
          <w:szCs w:val="24"/>
        </w:rPr>
        <w:t xml:space="preserve"> attorney</w:t>
      </w:r>
      <w:r w:rsidR="00D431F2" w:rsidRPr="00B34F21">
        <w:rPr>
          <w:rFonts w:cs="Arial"/>
          <w:szCs w:val="24"/>
        </w:rPr>
        <w:t>-</w:t>
      </w:r>
      <w:r w:rsidR="00D1692F" w:rsidRPr="00B34F21">
        <w:rPr>
          <w:rFonts w:cs="Arial"/>
          <w:szCs w:val="24"/>
        </w:rPr>
        <w:t xml:space="preserve"> client costs order on the basis that the respondent has failed to adhere to the Rules of Court and omitted to do so in the face of its notice in terms of Rule 30(2)(b).  </w:t>
      </w:r>
    </w:p>
    <w:p w14:paraId="15862928" w14:textId="35C8E25C" w:rsidR="00F26D06"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t>[6]</w:t>
      </w:r>
      <w:r w:rsidRPr="00B34F21">
        <w:rPr>
          <w:rFonts w:cs="Arial"/>
          <w:szCs w:val="24"/>
        </w:rPr>
        <w:tab/>
      </w:r>
      <w:r w:rsidR="00D1692F" w:rsidRPr="00B34F21">
        <w:rPr>
          <w:rFonts w:cs="Arial"/>
          <w:szCs w:val="24"/>
        </w:rPr>
        <w:t xml:space="preserve">It is common cause that on 14 November 2022 the respondent’s attorney addressed a letter to the applicant’s attorney.  Aside from raising the point that the applicant itself could not take this point as it had entered an appearance to defend and had therefore taken a further step in the cause, a point to which I will later return and which has no merit, the attorney dealt with the crux of the </w:t>
      </w:r>
      <w:r w:rsidR="00431CC4" w:rsidRPr="00B34F21">
        <w:rPr>
          <w:rFonts w:cs="Arial"/>
          <w:szCs w:val="24"/>
        </w:rPr>
        <w:t xml:space="preserve"> purported </w:t>
      </w:r>
      <w:r w:rsidR="00D1692F" w:rsidRPr="00B34F21">
        <w:rPr>
          <w:rFonts w:cs="Arial"/>
          <w:szCs w:val="24"/>
        </w:rPr>
        <w:t>irregularity by attaching her certificate in terms of section 4(2) of the Right of Appearance in Courts Act which confirmed therefore her authority and capacity to sign the summons and particulars of claim.  The certificate is dated 23 April 2013 and was issued by the Chief Registrar, North Gauteng High Court, Pretoria by one S D M</w:t>
      </w:r>
      <w:r w:rsidR="00F26D06" w:rsidRPr="00B34F21">
        <w:rPr>
          <w:rFonts w:cs="Arial"/>
          <w:szCs w:val="24"/>
        </w:rPr>
        <w:t xml:space="preserve">niki and confirms the attorney’s right of appearance in accordance with section 4(3) of the Right of Appearance in Courts Act 62 of 1995. </w:t>
      </w:r>
      <w:r w:rsidR="00D431F2" w:rsidRPr="00B34F21">
        <w:rPr>
          <w:rFonts w:cs="Arial"/>
          <w:szCs w:val="24"/>
        </w:rPr>
        <w:t>T</w:t>
      </w:r>
      <w:r w:rsidR="00431CC4" w:rsidRPr="00B34F21">
        <w:rPr>
          <w:rFonts w:cs="Arial"/>
          <w:szCs w:val="24"/>
        </w:rPr>
        <w:t>he respondent</w:t>
      </w:r>
      <w:r w:rsidR="00D431F2" w:rsidRPr="00B34F21">
        <w:rPr>
          <w:rFonts w:cs="Arial"/>
          <w:szCs w:val="24"/>
        </w:rPr>
        <w:t xml:space="preserve"> also </w:t>
      </w:r>
      <w:r w:rsidR="00431CC4" w:rsidRPr="00B34F21">
        <w:rPr>
          <w:rFonts w:cs="Arial"/>
          <w:szCs w:val="24"/>
        </w:rPr>
        <w:t>requests that the applicant withdraw its Rule 30 notice.  This did not occur.</w:t>
      </w:r>
      <w:r w:rsidR="00F26D06" w:rsidRPr="00B34F21">
        <w:rPr>
          <w:rFonts w:cs="Arial"/>
          <w:szCs w:val="24"/>
        </w:rPr>
        <w:t xml:space="preserve"> </w:t>
      </w:r>
    </w:p>
    <w:p w14:paraId="006CB6CE" w14:textId="1B876F63" w:rsidR="00F26D06"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t>[7]</w:t>
      </w:r>
      <w:r w:rsidRPr="00B34F21">
        <w:rPr>
          <w:rFonts w:cs="Arial"/>
          <w:szCs w:val="24"/>
        </w:rPr>
        <w:tab/>
      </w:r>
      <w:r w:rsidR="00F26D06" w:rsidRPr="00B34F21">
        <w:rPr>
          <w:rFonts w:cs="Arial"/>
          <w:szCs w:val="24"/>
        </w:rPr>
        <w:t>On 14 November 2022, applicant’s attorney addressed a letter by e-mail to the respondent’s attorney</w:t>
      </w:r>
      <w:r w:rsidR="00D431F2" w:rsidRPr="00B34F21">
        <w:rPr>
          <w:rFonts w:cs="Arial"/>
          <w:szCs w:val="24"/>
        </w:rPr>
        <w:t xml:space="preserve"> in response</w:t>
      </w:r>
      <w:r w:rsidR="00F26D06" w:rsidRPr="00B34F21">
        <w:rPr>
          <w:rFonts w:cs="Arial"/>
          <w:szCs w:val="24"/>
        </w:rPr>
        <w:t xml:space="preserve"> wherein it correctly dis</w:t>
      </w:r>
      <w:r w:rsidR="00FC4478" w:rsidRPr="00B34F21">
        <w:rPr>
          <w:rFonts w:cs="Arial"/>
          <w:szCs w:val="24"/>
        </w:rPr>
        <w:t>regarded</w:t>
      </w:r>
      <w:r w:rsidR="00F26D06" w:rsidRPr="00B34F21">
        <w:rPr>
          <w:rFonts w:cs="Arial"/>
          <w:szCs w:val="24"/>
        </w:rPr>
        <w:t xml:space="preserve"> the point that a further step had been taken in the cause by the filing of a notice of intention to defend and insisted that the respondent remove the alleged cause of complaint by 25 November 2022 failing which it would </w:t>
      </w:r>
      <w:r w:rsidR="00F26D06" w:rsidRPr="00B34F21">
        <w:rPr>
          <w:rFonts w:cs="Arial"/>
          <w:szCs w:val="24"/>
        </w:rPr>
        <w:lastRenderedPageBreak/>
        <w:t xml:space="preserve">institute this application. </w:t>
      </w:r>
    </w:p>
    <w:p w14:paraId="728981FF" w14:textId="1B620C88" w:rsidR="00F26D06"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t>[8]</w:t>
      </w:r>
      <w:r w:rsidRPr="00B34F21">
        <w:rPr>
          <w:rFonts w:cs="Arial"/>
          <w:szCs w:val="24"/>
        </w:rPr>
        <w:tab/>
      </w:r>
      <w:r w:rsidR="00F26D06" w:rsidRPr="00B34F21">
        <w:rPr>
          <w:rFonts w:cs="Arial"/>
          <w:szCs w:val="24"/>
        </w:rPr>
        <w:t xml:space="preserve">On 30 November 2022, the application was launched. </w:t>
      </w:r>
    </w:p>
    <w:p w14:paraId="694BE390" w14:textId="6E3C53A6" w:rsidR="00F26D06"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t>[9]</w:t>
      </w:r>
      <w:r w:rsidRPr="00B34F21">
        <w:rPr>
          <w:rFonts w:cs="Arial"/>
          <w:szCs w:val="24"/>
        </w:rPr>
        <w:tab/>
      </w:r>
      <w:r w:rsidR="00FC4478" w:rsidRPr="00B34F21">
        <w:rPr>
          <w:rFonts w:cs="Arial"/>
          <w:szCs w:val="24"/>
        </w:rPr>
        <w:t>T</w:t>
      </w:r>
      <w:r w:rsidR="00F26D06" w:rsidRPr="00B34F21">
        <w:rPr>
          <w:rFonts w:cs="Arial"/>
          <w:szCs w:val="24"/>
        </w:rPr>
        <w:t xml:space="preserve">he respondent contends that as </w:t>
      </w:r>
      <w:r w:rsidR="00FC4478" w:rsidRPr="00B34F21">
        <w:rPr>
          <w:rFonts w:cs="Arial"/>
          <w:szCs w:val="24"/>
        </w:rPr>
        <w:t>the</w:t>
      </w:r>
      <w:r w:rsidR="00F26D06" w:rsidRPr="00B34F21">
        <w:rPr>
          <w:rFonts w:cs="Arial"/>
          <w:szCs w:val="24"/>
        </w:rPr>
        <w:t xml:space="preserve"> attorney </w:t>
      </w:r>
      <w:r w:rsidR="00FC4478" w:rsidRPr="00B34F21">
        <w:rPr>
          <w:rFonts w:cs="Arial"/>
          <w:szCs w:val="24"/>
        </w:rPr>
        <w:t>has</w:t>
      </w:r>
      <w:r w:rsidR="00F26D06" w:rsidRPr="00B34F21">
        <w:rPr>
          <w:rFonts w:cs="Arial"/>
          <w:szCs w:val="24"/>
        </w:rPr>
        <w:t xml:space="preserve"> rights of appearance, the Rule 30 notice and subsequent application w</w:t>
      </w:r>
      <w:r w:rsidR="00431CC4" w:rsidRPr="00B34F21">
        <w:rPr>
          <w:rFonts w:cs="Arial"/>
          <w:szCs w:val="24"/>
        </w:rPr>
        <w:t>ere</w:t>
      </w:r>
      <w:r w:rsidR="00F26D06" w:rsidRPr="00B34F21">
        <w:rPr>
          <w:rFonts w:cs="Arial"/>
          <w:szCs w:val="24"/>
        </w:rPr>
        <w:t xml:space="preserve"> frivolous and unnecessary</w:t>
      </w:r>
      <w:r w:rsidR="00FC4478" w:rsidRPr="00B34F21">
        <w:rPr>
          <w:rFonts w:cs="Arial"/>
          <w:szCs w:val="24"/>
        </w:rPr>
        <w:t>. Further,</w:t>
      </w:r>
      <w:r w:rsidR="00F26D06" w:rsidRPr="00B34F21">
        <w:rPr>
          <w:rFonts w:cs="Arial"/>
          <w:szCs w:val="24"/>
        </w:rPr>
        <w:t xml:space="preserve"> on </w:t>
      </w:r>
      <w:r w:rsidR="00FC4478" w:rsidRPr="00B34F21">
        <w:rPr>
          <w:rFonts w:cs="Arial"/>
          <w:szCs w:val="24"/>
        </w:rPr>
        <w:t>receipt of</w:t>
      </w:r>
      <w:r w:rsidR="00F26D06" w:rsidRPr="00B34F21">
        <w:rPr>
          <w:rFonts w:cs="Arial"/>
          <w:szCs w:val="24"/>
        </w:rPr>
        <w:t xml:space="preserve"> the relevant certificate, the Rule 30 notice should have been withdrawn by the applicant.</w:t>
      </w:r>
    </w:p>
    <w:p w14:paraId="42D1A4F6" w14:textId="453DC85C" w:rsidR="00352048"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t>[10]</w:t>
      </w:r>
      <w:r w:rsidRPr="00B34F21">
        <w:rPr>
          <w:rFonts w:cs="Arial"/>
          <w:szCs w:val="24"/>
        </w:rPr>
        <w:tab/>
      </w:r>
      <w:r w:rsidR="00F26D06" w:rsidRPr="00B34F21">
        <w:rPr>
          <w:rFonts w:cs="Arial"/>
          <w:szCs w:val="24"/>
        </w:rPr>
        <w:t xml:space="preserve">As a consequence, the respondent contends that the applicant’s attorney of record should pay the costs of this application </w:t>
      </w:r>
      <w:r w:rsidR="00F26D06" w:rsidRPr="00B34F21">
        <w:rPr>
          <w:rFonts w:cs="Arial"/>
          <w:i/>
          <w:iCs/>
          <w:szCs w:val="24"/>
        </w:rPr>
        <w:t>de bonis propriis</w:t>
      </w:r>
      <w:r w:rsidR="00F26D06" w:rsidRPr="00B34F21">
        <w:rPr>
          <w:rFonts w:cs="Arial"/>
          <w:szCs w:val="24"/>
        </w:rPr>
        <w:t xml:space="preserve"> on the attorney client scale.  In this regard, the applicant’s attorney’s conduct is labelled as </w:t>
      </w:r>
      <w:r w:rsidR="00F26D06" w:rsidRPr="00B34F21">
        <w:rPr>
          <w:rFonts w:cs="Arial"/>
          <w:i/>
          <w:iCs/>
          <w:szCs w:val="24"/>
        </w:rPr>
        <w:t xml:space="preserve">“intransigent” </w:t>
      </w:r>
      <w:r w:rsidR="00F26D06" w:rsidRPr="00B34F21">
        <w:rPr>
          <w:rFonts w:cs="Arial"/>
          <w:szCs w:val="24"/>
        </w:rPr>
        <w:t>and amounting to a technical indulgence which simply has a dilatory effect on the running of the merits of the action.  In bringing the application, the respondent contends</w:t>
      </w:r>
      <w:r w:rsidR="001218EF" w:rsidRPr="00B34F21">
        <w:rPr>
          <w:rFonts w:cs="Arial"/>
          <w:szCs w:val="24"/>
        </w:rPr>
        <w:t>,</w:t>
      </w:r>
      <w:r w:rsidR="00F26D06" w:rsidRPr="00B34F21">
        <w:rPr>
          <w:rFonts w:cs="Arial"/>
          <w:szCs w:val="24"/>
        </w:rPr>
        <w:t xml:space="preserve"> the applicant has abused the Court process and in effect wasted the Court’s time.</w:t>
      </w:r>
    </w:p>
    <w:p w14:paraId="5B0A8137" w14:textId="3BD71497" w:rsidR="001218EF"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t>[11]</w:t>
      </w:r>
      <w:r w:rsidRPr="00B34F21">
        <w:rPr>
          <w:rFonts w:cs="Arial"/>
          <w:szCs w:val="24"/>
        </w:rPr>
        <w:tab/>
      </w:r>
      <w:r w:rsidR="00352048" w:rsidRPr="00B34F21">
        <w:rPr>
          <w:rFonts w:cs="Arial"/>
          <w:szCs w:val="24"/>
        </w:rPr>
        <w:t>At the outset and prior to dealing with the relief sought, I requested the respective counsel to deliver supplementary heads of argument addressing me on the repeal of the Right of Appearance in Courts Act by the Legal Practice Act.  Supplementary heads were filed and it was common cause that insofar as the reference to the Right of Appearance in Courts Act had been made in the application, this was incorrect and that the attorney’s rights of appearance were no</w:t>
      </w:r>
      <w:r w:rsidR="001218EF" w:rsidRPr="00B34F21">
        <w:rPr>
          <w:rFonts w:cs="Arial"/>
          <w:szCs w:val="24"/>
        </w:rPr>
        <w:t>w</w:t>
      </w:r>
      <w:r w:rsidR="00352048" w:rsidRPr="00B34F21">
        <w:rPr>
          <w:rFonts w:cs="Arial"/>
          <w:szCs w:val="24"/>
        </w:rPr>
        <w:t xml:space="preserve"> dealt with by the provisions of the Legal Practice Act and more particularly section 114(5)</w:t>
      </w:r>
      <w:r w:rsidR="001218EF" w:rsidRPr="00B34F21">
        <w:rPr>
          <w:rFonts w:cs="Arial"/>
          <w:szCs w:val="24"/>
        </w:rPr>
        <w:t>.</w:t>
      </w:r>
    </w:p>
    <w:p w14:paraId="67006067" w14:textId="09FFF7EE" w:rsidR="00352048"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t>[12]</w:t>
      </w:r>
      <w:r w:rsidRPr="00B34F21">
        <w:rPr>
          <w:rFonts w:cs="Arial"/>
          <w:szCs w:val="24"/>
        </w:rPr>
        <w:tab/>
      </w:r>
      <w:r w:rsidR="001218EF" w:rsidRPr="00B34F21">
        <w:rPr>
          <w:rFonts w:cs="Arial"/>
          <w:szCs w:val="24"/>
        </w:rPr>
        <w:t>Section 114(5)</w:t>
      </w:r>
      <w:r w:rsidR="00352048" w:rsidRPr="00B34F21">
        <w:rPr>
          <w:rFonts w:cs="Arial"/>
          <w:szCs w:val="24"/>
        </w:rPr>
        <w:t xml:space="preserve"> provides:</w:t>
      </w:r>
    </w:p>
    <w:p w14:paraId="14F6C9F6" w14:textId="77777777" w:rsidR="00352048" w:rsidRPr="00B34F21" w:rsidRDefault="00352048" w:rsidP="00352048">
      <w:pPr>
        <w:ind w:left="3022" w:hanging="3022"/>
        <w:rPr>
          <w:rFonts w:cs="Arial"/>
          <w:i/>
          <w:iCs/>
          <w:szCs w:val="24"/>
        </w:rPr>
      </w:pPr>
      <w:r w:rsidRPr="00B34F21">
        <w:rPr>
          <w:rFonts w:cs="Arial"/>
          <w:szCs w:val="24"/>
        </w:rPr>
        <w:tab/>
      </w:r>
      <w:r w:rsidRPr="00B34F21">
        <w:rPr>
          <w:rFonts w:cs="Arial"/>
          <w:szCs w:val="24"/>
        </w:rPr>
        <w:tab/>
      </w:r>
      <w:r w:rsidRPr="00B34F21">
        <w:rPr>
          <w:rFonts w:cs="Arial"/>
          <w:i/>
          <w:iCs/>
          <w:szCs w:val="24"/>
        </w:rPr>
        <w:t>“(5)</w:t>
      </w:r>
      <w:r w:rsidRPr="00B34F21">
        <w:rPr>
          <w:rFonts w:cs="Arial"/>
          <w:i/>
          <w:iCs/>
          <w:szCs w:val="24"/>
        </w:rPr>
        <w:tab/>
        <w:t>Every attorney who, on the date referred to in section 120(4), has the right of appearance in the High Court of South Africa, the Supreme Court of Appeal or the Constitutional Court in terms of any law, retains that right after the commencement of this Act.”</w:t>
      </w:r>
    </w:p>
    <w:p w14:paraId="1B072D2F" w14:textId="2455C8AA" w:rsidR="00352048"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lastRenderedPageBreak/>
        <w:t>[13]</w:t>
      </w:r>
      <w:r w:rsidRPr="00B34F21">
        <w:rPr>
          <w:rFonts w:cs="Arial"/>
          <w:szCs w:val="24"/>
        </w:rPr>
        <w:tab/>
      </w:r>
      <w:r w:rsidR="00352048" w:rsidRPr="00B34F21">
        <w:rPr>
          <w:rFonts w:cs="Arial"/>
          <w:szCs w:val="24"/>
        </w:rPr>
        <w:t>The date referred to was the date on which the amendment to the Legal Practices Act had been promulgated being 17 January 2018, the Legal Practices Act having come into law on 22 September 2014.</w:t>
      </w:r>
      <w:r w:rsidR="00F26D06" w:rsidRPr="00B34F21">
        <w:rPr>
          <w:rFonts w:cs="Arial"/>
          <w:szCs w:val="24"/>
        </w:rPr>
        <w:t xml:space="preserve"> </w:t>
      </w:r>
    </w:p>
    <w:p w14:paraId="66745515" w14:textId="67402EF1" w:rsidR="00D1692F"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t>[14]</w:t>
      </w:r>
      <w:r w:rsidRPr="00B34F21">
        <w:rPr>
          <w:rFonts w:cs="Arial"/>
          <w:szCs w:val="24"/>
        </w:rPr>
        <w:tab/>
      </w:r>
      <w:r w:rsidR="00352048" w:rsidRPr="00B34F21">
        <w:rPr>
          <w:rFonts w:cs="Arial"/>
          <w:szCs w:val="24"/>
        </w:rPr>
        <w:t>In ar</w:t>
      </w:r>
      <w:r w:rsidR="000E7C01" w:rsidRPr="00B34F21">
        <w:rPr>
          <w:rFonts w:cs="Arial"/>
          <w:szCs w:val="24"/>
        </w:rPr>
        <w:t xml:space="preserve">gument, I enquired of the respondent’s counsel why the respondent had not simply filed amended pages in which reference was made to the relevant section of the Legal Practice Act.  </w:t>
      </w:r>
      <w:r w:rsidR="0005193C" w:rsidRPr="00B34F21">
        <w:rPr>
          <w:rFonts w:cs="Arial"/>
          <w:szCs w:val="24"/>
        </w:rPr>
        <w:t xml:space="preserve">The respondent’s counsel referred me to the decision of </w:t>
      </w:r>
      <w:r w:rsidR="008A6D05" w:rsidRPr="00B34F21">
        <w:rPr>
          <w:rFonts w:cs="Arial"/>
          <w:b/>
          <w:bCs/>
          <w:i/>
          <w:iCs/>
          <w:szCs w:val="24"/>
        </w:rPr>
        <w:t>Quill Associates (Pty) Ltd v Dawid Kruiper Local Municipality</w:t>
      </w:r>
      <w:r w:rsidR="008A6D05" w:rsidRPr="00B34F21">
        <w:rPr>
          <w:rFonts w:cs="Arial"/>
          <w:szCs w:val="24"/>
        </w:rPr>
        <w:t>.</w:t>
      </w:r>
      <w:r w:rsidR="008A6D05" w:rsidRPr="00B34F21">
        <w:rPr>
          <w:rStyle w:val="FootnoteReference"/>
          <w:rFonts w:cs="Arial"/>
          <w:szCs w:val="24"/>
        </w:rPr>
        <w:footnoteReference w:id="1"/>
      </w:r>
      <w:r w:rsidR="008A6D05" w:rsidRPr="00B34F21">
        <w:rPr>
          <w:rFonts w:cs="Arial"/>
          <w:szCs w:val="24"/>
        </w:rPr>
        <w:t xml:space="preserve">  As set out in the judgment, Chwaro AJ held that:</w:t>
      </w:r>
    </w:p>
    <w:p w14:paraId="5F361B31" w14:textId="6A26CB7F" w:rsidR="008A6D05" w:rsidRPr="00B34F21" w:rsidRDefault="008A6D05" w:rsidP="008A6D05">
      <w:pPr>
        <w:ind w:left="1871" w:hanging="1871"/>
        <w:rPr>
          <w:rFonts w:cs="Arial"/>
          <w:i/>
          <w:iCs/>
          <w:szCs w:val="24"/>
        </w:rPr>
      </w:pPr>
      <w:r w:rsidRPr="00B34F21">
        <w:rPr>
          <w:rFonts w:cs="Arial"/>
          <w:szCs w:val="24"/>
        </w:rPr>
        <w:tab/>
      </w:r>
      <w:r w:rsidRPr="00B34F21">
        <w:rPr>
          <w:rFonts w:cs="Arial"/>
          <w:i/>
          <w:iCs/>
          <w:szCs w:val="24"/>
        </w:rPr>
        <w:t>“[24]     It cannot be gainsaid that the signatory to the respondent’s pleadings was and still is an attorney having the right of appearance in the High Court and was thus, as at the time of appending his signature to the said pleadings, entitled and authorised to sign such pleadings on behalf of an advocate and as an attorney in his own right in this division of the High Court. The fact that he did not identify himself as such was, in my view, properly cured by the correspondence that was transmitted to the applicant and dated 8 April 2020.</w:t>
      </w:r>
    </w:p>
    <w:p w14:paraId="23EE7812" w14:textId="62DD7E1E" w:rsidR="008A6D05" w:rsidRPr="00B34F21" w:rsidRDefault="008A6D05" w:rsidP="008A6D05">
      <w:pPr>
        <w:ind w:left="1871" w:hanging="1871"/>
        <w:rPr>
          <w:rFonts w:cs="Arial"/>
          <w:i/>
          <w:iCs/>
          <w:szCs w:val="24"/>
        </w:rPr>
      </w:pPr>
      <w:r w:rsidRPr="00B34F21">
        <w:rPr>
          <w:rFonts w:cs="Arial"/>
          <w:i/>
          <w:iCs/>
          <w:szCs w:val="24"/>
        </w:rPr>
        <w:tab/>
        <w:t>[25]</w:t>
      </w:r>
      <w:r w:rsidRPr="00B34F21">
        <w:rPr>
          <w:rFonts w:cs="Arial"/>
          <w:i/>
          <w:iCs/>
          <w:szCs w:val="24"/>
        </w:rPr>
        <w:tab/>
        <w:t>In the premises, the alleged irregularity complained about by the applicant has no merit and the applicant did not demonstrate to have suffered any prejudice whatsoever on any course of action which it might be advised to undertake in relation to the contents of the plea filed on behalf of the respondent. Resultantly, this application falls to be dismissed.”</w:t>
      </w:r>
    </w:p>
    <w:p w14:paraId="1F4AF819" w14:textId="6FF00D6E" w:rsidR="001218EF"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t>[15]</w:t>
      </w:r>
      <w:r w:rsidRPr="00B34F21">
        <w:rPr>
          <w:rFonts w:cs="Arial"/>
          <w:szCs w:val="24"/>
        </w:rPr>
        <w:tab/>
      </w:r>
      <w:r w:rsidR="00E91505" w:rsidRPr="00B34F21">
        <w:rPr>
          <w:rFonts w:cs="Arial"/>
          <w:szCs w:val="24"/>
        </w:rPr>
        <w:t xml:space="preserve">In so doing, the application was dismissed and costs were ordered to follow the result.  </w:t>
      </w:r>
    </w:p>
    <w:p w14:paraId="7BC0D3A1" w14:textId="13D510BE" w:rsidR="001218EF"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lastRenderedPageBreak/>
        <w:t>[16]</w:t>
      </w:r>
      <w:r w:rsidRPr="00B34F21">
        <w:rPr>
          <w:rFonts w:cs="Arial"/>
          <w:szCs w:val="24"/>
        </w:rPr>
        <w:tab/>
      </w:r>
      <w:r w:rsidR="00E91505" w:rsidRPr="00B34F21">
        <w:rPr>
          <w:rFonts w:cs="Arial"/>
          <w:szCs w:val="24"/>
        </w:rPr>
        <w:t xml:space="preserve">The </w:t>
      </w:r>
      <w:r w:rsidR="00E91505" w:rsidRPr="00B34F21">
        <w:rPr>
          <w:rFonts w:cs="Arial"/>
          <w:b/>
          <w:bCs/>
          <w:i/>
          <w:iCs/>
          <w:szCs w:val="24"/>
        </w:rPr>
        <w:t xml:space="preserve">Quill Associates </w:t>
      </w:r>
      <w:r w:rsidR="00E91505" w:rsidRPr="00B34F21">
        <w:rPr>
          <w:rFonts w:cs="Arial"/>
          <w:szCs w:val="24"/>
        </w:rPr>
        <w:t>decision was made by this division in the Northern Cape, Kimberley and</w:t>
      </w:r>
      <w:r w:rsidR="00431CC4" w:rsidRPr="00B34F21">
        <w:rPr>
          <w:rFonts w:cs="Arial"/>
          <w:szCs w:val="24"/>
        </w:rPr>
        <w:t>,</w:t>
      </w:r>
      <w:r w:rsidR="00E91505" w:rsidRPr="00B34F21">
        <w:rPr>
          <w:rFonts w:cs="Arial"/>
          <w:szCs w:val="24"/>
        </w:rPr>
        <w:t xml:space="preserve"> accordingly</w:t>
      </w:r>
      <w:r w:rsidR="00431CC4" w:rsidRPr="00B34F21">
        <w:rPr>
          <w:rFonts w:cs="Arial"/>
          <w:szCs w:val="24"/>
        </w:rPr>
        <w:t>,</w:t>
      </w:r>
      <w:r w:rsidR="00E91505" w:rsidRPr="00B34F21">
        <w:rPr>
          <w:rFonts w:cs="Arial"/>
          <w:szCs w:val="24"/>
        </w:rPr>
        <w:t xml:space="preserve"> is not binding on me but is persuasive. </w:t>
      </w:r>
    </w:p>
    <w:p w14:paraId="79DE3C09" w14:textId="450960D8" w:rsidR="006E557B"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t>[17]</w:t>
      </w:r>
      <w:r w:rsidRPr="00B34F21">
        <w:rPr>
          <w:rFonts w:cs="Arial"/>
          <w:szCs w:val="24"/>
        </w:rPr>
        <w:tab/>
      </w:r>
      <w:r w:rsidR="00E91505" w:rsidRPr="00B34F21">
        <w:rPr>
          <w:rFonts w:cs="Arial"/>
          <w:szCs w:val="24"/>
        </w:rPr>
        <w:t xml:space="preserve">In the decision of </w:t>
      </w:r>
      <w:r w:rsidR="00E91505" w:rsidRPr="00B34F21">
        <w:rPr>
          <w:rFonts w:cs="Arial"/>
          <w:b/>
          <w:bCs/>
          <w:i/>
          <w:iCs/>
          <w:szCs w:val="24"/>
        </w:rPr>
        <w:t>Moloi v The Municipal Manager, Fezile Dabi District Municipality</w:t>
      </w:r>
      <w:r w:rsidR="00E91505" w:rsidRPr="00B34F21">
        <w:rPr>
          <w:rStyle w:val="FootnoteReference"/>
          <w:rFonts w:cs="Arial"/>
          <w:szCs w:val="24"/>
        </w:rPr>
        <w:footnoteReference w:id="2"/>
      </w:r>
      <w:r w:rsidR="00E91505" w:rsidRPr="00B34F21">
        <w:rPr>
          <w:rFonts w:cs="Arial"/>
          <w:szCs w:val="24"/>
        </w:rPr>
        <w:t xml:space="preserve"> a decision by Molitsoane J in the Free State Division, Bloemfontein, </w:t>
      </w:r>
      <w:r w:rsidR="001218EF" w:rsidRPr="00B34F21">
        <w:rPr>
          <w:rFonts w:cs="Arial"/>
          <w:szCs w:val="24"/>
        </w:rPr>
        <w:t xml:space="preserve"> the judge also dealt</w:t>
      </w:r>
      <w:r w:rsidR="00E91505" w:rsidRPr="00B34F21">
        <w:rPr>
          <w:rFonts w:cs="Arial"/>
          <w:szCs w:val="24"/>
        </w:rPr>
        <w:t xml:space="preserve"> with a</w:t>
      </w:r>
      <w:r w:rsidR="00431CC4" w:rsidRPr="00B34F21">
        <w:rPr>
          <w:rFonts w:cs="Arial"/>
          <w:szCs w:val="24"/>
        </w:rPr>
        <w:t xml:space="preserve"> combined</w:t>
      </w:r>
      <w:r w:rsidR="00E91505" w:rsidRPr="00B34F21">
        <w:rPr>
          <w:rFonts w:cs="Arial"/>
          <w:szCs w:val="24"/>
        </w:rPr>
        <w:t xml:space="preserve"> summons which did not reflect that the signatory, an attorney</w:t>
      </w:r>
      <w:r w:rsidR="00431CC4" w:rsidRPr="00B34F21">
        <w:rPr>
          <w:rFonts w:cs="Arial"/>
          <w:szCs w:val="24"/>
        </w:rPr>
        <w:t>,</w:t>
      </w:r>
      <w:r w:rsidR="00E91505" w:rsidRPr="00B34F21">
        <w:rPr>
          <w:rFonts w:cs="Arial"/>
          <w:szCs w:val="24"/>
        </w:rPr>
        <w:t xml:space="preserve"> had right of appearance in terms of section 4(2) of the Act</w:t>
      </w:r>
      <w:r w:rsidR="001218EF" w:rsidRPr="00B34F21">
        <w:rPr>
          <w:rFonts w:cs="Arial"/>
          <w:szCs w:val="24"/>
        </w:rPr>
        <w:t>. There it was</w:t>
      </w:r>
      <w:r w:rsidR="00E91505" w:rsidRPr="00B34F21">
        <w:rPr>
          <w:rFonts w:cs="Arial"/>
          <w:szCs w:val="24"/>
        </w:rPr>
        <w:t xml:space="preserve"> </w:t>
      </w:r>
      <w:r w:rsidR="001218EF" w:rsidRPr="00B34F21">
        <w:rPr>
          <w:rFonts w:cs="Arial"/>
          <w:szCs w:val="24"/>
        </w:rPr>
        <w:t>stated</w:t>
      </w:r>
      <w:r w:rsidR="00E91505" w:rsidRPr="00B34F21">
        <w:rPr>
          <w:rFonts w:cs="Arial"/>
          <w:szCs w:val="24"/>
        </w:rPr>
        <w:t xml:space="preserve"> that the</w:t>
      </w:r>
    </w:p>
    <w:p w14:paraId="41C9386A" w14:textId="1D2B3915" w:rsidR="00E91505" w:rsidRPr="00B34F21" w:rsidRDefault="006E557B" w:rsidP="006E557B">
      <w:pPr>
        <w:pStyle w:val="Heading1"/>
        <w:numPr>
          <w:ilvl w:val="0"/>
          <w:numId w:val="0"/>
        </w:numPr>
        <w:ind w:left="1871" w:hanging="1009"/>
        <w:rPr>
          <w:rFonts w:cs="Arial"/>
          <w:i/>
          <w:iCs/>
          <w:szCs w:val="24"/>
        </w:rPr>
      </w:pPr>
      <w:r w:rsidRPr="00B34F21">
        <w:rPr>
          <w:rFonts w:cs="Arial"/>
          <w:szCs w:val="24"/>
        </w:rPr>
        <w:tab/>
      </w:r>
      <w:r w:rsidR="00E91505" w:rsidRPr="00B34F21">
        <w:rPr>
          <w:rFonts w:cs="Arial"/>
          <w:i/>
          <w:iCs/>
          <w:szCs w:val="24"/>
        </w:rPr>
        <w:t>“</w:t>
      </w:r>
      <w:r w:rsidRPr="00B34F21">
        <w:rPr>
          <w:rFonts w:cs="Arial"/>
          <w:i/>
          <w:iCs/>
          <w:szCs w:val="24"/>
        </w:rPr>
        <w:t xml:space="preserve">… </w:t>
      </w:r>
      <w:r w:rsidR="00E91505" w:rsidRPr="00B34F21">
        <w:rPr>
          <w:rFonts w:cs="Arial"/>
          <w:i/>
          <w:iCs/>
          <w:szCs w:val="24"/>
        </w:rPr>
        <w:t xml:space="preserve">crisp issue in this question of signatures is whether the summons and the particulars of claim were signed </w:t>
      </w:r>
      <w:r w:rsidR="00E91505" w:rsidRPr="00B34F21">
        <w:rPr>
          <w:rFonts w:cs="Arial"/>
          <w:i/>
          <w:iCs/>
          <w:szCs w:val="24"/>
          <w:u w:val="single"/>
        </w:rPr>
        <w:t>by an attorney of record with a right of appearance in terms of the Act</w:t>
      </w:r>
      <w:r w:rsidR="00E91505" w:rsidRPr="00B34F21">
        <w:rPr>
          <w:rFonts w:cs="Arial"/>
          <w:i/>
          <w:iCs/>
          <w:szCs w:val="24"/>
        </w:rPr>
        <w:t>.</w:t>
      </w:r>
    </w:p>
    <w:p w14:paraId="175B0772" w14:textId="77777777" w:rsidR="006E557B" w:rsidRPr="00B34F21" w:rsidRDefault="006E557B" w:rsidP="006E557B">
      <w:pPr>
        <w:pStyle w:val="Heading1"/>
        <w:numPr>
          <w:ilvl w:val="0"/>
          <w:numId w:val="0"/>
        </w:numPr>
        <w:ind w:left="1871" w:hanging="1009"/>
        <w:rPr>
          <w:rFonts w:cs="Arial"/>
          <w:i/>
          <w:iCs/>
          <w:szCs w:val="24"/>
        </w:rPr>
      </w:pPr>
      <w:r w:rsidRPr="00B34F21">
        <w:rPr>
          <w:rFonts w:cs="Arial"/>
          <w:i/>
          <w:iCs/>
          <w:szCs w:val="24"/>
        </w:rPr>
        <w:t>[15]</w:t>
      </w:r>
      <w:r w:rsidRPr="00B34F21">
        <w:rPr>
          <w:rFonts w:cs="Arial"/>
          <w:i/>
          <w:iCs/>
          <w:szCs w:val="24"/>
        </w:rPr>
        <w:tab/>
        <w:t>It is indeed that in practise the attorney with a right of such appearance would usually have it reflected in the combined summons that he has such right of appearance. Rule 18(1) does not in my view say that the pleading must indicate ex facie that the person who signs, if he is an attorney, has a right of appearance in terms of the Act.</w:t>
      </w:r>
    </w:p>
    <w:p w14:paraId="68E1AA88" w14:textId="5A498600" w:rsidR="006E557B" w:rsidRPr="00B34F21" w:rsidRDefault="006E557B" w:rsidP="006E557B">
      <w:pPr>
        <w:pStyle w:val="Heading1"/>
        <w:numPr>
          <w:ilvl w:val="0"/>
          <w:numId w:val="0"/>
        </w:numPr>
        <w:ind w:left="1871" w:hanging="1009"/>
        <w:rPr>
          <w:rFonts w:cs="Arial"/>
          <w:i/>
          <w:iCs/>
          <w:szCs w:val="24"/>
        </w:rPr>
      </w:pPr>
      <w:r w:rsidRPr="00B34F21">
        <w:rPr>
          <w:rFonts w:cs="Arial"/>
          <w:i/>
          <w:iCs/>
          <w:szCs w:val="24"/>
        </w:rPr>
        <w:t>[16]</w:t>
      </w:r>
      <w:r w:rsidRPr="00B34F21">
        <w:rPr>
          <w:rFonts w:cs="Arial"/>
          <w:i/>
          <w:iCs/>
          <w:szCs w:val="24"/>
        </w:rPr>
        <w:tab/>
        <w:t xml:space="preserve">The application in this case was issued in 2021. Both Messrs Noge and Modise had by then been issued with certificates in terms of s4(2) and both thus had the right of audience in the High Court. The fact that they did not indicate such right in the summons does not, however, render the summons defective. Rule 18(1) simply requires that the combined summons be signed by an advocate and an attorney, or by the attorney with a right of appearance in terms of the Act. Noge and Modise are such attorneys. If this court were to insist that they should reflect their right of appearance in the summons, then in that case, such a move would be elevating form over substance. It is, however, </w:t>
      </w:r>
      <w:r w:rsidRPr="00B34F21">
        <w:rPr>
          <w:rFonts w:cs="Arial"/>
          <w:i/>
          <w:iCs/>
          <w:szCs w:val="24"/>
        </w:rPr>
        <w:lastRenderedPageBreak/>
        <w:t>good practise that the right of appearance in terms of the Act should ideally be reflected in the combined summons and pleadings in order to obviate the necessity to bring the applications like the one before this court.”</w:t>
      </w:r>
    </w:p>
    <w:p w14:paraId="60EA30D1" w14:textId="203B547D" w:rsidR="001218EF"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t>[18]</w:t>
      </w:r>
      <w:r w:rsidRPr="00B34F21">
        <w:rPr>
          <w:rFonts w:cs="Arial"/>
          <w:szCs w:val="24"/>
        </w:rPr>
        <w:tab/>
      </w:r>
      <w:r w:rsidR="00431CC4" w:rsidRPr="00B34F21">
        <w:rPr>
          <w:rFonts w:cs="Arial"/>
          <w:szCs w:val="24"/>
        </w:rPr>
        <w:t>I</w:t>
      </w:r>
      <w:r w:rsidR="006E557B" w:rsidRPr="00B34F21">
        <w:rPr>
          <w:rFonts w:cs="Arial"/>
          <w:szCs w:val="24"/>
        </w:rPr>
        <w:t>n</w:t>
      </w:r>
      <w:r w:rsidR="00D431F2" w:rsidRPr="00B34F21">
        <w:rPr>
          <w:rFonts w:cs="Arial"/>
          <w:szCs w:val="24"/>
        </w:rPr>
        <w:t xml:space="preserve"> the </w:t>
      </w:r>
      <w:r w:rsidR="00D431F2" w:rsidRPr="00B34F21">
        <w:rPr>
          <w:rFonts w:cs="Arial"/>
          <w:b/>
          <w:bCs/>
          <w:i/>
          <w:iCs/>
          <w:szCs w:val="24"/>
        </w:rPr>
        <w:t xml:space="preserve">Moloi </w:t>
      </w:r>
      <w:r w:rsidR="00D431F2" w:rsidRPr="00B34F21">
        <w:rPr>
          <w:rFonts w:cs="Arial"/>
          <w:szCs w:val="24"/>
        </w:rPr>
        <w:t xml:space="preserve">matter </w:t>
      </w:r>
      <w:r w:rsidR="006E557B" w:rsidRPr="00B34F21">
        <w:rPr>
          <w:rFonts w:cs="Arial"/>
          <w:szCs w:val="24"/>
        </w:rPr>
        <w:t>a Rule 30(</w:t>
      </w:r>
      <w:r w:rsidR="00431CC4" w:rsidRPr="00B34F21">
        <w:rPr>
          <w:rFonts w:cs="Arial"/>
          <w:szCs w:val="24"/>
        </w:rPr>
        <w:t>A</w:t>
      </w:r>
      <w:r w:rsidR="006E557B" w:rsidRPr="00B34F21">
        <w:rPr>
          <w:rFonts w:cs="Arial"/>
          <w:szCs w:val="24"/>
        </w:rPr>
        <w:t xml:space="preserve">)notice was delivered on receipt of the </w:t>
      </w:r>
      <w:r w:rsidR="00431CC4" w:rsidRPr="00B34F21">
        <w:rPr>
          <w:rFonts w:cs="Arial"/>
          <w:szCs w:val="24"/>
        </w:rPr>
        <w:t xml:space="preserve"> combined </w:t>
      </w:r>
      <w:r w:rsidR="006E557B" w:rsidRPr="00B34F21">
        <w:rPr>
          <w:rFonts w:cs="Arial"/>
          <w:szCs w:val="24"/>
        </w:rPr>
        <w:t xml:space="preserve">summons in which it was alleged that the attorney had not complied with Rule 18(1) by reflecting that he had rights of appearance and was authorised to sign the summons.  </w:t>
      </w:r>
      <w:r w:rsidR="00AE4ECD" w:rsidRPr="00B34F21">
        <w:rPr>
          <w:rFonts w:cs="Arial"/>
          <w:szCs w:val="24"/>
        </w:rPr>
        <w:t>T</w:t>
      </w:r>
      <w:r w:rsidR="006E557B" w:rsidRPr="00B34F21">
        <w:rPr>
          <w:rFonts w:cs="Arial"/>
          <w:szCs w:val="24"/>
        </w:rPr>
        <w:t>he respondent did not respond to the Rule 30(</w:t>
      </w:r>
      <w:r w:rsidR="00431CC4" w:rsidRPr="00B34F21">
        <w:rPr>
          <w:rFonts w:cs="Arial"/>
          <w:szCs w:val="24"/>
        </w:rPr>
        <w:t>A</w:t>
      </w:r>
      <w:r w:rsidR="006E557B" w:rsidRPr="00B34F21">
        <w:rPr>
          <w:rFonts w:cs="Arial"/>
          <w:szCs w:val="24"/>
        </w:rPr>
        <w:t>) notice</w:t>
      </w:r>
      <w:r w:rsidR="00AE4ECD" w:rsidRPr="00B34F21">
        <w:rPr>
          <w:rFonts w:cs="Arial"/>
          <w:szCs w:val="24"/>
        </w:rPr>
        <w:t xml:space="preserve"> by amending the summons</w:t>
      </w:r>
      <w:r w:rsidR="006E557B" w:rsidRPr="00B34F21">
        <w:rPr>
          <w:rFonts w:cs="Arial"/>
          <w:szCs w:val="24"/>
        </w:rPr>
        <w:t xml:space="preserve"> but instead wrote a letter informing the applicant that the attorney did have the relevant certificate and complied with the provisions of section 4(2) of the Right of Appearance Act</w:t>
      </w:r>
      <w:r w:rsidR="00AE4ECD" w:rsidRPr="00B34F21">
        <w:rPr>
          <w:rFonts w:cs="Arial"/>
          <w:szCs w:val="24"/>
        </w:rPr>
        <w:t xml:space="preserve"> and </w:t>
      </w:r>
      <w:r w:rsidR="00D431F2" w:rsidRPr="00B34F21">
        <w:rPr>
          <w:rFonts w:cs="Arial"/>
          <w:szCs w:val="24"/>
        </w:rPr>
        <w:t xml:space="preserve">promptly </w:t>
      </w:r>
      <w:r w:rsidR="00AE4ECD" w:rsidRPr="00B34F21">
        <w:rPr>
          <w:rFonts w:cs="Arial"/>
          <w:szCs w:val="24"/>
        </w:rPr>
        <w:t xml:space="preserve">delivered a notice of bar. The applicant </w:t>
      </w:r>
      <w:r w:rsidR="006E557B" w:rsidRPr="00B34F21">
        <w:rPr>
          <w:rFonts w:cs="Arial"/>
          <w:szCs w:val="24"/>
        </w:rPr>
        <w:t>then proceeded to deliver a further notice</w:t>
      </w:r>
      <w:r w:rsidR="00AE4ECD" w:rsidRPr="00B34F21">
        <w:rPr>
          <w:rFonts w:cs="Arial"/>
          <w:szCs w:val="24"/>
        </w:rPr>
        <w:t xml:space="preserve"> in terms of Rule 30</w:t>
      </w:r>
      <w:r w:rsidR="006E557B" w:rsidRPr="00B34F21">
        <w:rPr>
          <w:rFonts w:cs="Arial"/>
          <w:szCs w:val="24"/>
        </w:rPr>
        <w:t xml:space="preserve"> calling upon the respondent to remove the notice of bar as this too was an irregular step to which there was no reaction.  As a consequence the Court was then faced with an application similar to this.</w:t>
      </w:r>
    </w:p>
    <w:p w14:paraId="4B0D42A5" w14:textId="6BF13997" w:rsidR="006E557B"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t>[19]</w:t>
      </w:r>
      <w:r w:rsidRPr="00B34F21">
        <w:rPr>
          <w:rFonts w:cs="Arial"/>
          <w:szCs w:val="24"/>
        </w:rPr>
        <w:tab/>
      </w:r>
      <w:r w:rsidR="00D431F2" w:rsidRPr="00B34F21">
        <w:rPr>
          <w:rFonts w:cs="Arial"/>
          <w:szCs w:val="24"/>
        </w:rPr>
        <w:t>T</w:t>
      </w:r>
      <w:r w:rsidR="006E557B" w:rsidRPr="00B34F21">
        <w:rPr>
          <w:rFonts w:cs="Arial"/>
          <w:szCs w:val="24"/>
        </w:rPr>
        <w:t xml:space="preserve">he </w:t>
      </w:r>
      <w:r w:rsidR="00AE4ECD" w:rsidRPr="00B34F21">
        <w:rPr>
          <w:rFonts w:cs="Arial"/>
          <w:szCs w:val="24"/>
        </w:rPr>
        <w:t>learned Judge</w:t>
      </w:r>
      <w:r w:rsidR="006E557B" w:rsidRPr="00B34F21">
        <w:rPr>
          <w:rFonts w:cs="Arial"/>
          <w:szCs w:val="24"/>
        </w:rPr>
        <w:t xml:space="preserve"> found that because the respondent had not dealt with the concerns raised by the applicant and could have prevented the application this brought about </w:t>
      </w:r>
      <w:r w:rsidR="00D478B5" w:rsidRPr="00B34F21">
        <w:rPr>
          <w:rFonts w:cs="Arial"/>
          <w:szCs w:val="24"/>
        </w:rPr>
        <w:t xml:space="preserve">an opposed application. </w:t>
      </w:r>
      <w:r w:rsidR="00576BE4" w:rsidRPr="00B34F21">
        <w:rPr>
          <w:rFonts w:cs="Arial"/>
          <w:szCs w:val="24"/>
        </w:rPr>
        <w:t xml:space="preserve"> </w:t>
      </w:r>
      <w:r w:rsidR="00D478B5" w:rsidRPr="00B34F21">
        <w:rPr>
          <w:rFonts w:cs="Arial"/>
          <w:szCs w:val="24"/>
        </w:rPr>
        <w:t>The application was dismissed and each party was ordered to pay its own costs.  Again, this decision is not binding on me but is persuasive in</w:t>
      </w:r>
      <w:r w:rsidR="001218EF" w:rsidRPr="00B34F21">
        <w:rPr>
          <w:rFonts w:cs="Arial"/>
          <w:szCs w:val="24"/>
        </w:rPr>
        <w:t xml:space="preserve"> its</w:t>
      </w:r>
      <w:r w:rsidR="00D478B5" w:rsidRPr="00B34F21">
        <w:rPr>
          <w:rFonts w:cs="Arial"/>
          <w:szCs w:val="24"/>
        </w:rPr>
        <w:t xml:space="preserve"> ambit.</w:t>
      </w:r>
    </w:p>
    <w:p w14:paraId="791CED07" w14:textId="634512DB" w:rsidR="001218EF"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t>[20]</w:t>
      </w:r>
      <w:r w:rsidRPr="00B34F21">
        <w:rPr>
          <w:rFonts w:cs="Arial"/>
          <w:szCs w:val="24"/>
        </w:rPr>
        <w:tab/>
      </w:r>
      <w:r w:rsidR="00D478B5" w:rsidRPr="00B34F21">
        <w:rPr>
          <w:rFonts w:cs="Arial"/>
          <w:szCs w:val="24"/>
        </w:rPr>
        <w:t xml:space="preserve">In my view, the Rule is clear in that it provides that the summons must be signed either by an advocate or by an attorney with rights of appearance.  It is common cause that the respondent’s attorney did have right of appearance.  Once this information was disclosed to the applicant, that should have been the end of the matter.  Instead, both parties have incurred unnecessary legal costs on a technical issue which halted the progress of the action and did no justice to either of the parties thereto.  I would have anticipated that the attorneys of record would have been more collegial to one another </w:t>
      </w:r>
      <w:r w:rsidR="00D431F2" w:rsidRPr="00B34F21">
        <w:rPr>
          <w:rFonts w:cs="Arial"/>
          <w:szCs w:val="24"/>
        </w:rPr>
        <w:t>which would have halted the</w:t>
      </w:r>
      <w:r w:rsidR="00D478B5" w:rsidRPr="00B34F21">
        <w:rPr>
          <w:rFonts w:cs="Arial"/>
          <w:szCs w:val="24"/>
        </w:rPr>
        <w:t xml:space="preserve"> costly </w:t>
      </w:r>
      <w:r w:rsidR="00D431F2" w:rsidRPr="00B34F21">
        <w:rPr>
          <w:rFonts w:cs="Arial"/>
          <w:szCs w:val="24"/>
        </w:rPr>
        <w:t xml:space="preserve">bringing of an </w:t>
      </w:r>
      <w:r w:rsidR="00D478B5" w:rsidRPr="00B34F21">
        <w:rPr>
          <w:rFonts w:cs="Arial"/>
          <w:szCs w:val="24"/>
        </w:rPr>
        <w:lastRenderedPageBreak/>
        <w:t xml:space="preserve">application to Court.  As set out in the </w:t>
      </w:r>
      <w:r w:rsidR="00D431F2" w:rsidRPr="00B34F21">
        <w:rPr>
          <w:rFonts w:cs="Arial"/>
          <w:b/>
          <w:bCs/>
          <w:i/>
          <w:iCs/>
          <w:szCs w:val="24"/>
        </w:rPr>
        <w:t>Moloi</w:t>
      </w:r>
      <w:r w:rsidR="00D478B5" w:rsidRPr="00B34F21">
        <w:rPr>
          <w:rFonts w:cs="Arial"/>
          <w:b/>
          <w:bCs/>
          <w:i/>
          <w:iCs/>
          <w:szCs w:val="24"/>
        </w:rPr>
        <w:t xml:space="preserve"> </w:t>
      </w:r>
      <w:r w:rsidR="00D478B5" w:rsidRPr="00B34F21">
        <w:rPr>
          <w:rFonts w:cs="Arial"/>
          <w:szCs w:val="24"/>
        </w:rPr>
        <w:t>matter</w:t>
      </w:r>
      <w:r w:rsidR="00D431F2" w:rsidRPr="00B34F21">
        <w:rPr>
          <w:rFonts w:cs="Arial"/>
          <w:szCs w:val="24"/>
        </w:rPr>
        <w:t>,</w:t>
      </w:r>
      <w:r w:rsidR="00D478B5" w:rsidRPr="00B34F21">
        <w:rPr>
          <w:rFonts w:cs="Arial"/>
          <w:szCs w:val="24"/>
        </w:rPr>
        <w:t xml:space="preserve"> there is a practice in this division</w:t>
      </w:r>
      <w:r w:rsidR="001218EF" w:rsidRPr="00B34F21">
        <w:rPr>
          <w:rFonts w:cs="Arial"/>
          <w:szCs w:val="24"/>
        </w:rPr>
        <w:t xml:space="preserve"> too</w:t>
      </w:r>
      <w:r w:rsidR="00D478B5" w:rsidRPr="00B34F21">
        <w:rPr>
          <w:rFonts w:cs="Arial"/>
          <w:szCs w:val="24"/>
        </w:rPr>
        <w:t xml:space="preserve"> for attorneys to reflect that they have right of appearance in accordance with the Legal Practice Act.  However, the Rule does not specifically require that the practice must be complied with.</w:t>
      </w:r>
    </w:p>
    <w:p w14:paraId="16116691" w14:textId="39934EDC" w:rsidR="00D478B5"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t>[21]</w:t>
      </w:r>
      <w:r w:rsidRPr="00B34F21">
        <w:rPr>
          <w:rFonts w:cs="Arial"/>
          <w:szCs w:val="24"/>
        </w:rPr>
        <w:tab/>
      </w:r>
      <w:r w:rsidR="00D478B5" w:rsidRPr="00B34F21">
        <w:rPr>
          <w:rFonts w:cs="Arial"/>
          <w:szCs w:val="24"/>
        </w:rPr>
        <w:t>I am</w:t>
      </w:r>
      <w:r w:rsidR="001218EF" w:rsidRPr="00B34F21">
        <w:rPr>
          <w:rFonts w:cs="Arial"/>
          <w:szCs w:val="24"/>
        </w:rPr>
        <w:t>,</w:t>
      </w:r>
      <w:r w:rsidR="00D478B5" w:rsidRPr="00B34F21">
        <w:rPr>
          <w:rFonts w:cs="Arial"/>
          <w:szCs w:val="24"/>
        </w:rPr>
        <w:t xml:space="preserve"> accordingly</w:t>
      </w:r>
      <w:r w:rsidR="001218EF" w:rsidRPr="00B34F21">
        <w:rPr>
          <w:rFonts w:cs="Arial"/>
          <w:szCs w:val="24"/>
        </w:rPr>
        <w:t>,</w:t>
      </w:r>
      <w:r w:rsidR="00D478B5" w:rsidRPr="00B34F21">
        <w:rPr>
          <w:rFonts w:cs="Arial"/>
          <w:szCs w:val="24"/>
        </w:rPr>
        <w:t xml:space="preserve"> of the view that because the attorney did have rights of appearance albeit not glaringly apparent from the combined summons and particulars of claim, the combined summons is not irregular and is a pleading. </w:t>
      </w:r>
      <w:r w:rsidR="001218EF" w:rsidRPr="00B34F21">
        <w:rPr>
          <w:rFonts w:cs="Arial"/>
          <w:szCs w:val="24"/>
        </w:rPr>
        <w:t xml:space="preserve"> There was no prejudice to the applicant who was alive to this information on receipt of the attorney’s letter dated 14 November 2022.</w:t>
      </w:r>
      <w:r w:rsidR="00D478B5" w:rsidRPr="00B34F21">
        <w:rPr>
          <w:rFonts w:cs="Arial"/>
          <w:szCs w:val="24"/>
        </w:rPr>
        <w:t xml:space="preserve"> In those circumstances the application must be dismissed.</w:t>
      </w:r>
    </w:p>
    <w:p w14:paraId="2AF28CBB" w14:textId="683E5016" w:rsidR="00431CC4"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t>[22]</w:t>
      </w:r>
      <w:r w:rsidRPr="00B34F21">
        <w:rPr>
          <w:rFonts w:cs="Arial"/>
          <w:szCs w:val="24"/>
        </w:rPr>
        <w:tab/>
      </w:r>
      <w:r w:rsidR="00431CC4" w:rsidRPr="00B34F21">
        <w:rPr>
          <w:rFonts w:cs="Arial"/>
          <w:szCs w:val="24"/>
        </w:rPr>
        <w:t>As stated above</w:t>
      </w:r>
      <w:r w:rsidR="00576BE4" w:rsidRPr="00B34F21">
        <w:rPr>
          <w:rFonts w:cs="Arial"/>
          <w:szCs w:val="24"/>
        </w:rPr>
        <w:t>,</w:t>
      </w:r>
      <w:r w:rsidR="00431CC4" w:rsidRPr="00B34F21">
        <w:rPr>
          <w:rFonts w:cs="Arial"/>
          <w:szCs w:val="24"/>
        </w:rPr>
        <w:t xml:space="preserve"> the point that was taken by the respondent in the letter dated 14 November 2022</w:t>
      </w:r>
      <w:r w:rsidR="00576BE4" w:rsidRPr="00B34F21">
        <w:rPr>
          <w:rFonts w:cs="Arial"/>
          <w:szCs w:val="24"/>
        </w:rPr>
        <w:t xml:space="preserve"> and also raised in the answering affidavit,</w:t>
      </w:r>
      <w:r w:rsidR="00431CC4" w:rsidRPr="00B34F21">
        <w:rPr>
          <w:rFonts w:cs="Arial"/>
          <w:szCs w:val="24"/>
        </w:rPr>
        <w:t xml:space="preserve"> that in entering an appearance to defend to the summons the applicant had taken a further step is patently flawed.  A party must deliver such a notice to indicate it’s defence of the action and to place its attorney on record.  This is trite. As such the point taking by both attorneys did nothing to aid</w:t>
      </w:r>
      <w:r w:rsidR="00576BE4" w:rsidRPr="00B34F21">
        <w:rPr>
          <w:rFonts w:cs="Arial"/>
          <w:szCs w:val="24"/>
        </w:rPr>
        <w:t xml:space="preserve"> and advance</w:t>
      </w:r>
      <w:r w:rsidR="00431CC4" w:rsidRPr="00B34F21">
        <w:rPr>
          <w:rFonts w:cs="Arial"/>
          <w:szCs w:val="24"/>
        </w:rPr>
        <w:t xml:space="preserve"> the litigation but simply clouded </w:t>
      </w:r>
      <w:r w:rsidR="00576BE4" w:rsidRPr="00B34F21">
        <w:rPr>
          <w:rFonts w:cs="Arial"/>
          <w:szCs w:val="24"/>
        </w:rPr>
        <w:t>and delayed its path</w:t>
      </w:r>
      <w:r w:rsidR="00431CC4" w:rsidRPr="00B34F21">
        <w:rPr>
          <w:rFonts w:cs="Arial"/>
          <w:szCs w:val="24"/>
        </w:rPr>
        <w:t xml:space="preserve">.  </w:t>
      </w:r>
    </w:p>
    <w:p w14:paraId="4156BBCF" w14:textId="475D7AD6" w:rsidR="00D478B5"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t>[23]</w:t>
      </w:r>
      <w:r w:rsidRPr="00B34F21">
        <w:rPr>
          <w:rFonts w:cs="Arial"/>
          <w:szCs w:val="24"/>
        </w:rPr>
        <w:tab/>
      </w:r>
      <w:r w:rsidR="00D478B5" w:rsidRPr="00B34F21">
        <w:rPr>
          <w:rFonts w:cs="Arial"/>
          <w:szCs w:val="24"/>
        </w:rPr>
        <w:t xml:space="preserve">Insofar as costs are concerned, it is the usual practice that costs follow the result.  However, in making a costs award, the Court has a discretion in this regard.  I am of the view that both attorneys expressed a level of intransigence with one another – the applicant’s attorney in bringing the application and the respondent’s attorney in not simply appeasing the applicant’s attorney to the extent necessary by filing amended pages reflecting what is a common practice in this division – her entitlement to sign pleadings given her right of appearance. </w:t>
      </w:r>
      <w:r w:rsidR="00576BE4" w:rsidRPr="00B34F21">
        <w:rPr>
          <w:rFonts w:cs="Arial"/>
          <w:szCs w:val="24"/>
        </w:rPr>
        <w:t>In addition</w:t>
      </w:r>
      <w:r w:rsidR="00D431F2" w:rsidRPr="00B34F21">
        <w:rPr>
          <w:rFonts w:cs="Arial"/>
          <w:szCs w:val="24"/>
        </w:rPr>
        <w:t>,</w:t>
      </w:r>
      <w:r w:rsidR="00576BE4" w:rsidRPr="00B34F21">
        <w:rPr>
          <w:rFonts w:cs="Arial"/>
          <w:szCs w:val="24"/>
        </w:rPr>
        <w:t xml:space="preserve"> both attorneys </w:t>
      </w:r>
      <w:r w:rsidR="00D431F2" w:rsidRPr="00B34F21">
        <w:rPr>
          <w:rFonts w:cs="Arial"/>
          <w:szCs w:val="24"/>
        </w:rPr>
        <w:t xml:space="preserve">raised </w:t>
      </w:r>
      <w:r w:rsidR="00576BE4" w:rsidRPr="00B34F21">
        <w:rPr>
          <w:rFonts w:cs="Arial"/>
          <w:szCs w:val="24"/>
        </w:rPr>
        <w:t>procedural points against each other which have no merit.</w:t>
      </w:r>
      <w:r w:rsidR="00D478B5" w:rsidRPr="00B34F21">
        <w:rPr>
          <w:rFonts w:cs="Arial"/>
          <w:szCs w:val="24"/>
        </w:rPr>
        <w:t xml:space="preserve">  Accordingly, I am not of the view that this is a matter in which adverse costs</w:t>
      </w:r>
      <w:r w:rsidR="001218EF" w:rsidRPr="00B34F21">
        <w:rPr>
          <w:rFonts w:cs="Arial"/>
          <w:szCs w:val="24"/>
        </w:rPr>
        <w:t xml:space="preserve"> are apposite or that the costs should be paid by the applicant. Rather</w:t>
      </w:r>
      <w:r w:rsidR="00D478B5" w:rsidRPr="00B34F21">
        <w:rPr>
          <w:rFonts w:cs="Arial"/>
          <w:szCs w:val="24"/>
        </w:rPr>
        <w:t xml:space="preserve"> each party should pay its own costs.</w:t>
      </w:r>
    </w:p>
    <w:p w14:paraId="7BB09AD3" w14:textId="17984360" w:rsidR="00D478B5" w:rsidRPr="00B34F21" w:rsidRDefault="00ED73A1" w:rsidP="00ED73A1">
      <w:pPr>
        <w:pStyle w:val="Heading1"/>
        <w:numPr>
          <w:ilvl w:val="0"/>
          <w:numId w:val="0"/>
        </w:numPr>
        <w:tabs>
          <w:tab w:val="left" w:pos="862"/>
        </w:tabs>
        <w:ind w:left="862" w:hanging="862"/>
        <w:rPr>
          <w:rFonts w:cs="Arial"/>
          <w:szCs w:val="24"/>
        </w:rPr>
      </w:pPr>
      <w:r w:rsidRPr="00B34F21">
        <w:rPr>
          <w:rFonts w:cs="Arial"/>
          <w:szCs w:val="24"/>
        </w:rPr>
        <w:lastRenderedPageBreak/>
        <w:t>[24]</w:t>
      </w:r>
      <w:r w:rsidRPr="00B34F21">
        <w:rPr>
          <w:rFonts w:cs="Arial"/>
          <w:szCs w:val="24"/>
        </w:rPr>
        <w:tab/>
      </w:r>
      <w:r w:rsidR="00D478B5" w:rsidRPr="00B34F21">
        <w:rPr>
          <w:rFonts w:cs="Arial"/>
          <w:szCs w:val="24"/>
        </w:rPr>
        <w:t>I accordingly make an order in the following terms:</w:t>
      </w:r>
    </w:p>
    <w:p w14:paraId="2927543A" w14:textId="733D7401" w:rsidR="00D478B5" w:rsidRPr="00B34F21" w:rsidRDefault="00ED73A1" w:rsidP="00ED73A1">
      <w:pPr>
        <w:pStyle w:val="Heading2"/>
        <w:numPr>
          <w:ilvl w:val="0"/>
          <w:numId w:val="0"/>
        </w:numPr>
        <w:tabs>
          <w:tab w:val="left" w:pos="1871"/>
        </w:tabs>
        <w:ind w:left="1871" w:hanging="1009"/>
        <w:rPr>
          <w:rFonts w:cs="Arial"/>
          <w:szCs w:val="24"/>
        </w:rPr>
      </w:pPr>
      <w:r w:rsidRPr="00B34F21">
        <w:rPr>
          <w:rFonts w:cs="Arial"/>
          <w:szCs w:val="24"/>
        </w:rPr>
        <w:t>24.1</w:t>
      </w:r>
      <w:r w:rsidRPr="00B34F21">
        <w:rPr>
          <w:rFonts w:cs="Arial"/>
          <w:szCs w:val="24"/>
        </w:rPr>
        <w:tab/>
      </w:r>
      <w:r w:rsidR="00D478B5" w:rsidRPr="00B34F21">
        <w:rPr>
          <w:rFonts w:cs="Arial"/>
          <w:szCs w:val="24"/>
        </w:rPr>
        <w:t>The application is dismissed.</w:t>
      </w:r>
    </w:p>
    <w:p w14:paraId="100A70B5" w14:textId="1586E64A" w:rsidR="00D478B5" w:rsidRPr="00B34F21" w:rsidRDefault="00ED73A1" w:rsidP="00ED73A1">
      <w:pPr>
        <w:pStyle w:val="Heading2"/>
        <w:numPr>
          <w:ilvl w:val="0"/>
          <w:numId w:val="0"/>
        </w:numPr>
        <w:tabs>
          <w:tab w:val="left" w:pos="1871"/>
        </w:tabs>
        <w:ind w:left="1871" w:hanging="1009"/>
        <w:rPr>
          <w:rFonts w:cs="Arial"/>
          <w:szCs w:val="24"/>
        </w:rPr>
      </w:pPr>
      <w:r w:rsidRPr="00B34F21">
        <w:rPr>
          <w:rFonts w:cs="Arial"/>
          <w:szCs w:val="24"/>
        </w:rPr>
        <w:t>24.2</w:t>
      </w:r>
      <w:r w:rsidRPr="00B34F21">
        <w:rPr>
          <w:rFonts w:cs="Arial"/>
          <w:szCs w:val="24"/>
        </w:rPr>
        <w:tab/>
      </w:r>
      <w:r w:rsidR="00D478B5" w:rsidRPr="00B34F21">
        <w:rPr>
          <w:rFonts w:cs="Arial"/>
          <w:szCs w:val="24"/>
        </w:rPr>
        <w:t xml:space="preserve">Each party is to pay its own costs. </w:t>
      </w:r>
    </w:p>
    <w:p w14:paraId="53743F67" w14:textId="10C42F70" w:rsidR="006E34E4" w:rsidRPr="00B34F21" w:rsidRDefault="006E34E4" w:rsidP="006E34E4">
      <w:pPr>
        <w:keepNext/>
        <w:keepLines/>
        <w:tabs>
          <w:tab w:val="left" w:pos="0"/>
        </w:tabs>
        <w:spacing w:before="240" w:after="0" w:line="240" w:lineRule="auto"/>
        <w:jc w:val="right"/>
        <w:rPr>
          <w:rFonts w:cs="Arial"/>
          <w:b/>
          <w:szCs w:val="24"/>
          <w:u w:val="single"/>
        </w:rPr>
      </w:pPr>
      <w:r w:rsidRPr="00B34F21">
        <w:rPr>
          <w:rFonts w:cs="Arial"/>
          <w:b/>
          <w:szCs w:val="24"/>
          <w:u w:val="single"/>
        </w:rPr>
        <w:t>______________________________________</w:t>
      </w:r>
    </w:p>
    <w:p w14:paraId="2DB13194" w14:textId="4425743F" w:rsidR="006E34E4" w:rsidRPr="00B34F21" w:rsidRDefault="006E34E4" w:rsidP="006E34E4">
      <w:pPr>
        <w:keepNext/>
        <w:spacing w:after="0" w:line="240" w:lineRule="auto"/>
        <w:jc w:val="right"/>
        <w:rPr>
          <w:rFonts w:cs="Arial"/>
          <w:b/>
          <w:szCs w:val="24"/>
        </w:rPr>
      </w:pPr>
      <w:r w:rsidRPr="00B34F21">
        <w:rPr>
          <w:rFonts w:cs="Arial"/>
          <w:b/>
          <w:szCs w:val="24"/>
        </w:rPr>
        <w:t>P V TERNENT</w:t>
      </w:r>
    </w:p>
    <w:p w14:paraId="01C7C878" w14:textId="77777777" w:rsidR="006E34E4" w:rsidRPr="00B34F21" w:rsidRDefault="006E34E4" w:rsidP="006E34E4">
      <w:pPr>
        <w:keepNext/>
        <w:spacing w:after="0" w:line="240" w:lineRule="auto"/>
        <w:jc w:val="right"/>
        <w:rPr>
          <w:rFonts w:cs="Arial"/>
          <w:i/>
          <w:szCs w:val="24"/>
        </w:rPr>
      </w:pPr>
      <w:r w:rsidRPr="00B34F21">
        <w:rPr>
          <w:rFonts w:cs="Arial"/>
          <w:i/>
          <w:szCs w:val="24"/>
        </w:rPr>
        <w:t>Acting Judge of the High Court of South Africa</w:t>
      </w:r>
    </w:p>
    <w:p w14:paraId="21C6E74A" w14:textId="604500D3" w:rsidR="006E34E4" w:rsidRDefault="006E34E4" w:rsidP="00576BE4">
      <w:pPr>
        <w:spacing w:after="120"/>
        <w:jc w:val="right"/>
        <w:rPr>
          <w:rFonts w:cs="Arial"/>
          <w:i/>
          <w:szCs w:val="24"/>
        </w:rPr>
      </w:pPr>
      <w:r w:rsidRPr="00B34F21">
        <w:rPr>
          <w:rFonts w:cs="Arial"/>
          <w:i/>
          <w:szCs w:val="24"/>
        </w:rPr>
        <w:t>Gauteng Division, Johannesburg</w:t>
      </w:r>
    </w:p>
    <w:p w14:paraId="66862B68" w14:textId="38C308E3" w:rsidR="00F9061B" w:rsidRDefault="00F9061B" w:rsidP="00F9061B">
      <w:pPr>
        <w:spacing w:after="120"/>
        <w:rPr>
          <w:rFonts w:cs="Arial"/>
          <w:i/>
          <w:szCs w:val="24"/>
        </w:rPr>
      </w:pPr>
      <w:r w:rsidRPr="00F9061B">
        <w:rPr>
          <w:rFonts w:cs="Arial"/>
          <w:i/>
          <w:szCs w:val="24"/>
        </w:rPr>
        <w:t>Delivered:</w:t>
      </w:r>
      <w:r w:rsidRPr="00F9061B">
        <w:rPr>
          <w:rFonts w:cs="Arial"/>
          <w:i/>
          <w:szCs w:val="24"/>
        </w:rPr>
        <w:tab/>
        <w:t xml:space="preserve">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on </w:t>
      </w:r>
      <w:r>
        <w:rPr>
          <w:rFonts w:cs="Arial"/>
          <w:i/>
          <w:szCs w:val="24"/>
        </w:rPr>
        <w:t>24</w:t>
      </w:r>
      <w:r w:rsidRPr="00F9061B">
        <w:rPr>
          <w:rFonts w:cs="Arial"/>
          <w:i/>
          <w:szCs w:val="24"/>
        </w:rPr>
        <w:t xml:space="preserve"> Ju</w:t>
      </w:r>
      <w:r>
        <w:rPr>
          <w:rFonts w:cs="Arial"/>
          <w:i/>
          <w:szCs w:val="24"/>
        </w:rPr>
        <w:t>ly</w:t>
      </w:r>
      <w:r w:rsidRPr="00F9061B">
        <w:rPr>
          <w:rFonts w:cs="Arial"/>
          <w:i/>
          <w:szCs w:val="24"/>
        </w:rPr>
        <w:t xml:space="preserve"> 2023.</w:t>
      </w:r>
    </w:p>
    <w:p w14:paraId="162121E5" w14:textId="101E182F" w:rsidR="00B34F21" w:rsidRDefault="00B34F21" w:rsidP="00576BE4">
      <w:pPr>
        <w:spacing w:after="120"/>
        <w:jc w:val="right"/>
        <w:rPr>
          <w:rFonts w:cs="Arial"/>
          <w:i/>
          <w:szCs w:val="24"/>
        </w:rPr>
      </w:pPr>
    </w:p>
    <w:p w14:paraId="6D9280ED" w14:textId="2868EEFC" w:rsidR="00B34F21" w:rsidRDefault="00B34F21" w:rsidP="00576BE4">
      <w:pPr>
        <w:spacing w:after="120"/>
        <w:jc w:val="right"/>
        <w:rPr>
          <w:rFonts w:cs="Arial"/>
          <w:i/>
          <w:szCs w:val="24"/>
        </w:rPr>
      </w:pPr>
    </w:p>
    <w:p w14:paraId="5CA5048C" w14:textId="41AC683E" w:rsidR="00B34F21" w:rsidRDefault="00B34F21" w:rsidP="00576BE4">
      <w:pPr>
        <w:spacing w:after="120"/>
        <w:jc w:val="right"/>
        <w:rPr>
          <w:rFonts w:cs="Arial"/>
          <w:i/>
          <w:szCs w:val="24"/>
        </w:rPr>
      </w:pPr>
    </w:p>
    <w:p w14:paraId="0E27F642" w14:textId="2E1EEC63" w:rsidR="00B34F21" w:rsidRDefault="00B34F21" w:rsidP="00576BE4">
      <w:pPr>
        <w:spacing w:after="120"/>
        <w:jc w:val="right"/>
        <w:rPr>
          <w:rFonts w:cs="Arial"/>
          <w:i/>
          <w:szCs w:val="24"/>
        </w:rPr>
      </w:pPr>
    </w:p>
    <w:p w14:paraId="735F6475" w14:textId="2D9DDC2F" w:rsidR="00B34F21" w:rsidRDefault="00B34F21" w:rsidP="00576BE4">
      <w:pPr>
        <w:spacing w:after="120"/>
        <w:jc w:val="right"/>
        <w:rPr>
          <w:rFonts w:cs="Arial"/>
          <w:i/>
          <w:szCs w:val="24"/>
        </w:rPr>
      </w:pPr>
    </w:p>
    <w:p w14:paraId="1C14BE55" w14:textId="62D692C0" w:rsidR="00B34F21" w:rsidRDefault="00B34F21" w:rsidP="00576BE4">
      <w:pPr>
        <w:spacing w:after="120"/>
        <w:jc w:val="right"/>
        <w:rPr>
          <w:rFonts w:cs="Arial"/>
          <w:i/>
          <w:szCs w:val="24"/>
        </w:rPr>
      </w:pPr>
    </w:p>
    <w:p w14:paraId="5CC8C1B7" w14:textId="1CBC6DE3" w:rsidR="00B34F21" w:rsidRDefault="00B34F21" w:rsidP="00576BE4">
      <w:pPr>
        <w:spacing w:after="120"/>
        <w:jc w:val="right"/>
        <w:rPr>
          <w:rFonts w:cs="Arial"/>
          <w:i/>
          <w:szCs w:val="24"/>
        </w:rPr>
      </w:pPr>
    </w:p>
    <w:p w14:paraId="03D0603B" w14:textId="6C0864D6" w:rsidR="00B34F21" w:rsidRDefault="00B34F21" w:rsidP="00576BE4">
      <w:pPr>
        <w:spacing w:after="120"/>
        <w:jc w:val="right"/>
        <w:rPr>
          <w:rFonts w:cs="Arial"/>
          <w:i/>
          <w:szCs w:val="24"/>
        </w:rPr>
      </w:pPr>
    </w:p>
    <w:p w14:paraId="191168CB" w14:textId="4BEE01BF" w:rsidR="00B34F21" w:rsidRDefault="00B34F21" w:rsidP="00576BE4">
      <w:pPr>
        <w:spacing w:after="120"/>
        <w:jc w:val="right"/>
        <w:rPr>
          <w:rFonts w:cs="Arial"/>
          <w:i/>
          <w:szCs w:val="24"/>
        </w:rPr>
      </w:pPr>
    </w:p>
    <w:p w14:paraId="04C5D99A" w14:textId="35399AEC" w:rsidR="00B34F21" w:rsidRDefault="00B34F21" w:rsidP="00576BE4">
      <w:pPr>
        <w:spacing w:after="120"/>
        <w:jc w:val="right"/>
        <w:rPr>
          <w:rFonts w:cs="Arial"/>
          <w:i/>
          <w:szCs w:val="24"/>
        </w:rPr>
      </w:pPr>
    </w:p>
    <w:p w14:paraId="7DF92F7D" w14:textId="5B9FD3DB" w:rsidR="00B34F21" w:rsidRDefault="00B34F21" w:rsidP="00576BE4">
      <w:pPr>
        <w:spacing w:after="120"/>
        <w:jc w:val="right"/>
        <w:rPr>
          <w:rFonts w:cs="Arial"/>
          <w:i/>
          <w:szCs w:val="24"/>
        </w:rPr>
      </w:pPr>
    </w:p>
    <w:p w14:paraId="1D8F65BB" w14:textId="213E835D" w:rsidR="00B34F21" w:rsidRDefault="00B34F21" w:rsidP="00576BE4">
      <w:pPr>
        <w:spacing w:after="120"/>
        <w:jc w:val="right"/>
        <w:rPr>
          <w:rFonts w:cs="Arial"/>
          <w:i/>
          <w:szCs w:val="24"/>
        </w:rPr>
      </w:pPr>
    </w:p>
    <w:p w14:paraId="764244BF" w14:textId="67545BE7" w:rsidR="00B34F21" w:rsidRDefault="00B34F21" w:rsidP="00576BE4">
      <w:pPr>
        <w:spacing w:after="120"/>
        <w:jc w:val="right"/>
        <w:rPr>
          <w:rFonts w:cs="Arial"/>
          <w:i/>
          <w:szCs w:val="24"/>
        </w:rPr>
      </w:pPr>
    </w:p>
    <w:p w14:paraId="66A3D0C8" w14:textId="2D38C87A" w:rsidR="006E34E4" w:rsidRDefault="006E34E4" w:rsidP="006E34E4">
      <w:pPr>
        <w:pBdr>
          <w:bottom w:val="single" w:sz="6" w:space="1" w:color="auto"/>
        </w:pBdr>
        <w:spacing w:after="360"/>
        <w:rPr>
          <w:rFonts w:cs="Arial"/>
          <w:i/>
          <w:szCs w:val="24"/>
        </w:rPr>
      </w:pPr>
    </w:p>
    <w:p w14:paraId="766FCC41" w14:textId="77777777" w:rsidR="00F9061B" w:rsidRPr="00B34F21" w:rsidRDefault="00F9061B" w:rsidP="006E34E4">
      <w:pPr>
        <w:pBdr>
          <w:bottom w:val="single" w:sz="6" w:space="1" w:color="auto"/>
        </w:pBdr>
        <w:spacing w:after="360"/>
        <w:rPr>
          <w:rFonts w:cs="Arial"/>
          <w:i/>
          <w:szCs w:val="24"/>
        </w:rPr>
      </w:pPr>
    </w:p>
    <w:tbl>
      <w:tblPr>
        <w:tblW w:w="9144" w:type="dxa"/>
        <w:tblLook w:val="04A0" w:firstRow="1" w:lastRow="0" w:firstColumn="1" w:lastColumn="0" w:noHBand="0" w:noVBand="1"/>
      </w:tblPr>
      <w:tblGrid>
        <w:gridCol w:w="3936"/>
        <w:gridCol w:w="5208"/>
      </w:tblGrid>
      <w:tr w:rsidR="006E34E4" w:rsidRPr="00B34F21" w14:paraId="3EFE509C" w14:textId="77777777" w:rsidTr="00B34F21">
        <w:tc>
          <w:tcPr>
            <w:tcW w:w="3936" w:type="dxa"/>
            <w:tcMar>
              <w:top w:w="32" w:type="dxa"/>
              <w:left w:w="108" w:type="dxa"/>
              <w:bottom w:w="32" w:type="dxa"/>
              <w:right w:w="108" w:type="dxa"/>
            </w:tcMar>
            <w:vAlign w:val="center"/>
          </w:tcPr>
          <w:p w14:paraId="358D6CC3" w14:textId="75357178" w:rsidR="006E34E4" w:rsidRPr="00B34F21" w:rsidRDefault="00B34F21" w:rsidP="007154C1">
            <w:pPr>
              <w:keepNext/>
              <w:spacing w:before="120" w:after="0" w:line="240" w:lineRule="auto"/>
              <w:rPr>
                <w:rFonts w:cs="Arial"/>
                <w:szCs w:val="24"/>
              </w:rPr>
            </w:pPr>
            <w:r>
              <w:rPr>
                <w:rFonts w:cs="Arial"/>
                <w:szCs w:val="24"/>
              </w:rPr>
              <w:t xml:space="preserve">Appearances: </w:t>
            </w:r>
          </w:p>
        </w:tc>
        <w:tc>
          <w:tcPr>
            <w:tcW w:w="5208" w:type="dxa"/>
            <w:tcMar>
              <w:top w:w="32" w:type="dxa"/>
              <w:left w:w="108" w:type="dxa"/>
              <w:bottom w:w="32" w:type="dxa"/>
              <w:right w:w="108" w:type="dxa"/>
            </w:tcMar>
            <w:vAlign w:val="center"/>
          </w:tcPr>
          <w:p w14:paraId="0D924218" w14:textId="211F47F4" w:rsidR="006E34E4" w:rsidRPr="00B34F21" w:rsidRDefault="006E34E4" w:rsidP="00C240DF">
            <w:pPr>
              <w:keepNext/>
              <w:spacing w:after="0" w:line="240" w:lineRule="auto"/>
              <w:rPr>
                <w:rFonts w:cs="Arial"/>
                <w:szCs w:val="24"/>
              </w:rPr>
            </w:pPr>
          </w:p>
        </w:tc>
      </w:tr>
      <w:tr w:rsidR="006E34E4" w:rsidRPr="00B34F21" w14:paraId="35A136C3" w14:textId="77777777" w:rsidTr="00B34F21">
        <w:tc>
          <w:tcPr>
            <w:tcW w:w="3936" w:type="dxa"/>
            <w:tcMar>
              <w:top w:w="32" w:type="dxa"/>
              <w:left w:w="108" w:type="dxa"/>
              <w:bottom w:w="32" w:type="dxa"/>
              <w:right w:w="108" w:type="dxa"/>
            </w:tcMar>
            <w:vAlign w:val="center"/>
          </w:tcPr>
          <w:p w14:paraId="3D674BDC" w14:textId="403F3323" w:rsidR="006E34E4" w:rsidRPr="00B34F21" w:rsidRDefault="006E34E4" w:rsidP="007154C1">
            <w:pPr>
              <w:keepNext/>
              <w:spacing w:before="120" w:after="0" w:line="240" w:lineRule="auto"/>
              <w:rPr>
                <w:rFonts w:cs="Arial"/>
                <w:szCs w:val="24"/>
              </w:rPr>
            </w:pPr>
          </w:p>
        </w:tc>
        <w:tc>
          <w:tcPr>
            <w:tcW w:w="5208" w:type="dxa"/>
            <w:tcMar>
              <w:top w:w="32" w:type="dxa"/>
              <w:left w:w="108" w:type="dxa"/>
              <w:bottom w:w="32" w:type="dxa"/>
              <w:right w:w="108" w:type="dxa"/>
            </w:tcMar>
            <w:vAlign w:val="center"/>
          </w:tcPr>
          <w:p w14:paraId="3ED612EF" w14:textId="5FB5104D" w:rsidR="006E34E4" w:rsidRPr="00B34F21" w:rsidRDefault="006E34E4" w:rsidP="00C240DF">
            <w:pPr>
              <w:keepNext/>
              <w:spacing w:after="0" w:line="240" w:lineRule="auto"/>
              <w:rPr>
                <w:rFonts w:cs="Arial"/>
                <w:szCs w:val="24"/>
              </w:rPr>
            </w:pPr>
          </w:p>
        </w:tc>
      </w:tr>
      <w:tr w:rsidR="006E34E4" w:rsidRPr="00B34F21" w14:paraId="0FEED89A" w14:textId="77777777" w:rsidTr="005545E1">
        <w:tc>
          <w:tcPr>
            <w:tcW w:w="3936" w:type="dxa"/>
            <w:tcMar>
              <w:top w:w="32" w:type="dxa"/>
              <w:left w:w="108" w:type="dxa"/>
              <w:bottom w:w="32" w:type="dxa"/>
              <w:right w:w="108" w:type="dxa"/>
            </w:tcMar>
            <w:vAlign w:val="center"/>
            <w:hideMark/>
          </w:tcPr>
          <w:p w14:paraId="04BEABD0" w14:textId="5E79687E" w:rsidR="006E34E4" w:rsidRPr="00B34F21" w:rsidRDefault="006E34E4" w:rsidP="00143DA0">
            <w:pPr>
              <w:keepNext/>
              <w:spacing w:before="120" w:after="0" w:line="240" w:lineRule="auto"/>
              <w:ind w:right="-108"/>
              <w:jc w:val="left"/>
              <w:rPr>
                <w:rFonts w:cs="Arial"/>
                <w:szCs w:val="24"/>
              </w:rPr>
            </w:pPr>
            <w:r w:rsidRPr="00B34F21">
              <w:rPr>
                <w:rFonts w:cs="Arial"/>
                <w:szCs w:val="24"/>
              </w:rPr>
              <w:t xml:space="preserve">FOR </w:t>
            </w:r>
            <w:r w:rsidR="007154C1" w:rsidRPr="00B34F21">
              <w:rPr>
                <w:rFonts w:cs="Arial"/>
                <w:szCs w:val="24"/>
              </w:rPr>
              <w:t>APPLICANT</w:t>
            </w:r>
            <w:r w:rsidRPr="00B34F21">
              <w:rPr>
                <w:rFonts w:cs="Arial"/>
                <w:szCs w:val="24"/>
              </w:rPr>
              <w:t>:</w:t>
            </w:r>
          </w:p>
        </w:tc>
        <w:tc>
          <w:tcPr>
            <w:tcW w:w="5208" w:type="dxa"/>
            <w:tcMar>
              <w:top w:w="32" w:type="dxa"/>
              <w:left w:w="108" w:type="dxa"/>
              <w:bottom w:w="32" w:type="dxa"/>
              <w:right w:w="108" w:type="dxa"/>
            </w:tcMar>
            <w:vAlign w:val="center"/>
            <w:hideMark/>
          </w:tcPr>
          <w:p w14:paraId="7A3DC197" w14:textId="73CDC404" w:rsidR="00DB42AA" w:rsidRPr="00B34F21" w:rsidRDefault="00143DA0" w:rsidP="00C240DF">
            <w:pPr>
              <w:keepNext/>
              <w:spacing w:after="0" w:line="240" w:lineRule="auto"/>
              <w:rPr>
                <w:rFonts w:cs="Arial"/>
                <w:szCs w:val="24"/>
              </w:rPr>
            </w:pPr>
            <w:r w:rsidRPr="00B34F21">
              <w:rPr>
                <w:rFonts w:cs="Arial"/>
                <w:szCs w:val="24"/>
              </w:rPr>
              <w:t xml:space="preserve">Mr </w:t>
            </w:r>
            <w:r w:rsidR="00D478B5" w:rsidRPr="00B34F21">
              <w:rPr>
                <w:rFonts w:cs="Arial"/>
                <w:szCs w:val="24"/>
              </w:rPr>
              <w:t>M Mathebula</w:t>
            </w:r>
          </w:p>
          <w:p w14:paraId="21D1FD4B" w14:textId="2A56E5A2" w:rsidR="00DB42AA" w:rsidRPr="00B34F21" w:rsidRDefault="00DB42AA" w:rsidP="00C240DF">
            <w:pPr>
              <w:keepNext/>
              <w:spacing w:after="0" w:line="240" w:lineRule="auto"/>
              <w:rPr>
                <w:rFonts w:cs="Arial"/>
                <w:szCs w:val="24"/>
              </w:rPr>
            </w:pPr>
            <w:r w:rsidRPr="00B34F21">
              <w:rPr>
                <w:rFonts w:cs="Arial"/>
                <w:szCs w:val="24"/>
              </w:rPr>
              <w:t xml:space="preserve">E-mail: </w:t>
            </w:r>
            <w:r w:rsidR="00576BE4" w:rsidRPr="00B34F21">
              <w:rPr>
                <w:rFonts w:cs="Arial"/>
                <w:szCs w:val="24"/>
              </w:rPr>
              <w:t>musa@mbaincorporated.co.za</w:t>
            </w:r>
          </w:p>
        </w:tc>
      </w:tr>
      <w:tr w:rsidR="006E34E4" w:rsidRPr="00B34F21" w14:paraId="2DF2512C" w14:textId="77777777" w:rsidTr="005545E1">
        <w:tc>
          <w:tcPr>
            <w:tcW w:w="3936" w:type="dxa"/>
            <w:tcMar>
              <w:top w:w="32" w:type="dxa"/>
              <w:left w:w="108" w:type="dxa"/>
              <w:bottom w:w="32" w:type="dxa"/>
              <w:right w:w="108" w:type="dxa"/>
            </w:tcMar>
            <w:vAlign w:val="center"/>
            <w:hideMark/>
          </w:tcPr>
          <w:p w14:paraId="58F841D1" w14:textId="77777777" w:rsidR="006E34E4" w:rsidRPr="00B34F21" w:rsidRDefault="006E34E4" w:rsidP="00CF7049">
            <w:pPr>
              <w:keepNext/>
              <w:spacing w:before="120" w:line="240" w:lineRule="auto"/>
              <w:rPr>
                <w:rFonts w:cs="Arial"/>
                <w:szCs w:val="24"/>
              </w:rPr>
            </w:pPr>
            <w:r w:rsidRPr="00B34F21">
              <w:rPr>
                <w:rFonts w:cs="Arial"/>
                <w:szCs w:val="24"/>
              </w:rPr>
              <w:t>INSTRUCTED BY: </w:t>
            </w:r>
          </w:p>
        </w:tc>
        <w:tc>
          <w:tcPr>
            <w:tcW w:w="5208" w:type="dxa"/>
            <w:tcMar>
              <w:top w:w="32" w:type="dxa"/>
              <w:left w:w="108" w:type="dxa"/>
              <w:bottom w:w="32" w:type="dxa"/>
              <w:right w:w="108" w:type="dxa"/>
            </w:tcMar>
            <w:vAlign w:val="center"/>
            <w:hideMark/>
          </w:tcPr>
          <w:p w14:paraId="3372109F" w14:textId="36704B20" w:rsidR="00D478B5" w:rsidRPr="00B34F21" w:rsidRDefault="00D478B5" w:rsidP="00D478B5">
            <w:pPr>
              <w:spacing w:after="0" w:line="240" w:lineRule="auto"/>
              <w:ind w:left="3022" w:hanging="3022"/>
              <w:rPr>
                <w:rFonts w:cs="Arial"/>
                <w:szCs w:val="24"/>
              </w:rPr>
            </w:pPr>
            <w:r w:rsidRPr="00B34F21">
              <w:rPr>
                <w:rFonts w:cs="Arial"/>
                <w:szCs w:val="24"/>
              </w:rPr>
              <w:t>Motsoeneng Bill Attorneys Inc.</w:t>
            </w:r>
          </w:p>
          <w:p w14:paraId="4701DFC5" w14:textId="63986663" w:rsidR="00C240DF" w:rsidRPr="00B34F21" w:rsidRDefault="003202ED" w:rsidP="00C240DF">
            <w:pPr>
              <w:keepNext/>
              <w:spacing w:after="0" w:line="240" w:lineRule="auto"/>
              <w:rPr>
                <w:rFonts w:cs="Arial"/>
                <w:szCs w:val="24"/>
              </w:rPr>
            </w:pPr>
            <w:r w:rsidRPr="00B34F21">
              <w:rPr>
                <w:rFonts w:cs="Arial"/>
                <w:szCs w:val="24"/>
              </w:rPr>
              <w:t xml:space="preserve">E-mail: </w:t>
            </w:r>
            <w:r w:rsidR="00576BE4" w:rsidRPr="00B34F21">
              <w:rPr>
                <w:rFonts w:cs="Arial"/>
                <w:szCs w:val="24"/>
              </w:rPr>
              <w:t>reception@mbaincorporated.co.za</w:t>
            </w:r>
          </w:p>
        </w:tc>
      </w:tr>
      <w:tr w:rsidR="006E34E4" w:rsidRPr="00B34F21" w14:paraId="1DF258FF" w14:textId="77777777" w:rsidTr="005545E1">
        <w:tc>
          <w:tcPr>
            <w:tcW w:w="3936" w:type="dxa"/>
            <w:tcMar>
              <w:top w:w="32" w:type="dxa"/>
              <w:left w:w="108" w:type="dxa"/>
              <w:bottom w:w="32" w:type="dxa"/>
              <w:right w:w="108" w:type="dxa"/>
            </w:tcMar>
            <w:vAlign w:val="center"/>
            <w:hideMark/>
          </w:tcPr>
          <w:p w14:paraId="4420DF33" w14:textId="72AA8C60" w:rsidR="006E34E4" w:rsidRPr="00B34F21" w:rsidRDefault="006E34E4" w:rsidP="00C240DF">
            <w:pPr>
              <w:keepNext/>
              <w:spacing w:before="120" w:after="0" w:line="240" w:lineRule="auto"/>
              <w:jc w:val="left"/>
              <w:rPr>
                <w:rFonts w:cs="Arial"/>
                <w:szCs w:val="24"/>
              </w:rPr>
            </w:pPr>
            <w:r w:rsidRPr="00B34F21">
              <w:rPr>
                <w:rFonts w:cs="Arial"/>
                <w:szCs w:val="24"/>
              </w:rPr>
              <w:t>FOR RESPONDENT: </w:t>
            </w:r>
          </w:p>
        </w:tc>
        <w:tc>
          <w:tcPr>
            <w:tcW w:w="5208" w:type="dxa"/>
            <w:tcMar>
              <w:top w:w="32" w:type="dxa"/>
              <w:left w:w="108" w:type="dxa"/>
              <w:bottom w:w="32" w:type="dxa"/>
              <w:right w:w="108" w:type="dxa"/>
            </w:tcMar>
            <w:vAlign w:val="center"/>
            <w:hideMark/>
          </w:tcPr>
          <w:p w14:paraId="429FD972" w14:textId="614C5E88" w:rsidR="006E34E4" w:rsidRPr="00B34F21" w:rsidRDefault="00615156" w:rsidP="00C240DF">
            <w:pPr>
              <w:keepNext/>
              <w:spacing w:after="0" w:line="240" w:lineRule="auto"/>
              <w:rPr>
                <w:rFonts w:cs="Arial"/>
                <w:szCs w:val="24"/>
              </w:rPr>
            </w:pPr>
            <w:r w:rsidRPr="00B34F21">
              <w:rPr>
                <w:rFonts w:cs="Arial"/>
                <w:szCs w:val="24"/>
              </w:rPr>
              <w:t>Advocate C Shongwe</w:t>
            </w:r>
          </w:p>
          <w:p w14:paraId="3C1F75AE" w14:textId="3D91B1C5" w:rsidR="00C240DF" w:rsidRPr="00B34F21" w:rsidRDefault="00C240DF" w:rsidP="00C240DF">
            <w:pPr>
              <w:keepNext/>
              <w:spacing w:after="0" w:line="240" w:lineRule="auto"/>
              <w:rPr>
                <w:rFonts w:cs="Arial"/>
                <w:szCs w:val="24"/>
              </w:rPr>
            </w:pPr>
            <w:r w:rsidRPr="00B34F21">
              <w:rPr>
                <w:rFonts w:cs="Arial"/>
                <w:szCs w:val="24"/>
              </w:rPr>
              <w:t xml:space="preserve">E-mail: </w:t>
            </w:r>
            <w:r w:rsidR="00576BE4" w:rsidRPr="00B34F21">
              <w:rPr>
                <w:rFonts w:cs="Arial"/>
                <w:szCs w:val="24"/>
              </w:rPr>
              <w:t>shongwecm@gmail.com</w:t>
            </w:r>
          </w:p>
        </w:tc>
      </w:tr>
      <w:tr w:rsidR="006E34E4" w:rsidRPr="00B34F21" w14:paraId="03D680E1" w14:textId="77777777" w:rsidTr="005545E1">
        <w:tc>
          <w:tcPr>
            <w:tcW w:w="3936" w:type="dxa"/>
            <w:tcMar>
              <w:top w:w="32" w:type="dxa"/>
              <w:left w:w="108" w:type="dxa"/>
              <w:bottom w:w="32" w:type="dxa"/>
              <w:right w:w="108" w:type="dxa"/>
            </w:tcMar>
            <w:vAlign w:val="center"/>
            <w:hideMark/>
          </w:tcPr>
          <w:p w14:paraId="754CFEBB" w14:textId="77777777" w:rsidR="006E34E4" w:rsidRPr="00B34F21" w:rsidRDefault="006E34E4" w:rsidP="00CF7049">
            <w:pPr>
              <w:keepNext/>
              <w:spacing w:before="120" w:line="240" w:lineRule="auto"/>
              <w:rPr>
                <w:rFonts w:cs="Arial"/>
                <w:szCs w:val="24"/>
              </w:rPr>
            </w:pPr>
            <w:r w:rsidRPr="00B34F21">
              <w:rPr>
                <w:rFonts w:cs="Arial"/>
                <w:szCs w:val="24"/>
              </w:rPr>
              <w:t>INSTRUCTED BY: </w:t>
            </w:r>
          </w:p>
        </w:tc>
        <w:tc>
          <w:tcPr>
            <w:tcW w:w="5208" w:type="dxa"/>
            <w:tcMar>
              <w:top w:w="32" w:type="dxa"/>
              <w:left w:w="108" w:type="dxa"/>
              <w:bottom w:w="32" w:type="dxa"/>
              <w:right w:w="108" w:type="dxa"/>
            </w:tcMar>
            <w:vAlign w:val="center"/>
            <w:hideMark/>
          </w:tcPr>
          <w:p w14:paraId="3FED2A8B" w14:textId="6C1D99CB" w:rsidR="006E34E4" w:rsidRPr="00B34F21" w:rsidRDefault="00615156" w:rsidP="00C240DF">
            <w:pPr>
              <w:keepNext/>
              <w:spacing w:after="0" w:line="240" w:lineRule="auto"/>
              <w:rPr>
                <w:rFonts w:cs="Arial"/>
                <w:szCs w:val="24"/>
              </w:rPr>
            </w:pPr>
            <w:r w:rsidRPr="00B34F21">
              <w:rPr>
                <w:rFonts w:cs="Arial"/>
                <w:szCs w:val="24"/>
              </w:rPr>
              <w:t>Phaleng-Podile Attorneys</w:t>
            </w:r>
          </w:p>
          <w:p w14:paraId="25D552CE" w14:textId="2D2C6DA5" w:rsidR="007154C1" w:rsidRPr="00B34F21" w:rsidRDefault="00C240DF" w:rsidP="00C240DF">
            <w:pPr>
              <w:keepNext/>
              <w:spacing w:after="0" w:line="240" w:lineRule="auto"/>
              <w:rPr>
                <w:rFonts w:cs="Arial"/>
                <w:szCs w:val="24"/>
              </w:rPr>
            </w:pPr>
            <w:r w:rsidRPr="00B34F21">
              <w:rPr>
                <w:rFonts w:cs="Arial"/>
                <w:szCs w:val="24"/>
              </w:rPr>
              <w:t>E-mail:</w:t>
            </w:r>
            <w:r w:rsidR="00143DA0" w:rsidRPr="00B34F21">
              <w:rPr>
                <w:rFonts w:cs="Arial"/>
                <w:szCs w:val="24"/>
              </w:rPr>
              <w:t xml:space="preserve"> </w:t>
            </w:r>
            <w:r w:rsidR="00576BE4" w:rsidRPr="00B34F21">
              <w:rPr>
                <w:rFonts w:cs="Arial"/>
                <w:szCs w:val="24"/>
              </w:rPr>
              <w:t xml:space="preserve"> </w:t>
            </w:r>
            <w:hyperlink r:id="rId9" w:history="1">
              <w:r w:rsidR="00576BE4" w:rsidRPr="00B34F21">
                <w:rPr>
                  <w:rStyle w:val="Hyperlink"/>
                  <w:rFonts w:cs="Arial"/>
                  <w:szCs w:val="24"/>
                </w:rPr>
                <w:t>admin@phalengattorneys.co.za</w:t>
              </w:r>
            </w:hyperlink>
            <w:r w:rsidR="00576BE4" w:rsidRPr="00B34F21">
              <w:rPr>
                <w:rFonts w:cs="Arial"/>
                <w:szCs w:val="24"/>
              </w:rPr>
              <w:t xml:space="preserve"> </w:t>
            </w:r>
            <w:r w:rsidR="00143DA0" w:rsidRPr="00B34F21">
              <w:rPr>
                <w:rFonts w:cs="Arial"/>
                <w:szCs w:val="24"/>
              </w:rPr>
              <w:t xml:space="preserve"> </w:t>
            </w:r>
            <w:hyperlink r:id="rId10" w:history="1">
              <w:r w:rsidR="00143DA0" w:rsidRPr="00B34F21">
                <w:rPr>
                  <w:rStyle w:val="Hyperlink"/>
                  <w:rFonts w:cs="Arial"/>
                  <w:szCs w:val="24"/>
                </w:rPr>
                <w:t xml:space="preserve">      </w:t>
              </w:r>
            </w:hyperlink>
          </w:p>
        </w:tc>
      </w:tr>
      <w:tr w:rsidR="00B34F21" w:rsidRPr="00B34F21" w14:paraId="3DB35269" w14:textId="77777777" w:rsidTr="005545E1">
        <w:tc>
          <w:tcPr>
            <w:tcW w:w="3936" w:type="dxa"/>
            <w:tcMar>
              <w:top w:w="32" w:type="dxa"/>
              <w:left w:w="108" w:type="dxa"/>
              <w:bottom w:w="32" w:type="dxa"/>
              <w:right w:w="108" w:type="dxa"/>
            </w:tcMar>
            <w:vAlign w:val="center"/>
          </w:tcPr>
          <w:p w14:paraId="4CEFD524" w14:textId="6AAC38B1" w:rsidR="00B34F21" w:rsidRPr="00B34F21" w:rsidRDefault="00B34F21" w:rsidP="00B34F21">
            <w:pPr>
              <w:keepNext/>
              <w:spacing w:before="120" w:line="240" w:lineRule="auto"/>
              <w:rPr>
                <w:rFonts w:cs="Arial"/>
                <w:szCs w:val="24"/>
              </w:rPr>
            </w:pPr>
            <w:r w:rsidRPr="00B34F21">
              <w:rPr>
                <w:rFonts w:cs="Arial"/>
                <w:szCs w:val="24"/>
              </w:rPr>
              <w:t xml:space="preserve">HEARD ON: </w:t>
            </w:r>
            <w:r w:rsidRPr="00B34F21">
              <w:rPr>
                <w:rFonts w:cs="Arial"/>
                <w:szCs w:val="24"/>
              </w:rPr>
              <w:tab/>
            </w:r>
            <w:r>
              <w:rPr>
                <w:rFonts w:cs="Arial"/>
                <w:szCs w:val="24"/>
              </w:rPr>
              <w:t xml:space="preserve">     </w:t>
            </w:r>
            <w:r w:rsidRPr="00B34F21">
              <w:rPr>
                <w:rFonts w:cs="Arial"/>
                <w:szCs w:val="24"/>
              </w:rPr>
              <w:t>22 May 2023</w:t>
            </w:r>
          </w:p>
          <w:p w14:paraId="4EA4ECD6" w14:textId="5864C225" w:rsidR="00B34F21" w:rsidRPr="00B34F21" w:rsidRDefault="00B34F21" w:rsidP="00B34F21">
            <w:pPr>
              <w:keepNext/>
              <w:spacing w:before="120" w:line="240" w:lineRule="auto"/>
              <w:rPr>
                <w:rFonts w:cs="Arial"/>
                <w:szCs w:val="24"/>
              </w:rPr>
            </w:pPr>
            <w:r w:rsidRPr="00B34F21">
              <w:rPr>
                <w:rFonts w:cs="Arial"/>
                <w:szCs w:val="24"/>
              </w:rPr>
              <w:t>DATE OF JUDGMENT:</w:t>
            </w:r>
            <w:r w:rsidRPr="00B34F21">
              <w:rPr>
                <w:rFonts w:cs="Arial"/>
                <w:szCs w:val="24"/>
              </w:rPr>
              <w:tab/>
              <w:t>24</w:t>
            </w:r>
            <w:r>
              <w:rPr>
                <w:rFonts w:cs="Arial"/>
                <w:szCs w:val="24"/>
              </w:rPr>
              <w:t xml:space="preserve">  </w:t>
            </w:r>
            <w:r w:rsidRPr="00B34F21">
              <w:rPr>
                <w:rFonts w:cs="Arial"/>
                <w:szCs w:val="24"/>
              </w:rPr>
              <w:t>July 2023</w:t>
            </w:r>
          </w:p>
        </w:tc>
        <w:tc>
          <w:tcPr>
            <w:tcW w:w="5208" w:type="dxa"/>
            <w:tcMar>
              <w:top w:w="32" w:type="dxa"/>
              <w:left w:w="108" w:type="dxa"/>
              <w:bottom w:w="32" w:type="dxa"/>
              <w:right w:w="108" w:type="dxa"/>
            </w:tcMar>
            <w:vAlign w:val="center"/>
          </w:tcPr>
          <w:p w14:paraId="281EB931" w14:textId="77777777" w:rsidR="00B34F21" w:rsidRPr="00B34F21" w:rsidRDefault="00B34F21" w:rsidP="00C240DF">
            <w:pPr>
              <w:keepNext/>
              <w:spacing w:after="0" w:line="240" w:lineRule="auto"/>
              <w:rPr>
                <w:rFonts w:cs="Arial"/>
                <w:szCs w:val="24"/>
              </w:rPr>
            </w:pPr>
          </w:p>
        </w:tc>
      </w:tr>
      <w:bookmarkEnd w:id="2"/>
      <w:bookmarkEnd w:id="4"/>
    </w:tbl>
    <w:p w14:paraId="32C6E511" w14:textId="77777777" w:rsidR="006E34E4" w:rsidRPr="00B34F21" w:rsidRDefault="006E34E4" w:rsidP="006E34E4">
      <w:pPr>
        <w:pStyle w:val="Heading2"/>
        <w:numPr>
          <w:ilvl w:val="0"/>
          <w:numId w:val="0"/>
        </w:numPr>
        <w:rPr>
          <w:rFonts w:cs="Arial"/>
          <w:szCs w:val="24"/>
        </w:rPr>
      </w:pPr>
    </w:p>
    <w:sectPr w:rsidR="006E34E4" w:rsidRPr="00B34F21" w:rsidSect="00CF7049">
      <w:headerReference w:type="even" r:id="rId11"/>
      <w:headerReference w:type="default" r:id="rId12"/>
      <w:pgSz w:w="11906" w:h="16838" w:code="9"/>
      <w:pgMar w:top="1429" w:right="1729" w:bottom="993" w:left="1582" w:header="1276" w:footer="72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61624" w14:textId="77777777" w:rsidR="00702C6E" w:rsidRDefault="00702C6E" w:rsidP="00B958BA">
      <w:pPr>
        <w:pStyle w:val="Title"/>
      </w:pPr>
      <w:r>
        <w:separator/>
      </w:r>
    </w:p>
  </w:endnote>
  <w:endnote w:type="continuationSeparator" w:id="0">
    <w:p w14:paraId="6907CEB9" w14:textId="77777777" w:rsidR="00702C6E" w:rsidRDefault="00702C6E"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D2F47" w14:textId="77777777" w:rsidR="00702C6E" w:rsidRDefault="00702C6E" w:rsidP="00B958BA">
      <w:pPr>
        <w:pStyle w:val="Title"/>
      </w:pPr>
      <w:r>
        <w:separator/>
      </w:r>
    </w:p>
  </w:footnote>
  <w:footnote w:type="continuationSeparator" w:id="0">
    <w:p w14:paraId="1AB2C3BE" w14:textId="77777777" w:rsidR="00702C6E" w:rsidRDefault="00702C6E" w:rsidP="00B958BA">
      <w:pPr>
        <w:pStyle w:val="Title"/>
      </w:pPr>
      <w:r>
        <w:continuationSeparator/>
      </w:r>
    </w:p>
  </w:footnote>
  <w:footnote w:id="1">
    <w:p w14:paraId="0568AAED" w14:textId="56D6DFD4" w:rsidR="008A6D05" w:rsidRDefault="008A6D05">
      <w:pPr>
        <w:pStyle w:val="FootnoteText"/>
      </w:pPr>
      <w:r>
        <w:rPr>
          <w:rStyle w:val="FootnoteReference"/>
        </w:rPr>
        <w:footnoteRef/>
      </w:r>
      <w:r>
        <w:t xml:space="preserve"> </w:t>
      </w:r>
      <w:r>
        <w:tab/>
        <w:t>(2009/2022) [2020] ZANCHC 87 (20 November 2020)</w:t>
      </w:r>
    </w:p>
  </w:footnote>
  <w:footnote w:id="2">
    <w:p w14:paraId="32F43641" w14:textId="0535F168" w:rsidR="00E91505" w:rsidRDefault="00E91505">
      <w:pPr>
        <w:pStyle w:val="FootnoteText"/>
      </w:pPr>
      <w:r>
        <w:rPr>
          <w:rStyle w:val="FootnoteReference"/>
        </w:rPr>
        <w:footnoteRef/>
      </w:r>
      <w:r>
        <w:t xml:space="preserve"> </w:t>
      </w:r>
      <w:r>
        <w:tab/>
        <w:t>2022 JDR 1018 FB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1714"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3968438A" w14:textId="77777777" w:rsidR="00853FC4" w:rsidRDefault="00853FC4">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321655"/>
      <w:docPartObj>
        <w:docPartGallery w:val="Page Numbers (Top of Page)"/>
        <w:docPartUnique/>
      </w:docPartObj>
    </w:sdtPr>
    <w:sdtEndPr>
      <w:rPr>
        <w:noProof/>
      </w:rPr>
    </w:sdtEndPr>
    <w:sdtContent>
      <w:p w14:paraId="2A952557" w14:textId="51E266D7" w:rsidR="00CF7049" w:rsidRDefault="00CF7049">
        <w:pPr>
          <w:pStyle w:val="Header"/>
          <w:jc w:val="right"/>
        </w:pPr>
        <w:r>
          <w:fldChar w:fldCharType="begin"/>
        </w:r>
        <w:r>
          <w:instrText xml:space="preserve"> PAGE   \* MERGEFORMAT </w:instrText>
        </w:r>
        <w:r>
          <w:fldChar w:fldCharType="separate"/>
        </w:r>
        <w:r w:rsidR="00ED73A1">
          <w:rPr>
            <w:noProof/>
          </w:rPr>
          <w:t>8</w:t>
        </w:r>
        <w:r>
          <w:rPr>
            <w:noProof/>
          </w:rPr>
          <w:fldChar w:fldCharType="end"/>
        </w:r>
      </w:p>
    </w:sdtContent>
  </w:sdt>
  <w:p w14:paraId="75F8C4BE" w14:textId="77777777" w:rsidR="00853FC4" w:rsidRDefault="00853FC4">
    <w:pPr>
      <w:pStyle w:val="Header"/>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154C3444"/>
    <w:multiLevelType w:val="multilevel"/>
    <w:tmpl w:val="C1080184"/>
    <w:lvl w:ilvl="0">
      <w:start w:val="1"/>
      <w:numFmt w:val="decimal"/>
      <w:pStyle w:val="Heading1"/>
      <w:lvlText w:val="[%1]"/>
      <w:lvlJc w:val="left"/>
      <w:pPr>
        <w:tabs>
          <w:tab w:val="num" w:pos="862"/>
        </w:tabs>
        <w:ind w:left="862" w:hanging="862"/>
      </w:pPr>
      <w:rPr>
        <w:rFonts w:hint="default"/>
        <w:b w:val="0"/>
        <w:bCs w:val="0"/>
      </w:rPr>
    </w:lvl>
    <w:lvl w:ilvl="1">
      <w:start w:val="1"/>
      <w:numFmt w:val="decimal"/>
      <w:pStyle w:val="Heading2"/>
      <w:lvlText w:val="%1.%2"/>
      <w:lvlJc w:val="left"/>
      <w:pPr>
        <w:tabs>
          <w:tab w:val="num" w:pos="1871"/>
        </w:tabs>
        <w:ind w:left="1871" w:hanging="1009"/>
      </w:pPr>
      <w:rPr>
        <w:rFonts w:hint="default"/>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2" w15:restartNumberingAfterBreak="0">
    <w:nsid w:val="43107D6E"/>
    <w:multiLevelType w:val="hybridMultilevel"/>
    <w:tmpl w:val="5D7CD81A"/>
    <w:lvl w:ilvl="0" w:tplc="BC3E0B2E">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 w15:restartNumberingAfterBreak="0">
    <w:nsid w:val="467A01E0"/>
    <w:multiLevelType w:val="hybridMultilevel"/>
    <w:tmpl w:val="B9CEA7F8"/>
    <w:lvl w:ilvl="0" w:tplc="0D1C5B6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F50D67"/>
    <w:multiLevelType w:val="hybridMultilevel"/>
    <w:tmpl w:val="C966D4C4"/>
    <w:lvl w:ilvl="0" w:tplc="37B8E1CC">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5" w15:restartNumberingAfterBreak="0">
    <w:nsid w:val="59607BD3"/>
    <w:multiLevelType w:val="hybridMultilevel"/>
    <w:tmpl w:val="D3D66EFA"/>
    <w:lvl w:ilvl="0" w:tplc="FB405C28">
      <w:start w:val="1"/>
      <w:numFmt w:val="lowerLetter"/>
      <w:lvlText w:val="(%1)"/>
      <w:lvlJc w:val="left"/>
      <w:pPr>
        <w:ind w:left="2242" w:hanging="36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6" w15:restartNumberingAfterBreak="0">
    <w:nsid w:val="72FA435D"/>
    <w:multiLevelType w:val="hybridMultilevel"/>
    <w:tmpl w:val="5CCC7F2E"/>
    <w:lvl w:ilvl="0" w:tplc="AFF0F7F0">
      <w:start w:val="1"/>
      <w:numFmt w:val="lowerLetter"/>
      <w:lvlText w:val="(%1)"/>
      <w:lvlJc w:val="left"/>
      <w:pPr>
        <w:ind w:left="3022" w:hanging="114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2"/>
  </w:num>
  <w:num w:numId="35">
    <w:abstractNumId w:val="4"/>
  </w:num>
  <w:num w:numId="36">
    <w:abstractNumId w:val="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Z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4"/>
    <w:rsid w:val="00000058"/>
    <w:rsid w:val="00006720"/>
    <w:rsid w:val="00013916"/>
    <w:rsid w:val="00016FCE"/>
    <w:rsid w:val="000206B9"/>
    <w:rsid w:val="00021572"/>
    <w:rsid w:val="00024EC0"/>
    <w:rsid w:val="000269A0"/>
    <w:rsid w:val="000330AA"/>
    <w:rsid w:val="00033689"/>
    <w:rsid w:val="00035295"/>
    <w:rsid w:val="00035850"/>
    <w:rsid w:val="00040532"/>
    <w:rsid w:val="000449C9"/>
    <w:rsid w:val="00045C2A"/>
    <w:rsid w:val="000460FA"/>
    <w:rsid w:val="0005193C"/>
    <w:rsid w:val="00056698"/>
    <w:rsid w:val="00060B83"/>
    <w:rsid w:val="00062E02"/>
    <w:rsid w:val="00064ABB"/>
    <w:rsid w:val="00076A3C"/>
    <w:rsid w:val="000806A3"/>
    <w:rsid w:val="00081824"/>
    <w:rsid w:val="00090BBB"/>
    <w:rsid w:val="00096D51"/>
    <w:rsid w:val="000A3B02"/>
    <w:rsid w:val="000A4A93"/>
    <w:rsid w:val="000A5255"/>
    <w:rsid w:val="000A7277"/>
    <w:rsid w:val="000B0F7E"/>
    <w:rsid w:val="000B2270"/>
    <w:rsid w:val="000B57CF"/>
    <w:rsid w:val="000C3DC6"/>
    <w:rsid w:val="000C42FC"/>
    <w:rsid w:val="000C4BAD"/>
    <w:rsid w:val="000C6E46"/>
    <w:rsid w:val="000D17F5"/>
    <w:rsid w:val="000D45A1"/>
    <w:rsid w:val="000E201A"/>
    <w:rsid w:val="000E51FA"/>
    <w:rsid w:val="000E5E70"/>
    <w:rsid w:val="000E7C01"/>
    <w:rsid w:val="000F0879"/>
    <w:rsid w:val="000F50B7"/>
    <w:rsid w:val="000F562D"/>
    <w:rsid w:val="0010300F"/>
    <w:rsid w:val="0010379E"/>
    <w:rsid w:val="001073B8"/>
    <w:rsid w:val="00117066"/>
    <w:rsid w:val="001218EF"/>
    <w:rsid w:val="0012684E"/>
    <w:rsid w:val="00127FB4"/>
    <w:rsid w:val="001348C7"/>
    <w:rsid w:val="0013761F"/>
    <w:rsid w:val="00141EEC"/>
    <w:rsid w:val="00142F93"/>
    <w:rsid w:val="00143DA0"/>
    <w:rsid w:val="0014737C"/>
    <w:rsid w:val="00150259"/>
    <w:rsid w:val="00153383"/>
    <w:rsid w:val="00161D1A"/>
    <w:rsid w:val="00165DA8"/>
    <w:rsid w:val="001662A9"/>
    <w:rsid w:val="00171857"/>
    <w:rsid w:val="0017394F"/>
    <w:rsid w:val="001740EB"/>
    <w:rsid w:val="00176C16"/>
    <w:rsid w:val="0018046C"/>
    <w:rsid w:val="00191E78"/>
    <w:rsid w:val="00193B63"/>
    <w:rsid w:val="00193BA1"/>
    <w:rsid w:val="00196B94"/>
    <w:rsid w:val="001B3615"/>
    <w:rsid w:val="001B4598"/>
    <w:rsid w:val="001B4819"/>
    <w:rsid w:val="001B48CB"/>
    <w:rsid w:val="001C1534"/>
    <w:rsid w:val="001C4CC1"/>
    <w:rsid w:val="001D151A"/>
    <w:rsid w:val="001D5D9B"/>
    <w:rsid w:val="001E3056"/>
    <w:rsid w:val="001E48C8"/>
    <w:rsid w:val="001E5695"/>
    <w:rsid w:val="001E6155"/>
    <w:rsid w:val="0020226C"/>
    <w:rsid w:val="00204CA6"/>
    <w:rsid w:val="00206B44"/>
    <w:rsid w:val="00207BCE"/>
    <w:rsid w:val="00210EF6"/>
    <w:rsid w:val="00211229"/>
    <w:rsid w:val="00212F35"/>
    <w:rsid w:val="00213776"/>
    <w:rsid w:val="002167A8"/>
    <w:rsid w:val="002231BF"/>
    <w:rsid w:val="002238E5"/>
    <w:rsid w:val="00233C3C"/>
    <w:rsid w:val="00233C6D"/>
    <w:rsid w:val="002377B8"/>
    <w:rsid w:val="00244807"/>
    <w:rsid w:val="00245902"/>
    <w:rsid w:val="00247B19"/>
    <w:rsid w:val="0025399F"/>
    <w:rsid w:val="002754D8"/>
    <w:rsid w:val="002757F0"/>
    <w:rsid w:val="002800C5"/>
    <w:rsid w:val="00283838"/>
    <w:rsid w:val="00284C8A"/>
    <w:rsid w:val="00285FB4"/>
    <w:rsid w:val="002912A7"/>
    <w:rsid w:val="00292568"/>
    <w:rsid w:val="002929B8"/>
    <w:rsid w:val="00294E30"/>
    <w:rsid w:val="002A19E4"/>
    <w:rsid w:val="002A1E37"/>
    <w:rsid w:val="002A2729"/>
    <w:rsid w:val="002A3918"/>
    <w:rsid w:val="002A554A"/>
    <w:rsid w:val="002C6134"/>
    <w:rsid w:val="002E1EEC"/>
    <w:rsid w:val="002F0615"/>
    <w:rsid w:val="002F30AA"/>
    <w:rsid w:val="00300F41"/>
    <w:rsid w:val="00310029"/>
    <w:rsid w:val="00311DAF"/>
    <w:rsid w:val="0031638A"/>
    <w:rsid w:val="00316597"/>
    <w:rsid w:val="003202ED"/>
    <w:rsid w:val="00324245"/>
    <w:rsid w:val="003366C1"/>
    <w:rsid w:val="00337192"/>
    <w:rsid w:val="00340B40"/>
    <w:rsid w:val="003414B0"/>
    <w:rsid w:val="00345C84"/>
    <w:rsid w:val="003470FF"/>
    <w:rsid w:val="00352048"/>
    <w:rsid w:val="003521B3"/>
    <w:rsid w:val="0035315B"/>
    <w:rsid w:val="00354DFA"/>
    <w:rsid w:val="00357F85"/>
    <w:rsid w:val="0037012A"/>
    <w:rsid w:val="0037230C"/>
    <w:rsid w:val="003724BA"/>
    <w:rsid w:val="00374A10"/>
    <w:rsid w:val="0038171B"/>
    <w:rsid w:val="00395E13"/>
    <w:rsid w:val="003969E9"/>
    <w:rsid w:val="003A1760"/>
    <w:rsid w:val="003A4CE2"/>
    <w:rsid w:val="003B02E3"/>
    <w:rsid w:val="003B13EC"/>
    <w:rsid w:val="003B1EC4"/>
    <w:rsid w:val="003B42D5"/>
    <w:rsid w:val="003C2823"/>
    <w:rsid w:val="003C2889"/>
    <w:rsid w:val="003C3E35"/>
    <w:rsid w:val="003C6767"/>
    <w:rsid w:val="003C68E4"/>
    <w:rsid w:val="003C6B86"/>
    <w:rsid w:val="003D0EF9"/>
    <w:rsid w:val="003D30FA"/>
    <w:rsid w:val="003D5E64"/>
    <w:rsid w:val="003E2E2E"/>
    <w:rsid w:val="003E3B3D"/>
    <w:rsid w:val="003E4735"/>
    <w:rsid w:val="003E5F9A"/>
    <w:rsid w:val="003E6F1C"/>
    <w:rsid w:val="003F1E6B"/>
    <w:rsid w:val="003F4D15"/>
    <w:rsid w:val="003F7203"/>
    <w:rsid w:val="004031B7"/>
    <w:rsid w:val="00415AE9"/>
    <w:rsid w:val="00417C15"/>
    <w:rsid w:val="00421F93"/>
    <w:rsid w:val="00424920"/>
    <w:rsid w:val="004253C5"/>
    <w:rsid w:val="00426B56"/>
    <w:rsid w:val="00427341"/>
    <w:rsid w:val="00430D78"/>
    <w:rsid w:val="00431CC4"/>
    <w:rsid w:val="004363DF"/>
    <w:rsid w:val="004447F3"/>
    <w:rsid w:val="00446DF2"/>
    <w:rsid w:val="00447580"/>
    <w:rsid w:val="004521D0"/>
    <w:rsid w:val="00463B1B"/>
    <w:rsid w:val="0046533B"/>
    <w:rsid w:val="00465FDC"/>
    <w:rsid w:val="00470040"/>
    <w:rsid w:val="00481C88"/>
    <w:rsid w:val="004845DF"/>
    <w:rsid w:val="00484D33"/>
    <w:rsid w:val="00484FE7"/>
    <w:rsid w:val="0049082C"/>
    <w:rsid w:val="0049324B"/>
    <w:rsid w:val="00496A2E"/>
    <w:rsid w:val="004A12A6"/>
    <w:rsid w:val="004A12D0"/>
    <w:rsid w:val="004A2102"/>
    <w:rsid w:val="004A4B36"/>
    <w:rsid w:val="004B214D"/>
    <w:rsid w:val="004C24E9"/>
    <w:rsid w:val="004D671B"/>
    <w:rsid w:val="004F18B2"/>
    <w:rsid w:val="004F2C82"/>
    <w:rsid w:val="00501216"/>
    <w:rsid w:val="00501614"/>
    <w:rsid w:val="00504A4D"/>
    <w:rsid w:val="0050502F"/>
    <w:rsid w:val="00505F6E"/>
    <w:rsid w:val="0051663B"/>
    <w:rsid w:val="0052278C"/>
    <w:rsid w:val="0053116D"/>
    <w:rsid w:val="005325AC"/>
    <w:rsid w:val="005361BD"/>
    <w:rsid w:val="00542D61"/>
    <w:rsid w:val="00545B8F"/>
    <w:rsid w:val="00552DA5"/>
    <w:rsid w:val="005546A8"/>
    <w:rsid w:val="00554864"/>
    <w:rsid w:val="00555319"/>
    <w:rsid w:val="005601A9"/>
    <w:rsid w:val="00561695"/>
    <w:rsid w:val="00563C09"/>
    <w:rsid w:val="0056639C"/>
    <w:rsid w:val="00576BE4"/>
    <w:rsid w:val="00586E1D"/>
    <w:rsid w:val="005953BC"/>
    <w:rsid w:val="00597C6F"/>
    <w:rsid w:val="005A0D18"/>
    <w:rsid w:val="005A415D"/>
    <w:rsid w:val="005A5817"/>
    <w:rsid w:val="005A66C2"/>
    <w:rsid w:val="005B230A"/>
    <w:rsid w:val="005B3E15"/>
    <w:rsid w:val="005B6B8D"/>
    <w:rsid w:val="005C5F65"/>
    <w:rsid w:val="005C6062"/>
    <w:rsid w:val="005D08C4"/>
    <w:rsid w:val="005E22C9"/>
    <w:rsid w:val="005E4649"/>
    <w:rsid w:val="005E7DCC"/>
    <w:rsid w:val="005F3902"/>
    <w:rsid w:val="005F4A06"/>
    <w:rsid w:val="005F58FB"/>
    <w:rsid w:val="005F5D78"/>
    <w:rsid w:val="005F5DEF"/>
    <w:rsid w:val="00601150"/>
    <w:rsid w:val="00615156"/>
    <w:rsid w:val="0061578A"/>
    <w:rsid w:val="006162C1"/>
    <w:rsid w:val="006211E1"/>
    <w:rsid w:val="0062734B"/>
    <w:rsid w:val="00633CD8"/>
    <w:rsid w:val="00636673"/>
    <w:rsid w:val="006435B6"/>
    <w:rsid w:val="00644462"/>
    <w:rsid w:val="006474D2"/>
    <w:rsid w:val="0065099B"/>
    <w:rsid w:val="00660DC9"/>
    <w:rsid w:val="00662EF2"/>
    <w:rsid w:val="00664022"/>
    <w:rsid w:val="0067053A"/>
    <w:rsid w:val="006714D1"/>
    <w:rsid w:val="00677A91"/>
    <w:rsid w:val="00682D44"/>
    <w:rsid w:val="0068303E"/>
    <w:rsid w:val="00683DBE"/>
    <w:rsid w:val="00684176"/>
    <w:rsid w:val="006844B0"/>
    <w:rsid w:val="00690157"/>
    <w:rsid w:val="00690B26"/>
    <w:rsid w:val="006923FD"/>
    <w:rsid w:val="006A09E7"/>
    <w:rsid w:val="006A0B4E"/>
    <w:rsid w:val="006A2B3F"/>
    <w:rsid w:val="006A31BB"/>
    <w:rsid w:val="006A5E45"/>
    <w:rsid w:val="006B19F7"/>
    <w:rsid w:val="006B5704"/>
    <w:rsid w:val="006B5DAC"/>
    <w:rsid w:val="006B6D95"/>
    <w:rsid w:val="006C2652"/>
    <w:rsid w:val="006D02DC"/>
    <w:rsid w:val="006D03AA"/>
    <w:rsid w:val="006D0E5D"/>
    <w:rsid w:val="006D4E2B"/>
    <w:rsid w:val="006E34E4"/>
    <w:rsid w:val="006E557B"/>
    <w:rsid w:val="006E77C0"/>
    <w:rsid w:val="006F1EF6"/>
    <w:rsid w:val="006F7C73"/>
    <w:rsid w:val="00702C6E"/>
    <w:rsid w:val="00710FD9"/>
    <w:rsid w:val="0071317C"/>
    <w:rsid w:val="00713C91"/>
    <w:rsid w:val="007154C1"/>
    <w:rsid w:val="00716A2D"/>
    <w:rsid w:val="00723EE1"/>
    <w:rsid w:val="00733979"/>
    <w:rsid w:val="00733E99"/>
    <w:rsid w:val="00741025"/>
    <w:rsid w:val="007425AB"/>
    <w:rsid w:val="00756B54"/>
    <w:rsid w:val="00757DB9"/>
    <w:rsid w:val="00760FFF"/>
    <w:rsid w:val="007619B3"/>
    <w:rsid w:val="00763C6D"/>
    <w:rsid w:val="00771A66"/>
    <w:rsid w:val="0077321B"/>
    <w:rsid w:val="00774612"/>
    <w:rsid w:val="00776F15"/>
    <w:rsid w:val="007773AC"/>
    <w:rsid w:val="00785236"/>
    <w:rsid w:val="00792018"/>
    <w:rsid w:val="00796047"/>
    <w:rsid w:val="007A04FD"/>
    <w:rsid w:val="007A2ABB"/>
    <w:rsid w:val="007A4FC5"/>
    <w:rsid w:val="007B2070"/>
    <w:rsid w:val="007B7744"/>
    <w:rsid w:val="007B7DE0"/>
    <w:rsid w:val="007B7E35"/>
    <w:rsid w:val="007C0237"/>
    <w:rsid w:val="007C3EBD"/>
    <w:rsid w:val="007C7824"/>
    <w:rsid w:val="007D03A3"/>
    <w:rsid w:val="007D63CE"/>
    <w:rsid w:val="007D7235"/>
    <w:rsid w:val="007E126A"/>
    <w:rsid w:val="007E1556"/>
    <w:rsid w:val="007F446F"/>
    <w:rsid w:val="007F5466"/>
    <w:rsid w:val="008150D5"/>
    <w:rsid w:val="008255C7"/>
    <w:rsid w:val="00825EB5"/>
    <w:rsid w:val="008305B0"/>
    <w:rsid w:val="008326F1"/>
    <w:rsid w:val="00833533"/>
    <w:rsid w:val="00833792"/>
    <w:rsid w:val="00844404"/>
    <w:rsid w:val="00844EA1"/>
    <w:rsid w:val="00846E44"/>
    <w:rsid w:val="0085264E"/>
    <w:rsid w:val="00853F12"/>
    <w:rsid w:val="00853FC4"/>
    <w:rsid w:val="008555DE"/>
    <w:rsid w:val="00860B9E"/>
    <w:rsid w:val="0086223F"/>
    <w:rsid w:val="0086270F"/>
    <w:rsid w:val="00863A38"/>
    <w:rsid w:val="00864519"/>
    <w:rsid w:val="00864608"/>
    <w:rsid w:val="008653CC"/>
    <w:rsid w:val="00873D0F"/>
    <w:rsid w:val="008770E9"/>
    <w:rsid w:val="0088113C"/>
    <w:rsid w:val="00885048"/>
    <w:rsid w:val="00885F18"/>
    <w:rsid w:val="008923E1"/>
    <w:rsid w:val="008924CA"/>
    <w:rsid w:val="00895C40"/>
    <w:rsid w:val="00897206"/>
    <w:rsid w:val="008A129D"/>
    <w:rsid w:val="008A2E5B"/>
    <w:rsid w:val="008A6D05"/>
    <w:rsid w:val="008A78E7"/>
    <w:rsid w:val="008A7EC7"/>
    <w:rsid w:val="008B1DDB"/>
    <w:rsid w:val="008C0814"/>
    <w:rsid w:val="008C2196"/>
    <w:rsid w:val="008C4C23"/>
    <w:rsid w:val="008E129B"/>
    <w:rsid w:val="008E407B"/>
    <w:rsid w:val="008F63B3"/>
    <w:rsid w:val="008F6C0F"/>
    <w:rsid w:val="00902987"/>
    <w:rsid w:val="0090528A"/>
    <w:rsid w:val="00907BBD"/>
    <w:rsid w:val="00912C24"/>
    <w:rsid w:val="00915EBA"/>
    <w:rsid w:val="0092135E"/>
    <w:rsid w:val="00922F8F"/>
    <w:rsid w:val="0092318D"/>
    <w:rsid w:val="00937FB2"/>
    <w:rsid w:val="00947A8C"/>
    <w:rsid w:val="0095600B"/>
    <w:rsid w:val="00964991"/>
    <w:rsid w:val="00964F05"/>
    <w:rsid w:val="00965FAA"/>
    <w:rsid w:val="009777C7"/>
    <w:rsid w:val="009874C6"/>
    <w:rsid w:val="00994CFE"/>
    <w:rsid w:val="009A0BD5"/>
    <w:rsid w:val="009A1259"/>
    <w:rsid w:val="009A4CDC"/>
    <w:rsid w:val="009B12AD"/>
    <w:rsid w:val="009B7BD3"/>
    <w:rsid w:val="009C256C"/>
    <w:rsid w:val="009D4549"/>
    <w:rsid w:val="009E00E3"/>
    <w:rsid w:val="009E2CB7"/>
    <w:rsid w:val="009E65C0"/>
    <w:rsid w:val="009F0396"/>
    <w:rsid w:val="009F0AC2"/>
    <w:rsid w:val="009F2F16"/>
    <w:rsid w:val="00A00585"/>
    <w:rsid w:val="00A03C6A"/>
    <w:rsid w:val="00A10756"/>
    <w:rsid w:val="00A124D5"/>
    <w:rsid w:val="00A15DD5"/>
    <w:rsid w:val="00A1796E"/>
    <w:rsid w:val="00A27FA6"/>
    <w:rsid w:val="00A3251B"/>
    <w:rsid w:val="00A34D30"/>
    <w:rsid w:val="00A34EE3"/>
    <w:rsid w:val="00A36EB9"/>
    <w:rsid w:val="00A42064"/>
    <w:rsid w:val="00A424AC"/>
    <w:rsid w:val="00A433AA"/>
    <w:rsid w:val="00A60DA6"/>
    <w:rsid w:val="00A629A8"/>
    <w:rsid w:val="00A7023E"/>
    <w:rsid w:val="00A70EDD"/>
    <w:rsid w:val="00A71CAA"/>
    <w:rsid w:val="00A802F7"/>
    <w:rsid w:val="00A8182A"/>
    <w:rsid w:val="00A81DEE"/>
    <w:rsid w:val="00A91D4E"/>
    <w:rsid w:val="00A93999"/>
    <w:rsid w:val="00AA14E7"/>
    <w:rsid w:val="00AA282F"/>
    <w:rsid w:val="00AB65AA"/>
    <w:rsid w:val="00AC33C6"/>
    <w:rsid w:val="00AC3F61"/>
    <w:rsid w:val="00AC743C"/>
    <w:rsid w:val="00AD2B7D"/>
    <w:rsid w:val="00AD2B8A"/>
    <w:rsid w:val="00AD780A"/>
    <w:rsid w:val="00AE4675"/>
    <w:rsid w:val="00AE4ECD"/>
    <w:rsid w:val="00AF0C2E"/>
    <w:rsid w:val="00AF2E72"/>
    <w:rsid w:val="00AF5EAC"/>
    <w:rsid w:val="00AF72EB"/>
    <w:rsid w:val="00B0132A"/>
    <w:rsid w:val="00B17D38"/>
    <w:rsid w:val="00B21985"/>
    <w:rsid w:val="00B236D8"/>
    <w:rsid w:val="00B34F21"/>
    <w:rsid w:val="00B66B19"/>
    <w:rsid w:val="00B77395"/>
    <w:rsid w:val="00B77DE1"/>
    <w:rsid w:val="00B82DF7"/>
    <w:rsid w:val="00B93E5F"/>
    <w:rsid w:val="00B958BA"/>
    <w:rsid w:val="00B96E0E"/>
    <w:rsid w:val="00BB1870"/>
    <w:rsid w:val="00BB4FFF"/>
    <w:rsid w:val="00BE2224"/>
    <w:rsid w:val="00BE33E3"/>
    <w:rsid w:val="00BE788A"/>
    <w:rsid w:val="00BF06A5"/>
    <w:rsid w:val="00BF2BEC"/>
    <w:rsid w:val="00BF34C6"/>
    <w:rsid w:val="00C01FF9"/>
    <w:rsid w:val="00C0292E"/>
    <w:rsid w:val="00C04B0E"/>
    <w:rsid w:val="00C050C9"/>
    <w:rsid w:val="00C05564"/>
    <w:rsid w:val="00C14F08"/>
    <w:rsid w:val="00C17582"/>
    <w:rsid w:val="00C240DF"/>
    <w:rsid w:val="00C24A03"/>
    <w:rsid w:val="00C25A16"/>
    <w:rsid w:val="00C35AE6"/>
    <w:rsid w:val="00C35F34"/>
    <w:rsid w:val="00C55EC2"/>
    <w:rsid w:val="00C63194"/>
    <w:rsid w:val="00C63391"/>
    <w:rsid w:val="00C66445"/>
    <w:rsid w:val="00C74E36"/>
    <w:rsid w:val="00C76854"/>
    <w:rsid w:val="00C77169"/>
    <w:rsid w:val="00C77411"/>
    <w:rsid w:val="00C808A9"/>
    <w:rsid w:val="00C85248"/>
    <w:rsid w:val="00C860FB"/>
    <w:rsid w:val="00C8788C"/>
    <w:rsid w:val="00C906EC"/>
    <w:rsid w:val="00C956DF"/>
    <w:rsid w:val="00C96454"/>
    <w:rsid w:val="00CA268A"/>
    <w:rsid w:val="00CA78DD"/>
    <w:rsid w:val="00CB0D15"/>
    <w:rsid w:val="00CB2503"/>
    <w:rsid w:val="00CB3AFB"/>
    <w:rsid w:val="00CB4DB9"/>
    <w:rsid w:val="00CC066F"/>
    <w:rsid w:val="00CC17D9"/>
    <w:rsid w:val="00CC5BF0"/>
    <w:rsid w:val="00CD3168"/>
    <w:rsid w:val="00CD50F3"/>
    <w:rsid w:val="00CD6D6A"/>
    <w:rsid w:val="00CE6950"/>
    <w:rsid w:val="00CF3964"/>
    <w:rsid w:val="00CF7049"/>
    <w:rsid w:val="00CF7F6C"/>
    <w:rsid w:val="00D10CBB"/>
    <w:rsid w:val="00D134CE"/>
    <w:rsid w:val="00D1692F"/>
    <w:rsid w:val="00D22F94"/>
    <w:rsid w:val="00D31952"/>
    <w:rsid w:val="00D31B6A"/>
    <w:rsid w:val="00D3360D"/>
    <w:rsid w:val="00D3373C"/>
    <w:rsid w:val="00D34D64"/>
    <w:rsid w:val="00D431F2"/>
    <w:rsid w:val="00D43327"/>
    <w:rsid w:val="00D478B5"/>
    <w:rsid w:val="00D52B3B"/>
    <w:rsid w:val="00D52E36"/>
    <w:rsid w:val="00D552FC"/>
    <w:rsid w:val="00D65172"/>
    <w:rsid w:val="00D75DBC"/>
    <w:rsid w:val="00D90037"/>
    <w:rsid w:val="00D905E4"/>
    <w:rsid w:val="00D90FD8"/>
    <w:rsid w:val="00D912C4"/>
    <w:rsid w:val="00D964BA"/>
    <w:rsid w:val="00D96639"/>
    <w:rsid w:val="00DA332F"/>
    <w:rsid w:val="00DA4E0C"/>
    <w:rsid w:val="00DB1590"/>
    <w:rsid w:val="00DB42AA"/>
    <w:rsid w:val="00DB4489"/>
    <w:rsid w:val="00DB7D1C"/>
    <w:rsid w:val="00DC027A"/>
    <w:rsid w:val="00DC0AD9"/>
    <w:rsid w:val="00DE0AE6"/>
    <w:rsid w:val="00DE3255"/>
    <w:rsid w:val="00DE41F0"/>
    <w:rsid w:val="00DF1F5C"/>
    <w:rsid w:val="00E00E1B"/>
    <w:rsid w:val="00E02B6E"/>
    <w:rsid w:val="00E02C94"/>
    <w:rsid w:val="00E05230"/>
    <w:rsid w:val="00E13867"/>
    <w:rsid w:val="00E13A1D"/>
    <w:rsid w:val="00E156EB"/>
    <w:rsid w:val="00E23510"/>
    <w:rsid w:val="00E25969"/>
    <w:rsid w:val="00E26023"/>
    <w:rsid w:val="00E303AF"/>
    <w:rsid w:val="00E34CF6"/>
    <w:rsid w:val="00E35253"/>
    <w:rsid w:val="00E36B92"/>
    <w:rsid w:val="00E50CC7"/>
    <w:rsid w:val="00E51266"/>
    <w:rsid w:val="00E53D8B"/>
    <w:rsid w:val="00E54DAA"/>
    <w:rsid w:val="00E55495"/>
    <w:rsid w:val="00E6063A"/>
    <w:rsid w:val="00E63CD1"/>
    <w:rsid w:val="00E75408"/>
    <w:rsid w:val="00E77851"/>
    <w:rsid w:val="00E81456"/>
    <w:rsid w:val="00E82176"/>
    <w:rsid w:val="00E858B8"/>
    <w:rsid w:val="00E87D02"/>
    <w:rsid w:val="00E91505"/>
    <w:rsid w:val="00E927E5"/>
    <w:rsid w:val="00E940B8"/>
    <w:rsid w:val="00E94884"/>
    <w:rsid w:val="00EA240C"/>
    <w:rsid w:val="00EA6B5D"/>
    <w:rsid w:val="00EA6CD4"/>
    <w:rsid w:val="00EA788F"/>
    <w:rsid w:val="00EB6F17"/>
    <w:rsid w:val="00ED2946"/>
    <w:rsid w:val="00ED73A1"/>
    <w:rsid w:val="00EE1978"/>
    <w:rsid w:val="00EE1F1C"/>
    <w:rsid w:val="00EF2ED0"/>
    <w:rsid w:val="00EF2F5C"/>
    <w:rsid w:val="00EF45EB"/>
    <w:rsid w:val="00EF5857"/>
    <w:rsid w:val="00F04A6E"/>
    <w:rsid w:val="00F0722B"/>
    <w:rsid w:val="00F07E82"/>
    <w:rsid w:val="00F11A88"/>
    <w:rsid w:val="00F15C35"/>
    <w:rsid w:val="00F26D06"/>
    <w:rsid w:val="00F334D0"/>
    <w:rsid w:val="00F44665"/>
    <w:rsid w:val="00F44D75"/>
    <w:rsid w:val="00F554DB"/>
    <w:rsid w:val="00F606EA"/>
    <w:rsid w:val="00F851FE"/>
    <w:rsid w:val="00F9061B"/>
    <w:rsid w:val="00F95C27"/>
    <w:rsid w:val="00F97B1F"/>
    <w:rsid w:val="00FA13A5"/>
    <w:rsid w:val="00FA5336"/>
    <w:rsid w:val="00FB12E7"/>
    <w:rsid w:val="00FB42CF"/>
    <w:rsid w:val="00FB60F0"/>
    <w:rsid w:val="00FC4478"/>
    <w:rsid w:val="00FC4520"/>
    <w:rsid w:val="00FC48B7"/>
    <w:rsid w:val="00FC50BF"/>
    <w:rsid w:val="00FC52B8"/>
    <w:rsid w:val="00FD4554"/>
    <w:rsid w:val="00FD4C4B"/>
    <w:rsid w:val="00FE38D9"/>
    <w:rsid w:val="00FE5C07"/>
    <w:rsid w:val="00FE6896"/>
    <w:rsid w:val="00FF7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8E151"/>
  <w15:docId w15:val="{701E7EC1-DF64-4706-BE7B-9078935B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6B"/>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pPr>
    <w:rPr>
      <w:rFonts w:ascii="Arial" w:hAnsi="Arial"/>
      <w:kern w:val="25"/>
      <w:sz w:val="24"/>
      <w:lang w:eastAsia="en-US"/>
    </w:rPr>
  </w:style>
  <w:style w:type="paragraph" w:styleId="Heading1">
    <w:name w:val="heading 1"/>
    <w:qFormat/>
    <w:rsid w:val="00545B8F"/>
    <w:pPr>
      <w:widowControl w:val="0"/>
      <w:numPr>
        <w:numId w:val="33"/>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pPr>
    <w:rPr>
      <w:rFonts w:ascii="Arial" w:hAnsi="Arial"/>
      <w:kern w:val="25"/>
      <w:sz w:val="24"/>
      <w:lang w:eastAsia="en-US"/>
    </w:rPr>
  </w:style>
  <w:style w:type="paragraph" w:styleId="Heading2">
    <w:name w:val="heading 2"/>
    <w:basedOn w:val="Heading1"/>
    <w:qFormat/>
    <w:rsid w:val="00D905E4"/>
    <w:pPr>
      <w:numPr>
        <w:ilvl w:val="1"/>
      </w:numPr>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character" w:styleId="Hyperlink">
    <w:name w:val="Hyperlink"/>
    <w:basedOn w:val="DefaultParagraphFont"/>
    <w:unhideWhenUsed/>
    <w:rsid w:val="00CB4DB9"/>
    <w:rPr>
      <w:color w:val="0563C1" w:themeColor="hyperlink"/>
      <w:u w:val="single"/>
    </w:rPr>
  </w:style>
  <w:style w:type="character" w:customStyle="1" w:styleId="UnresolvedMention">
    <w:name w:val="Unresolved Mention"/>
    <w:basedOn w:val="DefaultParagraphFont"/>
    <w:uiPriority w:val="99"/>
    <w:semiHidden/>
    <w:unhideWhenUsed/>
    <w:rsid w:val="00CB4DB9"/>
    <w:rPr>
      <w:color w:val="605E5C"/>
      <w:shd w:val="clear" w:color="auto" w:fill="E1DFDD"/>
    </w:rPr>
  </w:style>
  <w:style w:type="paragraph" w:customStyle="1" w:styleId="lrquote">
    <w:name w:val="lrquote"/>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paragraph" w:customStyle="1" w:styleId="lrquoteindt1hang">
    <w:name w:val="lrquoteindt1hang"/>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mc">
    <w:name w:val="mc"/>
    <w:basedOn w:val="DefaultParagraphFont"/>
    <w:rsid w:val="00D65172"/>
  </w:style>
  <w:style w:type="paragraph" w:customStyle="1" w:styleId="lrpara">
    <w:name w:val="lrpara"/>
    <w:basedOn w:val="Normal"/>
    <w:rsid w:val="00D9663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footnoteanchor">
    <w:name w:val="footnoteanchor"/>
    <w:basedOn w:val="DefaultParagraphFont"/>
    <w:rsid w:val="00D96639"/>
  </w:style>
  <w:style w:type="paragraph" w:customStyle="1" w:styleId="LegalAnnexure">
    <w:name w:val="Legal_Annexure"/>
    <w:basedOn w:val="LegalNormal"/>
    <w:next w:val="LegalNormal"/>
    <w:semiHidden/>
    <w:rsid w:val="00633CD8"/>
    <w:pPr>
      <w:keepNext/>
      <w:jc w:val="right"/>
    </w:pPr>
    <w:rPr>
      <w:b/>
      <w:caps/>
    </w:rPr>
  </w:style>
  <w:style w:type="paragraph" w:customStyle="1" w:styleId="LegalTitle">
    <w:name w:val="Legal_Title"/>
    <w:basedOn w:val="LegalNormal"/>
    <w:next w:val="LegalNormal"/>
    <w:semiHidden/>
    <w:rsid w:val="00633CD8"/>
    <w:pPr>
      <w:keepNext/>
      <w:jc w:val="center"/>
    </w:pPr>
    <w:rPr>
      <w:b/>
      <w:caps/>
    </w:rPr>
  </w:style>
  <w:style w:type="paragraph" w:customStyle="1" w:styleId="LegalTramLines">
    <w:name w:val="Legal_TramLines"/>
    <w:basedOn w:val="LegalNormal"/>
    <w:next w:val="LegalNormal"/>
    <w:semiHidden/>
    <w:rsid w:val="00633CD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633CD8"/>
    <w:pPr>
      <w:tabs>
        <w:tab w:val="right" w:pos="8789"/>
      </w:tabs>
    </w:pPr>
  </w:style>
  <w:style w:type="paragraph" w:customStyle="1" w:styleId="LegalNormal">
    <w:name w:val="Legal_Normal"/>
    <w:basedOn w:val="Normal"/>
    <w:rsid w:val="00633CD8"/>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uppressAutoHyphens/>
      <w:spacing w:after="360" w:line="480" w:lineRule="auto"/>
    </w:pPr>
    <w:rPr>
      <w:kern w:val="0"/>
      <w:szCs w:val="24"/>
      <w:lang w:val="en-GB" w:eastAsia="en-GB"/>
    </w:rPr>
  </w:style>
  <w:style w:type="character" w:customStyle="1" w:styleId="HeaderChar">
    <w:name w:val="Header Char"/>
    <w:basedOn w:val="DefaultParagraphFont"/>
    <w:link w:val="Header"/>
    <w:uiPriority w:val="99"/>
    <w:rsid w:val="00CF7049"/>
    <w:rPr>
      <w:rFonts w:ascii="Arial" w:hAnsi="Arial"/>
      <w:sz w:val="25"/>
      <w:lang w:eastAsia="en-US"/>
    </w:rPr>
  </w:style>
  <w:style w:type="paragraph" w:styleId="ListParagraph">
    <w:name w:val="List Paragraph"/>
    <w:basedOn w:val="Normal"/>
    <w:uiPriority w:val="34"/>
    <w:qFormat/>
    <w:rsid w:val="003C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08092">
      <w:bodyDiv w:val="1"/>
      <w:marLeft w:val="0"/>
      <w:marRight w:val="0"/>
      <w:marTop w:val="0"/>
      <w:marBottom w:val="0"/>
      <w:divBdr>
        <w:top w:val="none" w:sz="0" w:space="0" w:color="auto"/>
        <w:left w:val="none" w:sz="0" w:space="0" w:color="auto"/>
        <w:bottom w:val="none" w:sz="0" w:space="0" w:color="auto"/>
        <w:right w:val="none" w:sz="0" w:space="0" w:color="auto"/>
      </w:divBdr>
    </w:div>
    <w:div w:id="710492503">
      <w:bodyDiv w:val="1"/>
      <w:marLeft w:val="0"/>
      <w:marRight w:val="0"/>
      <w:marTop w:val="0"/>
      <w:marBottom w:val="0"/>
      <w:divBdr>
        <w:top w:val="none" w:sz="0" w:space="0" w:color="auto"/>
        <w:left w:val="none" w:sz="0" w:space="0" w:color="auto"/>
        <w:bottom w:val="none" w:sz="0" w:space="0" w:color="auto"/>
        <w:right w:val="none" w:sz="0" w:space="0" w:color="auto"/>
      </w:divBdr>
    </w:div>
    <w:div w:id="909927801">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409420992">
      <w:bodyDiv w:val="1"/>
      <w:marLeft w:val="0"/>
      <w:marRight w:val="0"/>
      <w:marTop w:val="0"/>
      <w:marBottom w:val="0"/>
      <w:divBdr>
        <w:top w:val="none" w:sz="0" w:space="0" w:color="auto"/>
        <w:left w:val="none" w:sz="0" w:space="0" w:color="auto"/>
        <w:bottom w:val="none" w:sz="0" w:space="0" w:color="auto"/>
        <w:right w:val="none" w:sz="0" w:space="0" w:color="auto"/>
      </w:divBdr>
    </w:div>
    <w:div w:id="16772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BF16.DA35A9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ana@phattorneys.co.za%20%20%20%20%20%20" TargetMode="External"/><Relationship Id="rId4" Type="http://schemas.openxmlformats.org/officeDocument/2006/relationships/webSettings" Target="webSettings.xml"/><Relationship Id="rId9" Type="http://schemas.openxmlformats.org/officeDocument/2006/relationships/hyperlink" Target="mailto:admin@phalengattorneys.co.z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SGHC</Template>
  <TotalTime>2</TotalTime>
  <Pages>10</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VL</dc:creator>
  <cp:lastModifiedBy>Mary Bruce</cp:lastModifiedBy>
  <cp:revision>3</cp:revision>
  <cp:lastPrinted>2023-07-24T16:01:00Z</cp:lastPrinted>
  <dcterms:created xsi:type="dcterms:W3CDTF">2023-07-25T13:50:00Z</dcterms:created>
  <dcterms:modified xsi:type="dcterms:W3CDTF">2023-07-25T15:22:00Z</dcterms:modified>
</cp:coreProperties>
</file>