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81421" w14:textId="568409F3" w:rsidR="006C43D7" w:rsidRPr="006C43D7" w:rsidRDefault="006C43D7" w:rsidP="00C74E97">
      <w:pPr>
        <w:spacing w:after="120" w:line="360" w:lineRule="auto"/>
        <w:jc w:val="center"/>
        <w:rPr>
          <w:rFonts w:cs="Arial"/>
          <w:b/>
          <w:bCs/>
        </w:rPr>
      </w:pPr>
      <w:r w:rsidRPr="006C43D7">
        <w:rPr>
          <w:rFonts w:cs="Arial"/>
          <w:b/>
          <w:bCs/>
          <w:noProof/>
          <w:lang w:val="en-US"/>
        </w:rPr>
        <w:drawing>
          <wp:inline distT="0" distB="0" distL="0" distR="0" wp14:anchorId="533B6FEC" wp14:editId="2A4182C8">
            <wp:extent cx="1536065" cy="1536065"/>
            <wp:effectExtent l="0" t="0" r="6985" b="6985"/>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inline>
        </w:drawing>
      </w:r>
    </w:p>
    <w:p w14:paraId="7E492062" w14:textId="77777777" w:rsidR="006C43D7" w:rsidRPr="00E67C0A" w:rsidRDefault="006C43D7" w:rsidP="00C74E97">
      <w:pPr>
        <w:spacing w:line="360" w:lineRule="auto"/>
        <w:jc w:val="center"/>
        <w:rPr>
          <w:rFonts w:cs="Arial"/>
          <w:b/>
          <w:szCs w:val="22"/>
        </w:rPr>
      </w:pPr>
      <w:r w:rsidRPr="00E67C0A">
        <w:rPr>
          <w:rFonts w:cs="Arial"/>
          <w:b/>
          <w:szCs w:val="22"/>
        </w:rPr>
        <w:t xml:space="preserve">IN THE HIGH COURT OF SOUTH AFRICA, </w:t>
      </w:r>
    </w:p>
    <w:p w14:paraId="566C4D1B" w14:textId="77777777" w:rsidR="006C43D7" w:rsidRPr="00E67C0A" w:rsidRDefault="006C43D7" w:rsidP="00C74E97">
      <w:pPr>
        <w:spacing w:line="360" w:lineRule="auto"/>
        <w:jc w:val="center"/>
        <w:rPr>
          <w:rFonts w:cs="Arial"/>
          <w:b/>
          <w:szCs w:val="22"/>
        </w:rPr>
      </w:pPr>
      <w:r w:rsidRPr="00E67C0A">
        <w:rPr>
          <w:rFonts w:cs="Arial"/>
          <w:b/>
          <w:szCs w:val="22"/>
        </w:rPr>
        <w:t>GAUTENG DIVISION, JOHANNESBURG</w:t>
      </w:r>
    </w:p>
    <w:p w14:paraId="13D6E83E" w14:textId="77777777" w:rsidR="006C43D7" w:rsidRPr="00E67C0A" w:rsidRDefault="006C43D7" w:rsidP="00C74E97">
      <w:pPr>
        <w:spacing w:line="360" w:lineRule="auto"/>
        <w:jc w:val="both"/>
        <w:rPr>
          <w:rFonts w:cs="Arial"/>
          <w:b/>
          <w:szCs w:val="22"/>
        </w:rPr>
      </w:pPr>
    </w:p>
    <w:p w14:paraId="3698476C" w14:textId="41E59614" w:rsidR="006C43D7" w:rsidRPr="00E67C0A" w:rsidRDefault="006C43D7" w:rsidP="00C74E97">
      <w:pPr>
        <w:spacing w:line="360" w:lineRule="auto"/>
        <w:jc w:val="right"/>
        <w:rPr>
          <w:rFonts w:cs="Arial"/>
          <w:b/>
          <w:szCs w:val="22"/>
        </w:rPr>
      </w:pPr>
      <w:r w:rsidRPr="00E67C0A">
        <w:rPr>
          <w:rFonts w:cs="Arial"/>
          <w:b/>
          <w:szCs w:val="22"/>
        </w:rPr>
        <w:t xml:space="preserve">CASE NO: </w:t>
      </w:r>
      <w:r w:rsidR="001A3C26" w:rsidRPr="00E67C0A">
        <w:rPr>
          <w:rFonts w:cs="Arial"/>
          <w:b/>
          <w:szCs w:val="22"/>
        </w:rPr>
        <w:t>2022-6275</w:t>
      </w:r>
    </w:p>
    <w:p w14:paraId="0AF8DD38" w14:textId="77777777" w:rsidR="006C43D7" w:rsidRPr="00E67C0A" w:rsidRDefault="006C43D7" w:rsidP="00C74E97">
      <w:pPr>
        <w:spacing w:line="360" w:lineRule="auto"/>
        <w:jc w:val="right"/>
        <w:rPr>
          <w:rFonts w:cs="Arial"/>
          <w:szCs w:val="22"/>
        </w:rPr>
      </w:pPr>
      <w:r w:rsidRPr="00E67C0A">
        <w:rPr>
          <w:rFonts w:cs="Arial"/>
          <w:noProof/>
          <w:szCs w:val="22"/>
          <w:lang w:val="en-US"/>
        </w:rPr>
        <mc:AlternateContent>
          <mc:Choice Requires="wps">
            <w:drawing>
              <wp:anchor distT="0" distB="0" distL="114300" distR="114300" simplePos="0" relativeHeight="251659264" behindDoc="0" locked="0" layoutInCell="1" allowOverlap="1" wp14:anchorId="2E430887" wp14:editId="55507A88">
                <wp:simplePos x="0" y="0"/>
                <wp:positionH relativeFrom="margin">
                  <wp:align>left</wp:align>
                </wp:positionH>
                <wp:positionV relativeFrom="paragraph">
                  <wp:posOffset>49304</wp:posOffset>
                </wp:positionV>
                <wp:extent cx="3314700" cy="1592825"/>
                <wp:effectExtent l="0" t="0" r="19050" b="266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92825"/>
                        </a:xfrm>
                        <a:prstGeom prst="rect">
                          <a:avLst/>
                        </a:prstGeom>
                        <a:solidFill>
                          <a:srgbClr val="FFFFFF"/>
                        </a:solidFill>
                        <a:ln w="9525">
                          <a:solidFill>
                            <a:srgbClr val="000000"/>
                          </a:solidFill>
                          <a:miter lim="800000"/>
                          <a:headEnd/>
                          <a:tailEnd/>
                        </a:ln>
                      </wps:spPr>
                      <wps:txbx>
                        <w:txbxContent>
                          <w:p w14:paraId="0EA4B470" w14:textId="77777777" w:rsidR="00893C08" w:rsidRPr="00913F95" w:rsidRDefault="00893C08" w:rsidP="006C43D7">
                            <w:pPr>
                              <w:jc w:val="center"/>
                              <w:rPr>
                                <w:rFonts w:ascii="Century Gothic" w:hAnsi="Century Gothic"/>
                                <w:b/>
                                <w:sz w:val="20"/>
                                <w:szCs w:val="20"/>
                              </w:rPr>
                            </w:pPr>
                          </w:p>
                          <w:p w14:paraId="01FDAE28" w14:textId="3856D241" w:rsidR="00893C08" w:rsidRDefault="00805AB1" w:rsidP="00805AB1">
                            <w:pPr>
                              <w:tabs>
                                <w:tab w:val="left" w:pos="900"/>
                              </w:tabs>
                              <w:ind w:left="900" w:hanging="720"/>
                              <w:rPr>
                                <w:rFonts w:ascii="Century Gothic" w:hAnsi="Century Gothic"/>
                                <w:sz w:val="20"/>
                                <w:szCs w:val="20"/>
                              </w:rPr>
                            </w:pPr>
                            <w:r>
                              <w:rPr>
                                <w:rFonts w:ascii="Century Gothic" w:hAnsi="Century Gothic"/>
                                <w:sz w:val="20"/>
                                <w:szCs w:val="20"/>
                              </w:rPr>
                              <w:t>(1)</w:t>
                            </w:r>
                            <w:r>
                              <w:rPr>
                                <w:rFonts w:ascii="Century Gothic" w:hAnsi="Century Gothic"/>
                                <w:sz w:val="20"/>
                                <w:szCs w:val="20"/>
                              </w:rPr>
                              <w:tab/>
                            </w:r>
                            <w:r w:rsidR="00893C08" w:rsidRPr="001D3CC2">
                              <w:rPr>
                                <w:rFonts w:ascii="Century Gothic" w:hAnsi="Century Gothic"/>
                                <w:sz w:val="20"/>
                                <w:szCs w:val="20"/>
                              </w:rPr>
                              <w:t xml:space="preserve">REPORTABLE: </w:t>
                            </w:r>
                            <w:r w:rsidR="001A3C26">
                              <w:rPr>
                                <w:rFonts w:ascii="Century Gothic" w:hAnsi="Century Gothic"/>
                                <w:sz w:val="20"/>
                                <w:szCs w:val="20"/>
                              </w:rPr>
                              <w:t>NO</w:t>
                            </w:r>
                          </w:p>
                          <w:p w14:paraId="3A4C7296" w14:textId="77ACB98A" w:rsidR="00893C08" w:rsidRPr="001D3CC2" w:rsidRDefault="00805AB1" w:rsidP="00805AB1">
                            <w:pPr>
                              <w:tabs>
                                <w:tab w:val="left" w:pos="900"/>
                              </w:tabs>
                              <w:ind w:left="900" w:hanging="720"/>
                              <w:rPr>
                                <w:rFonts w:ascii="Century Gothic" w:hAnsi="Century Gothic"/>
                                <w:sz w:val="20"/>
                                <w:szCs w:val="20"/>
                              </w:rPr>
                            </w:pPr>
                            <w:r w:rsidRPr="001D3CC2">
                              <w:rPr>
                                <w:rFonts w:ascii="Century Gothic" w:hAnsi="Century Gothic"/>
                                <w:sz w:val="20"/>
                                <w:szCs w:val="20"/>
                              </w:rPr>
                              <w:t>(2)</w:t>
                            </w:r>
                            <w:r w:rsidRPr="001D3CC2">
                              <w:rPr>
                                <w:rFonts w:ascii="Century Gothic" w:hAnsi="Century Gothic"/>
                                <w:sz w:val="20"/>
                                <w:szCs w:val="20"/>
                              </w:rPr>
                              <w:tab/>
                            </w:r>
                            <w:r w:rsidR="00893C08" w:rsidRPr="001D3CC2">
                              <w:rPr>
                                <w:rFonts w:ascii="Century Gothic" w:hAnsi="Century Gothic"/>
                                <w:sz w:val="20"/>
                                <w:szCs w:val="20"/>
                              </w:rPr>
                              <w:t>OF INTEREST TO OTHER JUDGES</w:t>
                            </w:r>
                            <w:r w:rsidR="00893C08">
                              <w:rPr>
                                <w:rFonts w:ascii="Century Gothic" w:hAnsi="Century Gothic"/>
                                <w:sz w:val="20"/>
                                <w:szCs w:val="20"/>
                              </w:rPr>
                              <w:t xml:space="preserve">: </w:t>
                            </w:r>
                            <w:r w:rsidR="001A3C26">
                              <w:rPr>
                                <w:rFonts w:ascii="Century Gothic" w:hAnsi="Century Gothic"/>
                                <w:sz w:val="20"/>
                                <w:szCs w:val="20"/>
                              </w:rPr>
                              <w:t>NO</w:t>
                            </w:r>
                          </w:p>
                          <w:p w14:paraId="21D4A71B" w14:textId="5B58BFC8" w:rsidR="00893C08" w:rsidRPr="00913F95" w:rsidRDefault="00893C08" w:rsidP="001D3CC2">
                            <w:pPr>
                              <w:ind w:left="180"/>
                              <w:rPr>
                                <w:rFonts w:ascii="Century Gothic" w:hAnsi="Century Gothic"/>
                                <w:sz w:val="20"/>
                                <w:szCs w:val="20"/>
                              </w:rPr>
                            </w:pPr>
                          </w:p>
                          <w:p w14:paraId="761B7CA4" w14:textId="77777777" w:rsidR="00893C08" w:rsidRDefault="00893C08" w:rsidP="006C43D7">
                            <w:pPr>
                              <w:rPr>
                                <w:rFonts w:ascii="Century Gothic" w:hAnsi="Century Gothic"/>
                                <w:b/>
                                <w:sz w:val="18"/>
                                <w:szCs w:val="18"/>
                              </w:rPr>
                            </w:pPr>
                          </w:p>
                          <w:p w14:paraId="0EC4BA5C" w14:textId="61945B0D" w:rsidR="00893C08" w:rsidRPr="001D3CC2" w:rsidRDefault="00893C08" w:rsidP="001D3CC2">
                            <w:pPr>
                              <w:keepNext/>
                              <w:tabs>
                                <w:tab w:val="right" w:pos="0"/>
                              </w:tabs>
                              <w:contextualSpacing/>
                              <w:jc w:val="center"/>
                              <w:rPr>
                                <w:rFonts w:cs="Arial"/>
                                <w:sz w:val="32"/>
                                <w:szCs w:val="32"/>
                              </w:rPr>
                            </w:pPr>
                            <w:r>
                              <w:rPr>
                                <w:rFonts w:ascii="Century Gothic" w:hAnsi="Century Gothic"/>
                                <w:b/>
                                <w:sz w:val="18"/>
                                <w:szCs w:val="18"/>
                              </w:rPr>
                              <w:t xml:space="preserve">                        </w:t>
                            </w:r>
                            <w:r w:rsidRPr="001D3CC2">
                              <w:rPr>
                                <w:rFonts w:ascii="Century Gothic" w:hAnsi="Century Gothic"/>
                                <w:b/>
                                <w:sz w:val="32"/>
                                <w:szCs w:val="32"/>
                              </w:rPr>
                              <w:t xml:space="preserve">  </w:t>
                            </w:r>
                          </w:p>
                          <w:p w14:paraId="11AD3C7B" w14:textId="4114C951" w:rsidR="00893C08" w:rsidRPr="00084341" w:rsidRDefault="00893C08" w:rsidP="001D3CC2">
                            <w:pPr>
                              <w:rPr>
                                <w:rFonts w:ascii="Century Gothic" w:hAnsi="Century Gothic"/>
                                <w:sz w:val="18"/>
                                <w:szCs w:val="18"/>
                              </w:rPr>
                            </w:pPr>
                            <w:r w:rsidRPr="00084341">
                              <w:rPr>
                                <w:rFonts w:ascii="Century Gothic" w:hAnsi="Century Gothic"/>
                                <w:b/>
                                <w:sz w:val="18"/>
                                <w:szCs w:val="18"/>
                              </w:rPr>
                              <w:t xml:space="preserve">    </w:t>
                            </w:r>
                            <w:r>
                              <w:rPr>
                                <w:rFonts w:ascii="Century Gothic" w:hAnsi="Century Gothic"/>
                                <w:b/>
                                <w:sz w:val="18"/>
                                <w:szCs w:val="18"/>
                              </w:rPr>
                              <w:t xml:space="preserve">   </w:t>
                            </w:r>
                            <w:r w:rsidRPr="00084341">
                              <w:rPr>
                                <w:rFonts w:ascii="Century Gothic" w:hAnsi="Century Gothic"/>
                                <w:sz w:val="18"/>
                                <w:szCs w:val="18"/>
                              </w:rPr>
                              <w:t xml:space="preserve">            DATE</w:t>
                            </w:r>
                            <w:r w:rsidRPr="00084341">
                              <w:rPr>
                                <w:rFonts w:ascii="Century Gothic" w:hAnsi="Century Gothic"/>
                                <w:sz w:val="18"/>
                                <w:szCs w:val="18"/>
                              </w:rPr>
                              <w:tab/>
                            </w:r>
                            <w:r w:rsidRPr="00084341">
                              <w:rPr>
                                <w:rFonts w:ascii="Century Gothic" w:hAnsi="Century Gothic"/>
                                <w:sz w:val="18"/>
                                <w:szCs w:val="18"/>
                              </w:rPr>
                              <w:tab/>
                            </w:r>
                            <w:r w:rsidRPr="00084341">
                              <w:rPr>
                                <w:rFonts w:ascii="Century Gothic" w:hAnsi="Century Gothic"/>
                                <w:sz w:val="18"/>
                                <w:szCs w:val="18"/>
                              </w:rPr>
                              <w:tab/>
                              <w:t xml:space="preserve">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30887" id="_x0000_t202" coordsize="21600,21600" o:spt="202" path="m,l,21600r21600,l21600,xe">
                <v:stroke joinstyle="miter"/>
                <v:path gradientshapeok="t" o:connecttype="rect"/>
              </v:shapetype>
              <v:shape id="Text Box 4" o:spid="_x0000_s1026" type="#_x0000_t202" style="position:absolute;left:0;text-align:left;margin-left:0;margin-top:3.9pt;width:261pt;height:12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">
                <v:textbox>
                  <w:txbxContent>
                    <w:p w14:paraId="0EA4B470" w14:textId="77777777" w:rsidR="00893C08" w:rsidRPr="00913F95" w:rsidRDefault="00893C08" w:rsidP="006C43D7">
                      <w:pPr>
                        <w:jc w:val="center"/>
                        <w:rPr>
                          <w:rFonts w:ascii="Century Gothic" w:hAnsi="Century Gothic"/>
                          <w:b/>
                          <w:sz w:val="20"/>
                          <w:szCs w:val="20"/>
                        </w:rPr>
                      </w:pPr>
                    </w:p>
                    <w:p w14:paraId="01FDAE28" w14:textId="3856D241" w:rsidR="00893C08" w:rsidRDefault="00805AB1" w:rsidP="00805AB1">
                      <w:pPr>
                        <w:tabs>
                          <w:tab w:val="left" w:pos="900"/>
                        </w:tabs>
                        <w:ind w:left="900" w:hanging="720"/>
                        <w:rPr>
                          <w:rFonts w:ascii="Century Gothic" w:hAnsi="Century Gothic"/>
                          <w:sz w:val="20"/>
                          <w:szCs w:val="20"/>
                        </w:rPr>
                      </w:pPr>
                      <w:r>
                        <w:rPr>
                          <w:rFonts w:ascii="Century Gothic" w:hAnsi="Century Gothic"/>
                          <w:sz w:val="20"/>
                          <w:szCs w:val="20"/>
                        </w:rPr>
                        <w:t>(1)</w:t>
                      </w:r>
                      <w:r>
                        <w:rPr>
                          <w:rFonts w:ascii="Century Gothic" w:hAnsi="Century Gothic"/>
                          <w:sz w:val="20"/>
                          <w:szCs w:val="20"/>
                        </w:rPr>
                        <w:tab/>
                      </w:r>
                      <w:r w:rsidR="00893C08" w:rsidRPr="001D3CC2">
                        <w:rPr>
                          <w:rFonts w:ascii="Century Gothic" w:hAnsi="Century Gothic"/>
                          <w:sz w:val="20"/>
                          <w:szCs w:val="20"/>
                        </w:rPr>
                        <w:t xml:space="preserve">REPORTABLE: </w:t>
                      </w:r>
                      <w:r w:rsidR="001A3C26">
                        <w:rPr>
                          <w:rFonts w:ascii="Century Gothic" w:hAnsi="Century Gothic"/>
                          <w:sz w:val="20"/>
                          <w:szCs w:val="20"/>
                        </w:rPr>
                        <w:t>NO</w:t>
                      </w:r>
                    </w:p>
                    <w:p w14:paraId="3A4C7296" w14:textId="77ACB98A" w:rsidR="00893C08" w:rsidRPr="001D3CC2" w:rsidRDefault="00805AB1" w:rsidP="00805AB1">
                      <w:pPr>
                        <w:tabs>
                          <w:tab w:val="left" w:pos="900"/>
                        </w:tabs>
                        <w:ind w:left="900" w:hanging="720"/>
                        <w:rPr>
                          <w:rFonts w:ascii="Century Gothic" w:hAnsi="Century Gothic"/>
                          <w:sz w:val="20"/>
                          <w:szCs w:val="20"/>
                        </w:rPr>
                      </w:pPr>
                      <w:r w:rsidRPr="001D3CC2">
                        <w:rPr>
                          <w:rFonts w:ascii="Century Gothic" w:hAnsi="Century Gothic"/>
                          <w:sz w:val="20"/>
                          <w:szCs w:val="20"/>
                        </w:rPr>
                        <w:t>(2)</w:t>
                      </w:r>
                      <w:r w:rsidRPr="001D3CC2">
                        <w:rPr>
                          <w:rFonts w:ascii="Century Gothic" w:hAnsi="Century Gothic"/>
                          <w:sz w:val="20"/>
                          <w:szCs w:val="20"/>
                        </w:rPr>
                        <w:tab/>
                      </w:r>
                      <w:r w:rsidR="00893C08" w:rsidRPr="001D3CC2">
                        <w:rPr>
                          <w:rFonts w:ascii="Century Gothic" w:hAnsi="Century Gothic"/>
                          <w:sz w:val="20"/>
                          <w:szCs w:val="20"/>
                        </w:rPr>
                        <w:t>OF INTEREST TO OTHER JUDGES</w:t>
                      </w:r>
                      <w:r w:rsidR="00893C08">
                        <w:rPr>
                          <w:rFonts w:ascii="Century Gothic" w:hAnsi="Century Gothic"/>
                          <w:sz w:val="20"/>
                          <w:szCs w:val="20"/>
                        </w:rPr>
                        <w:t xml:space="preserve">: </w:t>
                      </w:r>
                      <w:r w:rsidR="001A3C26">
                        <w:rPr>
                          <w:rFonts w:ascii="Century Gothic" w:hAnsi="Century Gothic"/>
                          <w:sz w:val="20"/>
                          <w:szCs w:val="20"/>
                        </w:rPr>
                        <w:t>NO</w:t>
                      </w:r>
                    </w:p>
                    <w:p w14:paraId="21D4A71B" w14:textId="5B58BFC8" w:rsidR="00893C08" w:rsidRPr="00913F95" w:rsidRDefault="00893C08" w:rsidP="001D3CC2">
                      <w:pPr>
                        <w:ind w:left="180"/>
                        <w:rPr>
                          <w:rFonts w:ascii="Century Gothic" w:hAnsi="Century Gothic"/>
                          <w:sz w:val="20"/>
                          <w:szCs w:val="20"/>
                        </w:rPr>
                      </w:pPr>
                    </w:p>
                    <w:p w14:paraId="761B7CA4" w14:textId="77777777" w:rsidR="00893C08" w:rsidRDefault="00893C08" w:rsidP="006C43D7">
                      <w:pPr>
                        <w:rPr>
                          <w:rFonts w:ascii="Century Gothic" w:hAnsi="Century Gothic"/>
                          <w:b/>
                          <w:sz w:val="18"/>
                          <w:szCs w:val="18"/>
                        </w:rPr>
                      </w:pPr>
                    </w:p>
                    <w:p w14:paraId="0EC4BA5C" w14:textId="61945B0D" w:rsidR="00893C08" w:rsidRPr="001D3CC2" w:rsidRDefault="00893C08" w:rsidP="001D3CC2">
                      <w:pPr>
                        <w:keepNext/>
                        <w:tabs>
                          <w:tab w:val="right" w:pos="0"/>
                        </w:tabs>
                        <w:contextualSpacing/>
                        <w:jc w:val="center"/>
                        <w:rPr>
                          <w:rFonts w:cs="Arial"/>
                          <w:sz w:val="32"/>
                          <w:szCs w:val="32"/>
                        </w:rPr>
                      </w:pPr>
                      <w:r>
                        <w:rPr>
                          <w:rFonts w:ascii="Century Gothic" w:hAnsi="Century Gothic"/>
                          <w:b/>
                          <w:sz w:val="18"/>
                          <w:szCs w:val="18"/>
                        </w:rPr>
                        <w:t xml:space="preserve">                        </w:t>
                      </w:r>
                      <w:r w:rsidRPr="001D3CC2">
                        <w:rPr>
                          <w:rFonts w:ascii="Century Gothic" w:hAnsi="Century Gothic"/>
                          <w:b/>
                          <w:sz w:val="32"/>
                          <w:szCs w:val="32"/>
                        </w:rPr>
                        <w:t xml:space="preserve">  </w:t>
                      </w:r>
                    </w:p>
                    <w:p w14:paraId="11AD3C7B" w14:textId="4114C951" w:rsidR="00893C08" w:rsidRPr="00084341" w:rsidRDefault="00893C08" w:rsidP="001D3CC2">
                      <w:pPr>
                        <w:rPr>
                          <w:rFonts w:ascii="Century Gothic" w:hAnsi="Century Gothic"/>
                          <w:sz w:val="18"/>
                          <w:szCs w:val="18"/>
                        </w:rPr>
                      </w:pPr>
                      <w:r w:rsidRPr="00084341">
                        <w:rPr>
                          <w:rFonts w:ascii="Century Gothic" w:hAnsi="Century Gothic"/>
                          <w:b/>
                          <w:sz w:val="18"/>
                          <w:szCs w:val="18"/>
                        </w:rPr>
                        <w:t xml:space="preserve">    </w:t>
                      </w:r>
                      <w:r>
                        <w:rPr>
                          <w:rFonts w:ascii="Century Gothic" w:hAnsi="Century Gothic"/>
                          <w:b/>
                          <w:sz w:val="18"/>
                          <w:szCs w:val="18"/>
                        </w:rPr>
                        <w:t xml:space="preserve">   </w:t>
                      </w:r>
                      <w:r w:rsidRPr="00084341">
                        <w:rPr>
                          <w:rFonts w:ascii="Century Gothic" w:hAnsi="Century Gothic"/>
                          <w:sz w:val="18"/>
                          <w:szCs w:val="18"/>
                        </w:rPr>
                        <w:t xml:space="preserve">            DATE</w:t>
                      </w:r>
                      <w:r w:rsidRPr="00084341">
                        <w:rPr>
                          <w:rFonts w:ascii="Century Gothic" w:hAnsi="Century Gothic"/>
                          <w:sz w:val="18"/>
                          <w:szCs w:val="18"/>
                        </w:rPr>
                        <w:tab/>
                      </w:r>
                      <w:r w:rsidRPr="00084341">
                        <w:rPr>
                          <w:rFonts w:ascii="Century Gothic" w:hAnsi="Century Gothic"/>
                          <w:sz w:val="18"/>
                          <w:szCs w:val="18"/>
                        </w:rPr>
                        <w:tab/>
                      </w:r>
                      <w:r w:rsidRPr="00084341">
                        <w:rPr>
                          <w:rFonts w:ascii="Century Gothic" w:hAnsi="Century Gothic"/>
                          <w:sz w:val="18"/>
                          <w:szCs w:val="18"/>
                        </w:rPr>
                        <w:tab/>
                        <w:t xml:space="preserve">        SIGNATURE</w:t>
                      </w:r>
                    </w:p>
                  </w:txbxContent>
                </v:textbox>
                <w10:wrap anchorx="margin"/>
              </v:shape>
            </w:pict>
          </mc:Fallback>
        </mc:AlternateContent>
      </w:r>
    </w:p>
    <w:p w14:paraId="084B5ECD" w14:textId="77777777" w:rsidR="006C43D7" w:rsidRPr="00E67C0A" w:rsidRDefault="006C43D7" w:rsidP="00C74E97">
      <w:pPr>
        <w:spacing w:line="360" w:lineRule="auto"/>
        <w:jc w:val="both"/>
        <w:rPr>
          <w:rFonts w:cs="Arial"/>
          <w:szCs w:val="22"/>
        </w:rPr>
      </w:pPr>
    </w:p>
    <w:p w14:paraId="4E808D74" w14:textId="77777777" w:rsidR="006C43D7" w:rsidRPr="00E67C0A" w:rsidRDefault="006C43D7" w:rsidP="00C74E97">
      <w:pPr>
        <w:spacing w:line="360" w:lineRule="auto"/>
        <w:jc w:val="both"/>
        <w:rPr>
          <w:rFonts w:cs="Arial"/>
          <w:szCs w:val="22"/>
        </w:rPr>
      </w:pPr>
    </w:p>
    <w:p w14:paraId="34BF70B6" w14:textId="77777777" w:rsidR="006C43D7" w:rsidRPr="00E67C0A" w:rsidRDefault="006C43D7" w:rsidP="00C74E97">
      <w:pPr>
        <w:spacing w:line="360" w:lineRule="auto"/>
        <w:jc w:val="both"/>
        <w:rPr>
          <w:rFonts w:cs="Arial"/>
          <w:szCs w:val="22"/>
        </w:rPr>
      </w:pPr>
    </w:p>
    <w:p w14:paraId="2F53BA3A" w14:textId="77777777" w:rsidR="006C43D7" w:rsidRPr="00E67C0A" w:rsidRDefault="006C43D7" w:rsidP="00C74E97">
      <w:pPr>
        <w:spacing w:line="360" w:lineRule="auto"/>
        <w:jc w:val="both"/>
        <w:rPr>
          <w:rFonts w:cs="Arial"/>
          <w:szCs w:val="22"/>
        </w:rPr>
      </w:pPr>
    </w:p>
    <w:p w14:paraId="3A1C212E" w14:textId="77777777" w:rsidR="006C43D7" w:rsidRPr="00E67C0A" w:rsidRDefault="006C43D7" w:rsidP="00C74E97">
      <w:pPr>
        <w:spacing w:line="360" w:lineRule="auto"/>
        <w:jc w:val="both"/>
        <w:rPr>
          <w:rFonts w:cs="Arial"/>
          <w:szCs w:val="22"/>
        </w:rPr>
      </w:pPr>
    </w:p>
    <w:p w14:paraId="04919B1B" w14:textId="77777777" w:rsidR="001D3CC2" w:rsidRPr="00E67C0A" w:rsidRDefault="001D3CC2" w:rsidP="00C74E97">
      <w:pPr>
        <w:spacing w:line="360" w:lineRule="auto"/>
        <w:jc w:val="both"/>
        <w:rPr>
          <w:rFonts w:cs="Arial"/>
          <w:szCs w:val="22"/>
        </w:rPr>
      </w:pPr>
    </w:p>
    <w:p w14:paraId="045D3852" w14:textId="77777777" w:rsidR="00E57446" w:rsidRPr="00E67C0A" w:rsidRDefault="00E57446" w:rsidP="00C74E97">
      <w:pPr>
        <w:spacing w:line="360" w:lineRule="auto"/>
        <w:jc w:val="both"/>
        <w:rPr>
          <w:rFonts w:cs="Arial"/>
          <w:szCs w:val="22"/>
        </w:rPr>
      </w:pPr>
    </w:p>
    <w:p w14:paraId="2804C32A" w14:textId="6C8D50AF" w:rsidR="00E57446" w:rsidRPr="00E67C0A" w:rsidRDefault="00E57446" w:rsidP="00C74E97">
      <w:pPr>
        <w:spacing w:line="360" w:lineRule="auto"/>
        <w:jc w:val="both"/>
        <w:rPr>
          <w:rFonts w:cs="Arial"/>
          <w:szCs w:val="22"/>
        </w:rPr>
      </w:pPr>
      <w:r w:rsidRPr="00E67C0A">
        <w:rPr>
          <w:rFonts w:cs="Arial"/>
          <w:szCs w:val="22"/>
        </w:rPr>
        <w:t>In the application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5"/>
        <w:gridCol w:w="2246"/>
      </w:tblGrid>
      <w:tr w:rsidR="00E57446" w:rsidRPr="00E67C0A" w14:paraId="4CBFF906" w14:textId="77777777" w:rsidTr="00893C08">
        <w:tc>
          <w:tcPr>
            <w:tcW w:w="6305" w:type="dxa"/>
          </w:tcPr>
          <w:p w14:paraId="07466740" w14:textId="071F518F" w:rsidR="00E57446" w:rsidRPr="00E67C0A" w:rsidRDefault="00301DDA" w:rsidP="00893C08">
            <w:pPr>
              <w:spacing w:line="360" w:lineRule="auto"/>
              <w:jc w:val="both"/>
              <w:rPr>
                <w:rFonts w:cs="Arial"/>
                <w:b/>
                <w:szCs w:val="22"/>
              </w:rPr>
            </w:pPr>
            <w:r w:rsidRPr="00E67C0A">
              <w:rPr>
                <w:rFonts w:cs="Arial"/>
                <w:b/>
                <w:szCs w:val="22"/>
              </w:rPr>
              <w:t>ANPHIL INVESTMENTS (PTY) LTD</w:t>
            </w:r>
          </w:p>
        </w:tc>
        <w:tc>
          <w:tcPr>
            <w:tcW w:w="2246" w:type="dxa"/>
          </w:tcPr>
          <w:p w14:paraId="32F3C456" w14:textId="4542077E" w:rsidR="00E57446" w:rsidRPr="00E67C0A" w:rsidRDefault="00E57446" w:rsidP="00893C08">
            <w:pPr>
              <w:spacing w:line="360" w:lineRule="auto"/>
              <w:rPr>
                <w:rFonts w:cs="Arial"/>
                <w:szCs w:val="22"/>
              </w:rPr>
            </w:pPr>
            <w:r w:rsidRPr="00E67C0A">
              <w:rPr>
                <w:rFonts w:cs="Arial"/>
                <w:szCs w:val="22"/>
              </w:rPr>
              <w:t>Applicant</w:t>
            </w:r>
          </w:p>
        </w:tc>
      </w:tr>
      <w:tr w:rsidR="00E57446" w:rsidRPr="00E67C0A" w14:paraId="582D8E94" w14:textId="77777777" w:rsidTr="00893C08">
        <w:tc>
          <w:tcPr>
            <w:tcW w:w="6305" w:type="dxa"/>
          </w:tcPr>
          <w:p w14:paraId="7BC13697" w14:textId="77777777" w:rsidR="00E57446" w:rsidRPr="00E67C0A" w:rsidRDefault="00E57446" w:rsidP="00893C08">
            <w:pPr>
              <w:spacing w:line="360" w:lineRule="auto"/>
              <w:jc w:val="both"/>
              <w:rPr>
                <w:rFonts w:cs="Arial"/>
                <w:szCs w:val="22"/>
              </w:rPr>
            </w:pPr>
            <w:r w:rsidRPr="00E67C0A">
              <w:rPr>
                <w:rFonts w:cs="Arial"/>
                <w:szCs w:val="22"/>
              </w:rPr>
              <w:t xml:space="preserve">and  </w:t>
            </w:r>
          </w:p>
        </w:tc>
        <w:tc>
          <w:tcPr>
            <w:tcW w:w="2246" w:type="dxa"/>
          </w:tcPr>
          <w:p w14:paraId="3E582FC6" w14:textId="77777777" w:rsidR="00E57446" w:rsidRPr="00E67C0A" w:rsidRDefault="00E57446" w:rsidP="00893C08">
            <w:pPr>
              <w:spacing w:line="360" w:lineRule="auto"/>
              <w:jc w:val="right"/>
              <w:rPr>
                <w:rFonts w:cs="Arial"/>
                <w:szCs w:val="22"/>
              </w:rPr>
            </w:pPr>
          </w:p>
        </w:tc>
      </w:tr>
      <w:tr w:rsidR="00E57446" w:rsidRPr="00E67C0A" w14:paraId="143F83E0" w14:textId="77777777" w:rsidTr="00893C08">
        <w:tc>
          <w:tcPr>
            <w:tcW w:w="6305" w:type="dxa"/>
          </w:tcPr>
          <w:p w14:paraId="66C3A0D3" w14:textId="7B56B0D5" w:rsidR="00E57446" w:rsidRPr="00E67C0A" w:rsidRDefault="00301DDA" w:rsidP="00893C08">
            <w:pPr>
              <w:spacing w:line="360" w:lineRule="auto"/>
              <w:jc w:val="both"/>
              <w:rPr>
                <w:rFonts w:cs="Arial"/>
                <w:b/>
                <w:szCs w:val="22"/>
              </w:rPr>
            </w:pPr>
            <w:r w:rsidRPr="00E67C0A">
              <w:rPr>
                <w:rFonts w:cs="Arial"/>
                <w:b/>
                <w:szCs w:val="22"/>
              </w:rPr>
              <w:t>OGM MINING SUPPLIES CC</w:t>
            </w:r>
          </w:p>
        </w:tc>
        <w:tc>
          <w:tcPr>
            <w:tcW w:w="2246" w:type="dxa"/>
          </w:tcPr>
          <w:p w14:paraId="79FDAF6B" w14:textId="47CAE53F" w:rsidR="00E57446" w:rsidRPr="00E67C0A" w:rsidRDefault="00E57446" w:rsidP="00893C08">
            <w:pPr>
              <w:spacing w:line="360" w:lineRule="auto"/>
              <w:rPr>
                <w:rFonts w:cs="Arial"/>
                <w:szCs w:val="22"/>
              </w:rPr>
            </w:pPr>
            <w:r w:rsidRPr="00E67C0A">
              <w:rPr>
                <w:rFonts w:cs="Arial"/>
                <w:szCs w:val="22"/>
              </w:rPr>
              <w:t>Respondent</w:t>
            </w:r>
          </w:p>
        </w:tc>
      </w:tr>
    </w:tbl>
    <w:p w14:paraId="73A7E259" w14:textId="77777777" w:rsidR="00C1108E" w:rsidRPr="00E67C0A" w:rsidRDefault="00C1108E" w:rsidP="00C74E97">
      <w:pPr>
        <w:pBdr>
          <w:bottom w:val="single" w:sz="4" w:space="1" w:color="auto"/>
        </w:pBdr>
        <w:spacing w:line="360" w:lineRule="auto"/>
        <w:jc w:val="both"/>
        <w:rPr>
          <w:rFonts w:cs="Arial"/>
          <w:szCs w:val="22"/>
        </w:rPr>
      </w:pPr>
    </w:p>
    <w:p w14:paraId="58DE5549" w14:textId="77777777" w:rsidR="006C43D7" w:rsidRPr="00E67C0A" w:rsidRDefault="006C43D7" w:rsidP="00C74E97">
      <w:pPr>
        <w:spacing w:line="360" w:lineRule="auto"/>
        <w:jc w:val="both"/>
        <w:rPr>
          <w:rFonts w:cs="Arial"/>
          <w:szCs w:val="22"/>
        </w:rPr>
      </w:pPr>
    </w:p>
    <w:p w14:paraId="647AB70C" w14:textId="77777777" w:rsidR="006C43D7" w:rsidRPr="00E67C0A" w:rsidRDefault="006C43D7" w:rsidP="00C74E97">
      <w:pPr>
        <w:keepNext/>
        <w:spacing w:line="360" w:lineRule="auto"/>
        <w:jc w:val="center"/>
        <w:outlineLvl w:val="1"/>
        <w:rPr>
          <w:rFonts w:cs="Arial"/>
          <w:b/>
          <w:bCs/>
          <w:szCs w:val="22"/>
        </w:rPr>
      </w:pPr>
      <w:r w:rsidRPr="00E67C0A">
        <w:rPr>
          <w:rFonts w:cs="Arial"/>
          <w:b/>
          <w:bCs/>
          <w:szCs w:val="22"/>
        </w:rPr>
        <w:t>JUDGMENT</w:t>
      </w:r>
    </w:p>
    <w:p w14:paraId="52CD25EB" w14:textId="77777777" w:rsidR="006C43D7" w:rsidRPr="00E67C0A" w:rsidRDefault="006C43D7" w:rsidP="00C74E97">
      <w:pPr>
        <w:pBdr>
          <w:bottom w:val="single" w:sz="4" w:space="1" w:color="auto"/>
        </w:pBdr>
        <w:spacing w:line="360" w:lineRule="auto"/>
        <w:jc w:val="both"/>
        <w:rPr>
          <w:rFonts w:cs="Arial"/>
          <w:szCs w:val="22"/>
        </w:rPr>
      </w:pPr>
    </w:p>
    <w:p w14:paraId="0CA76DA1" w14:textId="77777777" w:rsidR="00DC621D" w:rsidRPr="00E67C0A" w:rsidRDefault="00DC621D" w:rsidP="00C74E97">
      <w:pPr>
        <w:spacing w:line="360" w:lineRule="auto"/>
        <w:jc w:val="both"/>
        <w:rPr>
          <w:rFonts w:cs="Arial"/>
          <w:b/>
          <w:szCs w:val="22"/>
        </w:rPr>
      </w:pPr>
    </w:p>
    <w:p w14:paraId="5BD82EFE" w14:textId="0F8FBF70" w:rsidR="00BE6AB8" w:rsidRPr="00E67C0A" w:rsidRDefault="00C676F3" w:rsidP="00C74E97">
      <w:pPr>
        <w:spacing w:after="480" w:line="360" w:lineRule="auto"/>
        <w:jc w:val="both"/>
        <w:rPr>
          <w:rFonts w:cs="Arial"/>
          <w:b/>
          <w:szCs w:val="22"/>
        </w:rPr>
      </w:pPr>
      <w:r w:rsidRPr="00E67C0A">
        <w:rPr>
          <w:rFonts w:cs="Arial"/>
          <w:b/>
          <w:szCs w:val="22"/>
        </w:rPr>
        <w:t>MOORCROFT</w:t>
      </w:r>
      <w:r w:rsidR="006C43D7" w:rsidRPr="00E67C0A">
        <w:rPr>
          <w:rFonts w:cs="Arial"/>
          <w:b/>
          <w:szCs w:val="22"/>
        </w:rPr>
        <w:t xml:space="preserve"> AJ:</w:t>
      </w:r>
    </w:p>
    <w:p w14:paraId="18AFD427" w14:textId="35E99A54" w:rsidR="00BE6AB8" w:rsidRPr="00E67C0A" w:rsidRDefault="00BE6AB8" w:rsidP="00C74E97">
      <w:pPr>
        <w:keepNext/>
        <w:spacing w:after="480" w:line="360" w:lineRule="auto"/>
        <w:jc w:val="both"/>
        <w:rPr>
          <w:rFonts w:cs="Arial"/>
          <w:bCs/>
          <w:szCs w:val="22"/>
          <w:u w:val="single"/>
        </w:rPr>
      </w:pPr>
      <w:r w:rsidRPr="00E67C0A">
        <w:rPr>
          <w:rFonts w:cs="Arial"/>
          <w:bCs/>
          <w:szCs w:val="22"/>
          <w:u w:val="single"/>
        </w:rPr>
        <w:t>Order</w:t>
      </w:r>
    </w:p>
    <w:p w14:paraId="25A66E53" w14:textId="49D47C2D" w:rsidR="00DC6EF8" w:rsidRPr="00E67C0A" w:rsidRDefault="00805AB1" w:rsidP="00805AB1">
      <w:pPr>
        <w:tabs>
          <w:tab w:val="left" w:pos="567"/>
        </w:tabs>
        <w:spacing w:after="480" w:line="360" w:lineRule="auto"/>
        <w:jc w:val="both"/>
        <w:rPr>
          <w:rFonts w:cs="Arial"/>
          <w:bCs/>
          <w:szCs w:val="22"/>
        </w:rPr>
      </w:pPr>
      <w:r w:rsidRPr="00E67C0A">
        <w:rPr>
          <w:rFonts w:cs="Arial"/>
          <w:bCs/>
          <w:szCs w:val="22"/>
        </w:rPr>
        <w:t>[1]</w:t>
      </w:r>
      <w:r w:rsidRPr="00E67C0A">
        <w:rPr>
          <w:rFonts w:cs="Arial"/>
          <w:bCs/>
          <w:szCs w:val="22"/>
        </w:rPr>
        <w:tab/>
      </w:r>
      <w:r w:rsidR="003B4100" w:rsidRPr="00E67C0A">
        <w:rPr>
          <w:rFonts w:cs="Arial"/>
          <w:bCs/>
          <w:szCs w:val="22"/>
        </w:rPr>
        <w:t xml:space="preserve">In this </w:t>
      </w:r>
      <w:r w:rsidR="00B56906" w:rsidRPr="00E67C0A">
        <w:rPr>
          <w:rFonts w:cs="Arial"/>
          <w:bCs/>
          <w:szCs w:val="22"/>
        </w:rPr>
        <w:t>matter</w:t>
      </w:r>
      <w:r w:rsidR="001A3C26" w:rsidRPr="00E67C0A">
        <w:rPr>
          <w:rFonts w:cs="Arial"/>
          <w:bCs/>
          <w:szCs w:val="22"/>
        </w:rPr>
        <w:t xml:space="preserve"> I ma</w:t>
      </w:r>
      <w:r w:rsidR="00B429EA" w:rsidRPr="00E67C0A">
        <w:rPr>
          <w:rFonts w:cs="Arial"/>
          <w:bCs/>
          <w:szCs w:val="22"/>
        </w:rPr>
        <w:t>d</w:t>
      </w:r>
      <w:r w:rsidR="001A3C26" w:rsidRPr="00E67C0A">
        <w:rPr>
          <w:rFonts w:cs="Arial"/>
          <w:bCs/>
          <w:szCs w:val="22"/>
        </w:rPr>
        <w:t>e the following order</w:t>
      </w:r>
      <w:r w:rsidR="00B429EA" w:rsidRPr="00E67C0A">
        <w:rPr>
          <w:rFonts w:cs="Arial"/>
          <w:bCs/>
          <w:szCs w:val="22"/>
        </w:rPr>
        <w:t xml:space="preserve"> on 20 June 2023</w:t>
      </w:r>
      <w:r w:rsidR="001A3C26" w:rsidRPr="00E67C0A">
        <w:rPr>
          <w:rFonts w:cs="Arial"/>
          <w:bCs/>
          <w:szCs w:val="22"/>
        </w:rPr>
        <w:t>:</w:t>
      </w:r>
    </w:p>
    <w:p w14:paraId="345EB729" w14:textId="4A556A1B" w:rsidR="006854F9" w:rsidRPr="00805AB1" w:rsidRDefault="00805AB1" w:rsidP="00805AB1">
      <w:pPr>
        <w:spacing w:before="120" w:after="120" w:line="360" w:lineRule="auto"/>
        <w:ind w:left="360" w:hanging="360"/>
        <w:jc w:val="both"/>
        <w:rPr>
          <w:rFonts w:cs="Arial"/>
          <w:i/>
          <w:iCs/>
          <w:szCs w:val="22"/>
        </w:rPr>
      </w:pPr>
      <w:r w:rsidRPr="00E67C0A">
        <w:rPr>
          <w:rFonts w:cs="Arial"/>
          <w:i/>
          <w:iCs/>
          <w:szCs w:val="22"/>
        </w:rPr>
        <w:t>1.</w:t>
      </w:r>
      <w:r w:rsidRPr="00E67C0A">
        <w:rPr>
          <w:rFonts w:cs="Arial"/>
          <w:i/>
          <w:iCs/>
          <w:szCs w:val="22"/>
        </w:rPr>
        <w:tab/>
      </w:r>
      <w:r w:rsidR="006854F9" w:rsidRPr="00805AB1">
        <w:rPr>
          <w:rFonts w:cs="Arial"/>
          <w:i/>
          <w:iCs/>
          <w:szCs w:val="22"/>
        </w:rPr>
        <w:t>Directing the respondent to restore to the applicant possession of Portion 1 of Erf 279, Cason Extension 2 Township, Province of Gauteng, identified by letters A-B-C-</w:t>
      </w:r>
      <w:r w:rsidR="006854F9" w:rsidRPr="00805AB1">
        <w:rPr>
          <w:rFonts w:cs="Arial"/>
          <w:i/>
          <w:iCs/>
          <w:szCs w:val="22"/>
        </w:rPr>
        <w:lastRenderedPageBreak/>
        <w:t>D-A on the diagram attached as “X” herewith, within thirty days of the date of this order;</w:t>
      </w:r>
    </w:p>
    <w:p w14:paraId="30A57EAE" w14:textId="3A5D3CAE" w:rsidR="006854F9" w:rsidRPr="00805AB1" w:rsidRDefault="00805AB1" w:rsidP="00805AB1">
      <w:pPr>
        <w:spacing w:before="120" w:after="120" w:line="360" w:lineRule="auto"/>
        <w:ind w:left="360" w:hanging="360"/>
        <w:jc w:val="both"/>
        <w:rPr>
          <w:rFonts w:cs="Arial"/>
          <w:i/>
          <w:iCs/>
          <w:szCs w:val="22"/>
        </w:rPr>
      </w:pPr>
      <w:r w:rsidRPr="00E67C0A">
        <w:rPr>
          <w:rFonts w:cs="Arial"/>
          <w:i/>
          <w:iCs/>
          <w:szCs w:val="22"/>
        </w:rPr>
        <w:t>2.</w:t>
      </w:r>
      <w:r w:rsidRPr="00E67C0A">
        <w:rPr>
          <w:rFonts w:cs="Arial"/>
          <w:i/>
          <w:iCs/>
          <w:szCs w:val="22"/>
        </w:rPr>
        <w:tab/>
      </w:r>
      <w:r w:rsidR="006854F9" w:rsidRPr="00805AB1">
        <w:rPr>
          <w:rFonts w:cs="Arial"/>
          <w:i/>
          <w:iCs/>
          <w:szCs w:val="22"/>
        </w:rPr>
        <w:t>In the event that the respondent fails to comply with the order, the Sheriff is authorised to take control of the said Portion, evict the respondent, and to restore possession to the applicant;</w:t>
      </w:r>
    </w:p>
    <w:p w14:paraId="57F9AA6F" w14:textId="58F9862A" w:rsidR="006854F9" w:rsidRPr="00805AB1" w:rsidRDefault="00805AB1" w:rsidP="00805AB1">
      <w:pPr>
        <w:spacing w:before="120" w:after="120" w:line="360" w:lineRule="auto"/>
        <w:ind w:left="360" w:hanging="360"/>
        <w:jc w:val="both"/>
        <w:rPr>
          <w:rFonts w:cs="Arial"/>
          <w:i/>
          <w:iCs/>
          <w:szCs w:val="22"/>
        </w:rPr>
      </w:pPr>
      <w:r w:rsidRPr="00E67C0A">
        <w:rPr>
          <w:rFonts w:cs="Arial"/>
          <w:i/>
          <w:iCs/>
          <w:szCs w:val="22"/>
        </w:rPr>
        <w:t>3.</w:t>
      </w:r>
      <w:r w:rsidRPr="00E67C0A">
        <w:rPr>
          <w:rFonts w:cs="Arial"/>
          <w:i/>
          <w:iCs/>
          <w:szCs w:val="22"/>
        </w:rPr>
        <w:tab/>
      </w:r>
      <w:r w:rsidR="006854F9" w:rsidRPr="00805AB1">
        <w:rPr>
          <w:rFonts w:cs="Arial"/>
          <w:i/>
          <w:iCs/>
          <w:szCs w:val="22"/>
        </w:rPr>
        <w:t>The applicant is authorized when in possession of the Portion to demolish the wall identified by A-B on the diagram that separates Portion 1 and the Remainder of Erf 279;</w:t>
      </w:r>
    </w:p>
    <w:p w14:paraId="200C3A45" w14:textId="6FA3E1D7" w:rsidR="006854F9" w:rsidRPr="00805AB1" w:rsidRDefault="00805AB1" w:rsidP="00805AB1">
      <w:pPr>
        <w:spacing w:before="120" w:after="120" w:line="360" w:lineRule="auto"/>
        <w:ind w:left="360" w:hanging="360"/>
        <w:jc w:val="both"/>
        <w:rPr>
          <w:rFonts w:cs="Arial"/>
          <w:i/>
          <w:iCs/>
          <w:szCs w:val="22"/>
        </w:rPr>
      </w:pPr>
      <w:r w:rsidRPr="00E67C0A">
        <w:rPr>
          <w:rFonts w:cs="Arial"/>
          <w:i/>
          <w:iCs/>
          <w:szCs w:val="22"/>
        </w:rPr>
        <w:t>4.</w:t>
      </w:r>
      <w:r w:rsidRPr="00E67C0A">
        <w:rPr>
          <w:rFonts w:cs="Arial"/>
          <w:i/>
          <w:iCs/>
          <w:szCs w:val="22"/>
        </w:rPr>
        <w:tab/>
      </w:r>
      <w:r w:rsidR="006854F9" w:rsidRPr="00805AB1">
        <w:rPr>
          <w:rFonts w:cs="Arial"/>
          <w:i/>
          <w:iCs/>
          <w:szCs w:val="22"/>
        </w:rPr>
        <w:t>The respondent’s counter-application is dismissed;</w:t>
      </w:r>
    </w:p>
    <w:p w14:paraId="102429A8" w14:textId="52DEF2AC" w:rsidR="006854F9" w:rsidRPr="00805AB1" w:rsidRDefault="00805AB1" w:rsidP="00805AB1">
      <w:pPr>
        <w:spacing w:before="120" w:after="120" w:line="360" w:lineRule="auto"/>
        <w:ind w:left="360" w:hanging="360"/>
        <w:jc w:val="both"/>
        <w:rPr>
          <w:rFonts w:cs="Arial"/>
          <w:i/>
          <w:iCs/>
          <w:szCs w:val="22"/>
        </w:rPr>
      </w:pPr>
      <w:r w:rsidRPr="00E67C0A">
        <w:rPr>
          <w:rFonts w:cs="Arial"/>
          <w:i/>
          <w:iCs/>
          <w:szCs w:val="22"/>
        </w:rPr>
        <w:t>5.</w:t>
      </w:r>
      <w:r w:rsidRPr="00E67C0A">
        <w:rPr>
          <w:rFonts w:cs="Arial"/>
          <w:i/>
          <w:iCs/>
          <w:szCs w:val="22"/>
        </w:rPr>
        <w:tab/>
      </w:r>
      <w:r w:rsidR="006854F9" w:rsidRPr="00805AB1">
        <w:rPr>
          <w:rFonts w:cs="Arial"/>
          <w:i/>
          <w:iCs/>
          <w:szCs w:val="22"/>
        </w:rPr>
        <w:t>The respondent is ordered to pay the applicant’s costs of the application and counter-application.</w:t>
      </w:r>
    </w:p>
    <w:p w14:paraId="08540072" w14:textId="37F0A26F" w:rsidR="00C9310B" w:rsidRPr="00805AB1" w:rsidRDefault="00805AB1" w:rsidP="00805AB1">
      <w:pPr>
        <w:widowControl w:val="0"/>
        <w:tabs>
          <w:tab w:val="left" w:pos="567"/>
        </w:tabs>
        <w:spacing w:before="480" w:after="480" w:line="360" w:lineRule="auto"/>
        <w:jc w:val="both"/>
        <w:rPr>
          <w:rFonts w:cs="Arial"/>
          <w:bCs/>
          <w:szCs w:val="22"/>
          <w:u w:val="single"/>
        </w:rPr>
      </w:pPr>
      <w:r w:rsidRPr="00E67C0A">
        <w:rPr>
          <w:rFonts w:cs="Arial"/>
          <w:bCs/>
          <w:szCs w:val="22"/>
        </w:rPr>
        <w:t>[2]</w:t>
      </w:r>
      <w:r w:rsidRPr="00E67C0A">
        <w:rPr>
          <w:rFonts w:cs="Arial"/>
          <w:bCs/>
          <w:szCs w:val="22"/>
        </w:rPr>
        <w:tab/>
      </w:r>
      <w:r w:rsidR="00573FF9" w:rsidRPr="00805AB1">
        <w:rPr>
          <w:rFonts w:cs="Arial"/>
          <w:bCs/>
          <w:szCs w:val="22"/>
        </w:rPr>
        <w:t xml:space="preserve">The reasons for the order </w:t>
      </w:r>
      <w:r w:rsidR="00A63709" w:rsidRPr="00805AB1">
        <w:rPr>
          <w:rFonts w:cs="Arial"/>
          <w:bCs/>
          <w:szCs w:val="22"/>
        </w:rPr>
        <w:t>follow</w:t>
      </w:r>
      <w:r w:rsidR="00573FF9" w:rsidRPr="00805AB1">
        <w:rPr>
          <w:rFonts w:cs="Arial"/>
          <w:bCs/>
          <w:szCs w:val="22"/>
        </w:rPr>
        <w:t xml:space="preserve"> below.</w:t>
      </w:r>
    </w:p>
    <w:p w14:paraId="64B9E583" w14:textId="77777777" w:rsidR="004E12FF" w:rsidRDefault="004E12FF" w:rsidP="00C74E97">
      <w:pPr>
        <w:keepNext/>
        <w:widowControl w:val="0"/>
        <w:spacing w:before="480" w:after="480" w:line="360" w:lineRule="auto"/>
        <w:jc w:val="both"/>
        <w:rPr>
          <w:rFonts w:cs="Arial"/>
          <w:bCs/>
          <w:szCs w:val="22"/>
          <w:u w:val="single"/>
        </w:rPr>
      </w:pPr>
    </w:p>
    <w:p w14:paraId="7A5F4508" w14:textId="77777777" w:rsidR="004E12FF" w:rsidRDefault="004E12FF" w:rsidP="00C74E97">
      <w:pPr>
        <w:keepNext/>
        <w:widowControl w:val="0"/>
        <w:spacing w:before="480" w:after="480" w:line="360" w:lineRule="auto"/>
        <w:jc w:val="both"/>
        <w:rPr>
          <w:rFonts w:cs="Arial"/>
          <w:bCs/>
          <w:szCs w:val="22"/>
          <w:u w:val="single"/>
        </w:rPr>
      </w:pPr>
    </w:p>
    <w:p w14:paraId="3658C913" w14:textId="4AA6C1A2" w:rsidR="00573FF9" w:rsidRPr="00E67C0A" w:rsidRDefault="00D9086C" w:rsidP="00C74E97">
      <w:pPr>
        <w:keepNext/>
        <w:widowControl w:val="0"/>
        <w:spacing w:before="480" w:after="480" w:line="360" w:lineRule="auto"/>
        <w:jc w:val="both"/>
        <w:rPr>
          <w:rFonts w:cs="Arial"/>
          <w:bCs/>
          <w:szCs w:val="22"/>
          <w:u w:val="single"/>
        </w:rPr>
      </w:pPr>
      <w:r w:rsidRPr="00E67C0A">
        <w:rPr>
          <w:rFonts w:cs="Arial"/>
          <w:bCs/>
          <w:szCs w:val="22"/>
          <w:u w:val="single"/>
        </w:rPr>
        <w:t>Introduction</w:t>
      </w:r>
    </w:p>
    <w:p w14:paraId="041EF219" w14:textId="3DAA6551" w:rsidR="00494CE1"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w:t>
      </w:r>
      <w:r w:rsidRPr="00E67C0A">
        <w:rPr>
          <w:rFonts w:cs="Arial"/>
          <w:bCs/>
          <w:szCs w:val="22"/>
        </w:rPr>
        <w:tab/>
      </w:r>
      <w:r w:rsidR="00C209C7" w:rsidRPr="00E67C0A">
        <w:rPr>
          <w:rFonts w:cs="Arial"/>
          <w:bCs/>
          <w:szCs w:val="22"/>
        </w:rPr>
        <w:t>The applicant is the owner of Erf 279, Cason Ext 2 Township, Province of Gauteng</w:t>
      </w:r>
      <w:r w:rsidR="00B429EA" w:rsidRPr="00E67C0A">
        <w:rPr>
          <w:rFonts w:cs="Arial"/>
          <w:bCs/>
          <w:szCs w:val="22"/>
        </w:rPr>
        <w:t xml:space="preserve">. </w:t>
      </w:r>
      <w:r w:rsidR="00C209C7" w:rsidRPr="00E67C0A">
        <w:rPr>
          <w:rFonts w:cs="Arial"/>
          <w:bCs/>
          <w:szCs w:val="22"/>
        </w:rPr>
        <w:t>This application is concerned with Portion 1 identified by the letters A</w:t>
      </w:r>
      <w:r w:rsidR="00B429EA" w:rsidRPr="00E67C0A">
        <w:rPr>
          <w:rFonts w:cs="Arial"/>
          <w:bCs/>
          <w:szCs w:val="22"/>
        </w:rPr>
        <w:t>-</w:t>
      </w:r>
      <w:r w:rsidR="00C209C7" w:rsidRPr="00E67C0A">
        <w:rPr>
          <w:rFonts w:cs="Arial"/>
          <w:bCs/>
          <w:szCs w:val="22"/>
        </w:rPr>
        <w:t>B</w:t>
      </w:r>
      <w:r w:rsidR="00B429EA" w:rsidRPr="00E67C0A">
        <w:rPr>
          <w:rFonts w:cs="Arial"/>
          <w:bCs/>
          <w:szCs w:val="22"/>
        </w:rPr>
        <w:t>-</w:t>
      </w:r>
      <w:r w:rsidR="00C209C7" w:rsidRPr="00E67C0A">
        <w:rPr>
          <w:rFonts w:cs="Arial"/>
          <w:bCs/>
          <w:szCs w:val="22"/>
        </w:rPr>
        <w:t>C</w:t>
      </w:r>
      <w:r w:rsidR="00B429EA" w:rsidRPr="00E67C0A">
        <w:rPr>
          <w:rFonts w:cs="Arial"/>
          <w:bCs/>
          <w:szCs w:val="22"/>
        </w:rPr>
        <w:t>-</w:t>
      </w:r>
      <w:r w:rsidR="00C209C7" w:rsidRPr="00E67C0A">
        <w:rPr>
          <w:rFonts w:cs="Arial"/>
          <w:bCs/>
          <w:szCs w:val="22"/>
        </w:rPr>
        <w:t>D</w:t>
      </w:r>
      <w:r w:rsidR="00B429EA" w:rsidRPr="00E67C0A">
        <w:rPr>
          <w:rFonts w:cs="Arial"/>
          <w:bCs/>
          <w:szCs w:val="22"/>
        </w:rPr>
        <w:t>-</w:t>
      </w:r>
      <w:r w:rsidR="00C209C7" w:rsidRPr="00E67C0A">
        <w:rPr>
          <w:rFonts w:cs="Arial"/>
          <w:bCs/>
          <w:szCs w:val="22"/>
        </w:rPr>
        <w:t xml:space="preserve">A on the diagram attached herewith as annexure </w:t>
      </w:r>
      <w:r w:rsidR="00C209C7" w:rsidRPr="00E67C0A">
        <w:rPr>
          <w:rFonts w:cs="Arial"/>
          <w:b/>
          <w:bCs/>
          <w:szCs w:val="22"/>
        </w:rPr>
        <w:t>“X”</w:t>
      </w:r>
      <w:r w:rsidR="00C209C7" w:rsidRPr="00E67C0A">
        <w:rPr>
          <w:rFonts w:cs="Arial"/>
          <w:bCs/>
          <w:szCs w:val="22"/>
        </w:rPr>
        <w:t xml:space="preserve">. </w:t>
      </w:r>
      <w:r w:rsidR="00277424" w:rsidRPr="00E67C0A">
        <w:rPr>
          <w:rFonts w:cs="Arial"/>
          <w:bCs/>
          <w:szCs w:val="22"/>
        </w:rPr>
        <w:t>Portion 1 forms part of Erf 279.</w:t>
      </w:r>
    </w:p>
    <w:p w14:paraId="2C915164" w14:textId="47951744" w:rsidR="00712824"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[4]</w:t>
      </w:r>
      <w:r w:rsidRPr="00E67C0A">
        <w:rPr>
          <w:rFonts w:cs="Arial"/>
          <w:bCs/>
          <w:szCs w:val="22"/>
        </w:rPr>
        <w:tab/>
      </w:r>
      <w:r w:rsidR="00712824" w:rsidRPr="00E67C0A">
        <w:rPr>
          <w:rFonts w:cs="Arial"/>
          <w:bCs/>
          <w:szCs w:val="22"/>
        </w:rPr>
        <w:t>Portion 1 is also identified in the papers as “Portion X” as shown on a photograph</w:t>
      </w:r>
      <w:r w:rsidR="00924FED">
        <w:rPr>
          <w:rFonts w:cs="Arial"/>
          <w:bCs/>
          <w:szCs w:val="22"/>
        </w:rPr>
        <w:t xml:space="preserve"> that forms part of the papers</w:t>
      </w:r>
      <w:r w:rsidR="00712824" w:rsidRPr="00E67C0A">
        <w:rPr>
          <w:rFonts w:cs="Arial"/>
          <w:bCs/>
          <w:szCs w:val="22"/>
        </w:rPr>
        <w:t>:</w:t>
      </w:r>
    </w:p>
    <w:p w14:paraId="5DEC4138" w14:textId="77777777" w:rsidR="00712824" w:rsidRPr="00E67C0A" w:rsidRDefault="00712824" w:rsidP="00712824">
      <w:pPr>
        <w:widowControl w:val="0"/>
        <w:spacing w:before="480" w:after="480" w:line="360" w:lineRule="auto"/>
        <w:jc w:val="both"/>
        <w:rPr>
          <w:rFonts w:cs="Arial"/>
          <w:bCs/>
          <w:szCs w:val="22"/>
        </w:rPr>
      </w:pPr>
      <w:r w:rsidRPr="00E67C0A">
        <w:rPr>
          <w:rFonts w:cs="Arial"/>
          <w:bCs/>
          <w:noProof/>
          <w:szCs w:val="22"/>
          <w:lang w:val="en-US"/>
        </w:rPr>
        <w:lastRenderedPageBreak/>
        <w:drawing>
          <wp:inline distT="0" distB="0" distL="0" distR="0" wp14:anchorId="4B8EDDA8" wp14:editId="42DA477A">
            <wp:extent cx="4594667" cy="349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2986" cy="3531514"/>
                    </a:xfrm>
                    <a:prstGeom prst="rect">
                      <a:avLst/>
                    </a:prstGeom>
                  </pic:spPr>
                </pic:pic>
              </a:graphicData>
            </a:graphic>
          </wp:inline>
        </w:drawing>
      </w:r>
    </w:p>
    <w:p w14:paraId="31A10D99" w14:textId="77777777" w:rsidR="003A5BCC" w:rsidRPr="00E67C0A" w:rsidRDefault="003A5BCC" w:rsidP="003A5BCC">
      <w:pPr>
        <w:widowControl w:val="0"/>
        <w:spacing w:before="480" w:after="480" w:line="360" w:lineRule="auto"/>
        <w:jc w:val="both"/>
        <w:rPr>
          <w:rFonts w:cs="Arial"/>
          <w:bCs/>
          <w:szCs w:val="22"/>
          <w:u w:val="single"/>
        </w:rPr>
      </w:pPr>
    </w:p>
    <w:p w14:paraId="130D60B7" w14:textId="27137CA2" w:rsidR="003A5BCC" w:rsidRPr="00E67C0A" w:rsidRDefault="003A5BCC" w:rsidP="003A5BCC">
      <w:pPr>
        <w:widowControl w:val="0"/>
        <w:spacing w:before="480" w:after="480" w:line="360" w:lineRule="auto"/>
        <w:jc w:val="both"/>
        <w:rPr>
          <w:rFonts w:cs="Arial"/>
          <w:bCs/>
          <w:szCs w:val="22"/>
          <w:u w:val="single"/>
        </w:rPr>
      </w:pPr>
      <w:r w:rsidRPr="00E67C0A">
        <w:rPr>
          <w:rFonts w:cs="Arial"/>
          <w:bCs/>
          <w:i/>
          <w:iCs/>
          <w:szCs w:val="22"/>
          <w:u w:val="single"/>
        </w:rPr>
        <w:t>In limine</w:t>
      </w:r>
      <w:r w:rsidRPr="00E67C0A">
        <w:rPr>
          <w:rFonts w:cs="Arial"/>
          <w:bCs/>
          <w:szCs w:val="22"/>
          <w:u w:val="single"/>
        </w:rPr>
        <w:t>: The authority of the deponent of the founding affidavit</w:t>
      </w:r>
    </w:p>
    <w:p w14:paraId="160FB65A" w14:textId="1E94A545" w:rsidR="003A5BCC"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[5]</w:t>
      </w:r>
      <w:r w:rsidRPr="00E67C0A">
        <w:rPr>
          <w:rFonts w:cs="Arial"/>
          <w:bCs/>
          <w:szCs w:val="22"/>
        </w:rPr>
        <w:tab/>
      </w:r>
      <w:r w:rsidR="003A5BCC" w:rsidRPr="00E67C0A">
        <w:rPr>
          <w:rFonts w:cs="Arial"/>
          <w:bCs/>
          <w:szCs w:val="22"/>
        </w:rPr>
        <w:t xml:space="preserve">The respondent alleged that the deponent to the applicant’s founding affidavit was </w:t>
      </w:r>
      <w:r w:rsidR="004E12FF">
        <w:rPr>
          <w:rFonts w:cs="Arial"/>
          <w:bCs/>
          <w:szCs w:val="22"/>
        </w:rPr>
        <w:t>not</w:t>
      </w:r>
      <w:r w:rsidR="003A5BCC" w:rsidRPr="00E67C0A">
        <w:rPr>
          <w:rFonts w:cs="Arial"/>
          <w:bCs/>
          <w:szCs w:val="22"/>
        </w:rPr>
        <w:t xml:space="preserve"> properly authorised. </w:t>
      </w:r>
    </w:p>
    <w:p w14:paraId="5448A838" w14:textId="08D99779" w:rsidR="003A5BCC"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[6]</w:t>
      </w:r>
      <w:r w:rsidRPr="00E67C0A">
        <w:rPr>
          <w:rFonts w:cs="Arial"/>
          <w:bCs/>
          <w:szCs w:val="22"/>
        </w:rPr>
        <w:tab/>
      </w:r>
      <w:r w:rsidR="003A5BCC" w:rsidRPr="00E67C0A">
        <w:rPr>
          <w:rFonts w:cs="Arial"/>
          <w:bCs/>
          <w:szCs w:val="22"/>
        </w:rPr>
        <w:t>The respondent never invoked the provisions of Rule 7 of the Uniform Rules.</w:t>
      </w:r>
      <w:r w:rsidR="003A5BCC" w:rsidRPr="00E67C0A">
        <w:rPr>
          <w:rStyle w:val="FootnoteReference"/>
          <w:rFonts w:cs="Arial"/>
          <w:bCs/>
          <w:szCs w:val="22"/>
        </w:rPr>
        <w:footnoteReference w:id="1"/>
      </w:r>
      <w:r w:rsidR="003A5BCC" w:rsidRPr="00E67C0A">
        <w:rPr>
          <w:rFonts w:cs="Arial"/>
          <w:bCs/>
          <w:szCs w:val="22"/>
        </w:rPr>
        <w:t xml:space="preserve"> There is no merit in the contention that the applicant’s deponent did not have authority.</w:t>
      </w:r>
      <w:r w:rsidR="004E12FF" w:rsidRPr="004E12FF">
        <w:rPr>
          <w:rFonts w:cs="Arial"/>
          <w:bCs/>
          <w:szCs w:val="22"/>
        </w:rPr>
        <w:t xml:space="preserve"> </w:t>
      </w:r>
      <w:r w:rsidR="004E12FF" w:rsidRPr="00E67C0A">
        <w:rPr>
          <w:rFonts w:cs="Arial"/>
          <w:bCs/>
          <w:szCs w:val="22"/>
        </w:rPr>
        <w:t>The deponent is identified as the Managing Director of the applicant and I am satisfied that as the Managing Director the applicant is indeed properly represented before the Court.</w:t>
      </w:r>
    </w:p>
    <w:p w14:paraId="75AF2F7E" w14:textId="77777777" w:rsidR="003A5BCC" w:rsidRPr="00E67C0A" w:rsidRDefault="003A5BCC" w:rsidP="003A5BCC">
      <w:pPr>
        <w:widowControl w:val="0"/>
        <w:spacing w:before="480" w:after="480" w:line="360" w:lineRule="auto"/>
        <w:jc w:val="both"/>
        <w:rPr>
          <w:rFonts w:cs="Arial"/>
          <w:bCs/>
          <w:szCs w:val="22"/>
          <w:u w:val="single"/>
        </w:rPr>
      </w:pPr>
    </w:p>
    <w:p w14:paraId="45C7E012" w14:textId="1DCDA7E8" w:rsidR="003A5BCC" w:rsidRPr="00E67C0A" w:rsidRDefault="003A5BCC" w:rsidP="003A5BCC">
      <w:pPr>
        <w:widowControl w:val="0"/>
        <w:spacing w:before="480" w:after="480" w:line="360" w:lineRule="auto"/>
        <w:jc w:val="both"/>
        <w:rPr>
          <w:rFonts w:cs="Arial"/>
          <w:bCs/>
          <w:szCs w:val="22"/>
          <w:u w:val="single"/>
        </w:rPr>
      </w:pPr>
      <w:r w:rsidRPr="00E67C0A">
        <w:rPr>
          <w:rFonts w:cs="Arial"/>
          <w:bCs/>
          <w:szCs w:val="22"/>
          <w:u w:val="single"/>
        </w:rPr>
        <w:t>The merits</w:t>
      </w:r>
    </w:p>
    <w:p w14:paraId="10890D51" w14:textId="3398D2BE" w:rsidR="00277424"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[7]</w:t>
      </w:r>
      <w:r w:rsidRPr="00E67C0A">
        <w:rPr>
          <w:rFonts w:cs="Arial"/>
          <w:bCs/>
          <w:szCs w:val="22"/>
        </w:rPr>
        <w:tab/>
      </w:r>
      <w:r w:rsidR="00277424" w:rsidRPr="00E67C0A">
        <w:rPr>
          <w:rFonts w:cs="Arial"/>
          <w:bCs/>
          <w:szCs w:val="22"/>
        </w:rPr>
        <w:t>The respondent purchased Erf 268 from the applicant in the year 2002. Erven 268 and 279 share a common boundary indicated by the letter A-D on the diagram</w:t>
      </w:r>
      <w:r w:rsidR="003A5BCC" w:rsidRPr="00E67C0A">
        <w:rPr>
          <w:rFonts w:cs="Arial"/>
          <w:bCs/>
          <w:szCs w:val="22"/>
        </w:rPr>
        <w:t xml:space="preserve"> referred </w:t>
      </w:r>
      <w:r w:rsidR="003A5BCC" w:rsidRPr="00E67C0A">
        <w:rPr>
          <w:rFonts w:cs="Arial"/>
          <w:bCs/>
          <w:szCs w:val="22"/>
        </w:rPr>
        <w:lastRenderedPageBreak/>
        <w:t>to above.</w:t>
      </w:r>
    </w:p>
    <w:p w14:paraId="03C59864" w14:textId="10EB729E" w:rsidR="00277424"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[8]</w:t>
      </w:r>
      <w:r w:rsidRPr="00E67C0A">
        <w:rPr>
          <w:rFonts w:cs="Arial"/>
          <w:bCs/>
          <w:szCs w:val="22"/>
        </w:rPr>
        <w:tab/>
      </w:r>
      <w:r w:rsidR="00277424" w:rsidRPr="00E67C0A">
        <w:rPr>
          <w:rFonts w:cs="Arial"/>
          <w:bCs/>
          <w:szCs w:val="22"/>
        </w:rPr>
        <w:t xml:space="preserve">At the time of the sale both parties were under the impression that Portion 1 formed part of Erf 268. Erf 268 was transferred to the respondent and the description in the deed of transfer correctly reflects the extent of the property as 2 791m². </w:t>
      </w:r>
    </w:p>
    <w:p w14:paraId="2DCC877F" w14:textId="55008B43" w:rsidR="00C209C7" w:rsidRPr="00924FED" w:rsidRDefault="00805AB1" w:rsidP="00805AB1">
      <w:pPr>
        <w:widowControl w:val="0"/>
        <w:tabs>
          <w:tab w:val="left" w:pos="567"/>
        </w:tabs>
        <w:spacing w:before="480" w:after="480" w:line="360" w:lineRule="auto"/>
        <w:jc w:val="both"/>
        <w:rPr>
          <w:rFonts w:cs="Arial"/>
          <w:bCs/>
          <w:szCs w:val="22"/>
        </w:rPr>
      </w:pPr>
      <w:r w:rsidRPr="00924FED">
        <w:rPr>
          <w:rFonts w:cs="Arial"/>
          <w:bCs/>
          <w:szCs w:val="22"/>
        </w:rPr>
        <w:t>[9]</w:t>
      </w:r>
      <w:r w:rsidRPr="00924FED">
        <w:rPr>
          <w:rFonts w:cs="Arial"/>
          <w:bCs/>
          <w:szCs w:val="22"/>
        </w:rPr>
        <w:tab/>
      </w:r>
      <w:r w:rsidR="00C209C7" w:rsidRPr="00924FED">
        <w:rPr>
          <w:rFonts w:cs="Arial"/>
          <w:bCs/>
          <w:szCs w:val="22"/>
        </w:rPr>
        <w:t xml:space="preserve">The deed of </w:t>
      </w:r>
      <w:r w:rsidR="004E12FF" w:rsidRPr="00924FED">
        <w:rPr>
          <w:rFonts w:cs="Arial"/>
          <w:bCs/>
          <w:szCs w:val="22"/>
        </w:rPr>
        <w:t xml:space="preserve">transfer forms paper of the papers but the deed of </w:t>
      </w:r>
      <w:r w:rsidR="00C209C7" w:rsidRPr="00924FED">
        <w:rPr>
          <w:rFonts w:cs="Arial"/>
          <w:bCs/>
          <w:szCs w:val="22"/>
        </w:rPr>
        <w:t>sale</w:t>
      </w:r>
      <w:r w:rsidR="00494CE1" w:rsidRPr="00924FED">
        <w:rPr>
          <w:rFonts w:cs="Arial"/>
          <w:bCs/>
          <w:szCs w:val="22"/>
        </w:rPr>
        <w:t xml:space="preserve"> did not find its way into the papers</w:t>
      </w:r>
      <w:r w:rsidR="0030222D" w:rsidRPr="00924FED">
        <w:rPr>
          <w:rFonts w:cs="Arial"/>
          <w:bCs/>
          <w:szCs w:val="22"/>
        </w:rPr>
        <w:t>.</w:t>
      </w:r>
      <w:r w:rsidR="00494CE1" w:rsidRPr="00924FED">
        <w:rPr>
          <w:rFonts w:cs="Arial"/>
          <w:bCs/>
          <w:szCs w:val="22"/>
        </w:rPr>
        <w:t xml:space="preserve"> Neither party has a copy. This is unfortunate, and i</w:t>
      </w:r>
      <w:r w:rsidR="00C209C7" w:rsidRPr="00924FED">
        <w:rPr>
          <w:rFonts w:cs="Arial"/>
          <w:bCs/>
          <w:szCs w:val="22"/>
        </w:rPr>
        <w:t>t is therefore not possible to refer to the description of the property in the deed of sale.</w:t>
      </w:r>
      <w:r w:rsidR="003158E2" w:rsidRPr="00924FED">
        <w:rPr>
          <w:rFonts w:cs="Arial"/>
          <w:bCs/>
          <w:szCs w:val="22"/>
        </w:rPr>
        <w:t xml:space="preserve"> The size of the property is accurately reflected in the deed of transfer and one is left to speculate about the description in the deed of sale. Be that as it may, t</w:t>
      </w:r>
      <w:r w:rsidR="00C209C7" w:rsidRPr="00924FED">
        <w:rPr>
          <w:rFonts w:cs="Arial"/>
          <w:bCs/>
          <w:szCs w:val="22"/>
        </w:rPr>
        <w:t xml:space="preserve">he real rights that were transferred are </w:t>
      </w:r>
      <w:r w:rsidR="003158E2" w:rsidRPr="00924FED">
        <w:rPr>
          <w:rFonts w:cs="Arial"/>
          <w:bCs/>
          <w:szCs w:val="22"/>
        </w:rPr>
        <w:t xml:space="preserve">accurately </w:t>
      </w:r>
      <w:r w:rsidR="00C209C7" w:rsidRPr="00924FED">
        <w:rPr>
          <w:rFonts w:cs="Arial"/>
          <w:bCs/>
          <w:szCs w:val="22"/>
        </w:rPr>
        <w:t xml:space="preserve">reflected in the </w:t>
      </w:r>
      <w:r w:rsidR="003158E2" w:rsidRPr="00924FED">
        <w:rPr>
          <w:rFonts w:cs="Arial"/>
          <w:bCs/>
          <w:szCs w:val="22"/>
        </w:rPr>
        <w:t>deed of transfer</w:t>
      </w:r>
      <w:r w:rsidR="00C209C7" w:rsidRPr="00924FED">
        <w:rPr>
          <w:rFonts w:cs="Arial"/>
          <w:bCs/>
          <w:szCs w:val="22"/>
        </w:rPr>
        <w:t>.</w:t>
      </w:r>
      <w:r w:rsidR="00E464D1" w:rsidRPr="00924FED">
        <w:rPr>
          <w:rFonts w:cs="Arial"/>
          <w:bCs/>
          <w:szCs w:val="22"/>
        </w:rPr>
        <w:t xml:space="preserve"> </w:t>
      </w:r>
      <w:r w:rsidR="00D5000A" w:rsidRPr="00924FED">
        <w:rPr>
          <w:rFonts w:cs="Arial"/>
          <w:bCs/>
          <w:szCs w:val="22"/>
        </w:rPr>
        <w:t>It follows that ownership of Erf 268 passed from the applicant to the respondent.</w:t>
      </w:r>
      <w:r w:rsidR="00D5000A">
        <w:rPr>
          <w:rStyle w:val="FootnoteReference"/>
          <w:rFonts w:cs="Arial"/>
          <w:bCs/>
          <w:szCs w:val="22"/>
        </w:rPr>
        <w:footnoteReference w:id="2"/>
      </w:r>
      <w:r w:rsidR="00D5000A" w:rsidRPr="00924FED">
        <w:rPr>
          <w:rFonts w:cs="Arial"/>
          <w:bCs/>
          <w:szCs w:val="22"/>
        </w:rPr>
        <w:t xml:space="preserve"> </w:t>
      </w:r>
    </w:p>
    <w:p w14:paraId="1EB206B9" w14:textId="77777777" w:rsidR="00825866" w:rsidRPr="00E67C0A" w:rsidRDefault="00825866" w:rsidP="00E3062A">
      <w:pPr>
        <w:widowControl w:val="0"/>
        <w:spacing w:before="480" w:after="480" w:line="360" w:lineRule="auto"/>
        <w:jc w:val="both"/>
        <w:rPr>
          <w:rFonts w:cs="Arial"/>
          <w:bCs/>
          <w:szCs w:val="22"/>
          <w:u w:val="single"/>
        </w:rPr>
      </w:pPr>
    </w:p>
    <w:p w14:paraId="178F6CB4" w14:textId="577E2DDB" w:rsidR="00E3062A" w:rsidRPr="00E67C0A" w:rsidRDefault="00E3062A" w:rsidP="00E3062A">
      <w:pPr>
        <w:widowControl w:val="0"/>
        <w:spacing w:before="480" w:after="480" w:line="360" w:lineRule="auto"/>
        <w:jc w:val="both"/>
        <w:rPr>
          <w:rFonts w:cs="Arial"/>
          <w:bCs/>
          <w:szCs w:val="22"/>
          <w:u w:val="single"/>
        </w:rPr>
      </w:pPr>
      <w:r w:rsidRPr="00E67C0A">
        <w:rPr>
          <w:rFonts w:cs="Arial"/>
          <w:bCs/>
          <w:szCs w:val="22"/>
          <w:u w:val="single"/>
        </w:rPr>
        <w:t>The proposed subdivision of Erf 279 and the consolidation of Portion 1 with Erf 268</w:t>
      </w:r>
    </w:p>
    <w:p w14:paraId="12688AFB" w14:textId="0EEA7E6B" w:rsidR="00042750"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[10]</w:t>
      </w:r>
      <w:r w:rsidRPr="00E67C0A">
        <w:rPr>
          <w:rFonts w:cs="Arial"/>
          <w:bCs/>
          <w:szCs w:val="22"/>
        </w:rPr>
        <w:tab/>
      </w:r>
      <w:r w:rsidR="0030222D" w:rsidRPr="00E67C0A">
        <w:rPr>
          <w:rFonts w:cs="Arial"/>
          <w:bCs/>
          <w:szCs w:val="22"/>
        </w:rPr>
        <w:t>During</w:t>
      </w:r>
      <w:r w:rsidR="00C209C7" w:rsidRPr="00E67C0A">
        <w:rPr>
          <w:rFonts w:cs="Arial"/>
          <w:bCs/>
          <w:szCs w:val="22"/>
        </w:rPr>
        <w:t xml:space="preserve"> 2003 or 2004 the parties became aware of the true </w:t>
      </w:r>
      <w:r w:rsidR="0030222D" w:rsidRPr="00E67C0A">
        <w:rPr>
          <w:rFonts w:cs="Arial"/>
          <w:bCs/>
          <w:szCs w:val="22"/>
        </w:rPr>
        <w:t>boundaries of Erf 268</w:t>
      </w:r>
      <w:r w:rsidR="00C83CF0" w:rsidRPr="00E67C0A">
        <w:rPr>
          <w:rFonts w:cs="Arial"/>
          <w:bCs/>
          <w:szCs w:val="22"/>
        </w:rPr>
        <w:t xml:space="preserve">. </w:t>
      </w:r>
      <w:r w:rsidR="004E12FF">
        <w:rPr>
          <w:rFonts w:cs="Arial"/>
          <w:bCs/>
          <w:szCs w:val="22"/>
        </w:rPr>
        <w:t xml:space="preserve">It was then envisaged that Erf 279 be subdivided and that Portion 1 be consolidated with Erf 268. </w:t>
      </w:r>
      <w:r w:rsidR="00C83CF0" w:rsidRPr="00E67C0A">
        <w:rPr>
          <w:rFonts w:cs="Arial"/>
          <w:bCs/>
          <w:szCs w:val="22"/>
        </w:rPr>
        <w:t>Town Planners were appointed to advise on the subdivision</w:t>
      </w:r>
      <w:r w:rsidR="004E12FF">
        <w:rPr>
          <w:rFonts w:cs="Arial"/>
          <w:bCs/>
          <w:szCs w:val="22"/>
        </w:rPr>
        <w:t xml:space="preserve"> and</w:t>
      </w:r>
      <w:r w:rsidR="00042750" w:rsidRPr="00E67C0A">
        <w:rPr>
          <w:rFonts w:cs="Arial"/>
          <w:bCs/>
          <w:szCs w:val="22"/>
        </w:rPr>
        <w:t xml:space="preserve"> </w:t>
      </w:r>
      <w:r w:rsidR="00C83CF0" w:rsidRPr="00E67C0A">
        <w:rPr>
          <w:rFonts w:cs="Arial"/>
          <w:bCs/>
          <w:szCs w:val="22"/>
        </w:rPr>
        <w:t>consolidation</w:t>
      </w:r>
      <w:r w:rsidR="00042750" w:rsidRPr="00E67C0A">
        <w:rPr>
          <w:rFonts w:cs="Arial"/>
          <w:bCs/>
          <w:szCs w:val="22"/>
        </w:rPr>
        <w:t>.</w:t>
      </w:r>
      <w:r w:rsidR="00F3647D" w:rsidRPr="00E67C0A">
        <w:rPr>
          <w:rFonts w:cs="Arial"/>
          <w:bCs/>
          <w:szCs w:val="22"/>
        </w:rPr>
        <w:t xml:space="preserve"> The deponent to the answering affidavit </w:t>
      </w:r>
      <w:r w:rsidR="00C83CF0" w:rsidRPr="00E67C0A">
        <w:rPr>
          <w:rFonts w:cs="Arial"/>
          <w:bCs/>
          <w:szCs w:val="22"/>
        </w:rPr>
        <w:t>signed</w:t>
      </w:r>
      <w:r w:rsidR="00F3647D" w:rsidRPr="00E67C0A">
        <w:rPr>
          <w:rStyle w:val="FootnoteReference"/>
          <w:rFonts w:cs="Arial"/>
          <w:bCs/>
          <w:szCs w:val="22"/>
        </w:rPr>
        <w:footnoteReference w:id="3"/>
      </w:r>
      <w:r w:rsidR="00C83CF0" w:rsidRPr="00E67C0A">
        <w:rPr>
          <w:rFonts w:cs="Arial"/>
          <w:bCs/>
          <w:szCs w:val="22"/>
        </w:rPr>
        <w:t xml:space="preserve"> a special power of attorney appointing the Town Planners in July 2004</w:t>
      </w:r>
      <w:r w:rsidR="00924FED">
        <w:rPr>
          <w:rFonts w:cs="Arial"/>
          <w:bCs/>
          <w:szCs w:val="22"/>
        </w:rPr>
        <w:t xml:space="preserve"> and land surveyor diagrams were prepared that same year.</w:t>
      </w:r>
    </w:p>
    <w:p w14:paraId="00E60F6C" w14:textId="59BEFC86" w:rsidR="00712824"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[11]</w:t>
      </w:r>
      <w:r w:rsidRPr="00E67C0A">
        <w:rPr>
          <w:rFonts w:cs="Arial"/>
          <w:bCs/>
          <w:szCs w:val="22"/>
        </w:rPr>
        <w:tab/>
      </w:r>
      <w:r w:rsidR="00042750" w:rsidRPr="00E67C0A">
        <w:rPr>
          <w:rFonts w:cs="Arial"/>
          <w:bCs/>
          <w:szCs w:val="22"/>
        </w:rPr>
        <w:t>T</w:t>
      </w:r>
      <w:r w:rsidR="00C83CF0" w:rsidRPr="00E67C0A">
        <w:rPr>
          <w:rFonts w:cs="Arial"/>
          <w:bCs/>
          <w:szCs w:val="22"/>
        </w:rPr>
        <w:t xml:space="preserve">he respondent knew of the </w:t>
      </w:r>
      <w:r w:rsidR="00924FED">
        <w:rPr>
          <w:rFonts w:cs="Arial"/>
          <w:bCs/>
          <w:szCs w:val="22"/>
        </w:rPr>
        <w:t>error</w:t>
      </w:r>
      <w:r w:rsidR="00C83CF0" w:rsidRPr="00E67C0A">
        <w:rPr>
          <w:rFonts w:cs="Arial"/>
          <w:bCs/>
          <w:szCs w:val="22"/>
        </w:rPr>
        <w:t xml:space="preserve"> by July 2004</w:t>
      </w:r>
      <w:r w:rsidR="00712824" w:rsidRPr="00E67C0A">
        <w:rPr>
          <w:rFonts w:cs="Arial"/>
          <w:bCs/>
          <w:szCs w:val="22"/>
        </w:rPr>
        <w:t xml:space="preserve"> and there is evidence that the applicant knew</w:t>
      </w:r>
      <w:r w:rsidR="00924FED">
        <w:rPr>
          <w:rFonts w:cs="Arial"/>
          <w:bCs/>
          <w:szCs w:val="22"/>
        </w:rPr>
        <w:t xml:space="preserve"> already</w:t>
      </w:r>
      <w:r w:rsidR="00712824" w:rsidRPr="00E67C0A">
        <w:rPr>
          <w:rFonts w:cs="Arial"/>
          <w:bCs/>
          <w:szCs w:val="22"/>
        </w:rPr>
        <w:t xml:space="preserve"> in July 2003</w:t>
      </w:r>
      <w:r w:rsidR="00C83CF0" w:rsidRPr="00E67C0A">
        <w:rPr>
          <w:rFonts w:cs="Arial"/>
          <w:bCs/>
          <w:szCs w:val="22"/>
        </w:rPr>
        <w:t>.</w:t>
      </w:r>
      <w:r w:rsidR="00712824" w:rsidRPr="00E67C0A">
        <w:rPr>
          <w:rFonts w:cs="Arial"/>
          <w:bCs/>
          <w:szCs w:val="22"/>
        </w:rPr>
        <w:t xml:space="preserve"> </w:t>
      </w:r>
    </w:p>
    <w:p w14:paraId="48773E66" w14:textId="7B71D9D7" w:rsidR="00F3647D"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[12]</w:t>
      </w:r>
      <w:r w:rsidRPr="00E67C0A">
        <w:rPr>
          <w:rFonts w:cs="Arial"/>
          <w:bCs/>
          <w:szCs w:val="22"/>
        </w:rPr>
        <w:tab/>
      </w:r>
      <w:r w:rsidR="0030222D" w:rsidRPr="00E67C0A">
        <w:rPr>
          <w:rFonts w:cs="Arial"/>
          <w:bCs/>
          <w:szCs w:val="22"/>
        </w:rPr>
        <w:t xml:space="preserve">The applicant’s evidence is that </w:t>
      </w:r>
      <w:r w:rsidR="003158E2" w:rsidRPr="00E67C0A">
        <w:rPr>
          <w:rFonts w:cs="Arial"/>
          <w:bCs/>
          <w:szCs w:val="22"/>
        </w:rPr>
        <w:t>such a consolidation</w:t>
      </w:r>
      <w:r w:rsidR="0030222D" w:rsidRPr="00E67C0A">
        <w:rPr>
          <w:rFonts w:cs="Arial"/>
          <w:bCs/>
          <w:szCs w:val="22"/>
        </w:rPr>
        <w:t xml:space="preserve"> would have required an agreement that complied with section 2 of the Alienation of Land Act, 68 of 1981. The </w:t>
      </w:r>
      <w:r w:rsidR="0030222D" w:rsidRPr="00E67C0A">
        <w:rPr>
          <w:rFonts w:cs="Arial"/>
          <w:bCs/>
          <w:szCs w:val="22"/>
        </w:rPr>
        <w:lastRenderedPageBreak/>
        <w:t xml:space="preserve">respondent argues however that no such agreement would have been necessary as the consolidation would have been done in fulfilment of the applicant’s obligations in terms of the deed of sale. </w:t>
      </w:r>
    </w:p>
    <w:p w14:paraId="001A5704" w14:textId="79B3A29A" w:rsidR="004F2215"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[13]</w:t>
      </w:r>
      <w:r w:rsidRPr="00E67C0A">
        <w:rPr>
          <w:rFonts w:cs="Arial"/>
          <w:bCs/>
          <w:szCs w:val="22"/>
        </w:rPr>
        <w:tab/>
      </w:r>
      <w:r w:rsidR="0030222D" w:rsidRPr="00E67C0A">
        <w:rPr>
          <w:rFonts w:cs="Arial"/>
          <w:bCs/>
          <w:szCs w:val="22"/>
        </w:rPr>
        <w:t>The failure to put up the deed of sale is fatal to this argument</w:t>
      </w:r>
      <w:r w:rsidR="00302F86" w:rsidRPr="00E67C0A">
        <w:rPr>
          <w:rFonts w:cs="Arial"/>
          <w:bCs/>
          <w:szCs w:val="22"/>
        </w:rPr>
        <w:t>.</w:t>
      </w:r>
      <w:r w:rsidR="00F3647D" w:rsidRPr="00E67C0A">
        <w:rPr>
          <w:rFonts w:cs="Arial"/>
          <w:bCs/>
          <w:szCs w:val="22"/>
        </w:rPr>
        <w:t xml:space="preserve"> </w:t>
      </w:r>
      <w:r w:rsidR="004E12FF">
        <w:rPr>
          <w:rFonts w:cs="Arial"/>
          <w:bCs/>
          <w:szCs w:val="22"/>
        </w:rPr>
        <w:t xml:space="preserve">The obligations of the parties as contained in the deed of sale are not known. </w:t>
      </w:r>
      <w:r w:rsidR="00302F86" w:rsidRPr="00E67C0A">
        <w:rPr>
          <w:rFonts w:cs="Arial"/>
          <w:bCs/>
          <w:szCs w:val="22"/>
        </w:rPr>
        <w:t>It is also common cause that t</w:t>
      </w:r>
      <w:r w:rsidR="004F2215" w:rsidRPr="00E67C0A">
        <w:rPr>
          <w:rFonts w:cs="Arial"/>
          <w:bCs/>
          <w:szCs w:val="22"/>
        </w:rPr>
        <w:t>he deed of sale provided for the sale of Erf 268 as it then existed, and not Erf 268 as consolidated with a portion of Erf 279</w:t>
      </w:r>
      <w:r w:rsidR="00302F86" w:rsidRPr="00E67C0A">
        <w:rPr>
          <w:rFonts w:cs="Arial"/>
          <w:bCs/>
          <w:szCs w:val="22"/>
        </w:rPr>
        <w:t>.</w:t>
      </w:r>
      <w:r w:rsidR="0030222D" w:rsidRPr="00E67C0A">
        <w:rPr>
          <w:rFonts w:cs="Arial"/>
          <w:bCs/>
          <w:szCs w:val="22"/>
        </w:rPr>
        <w:t xml:space="preserve"> </w:t>
      </w:r>
      <w:r w:rsidR="003158E2" w:rsidRPr="00E67C0A">
        <w:rPr>
          <w:rFonts w:cs="Arial"/>
          <w:bCs/>
          <w:szCs w:val="22"/>
        </w:rPr>
        <w:t>This follows from the fact that neither party knew of the true boundaries of Erf 268 when the deed of sale was signed.</w:t>
      </w:r>
    </w:p>
    <w:p w14:paraId="170FCECE" w14:textId="50A8E059" w:rsidR="00E3062A"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[14]</w:t>
      </w:r>
      <w:r w:rsidRPr="00E67C0A">
        <w:rPr>
          <w:rFonts w:cs="Arial"/>
          <w:bCs/>
          <w:szCs w:val="22"/>
        </w:rPr>
        <w:tab/>
      </w:r>
      <w:r w:rsidR="00E3062A" w:rsidRPr="00E67C0A">
        <w:rPr>
          <w:rFonts w:cs="Arial"/>
          <w:bCs/>
          <w:szCs w:val="22"/>
        </w:rPr>
        <w:t xml:space="preserve">Surprisingly, the respondent’s deponent expresses his surprise at the fact that the consolidation process was never finalised. He states in paragraph 4.7 of the answering affidavit: </w:t>
      </w:r>
      <w:r w:rsidR="00E3062A" w:rsidRPr="00E67C0A">
        <w:rPr>
          <w:rFonts w:cs="Arial"/>
          <w:bCs/>
          <w:i/>
          <w:szCs w:val="22"/>
        </w:rPr>
        <w:t>“It would now appear as if the applicant failed to register the approved consolidation”</w:t>
      </w:r>
      <w:r w:rsidR="00E3062A" w:rsidRPr="00E67C0A">
        <w:rPr>
          <w:rFonts w:cs="Arial"/>
          <w:bCs/>
          <w:szCs w:val="22"/>
        </w:rPr>
        <w:t>.</w:t>
      </w:r>
      <w:r w:rsidR="004E12FF">
        <w:rPr>
          <w:rFonts w:cs="Arial"/>
          <w:bCs/>
          <w:szCs w:val="22"/>
        </w:rPr>
        <w:t xml:space="preserve"> It is incomprehensible that consolidation could have occurred without the knowledge of the respondent as owner of the property.</w:t>
      </w:r>
      <w:r w:rsidR="00E3062A" w:rsidRPr="00E67C0A">
        <w:rPr>
          <w:rFonts w:cs="Arial"/>
          <w:bCs/>
          <w:szCs w:val="22"/>
        </w:rPr>
        <w:t xml:space="preserve"> It is then stated</w:t>
      </w:r>
      <w:r w:rsidR="00FE7FE6" w:rsidRPr="00E67C0A">
        <w:rPr>
          <w:rFonts w:cs="Arial"/>
          <w:bCs/>
          <w:szCs w:val="22"/>
        </w:rPr>
        <w:t xml:space="preserve"> </w:t>
      </w:r>
      <w:r w:rsidR="00E3062A" w:rsidRPr="00E67C0A">
        <w:rPr>
          <w:rFonts w:cs="Arial"/>
          <w:bCs/>
          <w:szCs w:val="22"/>
        </w:rPr>
        <w:t xml:space="preserve">that the </w:t>
      </w:r>
      <w:r w:rsidR="00E3062A" w:rsidRPr="00E67C0A">
        <w:rPr>
          <w:rFonts w:cs="Arial"/>
          <w:bCs/>
          <w:i/>
          <w:szCs w:val="22"/>
        </w:rPr>
        <w:t>“effect of the approved consolidation would have been to transfer the whole property as initially pointed out to the</w:t>
      </w:r>
      <w:r w:rsidR="00FE7FE6" w:rsidRPr="00E67C0A">
        <w:rPr>
          <w:rFonts w:cs="Arial"/>
          <w:bCs/>
          <w:i/>
          <w:szCs w:val="22"/>
        </w:rPr>
        <w:t>”</w:t>
      </w:r>
      <w:r w:rsidR="00E3062A" w:rsidRPr="00E67C0A">
        <w:rPr>
          <w:rFonts w:cs="Arial"/>
          <w:bCs/>
          <w:iCs/>
          <w:szCs w:val="22"/>
        </w:rPr>
        <w:t xml:space="preserve"> respondent by the applicant.</w:t>
      </w:r>
    </w:p>
    <w:p w14:paraId="563D2484" w14:textId="215B8FD0" w:rsidR="004F2215"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[15]</w:t>
      </w:r>
      <w:r w:rsidRPr="00E67C0A">
        <w:rPr>
          <w:rFonts w:cs="Arial"/>
          <w:bCs/>
          <w:szCs w:val="22"/>
        </w:rPr>
        <w:tab/>
      </w:r>
      <w:r w:rsidR="004F2215" w:rsidRPr="00E67C0A">
        <w:rPr>
          <w:rFonts w:cs="Arial"/>
          <w:bCs/>
          <w:szCs w:val="22"/>
        </w:rPr>
        <w:t xml:space="preserve">It is </w:t>
      </w:r>
      <w:r w:rsidR="00302F86" w:rsidRPr="00E67C0A">
        <w:rPr>
          <w:rFonts w:cs="Arial"/>
          <w:bCs/>
          <w:szCs w:val="22"/>
        </w:rPr>
        <w:t xml:space="preserve">also </w:t>
      </w:r>
      <w:r w:rsidR="004F2215" w:rsidRPr="00E67C0A">
        <w:rPr>
          <w:rFonts w:cs="Arial"/>
          <w:bCs/>
          <w:szCs w:val="22"/>
        </w:rPr>
        <w:t>common cause that no subsequent agreement was entered into that provided for subdivision and consolidation, or that provided for the transfer of Portion 1 to the respondent.</w:t>
      </w:r>
      <w:r w:rsidR="00302F86" w:rsidRPr="00E67C0A">
        <w:rPr>
          <w:rFonts w:cs="Arial"/>
          <w:bCs/>
          <w:szCs w:val="22"/>
        </w:rPr>
        <w:t xml:space="preserve"> The applicant testifies that the requirements of the local authority could not be met and for this reason the</w:t>
      </w:r>
      <w:r w:rsidR="004E12FF">
        <w:rPr>
          <w:rFonts w:cs="Arial"/>
          <w:bCs/>
          <w:szCs w:val="22"/>
        </w:rPr>
        <w:t xml:space="preserve"> envisaged</w:t>
      </w:r>
      <w:r w:rsidR="00302F86" w:rsidRPr="00E67C0A">
        <w:rPr>
          <w:rFonts w:cs="Arial"/>
          <w:bCs/>
          <w:szCs w:val="22"/>
        </w:rPr>
        <w:t xml:space="preserve"> subdivision and consolidation was not implemented.</w:t>
      </w:r>
    </w:p>
    <w:p w14:paraId="44E55B01" w14:textId="08899667" w:rsidR="006E5AE9"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[16]</w:t>
      </w:r>
      <w:r w:rsidRPr="00E67C0A">
        <w:rPr>
          <w:rFonts w:cs="Arial"/>
          <w:bCs/>
          <w:szCs w:val="22"/>
        </w:rPr>
        <w:tab/>
      </w:r>
      <w:r w:rsidR="006645D0" w:rsidRPr="00E67C0A">
        <w:rPr>
          <w:rFonts w:cs="Arial"/>
          <w:bCs/>
          <w:szCs w:val="22"/>
        </w:rPr>
        <w:t>O</w:t>
      </w:r>
      <w:r w:rsidR="00C209C7" w:rsidRPr="00E67C0A">
        <w:rPr>
          <w:rFonts w:cs="Arial"/>
          <w:bCs/>
          <w:szCs w:val="22"/>
        </w:rPr>
        <w:t xml:space="preserve">n </w:t>
      </w:r>
      <w:r w:rsidR="006645D0" w:rsidRPr="00E67C0A">
        <w:rPr>
          <w:rFonts w:cs="Arial"/>
          <w:bCs/>
          <w:szCs w:val="22"/>
        </w:rPr>
        <w:t xml:space="preserve">2 </w:t>
      </w:r>
      <w:r w:rsidR="00C209C7" w:rsidRPr="00E67C0A">
        <w:rPr>
          <w:rFonts w:cs="Arial"/>
          <w:bCs/>
          <w:szCs w:val="22"/>
        </w:rPr>
        <w:t>March 2022 the parties entered into a second</w:t>
      </w:r>
      <w:r w:rsidR="007A5AA0" w:rsidRPr="00E67C0A">
        <w:rPr>
          <w:rStyle w:val="FootnoteReference"/>
          <w:rFonts w:cs="Arial"/>
          <w:bCs/>
          <w:szCs w:val="22"/>
        </w:rPr>
        <w:footnoteReference w:id="4"/>
      </w:r>
      <w:r w:rsidR="00C209C7" w:rsidRPr="00E67C0A">
        <w:rPr>
          <w:rFonts w:cs="Arial"/>
          <w:bCs/>
          <w:szCs w:val="22"/>
        </w:rPr>
        <w:t xml:space="preserve"> written agreement. The parties noted that the applicant had sold Erf 270 (a property adjacent to both Erf 268 and Erf 279</w:t>
      </w:r>
      <w:r w:rsidR="007A5AA0" w:rsidRPr="00E67C0A">
        <w:rPr>
          <w:rFonts w:cs="Arial"/>
          <w:bCs/>
          <w:szCs w:val="22"/>
        </w:rPr>
        <w:t>)</w:t>
      </w:r>
      <w:r w:rsidR="004E12FF">
        <w:rPr>
          <w:rFonts w:cs="Arial"/>
          <w:bCs/>
          <w:szCs w:val="22"/>
        </w:rPr>
        <w:t xml:space="preserve"> and E</w:t>
      </w:r>
      <w:r w:rsidR="00924FED">
        <w:rPr>
          <w:rFonts w:cs="Arial"/>
          <w:bCs/>
          <w:szCs w:val="22"/>
        </w:rPr>
        <w:t>r</w:t>
      </w:r>
      <w:r w:rsidR="004E12FF">
        <w:rPr>
          <w:rFonts w:cs="Arial"/>
          <w:bCs/>
          <w:szCs w:val="22"/>
        </w:rPr>
        <w:t>f 279</w:t>
      </w:r>
      <w:r w:rsidR="00924FED">
        <w:rPr>
          <w:rFonts w:cs="Arial"/>
          <w:bCs/>
          <w:szCs w:val="22"/>
        </w:rPr>
        <w:t>,</w:t>
      </w:r>
      <w:r w:rsidR="00C209C7" w:rsidRPr="00E67C0A">
        <w:rPr>
          <w:rFonts w:cs="Arial"/>
          <w:bCs/>
          <w:szCs w:val="22"/>
        </w:rPr>
        <w:t xml:space="preserve"> and that it was a condition of that sale and of the mortgage bond obtained by the purchaser that the borderline fence between Erf 270 and Erf 268 as well as the borderline fence between Erf 268 and Erf 279 be restored to </w:t>
      </w:r>
      <w:r w:rsidR="00C209C7" w:rsidRPr="00E67C0A">
        <w:rPr>
          <w:rFonts w:cs="Arial"/>
          <w:bCs/>
          <w:i/>
          <w:szCs w:val="22"/>
        </w:rPr>
        <w:t>“its original position”</w:t>
      </w:r>
      <w:r w:rsidR="00C209C7" w:rsidRPr="00E67C0A">
        <w:rPr>
          <w:rFonts w:cs="Arial"/>
          <w:bCs/>
          <w:szCs w:val="22"/>
        </w:rPr>
        <w:t xml:space="preserve">. It </w:t>
      </w:r>
      <w:r w:rsidR="007A5AA0" w:rsidRPr="00E67C0A">
        <w:rPr>
          <w:rFonts w:cs="Arial"/>
          <w:bCs/>
          <w:szCs w:val="22"/>
        </w:rPr>
        <w:t>wa</w:t>
      </w:r>
      <w:r w:rsidR="00C209C7" w:rsidRPr="00E67C0A">
        <w:rPr>
          <w:rFonts w:cs="Arial"/>
          <w:bCs/>
          <w:szCs w:val="22"/>
        </w:rPr>
        <w:t xml:space="preserve">s then recorded that the respondent had agreed to </w:t>
      </w:r>
      <w:r w:rsidR="00C209C7" w:rsidRPr="00E67C0A">
        <w:rPr>
          <w:rFonts w:cs="Arial"/>
          <w:bCs/>
          <w:i/>
          <w:szCs w:val="22"/>
        </w:rPr>
        <w:t>“cooperate and attend to the necessary”</w:t>
      </w:r>
      <w:r w:rsidR="00C209C7" w:rsidRPr="00E67C0A">
        <w:rPr>
          <w:rFonts w:cs="Arial"/>
          <w:bCs/>
          <w:szCs w:val="22"/>
        </w:rPr>
        <w:t xml:space="preserve">. </w:t>
      </w:r>
    </w:p>
    <w:p w14:paraId="73E42FC7" w14:textId="6F0406E6" w:rsidR="007A5AA0"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[17]</w:t>
      </w:r>
      <w:r w:rsidRPr="00E67C0A">
        <w:rPr>
          <w:rFonts w:cs="Arial"/>
          <w:bCs/>
          <w:szCs w:val="22"/>
        </w:rPr>
        <w:tab/>
      </w:r>
      <w:r w:rsidR="00C209C7" w:rsidRPr="00E67C0A">
        <w:rPr>
          <w:rFonts w:cs="Arial"/>
          <w:bCs/>
          <w:szCs w:val="22"/>
        </w:rPr>
        <w:t xml:space="preserve">The parties then agreed that the respondent </w:t>
      </w:r>
      <w:r w:rsidR="00C209C7" w:rsidRPr="00E67C0A">
        <w:rPr>
          <w:rFonts w:cs="Arial"/>
          <w:bCs/>
          <w:i/>
          <w:szCs w:val="22"/>
        </w:rPr>
        <w:t xml:space="preserve">“undertakes to cooperate and allow </w:t>
      </w:r>
      <w:r w:rsidR="00C209C7" w:rsidRPr="00E67C0A">
        <w:rPr>
          <w:rFonts w:cs="Arial"/>
          <w:bCs/>
          <w:i/>
          <w:szCs w:val="22"/>
        </w:rPr>
        <w:lastRenderedPageBreak/>
        <w:t>(</w:t>
      </w:r>
      <w:r w:rsidR="00C209C7" w:rsidRPr="00E67C0A">
        <w:rPr>
          <w:rFonts w:cs="Arial"/>
          <w:bCs/>
          <w:iCs/>
          <w:szCs w:val="22"/>
        </w:rPr>
        <w:t>sic</w:t>
      </w:r>
      <w:r w:rsidR="00C209C7" w:rsidRPr="00E67C0A">
        <w:rPr>
          <w:rFonts w:cs="Arial"/>
          <w:bCs/>
          <w:i/>
          <w:szCs w:val="22"/>
        </w:rPr>
        <w:t xml:space="preserve">) restore the </w:t>
      </w:r>
      <w:r w:rsidR="00DA2310" w:rsidRPr="00E67C0A">
        <w:rPr>
          <w:rFonts w:cs="Arial"/>
          <w:bCs/>
          <w:i/>
          <w:szCs w:val="22"/>
        </w:rPr>
        <w:t xml:space="preserve">Seller </w:t>
      </w:r>
      <w:r w:rsidR="00DA2310" w:rsidRPr="00E67C0A">
        <w:rPr>
          <w:rFonts w:cs="Arial"/>
          <w:bCs/>
          <w:iCs/>
          <w:szCs w:val="22"/>
        </w:rPr>
        <w:t>[the applicant]</w:t>
      </w:r>
      <w:r w:rsidR="00DA2310" w:rsidRPr="00E67C0A">
        <w:rPr>
          <w:rFonts w:cs="Arial"/>
          <w:bCs/>
          <w:i/>
          <w:szCs w:val="22"/>
        </w:rPr>
        <w:t xml:space="preserve"> (</w:t>
      </w:r>
      <w:r w:rsidR="00DA2310" w:rsidRPr="00E67C0A">
        <w:rPr>
          <w:rFonts w:cs="Arial"/>
          <w:bCs/>
          <w:iCs/>
          <w:szCs w:val="22"/>
        </w:rPr>
        <w:t>sic</w:t>
      </w:r>
      <w:r w:rsidR="00DA2310" w:rsidRPr="00E67C0A">
        <w:rPr>
          <w:rFonts w:cs="Arial"/>
          <w:bCs/>
          <w:i/>
          <w:szCs w:val="22"/>
        </w:rPr>
        <w:t xml:space="preserve">) </w:t>
      </w:r>
      <w:r w:rsidR="006E5AE9" w:rsidRPr="00E67C0A">
        <w:rPr>
          <w:rFonts w:cs="Arial"/>
          <w:bCs/>
          <w:i/>
          <w:szCs w:val="22"/>
        </w:rPr>
        <w:t xml:space="preserve">to </w:t>
      </w:r>
      <w:r w:rsidR="00DA2310" w:rsidRPr="00E67C0A">
        <w:rPr>
          <w:rFonts w:cs="Arial"/>
          <w:bCs/>
          <w:i/>
          <w:szCs w:val="22"/>
        </w:rPr>
        <w:t>the borderline fence between Erf 270</w:t>
      </w:r>
      <w:r w:rsidR="00F3647D" w:rsidRPr="00E67C0A">
        <w:rPr>
          <w:rStyle w:val="FootnoteReference"/>
          <w:rFonts w:cs="Arial"/>
          <w:bCs/>
          <w:szCs w:val="22"/>
        </w:rPr>
        <w:footnoteReference w:id="5"/>
      </w:r>
      <w:r w:rsidR="00DA2310" w:rsidRPr="00E67C0A">
        <w:rPr>
          <w:rFonts w:cs="Arial"/>
          <w:bCs/>
          <w:i/>
          <w:szCs w:val="22"/>
        </w:rPr>
        <w:t xml:space="preserve"> and 268 as well as the borderline fence between Erf 268 and Erf 279 to its original position”</w:t>
      </w:r>
      <w:r w:rsidR="00DA2310" w:rsidRPr="00E67C0A">
        <w:rPr>
          <w:rFonts w:cs="Arial"/>
          <w:bCs/>
          <w:szCs w:val="22"/>
        </w:rPr>
        <w:t xml:space="preserve">. </w:t>
      </w:r>
    </w:p>
    <w:p w14:paraId="50E0BAEE" w14:textId="58CA96B2" w:rsidR="00DA2310"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[18]</w:t>
      </w:r>
      <w:r w:rsidRPr="00E67C0A">
        <w:rPr>
          <w:rFonts w:cs="Arial"/>
          <w:bCs/>
          <w:szCs w:val="22"/>
        </w:rPr>
        <w:tab/>
      </w:r>
      <w:r w:rsidR="00DA2310" w:rsidRPr="00E67C0A">
        <w:rPr>
          <w:rFonts w:cs="Arial"/>
          <w:bCs/>
          <w:szCs w:val="22"/>
        </w:rPr>
        <w:t>The agreement was drawn haphazardly and is by no means a model of clarity. What is clear however is that the respondent agreed to cooperate and to restore the borderline fence between Erf 268 and 279 to the original position as it was before Portion 1 was separated from the remainder by means of a wall erected by or for the respondent. No other interpretation</w:t>
      </w:r>
      <w:r w:rsidR="007A5AA0" w:rsidRPr="00E67C0A">
        <w:rPr>
          <w:rFonts w:cs="Arial"/>
          <w:bCs/>
          <w:szCs w:val="22"/>
        </w:rPr>
        <w:t xml:space="preserve"> of this second agreement</w:t>
      </w:r>
      <w:r w:rsidR="00DA2310" w:rsidRPr="00E67C0A">
        <w:rPr>
          <w:rFonts w:cs="Arial"/>
          <w:bCs/>
          <w:szCs w:val="22"/>
        </w:rPr>
        <w:t xml:space="preserve"> is possible.</w:t>
      </w:r>
    </w:p>
    <w:p w14:paraId="6C67167D" w14:textId="77DF9E58" w:rsidR="003158E2" w:rsidRPr="00E67C0A" w:rsidRDefault="00805AB1" w:rsidP="00805AB1">
      <w:pPr>
        <w:widowControl w:val="0"/>
        <w:tabs>
          <w:tab w:val="left" w:pos="567"/>
        </w:tabs>
        <w:spacing w:before="480" w:after="480" w:line="360" w:lineRule="auto"/>
        <w:jc w:val="both"/>
        <w:rPr>
          <w:rFonts w:cs="Arial"/>
          <w:bCs/>
          <w:i/>
          <w:iCs/>
          <w:szCs w:val="22"/>
        </w:rPr>
      </w:pPr>
      <w:r w:rsidRPr="00E67C0A">
        <w:rPr>
          <w:rFonts w:cs="Arial"/>
          <w:bCs/>
          <w:iCs/>
          <w:szCs w:val="22"/>
        </w:rPr>
        <w:t>[19]</w:t>
      </w:r>
      <w:r w:rsidRPr="00E67C0A">
        <w:rPr>
          <w:rFonts w:cs="Arial"/>
          <w:bCs/>
          <w:iCs/>
          <w:szCs w:val="22"/>
        </w:rPr>
        <w:tab/>
      </w:r>
      <w:r w:rsidR="006E5AE9" w:rsidRPr="00E67C0A">
        <w:rPr>
          <w:rFonts w:cs="Arial"/>
          <w:bCs/>
          <w:szCs w:val="22"/>
        </w:rPr>
        <w:t xml:space="preserve">The respondent’s deponent now however denies that the agreement was unequivocal. The deponent says that: </w:t>
      </w:r>
      <w:r w:rsidR="006645D0" w:rsidRPr="00E67C0A">
        <w:rPr>
          <w:rFonts w:cs="Arial"/>
          <w:bCs/>
          <w:i/>
          <w:iCs/>
          <w:szCs w:val="22"/>
        </w:rPr>
        <w:t xml:space="preserve">“Co-operate meant that Respondent would also be compensated for its losses and that it would also benefit in some manner from the restoration of the border.” </w:t>
      </w:r>
      <w:r w:rsidR="006645D0" w:rsidRPr="00E67C0A">
        <w:rPr>
          <w:rFonts w:cs="Arial"/>
          <w:bCs/>
          <w:szCs w:val="22"/>
        </w:rPr>
        <w:t>He then made proposals to the applicant in full and final settlement of the matter and he did so two days later, on 4 March 2022. This was rejected by the applicant and the respondent now regarded the agreement as terminated.</w:t>
      </w:r>
      <w:r w:rsidR="003158E2" w:rsidRPr="00E67C0A">
        <w:rPr>
          <w:rFonts w:cs="Arial"/>
          <w:bCs/>
          <w:szCs w:val="22"/>
        </w:rPr>
        <w:t xml:space="preserve"> </w:t>
      </w:r>
    </w:p>
    <w:p w14:paraId="706C56A1" w14:textId="149D76B4" w:rsidR="006E5AE9" w:rsidRPr="00E67C0A" w:rsidRDefault="00805AB1" w:rsidP="00805AB1">
      <w:pPr>
        <w:widowControl w:val="0"/>
        <w:tabs>
          <w:tab w:val="left" w:pos="567"/>
        </w:tabs>
        <w:spacing w:before="480" w:after="480" w:line="360" w:lineRule="auto"/>
        <w:jc w:val="both"/>
        <w:rPr>
          <w:rFonts w:cs="Arial"/>
          <w:bCs/>
          <w:i/>
          <w:iCs/>
          <w:szCs w:val="22"/>
        </w:rPr>
      </w:pPr>
      <w:r w:rsidRPr="00E67C0A">
        <w:rPr>
          <w:rFonts w:cs="Arial"/>
          <w:bCs/>
          <w:iCs/>
          <w:szCs w:val="22"/>
        </w:rPr>
        <w:t>[20]</w:t>
      </w:r>
      <w:r w:rsidRPr="00E67C0A">
        <w:rPr>
          <w:rFonts w:cs="Arial"/>
          <w:bCs/>
          <w:iCs/>
          <w:szCs w:val="22"/>
        </w:rPr>
        <w:tab/>
      </w:r>
      <w:r w:rsidR="003158E2" w:rsidRPr="00E67C0A">
        <w:rPr>
          <w:rFonts w:cs="Arial"/>
          <w:bCs/>
          <w:szCs w:val="22"/>
        </w:rPr>
        <w:t>There is nothing in the agreement of March 2022 that gives rise to the interpretation that a second agreement on compensation was going to be entered into.</w:t>
      </w:r>
    </w:p>
    <w:p w14:paraId="4E2E2743" w14:textId="6C766213" w:rsidR="003158E2" w:rsidRPr="00E67C0A" w:rsidRDefault="00805AB1" w:rsidP="00805AB1">
      <w:pPr>
        <w:widowControl w:val="0"/>
        <w:tabs>
          <w:tab w:val="left" w:pos="567"/>
        </w:tabs>
        <w:spacing w:before="480" w:after="480" w:line="360" w:lineRule="auto"/>
        <w:jc w:val="both"/>
        <w:rPr>
          <w:rFonts w:cs="Arial"/>
          <w:bCs/>
          <w:i/>
          <w:iCs/>
          <w:szCs w:val="22"/>
        </w:rPr>
      </w:pPr>
      <w:r w:rsidRPr="00E67C0A">
        <w:rPr>
          <w:rFonts w:cs="Arial"/>
          <w:bCs/>
          <w:iCs/>
          <w:szCs w:val="22"/>
        </w:rPr>
        <w:t>[21]</w:t>
      </w:r>
      <w:r w:rsidRPr="00E67C0A">
        <w:rPr>
          <w:rFonts w:cs="Arial"/>
          <w:bCs/>
          <w:iCs/>
          <w:szCs w:val="22"/>
        </w:rPr>
        <w:tab/>
      </w:r>
      <w:r w:rsidR="003158E2" w:rsidRPr="00E67C0A">
        <w:rPr>
          <w:rFonts w:cs="Arial"/>
          <w:bCs/>
          <w:szCs w:val="22"/>
        </w:rPr>
        <w:t>It would seem that both parties regarded the March 2022 agreement as terminated as the applicant did not rely on it in the founding affidavit. For this reason the order made above is not based on this agreement but on the applicant’s ownership.</w:t>
      </w:r>
    </w:p>
    <w:p w14:paraId="53E4B89C" w14:textId="77777777" w:rsidR="003C0E29" w:rsidRDefault="003C0E29" w:rsidP="00825866">
      <w:pPr>
        <w:widowControl w:val="0"/>
        <w:spacing w:before="480" w:after="480" w:line="360" w:lineRule="auto"/>
        <w:jc w:val="both"/>
        <w:rPr>
          <w:rFonts w:cs="Arial"/>
          <w:bCs/>
          <w:szCs w:val="22"/>
          <w:u w:val="single"/>
        </w:rPr>
      </w:pPr>
    </w:p>
    <w:p w14:paraId="26DB8AC9" w14:textId="7B6B067C" w:rsidR="00825866" w:rsidRPr="00E67C0A" w:rsidRDefault="00825866" w:rsidP="00825866">
      <w:pPr>
        <w:widowControl w:val="0"/>
        <w:spacing w:before="480" w:after="480" w:line="360" w:lineRule="auto"/>
        <w:jc w:val="both"/>
        <w:rPr>
          <w:rFonts w:cs="Arial"/>
          <w:bCs/>
          <w:szCs w:val="22"/>
          <w:u w:val="single"/>
        </w:rPr>
      </w:pPr>
      <w:r w:rsidRPr="00E67C0A">
        <w:rPr>
          <w:rFonts w:cs="Arial"/>
          <w:bCs/>
          <w:szCs w:val="22"/>
          <w:u w:val="single"/>
        </w:rPr>
        <w:t>The other defences</w:t>
      </w:r>
    </w:p>
    <w:p w14:paraId="7E2578C8" w14:textId="19F1CDF1" w:rsidR="00825866"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[22]</w:t>
      </w:r>
      <w:r w:rsidRPr="00E67C0A">
        <w:rPr>
          <w:rFonts w:cs="Arial"/>
          <w:bCs/>
          <w:szCs w:val="22"/>
        </w:rPr>
        <w:tab/>
      </w:r>
      <w:r w:rsidR="00825866" w:rsidRPr="00E67C0A">
        <w:rPr>
          <w:rFonts w:cs="Arial"/>
          <w:bCs/>
          <w:szCs w:val="22"/>
        </w:rPr>
        <w:t>The respondent relies on a number of defences also relevant to the counter-application, namely –</w:t>
      </w:r>
    </w:p>
    <w:p w14:paraId="2851C807" w14:textId="4D42E256" w:rsidR="00825866"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22.1</w:t>
      </w:r>
      <w:r w:rsidRPr="00E67C0A">
        <w:rPr>
          <w:rFonts w:cs="Arial"/>
          <w:bCs/>
          <w:szCs w:val="22"/>
        </w:rPr>
        <w:tab/>
      </w:r>
      <w:r w:rsidR="00825866" w:rsidRPr="00E67C0A">
        <w:rPr>
          <w:rFonts w:cs="Arial"/>
          <w:bCs/>
          <w:szCs w:val="22"/>
        </w:rPr>
        <w:t>An intentional or mistaken misrepresentation of the boundaries of Erf 268;</w:t>
      </w:r>
    </w:p>
    <w:p w14:paraId="392DDA77" w14:textId="6B5F9779" w:rsidR="00825866"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22.2</w:t>
      </w:r>
      <w:r w:rsidRPr="00E67C0A">
        <w:rPr>
          <w:rFonts w:cs="Arial"/>
          <w:bCs/>
          <w:szCs w:val="22"/>
        </w:rPr>
        <w:tab/>
      </w:r>
      <w:r w:rsidR="00825866" w:rsidRPr="00E67C0A">
        <w:rPr>
          <w:rFonts w:cs="Arial"/>
          <w:bCs/>
          <w:szCs w:val="22"/>
        </w:rPr>
        <w:t xml:space="preserve">The applicant created the impression that it </w:t>
      </w:r>
      <w:r w:rsidR="00FD5396" w:rsidRPr="00E67C0A">
        <w:rPr>
          <w:rFonts w:cs="Arial"/>
          <w:bCs/>
          <w:szCs w:val="22"/>
        </w:rPr>
        <w:t xml:space="preserve">would consolidate Portion 1 </w:t>
      </w:r>
      <w:r w:rsidR="00FD5396" w:rsidRPr="00E67C0A">
        <w:rPr>
          <w:rFonts w:cs="Arial"/>
          <w:bCs/>
          <w:szCs w:val="22"/>
        </w:rPr>
        <w:lastRenderedPageBreak/>
        <w:t>with Erf 268;</w:t>
      </w:r>
    </w:p>
    <w:p w14:paraId="44E06448" w14:textId="1E5CDB8E" w:rsidR="00FD5396"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22.3</w:t>
      </w:r>
      <w:r w:rsidRPr="00E67C0A">
        <w:rPr>
          <w:rFonts w:cs="Arial"/>
          <w:bCs/>
          <w:szCs w:val="22"/>
        </w:rPr>
        <w:tab/>
      </w:r>
      <w:r w:rsidR="00FD5396" w:rsidRPr="00E67C0A">
        <w:rPr>
          <w:rFonts w:cs="Arial"/>
          <w:bCs/>
          <w:szCs w:val="22"/>
        </w:rPr>
        <w:t>The applicant is estopped from claiming Portion 1 because of the instructions given to the land surveyors;</w:t>
      </w:r>
    </w:p>
    <w:p w14:paraId="43A7A93A" w14:textId="4F30CE08" w:rsidR="00FD5396"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22.4</w:t>
      </w:r>
      <w:r w:rsidRPr="00E67C0A">
        <w:rPr>
          <w:rFonts w:cs="Arial"/>
          <w:bCs/>
          <w:szCs w:val="22"/>
        </w:rPr>
        <w:tab/>
      </w:r>
      <w:r w:rsidR="00FD5396" w:rsidRPr="00E67C0A">
        <w:rPr>
          <w:rFonts w:cs="Arial"/>
          <w:bCs/>
          <w:szCs w:val="22"/>
        </w:rPr>
        <w:t>The respondent is entitled to the diminution in value of the Erf 268 without Portion 1;</w:t>
      </w:r>
    </w:p>
    <w:p w14:paraId="4D1A5BC2" w14:textId="3B693C08" w:rsidR="00FD5396"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22.5</w:t>
      </w:r>
      <w:r w:rsidRPr="00E67C0A">
        <w:rPr>
          <w:rFonts w:cs="Arial"/>
          <w:bCs/>
          <w:szCs w:val="22"/>
        </w:rPr>
        <w:tab/>
      </w:r>
      <w:r w:rsidR="00FD5396" w:rsidRPr="00E67C0A">
        <w:rPr>
          <w:rFonts w:cs="Arial"/>
          <w:bCs/>
          <w:szCs w:val="22"/>
        </w:rPr>
        <w:t>The respondent is entitled to be compensated for the wall it built between points A and B on the diagram referred to.</w:t>
      </w:r>
    </w:p>
    <w:p w14:paraId="2FEFE189" w14:textId="3DAD4628" w:rsidR="00E464D1"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22.6</w:t>
      </w:r>
      <w:r w:rsidRPr="00E67C0A">
        <w:rPr>
          <w:rFonts w:cs="Arial"/>
          <w:bCs/>
          <w:szCs w:val="22"/>
        </w:rPr>
        <w:tab/>
      </w:r>
      <w:r w:rsidR="00E464D1" w:rsidRPr="00E67C0A">
        <w:rPr>
          <w:rFonts w:cs="Arial"/>
          <w:bCs/>
          <w:szCs w:val="22"/>
        </w:rPr>
        <w:t>The applicant would be enriched if the application were to succeed.</w:t>
      </w:r>
    </w:p>
    <w:p w14:paraId="78BBBE22" w14:textId="1B7A4B73" w:rsidR="00FD5396"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[23]</w:t>
      </w:r>
      <w:r w:rsidRPr="00E67C0A">
        <w:rPr>
          <w:rFonts w:cs="Arial"/>
          <w:bCs/>
          <w:szCs w:val="22"/>
        </w:rPr>
        <w:tab/>
      </w:r>
      <w:r w:rsidR="00FD5396" w:rsidRPr="00E67C0A">
        <w:rPr>
          <w:rFonts w:cs="Arial"/>
          <w:bCs/>
          <w:szCs w:val="22"/>
        </w:rPr>
        <w:t>There is no evidence of a</w:t>
      </w:r>
      <w:r w:rsidR="003C0E29">
        <w:rPr>
          <w:rFonts w:cs="Arial"/>
          <w:bCs/>
          <w:szCs w:val="22"/>
        </w:rPr>
        <w:t>n intentional or negligent</w:t>
      </w:r>
      <w:r w:rsidR="00FD5396" w:rsidRPr="00E67C0A">
        <w:rPr>
          <w:rFonts w:cs="Arial"/>
          <w:bCs/>
          <w:szCs w:val="22"/>
        </w:rPr>
        <w:t xml:space="preserve"> misrepresentation</w:t>
      </w:r>
      <w:r w:rsidR="003C0E29">
        <w:rPr>
          <w:rFonts w:cs="Arial"/>
          <w:bCs/>
          <w:szCs w:val="22"/>
        </w:rPr>
        <w:t xml:space="preserve"> that induced the contract</w:t>
      </w:r>
      <w:r w:rsidR="00FD5396" w:rsidRPr="00E67C0A">
        <w:rPr>
          <w:rFonts w:cs="Arial"/>
          <w:bCs/>
          <w:szCs w:val="22"/>
        </w:rPr>
        <w:t>. The respondent’s argument that an intentional misrepresentation must be inferred from the fact that the applicant is unable to explain why it erred in respect of the boundaries can not be accepted.</w:t>
      </w:r>
    </w:p>
    <w:p w14:paraId="46F35E1B" w14:textId="482A57E2" w:rsidR="00FD5396"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[24]</w:t>
      </w:r>
      <w:r w:rsidRPr="00E67C0A">
        <w:rPr>
          <w:rFonts w:cs="Arial"/>
          <w:bCs/>
          <w:szCs w:val="22"/>
        </w:rPr>
        <w:tab/>
      </w:r>
      <w:r w:rsidR="00FD5396" w:rsidRPr="00E67C0A">
        <w:rPr>
          <w:rFonts w:cs="Arial"/>
          <w:bCs/>
          <w:szCs w:val="22"/>
        </w:rPr>
        <w:t>The misrepresentation of the boundaries was, on the available evidence, no</w:t>
      </w:r>
      <w:r w:rsidR="003C0E29">
        <w:rPr>
          <w:rFonts w:cs="Arial"/>
          <w:bCs/>
          <w:szCs w:val="22"/>
        </w:rPr>
        <w:t>t a intentional (i.e. fraudulent)</w:t>
      </w:r>
      <w:r w:rsidR="00FD5396" w:rsidRPr="00E67C0A">
        <w:rPr>
          <w:rFonts w:cs="Arial"/>
          <w:bCs/>
          <w:szCs w:val="22"/>
        </w:rPr>
        <w:t xml:space="preserve"> misrepresentation. An innocent misrepresentation </w:t>
      </w:r>
      <w:r w:rsidR="00E464D1" w:rsidRPr="00E67C0A">
        <w:rPr>
          <w:rFonts w:cs="Arial"/>
          <w:bCs/>
          <w:szCs w:val="22"/>
        </w:rPr>
        <w:t>which induced a contract does not give rise to a claim for damages but may be relied upon to avoid the contract.</w:t>
      </w:r>
      <w:r w:rsidR="003C0E29">
        <w:rPr>
          <w:rStyle w:val="FootnoteReference"/>
          <w:rFonts w:cs="Arial"/>
          <w:bCs/>
          <w:szCs w:val="22"/>
        </w:rPr>
        <w:footnoteReference w:id="6"/>
      </w:r>
      <w:r w:rsidR="003C0E29">
        <w:rPr>
          <w:rFonts w:cs="Arial"/>
          <w:bCs/>
          <w:szCs w:val="22"/>
        </w:rPr>
        <w:t xml:space="preserve"> A negligent or intentional misrepresentation </w:t>
      </w:r>
      <w:r w:rsidR="00924FED">
        <w:rPr>
          <w:rFonts w:cs="Arial"/>
          <w:bCs/>
          <w:szCs w:val="22"/>
        </w:rPr>
        <w:t>may</w:t>
      </w:r>
      <w:r w:rsidR="003C0E29">
        <w:rPr>
          <w:rFonts w:cs="Arial"/>
          <w:bCs/>
          <w:szCs w:val="22"/>
        </w:rPr>
        <w:t xml:space="preserve"> give rise to a claim for damages</w:t>
      </w:r>
      <w:r w:rsidR="00924FED">
        <w:rPr>
          <w:rFonts w:cs="Arial"/>
          <w:bCs/>
          <w:szCs w:val="22"/>
        </w:rPr>
        <w:t xml:space="preserve"> and may of course also be relied upon to avoid a contract</w:t>
      </w:r>
      <w:r w:rsidR="003C0E29">
        <w:rPr>
          <w:rFonts w:cs="Arial"/>
          <w:bCs/>
          <w:szCs w:val="22"/>
        </w:rPr>
        <w:t>.</w:t>
      </w:r>
    </w:p>
    <w:p w14:paraId="5283E664" w14:textId="382D97EE" w:rsidR="00E464D1"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[25]</w:t>
      </w:r>
      <w:r w:rsidRPr="00E67C0A">
        <w:rPr>
          <w:rFonts w:cs="Arial"/>
          <w:bCs/>
          <w:szCs w:val="22"/>
        </w:rPr>
        <w:tab/>
      </w:r>
      <w:r w:rsidR="00E464D1" w:rsidRPr="00E67C0A">
        <w:rPr>
          <w:rFonts w:cs="Arial"/>
          <w:bCs/>
          <w:szCs w:val="22"/>
        </w:rPr>
        <w:t>The reliance on enrichment as defence is misplaced. It seems to be related to the counterclaim for what appears to be a price reduction.</w:t>
      </w:r>
    </w:p>
    <w:p w14:paraId="17B5099D" w14:textId="0B4A305A" w:rsidR="00E464D1"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[26]</w:t>
      </w:r>
      <w:r w:rsidRPr="00E67C0A">
        <w:rPr>
          <w:rFonts w:cs="Arial"/>
          <w:bCs/>
          <w:szCs w:val="22"/>
        </w:rPr>
        <w:tab/>
      </w:r>
      <w:r w:rsidR="00E464D1" w:rsidRPr="00E67C0A">
        <w:rPr>
          <w:rFonts w:cs="Arial"/>
          <w:bCs/>
          <w:szCs w:val="22"/>
        </w:rPr>
        <w:t>There is similarly no merit in the averment that the applicant “created an impression” that she would consolidate Portion 1 with Erf 268 and is therefore estopped from claiming its property.</w:t>
      </w:r>
      <w:r w:rsidR="00B4289D">
        <w:rPr>
          <w:rFonts w:cs="Arial"/>
          <w:bCs/>
          <w:szCs w:val="22"/>
        </w:rPr>
        <w:t xml:space="preserve"> No such “impression” appears from the papers and nor is there any allegation that the respondent then acted to its detriment when the “impression” was created.</w:t>
      </w:r>
    </w:p>
    <w:p w14:paraId="4ADB8612" w14:textId="77777777" w:rsidR="00E67C0A" w:rsidRPr="00E67C0A" w:rsidRDefault="00E67C0A" w:rsidP="00825866">
      <w:pPr>
        <w:widowControl w:val="0"/>
        <w:spacing w:before="480" w:after="480" w:line="360" w:lineRule="auto"/>
        <w:jc w:val="both"/>
        <w:rPr>
          <w:rFonts w:cs="Arial"/>
          <w:bCs/>
          <w:szCs w:val="22"/>
          <w:u w:val="single"/>
        </w:rPr>
      </w:pPr>
    </w:p>
    <w:p w14:paraId="18DF0B30" w14:textId="51EEA277" w:rsidR="00825866" w:rsidRPr="00E67C0A" w:rsidRDefault="00825866" w:rsidP="00825866">
      <w:pPr>
        <w:widowControl w:val="0"/>
        <w:spacing w:before="480" w:after="480" w:line="360" w:lineRule="auto"/>
        <w:jc w:val="both"/>
        <w:rPr>
          <w:rFonts w:cs="Arial"/>
          <w:bCs/>
          <w:szCs w:val="22"/>
          <w:u w:val="single"/>
        </w:rPr>
      </w:pPr>
      <w:r w:rsidRPr="00E67C0A">
        <w:rPr>
          <w:rFonts w:cs="Arial"/>
          <w:bCs/>
          <w:szCs w:val="22"/>
          <w:u w:val="single"/>
        </w:rPr>
        <w:t>The counter-application</w:t>
      </w:r>
    </w:p>
    <w:p w14:paraId="3B70B0CA" w14:textId="697A137A" w:rsidR="003C0E29" w:rsidRDefault="00805AB1" w:rsidP="00805AB1">
      <w:pPr>
        <w:widowControl w:val="0"/>
        <w:tabs>
          <w:tab w:val="left" w:pos="567"/>
        </w:tabs>
        <w:spacing w:before="480" w:after="480" w:line="360" w:lineRule="auto"/>
        <w:jc w:val="both"/>
        <w:rPr>
          <w:rFonts w:cs="Arial"/>
          <w:bCs/>
          <w:szCs w:val="22"/>
        </w:rPr>
      </w:pPr>
      <w:r>
        <w:rPr>
          <w:rFonts w:cs="Arial"/>
          <w:bCs/>
          <w:szCs w:val="22"/>
        </w:rPr>
        <w:t>[27]</w:t>
      </w:r>
      <w:r>
        <w:rPr>
          <w:rFonts w:cs="Arial"/>
          <w:bCs/>
          <w:szCs w:val="22"/>
        </w:rPr>
        <w:tab/>
      </w:r>
      <w:r w:rsidR="00DA2310" w:rsidRPr="00E67C0A">
        <w:rPr>
          <w:rFonts w:cs="Arial"/>
          <w:bCs/>
          <w:szCs w:val="22"/>
        </w:rPr>
        <w:t xml:space="preserve">The respondent counter-applies for an order that the applicant be ordered to </w:t>
      </w:r>
    </w:p>
    <w:p w14:paraId="0CF7B891" w14:textId="2A17ADFA" w:rsidR="003C0E29" w:rsidRDefault="00805AB1" w:rsidP="00805AB1">
      <w:pPr>
        <w:widowControl w:val="0"/>
        <w:tabs>
          <w:tab w:val="left" w:pos="1418"/>
        </w:tabs>
        <w:spacing w:before="480" w:after="480" w:line="360" w:lineRule="auto"/>
        <w:ind w:left="1418" w:hanging="851"/>
        <w:jc w:val="both"/>
        <w:rPr>
          <w:rFonts w:cs="Arial"/>
          <w:bCs/>
          <w:szCs w:val="22"/>
        </w:rPr>
      </w:pPr>
      <w:r>
        <w:rPr>
          <w:rFonts w:cs="Arial"/>
          <w:bCs/>
          <w:szCs w:val="22"/>
        </w:rPr>
        <w:t>27.1</w:t>
      </w:r>
      <w:r>
        <w:rPr>
          <w:rFonts w:cs="Arial"/>
          <w:bCs/>
          <w:szCs w:val="22"/>
        </w:rPr>
        <w:tab/>
      </w:r>
      <w:r w:rsidR="00DA2310" w:rsidRPr="00E67C0A">
        <w:rPr>
          <w:rFonts w:cs="Arial"/>
          <w:bCs/>
          <w:szCs w:val="22"/>
        </w:rPr>
        <w:t xml:space="preserve">complete the approved consolidation process in respect of the property as depicted in the Surveyor General Diagram No 109/2005, </w:t>
      </w:r>
    </w:p>
    <w:p w14:paraId="03F659EE" w14:textId="5A9F3DEE" w:rsidR="003C0E29" w:rsidRDefault="00805AB1" w:rsidP="00805AB1">
      <w:pPr>
        <w:widowControl w:val="0"/>
        <w:tabs>
          <w:tab w:val="left" w:pos="1418"/>
        </w:tabs>
        <w:spacing w:before="480" w:after="480" w:line="360" w:lineRule="auto"/>
        <w:ind w:left="1418" w:hanging="851"/>
        <w:jc w:val="both"/>
        <w:rPr>
          <w:rFonts w:cs="Arial"/>
          <w:bCs/>
          <w:szCs w:val="22"/>
        </w:rPr>
      </w:pPr>
      <w:r>
        <w:rPr>
          <w:rFonts w:cs="Arial"/>
          <w:bCs/>
          <w:szCs w:val="22"/>
        </w:rPr>
        <w:t>27.2</w:t>
      </w:r>
      <w:r>
        <w:rPr>
          <w:rFonts w:cs="Arial"/>
          <w:bCs/>
          <w:szCs w:val="22"/>
        </w:rPr>
        <w:tab/>
      </w:r>
      <w:r w:rsidR="00DA2310" w:rsidRPr="00E67C0A">
        <w:rPr>
          <w:rFonts w:cs="Arial"/>
          <w:bCs/>
          <w:szCs w:val="22"/>
        </w:rPr>
        <w:t>alternatively that the applicant be ordered to compensate the respondent a fair and reasonable market-related value for the disputed portion of the property as determined by a sworn Property Valuator appointed by the Court</w:t>
      </w:r>
      <w:r w:rsidR="003C0E29">
        <w:rPr>
          <w:rFonts w:cs="Arial"/>
          <w:bCs/>
          <w:szCs w:val="22"/>
        </w:rPr>
        <w:t>,</w:t>
      </w:r>
    </w:p>
    <w:p w14:paraId="216F7DD3" w14:textId="5A0DB32A" w:rsidR="003C0E29" w:rsidRDefault="00805AB1" w:rsidP="00805AB1">
      <w:pPr>
        <w:widowControl w:val="0"/>
        <w:tabs>
          <w:tab w:val="left" w:pos="1418"/>
        </w:tabs>
        <w:spacing w:before="480" w:after="480" w:line="360" w:lineRule="auto"/>
        <w:ind w:left="1418" w:hanging="851"/>
        <w:jc w:val="both"/>
        <w:rPr>
          <w:rFonts w:cs="Arial"/>
          <w:bCs/>
          <w:szCs w:val="22"/>
        </w:rPr>
      </w:pPr>
      <w:r>
        <w:rPr>
          <w:rFonts w:cs="Arial"/>
          <w:bCs/>
          <w:szCs w:val="22"/>
        </w:rPr>
        <w:t>27.3</w:t>
      </w:r>
      <w:r>
        <w:rPr>
          <w:rFonts w:cs="Arial"/>
          <w:bCs/>
          <w:szCs w:val="22"/>
        </w:rPr>
        <w:tab/>
      </w:r>
      <w:r w:rsidR="003C0E29">
        <w:rPr>
          <w:rFonts w:cs="Arial"/>
          <w:bCs/>
          <w:szCs w:val="22"/>
        </w:rPr>
        <w:t xml:space="preserve">that </w:t>
      </w:r>
      <w:r w:rsidR="00DA2310" w:rsidRPr="00E67C0A">
        <w:rPr>
          <w:rFonts w:cs="Arial"/>
          <w:bCs/>
          <w:szCs w:val="22"/>
        </w:rPr>
        <w:t xml:space="preserve">the applicant be ordered to erect a wall </w:t>
      </w:r>
      <w:r w:rsidR="00DA2310" w:rsidRPr="00E67C0A">
        <w:rPr>
          <w:rFonts w:cs="Arial"/>
          <w:bCs/>
          <w:i/>
          <w:szCs w:val="22"/>
        </w:rPr>
        <w:t>“exactly similar to the current walls surrounding the disputed portion of the property”</w:t>
      </w:r>
      <w:r w:rsidR="00DA2310" w:rsidRPr="00E67C0A">
        <w:rPr>
          <w:rFonts w:cs="Arial"/>
          <w:bCs/>
          <w:szCs w:val="22"/>
        </w:rPr>
        <w:t xml:space="preserve">, and </w:t>
      </w:r>
    </w:p>
    <w:p w14:paraId="6DDB7392" w14:textId="1C39375D" w:rsidR="006439ED" w:rsidRDefault="00805AB1" w:rsidP="00805AB1">
      <w:pPr>
        <w:widowControl w:val="0"/>
        <w:tabs>
          <w:tab w:val="left" w:pos="1418"/>
        </w:tabs>
        <w:spacing w:before="480" w:after="480" w:line="360" w:lineRule="auto"/>
        <w:ind w:left="1418" w:hanging="851"/>
        <w:jc w:val="both"/>
        <w:rPr>
          <w:rFonts w:cs="Arial"/>
          <w:bCs/>
          <w:szCs w:val="22"/>
        </w:rPr>
      </w:pPr>
      <w:r>
        <w:rPr>
          <w:rFonts w:cs="Arial"/>
          <w:bCs/>
          <w:szCs w:val="22"/>
        </w:rPr>
        <w:t>27.4</w:t>
      </w:r>
      <w:r>
        <w:rPr>
          <w:rFonts w:cs="Arial"/>
          <w:bCs/>
          <w:szCs w:val="22"/>
        </w:rPr>
        <w:tab/>
      </w:r>
      <w:r w:rsidR="00DA2310" w:rsidRPr="00E67C0A">
        <w:rPr>
          <w:rFonts w:cs="Arial"/>
          <w:bCs/>
          <w:szCs w:val="22"/>
        </w:rPr>
        <w:t xml:space="preserve">that the applicant </w:t>
      </w:r>
      <w:r w:rsidR="00DA2310" w:rsidRPr="00E67C0A">
        <w:rPr>
          <w:rFonts w:cs="Arial"/>
          <w:bCs/>
          <w:i/>
          <w:szCs w:val="22"/>
        </w:rPr>
        <w:t>“be ordered to pay the respondent an amount of R250 000.00 as compensation for the wall build by the respondent around portion X of the property”</w:t>
      </w:r>
      <w:r w:rsidR="00DA2310" w:rsidRPr="00E67C0A">
        <w:rPr>
          <w:rFonts w:cs="Arial"/>
          <w:bCs/>
          <w:szCs w:val="22"/>
        </w:rPr>
        <w:t xml:space="preserve">. </w:t>
      </w:r>
    </w:p>
    <w:p w14:paraId="0C7EC5E6" w14:textId="08A77B7E" w:rsidR="00DA2310" w:rsidRPr="00E67C0A" w:rsidRDefault="00805AB1" w:rsidP="00805AB1">
      <w:pPr>
        <w:widowControl w:val="0"/>
        <w:tabs>
          <w:tab w:val="left" w:pos="1418"/>
        </w:tabs>
        <w:spacing w:before="480" w:after="480" w:line="360" w:lineRule="auto"/>
        <w:ind w:left="1418" w:hanging="851"/>
        <w:jc w:val="both"/>
        <w:rPr>
          <w:rFonts w:cs="Arial"/>
          <w:bCs/>
          <w:szCs w:val="22"/>
        </w:rPr>
      </w:pPr>
      <w:r w:rsidRPr="00E67C0A">
        <w:rPr>
          <w:rFonts w:cs="Arial"/>
          <w:bCs/>
          <w:szCs w:val="22"/>
        </w:rPr>
        <w:t>27.5</w:t>
      </w:r>
      <w:r w:rsidRPr="00E67C0A">
        <w:rPr>
          <w:rFonts w:cs="Arial"/>
          <w:bCs/>
          <w:szCs w:val="22"/>
        </w:rPr>
        <w:tab/>
      </w:r>
      <w:r w:rsidR="006439ED">
        <w:rPr>
          <w:rFonts w:cs="Arial"/>
          <w:bCs/>
          <w:szCs w:val="22"/>
        </w:rPr>
        <w:t>I deal with each counterclaim in turn.</w:t>
      </w:r>
    </w:p>
    <w:p w14:paraId="42D0EC2E" w14:textId="77777777" w:rsidR="006439ED" w:rsidRDefault="006439ED" w:rsidP="003C0E29">
      <w:pPr>
        <w:widowControl w:val="0"/>
        <w:spacing w:before="480" w:after="480" w:line="360" w:lineRule="auto"/>
        <w:jc w:val="both"/>
        <w:rPr>
          <w:rFonts w:cs="Arial"/>
          <w:bCs/>
          <w:i/>
          <w:iCs/>
          <w:szCs w:val="22"/>
          <w:u w:val="single"/>
        </w:rPr>
      </w:pPr>
    </w:p>
    <w:p w14:paraId="62BF006C" w14:textId="28B35A0D" w:rsidR="003C0E29" w:rsidRPr="003C0E29" w:rsidRDefault="003C0E29" w:rsidP="003C0E29">
      <w:pPr>
        <w:widowControl w:val="0"/>
        <w:spacing w:before="480" w:after="480" w:line="360" w:lineRule="auto"/>
        <w:jc w:val="both"/>
        <w:rPr>
          <w:rFonts w:cs="Arial"/>
          <w:bCs/>
          <w:i/>
          <w:iCs/>
          <w:szCs w:val="22"/>
          <w:u w:val="single"/>
        </w:rPr>
      </w:pPr>
      <w:r>
        <w:rPr>
          <w:rFonts w:cs="Arial"/>
          <w:bCs/>
          <w:i/>
          <w:iCs/>
          <w:szCs w:val="22"/>
          <w:u w:val="single"/>
        </w:rPr>
        <w:t>The counterclaim based on the</w:t>
      </w:r>
      <w:r w:rsidR="006439ED">
        <w:rPr>
          <w:rFonts w:cs="Arial"/>
          <w:bCs/>
          <w:i/>
          <w:iCs/>
          <w:szCs w:val="22"/>
          <w:u w:val="single"/>
        </w:rPr>
        <w:t xml:space="preserve"> implementation of the</w:t>
      </w:r>
      <w:r>
        <w:rPr>
          <w:rFonts w:cs="Arial"/>
          <w:bCs/>
          <w:i/>
          <w:iCs/>
          <w:szCs w:val="22"/>
          <w:u w:val="single"/>
        </w:rPr>
        <w:t xml:space="preserve"> consolidation</w:t>
      </w:r>
    </w:p>
    <w:p w14:paraId="48A1CB3C" w14:textId="7CF2C61F" w:rsidR="003C0E29" w:rsidRDefault="00805AB1" w:rsidP="00805AB1">
      <w:pPr>
        <w:widowControl w:val="0"/>
        <w:tabs>
          <w:tab w:val="left" w:pos="567"/>
        </w:tabs>
        <w:spacing w:before="480" w:after="480" w:line="360" w:lineRule="auto"/>
        <w:jc w:val="both"/>
        <w:rPr>
          <w:rFonts w:cs="Arial"/>
          <w:bCs/>
          <w:szCs w:val="22"/>
        </w:rPr>
      </w:pPr>
      <w:r>
        <w:rPr>
          <w:rFonts w:cs="Arial"/>
          <w:bCs/>
          <w:szCs w:val="22"/>
        </w:rPr>
        <w:t>[28]</w:t>
      </w:r>
      <w:r>
        <w:rPr>
          <w:rFonts w:cs="Arial"/>
          <w:bCs/>
          <w:szCs w:val="22"/>
        </w:rPr>
        <w:tab/>
      </w:r>
      <w:r w:rsidR="003C0E29">
        <w:rPr>
          <w:rFonts w:cs="Arial"/>
          <w:bCs/>
          <w:szCs w:val="22"/>
        </w:rPr>
        <w:t xml:space="preserve">The consolidation process was never approved and can not be implemented. </w:t>
      </w:r>
    </w:p>
    <w:p w14:paraId="56D46887" w14:textId="36CD4C3E" w:rsidR="004E5ACB" w:rsidRDefault="00805AB1" w:rsidP="00805AB1">
      <w:pPr>
        <w:widowControl w:val="0"/>
        <w:tabs>
          <w:tab w:val="left" w:pos="567"/>
        </w:tabs>
        <w:spacing w:before="480" w:after="480" w:line="360" w:lineRule="auto"/>
        <w:jc w:val="both"/>
        <w:rPr>
          <w:rFonts w:cs="Arial"/>
          <w:bCs/>
          <w:szCs w:val="22"/>
        </w:rPr>
      </w:pPr>
      <w:r>
        <w:rPr>
          <w:rFonts w:cs="Arial"/>
          <w:bCs/>
          <w:szCs w:val="22"/>
        </w:rPr>
        <w:t>[29]</w:t>
      </w:r>
      <w:r>
        <w:rPr>
          <w:rFonts w:cs="Arial"/>
          <w:bCs/>
          <w:szCs w:val="22"/>
        </w:rPr>
        <w:tab/>
      </w:r>
      <w:r w:rsidR="004E5ACB" w:rsidRPr="00E67C0A">
        <w:rPr>
          <w:rFonts w:cs="Arial"/>
          <w:bCs/>
          <w:szCs w:val="22"/>
        </w:rPr>
        <w:t xml:space="preserve">There is no agreement that complies with the provisions of Section 2 of the Alienation of Land Act, 68 of 1981, in terms of which the respondent can lay claim to the transfer of Portion 1. </w:t>
      </w:r>
    </w:p>
    <w:p w14:paraId="0B44F70C" w14:textId="04A486A0" w:rsidR="006439ED"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[30]</w:t>
      </w:r>
      <w:r w:rsidRPr="00E67C0A">
        <w:rPr>
          <w:rFonts w:cs="Arial"/>
          <w:bCs/>
          <w:szCs w:val="22"/>
        </w:rPr>
        <w:tab/>
      </w:r>
      <w:r w:rsidR="006439ED">
        <w:rPr>
          <w:rFonts w:cs="Arial"/>
          <w:bCs/>
          <w:szCs w:val="22"/>
        </w:rPr>
        <w:t>The respondent did not identify any basis for this counterclaim</w:t>
      </w:r>
    </w:p>
    <w:p w14:paraId="1B85F3F4" w14:textId="77777777" w:rsidR="006439ED" w:rsidRDefault="006439ED" w:rsidP="006439ED">
      <w:pPr>
        <w:widowControl w:val="0"/>
        <w:spacing w:before="480" w:after="480" w:line="360" w:lineRule="auto"/>
        <w:jc w:val="both"/>
        <w:rPr>
          <w:rFonts w:cs="Arial"/>
          <w:bCs/>
          <w:i/>
          <w:iCs/>
          <w:szCs w:val="22"/>
          <w:u w:val="single"/>
        </w:rPr>
      </w:pPr>
    </w:p>
    <w:p w14:paraId="0C232B15" w14:textId="426430E5" w:rsidR="006439ED" w:rsidRPr="006439ED" w:rsidRDefault="006439ED" w:rsidP="006439ED">
      <w:pPr>
        <w:widowControl w:val="0"/>
        <w:spacing w:before="480" w:after="480" w:line="360" w:lineRule="auto"/>
        <w:jc w:val="both"/>
        <w:rPr>
          <w:rFonts w:cs="Arial"/>
          <w:bCs/>
          <w:i/>
          <w:iCs/>
          <w:szCs w:val="22"/>
          <w:u w:val="single"/>
        </w:rPr>
      </w:pPr>
      <w:r w:rsidRPr="006439ED">
        <w:rPr>
          <w:rFonts w:cs="Arial"/>
          <w:bCs/>
          <w:i/>
          <w:iCs/>
          <w:szCs w:val="22"/>
          <w:u w:val="single"/>
        </w:rPr>
        <w:t xml:space="preserve">The counterclaim based </w:t>
      </w:r>
      <w:r>
        <w:rPr>
          <w:rFonts w:cs="Arial"/>
          <w:bCs/>
          <w:i/>
          <w:iCs/>
          <w:szCs w:val="22"/>
          <w:u w:val="single"/>
        </w:rPr>
        <w:t>for compensation</w:t>
      </w:r>
    </w:p>
    <w:p w14:paraId="6B759385" w14:textId="025EA9CB" w:rsidR="004E5ACB" w:rsidRDefault="00805AB1" w:rsidP="00805AB1">
      <w:pPr>
        <w:widowControl w:val="0"/>
        <w:tabs>
          <w:tab w:val="left" w:pos="567"/>
        </w:tabs>
        <w:spacing w:before="480" w:after="480" w:line="360" w:lineRule="auto"/>
        <w:jc w:val="both"/>
        <w:rPr>
          <w:rFonts w:cs="Arial"/>
          <w:bCs/>
          <w:szCs w:val="22"/>
        </w:rPr>
      </w:pPr>
      <w:r>
        <w:rPr>
          <w:rFonts w:cs="Arial"/>
          <w:bCs/>
          <w:szCs w:val="22"/>
        </w:rPr>
        <w:t>[31]</w:t>
      </w:r>
      <w:r>
        <w:rPr>
          <w:rFonts w:cs="Arial"/>
          <w:bCs/>
          <w:szCs w:val="22"/>
        </w:rPr>
        <w:tab/>
      </w:r>
      <w:r w:rsidR="006439ED" w:rsidRPr="006439ED">
        <w:rPr>
          <w:rFonts w:cs="Arial"/>
          <w:bCs/>
          <w:szCs w:val="22"/>
        </w:rPr>
        <w:t>This counterclaim seems to be based on</w:t>
      </w:r>
      <w:r w:rsidR="0025229D">
        <w:rPr>
          <w:rFonts w:cs="Arial"/>
          <w:bCs/>
          <w:szCs w:val="22"/>
        </w:rPr>
        <w:t xml:space="preserve"> damages or</w:t>
      </w:r>
      <w:r w:rsidR="006439ED" w:rsidRPr="006439ED">
        <w:rPr>
          <w:rFonts w:cs="Arial"/>
          <w:bCs/>
          <w:szCs w:val="22"/>
        </w:rPr>
        <w:t xml:space="preserve"> the </w:t>
      </w:r>
      <w:r w:rsidR="006439ED" w:rsidRPr="006439ED">
        <w:rPr>
          <w:rFonts w:cs="Arial"/>
          <w:bCs/>
          <w:i/>
          <w:iCs/>
          <w:szCs w:val="22"/>
        </w:rPr>
        <w:t>actio quanti minoris</w:t>
      </w:r>
      <w:r w:rsidR="006439ED" w:rsidRPr="006439ED">
        <w:rPr>
          <w:rFonts w:cs="Arial"/>
          <w:bCs/>
          <w:szCs w:val="22"/>
        </w:rPr>
        <w:t>.</w:t>
      </w:r>
      <w:r w:rsidR="0025229D" w:rsidRPr="00E67C0A">
        <w:rPr>
          <w:rStyle w:val="FootnoteReference"/>
          <w:rFonts w:cs="Arial"/>
          <w:bCs/>
          <w:i/>
          <w:iCs/>
          <w:szCs w:val="22"/>
        </w:rPr>
        <w:footnoteReference w:id="7"/>
      </w:r>
      <w:r w:rsidR="006439ED" w:rsidRPr="006439ED">
        <w:rPr>
          <w:rFonts w:cs="Arial"/>
          <w:bCs/>
          <w:szCs w:val="22"/>
        </w:rPr>
        <w:t xml:space="preserve"> </w:t>
      </w:r>
      <w:r w:rsidR="004E5ACB" w:rsidRPr="006439ED">
        <w:rPr>
          <w:rFonts w:cs="Arial"/>
          <w:bCs/>
          <w:szCs w:val="22"/>
        </w:rPr>
        <w:t>The respondent’s counterclaim for compensation is not quantified and no application was made to refer the matter to trial</w:t>
      </w:r>
      <w:r w:rsidR="00924FED">
        <w:rPr>
          <w:rFonts w:cs="Arial"/>
          <w:bCs/>
          <w:szCs w:val="22"/>
        </w:rPr>
        <w:t xml:space="preserve"> or oral evidence</w:t>
      </w:r>
      <w:r w:rsidR="004E5ACB" w:rsidRPr="006439ED">
        <w:rPr>
          <w:rFonts w:cs="Arial"/>
          <w:bCs/>
          <w:szCs w:val="22"/>
        </w:rPr>
        <w:t xml:space="preserve"> for the quantification of any such claim. This is also rather academic as the claim would have </w:t>
      </w:r>
      <w:r w:rsidR="006439ED" w:rsidRPr="006439ED">
        <w:rPr>
          <w:rFonts w:cs="Arial"/>
          <w:bCs/>
          <w:szCs w:val="22"/>
        </w:rPr>
        <w:t>arisen</w:t>
      </w:r>
      <w:r w:rsidR="004E5ACB" w:rsidRPr="006439ED">
        <w:rPr>
          <w:rFonts w:cs="Arial"/>
          <w:bCs/>
          <w:szCs w:val="22"/>
        </w:rPr>
        <w:t xml:space="preserve"> by the latest in 2004 and 2005, and would have prescribed </w:t>
      </w:r>
      <w:r w:rsidR="006439ED" w:rsidRPr="006439ED">
        <w:rPr>
          <w:rFonts w:cs="Arial"/>
          <w:bCs/>
          <w:szCs w:val="22"/>
        </w:rPr>
        <w:t>three</w:t>
      </w:r>
      <w:r w:rsidR="004E5ACB" w:rsidRPr="006439ED">
        <w:rPr>
          <w:rFonts w:cs="Arial"/>
          <w:bCs/>
          <w:szCs w:val="22"/>
        </w:rPr>
        <w:t xml:space="preserve"> years later. </w:t>
      </w:r>
    </w:p>
    <w:p w14:paraId="7470125E" w14:textId="77777777" w:rsidR="006439ED" w:rsidRDefault="006439ED" w:rsidP="006439ED">
      <w:pPr>
        <w:widowControl w:val="0"/>
        <w:spacing w:before="480" w:after="480" w:line="360" w:lineRule="auto"/>
        <w:jc w:val="both"/>
        <w:rPr>
          <w:rFonts w:cs="Arial"/>
          <w:bCs/>
          <w:i/>
          <w:iCs/>
          <w:szCs w:val="22"/>
          <w:u w:val="single"/>
        </w:rPr>
      </w:pPr>
    </w:p>
    <w:p w14:paraId="51F00374" w14:textId="5BCD8297" w:rsidR="006439ED" w:rsidRPr="006439ED" w:rsidRDefault="006439ED" w:rsidP="006439ED">
      <w:pPr>
        <w:widowControl w:val="0"/>
        <w:spacing w:before="480" w:after="480" w:line="360" w:lineRule="auto"/>
        <w:jc w:val="both"/>
        <w:rPr>
          <w:rFonts w:cs="Arial"/>
          <w:bCs/>
          <w:i/>
          <w:iCs/>
          <w:szCs w:val="22"/>
          <w:u w:val="single"/>
        </w:rPr>
      </w:pPr>
      <w:r w:rsidRPr="006439ED">
        <w:rPr>
          <w:rFonts w:cs="Arial"/>
          <w:bCs/>
          <w:i/>
          <w:iCs/>
          <w:szCs w:val="22"/>
          <w:u w:val="single"/>
        </w:rPr>
        <w:t xml:space="preserve">The counterclaim </w:t>
      </w:r>
      <w:r>
        <w:rPr>
          <w:rFonts w:cs="Arial"/>
          <w:bCs/>
          <w:i/>
          <w:iCs/>
          <w:szCs w:val="22"/>
          <w:u w:val="single"/>
        </w:rPr>
        <w:t xml:space="preserve">for the erection of a </w:t>
      </w:r>
      <w:r w:rsidR="007A7770">
        <w:rPr>
          <w:rFonts w:cs="Arial"/>
          <w:bCs/>
          <w:i/>
          <w:iCs/>
          <w:szCs w:val="22"/>
          <w:u w:val="single"/>
        </w:rPr>
        <w:t xml:space="preserve">new </w:t>
      </w:r>
      <w:r>
        <w:rPr>
          <w:rFonts w:cs="Arial"/>
          <w:bCs/>
          <w:i/>
          <w:iCs/>
          <w:szCs w:val="22"/>
          <w:u w:val="single"/>
        </w:rPr>
        <w:t>wall</w:t>
      </w:r>
    </w:p>
    <w:p w14:paraId="432397E4" w14:textId="6D7D7E2E" w:rsidR="007A7770" w:rsidRDefault="00805AB1" w:rsidP="00805AB1">
      <w:pPr>
        <w:widowControl w:val="0"/>
        <w:tabs>
          <w:tab w:val="left" w:pos="567"/>
        </w:tabs>
        <w:spacing w:before="480" w:after="480" w:line="360" w:lineRule="auto"/>
        <w:jc w:val="both"/>
        <w:rPr>
          <w:rFonts w:cs="Arial"/>
          <w:bCs/>
          <w:i/>
          <w:iCs/>
          <w:szCs w:val="22"/>
          <w:u w:val="single"/>
        </w:rPr>
      </w:pPr>
      <w:r>
        <w:rPr>
          <w:rFonts w:cs="Arial"/>
          <w:bCs/>
          <w:iCs/>
          <w:szCs w:val="22"/>
        </w:rPr>
        <w:t>[32]</w:t>
      </w:r>
      <w:r>
        <w:rPr>
          <w:rFonts w:cs="Arial"/>
          <w:bCs/>
          <w:iCs/>
          <w:szCs w:val="22"/>
        </w:rPr>
        <w:tab/>
      </w:r>
      <w:r w:rsidR="005763A6">
        <w:rPr>
          <w:rFonts w:cs="Arial"/>
          <w:bCs/>
          <w:szCs w:val="22"/>
        </w:rPr>
        <w:t xml:space="preserve">This counterclaim </w:t>
      </w:r>
      <w:r w:rsidR="007A7770">
        <w:rPr>
          <w:rFonts w:cs="Arial"/>
          <w:bCs/>
          <w:szCs w:val="22"/>
        </w:rPr>
        <w:t xml:space="preserve">is </w:t>
      </w:r>
      <w:r w:rsidR="005763A6">
        <w:rPr>
          <w:rFonts w:cs="Arial"/>
          <w:bCs/>
          <w:szCs w:val="22"/>
        </w:rPr>
        <w:t xml:space="preserve">seems to be </w:t>
      </w:r>
      <w:r w:rsidR="007A7770">
        <w:rPr>
          <w:rFonts w:cs="Arial"/>
          <w:bCs/>
          <w:szCs w:val="22"/>
        </w:rPr>
        <w:t xml:space="preserve">related to an </w:t>
      </w:r>
      <w:r w:rsidR="005763A6">
        <w:rPr>
          <w:rFonts w:cs="Arial"/>
          <w:bCs/>
          <w:szCs w:val="22"/>
        </w:rPr>
        <w:t>improvement of Erf 279 but it is not clear what the legal basis of the claim is</w:t>
      </w:r>
      <w:r w:rsidR="007A7770">
        <w:rPr>
          <w:rFonts w:cs="Arial"/>
          <w:bCs/>
          <w:szCs w:val="22"/>
        </w:rPr>
        <w:t xml:space="preserve"> and where the new wall is to be built.</w:t>
      </w:r>
    </w:p>
    <w:p w14:paraId="23BA9551" w14:textId="77777777" w:rsidR="0025229D" w:rsidRDefault="0025229D" w:rsidP="007A7770">
      <w:pPr>
        <w:widowControl w:val="0"/>
        <w:spacing w:before="480" w:after="480" w:line="360" w:lineRule="auto"/>
        <w:jc w:val="both"/>
        <w:rPr>
          <w:rFonts w:cs="Arial"/>
          <w:bCs/>
          <w:i/>
          <w:iCs/>
          <w:szCs w:val="22"/>
          <w:u w:val="single"/>
        </w:rPr>
      </w:pPr>
    </w:p>
    <w:p w14:paraId="5EE8FAA4" w14:textId="36A6453A" w:rsidR="007A7770" w:rsidRPr="007A7770" w:rsidRDefault="007A7770" w:rsidP="007A7770">
      <w:pPr>
        <w:widowControl w:val="0"/>
        <w:spacing w:before="480" w:after="480" w:line="360" w:lineRule="auto"/>
        <w:jc w:val="both"/>
        <w:rPr>
          <w:rFonts w:cs="Arial"/>
          <w:bCs/>
          <w:i/>
          <w:iCs/>
          <w:szCs w:val="22"/>
          <w:u w:val="single"/>
        </w:rPr>
      </w:pPr>
      <w:r w:rsidRPr="007A7770">
        <w:rPr>
          <w:rFonts w:cs="Arial"/>
          <w:bCs/>
          <w:i/>
          <w:iCs/>
          <w:szCs w:val="22"/>
          <w:u w:val="single"/>
        </w:rPr>
        <w:t xml:space="preserve">The counterclaim for </w:t>
      </w:r>
      <w:r>
        <w:rPr>
          <w:rFonts w:cs="Arial"/>
          <w:bCs/>
          <w:i/>
          <w:iCs/>
          <w:szCs w:val="22"/>
          <w:u w:val="single"/>
        </w:rPr>
        <w:t>payment of R250 000</w:t>
      </w:r>
    </w:p>
    <w:p w14:paraId="5C16E281" w14:textId="066BB7F9" w:rsidR="0025229D" w:rsidRDefault="00805AB1" w:rsidP="00805AB1">
      <w:pPr>
        <w:widowControl w:val="0"/>
        <w:tabs>
          <w:tab w:val="left" w:pos="567"/>
        </w:tabs>
        <w:spacing w:before="480" w:after="480" w:line="360" w:lineRule="auto"/>
        <w:jc w:val="both"/>
        <w:rPr>
          <w:rFonts w:cs="Arial"/>
          <w:bCs/>
          <w:szCs w:val="22"/>
        </w:rPr>
      </w:pPr>
      <w:r>
        <w:rPr>
          <w:rFonts w:cs="Arial"/>
          <w:bCs/>
          <w:szCs w:val="22"/>
        </w:rPr>
        <w:t>[33]</w:t>
      </w:r>
      <w:r>
        <w:rPr>
          <w:rFonts w:cs="Arial"/>
          <w:bCs/>
          <w:szCs w:val="22"/>
        </w:rPr>
        <w:tab/>
      </w:r>
      <w:r w:rsidR="007A7770" w:rsidRPr="0025229D">
        <w:rPr>
          <w:rFonts w:cs="Arial"/>
          <w:bCs/>
          <w:szCs w:val="22"/>
        </w:rPr>
        <w:t>This counterclaim relates to the expenditure of the respondent on the wall surrounding Portion 1</w:t>
      </w:r>
      <w:r w:rsidR="0025229D">
        <w:rPr>
          <w:rFonts w:cs="Arial"/>
          <w:bCs/>
          <w:szCs w:val="22"/>
        </w:rPr>
        <w:t>.The claim is not quantified. The wall was erected in 2010, long after the respondent became aware of the incorrect boundaries and knew that subdivision and consolidation would be required for the respondent to become owner of Portion 1. While it is so that the wall was erected at the expense of the respondent, the respondent also had the use of the wall and of the whole of Portion 1 during the intervening thirteen years.</w:t>
      </w:r>
    </w:p>
    <w:p w14:paraId="1D6FBD4F" w14:textId="2EC63F00" w:rsidR="0025229D" w:rsidRDefault="00805AB1" w:rsidP="00805AB1">
      <w:pPr>
        <w:widowControl w:val="0"/>
        <w:tabs>
          <w:tab w:val="left" w:pos="567"/>
        </w:tabs>
        <w:spacing w:before="480" w:after="480" w:line="360" w:lineRule="auto"/>
        <w:jc w:val="both"/>
        <w:rPr>
          <w:rFonts w:cs="Arial"/>
          <w:bCs/>
          <w:szCs w:val="22"/>
        </w:rPr>
      </w:pPr>
      <w:r>
        <w:rPr>
          <w:rFonts w:cs="Arial"/>
          <w:bCs/>
          <w:szCs w:val="22"/>
        </w:rPr>
        <w:t>[34]</w:t>
      </w:r>
      <w:r>
        <w:rPr>
          <w:rFonts w:cs="Arial"/>
          <w:bCs/>
          <w:szCs w:val="22"/>
        </w:rPr>
        <w:tab/>
      </w:r>
      <w:r w:rsidR="0025229D">
        <w:rPr>
          <w:rFonts w:cs="Arial"/>
          <w:bCs/>
          <w:szCs w:val="22"/>
        </w:rPr>
        <w:t xml:space="preserve">The legal basis of the claim is probably unjustified enrichment or damages. The words of Van Heerden J in </w:t>
      </w:r>
      <w:r w:rsidR="0025229D" w:rsidRPr="008A76DF">
        <w:rPr>
          <w:i/>
          <w:iCs/>
          <w:lang w:eastAsia="en-ZA"/>
        </w:rPr>
        <w:t>FHP Management (Pty) Ltd v Theron NO and Another</w:t>
      </w:r>
      <w:r w:rsidR="0025229D">
        <w:rPr>
          <w:rStyle w:val="FootnoteReference"/>
          <w:lang w:eastAsia="en-ZA"/>
        </w:rPr>
        <w:footnoteReference w:id="8"/>
      </w:r>
      <w:r w:rsidR="0025229D" w:rsidRPr="00217066">
        <w:t xml:space="preserve"> </w:t>
      </w:r>
      <w:r w:rsidR="0025229D">
        <w:rPr>
          <w:rFonts w:cs="Arial"/>
          <w:bCs/>
          <w:szCs w:val="22"/>
        </w:rPr>
        <w:t xml:space="preserve">come </w:t>
      </w:r>
      <w:r w:rsidR="0025229D">
        <w:rPr>
          <w:rFonts w:cs="Arial"/>
          <w:bCs/>
          <w:szCs w:val="22"/>
        </w:rPr>
        <w:lastRenderedPageBreak/>
        <w:t>to mind:</w:t>
      </w:r>
    </w:p>
    <w:p w14:paraId="62BE4E72" w14:textId="36933DB9" w:rsidR="0025229D" w:rsidRPr="005763A6" w:rsidRDefault="0025229D" w:rsidP="0025229D">
      <w:pPr>
        <w:widowControl w:val="0"/>
        <w:spacing w:before="480" w:after="480" w:line="360" w:lineRule="auto"/>
        <w:ind w:left="1440"/>
        <w:jc w:val="both"/>
        <w:rPr>
          <w:rFonts w:cs="Arial"/>
          <w:bCs/>
          <w:i/>
          <w:iCs/>
          <w:color w:val="000000" w:themeColor="text1"/>
          <w:szCs w:val="22"/>
        </w:rPr>
      </w:pPr>
      <w:r>
        <w:rPr>
          <w:rFonts w:cs="Arial"/>
          <w:i/>
          <w:iCs/>
          <w:color w:val="000000" w:themeColor="text1"/>
          <w:szCs w:val="22"/>
          <w:shd w:val="clear" w:color="auto" w:fill="FFFFFF"/>
        </w:rPr>
        <w:t>“</w:t>
      </w:r>
      <w:r w:rsidRPr="005763A6">
        <w:rPr>
          <w:rFonts w:cs="Arial"/>
          <w:i/>
          <w:iCs/>
          <w:color w:val="000000" w:themeColor="text1"/>
          <w:szCs w:val="22"/>
          <w:shd w:val="clear" w:color="auto" w:fill="FFFFFF"/>
        </w:rPr>
        <w:t>The respondents have not adduced sufficient evidence to provide that the purported expenditure has in fact been incurred - indeed, the only 'evidence' of such expenditure is a list of expenses annexed to the respondents' answering affidavit. In the absence of any contractual agreement between the parties in respect of the purported expenses, the respondents have not provided any evidence to show that the alleged 'improvements' to the property were either necessary or useful, or that such alleged improvements have maintained or enhanced the market value of the property (see, in this regard, Scott 'Lien' in Joubert (ed) The Law of South Africa vol 15 1st re-issue (1999) in  para 54 and the authorities cited by this writer)</w:t>
      </w:r>
      <w:r>
        <w:rPr>
          <w:rFonts w:cs="Arial"/>
          <w:i/>
          <w:iCs/>
          <w:color w:val="000000" w:themeColor="text1"/>
          <w:szCs w:val="22"/>
          <w:shd w:val="clear" w:color="auto" w:fill="FFFFFF"/>
        </w:rPr>
        <w:t>”</w:t>
      </w:r>
    </w:p>
    <w:p w14:paraId="20169570" w14:textId="77777777" w:rsidR="0025229D" w:rsidRDefault="0025229D" w:rsidP="00E3062A">
      <w:pPr>
        <w:widowControl w:val="0"/>
        <w:spacing w:before="480" w:after="480" w:line="360" w:lineRule="auto"/>
        <w:jc w:val="both"/>
        <w:rPr>
          <w:rFonts w:cs="Arial"/>
          <w:bCs/>
          <w:szCs w:val="22"/>
          <w:u w:val="single"/>
        </w:rPr>
      </w:pPr>
    </w:p>
    <w:p w14:paraId="5CCD1C22" w14:textId="47FF16B2" w:rsidR="00E3062A" w:rsidRPr="00E67C0A" w:rsidRDefault="00E3062A" w:rsidP="00E3062A">
      <w:pPr>
        <w:widowControl w:val="0"/>
        <w:spacing w:before="480" w:after="480" w:line="360" w:lineRule="auto"/>
        <w:jc w:val="both"/>
        <w:rPr>
          <w:rFonts w:cs="Arial"/>
          <w:bCs/>
          <w:szCs w:val="22"/>
          <w:u w:val="single"/>
        </w:rPr>
      </w:pPr>
      <w:r w:rsidRPr="00E67C0A">
        <w:rPr>
          <w:rFonts w:cs="Arial"/>
          <w:bCs/>
          <w:szCs w:val="22"/>
          <w:u w:val="single"/>
        </w:rPr>
        <w:t>Prescription of the respondent’s claim</w:t>
      </w:r>
    </w:p>
    <w:p w14:paraId="43BD39EA" w14:textId="2C009E50" w:rsidR="00E3062A"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[35]</w:t>
      </w:r>
      <w:r w:rsidRPr="00E67C0A">
        <w:rPr>
          <w:rFonts w:cs="Arial"/>
          <w:bCs/>
          <w:szCs w:val="22"/>
        </w:rPr>
        <w:tab/>
      </w:r>
      <w:r w:rsidR="00B4289D">
        <w:rPr>
          <w:rFonts w:cs="Arial"/>
          <w:bCs/>
          <w:szCs w:val="22"/>
        </w:rPr>
        <w:t xml:space="preserve">The respondent’s claims arose </w:t>
      </w:r>
      <w:r w:rsidR="00E3062A" w:rsidRPr="00E67C0A">
        <w:rPr>
          <w:rFonts w:cs="Arial"/>
          <w:bCs/>
          <w:szCs w:val="22"/>
        </w:rPr>
        <w:t xml:space="preserve">in 2003 or 2004 </w:t>
      </w:r>
      <w:r w:rsidR="00B4289D">
        <w:rPr>
          <w:rFonts w:cs="Arial"/>
          <w:bCs/>
          <w:szCs w:val="22"/>
        </w:rPr>
        <w:t xml:space="preserve">(or perhaps 2010 in respect of the wall) </w:t>
      </w:r>
      <w:r w:rsidR="00E3062A" w:rsidRPr="00E67C0A">
        <w:rPr>
          <w:rFonts w:cs="Arial"/>
          <w:bCs/>
          <w:szCs w:val="22"/>
        </w:rPr>
        <w:t>when the error was discovered. Section 12(1) to (3) of the Prescription Act, 68 of 1969 provides as follows:</w:t>
      </w:r>
    </w:p>
    <w:p w14:paraId="4D639F9F" w14:textId="77777777" w:rsidR="00E3062A" w:rsidRPr="00E67C0A" w:rsidRDefault="00E3062A" w:rsidP="00E3062A">
      <w:pPr>
        <w:shd w:val="clear" w:color="auto" w:fill="FFFFFF"/>
        <w:spacing w:before="120" w:after="120" w:line="360" w:lineRule="auto"/>
        <w:ind w:left="720"/>
        <w:jc w:val="both"/>
        <w:rPr>
          <w:rFonts w:cs="Arial"/>
          <w:b/>
          <w:bCs/>
          <w:i/>
          <w:iCs/>
          <w:color w:val="000000" w:themeColor="text1"/>
          <w:szCs w:val="22"/>
          <w:lang w:eastAsia="en-ZA"/>
        </w:rPr>
      </w:pPr>
      <w:r w:rsidRPr="00E67C0A">
        <w:rPr>
          <w:rFonts w:cs="Arial"/>
          <w:b/>
          <w:bCs/>
          <w:i/>
          <w:iCs/>
          <w:color w:val="000000" w:themeColor="text1"/>
          <w:szCs w:val="22"/>
        </w:rPr>
        <w:t>When prescription begins to run</w:t>
      </w:r>
    </w:p>
    <w:p w14:paraId="01EF79E5" w14:textId="77777777" w:rsidR="00E3062A" w:rsidRPr="00E67C0A" w:rsidRDefault="00E3062A" w:rsidP="00E3062A">
      <w:pPr>
        <w:shd w:val="clear" w:color="auto" w:fill="FFFFFF"/>
        <w:spacing w:before="120" w:after="120" w:line="360" w:lineRule="auto"/>
        <w:ind w:left="720"/>
        <w:jc w:val="both"/>
        <w:rPr>
          <w:rFonts w:cs="Arial"/>
          <w:i/>
          <w:iCs/>
          <w:color w:val="000000" w:themeColor="text1"/>
          <w:szCs w:val="22"/>
        </w:rPr>
      </w:pPr>
      <w:r w:rsidRPr="00E67C0A">
        <w:rPr>
          <w:rFonts w:cs="Arial"/>
          <w:i/>
          <w:iCs/>
          <w:color w:val="000000" w:themeColor="text1"/>
          <w:szCs w:val="22"/>
        </w:rPr>
        <w:t>(1) Subject to the provisions of subsections (2), (3), and (4), prescription shall commence to run as soon as the debt is due.</w:t>
      </w:r>
    </w:p>
    <w:p w14:paraId="5B240594" w14:textId="77777777" w:rsidR="00E3062A" w:rsidRPr="00E67C0A" w:rsidRDefault="00E3062A" w:rsidP="00E3062A">
      <w:pPr>
        <w:shd w:val="clear" w:color="auto" w:fill="FFFFFF"/>
        <w:spacing w:before="120" w:after="120" w:line="360" w:lineRule="auto"/>
        <w:ind w:left="720"/>
        <w:jc w:val="both"/>
        <w:rPr>
          <w:rFonts w:cs="Arial"/>
          <w:i/>
          <w:iCs/>
          <w:color w:val="000000" w:themeColor="text1"/>
          <w:szCs w:val="22"/>
        </w:rPr>
      </w:pPr>
      <w:r w:rsidRPr="00E67C0A">
        <w:rPr>
          <w:rFonts w:cs="Arial"/>
          <w:i/>
          <w:iCs/>
          <w:color w:val="000000" w:themeColor="text1"/>
          <w:szCs w:val="22"/>
        </w:rPr>
        <w:t>(2) If the debtor wilfully prevents the creditor from coming to know of the existence of the debt, prescription shall not commence to run until the creditor becomes aware of the existence of the debt.</w:t>
      </w:r>
    </w:p>
    <w:p w14:paraId="0FF6F23C" w14:textId="77777777" w:rsidR="00E3062A" w:rsidRPr="00E67C0A" w:rsidRDefault="00E3062A" w:rsidP="00E3062A">
      <w:pPr>
        <w:shd w:val="clear" w:color="auto" w:fill="FFFFFF"/>
        <w:spacing w:before="120" w:after="120" w:line="360" w:lineRule="auto"/>
        <w:ind w:left="720"/>
        <w:jc w:val="both"/>
        <w:rPr>
          <w:rFonts w:cs="Arial"/>
          <w:i/>
          <w:iCs/>
          <w:color w:val="000000" w:themeColor="text1"/>
          <w:szCs w:val="22"/>
        </w:rPr>
      </w:pPr>
      <w:r w:rsidRPr="00E67C0A">
        <w:rPr>
          <w:rFonts w:cs="Arial"/>
          <w:i/>
          <w:iCs/>
          <w:color w:val="000000" w:themeColor="text1"/>
          <w:szCs w:val="22"/>
        </w:rPr>
        <w:t>(3) A debt shall not be deemed to be due until the creditor has knowledge of the identity of the debtor and of the facts from which the debt arises: Provided that a creditor shall be deemed to have such knowledge if he could have acquired it by exercising reasonable care.</w:t>
      </w:r>
    </w:p>
    <w:p w14:paraId="14B7FC7B" w14:textId="64B26CB1" w:rsidR="00E3062A"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[36]</w:t>
      </w:r>
      <w:r w:rsidRPr="00E67C0A">
        <w:rPr>
          <w:rFonts w:cs="Arial"/>
          <w:bCs/>
          <w:szCs w:val="22"/>
        </w:rPr>
        <w:tab/>
      </w:r>
      <w:r w:rsidR="00E3062A" w:rsidRPr="00E67C0A">
        <w:rPr>
          <w:rFonts w:cs="Arial"/>
          <w:bCs/>
          <w:szCs w:val="22"/>
        </w:rPr>
        <w:t xml:space="preserve">On the common cause facts the inference that any such claim was prescribed by </w:t>
      </w:r>
      <w:r w:rsidR="00E3062A" w:rsidRPr="00E67C0A">
        <w:rPr>
          <w:rFonts w:cs="Arial"/>
          <w:bCs/>
          <w:szCs w:val="22"/>
        </w:rPr>
        <w:lastRenderedPageBreak/>
        <w:t>2008</w:t>
      </w:r>
      <w:r w:rsidR="00B4289D">
        <w:rPr>
          <w:rFonts w:cs="Arial"/>
          <w:bCs/>
          <w:szCs w:val="22"/>
        </w:rPr>
        <w:t xml:space="preserve"> (or perhaps 2013 in respect of the wall)</w:t>
      </w:r>
      <w:r w:rsidR="00E3062A" w:rsidRPr="00E67C0A">
        <w:rPr>
          <w:rFonts w:cs="Arial"/>
          <w:bCs/>
          <w:szCs w:val="22"/>
        </w:rPr>
        <w:t xml:space="preserve"> is irresistible. The respondent argues that that prescription only started running when the applicant launched the application and that the damages will only be suffered in the future. </w:t>
      </w:r>
    </w:p>
    <w:p w14:paraId="715DB068" w14:textId="3FFCEA39" w:rsidR="00E3062A"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[37</w:t>
      </w:r>
      <w:bookmarkStart w:id="0" w:name="_GoBack"/>
      <w:bookmarkEnd w:id="0"/>
      <w:r w:rsidRPr="00E67C0A">
        <w:rPr>
          <w:rFonts w:cs="Arial"/>
          <w:bCs/>
          <w:szCs w:val="22"/>
        </w:rPr>
        <w:t>]</w:t>
      </w:r>
      <w:r w:rsidRPr="00E67C0A">
        <w:rPr>
          <w:rFonts w:cs="Arial"/>
          <w:bCs/>
          <w:szCs w:val="22"/>
        </w:rPr>
        <w:tab/>
      </w:r>
      <w:r w:rsidR="00E3062A" w:rsidRPr="00E67C0A">
        <w:rPr>
          <w:rFonts w:cs="Arial"/>
          <w:bCs/>
          <w:szCs w:val="22"/>
        </w:rPr>
        <w:t>There is no merit in this submission. The respondent knew in 2004 that the property transferred to it albeit in extent 2 791m² as reflected in the deed of transfer, was smaller than envisaged by both parties when the boundaries were pointed out. At that point in time the respondent had the facts at its disposal to claim damages or a reduction in purchase price. Facts not at its disposal could have been acquired by exercising reasonable care.</w:t>
      </w:r>
      <w:r w:rsidR="00E3062A" w:rsidRPr="00E67C0A">
        <w:rPr>
          <w:rStyle w:val="FootnoteReference"/>
          <w:rFonts w:cs="Arial"/>
          <w:bCs/>
          <w:szCs w:val="22"/>
        </w:rPr>
        <w:footnoteReference w:id="9"/>
      </w:r>
    </w:p>
    <w:p w14:paraId="502DD1B4" w14:textId="32D08B0A" w:rsidR="00FE7FE6"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[38]</w:t>
      </w:r>
      <w:r w:rsidRPr="00E67C0A">
        <w:rPr>
          <w:rFonts w:cs="Arial"/>
          <w:bCs/>
          <w:szCs w:val="22"/>
        </w:rPr>
        <w:tab/>
      </w:r>
      <w:r w:rsidR="00FE7FE6" w:rsidRPr="00E67C0A">
        <w:rPr>
          <w:rFonts w:cs="Arial"/>
          <w:bCs/>
          <w:szCs w:val="22"/>
        </w:rPr>
        <w:t>The respondent’s deponent alleges that he first learned of the incorrect boundaries when a letter dated 23 July 2019 was received from the applicant’s attorney. The date of 23 July 2019 is important as if one assumed for the sake of argument that prescription only began running when the emailed letter was received on that date, then the claim would have prescribed on 22 July 2022 before the counter-application was brought.</w:t>
      </w:r>
      <w:r w:rsidR="00E67C0A" w:rsidRPr="00E67C0A">
        <w:rPr>
          <w:rFonts w:cs="Arial"/>
          <w:bCs/>
          <w:szCs w:val="22"/>
        </w:rPr>
        <w:t xml:space="preserve"> The applicant’s claim is not based on the contract of sale and the respondent can not (and indeed does not seek to) rely on section 13(2) of the Prescription Act.</w:t>
      </w:r>
    </w:p>
    <w:p w14:paraId="469EFFEE" w14:textId="77777777" w:rsidR="00E3062A" w:rsidRPr="00E67C0A" w:rsidRDefault="00E3062A" w:rsidP="003E54E1">
      <w:pPr>
        <w:widowControl w:val="0"/>
        <w:spacing w:before="480" w:after="480" w:line="360" w:lineRule="auto"/>
        <w:jc w:val="both"/>
        <w:rPr>
          <w:rFonts w:cs="Arial"/>
          <w:bCs/>
          <w:szCs w:val="22"/>
          <w:u w:val="single"/>
        </w:rPr>
      </w:pPr>
    </w:p>
    <w:p w14:paraId="67FB0AB9" w14:textId="4E69A9AC" w:rsidR="003E54E1" w:rsidRPr="00E67C0A" w:rsidRDefault="003E54E1" w:rsidP="003E54E1">
      <w:pPr>
        <w:widowControl w:val="0"/>
        <w:spacing w:before="480" w:after="480" w:line="360" w:lineRule="auto"/>
        <w:jc w:val="both"/>
        <w:rPr>
          <w:rFonts w:cs="Arial"/>
          <w:bCs/>
          <w:szCs w:val="22"/>
          <w:u w:val="single"/>
        </w:rPr>
      </w:pPr>
      <w:r w:rsidRPr="00E67C0A">
        <w:rPr>
          <w:rFonts w:cs="Arial"/>
          <w:bCs/>
          <w:szCs w:val="22"/>
          <w:u w:val="single"/>
        </w:rPr>
        <w:t>Conclusion</w:t>
      </w:r>
    </w:p>
    <w:p w14:paraId="49B1067F" w14:textId="411A8E44" w:rsidR="003E54E1" w:rsidRPr="00E67C0A" w:rsidRDefault="00805AB1" w:rsidP="00805AB1">
      <w:pPr>
        <w:widowControl w:val="0"/>
        <w:tabs>
          <w:tab w:val="left" w:pos="567"/>
        </w:tabs>
        <w:spacing w:before="480" w:after="480" w:line="360" w:lineRule="auto"/>
        <w:jc w:val="both"/>
        <w:rPr>
          <w:rFonts w:cs="Arial"/>
          <w:bCs/>
          <w:szCs w:val="22"/>
        </w:rPr>
      </w:pPr>
      <w:r w:rsidRPr="00E67C0A">
        <w:rPr>
          <w:rFonts w:cs="Arial"/>
          <w:bCs/>
          <w:szCs w:val="22"/>
        </w:rPr>
        <w:t>[39]</w:t>
      </w:r>
      <w:r w:rsidRPr="00E67C0A">
        <w:rPr>
          <w:rFonts w:cs="Arial"/>
          <w:bCs/>
          <w:szCs w:val="22"/>
        </w:rPr>
        <w:tab/>
      </w:r>
      <w:r w:rsidR="003E54E1" w:rsidRPr="00E67C0A">
        <w:rPr>
          <w:rFonts w:cs="Arial"/>
          <w:bCs/>
          <w:szCs w:val="22"/>
        </w:rPr>
        <w:t>For the reasons set out above I make the order in paragraph 1.</w:t>
      </w:r>
    </w:p>
    <w:p w14:paraId="53CD27EE" w14:textId="672559CF" w:rsidR="00AE287F" w:rsidRPr="00E67C0A" w:rsidRDefault="00A649E6" w:rsidP="006C43D7">
      <w:pPr>
        <w:tabs>
          <w:tab w:val="right" w:pos="0"/>
        </w:tabs>
        <w:spacing w:line="360" w:lineRule="auto"/>
        <w:contextualSpacing/>
        <w:jc w:val="right"/>
        <w:rPr>
          <w:rFonts w:cs="Arial"/>
          <w:b/>
          <w:szCs w:val="22"/>
        </w:rPr>
      </w:pPr>
      <w:r w:rsidRPr="00E67C0A">
        <w:rPr>
          <w:rFonts w:cs="Arial"/>
          <w:b/>
          <w:szCs w:val="22"/>
        </w:rPr>
        <w:t>______________</w:t>
      </w:r>
    </w:p>
    <w:p w14:paraId="0CCB9BFE" w14:textId="7ABE564D" w:rsidR="006C43D7" w:rsidRPr="00E67C0A" w:rsidRDefault="00C676F3" w:rsidP="006C43D7">
      <w:pPr>
        <w:tabs>
          <w:tab w:val="right" w:pos="0"/>
        </w:tabs>
        <w:spacing w:line="360" w:lineRule="auto"/>
        <w:contextualSpacing/>
        <w:jc w:val="right"/>
        <w:rPr>
          <w:rFonts w:cs="Arial"/>
          <w:b/>
          <w:szCs w:val="22"/>
        </w:rPr>
      </w:pPr>
      <w:r w:rsidRPr="00E67C0A">
        <w:rPr>
          <w:rFonts w:cs="Arial"/>
          <w:b/>
          <w:szCs w:val="22"/>
        </w:rPr>
        <w:t>J MOORCROFT</w:t>
      </w:r>
    </w:p>
    <w:p w14:paraId="7A2C1059" w14:textId="77777777" w:rsidR="006C43D7" w:rsidRPr="00E67C0A" w:rsidRDefault="006C43D7" w:rsidP="006C43D7">
      <w:pPr>
        <w:tabs>
          <w:tab w:val="right" w:pos="0"/>
        </w:tabs>
        <w:spacing w:line="360" w:lineRule="auto"/>
        <w:contextualSpacing/>
        <w:jc w:val="right"/>
        <w:rPr>
          <w:rFonts w:cs="Arial"/>
          <w:b/>
          <w:szCs w:val="22"/>
        </w:rPr>
      </w:pPr>
      <w:r w:rsidRPr="00E67C0A">
        <w:rPr>
          <w:rFonts w:cs="Arial"/>
          <w:b/>
          <w:szCs w:val="22"/>
        </w:rPr>
        <w:t>ACTING JUDGE OF THE HIGH COURT OF SOUTH AFRICA</w:t>
      </w:r>
    </w:p>
    <w:p w14:paraId="077C2590" w14:textId="7452355B" w:rsidR="006C43D7" w:rsidRPr="00E67C0A" w:rsidRDefault="006C43D7" w:rsidP="006C43D7">
      <w:pPr>
        <w:tabs>
          <w:tab w:val="right" w:pos="0"/>
          <w:tab w:val="left" w:pos="4253"/>
        </w:tabs>
        <w:spacing w:line="360" w:lineRule="auto"/>
        <w:contextualSpacing/>
        <w:jc w:val="right"/>
        <w:rPr>
          <w:rFonts w:cs="Arial"/>
          <w:b/>
          <w:szCs w:val="22"/>
        </w:rPr>
      </w:pPr>
      <w:r w:rsidRPr="00E67C0A">
        <w:rPr>
          <w:rFonts w:cs="Arial"/>
          <w:b/>
          <w:szCs w:val="22"/>
        </w:rPr>
        <w:t>GAUTENG DIVISION</w:t>
      </w:r>
    </w:p>
    <w:p w14:paraId="40B9C946" w14:textId="77777777" w:rsidR="006C43D7" w:rsidRPr="00E67C0A" w:rsidRDefault="006C43D7" w:rsidP="006C43D7">
      <w:pPr>
        <w:tabs>
          <w:tab w:val="right" w:pos="0"/>
          <w:tab w:val="left" w:pos="4253"/>
        </w:tabs>
        <w:spacing w:line="360" w:lineRule="auto"/>
        <w:contextualSpacing/>
        <w:jc w:val="right"/>
        <w:rPr>
          <w:rFonts w:cs="Arial"/>
          <w:b/>
          <w:szCs w:val="22"/>
        </w:rPr>
      </w:pPr>
      <w:r w:rsidRPr="00E67C0A">
        <w:rPr>
          <w:rFonts w:cs="Arial"/>
          <w:b/>
          <w:szCs w:val="22"/>
        </w:rPr>
        <w:t>JOHANNESBURG</w:t>
      </w:r>
    </w:p>
    <w:p w14:paraId="326B529B" w14:textId="77777777" w:rsidR="006C43D7" w:rsidRPr="00E67C0A" w:rsidRDefault="006C43D7" w:rsidP="006C43D7">
      <w:pPr>
        <w:tabs>
          <w:tab w:val="right" w:pos="0"/>
          <w:tab w:val="left" w:pos="4253"/>
        </w:tabs>
        <w:spacing w:line="360" w:lineRule="auto"/>
        <w:contextualSpacing/>
        <w:jc w:val="center"/>
        <w:rPr>
          <w:rFonts w:cs="Arial"/>
          <w:b/>
          <w:szCs w:val="22"/>
        </w:rPr>
      </w:pPr>
    </w:p>
    <w:p w14:paraId="5A4CC56C" w14:textId="051C4E22" w:rsidR="006C43D7" w:rsidRPr="00E67C0A" w:rsidRDefault="006C43D7" w:rsidP="006C43D7">
      <w:pPr>
        <w:spacing w:after="200" w:line="480" w:lineRule="auto"/>
        <w:contextualSpacing/>
        <w:jc w:val="right"/>
        <w:rPr>
          <w:rFonts w:cs="Arial"/>
          <w:b/>
          <w:i/>
          <w:iCs/>
          <w:szCs w:val="22"/>
        </w:rPr>
      </w:pPr>
      <w:r w:rsidRPr="00E67C0A">
        <w:rPr>
          <w:rFonts w:cs="Arial"/>
          <w:b/>
          <w:i/>
          <w:iCs/>
          <w:szCs w:val="22"/>
        </w:rPr>
        <w:t>Electronically submitted</w:t>
      </w:r>
    </w:p>
    <w:p w14:paraId="4E3E9427" w14:textId="77777777" w:rsidR="006C43D7" w:rsidRPr="00E67C0A" w:rsidRDefault="006C43D7" w:rsidP="006C43D7">
      <w:pPr>
        <w:spacing w:after="200" w:line="360" w:lineRule="auto"/>
        <w:contextualSpacing/>
        <w:jc w:val="both"/>
        <w:rPr>
          <w:rFonts w:eastAsia="Arial Unicode MS" w:cs="Arial"/>
          <w:bCs/>
          <w:szCs w:val="22"/>
        </w:rPr>
      </w:pPr>
    </w:p>
    <w:p w14:paraId="51C686CA" w14:textId="7B792A7C" w:rsidR="006C43D7" w:rsidRPr="00E67C0A" w:rsidRDefault="006C43D7" w:rsidP="006C43D7">
      <w:pPr>
        <w:spacing w:after="200" w:line="360" w:lineRule="auto"/>
        <w:contextualSpacing/>
        <w:jc w:val="both"/>
        <w:rPr>
          <w:rFonts w:eastAsia="Arial Unicode MS" w:cs="Arial"/>
          <w:bCs/>
          <w:szCs w:val="22"/>
        </w:rPr>
      </w:pPr>
      <w:r w:rsidRPr="00E67C0A">
        <w:rPr>
          <w:rFonts w:eastAsia="Arial Unicode MS" w:cs="Arial"/>
          <w:bCs/>
          <w:szCs w:val="22"/>
        </w:rPr>
        <w:lastRenderedPageBreak/>
        <w:t>Delivered: This judgement was prepared and authored by the Acting Judge whose name is reflected and is handed down electronically by circulation to the Parties / their legal representatives by email and by uploading it to the electronic file of this matter on CaseLines. The date of the judgment is deemed to be</w:t>
      </w:r>
      <w:r w:rsidR="00C460A0" w:rsidRPr="00E67C0A">
        <w:rPr>
          <w:rFonts w:eastAsia="Arial Unicode MS" w:cs="Arial"/>
          <w:bCs/>
          <w:szCs w:val="22"/>
        </w:rPr>
        <w:t xml:space="preserve"> </w:t>
      </w:r>
      <w:r w:rsidR="00924FED">
        <w:rPr>
          <w:rFonts w:eastAsia="Arial Unicode MS" w:cs="Arial"/>
          <w:b/>
          <w:szCs w:val="22"/>
        </w:rPr>
        <w:t xml:space="preserve">22 JUNE </w:t>
      </w:r>
      <w:r w:rsidR="00237FF9" w:rsidRPr="00E67C0A">
        <w:rPr>
          <w:rFonts w:eastAsia="Arial Unicode MS" w:cs="Arial"/>
          <w:b/>
          <w:bCs/>
          <w:szCs w:val="22"/>
        </w:rPr>
        <w:t>202</w:t>
      </w:r>
      <w:r w:rsidR="00051A2B" w:rsidRPr="00E67C0A">
        <w:rPr>
          <w:rFonts w:eastAsia="Arial Unicode MS" w:cs="Arial"/>
          <w:b/>
          <w:bCs/>
          <w:szCs w:val="22"/>
        </w:rPr>
        <w:t>3</w:t>
      </w:r>
      <w:r w:rsidR="00051A2B" w:rsidRPr="00E67C0A">
        <w:rPr>
          <w:rFonts w:eastAsia="Arial Unicode MS" w:cs="Arial"/>
          <w:bCs/>
          <w:szCs w:val="22"/>
        </w:rPr>
        <w:t>.</w:t>
      </w:r>
    </w:p>
    <w:p w14:paraId="482DDF6E" w14:textId="77777777" w:rsidR="006C43D7" w:rsidRPr="00E67C0A" w:rsidRDefault="006C43D7" w:rsidP="006C43D7">
      <w:pPr>
        <w:tabs>
          <w:tab w:val="right" w:pos="0"/>
          <w:tab w:val="left" w:pos="4253"/>
        </w:tabs>
        <w:spacing w:line="360" w:lineRule="auto"/>
        <w:contextualSpacing/>
        <w:jc w:val="center"/>
        <w:rPr>
          <w:rFonts w:cs="Arial"/>
          <w:b/>
          <w:szCs w:val="22"/>
        </w:rPr>
      </w:pPr>
    </w:p>
    <w:tbl>
      <w:tblPr>
        <w:tblStyle w:val="TableGrid"/>
        <w:tblW w:w="86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935"/>
      </w:tblGrid>
      <w:tr w:rsidR="009D35B5" w:rsidRPr="00E67C0A" w14:paraId="493AF0D7" w14:textId="77777777" w:rsidTr="00615F6B">
        <w:tc>
          <w:tcPr>
            <w:tcW w:w="4678" w:type="dxa"/>
          </w:tcPr>
          <w:p w14:paraId="6A05541A" w14:textId="61334A5F" w:rsidR="009D35B5" w:rsidRPr="00E67C0A" w:rsidRDefault="009D35B5" w:rsidP="00A25AB4">
            <w:pPr>
              <w:tabs>
                <w:tab w:val="right" w:pos="0"/>
                <w:tab w:val="left" w:pos="4253"/>
              </w:tabs>
              <w:spacing w:before="120" w:after="120"/>
              <w:rPr>
                <w:rFonts w:cs="Arial"/>
                <w:szCs w:val="22"/>
              </w:rPr>
            </w:pPr>
            <w:r w:rsidRPr="00E67C0A">
              <w:rPr>
                <w:rFonts w:cs="Arial"/>
                <w:szCs w:val="22"/>
              </w:rPr>
              <w:t xml:space="preserve">COUNSEL FOR THE </w:t>
            </w:r>
            <w:r w:rsidR="00027D19" w:rsidRPr="00E67C0A">
              <w:rPr>
                <w:rFonts w:cs="Arial"/>
                <w:szCs w:val="22"/>
              </w:rPr>
              <w:t>APPLICANT</w:t>
            </w:r>
            <w:r w:rsidRPr="00E67C0A">
              <w:rPr>
                <w:rFonts w:cs="Arial"/>
                <w:szCs w:val="22"/>
              </w:rPr>
              <w:t>:</w:t>
            </w:r>
          </w:p>
        </w:tc>
        <w:tc>
          <w:tcPr>
            <w:tcW w:w="3935" w:type="dxa"/>
          </w:tcPr>
          <w:p w14:paraId="69785AA9" w14:textId="6AACD0D5" w:rsidR="00D15C79" w:rsidRPr="00E67C0A" w:rsidRDefault="001A3C26" w:rsidP="00A25AB4">
            <w:pPr>
              <w:tabs>
                <w:tab w:val="right" w:pos="0"/>
                <w:tab w:val="left" w:pos="567"/>
                <w:tab w:val="right" w:pos="2727"/>
                <w:tab w:val="left" w:pos="4253"/>
              </w:tabs>
              <w:spacing w:before="120" w:after="120"/>
              <w:jc w:val="right"/>
              <w:rPr>
                <w:rFonts w:cs="Arial"/>
                <w:szCs w:val="22"/>
              </w:rPr>
            </w:pPr>
            <w:r w:rsidRPr="00E67C0A">
              <w:rPr>
                <w:rFonts w:cs="Arial"/>
                <w:szCs w:val="22"/>
              </w:rPr>
              <w:t>I OSCHMAN</w:t>
            </w:r>
          </w:p>
        </w:tc>
      </w:tr>
      <w:tr w:rsidR="009D35B5" w:rsidRPr="00E67C0A" w14:paraId="183C176D" w14:textId="77777777" w:rsidTr="00615F6B">
        <w:tc>
          <w:tcPr>
            <w:tcW w:w="4678" w:type="dxa"/>
          </w:tcPr>
          <w:p w14:paraId="75365413" w14:textId="481747BC" w:rsidR="009D35B5" w:rsidRPr="00E67C0A" w:rsidRDefault="009D35B5" w:rsidP="00A25AB4">
            <w:pPr>
              <w:tabs>
                <w:tab w:val="right" w:pos="0"/>
                <w:tab w:val="left" w:pos="4253"/>
              </w:tabs>
              <w:spacing w:before="120" w:after="120"/>
              <w:rPr>
                <w:rFonts w:cs="Arial"/>
                <w:szCs w:val="22"/>
              </w:rPr>
            </w:pPr>
            <w:r w:rsidRPr="00E67C0A">
              <w:rPr>
                <w:rFonts w:cs="Arial"/>
                <w:szCs w:val="22"/>
              </w:rPr>
              <w:t>INSTRUCTED BY:</w:t>
            </w:r>
          </w:p>
        </w:tc>
        <w:tc>
          <w:tcPr>
            <w:tcW w:w="3935" w:type="dxa"/>
          </w:tcPr>
          <w:p w14:paraId="4044534A" w14:textId="0870B1CC" w:rsidR="00E10D04" w:rsidRPr="00E67C0A" w:rsidRDefault="001A3C26" w:rsidP="00A25AB4">
            <w:pPr>
              <w:tabs>
                <w:tab w:val="right" w:pos="0"/>
                <w:tab w:val="left" w:pos="4253"/>
              </w:tabs>
              <w:spacing w:before="120" w:after="120"/>
              <w:jc w:val="right"/>
              <w:rPr>
                <w:rFonts w:cs="Arial"/>
                <w:szCs w:val="22"/>
              </w:rPr>
            </w:pPr>
            <w:r w:rsidRPr="00E67C0A">
              <w:rPr>
                <w:rFonts w:cs="Arial"/>
                <w:szCs w:val="22"/>
              </w:rPr>
              <w:t>TUCKERS INC</w:t>
            </w:r>
          </w:p>
        </w:tc>
      </w:tr>
      <w:tr w:rsidR="009D35B5" w:rsidRPr="00E67C0A" w14:paraId="6E2BF966" w14:textId="77777777" w:rsidTr="00615F6B">
        <w:tc>
          <w:tcPr>
            <w:tcW w:w="4678" w:type="dxa"/>
          </w:tcPr>
          <w:p w14:paraId="545B6665" w14:textId="4512BE19" w:rsidR="009D35B5" w:rsidRPr="00E67C0A" w:rsidRDefault="009D35B5" w:rsidP="00A25AB4">
            <w:pPr>
              <w:tabs>
                <w:tab w:val="right" w:pos="0"/>
                <w:tab w:val="left" w:pos="4253"/>
              </w:tabs>
              <w:spacing w:before="120" w:after="120"/>
              <w:rPr>
                <w:rFonts w:cs="Arial"/>
                <w:szCs w:val="22"/>
              </w:rPr>
            </w:pPr>
            <w:r w:rsidRPr="00E67C0A">
              <w:rPr>
                <w:rFonts w:cs="Arial"/>
                <w:szCs w:val="22"/>
              </w:rPr>
              <w:t xml:space="preserve">COUNSEL FOR </w:t>
            </w:r>
            <w:r w:rsidR="00027D19" w:rsidRPr="00E67C0A">
              <w:rPr>
                <w:rFonts w:cs="Arial"/>
                <w:szCs w:val="22"/>
              </w:rPr>
              <w:t>RESPONDENT</w:t>
            </w:r>
            <w:r w:rsidRPr="00E67C0A">
              <w:rPr>
                <w:rFonts w:cs="Arial"/>
                <w:szCs w:val="22"/>
              </w:rPr>
              <w:t>:</w:t>
            </w:r>
          </w:p>
        </w:tc>
        <w:tc>
          <w:tcPr>
            <w:tcW w:w="3935" w:type="dxa"/>
          </w:tcPr>
          <w:p w14:paraId="51741A90" w14:textId="4A417735" w:rsidR="009D35B5" w:rsidRPr="00E67C0A" w:rsidRDefault="001A3C26" w:rsidP="00A25AB4">
            <w:pPr>
              <w:tabs>
                <w:tab w:val="right" w:pos="0"/>
                <w:tab w:val="left" w:pos="4253"/>
              </w:tabs>
              <w:spacing w:before="120" w:after="120"/>
              <w:jc w:val="right"/>
              <w:rPr>
                <w:rFonts w:cs="Arial"/>
                <w:szCs w:val="22"/>
              </w:rPr>
            </w:pPr>
            <w:r w:rsidRPr="00E67C0A">
              <w:rPr>
                <w:rFonts w:cs="Arial"/>
                <w:szCs w:val="22"/>
              </w:rPr>
              <w:t>P A WILKENS</w:t>
            </w:r>
          </w:p>
        </w:tc>
      </w:tr>
      <w:tr w:rsidR="009D35B5" w:rsidRPr="00E67C0A" w14:paraId="1EC4105A" w14:textId="77777777" w:rsidTr="00615F6B">
        <w:tc>
          <w:tcPr>
            <w:tcW w:w="4678" w:type="dxa"/>
          </w:tcPr>
          <w:p w14:paraId="184EC2ED" w14:textId="1E42F28A" w:rsidR="009D35B5" w:rsidRPr="00E67C0A" w:rsidRDefault="009D35B5" w:rsidP="00A25AB4">
            <w:pPr>
              <w:tabs>
                <w:tab w:val="right" w:pos="0"/>
                <w:tab w:val="left" w:pos="4253"/>
              </w:tabs>
              <w:spacing w:before="120" w:after="120"/>
              <w:rPr>
                <w:rFonts w:cs="Arial"/>
                <w:szCs w:val="22"/>
              </w:rPr>
            </w:pPr>
            <w:r w:rsidRPr="00E67C0A">
              <w:rPr>
                <w:rFonts w:cs="Arial"/>
                <w:szCs w:val="22"/>
              </w:rPr>
              <w:t>INSTRUCTED BY:</w:t>
            </w:r>
          </w:p>
        </w:tc>
        <w:tc>
          <w:tcPr>
            <w:tcW w:w="3935" w:type="dxa"/>
          </w:tcPr>
          <w:p w14:paraId="3CB1B060" w14:textId="77777777" w:rsidR="009D35B5" w:rsidRPr="00E67C0A" w:rsidRDefault="001A3C26" w:rsidP="00A25AB4">
            <w:pPr>
              <w:tabs>
                <w:tab w:val="right" w:pos="0"/>
                <w:tab w:val="left" w:pos="4253"/>
              </w:tabs>
              <w:spacing w:before="120" w:after="120"/>
              <w:jc w:val="right"/>
              <w:rPr>
                <w:rFonts w:cs="Arial"/>
                <w:szCs w:val="22"/>
              </w:rPr>
            </w:pPr>
            <w:r w:rsidRPr="00E67C0A">
              <w:rPr>
                <w:rFonts w:cs="Arial"/>
                <w:szCs w:val="22"/>
              </w:rPr>
              <w:t>STRYDOM ATTORNEYS (BOKSBURG)</w:t>
            </w:r>
          </w:p>
          <w:p w14:paraId="2098BE2A" w14:textId="16219AE1" w:rsidR="001A3C26" w:rsidRPr="00E67C0A" w:rsidRDefault="001A3C26" w:rsidP="00A25AB4">
            <w:pPr>
              <w:tabs>
                <w:tab w:val="right" w:pos="0"/>
                <w:tab w:val="left" w:pos="4253"/>
              </w:tabs>
              <w:spacing w:before="120" w:after="120"/>
              <w:jc w:val="right"/>
              <w:rPr>
                <w:rFonts w:cs="Arial"/>
                <w:szCs w:val="22"/>
              </w:rPr>
            </w:pPr>
            <w:r w:rsidRPr="00E67C0A">
              <w:rPr>
                <w:rFonts w:cs="Arial"/>
                <w:szCs w:val="22"/>
              </w:rPr>
              <w:t>WRIGHT ROSE INNES ATTORNEYS (JOHANNESBURG)</w:t>
            </w:r>
          </w:p>
        </w:tc>
      </w:tr>
      <w:tr w:rsidR="009D35B5" w:rsidRPr="00E67C0A" w14:paraId="2A3FE2B1" w14:textId="77777777" w:rsidTr="00615F6B">
        <w:tc>
          <w:tcPr>
            <w:tcW w:w="4678" w:type="dxa"/>
          </w:tcPr>
          <w:p w14:paraId="0767D0FE" w14:textId="61925A22" w:rsidR="009D35B5" w:rsidRPr="00E67C0A" w:rsidRDefault="009D35B5" w:rsidP="00A25AB4">
            <w:pPr>
              <w:tabs>
                <w:tab w:val="right" w:pos="0"/>
                <w:tab w:val="left" w:pos="4253"/>
              </w:tabs>
              <w:spacing w:before="120" w:after="120"/>
              <w:rPr>
                <w:rFonts w:cs="Arial"/>
                <w:szCs w:val="22"/>
              </w:rPr>
            </w:pPr>
            <w:r w:rsidRPr="00E67C0A">
              <w:rPr>
                <w:rFonts w:cs="Arial"/>
                <w:szCs w:val="22"/>
              </w:rPr>
              <w:t xml:space="preserve">DATE </w:t>
            </w:r>
            <w:r w:rsidR="00E57446" w:rsidRPr="00E67C0A">
              <w:rPr>
                <w:rFonts w:cs="Arial"/>
                <w:szCs w:val="22"/>
              </w:rPr>
              <w:t>OF ARGUMENT</w:t>
            </w:r>
            <w:r w:rsidRPr="00E67C0A">
              <w:rPr>
                <w:rFonts w:cs="Arial"/>
                <w:szCs w:val="22"/>
              </w:rPr>
              <w:t>:</w:t>
            </w:r>
          </w:p>
        </w:tc>
        <w:tc>
          <w:tcPr>
            <w:tcW w:w="3935" w:type="dxa"/>
          </w:tcPr>
          <w:p w14:paraId="34C95147" w14:textId="44D8F150" w:rsidR="009D35B5" w:rsidRPr="00E67C0A" w:rsidRDefault="00E67C0A" w:rsidP="00A25AB4">
            <w:pPr>
              <w:tabs>
                <w:tab w:val="right" w:pos="0"/>
                <w:tab w:val="left" w:pos="4253"/>
              </w:tabs>
              <w:spacing w:before="120" w:after="120"/>
              <w:jc w:val="right"/>
              <w:rPr>
                <w:rFonts w:cs="Arial"/>
                <w:szCs w:val="22"/>
              </w:rPr>
            </w:pPr>
            <w:r>
              <w:rPr>
                <w:rFonts w:cs="Arial"/>
                <w:szCs w:val="22"/>
              </w:rPr>
              <w:t xml:space="preserve">25 MAY </w:t>
            </w:r>
            <w:r w:rsidR="00027D19" w:rsidRPr="00E67C0A">
              <w:rPr>
                <w:rFonts w:cs="Arial"/>
                <w:szCs w:val="22"/>
              </w:rPr>
              <w:t>2023</w:t>
            </w:r>
          </w:p>
        </w:tc>
      </w:tr>
      <w:tr w:rsidR="00A25AB4" w:rsidRPr="00E67C0A" w14:paraId="5ECDFF3A" w14:textId="77777777" w:rsidTr="00615F6B">
        <w:tc>
          <w:tcPr>
            <w:tcW w:w="4678" w:type="dxa"/>
          </w:tcPr>
          <w:p w14:paraId="1DF2AE9E" w14:textId="7118985B" w:rsidR="00A25AB4" w:rsidRPr="00E67C0A" w:rsidRDefault="00A25AB4" w:rsidP="00A25AB4">
            <w:pPr>
              <w:tabs>
                <w:tab w:val="right" w:pos="0"/>
                <w:tab w:val="left" w:pos="4253"/>
              </w:tabs>
              <w:spacing w:before="120" w:after="120"/>
              <w:rPr>
                <w:rFonts w:cs="Arial"/>
                <w:szCs w:val="22"/>
              </w:rPr>
            </w:pPr>
            <w:r w:rsidRPr="00E67C0A">
              <w:rPr>
                <w:rFonts w:cs="Arial"/>
                <w:szCs w:val="22"/>
              </w:rPr>
              <w:t xml:space="preserve">DATE OF </w:t>
            </w:r>
            <w:r w:rsidR="00E67C0A">
              <w:rPr>
                <w:rFonts w:cs="Arial"/>
                <w:szCs w:val="22"/>
              </w:rPr>
              <w:t>ORDER</w:t>
            </w:r>
            <w:r w:rsidRPr="00E67C0A">
              <w:rPr>
                <w:rFonts w:cs="Arial"/>
                <w:szCs w:val="22"/>
              </w:rPr>
              <w:t>:</w:t>
            </w:r>
          </w:p>
        </w:tc>
        <w:tc>
          <w:tcPr>
            <w:tcW w:w="3935" w:type="dxa"/>
          </w:tcPr>
          <w:p w14:paraId="02219E99" w14:textId="5799D1BE" w:rsidR="00A25AB4" w:rsidRPr="00E67C0A" w:rsidRDefault="00E67C0A" w:rsidP="00A25AB4">
            <w:pPr>
              <w:tabs>
                <w:tab w:val="right" w:pos="0"/>
                <w:tab w:val="left" w:pos="4253"/>
              </w:tabs>
              <w:spacing w:before="120" w:after="120"/>
              <w:jc w:val="right"/>
              <w:rPr>
                <w:rFonts w:cs="Arial"/>
                <w:szCs w:val="22"/>
              </w:rPr>
            </w:pPr>
            <w:r w:rsidRPr="00E67C0A">
              <w:rPr>
                <w:rFonts w:cs="Arial"/>
                <w:szCs w:val="22"/>
              </w:rPr>
              <w:t>20 JUNE</w:t>
            </w:r>
            <w:r w:rsidR="00F6329C" w:rsidRPr="00E67C0A">
              <w:rPr>
                <w:rFonts w:cs="Arial"/>
                <w:szCs w:val="22"/>
              </w:rPr>
              <w:t xml:space="preserve"> </w:t>
            </w:r>
            <w:r w:rsidR="00A25AB4" w:rsidRPr="00E67C0A">
              <w:rPr>
                <w:rFonts w:cs="Arial"/>
                <w:szCs w:val="22"/>
              </w:rPr>
              <w:t>2023</w:t>
            </w:r>
          </w:p>
        </w:tc>
      </w:tr>
      <w:tr w:rsidR="00E67C0A" w:rsidRPr="00E67C0A" w14:paraId="4D879BE2" w14:textId="77777777" w:rsidTr="00615F6B">
        <w:tc>
          <w:tcPr>
            <w:tcW w:w="4678" w:type="dxa"/>
          </w:tcPr>
          <w:p w14:paraId="23F20DAB" w14:textId="272AE4EE" w:rsidR="00E67C0A" w:rsidRPr="00E67C0A" w:rsidRDefault="00E67C0A" w:rsidP="00A25AB4">
            <w:pPr>
              <w:tabs>
                <w:tab w:val="right" w:pos="0"/>
                <w:tab w:val="left" w:pos="4253"/>
              </w:tabs>
              <w:spacing w:before="120" w:after="120"/>
              <w:rPr>
                <w:rFonts w:cs="Arial"/>
                <w:szCs w:val="22"/>
              </w:rPr>
            </w:pPr>
            <w:r w:rsidRPr="00E67C0A">
              <w:rPr>
                <w:rFonts w:cs="Arial"/>
                <w:szCs w:val="22"/>
              </w:rPr>
              <w:t xml:space="preserve">DATE OF </w:t>
            </w:r>
            <w:r>
              <w:rPr>
                <w:rFonts w:cs="Arial"/>
                <w:szCs w:val="22"/>
              </w:rPr>
              <w:t>JUDGMENT</w:t>
            </w:r>
            <w:r w:rsidRPr="00E67C0A">
              <w:rPr>
                <w:rFonts w:cs="Arial"/>
                <w:szCs w:val="22"/>
              </w:rPr>
              <w:t>:</w:t>
            </w:r>
          </w:p>
        </w:tc>
        <w:tc>
          <w:tcPr>
            <w:tcW w:w="3935" w:type="dxa"/>
          </w:tcPr>
          <w:p w14:paraId="18033151" w14:textId="05115511" w:rsidR="00E67C0A" w:rsidRPr="00E67C0A" w:rsidRDefault="00E67C0A" w:rsidP="00A25AB4">
            <w:pPr>
              <w:tabs>
                <w:tab w:val="right" w:pos="0"/>
                <w:tab w:val="left" w:pos="4253"/>
              </w:tabs>
              <w:spacing w:before="120" w:after="120"/>
              <w:jc w:val="right"/>
              <w:rPr>
                <w:rFonts w:cs="Arial"/>
                <w:szCs w:val="22"/>
              </w:rPr>
            </w:pPr>
            <w:r>
              <w:rPr>
                <w:rFonts w:cs="Arial"/>
                <w:szCs w:val="22"/>
              </w:rPr>
              <w:t>22 JUNE 2023</w:t>
            </w:r>
          </w:p>
        </w:tc>
      </w:tr>
    </w:tbl>
    <w:p w14:paraId="0DF279E2" w14:textId="04E6967B" w:rsidR="00B429EA" w:rsidRDefault="00A402F6" w:rsidP="00B429EA">
      <w:pPr>
        <w:tabs>
          <w:tab w:val="right" w:pos="8647"/>
        </w:tabs>
        <w:spacing w:line="360" w:lineRule="auto"/>
        <w:contextualSpacing/>
        <w:jc w:val="both"/>
        <w:rPr>
          <w:rFonts w:cs="Arial"/>
          <w:szCs w:val="22"/>
        </w:rPr>
      </w:pPr>
      <w:r w:rsidRPr="00C74E97">
        <w:rPr>
          <w:rFonts w:cs="Arial"/>
          <w:szCs w:val="22"/>
        </w:rPr>
        <w:tab/>
      </w:r>
    </w:p>
    <w:p w14:paraId="1D27A123" w14:textId="77777777" w:rsidR="00B429EA" w:rsidRDefault="00B429EA">
      <w:pPr>
        <w:rPr>
          <w:rFonts w:cs="Arial"/>
          <w:szCs w:val="22"/>
        </w:rPr>
      </w:pPr>
      <w:r>
        <w:rPr>
          <w:rFonts w:cs="Arial"/>
          <w:szCs w:val="22"/>
        </w:rPr>
        <w:br w:type="page"/>
      </w:r>
    </w:p>
    <w:p w14:paraId="6DE295B3" w14:textId="1C348845" w:rsidR="00B429EA" w:rsidRDefault="00B429EA" w:rsidP="00B429EA">
      <w:pPr>
        <w:tabs>
          <w:tab w:val="right" w:pos="8647"/>
        </w:tabs>
        <w:spacing w:line="360" w:lineRule="auto"/>
        <w:contextualSpacing/>
        <w:jc w:val="right"/>
        <w:rPr>
          <w:rFonts w:cs="Arial"/>
          <w:sz w:val="48"/>
          <w:szCs w:val="48"/>
        </w:rPr>
      </w:pPr>
      <w:r>
        <w:rPr>
          <w:rFonts w:cs="Arial"/>
          <w:sz w:val="48"/>
          <w:szCs w:val="48"/>
        </w:rPr>
        <w:lastRenderedPageBreak/>
        <w:t>X</w:t>
      </w:r>
    </w:p>
    <w:p w14:paraId="2B7A10E3" w14:textId="3F0CECBB" w:rsidR="004E6860" w:rsidRDefault="00B429EA" w:rsidP="00B429EA">
      <w:pPr>
        <w:tabs>
          <w:tab w:val="right" w:pos="8647"/>
        </w:tabs>
        <w:spacing w:line="360" w:lineRule="auto"/>
        <w:contextualSpacing/>
        <w:jc w:val="right"/>
        <w:rPr>
          <w:rFonts w:cs="Arial"/>
          <w:sz w:val="48"/>
          <w:szCs w:val="48"/>
        </w:rPr>
      </w:pPr>
      <w:r>
        <w:rPr>
          <w:rFonts w:cs="Arial"/>
          <w:noProof/>
          <w:sz w:val="48"/>
          <w:szCs w:val="48"/>
          <w:lang w:val="en-US"/>
        </w:rPr>
        <w:drawing>
          <wp:inline distT="0" distB="0" distL="0" distR="0" wp14:anchorId="582DBE42" wp14:editId="3985FAB1">
            <wp:extent cx="4899376" cy="8051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916757" cy="8080365"/>
                    </a:xfrm>
                    <a:prstGeom prst="rect">
                      <a:avLst/>
                    </a:prstGeom>
                  </pic:spPr>
                </pic:pic>
              </a:graphicData>
            </a:graphic>
          </wp:inline>
        </w:drawing>
      </w:r>
    </w:p>
    <w:sectPr w:rsidR="004E6860" w:rsidSect="009869F2">
      <w:headerReference w:type="default" r:id="rId11"/>
      <w:pgSz w:w="11906" w:h="16838"/>
      <w:pgMar w:top="1440" w:right="1558" w:bottom="1276"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7690C" w14:textId="77777777" w:rsidR="004D1936" w:rsidRDefault="004D1936">
      <w:r>
        <w:separator/>
      </w:r>
    </w:p>
  </w:endnote>
  <w:endnote w:type="continuationSeparator" w:id="0">
    <w:p w14:paraId="34257567" w14:textId="77777777" w:rsidR="004D1936" w:rsidRDefault="004D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8C9E2" w14:textId="77777777" w:rsidR="004D1936" w:rsidRDefault="004D1936">
      <w:r>
        <w:separator/>
      </w:r>
    </w:p>
  </w:footnote>
  <w:footnote w:type="continuationSeparator" w:id="0">
    <w:p w14:paraId="517CAF61" w14:textId="77777777" w:rsidR="004D1936" w:rsidRDefault="004D1936">
      <w:r>
        <w:continuationSeparator/>
      </w:r>
    </w:p>
  </w:footnote>
  <w:footnote w:id="1">
    <w:p w14:paraId="5A7EAE13" w14:textId="5AD14FC6" w:rsidR="003A5BCC" w:rsidRDefault="003A5BCC" w:rsidP="00825866">
      <w:pPr>
        <w:pStyle w:val="FootnoteText"/>
      </w:pPr>
      <w:r>
        <w:rPr>
          <w:rStyle w:val="FootnoteReference"/>
        </w:rPr>
        <w:footnoteRef/>
      </w:r>
      <w:r>
        <w:t xml:space="preserve"> </w:t>
      </w:r>
      <w:r>
        <w:tab/>
      </w:r>
      <w:r w:rsidRPr="003A5BCC">
        <w:rPr>
          <w:rFonts w:cs="Arial"/>
          <w:bCs/>
        </w:rPr>
        <w:t xml:space="preserve">See </w:t>
      </w:r>
      <w:r w:rsidRPr="003A5BCC">
        <w:rPr>
          <w:rFonts w:cs="Arial"/>
          <w:bCs/>
          <w:i/>
        </w:rPr>
        <w:t>Eskom v Soweto City Council</w:t>
      </w:r>
      <w:r w:rsidRPr="003A5BCC">
        <w:t xml:space="preserve"> 1992 (2) SA 703 (W)</w:t>
      </w:r>
      <w:r>
        <w:t>.</w:t>
      </w:r>
    </w:p>
  </w:footnote>
  <w:footnote w:id="2">
    <w:p w14:paraId="5CF0916E" w14:textId="6354F941" w:rsidR="00D5000A" w:rsidRDefault="00D5000A">
      <w:pPr>
        <w:pStyle w:val="FootnoteText"/>
      </w:pPr>
      <w:r>
        <w:rPr>
          <w:rStyle w:val="FootnoteReference"/>
        </w:rPr>
        <w:footnoteRef/>
      </w:r>
      <w:r>
        <w:t xml:space="preserve"> </w:t>
      </w:r>
      <w:r>
        <w:tab/>
      </w:r>
      <w:r w:rsidR="00236C2E">
        <w:t xml:space="preserve">See </w:t>
      </w:r>
      <w:r w:rsidR="00236C2E" w:rsidRPr="00217066">
        <w:rPr>
          <w:i/>
          <w:iCs/>
        </w:rPr>
        <w:t>Legator McKenna Inc and Another v Shea and Others</w:t>
      </w:r>
      <w:r w:rsidR="00236C2E">
        <w:t xml:space="preserve"> </w:t>
      </w:r>
      <w:r w:rsidR="00236C2E" w:rsidRPr="00217066">
        <w:t>2010 (1) SA 35 (SCA)</w:t>
      </w:r>
      <w:r w:rsidR="00236C2E">
        <w:t xml:space="preserve"> para 22.</w:t>
      </w:r>
    </w:p>
  </w:footnote>
  <w:footnote w:id="3">
    <w:p w14:paraId="08AB6018" w14:textId="2766D546" w:rsidR="00F3647D" w:rsidRDefault="00F3647D" w:rsidP="00825866">
      <w:pPr>
        <w:pStyle w:val="FootnoteText"/>
      </w:pPr>
      <w:r>
        <w:rPr>
          <w:rStyle w:val="FootnoteReference"/>
        </w:rPr>
        <w:footnoteRef/>
      </w:r>
      <w:r>
        <w:t xml:space="preserve"> </w:t>
      </w:r>
      <w:r>
        <w:tab/>
        <w:t xml:space="preserve">The respondent’s deponent stated that he first became aware of the incorrect boundaries in 2019 but it is obvious from the fact that he participated in the appointment of Town Planners in 2004 </w:t>
      </w:r>
      <w:r w:rsidR="003158E2">
        <w:t xml:space="preserve">that he knew in 2004 </w:t>
      </w:r>
      <w:r>
        <w:t>that Portion 1 did nor form part of Erf 268. Had it formed part of Erf 268 there would have been no need to subdivide Erf 279 and consolidate Portion 1 with Erf 268.</w:t>
      </w:r>
    </w:p>
  </w:footnote>
  <w:footnote w:id="4">
    <w:p w14:paraId="388F4726" w14:textId="2D8B8BB6" w:rsidR="007A5AA0" w:rsidRDefault="007A5AA0" w:rsidP="00825866">
      <w:pPr>
        <w:pStyle w:val="FootnoteText"/>
      </w:pPr>
      <w:r>
        <w:rPr>
          <w:rStyle w:val="FootnoteReference"/>
        </w:rPr>
        <w:footnoteRef/>
      </w:r>
      <w:r>
        <w:t xml:space="preserve"> </w:t>
      </w:r>
      <w:r>
        <w:tab/>
        <w:t>The first written agreement was the deed of sale.</w:t>
      </w:r>
    </w:p>
  </w:footnote>
  <w:footnote w:id="5">
    <w:p w14:paraId="28B9F43E" w14:textId="46638714" w:rsidR="00F3647D" w:rsidRPr="00F3647D" w:rsidRDefault="00F3647D" w:rsidP="00825866">
      <w:pPr>
        <w:pStyle w:val="FootnoteText"/>
      </w:pPr>
      <w:r>
        <w:rPr>
          <w:rStyle w:val="FootnoteReference"/>
        </w:rPr>
        <w:footnoteRef/>
      </w:r>
      <w:r>
        <w:t xml:space="preserve"> </w:t>
      </w:r>
      <w:r w:rsidR="003C0E29">
        <w:tab/>
      </w:r>
      <w:r w:rsidRPr="00F3647D">
        <w:rPr>
          <w:rFonts w:cs="Arial"/>
          <w:bCs/>
        </w:rPr>
        <w:t>The fence between Erf 268 and 270 was dealt with and does not feature in this application.</w:t>
      </w:r>
    </w:p>
  </w:footnote>
  <w:footnote w:id="6">
    <w:p w14:paraId="4051C312" w14:textId="2F27BEB4" w:rsidR="003C0E29" w:rsidRDefault="003C0E29">
      <w:pPr>
        <w:pStyle w:val="FootnoteText"/>
      </w:pPr>
      <w:r>
        <w:rPr>
          <w:rStyle w:val="FootnoteReference"/>
        </w:rPr>
        <w:footnoteRef/>
      </w:r>
      <w:r>
        <w:t xml:space="preserve"> </w:t>
      </w:r>
      <w:r>
        <w:tab/>
        <w:t xml:space="preserve">See </w:t>
      </w:r>
      <w:r w:rsidRPr="003C0E29">
        <w:rPr>
          <w:i/>
          <w:iCs/>
        </w:rPr>
        <w:t>Cockcroft v Baxter</w:t>
      </w:r>
      <w:r>
        <w:t xml:space="preserve"> 1955 (4) SA 93 (C).</w:t>
      </w:r>
    </w:p>
  </w:footnote>
  <w:footnote w:id="7">
    <w:p w14:paraId="29954D43" w14:textId="77777777" w:rsidR="0025229D" w:rsidRPr="00302F86" w:rsidRDefault="0025229D" w:rsidP="0025229D">
      <w:pPr>
        <w:pStyle w:val="FootnoteText"/>
        <w:rPr>
          <w:rFonts w:cs="Arial"/>
        </w:rPr>
      </w:pPr>
      <w:r>
        <w:rPr>
          <w:rStyle w:val="FootnoteReference"/>
        </w:rPr>
        <w:footnoteRef/>
      </w:r>
      <w:r>
        <w:t xml:space="preserve"> </w:t>
      </w:r>
      <w:r>
        <w:tab/>
      </w:r>
      <w:r w:rsidRPr="007A5AA0">
        <w:rPr>
          <w:rFonts w:cs="Arial"/>
        </w:rPr>
        <w:t xml:space="preserve">See </w:t>
      </w:r>
      <w:r w:rsidRPr="007A5AA0">
        <w:rPr>
          <w:rFonts w:cs="Arial"/>
          <w:i/>
          <w:iCs/>
          <w:color w:val="000000" w:themeColor="text1"/>
        </w:rPr>
        <w:t xml:space="preserve">Le Roux v Autovend (Pty) Ltd </w:t>
      </w:r>
      <w:r w:rsidRPr="007A5AA0">
        <w:rPr>
          <w:rFonts w:cs="Arial"/>
          <w:color w:val="000000" w:themeColor="text1"/>
        </w:rPr>
        <w:t xml:space="preserve">1981 (4) SA 890 (N), [1981] 2 All SA 466 (N) and </w:t>
      </w:r>
      <w:r w:rsidRPr="007A5AA0">
        <w:rPr>
          <w:rFonts w:cs="Arial"/>
          <w:i/>
          <w:iCs/>
          <w:color w:val="000000" w:themeColor="text1"/>
        </w:rPr>
        <w:t xml:space="preserve">Labuschagne Broers v Spring Farm (Pty) Ltd </w:t>
      </w:r>
      <w:r w:rsidRPr="007A5AA0">
        <w:rPr>
          <w:rFonts w:cs="Arial"/>
          <w:color w:val="000000" w:themeColor="text1"/>
        </w:rPr>
        <w:t>1976 (2) SA 824 (T), [1976] 1 All SA 181 (T)</w:t>
      </w:r>
      <w:r>
        <w:rPr>
          <w:rFonts w:cs="Arial"/>
          <w:color w:val="000000" w:themeColor="text1"/>
        </w:rPr>
        <w:t>.</w:t>
      </w:r>
    </w:p>
  </w:footnote>
  <w:footnote w:id="8">
    <w:p w14:paraId="56786D49" w14:textId="77777777" w:rsidR="0025229D" w:rsidRDefault="0025229D" w:rsidP="0025229D">
      <w:pPr>
        <w:pStyle w:val="FootnoteText"/>
      </w:pPr>
      <w:r>
        <w:rPr>
          <w:rStyle w:val="FootnoteReference"/>
        </w:rPr>
        <w:footnoteRef/>
      </w:r>
      <w:r>
        <w:t xml:space="preserve"> </w:t>
      </w:r>
      <w:r>
        <w:tab/>
      </w:r>
      <w:r w:rsidRPr="008A76DF">
        <w:rPr>
          <w:i/>
          <w:iCs/>
          <w:lang w:eastAsia="en-ZA"/>
        </w:rPr>
        <w:t>FHP Management (Pty) Ltd v Theron NO and Another</w:t>
      </w:r>
      <w:r>
        <w:rPr>
          <w:lang w:eastAsia="en-ZA"/>
        </w:rPr>
        <w:t xml:space="preserve"> </w:t>
      </w:r>
      <w:r w:rsidRPr="008A76DF">
        <w:rPr>
          <w:lang w:eastAsia="en-ZA"/>
        </w:rPr>
        <w:t>2004 (3) SA 392 (C)</w:t>
      </w:r>
      <w:r>
        <w:rPr>
          <w:lang w:eastAsia="en-ZA"/>
        </w:rPr>
        <w:t xml:space="preserve"> 405F.</w:t>
      </w:r>
    </w:p>
  </w:footnote>
  <w:footnote w:id="9">
    <w:p w14:paraId="2BCDF8C9" w14:textId="77777777" w:rsidR="00E3062A" w:rsidRPr="002D5BA6" w:rsidRDefault="00E3062A" w:rsidP="00825866">
      <w:pPr>
        <w:pStyle w:val="FootnoteText"/>
      </w:pPr>
      <w:r>
        <w:rPr>
          <w:rStyle w:val="FootnoteReference"/>
        </w:rPr>
        <w:footnoteRef/>
      </w:r>
      <w:r>
        <w:t xml:space="preserve"> </w:t>
      </w:r>
      <w:r>
        <w:tab/>
        <w:t xml:space="preserve">See also Loubser </w:t>
      </w:r>
      <w:r>
        <w:rPr>
          <w:i/>
          <w:iCs/>
        </w:rPr>
        <w:t xml:space="preserve">Extinctive Prescription </w:t>
      </w:r>
      <w:r>
        <w:t xml:space="preserve">1996 p 101 to 105. See also </w:t>
      </w:r>
      <w:r w:rsidRPr="002D5BA6">
        <w:rPr>
          <w:i/>
          <w:iCs/>
        </w:rPr>
        <w:t xml:space="preserve">Van Staden v Fourie </w:t>
      </w:r>
      <w:r>
        <w:t>1989 (3) SA 200 (A) 214H-215H.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68A9B" w14:textId="77E4650F" w:rsidR="00893C08" w:rsidRPr="006C43D7" w:rsidRDefault="00893C08" w:rsidP="004B21D9">
    <w:pPr>
      <w:tabs>
        <w:tab w:val="center" w:pos="4153"/>
        <w:tab w:val="right" w:pos="8306"/>
      </w:tabs>
      <w:spacing w:line="276" w:lineRule="auto"/>
      <w:rPr>
        <w:rFonts w:cs="Arial"/>
        <w:sz w:val="20"/>
        <w:szCs w:val="20"/>
        <w:lang w:val="en-GB"/>
      </w:rPr>
    </w:pPr>
    <w:r w:rsidRPr="006C43D7">
      <w:rPr>
        <w:rFonts w:cs="Arial"/>
        <w:sz w:val="20"/>
        <w:szCs w:val="20"/>
        <w:lang w:val="en-GB"/>
      </w:rPr>
      <w:fldChar w:fldCharType="begin"/>
    </w:r>
    <w:r w:rsidRPr="006C43D7">
      <w:rPr>
        <w:rFonts w:cs="Arial"/>
        <w:sz w:val="20"/>
        <w:szCs w:val="20"/>
        <w:lang w:val="en-GB"/>
      </w:rPr>
      <w:instrText xml:space="preserve"> PAGE </w:instrText>
    </w:r>
    <w:r w:rsidRPr="006C43D7">
      <w:rPr>
        <w:rFonts w:cs="Arial"/>
        <w:sz w:val="20"/>
        <w:szCs w:val="20"/>
        <w:lang w:val="en-GB"/>
      </w:rPr>
      <w:fldChar w:fldCharType="separate"/>
    </w:r>
    <w:r w:rsidR="00805AB1">
      <w:rPr>
        <w:rFonts w:cs="Arial"/>
        <w:noProof/>
        <w:sz w:val="20"/>
        <w:szCs w:val="20"/>
        <w:lang w:val="en-GB"/>
      </w:rPr>
      <w:t>11</w:t>
    </w:r>
    <w:r w:rsidRPr="006C43D7">
      <w:rPr>
        <w:rFonts w:cs="Arial"/>
        <w:sz w:val="20"/>
        <w:szCs w:val="20"/>
        <w:lang w:val="en-GB"/>
      </w:rPr>
      <w:fldChar w:fldCharType="end"/>
    </w:r>
  </w:p>
  <w:p w14:paraId="08C008E5" w14:textId="77777777" w:rsidR="00893C08" w:rsidRPr="006C43D7" w:rsidRDefault="00893C08" w:rsidP="006C43D7">
    <w:pPr>
      <w:tabs>
        <w:tab w:val="center" w:pos="4153"/>
        <w:tab w:val="right" w:pos="8306"/>
      </w:tabs>
      <w:spacing w:line="276" w:lineRule="auto"/>
      <w:jc w:val="right"/>
      <w:rPr>
        <w:rFonts w:cs="Arial"/>
        <w:lang w:val="en-US"/>
      </w:rPr>
    </w:pPr>
  </w:p>
  <w:p w14:paraId="4A21EF97" w14:textId="77777777" w:rsidR="00893C08" w:rsidRPr="006C43D7" w:rsidRDefault="00893C08" w:rsidP="006C43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1149B"/>
    <w:multiLevelType w:val="multilevel"/>
    <w:tmpl w:val="BB262BC0"/>
    <w:lvl w:ilvl="0">
      <w:start w:val="1"/>
      <w:numFmt w:val="decimal"/>
      <w:lvlText w:val="%1."/>
      <w:lvlJc w:val="left"/>
      <w:pPr>
        <w:ind w:left="1701" w:hanging="567"/>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nsid w:val="0A132429"/>
    <w:multiLevelType w:val="hybridMultilevel"/>
    <w:tmpl w:val="5DDAEADE"/>
    <w:lvl w:ilvl="0" w:tplc="859E9736">
      <w:start w:val="1"/>
      <w:numFmt w:val="decimal"/>
      <w:lvlText w:val="(%1)"/>
      <w:lvlJc w:val="left"/>
      <w:pPr>
        <w:tabs>
          <w:tab w:val="num" w:pos="900"/>
        </w:tabs>
        <w:ind w:left="900" w:hanging="72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
    <w:nsid w:val="1395632B"/>
    <w:multiLevelType w:val="multilevel"/>
    <w:tmpl w:val="18D4C7F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8DD7D02"/>
    <w:multiLevelType w:val="multilevel"/>
    <w:tmpl w:val="DF0C55CC"/>
    <w:lvl w:ilvl="0">
      <w:start w:val="1"/>
      <w:numFmt w:val="decimal"/>
      <w:pStyle w:val="AFUaffidavitnumbering"/>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
    <w:nsid w:val="2FFC1874"/>
    <w:multiLevelType w:val="multilevel"/>
    <w:tmpl w:val="1228ED04"/>
    <w:lvl w:ilvl="0">
      <w:start w:val="1"/>
      <w:numFmt w:val="decimal"/>
      <w:lvlText w:val="[%1]"/>
      <w:lvlJc w:val="left"/>
      <w:pPr>
        <w:tabs>
          <w:tab w:val="num" w:pos="567"/>
        </w:tabs>
        <w:ind w:left="0" w:firstLine="0"/>
      </w:pPr>
      <w:rPr>
        <w:rFonts w:hint="default"/>
        <w:b w:val="0"/>
        <w:i w:val="0"/>
        <w:color w:val="auto"/>
      </w:rPr>
    </w:lvl>
    <w:lvl w:ilvl="1">
      <w:start w:val="1"/>
      <w:numFmt w:val="decimal"/>
      <w:lvlText w:val="%1.%2"/>
      <w:lvlJc w:val="left"/>
      <w:pPr>
        <w:tabs>
          <w:tab w:val="num" w:pos="1418"/>
        </w:tabs>
        <w:ind w:left="1418" w:hanging="851"/>
      </w:pPr>
      <w:rPr>
        <w:rFonts w:hint="default"/>
        <w:b w:val="0"/>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2.%3.%4."/>
      <w:lvlJc w:val="left"/>
      <w:pPr>
        <w:tabs>
          <w:tab w:val="num" w:pos="3402"/>
        </w:tabs>
        <w:ind w:left="3402" w:hanging="1134"/>
      </w:pPr>
      <w:rPr>
        <w:rFonts w:hint="default"/>
      </w:rPr>
    </w:lvl>
    <w:lvl w:ilvl="4">
      <w:start w:val="1"/>
      <w:numFmt w:val="decimal"/>
      <w:lvlText w:val="%1.%2.%3.%4.%5."/>
      <w:lvlJc w:val="left"/>
      <w:pPr>
        <w:tabs>
          <w:tab w:val="num" w:pos="4820"/>
        </w:tabs>
        <w:ind w:left="4820" w:hanging="1418"/>
      </w:pPr>
      <w:rPr>
        <w:rFonts w:hint="default"/>
      </w:rPr>
    </w:lvl>
    <w:lvl w:ilvl="5">
      <w:start w:val="1"/>
      <w:numFmt w:val="decimal"/>
      <w:lvlText w:val="%1.%2.%3.%4.%5.%6."/>
      <w:lvlJc w:val="left"/>
      <w:pPr>
        <w:tabs>
          <w:tab w:val="num" w:pos="5760"/>
        </w:tabs>
        <w:ind w:left="5760" w:hanging="115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1CA61CD"/>
    <w:multiLevelType w:val="multilevel"/>
    <w:tmpl w:val="3058E7CA"/>
    <w:lvl w:ilvl="0">
      <w:start w:val="1"/>
      <w:numFmt w:val="decimal"/>
      <w:lvlText w:val="%1."/>
      <w:lvlJc w:val="left"/>
      <w:pPr>
        <w:tabs>
          <w:tab w:val="num" w:pos="1701"/>
        </w:tabs>
        <w:ind w:left="1701"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nsid w:val="384B5003"/>
    <w:multiLevelType w:val="multilevel"/>
    <w:tmpl w:val="BA7E0772"/>
    <w:lvl w:ilvl="0">
      <w:start w:val="8"/>
      <w:numFmt w:val="decimal"/>
      <w:lvlText w:val="%1"/>
      <w:lvlJc w:val="left"/>
      <w:pPr>
        <w:ind w:left="360" w:hanging="360"/>
      </w:pPr>
    </w:lvl>
    <w:lvl w:ilvl="1">
      <w:start w:val="1"/>
      <w:numFmt w:val="decimal"/>
      <w:lvlText w:val="%2."/>
      <w:lvlJc w:val="left"/>
      <w:pPr>
        <w:ind w:left="1440" w:hanging="360"/>
      </w:pPr>
      <w:rPr>
        <w:rFonts w:ascii="Arial" w:eastAsia="Times New Roman" w:hAnsi="Arial" w:cs="Arial"/>
        <w:b w:val="0"/>
      </w:rPr>
    </w:lvl>
    <w:lvl w:ilvl="2">
      <w:start w:val="1"/>
      <w:numFmt w:val="decimal"/>
      <w:lvlText w:val="%1.%2.%3"/>
      <w:lvlJc w:val="left"/>
      <w:pPr>
        <w:ind w:left="2880" w:hanging="720"/>
      </w:pPr>
      <w:rPr>
        <w:b w:val="0"/>
      </w:rPr>
    </w:lvl>
    <w:lvl w:ilvl="3">
      <w:start w:val="1"/>
      <w:numFmt w:val="decimal"/>
      <w:lvlText w:val="%1.%2.%3.%4"/>
      <w:lvlJc w:val="left"/>
      <w:pPr>
        <w:ind w:left="4320" w:hanging="1080"/>
      </w:pPr>
      <w:rPr>
        <w:b w:val="0"/>
      </w:r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7">
    <w:nsid w:val="3F8F0C59"/>
    <w:multiLevelType w:val="hybridMultilevel"/>
    <w:tmpl w:val="FCCCA750"/>
    <w:lvl w:ilvl="0" w:tplc="F6887E70">
      <w:start w:val="1"/>
      <w:numFmt w:val="decimal"/>
      <w:lvlText w:val="%1."/>
      <w:lvlJc w:val="left"/>
      <w:pPr>
        <w:ind w:left="1650" w:hanging="564"/>
      </w:pPr>
      <w:rPr>
        <w:rFonts w:hint="default"/>
      </w:rPr>
    </w:lvl>
    <w:lvl w:ilvl="1" w:tplc="1C090019">
      <w:start w:val="1"/>
      <w:numFmt w:val="lowerLetter"/>
      <w:lvlText w:val="%2."/>
      <w:lvlJc w:val="left"/>
      <w:pPr>
        <w:ind w:left="2166" w:hanging="360"/>
      </w:pPr>
    </w:lvl>
    <w:lvl w:ilvl="2" w:tplc="1C09001B" w:tentative="1">
      <w:start w:val="1"/>
      <w:numFmt w:val="lowerRoman"/>
      <w:lvlText w:val="%3."/>
      <w:lvlJc w:val="right"/>
      <w:pPr>
        <w:ind w:left="2886" w:hanging="180"/>
      </w:pPr>
    </w:lvl>
    <w:lvl w:ilvl="3" w:tplc="1C09000F" w:tentative="1">
      <w:start w:val="1"/>
      <w:numFmt w:val="decimal"/>
      <w:lvlText w:val="%4."/>
      <w:lvlJc w:val="left"/>
      <w:pPr>
        <w:ind w:left="3606" w:hanging="360"/>
      </w:pPr>
    </w:lvl>
    <w:lvl w:ilvl="4" w:tplc="1C090019" w:tentative="1">
      <w:start w:val="1"/>
      <w:numFmt w:val="lowerLetter"/>
      <w:lvlText w:val="%5."/>
      <w:lvlJc w:val="left"/>
      <w:pPr>
        <w:ind w:left="4326" w:hanging="360"/>
      </w:pPr>
    </w:lvl>
    <w:lvl w:ilvl="5" w:tplc="1C09001B" w:tentative="1">
      <w:start w:val="1"/>
      <w:numFmt w:val="lowerRoman"/>
      <w:lvlText w:val="%6."/>
      <w:lvlJc w:val="right"/>
      <w:pPr>
        <w:ind w:left="5046" w:hanging="180"/>
      </w:pPr>
    </w:lvl>
    <w:lvl w:ilvl="6" w:tplc="1C09000F" w:tentative="1">
      <w:start w:val="1"/>
      <w:numFmt w:val="decimal"/>
      <w:lvlText w:val="%7."/>
      <w:lvlJc w:val="left"/>
      <w:pPr>
        <w:ind w:left="5766" w:hanging="360"/>
      </w:pPr>
    </w:lvl>
    <w:lvl w:ilvl="7" w:tplc="1C090019" w:tentative="1">
      <w:start w:val="1"/>
      <w:numFmt w:val="lowerLetter"/>
      <w:lvlText w:val="%8."/>
      <w:lvlJc w:val="left"/>
      <w:pPr>
        <w:ind w:left="6486" w:hanging="360"/>
      </w:pPr>
    </w:lvl>
    <w:lvl w:ilvl="8" w:tplc="1C09001B" w:tentative="1">
      <w:start w:val="1"/>
      <w:numFmt w:val="lowerRoman"/>
      <w:lvlText w:val="%9."/>
      <w:lvlJc w:val="right"/>
      <w:pPr>
        <w:ind w:left="7206" w:hanging="180"/>
      </w:pPr>
    </w:lvl>
  </w:abstractNum>
  <w:abstractNum w:abstractNumId="8">
    <w:nsid w:val="439C0D19"/>
    <w:multiLevelType w:val="multilevel"/>
    <w:tmpl w:val="1228ED04"/>
    <w:lvl w:ilvl="0">
      <w:start w:val="1"/>
      <w:numFmt w:val="decimal"/>
      <w:lvlText w:val="[%1]"/>
      <w:lvlJc w:val="left"/>
      <w:pPr>
        <w:tabs>
          <w:tab w:val="num" w:pos="567"/>
        </w:tabs>
        <w:ind w:left="0" w:firstLine="0"/>
      </w:pPr>
      <w:rPr>
        <w:rFonts w:hint="default"/>
        <w:b w:val="0"/>
        <w:i w:val="0"/>
        <w:color w:val="auto"/>
      </w:rPr>
    </w:lvl>
    <w:lvl w:ilvl="1">
      <w:start w:val="1"/>
      <w:numFmt w:val="decimal"/>
      <w:lvlText w:val="%1.%2"/>
      <w:lvlJc w:val="left"/>
      <w:pPr>
        <w:tabs>
          <w:tab w:val="num" w:pos="1418"/>
        </w:tabs>
        <w:ind w:left="1418" w:hanging="851"/>
      </w:pPr>
      <w:rPr>
        <w:rFonts w:hint="default"/>
        <w:b w:val="0"/>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2.%3.%4."/>
      <w:lvlJc w:val="left"/>
      <w:pPr>
        <w:tabs>
          <w:tab w:val="num" w:pos="3402"/>
        </w:tabs>
        <w:ind w:left="3402" w:hanging="1134"/>
      </w:pPr>
      <w:rPr>
        <w:rFonts w:hint="default"/>
      </w:rPr>
    </w:lvl>
    <w:lvl w:ilvl="4">
      <w:start w:val="1"/>
      <w:numFmt w:val="decimal"/>
      <w:lvlText w:val="%1.%2.%3.%4.%5."/>
      <w:lvlJc w:val="left"/>
      <w:pPr>
        <w:tabs>
          <w:tab w:val="num" w:pos="4820"/>
        </w:tabs>
        <w:ind w:left="4820" w:hanging="1418"/>
      </w:pPr>
      <w:rPr>
        <w:rFonts w:hint="default"/>
      </w:rPr>
    </w:lvl>
    <w:lvl w:ilvl="5">
      <w:start w:val="1"/>
      <w:numFmt w:val="decimal"/>
      <w:lvlText w:val="%1.%2.%3.%4.%5.%6."/>
      <w:lvlJc w:val="left"/>
      <w:pPr>
        <w:tabs>
          <w:tab w:val="num" w:pos="5760"/>
        </w:tabs>
        <w:ind w:left="5760" w:hanging="115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462F3097"/>
    <w:multiLevelType w:val="multilevel"/>
    <w:tmpl w:val="B54A59FE"/>
    <w:lvl w:ilvl="0">
      <w:start w:val="1"/>
      <w:numFmt w:val="decimal"/>
      <w:lvlText w:val="%1."/>
      <w:lvlJc w:val="left"/>
      <w:pPr>
        <w:tabs>
          <w:tab w:val="num" w:pos="1701"/>
        </w:tabs>
        <w:ind w:left="1701" w:hanging="567"/>
      </w:pPr>
      <w:rPr>
        <w:rFonts w:hint="default"/>
      </w:rPr>
    </w:lvl>
    <w:lvl w:ilvl="1">
      <w:start w:val="1"/>
      <w:numFmt w:val="decimal"/>
      <w:lvlText w:val="%1.%2."/>
      <w:lvlJc w:val="left"/>
      <w:pPr>
        <w:tabs>
          <w:tab w:val="num" w:pos="2438"/>
        </w:tabs>
        <w:ind w:left="2438"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9950EA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34C2701"/>
    <w:multiLevelType w:val="multilevel"/>
    <w:tmpl w:val="B54A59FE"/>
    <w:lvl w:ilvl="0">
      <w:start w:val="1"/>
      <w:numFmt w:val="decimal"/>
      <w:lvlText w:val="%1."/>
      <w:lvlJc w:val="left"/>
      <w:pPr>
        <w:tabs>
          <w:tab w:val="num" w:pos="1701"/>
        </w:tabs>
        <w:ind w:left="1701" w:hanging="567"/>
      </w:pPr>
      <w:rPr>
        <w:rFonts w:hint="default"/>
      </w:rPr>
    </w:lvl>
    <w:lvl w:ilvl="1">
      <w:start w:val="1"/>
      <w:numFmt w:val="decimal"/>
      <w:lvlText w:val="%1.%2."/>
      <w:lvlJc w:val="left"/>
      <w:pPr>
        <w:tabs>
          <w:tab w:val="num" w:pos="2438"/>
        </w:tabs>
        <w:ind w:left="2438"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900780E"/>
    <w:multiLevelType w:val="multilevel"/>
    <w:tmpl w:val="3058E7CA"/>
    <w:lvl w:ilvl="0">
      <w:start w:val="1"/>
      <w:numFmt w:val="decimal"/>
      <w:lvlText w:val="%1."/>
      <w:lvlJc w:val="left"/>
      <w:pPr>
        <w:tabs>
          <w:tab w:val="num" w:pos="1701"/>
        </w:tabs>
        <w:ind w:left="1701"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nsid w:val="77EE27A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12"/>
  </w:num>
  <w:num w:numId="4">
    <w:abstractNumId w:val="5"/>
  </w:num>
  <w:num w:numId="5">
    <w:abstractNumId w:val="11"/>
  </w:num>
  <w:num w:numId="6">
    <w:abstractNumId w:val="9"/>
  </w:num>
  <w:num w:numId="7">
    <w:abstractNumId w:val="0"/>
  </w:num>
  <w:num w:numId="8">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13"/>
  </w:num>
  <w:num w:numId="12">
    <w:abstractNumId w:val="3"/>
    <w:lvlOverride w:ilvl="0">
      <w:lvl w:ilvl="0">
        <w:start w:val="1"/>
        <w:numFmt w:val="decimal"/>
        <w:pStyle w:val="AFUaffidavitnumbering"/>
        <w:lvlText w:val="%1"/>
        <w:lvlJc w:val="left"/>
        <w:pPr>
          <w:tabs>
            <w:tab w:val="num" w:pos="567"/>
          </w:tabs>
          <w:ind w:left="567" w:hanging="567"/>
        </w:pPr>
        <w:rPr>
          <w:rFonts w:hint="default"/>
        </w:rPr>
      </w:lvl>
    </w:lvlOverride>
    <w:lvlOverride w:ilvl="1">
      <w:lvl w:ilvl="1">
        <w:start w:val="1"/>
        <w:numFmt w:val="decimal"/>
        <w:lvlText w:val="%1.%2"/>
        <w:lvlJc w:val="left"/>
        <w:pPr>
          <w:tabs>
            <w:tab w:val="num" w:pos="1418"/>
          </w:tabs>
          <w:ind w:left="1418" w:hanging="851"/>
        </w:pPr>
        <w:rPr>
          <w:rFonts w:hint="default"/>
        </w:rPr>
      </w:lvl>
    </w:lvlOverride>
    <w:lvlOverride w:ilvl="2">
      <w:lvl w:ilvl="2">
        <w:start w:val="1"/>
        <w:numFmt w:val="decimal"/>
        <w:lvlText w:val="%1.%2.%3"/>
        <w:lvlJc w:val="left"/>
        <w:pPr>
          <w:tabs>
            <w:tab w:val="num" w:pos="2268"/>
          </w:tabs>
          <w:ind w:left="2268" w:hanging="850"/>
        </w:pPr>
        <w:rPr>
          <w:rFonts w:hint="default"/>
          <w:b w:val="0"/>
        </w:rPr>
      </w:lvl>
    </w:lvlOverride>
    <w:lvlOverride w:ilvl="3">
      <w:lvl w:ilvl="3">
        <w:start w:val="1"/>
        <w:numFmt w:val="decimal"/>
        <w:lvlText w:val="%1.%2.%3.%4"/>
        <w:lvlJc w:val="left"/>
        <w:pPr>
          <w:tabs>
            <w:tab w:val="num" w:pos="141"/>
          </w:tabs>
          <w:ind w:left="2409" w:hanging="567"/>
        </w:pPr>
        <w:rPr>
          <w:rFonts w:hint="default"/>
          <w:b w:val="0"/>
        </w:rPr>
      </w:lvl>
    </w:lvlOverride>
    <w:lvlOverride w:ilvl="4">
      <w:lvl w:ilvl="4">
        <w:start w:val="1"/>
        <w:numFmt w:val="decimal"/>
        <w:lvlText w:val="%1.%2.%3.%4.%5."/>
        <w:lvlJc w:val="left"/>
        <w:pPr>
          <w:tabs>
            <w:tab w:val="num" w:pos="0"/>
          </w:tabs>
          <w:ind w:left="2835" w:hanging="567"/>
        </w:pPr>
        <w:rPr>
          <w:rFonts w:hint="default"/>
        </w:rPr>
      </w:lvl>
    </w:lvlOverride>
    <w:lvlOverride w:ilvl="5">
      <w:lvl w:ilvl="5">
        <w:start w:val="1"/>
        <w:numFmt w:val="decimal"/>
        <w:lvlText w:val="%1.%2.%3.%4.%5.%6."/>
        <w:lvlJc w:val="left"/>
        <w:pPr>
          <w:tabs>
            <w:tab w:val="num" w:pos="0"/>
          </w:tabs>
          <w:ind w:left="3402" w:hanging="567"/>
        </w:pPr>
        <w:rPr>
          <w:rFonts w:hint="default"/>
        </w:rPr>
      </w:lvl>
    </w:lvlOverride>
    <w:lvlOverride w:ilvl="6">
      <w:lvl w:ilvl="6">
        <w:start w:val="1"/>
        <w:numFmt w:val="decimal"/>
        <w:lvlText w:val="%1.%2.%3.%4.%5.%6.%7."/>
        <w:lvlJc w:val="left"/>
        <w:pPr>
          <w:tabs>
            <w:tab w:val="num" w:pos="0"/>
          </w:tabs>
          <w:ind w:left="3969" w:hanging="567"/>
        </w:pPr>
        <w:rPr>
          <w:rFonts w:hint="default"/>
        </w:rPr>
      </w:lvl>
    </w:lvlOverride>
    <w:lvlOverride w:ilvl="7">
      <w:lvl w:ilvl="7">
        <w:start w:val="1"/>
        <w:numFmt w:val="decimal"/>
        <w:lvlText w:val="%1.%2.%3.%4.%5.%6.%7.%8."/>
        <w:lvlJc w:val="left"/>
        <w:pPr>
          <w:tabs>
            <w:tab w:val="num" w:pos="0"/>
          </w:tabs>
          <w:ind w:left="4536" w:hanging="567"/>
        </w:pPr>
        <w:rPr>
          <w:rFonts w:hint="default"/>
        </w:rPr>
      </w:lvl>
    </w:lvlOverride>
    <w:lvlOverride w:ilvl="8">
      <w:lvl w:ilvl="8">
        <w:start w:val="1"/>
        <w:numFmt w:val="decimal"/>
        <w:lvlText w:val="%1.%2.%3.%4.%5.%6.%7.%8.%9."/>
        <w:lvlJc w:val="left"/>
        <w:pPr>
          <w:tabs>
            <w:tab w:val="num" w:pos="0"/>
          </w:tabs>
          <w:ind w:left="5103" w:hanging="567"/>
        </w:pPr>
        <w:rPr>
          <w:rFonts w:hint="default"/>
        </w:rPr>
      </w:lvl>
    </w:lvlOverride>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F3"/>
    <w:rsid w:val="000004A3"/>
    <w:rsid w:val="00000AFE"/>
    <w:rsid w:val="00001138"/>
    <w:rsid w:val="000019D2"/>
    <w:rsid w:val="00005CDD"/>
    <w:rsid w:val="00006113"/>
    <w:rsid w:val="0001111B"/>
    <w:rsid w:val="0001140A"/>
    <w:rsid w:val="00011522"/>
    <w:rsid w:val="00013B7F"/>
    <w:rsid w:val="00013F00"/>
    <w:rsid w:val="0001593E"/>
    <w:rsid w:val="00015D74"/>
    <w:rsid w:val="00022ACD"/>
    <w:rsid w:val="00024A29"/>
    <w:rsid w:val="00025815"/>
    <w:rsid w:val="000262B3"/>
    <w:rsid w:val="000264AE"/>
    <w:rsid w:val="00026D9A"/>
    <w:rsid w:val="00027D19"/>
    <w:rsid w:val="00030A89"/>
    <w:rsid w:val="000325E2"/>
    <w:rsid w:val="00036508"/>
    <w:rsid w:val="00040CD3"/>
    <w:rsid w:val="00042750"/>
    <w:rsid w:val="00047F26"/>
    <w:rsid w:val="00050086"/>
    <w:rsid w:val="000504F1"/>
    <w:rsid w:val="00051A2B"/>
    <w:rsid w:val="000550EB"/>
    <w:rsid w:val="00063F7B"/>
    <w:rsid w:val="00066971"/>
    <w:rsid w:val="000737E1"/>
    <w:rsid w:val="00073E30"/>
    <w:rsid w:val="00077D11"/>
    <w:rsid w:val="00081716"/>
    <w:rsid w:val="00082EDC"/>
    <w:rsid w:val="000833BB"/>
    <w:rsid w:val="000835BE"/>
    <w:rsid w:val="00087AE6"/>
    <w:rsid w:val="000906B5"/>
    <w:rsid w:val="00092591"/>
    <w:rsid w:val="0009429D"/>
    <w:rsid w:val="0009488C"/>
    <w:rsid w:val="0009540B"/>
    <w:rsid w:val="000956E5"/>
    <w:rsid w:val="00096A67"/>
    <w:rsid w:val="00097968"/>
    <w:rsid w:val="000A6AD8"/>
    <w:rsid w:val="000B21DA"/>
    <w:rsid w:val="000C4E07"/>
    <w:rsid w:val="000C7A3D"/>
    <w:rsid w:val="000D01E0"/>
    <w:rsid w:val="000D415C"/>
    <w:rsid w:val="000D4E84"/>
    <w:rsid w:val="000D53F5"/>
    <w:rsid w:val="000D5760"/>
    <w:rsid w:val="000D71C5"/>
    <w:rsid w:val="000D7D6A"/>
    <w:rsid w:val="000E1EC8"/>
    <w:rsid w:val="000E3EE8"/>
    <w:rsid w:val="000E5343"/>
    <w:rsid w:val="000F59F8"/>
    <w:rsid w:val="001025B5"/>
    <w:rsid w:val="00104142"/>
    <w:rsid w:val="00105F97"/>
    <w:rsid w:val="00107D26"/>
    <w:rsid w:val="00107D90"/>
    <w:rsid w:val="001142D1"/>
    <w:rsid w:val="00120C79"/>
    <w:rsid w:val="00120FB1"/>
    <w:rsid w:val="00130253"/>
    <w:rsid w:val="00133E81"/>
    <w:rsid w:val="00140CED"/>
    <w:rsid w:val="00147FF5"/>
    <w:rsid w:val="00151DA9"/>
    <w:rsid w:val="00152899"/>
    <w:rsid w:val="00154961"/>
    <w:rsid w:val="00155A21"/>
    <w:rsid w:val="00161057"/>
    <w:rsid w:val="001671C1"/>
    <w:rsid w:val="00171182"/>
    <w:rsid w:val="0017124B"/>
    <w:rsid w:val="00171D7F"/>
    <w:rsid w:val="00172DDF"/>
    <w:rsid w:val="00175DDD"/>
    <w:rsid w:val="001802F8"/>
    <w:rsid w:val="00180CB6"/>
    <w:rsid w:val="001838CC"/>
    <w:rsid w:val="00183EB6"/>
    <w:rsid w:val="00185ACF"/>
    <w:rsid w:val="0019039F"/>
    <w:rsid w:val="00190579"/>
    <w:rsid w:val="00190F4E"/>
    <w:rsid w:val="001916C4"/>
    <w:rsid w:val="001923E3"/>
    <w:rsid w:val="00192613"/>
    <w:rsid w:val="00192F78"/>
    <w:rsid w:val="00195810"/>
    <w:rsid w:val="00196E14"/>
    <w:rsid w:val="001A2608"/>
    <w:rsid w:val="001A3C26"/>
    <w:rsid w:val="001A5145"/>
    <w:rsid w:val="001A522A"/>
    <w:rsid w:val="001A7904"/>
    <w:rsid w:val="001B1D39"/>
    <w:rsid w:val="001B4217"/>
    <w:rsid w:val="001B4893"/>
    <w:rsid w:val="001B5D3E"/>
    <w:rsid w:val="001B606B"/>
    <w:rsid w:val="001C0755"/>
    <w:rsid w:val="001C2371"/>
    <w:rsid w:val="001C33E6"/>
    <w:rsid w:val="001C7048"/>
    <w:rsid w:val="001D3CC2"/>
    <w:rsid w:val="001E0529"/>
    <w:rsid w:val="001E2EED"/>
    <w:rsid w:val="001E44D1"/>
    <w:rsid w:val="001E4691"/>
    <w:rsid w:val="001E518E"/>
    <w:rsid w:val="001E60AA"/>
    <w:rsid w:val="001F09D1"/>
    <w:rsid w:val="001F0A29"/>
    <w:rsid w:val="001F0CE5"/>
    <w:rsid w:val="001F3DBD"/>
    <w:rsid w:val="001F648A"/>
    <w:rsid w:val="001F6F43"/>
    <w:rsid w:val="00201620"/>
    <w:rsid w:val="0020474A"/>
    <w:rsid w:val="00205392"/>
    <w:rsid w:val="00206919"/>
    <w:rsid w:val="002104BF"/>
    <w:rsid w:val="002108B6"/>
    <w:rsid w:val="00214877"/>
    <w:rsid w:val="00215824"/>
    <w:rsid w:val="002169F9"/>
    <w:rsid w:val="00216BC8"/>
    <w:rsid w:val="002175BA"/>
    <w:rsid w:val="0022218D"/>
    <w:rsid w:val="00226926"/>
    <w:rsid w:val="002302E3"/>
    <w:rsid w:val="00232528"/>
    <w:rsid w:val="00233704"/>
    <w:rsid w:val="00235D20"/>
    <w:rsid w:val="00236C2E"/>
    <w:rsid w:val="00237806"/>
    <w:rsid w:val="00237FF9"/>
    <w:rsid w:val="0024012B"/>
    <w:rsid w:val="00243D2F"/>
    <w:rsid w:val="00250164"/>
    <w:rsid w:val="00251668"/>
    <w:rsid w:val="0025229D"/>
    <w:rsid w:val="00253F38"/>
    <w:rsid w:val="00253F72"/>
    <w:rsid w:val="002625C5"/>
    <w:rsid w:val="00262819"/>
    <w:rsid w:val="00263A96"/>
    <w:rsid w:val="00272B77"/>
    <w:rsid w:val="00277424"/>
    <w:rsid w:val="00285040"/>
    <w:rsid w:val="00285062"/>
    <w:rsid w:val="00292E3E"/>
    <w:rsid w:val="0029369B"/>
    <w:rsid w:val="00296DAF"/>
    <w:rsid w:val="002976B8"/>
    <w:rsid w:val="002A030C"/>
    <w:rsid w:val="002A4B7B"/>
    <w:rsid w:val="002B0355"/>
    <w:rsid w:val="002B05EA"/>
    <w:rsid w:val="002C15AC"/>
    <w:rsid w:val="002C2E80"/>
    <w:rsid w:val="002C4687"/>
    <w:rsid w:val="002D2842"/>
    <w:rsid w:val="002D47B3"/>
    <w:rsid w:val="002D5BA6"/>
    <w:rsid w:val="002E3586"/>
    <w:rsid w:val="002E5B57"/>
    <w:rsid w:val="002E6CD7"/>
    <w:rsid w:val="002F1C4D"/>
    <w:rsid w:val="002F2881"/>
    <w:rsid w:val="002F508A"/>
    <w:rsid w:val="002F72D3"/>
    <w:rsid w:val="00301DDA"/>
    <w:rsid w:val="0030222D"/>
    <w:rsid w:val="00302290"/>
    <w:rsid w:val="003023F9"/>
    <w:rsid w:val="00302C31"/>
    <w:rsid w:val="00302F86"/>
    <w:rsid w:val="00303919"/>
    <w:rsid w:val="003047C2"/>
    <w:rsid w:val="0030653F"/>
    <w:rsid w:val="003102C8"/>
    <w:rsid w:val="0031117B"/>
    <w:rsid w:val="00312EBC"/>
    <w:rsid w:val="00313056"/>
    <w:rsid w:val="003158E2"/>
    <w:rsid w:val="003312BF"/>
    <w:rsid w:val="003313A2"/>
    <w:rsid w:val="00337135"/>
    <w:rsid w:val="0034147B"/>
    <w:rsid w:val="00342E02"/>
    <w:rsid w:val="003463D6"/>
    <w:rsid w:val="00346D31"/>
    <w:rsid w:val="00346DE6"/>
    <w:rsid w:val="00347E19"/>
    <w:rsid w:val="0035170A"/>
    <w:rsid w:val="00352F12"/>
    <w:rsid w:val="003541F6"/>
    <w:rsid w:val="003543C5"/>
    <w:rsid w:val="00354EF2"/>
    <w:rsid w:val="00355BEB"/>
    <w:rsid w:val="00357081"/>
    <w:rsid w:val="00357D35"/>
    <w:rsid w:val="0036253D"/>
    <w:rsid w:val="00363FCD"/>
    <w:rsid w:val="00364C43"/>
    <w:rsid w:val="00364E6A"/>
    <w:rsid w:val="00364E80"/>
    <w:rsid w:val="003676CF"/>
    <w:rsid w:val="00367720"/>
    <w:rsid w:val="00367778"/>
    <w:rsid w:val="0037029D"/>
    <w:rsid w:val="00372A48"/>
    <w:rsid w:val="00373181"/>
    <w:rsid w:val="00375E93"/>
    <w:rsid w:val="00377123"/>
    <w:rsid w:val="00381213"/>
    <w:rsid w:val="003832F7"/>
    <w:rsid w:val="003840EC"/>
    <w:rsid w:val="00385DBA"/>
    <w:rsid w:val="0038715A"/>
    <w:rsid w:val="00390C3F"/>
    <w:rsid w:val="00393127"/>
    <w:rsid w:val="00395873"/>
    <w:rsid w:val="003A5BCC"/>
    <w:rsid w:val="003A62CC"/>
    <w:rsid w:val="003A7864"/>
    <w:rsid w:val="003A7CA2"/>
    <w:rsid w:val="003B4100"/>
    <w:rsid w:val="003B6C02"/>
    <w:rsid w:val="003C067B"/>
    <w:rsid w:val="003C0E29"/>
    <w:rsid w:val="003C1488"/>
    <w:rsid w:val="003C1A16"/>
    <w:rsid w:val="003C1E91"/>
    <w:rsid w:val="003C5536"/>
    <w:rsid w:val="003C7FCC"/>
    <w:rsid w:val="003D1202"/>
    <w:rsid w:val="003D19C3"/>
    <w:rsid w:val="003D36F9"/>
    <w:rsid w:val="003D77F1"/>
    <w:rsid w:val="003D7970"/>
    <w:rsid w:val="003E0159"/>
    <w:rsid w:val="003E449A"/>
    <w:rsid w:val="003E4A33"/>
    <w:rsid w:val="003E54E1"/>
    <w:rsid w:val="003E724B"/>
    <w:rsid w:val="003E7A60"/>
    <w:rsid w:val="003F1F49"/>
    <w:rsid w:val="003F4801"/>
    <w:rsid w:val="003F7448"/>
    <w:rsid w:val="00407F28"/>
    <w:rsid w:val="0041100A"/>
    <w:rsid w:val="004131C5"/>
    <w:rsid w:val="00413D9B"/>
    <w:rsid w:val="0042423E"/>
    <w:rsid w:val="00424BA6"/>
    <w:rsid w:val="004339E6"/>
    <w:rsid w:val="00434796"/>
    <w:rsid w:val="0043683A"/>
    <w:rsid w:val="00437EB1"/>
    <w:rsid w:val="00441422"/>
    <w:rsid w:val="00444ED6"/>
    <w:rsid w:val="00445DCB"/>
    <w:rsid w:val="00447235"/>
    <w:rsid w:val="0045044C"/>
    <w:rsid w:val="00453683"/>
    <w:rsid w:val="00460495"/>
    <w:rsid w:val="00460EEA"/>
    <w:rsid w:val="004630B6"/>
    <w:rsid w:val="00463106"/>
    <w:rsid w:val="00466A30"/>
    <w:rsid w:val="00467F5B"/>
    <w:rsid w:val="00474607"/>
    <w:rsid w:val="00474910"/>
    <w:rsid w:val="004749AF"/>
    <w:rsid w:val="00475410"/>
    <w:rsid w:val="004774FF"/>
    <w:rsid w:val="0048285C"/>
    <w:rsid w:val="00484116"/>
    <w:rsid w:val="0048424E"/>
    <w:rsid w:val="00486F42"/>
    <w:rsid w:val="00487D14"/>
    <w:rsid w:val="004923A9"/>
    <w:rsid w:val="00494CE1"/>
    <w:rsid w:val="00495F7C"/>
    <w:rsid w:val="004A1E3F"/>
    <w:rsid w:val="004A2C7E"/>
    <w:rsid w:val="004A6625"/>
    <w:rsid w:val="004A69D6"/>
    <w:rsid w:val="004A70AB"/>
    <w:rsid w:val="004A7DFE"/>
    <w:rsid w:val="004B0DBA"/>
    <w:rsid w:val="004B21D9"/>
    <w:rsid w:val="004C0CE3"/>
    <w:rsid w:val="004C368B"/>
    <w:rsid w:val="004D1936"/>
    <w:rsid w:val="004D1A31"/>
    <w:rsid w:val="004D1A91"/>
    <w:rsid w:val="004D262A"/>
    <w:rsid w:val="004D2C6F"/>
    <w:rsid w:val="004D2E01"/>
    <w:rsid w:val="004D3237"/>
    <w:rsid w:val="004D4E89"/>
    <w:rsid w:val="004D6B8D"/>
    <w:rsid w:val="004E0F3F"/>
    <w:rsid w:val="004E1191"/>
    <w:rsid w:val="004E12FF"/>
    <w:rsid w:val="004E1349"/>
    <w:rsid w:val="004E3305"/>
    <w:rsid w:val="004E568C"/>
    <w:rsid w:val="004E5ACB"/>
    <w:rsid w:val="004E5AD8"/>
    <w:rsid w:val="004E6860"/>
    <w:rsid w:val="004F0806"/>
    <w:rsid w:val="004F12D8"/>
    <w:rsid w:val="004F2215"/>
    <w:rsid w:val="004F22A6"/>
    <w:rsid w:val="004F4A37"/>
    <w:rsid w:val="004F4C91"/>
    <w:rsid w:val="00504B53"/>
    <w:rsid w:val="00505FF7"/>
    <w:rsid w:val="0051015D"/>
    <w:rsid w:val="0051292D"/>
    <w:rsid w:val="0051442D"/>
    <w:rsid w:val="0051622D"/>
    <w:rsid w:val="005207B2"/>
    <w:rsid w:val="005219EB"/>
    <w:rsid w:val="005262C2"/>
    <w:rsid w:val="0052705A"/>
    <w:rsid w:val="00537126"/>
    <w:rsid w:val="00537A72"/>
    <w:rsid w:val="005405F8"/>
    <w:rsid w:val="00542EAE"/>
    <w:rsid w:val="00546878"/>
    <w:rsid w:val="005509BE"/>
    <w:rsid w:val="00560E18"/>
    <w:rsid w:val="005621E7"/>
    <w:rsid w:val="00562B7E"/>
    <w:rsid w:val="00563355"/>
    <w:rsid w:val="00571E81"/>
    <w:rsid w:val="00573FF9"/>
    <w:rsid w:val="005763A6"/>
    <w:rsid w:val="00576B16"/>
    <w:rsid w:val="005949BC"/>
    <w:rsid w:val="005971D5"/>
    <w:rsid w:val="005A313A"/>
    <w:rsid w:val="005A35EB"/>
    <w:rsid w:val="005A680F"/>
    <w:rsid w:val="005A70F0"/>
    <w:rsid w:val="005A747A"/>
    <w:rsid w:val="005B07CB"/>
    <w:rsid w:val="005B2FF9"/>
    <w:rsid w:val="005B696E"/>
    <w:rsid w:val="005B6D81"/>
    <w:rsid w:val="005B7767"/>
    <w:rsid w:val="005B7DD3"/>
    <w:rsid w:val="005C7FC2"/>
    <w:rsid w:val="005D1F92"/>
    <w:rsid w:val="005D2137"/>
    <w:rsid w:val="005D2408"/>
    <w:rsid w:val="005D32A9"/>
    <w:rsid w:val="005D6122"/>
    <w:rsid w:val="005D6E80"/>
    <w:rsid w:val="005E0B20"/>
    <w:rsid w:val="005E2936"/>
    <w:rsid w:val="005E2F7B"/>
    <w:rsid w:val="005E3C94"/>
    <w:rsid w:val="005E5C01"/>
    <w:rsid w:val="005E7118"/>
    <w:rsid w:val="005E7E9F"/>
    <w:rsid w:val="005F1CDA"/>
    <w:rsid w:val="005F35C5"/>
    <w:rsid w:val="005F37A4"/>
    <w:rsid w:val="00602403"/>
    <w:rsid w:val="006041A4"/>
    <w:rsid w:val="00610873"/>
    <w:rsid w:val="006109EC"/>
    <w:rsid w:val="00610F53"/>
    <w:rsid w:val="00611D8A"/>
    <w:rsid w:val="0061430D"/>
    <w:rsid w:val="006150CE"/>
    <w:rsid w:val="00615F6B"/>
    <w:rsid w:val="006165F4"/>
    <w:rsid w:val="00623D8B"/>
    <w:rsid w:val="006245EC"/>
    <w:rsid w:val="00630405"/>
    <w:rsid w:val="006309D5"/>
    <w:rsid w:val="00642664"/>
    <w:rsid w:val="006439ED"/>
    <w:rsid w:val="0064484E"/>
    <w:rsid w:val="00644BBE"/>
    <w:rsid w:val="006466DA"/>
    <w:rsid w:val="00646711"/>
    <w:rsid w:val="006479F9"/>
    <w:rsid w:val="00647DDD"/>
    <w:rsid w:val="00650A24"/>
    <w:rsid w:val="00653BA4"/>
    <w:rsid w:val="00655919"/>
    <w:rsid w:val="00657478"/>
    <w:rsid w:val="00657EDA"/>
    <w:rsid w:val="006609A2"/>
    <w:rsid w:val="00660C84"/>
    <w:rsid w:val="0066132D"/>
    <w:rsid w:val="0066194B"/>
    <w:rsid w:val="00661FC4"/>
    <w:rsid w:val="006645D0"/>
    <w:rsid w:val="00666D4D"/>
    <w:rsid w:val="00672205"/>
    <w:rsid w:val="00672E95"/>
    <w:rsid w:val="0067508C"/>
    <w:rsid w:val="00677059"/>
    <w:rsid w:val="00680072"/>
    <w:rsid w:val="00680421"/>
    <w:rsid w:val="006854F9"/>
    <w:rsid w:val="006858DA"/>
    <w:rsid w:val="006902F1"/>
    <w:rsid w:val="006918E9"/>
    <w:rsid w:val="00692A13"/>
    <w:rsid w:val="006951CE"/>
    <w:rsid w:val="00695B2C"/>
    <w:rsid w:val="006A1F2C"/>
    <w:rsid w:val="006A3B6B"/>
    <w:rsid w:val="006A438B"/>
    <w:rsid w:val="006A4F20"/>
    <w:rsid w:val="006A6039"/>
    <w:rsid w:val="006B1E87"/>
    <w:rsid w:val="006B514A"/>
    <w:rsid w:val="006C1EA3"/>
    <w:rsid w:val="006C2AB0"/>
    <w:rsid w:val="006C2B5F"/>
    <w:rsid w:val="006C31B7"/>
    <w:rsid w:val="006C4213"/>
    <w:rsid w:val="006C43D7"/>
    <w:rsid w:val="006C49F6"/>
    <w:rsid w:val="006C53ED"/>
    <w:rsid w:val="006C5694"/>
    <w:rsid w:val="006D11AD"/>
    <w:rsid w:val="006D193A"/>
    <w:rsid w:val="006D25DD"/>
    <w:rsid w:val="006D29AA"/>
    <w:rsid w:val="006D4128"/>
    <w:rsid w:val="006D4C1B"/>
    <w:rsid w:val="006D5E57"/>
    <w:rsid w:val="006E0B4D"/>
    <w:rsid w:val="006E2083"/>
    <w:rsid w:val="006E2725"/>
    <w:rsid w:val="006E3064"/>
    <w:rsid w:val="006E405E"/>
    <w:rsid w:val="006E5AE9"/>
    <w:rsid w:val="006E68E6"/>
    <w:rsid w:val="006F042A"/>
    <w:rsid w:val="006F0C74"/>
    <w:rsid w:val="006F1875"/>
    <w:rsid w:val="006F2187"/>
    <w:rsid w:val="006F25E5"/>
    <w:rsid w:val="006F2FCE"/>
    <w:rsid w:val="006F36B9"/>
    <w:rsid w:val="006F415C"/>
    <w:rsid w:val="006F489F"/>
    <w:rsid w:val="0070560F"/>
    <w:rsid w:val="007112CA"/>
    <w:rsid w:val="00712824"/>
    <w:rsid w:val="007202BD"/>
    <w:rsid w:val="007205BF"/>
    <w:rsid w:val="00721AE9"/>
    <w:rsid w:val="007237D1"/>
    <w:rsid w:val="007241D4"/>
    <w:rsid w:val="00724D82"/>
    <w:rsid w:val="00730BF2"/>
    <w:rsid w:val="00732A6F"/>
    <w:rsid w:val="00733F0D"/>
    <w:rsid w:val="0074214D"/>
    <w:rsid w:val="00742764"/>
    <w:rsid w:val="00745456"/>
    <w:rsid w:val="00751452"/>
    <w:rsid w:val="0075156A"/>
    <w:rsid w:val="00751F90"/>
    <w:rsid w:val="007619C5"/>
    <w:rsid w:val="00761C35"/>
    <w:rsid w:val="00762178"/>
    <w:rsid w:val="00765F62"/>
    <w:rsid w:val="00766026"/>
    <w:rsid w:val="00772025"/>
    <w:rsid w:val="007726C0"/>
    <w:rsid w:val="00781088"/>
    <w:rsid w:val="00781AA0"/>
    <w:rsid w:val="00781CF7"/>
    <w:rsid w:val="00781D24"/>
    <w:rsid w:val="00782DE8"/>
    <w:rsid w:val="00792E10"/>
    <w:rsid w:val="0079383D"/>
    <w:rsid w:val="007A006B"/>
    <w:rsid w:val="007A1D60"/>
    <w:rsid w:val="007A5AA0"/>
    <w:rsid w:val="007A7770"/>
    <w:rsid w:val="007B165A"/>
    <w:rsid w:val="007B2DAD"/>
    <w:rsid w:val="007B2DF7"/>
    <w:rsid w:val="007B7246"/>
    <w:rsid w:val="007B78C2"/>
    <w:rsid w:val="007C23FF"/>
    <w:rsid w:val="007C416B"/>
    <w:rsid w:val="007C4CB7"/>
    <w:rsid w:val="007C5008"/>
    <w:rsid w:val="007C658B"/>
    <w:rsid w:val="007D1E79"/>
    <w:rsid w:val="007D27CF"/>
    <w:rsid w:val="007D4DAF"/>
    <w:rsid w:val="007E1175"/>
    <w:rsid w:val="007E220A"/>
    <w:rsid w:val="007E468A"/>
    <w:rsid w:val="007E58FC"/>
    <w:rsid w:val="007F07D4"/>
    <w:rsid w:val="007F1517"/>
    <w:rsid w:val="007F207F"/>
    <w:rsid w:val="007F5B91"/>
    <w:rsid w:val="008019A7"/>
    <w:rsid w:val="00803CEC"/>
    <w:rsid w:val="00804B15"/>
    <w:rsid w:val="00805AB1"/>
    <w:rsid w:val="008076A4"/>
    <w:rsid w:val="00807DC2"/>
    <w:rsid w:val="00810CA3"/>
    <w:rsid w:val="00811776"/>
    <w:rsid w:val="008200A7"/>
    <w:rsid w:val="00822050"/>
    <w:rsid w:val="00825866"/>
    <w:rsid w:val="008304EC"/>
    <w:rsid w:val="00830952"/>
    <w:rsid w:val="00830F84"/>
    <w:rsid w:val="00841C01"/>
    <w:rsid w:val="00843EFD"/>
    <w:rsid w:val="008443A9"/>
    <w:rsid w:val="008469B3"/>
    <w:rsid w:val="008535CA"/>
    <w:rsid w:val="008578F4"/>
    <w:rsid w:val="00860576"/>
    <w:rsid w:val="0086688C"/>
    <w:rsid w:val="008674AA"/>
    <w:rsid w:val="008675CC"/>
    <w:rsid w:val="0087609B"/>
    <w:rsid w:val="00880850"/>
    <w:rsid w:val="0088094C"/>
    <w:rsid w:val="00881004"/>
    <w:rsid w:val="00882C40"/>
    <w:rsid w:val="00885973"/>
    <w:rsid w:val="00892908"/>
    <w:rsid w:val="00893C08"/>
    <w:rsid w:val="008942FC"/>
    <w:rsid w:val="0089562F"/>
    <w:rsid w:val="008957BF"/>
    <w:rsid w:val="008A082A"/>
    <w:rsid w:val="008A4DF4"/>
    <w:rsid w:val="008B0950"/>
    <w:rsid w:val="008B1DA9"/>
    <w:rsid w:val="008B571D"/>
    <w:rsid w:val="008B6162"/>
    <w:rsid w:val="008C3EBC"/>
    <w:rsid w:val="008C4AE0"/>
    <w:rsid w:val="008C57F6"/>
    <w:rsid w:val="008C7019"/>
    <w:rsid w:val="008D33A3"/>
    <w:rsid w:val="008D4715"/>
    <w:rsid w:val="008D5B23"/>
    <w:rsid w:val="008D6F1D"/>
    <w:rsid w:val="008E1B11"/>
    <w:rsid w:val="008E2ACD"/>
    <w:rsid w:val="008E7F87"/>
    <w:rsid w:val="008F0CC7"/>
    <w:rsid w:val="008F11CF"/>
    <w:rsid w:val="008F189C"/>
    <w:rsid w:val="008F1FE1"/>
    <w:rsid w:val="008F32FF"/>
    <w:rsid w:val="008F4486"/>
    <w:rsid w:val="008F4FC6"/>
    <w:rsid w:val="008F72CD"/>
    <w:rsid w:val="009015D3"/>
    <w:rsid w:val="00902179"/>
    <w:rsid w:val="00903877"/>
    <w:rsid w:val="0091544C"/>
    <w:rsid w:val="00921D03"/>
    <w:rsid w:val="00924FED"/>
    <w:rsid w:val="00925028"/>
    <w:rsid w:val="00925CD2"/>
    <w:rsid w:val="00932559"/>
    <w:rsid w:val="00933065"/>
    <w:rsid w:val="00933569"/>
    <w:rsid w:val="009365B1"/>
    <w:rsid w:val="0093799C"/>
    <w:rsid w:val="009422A1"/>
    <w:rsid w:val="00943484"/>
    <w:rsid w:val="00944804"/>
    <w:rsid w:val="009449FB"/>
    <w:rsid w:val="0094634F"/>
    <w:rsid w:val="009473D8"/>
    <w:rsid w:val="00960ADF"/>
    <w:rsid w:val="00963A0C"/>
    <w:rsid w:val="009661B5"/>
    <w:rsid w:val="009725C0"/>
    <w:rsid w:val="009729BD"/>
    <w:rsid w:val="00974A92"/>
    <w:rsid w:val="00975270"/>
    <w:rsid w:val="00975BA1"/>
    <w:rsid w:val="00976F39"/>
    <w:rsid w:val="009809DD"/>
    <w:rsid w:val="009835E3"/>
    <w:rsid w:val="009837A6"/>
    <w:rsid w:val="00983C64"/>
    <w:rsid w:val="009869F2"/>
    <w:rsid w:val="00987CDB"/>
    <w:rsid w:val="009A2613"/>
    <w:rsid w:val="009A2726"/>
    <w:rsid w:val="009A30E0"/>
    <w:rsid w:val="009A3619"/>
    <w:rsid w:val="009A66D0"/>
    <w:rsid w:val="009B08AF"/>
    <w:rsid w:val="009B10F4"/>
    <w:rsid w:val="009B3DFC"/>
    <w:rsid w:val="009B793E"/>
    <w:rsid w:val="009C1EA6"/>
    <w:rsid w:val="009C37B9"/>
    <w:rsid w:val="009C38E7"/>
    <w:rsid w:val="009D31FA"/>
    <w:rsid w:val="009D32BD"/>
    <w:rsid w:val="009D33F1"/>
    <w:rsid w:val="009D35B5"/>
    <w:rsid w:val="009D37BD"/>
    <w:rsid w:val="009D4486"/>
    <w:rsid w:val="009D7128"/>
    <w:rsid w:val="009E21DE"/>
    <w:rsid w:val="009E6174"/>
    <w:rsid w:val="009F211E"/>
    <w:rsid w:val="009F2572"/>
    <w:rsid w:val="009F294E"/>
    <w:rsid w:val="009F30F1"/>
    <w:rsid w:val="009F37C7"/>
    <w:rsid w:val="009F50AB"/>
    <w:rsid w:val="00A005F6"/>
    <w:rsid w:val="00A0424F"/>
    <w:rsid w:val="00A051FB"/>
    <w:rsid w:val="00A103FF"/>
    <w:rsid w:val="00A121B5"/>
    <w:rsid w:val="00A16C6E"/>
    <w:rsid w:val="00A17DB2"/>
    <w:rsid w:val="00A22A14"/>
    <w:rsid w:val="00A23004"/>
    <w:rsid w:val="00A23A49"/>
    <w:rsid w:val="00A25AB4"/>
    <w:rsid w:val="00A26214"/>
    <w:rsid w:val="00A26566"/>
    <w:rsid w:val="00A27A51"/>
    <w:rsid w:val="00A31837"/>
    <w:rsid w:val="00A3310D"/>
    <w:rsid w:val="00A37BA4"/>
    <w:rsid w:val="00A402F6"/>
    <w:rsid w:val="00A42167"/>
    <w:rsid w:val="00A43739"/>
    <w:rsid w:val="00A47150"/>
    <w:rsid w:val="00A47466"/>
    <w:rsid w:val="00A47815"/>
    <w:rsid w:val="00A47A18"/>
    <w:rsid w:val="00A539CB"/>
    <w:rsid w:val="00A57DA7"/>
    <w:rsid w:val="00A63709"/>
    <w:rsid w:val="00A643AB"/>
    <w:rsid w:val="00A649E6"/>
    <w:rsid w:val="00A660AF"/>
    <w:rsid w:val="00A70A95"/>
    <w:rsid w:val="00A70BDA"/>
    <w:rsid w:val="00A740B6"/>
    <w:rsid w:val="00A7621E"/>
    <w:rsid w:val="00A817D5"/>
    <w:rsid w:val="00A84F01"/>
    <w:rsid w:val="00A91332"/>
    <w:rsid w:val="00A93351"/>
    <w:rsid w:val="00A95538"/>
    <w:rsid w:val="00AA0013"/>
    <w:rsid w:val="00AA26FF"/>
    <w:rsid w:val="00AA6E8C"/>
    <w:rsid w:val="00AA6F19"/>
    <w:rsid w:val="00AA75E6"/>
    <w:rsid w:val="00AA79A8"/>
    <w:rsid w:val="00AA7A76"/>
    <w:rsid w:val="00AA7C2E"/>
    <w:rsid w:val="00AB0286"/>
    <w:rsid w:val="00AB404E"/>
    <w:rsid w:val="00AB4C6D"/>
    <w:rsid w:val="00AB53F2"/>
    <w:rsid w:val="00AB55F7"/>
    <w:rsid w:val="00AC022F"/>
    <w:rsid w:val="00AC2995"/>
    <w:rsid w:val="00AC4165"/>
    <w:rsid w:val="00AC556A"/>
    <w:rsid w:val="00AC76EA"/>
    <w:rsid w:val="00AC7FB7"/>
    <w:rsid w:val="00AD23BF"/>
    <w:rsid w:val="00AD25B6"/>
    <w:rsid w:val="00AD2631"/>
    <w:rsid w:val="00AD5A05"/>
    <w:rsid w:val="00AD662C"/>
    <w:rsid w:val="00AE1220"/>
    <w:rsid w:val="00AE287F"/>
    <w:rsid w:val="00AE39F3"/>
    <w:rsid w:val="00AE4006"/>
    <w:rsid w:val="00AE5118"/>
    <w:rsid w:val="00AE63BD"/>
    <w:rsid w:val="00AF0B2B"/>
    <w:rsid w:val="00AF2914"/>
    <w:rsid w:val="00AF363F"/>
    <w:rsid w:val="00AF3E4F"/>
    <w:rsid w:val="00AF71E5"/>
    <w:rsid w:val="00B0366D"/>
    <w:rsid w:val="00B071FF"/>
    <w:rsid w:val="00B11505"/>
    <w:rsid w:val="00B11DC2"/>
    <w:rsid w:val="00B15142"/>
    <w:rsid w:val="00B16F69"/>
    <w:rsid w:val="00B1789D"/>
    <w:rsid w:val="00B223FE"/>
    <w:rsid w:val="00B3208F"/>
    <w:rsid w:val="00B3260E"/>
    <w:rsid w:val="00B42807"/>
    <w:rsid w:val="00B4289D"/>
    <w:rsid w:val="00B428A6"/>
    <w:rsid w:val="00B429EA"/>
    <w:rsid w:val="00B43340"/>
    <w:rsid w:val="00B4461C"/>
    <w:rsid w:val="00B53913"/>
    <w:rsid w:val="00B554D4"/>
    <w:rsid w:val="00B55F3A"/>
    <w:rsid w:val="00B56906"/>
    <w:rsid w:val="00B569F1"/>
    <w:rsid w:val="00B61484"/>
    <w:rsid w:val="00B71CB5"/>
    <w:rsid w:val="00B71F16"/>
    <w:rsid w:val="00B72922"/>
    <w:rsid w:val="00B72A13"/>
    <w:rsid w:val="00B72ADA"/>
    <w:rsid w:val="00B7473A"/>
    <w:rsid w:val="00B75819"/>
    <w:rsid w:val="00B75CDA"/>
    <w:rsid w:val="00B81526"/>
    <w:rsid w:val="00B819E4"/>
    <w:rsid w:val="00B84042"/>
    <w:rsid w:val="00B84DD5"/>
    <w:rsid w:val="00B903CC"/>
    <w:rsid w:val="00B9165A"/>
    <w:rsid w:val="00B924B4"/>
    <w:rsid w:val="00B9487E"/>
    <w:rsid w:val="00B95910"/>
    <w:rsid w:val="00B9692A"/>
    <w:rsid w:val="00BA29E7"/>
    <w:rsid w:val="00BA33AF"/>
    <w:rsid w:val="00BA3A4C"/>
    <w:rsid w:val="00BA61FA"/>
    <w:rsid w:val="00BA67FC"/>
    <w:rsid w:val="00BB0F20"/>
    <w:rsid w:val="00BB17D2"/>
    <w:rsid w:val="00BB50D7"/>
    <w:rsid w:val="00BB7F08"/>
    <w:rsid w:val="00BC0623"/>
    <w:rsid w:val="00BC115C"/>
    <w:rsid w:val="00BC35CD"/>
    <w:rsid w:val="00BC3C54"/>
    <w:rsid w:val="00BC415B"/>
    <w:rsid w:val="00BC71D6"/>
    <w:rsid w:val="00BD2C66"/>
    <w:rsid w:val="00BD2CDE"/>
    <w:rsid w:val="00BD3D16"/>
    <w:rsid w:val="00BD41CF"/>
    <w:rsid w:val="00BD75F3"/>
    <w:rsid w:val="00BE0164"/>
    <w:rsid w:val="00BE0DAB"/>
    <w:rsid w:val="00BE12BD"/>
    <w:rsid w:val="00BE2B8C"/>
    <w:rsid w:val="00BE2ED7"/>
    <w:rsid w:val="00BE3498"/>
    <w:rsid w:val="00BE6AB8"/>
    <w:rsid w:val="00BF040B"/>
    <w:rsid w:val="00BF086D"/>
    <w:rsid w:val="00BF2167"/>
    <w:rsid w:val="00BF43BC"/>
    <w:rsid w:val="00BF4DDA"/>
    <w:rsid w:val="00BF55C7"/>
    <w:rsid w:val="00BF7ED8"/>
    <w:rsid w:val="00C0222C"/>
    <w:rsid w:val="00C04139"/>
    <w:rsid w:val="00C0572E"/>
    <w:rsid w:val="00C10203"/>
    <w:rsid w:val="00C1108E"/>
    <w:rsid w:val="00C14A51"/>
    <w:rsid w:val="00C14B1A"/>
    <w:rsid w:val="00C15C65"/>
    <w:rsid w:val="00C17853"/>
    <w:rsid w:val="00C209C7"/>
    <w:rsid w:val="00C21B3D"/>
    <w:rsid w:val="00C24267"/>
    <w:rsid w:val="00C243E6"/>
    <w:rsid w:val="00C26FA6"/>
    <w:rsid w:val="00C2788D"/>
    <w:rsid w:val="00C31D37"/>
    <w:rsid w:val="00C33398"/>
    <w:rsid w:val="00C34C5B"/>
    <w:rsid w:val="00C361F6"/>
    <w:rsid w:val="00C3669A"/>
    <w:rsid w:val="00C371D5"/>
    <w:rsid w:val="00C423E3"/>
    <w:rsid w:val="00C44BAC"/>
    <w:rsid w:val="00C45626"/>
    <w:rsid w:val="00C458AF"/>
    <w:rsid w:val="00C460A0"/>
    <w:rsid w:val="00C4720D"/>
    <w:rsid w:val="00C50068"/>
    <w:rsid w:val="00C51C4B"/>
    <w:rsid w:val="00C549F4"/>
    <w:rsid w:val="00C60DD4"/>
    <w:rsid w:val="00C60F27"/>
    <w:rsid w:val="00C610F2"/>
    <w:rsid w:val="00C61B5E"/>
    <w:rsid w:val="00C676F3"/>
    <w:rsid w:val="00C71AB8"/>
    <w:rsid w:val="00C73E8B"/>
    <w:rsid w:val="00C74E97"/>
    <w:rsid w:val="00C75909"/>
    <w:rsid w:val="00C767D5"/>
    <w:rsid w:val="00C77219"/>
    <w:rsid w:val="00C77EFD"/>
    <w:rsid w:val="00C809AF"/>
    <w:rsid w:val="00C81A10"/>
    <w:rsid w:val="00C81F39"/>
    <w:rsid w:val="00C829DF"/>
    <w:rsid w:val="00C82AD5"/>
    <w:rsid w:val="00C82F5A"/>
    <w:rsid w:val="00C83CF0"/>
    <w:rsid w:val="00C84021"/>
    <w:rsid w:val="00C86AEA"/>
    <w:rsid w:val="00C875AE"/>
    <w:rsid w:val="00C9310B"/>
    <w:rsid w:val="00C937FB"/>
    <w:rsid w:val="00CA1F16"/>
    <w:rsid w:val="00CA2964"/>
    <w:rsid w:val="00CA696D"/>
    <w:rsid w:val="00CA6B5A"/>
    <w:rsid w:val="00CB1536"/>
    <w:rsid w:val="00CB3907"/>
    <w:rsid w:val="00CB6167"/>
    <w:rsid w:val="00CC0C54"/>
    <w:rsid w:val="00CC1016"/>
    <w:rsid w:val="00CC32A0"/>
    <w:rsid w:val="00CC43C7"/>
    <w:rsid w:val="00CD0D1D"/>
    <w:rsid w:val="00CD1673"/>
    <w:rsid w:val="00CD1721"/>
    <w:rsid w:val="00CD4DDC"/>
    <w:rsid w:val="00CE6301"/>
    <w:rsid w:val="00CF2008"/>
    <w:rsid w:val="00CF3649"/>
    <w:rsid w:val="00CF4188"/>
    <w:rsid w:val="00CF4E9E"/>
    <w:rsid w:val="00CF7848"/>
    <w:rsid w:val="00D058FC"/>
    <w:rsid w:val="00D05F08"/>
    <w:rsid w:val="00D06213"/>
    <w:rsid w:val="00D10010"/>
    <w:rsid w:val="00D11510"/>
    <w:rsid w:val="00D116EE"/>
    <w:rsid w:val="00D12BB7"/>
    <w:rsid w:val="00D159D4"/>
    <w:rsid w:val="00D15C79"/>
    <w:rsid w:val="00D21601"/>
    <w:rsid w:val="00D21AA7"/>
    <w:rsid w:val="00D22F1C"/>
    <w:rsid w:val="00D23D75"/>
    <w:rsid w:val="00D31882"/>
    <w:rsid w:val="00D31BAB"/>
    <w:rsid w:val="00D31D27"/>
    <w:rsid w:val="00D32109"/>
    <w:rsid w:val="00D336A4"/>
    <w:rsid w:val="00D34AFB"/>
    <w:rsid w:val="00D35A03"/>
    <w:rsid w:val="00D37377"/>
    <w:rsid w:val="00D41830"/>
    <w:rsid w:val="00D45B8C"/>
    <w:rsid w:val="00D5000A"/>
    <w:rsid w:val="00D56058"/>
    <w:rsid w:val="00D567E0"/>
    <w:rsid w:val="00D56A09"/>
    <w:rsid w:val="00D57976"/>
    <w:rsid w:val="00D61F2D"/>
    <w:rsid w:val="00D630DE"/>
    <w:rsid w:val="00D645C6"/>
    <w:rsid w:val="00D6548A"/>
    <w:rsid w:val="00D65905"/>
    <w:rsid w:val="00D67355"/>
    <w:rsid w:val="00D7327A"/>
    <w:rsid w:val="00D74EC8"/>
    <w:rsid w:val="00D81AC9"/>
    <w:rsid w:val="00D858CC"/>
    <w:rsid w:val="00D9086C"/>
    <w:rsid w:val="00D93AAA"/>
    <w:rsid w:val="00D94745"/>
    <w:rsid w:val="00D95DFF"/>
    <w:rsid w:val="00D963D5"/>
    <w:rsid w:val="00D96C96"/>
    <w:rsid w:val="00DA2310"/>
    <w:rsid w:val="00DA41B2"/>
    <w:rsid w:val="00DA5D06"/>
    <w:rsid w:val="00DA7B20"/>
    <w:rsid w:val="00DB049D"/>
    <w:rsid w:val="00DB473D"/>
    <w:rsid w:val="00DB5727"/>
    <w:rsid w:val="00DC2E38"/>
    <w:rsid w:val="00DC2FBF"/>
    <w:rsid w:val="00DC52BC"/>
    <w:rsid w:val="00DC621D"/>
    <w:rsid w:val="00DC6A98"/>
    <w:rsid w:val="00DC6EF8"/>
    <w:rsid w:val="00DC7245"/>
    <w:rsid w:val="00DC730A"/>
    <w:rsid w:val="00DD12FC"/>
    <w:rsid w:val="00DD1ED6"/>
    <w:rsid w:val="00DD2B0D"/>
    <w:rsid w:val="00DE130A"/>
    <w:rsid w:val="00DE1F21"/>
    <w:rsid w:val="00DE3369"/>
    <w:rsid w:val="00DE33DB"/>
    <w:rsid w:val="00DE38B2"/>
    <w:rsid w:val="00DF2C9A"/>
    <w:rsid w:val="00DF5291"/>
    <w:rsid w:val="00DF6AC1"/>
    <w:rsid w:val="00E010C4"/>
    <w:rsid w:val="00E05572"/>
    <w:rsid w:val="00E10D04"/>
    <w:rsid w:val="00E10E0B"/>
    <w:rsid w:val="00E1518F"/>
    <w:rsid w:val="00E16292"/>
    <w:rsid w:val="00E166FD"/>
    <w:rsid w:val="00E20294"/>
    <w:rsid w:val="00E25706"/>
    <w:rsid w:val="00E264BB"/>
    <w:rsid w:val="00E276DF"/>
    <w:rsid w:val="00E30596"/>
    <w:rsid w:val="00E3062A"/>
    <w:rsid w:val="00E31FF9"/>
    <w:rsid w:val="00E33434"/>
    <w:rsid w:val="00E33B23"/>
    <w:rsid w:val="00E37B1B"/>
    <w:rsid w:val="00E43C23"/>
    <w:rsid w:val="00E45160"/>
    <w:rsid w:val="00E45E6A"/>
    <w:rsid w:val="00E464D1"/>
    <w:rsid w:val="00E50A42"/>
    <w:rsid w:val="00E54FA5"/>
    <w:rsid w:val="00E56D64"/>
    <w:rsid w:val="00E57446"/>
    <w:rsid w:val="00E61081"/>
    <w:rsid w:val="00E65B18"/>
    <w:rsid w:val="00E65B9D"/>
    <w:rsid w:val="00E67C0A"/>
    <w:rsid w:val="00E71CE6"/>
    <w:rsid w:val="00E71E16"/>
    <w:rsid w:val="00E728C6"/>
    <w:rsid w:val="00E76641"/>
    <w:rsid w:val="00E77AC7"/>
    <w:rsid w:val="00E83DA2"/>
    <w:rsid w:val="00E851E8"/>
    <w:rsid w:val="00E862E7"/>
    <w:rsid w:val="00E86DF2"/>
    <w:rsid w:val="00E879EC"/>
    <w:rsid w:val="00E9538B"/>
    <w:rsid w:val="00E95703"/>
    <w:rsid w:val="00EA0297"/>
    <w:rsid w:val="00EA116B"/>
    <w:rsid w:val="00EA2C29"/>
    <w:rsid w:val="00EA3F05"/>
    <w:rsid w:val="00EA5E85"/>
    <w:rsid w:val="00EB0B07"/>
    <w:rsid w:val="00EB0C6A"/>
    <w:rsid w:val="00EB144E"/>
    <w:rsid w:val="00EB1B82"/>
    <w:rsid w:val="00EB2F49"/>
    <w:rsid w:val="00EB462A"/>
    <w:rsid w:val="00EB635D"/>
    <w:rsid w:val="00EB6AA6"/>
    <w:rsid w:val="00EC0354"/>
    <w:rsid w:val="00EC5A70"/>
    <w:rsid w:val="00EC6633"/>
    <w:rsid w:val="00EC70BC"/>
    <w:rsid w:val="00ED018E"/>
    <w:rsid w:val="00ED044F"/>
    <w:rsid w:val="00ED07AD"/>
    <w:rsid w:val="00ED1502"/>
    <w:rsid w:val="00ED39D5"/>
    <w:rsid w:val="00ED3B36"/>
    <w:rsid w:val="00EE55F9"/>
    <w:rsid w:val="00EE62A5"/>
    <w:rsid w:val="00EE63DE"/>
    <w:rsid w:val="00EF00EA"/>
    <w:rsid w:val="00EF0CBA"/>
    <w:rsid w:val="00EF34E1"/>
    <w:rsid w:val="00EF36A0"/>
    <w:rsid w:val="00F00D0F"/>
    <w:rsid w:val="00F0109E"/>
    <w:rsid w:val="00F11454"/>
    <w:rsid w:val="00F12E5A"/>
    <w:rsid w:val="00F221FC"/>
    <w:rsid w:val="00F24025"/>
    <w:rsid w:val="00F322F5"/>
    <w:rsid w:val="00F35033"/>
    <w:rsid w:val="00F35CAE"/>
    <w:rsid w:val="00F3647D"/>
    <w:rsid w:val="00F36EE7"/>
    <w:rsid w:val="00F41D9D"/>
    <w:rsid w:val="00F4468A"/>
    <w:rsid w:val="00F47EFB"/>
    <w:rsid w:val="00F505CE"/>
    <w:rsid w:val="00F5169E"/>
    <w:rsid w:val="00F51C0B"/>
    <w:rsid w:val="00F57AFC"/>
    <w:rsid w:val="00F627E4"/>
    <w:rsid w:val="00F6329C"/>
    <w:rsid w:val="00F65DBD"/>
    <w:rsid w:val="00F669B9"/>
    <w:rsid w:val="00F773E6"/>
    <w:rsid w:val="00F80A07"/>
    <w:rsid w:val="00F80C1E"/>
    <w:rsid w:val="00F80CEE"/>
    <w:rsid w:val="00F81C18"/>
    <w:rsid w:val="00F81F36"/>
    <w:rsid w:val="00F8493C"/>
    <w:rsid w:val="00F85468"/>
    <w:rsid w:val="00F86A45"/>
    <w:rsid w:val="00F86BC7"/>
    <w:rsid w:val="00F907D4"/>
    <w:rsid w:val="00F9202F"/>
    <w:rsid w:val="00F92AA4"/>
    <w:rsid w:val="00FA2519"/>
    <w:rsid w:val="00FA6B1E"/>
    <w:rsid w:val="00FB4165"/>
    <w:rsid w:val="00FB59A0"/>
    <w:rsid w:val="00FC1792"/>
    <w:rsid w:val="00FC42BD"/>
    <w:rsid w:val="00FD2E9B"/>
    <w:rsid w:val="00FD5396"/>
    <w:rsid w:val="00FE065B"/>
    <w:rsid w:val="00FE06D8"/>
    <w:rsid w:val="00FE17D2"/>
    <w:rsid w:val="00FE2BF0"/>
    <w:rsid w:val="00FE43C6"/>
    <w:rsid w:val="00FE7696"/>
    <w:rsid w:val="00FE7835"/>
    <w:rsid w:val="00FE7FE6"/>
    <w:rsid w:val="00FF6D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457696"/>
  <w15:docId w15:val="{F3B7FE50-2DC2-46AB-A990-24348905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69A"/>
    <w:rPr>
      <w:rFonts w:ascii="Arial" w:hAnsi="Arial"/>
      <w:sz w:val="22"/>
      <w:szCs w:val="24"/>
      <w:lang w:eastAsia="en-US"/>
    </w:rPr>
  </w:style>
  <w:style w:type="paragraph" w:styleId="Heading1">
    <w:name w:val="heading 1"/>
    <w:basedOn w:val="Normal"/>
    <w:next w:val="Normal"/>
    <w:qFormat/>
    <w:pPr>
      <w:keepNext/>
      <w:spacing w:line="480" w:lineRule="auto"/>
      <w:jc w:val="both"/>
      <w:outlineLvl w:val="0"/>
    </w:pPr>
    <w:rPr>
      <w:rFonts w:cs="Arial"/>
      <w:b/>
      <w:bCs/>
    </w:rPr>
  </w:style>
  <w:style w:type="paragraph" w:styleId="Heading2">
    <w:name w:val="heading 2"/>
    <w:basedOn w:val="Normal"/>
    <w:next w:val="Normal"/>
    <w:qFormat/>
    <w:rsid w:val="009B08AF"/>
    <w:pPr>
      <w:keepNext/>
      <w:spacing w:after="480" w:line="480" w:lineRule="auto"/>
      <w:outlineLvl w:val="1"/>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84021"/>
    <w:pPr>
      <w:keepNext/>
      <w:widowControl w:val="0"/>
      <w:spacing w:before="360" w:after="240"/>
    </w:pPr>
    <w:rPr>
      <w:rFonts w:cs="Arial"/>
      <w:b/>
      <w:bCs/>
    </w:rPr>
  </w:style>
  <w:style w:type="paragraph" w:styleId="Header">
    <w:name w:val="header"/>
    <w:basedOn w:val="Normal"/>
    <w:semiHidden/>
    <w:pPr>
      <w:tabs>
        <w:tab w:val="center" w:pos="4153"/>
        <w:tab w:val="right" w:pos="8306"/>
      </w:tabs>
    </w:pPr>
    <w:rPr>
      <w:lang w:val="en-GB"/>
    </w:rPr>
  </w:style>
  <w:style w:type="character" w:styleId="PageNumber">
    <w:name w:val="page number"/>
    <w:basedOn w:val="DefaultParagraphFont"/>
    <w:semiHidden/>
  </w:style>
  <w:style w:type="paragraph" w:styleId="BodyText">
    <w:name w:val="Body Text"/>
    <w:basedOn w:val="Normal"/>
    <w:semiHidden/>
    <w:pPr>
      <w:jc w:val="both"/>
    </w:pPr>
    <w:rPr>
      <w:bCs/>
    </w:rPr>
  </w:style>
  <w:style w:type="paragraph" w:styleId="Footer">
    <w:name w:val="footer"/>
    <w:basedOn w:val="Normal"/>
    <w:link w:val="FooterChar"/>
    <w:uiPriority w:val="99"/>
    <w:unhideWhenUsed/>
    <w:rsid w:val="008B1DA9"/>
    <w:pPr>
      <w:tabs>
        <w:tab w:val="center" w:pos="4513"/>
        <w:tab w:val="right" w:pos="9026"/>
      </w:tabs>
    </w:pPr>
  </w:style>
  <w:style w:type="character" w:customStyle="1" w:styleId="FooterChar">
    <w:name w:val="Footer Char"/>
    <w:basedOn w:val="DefaultParagraphFont"/>
    <w:link w:val="Footer"/>
    <w:uiPriority w:val="99"/>
    <w:rsid w:val="008B1DA9"/>
    <w:rPr>
      <w:sz w:val="24"/>
      <w:szCs w:val="24"/>
      <w:lang w:eastAsia="en-US"/>
    </w:rPr>
  </w:style>
  <w:style w:type="paragraph" w:styleId="BalloonText">
    <w:name w:val="Balloon Text"/>
    <w:basedOn w:val="Normal"/>
    <w:link w:val="BalloonTextChar"/>
    <w:uiPriority w:val="99"/>
    <w:semiHidden/>
    <w:unhideWhenUsed/>
    <w:rsid w:val="006C43D7"/>
    <w:rPr>
      <w:rFonts w:ascii="Tahoma" w:hAnsi="Tahoma" w:cs="Tahoma"/>
      <w:sz w:val="16"/>
      <w:szCs w:val="16"/>
    </w:rPr>
  </w:style>
  <w:style w:type="character" w:customStyle="1" w:styleId="BalloonTextChar">
    <w:name w:val="Balloon Text Char"/>
    <w:basedOn w:val="DefaultParagraphFont"/>
    <w:link w:val="BalloonText"/>
    <w:uiPriority w:val="99"/>
    <w:semiHidden/>
    <w:rsid w:val="006C43D7"/>
    <w:rPr>
      <w:rFonts w:ascii="Tahoma" w:hAnsi="Tahoma" w:cs="Tahoma"/>
      <w:sz w:val="16"/>
      <w:szCs w:val="16"/>
      <w:lang w:eastAsia="en-US"/>
    </w:rPr>
  </w:style>
  <w:style w:type="paragraph" w:styleId="FootnoteText">
    <w:name w:val="footnote text"/>
    <w:basedOn w:val="Normal"/>
    <w:link w:val="FootnoteTextChar"/>
    <w:uiPriority w:val="99"/>
    <w:unhideWhenUsed/>
    <w:rsid w:val="009869F2"/>
    <w:pPr>
      <w:ind w:left="340" w:hanging="340"/>
      <w:jc w:val="both"/>
    </w:pPr>
    <w:rPr>
      <w:sz w:val="20"/>
      <w:szCs w:val="20"/>
    </w:rPr>
  </w:style>
  <w:style w:type="character" w:customStyle="1" w:styleId="FootnoteTextChar">
    <w:name w:val="Footnote Text Char"/>
    <w:basedOn w:val="DefaultParagraphFont"/>
    <w:link w:val="FootnoteText"/>
    <w:uiPriority w:val="99"/>
    <w:rsid w:val="009869F2"/>
    <w:rPr>
      <w:rFonts w:ascii="Arial" w:hAnsi="Arial"/>
      <w:lang w:eastAsia="en-US"/>
    </w:rPr>
  </w:style>
  <w:style w:type="character" w:styleId="FootnoteReference">
    <w:name w:val="footnote reference"/>
    <w:basedOn w:val="DefaultParagraphFont"/>
    <w:uiPriority w:val="99"/>
    <w:semiHidden/>
    <w:unhideWhenUsed/>
    <w:rsid w:val="00AD2631"/>
    <w:rPr>
      <w:vertAlign w:val="superscript"/>
    </w:rPr>
  </w:style>
  <w:style w:type="paragraph" w:styleId="ListParagraph">
    <w:name w:val="List Paragraph"/>
    <w:basedOn w:val="Normal"/>
    <w:uiPriority w:val="34"/>
    <w:qFormat/>
    <w:rsid w:val="00504B53"/>
    <w:pPr>
      <w:ind w:left="720"/>
      <w:contextualSpacing/>
    </w:pPr>
  </w:style>
  <w:style w:type="paragraph" w:styleId="Quote">
    <w:name w:val="Quote"/>
    <w:basedOn w:val="Normal"/>
    <w:next w:val="Normal"/>
    <w:link w:val="QuoteChar"/>
    <w:uiPriority w:val="29"/>
    <w:qFormat/>
    <w:rsid w:val="00933065"/>
    <w:pPr>
      <w:spacing w:before="200" w:after="160"/>
      <w:ind w:left="864" w:right="864"/>
    </w:pPr>
    <w:rPr>
      <w:i/>
      <w:iCs/>
      <w:color w:val="000000" w:themeColor="text1"/>
    </w:rPr>
  </w:style>
  <w:style w:type="character" w:customStyle="1" w:styleId="QuoteChar">
    <w:name w:val="Quote Char"/>
    <w:basedOn w:val="DefaultParagraphFont"/>
    <w:link w:val="Quote"/>
    <w:uiPriority w:val="29"/>
    <w:rsid w:val="00933065"/>
    <w:rPr>
      <w:rFonts w:ascii="Arial" w:hAnsi="Arial"/>
      <w:i/>
      <w:iCs/>
      <w:color w:val="000000" w:themeColor="text1"/>
      <w:sz w:val="22"/>
      <w:szCs w:val="24"/>
      <w:lang w:eastAsia="en-US"/>
    </w:rPr>
  </w:style>
  <w:style w:type="paragraph" w:customStyle="1" w:styleId="lrpara">
    <w:name w:val="lrpara"/>
    <w:basedOn w:val="Normal"/>
    <w:rsid w:val="00EA3F05"/>
    <w:pPr>
      <w:spacing w:before="100" w:beforeAutospacing="1" w:after="100" w:afterAutospacing="1"/>
    </w:pPr>
    <w:rPr>
      <w:rFonts w:ascii="Times New Roman" w:hAnsi="Times New Roman"/>
      <w:sz w:val="24"/>
      <w:lang w:eastAsia="en-ZA"/>
    </w:rPr>
  </w:style>
  <w:style w:type="paragraph" w:customStyle="1" w:styleId="pageno">
    <w:name w:val="pageno"/>
    <w:basedOn w:val="Normal"/>
    <w:rsid w:val="00EA3F05"/>
    <w:pPr>
      <w:spacing w:before="100" w:beforeAutospacing="1" w:after="100" w:afterAutospacing="1"/>
    </w:pPr>
    <w:rPr>
      <w:rFonts w:ascii="Times New Roman" w:hAnsi="Times New Roman"/>
      <w:sz w:val="24"/>
      <w:lang w:eastAsia="en-ZA"/>
    </w:rPr>
  </w:style>
  <w:style w:type="paragraph" w:customStyle="1" w:styleId="lrjudgecont">
    <w:name w:val="lrjudgecont"/>
    <w:basedOn w:val="Normal"/>
    <w:rsid w:val="00EA3F05"/>
    <w:pPr>
      <w:spacing w:before="100" w:beforeAutospacing="1" w:after="100" w:afterAutospacing="1"/>
    </w:pPr>
    <w:rPr>
      <w:rFonts w:ascii="Times New Roman" w:hAnsi="Times New Roman"/>
      <w:sz w:val="24"/>
      <w:lang w:eastAsia="en-ZA"/>
    </w:rPr>
  </w:style>
  <w:style w:type="paragraph" w:styleId="NormalWeb">
    <w:name w:val="Normal (Web)"/>
    <w:basedOn w:val="Normal"/>
    <w:uiPriority w:val="99"/>
    <w:semiHidden/>
    <w:unhideWhenUsed/>
    <w:rsid w:val="00EA3F05"/>
    <w:pPr>
      <w:spacing w:before="100" w:beforeAutospacing="1" w:after="100" w:afterAutospacing="1"/>
    </w:pPr>
    <w:rPr>
      <w:rFonts w:ascii="Times New Roman" w:hAnsi="Times New Roman"/>
      <w:sz w:val="24"/>
      <w:lang w:eastAsia="en-ZA"/>
    </w:rPr>
  </w:style>
  <w:style w:type="character" w:customStyle="1" w:styleId="mc">
    <w:name w:val="mc"/>
    <w:basedOn w:val="DefaultParagraphFont"/>
    <w:rsid w:val="00EA3F05"/>
  </w:style>
  <w:style w:type="character" w:customStyle="1" w:styleId="italic">
    <w:name w:val="italic"/>
    <w:basedOn w:val="DefaultParagraphFont"/>
    <w:rsid w:val="008675CC"/>
  </w:style>
  <w:style w:type="character" w:styleId="Hyperlink">
    <w:name w:val="Hyperlink"/>
    <w:basedOn w:val="DefaultParagraphFont"/>
    <w:uiPriority w:val="99"/>
    <w:unhideWhenUsed/>
    <w:rsid w:val="008675CC"/>
    <w:rPr>
      <w:color w:val="0000FF"/>
      <w:u w:val="single"/>
    </w:rPr>
  </w:style>
  <w:style w:type="paragraph" w:customStyle="1" w:styleId="normaltext">
    <w:name w:val="normaltext"/>
    <w:basedOn w:val="Normal"/>
    <w:rsid w:val="002A030C"/>
    <w:pPr>
      <w:spacing w:before="100" w:beforeAutospacing="1" w:after="100" w:afterAutospacing="1"/>
    </w:pPr>
    <w:rPr>
      <w:rFonts w:ascii="Times New Roman" w:hAnsi="Times New Roman"/>
      <w:sz w:val="24"/>
      <w:lang w:eastAsia="en-ZA"/>
    </w:rPr>
  </w:style>
  <w:style w:type="table" w:styleId="TableGrid">
    <w:name w:val="Table Grid"/>
    <w:basedOn w:val="TableNormal"/>
    <w:uiPriority w:val="59"/>
    <w:rsid w:val="00210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30A89"/>
    <w:rPr>
      <w:sz w:val="20"/>
      <w:szCs w:val="20"/>
    </w:rPr>
  </w:style>
  <w:style w:type="character" w:customStyle="1" w:styleId="EndnoteTextChar">
    <w:name w:val="Endnote Text Char"/>
    <w:basedOn w:val="DefaultParagraphFont"/>
    <w:link w:val="EndnoteText"/>
    <w:uiPriority w:val="99"/>
    <w:semiHidden/>
    <w:rsid w:val="00030A89"/>
    <w:rPr>
      <w:rFonts w:ascii="Arial" w:hAnsi="Arial"/>
      <w:lang w:eastAsia="en-US"/>
    </w:rPr>
  </w:style>
  <w:style w:type="character" w:styleId="EndnoteReference">
    <w:name w:val="endnote reference"/>
    <w:basedOn w:val="DefaultParagraphFont"/>
    <w:uiPriority w:val="99"/>
    <w:semiHidden/>
    <w:unhideWhenUsed/>
    <w:rsid w:val="00030A89"/>
    <w:rPr>
      <w:vertAlign w:val="superscript"/>
    </w:rPr>
  </w:style>
  <w:style w:type="character" w:customStyle="1" w:styleId="footnoteanchor">
    <w:name w:val="footnoteanchor"/>
    <w:basedOn w:val="DefaultParagraphFont"/>
    <w:rsid w:val="00BF7ED8"/>
  </w:style>
  <w:style w:type="character" w:customStyle="1" w:styleId="AFUBodytextCharChar">
    <w:name w:val="AFU Body text Char Char"/>
    <w:basedOn w:val="DefaultParagraphFont"/>
    <w:link w:val="AFUBodytext"/>
    <w:locked/>
    <w:rsid w:val="007A1D60"/>
    <w:rPr>
      <w:rFonts w:ascii="Arial" w:hAnsi="Arial" w:cs="Arial"/>
      <w:sz w:val="22"/>
      <w:szCs w:val="22"/>
      <w:lang w:eastAsia="en-GB"/>
    </w:rPr>
  </w:style>
  <w:style w:type="paragraph" w:customStyle="1" w:styleId="AFUBodytext">
    <w:name w:val="AFU Body text"/>
    <w:basedOn w:val="Normal"/>
    <w:link w:val="AFUBodytextCharChar"/>
    <w:rsid w:val="007A1D60"/>
    <w:pPr>
      <w:spacing w:before="120" w:after="120" w:line="480" w:lineRule="auto"/>
      <w:jc w:val="both"/>
    </w:pPr>
    <w:rPr>
      <w:rFonts w:cs="Arial"/>
      <w:szCs w:val="22"/>
      <w:lang w:eastAsia="en-GB"/>
    </w:rPr>
  </w:style>
  <w:style w:type="paragraph" w:customStyle="1" w:styleId="AFUaffidavitnumbering">
    <w:name w:val="AFU affidavit numbering"/>
    <w:basedOn w:val="Normal"/>
    <w:link w:val="AFUaffidavitnumberingCharChar"/>
    <w:uiPriority w:val="99"/>
    <w:qFormat/>
    <w:rsid w:val="00E61081"/>
    <w:pPr>
      <w:numPr>
        <w:numId w:val="12"/>
      </w:numPr>
      <w:spacing w:before="240" w:after="240" w:line="480" w:lineRule="auto"/>
      <w:jc w:val="both"/>
    </w:pPr>
    <w:rPr>
      <w:rFonts w:eastAsia="Calibri"/>
      <w:szCs w:val="22"/>
    </w:rPr>
  </w:style>
  <w:style w:type="character" w:customStyle="1" w:styleId="AFUaffidavitnumberingCharChar">
    <w:name w:val="AFU affidavit numbering Char Char"/>
    <w:basedOn w:val="DefaultParagraphFont"/>
    <w:link w:val="AFUaffidavitnumbering"/>
    <w:uiPriority w:val="99"/>
    <w:rsid w:val="00E61081"/>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4104">
      <w:bodyDiv w:val="1"/>
      <w:marLeft w:val="0"/>
      <w:marRight w:val="0"/>
      <w:marTop w:val="0"/>
      <w:marBottom w:val="0"/>
      <w:divBdr>
        <w:top w:val="none" w:sz="0" w:space="0" w:color="auto"/>
        <w:left w:val="none" w:sz="0" w:space="0" w:color="auto"/>
        <w:bottom w:val="none" w:sz="0" w:space="0" w:color="auto"/>
        <w:right w:val="none" w:sz="0" w:space="0" w:color="auto"/>
      </w:divBdr>
    </w:div>
    <w:div w:id="163209253">
      <w:bodyDiv w:val="1"/>
      <w:marLeft w:val="0"/>
      <w:marRight w:val="0"/>
      <w:marTop w:val="0"/>
      <w:marBottom w:val="0"/>
      <w:divBdr>
        <w:top w:val="none" w:sz="0" w:space="0" w:color="auto"/>
        <w:left w:val="none" w:sz="0" w:space="0" w:color="auto"/>
        <w:bottom w:val="none" w:sz="0" w:space="0" w:color="auto"/>
        <w:right w:val="none" w:sz="0" w:space="0" w:color="auto"/>
      </w:divBdr>
      <w:divsChild>
        <w:div w:id="1238244361">
          <w:marLeft w:val="0"/>
          <w:marRight w:val="0"/>
          <w:marTop w:val="240"/>
          <w:marBottom w:val="0"/>
          <w:divBdr>
            <w:top w:val="none" w:sz="0" w:space="0" w:color="auto"/>
            <w:left w:val="none" w:sz="0" w:space="0" w:color="auto"/>
            <w:bottom w:val="none" w:sz="0" w:space="0" w:color="auto"/>
            <w:right w:val="none" w:sz="0" w:space="0" w:color="auto"/>
          </w:divBdr>
        </w:div>
        <w:div w:id="559486776">
          <w:marLeft w:val="0"/>
          <w:marRight w:val="0"/>
          <w:marTop w:val="120"/>
          <w:marBottom w:val="0"/>
          <w:divBdr>
            <w:top w:val="none" w:sz="0" w:space="0" w:color="auto"/>
            <w:left w:val="none" w:sz="0" w:space="0" w:color="auto"/>
            <w:bottom w:val="none" w:sz="0" w:space="0" w:color="auto"/>
            <w:right w:val="none" w:sz="0" w:space="0" w:color="auto"/>
          </w:divBdr>
        </w:div>
        <w:div w:id="1412848520">
          <w:marLeft w:val="567"/>
          <w:marRight w:val="567"/>
          <w:marTop w:val="20"/>
          <w:marBottom w:val="20"/>
          <w:divBdr>
            <w:top w:val="none" w:sz="0" w:space="0" w:color="auto"/>
            <w:left w:val="none" w:sz="0" w:space="0" w:color="auto"/>
            <w:bottom w:val="none" w:sz="0" w:space="0" w:color="auto"/>
            <w:right w:val="none" w:sz="0" w:space="0" w:color="auto"/>
          </w:divBdr>
        </w:div>
      </w:divsChild>
    </w:div>
    <w:div w:id="339508733">
      <w:bodyDiv w:val="1"/>
      <w:marLeft w:val="0"/>
      <w:marRight w:val="0"/>
      <w:marTop w:val="0"/>
      <w:marBottom w:val="0"/>
      <w:divBdr>
        <w:top w:val="none" w:sz="0" w:space="0" w:color="auto"/>
        <w:left w:val="none" w:sz="0" w:space="0" w:color="auto"/>
        <w:bottom w:val="none" w:sz="0" w:space="0" w:color="auto"/>
        <w:right w:val="none" w:sz="0" w:space="0" w:color="auto"/>
      </w:divBdr>
    </w:div>
    <w:div w:id="570697089">
      <w:bodyDiv w:val="1"/>
      <w:marLeft w:val="0"/>
      <w:marRight w:val="0"/>
      <w:marTop w:val="0"/>
      <w:marBottom w:val="0"/>
      <w:divBdr>
        <w:top w:val="none" w:sz="0" w:space="0" w:color="auto"/>
        <w:left w:val="none" w:sz="0" w:space="0" w:color="auto"/>
        <w:bottom w:val="none" w:sz="0" w:space="0" w:color="auto"/>
        <w:right w:val="none" w:sz="0" w:space="0" w:color="auto"/>
      </w:divBdr>
    </w:div>
    <w:div w:id="813523022">
      <w:bodyDiv w:val="1"/>
      <w:marLeft w:val="0"/>
      <w:marRight w:val="0"/>
      <w:marTop w:val="0"/>
      <w:marBottom w:val="0"/>
      <w:divBdr>
        <w:top w:val="none" w:sz="0" w:space="0" w:color="auto"/>
        <w:left w:val="none" w:sz="0" w:space="0" w:color="auto"/>
        <w:bottom w:val="none" w:sz="0" w:space="0" w:color="auto"/>
        <w:right w:val="none" w:sz="0" w:space="0" w:color="auto"/>
      </w:divBdr>
    </w:div>
    <w:div w:id="900557229">
      <w:bodyDiv w:val="1"/>
      <w:marLeft w:val="0"/>
      <w:marRight w:val="0"/>
      <w:marTop w:val="0"/>
      <w:marBottom w:val="0"/>
      <w:divBdr>
        <w:top w:val="none" w:sz="0" w:space="0" w:color="auto"/>
        <w:left w:val="none" w:sz="0" w:space="0" w:color="auto"/>
        <w:bottom w:val="none" w:sz="0" w:space="0" w:color="auto"/>
        <w:right w:val="none" w:sz="0" w:space="0" w:color="auto"/>
      </w:divBdr>
    </w:div>
    <w:div w:id="1026834901">
      <w:bodyDiv w:val="1"/>
      <w:marLeft w:val="0"/>
      <w:marRight w:val="0"/>
      <w:marTop w:val="0"/>
      <w:marBottom w:val="0"/>
      <w:divBdr>
        <w:top w:val="none" w:sz="0" w:space="0" w:color="auto"/>
        <w:left w:val="none" w:sz="0" w:space="0" w:color="auto"/>
        <w:bottom w:val="none" w:sz="0" w:space="0" w:color="auto"/>
        <w:right w:val="none" w:sz="0" w:space="0" w:color="auto"/>
      </w:divBdr>
    </w:div>
    <w:div w:id="1150560590">
      <w:bodyDiv w:val="1"/>
      <w:marLeft w:val="0"/>
      <w:marRight w:val="0"/>
      <w:marTop w:val="0"/>
      <w:marBottom w:val="0"/>
      <w:divBdr>
        <w:top w:val="none" w:sz="0" w:space="0" w:color="auto"/>
        <w:left w:val="none" w:sz="0" w:space="0" w:color="auto"/>
        <w:bottom w:val="none" w:sz="0" w:space="0" w:color="auto"/>
        <w:right w:val="none" w:sz="0" w:space="0" w:color="auto"/>
      </w:divBdr>
    </w:div>
    <w:div w:id="1174035608">
      <w:bodyDiv w:val="1"/>
      <w:marLeft w:val="0"/>
      <w:marRight w:val="0"/>
      <w:marTop w:val="0"/>
      <w:marBottom w:val="0"/>
      <w:divBdr>
        <w:top w:val="none" w:sz="0" w:space="0" w:color="auto"/>
        <w:left w:val="none" w:sz="0" w:space="0" w:color="auto"/>
        <w:bottom w:val="none" w:sz="0" w:space="0" w:color="auto"/>
        <w:right w:val="none" w:sz="0" w:space="0" w:color="auto"/>
      </w:divBdr>
    </w:div>
    <w:div w:id="1197696140">
      <w:bodyDiv w:val="1"/>
      <w:marLeft w:val="0"/>
      <w:marRight w:val="0"/>
      <w:marTop w:val="0"/>
      <w:marBottom w:val="0"/>
      <w:divBdr>
        <w:top w:val="none" w:sz="0" w:space="0" w:color="auto"/>
        <w:left w:val="none" w:sz="0" w:space="0" w:color="auto"/>
        <w:bottom w:val="none" w:sz="0" w:space="0" w:color="auto"/>
        <w:right w:val="none" w:sz="0" w:space="0" w:color="auto"/>
      </w:divBdr>
      <w:divsChild>
        <w:div w:id="1892958996">
          <w:marLeft w:val="675"/>
          <w:marRight w:val="0"/>
          <w:marTop w:val="0"/>
          <w:marBottom w:val="0"/>
          <w:divBdr>
            <w:top w:val="none" w:sz="0" w:space="0" w:color="auto"/>
            <w:left w:val="none" w:sz="0" w:space="0" w:color="auto"/>
            <w:bottom w:val="none" w:sz="0" w:space="0" w:color="auto"/>
            <w:right w:val="none" w:sz="0" w:space="0" w:color="auto"/>
          </w:divBdr>
        </w:div>
        <w:div w:id="1878808815">
          <w:marLeft w:val="675"/>
          <w:marRight w:val="0"/>
          <w:marTop w:val="0"/>
          <w:marBottom w:val="0"/>
          <w:divBdr>
            <w:top w:val="none" w:sz="0" w:space="0" w:color="auto"/>
            <w:left w:val="none" w:sz="0" w:space="0" w:color="auto"/>
            <w:bottom w:val="none" w:sz="0" w:space="0" w:color="auto"/>
            <w:right w:val="none" w:sz="0" w:space="0" w:color="auto"/>
          </w:divBdr>
        </w:div>
        <w:div w:id="1937789993">
          <w:marLeft w:val="675"/>
          <w:marRight w:val="0"/>
          <w:marTop w:val="0"/>
          <w:marBottom w:val="0"/>
          <w:divBdr>
            <w:top w:val="none" w:sz="0" w:space="0" w:color="auto"/>
            <w:left w:val="none" w:sz="0" w:space="0" w:color="auto"/>
            <w:bottom w:val="none" w:sz="0" w:space="0" w:color="auto"/>
            <w:right w:val="none" w:sz="0" w:space="0" w:color="auto"/>
          </w:divBdr>
        </w:div>
      </w:divsChild>
    </w:div>
    <w:div w:id="1338922163">
      <w:bodyDiv w:val="1"/>
      <w:marLeft w:val="0"/>
      <w:marRight w:val="0"/>
      <w:marTop w:val="0"/>
      <w:marBottom w:val="0"/>
      <w:divBdr>
        <w:top w:val="none" w:sz="0" w:space="0" w:color="auto"/>
        <w:left w:val="none" w:sz="0" w:space="0" w:color="auto"/>
        <w:bottom w:val="none" w:sz="0" w:space="0" w:color="auto"/>
        <w:right w:val="none" w:sz="0" w:space="0" w:color="auto"/>
      </w:divBdr>
    </w:div>
    <w:div w:id="1427922654">
      <w:bodyDiv w:val="1"/>
      <w:marLeft w:val="0"/>
      <w:marRight w:val="0"/>
      <w:marTop w:val="0"/>
      <w:marBottom w:val="0"/>
      <w:divBdr>
        <w:top w:val="none" w:sz="0" w:space="0" w:color="auto"/>
        <w:left w:val="none" w:sz="0" w:space="0" w:color="auto"/>
        <w:bottom w:val="none" w:sz="0" w:space="0" w:color="auto"/>
        <w:right w:val="none" w:sz="0" w:space="0" w:color="auto"/>
      </w:divBdr>
      <w:divsChild>
        <w:div w:id="441455329">
          <w:marLeft w:val="0"/>
          <w:marRight w:val="0"/>
          <w:marTop w:val="240"/>
          <w:marBottom w:val="0"/>
          <w:divBdr>
            <w:top w:val="none" w:sz="0" w:space="0" w:color="auto"/>
            <w:left w:val="none" w:sz="0" w:space="0" w:color="auto"/>
            <w:bottom w:val="none" w:sz="0" w:space="0" w:color="auto"/>
            <w:right w:val="none" w:sz="0" w:space="0" w:color="auto"/>
          </w:divBdr>
        </w:div>
        <w:div w:id="1507210764">
          <w:marLeft w:val="0"/>
          <w:marRight w:val="0"/>
          <w:marTop w:val="120"/>
          <w:marBottom w:val="0"/>
          <w:divBdr>
            <w:top w:val="none" w:sz="0" w:space="0" w:color="auto"/>
            <w:left w:val="none" w:sz="0" w:space="0" w:color="auto"/>
            <w:bottom w:val="none" w:sz="0" w:space="0" w:color="auto"/>
            <w:right w:val="none" w:sz="0" w:space="0" w:color="auto"/>
          </w:divBdr>
        </w:div>
        <w:div w:id="1909609551">
          <w:marLeft w:val="567"/>
          <w:marRight w:val="567"/>
          <w:marTop w:val="20"/>
          <w:marBottom w:val="20"/>
          <w:divBdr>
            <w:top w:val="none" w:sz="0" w:space="0" w:color="auto"/>
            <w:left w:val="none" w:sz="0" w:space="0" w:color="auto"/>
            <w:bottom w:val="none" w:sz="0" w:space="0" w:color="auto"/>
            <w:right w:val="none" w:sz="0" w:space="0" w:color="auto"/>
          </w:divBdr>
        </w:div>
        <w:div w:id="2146777254">
          <w:marLeft w:val="0"/>
          <w:marRight w:val="0"/>
          <w:marTop w:val="120"/>
          <w:marBottom w:val="0"/>
          <w:divBdr>
            <w:top w:val="none" w:sz="0" w:space="0" w:color="auto"/>
            <w:left w:val="none" w:sz="0" w:space="0" w:color="auto"/>
            <w:bottom w:val="none" w:sz="0" w:space="0" w:color="auto"/>
            <w:right w:val="none" w:sz="0" w:space="0" w:color="auto"/>
          </w:divBdr>
        </w:div>
        <w:div w:id="1588920722">
          <w:marLeft w:val="0"/>
          <w:marRight w:val="0"/>
          <w:marTop w:val="120"/>
          <w:marBottom w:val="0"/>
          <w:divBdr>
            <w:top w:val="none" w:sz="0" w:space="0" w:color="auto"/>
            <w:left w:val="none" w:sz="0" w:space="0" w:color="auto"/>
            <w:bottom w:val="none" w:sz="0" w:space="0" w:color="auto"/>
            <w:right w:val="none" w:sz="0" w:space="0" w:color="auto"/>
          </w:divBdr>
        </w:div>
      </w:divsChild>
    </w:div>
    <w:div w:id="1558584358">
      <w:bodyDiv w:val="1"/>
      <w:marLeft w:val="0"/>
      <w:marRight w:val="0"/>
      <w:marTop w:val="0"/>
      <w:marBottom w:val="0"/>
      <w:divBdr>
        <w:top w:val="none" w:sz="0" w:space="0" w:color="auto"/>
        <w:left w:val="none" w:sz="0" w:space="0" w:color="auto"/>
        <w:bottom w:val="none" w:sz="0" w:space="0" w:color="auto"/>
        <w:right w:val="none" w:sz="0" w:space="0" w:color="auto"/>
      </w:divBdr>
    </w:div>
    <w:div w:id="1658531569">
      <w:bodyDiv w:val="1"/>
      <w:marLeft w:val="0"/>
      <w:marRight w:val="0"/>
      <w:marTop w:val="0"/>
      <w:marBottom w:val="0"/>
      <w:divBdr>
        <w:top w:val="none" w:sz="0" w:space="0" w:color="auto"/>
        <w:left w:val="none" w:sz="0" w:space="0" w:color="auto"/>
        <w:bottom w:val="none" w:sz="0" w:space="0" w:color="auto"/>
        <w:right w:val="none" w:sz="0" w:space="0" w:color="auto"/>
      </w:divBdr>
    </w:div>
    <w:div w:id="1670987435">
      <w:bodyDiv w:val="1"/>
      <w:marLeft w:val="0"/>
      <w:marRight w:val="0"/>
      <w:marTop w:val="0"/>
      <w:marBottom w:val="0"/>
      <w:divBdr>
        <w:top w:val="none" w:sz="0" w:space="0" w:color="auto"/>
        <w:left w:val="none" w:sz="0" w:space="0" w:color="auto"/>
        <w:bottom w:val="none" w:sz="0" w:space="0" w:color="auto"/>
        <w:right w:val="none" w:sz="0" w:space="0" w:color="auto"/>
      </w:divBdr>
    </w:div>
    <w:div w:id="1767656935">
      <w:bodyDiv w:val="1"/>
      <w:marLeft w:val="0"/>
      <w:marRight w:val="0"/>
      <w:marTop w:val="0"/>
      <w:marBottom w:val="0"/>
      <w:divBdr>
        <w:top w:val="none" w:sz="0" w:space="0" w:color="auto"/>
        <w:left w:val="none" w:sz="0" w:space="0" w:color="auto"/>
        <w:bottom w:val="none" w:sz="0" w:space="0" w:color="auto"/>
        <w:right w:val="none" w:sz="0" w:space="0" w:color="auto"/>
      </w:divBdr>
    </w:div>
    <w:div w:id="1778601891">
      <w:bodyDiv w:val="1"/>
      <w:marLeft w:val="0"/>
      <w:marRight w:val="0"/>
      <w:marTop w:val="0"/>
      <w:marBottom w:val="0"/>
      <w:divBdr>
        <w:top w:val="none" w:sz="0" w:space="0" w:color="auto"/>
        <w:left w:val="none" w:sz="0" w:space="0" w:color="auto"/>
        <w:bottom w:val="none" w:sz="0" w:space="0" w:color="auto"/>
        <w:right w:val="none" w:sz="0" w:space="0" w:color="auto"/>
      </w:divBdr>
      <w:divsChild>
        <w:div w:id="1484392275">
          <w:marLeft w:val="0"/>
          <w:marRight w:val="0"/>
          <w:marTop w:val="240"/>
          <w:marBottom w:val="0"/>
          <w:divBdr>
            <w:top w:val="none" w:sz="0" w:space="0" w:color="auto"/>
            <w:left w:val="none" w:sz="0" w:space="0" w:color="auto"/>
            <w:bottom w:val="none" w:sz="0" w:space="0" w:color="auto"/>
            <w:right w:val="none" w:sz="0" w:space="0" w:color="auto"/>
          </w:divBdr>
        </w:div>
        <w:div w:id="84348939">
          <w:marLeft w:val="0"/>
          <w:marRight w:val="0"/>
          <w:marTop w:val="120"/>
          <w:marBottom w:val="0"/>
          <w:divBdr>
            <w:top w:val="none" w:sz="0" w:space="0" w:color="auto"/>
            <w:left w:val="none" w:sz="0" w:space="0" w:color="auto"/>
            <w:bottom w:val="none" w:sz="0" w:space="0" w:color="auto"/>
            <w:right w:val="none" w:sz="0" w:space="0" w:color="auto"/>
          </w:divBdr>
        </w:div>
        <w:div w:id="291980242">
          <w:marLeft w:val="0"/>
          <w:marRight w:val="0"/>
          <w:marTop w:val="120"/>
          <w:marBottom w:val="0"/>
          <w:divBdr>
            <w:top w:val="none" w:sz="0" w:space="0" w:color="auto"/>
            <w:left w:val="none" w:sz="0" w:space="0" w:color="auto"/>
            <w:bottom w:val="none" w:sz="0" w:space="0" w:color="auto"/>
            <w:right w:val="none" w:sz="0" w:space="0" w:color="auto"/>
          </w:divBdr>
        </w:div>
      </w:divsChild>
    </w:div>
    <w:div w:id="1782408303">
      <w:bodyDiv w:val="1"/>
      <w:marLeft w:val="0"/>
      <w:marRight w:val="0"/>
      <w:marTop w:val="0"/>
      <w:marBottom w:val="0"/>
      <w:divBdr>
        <w:top w:val="none" w:sz="0" w:space="0" w:color="auto"/>
        <w:left w:val="none" w:sz="0" w:space="0" w:color="auto"/>
        <w:bottom w:val="none" w:sz="0" w:space="0" w:color="auto"/>
        <w:right w:val="none" w:sz="0" w:space="0" w:color="auto"/>
      </w:divBdr>
    </w:div>
    <w:div w:id="193987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Judgment%20Act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B4C08-BA1D-4061-8A66-C18280F0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 Acting</Template>
  <TotalTime>3</TotalTime>
  <Pages>13</Pages>
  <Words>2375</Words>
  <Characters>13542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JUDGMENT</vt:lpstr>
    </vt:vector>
  </TitlesOfParts>
  <Company>Group21</Company>
  <LinksUpToDate>false</LinksUpToDate>
  <CharactersWithSpaces>15886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dc:title>
  <dc:creator>JR TYPING SERVICES</dc:creator>
  <cp:keywords>JOHAN MOORCROFT</cp:keywords>
  <cp:lastModifiedBy>Mokone</cp:lastModifiedBy>
  <cp:revision>3</cp:revision>
  <cp:lastPrinted>2023-06-21T13:56:00Z</cp:lastPrinted>
  <dcterms:created xsi:type="dcterms:W3CDTF">2023-06-22T13:51:00Z</dcterms:created>
  <dcterms:modified xsi:type="dcterms:W3CDTF">2023-06-22T13:58:00Z</dcterms:modified>
</cp:coreProperties>
</file>