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143" w14:textId="77777777" w:rsidR="00564266" w:rsidRPr="00394ED7" w:rsidRDefault="00564266" w:rsidP="00657706">
      <w:pPr>
        <w:spacing w:after="0" w:line="276"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657706">
      <w:pPr>
        <w:spacing w:after="0" w:line="276"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657706">
      <w:pPr>
        <w:spacing w:after="0" w:line="276"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657706">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657706">
      <w:pPr>
        <w:spacing w:after="0" w:line="276" w:lineRule="auto"/>
        <w:ind w:left="0"/>
        <w:jc w:val="right"/>
        <w:rPr>
          <w:rFonts w:ascii="Arial" w:eastAsia="Times New Roman" w:hAnsi="Arial" w:cs="Arial"/>
          <w:b/>
          <w:szCs w:val="24"/>
        </w:rPr>
      </w:pPr>
    </w:p>
    <w:p w14:paraId="0AA52391" w14:textId="4770406B" w:rsidR="00817A7E" w:rsidRDefault="00817A7E" w:rsidP="00657706">
      <w:pPr>
        <w:spacing w:after="0" w:line="276" w:lineRule="auto"/>
        <w:ind w:left="5040" w:firstLine="720"/>
        <w:jc w:val="right"/>
        <w:rPr>
          <w:rFonts w:ascii="Arial" w:eastAsia="Times New Roman" w:hAnsi="Arial" w:cs="Arial"/>
          <w:b/>
          <w:bCs/>
          <w:szCs w:val="24"/>
          <w:u w:val="single"/>
        </w:rPr>
      </w:pPr>
      <w:r>
        <w:rPr>
          <w:rFonts w:ascii="Arial" w:eastAsia="Times New Roman" w:hAnsi="Arial" w:cs="Arial"/>
          <w:b/>
          <w:szCs w:val="24"/>
        </w:rPr>
        <w:t xml:space="preserve">      </w:t>
      </w:r>
      <w:r w:rsidR="00785619">
        <w:rPr>
          <w:rFonts w:ascii="Arial" w:eastAsia="Times New Roman" w:hAnsi="Arial" w:cs="Arial"/>
          <w:b/>
          <w:szCs w:val="24"/>
        </w:rPr>
        <w:t>CASE NUMBER</w:t>
      </w:r>
      <w:r>
        <w:rPr>
          <w:rFonts w:ascii="Arial" w:eastAsia="Times New Roman" w:hAnsi="Arial" w:cs="Arial"/>
          <w:b/>
          <w:szCs w:val="24"/>
        </w:rPr>
        <w:t>S</w:t>
      </w:r>
      <w:r w:rsidR="00785619" w:rsidRPr="00394ED7">
        <w:rPr>
          <w:rFonts w:ascii="Arial" w:eastAsia="Times New Roman" w:hAnsi="Arial" w:cs="Arial"/>
          <w:b/>
          <w:szCs w:val="24"/>
        </w:rPr>
        <w:t xml:space="preserve">: </w:t>
      </w:r>
      <w:bookmarkStart w:id="0" w:name="_Hlk137038707"/>
      <w:r>
        <w:rPr>
          <w:rFonts w:ascii="Arial" w:eastAsia="Times New Roman" w:hAnsi="Arial" w:cs="Arial"/>
          <w:b/>
          <w:szCs w:val="24"/>
        </w:rPr>
        <w:t xml:space="preserve"> </w:t>
      </w:r>
      <w:r w:rsidRPr="00817A7E">
        <w:rPr>
          <w:rFonts w:ascii="Arial" w:eastAsia="Times New Roman" w:hAnsi="Arial" w:cs="Arial"/>
          <w:b/>
          <w:bCs/>
          <w:szCs w:val="24"/>
          <w:u w:val="single"/>
        </w:rPr>
        <w:t>202</w:t>
      </w:r>
      <w:r w:rsidR="00992507">
        <w:rPr>
          <w:rFonts w:ascii="Arial" w:eastAsia="Times New Roman" w:hAnsi="Arial" w:cs="Arial"/>
          <w:b/>
          <w:bCs/>
          <w:szCs w:val="24"/>
          <w:u w:val="single"/>
        </w:rPr>
        <w:t>2</w:t>
      </w:r>
      <w:r w:rsidRPr="00817A7E">
        <w:rPr>
          <w:rFonts w:ascii="Arial" w:eastAsia="Times New Roman" w:hAnsi="Arial" w:cs="Arial"/>
          <w:b/>
          <w:bCs/>
          <w:szCs w:val="24"/>
          <w:u w:val="single"/>
        </w:rPr>
        <w:t>/</w:t>
      </w:r>
      <w:r w:rsidR="00A96CFC">
        <w:rPr>
          <w:rFonts w:ascii="Arial" w:eastAsia="Times New Roman" w:hAnsi="Arial" w:cs="Arial"/>
          <w:b/>
          <w:bCs/>
          <w:szCs w:val="24"/>
          <w:u w:val="single"/>
        </w:rPr>
        <w:t>035571</w:t>
      </w:r>
    </w:p>
    <w:bookmarkEnd w:id="0"/>
    <w:p w14:paraId="1FF69AB5" w14:textId="31FC699D" w:rsidR="00ED35E1" w:rsidRDefault="00ED35E1" w:rsidP="00657706">
      <w:pPr>
        <w:spacing w:after="0" w:line="276"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42BD44A8">
                <wp:simplePos x="0" y="0"/>
                <wp:positionH relativeFrom="margin">
                  <wp:posOffset>0</wp:posOffset>
                </wp:positionH>
                <wp:positionV relativeFrom="page">
                  <wp:posOffset>3200400</wp:posOffset>
                </wp:positionV>
                <wp:extent cx="3314700" cy="1266825"/>
                <wp:effectExtent l="0" t="0" r="19050" b="2857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1BA1CB69"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290545DA" w14:textId="38A4DD9F"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1634142"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A96CFC" w:rsidRPr="00EE6E5C">
                              <w:rPr>
                                <w:rFonts w:ascii="Century Gothic" w:hAnsi="Century Gothic"/>
                                <w:b/>
                                <w:sz w:val="18"/>
                                <w:szCs w:val="18"/>
                              </w:rPr>
                              <w:t>2</w:t>
                            </w:r>
                            <w:r w:rsidR="00EE6E5C" w:rsidRPr="00EE6E5C">
                              <w:rPr>
                                <w:rFonts w:ascii="Century Gothic" w:hAnsi="Century Gothic"/>
                                <w:b/>
                                <w:sz w:val="18"/>
                                <w:szCs w:val="18"/>
                              </w:rPr>
                              <w:t>3</w:t>
                            </w:r>
                            <w:r w:rsidR="00FC0C7D" w:rsidRPr="00EE6E5C">
                              <w:rPr>
                                <w:rFonts w:ascii="Century Gothic" w:hAnsi="Century Gothic"/>
                                <w:b/>
                                <w:sz w:val="18"/>
                                <w:szCs w:val="18"/>
                              </w:rPr>
                              <w:t xml:space="preserve"> June </w:t>
                            </w:r>
                            <w:r w:rsidRPr="00EE6E5C">
                              <w:rPr>
                                <w:rFonts w:ascii="Century Gothic" w:hAnsi="Century Gothic"/>
                                <w:b/>
                                <w:sz w:val="18"/>
                                <w:szCs w:val="18"/>
                              </w:rPr>
                              <w:t>202</w:t>
                            </w:r>
                            <w:r w:rsidR="00116F0B" w:rsidRPr="00EE6E5C">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1BA1CB69"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290545DA" w14:textId="38A4DD9F"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1634142"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A96CFC" w:rsidRPr="00EE6E5C">
                        <w:rPr>
                          <w:rFonts w:ascii="Century Gothic" w:hAnsi="Century Gothic"/>
                          <w:b/>
                          <w:sz w:val="18"/>
                          <w:szCs w:val="18"/>
                        </w:rPr>
                        <w:t>2</w:t>
                      </w:r>
                      <w:r w:rsidR="00EE6E5C" w:rsidRPr="00EE6E5C">
                        <w:rPr>
                          <w:rFonts w:ascii="Century Gothic" w:hAnsi="Century Gothic"/>
                          <w:b/>
                          <w:sz w:val="18"/>
                          <w:szCs w:val="18"/>
                        </w:rPr>
                        <w:t>3</w:t>
                      </w:r>
                      <w:r w:rsidR="00FC0C7D" w:rsidRPr="00EE6E5C">
                        <w:rPr>
                          <w:rFonts w:ascii="Century Gothic" w:hAnsi="Century Gothic"/>
                          <w:b/>
                          <w:sz w:val="18"/>
                          <w:szCs w:val="18"/>
                        </w:rPr>
                        <w:t xml:space="preserve"> June </w:t>
                      </w:r>
                      <w:r w:rsidRPr="00EE6E5C">
                        <w:rPr>
                          <w:rFonts w:ascii="Century Gothic" w:hAnsi="Century Gothic"/>
                          <w:b/>
                          <w:sz w:val="18"/>
                          <w:szCs w:val="18"/>
                        </w:rPr>
                        <w:t>202</w:t>
                      </w:r>
                      <w:r w:rsidR="00116F0B" w:rsidRPr="00EE6E5C">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square" anchorx="margin" anchory="page"/>
              </v:shape>
            </w:pict>
          </mc:Fallback>
        </mc:AlternateContent>
      </w:r>
    </w:p>
    <w:p w14:paraId="7CDE7597" w14:textId="77777777" w:rsidR="00817A7E" w:rsidRDefault="00564266" w:rsidP="00657706">
      <w:pPr>
        <w:spacing w:after="0" w:line="276"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p>
    <w:p w14:paraId="53CBE15E" w14:textId="77777777" w:rsidR="00817A7E" w:rsidRDefault="00817A7E" w:rsidP="00657706">
      <w:pPr>
        <w:spacing w:after="0" w:line="276" w:lineRule="auto"/>
        <w:ind w:left="0"/>
        <w:jc w:val="left"/>
        <w:rPr>
          <w:rFonts w:ascii="Arial" w:eastAsia="Times New Roman" w:hAnsi="Arial" w:cs="Arial"/>
          <w:b/>
          <w:szCs w:val="24"/>
        </w:rPr>
      </w:pPr>
    </w:p>
    <w:p w14:paraId="22B1B711" w14:textId="77777777" w:rsidR="00817A7E" w:rsidRDefault="00817A7E" w:rsidP="00657706">
      <w:pPr>
        <w:spacing w:after="0" w:line="276" w:lineRule="auto"/>
        <w:ind w:left="0"/>
        <w:jc w:val="left"/>
        <w:rPr>
          <w:rFonts w:ascii="Arial" w:eastAsia="Times New Roman" w:hAnsi="Arial" w:cs="Arial"/>
          <w:b/>
          <w:szCs w:val="24"/>
        </w:rPr>
      </w:pPr>
    </w:p>
    <w:p w14:paraId="30E3855B" w14:textId="77777777" w:rsidR="00817A7E" w:rsidRDefault="00817A7E" w:rsidP="00657706">
      <w:pPr>
        <w:spacing w:after="0" w:line="276" w:lineRule="auto"/>
        <w:ind w:left="0"/>
        <w:jc w:val="left"/>
        <w:rPr>
          <w:rFonts w:ascii="Arial" w:eastAsia="Times New Roman" w:hAnsi="Arial" w:cs="Arial"/>
          <w:b/>
          <w:szCs w:val="24"/>
        </w:rPr>
      </w:pPr>
    </w:p>
    <w:p w14:paraId="74D1F2DA" w14:textId="77777777" w:rsidR="00817A7E" w:rsidRDefault="00817A7E" w:rsidP="00657706">
      <w:pPr>
        <w:spacing w:after="0" w:line="276" w:lineRule="auto"/>
        <w:ind w:left="0"/>
        <w:jc w:val="left"/>
        <w:rPr>
          <w:rFonts w:ascii="Arial" w:eastAsia="Times New Roman" w:hAnsi="Arial" w:cs="Arial"/>
          <w:b/>
          <w:szCs w:val="24"/>
        </w:rPr>
      </w:pPr>
    </w:p>
    <w:p w14:paraId="70B6B45C" w14:textId="1AAA028F" w:rsidR="00817A7E" w:rsidRPr="00BB26FE" w:rsidRDefault="00817A7E" w:rsidP="00BB26FE">
      <w:pPr>
        <w:spacing w:after="0" w:line="240" w:lineRule="auto"/>
        <w:ind w:left="0"/>
        <w:jc w:val="left"/>
        <w:rPr>
          <w:rFonts w:ascii="Arial" w:eastAsia="Times New Roman" w:hAnsi="Arial" w:cs="Arial"/>
          <w:b/>
          <w:szCs w:val="24"/>
        </w:rPr>
      </w:pPr>
    </w:p>
    <w:p w14:paraId="5040A284" w14:textId="77777777" w:rsidR="00A96CFC" w:rsidRDefault="00A96CFC" w:rsidP="00BB26FE">
      <w:pPr>
        <w:spacing w:after="0" w:line="240" w:lineRule="auto"/>
        <w:ind w:left="2160" w:hanging="2160"/>
        <w:rPr>
          <w:rFonts w:ascii="Arial" w:eastAsia="Times New Roman" w:hAnsi="Arial" w:cs="Arial"/>
          <w:szCs w:val="24"/>
        </w:rPr>
      </w:pPr>
    </w:p>
    <w:p w14:paraId="2C322A2E" w14:textId="2AA327F5" w:rsidR="00817A7E" w:rsidRPr="00817A7E" w:rsidRDefault="00817A7E" w:rsidP="00BB26F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In the matter between:</w:t>
      </w:r>
    </w:p>
    <w:p w14:paraId="1B88EAD3" w14:textId="77777777" w:rsidR="00817A7E" w:rsidRPr="00817A7E" w:rsidRDefault="00817A7E" w:rsidP="00BB26FE">
      <w:pPr>
        <w:spacing w:after="0" w:line="240" w:lineRule="auto"/>
        <w:ind w:left="2160" w:hanging="2160"/>
        <w:rPr>
          <w:rFonts w:ascii="Arial" w:eastAsia="Times New Roman" w:hAnsi="Arial" w:cs="Arial"/>
          <w:szCs w:val="24"/>
        </w:rPr>
      </w:pPr>
    </w:p>
    <w:p w14:paraId="583D204A" w14:textId="56B04304" w:rsidR="00817A7E" w:rsidRPr="00A96CFC" w:rsidRDefault="00A96CFC" w:rsidP="00BB26FE">
      <w:pPr>
        <w:spacing w:after="0" w:line="240" w:lineRule="auto"/>
        <w:ind w:left="2160" w:hanging="2160"/>
        <w:rPr>
          <w:rFonts w:ascii="Arial" w:eastAsia="Times New Roman" w:hAnsi="Arial" w:cs="Arial"/>
          <w:b/>
          <w:bCs/>
          <w:szCs w:val="24"/>
        </w:rPr>
      </w:pPr>
      <w:r>
        <w:rPr>
          <w:rFonts w:ascii="Arial" w:eastAsia="Times New Roman" w:hAnsi="Arial" w:cs="Arial"/>
          <w:b/>
          <w:bCs/>
          <w:szCs w:val="24"/>
        </w:rPr>
        <w:t>NDUMISO SIYABULELA MDLETSHE</w:t>
      </w:r>
      <w:r w:rsidR="00817A7E" w:rsidRPr="00817A7E">
        <w:rPr>
          <w:rFonts w:ascii="Arial" w:eastAsia="Times New Roman" w:hAnsi="Arial" w:cs="Arial"/>
          <w:b/>
          <w:bCs/>
          <w:szCs w:val="24"/>
        </w:rPr>
        <w:t xml:space="preserve"> </w:t>
      </w:r>
      <w:r w:rsidR="00817A7E" w:rsidRPr="00817A7E">
        <w:rPr>
          <w:rFonts w:ascii="Arial" w:eastAsia="Times New Roman" w:hAnsi="Arial" w:cs="Arial"/>
          <w:b/>
          <w:bCs/>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t xml:space="preserve">    </w:t>
      </w:r>
      <w:r w:rsidR="00817A7E" w:rsidRPr="00817A7E">
        <w:rPr>
          <w:rFonts w:ascii="Arial" w:eastAsia="Times New Roman" w:hAnsi="Arial" w:cs="Arial"/>
          <w:szCs w:val="24"/>
        </w:rPr>
        <w:t>First Applicant</w:t>
      </w:r>
    </w:p>
    <w:p w14:paraId="3C0C8BA1" w14:textId="77777777" w:rsidR="00817A7E" w:rsidRPr="00817A7E" w:rsidRDefault="00817A7E" w:rsidP="00BB26FE">
      <w:pPr>
        <w:spacing w:after="0" w:line="240" w:lineRule="auto"/>
        <w:ind w:left="2160" w:hanging="2160"/>
        <w:rPr>
          <w:rFonts w:ascii="Arial" w:eastAsia="Times New Roman" w:hAnsi="Arial" w:cs="Arial"/>
          <w:szCs w:val="24"/>
        </w:rPr>
      </w:pPr>
    </w:p>
    <w:p w14:paraId="0EDDA291" w14:textId="135BD483" w:rsidR="00817A7E" w:rsidRPr="00A96CFC" w:rsidRDefault="00A96CFC" w:rsidP="00BB26FE">
      <w:pPr>
        <w:spacing w:after="0" w:line="240" w:lineRule="auto"/>
        <w:ind w:left="2160" w:hanging="2160"/>
        <w:rPr>
          <w:rFonts w:ascii="Arial" w:eastAsia="Times New Roman" w:hAnsi="Arial" w:cs="Arial"/>
          <w:b/>
          <w:bCs/>
          <w:szCs w:val="24"/>
        </w:rPr>
      </w:pPr>
      <w:r>
        <w:rPr>
          <w:rFonts w:ascii="Arial" w:eastAsia="Times New Roman" w:hAnsi="Arial" w:cs="Arial"/>
          <w:b/>
          <w:bCs/>
          <w:szCs w:val="24"/>
        </w:rPr>
        <w:t>SIPHELELE MBONGI DUNYWA</w:t>
      </w:r>
      <w:r w:rsidR="00817A7E" w:rsidRPr="00817A7E">
        <w:rPr>
          <w:rFonts w:ascii="Arial" w:eastAsia="Times New Roman" w:hAnsi="Arial" w:cs="Arial"/>
          <w:b/>
          <w:bCs/>
          <w:szCs w:val="24"/>
        </w:rPr>
        <w:t xml:space="preserve"> </w:t>
      </w:r>
      <w:r w:rsidR="00817A7E" w:rsidRPr="00817A7E">
        <w:rPr>
          <w:rFonts w:ascii="Arial" w:eastAsia="Times New Roman" w:hAnsi="Arial" w:cs="Arial"/>
          <w:szCs w:val="24"/>
        </w:rPr>
        <w:tab/>
        <w:t xml:space="preserve"> </w:t>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t xml:space="preserve">          </w:t>
      </w:r>
      <w:r w:rsidR="00817A7E" w:rsidRPr="00817A7E">
        <w:rPr>
          <w:rFonts w:ascii="Arial" w:eastAsia="Times New Roman" w:hAnsi="Arial" w:cs="Arial"/>
          <w:szCs w:val="24"/>
        </w:rPr>
        <w:t xml:space="preserve">Second Applicant </w:t>
      </w:r>
    </w:p>
    <w:p w14:paraId="67B2496C" w14:textId="77777777" w:rsidR="00817A7E" w:rsidRPr="00817A7E" w:rsidRDefault="00817A7E" w:rsidP="00BB26FE">
      <w:pPr>
        <w:spacing w:after="0" w:line="240" w:lineRule="auto"/>
        <w:ind w:left="2160" w:hanging="2160"/>
        <w:rPr>
          <w:rFonts w:ascii="Arial" w:eastAsia="Times New Roman" w:hAnsi="Arial" w:cs="Arial"/>
          <w:szCs w:val="24"/>
        </w:rPr>
      </w:pPr>
    </w:p>
    <w:p w14:paraId="3DB7AFA4" w14:textId="77777777" w:rsidR="00817A7E" w:rsidRPr="00817A7E" w:rsidRDefault="00817A7E" w:rsidP="00BB26F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and</w:t>
      </w:r>
    </w:p>
    <w:p w14:paraId="4ADA06A3" w14:textId="77777777" w:rsidR="00817A7E" w:rsidRPr="00817A7E" w:rsidRDefault="00817A7E" w:rsidP="00BB26FE">
      <w:pPr>
        <w:spacing w:after="0" w:line="240" w:lineRule="auto"/>
        <w:ind w:left="2160" w:hanging="2160"/>
        <w:rPr>
          <w:rFonts w:ascii="Arial" w:eastAsia="Times New Roman" w:hAnsi="Arial" w:cs="Arial"/>
          <w:szCs w:val="24"/>
        </w:rPr>
      </w:pPr>
    </w:p>
    <w:p w14:paraId="34F734D0" w14:textId="23A830C1" w:rsidR="00817A7E" w:rsidRPr="00A96CFC" w:rsidRDefault="00A96CFC" w:rsidP="00BB26FE">
      <w:pPr>
        <w:spacing w:after="0" w:line="240" w:lineRule="auto"/>
        <w:ind w:left="2160" w:hanging="2160"/>
        <w:rPr>
          <w:rFonts w:ascii="Arial" w:eastAsia="Times New Roman" w:hAnsi="Arial" w:cs="Arial"/>
          <w:b/>
          <w:bCs/>
          <w:szCs w:val="24"/>
        </w:rPr>
      </w:pPr>
      <w:bookmarkStart w:id="1" w:name="_Hlk137194725"/>
      <w:r>
        <w:rPr>
          <w:rFonts w:ascii="Arial" w:eastAsia="Times New Roman" w:hAnsi="Arial" w:cs="Arial"/>
          <w:b/>
          <w:bCs/>
          <w:szCs w:val="24"/>
        </w:rPr>
        <w:t>YOUTUBE CHANNEL</w:t>
      </w:r>
      <w:bookmarkEnd w:id="1"/>
      <w:r w:rsidR="0027700D">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sidRPr="00817A7E">
        <w:rPr>
          <w:rFonts w:ascii="Arial" w:eastAsia="Times New Roman" w:hAnsi="Arial" w:cs="Arial"/>
          <w:szCs w:val="24"/>
        </w:rPr>
        <w:t>First Respondent</w:t>
      </w:r>
    </w:p>
    <w:p w14:paraId="0AB1D686" w14:textId="77777777" w:rsidR="00817A7E" w:rsidRPr="00817A7E" w:rsidRDefault="00817A7E" w:rsidP="00BB26FE">
      <w:pPr>
        <w:spacing w:after="0" w:line="240" w:lineRule="auto"/>
        <w:ind w:left="2160" w:hanging="2160"/>
        <w:rPr>
          <w:rFonts w:ascii="Arial" w:eastAsia="Times New Roman" w:hAnsi="Arial" w:cs="Arial"/>
          <w:szCs w:val="24"/>
        </w:rPr>
      </w:pPr>
    </w:p>
    <w:p w14:paraId="637F86AE" w14:textId="6BEE4C5B" w:rsidR="00817A7E" w:rsidRPr="00817A7E" w:rsidRDefault="00A96CFC" w:rsidP="00BB26FE">
      <w:pPr>
        <w:spacing w:after="0" w:line="240" w:lineRule="auto"/>
        <w:ind w:left="2160" w:hanging="2160"/>
        <w:rPr>
          <w:rFonts w:ascii="Arial" w:eastAsia="Times New Roman" w:hAnsi="Arial" w:cs="Arial"/>
          <w:szCs w:val="24"/>
        </w:rPr>
      </w:pPr>
      <w:r>
        <w:rPr>
          <w:rFonts w:ascii="Arial" w:eastAsia="Times New Roman" w:hAnsi="Arial" w:cs="Arial"/>
          <w:b/>
          <w:bCs/>
          <w:szCs w:val="24"/>
        </w:rPr>
        <w:t>AMBITIOUS GROUP (PTY) LTD</w:t>
      </w:r>
      <w:r w:rsidR="00631C8E">
        <w:rPr>
          <w:rFonts w:ascii="Arial" w:eastAsia="Times New Roman" w:hAnsi="Arial" w:cs="Arial"/>
          <w:szCs w:val="24"/>
        </w:rPr>
        <w:tab/>
      </w:r>
      <w:r w:rsidR="00631C8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sidR="00817A7E">
        <w:rPr>
          <w:rFonts w:ascii="Arial" w:eastAsia="Times New Roman" w:hAnsi="Arial" w:cs="Arial"/>
          <w:szCs w:val="24"/>
        </w:rPr>
        <w:tab/>
      </w:r>
      <w:r>
        <w:rPr>
          <w:rFonts w:ascii="Arial" w:eastAsia="Times New Roman" w:hAnsi="Arial" w:cs="Arial"/>
          <w:szCs w:val="24"/>
        </w:rPr>
        <w:t xml:space="preserve">     </w:t>
      </w:r>
      <w:r w:rsidR="00817A7E" w:rsidRPr="00817A7E">
        <w:rPr>
          <w:rFonts w:ascii="Arial" w:eastAsia="Times New Roman" w:hAnsi="Arial" w:cs="Arial"/>
          <w:szCs w:val="24"/>
        </w:rPr>
        <w:t xml:space="preserve">Second Respondent </w:t>
      </w:r>
    </w:p>
    <w:p w14:paraId="78D5722C" w14:textId="77777777" w:rsidR="00CB5402" w:rsidRDefault="00785619" w:rsidP="00657706">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657706">
      <w:pPr>
        <w:spacing w:after="0" w:line="240" w:lineRule="auto"/>
        <w:ind w:left="0"/>
        <w:jc w:val="center"/>
        <w:rPr>
          <w:rFonts w:ascii="Arial" w:eastAsia="Times New Roman" w:hAnsi="Arial" w:cs="Arial"/>
          <w:b/>
          <w:szCs w:val="24"/>
        </w:rPr>
      </w:pPr>
    </w:p>
    <w:p w14:paraId="7C41F231" w14:textId="77777777" w:rsidR="00EB45B2" w:rsidRDefault="00785619" w:rsidP="00657706">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44B5535B" w14:textId="77777777" w:rsidR="00785619" w:rsidRPr="00785619" w:rsidRDefault="00785619" w:rsidP="00657706">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657706">
      <w:pPr>
        <w:spacing w:after="0" w:line="240" w:lineRule="auto"/>
        <w:ind w:left="0"/>
        <w:rPr>
          <w:rFonts w:ascii="Arial" w:hAnsi="Arial" w:cs="Arial"/>
          <w:b/>
          <w:szCs w:val="24"/>
        </w:rPr>
      </w:pPr>
    </w:p>
    <w:p w14:paraId="208238BA" w14:textId="2866F1B5" w:rsidR="00564266" w:rsidRPr="00116F0B" w:rsidRDefault="001D42EA" w:rsidP="00657706">
      <w:pPr>
        <w:spacing w:after="0" w:line="276" w:lineRule="auto"/>
        <w:rPr>
          <w:rFonts w:ascii="Arial" w:hAnsi="Arial" w:cs="Arial"/>
          <w:b/>
          <w:szCs w:val="24"/>
          <w:u w:val="single"/>
        </w:rPr>
      </w:pPr>
      <w:r w:rsidRPr="00116F0B">
        <w:rPr>
          <w:rFonts w:ascii="Arial" w:hAnsi="Arial" w:cs="Arial"/>
          <w:b/>
          <w:szCs w:val="24"/>
          <w:u w:val="single"/>
        </w:rPr>
        <w:t>WANLESS</w:t>
      </w:r>
      <w:r w:rsidR="00F949A0" w:rsidRPr="00116F0B">
        <w:rPr>
          <w:rFonts w:ascii="Arial" w:hAnsi="Arial" w:cs="Arial"/>
          <w:b/>
          <w:szCs w:val="24"/>
          <w:u w:val="single"/>
        </w:rPr>
        <w:t xml:space="preserve"> </w:t>
      </w:r>
      <w:r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657706">
      <w:pPr>
        <w:spacing w:after="0" w:line="276" w:lineRule="auto"/>
        <w:rPr>
          <w:rFonts w:ascii="Arial" w:hAnsi="Arial" w:cs="Arial"/>
          <w:b/>
          <w:szCs w:val="24"/>
        </w:rPr>
      </w:pPr>
    </w:p>
    <w:p w14:paraId="748F4ADA" w14:textId="77777777" w:rsidR="0058466B" w:rsidRDefault="0058466B" w:rsidP="00657706">
      <w:pPr>
        <w:spacing w:after="0" w:line="276" w:lineRule="auto"/>
        <w:rPr>
          <w:rFonts w:ascii="Arial" w:hAnsi="Arial" w:cs="Arial"/>
          <w:b/>
          <w:szCs w:val="24"/>
          <w:u w:val="single"/>
        </w:rPr>
      </w:pPr>
      <w:r w:rsidRPr="00116F0B">
        <w:rPr>
          <w:rFonts w:ascii="Arial" w:hAnsi="Arial" w:cs="Arial"/>
          <w:b/>
          <w:szCs w:val="24"/>
          <w:u w:val="single"/>
        </w:rPr>
        <w:t>Introduction</w:t>
      </w:r>
    </w:p>
    <w:p w14:paraId="1A883721" w14:textId="77777777" w:rsidR="00CA32A1" w:rsidRDefault="00CA32A1" w:rsidP="00657706">
      <w:pPr>
        <w:spacing w:after="0" w:line="276" w:lineRule="auto"/>
        <w:ind w:left="0"/>
        <w:rPr>
          <w:rFonts w:ascii="Arial" w:hAnsi="Arial" w:cs="Arial"/>
          <w:bCs/>
          <w:szCs w:val="24"/>
          <w:lang w:val="en-GB"/>
        </w:rPr>
      </w:pPr>
    </w:p>
    <w:p w14:paraId="31B96B0F" w14:textId="3D024DFE"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In this matter one NDUMISA SIYABULELA MDLE</w:t>
      </w:r>
      <w:r w:rsidR="00494840">
        <w:rPr>
          <w:rFonts w:ascii="Arial" w:hAnsi="Arial" w:cs="Arial"/>
          <w:bCs/>
          <w:szCs w:val="24"/>
          <w:lang w:val="en-GB"/>
        </w:rPr>
        <w:t>TS</w:t>
      </w:r>
      <w:r w:rsidRPr="00DD4A7D">
        <w:rPr>
          <w:rFonts w:ascii="Arial" w:hAnsi="Arial" w:cs="Arial"/>
          <w:bCs/>
          <w:szCs w:val="24"/>
          <w:lang w:val="en-GB"/>
        </w:rPr>
        <w:t>HE, adult male, a music producer, musician, businessman and founding member of a music group by the name of BLAQ DIAMOND (“</w:t>
      </w:r>
      <w:r w:rsidRPr="00DD4A7D">
        <w:rPr>
          <w:rFonts w:ascii="Arial" w:hAnsi="Arial" w:cs="Arial"/>
          <w:bCs/>
          <w:i/>
          <w:iCs/>
          <w:szCs w:val="24"/>
          <w:lang w:val="en-GB"/>
        </w:rPr>
        <w:t>Blaq Diamond</w:t>
      </w:r>
      <w:r w:rsidRPr="00DD4A7D">
        <w:rPr>
          <w:rFonts w:ascii="Arial" w:hAnsi="Arial" w:cs="Arial"/>
          <w:bCs/>
          <w:szCs w:val="24"/>
          <w:lang w:val="en-GB"/>
        </w:rPr>
        <w:t xml:space="preserve">”) is the First Applicant. The Second Applicant is SIPHELELE MBONGI DUNYWA, adult male, musician, producer and businessman.  The First and Second Applicants collaborate and/or partner with one another in the field of music production and, as such, unless there is a need to specifically refer to </w:t>
      </w:r>
      <w:r w:rsidRPr="00DD4A7D">
        <w:rPr>
          <w:rFonts w:ascii="Arial" w:hAnsi="Arial" w:cs="Arial"/>
          <w:bCs/>
          <w:szCs w:val="24"/>
          <w:lang w:val="en-GB"/>
        </w:rPr>
        <w:lastRenderedPageBreak/>
        <w:t xml:space="preserve">either of them in their individual capacities, will be referred to collectively as </w:t>
      </w:r>
      <w:r w:rsidRPr="00DD4A7D">
        <w:rPr>
          <w:rFonts w:ascii="Arial" w:hAnsi="Arial" w:cs="Arial"/>
          <w:bCs/>
          <w:i/>
          <w:iCs/>
          <w:szCs w:val="24"/>
          <w:lang w:val="en-GB"/>
        </w:rPr>
        <w:t>“the Applicants”.</w:t>
      </w:r>
    </w:p>
    <w:p w14:paraId="6F6B313C" w14:textId="77777777" w:rsidR="00DD4A7D" w:rsidRDefault="00DD4A7D" w:rsidP="00657706">
      <w:pPr>
        <w:pStyle w:val="ListParagraph"/>
        <w:spacing w:after="0" w:line="276" w:lineRule="auto"/>
        <w:rPr>
          <w:rFonts w:ascii="Arial" w:hAnsi="Arial" w:cs="Arial"/>
          <w:bCs/>
          <w:szCs w:val="24"/>
          <w:lang w:val="en-GB"/>
        </w:rPr>
      </w:pPr>
    </w:p>
    <w:p w14:paraId="7E513A09" w14:textId="0E9D133C"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First Respondent in this matter is YOUTUBE (“</w:t>
      </w:r>
      <w:r w:rsidRPr="00DD4A7D">
        <w:rPr>
          <w:rFonts w:ascii="Arial" w:hAnsi="Arial" w:cs="Arial"/>
          <w:bCs/>
          <w:i/>
          <w:iCs/>
          <w:szCs w:val="24"/>
          <w:lang w:val="en-GB"/>
        </w:rPr>
        <w:t>the Fi</w:t>
      </w:r>
      <w:r w:rsidR="003C2778">
        <w:rPr>
          <w:rFonts w:ascii="Arial" w:hAnsi="Arial" w:cs="Arial"/>
          <w:bCs/>
          <w:i/>
          <w:iCs/>
          <w:szCs w:val="24"/>
          <w:lang w:val="en-GB"/>
        </w:rPr>
        <w:t>r</w:t>
      </w:r>
      <w:r w:rsidRPr="00DD4A7D">
        <w:rPr>
          <w:rFonts w:ascii="Arial" w:hAnsi="Arial" w:cs="Arial"/>
          <w:bCs/>
          <w:i/>
          <w:iCs/>
          <w:szCs w:val="24"/>
          <w:lang w:val="en-GB"/>
        </w:rPr>
        <w:t>st Respondent</w:t>
      </w:r>
      <w:r w:rsidRPr="00DD4A7D">
        <w:rPr>
          <w:rFonts w:ascii="Arial" w:hAnsi="Arial" w:cs="Arial"/>
          <w:bCs/>
          <w:szCs w:val="24"/>
          <w:lang w:val="en-GB"/>
        </w:rPr>
        <w:t>”) an American online video sharing and social media platform situated in San Bruno, California. The First Respondent has not opposed this application and has not filed any affidavits in this application. Service was effected upon the First Respondent via email which this Court was not specifically requested to condone at the hearing of the application. Insofar as it is necessary, such service is hereby condoned. With regard to the jurisdiction of this Court in respect of the First Respondent, this question was also not raised at the hearing of the application before this Court. Having considered the nature of the relief sought by the Applicants in this application, this Court is satisfied that no relief is sought which directly affects the First Respondent. In the premises, any jurisdictional requirements insofar as they pertained to the First Respondent were not raised as issues on the application papers before this Court and were not dealt with in argument before this Court. Further, this Court declines to deal with same in this judgment.</w:t>
      </w:r>
    </w:p>
    <w:p w14:paraId="79FBEB88" w14:textId="77777777" w:rsidR="00DD4A7D" w:rsidRDefault="00DD4A7D" w:rsidP="00657706">
      <w:pPr>
        <w:pStyle w:val="ListParagraph"/>
        <w:spacing w:after="0" w:line="276" w:lineRule="auto"/>
        <w:rPr>
          <w:rFonts w:ascii="Arial" w:hAnsi="Arial" w:cs="Arial"/>
          <w:bCs/>
          <w:szCs w:val="24"/>
          <w:lang w:val="en-GB"/>
        </w:rPr>
      </w:pPr>
    </w:p>
    <w:p w14:paraId="2BBE3614" w14:textId="3F3788CC"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Second Respondent in the application before this Court is AMBITIOUS GROUP (PTY) LTD (“</w:t>
      </w:r>
      <w:r w:rsidRPr="00DD4A7D">
        <w:rPr>
          <w:rFonts w:ascii="Arial" w:hAnsi="Arial" w:cs="Arial"/>
          <w:bCs/>
          <w:i/>
          <w:iCs/>
          <w:szCs w:val="24"/>
          <w:lang w:val="en-GB"/>
        </w:rPr>
        <w:t>the Second Respondent</w:t>
      </w:r>
      <w:r w:rsidRPr="00DD4A7D">
        <w:rPr>
          <w:rFonts w:ascii="Arial" w:hAnsi="Arial" w:cs="Arial"/>
          <w:bCs/>
          <w:szCs w:val="24"/>
          <w:lang w:val="en-GB"/>
        </w:rPr>
        <w:t xml:space="preserve">”). Whilst no specific description has been provided in the application papers as to how the Second Respondent derives its income, it can be gleaned from the nature of the agreements entered into between the Applicants and the Second Respondent that the Second Respondent carries on business as, </w:t>
      </w:r>
      <w:r w:rsidRPr="00DD4A7D">
        <w:rPr>
          <w:rFonts w:ascii="Arial" w:hAnsi="Arial" w:cs="Arial"/>
          <w:bCs/>
          <w:i/>
          <w:iCs/>
          <w:szCs w:val="24"/>
          <w:lang w:val="en-GB"/>
        </w:rPr>
        <w:t>inter alia</w:t>
      </w:r>
      <w:r w:rsidRPr="00DD4A7D">
        <w:rPr>
          <w:rFonts w:ascii="Arial" w:hAnsi="Arial" w:cs="Arial"/>
          <w:bCs/>
          <w:szCs w:val="24"/>
          <w:lang w:val="en-GB"/>
        </w:rPr>
        <w:t>, a manager and agent of artists and their music.</w:t>
      </w:r>
    </w:p>
    <w:p w14:paraId="3B2D7635" w14:textId="77777777" w:rsidR="00DD4A7D" w:rsidRPr="00DD4A7D" w:rsidRDefault="00DD4A7D" w:rsidP="00657706">
      <w:pPr>
        <w:pStyle w:val="ListParagraph"/>
        <w:spacing w:after="0" w:line="276" w:lineRule="auto"/>
        <w:rPr>
          <w:rFonts w:ascii="Arial" w:hAnsi="Arial" w:cs="Arial"/>
          <w:bCs/>
          <w:szCs w:val="24"/>
          <w:lang w:val="en-GB"/>
        </w:rPr>
      </w:pPr>
    </w:p>
    <w:p w14:paraId="569B94C3" w14:textId="7B8B580F"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On the 27</w:t>
      </w:r>
      <w:r w:rsidRPr="00DD4A7D">
        <w:rPr>
          <w:rFonts w:ascii="Arial" w:hAnsi="Arial" w:cs="Arial"/>
          <w:bCs/>
          <w:szCs w:val="24"/>
          <w:vertAlign w:val="superscript"/>
          <w:lang w:val="en-GB"/>
        </w:rPr>
        <w:t>th</w:t>
      </w:r>
      <w:r w:rsidRPr="00DD4A7D">
        <w:rPr>
          <w:rFonts w:ascii="Arial" w:hAnsi="Arial" w:cs="Arial"/>
          <w:bCs/>
          <w:szCs w:val="24"/>
          <w:lang w:val="en-GB"/>
        </w:rPr>
        <w:t xml:space="preserve"> of October 2022 the Applicants instituted this application in the urgent court seeking the following relief:</w:t>
      </w:r>
    </w:p>
    <w:p w14:paraId="6325A347" w14:textId="35F5C20C" w:rsidR="003C2778" w:rsidRDefault="003C2778" w:rsidP="00657706">
      <w:pPr>
        <w:spacing w:after="0" w:line="276" w:lineRule="auto"/>
        <w:ind w:left="720"/>
        <w:rPr>
          <w:rFonts w:ascii="Arial" w:hAnsi="Arial" w:cs="Arial"/>
          <w:bCs/>
          <w:szCs w:val="24"/>
          <w:lang w:val="en-GB"/>
        </w:rPr>
      </w:pPr>
    </w:p>
    <w:p w14:paraId="5F21AC2E" w14:textId="77777777" w:rsidR="003C2778" w:rsidRPr="006549C5" w:rsidRDefault="00DD4A7D" w:rsidP="00657706">
      <w:pPr>
        <w:spacing w:after="0" w:line="276" w:lineRule="auto"/>
        <w:ind w:left="754" w:firstLine="686"/>
        <w:rPr>
          <w:rFonts w:ascii="Arial" w:hAnsi="Arial" w:cs="Arial"/>
          <w:b/>
          <w:szCs w:val="24"/>
          <w:lang w:val="en-GB"/>
        </w:rPr>
      </w:pPr>
      <w:r w:rsidRPr="00DD4A7D">
        <w:rPr>
          <w:rFonts w:ascii="Arial" w:hAnsi="Arial" w:cs="Arial"/>
          <w:b/>
          <w:szCs w:val="24"/>
          <w:lang w:val="en-GB"/>
        </w:rPr>
        <w:t xml:space="preserve">“PART A: URGENT INTERDICTORY RELIEF </w:t>
      </w:r>
      <w:r w:rsidRPr="00DD4A7D">
        <w:rPr>
          <w:rFonts w:ascii="Arial" w:hAnsi="Arial" w:cs="Arial"/>
          <w:b/>
          <w:i/>
          <w:iCs/>
          <w:szCs w:val="24"/>
          <w:lang w:val="en-GB"/>
        </w:rPr>
        <w:t>PENDENTE LITE</w:t>
      </w:r>
      <w:r w:rsidRPr="00DD4A7D">
        <w:rPr>
          <w:rFonts w:ascii="Arial" w:hAnsi="Arial" w:cs="Arial"/>
          <w:b/>
          <w:szCs w:val="24"/>
          <w:lang w:val="en-GB"/>
        </w:rPr>
        <w:t>.</w:t>
      </w:r>
    </w:p>
    <w:p w14:paraId="43666871" w14:textId="77777777" w:rsidR="003C2778" w:rsidRDefault="003C2778" w:rsidP="00657706">
      <w:pPr>
        <w:spacing w:after="0" w:line="276" w:lineRule="auto"/>
        <w:ind w:left="754" w:firstLine="686"/>
        <w:rPr>
          <w:rFonts w:ascii="Arial" w:hAnsi="Arial" w:cs="Arial"/>
          <w:bCs/>
          <w:szCs w:val="24"/>
          <w:lang w:val="en-GB"/>
        </w:rPr>
      </w:pPr>
    </w:p>
    <w:p w14:paraId="44A4C8EA" w14:textId="00BC9998" w:rsidR="003C2778" w:rsidRP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Dispensing with the forms and service provided in the Uniform Rules of Court and condoning non-compliance with the Rules relating to service and time periods in terms of Rule 6(12);</w:t>
      </w:r>
    </w:p>
    <w:p w14:paraId="1521D13F" w14:textId="77777777" w:rsidR="003C2778" w:rsidRDefault="003C2778" w:rsidP="00657706">
      <w:pPr>
        <w:pStyle w:val="ListParagraph"/>
        <w:spacing w:after="0" w:line="276" w:lineRule="auto"/>
        <w:ind w:left="2160"/>
        <w:rPr>
          <w:rFonts w:ascii="Arial" w:hAnsi="Arial" w:cs="Arial"/>
          <w:bCs/>
          <w:szCs w:val="24"/>
          <w:lang w:val="en-GB"/>
        </w:rPr>
      </w:pPr>
    </w:p>
    <w:p w14:paraId="0BC96318" w14:textId="0A093A98"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 xml:space="preserve">That pending final determination of Part B attached to this notice of motion and marked Annexure </w:t>
      </w:r>
      <w:r w:rsidRPr="002A4172">
        <w:rPr>
          <w:rFonts w:ascii="Arial" w:hAnsi="Arial" w:cs="Arial"/>
          <w:b/>
          <w:szCs w:val="24"/>
          <w:lang w:val="en-GB"/>
        </w:rPr>
        <w:t>“FA1”</w:t>
      </w:r>
      <w:r w:rsidR="002A4172">
        <w:rPr>
          <w:rFonts w:ascii="Arial" w:hAnsi="Arial" w:cs="Arial"/>
          <w:bCs/>
          <w:szCs w:val="24"/>
          <w:lang w:val="en-GB"/>
        </w:rPr>
        <w:t>,</w:t>
      </w:r>
      <w:r w:rsidRPr="003C2778">
        <w:rPr>
          <w:rFonts w:ascii="Arial" w:hAnsi="Arial" w:cs="Arial"/>
          <w:bCs/>
          <w:szCs w:val="24"/>
          <w:lang w:val="en-GB"/>
        </w:rPr>
        <w:t xml:space="preserve"> any person or entity acting in concert with the Respondents, are hereby interdicted from removing and/or deleting the account of the Applicants Youtube </w:t>
      </w:r>
      <w:r w:rsidR="002A4172">
        <w:rPr>
          <w:rFonts w:ascii="Arial" w:hAnsi="Arial" w:cs="Arial"/>
          <w:bCs/>
          <w:szCs w:val="24"/>
          <w:lang w:val="en-GB"/>
        </w:rPr>
        <w:t>c</w:t>
      </w:r>
      <w:r w:rsidRPr="003C2778">
        <w:rPr>
          <w:rFonts w:ascii="Arial" w:hAnsi="Arial" w:cs="Arial"/>
          <w:bCs/>
          <w:szCs w:val="24"/>
          <w:lang w:val="en-GB"/>
        </w:rPr>
        <w:t>hannel</w:t>
      </w:r>
      <w:r w:rsidR="003C2778">
        <w:rPr>
          <w:rFonts w:ascii="Arial" w:hAnsi="Arial" w:cs="Arial"/>
          <w:bCs/>
          <w:szCs w:val="24"/>
          <w:lang w:val="en-GB"/>
        </w:rPr>
        <w:t>;</w:t>
      </w:r>
    </w:p>
    <w:p w14:paraId="47EB5015" w14:textId="77777777" w:rsidR="003C2778" w:rsidRPr="003C2778" w:rsidRDefault="003C2778" w:rsidP="00657706">
      <w:pPr>
        <w:pStyle w:val="ListParagraph"/>
        <w:spacing w:after="0" w:line="276" w:lineRule="auto"/>
        <w:rPr>
          <w:rFonts w:ascii="Arial" w:hAnsi="Arial" w:cs="Arial"/>
          <w:bCs/>
          <w:szCs w:val="24"/>
          <w:lang w:val="en-GB"/>
        </w:rPr>
      </w:pPr>
    </w:p>
    <w:p w14:paraId="040B00ED"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 xml:space="preserve">That it be ordered that the Second Respondent be interdicted from raising any copyright/ownership dispute against the works of the Applicants with any other Digital Streaming Platform </w:t>
      </w:r>
      <w:r w:rsidRPr="002A4172">
        <w:rPr>
          <w:rFonts w:ascii="Arial" w:hAnsi="Arial" w:cs="Arial"/>
          <w:bCs/>
          <w:szCs w:val="24"/>
          <w:lang w:val="en-GB"/>
        </w:rPr>
        <w:t>(</w:t>
      </w:r>
      <w:r w:rsidRPr="002A4172">
        <w:rPr>
          <w:rFonts w:ascii="Arial" w:hAnsi="Arial" w:cs="Arial"/>
          <w:b/>
          <w:szCs w:val="24"/>
          <w:lang w:val="en-GB"/>
        </w:rPr>
        <w:t>“DSP”</w:t>
      </w:r>
      <w:r w:rsidRPr="003C2778">
        <w:rPr>
          <w:rFonts w:ascii="Arial" w:hAnsi="Arial" w:cs="Arial"/>
          <w:bCs/>
          <w:szCs w:val="24"/>
          <w:lang w:val="en-GB"/>
        </w:rPr>
        <w:t>) inclusive of the First Respondent, Spotify, iTunes, Deezer, authored by the Applicants from 15 June 2022, pending final determination of Part B.</w:t>
      </w:r>
    </w:p>
    <w:p w14:paraId="352F42AA" w14:textId="77777777" w:rsidR="003C2778" w:rsidRPr="003C2778" w:rsidRDefault="003C2778" w:rsidP="00657706">
      <w:pPr>
        <w:pStyle w:val="ListParagraph"/>
        <w:spacing w:after="0" w:line="276" w:lineRule="auto"/>
        <w:rPr>
          <w:rFonts w:ascii="Arial" w:hAnsi="Arial" w:cs="Arial"/>
          <w:bCs/>
          <w:szCs w:val="24"/>
          <w:lang w:val="en-GB"/>
        </w:rPr>
      </w:pPr>
    </w:p>
    <w:p w14:paraId="0926E975" w14:textId="441DCCCE" w:rsidR="003C2778" w:rsidRPr="006549C5" w:rsidRDefault="003C2778" w:rsidP="00657706">
      <w:pPr>
        <w:spacing w:after="0" w:line="276" w:lineRule="auto"/>
        <w:ind w:left="754" w:firstLine="686"/>
        <w:rPr>
          <w:rFonts w:ascii="Arial" w:hAnsi="Arial" w:cs="Arial"/>
          <w:b/>
          <w:szCs w:val="24"/>
          <w:lang w:val="en-GB"/>
        </w:rPr>
      </w:pPr>
      <w:r w:rsidRPr="00DD4A7D">
        <w:rPr>
          <w:rFonts w:ascii="Arial" w:hAnsi="Arial" w:cs="Arial"/>
          <w:b/>
          <w:szCs w:val="24"/>
          <w:lang w:val="en-GB"/>
        </w:rPr>
        <w:t>PART B</w:t>
      </w:r>
    </w:p>
    <w:p w14:paraId="34D6DCDC" w14:textId="77777777" w:rsidR="003C2778" w:rsidRPr="003C2778" w:rsidRDefault="003C2778" w:rsidP="00657706">
      <w:pPr>
        <w:pStyle w:val="ListParagraph"/>
        <w:spacing w:after="0" w:line="276" w:lineRule="auto"/>
        <w:rPr>
          <w:rFonts w:ascii="Arial" w:hAnsi="Arial" w:cs="Arial"/>
          <w:bCs/>
          <w:szCs w:val="24"/>
          <w:lang w:val="en-GB"/>
        </w:rPr>
      </w:pPr>
    </w:p>
    <w:p w14:paraId="73ABDE94"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That it be declared that the Exclusive Management Agreement, the Artist Management Agreement and the Publication Agreement (“</w:t>
      </w:r>
      <w:r w:rsidRPr="007305FC">
        <w:rPr>
          <w:rFonts w:ascii="Arial" w:hAnsi="Arial" w:cs="Arial"/>
          <w:b/>
          <w:szCs w:val="24"/>
          <w:lang w:val="en-GB"/>
        </w:rPr>
        <w:t>the Agreements”</w:t>
      </w:r>
      <w:r w:rsidRPr="007305FC">
        <w:rPr>
          <w:rFonts w:ascii="Arial" w:hAnsi="Arial" w:cs="Arial"/>
          <w:bCs/>
          <w:szCs w:val="24"/>
          <w:lang w:val="en-GB"/>
        </w:rPr>
        <w:t>)</w:t>
      </w:r>
      <w:r w:rsidRPr="003C2778">
        <w:rPr>
          <w:rFonts w:ascii="Arial" w:hAnsi="Arial" w:cs="Arial"/>
          <w:bCs/>
          <w:szCs w:val="24"/>
          <w:lang w:val="en-GB"/>
        </w:rPr>
        <w:t xml:space="preserve"> entered into between the Plaintiffs and the Defendant on 10 January 2020, be declared terminated as of 7 January 2022 alternatively 15 January 2022 alternatively it be declared that the Agreements are null and void </w:t>
      </w:r>
      <w:r w:rsidRPr="003C2778">
        <w:rPr>
          <w:rFonts w:ascii="Arial" w:hAnsi="Arial" w:cs="Arial"/>
          <w:bCs/>
          <w:i/>
          <w:iCs/>
          <w:szCs w:val="24"/>
          <w:lang w:val="en-GB"/>
        </w:rPr>
        <w:t xml:space="preserve">ab initio </w:t>
      </w:r>
      <w:r w:rsidRPr="003C2778">
        <w:rPr>
          <w:rFonts w:ascii="Arial" w:hAnsi="Arial" w:cs="Arial"/>
          <w:bCs/>
          <w:szCs w:val="24"/>
          <w:lang w:val="en-GB"/>
        </w:rPr>
        <w:t>and hereby terminated;</w:t>
      </w:r>
    </w:p>
    <w:p w14:paraId="07C0945C" w14:textId="77777777" w:rsidR="003C2778" w:rsidRDefault="003C2778" w:rsidP="00657706">
      <w:pPr>
        <w:pStyle w:val="ListParagraph"/>
        <w:spacing w:after="0" w:line="276" w:lineRule="auto"/>
        <w:ind w:left="2160"/>
        <w:rPr>
          <w:rFonts w:ascii="Arial" w:hAnsi="Arial" w:cs="Arial"/>
          <w:bCs/>
          <w:szCs w:val="24"/>
          <w:lang w:val="en-GB"/>
        </w:rPr>
      </w:pPr>
    </w:p>
    <w:p w14:paraId="72D80454"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That an independent auditor be appointed within 30 (thirty) days of this order to perform a debatement of the accounts in order to determine amounts due to the Plaintiffs from January 2017 to date, in respect of the following;</w:t>
      </w:r>
    </w:p>
    <w:p w14:paraId="642AF31D" w14:textId="77777777" w:rsidR="003C2778" w:rsidRPr="003C2778" w:rsidRDefault="003C2778" w:rsidP="00657706">
      <w:pPr>
        <w:pStyle w:val="ListParagraph"/>
        <w:spacing w:after="0" w:line="276" w:lineRule="auto"/>
        <w:rPr>
          <w:rFonts w:ascii="Arial" w:hAnsi="Arial" w:cs="Arial"/>
          <w:bCs/>
          <w:szCs w:val="24"/>
          <w:lang w:val="en-GB"/>
        </w:rPr>
      </w:pPr>
    </w:p>
    <w:p w14:paraId="6915EEF2" w14:textId="77777777" w:rsidR="003C2778" w:rsidRDefault="00DD4A7D" w:rsidP="006549C5">
      <w:pPr>
        <w:pStyle w:val="ListParagraph"/>
        <w:numPr>
          <w:ilvl w:val="0"/>
          <w:numId w:val="90"/>
        </w:numPr>
        <w:spacing w:after="0" w:line="276" w:lineRule="auto"/>
        <w:ind w:left="2880" w:hanging="720"/>
        <w:rPr>
          <w:rFonts w:ascii="Arial" w:hAnsi="Arial" w:cs="Arial"/>
          <w:bCs/>
          <w:szCs w:val="24"/>
          <w:lang w:val="en-GB"/>
        </w:rPr>
      </w:pPr>
      <w:r w:rsidRPr="003C2778">
        <w:rPr>
          <w:rFonts w:ascii="Arial" w:hAnsi="Arial" w:cs="Arial"/>
          <w:bCs/>
          <w:szCs w:val="24"/>
          <w:lang w:val="en-GB"/>
        </w:rPr>
        <w:t>The First Schedule of the Exclusive Management Agreement;</w:t>
      </w:r>
    </w:p>
    <w:p w14:paraId="0F45165C" w14:textId="77777777" w:rsidR="003C2778" w:rsidRDefault="003C2778" w:rsidP="00657706">
      <w:pPr>
        <w:pStyle w:val="ListParagraph"/>
        <w:spacing w:after="0" w:line="276" w:lineRule="auto"/>
        <w:ind w:left="2520"/>
        <w:rPr>
          <w:rFonts w:ascii="Arial" w:hAnsi="Arial" w:cs="Arial"/>
          <w:bCs/>
          <w:szCs w:val="24"/>
          <w:lang w:val="en-GB"/>
        </w:rPr>
      </w:pPr>
    </w:p>
    <w:p w14:paraId="5B9D5A3B" w14:textId="77777777" w:rsidR="003C2778" w:rsidRDefault="00DD4A7D" w:rsidP="006549C5">
      <w:pPr>
        <w:pStyle w:val="ListParagraph"/>
        <w:numPr>
          <w:ilvl w:val="0"/>
          <w:numId w:val="90"/>
        </w:numPr>
        <w:spacing w:after="0" w:line="276" w:lineRule="auto"/>
        <w:ind w:left="2880" w:hanging="720"/>
        <w:rPr>
          <w:rFonts w:ascii="Arial" w:hAnsi="Arial" w:cs="Arial"/>
          <w:bCs/>
          <w:szCs w:val="24"/>
          <w:lang w:val="en-GB"/>
        </w:rPr>
      </w:pPr>
      <w:r w:rsidRPr="003C2778">
        <w:rPr>
          <w:rFonts w:ascii="Arial" w:hAnsi="Arial" w:cs="Arial"/>
          <w:bCs/>
          <w:szCs w:val="24"/>
          <w:lang w:val="en-GB"/>
        </w:rPr>
        <w:t>The Second Schedule of the Publication Agreement; and</w:t>
      </w:r>
    </w:p>
    <w:p w14:paraId="3E9B6D8A" w14:textId="77777777" w:rsidR="003C2778" w:rsidRPr="003C2778" w:rsidRDefault="003C2778" w:rsidP="00657706">
      <w:pPr>
        <w:pStyle w:val="ListParagraph"/>
        <w:spacing w:after="0" w:line="276" w:lineRule="auto"/>
        <w:rPr>
          <w:rFonts w:ascii="Arial" w:hAnsi="Arial" w:cs="Arial"/>
          <w:bCs/>
          <w:szCs w:val="24"/>
          <w:lang w:val="en-GB"/>
        </w:rPr>
      </w:pPr>
    </w:p>
    <w:p w14:paraId="46590795" w14:textId="77777777" w:rsidR="003C2778" w:rsidRDefault="00DD4A7D" w:rsidP="006549C5">
      <w:pPr>
        <w:pStyle w:val="ListParagraph"/>
        <w:numPr>
          <w:ilvl w:val="0"/>
          <w:numId w:val="90"/>
        </w:numPr>
        <w:spacing w:after="0" w:line="276" w:lineRule="auto"/>
        <w:ind w:left="2880" w:hanging="720"/>
        <w:rPr>
          <w:rFonts w:ascii="Arial" w:hAnsi="Arial" w:cs="Arial"/>
          <w:bCs/>
          <w:szCs w:val="24"/>
          <w:lang w:val="en-GB"/>
        </w:rPr>
      </w:pPr>
      <w:r w:rsidRPr="003C2778">
        <w:rPr>
          <w:rFonts w:ascii="Arial" w:hAnsi="Arial" w:cs="Arial"/>
          <w:bCs/>
          <w:szCs w:val="24"/>
          <w:lang w:val="en-GB"/>
        </w:rPr>
        <w:t xml:space="preserve">Clause 9, 10 and 11 of the Artist Management Agreement. </w:t>
      </w:r>
    </w:p>
    <w:p w14:paraId="6084A93B" w14:textId="77777777" w:rsidR="003C2778" w:rsidRPr="003C2778" w:rsidRDefault="003C2778" w:rsidP="00657706">
      <w:pPr>
        <w:pStyle w:val="ListParagraph"/>
        <w:spacing w:after="0" w:line="276" w:lineRule="auto"/>
        <w:rPr>
          <w:rFonts w:ascii="Arial" w:hAnsi="Arial" w:cs="Arial"/>
          <w:bCs/>
          <w:szCs w:val="24"/>
          <w:lang w:val="en-GB"/>
        </w:rPr>
      </w:pPr>
    </w:p>
    <w:p w14:paraId="09E5F880"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That the independent auditor provide the Court as well as the Parties with a report, within 60 (sixty) days of making this order.</w:t>
      </w:r>
    </w:p>
    <w:p w14:paraId="473C38D6" w14:textId="77777777" w:rsidR="003C2778" w:rsidRDefault="003C2778" w:rsidP="00657706">
      <w:pPr>
        <w:pStyle w:val="ListParagraph"/>
        <w:spacing w:after="0" w:line="276" w:lineRule="auto"/>
        <w:ind w:left="2160"/>
        <w:rPr>
          <w:rFonts w:ascii="Arial" w:hAnsi="Arial" w:cs="Arial"/>
          <w:bCs/>
          <w:szCs w:val="24"/>
          <w:lang w:val="en-GB"/>
        </w:rPr>
      </w:pPr>
    </w:p>
    <w:p w14:paraId="054F2E09"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That the Defendant be ordered to pay the costs of the independent auditor.</w:t>
      </w:r>
    </w:p>
    <w:p w14:paraId="49A5CDAF" w14:textId="77777777" w:rsidR="003C2778" w:rsidRPr="003C2778" w:rsidRDefault="003C2778" w:rsidP="00657706">
      <w:pPr>
        <w:pStyle w:val="ListParagraph"/>
        <w:spacing w:after="0" w:line="276" w:lineRule="auto"/>
        <w:rPr>
          <w:rFonts w:ascii="Arial" w:hAnsi="Arial" w:cs="Arial"/>
          <w:bCs/>
          <w:szCs w:val="24"/>
          <w:lang w:val="en-GB"/>
        </w:rPr>
      </w:pPr>
    </w:p>
    <w:p w14:paraId="6B4E2294"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That the Defendant be ordered to pay the costs of the action on an attorney and client scale, inclusive of the costs of counsel.</w:t>
      </w:r>
    </w:p>
    <w:p w14:paraId="2F9165E0" w14:textId="77777777" w:rsidR="003C2778" w:rsidRPr="003C2778" w:rsidRDefault="003C2778" w:rsidP="00657706">
      <w:pPr>
        <w:pStyle w:val="ListParagraph"/>
        <w:spacing w:after="0" w:line="276" w:lineRule="auto"/>
        <w:rPr>
          <w:rFonts w:ascii="Arial" w:hAnsi="Arial" w:cs="Arial"/>
          <w:bCs/>
          <w:szCs w:val="24"/>
          <w:lang w:val="en-GB"/>
        </w:rPr>
      </w:pPr>
    </w:p>
    <w:p w14:paraId="41BD28DF"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Further and alternative relief</w:t>
      </w:r>
      <w:r w:rsidR="003C2778">
        <w:rPr>
          <w:rFonts w:ascii="Arial" w:hAnsi="Arial" w:cs="Arial"/>
          <w:bCs/>
          <w:szCs w:val="24"/>
          <w:lang w:val="en-GB"/>
        </w:rPr>
        <w:t>.</w:t>
      </w:r>
    </w:p>
    <w:p w14:paraId="10D5D2D9" w14:textId="77777777" w:rsidR="003C2778" w:rsidRPr="003C2778" w:rsidRDefault="003C2778" w:rsidP="00657706">
      <w:pPr>
        <w:pStyle w:val="ListParagraph"/>
        <w:spacing w:after="0" w:line="276" w:lineRule="auto"/>
        <w:rPr>
          <w:rFonts w:ascii="Arial" w:hAnsi="Arial" w:cs="Arial"/>
          <w:bCs/>
          <w:szCs w:val="24"/>
          <w:lang w:val="en-GB"/>
        </w:rPr>
      </w:pPr>
    </w:p>
    <w:p w14:paraId="0C9DB372" w14:textId="77777777" w:rsid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Ordering the Respondents opposing Part A of this application to pay the costs thereof; and</w:t>
      </w:r>
    </w:p>
    <w:p w14:paraId="18F9C3FB" w14:textId="77777777" w:rsidR="003C2778" w:rsidRPr="003C2778" w:rsidRDefault="003C2778" w:rsidP="00657706">
      <w:pPr>
        <w:pStyle w:val="ListParagraph"/>
        <w:spacing w:after="0" w:line="276" w:lineRule="auto"/>
        <w:rPr>
          <w:rFonts w:ascii="Arial" w:hAnsi="Arial" w:cs="Arial"/>
          <w:bCs/>
          <w:szCs w:val="24"/>
          <w:lang w:val="en-GB"/>
        </w:rPr>
      </w:pPr>
    </w:p>
    <w:p w14:paraId="4894350C" w14:textId="0BA323B6" w:rsidR="00DD4A7D" w:rsidRPr="003C2778" w:rsidRDefault="00DD4A7D" w:rsidP="00657706">
      <w:pPr>
        <w:pStyle w:val="ListParagraph"/>
        <w:numPr>
          <w:ilvl w:val="0"/>
          <w:numId w:val="89"/>
        </w:numPr>
        <w:spacing w:after="0" w:line="276" w:lineRule="auto"/>
        <w:rPr>
          <w:rFonts w:ascii="Arial" w:hAnsi="Arial" w:cs="Arial"/>
          <w:bCs/>
          <w:szCs w:val="24"/>
          <w:lang w:val="en-GB"/>
        </w:rPr>
      </w:pPr>
      <w:r w:rsidRPr="003C2778">
        <w:rPr>
          <w:rFonts w:ascii="Arial" w:hAnsi="Arial" w:cs="Arial"/>
          <w:bCs/>
          <w:szCs w:val="24"/>
          <w:lang w:val="en-GB"/>
        </w:rPr>
        <w:t>Further, and/or alternative relief.</w:t>
      </w:r>
    </w:p>
    <w:p w14:paraId="547662D0" w14:textId="77777777" w:rsidR="00DD4A7D" w:rsidRDefault="00DD4A7D" w:rsidP="00657706">
      <w:pPr>
        <w:spacing w:after="0" w:line="276" w:lineRule="auto"/>
        <w:rPr>
          <w:rFonts w:ascii="Arial" w:hAnsi="Arial" w:cs="Arial"/>
          <w:bCs/>
          <w:szCs w:val="24"/>
          <w:lang w:val="en-GB"/>
        </w:rPr>
      </w:pPr>
    </w:p>
    <w:p w14:paraId="48A1FB34" w14:textId="78F03D04" w:rsidR="00E365D8" w:rsidRDefault="00DD4A7D" w:rsidP="00E365D8">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On the 27</w:t>
      </w:r>
      <w:r w:rsidRPr="00DD4A7D">
        <w:rPr>
          <w:rFonts w:ascii="Arial" w:hAnsi="Arial" w:cs="Arial"/>
          <w:bCs/>
          <w:szCs w:val="24"/>
          <w:vertAlign w:val="superscript"/>
          <w:lang w:val="en-GB"/>
        </w:rPr>
        <w:t>th</w:t>
      </w:r>
      <w:r w:rsidRPr="00DD4A7D">
        <w:rPr>
          <w:rFonts w:ascii="Arial" w:hAnsi="Arial" w:cs="Arial"/>
          <w:bCs/>
          <w:szCs w:val="24"/>
          <w:lang w:val="en-GB"/>
        </w:rPr>
        <w:t xml:space="preserve"> of October 2022, Dosio J made the following order:</w:t>
      </w:r>
    </w:p>
    <w:p w14:paraId="48A376B5" w14:textId="77777777" w:rsidR="00E365D8" w:rsidRPr="00E365D8" w:rsidRDefault="00E365D8" w:rsidP="00E365D8">
      <w:pPr>
        <w:pStyle w:val="ListParagraph"/>
        <w:spacing w:after="0" w:line="276" w:lineRule="auto"/>
        <w:rPr>
          <w:rFonts w:ascii="Arial" w:hAnsi="Arial" w:cs="Arial"/>
          <w:bCs/>
          <w:szCs w:val="24"/>
          <w:lang w:val="en-GB"/>
        </w:rPr>
      </w:pPr>
    </w:p>
    <w:p w14:paraId="466BEA6E" w14:textId="77777777" w:rsidR="003C2778" w:rsidRDefault="003C2778" w:rsidP="00657706">
      <w:pPr>
        <w:spacing w:after="0" w:line="276" w:lineRule="auto"/>
        <w:ind w:left="754" w:firstLine="686"/>
        <w:rPr>
          <w:rFonts w:ascii="Arial" w:hAnsi="Arial" w:cs="Arial"/>
          <w:bCs/>
          <w:szCs w:val="24"/>
          <w:lang w:val="en-GB"/>
        </w:rPr>
      </w:pPr>
    </w:p>
    <w:p w14:paraId="733B25CF" w14:textId="77777777" w:rsidR="003C2778" w:rsidRPr="00E365D8" w:rsidRDefault="00DD4A7D" w:rsidP="007305FC">
      <w:pPr>
        <w:pStyle w:val="ListParagraph"/>
        <w:numPr>
          <w:ilvl w:val="0"/>
          <w:numId w:val="91"/>
        </w:numPr>
        <w:spacing w:after="0" w:line="276" w:lineRule="auto"/>
        <w:ind w:left="2160" w:hanging="720"/>
        <w:rPr>
          <w:rFonts w:ascii="Arial" w:hAnsi="Arial" w:cs="Arial"/>
          <w:bCs/>
          <w:i/>
          <w:iCs/>
          <w:szCs w:val="24"/>
          <w:lang w:val="en-GB"/>
        </w:rPr>
      </w:pPr>
      <w:r w:rsidRPr="00E365D8">
        <w:rPr>
          <w:rFonts w:ascii="Arial" w:hAnsi="Arial" w:cs="Arial"/>
          <w:bCs/>
          <w:i/>
          <w:iCs/>
          <w:szCs w:val="24"/>
          <w:lang w:val="en-GB"/>
        </w:rPr>
        <w:t>The matter is struck off the roll for lack of urgency.</w:t>
      </w:r>
    </w:p>
    <w:p w14:paraId="403A6EF1" w14:textId="77777777" w:rsidR="003C2778" w:rsidRPr="00E365D8" w:rsidRDefault="003C2778" w:rsidP="00657706">
      <w:pPr>
        <w:pStyle w:val="ListParagraph"/>
        <w:spacing w:after="0" w:line="276" w:lineRule="auto"/>
        <w:ind w:left="1800"/>
        <w:rPr>
          <w:rFonts w:ascii="Arial" w:hAnsi="Arial" w:cs="Arial"/>
          <w:bCs/>
          <w:i/>
          <w:iCs/>
          <w:szCs w:val="24"/>
          <w:lang w:val="en-GB"/>
        </w:rPr>
      </w:pPr>
    </w:p>
    <w:p w14:paraId="3FC72AD0" w14:textId="6D6CB878" w:rsidR="00DD4A7D" w:rsidRPr="00E365D8" w:rsidRDefault="00DD4A7D" w:rsidP="007305FC">
      <w:pPr>
        <w:pStyle w:val="ListParagraph"/>
        <w:numPr>
          <w:ilvl w:val="0"/>
          <w:numId w:val="91"/>
        </w:numPr>
        <w:spacing w:after="0" w:line="276" w:lineRule="auto"/>
        <w:ind w:left="2160" w:hanging="720"/>
        <w:rPr>
          <w:rFonts w:ascii="Arial" w:hAnsi="Arial" w:cs="Arial"/>
          <w:bCs/>
          <w:i/>
          <w:iCs/>
          <w:szCs w:val="24"/>
          <w:lang w:val="en-GB"/>
        </w:rPr>
      </w:pPr>
      <w:r w:rsidRPr="00E365D8">
        <w:rPr>
          <w:rFonts w:ascii="Arial" w:hAnsi="Arial" w:cs="Arial"/>
          <w:bCs/>
          <w:i/>
          <w:iCs/>
          <w:szCs w:val="24"/>
          <w:lang w:val="en-GB"/>
        </w:rPr>
        <w:t>Each party to pay their own costs.</w:t>
      </w:r>
    </w:p>
    <w:p w14:paraId="60D2B0C6" w14:textId="77777777" w:rsidR="00DD4A7D" w:rsidRPr="00E365D8" w:rsidRDefault="00DD4A7D" w:rsidP="00657706">
      <w:pPr>
        <w:spacing w:after="0" w:line="276" w:lineRule="auto"/>
        <w:rPr>
          <w:rFonts w:ascii="Arial" w:hAnsi="Arial" w:cs="Arial"/>
          <w:bCs/>
          <w:i/>
          <w:iCs/>
          <w:szCs w:val="24"/>
          <w:lang w:val="en-GB"/>
        </w:rPr>
      </w:pPr>
    </w:p>
    <w:p w14:paraId="56C23A23" w14:textId="1CBCB316" w:rsidR="00DD4A7D" w:rsidRPr="00DD4A7D" w:rsidRDefault="00DD4A7D" w:rsidP="00657706">
      <w:pPr>
        <w:pStyle w:val="ListParagraph"/>
        <w:numPr>
          <w:ilvl w:val="0"/>
          <w:numId w:val="77"/>
        </w:numPr>
        <w:spacing w:after="0" w:line="276" w:lineRule="auto"/>
        <w:ind w:left="720" w:hanging="686"/>
        <w:rPr>
          <w:rFonts w:ascii="Arial" w:hAnsi="Arial" w:cs="Arial"/>
          <w:bCs/>
          <w:i/>
          <w:iCs/>
          <w:szCs w:val="24"/>
          <w:lang w:val="en-GB"/>
        </w:rPr>
      </w:pPr>
      <w:r w:rsidRPr="00DD4A7D">
        <w:rPr>
          <w:rFonts w:ascii="Arial" w:hAnsi="Arial" w:cs="Arial"/>
          <w:bCs/>
          <w:szCs w:val="24"/>
          <w:lang w:val="en-GB"/>
        </w:rPr>
        <w:t>The matter was set down on the Opposed Motion court roll and was heard by this Court on the 13</w:t>
      </w:r>
      <w:r w:rsidRPr="00DD4A7D">
        <w:rPr>
          <w:rFonts w:ascii="Arial" w:hAnsi="Arial" w:cs="Arial"/>
          <w:bCs/>
          <w:szCs w:val="24"/>
          <w:vertAlign w:val="superscript"/>
          <w:lang w:val="en-GB"/>
        </w:rPr>
        <w:t>th</w:t>
      </w:r>
      <w:r w:rsidRPr="00DD4A7D">
        <w:rPr>
          <w:rFonts w:ascii="Arial" w:hAnsi="Arial" w:cs="Arial"/>
          <w:bCs/>
          <w:szCs w:val="24"/>
          <w:lang w:val="en-GB"/>
        </w:rPr>
        <w:t xml:space="preserve"> of March 2023. It was always the intention of this Court to deliver a written judgment in this matter.  In light of, </w:t>
      </w:r>
      <w:r w:rsidRPr="00DD4A7D">
        <w:rPr>
          <w:rFonts w:ascii="Arial" w:hAnsi="Arial" w:cs="Arial"/>
          <w:bCs/>
          <w:i/>
          <w:iCs/>
          <w:szCs w:val="24"/>
          <w:lang w:val="en-GB"/>
        </w:rPr>
        <w:t>inter alia</w:t>
      </w:r>
      <w:r w:rsidRPr="00DD4A7D">
        <w:rPr>
          <w:rFonts w:ascii="Arial" w:hAnsi="Arial" w:cs="Arial"/>
          <w:bCs/>
          <w:szCs w:val="24"/>
          <w:lang w:val="en-GB"/>
        </w:rPr>
        <w:t xml:space="preserve">, the onerous workload under which this Court has been placed, this has simply not been possible without incurring further delays in the handing down of the judgment. In the premises, this judgment is being delivered </w:t>
      </w:r>
      <w:r w:rsidRPr="00DD4A7D">
        <w:rPr>
          <w:rFonts w:ascii="Arial" w:hAnsi="Arial" w:cs="Arial"/>
          <w:bCs/>
          <w:i/>
          <w:iCs/>
          <w:szCs w:val="24"/>
          <w:lang w:val="en-GB"/>
        </w:rPr>
        <w:t xml:space="preserve">ex tempore. </w:t>
      </w:r>
      <w:r w:rsidRPr="00DD4A7D">
        <w:rPr>
          <w:rFonts w:ascii="Arial" w:hAnsi="Arial" w:cs="Arial"/>
          <w:bCs/>
          <w:szCs w:val="24"/>
          <w:lang w:val="en-GB"/>
        </w:rPr>
        <w:t xml:space="preserve">Once transcribed, it will be “converted”, or more correctly “transformed”, into a written judgment and provided to the parties. In this manner neither the quality of the judgment nor the time period in which the judgment is delivered, will be compromised.  This Court is indebted to the transcription services of this Division who generally provide transcripts of judgments emanating from this Court within a short period of time following the deliver thereof on an </w:t>
      </w:r>
      <w:r w:rsidRPr="00DD4A7D">
        <w:rPr>
          <w:rFonts w:ascii="Arial" w:hAnsi="Arial" w:cs="Arial"/>
          <w:bCs/>
          <w:i/>
          <w:iCs/>
          <w:szCs w:val="24"/>
          <w:lang w:val="en-GB"/>
        </w:rPr>
        <w:t xml:space="preserve">ex tempore </w:t>
      </w:r>
      <w:r w:rsidRPr="00DD4A7D">
        <w:rPr>
          <w:rFonts w:ascii="Arial" w:hAnsi="Arial" w:cs="Arial"/>
          <w:bCs/>
          <w:szCs w:val="24"/>
          <w:lang w:val="en-GB"/>
        </w:rPr>
        <w:t>basis.</w:t>
      </w:r>
      <w:r w:rsidRPr="00DD4A7D">
        <w:rPr>
          <w:rFonts w:ascii="Arial" w:hAnsi="Arial" w:cs="Arial"/>
          <w:bCs/>
          <w:i/>
          <w:iCs/>
          <w:szCs w:val="24"/>
          <w:lang w:val="en-GB"/>
        </w:rPr>
        <w:t xml:space="preserve">  </w:t>
      </w:r>
    </w:p>
    <w:p w14:paraId="613388D7" w14:textId="77777777" w:rsidR="00DD4A7D" w:rsidRDefault="00DD4A7D" w:rsidP="00657706">
      <w:pPr>
        <w:spacing w:after="0" w:line="276" w:lineRule="auto"/>
        <w:rPr>
          <w:rFonts w:ascii="Arial" w:hAnsi="Arial" w:cs="Arial"/>
          <w:b/>
          <w:bCs/>
          <w:szCs w:val="24"/>
          <w:u w:val="single"/>
          <w:lang w:val="en-GB"/>
        </w:rPr>
      </w:pPr>
    </w:p>
    <w:p w14:paraId="743D42FA" w14:textId="37B977BE"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The facts</w:t>
      </w:r>
    </w:p>
    <w:p w14:paraId="038061B9" w14:textId="77777777" w:rsidR="00DD4A7D" w:rsidRDefault="00DD4A7D" w:rsidP="00657706">
      <w:pPr>
        <w:spacing w:after="0" w:line="276" w:lineRule="auto"/>
        <w:rPr>
          <w:rFonts w:ascii="Arial" w:hAnsi="Arial" w:cs="Arial"/>
          <w:bCs/>
          <w:szCs w:val="24"/>
          <w:lang w:val="en-GB"/>
        </w:rPr>
      </w:pPr>
    </w:p>
    <w:p w14:paraId="0663DE8E" w14:textId="77777777" w:rsidR="003C2778"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It is common cause between the parties that on the 10</w:t>
      </w:r>
      <w:r w:rsidRPr="00DD4A7D">
        <w:rPr>
          <w:rFonts w:ascii="Arial" w:hAnsi="Arial" w:cs="Arial"/>
          <w:bCs/>
          <w:szCs w:val="24"/>
          <w:vertAlign w:val="superscript"/>
          <w:lang w:val="en-GB"/>
        </w:rPr>
        <w:t>th</w:t>
      </w:r>
      <w:r w:rsidRPr="00DD4A7D">
        <w:rPr>
          <w:rFonts w:ascii="Arial" w:hAnsi="Arial" w:cs="Arial"/>
          <w:bCs/>
          <w:szCs w:val="24"/>
          <w:lang w:val="en-GB"/>
        </w:rPr>
        <w:t xml:space="preserve"> of January 2020 the Applicants and the Second Respondent entered into no less than three (3) written agreements, namely</w:t>
      </w:r>
      <w:r w:rsidR="003C2778">
        <w:rPr>
          <w:rFonts w:ascii="Arial" w:hAnsi="Arial" w:cs="Arial"/>
          <w:bCs/>
          <w:szCs w:val="24"/>
          <w:lang w:val="en-GB"/>
        </w:rPr>
        <w:t>:</w:t>
      </w:r>
    </w:p>
    <w:p w14:paraId="61692675" w14:textId="77777777" w:rsidR="003C2778" w:rsidRDefault="003C2778" w:rsidP="00657706">
      <w:pPr>
        <w:pStyle w:val="ListParagraph"/>
        <w:spacing w:after="0" w:line="276" w:lineRule="auto"/>
        <w:rPr>
          <w:rFonts w:ascii="Arial" w:hAnsi="Arial" w:cs="Arial"/>
          <w:bCs/>
          <w:szCs w:val="24"/>
          <w:lang w:val="en-GB"/>
        </w:rPr>
      </w:pPr>
    </w:p>
    <w:p w14:paraId="74B407D9" w14:textId="77777777" w:rsidR="003C2778" w:rsidRDefault="00DD4A7D" w:rsidP="00657706">
      <w:pPr>
        <w:pStyle w:val="ListParagraph"/>
        <w:numPr>
          <w:ilvl w:val="1"/>
          <w:numId w:val="92"/>
        </w:numPr>
        <w:spacing w:after="0" w:line="276" w:lineRule="auto"/>
        <w:ind w:left="1440" w:hanging="720"/>
        <w:rPr>
          <w:rFonts w:ascii="Arial" w:hAnsi="Arial" w:cs="Arial"/>
          <w:bCs/>
          <w:szCs w:val="24"/>
          <w:lang w:val="en-GB"/>
        </w:rPr>
      </w:pPr>
      <w:r w:rsidRPr="003C2778">
        <w:rPr>
          <w:rFonts w:ascii="Arial" w:hAnsi="Arial" w:cs="Arial"/>
          <w:bCs/>
          <w:szCs w:val="24"/>
          <w:lang w:val="en-GB"/>
        </w:rPr>
        <w:t>The Exclusive Management Agreement (“</w:t>
      </w:r>
      <w:r w:rsidRPr="003C2778">
        <w:rPr>
          <w:rFonts w:ascii="Arial" w:hAnsi="Arial" w:cs="Arial"/>
          <w:bCs/>
          <w:i/>
          <w:iCs/>
          <w:szCs w:val="24"/>
          <w:lang w:val="en-GB"/>
        </w:rPr>
        <w:t>the Management Agreement</w:t>
      </w:r>
      <w:r w:rsidRPr="003C2778">
        <w:rPr>
          <w:rFonts w:ascii="Arial" w:hAnsi="Arial" w:cs="Arial"/>
          <w:bCs/>
          <w:szCs w:val="24"/>
          <w:lang w:val="en-GB"/>
        </w:rPr>
        <w:t>”);</w:t>
      </w:r>
    </w:p>
    <w:p w14:paraId="7FB49CC5" w14:textId="77777777" w:rsidR="003C2778" w:rsidRDefault="003C2778" w:rsidP="00657706">
      <w:pPr>
        <w:pStyle w:val="ListParagraph"/>
        <w:spacing w:after="0" w:line="276" w:lineRule="auto"/>
        <w:ind w:left="1440"/>
        <w:rPr>
          <w:rFonts w:ascii="Arial" w:hAnsi="Arial" w:cs="Arial"/>
          <w:bCs/>
          <w:szCs w:val="24"/>
          <w:lang w:val="en-GB"/>
        </w:rPr>
      </w:pPr>
    </w:p>
    <w:p w14:paraId="757A463F" w14:textId="77777777" w:rsidR="003C2778" w:rsidRDefault="00DD4A7D" w:rsidP="00657706">
      <w:pPr>
        <w:pStyle w:val="ListParagraph"/>
        <w:numPr>
          <w:ilvl w:val="1"/>
          <w:numId w:val="92"/>
        </w:numPr>
        <w:spacing w:after="0" w:line="276" w:lineRule="auto"/>
        <w:ind w:left="1440" w:hanging="720"/>
        <w:rPr>
          <w:rFonts w:ascii="Arial" w:hAnsi="Arial" w:cs="Arial"/>
          <w:bCs/>
          <w:szCs w:val="24"/>
          <w:lang w:val="en-GB"/>
        </w:rPr>
      </w:pPr>
      <w:r w:rsidRPr="003C2778">
        <w:rPr>
          <w:rFonts w:ascii="Arial" w:hAnsi="Arial" w:cs="Arial"/>
          <w:bCs/>
          <w:szCs w:val="24"/>
          <w:lang w:val="en-GB"/>
        </w:rPr>
        <w:t>The Publishing Agreement (“</w:t>
      </w:r>
      <w:r w:rsidRPr="003C2778">
        <w:rPr>
          <w:rFonts w:ascii="Arial" w:hAnsi="Arial" w:cs="Arial"/>
          <w:bCs/>
          <w:i/>
          <w:iCs/>
          <w:szCs w:val="24"/>
          <w:lang w:val="en-GB"/>
        </w:rPr>
        <w:t>the Publishing Agreement</w:t>
      </w:r>
      <w:r w:rsidRPr="003C2778">
        <w:rPr>
          <w:rFonts w:ascii="Arial" w:hAnsi="Arial" w:cs="Arial"/>
          <w:bCs/>
          <w:szCs w:val="24"/>
          <w:lang w:val="en-GB"/>
        </w:rPr>
        <w:t>”); an</w:t>
      </w:r>
      <w:r w:rsidR="003C2778">
        <w:rPr>
          <w:rFonts w:ascii="Arial" w:hAnsi="Arial" w:cs="Arial"/>
          <w:bCs/>
          <w:szCs w:val="24"/>
          <w:lang w:val="en-GB"/>
        </w:rPr>
        <w:t>d</w:t>
      </w:r>
    </w:p>
    <w:p w14:paraId="6EE5E382" w14:textId="77777777" w:rsidR="003C2778" w:rsidRPr="003C2778" w:rsidRDefault="003C2778" w:rsidP="00657706">
      <w:pPr>
        <w:pStyle w:val="ListParagraph"/>
        <w:spacing w:after="0" w:line="276" w:lineRule="auto"/>
        <w:rPr>
          <w:rFonts w:ascii="Arial" w:hAnsi="Arial" w:cs="Arial"/>
          <w:bCs/>
          <w:szCs w:val="24"/>
          <w:lang w:val="en-GB"/>
        </w:rPr>
      </w:pPr>
    </w:p>
    <w:p w14:paraId="7BF850CA" w14:textId="681E8251" w:rsidR="00DD4A7D" w:rsidRPr="003C2778" w:rsidRDefault="00DD4A7D" w:rsidP="00657706">
      <w:pPr>
        <w:pStyle w:val="ListParagraph"/>
        <w:numPr>
          <w:ilvl w:val="1"/>
          <w:numId w:val="92"/>
        </w:numPr>
        <w:spacing w:after="0" w:line="276" w:lineRule="auto"/>
        <w:ind w:left="1440" w:hanging="720"/>
        <w:rPr>
          <w:rFonts w:ascii="Arial" w:hAnsi="Arial" w:cs="Arial"/>
          <w:bCs/>
          <w:szCs w:val="24"/>
          <w:lang w:val="en-GB"/>
        </w:rPr>
      </w:pPr>
      <w:r w:rsidRPr="003C2778">
        <w:rPr>
          <w:rFonts w:ascii="Arial" w:hAnsi="Arial" w:cs="Arial"/>
          <w:bCs/>
          <w:szCs w:val="24"/>
          <w:lang w:val="en-GB"/>
        </w:rPr>
        <w:t>The Artist Management Agreement (“</w:t>
      </w:r>
      <w:r w:rsidRPr="003C2778">
        <w:rPr>
          <w:rFonts w:ascii="Arial" w:hAnsi="Arial" w:cs="Arial"/>
          <w:bCs/>
          <w:i/>
          <w:iCs/>
          <w:szCs w:val="24"/>
          <w:lang w:val="en-GB"/>
        </w:rPr>
        <w:t>the Artist Agreement</w:t>
      </w:r>
      <w:r w:rsidRPr="003C2778">
        <w:rPr>
          <w:rFonts w:ascii="Arial" w:hAnsi="Arial" w:cs="Arial"/>
          <w:bCs/>
          <w:szCs w:val="24"/>
          <w:lang w:val="en-GB"/>
        </w:rPr>
        <w:t xml:space="preserve">”). </w:t>
      </w:r>
    </w:p>
    <w:p w14:paraId="3142F0E9" w14:textId="77777777" w:rsidR="00DD4A7D" w:rsidRDefault="00DD4A7D" w:rsidP="00657706">
      <w:pPr>
        <w:spacing w:after="0" w:line="276" w:lineRule="auto"/>
        <w:rPr>
          <w:rFonts w:ascii="Arial" w:hAnsi="Arial" w:cs="Arial"/>
          <w:bCs/>
          <w:szCs w:val="24"/>
          <w:lang w:val="en-GB"/>
        </w:rPr>
      </w:pPr>
    </w:p>
    <w:p w14:paraId="650DE1F8" w14:textId="05E076B7"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During the course of approximately the two (2) years following the entering into of the agreements as aforesaid the Applicants allege that they became increasingly dissatisfied with, </w:t>
      </w:r>
      <w:r w:rsidRPr="00DD4A7D">
        <w:rPr>
          <w:rFonts w:ascii="Arial" w:hAnsi="Arial" w:cs="Arial"/>
          <w:bCs/>
          <w:i/>
          <w:iCs/>
          <w:szCs w:val="24"/>
          <w:lang w:val="en-GB"/>
        </w:rPr>
        <w:t>inter alia</w:t>
      </w:r>
      <w:r w:rsidRPr="00DD4A7D">
        <w:rPr>
          <w:rFonts w:ascii="Arial" w:hAnsi="Arial" w:cs="Arial"/>
          <w:bCs/>
          <w:szCs w:val="24"/>
          <w:lang w:val="en-GB"/>
        </w:rPr>
        <w:t>, the service and payments they were receiving from the Second Respondent in terms thereof. This gave rise to the Applicants (on their version) cancelling all three (3) agreements on the 7</w:t>
      </w:r>
      <w:r w:rsidRPr="00DD4A7D">
        <w:rPr>
          <w:rFonts w:ascii="Arial" w:hAnsi="Arial" w:cs="Arial"/>
          <w:bCs/>
          <w:szCs w:val="24"/>
          <w:vertAlign w:val="superscript"/>
          <w:lang w:val="en-GB"/>
        </w:rPr>
        <w:t>th</w:t>
      </w:r>
      <w:r w:rsidRPr="00DD4A7D">
        <w:rPr>
          <w:rFonts w:ascii="Arial" w:hAnsi="Arial" w:cs="Arial"/>
          <w:bCs/>
          <w:szCs w:val="24"/>
          <w:lang w:val="en-GB"/>
        </w:rPr>
        <w:t xml:space="preserve"> of January 2022.  Whilst it was conceded (correctly) on behalf of the Applicants by their Counsel that the letter of the Applicants purporting to terminate the agreements on 7 January 2022 does not expressly rely on breach as a ground for termination, it does mention “</w:t>
      </w:r>
      <w:r w:rsidRPr="00DD4A7D">
        <w:rPr>
          <w:rFonts w:ascii="Arial" w:hAnsi="Arial" w:cs="Arial"/>
          <w:bCs/>
          <w:i/>
          <w:iCs/>
          <w:szCs w:val="24"/>
          <w:lang w:val="en-GB"/>
        </w:rPr>
        <w:t>outstanding performance funds owed to Blaq Diamond</w:t>
      </w:r>
      <w:r w:rsidRPr="00DD4A7D">
        <w:rPr>
          <w:rFonts w:ascii="Arial" w:hAnsi="Arial" w:cs="Arial"/>
          <w:bCs/>
          <w:szCs w:val="24"/>
          <w:lang w:val="en-GB"/>
        </w:rPr>
        <w:t>”.</w:t>
      </w:r>
    </w:p>
    <w:p w14:paraId="5EDD51E0" w14:textId="77777777" w:rsidR="00DD4A7D" w:rsidRDefault="00DD4A7D" w:rsidP="00657706">
      <w:pPr>
        <w:pStyle w:val="ListParagraph"/>
        <w:spacing w:after="0" w:line="276" w:lineRule="auto"/>
        <w:rPr>
          <w:rFonts w:ascii="Arial" w:hAnsi="Arial" w:cs="Arial"/>
          <w:bCs/>
          <w:szCs w:val="24"/>
          <w:lang w:val="en-GB"/>
        </w:rPr>
      </w:pPr>
    </w:p>
    <w:p w14:paraId="57A17F64" w14:textId="4C23CCE4"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Thereafter and on the 14</w:t>
      </w:r>
      <w:r w:rsidRPr="00DD4A7D">
        <w:rPr>
          <w:rFonts w:ascii="Arial" w:hAnsi="Arial" w:cs="Arial"/>
          <w:bCs/>
          <w:szCs w:val="24"/>
          <w:vertAlign w:val="superscript"/>
          <w:lang w:val="en-GB"/>
        </w:rPr>
        <w:t>th</w:t>
      </w:r>
      <w:r w:rsidRPr="00DD4A7D">
        <w:rPr>
          <w:rFonts w:ascii="Arial" w:hAnsi="Arial" w:cs="Arial"/>
          <w:bCs/>
          <w:szCs w:val="24"/>
          <w:lang w:val="en-GB"/>
        </w:rPr>
        <w:t xml:space="preserve"> of March 2022 the Applicants gave notice of breach to the Second Respondent in respect of the Artist Agreement. On the 15</w:t>
      </w:r>
      <w:r w:rsidRPr="00DD4A7D">
        <w:rPr>
          <w:rFonts w:ascii="Arial" w:hAnsi="Arial" w:cs="Arial"/>
          <w:bCs/>
          <w:szCs w:val="24"/>
          <w:vertAlign w:val="superscript"/>
          <w:lang w:val="en-GB"/>
        </w:rPr>
        <w:t>th</w:t>
      </w:r>
      <w:r w:rsidRPr="00DD4A7D">
        <w:rPr>
          <w:rFonts w:ascii="Arial" w:hAnsi="Arial" w:cs="Arial"/>
          <w:bCs/>
          <w:szCs w:val="24"/>
          <w:lang w:val="en-GB"/>
        </w:rPr>
        <w:t xml:space="preserve"> of June 2022 the Applicants purported to terminate an agreement in terms of the notice given on the 14</w:t>
      </w:r>
      <w:r w:rsidRPr="00DD4A7D">
        <w:rPr>
          <w:rFonts w:ascii="Arial" w:hAnsi="Arial" w:cs="Arial"/>
          <w:bCs/>
          <w:szCs w:val="24"/>
          <w:vertAlign w:val="superscript"/>
          <w:lang w:val="en-GB"/>
        </w:rPr>
        <w:t>th</w:t>
      </w:r>
      <w:r w:rsidRPr="00DD4A7D">
        <w:rPr>
          <w:rFonts w:ascii="Arial" w:hAnsi="Arial" w:cs="Arial"/>
          <w:bCs/>
          <w:szCs w:val="24"/>
          <w:lang w:val="en-GB"/>
        </w:rPr>
        <w:t xml:space="preserve"> of March 2022. However, the agreement the Applicants sought to terminate was the Publishing Agreement and not the Artist Agreement.</w:t>
      </w:r>
    </w:p>
    <w:p w14:paraId="69A100A8" w14:textId="77777777" w:rsidR="00DD4A7D" w:rsidRPr="00DD4A7D" w:rsidRDefault="00DD4A7D" w:rsidP="00657706">
      <w:pPr>
        <w:pStyle w:val="ListParagraph"/>
        <w:spacing w:after="0" w:line="276" w:lineRule="auto"/>
        <w:rPr>
          <w:rFonts w:ascii="Arial" w:hAnsi="Arial" w:cs="Arial"/>
          <w:bCs/>
          <w:szCs w:val="24"/>
          <w:lang w:val="en-GB"/>
        </w:rPr>
      </w:pPr>
    </w:p>
    <w:p w14:paraId="7F69239C" w14:textId="77777777"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Second Respondent denies that it has committed a material breach of any of the agreements and that the Applicants are entitled to lawfully cancel the agreements.</w:t>
      </w:r>
    </w:p>
    <w:p w14:paraId="7F88066A" w14:textId="77777777" w:rsidR="00DD4A7D" w:rsidRPr="00DD4A7D" w:rsidRDefault="00DD4A7D" w:rsidP="00657706">
      <w:pPr>
        <w:pStyle w:val="ListParagraph"/>
        <w:spacing w:after="0" w:line="276" w:lineRule="auto"/>
        <w:rPr>
          <w:rFonts w:ascii="Arial" w:hAnsi="Arial" w:cs="Arial"/>
          <w:bCs/>
          <w:szCs w:val="24"/>
          <w:lang w:val="en-GB"/>
        </w:rPr>
      </w:pPr>
    </w:p>
    <w:p w14:paraId="17C1DE04" w14:textId="3FA253F5" w:rsidR="003C2778"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It is further common cause between the parties that whether or not the Applicants were entitled to lawfully cancel the agreements entered into between the parties</w:t>
      </w:r>
      <w:r w:rsidR="00B476BB">
        <w:rPr>
          <w:rFonts w:ascii="Arial" w:hAnsi="Arial" w:cs="Arial"/>
          <w:bCs/>
          <w:szCs w:val="24"/>
          <w:lang w:val="en-GB"/>
        </w:rPr>
        <w:t>,</w:t>
      </w:r>
      <w:r w:rsidRPr="00DD4A7D">
        <w:rPr>
          <w:rFonts w:ascii="Arial" w:hAnsi="Arial" w:cs="Arial"/>
          <w:bCs/>
          <w:szCs w:val="24"/>
          <w:lang w:val="en-GB"/>
        </w:rPr>
        <w:t xml:space="preserve"> what did happen, was that the Applicants:</w:t>
      </w:r>
    </w:p>
    <w:p w14:paraId="036EF51B" w14:textId="77777777" w:rsidR="003C2778" w:rsidRPr="003C2778" w:rsidRDefault="003C2778" w:rsidP="00657706">
      <w:pPr>
        <w:pStyle w:val="ListParagraph"/>
        <w:spacing w:after="0" w:line="276" w:lineRule="auto"/>
        <w:rPr>
          <w:rFonts w:ascii="Arial" w:hAnsi="Arial" w:cs="Arial"/>
          <w:bCs/>
          <w:szCs w:val="24"/>
          <w:lang w:val="en-GB"/>
        </w:rPr>
      </w:pPr>
    </w:p>
    <w:p w14:paraId="79F72373" w14:textId="77777777" w:rsidR="003C2778" w:rsidRDefault="00DD4A7D" w:rsidP="00657706">
      <w:pPr>
        <w:pStyle w:val="ListParagraph"/>
        <w:numPr>
          <w:ilvl w:val="1"/>
          <w:numId w:val="89"/>
        </w:numPr>
        <w:spacing w:after="0" w:line="276" w:lineRule="auto"/>
        <w:ind w:left="1440" w:hanging="720"/>
        <w:rPr>
          <w:rFonts w:ascii="Arial" w:hAnsi="Arial" w:cs="Arial"/>
          <w:bCs/>
          <w:szCs w:val="24"/>
          <w:lang w:val="en-GB"/>
        </w:rPr>
      </w:pPr>
      <w:r w:rsidRPr="003C2778">
        <w:rPr>
          <w:rFonts w:ascii="Arial" w:hAnsi="Arial" w:cs="Arial"/>
          <w:bCs/>
          <w:szCs w:val="24"/>
          <w:lang w:val="en-GB"/>
        </w:rPr>
        <w:t>with effect from 1 July 2022 entered into an exclusive digital distribution agreement with ELECTROMODE (“</w:t>
      </w:r>
      <w:r w:rsidRPr="003C2778">
        <w:rPr>
          <w:rFonts w:ascii="Arial" w:hAnsi="Arial" w:cs="Arial"/>
          <w:bCs/>
          <w:i/>
          <w:iCs/>
          <w:szCs w:val="24"/>
          <w:lang w:val="en-GB"/>
        </w:rPr>
        <w:t>the Electromode agreement</w:t>
      </w:r>
      <w:r w:rsidRPr="003C2778">
        <w:rPr>
          <w:rFonts w:ascii="Arial" w:hAnsi="Arial" w:cs="Arial"/>
          <w:bCs/>
          <w:szCs w:val="24"/>
          <w:lang w:val="en-GB"/>
        </w:rPr>
        <w:t>”); and</w:t>
      </w:r>
    </w:p>
    <w:p w14:paraId="4791F057" w14:textId="77777777" w:rsidR="003C2778" w:rsidRDefault="003C2778" w:rsidP="00657706">
      <w:pPr>
        <w:pStyle w:val="ListParagraph"/>
        <w:spacing w:after="0" w:line="276" w:lineRule="auto"/>
        <w:ind w:left="1440"/>
        <w:rPr>
          <w:rFonts w:ascii="Arial" w:hAnsi="Arial" w:cs="Arial"/>
          <w:bCs/>
          <w:szCs w:val="24"/>
          <w:lang w:val="en-GB"/>
        </w:rPr>
      </w:pPr>
    </w:p>
    <w:p w14:paraId="5151D061" w14:textId="1917F801" w:rsidR="00DD4A7D" w:rsidRPr="003C2778" w:rsidRDefault="00DD4A7D" w:rsidP="00657706">
      <w:pPr>
        <w:pStyle w:val="ListParagraph"/>
        <w:numPr>
          <w:ilvl w:val="1"/>
          <w:numId w:val="89"/>
        </w:numPr>
        <w:spacing w:after="0" w:line="276" w:lineRule="auto"/>
        <w:ind w:left="1440" w:hanging="720"/>
        <w:rPr>
          <w:rFonts w:ascii="Arial" w:hAnsi="Arial" w:cs="Arial"/>
          <w:bCs/>
          <w:szCs w:val="24"/>
          <w:lang w:val="en-GB"/>
        </w:rPr>
      </w:pPr>
      <w:r w:rsidRPr="003C2778">
        <w:rPr>
          <w:rFonts w:ascii="Arial" w:hAnsi="Arial" w:cs="Arial"/>
          <w:bCs/>
          <w:szCs w:val="24"/>
          <w:lang w:val="en-GB"/>
        </w:rPr>
        <w:t>established their own record label called “</w:t>
      </w:r>
      <w:r w:rsidRPr="003C2778">
        <w:rPr>
          <w:rFonts w:ascii="Arial" w:hAnsi="Arial" w:cs="Arial"/>
          <w:bCs/>
          <w:i/>
          <w:iCs/>
          <w:szCs w:val="24"/>
          <w:lang w:val="en-GB"/>
        </w:rPr>
        <w:t>Umuthu</w:t>
      </w:r>
      <w:r w:rsidRPr="003C2778">
        <w:rPr>
          <w:rFonts w:ascii="Arial" w:hAnsi="Arial" w:cs="Arial"/>
          <w:bCs/>
          <w:szCs w:val="24"/>
          <w:lang w:val="en-GB"/>
        </w:rPr>
        <w:t>” on or about the 21</w:t>
      </w:r>
      <w:r w:rsidRPr="003C2778">
        <w:rPr>
          <w:rFonts w:ascii="Arial" w:hAnsi="Arial" w:cs="Arial"/>
          <w:bCs/>
          <w:szCs w:val="24"/>
          <w:vertAlign w:val="superscript"/>
          <w:lang w:val="en-GB"/>
        </w:rPr>
        <w:t>st</w:t>
      </w:r>
      <w:r w:rsidRPr="003C2778">
        <w:rPr>
          <w:rFonts w:ascii="Arial" w:hAnsi="Arial" w:cs="Arial"/>
          <w:bCs/>
          <w:szCs w:val="24"/>
          <w:lang w:val="en-GB"/>
        </w:rPr>
        <w:t xml:space="preserve"> of February 2022. </w:t>
      </w:r>
    </w:p>
    <w:p w14:paraId="4BDFE3DE" w14:textId="77777777" w:rsidR="003C2778" w:rsidRDefault="003C2778" w:rsidP="00657706">
      <w:pPr>
        <w:spacing w:after="0" w:line="276" w:lineRule="auto"/>
        <w:rPr>
          <w:rFonts w:ascii="Arial" w:hAnsi="Arial" w:cs="Arial"/>
          <w:bCs/>
          <w:szCs w:val="24"/>
          <w:lang w:val="en-GB"/>
        </w:rPr>
      </w:pPr>
    </w:p>
    <w:p w14:paraId="4AB400F0" w14:textId="517BA6D5" w:rsidR="00DD4A7D" w:rsidRPr="00DD4A7D" w:rsidRDefault="00DD4A7D" w:rsidP="00657706">
      <w:pPr>
        <w:spacing w:after="0" w:line="276" w:lineRule="auto"/>
        <w:rPr>
          <w:rFonts w:ascii="Arial" w:hAnsi="Arial" w:cs="Arial"/>
          <w:bCs/>
          <w:szCs w:val="24"/>
          <w:lang w:val="en-GB"/>
        </w:rPr>
      </w:pPr>
      <w:r w:rsidRPr="00DD4A7D">
        <w:rPr>
          <w:rFonts w:ascii="Arial" w:hAnsi="Arial" w:cs="Arial"/>
          <w:bCs/>
          <w:szCs w:val="24"/>
          <w:lang w:val="en-GB"/>
        </w:rPr>
        <w:t xml:space="preserve">For the record, these dates may not be accurate but are as recorded by the Applicants on the application papers and, as stated by the Second Respondent, not much turns on the actual dates of these events.  </w:t>
      </w:r>
    </w:p>
    <w:p w14:paraId="0E7B525E" w14:textId="77777777" w:rsidR="00DD4A7D" w:rsidRDefault="00DD4A7D" w:rsidP="00657706">
      <w:pPr>
        <w:spacing w:after="0" w:line="276" w:lineRule="auto"/>
        <w:rPr>
          <w:rFonts w:ascii="Arial" w:hAnsi="Arial" w:cs="Arial"/>
          <w:bCs/>
          <w:szCs w:val="24"/>
          <w:lang w:val="en-GB"/>
        </w:rPr>
      </w:pPr>
    </w:p>
    <w:p w14:paraId="7694E002" w14:textId="4E0CD0E2"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What </w:t>
      </w:r>
      <w:r w:rsidRPr="00B476BB">
        <w:rPr>
          <w:rFonts w:ascii="Arial" w:hAnsi="Arial" w:cs="Arial"/>
          <w:bCs/>
          <w:i/>
          <w:iCs/>
          <w:szCs w:val="24"/>
          <w:lang w:val="en-GB"/>
        </w:rPr>
        <w:t>is</w:t>
      </w:r>
      <w:r w:rsidRPr="00DD4A7D">
        <w:rPr>
          <w:rFonts w:ascii="Arial" w:hAnsi="Arial" w:cs="Arial"/>
          <w:bCs/>
          <w:szCs w:val="24"/>
          <w:lang w:val="en-GB"/>
        </w:rPr>
        <w:t xml:space="preserve"> relevant, is that the Applicants released three (3) songs through this record label, namely “</w:t>
      </w:r>
      <w:r w:rsidRPr="00DD4A7D">
        <w:rPr>
          <w:rFonts w:ascii="Arial" w:hAnsi="Arial" w:cs="Arial"/>
          <w:bCs/>
          <w:i/>
          <w:iCs/>
          <w:szCs w:val="24"/>
          <w:lang w:val="en-GB"/>
        </w:rPr>
        <w:t>Quoma</w:t>
      </w:r>
      <w:r w:rsidR="00B476BB">
        <w:rPr>
          <w:rFonts w:ascii="Arial" w:hAnsi="Arial" w:cs="Arial"/>
          <w:bCs/>
          <w:i/>
          <w:iCs/>
          <w:szCs w:val="24"/>
          <w:lang w:val="en-GB"/>
        </w:rPr>
        <w:t>”,</w:t>
      </w:r>
      <w:r w:rsidRPr="00DD4A7D">
        <w:rPr>
          <w:rFonts w:ascii="Arial" w:hAnsi="Arial" w:cs="Arial"/>
          <w:bCs/>
          <w:i/>
          <w:iCs/>
          <w:szCs w:val="24"/>
          <w:lang w:val="en-GB"/>
        </w:rPr>
        <w:t xml:space="preserve"> </w:t>
      </w:r>
      <w:r w:rsidR="00B476BB">
        <w:rPr>
          <w:rFonts w:ascii="Arial" w:hAnsi="Arial" w:cs="Arial"/>
          <w:bCs/>
          <w:i/>
          <w:iCs/>
          <w:szCs w:val="24"/>
          <w:lang w:val="en-GB"/>
        </w:rPr>
        <w:t>“</w:t>
      </w:r>
      <w:r w:rsidRPr="00DD4A7D">
        <w:rPr>
          <w:rFonts w:ascii="Arial" w:hAnsi="Arial" w:cs="Arial"/>
          <w:bCs/>
          <w:i/>
          <w:iCs/>
          <w:szCs w:val="24"/>
          <w:lang w:val="en-GB"/>
        </w:rPr>
        <w:t>Llanga</w:t>
      </w:r>
      <w:r w:rsidR="00B476BB">
        <w:rPr>
          <w:rFonts w:ascii="Arial" w:hAnsi="Arial" w:cs="Arial"/>
          <w:bCs/>
          <w:i/>
          <w:iCs/>
          <w:szCs w:val="24"/>
          <w:lang w:val="en-GB"/>
        </w:rPr>
        <w:t>”</w:t>
      </w:r>
      <w:r w:rsidRPr="00DD4A7D">
        <w:rPr>
          <w:rFonts w:ascii="Arial" w:hAnsi="Arial" w:cs="Arial"/>
          <w:bCs/>
          <w:i/>
          <w:iCs/>
          <w:szCs w:val="24"/>
          <w:lang w:val="en-GB"/>
        </w:rPr>
        <w:t xml:space="preserve"> </w:t>
      </w:r>
      <w:r w:rsidRPr="00DD4A7D">
        <w:rPr>
          <w:rFonts w:ascii="Arial" w:hAnsi="Arial" w:cs="Arial"/>
          <w:bCs/>
          <w:szCs w:val="24"/>
          <w:lang w:val="en-GB"/>
        </w:rPr>
        <w:t>and</w:t>
      </w:r>
      <w:r w:rsidRPr="00DD4A7D">
        <w:rPr>
          <w:rFonts w:ascii="Arial" w:hAnsi="Arial" w:cs="Arial"/>
          <w:bCs/>
          <w:i/>
          <w:iCs/>
          <w:szCs w:val="24"/>
          <w:lang w:val="en-GB"/>
        </w:rPr>
        <w:t xml:space="preserve"> </w:t>
      </w:r>
      <w:r w:rsidR="00B476BB">
        <w:rPr>
          <w:rFonts w:ascii="Arial" w:hAnsi="Arial" w:cs="Arial"/>
          <w:bCs/>
          <w:i/>
          <w:iCs/>
          <w:szCs w:val="24"/>
          <w:lang w:val="en-GB"/>
        </w:rPr>
        <w:t>“</w:t>
      </w:r>
      <w:r w:rsidRPr="00DD4A7D">
        <w:rPr>
          <w:rFonts w:ascii="Arial" w:hAnsi="Arial" w:cs="Arial"/>
          <w:bCs/>
          <w:i/>
          <w:iCs/>
          <w:szCs w:val="24"/>
          <w:lang w:val="en-GB"/>
        </w:rPr>
        <w:t>Fireworks</w:t>
      </w:r>
      <w:r w:rsidRPr="00DD4A7D">
        <w:rPr>
          <w:rFonts w:ascii="Arial" w:hAnsi="Arial" w:cs="Arial"/>
          <w:bCs/>
          <w:szCs w:val="24"/>
          <w:lang w:val="en-GB"/>
        </w:rPr>
        <w:t>” (“</w:t>
      </w:r>
      <w:r w:rsidRPr="00DD4A7D">
        <w:rPr>
          <w:rFonts w:ascii="Arial" w:hAnsi="Arial" w:cs="Arial"/>
          <w:bCs/>
          <w:i/>
          <w:iCs/>
          <w:szCs w:val="24"/>
          <w:lang w:val="en-GB"/>
        </w:rPr>
        <w:t>the songs</w:t>
      </w:r>
      <w:r w:rsidRPr="00DD4A7D">
        <w:rPr>
          <w:rFonts w:ascii="Arial" w:hAnsi="Arial" w:cs="Arial"/>
          <w:bCs/>
          <w:szCs w:val="24"/>
          <w:lang w:val="en-GB"/>
        </w:rPr>
        <w:t>”). The songs were released on the Applicants’ channel on the First Respondent. In reaction to this and because the Second Respondent was of the opinion that the agreements between the parties were still in existence, it served what have been loosely referred to as “</w:t>
      </w:r>
      <w:r w:rsidRPr="00DD4A7D">
        <w:rPr>
          <w:rFonts w:ascii="Arial" w:hAnsi="Arial" w:cs="Arial"/>
          <w:bCs/>
          <w:i/>
          <w:iCs/>
          <w:szCs w:val="24"/>
          <w:lang w:val="en-GB"/>
        </w:rPr>
        <w:t>take down notices</w:t>
      </w:r>
      <w:r w:rsidRPr="00DD4A7D">
        <w:rPr>
          <w:rFonts w:ascii="Arial" w:hAnsi="Arial" w:cs="Arial"/>
          <w:bCs/>
          <w:szCs w:val="24"/>
          <w:lang w:val="en-GB"/>
        </w:rPr>
        <w:t>” upon the First Respondent. These notices advised the First Respondent that the Applicants were in breach of the agreements between themselves and the Second Respondent by releasing the songs on the First Respondent’s platform and that they should be removed. This in turn resulted in the First Respondent advising the Applicants that if the songs were not removed the First Respondent would remove the Applicants’ account from its channel.  Hence, the urgent application by the Applicants for the interim interdict on the 27</w:t>
      </w:r>
      <w:r w:rsidRPr="00DD4A7D">
        <w:rPr>
          <w:rFonts w:ascii="Arial" w:hAnsi="Arial" w:cs="Arial"/>
          <w:bCs/>
          <w:szCs w:val="24"/>
          <w:vertAlign w:val="superscript"/>
          <w:lang w:val="en-GB"/>
        </w:rPr>
        <w:t>th</w:t>
      </w:r>
      <w:r w:rsidRPr="00DD4A7D">
        <w:rPr>
          <w:rFonts w:ascii="Arial" w:hAnsi="Arial" w:cs="Arial"/>
          <w:bCs/>
          <w:szCs w:val="24"/>
          <w:lang w:val="en-GB"/>
        </w:rPr>
        <w:t xml:space="preserve"> of October 2022.  </w:t>
      </w:r>
    </w:p>
    <w:p w14:paraId="754DAE29" w14:textId="77777777" w:rsidR="00DD4A7D" w:rsidRDefault="00DD4A7D" w:rsidP="00657706">
      <w:pPr>
        <w:spacing w:after="0" w:line="276" w:lineRule="auto"/>
        <w:rPr>
          <w:rFonts w:ascii="Arial" w:hAnsi="Arial" w:cs="Arial"/>
          <w:b/>
          <w:bCs/>
          <w:szCs w:val="24"/>
          <w:u w:val="single"/>
          <w:lang w:val="en-GB"/>
        </w:rPr>
      </w:pPr>
    </w:p>
    <w:p w14:paraId="4862B159" w14:textId="4DD4BC6E"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The nature of the relief sought by the Applicants</w:t>
      </w:r>
    </w:p>
    <w:p w14:paraId="0C922FDE" w14:textId="77777777" w:rsidR="00DD4A7D" w:rsidRDefault="00DD4A7D" w:rsidP="00657706">
      <w:pPr>
        <w:spacing w:after="0" w:line="276" w:lineRule="auto"/>
        <w:rPr>
          <w:rFonts w:ascii="Arial" w:hAnsi="Arial" w:cs="Arial"/>
          <w:bCs/>
          <w:szCs w:val="24"/>
          <w:lang w:val="en-GB"/>
        </w:rPr>
      </w:pPr>
    </w:p>
    <w:p w14:paraId="7CF3E90E" w14:textId="10FDC136"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relief sought by the Applicants before this Court is identical to that as was sought before the urgent court on the 27</w:t>
      </w:r>
      <w:r w:rsidRPr="00DD4A7D">
        <w:rPr>
          <w:rFonts w:ascii="Arial" w:hAnsi="Arial" w:cs="Arial"/>
          <w:bCs/>
          <w:szCs w:val="24"/>
          <w:vertAlign w:val="superscript"/>
          <w:lang w:val="en-GB"/>
        </w:rPr>
        <w:t>th</w:t>
      </w:r>
      <w:r w:rsidRPr="00DD4A7D">
        <w:rPr>
          <w:rFonts w:ascii="Arial" w:hAnsi="Arial" w:cs="Arial"/>
          <w:bCs/>
          <w:szCs w:val="24"/>
          <w:lang w:val="en-GB"/>
        </w:rPr>
        <w:t xml:space="preserve"> of October 2022.</w:t>
      </w:r>
      <w:r w:rsidR="003C2778">
        <w:rPr>
          <w:rStyle w:val="FootnoteReference"/>
          <w:rFonts w:ascii="Arial" w:hAnsi="Arial" w:cs="Arial"/>
          <w:bCs/>
          <w:szCs w:val="24"/>
          <w:lang w:val="en-GB"/>
        </w:rPr>
        <w:footnoteReference w:id="2"/>
      </w:r>
      <w:r w:rsidRPr="00DD4A7D">
        <w:rPr>
          <w:rFonts w:ascii="Arial" w:hAnsi="Arial" w:cs="Arial"/>
          <w:bCs/>
          <w:szCs w:val="24"/>
          <w:lang w:val="en-GB"/>
        </w:rPr>
        <w:t xml:space="preserve"> In the premises, this Court must decide whether or not to grant the Applicants the relief sought in PART A of the Applicants’ Notice of Motion which is in the form of a prohibitory interim interdict pending the final determination of PART B of the same Notice of Motion.</w:t>
      </w:r>
    </w:p>
    <w:p w14:paraId="34B998A5" w14:textId="77777777" w:rsidR="00DD4A7D" w:rsidRDefault="00DD4A7D" w:rsidP="00657706">
      <w:pPr>
        <w:pStyle w:val="ListParagraph"/>
        <w:spacing w:after="0" w:line="276" w:lineRule="auto"/>
        <w:rPr>
          <w:rFonts w:ascii="Arial" w:hAnsi="Arial" w:cs="Arial"/>
          <w:bCs/>
          <w:szCs w:val="24"/>
          <w:lang w:val="en-GB"/>
        </w:rPr>
      </w:pPr>
    </w:p>
    <w:p w14:paraId="1009BB7C" w14:textId="77777777" w:rsidR="003C2778"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It is trite that the requirements for the granting of an interim interdict are, in general, the following</w:t>
      </w:r>
      <w:r w:rsidR="003C2778">
        <w:rPr>
          <w:rFonts w:ascii="Arial" w:hAnsi="Arial" w:cs="Arial"/>
          <w:bCs/>
          <w:szCs w:val="24"/>
          <w:lang w:val="en-GB"/>
        </w:rPr>
        <w:t>:</w:t>
      </w:r>
    </w:p>
    <w:p w14:paraId="606A4F93" w14:textId="77777777" w:rsidR="003C2778" w:rsidRPr="003C2778" w:rsidRDefault="003C2778" w:rsidP="00657706">
      <w:pPr>
        <w:pStyle w:val="ListParagraph"/>
        <w:spacing w:after="0" w:line="276" w:lineRule="auto"/>
        <w:rPr>
          <w:rFonts w:ascii="Arial" w:hAnsi="Arial" w:cs="Arial"/>
          <w:bCs/>
          <w:szCs w:val="24"/>
          <w:lang w:val="en-GB"/>
        </w:rPr>
      </w:pPr>
    </w:p>
    <w:p w14:paraId="4CA8BC32" w14:textId="77777777" w:rsidR="003C2778" w:rsidRDefault="00DD4A7D" w:rsidP="00657706">
      <w:pPr>
        <w:pStyle w:val="ListParagraph"/>
        <w:numPr>
          <w:ilvl w:val="1"/>
          <w:numId w:val="93"/>
        </w:numPr>
        <w:spacing w:after="0" w:line="276" w:lineRule="auto"/>
        <w:rPr>
          <w:rFonts w:ascii="Arial" w:hAnsi="Arial" w:cs="Arial"/>
          <w:bCs/>
          <w:szCs w:val="24"/>
          <w:lang w:val="en-GB"/>
        </w:rPr>
      </w:pPr>
      <w:r w:rsidRPr="003C2778">
        <w:rPr>
          <w:rFonts w:ascii="Arial" w:hAnsi="Arial" w:cs="Arial"/>
          <w:bCs/>
          <w:szCs w:val="24"/>
          <w:lang w:val="en-GB"/>
        </w:rPr>
        <w:t xml:space="preserve">A </w:t>
      </w:r>
      <w:r w:rsidRPr="003C2778">
        <w:rPr>
          <w:rFonts w:ascii="Arial" w:hAnsi="Arial" w:cs="Arial"/>
          <w:bCs/>
          <w:i/>
          <w:iCs/>
          <w:szCs w:val="24"/>
          <w:lang w:val="en-GB"/>
        </w:rPr>
        <w:t>prima facie</w:t>
      </w:r>
      <w:r w:rsidRPr="003C2778">
        <w:rPr>
          <w:rFonts w:ascii="Arial" w:hAnsi="Arial" w:cs="Arial"/>
          <w:bCs/>
          <w:szCs w:val="24"/>
          <w:lang w:val="en-GB"/>
        </w:rPr>
        <w:t xml:space="preserve"> right;</w:t>
      </w:r>
    </w:p>
    <w:p w14:paraId="7F46DAD5" w14:textId="77777777" w:rsidR="003C2778" w:rsidRDefault="003C2778" w:rsidP="00657706">
      <w:pPr>
        <w:pStyle w:val="ListParagraph"/>
        <w:spacing w:after="0" w:line="276" w:lineRule="auto"/>
        <w:ind w:left="1180"/>
        <w:rPr>
          <w:rFonts w:ascii="Arial" w:hAnsi="Arial" w:cs="Arial"/>
          <w:bCs/>
          <w:szCs w:val="24"/>
          <w:lang w:val="en-GB"/>
        </w:rPr>
      </w:pPr>
    </w:p>
    <w:p w14:paraId="07D58152" w14:textId="77777777" w:rsidR="003C2778" w:rsidRDefault="00DD4A7D" w:rsidP="00657706">
      <w:pPr>
        <w:pStyle w:val="ListParagraph"/>
        <w:numPr>
          <w:ilvl w:val="1"/>
          <w:numId w:val="93"/>
        </w:numPr>
        <w:spacing w:after="0" w:line="276" w:lineRule="auto"/>
        <w:ind w:left="1440" w:hanging="720"/>
        <w:rPr>
          <w:rFonts w:ascii="Arial" w:hAnsi="Arial" w:cs="Arial"/>
          <w:bCs/>
          <w:szCs w:val="24"/>
          <w:lang w:val="en-GB"/>
        </w:rPr>
      </w:pPr>
      <w:r w:rsidRPr="003C2778">
        <w:rPr>
          <w:rFonts w:ascii="Arial" w:hAnsi="Arial" w:cs="Arial"/>
          <w:bCs/>
          <w:szCs w:val="24"/>
          <w:lang w:val="en-GB"/>
        </w:rPr>
        <w:t>A reasonable apprehension that if the interim relief is not granted the Applicant will suffer irreparable harm;</w:t>
      </w:r>
    </w:p>
    <w:p w14:paraId="24CEE0C9" w14:textId="77777777" w:rsidR="003C2778" w:rsidRPr="003C2778" w:rsidRDefault="003C2778" w:rsidP="00657706">
      <w:pPr>
        <w:pStyle w:val="ListParagraph"/>
        <w:spacing w:after="0" w:line="276" w:lineRule="auto"/>
        <w:rPr>
          <w:rFonts w:ascii="Arial" w:hAnsi="Arial" w:cs="Arial"/>
          <w:bCs/>
          <w:szCs w:val="24"/>
          <w:lang w:val="en-GB"/>
        </w:rPr>
      </w:pPr>
    </w:p>
    <w:p w14:paraId="3596A5B9" w14:textId="77777777" w:rsidR="003C2778" w:rsidRDefault="00DD4A7D" w:rsidP="00657706">
      <w:pPr>
        <w:pStyle w:val="ListParagraph"/>
        <w:numPr>
          <w:ilvl w:val="1"/>
          <w:numId w:val="93"/>
        </w:numPr>
        <w:spacing w:after="0" w:line="276" w:lineRule="auto"/>
        <w:ind w:left="1440" w:hanging="720"/>
        <w:rPr>
          <w:rFonts w:ascii="Arial" w:hAnsi="Arial" w:cs="Arial"/>
          <w:bCs/>
          <w:szCs w:val="24"/>
          <w:lang w:val="en-GB"/>
        </w:rPr>
      </w:pPr>
      <w:r w:rsidRPr="003C2778">
        <w:rPr>
          <w:rFonts w:ascii="Arial" w:hAnsi="Arial" w:cs="Arial"/>
          <w:bCs/>
          <w:szCs w:val="24"/>
          <w:lang w:val="en-GB"/>
        </w:rPr>
        <w:t>The balance of convenience favours the granting of the interim relief (this is often linked to the issue of prejudice); and</w:t>
      </w:r>
    </w:p>
    <w:p w14:paraId="6F6083BE" w14:textId="77777777" w:rsidR="003C2778" w:rsidRPr="003C2778" w:rsidRDefault="003C2778" w:rsidP="00657706">
      <w:pPr>
        <w:pStyle w:val="ListParagraph"/>
        <w:spacing w:after="0" w:line="276" w:lineRule="auto"/>
        <w:rPr>
          <w:rFonts w:ascii="Arial" w:hAnsi="Arial" w:cs="Arial"/>
          <w:bCs/>
          <w:szCs w:val="24"/>
          <w:lang w:val="en-GB"/>
        </w:rPr>
      </w:pPr>
    </w:p>
    <w:p w14:paraId="58321A6A" w14:textId="3EB80B4F" w:rsidR="00DD4A7D" w:rsidRPr="003C2778" w:rsidRDefault="00DD4A7D" w:rsidP="00657706">
      <w:pPr>
        <w:pStyle w:val="ListParagraph"/>
        <w:numPr>
          <w:ilvl w:val="1"/>
          <w:numId w:val="93"/>
        </w:numPr>
        <w:spacing w:after="0" w:line="276" w:lineRule="auto"/>
        <w:ind w:left="1440" w:hanging="720"/>
        <w:rPr>
          <w:rFonts w:ascii="Arial" w:hAnsi="Arial" w:cs="Arial"/>
          <w:bCs/>
          <w:szCs w:val="24"/>
          <w:lang w:val="en-GB"/>
        </w:rPr>
      </w:pPr>
      <w:r w:rsidRPr="003C2778">
        <w:rPr>
          <w:rFonts w:ascii="Arial" w:hAnsi="Arial" w:cs="Arial"/>
          <w:bCs/>
          <w:szCs w:val="24"/>
          <w:lang w:val="en-GB"/>
        </w:rPr>
        <w:t xml:space="preserve">The absence of any other satisfactory remedy.  </w:t>
      </w:r>
    </w:p>
    <w:p w14:paraId="01CB2785" w14:textId="77777777" w:rsidR="00DD4A7D" w:rsidRDefault="00DD4A7D" w:rsidP="00657706">
      <w:pPr>
        <w:spacing w:after="0" w:line="276" w:lineRule="auto"/>
        <w:rPr>
          <w:rFonts w:ascii="Arial" w:hAnsi="Arial" w:cs="Arial"/>
          <w:bCs/>
          <w:szCs w:val="24"/>
          <w:lang w:val="en-GB"/>
        </w:rPr>
      </w:pPr>
    </w:p>
    <w:p w14:paraId="152C29B4" w14:textId="5F9E30E3"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Whilst Senior Counsel for the Applicants spent some time dealing with all of the aforesaid requirements in his argument before this Court (as well as anticipating the argument that would be forthcoming from Counsel representing the Second Respondent as set out in his Heads of Argument) the Second Respondent’s Counsel focused his argument primarily, if not solely, on a single point. In the premises, it is appropriate that this Court deal therewith at the outset.  </w:t>
      </w:r>
    </w:p>
    <w:p w14:paraId="34020A65" w14:textId="77777777" w:rsidR="00DD4A7D" w:rsidRDefault="00DD4A7D" w:rsidP="00657706">
      <w:pPr>
        <w:spacing w:after="0" w:line="276" w:lineRule="auto"/>
        <w:rPr>
          <w:rFonts w:ascii="Arial" w:hAnsi="Arial" w:cs="Arial"/>
          <w:b/>
          <w:bCs/>
          <w:szCs w:val="24"/>
          <w:u w:val="single"/>
          <w:lang w:val="en-GB"/>
        </w:rPr>
      </w:pPr>
    </w:p>
    <w:p w14:paraId="5A48A605" w14:textId="6772A3C7"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 xml:space="preserve">The point </w:t>
      </w:r>
      <w:r w:rsidRPr="00DD4A7D">
        <w:rPr>
          <w:rFonts w:ascii="Arial" w:hAnsi="Arial" w:cs="Arial"/>
          <w:b/>
          <w:bCs/>
          <w:i/>
          <w:iCs/>
          <w:szCs w:val="24"/>
          <w:u w:val="single"/>
          <w:lang w:val="en-GB"/>
        </w:rPr>
        <w:t xml:space="preserve">in limine </w:t>
      </w:r>
      <w:r w:rsidRPr="00DD4A7D">
        <w:rPr>
          <w:rFonts w:ascii="Arial" w:hAnsi="Arial" w:cs="Arial"/>
          <w:b/>
          <w:bCs/>
          <w:szCs w:val="24"/>
          <w:u w:val="single"/>
          <w:lang w:val="en-GB"/>
        </w:rPr>
        <w:t>relied upon by the Second Respondent that the Applicants have no cause of action.</w:t>
      </w:r>
    </w:p>
    <w:p w14:paraId="687EBB46" w14:textId="77777777" w:rsidR="00DD4A7D" w:rsidRDefault="00DD4A7D" w:rsidP="00657706">
      <w:pPr>
        <w:spacing w:after="0" w:line="276" w:lineRule="auto"/>
        <w:rPr>
          <w:rFonts w:ascii="Arial" w:hAnsi="Arial" w:cs="Arial"/>
          <w:bCs/>
          <w:szCs w:val="24"/>
          <w:lang w:val="en-GB"/>
        </w:rPr>
      </w:pPr>
    </w:p>
    <w:p w14:paraId="1B78AF99" w14:textId="77777777"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Despite the fact that the Second Respondent had raised various points </w:t>
      </w:r>
      <w:r w:rsidRPr="00DD4A7D">
        <w:rPr>
          <w:rFonts w:ascii="Arial" w:hAnsi="Arial" w:cs="Arial"/>
          <w:bCs/>
          <w:i/>
          <w:iCs/>
          <w:szCs w:val="24"/>
          <w:lang w:val="en-GB"/>
        </w:rPr>
        <w:t xml:space="preserve">in limine </w:t>
      </w:r>
      <w:r w:rsidRPr="00DD4A7D">
        <w:rPr>
          <w:rFonts w:ascii="Arial" w:hAnsi="Arial" w:cs="Arial"/>
          <w:bCs/>
          <w:szCs w:val="24"/>
          <w:lang w:val="en-GB"/>
        </w:rPr>
        <w:t>the point</w:t>
      </w:r>
      <w:r w:rsidRPr="00DD4A7D">
        <w:rPr>
          <w:rFonts w:ascii="Arial" w:hAnsi="Arial" w:cs="Arial"/>
          <w:bCs/>
          <w:i/>
          <w:iCs/>
          <w:szCs w:val="24"/>
          <w:lang w:val="en-GB"/>
        </w:rPr>
        <w:t xml:space="preserve"> in limine </w:t>
      </w:r>
      <w:r w:rsidRPr="00DD4A7D">
        <w:rPr>
          <w:rFonts w:ascii="Arial" w:hAnsi="Arial" w:cs="Arial"/>
          <w:bCs/>
          <w:szCs w:val="24"/>
          <w:lang w:val="en-GB"/>
        </w:rPr>
        <w:t xml:space="preserve">upon which the Second Respondent ultimately relied upon was the third point </w:t>
      </w:r>
      <w:r w:rsidRPr="00DD4A7D">
        <w:rPr>
          <w:rFonts w:ascii="Arial" w:hAnsi="Arial" w:cs="Arial"/>
          <w:bCs/>
          <w:i/>
          <w:iCs/>
          <w:szCs w:val="24"/>
          <w:lang w:val="en-GB"/>
        </w:rPr>
        <w:t>in limine</w:t>
      </w:r>
      <w:r w:rsidRPr="00DD4A7D">
        <w:rPr>
          <w:rFonts w:ascii="Arial" w:hAnsi="Arial" w:cs="Arial"/>
          <w:bCs/>
          <w:szCs w:val="24"/>
          <w:lang w:val="en-GB"/>
        </w:rPr>
        <w:t xml:space="preserve"> in Advocate Van Nieuwenhuizen’s Heads of Argument bearing the title “NO VALID CAUSE OF ACTION”.</w:t>
      </w:r>
    </w:p>
    <w:p w14:paraId="7DA14C32" w14:textId="77777777" w:rsidR="00DD4A7D" w:rsidRDefault="00DD4A7D" w:rsidP="00657706">
      <w:pPr>
        <w:pStyle w:val="ListParagraph"/>
        <w:spacing w:after="0" w:line="276" w:lineRule="auto"/>
        <w:rPr>
          <w:rFonts w:ascii="Arial" w:hAnsi="Arial" w:cs="Arial"/>
          <w:bCs/>
          <w:szCs w:val="24"/>
          <w:lang w:val="en-GB"/>
        </w:rPr>
      </w:pPr>
    </w:p>
    <w:p w14:paraId="1FB886AD" w14:textId="71E9E5B1"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In the first instance, the point was made on behalf of the Second Respondent that it appeared from the Heads of Argument filed on behalf of the Applicants that the Applicants’ case (or part of the Applicants’ case) was that the Applicants’ constitutional rights had been affronted or violated. However, the effect of the relief claimed by the Applicants is to prohibit the Second Respondent from interfering in the contractual relationships between the Applicants and third-party Digital Streaming Platforms (“</w:t>
      </w:r>
      <w:r w:rsidRPr="00DD4A7D">
        <w:rPr>
          <w:rFonts w:ascii="Arial" w:hAnsi="Arial" w:cs="Arial"/>
          <w:bCs/>
          <w:i/>
          <w:iCs/>
          <w:szCs w:val="24"/>
          <w:lang w:val="en-GB"/>
        </w:rPr>
        <w:t>DSP’s</w:t>
      </w:r>
      <w:r w:rsidRPr="00DD4A7D">
        <w:rPr>
          <w:rFonts w:ascii="Arial" w:hAnsi="Arial" w:cs="Arial"/>
          <w:bCs/>
          <w:szCs w:val="24"/>
          <w:lang w:val="en-GB"/>
        </w:rPr>
        <w:t>”), including the First Respondent.</w:t>
      </w:r>
    </w:p>
    <w:p w14:paraId="051367BA" w14:textId="77777777" w:rsidR="00DD4A7D" w:rsidRPr="00DD4A7D" w:rsidRDefault="00DD4A7D" w:rsidP="00657706">
      <w:pPr>
        <w:pStyle w:val="ListParagraph"/>
        <w:spacing w:after="0" w:line="276" w:lineRule="auto"/>
        <w:rPr>
          <w:rFonts w:ascii="Arial" w:hAnsi="Arial" w:cs="Arial"/>
          <w:bCs/>
          <w:szCs w:val="24"/>
          <w:lang w:val="en-GB"/>
        </w:rPr>
      </w:pPr>
    </w:p>
    <w:p w14:paraId="15CB8B9E" w14:textId="1E12A85D"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cause of action to interdict interference in a third-party contractual relationship is delictual.</w:t>
      </w:r>
      <w:r w:rsidR="003C2778">
        <w:rPr>
          <w:rStyle w:val="FootnoteReference"/>
          <w:rFonts w:ascii="Arial" w:hAnsi="Arial" w:cs="Arial"/>
          <w:bCs/>
          <w:szCs w:val="24"/>
          <w:lang w:val="en-GB"/>
        </w:rPr>
        <w:footnoteReference w:id="3"/>
      </w:r>
      <w:r w:rsidRPr="00DD4A7D">
        <w:rPr>
          <w:rFonts w:ascii="Arial" w:hAnsi="Arial" w:cs="Arial"/>
          <w:bCs/>
          <w:szCs w:val="24"/>
          <w:lang w:val="en-GB"/>
        </w:rPr>
        <w:t xml:space="preserve">  In light of the fact that the Applicants have a common law remedy available to them, it was submitted on behalf of the Second Respondent that they are precluded from seeking to directly invoke constitutional rights by virtue of the principle of subsidiarity.</w:t>
      </w:r>
      <w:r w:rsidR="003C2778">
        <w:rPr>
          <w:rStyle w:val="FootnoteReference"/>
          <w:rFonts w:ascii="Arial" w:hAnsi="Arial" w:cs="Arial"/>
          <w:bCs/>
          <w:szCs w:val="24"/>
          <w:lang w:val="en-GB"/>
        </w:rPr>
        <w:footnoteReference w:id="4"/>
      </w:r>
    </w:p>
    <w:p w14:paraId="3CB7F228" w14:textId="77777777" w:rsidR="00DD4A7D" w:rsidRPr="00DD4A7D" w:rsidRDefault="00DD4A7D" w:rsidP="00657706">
      <w:pPr>
        <w:pStyle w:val="ListParagraph"/>
        <w:spacing w:after="0" w:line="276" w:lineRule="auto"/>
        <w:rPr>
          <w:rFonts w:ascii="Arial" w:hAnsi="Arial" w:cs="Arial"/>
          <w:bCs/>
          <w:szCs w:val="24"/>
          <w:lang w:val="en-GB"/>
        </w:rPr>
      </w:pPr>
    </w:p>
    <w:p w14:paraId="6722D703" w14:textId="77777777"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It was further submitted by Counsel for the Second Respondent that in light of the aforegoing, it was necessary for the Applicants to plead the necessary requirements to establish their right to delictual relief, namely an (I) act (II) which was wrongful (III) caused by the fault (</w:t>
      </w:r>
      <w:r w:rsidRPr="00DD4A7D">
        <w:rPr>
          <w:rFonts w:ascii="Arial" w:hAnsi="Arial" w:cs="Arial"/>
          <w:bCs/>
          <w:i/>
          <w:iCs/>
          <w:szCs w:val="24"/>
          <w:lang w:val="en-GB"/>
        </w:rPr>
        <w:t>dolus</w:t>
      </w:r>
      <w:r w:rsidRPr="00DD4A7D">
        <w:rPr>
          <w:rFonts w:ascii="Arial" w:hAnsi="Arial" w:cs="Arial"/>
          <w:bCs/>
          <w:szCs w:val="24"/>
          <w:lang w:val="en-GB"/>
        </w:rPr>
        <w:t xml:space="preserve"> or </w:t>
      </w:r>
      <w:r w:rsidRPr="00DD4A7D">
        <w:rPr>
          <w:rFonts w:ascii="Arial" w:hAnsi="Arial" w:cs="Arial"/>
          <w:bCs/>
          <w:i/>
          <w:iCs/>
          <w:szCs w:val="24"/>
          <w:lang w:val="en-GB"/>
        </w:rPr>
        <w:t>culpa</w:t>
      </w:r>
      <w:r w:rsidRPr="00DD4A7D">
        <w:rPr>
          <w:rFonts w:ascii="Arial" w:hAnsi="Arial" w:cs="Arial"/>
          <w:bCs/>
          <w:szCs w:val="24"/>
          <w:lang w:val="en-GB"/>
        </w:rPr>
        <w:t xml:space="preserve">) of the Second Respondent, (IV) which caused </w:t>
      </w:r>
      <w:r w:rsidRPr="00DD4A7D">
        <w:rPr>
          <w:rFonts w:ascii="Arial" w:hAnsi="Arial" w:cs="Arial"/>
          <w:bCs/>
          <w:i/>
          <w:iCs/>
          <w:szCs w:val="24"/>
          <w:lang w:val="en-GB"/>
        </w:rPr>
        <w:t>(causality)</w:t>
      </w:r>
      <w:r w:rsidRPr="00DD4A7D">
        <w:rPr>
          <w:rFonts w:ascii="Arial" w:hAnsi="Arial" w:cs="Arial"/>
          <w:bCs/>
          <w:szCs w:val="24"/>
          <w:lang w:val="en-GB"/>
        </w:rPr>
        <w:t xml:space="preserve"> (V) the Applicants to have suffered a patrimonial loss.</w:t>
      </w:r>
    </w:p>
    <w:p w14:paraId="3E9F6D40" w14:textId="77777777" w:rsidR="00DD4A7D" w:rsidRPr="00DD4A7D" w:rsidRDefault="00DD4A7D" w:rsidP="00657706">
      <w:pPr>
        <w:pStyle w:val="ListParagraph"/>
        <w:spacing w:after="0" w:line="276" w:lineRule="auto"/>
        <w:rPr>
          <w:rFonts w:ascii="Arial" w:hAnsi="Arial" w:cs="Arial"/>
          <w:bCs/>
          <w:szCs w:val="24"/>
          <w:lang w:val="en-GB"/>
        </w:rPr>
      </w:pPr>
    </w:p>
    <w:p w14:paraId="2B75A011" w14:textId="28C7BC34"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Finally, it was submitted that despite raising the question of unlawfulness on several occasions the Applicants had not raised the requirement of fault at all and thus no cause of action had been disclosed. Moreover, it was submitted that the legal representatives of the Applicants had been forewarned in respect of these deficiencies in the application and the Second Respondent sought an order that the application be dismissed with costs </w:t>
      </w:r>
      <w:r w:rsidRPr="00DD4A7D">
        <w:rPr>
          <w:rFonts w:ascii="Arial" w:hAnsi="Arial" w:cs="Arial"/>
          <w:bCs/>
          <w:i/>
          <w:iCs/>
          <w:szCs w:val="24"/>
          <w:lang w:val="en-GB"/>
        </w:rPr>
        <w:t>de bonis propriis, alternatively</w:t>
      </w:r>
      <w:r w:rsidRPr="00DD4A7D">
        <w:rPr>
          <w:rFonts w:ascii="Arial" w:hAnsi="Arial" w:cs="Arial"/>
          <w:bCs/>
          <w:szCs w:val="24"/>
          <w:lang w:val="en-GB"/>
        </w:rPr>
        <w:t>, on the scale of attorney and client.</w:t>
      </w:r>
    </w:p>
    <w:p w14:paraId="5A8A74C8" w14:textId="77777777" w:rsidR="00DD4A7D" w:rsidRPr="00DD4A7D" w:rsidRDefault="00DD4A7D" w:rsidP="00657706">
      <w:pPr>
        <w:pStyle w:val="ListParagraph"/>
        <w:spacing w:after="0" w:line="276" w:lineRule="auto"/>
        <w:rPr>
          <w:rFonts w:ascii="Arial" w:hAnsi="Arial" w:cs="Arial"/>
          <w:bCs/>
          <w:szCs w:val="24"/>
          <w:lang w:val="en-GB"/>
        </w:rPr>
      </w:pPr>
    </w:p>
    <w:p w14:paraId="6F4C82C7" w14:textId="39DA16E5"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It is true that the Heads of Argument filed on behalf of the Applicants dealt extensively with the fact that the constitutional rights of the Applicants had been affronted or violated whilst no specific averments of this nature appear in the Founding Affidavit.   In the premises, it would have appeared that it was the intention of the Applicants to invoke constitutional rights in their argument as to why they were entitled to the relief as sought in PART A of the Notice of Motion. However, when the matter was argued before this Court the “Notes for Argument”, submitted by Senior Counsel who appeared for the Applicants, contains no reference whatsoever to the constitutional rights of the Applicants. In addition thereto, Counsel made no reference whatsoever during the course of his argument to any of those rights. Arising therefrom, it can be safely assumed that the Applicants abandoned any reliance previously placed upon their constitutional rights in support of the relief sought for the granting of an interim interdict.</w:t>
      </w:r>
      <w:r w:rsidR="00B476BB">
        <w:rPr>
          <w:rFonts w:ascii="Arial" w:hAnsi="Arial" w:cs="Arial"/>
          <w:bCs/>
          <w:szCs w:val="24"/>
          <w:lang w:val="en-GB"/>
        </w:rPr>
        <w:t xml:space="preserve"> </w:t>
      </w:r>
      <w:r w:rsidRPr="00DD4A7D">
        <w:rPr>
          <w:rFonts w:ascii="Arial" w:hAnsi="Arial" w:cs="Arial"/>
          <w:bCs/>
          <w:szCs w:val="24"/>
          <w:lang w:val="en-GB"/>
        </w:rPr>
        <w:t>In the premises, it is not necessary for this Court to consider the applicability of the principle of subsidiarity in this matter.</w:t>
      </w:r>
    </w:p>
    <w:p w14:paraId="2F0656FE" w14:textId="77777777" w:rsidR="00DD4A7D" w:rsidRDefault="00DD4A7D" w:rsidP="00657706">
      <w:pPr>
        <w:pStyle w:val="ListParagraph"/>
        <w:spacing w:after="0" w:line="276" w:lineRule="auto"/>
        <w:rPr>
          <w:rFonts w:ascii="Arial" w:hAnsi="Arial" w:cs="Arial"/>
          <w:bCs/>
          <w:szCs w:val="24"/>
          <w:lang w:val="en-GB"/>
        </w:rPr>
      </w:pPr>
    </w:p>
    <w:p w14:paraId="0D1CC8D5" w14:textId="75C7677F"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As to the question of whether the Applicants have a cause of action which would entitle them to the interim relief sought, it is not clear to this Court whether the Second Respondent alleges they do not have a cause of action as a matter of law, or as a matter of fact.  With regard to the question of the Applicants having a cause of action as a matter of law, Counsel for the Second Respondent relied heavily on </w:t>
      </w:r>
      <w:r w:rsidRPr="00DD4A7D">
        <w:rPr>
          <w:rFonts w:ascii="Arial" w:hAnsi="Arial" w:cs="Arial"/>
          <w:bCs/>
          <w:i/>
          <w:iCs/>
          <w:szCs w:val="24"/>
          <w:lang w:val="en-GB"/>
        </w:rPr>
        <w:t>Masstores</w:t>
      </w:r>
      <w:r w:rsidR="003C2778">
        <w:rPr>
          <w:rStyle w:val="FootnoteReference"/>
          <w:rFonts w:ascii="Arial" w:hAnsi="Arial" w:cs="Arial"/>
          <w:bCs/>
          <w:szCs w:val="24"/>
          <w:lang w:val="en-GB"/>
        </w:rPr>
        <w:footnoteReference w:id="5"/>
      </w:r>
      <w:r w:rsidRPr="00DD4A7D">
        <w:rPr>
          <w:rFonts w:ascii="Arial" w:hAnsi="Arial" w:cs="Arial"/>
          <w:bCs/>
          <w:i/>
          <w:iCs/>
          <w:szCs w:val="24"/>
          <w:lang w:val="en-GB"/>
        </w:rPr>
        <w:t xml:space="preserve"> </w:t>
      </w:r>
      <w:r w:rsidRPr="00DD4A7D">
        <w:rPr>
          <w:rFonts w:ascii="Arial" w:hAnsi="Arial" w:cs="Arial"/>
          <w:bCs/>
          <w:szCs w:val="24"/>
          <w:lang w:val="en-GB"/>
        </w:rPr>
        <w:t>which is authority for the principle that where there is an alleged interference of a contractual relationship between parties by a third-party the cause of action is delictual and not contractual.</w:t>
      </w:r>
      <w:r w:rsidR="003C2778">
        <w:rPr>
          <w:rStyle w:val="FootnoteReference"/>
          <w:rFonts w:ascii="Arial" w:hAnsi="Arial" w:cs="Arial"/>
          <w:bCs/>
          <w:szCs w:val="24"/>
          <w:lang w:val="en-GB"/>
        </w:rPr>
        <w:footnoteReference w:id="6"/>
      </w:r>
    </w:p>
    <w:p w14:paraId="2451425C" w14:textId="77777777" w:rsidR="00DD4A7D" w:rsidRPr="00DD4A7D" w:rsidRDefault="00DD4A7D" w:rsidP="00657706">
      <w:pPr>
        <w:pStyle w:val="ListParagraph"/>
        <w:spacing w:after="0" w:line="276" w:lineRule="auto"/>
        <w:rPr>
          <w:rFonts w:ascii="Arial" w:hAnsi="Arial" w:cs="Arial"/>
          <w:bCs/>
          <w:szCs w:val="24"/>
          <w:lang w:val="en-GB"/>
        </w:rPr>
      </w:pPr>
    </w:p>
    <w:p w14:paraId="1F47291D" w14:textId="04991122"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On that basis, it appears to have been submitted that because the Applicants’ cause of action was based on contract it did not sustain the granting of an interim interdict as sought in this application. This cannot be correct. Whilst the relief sought seeks to </w:t>
      </w:r>
      <w:r w:rsidRPr="00DD4A7D">
        <w:rPr>
          <w:rFonts w:ascii="Arial" w:hAnsi="Arial" w:cs="Arial"/>
          <w:bCs/>
          <w:szCs w:val="24"/>
          <w:u w:val="single"/>
          <w:lang w:val="en-GB"/>
        </w:rPr>
        <w:t>protect</w:t>
      </w:r>
      <w:r w:rsidRPr="00DD4A7D">
        <w:rPr>
          <w:rFonts w:ascii="Arial" w:hAnsi="Arial" w:cs="Arial"/>
          <w:bCs/>
          <w:szCs w:val="24"/>
          <w:lang w:val="en-GB"/>
        </w:rPr>
        <w:t xml:space="preserve"> a contractual relationship (that is the contractual relationship which exists or may exist between the Applicants and any DSP including the First Respondent) the basis therefor is the interference thereafter by a third-party (in this case the Second Respondent and any other parties) which is clearly a cause of action based on the </w:t>
      </w:r>
      <w:r w:rsidRPr="00DD4A7D">
        <w:rPr>
          <w:rFonts w:ascii="Arial" w:hAnsi="Arial" w:cs="Arial"/>
          <w:bCs/>
          <w:i/>
          <w:iCs/>
          <w:szCs w:val="24"/>
          <w:lang w:val="en-GB"/>
        </w:rPr>
        <w:t>lex aquilia</w:t>
      </w:r>
      <w:r w:rsidRPr="00DD4A7D">
        <w:rPr>
          <w:rFonts w:ascii="Arial" w:hAnsi="Arial" w:cs="Arial"/>
          <w:bCs/>
          <w:szCs w:val="24"/>
          <w:lang w:val="en-GB"/>
        </w:rPr>
        <w:t xml:space="preserve"> (a delictual cause of action). In the premises, there is nothing barring the Applicants, in law, from seeking the relief as sought.</w:t>
      </w:r>
    </w:p>
    <w:p w14:paraId="0800F104" w14:textId="77777777" w:rsidR="00DD4A7D" w:rsidRPr="00DD4A7D" w:rsidRDefault="00DD4A7D" w:rsidP="00657706">
      <w:pPr>
        <w:pStyle w:val="ListParagraph"/>
        <w:spacing w:after="0" w:line="276" w:lineRule="auto"/>
        <w:rPr>
          <w:rFonts w:ascii="Arial" w:hAnsi="Arial" w:cs="Arial"/>
          <w:bCs/>
          <w:szCs w:val="24"/>
          <w:lang w:val="en-GB"/>
        </w:rPr>
      </w:pPr>
    </w:p>
    <w:p w14:paraId="247B49E8" w14:textId="53E284A5"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As a matter of fact, the averment is made in the Second Respondent’s Heads of Argument that whilst averments of unlawfulness abound, averments of fault (</w:t>
      </w:r>
      <w:r w:rsidRPr="00DD4A7D">
        <w:rPr>
          <w:rFonts w:ascii="Arial" w:hAnsi="Arial" w:cs="Arial"/>
          <w:bCs/>
          <w:i/>
          <w:iCs/>
          <w:szCs w:val="24"/>
          <w:lang w:val="en-GB"/>
        </w:rPr>
        <w:t>dolus</w:t>
      </w:r>
      <w:r w:rsidRPr="00DD4A7D">
        <w:rPr>
          <w:rFonts w:ascii="Arial" w:hAnsi="Arial" w:cs="Arial"/>
          <w:bCs/>
          <w:szCs w:val="24"/>
          <w:lang w:val="en-GB"/>
        </w:rPr>
        <w:t xml:space="preserve"> or </w:t>
      </w:r>
      <w:r w:rsidRPr="00DD4A7D">
        <w:rPr>
          <w:rFonts w:ascii="Arial" w:hAnsi="Arial" w:cs="Arial"/>
          <w:bCs/>
          <w:i/>
          <w:iCs/>
          <w:szCs w:val="24"/>
          <w:lang w:val="en-GB"/>
        </w:rPr>
        <w:t>culpa</w:t>
      </w:r>
      <w:r w:rsidRPr="00DD4A7D">
        <w:rPr>
          <w:rFonts w:ascii="Arial" w:hAnsi="Arial" w:cs="Arial"/>
          <w:bCs/>
          <w:szCs w:val="24"/>
          <w:lang w:val="en-GB"/>
        </w:rPr>
        <w:t>) are lacking in the Applicants’ Founding Affidavit. This supports the fact that the Applicants’ cause of action is based in delict. Whilst it is true that no specific allegations in this regard are made, it is clear from the said affidavit (and it is common cause in this application as dealt with earlier in this judgment) that the Second Respondent has caused several take down notices to be served upon the First Respondent in respect of the Applicants’ songs. In the context of this application, these actions constitute fault in the form of intent (</w:t>
      </w:r>
      <w:r w:rsidRPr="00DD4A7D">
        <w:rPr>
          <w:rFonts w:ascii="Arial" w:hAnsi="Arial" w:cs="Arial"/>
          <w:bCs/>
          <w:i/>
          <w:iCs/>
          <w:szCs w:val="24"/>
          <w:lang w:val="en-GB"/>
        </w:rPr>
        <w:t>dolus</w:t>
      </w:r>
      <w:r w:rsidRPr="00DD4A7D">
        <w:rPr>
          <w:rFonts w:ascii="Arial" w:hAnsi="Arial" w:cs="Arial"/>
          <w:bCs/>
          <w:szCs w:val="24"/>
          <w:lang w:val="en-GB"/>
        </w:rPr>
        <w:t xml:space="preserve">) and clearly did not need to be specifically identified as such in the Founding Affidavit of the Applicants to satisfy the requirements of the </w:t>
      </w:r>
      <w:r w:rsidRPr="00DD4A7D">
        <w:rPr>
          <w:rFonts w:ascii="Arial" w:hAnsi="Arial" w:cs="Arial"/>
          <w:bCs/>
          <w:i/>
          <w:iCs/>
          <w:szCs w:val="24"/>
          <w:lang w:val="en-GB"/>
        </w:rPr>
        <w:t xml:space="preserve">Lex Aquilia. </w:t>
      </w:r>
      <w:r w:rsidRPr="00DD4A7D">
        <w:rPr>
          <w:rFonts w:ascii="Arial" w:hAnsi="Arial" w:cs="Arial"/>
          <w:bCs/>
          <w:szCs w:val="24"/>
          <w:lang w:val="en-GB"/>
        </w:rPr>
        <w:t xml:space="preserve">In the premises, the point </w:t>
      </w:r>
      <w:r w:rsidRPr="00DD4A7D">
        <w:rPr>
          <w:rFonts w:ascii="Arial" w:hAnsi="Arial" w:cs="Arial"/>
          <w:bCs/>
          <w:i/>
          <w:iCs/>
          <w:szCs w:val="24"/>
          <w:lang w:val="en-GB"/>
        </w:rPr>
        <w:t>in limine</w:t>
      </w:r>
      <w:r w:rsidRPr="00DD4A7D">
        <w:rPr>
          <w:rFonts w:ascii="Arial" w:hAnsi="Arial" w:cs="Arial"/>
          <w:bCs/>
          <w:szCs w:val="24"/>
          <w:lang w:val="en-GB"/>
        </w:rPr>
        <w:t xml:space="preserve"> as raised by the Second Respondent cannot be sustained either in law or on a factual basis.  </w:t>
      </w:r>
    </w:p>
    <w:p w14:paraId="48E99F65" w14:textId="77777777" w:rsidR="00DD4A7D" w:rsidRDefault="00DD4A7D" w:rsidP="00657706">
      <w:pPr>
        <w:spacing w:after="0" w:line="276" w:lineRule="auto"/>
        <w:rPr>
          <w:rFonts w:ascii="Arial" w:hAnsi="Arial" w:cs="Arial"/>
          <w:b/>
          <w:bCs/>
          <w:szCs w:val="24"/>
          <w:u w:val="single"/>
          <w:lang w:val="en-GB"/>
        </w:rPr>
      </w:pPr>
    </w:p>
    <w:p w14:paraId="28CF0AB2" w14:textId="524C01B0"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Have the Applicants satisfied the requirements for an interim interdict?</w:t>
      </w:r>
    </w:p>
    <w:p w14:paraId="74A76B8B" w14:textId="77777777" w:rsidR="00DD4A7D" w:rsidRDefault="00DD4A7D" w:rsidP="00657706">
      <w:pPr>
        <w:spacing w:after="0" w:line="276" w:lineRule="auto"/>
        <w:rPr>
          <w:rFonts w:ascii="Arial" w:hAnsi="Arial" w:cs="Arial"/>
          <w:bCs/>
          <w:szCs w:val="24"/>
          <w:lang w:val="en-GB"/>
        </w:rPr>
      </w:pPr>
    </w:p>
    <w:p w14:paraId="51BEF26C" w14:textId="41E7E7B3"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Having placed such considerable weight on the point </w:t>
      </w:r>
      <w:r w:rsidRPr="00DD4A7D">
        <w:rPr>
          <w:rFonts w:ascii="Arial" w:hAnsi="Arial" w:cs="Arial"/>
          <w:bCs/>
          <w:i/>
          <w:iCs/>
          <w:szCs w:val="24"/>
          <w:lang w:val="en-GB"/>
        </w:rPr>
        <w:t>in limine</w:t>
      </w:r>
      <w:r w:rsidRPr="00DD4A7D">
        <w:rPr>
          <w:rFonts w:ascii="Arial" w:hAnsi="Arial" w:cs="Arial"/>
          <w:bCs/>
          <w:szCs w:val="24"/>
          <w:lang w:val="en-GB"/>
        </w:rPr>
        <w:t xml:space="preserve"> as dealt with above the Second Respondent, whilst not conceding outright that in the event of this Court failing to uphold the aforesaid point </w:t>
      </w:r>
      <w:r w:rsidRPr="00DD4A7D">
        <w:rPr>
          <w:rFonts w:ascii="Arial" w:hAnsi="Arial" w:cs="Arial"/>
          <w:bCs/>
          <w:i/>
          <w:iCs/>
          <w:szCs w:val="24"/>
          <w:lang w:val="en-GB"/>
        </w:rPr>
        <w:t>in limine</w:t>
      </w:r>
      <w:r w:rsidRPr="00DD4A7D">
        <w:rPr>
          <w:rFonts w:ascii="Arial" w:hAnsi="Arial" w:cs="Arial"/>
          <w:bCs/>
          <w:szCs w:val="24"/>
          <w:lang w:val="en-GB"/>
        </w:rPr>
        <w:t xml:space="preserve"> that the Applicants had proved the requirements necessary for the granting of an interim interdict, did not spend much time, if any, presenting argument as to why this Court should not grant the relief sought by the Applicants. On the other hand, on behalf of the Applicants, Senior Counsel, in submitting the Applicants had satisfied all the requirements entitling this Court, in its discretion, to grant to the Applicants the relief sought, not only took the Court through the application papers and referred this Court to the relevant portions thereof in support of his submissions but also referred this Court to various authorities which set out the legal principles in support thereof.</w:t>
      </w:r>
    </w:p>
    <w:p w14:paraId="7C0334FD" w14:textId="77777777" w:rsidR="00DD4A7D" w:rsidRDefault="00DD4A7D" w:rsidP="00657706">
      <w:pPr>
        <w:pStyle w:val="ListParagraph"/>
        <w:spacing w:after="0" w:line="276" w:lineRule="auto"/>
        <w:rPr>
          <w:rFonts w:ascii="Arial" w:hAnsi="Arial" w:cs="Arial"/>
          <w:bCs/>
          <w:szCs w:val="24"/>
          <w:lang w:val="en-GB"/>
        </w:rPr>
      </w:pPr>
    </w:p>
    <w:p w14:paraId="2EDB2ADC" w14:textId="256703A2"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This judgment will not be burdened unnecessarily by dealing with each and every point made by Applicants’ Counsel.  Rather, an overview of the submissions made and the relevant legal principles in support thereof (where appliable) will be set out in deciding whether the Applicants have satisfied the onus incumbent upon them and met the requirements for an interim interdict pending the finalisation of PART B in the Notice of Motion.  </w:t>
      </w:r>
    </w:p>
    <w:p w14:paraId="14A10FEF" w14:textId="77777777" w:rsidR="00DD4A7D" w:rsidRDefault="00DD4A7D" w:rsidP="00657706">
      <w:pPr>
        <w:spacing w:after="0" w:line="276" w:lineRule="auto"/>
        <w:rPr>
          <w:rFonts w:ascii="Arial" w:hAnsi="Arial" w:cs="Arial"/>
          <w:b/>
          <w:bCs/>
          <w:szCs w:val="24"/>
          <w:u w:val="single"/>
          <w:lang w:val="en-GB"/>
        </w:rPr>
      </w:pPr>
    </w:p>
    <w:p w14:paraId="2908011B" w14:textId="2214D7A1"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 xml:space="preserve">A </w:t>
      </w:r>
      <w:r w:rsidRPr="00DD4A7D">
        <w:rPr>
          <w:rFonts w:ascii="Arial" w:hAnsi="Arial" w:cs="Arial"/>
          <w:b/>
          <w:bCs/>
          <w:i/>
          <w:iCs/>
          <w:szCs w:val="24"/>
          <w:u w:val="single"/>
          <w:lang w:val="en-GB"/>
        </w:rPr>
        <w:t>prima facie</w:t>
      </w:r>
      <w:r w:rsidRPr="00DD4A7D">
        <w:rPr>
          <w:rFonts w:ascii="Arial" w:hAnsi="Arial" w:cs="Arial"/>
          <w:b/>
          <w:bCs/>
          <w:szCs w:val="24"/>
          <w:u w:val="single"/>
          <w:lang w:val="en-GB"/>
        </w:rPr>
        <w:t xml:space="preserve"> right</w:t>
      </w:r>
    </w:p>
    <w:p w14:paraId="7EEB87B2" w14:textId="77777777" w:rsidR="00DD4A7D" w:rsidRDefault="00DD4A7D" w:rsidP="00657706">
      <w:pPr>
        <w:spacing w:after="0" w:line="276" w:lineRule="auto"/>
        <w:rPr>
          <w:rFonts w:ascii="Arial" w:hAnsi="Arial" w:cs="Arial"/>
          <w:bCs/>
          <w:szCs w:val="24"/>
          <w:lang w:val="en-GB"/>
        </w:rPr>
      </w:pPr>
    </w:p>
    <w:p w14:paraId="6D4D5D5E" w14:textId="615B505E"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reluctance of Second Respondents’ Counsel to become too embroiled in the intricacies of whether or not the Applicants had indeed satisfied the requirements of an interim interdict probably stems from the nature of the relief sought by the Applicants in PART B of the Notice of Motion. In this regard and whilst paragraph 4 seeks a declarator (the termination of the agreements) the remainder and purpose of the relief to be sought is for a debatement of an account (the amounts allegedly due, owing and payable by the Second Respondent to the Applicants in terms of the agreements).  As such this relief should be classified as review proceedings.</w:t>
      </w:r>
    </w:p>
    <w:p w14:paraId="4A6B9F26" w14:textId="77777777" w:rsidR="00DD4A7D" w:rsidRDefault="00DD4A7D" w:rsidP="00657706">
      <w:pPr>
        <w:pStyle w:val="ListParagraph"/>
        <w:spacing w:after="0" w:line="276" w:lineRule="auto"/>
        <w:rPr>
          <w:rFonts w:ascii="Arial" w:hAnsi="Arial" w:cs="Arial"/>
          <w:bCs/>
          <w:szCs w:val="24"/>
          <w:lang w:val="en-GB"/>
        </w:rPr>
      </w:pPr>
    </w:p>
    <w:p w14:paraId="488C1337" w14:textId="6273CED5"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In the matter of </w:t>
      </w:r>
      <w:r w:rsidRPr="00DD4A7D">
        <w:rPr>
          <w:rFonts w:ascii="Arial" w:hAnsi="Arial" w:cs="Arial"/>
          <w:bCs/>
          <w:i/>
          <w:iCs/>
          <w:szCs w:val="24"/>
          <w:lang w:val="en-GB"/>
        </w:rPr>
        <w:t>National Treasury and Others v Opposition to Urban Tolling Alliance and Others</w:t>
      </w:r>
      <w:r w:rsidRPr="00DD4A7D">
        <w:rPr>
          <w:rFonts w:ascii="Arial" w:hAnsi="Arial" w:cs="Arial"/>
          <w:bCs/>
          <w:szCs w:val="24"/>
          <w:lang w:val="en-GB"/>
        </w:rPr>
        <w:t xml:space="preserve"> </w:t>
      </w:r>
      <w:r w:rsidRPr="00DD4A7D">
        <w:rPr>
          <w:rFonts w:ascii="Arial" w:hAnsi="Arial" w:cs="Arial"/>
          <w:bCs/>
          <w:i/>
          <w:iCs/>
          <w:szCs w:val="24"/>
          <w:lang w:val="en-GB"/>
        </w:rPr>
        <w:t>(“OUTA”)</w:t>
      </w:r>
      <w:r w:rsidR="003C2778">
        <w:rPr>
          <w:rStyle w:val="FootnoteReference"/>
          <w:rFonts w:ascii="Arial" w:hAnsi="Arial" w:cs="Arial"/>
          <w:bCs/>
          <w:szCs w:val="24"/>
          <w:lang w:val="en-GB"/>
        </w:rPr>
        <w:footnoteReference w:id="7"/>
      </w:r>
      <w:r w:rsidRPr="00DD4A7D">
        <w:rPr>
          <w:rFonts w:ascii="Arial" w:hAnsi="Arial" w:cs="Arial"/>
          <w:bCs/>
          <w:szCs w:val="24"/>
          <w:lang w:val="en-GB"/>
        </w:rPr>
        <w:t xml:space="preserve"> it was held, </w:t>
      </w:r>
      <w:r w:rsidRPr="00DD4A7D">
        <w:rPr>
          <w:rFonts w:ascii="Arial" w:hAnsi="Arial" w:cs="Arial"/>
          <w:bCs/>
          <w:i/>
          <w:iCs/>
          <w:szCs w:val="24"/>
          <w:lang w:val="en-GB"/>
        </w:rPr>
        <w:t>inter alia</w:t>
      </w:r>
      <w:r w:rsidRPr="00DD4A7D">
        <w:rPr>
          <w:rFonts w:ascii="Arial" w:hAnsi="Arial" w:cs="Arial"/>
          <w:bCs/>
          <w:szCs w:val="24"/>
          <w:lang w:val="en-GB"/>
        </w:rPr>
        <w:t xml:space="preserve">, that where there is an application for interim relief pending review proceedings in PART B, an outcome as to whether or not a </w:t>
      </w:r>
      <w:r w:rsidRPr="00DD4A7D">
        <w:rPr>
          <w:rFonts w:ascii="Arial" w:hAnsi="Arial" w:cs="Arial"/>
          <w:bCs/>
          <w:i/>
          <w:iCs/>
          <w:szCs w:val="24"/>
          <w:lang w:val="en-GB"/>
        </w:rPr>
        <w:t>prima facie</w:t>
      </w:r>
      <w:r w:rsidRPr="00DD4A7D">
        <w:rPr>
          <w:rFonts w:ascii="Arial" w:hAnsi="Arial" w:cs="Arial"/>
          <w:bCs/>
          <w:szCs w:val="24"/>
          <w:lang w:val="en-GB"/>
        </w:rPr>
        <w:t xml:space="preserve"> right exists is not dispositive.</w:t>
      </w:r>
      <w:r w:rsidR="003C2778">
        <w:rPr>
          <w:rStyle w:val="FootnoteReference"/>
          <w:rFonts w:ascii="Arial" w:hAnsi="Arial" w:cs="Arial"/>
          <w:bCs/>
          <w:szCs w:val="24"/>
          <w:lang w:val="en-GB"/>
        </w:rPr>
        <w:footnoteReference w:id="8"/>
      </w:r>
      <w:r w:rsidRPr="00DD4A7D">
        <w:rPr>
          <w:rFonts w:ascii="Arial" w:hAnsi="Arial" w:cs="Arial"/>
          <w:bCs/>
          <w:szCs w:val="24"/>
          <w:lang w:val="en-GB"/>
        </w:rPr>
        <w:t xml:space="preserve"> What must be decided by this Court at this stage is, if the interim interdict is not granted, will the right which the Applicant seeks to protect be irreparably harmed.</w:t>
      </w:r>
      <w:r w:rsidR="003C2778">
        <w:rPr>
          <w:rStyle w:val="FootnoteReference"/>
          <w:rFonts w:ascii="Arial" w:hAnsi="Arial" w:cs="Arial"/>
          <w:bCs/>
          <w:szCs w:val="24"/>
          <w:lang w:val="en-GB"/>
        </w:rPr>
        <w:footnoteReference w:id="9"/>
      </w:r>
    </w:p>
    <w:p w14:paraId="40C9FC0C" w14:textId="77777777" w:rsidR="00DD4A7D" w:rsidRPr="00DD4A7D" w:rsidRDefault="00DD4A7D" w:rsidP="00657706">
      <w:pPr>
        <w:pStyle w:val="ListParagraph"/>
        <w:spacing w:after="0" w:line="276" w:lineRule="auto"/>
        <w:rPr>
          <w:rFonts w:ascii="Arial" w:hAnsi="Arial" w:cs="Arial"/>
          <w:bCs/>
          <w:szCs w:val="24"/>
          <w:lang w:val="en-GB"/>
        </w:rPr>
      </w:pPr>
    </w:p>
    <w:p w14:paraId="0BB5789E" w14:textId="4FF0435E"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Based on the aforegoing, it was submitted on behalf of the Applicants that it must follow that the less stringent test of establishing a </w:t>
      </w:r>
      <w:r w:rsidRPr="00DD4A7D">
        <w:rPr>
          <w:rFonts w:ascii="Arial" w:hAnsi="Arial" w:cs="Arial"/>
          <w:bCs/>
          <w:i/>
          <w:iCs/>
          <w:szCs w:val="24"/>
          <w:lang w:val="en-GB"/>
        </w:rPr>
        <w:t>prima facie</w:t>
      </w:r>
      <w:r w:rsidRPr="00DD4A7D">
        <w:rPr>
          <w:rFonts w:ascii="Arial" w:hAnsi="Arial" w:cs="Arial"/>
          <w:bCs/>
          <w:szCs w:val="24"/>
          <w:lang w:val="en-GB"/>
        </w:rPr>
        <w:t xml:space="preserve"> right applies. Authority for this proposition is to be found in the matter of </w:t>
      </w:r>
      <w:r w:rsidRPr="00DD4A7D">
        <w:rPr>
          <w:rFonts w:ascii="Arial" w:hAnsi="Arial" w:cs="Arial"/>
          <w:bCs/>
          <w:i/>
          <w:iCs/>
          <w:szCs w:val="24"/>
          <w:lang w:val="en-GB"/>
        </w:rPr>
        <w:t>Bombardier Africa Alliance Consortium v Lombard Insurance Company Ltd</w:t>
      </w:r>
      <w:r w:rsidR="003C2778">
        <w:rPr>
          <w:rStyle w:val="FootnoteReference"/>
          <w:rFonts w:ascii="Arial" w:hAnsi="Arial" w:cs="Arial"/>
          <w:bCs/>
          <w:szCs w:val="24"/>
          <w:lang w:val="en-GB"/>
        </w:rPr>
        <w:footnoteReference w:id="10"/>
      </w:r>
      <w:r w:rsidRPr="00DD4A7D">
        <w:rPr>
          <w:rFonts w:ascii="Arial" w:hAnsi="Arial" w:cs="Arial"/>
          <w:bCs/>
          <w:i/>
          <w:iCs/>
          <w:szCs w:val="24"/>
          <w:lang w:val="en-GB"/>
        </w:rPr>
        <w:t xml:space="preserve"> </w:t>
      </w:r>
      <w:r w:rsidRPr="00DD4A7D">
        <w:rPr>
          <w:rFonts w:ascii="Arial" w:hAnsi="Arial" w:cs="Arial"/>
          <w:bCs/>
          <w:szCs w:val="24"/>
          <w:lang w:val="en-GB"/>
        </w:rPr>
        <w:t>where this was referred to as a “</w:t>
      </w:r>
      <w:r w:rsidRPr="00DD4A7D">
        <w:rPr>
          <w:rFonts w:ascii="Arial" w:hAnsi="Arial" w:cs="Arial"/>
          <w:bCs/>
          <w:i/>
          <w:iCs/>
          <w:szCs w:val="24"/>
          <w:lang w:val="en-GB"/>
        </w:rPr>
        <w:t>prima facie</w:t>
      </w:r>
      <w:r w:rsidRPr="00DD4A7D">
        <w:rPr>
          <w:rFonts w:ascii="Arial" w:hAnsi="Arial" w:cs="Arial"/>
          <w:bCs/>
          <w:szCs w:val="24"/>
          <w:lang w:val="en-GB"/>
        </w:rPr>
        <w:t xml:space="preserve"> </w:t>
      </w:r>
      <w:r w:rsidRPr="00914F1F">
        <w:rPr>
          <w:rFonts w:ascii="Arial" w:hAnsi="Arial" w:cs="Arial"/>
          <w:bCs/>
          <w:i/>
          <w:iCs/>
          <w:szCs w:val="24"/>
          <w:lang w:val="en-GB"/>
        </w:rPr>
        <w:t>right, although open to some doubt</w:t>
      </w:r>
      <w:r w:rsidR="000713CA">
        <w:rPr>
          <w:rFonts w:ascii="Arial" w:hAnsi="Arial" w:cs="Arial"/>
          <w:bCs/>
          <w:szCs w:val="24"/>
          <w:lang w:val="en-GB"/>
        </w:rPr>
        <w:t>.</w:t>
      </w:r>
      <w:r w:rsidRPr="00DD4A7D">
        <w:rPr>
          <w:rFonts w:ascii="Arial" w:hAnsi="Arial" w:cs="Arial"/>
          <w:bCs/>
          <w:szCs w:val="24"/>
          <w:lang w:val="en-GB"/>
        </w:rPr>
        <w:t>”</w:t>
      </w:r>
      <w:r w:rsidR="003C2778">
        <w:rPr>
          <w:rStyle w:val="FootnoteReference"/>
          <w:rFonts w:ascii="Arial" w:hAnsi="Arial" w:cs="Arial"/>
          <w:bCs/>
          <w:szCs w:val="24"/>
          <w:lang w:val="en-GB"/>
        </w:rPr>
        <w:footnoteReference w:id="11"/>
      </w:r>
    </w:p>
    <w:p w14:paraId="4BE0EBC3" w14:textId="77777777" w:rsidR="00DD4A7D" w:rsidRPr="00DD4A7D" w:rsidRDefault="00DD4A7D" w:rsidP="00657706">
      <w:pPr>
        <w:pStyle w:val="ListParagraph"/>
        <w:spacing w:after="0" w:line="276" w:lineRule="auto"/>
        <w:rPr>
          <w:rFonts w:ascii="Arial" w:hAnsi="Arial" w:cs="Arial"/>
          <w:bCs/>
          <w:szCs w:val="24"/>
          <w:lang w:val="en-GB"/>
        </w:rPr>
      </w:pPr>
    </w:p>
    <w:p w14:paraId="3764F8F9" w14:textId="00ECB792"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It was further submitted on behalf of the Applicants that in light of the lack of (if any) dispute of fact in respect of irreparable harm and the balance of convenience on the application papers before this Court, this has also lightened the need for the Applicants to establish a </w:t>
      </w:r>
      <w:r w:rsidRPr="00DD4A7D">
        <w:rPr>
          <w:rFonts w:ascii="Arial" w:hAnsi="Arial" w:cs="Arial"/>
          <w:bCs/>
          <w:i/>
          <w:iCs/>
          <w:szCs w:val="24"/>
          <w:lang w:val="en-GB"/>
        </w:rPr>
        <w:t>prima facie</w:t>
      </w:r>
      <w:r w:rsidRPr="00DD4A7D">
        <w:rPr>
          <w:rFonts w:ascii="Arial" w:hAnsi="Arial" w:cs="Arial"/>
          <w:bCs/>
          <w:szCs w:val="24"/>
          <w:lang w:val="en-GB"/>
        </w:rPr>
        <w:t xml:space="preserve"> right.  This principle was established in the matter of </w:t>
      </w:r>
      <w:r w:rsidRPr="00DD4A7D">
        <w:rPr>
          <w:rFonts w:ascii="Arial" w:hAnsi="Arial" w:cs="Arial"/>
          <w:bCs/>
          <w:i/>
          <w:iCs/>
          <w:szCs w:val="24"/>
          <w:lang w:val="en-GB"/>
        </w:rPr>
        <w:t>Resilient Properties (Pty) Ltd v Eskom Holdings Soc Ltd.</w:t>
      </w:r>
      <w:r w:rsidR="003C2778">
        <w:rPr>
          <w:rStyle w:val="FootnoteReference"/>
          <w:rFonts w:ascii="Arial" w:hAnsi="Arial" w:cs="Arial"/>
          <w:bCs/>
          <w:szCs w:val="24"/>
          <w:lang w:val="en-GB"/>
        </w:rPr>
        <w:footnoteReference w:id="12"/>
      </w:r>
    </w:p>
    <w:p w14:paraId="37B02BAB" w14:textId="77777777" w:rsidR="00DD4A7D" w:rsidRPr="00DD4A7D" w:rsidRDefault="00DD4A7D" w:rsidP="00657706">
      <w:pPr>
        <w:pStyle w:val="ListParagraph"/>
        <w:spacing w:after="0" w:line="276" w:lineRule="auto"/>
        <w:rPr>
          <w:rFonts w:ascii="Arial" w:hAnsi="Arial" w:cs="Arial"/>
          <w:bCs/>
          <w:szCs w:val="24"/>
          <w:lang w:val="en-GB"/>
        </w:rPr>
      </w:pPr>
    </w:p>
    <w:p w14:paraId="4E6C60D4" w14:textId="144B0195"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Of course, at the end of day, to obtain an interim interdict the version of an applicant does not have to be completely free from doubt.  Interim relief ought to be granted even though there is some doubt.</w:t>
      </w:r>
      <w:r w:rsidR="003C2778">
        <w:rPr>
          <w:rStyle w:val="FootnoteReference"/>
          <w:rFonts w:ascii="Arial" w:hAnsi="Arial" w:cs="Arial"/>
          <w:bCs/>
          <w:szCs w:val="24"/>
          <w:lang w:val="en-GB"/>
        </w:rPr>
        <w:footnoteReference w:id="13"/>
      </w:r>
      <w:r w:rsidRPr="00DD4A7D">
        <w:rPr>
          <w:rFonts w:ascii="Arial" w:hAnsi="Arial" w:cs="Arial"/>
          <w:bCs/>
          <w:szCs w:val="24"/>
          <w:lang w:val="en-GB"/>
        </w:rPr>
        <w:t xml:space="preserve">  </w:t>
      </w:r>
    </w:p>
    <w:p w14:paraId="788ABE03" w14:textId="77777777" w:rsidR="00DD4A7D" w:rsidRDefault="00DD4A7D" w:rsidP="00657706">
      <w:pPr>
        <w:spacing w:after="0" w:line="276" w:lineRule="auto"/>
        <w:rPr>
          <w:rFonts w:ascii="Arial" w:hAnsi="Arial" w:cs="Arial"/>
          <w:b/>
          <w:bCs/>
          <w:szCs w:val="24"/>
          <w:u w:val="single"/>
          <w:lang w:val="en-GB"/>
        </w:rPr>
      </w:pPr>
    </w:p>
    <w:p w14:paraId="2ECB7FD5" w14:textId="243AA2F8"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Conclusion and the remaining requirements of an interim interdict</w:t>
      </w:r>
    </w:p>
    <w:p w14:paraId="3FDB0B1B" w14:textId="77777777" w:rsidR="00DD4A7D" w:rsidRDefault="00DD4A7D" w:rsidP="00657706">
      <w:pPr>
        <w:spacing w:after="0" w:line="276" w:lineRule="auto"/>
        <w:rPr>
          <w:rFonts w:ascii="Arial" w:hAnsi="Arial" w:cs="Arial"/>
          <w:bCs/>
          <w:szCs w:val="24"/>
          <w:lang w:val="en-GB"/>
        </w:rPr>
      </w:pPr>
    </w:p>
    <w:p w14:paraId="18E90ED8" w14:textId="07270ED4"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The submissions made on behalf of the Applicants by Applicants’ Counsel in this matter are all sound, based as they are on accepted principles of our law and the facts as set out in the application papers before this Court.  In addition thereto, it must be accepted that this Court has a wide discretion when determining whether or not to grant an interim interdict.</w:t>
      </w:r>
      <w:r w:rsidR="003C2778">
        <w:rPr>
          <w:rStyle w:val="FootnoteReference"/>
          <w:rFonts w:ascii="Arial" w:hAnsi="Arial" w:cs="Arial"/>
          <w:bCs/>
          <w:szCs w:val="24"/>
          <w:lang w:val="en-GB"/>
        </w:rPr>
        <w:footnoteReference w:id="14"/>
      </w:r>
    </w:p>
    <w:p w14:paraId="3F36B4BF" w14:textId="77777777" w:rsidR="00DD4A7D" w:rsidRDefault="00DD4A7D" w:rsidP="00657706">
      <w:pPr>
        <w:pStyle w:val="ListParagraph"/>
        <w:spacing w:after="0" w:line="276" w:lineRule="auto"/>
        <w:rPr>
          <w:rFonts w:ascii="Arial" w:hAnsi="Arial" w:cs="Arial"/>
          <w:bCs/>
          <w:szCs w:val="24"/>
          <w:lang w:val="en-GB"/>
        </w:rPr>
      </w:pPr>
    </w:p>
    <w:p w14:paraId="77D41034" w14:textId="5ADD1169"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 xml:space="preserve">In the premises, this Court has no difficulty in accepting same. As to the requirement of a </w:t>
      </w:r>
      <w:r w:rsidRPr="00DD4A7D">
        <w:rPr>
          <w:rFonts w:ascii="Arial" w:hAnsi="Arial" w:cs="Arial"/>
          <w:bCs/>
          <w:i/>
          <w:iCs/>
          <w:szCs w:val="24"/>
          <w:lang w:val="en-GB"/>
        </w:rPr>
        <w:t>prima facie</w:t>
      </w:r>
      <w:r w:rsidRPr="00DD4A7D">
        <w:rPr>
          <w:rFonts w:ascii="Arial" w:hAnsi="Arial" w:cs="Arial"/>
          <w:bCs/>
          <w:szCs w:val="24"/>
          <w:lang w:val="en-GB"/>
        </w:rPr>
        <w:t xml:space="preserve"> right this Court accepts, once again</w:t>
      </w:r>
      <w:r w:rsidR="00E365D8">
        <w:rPr>
          <w:rFonts w:ascii="Arial" w:hAnsi="Arial" w:cs="Arial"/>
          <w:bCs/>
          <w:szCs w:val="24"/>
          <w:lang w:val="en-GB"/>
        </w:rPr>
        <w:t xml:space="preserve"> based</w:t>
      </w:r>
      <w:r w:rsidRPr="00DD4A7D">
        <w:rPr>
          <w:rFonts w:ascii="Arial" w:hAnsi="Arial" w:cs="Arial"/>
          <w:bCs/>
          <w:szCs w:val="24"/>
          <w:lang w:val="en-GB"/>
        </w:rPr>
        <w:t xml:space="preserve"> on the principles of law as set out above and on the facts so clearly set out by the Applicants’ Counsel during the course of argument (not specifically disputed by Counsel for the Second Respondent) that this requirement has been satisfied by the Applicants. This is particularly so in respect of the fact that, on a </w:t>
      </w:r>
      <w:r w:rsidRPr="00DD4A7D">
        <w:rPr>
          <w:rFonts w:ascii="Arial" w:hAnsi="Arial" w:cs="Arial"/>
          <w:bCs/>
          <w:i/>
          <w:iCs/>
          <w:szCs w:val="24"/>
          <w:lang w:val="en-GB"/>
        </w:rPr>
        <w:t>prima facie</w:t>
      </w:r>
      <w:r w:rsidRPr="00DD4A7D">
        <w:rPr>
          <w:rFonts w:ascii="Arial" w:hAnsi="Arial" w:cs="Arial"/>
          <w:bCs/>
          <w:szCs w:val="24"/>
          <w:lang w:val="en-GB"/>
        </w:rPr>
        <w:t xml:space="preserve"> level, it would appear that the Second Respondent has not paid royalties to the Applicants and that the Applicants have cancelled the agreements, </w:t>
      </w:r>
      <w:r w:rsidRPr="00DD4A7D">
        <w:rPr>
          <w:rFonts w:ascii="Arial" w:hAnsi="Arial" w:cs="Arial"/>
          <w:bCs/>
          <w:i/>
          <w:iCs/>
          <w:szCs w:val="24"/>
          <w:lang w:val="en-GB"/>
        </w:rPr>
        <w:t>alternatively</w:t>
      </w:r>
      <w:r w:rsidRPr="00DD4A7D">
        <w:rPr>
          <w:rFonts w:ascii="Arial" w:hAnsi="Arial" w:cs="Arial"/>
          <w:bCs/>
          <w:szCs w:val="24"/>
          <w:lang w:val="en-GB"/>
        </w:rPr>
        <w:t>, in the case of the Management Agreement, this agreement has come to an end by the effluxion of time (due to notice and regardless of breach).</w:t>
      </w:r>
      <w:r w:rsidR="001E32A0">
        <w:rPr>
          <w:rFonts w:ascii="Arial" w:hAnsi="Arial" w:cs="Arial"/>
          <w:bCs/>
          <w:szCs w:val="24"/>
          <w:lang w:val="en-GB"/>
        </w:rPr>
        <w:t xml:space="preserve"> </w:t>
      </w:r>
      <w:r w:rsidRPr="00DD4A7D">
        <w:rPr>
          <w:rFonts w:ascii="Arial" w:hAnsi="Arial" w:cs="Arial"/>
          <w:bCs/>
          <w:szCs w:val="24"/>
          <w:lang w:val="en-GB"/>
        </w:rPr>
        <w:t>This Court understood Counsel for the Second Respondent to effectively (and correctly) concede same.</w:t>
      </w:r>
    </w:p>
    <w:p w14:paraId="1D7E8F42" w14:textId="77777777" w:rsidR="00DD4A7D" w:rsidRPr="00DD4A7D" w:rsidRDefault="00DD4A7D" w:rsidP="00657706">
      <w:pPr>
        <w:pStyle w:val="ListParagraph"/>
        <w:spacing w:after="0" w:line="276" w:lineRule="auto"/>
        <w:rPr>
          <w:rFonts w:ascii="Arial" w:hAnsi="Arial" w:cs="Arial"/>
          <w:bCs/>
          <w:szCs w:val="24"/>
          <w:lang w:val="en-GB"/>
        </w:rPr>
      </w:pPr>
    </w:p>
    <w:p w14:paraId="68C20FFB" w14:textId="70B580ED"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As to the remaining requirements for an interim interdict, there is, as submitted by Counsel for the Applicants, a strong case established by the Applicants in respect of irreparable harm which has simply not been addressed by the Second Respondent in the application papers before this Court.  In the opinion of this Court it is no answer for the Second Respondent to aver that it too may be suffering reputational damage by the Applicants’ breaching the agreements and continuing to play their songs on various DSP’s. Rather, in the discretion of this Court and in light of the failure of the Second Respondent to place any rebutting evidence before this Court, this Court is satisfied that the Applicants have shown that if the interim interdict is not granted, they will suffer irreparable harm.</w:t>
      </w:r>
    </w:p>
    <w:p w14:paraId="77EBFFC0" w14:textId="77777777" w:rsidR="00DD4A7D" w:rsidRPr="00DD4A7D" w:rsidRDefault="00DD4A7D" w:rsidP="00657706">
      <w:pPr>
        <w:pStyle w:val="ListParagraph"/>
        <w:spacing w:after="0" w:line="276" w:lineRule="auto"/>
        <w:rPr>
          <w:rFonts w:ascii="Arial" w:hAnsi="Arial" w:cs="Arial"/>
          <w:bCs/>
          <w:szCs w:val="24"/>
          <w:lang w:val="en-GB"/>
        </w:rPr>
      </w:pPr>
    </w:p>
    <w:p w14:paraId="245B3D16" w14:textId="4670BDF4" w:rsid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For essentially the same reasons this Court also finds that the Applicants have satisfied the requirements in respect of both the balance of convenience and the absence of another satisfactory remedy. Once again, the averments of the Applicants have been met with bare or broad denials. In this matter it clearly cannot be to the ultimate prejudice of the Second Respondent if it is found that the Applicants did not lawfully cancel the agreements and the interim relief is granted, since a percentage of the income generated by the playing of the songs on the DSP’s will ultimately filter its way down into the Second Respondent’s coffers.</w:t>
      </w:r>
    </w:p>
    <w:p w14:paraId="5B434B3C" w14:textId="77777777" w:rsidR="00DD4A7D" w:rsidRPr="00DD4A7D" w:rsidRDefault="00DD4A7D" w:rsidP="00657706">
      <w:pPr>
        <w:pStyle w:val="ListParagraph"/>
        <w:spacing w:after="0" w:line="276" w:lineRule="auto"/>
        <w:rPr>
          <w:rFonts w:ascii="Arial" w:hAnsi="Arial" w:cs="Arial"/>
          <w:bCs/>
          <w:szCs w:val="24"/>
          <w:lang w:val="en-GB"/>
        </w:rPr>
      </w:pPr>
    </w:p>
    <w:p w14:paraId="21F49F89" w14:textId="53AEB729" w:rsidR="00DD4A7D" w:rsidRPr="00DD4A7D"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In the premises, this Court holds that the Applicants should be granted the relief as sought in PART A of the Notice of Motion. The Applicants handed in a Draft Order at the hearing of the matter.  No objections thereto were placed on record by the Second Respondent.</w:t>
      </w:r>
      <w:r w:rsidR="003C2778">
        <w:rPr>
          <w:rFonts w:ascii="Arial" w:hAnsi="Arial" w:cs="Arial"/>
          <w:bCs/>
          <w:szCs w:val="24"/>
          <w:lang w:val="en-GB"/>
        </w:rPr>
        <w:t xml:space="preserve"> </w:t>
      </w:r>
      <w:r w:rsidRPr="00DD4A7D">
        <w:rPr>
          <w:rFonts w:ascii="Arial" w:hAnsi="Arial" w:cs="Arial"/>
          <w:bCs/>
          <w:szCs w:val="24"/>
          <w:lang w:val="en-GB"/>
        </w:rPr>
        <w:t xml:space="preserve">The Applicants also seek costs. It is trite that costs fall within the discretion of the Court to be exercised judicially. Costs generally follow the result unless there are unusual or special circumstances. None were brought to the attention of this Court. Further, no objection was raised on behalf of the Second Respondent as to the fact that the Applicants were represented by two Counsel. In the exercise of this Court’s discretion there is no reason why the Second Respondent should not pay the costs of this application, such to include the costs of two Counsel.  </w:t>
      </w:r>
    </w:p>
    <w:p w14:paraId="1058F393" w14:textId="77777777" w:rsidR="00DD4A7D" w:rsidRDefault="00DD4A7D" w:rsidP="00657706">
      <w:pPr>
        <w:spacing w:after="0" w:line="276" w:lineRule="auto"/>
        <w:rPr>
          <w:rFonts w:ascii="Arial" w:hAnsi="Arial" w:cs="Arial"/>
          <w:b/>
          <w:bCs/>
          <w:szCs w:val="24"/>
          <w:u w:val="single"/>
          <w:lang w:val="en-GB"/>
        </w:rPr>
      </w:pPr>
    </w:p>
    <w:p w14:paraId="6B79B69F" w14:textId="77777777" w:rsidR="009978FD" w:rsidRDefault="009978FD" w:rsidP="00657706">
      <w:pPr>
        <w:spacing w:after="0" w:line="276" w:lineRule="auto"/>
        <w:rPr>
          <w:rFonts w:ascii="Arial" w:hAnsi="Arial" w:cs="Arial"/>
          <w:b/>
          <w:bCs/>
          <w:szCs w:val="24"/>
          <w:u w:val="single"/>
          <w:lang w:val="en-GB"/>
        </w:rPr>
      </w:pPr>
    </w:p>
    <w:p w14:paraId="40991DA4" w14:textId="141E5A45" w:rsidR="00DD4A7D" w:rsidRPr="00DD4A7D" w:rsidRDefault="00DD4A7D" w:rsidP="00657706">
      <w:pPr>
        <w:spacing w:after="0" w:line="276" w:lineRule="auto"/>
        <w:rPr>
          <w:rFonts w:ascii="Arial" w:hAnsi="Arial" w:cs="Arial"/>
          <w:b/>
          <w:bCs/>
          <w:szCs w:val="24"/>
          <w:u w:val="single"/>
          <w:lang w:val="en-GB"/>
        </w:rPr>
      </w:pPr>
      <w:r w:rsidRPr="00DD4A7D">
        <w:rPr>
          <w:rFonts w:ascii="Arial" w:hAnsi="Arial" w:cs="Arial"/>
          <w:b/>
          <w:bCs/>
          <w:szCs w:val="24"/>
          <w:u w:val="single"/>
          <w:lang w:val="en-GB"/>
        </w:rPr>
        <w:t>Order</w:t>
      </w:r>
    </w:p>
    <w:p w14:paraId="6B7AF3DC" w14:textId="77777777" w:rsidR="00DD4A7D" w:rsidRDefault="00DD4A7D" w:rsidP="00657706">
      <w:pPr>
        <w:spacing w:after="0" w:line="276" w:lineRule="auto"/>
        <w:rPr>
          <w:rFonts w:ascii="Arial" w:hAnsi="Arial" w:cs="Arial"/>
          <w:bCs/>
          <w:szCs w:val="24"/>
          <w:lang w:val="en-GB"/>
        </w:rPr>
      </w:pPr>
    </w:p>
    <w:p w14:paraId="41123DE7" w14:textId="77777777" w:rsidR="00D15C15" w:rsidRDefault="00DD4A7D" w:rsidP="00657706">
      <w:pPr>
        <w:pStyle w:val="ListParagraph"/>
        <w:numPr>
          <w:ilvl w:val="0"/>
          <w:numId w:val="77"/>
        </w:numPr>
        <w:spacing w:after="0" w:line="276" w:lineRule="auto"/>
        <w:ind w:left="720" w:hanging="686"/>
        <w:rPr>
          <w:rFonts w:ascii="Arial" w:hAnsi="Arial" w:cs="Arial"/>
          <w:bCs/>
          <w:szCs w:val="24"/>
          <w:lang w:val="en-GB"/>
        </w:rPr>
      </w:pPr>
      <w:r w:rsidRPr="00DD4A7D">
        <w:rPr>
          <w:rFonts w:ascii="Arial" w:hAnsi="Arial" w:cs="Arial"/>
          <w:bCs/>
          <w:szCs w:val="24"/>
          <w:lang w:val="en-GB"/>
        </w:rPr>
        <w:t>This Court makes the following order:</w:t>
      </w:r>
    </w:p>
    <w:p w14:paraId="15B84352" w14:textId="77777777" w:rsidR="00D15C15" w:rsidRDefault="00D15C15" w:rsidP="00657706">
      <w:pPr>
        <w:pStyle w:val="ListParagraph"/>
        <w:spacing w:after="0" w:line="276" w:lineRule="auto"/>
        <w:rPr>
          <w:rFonts w:ascii="Arial" w:hAnsi="Arial" w:cs="Arial"/>
          <w:bCs/>
          <w:szCs w:val="24"/>
          <w:lang w:val="en-GB"/>
        </w:rPr>
      </w:pPr>
    </w:p>
    <w:p w14:paraId="13459490" w14:textId="658AA338" w:rsidR="00D15C15" w:rsidRDefault="00657706" w:rsidP="00657706">
      <w:pPr>
        <w:pStyle w:val="ListParagraph"/>
        <w:numPr>
          <w:ilvl w:val="0"/>
          <w:numId w:val="94"/>
        </w:numPr>
        <w:spacing w:after="0" w:line="276" w:lineRule="auto"/>
        <w:ind w:left="1440" w:hanging="720"/>
        <w:rPr>
          <w:rFonts w:ascii="Arial" w:hAnsi="Arial" w:cs="Arial"/>
          <w:bCs/>
          <w:szCs w:val="24"/>
          <w:lang w:val="en-GB"/>
        </w:rPr>
      </w:pPr>
      <w:r>
        <w:rPr>
          <w:rFonts w:ascii="Arial" w:hAnsi="Arial" w:cs="Arial"/>
          <w:bCs/>
          <w:szCs w:val="24"/>
          <w:lang w:val="en-GB"/>
        </w:rPr>
        <w:t>That p</w:t>
      </w:r>
      <w:r w:rsidR="00DD4A7D" w:rsidRPr="00D15C15">
        <w:rPr>
          <w:rFonts w:ascii="Arial" w:hAnsi="Arial" w:cs="Arial"/>
          <w:bCs/>
          <w:szCs w:val="24"/>
          <w:lang w:val="en-GB"/>
        </w:rPr>
        <w:t>ending final determination of P</w:t>
      </w:r>
      <w:r>
        <w:rPr>
          <w:rFonts w:ascii="Arial" w:hAnsi="Arial" w:cs="Arial"/>
          <w:bCs/>
          <w:szCs w:val="24"/>
          <w:lang w:val="en-GB"/>
        </w:rPr>
        <w:t>art</w:t>
      </w:r>
      <w:r w:rsidR="00DD4A7D" w:rsidRPr="00D15C15">
        <w:rPr>
          <w:rFonts w:ascii="Arial" w:hAnsi="Arial" w:cs="Arial"/>
          <w:bCs/>
          <w:szCs w:val="24"/>
          <w:lang w:val="en-GB"/>
        </w:rPr>
        <w:t xml:space="preserve"> B attached to this application, any person or entity acting in concert with the Respondents, are hereby interdicted from removing and/or deleting the account of the Applicants</w:t>
      </w:r>
      <w:r>
        <w:rPr>
          <w:rFonts w:ascii="Arial" w:hAnsi="Arial" w:cs="Arial"/>
          <w:bCs/>
          <w:szCs w:val="24"/>
          <w:lang w:val="en-GB"/>
        </w:rPr>
        <w:t>’</w:t>
      </w:r>
      <w:r w:rsidR="00DD4A7D" w:rsidRPr="00D15C15">
        <w:rPr>
          <w:rFonts w:ascii="Arial" w:hAnsi="Arial" w:cs="Arial"/>
          <w:bCs/>
          <w:szCs w:val="24"/>
          <w:lang w:val="en-GB"/>
        </w:rPr>
        <w:t xml:space="preserve"> Youtube </w:t>
      </w:r>
      <w:r>
        <w:rPr>
          <w:rFonts w:ascii="Arial" w:hAnsi="Arial" w:cs="Arial"/>
          <w:bCs/>
          <w:szCs w:val="24"/>
          <w:lang w:val="en-GB"/>
        </w:rPr>
        <w:t>c</w:t>
      </w:r>
      <w:r w:rsidR="00DD4A7D" w:rsidRPr="00D15C15">
        <w:rPr>
          <w:rFonts w:ascii="Arial" w:hAnsi="Arial" w:cs="Arial"/>
          <w:bCs/>
          <w:szCs w:val="24"/>
          <w:lang w:val="en-GB"/>
        </w:rPr>
        <w:t>hannel;</w:t>
      </w:r>
    </w:p>
    <w:p w14:paraId="7A6FA625" w14:textId="77777777" w:rsidR="00D15C15" w:rsidRDefault="00D15C15" w:rsidP="00657706">
      <w:pPr>
        <w:pStyle w:val="ListParagraph"/>
        <w:spacing w:after="0" w:line="276" w:lineRule="auto"/>
        <w:ind w:left="1440"/>
        <w:rPr>
          <w:rFonts w:ascii="Arial" w:hAnsi="Arial" w:cs="Arial"/>
          <w:bCs/>
          <w:szCs w:val="24"/>
          <w:lang w:val="en-GB"/>
        </w:rPr>
      </w:pPr>
    </w:p>
    <w:p w14:paraId="25536C3B" w14:textId="6212C048" w:rsidR="00D15C15" w:rsidRDefault="00657706" w:rsidP="00657706">
      <w:pPr>
        <w:pStyle w:val="ListParagraph"/>
        <w:numPr>
          <w:ilvl w:val="0"/>
          <w:numId w:val="94"/>
        </w:numPr>
        <w:spacing w:after="0" w:line="276" w:lineRule="auto"/>
        <w:ind w:left="1440" w:hanging="720"/>
        <w:rPr>
          <w:rFonts w:ascii="Arial" w:hAnsi="Arial" w:cs="Arial"/>
          <w:bCs/>
          <w:szCs w:val="24"/>
          <w:lang w:val="en-GB"/>
        </w:rPr>
      </w:pPr>
      <w:r>
        <w:rPr>
          <w:rFonts w:ascii="Arial" w:hAnsi="Arial" w:cs="Arial"/>
          <w:bCs/>
          <w:szCs w:val="24"/>
          <w:lang w:val="en-GB"/>
        </w:rPr>
        <w:t>That i</w:t>
      </w:r>
      <w:r w:rsidR="00DD4A7D" w:rsidRPr="00D15C15">
        <w:rPr>
          <w:rFonts w:ascii="Arial" w:hAnsi="Arial" w:cs="Arial"/>
          <w:bCs/>
          <w:szCs w:val="24"/>
          <w:lang w:val="en-GB"/>
        </w:rPr>
        <w:t xml:space="preserve">t </w:t>
      </w:r>
      <w:r>
        <w:rPr>
          <w:rFonts w:ascii="Arial" w:hAnsi="Arial" w:cs="Arial"/>
          <w:bCs/>
          <w:szCs w:val="24"/>
          <w:lang w:val="en-GB"/>
        </w:rPr>
        <w:t xml:space="preserve">be </w:t>
      </w:r>
      <w:r w:rsidR="00DD4A7D" w:rsidRPr="00D15C15">
        <w:rPr>
          <w:rFonts w:ascii="Arial" w:hAnsi="Arial" w:cs="Arial"/>
          <w:bCs/>
          <w:szCs w:val="24"/>
          <w:lang w:val="en-GB"/>
        </w:rPr>
        <w:t xml:space="preserve">ordered that the Second Respondent </w:t>
      </w:r>
      <w:r>
        <w:rPr>
          <w:rFonts w:ascii="Arial" w:hAnsi="Arial" w:cs="Arial"/>
          <w:bCs/>
          <w:szCs w:val="24"/>
          <w:lang w:val="en-GB"/>
        </w:rPr>
        <w:t>be</w:t>
      </w:r>
      <w:r w:rsidR="00DD4A7D" w:rsidRPr="00D15C15">
        <w:rPr>
          <w:rFonts w:ascii="Arial" w:hAnsi="Arial" w:cs="Arial"/>
          <w:bCs/>
          <w:szCs w:val="24"/>
          <w:lang w:val="en-GB"/>
        </w:rPr>
        <w:t xml:space="preserve"> interdicted from raising any copyright/ownership dispute against the works of the Applicants with any other </w:t>
      </w:r>
      <w:r>
        <w:rPr>
          <w:rFonts w:ascii="Arial" w:hAnsi="Arial" w:cs="Arial"/>
          <w:bCs/>
          <w:szCs w:val="24"/>
          <w:lang w:val="en-GB"/>
        </w:rPr>
        <w:t>D</w:t>
      </w:r>
      <w:r w:rsidR="00DD4A7D" w:rsidRPr="00D15C15">
        <w:rPr>
          <w:rFonts w:ascii="Arial" w:hAnsi="Arial" w:cs="Arial"/>
          <w:bCs/>
          <w:szCs w:val="24"/>
          <w:lang w:val="en-GB"/>
        </w:rPr>
        <w:t xml:space="preserve">igital </w:t>
      </w:r>
      <w:r>
        <w:rPr>
          <w:rFonts w:ascii="Arial" w:hAnsi="Arial" w:cs="Arial"/>
          <w:bCs/>
          <w:szCs w:val="24"/>
          <w:lang w:val="en-GB"/>
        </w:rPr>
        <w:t>S</w:t>
      </w:r>
      <w:r w:rsidR="00DD4A7D" w:rsidRPr="00D15C15">
        <w:rPr>
          <w:rFonts w:ascii="Arial" w:hAnsi="Arial" w:cs="Arial"/>
          <w:bCs/>
          <w:szCs w:val="24"/>
          <w:lang w:val="en-GB"/>
        </w:rPr>
        <w:t xml:space="preserve">treaming </w:t>
      </w:r>
      <w:r>
        <w:rPr>
          <w:rFonts w:ascii="Arial" w:hAnsi="Arial" w:cs="Arial"/>
          <w:bCs/>
          <w:szCs w:val="24"/>
          <w:lang w:val="en-GB"/>
        </w:rPr>
        <w:t>P</w:t>
      </w:r>
      <w:r w:rsidR="00DD4A7D" w:rsidRPr="00D15C15">
        <w:rPr>
          <w:rFonts w:ascii="Arial" w:hAnsi="Arial" w:cs="Arial"/>
          <w:bCs/>
          <w:szCs w:val="24"/>
          <w:lang w:val="en-GB"/>
        </w:rPr>
        <w:t>latform (</w:t>
      </w:r>
      <w:r>
        <w:rPr>
          <w:rFonts w:ascii="Arial" w:hAnsi="Arial" w:cs="Arial"/>
          <w:bCs/>
          <w:szCs w:val="24"/>
          <w:lang w:val="en-GB"/>
        </w:rPr>
        <w:t>“</w:t>
      </w:r>
      <w:r w:rsidR="00DD4A7D" w:rsidRPr="00657706">
        <w:rPr>
          <w:rFonts w:ascii="Arial" w:hAnsi="Arial" w:cs="Arial"/>
          <w:b/>
          <w:szCs w:val="24"/>
          <w:lang w:val="en-GB"/>
        </w:rPr>
        <w:t>DSP</w:t>
      </w:r>
      <w:r>
        <w:rPr>
          <w:rFonts w:ascii="Arial" w:hAnsi="Arial" w:cs="Arial"/>
          <w:bCs/>
          <w:szCs w:val="24"/>
          <w:lang w:val="en-GB"/>
        </w:rPr>
        <w:t>”</w:t>
      </w:r>
      <w:r w:rsidR="00DD4A7D" w:rsidRPr="00D15C15">
        <w:rPr>
          <w:rFonts w:ascii="Arial" w:hAnsi="Arial" w:cs="Arial"/>
          <w:bCs/>
          <w:szCs w:val="24"/>
          <w:lang w:val="en-GB"/>
        </w:rPr>
        <w:t>) inclusive of the First Respondent, Spotify, iTunes, Deezer</w:t>
      </w:r>
      <w:r>
        <w:rPr>
          <w:rFonts w:ascii="Arial" w:hAnsi="Arial" w:cs="Arial"/>
          <w:bCs/>
          <w:szCs w:val="24"/>
          <w:lang w:val="en-GB"/>
        </w:rPr>
        <w:t>,</w:t>
      </w:r>
      <w:r w:rsidR="00DD4A7D" w:rsidRPr="00D15C15">
        <w:rPr>
          <w:rFonts w:ascii="Arial" w:hAnsi="Arial" w:cs="Arial"/>
          <w:bCs/>
          <w:szCs w:val="24"/>
          <w:lang w:val="en-GB"/>
        </w:rPr>
        <w:t xml:space="preserve"> authored by the Applicants from 15 June 2022</w:t>
      </w:r>
      <w:r>
        <w:rPr>
          <w:rFonts w:ascii="Arial" w:hAnsi="Arial" w:cs="Arial"/>
          <w:bCs/>
          <w:szCs w:val="24"/>
          <w:lang w:val="en-GB"/>
        </w:rPr>
        <w:t>,</w:t>
      </w:r>
      <w:r w:rsidR="00DD4A7D" w:rsidRPr="00D15C15">
        <w:rPr>
          <w:rFonts w:ascii="Arial" w:hAnsi="Arial" w:cs="Arial"/>
          <w:bCs/>
          <w:szCs w:val="24"/>
          <w:lang w:val="en-GB"/>
        </w:rPr>
        <w:t xml:space="preserve"> pending final determination of P</w:t>
      </w:r>
      <w:r>
        <w:rPr>
          <w:rFonts w:ascii="Arial" w:hAnsi="Arial" w:cs="Arial"/>
          <w:bCs/>
          <w:szCs w:val="24"/>
          <w:lang w:val="en-GB"/>
        </w:rPr>
        <w:t>art</w:t>
      </w:r>
      <w:r w:rsidR="00DD4A7D" w:rsidRPr="00D15C15">
        <w:rPr>
          <w:rFonts w:ascii="Arial" w:hAnsi="Arial" w:cs="Arial"/>
          <w:bCs/>
          <w:szCs w:val="24"/>
          <w:lang w:val="en-GB"/>
        </w:rPr>
        <w:t xml:space="preserve"> B.</w:t>
      </w:r>
    </w:p>
    <w:p w14:paraId="0C6BC890" w14:textId="77777777" w:rsidR="00D15C15" w:rsidRPr="00D15C15" w:rsidRDefault="00D15C15" w:rsidP="00657706">
      <w:pPr>
        <w:pStyle w:val="ListParagraph"/>
        <w:spacing w:after="0" w:line="276" w:lineRule="auto"/>
        <w:rPr>
          <w:rFonts w:ascii="Arial" w:hAnsi="Arial" w:cs="Arial"/>
          <w:bCs/>
          <w:szCs w:val="24"/>
          <w:lang w:val="en-GB"/>
        </w:rPr>
      </w:pPr>
    </w:p>
    <w:p w14:paraId="52E9FAFF" w14:textId="6DF1D856" w:rsidR="00DD4A7D" w:rsidRPr="00D15C15" w:rsidRDefault="00DD4A7D" w:rsidP="00657706">
      <w:pPr>
        <w:pStyle w:val="ListParagraph"/>
        <w:numPr>
          <w:ilvl w:val="0"/>
          <w:numId w:val="94"/>
        </w:numPr>
        <w:spacing w:after="0" w:line="276" w:lineRule="auto"/>
        <w:ind w:left="1440" w:hanging="720"/>
        <w:rPr>
          <w:rFonts w:ascii="Arial" w:hAnsi="Arial" w:cs="Arial"/>
          <w:bCs/>
          <w:szCs w:val="24"/>
          <w:lang w:val="en-GB"/>
        </w:rPr>
      </w:pPr>
      <w:r w:rsidRPr="00D15C15">
        <w:rPr>
          <w:rFonts w:ascii="Arial" w:hAnsi="Arial" w:cs="Arial"/>
          <w:bCs/>
          <w:szCs w:val="24"/>
          <w:lang w:val="en-GB"/>
        </w:rPr>
        <w:t>The Second Respondent is ordered to pay the costs of this application including the cost</w:t>
      </w:r>
      <w:r w:rsidR="00E365D8">
        <w:rPr>
          <w:rFonts w:ascii="Arial" w:hAnsi="Arial" w:cs="Arial"/>
          <w:bCs/>
          <w:szCs w:val="24"/>
          <w:lang w:val="en-GB"/>
        </w:rPr>
        <w:t>s</w:t>
      </w:r>
      <w:r w:rsidRPr="00D15C15">
        <w:rPr>
          <w:rFonts w:ascii="Arial" w:hAnsi="Arial" w:cs="Arial"/>
          <w:bCs/>
          <w:szCs w:val="24"/>
          <w:lang w:val="en-GB"/>
        </w:rPr>
        <w:t xml:space="preserve"> of two Counsel, one of which is Senior Counsel.  </w:t>
      </w:r>
    </w:p>
    <w:p w14:paraId="754EF701" w14:textId="77777777" w:rsidR="00DD4A7D" w:rsidRPr="00DD4A7D" w:rsidRDefault="00DD4A7D" w:rsidP="00657706">
      <w:pPr>
        <w:spacing w:after="0" w:line="276" w:lineRule="auto"/>
        <w:rPr>
          <w:rFonts w:ascii="Arial" w:hAnsi="Arial" w:cs="Arial"/>
          <w:bCs/>
          <w:szCs w:val="24"/>
          <w:lang w:val="en-GB"/>
        </w:rPr>
      </w:pPr>
    </w:p>
    <w:p w14:paraId="50AFDA9B" w14:textId="77777777" w:rsidR="00370F5E" w:rsidRDefault="00370F5E" w:rsidP="00657706">
      <w:pPr>
        <w:spacing w:after="0" w:line="276" w:lineRule="auto"/>
        <w:ind w:left="0"/>
        <w:rPr>
          <w:rFonts w:ascii="Arial" w:hAnsi="Arial" w:cs="Arial"/>
          <w:b/>
          <w:szCs w:val="24"/>
          <w:u w:val="single"/>
        </w:rPr>
      </w:pPr>
    </w:p>
    <w:p w14:paraId="7234E10B" w14:textId="77777777" w:rsidR="006012FD" w:rsidRDefault="006012FD" w:rsidP="00657706">
      <w:pPr>
        <w:spacing w:after="0" w:line="276" w:lineRule="auto"/>
        <w:ind w:left="0"/>
        <w:rPr>
          <w:rFonts w:ascii="Arial" w:hAnsi="Arial" w:cs="Arial"/>
          <w:b/>
          <w:szCs w:val="24"/>
          <w:u w:val="single"/>
        </w:rPr>
      </w:pPr>
    </w:p>
    <w:p w14:paraId="2ED7E248" w14:textId="77777777" w:rsidR="006012FD" w:rsidRDefault="006012FD" w:rsidP="00657706">
      <w:pPr>
        <w:spacing w:after="0" w:line="276" w:lineRule="auto"/>
        <w:ind w:left="0"/>
        <w:rPr>
          <w:rFonts w:ascii="Arial" w:hAnsi="Arial" w:cs="Arial"/>
          <w:b/>
          <w:szCs w:val="24"/>
          <w:u w:val="single"/>
        </w:rPr>
      </w:pPr>
    </w:p>
    <w:p w14:paraId="6BCB93AF" w14:textId="7B818F00" w:rsidR="00394ED7" w:rsidRPr="00B94C00" w:rsidRDefault="00394ED7" w:rsidP="0065770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57706">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14A2BEA3" w:rsidR="00394ED7" w:rsidRPr="00B94C00" w:rsidRDefault="00394ED7" w:rsidP="0065770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0A31A97F" w14:textId="7E72F860" w:rsidR="00F72339" w:rsidRPr="004C371C" w:rsidRDefault="00D20A49" w:rsidP="0065770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1A57191D" w14:textId="77777777" w:rsidR="00903975" w:rsidRDefault="00903975" w:rsidP="00657706">
      <w:pPr>
        <w:spacing w:after="0" w:line="276" w:lineRule="auto"/>
        <w:ind w:left="0"/>
        <w:rPr>
          <w:rFonts w:ascii="Arial" w:hAnsi="Arial" w:cs="Arial"/>
          <w:b/>
          <w:bCs/>
          <w:szCs w:val="24"/>
        </w:rPr>
      </w:pPr>
    </w:p>
    <w:p w14:paraId="1ED2143E" w14:textId="77777777" w:rsidR="00903975" w:rsidRDefault="00903975" w:rsidP="00657706">
      <w:pPr>
        <w:spacing w:after="0" w:line="276" w:lineRule="auto"/>
        <w:ind w:left="0"/>
        <w:rPr>
          <w:rFonts w:ascii="Arial" w:hAnsi="Arial" w:cs="Arial"/>
          <w:b/>
          <w:bCs/>
          <w:szCs w:val="24"/>
        </w:rPr>
      </w:pPr>
    </w:p>
    <w:p w14:paraId="6E768008" w14:textId="77777777" w:rsidR="00903975" w:rsidRDefault="00903975" w:rsidP="00657706">
      <w:pPr>
        <w:spacing w:after="0" w:line="276" w:lineRule="auto"/>
        <w:ind w:left="0"/>
        <w:rPr>
          <w:rFonts w:ascii="Arial" w:hAnsi="Arial" w:cs="Arial"/>
          <w:b/>
          <w:bCs/>
          <w:szCs w:val="24"/>
        </w:rPr>
      </w:pPr>
    </w:p>
    <w:p w14:paraId="3E6DB7ED" w14:textId="77777777" w:rsidR="00903975" w:rsidRDefault="00903975" w:rsidP="00657706">
      <w:pPr>
        <w:spacing w:after="0" w:line="276" w:lineRule="auto"/>
        <w:ind w:left="0"/>
        <w:rPr>
          <w:rFonts w:ascii="Arial" w:hAnsi="Arial" w:cs="Arial"/>
          <w:b/>
          <w:bCs/>
          <w:szCs w:val="24"/>
        </w:rPr>
      </w:pPr>
    </w:p>
    <w:p w14:paraId="3975D26B" w14:textId="77777777" w:rsidR="006012FD" w:rsidRDefault="006012FD" w:rsidP="00657706">
      <w:pPr>
        <w:spacing w:after="0" w:line="276" w:lineRule="auto"/>
        <w:ind w:left="0"/>
        <w:rPr>
          <w:rFonts w:ascii="Arial" w:hAnsi="Arial" w:cs="Arial"/>
          <w:b/>
          <w:bCs/>
          <w:szCs w:val="24"/>
        </w:rPr>
      </w:pPr>
    </w:p>
    <w:p w14:paraId="02CCF5AD" w14:textId="77777777" w:rsidR="006012FD" w:rsidRDefault="006012FD" w:rsidP="00657706">
      <w:pPr>
        <w:spacing w:after="0" w:line="276" w:lineRule="auto"/>
        <w:ind w:left="0"/>
        <w:rPr>
          <w:rFonts w:ascii="Arial" w:hAnsi="Arial" w:cs="Arial"/>
          <w:b/>
          <w:bCs/>
          <w:szCs w:val="24"/>
        </w:rPr>
      </w:pPr>
    </w:p>
    <w:p w14:paraId="03723609" w14:textId="77777777" w:rsidR="006012FD" w:rsidRDefault="006012FD" w:rsidP="00657706">
      <w:pPr>
        <w:spacing w:after="0" w:line="276" w:lineRule="auto"/>
        <w:ind w:left="0"/>
        <w:rPr>
          <w:rFonts w:ascii="Arial" w:hAnsi="Arial" w:cs="Arial"/>
          <w:b/>
          <w:bCs/>
          <w:szCs w:val="24"/>
        </w:rPr>
      </w:pPr>
    </w:p>
    <w:p w14:paraId="5736A452" w14:textId="77777777" w:rsidR="006012FD" w:rsidRDefault="006012FD" w:rsidP="00657706">
      <w:pPr>
        <w:spacing w:after="0" w:line="276" w:lineRule="auto"/>
        <w:ind w:left="0"/>
        <w:rPr>
          <w:rFonts w:ascii="Arial" w:hAnsi="Arial" w:cs="Arial"/>
          <w:b/>
          <w:bCs/>
          <w:szCs w:val="24"/>
        </w:rPr>
      </w:pPr>
    </w:p>
    <w:p w14:paraId="5E9E08B0" w14:textId="77777777" w:rsidR="006012FD" w:rsidRDefault="006012FD" w:rsidP="00657706">
      <w:pPr>
        <w:spacing w:after="0" w:line="276" w:lineRule="auto"/>
        <w:ind w:left="0"/>
        <w:rPr>
          <w:rFonts w:ascii="Arial" w:hAnsi="Arial" w:cs="Arial"/>
          <w:b/>
          <w:bCs/>
          <w:szCs w:val="24"/>
        </w:rPr>
      </w:pPr>
    </w:p>
    <w:p w14:paraId="3CDBF2ED" w14:textId="77777777" w:rsidR="006012FD" w:rsidRDefault="006012FD" w:rsidP="00657706">
      <w:pPr>
        <w:spacing w:after="0" w:line="276" w:lineRule="auto"/>
        <w:ind w:left="0"/>
        <w:rPr>
          <w:rFonts w:ascii="Arial" w:hAnsi="Arial" w:cs="Arial"/>
          <w:b/>
          <w:bCs/>
          <w:szCs w:val="24"/>
        </w:rPr>
      </w:pPr>
    </w:p>
    <w:p w14:paraId="607BA469" w14:textId="77777777" w:rsidR="006012FD" w:rsidRDefault="006012FD" w:rsidP="00657706">
      <w:pPr>
        <w:spacing w:after="0" w:line="276" w:lineRule="auto"/>
        <w:ind w:left="0"/>
        <w:rPr>
          <w:rFonts w:ascii="Arial" w:hAnsi="Arial" w:cs="Arial"/>
          <w:b/>
          <w:bCs/>
          <w:szCs w:val="24"/>
        </w:rPr>
      </w:pPr>
    </w:p>
    <w:p w14:paraId="1C190956" w14:textId="77777777" w:rsidR="006012FD" w:rsidRDefault="006012FD" w:rsidP="00657706">
      <w:pPr>
        <w:spacing w:after="0" w:line="276" w:lineRule="auto"/>
        <w:ind w:left="0"/>
        <w:rPr>
          <w:rFonts w:ascii="Arial" w:hAnsi="Arial" w:cs="Arial"/>
          <w:b/>
          <w:bCs/>
          <w:szCs w:val="24"/>
        </w:rPr>
      </w:pPr>
    </w:p>
    <w:p w14:paraId="0438712D" w14:textId="77777777" w:rsidR="006012FD" w:rsidRDefault="006012FD" w:rsidP="00657706">
      <w:pPr>
        <w:spacing w:after="0" w:line="276" w:lineRule="auto"/>
        <w:ind w:left="0"/>
        <w:rPr>
          <w:rFonts w:ascii="Arial" w:hAnsi="Arial" w:cs="Arial"/>
          <w:b/>
          <w:bCs/>
          <w:szCs w:val="24"/>
        </w:rPr>
      </w:pPr>
    </w:p>
    <w:p w14:paraId="1D02AA5F" w14:textId="77777777" w:rsidR="006012FD" w:rsidRDefault="006012FD" w:rsidP="00657706">
      <w:pPr>
        <w:spacing w:after="0" w:line="276" w:lineRule="auto"/>
        <w:ind w:left="0"/>
        <w:rPr>
          <w:rFonts w:ascii="Arial" w:hAnsi="Arial" w:cs="Arial"/>
          <w:b/>
          <w:bCs/>
          <w:szCs w:val="24"/>
        </w:rPr>
      </w:pPr>
    </w:p>
    <w:p w14:paraId="0BBAFE4C" w14:textId="77777777" w:rsidR="006012FD" w:rsidRDefault="006012FD" w:rsidP="00657706">
      <w:pPr>
        <w:spacing w:after="0" w:line="276" w:lineRule="auto"/>
        <w:ind w:left="0"/>
        <w:rPr>
          <w:rFonts w:ascii="Arial" w:hAnsi="Arial" w:cs="Arial"/>
          <w:b/>
          <w:bCs/>
          <w:szCs w:val="24"/>
        </w:rPr>
      </w:pPr>
    </w:p>
    <w:p w14:paraId="4AC5CFD9" w14:textId="77777777" w:rsidR="006012FD" w:rsidRDefault="006012FD" w:rsidP="00657706">
      <w:pPr>
        <w:spacing w:after="0" w:line="276" w:lineRule="auto"/>
        <w:ind w:left="0"/>
        <w:rPr>
          <w:rFonts w:ascii="Arial" w:hAnsi="Arial" w:cs="Arial"/>
          <w:b/>
          <w:bCs/>
          <w:szCs w:val="24"/>
        </w:rPr>
      </w:pPr>
    </w:p>
    <w:p w14:paraId="6481FEA2" w14:textId="77777777" w:rsidR="006012FD" w:rsidRDefault="006012FD" w:rsidP="00657706">
      <w:pPr>
        <w:spacing w:after="0" w:line="276" w:lineRule="auto"/>
        <w:ind w:left="0"/>
        <w:rPr>
          <w:rFonts w:ascii="Arial" w:hAnsi="Arial" w:cs="Arial"/>
          <w:b/>
          <w:bCs/>
          <w:szCs w:val="24"/>
        </w:rPr>
      </w:pPr>
    </w:p>
    <w:p w14:paraId="5FD7BC03" w14:textId="77777777" w:rsidR="006012FD" w:rsidRDefault="006012FD" w:rsidP="00657706">
      <w:pPr>
        <w:spacing w:after="0" w:line="276" w:lineRule="auto"/>
        <w:ind w:left="0"/>
        <w:rPr>
          <w:rFonts w:ascii="Arial" w:hAnsi="Arial" w:cs="Arial"/>
          <w:b/>
          <w:bCs/>
          <w:szCs w:val="24"/>
        </w:rPr>
      </w:pPr>
    </w:p>
    <w:p w14:paraId="369AA4AC" w14:textId="77777777" w:rsidR="006012FD" w:rsidRDefault="006012FD" w:rsidP="00657706">
      <w:pPr>
        <w:spacing w:after="0" w:line="276" w:lineRule="auto"/>
        <w:ind w:left="0"/>
        <w:rPr>
          <w:rFonts w:ascii="Arial" w:hAnsi="Arial" w:cs="Arial"/>
          <w:b/>
          <w:bCs/>
          <w:szCs w:val="24"/>
        </w:rPr>
      </w:pPr>
    </w:p>
    <w:p w14:paraId="00A2CDB4" w14:textId="77777777" w:rsidR="006012FD" w:rsidRDefault="006012FD" w:rsidP="00657706">
      <w:pPr>
        <w:spacing w:after="0" w:line="276" w:lineRule="auto"/>
        <w:ind w:left="0"/>
        <w:rPr>
          <w:rFonts w:ascii="Arial" w:hAnsi="Arial" w:cs="Arial"/>
          <w:b/>
          <w:bCs/>
          <w:szCs w:val="24"/>
        </w:rPr>
      </w:pPr>
    </w:p>
    <w:p w14:paraId="192B2AE4" w14:textId="29769ED2" w:rsidR="00EB45B2" w:rsidRPr="00EB45B2" w:rsidRDefault="00EB45B2" w:rsidP="00657706">
      <w:pPr>
        <w:spacing w:after="0" w:line="276" w:lineRule="auto"/>
        <w:ind w:left="0"/>
        <w:rPr>
          <w:rFonts w:ascii="Arial" w:hAnsi="Arial" w:cs="Arial"/>
          <w:szCs w:val="24"/>
        </w:rPr>
      </w:pPr>
      <w:r w:rsidRPr="00EB45B2">
        <w:rPr>
          <w:rFonts w:ascii="Arial" w:hAnsi="Arial" w:cs="Arial"/>
          <w:b/>
          <w:bCs/>
          <w:szCs w:val="24"/>
        </w:rPr>
        <w:t>Heard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Pr="00EB45B2">
        <w:rPr>
          <w:rFonts w:ascii="Arial" w:hAnsi="Arial" w:cs="Arial"/>
          <w:szCs w:val="24"/>
        </w:rPr>
        <w:tab/>
      </w:r>
      <w:r w:rsidR="00D15C15">
        <w:rPr>
          <w:rFonts w:ascii="Arial" w:hAnsi="Arial" w:cs="Arial"/>
          <w:szCs w:val="24"/>
        </w:rPr>
        <w:tab/>
        <w:t>13</w:t>
      </w:r>
      <w:r w:rsidRPr="00EB45B2">
        <w:rPr>
          <w:rFonts w:ascii="Arial" w:hAnsi="Arial" w:cs="Arial"/>
          <w:szCs w:val="24"/>
        </w:rPr>
        <w:t xml:space="preserve"> </w:t>
      </w:r>
      <w:r w:rsidR="00D15C15">
        <w:rPr>
          <w:rFonts w:ascii="Arial" w:hAnsi="Arial" w:cs="Arial"/>
          <w:szCs w:val="24"/>
        </w:rPr>
        <w:t xml:space="preserve">March </w:t>
      </w:r>
      <w:r w:rsidRPr="00EB45B2">
        <w:rPr>
          <w:rFonts w:ascii="Arial" w:hAnsi="Arial" w:cs="Arial"/>
          <w:szCs w:val="24"/>
        </w:rPr>
        <w:t>202</w:t>
      </w:r>
      <w:r>
        <w:rPr>
          <w:rFonts w:ascii="Arial" w:hAnsi="Arial" w:cs="Arial"/>
          <w:szCs w:val="24"/>
        </w:rPr>
        <w:t>3</w:t>
      </w:r>
      <w:r w:rsidRPr="00EB45B2">
        <w:rPr>
          <w:rFonts w:ascii="Arial" w:hAnsi="Arial" w:cs="Arial"/>
          <w:szCs w:val="24"/>
        </w:rPr>
        <w:t xml:space="preserve"> </w:t>
      </w:r>
    </w:p>
    <w:p w14:paraId="58402796" w14:textId="46B7A6BF" w:rsidR="00370F5E" w:rsidRDefault="00370F5E" w:rsidP="00657706">
      <w:pPr>
        <w:spacing w:after="0" w:line="276" w:lineRule="auto"/>
        <w:ind w:left="0"/>
        <w:rPr>
          <w:rFonts w:ascii="Arial" w:hAnsi="Arial" w:cs="Arial"/>
          <w:b/>
          <w:bCs/>
          <w:szCs w:val="24"/>
        </w:rPr>
      </w:pPr>
      <w:r w:rsidRPr="00370F5E">
        <w:rPr>
          <w:rFonts w:ascii="Arial" w:hAnsi="Arial" w:cs="Arial"/>
          <w:b/>
          <w:bCs/>
          <w:i/>
          <w:iCs/>
          <w:szCs w:val="24"/>
        </w:rPr>
        <w:t>Ex Tempore</w:t>
      </w:r>
      <w:r w:rsidRPr="00370F5E">
        <w:rPr>
          <w:rFonts w:ascii="Arial" w:hAnsi="Arial" w:cs="Arial"/>
          <w:szCs w:val="24"/>
        </w:rPr>
        <w:t>:</w:t>
      </w:r>
      <w:r>
        <w:rPr>
          <w:rFonts w:ascii="Arial" w:hAnsi="Arial" w:cs="Arial"/>
          <w:szCs w:val="24"/>
        </w:rPr>
        <w:tab/>
      </w:r>
      <w:r>
        <w:rPr>
          <w:rFonts w:ascii="Arial" w:hAnsi="Arial" w:cs="Arial"/>
          <w:szCs w:val="24"/>
        </w:rPr>
        <w:tab/>
      </w:r>
      <w:r w:rsidR="00D15C15">
        <w:rPr>
          <w:rFonts w:ascii="Arial" w:hAnsi="Arial" w:cs="Arial"/>
          <w:szCs w:val="24"/>
        </w:rPr>
        <w:tab/>
        <w:t>12</w:t>
      </w:r>
      <w:r>
        <w:rPr>
          <w:rFonts w:ascii="Arial" w:hAnsi="Arial" w:cs="Arial"/>
          <w:szCs w:val="24"/>
        </w:rPr>
        <w:t xml:space="preserve"> June 2023</w:t>
      </w:r>
    </w:p>
    <w:p w14:paraId="281927CC" w14:textId="1922DB9C" w:rsidR="00EB45B2" w:rsidRPr="00EB45B2" w:rsidRDefault="00370F5E" w:rsidP="00657706">
      <w:pPr>
        <w:spacing w:after="0" w:line="276" w:lineRule="auto"/>
        <w:ind w:left="0"/>
        <w:rPr>
          <w:rFonts w:ascii="Arial" w:hAnsi="Arial" w:cs="Arial"/>
          <w:szCs w:val="24"/>
        </w:rPr>
      </w:pPr>
      <w:r>
        <w:rPr>
          <w:rFonts w:ascii="Arial" w:hAnsi="Arial" w:cs="Arial"/>
          <w:b/>
          <w:bCs/>
          <w:szCs w:val="24"/>
        </w:rPr>
        <w:t>Transcript</w:t>
      </w:r>
      <w:r w:rsidR="00EB45B2" w:rsidRPr="00EB45B2">
        <w:rPr>
          <w:rFonts w:ascii="Arial" w:hAnsi="Arial" w:cs="Arial"/>
          <w:szCs w:val="24"/>
        </w:rPr>
        <w:t>:</w:t>
      </w:r>
      <w:r w:rsidR="00EB45B2" w:rsidRPr="00EB45B2">
        <w:rPr>
          <w:rFonts w:ascii="Arial" w:hAnsi="Arial" w:cs="Arial"/>
          <w:szCs w:val="24"/>
        </w:rPr>
        <w:tab/>
      </w:r>
      <w:r w:rsidR="00EB45B2" w:rsidRPr="00EB45B2">
        <w:rPr>
          <w:rFonts w:ascii="Arial" w:hAnsi="Arial" w:cs="Arial"/>
          <w:szCs w:val="24"/>
        </w:rPr>
        <w:tab/>
        <w:t xml:space="preserve">          </w:t>
      </w:r>
      <w:r w:rsidR="00776A31">
        <w:rPr>
          <w:rFonts w:ascii="Arial" w:hAnsi="Arial" w:cs="Arial"/>
          <w:szCs w:val="24"/>
        </w:rPr>
        <w:t xml:space="preserve"> </w:t>
      </w:r>
      <w:r w:rsidR="00D15C15">
        <w:rPr>
          <w:rFonts w:ascii="Arial" w:hAnsi="Arial" w:cs="Arial"/>
          <w:szCs w:val="24"/>
        </w:rPr>
        <w:tab/>
      </w:r>
      <w:r w:rsidR="00D15C15" w:rsidRPr="00EE6E5C">
        <w:rPr>
          <w:rFonts w:ascii="Arial" w:hAnsi="Arial" w:cs="Arial"/>
          <w:szCs w:val="24"/>
        </w:rPr>
        <w:t>2</w:t>
      </w:r>
      <w:r w:rsidR="00EE6E5C" w:rsidRPr="00EE6E5C">
        <w:rPr>
          <w:rFonts w:ascii="Arial" w:hAnsi="Arial" w:cs="Arial"/>
          <w:szCs w:val="24"/>
        </w:rPr>
        <w:t>3</w:t>
      </w:r>
      <w:r w:rsidR="00EB45B2" w:rsidRPr="00EE6E5C">
        <w:rPr>
          <w:rFonts w:ascii="Arial" w:hAnsi="Arial" w:cs="Arial"/>
          <w:szCs w:val="24"/>
        </w:rPr>
        <w:t xml:space="preserve"> June 2023</w:t>
      </w:r>
    </w:p>
    <w:p w14:paraId="68189513" w14:textId="77777777" w:rsidR="00EB45B2" w:rsidRPr="00EB45B2" w:rsidRDefault="00EB45B2" w:rsidP="00657706">
      <w:pPr>
        <w:spacing w:after="0" w:line="276" w:lineRule="auto"/>
        <w:ind w:left="0"/>
        <w:rPr>
          <w:rFonts w:ascii="Arial" w:hAnsi="Arial" w:cs="Arial"/>
          <w:szCs w:val="24"/>
        </w:rPr>
      </w:pPr>
    </w:p>
    <w:p w14:paraId="121BDD2F" w14:textId="6C46A9A5" w:rsidR="00EB45B2" w:rsidRPr="00EB45B2" w:rsidRDefault="00EB45B2" w:rsidP="00657706">
      <w:pPr>
        <w:spacing w:after="0" w:line="276" w:lineRule="auto"/>
        <w:ind w:left="0"/>
        <w:rPr>
          <w:rFonts w:ascii="Arial" w:hAnsi="Arial" w:cs="Arial"/>
          <w:szCs w:val="24"/>
        </w:rPr>
      </w:pPr>
      <w:r w:rsidRPr="00EB45B2">
        <w:rPr>
          <w:rFonts w:ascii="Arial" w:hAnsi="Arial" w:cs="Arial"/>
          <w:b/>
          <w:bCs/>
          <w:szCs w:val="24"/>
          <w:u w:val="single"/>
        </w:rPr>
        <w:t>Appearances</w:t>
      </w:r>
      <w:r>
        <w:rPr>
          <w:rFonts w:ascii="Arial" w:hAnsi="Arial" w:cs="Arial"/>
          <w:szCs w:val="24"/>
        </w:rPr>
        <w:t>:</w:t>
      </w:r>
    </w:p>
    <w:p w14:paraId="52012166" w14:textId="77777777" w:rsidR="00EB45B2" w:rsidRPr="00EB45B2" w:rsidRDefault="00EB45B2" w:rsidP="00657706">
      <w:pPr>
        <w:spacing w:after="0" w:line="276" w:lineRule="auto"/>
        <w:ind w:left="0"/>
        <w:rPr>
          <w:rFonts w:ascii="Arial" w:hAnsi="Arial" w:cs="Arial"/>
          <w:szCs w:val="24"/>
        </w:rPr>
      </w:pPr>
    </w:p>
    <w:p w14:paraId="106B3148" w14:textId="14D38527" w:rsidR="00EB45B2" w:rsidRPr="00EB45B2" w:rsidRDefault="00EB45B2" w:rsidP="00657706">
      <w:pPr>
        <w:spacing w:after="0" w:line="276" w:lineRule="auto"/>
        <w:ind w:left="0"/>
        <w:rPr>
          <w:rFonts w:ascii="Arial" w:hAnsi="Arial" w:cs="Arial"/>
          <w:szCs w:val="24"/>
        </w:rPr>
      </w:pPr>
      <w:r w:rsidRPr="00EB45B2">
        <w:rPr>
          <w:rFonts w:ascii="Arial" w:hAnsi="Arial" w:cs="Arial"/>
          <w:b/>
          <w:bCs/>
          <w:szCs w:val="24"/>
        </w:rPr>
        <w:t xml:space="preserve">For </w:t>
      </w:r>
      <w:r w:rsidR="00D15C15">
        <w:rPr>
          <w:rFonts w:ascii="Arial" w:hAnsi="Arial" w:cs="Arial"/>
          <w:b/>
          <w:bCs/>
          <w:szCs w:val="24"/>
        </w:rPr>
        <w:t>Applicants</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15C15">
        <w:rPr>
          <w:rFonts w:ascii="Arial" w:hAnsi="Arial" w:cs="Arial"/>
          <w:szCs w:val="24"/>
        </w:rPr>
        <w:tab/>
        <w:t>TN Ngcukaitobi SC (with MT Matlapeng)</w:t>
      </w:r>
    </w:p>
    <w:p w14:paraId="1DB24790" w14:textId="2EC989A7" w:rsidR="00C94F86" w:rsidRDefault="00EB45B2" w:rsidP="00657706">
      <w:pPr>
        <w:spacing w:after="0" w:line="276"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15C15">
        <w:rPr>
          <w:rFonts w:ascii="Arial" w:hAnsi="Arial" w:cs="Arial"/>
          <w:szCs w:val="24"/>
        </w:rPr>
        <w:tab/>
      </w:r>
      <w:r w:rsidR="00C05F29">
        <w:rPr>
          <w:rFonts w:ascii="Arial" w:hAnsi="Arial" w:cs="Arial"/>
          <w:szCs w:val="24"/>
        </w:rPr>
        <w:t>Friedland Hart Solomon &amp;</w:t>
      </w:r>
      <w:r w:rsidR="00C94F86">
        <w:rPr>
          <w:rFonts w:ascii="Arial" w:hAnsi="Arial" w:cs="Arial"/>
          <w:szCs w:val="24"/>
        </w:rPr>
        <w:t xml:space="preserve"> </w:t>
      </w:r>
      <w:r w:rsidR="00C05F29">
        <w:rPr>
          <w:rFonts w:ascii="Arial" w:hAnsi="Arial" w:cs="Arial"/>
          <w:szCs w:val="24"/>
        </w:rPr>
        <w:t>Nicolson Attorney</w:t>
      </w:r>
      <w:r w:rsidR="00755BE7">
        <w:rPr>
          <w:rFonts w:ascii="Arial" w:hAnsi="Arial" w:cs="Arial"/>
          <w:szCs w:val="24"/>
        </w:rPr>
        <w:t>s</w:t>
      </w:r>
    </w:p>
    <w:p w14:paraId="7B4E47DB" w14:textId="23C3EF8C" w:rsidR="00EB45B2" w:rsidRPr="00EB45B2" w:rsidRDefault="00C94F86" w:rsidP="00657706">
      <w:pPr>
        <w:spacing w:after="0" w:line="276" w:lineRule="auto"/>
        <w:ind w:left="2880" w:firstLine="720"/>
        <w:rPr>
          <w:rFonts w:ascii="Arial" w:hAnsi="Arial" w:cs="Arial"/>
          <w:szCs w:val="24"/>
        </w:rPr>
      </w:pPr>
      <w:r>
        <w:rPr>
          <w:rFonts w:ascii="Arial" w:hAnsi="Arial" w:cs="Arial"/>
          <w:szCs w:val="24"/>
        </w:rPr>
        <w:t xml:space="preserve">c/o </w:t>
      </w:r>
      <w:r w:rsidR="00755BE7">
        <w:rPr>
          <w:rFonts w:ascii="Arial" w:hAnsi="Arial" w:cs="Arial"/>
          <w:szCs w:val="24"/>
        </w:rPr>
        <w:t>AJ Scholtz Attorneys</w:t>
      </w:r>
    </w:p>
    <w:p w14:paraId="05279F50" w14:textId="77777777" w:rsidR="00EB45B2" w:rsidRPr="00EB45B2" w:rsidRDefault="00EB45B2" w:rsidP="00657706">
      <w:pPr>
        <w:spacing w:after="0" w:line="276" w:lineRule="auto"/>
        <w:ind w:left="0"/>
        <w:rPr>
          <w:rFonts w:ascii="Arial" w:hAnsi="Arial" w:cs="Arial"/>
          <w:szCs w:val="24"/>
        </w:rPr>
      </w:pPr>
    </w:p>
    <w:p w14:paraId="5C177230" w14:textId="7243BB08" w:rsidR="00EB45B2" w:rsidRPr="00EB45B2" w:rsidRDefault="00EB45B2" w:rsidP="00657706">
      <w:pPr>
        <w:spacing w:after="0" w:line="276" w:lineRule="auto"/>
        <w:ind w:left="0"/>
        <w:rPr>
          <w:rFonts w:ascii="Arial" w:hAnsi="Arial" w:cs="Arial"/>
          <w:szCs w:val="24"/>
        </w:rPr>
      </w:pPr>
      <w:r w:rsidRPr="00EB45B2">
        <w:rPr>
          <w:rFonts w:ascii="Arial" w:hAnsi="Arial" w:cs="Arial"/>
          <w:b/>
          <w:bCs/>
          <w:szCs w:val="24"/>
        </w:rPr>
        <w:t xml:space="preserve">For </w:t>
      </w:r>
      <w:r w:rsidR="00D15C15">
        <w:rPr>
          <w:rFonts w:ascii="Arial" w:hAnsi="Arial" w:cs="Arial"/>
          <w:b/>
          <w:bCs/>
          <w:szCs w:val="24"/>
        </w:rPr>
        <w:t>Second Respondent</w:t>
      </w:r>
      <w:r w:rsidRPr="00EB45B2">
        <w:rPr>
          <w:rFonts w:ascii="Arial" w:hAnsi="Arial" w:cs="Arial"/>
          <w:szCs w:val="24"/>
        </w:rPr>
        <w:t>:</w:t>
      </w:r>
      <w:r w:rsidRPr="00EB45B2">
        <w:rPr>
          <w:rFonts w:ascii="Arial" w:hAnsi="Arial" w:cs="Arial"/>
          <w:szCs w:val="24"/>
        </w:rPr>
        <w:tab/>
      </w:r>
      <w:r w:rsidR="00D15C15">
        <w:rPr>
          <w:rFonts w:ascii="Arial" w:hAnsi="Arial" w:cs="Arial"/>
          <w:szCs w:val="24"/>
        </w:rPr>
        <w:tab/>
        <w:t>HP van Nieuwenhuizen</w:t>
      </w:r>
    </w:p>
    <w:p w14:paraId="005245AC" w14:textId="52A79678" w:rsidR="00D91B48" w:rsidRPr="00D2571A" w:rsidRDefault="00D15C15" w:rsidP="00657706">
      <w:pPr>
        <w:spacing w:after="0" w:line="276"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00D2571A" w:rsidRPr="00D2571A">
        <w:rPr>
          <w:rFonts w:ascii="Arial" w:hAnsi="Arial" w:cs="Arial"/>
          <w:szCs w:val="24"/>
        </w:rPr>
        <w:tab/>
      </w:r>
      <w:r w:rsidR="00D2571A" w:rsidRPr="00D2571A">
        <w:rPr>
          <w:rFonts w:ascii="Arial" w:hAnsi="Arial" w:cs="Arial"/>
          <w:szCs w:val="24"/>
        </w:rPr>
        <w:tab/>
      </w:r>
      <w:r w:rsidR="00D2571A" w:rsidRPr="00D2571A">
        <w:rPr>
          <w:rFonts w:ascii="Arial" w:hAnsi="Arial" w:cs="Arial"/>
          <w:szCs w:val="24"/>
        </w:rPr>
        <w:tab/>
      </w:r>
      <w:r w:rsidR="00755BE7">
        <w:rPr>
          <w:rFonts w:ascii="Arial" w:hAnsi="Arial" w:cs="Arial"/>
          <w:szCs w:val="24"/>
        </w:rPr>
        <w:t>Richen Attorneys Inc.</w:t>
      </w:r>
    </w:p>
    <w:p w14:paraId="690C8194" w14:textId="77777777" w:rsidR="00D2571A" w:rsidRDefault="00D2571A" w:rsidP="00657706">
      <w:pPr>
        <w:spacing w:after="0" w:line="276" w:lineRule="auto"/>
        <w:ind w:left="0"/>
        <w:rPr>
          <w:rFonts w:ascii="Arial" w:hAnsi="Arial" w:cs="Arial"/>
          <w:b/>
          <w:bCs/>
          <w:szCs w:val="24"/>
        </w:rPr>
      </w:pPr>
    </w:p>
    <w:p w14:paraId="6C94BC09" w14:textId="5D6E84AC" w:rsidR="00D2571A" w:rsidRPr="00B94C00" w:rsidRDefault="00D2571A" w:rsidP="00657706">
      <w:pPr>
        <w:spacing w:after="0" w:line="276" w:lineRule="auto"/>
        <w:ind w:left="0"/>
        <w:rPr>
          <w:rFonts w:ascii="Arial" w:hAnsi="Arial" w:cs="Arial"/>
          <w:szCs w:val="24"/>
        </w:rPr>
      </w:pPr>
    </w:p>
    <w:sectPr w:rsidR="00D2571A"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9BF9" w14:textId="77777777" w:rsidR="00E30B7C" w:rsidRDefault="00E30B7C" w:rsidP="00A238D6">
      <w:pPr>
        <w:spacing w:after="0" w:line="240" w:lineRule="auto"/>
      </w:pPr>
      <w:r>
        <w:separator/>
      </w:r>
    </w:p>
  </w:endnote>
  <w:endnote w:type="continuationSeparator" w:id="0">
    <w:p w14:paraId="486BDD8D" w14:textId="77777777" w:rsidR="00E30B7C" w:rsidRDefault="00E30B7C" w:rsidP="00A238D6">
      <w:pPr>
        <w:spacing w:after="0" w:line="240" w:lineRule="auto"/>
      </w:pPr>
      <w:r>
        <w:continuationSeparator/>
      </w:r>
    </w:p>
  </w:endnote>
  <w:endnote w:type="continuationNotice" w:id="1">
    <w:p w14:paraId="637A4BDF" w14:textId="77777777" w:rsidR="00E30B7C" w:rsidRDefault="00E30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65202"/>
      <w:docPartObj>
        <w:docPartGallery w:val="Page Numbers (Bottom of Page)"/>
        <w:docPartUnique/>
      </w:docPartObj>
    </w:sdtPr>
    <w:sdtEndPr>
      <w:rPr>
        <w:noProof/>
      </w:rPr>
    </w:sdtEndPr>
    <w:sdtContent>
      <w:p w14:paraId="761941DD" w14:textId="1292D44D" w:rsidR="0046480A" w:rsidRDefault="00464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94AA" w14:textId="77777777" w:rsidR="00E30B7C" w:rsidRDefault="00E30B7C" w:rsidP="00A238D6">
      <w:pPr>
        <w:spacing w:after="0" w:line="240" w:lineRule="auto"/>
      </w:pPr>
      <w:r>
        <w:separator/>
      </w:r>
    </w:p>
  </w:footnote>
  <w:footnote w:type="continuationSeparator" w:id="0">
    <w:p w14:paraId="0382D0B0" w14:textId="77777777" w:rsidR="00E30B7C" w:rsidRDefault="00E30B7C" w:rsidP="00A238D6">
      <w:pPr>
        <w:spacing w:after="0" w:line="240" w:lineRule="auto"/>
      </w:pPr>
      <w:r>
        <w:continuationSeparator/>
      </w:r>
    </w:p>
  </w:footnote>
  <w:footnote w:type="continuationNotice" w:id="1">
    <w:p w14:paraId="4A9F7F96" w14:textId="77777777" w:rsidR="00E30B7C" w:rsidRDefault="00E30B7C">
      <w:pPr>
        <w:spacing w:after="0" w:line="240" w:lineRule="auto"/>
      </w:pPr>
    </w:p>
  </w:footnote>
  <w:footnote w:id="2">
    <w:p w14:paraId="1C288883" w14:textId="7DCFB3F5" w:rsidR="003C2778" w:rsidRPr="00494840" w:rsidRDefault="003C2778">
      <w:pPr>
        <w:pStyle w:val="FootnoteText"/>
        <w:rPr>
          <w:rFonts w:ascii="Arial" w:hAnsi="Arial" w:cs="Arial"/>
          <w:i/>
          <w:iCs/>
          <w:sz w:val="18"/>
          <w:szCs w:val="18"/>
          <w:lang w:val="en-US"/>
        </w:rPr>
      </w:pPr>
      <w:r w:rsidRPr="00D15C15">
        <w:rPr>
          <w:rStyle w:val="FootnoteReference"/>
          <w:rFonts w:ascii="Arial" w:hAnsi="Arial" w:cs="Arial"/>
          <w:sz w:val="18"/>
          <w:szCs w:val="18"/>
        </w:rPr>
        <w:footnoteRef/>
      </w:r>
      <w:r w:rsidRPr="00D15C15">
        <w:rPr>
          <w:rFonts w:ascii="Arial" w:hAnsi="Arial" w:cs="Arial"/>
          <w:sz w:val="18"/>
          <w:szCs w:val="18"/>
        </w:rPr>
        <w:t xml:space="preserve"> </w:t>
      </w:r>
      <w:r w:rsidR="00D15C15" w:rsidRPr="00494840">
        <w:rPr>
          <w:rFonts w:ascii="Arial" w:hAnsi="Arial" w:cs="Arial"/>
          <w:bCs/>
          <w:i/>
          <w:iCs/>
          <w:sz w:val="18"/>
          <w:szCs w:val="18"/>
          <w:lang w:val="en-GB"/>
        </w:rPr>
        <w:t>Paragraph [4] Ibid.</w:t>
      </w:r>
    </w:p>
  </w:footnote>
  <w:footnote w:id="3">
    <w:p w14:paraId="269360C5" w14:textId="259B9D68" w:rsidR="003C2778" w:rsidRPr="00494840" w:rsidRDefault="003C2778">
      <w:pPr>
        <w:pStyle w:val="FootnoteText"/>
        <w:rPr>
          <w:rFonts w:ascii="Arial" w:hAnsi="Arial" w:cs="Arial"/>
          <w:i/>
          <w:iCs/>
          <w:sz w:val="18"/>
          <w:szCs w:val="18"/>
          <w:lang w:val="en-US"/>
        </w:rPr>
      </w:pPr>
      <w:r w:rsidRPr="00D15C15">
        <w:rPr>
          <w:rStyle w:val="FootnoteReference"/>
          <w:rFonts w:ascii="Arial" w:hAnsi="Arial" w:cs="Arial"/>
          <w:sz w:val="18"/>
          <w:szCs w:val="18"/>
        </w:rPr>
        <w:footnoteRef/>
      </w:r>
      <w:r w:rsidRPr="00D15C15">
        <w:rPr>
          <w:rFonts w:ascii="Arial" w:hAnsi="Arial" w:cs="Arial"/>
          <w:sz w:val="18"/>
          <w:szCs w:val="18"/>
        </w:rPr>
        <w:t xml:space="preserve"> </w:t>
      </w:r>
      <w:r w:rsidR="00D15C15" w:rsidRPr="00DD4A7D">
        <w:rPr>
          <w:rFonts w:ascii="Arial" w:hAnsi="Arial" w:cs="Arial"/>
          <w:bCs/>
          <w:i/>
          <w:iCs/>
          <w:sz w:val="18"/>
          <w:szCs w:val="18"/>
          <w:lang w:val="en-GB"/>
        </w:rPr>
        <w:t>Masstores (Pty) Ltd v Pick `n Pay Retailers (Pty) Ltd</w:t>
      </w:r>
      <w:r w:rsidR="00D15C15" w:rsidRPr="00DD4A7D">
        <w:rPr>
          <w:rFonts w:ascii="Arial" w:hAnsi="Arial" w:cs="Arial"/>
          <w:bCs/>
          <w:sz w:val="18"/>
          <w:szCs w:val="18"/>
          <w:lang w:val="en-GB"/>
        </w:rPr>
        <w:t xml:space="preserve"> </w:t>
      </w:r>
      <w:r w:rsidR="00D15C15" w:rsidRPr="00494840">
        <w:rPr>
          <w:rFonts w:ascii="Arial" w:hAnsi="Arial" w:cs="Arial"/>
          <w:bCs/>
          <w:i/>
          <w:iCs/>
          <w:sz w:val="18"/>
          <w:szCs w:val="18"/>
          <w:lang w:val="en-GB"/>
        </w:rPr>
        <w:t>2017 (1) SA 613 (CC) at paragraph [10]; Atlas Organic Fertilisers (Pty) Ltd v Pikkewyn Ghwano (Pty) Ltd and Others 1981 (2) SA 173 (T) at 202G.</w:t>
      </w:r>
    </w:p>
  </w:footnote>
  <w:footnote w:id="4">
    <w:p w14:paraId="287B901E" w14:textId="56438D9F"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Organisasie vir Godsdienste-</w:t>
      </w:r>
      <w:r w:rsidR="00B476BB" w:rsidRPr="00494840">
        <w:rPr>
          <w:rFonts w:ascii="Arial" w:hAnsi="Arial" w:cs="Arial"/>
          <w:bCs/>
          <w:i/>
          <w:iCs/>
          <w:sz w:val="18"/>
          <w:szCs w:val="18"/>
          <w:lang w:val="en-GB"/>
        </w:rPr>
        <w:t>O</w:t>
      </w:r>
      <w:r w:rsidR="00D15C15" w:rsidRPr="00494840">
        <w:rPr>
          <w:rFonts w:ascii="Arial" w:hAnsi="Arial" w:cs="Arial"/>
          <w:bCs/>
          <w:i/>
          <w:iCs/>
          <w:sz w:val="18"/>
          <w:szCs w:val="18"/>
          <w:lang w:val="en-GB"/>
        </w:rPr>
        <w:t>nderrig en Demokrasie v Laerskool Randhart and Others 2017 (6) SA 129 (GJ) at [26], [57] and [70]</w:t>
      </w:r>
    </w:p>
  </w:footnote>
  <w:footnote w:id="5">
    <w:p w14:paraId="52406759" w14:textId="7C795A7B" w:rsidR="003C2778" w:rsidRPr="00494840" w:rsidRDefault="003C2778">
      <w:pPr>
        <w:pStyle w:val="FootnoteText"/>
        <w:rPr>
          <w:rFonts w:ascii="Arial" w:hAnsi="Arial" w:cs="Arial"/>
          <w:i/>
          <w:iCs/>
          <w:sz w:val="18"/>
          <w:szCs w:val="18"/>
          <w:lang w:val="en-US"/>
        </w:rPr>
      </w:pPr>
      <w:r w:rsidRPr="00D15C15">
        <w:rPr>
          <w:rStyle w:val="FootnoteReference"/>
          <w:rFonts w:ascii="Arial" w:hAnsi="Arial" w:cs="Arial"/>
          <w:sz w:val="18"/>
          <w:szCs w:val="18"/>
        </w:rPr>
        <w:footnoteRef/>
      </w:r>
      <w:r w:rsidRPr="00D15C15">
        <w:rPr>
          <w:rFonts w:ascii="Arial" w:hAnsi="Arial" w:cs="Arial"/>
          <w:sz w:val="18"/>
          <w:szCs w:val="18"/>
        </w:rPr>
        <w:t xml:space="preserve"> </w:t>
      </w:r>
      <w:r w:rsidR="00D15C15" w:rsidRPr="00494840">
        <w:rPr>
          <w:rFonts w:ascii="Arial" w:hAnsi="Arial" w:cs="Arial"/>
          <w:bCs/>
          <w:i/>
          <w:iCs/>
          <w:sz w:val="18"/>
          <w:szCs w:val="18"/>
          <w:lang w:val="en-GB"/>
        </w:rPr>
        <w:t>Ibid.</w:t>
      </w:r>
    </w:p>
  </w:footnote>
  <w:footnote w:id="6">
    <w:p w14:paraId="42FB2A3A" w14:textId="006FAFEA" w:rsidR="00D15C15" w:rsidRPr="00494840" w:rsidRDefault="003C2778" w:rsidP="00D15C15">
      <w:pPr>
        <w:spacing w:after="0" w:line="276" w:lineRule="auto"/>
        <w:rPr>
          <w:rFonts w:ascii="Arial" w:hAnsi="Arial" w:cs="Arial"/>
          <w:bCs/>
          <w:i/>
          <w:iCs/>
          <w:sz w:val="18"/>
          <w:szCs w:val="18"/>
          <w:lang w:val="en-GB"/>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At paragraphs [8] to [10].</w:t>
      </w:r>
    </w:p>
    <w:p w14:paraId="3B6F035B" w14:textId="388FD1C8" w:rsidR="003C2778" w:rsidRPr="00494840" w:rsidRDefault="003C2778">
      <w:pPr>
        <w:pStyle w:val="FootnoteText"/>
        <w:rPr>
          <w:rFonts w:ascii="Arial" w:hAnsi="Arial" w:cs="Arial"/>
          <w:i/>
          <w:iCs/>
          <w:sz w:val="18"/>
          <w:szCs w:val="18"/>
          <w:lang w:val="en-US"/>
        </w:rPr>
      </w:pPr>
    </w:p>
  </w:footnote>
  <w:footnote w:id="7">
    <w:p w14:paraId="286320F8" w14:textId="28048DEC" w:rsidR="003C2778" w:rsidRPr="00494840" w:rsidRDefault="003C2778">
      <w:pPr>
        <w:pStyle w:val="FootnoteText"/>
        <w:rPr>
          <w:rFonts w:ascii="Arial" w:hAnsi="Arial" w:cs="Arial"/>
          <w:i/>
          <w:iCs/>
          <w:sz w:val="18"/>
          <w:szCs w:val="18"/>
          <w:lang w:val="en-US"/>
        </w:rPr>
      </w:pPr>
      <w:r w:rsidRPr="00D15C15">
        <w:rPr>
          <w:rStyle w:val="FootnoteReference"/>
          <w:rFonts w:ascii="Arial" w:hAnsi="Arial" w:cs="Arial"/>
          <w:sz w:val="18"/>
          <w:szCs w:val="18"/>
        </w:rPr>
        <w:footnoteRef/>
      </w:r>
      <w:r w:rsidRPr="00D15C15">
        <w:rPr>
          <w:rFonts w:ascii="Arial" w:hAnsi="Arial" w:cs="Arial"/>
          <w:sz w:val="18"/>
          <w:szCs w:val="18"/>
        </w:rPr>
        <w:t xml:space="preserve"> </w:t>
      </w:r>
      <w:r w:rsidR="00D15C15" w:rsidRPr="00494840">
        <w:rPr>
          <w:rFonts w:ascii="Arial" w:hAnsi="Arial" w:cs="Arial"/>
          <w:bCs/>
          <w:i/>
          <w:iCs/>
          <w:sz w:val="18"/>
          <w:szCs w:val="18"/>
          <w:lang w:val="en-GB"/>
        </w:rPr>
        <w:t>2012 (6) SA 223 (CC).</w:t>
      </w:r>
    </w:p>
  </w:footnote>
  <w:footnote w:id="8">
    <w:p w14:paraId="06F88BE6" w14:textId="144E356B"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OUTA at paragraph 52.</w:t>
      </w:r>
    </w:p>
  </w:footnote>
  <w:footnote w:id="9">
    <w:p w14:paraId="52391687" w14:textId="59E0F062"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OUTA at paragraph 50.</w:t>
      </w:r>
    </w:p>
  </w:footnote>
  <w:footnote w:id="10">
    <w:p w14:paraId="38B31D0E" w14:textId="2848FFF7"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2021 (1) SA 397 (GP).</w:t>
      </w:r>
    </w:p>
  </w:footnote>
  <w:footnote w:id="11">
    <w:p w14:paraId="417035A5" w14:textId="21FE3B40"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Bombardier at paragraph 14.</w:t>
      </w:r>
    </w:p>
  </w:footnote>
  <w:footnote w:id="12">
    <w:p w14:paraId="215D4A24" w14:textId="1538B19B"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2019 (2) SA 577 (GJ) at paragraph 49.</w:t>
      </w:r>
    </w:p>
  </w:footnote>
  <w:footnote w:id="13">
    <w:p w14:paraId="29BA5379" w14:textId="69B555A8"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Webster v Mitchell 1948 (1) SA 1186 (WLD) at 1189.</w:t>
      </w:r>
    </w:p>
  </w:footnote>
  <w:footnote w:id="14">
    <w:p w14:paraId="2A3A460E" w14:textId="1574617D" w:rsidR="003C2778" w:rsidRPr="00494840" w:rsidRDefault="003C2778">
      <w:pPr>
        <w:pStyle w:val="FootnoteText"/>
        <w:rPr>
          <w:rFonts w:ascii="Arial" w:hAnsi="Arial" w:cs="Arial"/>
          <w:i/>
          <w:iCs/>
          <w:sz w:val="18"/>
          <w:szCs w:val="18"/>
          <w:lang w:val="en-US"/>
        </w:rPr>
      </w:pPr>
      <w:r w:rsidRPr="00494840">
        <w:rPr>
          <w:rStyle w:val="FootnoteReference"/>
          <w:rFonts w:ascii="Arial" w:hAnsi="Arial" w:cs="Arial"/>
          <w:i/>
          <w:iCs/>
          <w:sz w:val="18"/>
          <w:szCs w:val="18"/>
        </w:rPr>
        <w:footnoteRef/>
      </w:r>
      <w:r w:rsidRPr="00494840">
        <w:rPr>
          <w:rFonts w:ascii="Arial" w:hAnsi="Arial" w:cs="Arial"/>
          <w:i/>
          <w:iCs/>
          <w:sz w:val="18"/>
          <w:szCs w:val="18"/>
        </w:rPr>
        <w:t xml:space="preserve"> </w:t>
      </w:r>
      <w:r w:rsidR="00D15C15" w:rsidRPr="00494840">
        <w:rPr>
          <w:rFonts w:ascii="Arial" w:hAnsi="Arial" w:cs="Arial"/>
          <w:bCs/>
          <w:i/>
          <w:iCs/>
          <w:sz w:val="18"/>
          <w:szCs w:val="18"/>
          <w:lang w:val="en-GB"/>
        </w:rPr>
        <w:t>Messina (Transvaal) Development Co Ltd v South African Railways and Harbours 1929 AD 195 at 215-216; Hix Networking Technologies v System Publishers (Pty) Ltd and Another 1997 (1) SA 391 (AD) at 398I-399A; Shepherd Bushiri Investment (Pty) Ltd and Others versus JM Busha Investment Group (Pty) Ltd [2020] ZAGPJHC 294 at paragraph 5; Machingwane v National African Federated Chamber of Commerce and Industry and Another [2022] ZAGPJHC 461 at paragraph 2;  Mtakati v Ntombela N.O. and Others [2021] ZAFSHC 106 at paragraph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D33FBB"/>
    <w:multiLevelType w:val="hybridMultilevel"/>
    <w:tmpl w:val="63ECE6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DF7E2D"/>
    <w:multiLevelType w:val="hybridMultilevel"/>
    <w:tmpl w:val="BE1A9CE6"/>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06A50E78"/>
    <w:multiLevelType w:val="multilevel"/>
    <w:tmpl w:val="450E956E"/>
    <w:lvl w:ilvl="0">
      <w:start w:val="1"/>
      <w:numFmt w:val="decimal"/>
      <w:lvlText w:val="%1."/>
      <w:lvlJc w:val="left"/>
      <w:pPr>
        <w:ind w:left="2160" w:hanging="72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723066F"/>
    <w:multiLevelType w:val="hybridMultilevel"/>
    <w:tmpl w:val="E54C389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8" w15:restartNumberingAfterBreak="0">
    <w:nsid w:val="09F66163"/>
    <w:multiLevelType w:val="hybridMultilevel"/>
    <w:tmpl w:val="C2060DE2"/>
    <w:lvl w:ilvl="0" w:tplc="149AB1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0A5E7BAB"/>
    <w:multiLevelType w:val="hybridMultilevel"/>
    <w:tmpl w:val="F544C5EC"/>
    <w:lvl w:ilvl="0" w:tplc="8C1ED1F0">
      <w:start w:val="1"/>
      <w:numFmt w:val="decimal"/>
      <w:lvlText w:val="[%1]"/>
      <w:lvlJc w:val="left"/>
      <w:pPr>
        <w:ind w:left="394" w:hanging="360"/>
      </w:pPr>
      <w:rPr>
        <w:rFonts w:hint="default"/>
        <w:i w:val="0"/>
        <w:iCs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0A9057DC"/>
    <w:multiLevelType w:val="hybridMultilevel"/>
    <w:tmpl w:val="A1BE7D3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0AA91410"/>
    <w:multiLevelType w:val="multilevel"/>
    <w:tmpl w:val="5CF0C9F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0BDD4238"/>
    <w:multiLevelType w:val="multilevel"/>
    <w:tmpl w:val="25CE950E"/>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CE15017"/>
    <w:multiLevelType w:val="hybridMultilevel"/>
    <w:tmpl w:val="8C0C2F0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0EF27D3B"/>
    <w:multiLevelType w:val="hybridMultilevel"/>
    <w:tmpl w:val="C900A790"/>
    <w:lvl w:ilvl="0" w:tplc="DD6C36E6">
      <w:start w:val="1"/>
      <w:numFmt w:val="decimal"/>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2045D89"/>
    <w:multiLevelType w:val="hybridMultilevel"/>
    <w:tmpl w:val="1B0AC152"/>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E03C8A"/>
    <w:multiLevelType w:val="hybridMultilevel"/>
    <w:tmpl w:val="5678AE10"/>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1AD76775"/>
    <w:multiLevelType w:val="hybridMultilevel"/>
    <w:tmpl w:val="A03A631A"/>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F07589"/>
    <w:multiLevelType w:val="hybridMultilevel"/>
    <w:tmpl w:val="D2AA7D54"/>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3F492E"/>
    <w:multiLevelType w:val="hybridMultilevel"/>
    <w:tmpl w:val="7D5EEBFC"/>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062DA0"/>
    <w:multiLevelType w:val="hybridMultilevel"/>
    <w:tmpl w:val="2D86F3CE"/>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DE20FA9"/>
    <w:multiLevelType w:val="hybridMultilevel"/>
    <w:tmpl w:val="C360AFB6"/>
    <w:lvl w:ilvl="0" w:tplc="A1A85D1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207737C5"/>
    <w:multiLevelType w:val="hybridMultilevel"/>
    <w:tmpl w:val="9D3EDE8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15:restartNumberingAfterBreak="0">
    <w:nsid w:val="21CC357F"/>
    <w:multiLevelType w:val="hybridMultilevel"/>
    <w:tmpl w:val="2D08FC5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23FC3875"/>
    <w:multiLevelType w:val="hybridMultilevel"/>
    <w:tmpl w:val="208AC92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15:restartNumberingAfterBreak="0">
    <w:nsid w:val="26BD6B09"/>
    <w:multiLevelType w:val="hybridMultilevel"/>
    <w:tmpl w:val="07E2E1B6"/>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4D6B2F"/>
    <w:multiLevelType w:val="multilevel"/>
    <w:tmpl w:val="48AE8AE6"/>
    <w:lvl w:ilvl="0">
      <w:start w:val="1"/>
      <w:numFmt w:val="decimal"/>
      <w:lvlText w:val="%1."/>
      <w:lvlJc w:val="left"/>
      <w:pPr>
        <w:ind w:left="720" w:hanging="360"/>
      </w:p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3" w15:restartNumberingAfterBreak="0">
    <w:nsid w:val="284A6A75"/>
    <w:multiLevelType w:val="multilevel"/>
    <w:tmpl w:val="A72E07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9921376"/>
    <w:multiLevelType w:val="hybridMultilevel"/>
    <w:tmpl w:val="C99CF214"/>
    <w:lvl w:ilvl="0" w:tplc="6B7A9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9AF6C75"/>
    <w:multiLevelType w:val="hybridMultilevel"/>
    <w:tmpl w:val="07EC2658"/>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9FE3C7F"/>
    <w:multiLevelType w:val="hybridMultilevel"/>
    <w:tmpl w:val="3AA0541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E2A3425"/>
    <w:multiLevelType w:val="hybridMultilevel"/>
    <w:tmpl w:val="5A04DAA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315263D3"/>
    <w:multiLevelType w:val="hybridMultilevel"/>
    <w:tmpl w:val="D658859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15:restartNumberingAfterBreak="0">
    <w:nsid w:val="339B77BD"/>
    <w:multiLevelType w:val="hybridMultilevel"/>
    <w:tmpl w:val="D734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6FF0329"/>
    <w:multiLevelType w:val="hybridMultilevel"/>
    <w:tmpl w:val="3C9A2948"/>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2"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94A1C5E"/>
    <w:multiLevelType w:val="hybridMultilevel"/>
    <w:tmpl w:val="4D287572"/>
    <w:lvl w:ilvl="0" w:tplc="95F07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BB71183"/>
    <w:multiLevelType w:val="multilevel"/>
    <w:tmpl w:val="00B690A4"/>
    <w:lvl w:ilvl="0">
      <w:start w:val="4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D900A31"/>
    <w:multiLevelType w:val="hybridMultilevel"/>
    <w:tmpl w:val="35464F26"/>
    <w:lvl w:ilvl="0" w:tplc="616AB96A">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3FB843FB"/>
    <w:multiLevelType w:val="hybridMultilevel"/>
    <w:tmpl w:val="BAFC08DA"/>
    <w:lvl w:ilvl="0" w:tplc="865881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52" w15:restartNumberingAfterBreak="0">
    <w:nsid w:val="42F04003"/>
    <w:multiLevelType w:val="hybridMultilevel"/>
    <w:tmpl w:val="E922602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3" w15:restartNumberingAfterBreak="0">
    <w:nsid w:val="44DC6160"/>
    <w:multiLevelType w:val="hybridMultilevel"/>
    <w:tmpl w:val="103C502C"/>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6D7609E"/>
    <w:multiLevelType w:val="multilevel"/>
    <w:tmpl w:val="91201858"/>
    <w:lvl w:ilvl="0">
      <w:start w:val="7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71419EB"/>
    <w:multiLevelType w:val="hybridMultilevel"/>
    <w:tmpl w:val="FCC0FF2A"/>
    <w:lvl w:ilvl="0" w:tplc="FAB47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9F3CCE"/>
    <w:multiLevelType w:val="hybridMultilevel"/>
    <w:tmpl w:val="BC4E7D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D3062FB"/>
    <w:multiLevelType w:val="multilevel"/>
    <w:tmpl w:val="E8FA4F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EBF4845"/>
    <w:multiLevelType w:val="hybridMultilevel"/>
    <w:tmpl w:val="9F6EEBF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1"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51600478"/>
    <w:multiLevelType w:val="hybridMultilevel"/>
    <w:tmpl w:val="49D0053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3"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6D201CC"/>
    <w:multiLevelType w:val="hybridMultilevel"/>
    <w:tmpl w:val="61989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91547A7"/>
    <w:multiLevelType w:val="hybridMultilevel"/>
    <w:tmpl w:val="1EB8042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6"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8" w15:restartNumberingAfterBreak="0">
    <w:nsid w:val="5CC832ED"/>
    <w:multiLevelType w:val="hybridMultilevel"/>
    <w:tmpl w:val="BD1C7C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5E6C2743"/>
    <w:multiLevelType w:val="hybridMultilevel"/>
    <w:tmpl w:val="EA4E42A2"/>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E6C2D0D"/>
    <w:multiLevelType w:val="multilevel"/>
    <w:tmpl w:val="2368A6D2"/>
    <w:lvl w:ilvl="0">
      <w:start w:val="1"/>
      <w:numFmt w:val="decimal"/>
      <w:lvlText w:val="%1."/>
      <w:lvlJc w:val="left"/>
      <w:pPr>
        <w:ind w:left="1080" w:hanging="360"/>
      </w:pPr>
      <w:rPr>
        <w:rFonts w:hint="default"/>
      </w:rPr>
    </w:lvl>
    <w:lvl w:ilvl="1">
      <w:start w:val="1"/>
      <w:numFmt w:val="decimal"/>
      <w:isLgl/>
      <w:lvlText w:val="%1.%2"/>
      <w:lvlJc w:val="left"/>
      <w:pPr>
        <w:ind w:left="2550" w:hanging="1110"/>
      </w:pPr>
      <w:rPr>
        <w:rFonts w:hint="default"/>
        <w:color w:val="000000"/>
      </w:rPr>
    </w:lvl>
    <w:lvl w:ilvl="2">
      <w:start w:val="1"/>
      <w:numFmt w:val="decimal"/>
      <w:isLgl/>
      <w:lvlText w:val="%1.%2.%3"/>
      <w:lvlJc w:val="left"/>
      <w:pPr>
        <w:ind w:left="3270" w:hanging="1110"/>
      </w:pPr>
      <w:rPr>
        <w:rFonts w:hint="default"/>
        <w:color w:val="000000"/>
      </w:rPr>
    </w:lvl>
    <w:lvl w:ilvl="3">
      <w:start w:val="1"/>
      <w:numFmt w:val="decimal"/>
      <w:isLgl/>
      <w:lvlText w:val="%1.%2.%3.%4"/>
      <w:lvlJc w:val="left"/>
      <w:pPr>
        <w:ind w:left="3990" w:hanging="1110"/>
      </w:pPr>
      <w:rPr>
        <w:rFonts w:hint="default"/>
        <w:color w:val="000000"/>
      </w:rPr>
    </w:lvl>
    <w:lvl w:ilvl="4">
      <w:start w:val="1"/>
      <w:numFmt w:val="decimal"/>
      <w:isLgl/>
      <w:lvlText w:val="%1.%2.%3.%4.%5"/>
      <w:lvlJc w:val="left"/>
      <w:pPr>
        <w:ind w:left="5040" w:hanging="1440"/>
      </w:pPr>
      <w:rPr>
        <w:rFonts w:hint="default"/>
        <w:color w:val="000000"/>
      </w:rPr>
    </w:lvl>
    <w:lvl w:ilvl="5">
      <w:start w:val="1"/>
      <w:numFmt w:val="decimal"/>
      <w:isLgl/>
      <w:lvlText w:val="%1.%2.%3.%4.%5.%6"/>
      <w:lvlJc w:val="left"/>
      <w:pPr>
        <w:ind w:left="6120" w:hanging="1800"/>
      </w:pPr>
      <w:rPr>
        <w:rFonts w:hint="default"/>
        <w:color w:val="000000"/>
      </w:rPr>
    </w:lvl>
    <w:lvl w:ilvl="6">
      <w:start w:val="1"/>
      <w:numFmt w:val="decimal"/>
      <w:isLgl/>
      <w:lvlText w:val="%1.%2.%3.%4.%5.%6.%7"/>
      <w:lvlJc w:val="left"/>
      <w:pPr>
        <w:ind w:left="6840" w:hanging="1800"/>
      </w:pPr>
      <w:rPr>
        <w:rFonts w:hint="default"/>
        <w:color w:val="000000"/>
      </w:rPr>
    </w:lvl>
    <w:lvl w:ilvl="7">
      <w:start w:val="1"/>
      <w:numFmt w:val="decimal"/>
      <w:isLgl/>
      <w:lvlText w:val="%1.%2.%3.%4.%5.%6.%7.%8"/>
      <w:lvlJc w:val="left"/>
      <w:pPr>
        <w:ind w:left="7920" w:hanging="2160"/>
      </w:pPr>
      <w:rPr>
        <w:rFonts w:hint="default"/>
        <w:color w:val="000000"/>
      </w:rPr>
    </w:lvl>
    <w:lvl w:ilvl="8">
      <w:start w:val="1"/>
      <w:numFmt w:val="decimal"/>
      <w:isLgl/>
      <w:lvlText w:val="%1.%2.%3.%4.%5.%6.%7.%8.%9"/>
      <w:lvlJc w:val="left"/>
      <w:pPr>
        <w:ind w:left="9000" w:hanging="2520"/>
      </w:pPr>
      <w:rPr>
        <w:rFonts w:hint="default"/>
        <w:color w:val="000000"/>
      </w:rPr>
    </w:lvl>
  </w:abstractNum>
  <w:abstractNum w:abstractNumId="71" w15:restartNumberingAfterBreak="0">
    <w:nsid w:val="5E7D26D0"/>
    <w:multiLevelType w:val="hybridMultilevel"/>
    <w:tmpl w:val="5BBEF68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2"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43F09B5"/>
    <w:multiLevelType w:val="multilevel"/>
    <w:tmpl w:val="113CA5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65D60862"/>
    <w:multiLevelType w:val="hybridMultilevel"/>
    <w:tmpl w:val="9196946C"/>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70F0793"/>
    <w:multiLevelType w:val="hybridMultilevel"/>
    <w:tmpl w:val="88CC72EE"/>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7D347AD"/>
    <w:multiLevelType w:val="hybridMultilevel"/>
    <w:tmpl w:val="F7E23CE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8" w15:restartNumberingAfterBreak="0">
    <w:nsid w:val="67F90536"/>
    <w:multiLevelType w:val="hybridMultilevel"/>
    <w:tmpl w:val="3864A596"/>
    <w:lvl w:ilvl="0" w:tplc="616AB96A">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83C0645"/>
    <w:multiLevelType w:val="hybridMultilevel"/>
    <w:tmpl w:val="88D60B7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0" w15:restartNumberingAfterBreak="0">
    <w:nsid w:val="699120A9"/>
    <w:multiLevelType w:val="hybridMultilevel"/>
    <w:tmpl w:val="37AC13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69CC7514"/>
    <w:multiLevelType w:val="hybridMultilevel"/>
    <w:tmpl w:val="A1AE1F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6F9611F5"/>
    <w:multiLevelType w:val="hybridMultilevel"/>
    <w:tmpl w:val="2458AA0A"/>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1F220E"/>
    <w:multiLevelType w:val="hybridMultilevel"/>
    <w:tmpl w:val="43A0C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5" w15:restartNumberingAfterBreak="0">
    <w:nsid w:val="71EF27CB"/>
    <w:multiLevelType w:val="hybridMultilevel"/>
    <w:tmpl w:val="B5CCE5F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6" w15:restartNumberingAfterBreak="0">
    <w:nsid w:val="72FA3399"/>
    <w:multiLevelType w:val="hybridMultilevel"/>
    <w:tmpl w:val="65B07F04"/>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3991009"/>
    <w:multiLevelType w:val="multilevel"/>
    <w:tmpl w:val="B6E2B5A4"/>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78CB5BB1"/>
    <w:multiLevelType w:val="multilevel"/>
    <w:tmpl w:val="C1986866"/>
    <w:lvl w:ilvl="0">
      <w:start w:val="3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79697C05"/>
    <w:multiLevelType w:val="hybridMultilevel"/>
    <w:tmpl w:val="30F6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EE911B3"/>
    <w:multiLevelType w:val="hybridMultilevel"/>
    <w:tmpl w:val="5D60C540"/>
    <w:lvl w:ilvl="0" w:tplc="A1A8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147427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56487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853185">
    <w:abstractNumId w:val="2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8167096">
    <w:abstractNumId w:val="2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401057">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9503020">
    <w:abstractNumId w:val="1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1463702">
    <w:abstractNumId w:val="9"/>
  </w:num>
  <w:num w:numId="8" w16cid:durableId="623468394">
    <w:abstractNumId w:val="9"/>
  </w:num>
  <w:num w:numId="9" w16cid:durableId="1412658473">
    <w:abstractNumId w:val="9"/>
  </w:num>
  <w:num w:numId="10" w16cid:durableId="1697652786">
    <w:abstractNumId w:val="45"/>
  </w:num>
  <w:num w:numId="11" w16cid:durableId="606738029">
    <w:abstractNumId w:val="67"/>
  </w:num>
  <w:num w:numId="12" w16cid:durableId="357900251">
    <w:abstractNumId w:val="66"/>
  </w:num>
  <w:num w:numId="13" w16cid:durableId="8900706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449164">
    <w:abstractNumId w:val="42"/>
  </w:num>
  <w:num w:numId="15" w16cid:durableId="232474380">
    <w:abstractNumId w:val="37"/>
  </w:num>
  <w:num w:numId="16" w16cid:durableId="182938048">
    <w:abstractNumId w:val="63"/>
  </w:num>
  <w:num w:numId="17" w16cid:durableId="2095199950">
    <w:abstractNumId w:val="72"/>
  </w:num>
  <w:num w:numId="18" w16cid:durableId="639186903">
    <w:abstractNumId w:val="84"/>
  </w:num>
  <w:num w:numId="19" w16cid:durableId="1306744152">
    <w:abstractNumId w:val="56"/>
  </w:num>
  <w:num w:numId="20" w16cid:durableId="1700470894">
    <w:abstractNumId w:val="57"/>
  </w:num>
  <w:num w:numId="21" w16cid:durableId="1463184374">
    <w:abstractNumId w:val="10"/>
  </w:num>
  <w:num w:numId="22" w16cid:durableId="1566722065">
    <w:abstractNumId w:val="3"/>
  </w:num>
  <w:num w:numId="23" w16cid:durableId="1053768727">
    <w:abstractNumId w:val="47"/>
  </w:num>
  <w:num w:numId="24" w16cid:durableId="349793568">
    <w:abstractNumId w:val="51"/>
  </w:num>
  <w:num w:numId="25" w16cid:durableId="301422966">
    <w:abstractNumId w:val="50"/>
  </w:num>
  <w:num w:numId="26" w16cid:durableId="862934301">
    <w:abstractNumId w:val="12"/>
  </w:num>
  <w:num w:numId="27" w16cid:durableId="811214959">
    <w:abstractNumId w:val="71"/>
  </w:num>
  <w:num w:numId="28" w16cid:durableId="1119422280">
    <w:abstractNumId w:val="16"/>
  </w:num>
  <w:num w:numId="29" w16cid:durableId="2016834319">
    <w:abstractNumId w:val="60"/>
  </w:num>
  <w:num w:numId="30" w16cid:durableId="704671252">
    <w:abstractNumId w:val="43"/>
  </w:num>
  <w:num w:numId="31" w16cid:durableId="1330014126">
    <w:abstractNumId w:val="49"/>
  </w:num>
  <w:num w:numId="32" w16cid:durableId="1155956176">
    <w:abstractNumId w:val="6"/>
  </w:num>
  <w:num w:numId="33" w16cid:durableId="1706367320">
    <w:abstractNumId w:val="0"/>
  </w:num>
  <w:num w:numId="34" w16cid:durableId="10121477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5829830">
    <w:abstractNumId w:val="48"/>
  </w:num>
  <w:num w:numId="36" w16cid:durableId="34818785">
    <w:abstractNumId w:val="32"/>
  </w:num>
  <w:num w:numId="37" w16cid:durableId="1777211792">
    <w:abstractNumId w:val="89"/>
  </w:num>
  <w:num w:numId="38" w16cid:durableId="1642805116">
    <w:abstractNumId w:val="64"/>
  </w:num>
  <w:num w:numId="39" w16cid:durableId="1643120471">
    <w:abstractNumId w:val="40"/>
  </w:num>
  <w:num w:numId="40" w16cid:durableId="857811596">
    <w:abstractNumId w:val="58"/>
  </w:num>
  <w:num w:numId="41" w16cid:durableId="93408520">
    <w:abstractNumId w:val="13"/>
  </w:num>
  <w:num w:numId="42" w16cid:durableId="1966622028">
    <w:abstractNumId w:val="70"/>
  </w:num>
  <w:num w:numId="43" w16cid:durableId="938607603">
    <w:abstractNumId w:val="53"/>
  </w:num>
  <w:num w:numId="44" w16cid:durableId="819007372">
    <w:abstractNumId w:val="26"/>
  </w:num>
  <w:num w:numId="45" w16cid:durableId="305359254">
    <w:abstractNumId w:val="31"/>
  </w:num>
  <w:num w:numId="46" w16cid:durableId="1790322399">
    <w:abstractNumId w:val="20"/>
  </w:num>
  <w:num w:numId="47" w16cid:durableId="1776173153">
    <w:abstractNumId w:val="17"/>
  </w:num>
  <w:num w:numId="48" w16cid:durableId="1306011688">
    <w:abstractNumId w:val="41"/>
  </w:num>
  <w:num w:numId="49" w16cid:durableId="947586412">
    <w:abstractNumId w:val="39"/>
  </w:num>
  <w:num w:numId="50" w16cid:durableId="1717970508">
    <w:abstractNumId w:val="74"/>
  </w:num>
  <w:num w:numId="51" w16cid:durableId="2015495073">
    <w:abstractNumId w:val="82"/>
  </w:num>
  <w:num w:numId="52" w16cid:durableId="2085452548">
    <w:abstractNumId w:val="30"/>
  </w:num>
  <w:num w:numId="53" w16cid:durableId="1686711992">
    <w:abstractNumId w:val="27"/>
  </w:num>
  <w:num w:numId="54" w16cid:durableId="140847534">
    <w:abstractNumId w:val="76"/>
  </w:num>
  <w:num w:numId="55" w16cid:durableId="957297982">
    <w:abstractNumId w:val="19"/>
  </w:num>
  <w:num w:numId="56" w16cid:durableId="1409116774">
    <w:abstractNumId w:val="2"/>
  </w:num>
  <w:num w:numId="57" w16cid:durableId="294143299">
    <w:abstractNumId w:val="69"/>
  </w:num>
  <w:num w:numId="58" w16cid:durableId="1537933535">
    <w:abstractNumId w:val="68"/>
  </w:num>
  <w:num w:numId="59" w16cid:durableId="248781746">
    <w:abstractNumId w:val="23"/>
  </w:num>
  <w:num w:numId="60" w16cid:durableId="887113375">
    <w:abstractNumId w:val="1"/>
  </w:num>
  <w:num w:numId="61" w16cid:durableId="2089419220">
    <w:abstractNumId w:val="24"/>
  </w:num>
  <w:num w:numId="62" w16cid:durableId="1270964258">
    <w:abstractNumId w:val="75"/>
  </w:num>
  <w:num w:numId="63" w16cid:durableId="1420829781">
    <w:abstractNumId w:val="86"/>
  </w:num>
  <w:num w:numId="64" w16cid:durableId="144663188">
    <w:abstractNumId w:val="25"/>
  </w:num>
  <w:num w:numId="65" w16cid:durableId="7760332">
    <w:abstractNumId w:val="78"/>
  </w:num>
  <w:num w:numId="66" w16cid:durableId="180239997">
    <w:abstractNumId w:val="46"/>
  </w:num>
  <w:num w:numId="67" w16cid:durableId="2105808655">
    <w:abstractNumId w:val="80"/>
  </w:num>
  <w:num w:numId="68" w16cid:durableId="1292512460">
    <w:abstractNumId w:val="90"/>
  </w:num>
  <w:num w:numId="69" w16cid:durableId="1421026830">
    <w:abstractNumId w:val="83"/>
  </w:num>
  <w:num w:numId="70" w16cid:durableId="409499616">
    <w:abstractNumId w:val="35"/>
  </w:num>
  <w:num w:numId="71" w16cid:durableId="254901869">
    <w:abstractNumId w:val="81"/>
  </w:num>
  <w:num w:numId="72" w16cid:durableId="502936974">
    <w:abstractNumId w:val="59"/>
  </w:num>
  <w:num w:numId="73" w16cid:durableId="1358310551">
    <w:abstractNumId w:val="15"/>
  </w:num>
  <w:num w:numId="74" w16cid:durableId="1280643811">
    <w:abstractNumId w:val="88"/>
  </w:num>
  <w:num w:numId="75" w16cid:durableId="692070621">
    <w:abstractNumId w:val="44"/>
  </w:num>
  <w:num w:numId="76" w16cid:durableId="464273756">
    <w:abstractNumId w:val="54"/>
  </w:num>
  <w:num w:numId="77" w16cid:durableId="1894348347">
    <w:abstractNumId w:val="11"/>
  </w:num>
  <w:num w:numId="78" w16cid:durableId="1828588827">
    <w:abstractNumId w:val="85"/>
  </w:num>
  <w:num w:numId="79" w16cid:durableId="123817018">
    <w:abstractNumId w:val="28"/>
  </w:num>
  <w:num w:numId="80" w16cid:durableId="207960215">
    <w:abstractNumId w:val="38"/>
  </w:num>
  <w:num w:numId="81" w16cid:durableId="623661441">
    <w:abstractNumId w:val="5"/>
  </w:num>
  <w:num w:numId="82" w16cid:durableId="277110107">
    <w:abstractNumId w:val="52"/>
  </w:num>
  <w:num w:numId="83" w16cid:durableId="409158164">
    <w:abstractNumId w:val="36"/>
  </w:num>
  <w:num w:numId="84" w16cid:durableId="1218711862">
    <w:abstractNumId w:val="79"/>
  </w:num>
  <w:num w:numId="85" w16cid:durableId="1239486663">
    <w:abstractNumId w:val="62"/>
  </w:num>
  <w:num w:numId="86" w16cid:durableId="78674806">
    <w:abstractNumId w:val="29"/>
  </w:num>
  <w:num w:numId="87" w16cid:durableId="1595280216">
    <w:abstractNumId w:val="77"/>
  </w:num>
  <w:num w:numId="88" w16cid:durableId="2034959131">
    <w:abstractNumId w:val="65"/>
  </w:num>
  <w:num w:numId="89" w16cid:durableId="850872781">
    <w:abstractNumId w:val="4"/>
  </w:num>
  <w:num w:numId="90" w16cid:durableId="540634152">
    <w:abstractNumId w:val="8"/>
  </w:num>
  <w:num w:numId="91" w16cid:durableId="1594320450">
    <w:abstractNumId w:val="34"/>
  </w:num>
  <w:num w:numId="92" w16cid:durableId="120808957">
    <w:abstractNumId w:val="33"/>
  </w:num>
  <w:num w:numId="93" w16cid:durableId="1800293456">
    <w:abstractNumId w:val="87"/>
  </w:num>
  <w:num w:numId="94" w16cid:durableId="469248462">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D6"/>
    <w:rsid w:val="000022B0"/>
    <w:rsid w:val="00007D1A"/>
    <w:rsid w:val="00037DEE"/>
    <w:rsid w:val="0007108C"/>
    <w:rsid w:val="000713CA"/>
    <w:rsid w:val="00081F92"/>
    <w:rsid w:val="0009680D"/>
    <w:rsid w:val="000A3680"/>
    <w:rsid w:val="000B6057"/>
    <w:rsid w:val="000C2ADC"/>
    <w:rsid w:val="000C45B5"/>
    <w:rsid w:val="00107285"/>
    <w:rsid w:val="00116F0B"/>
    <w:rsid w:val="001375CB"/>
    <w:rsid w:val="00142133"/>
    <w:rsid w:val="00152E60"/>
    <w:rsid w:val="00181C26"/>
    <w:rsid w:val="0018710A"/>
    <w:rsid w:val="001962DA"/>
    <w:rsid w:val="001A1738"/>
    <w:rsid w:val="001A2972"/>
    <w:rsid w:val="001B021D"/>
    <w:rsid w:val="001B232B"/>
    <w:rsid w:val="001C4D5A"/>
    <w:rsid w:val="001D1F5D"/>
    <w:rsid w:val="001D42EA"/>
    <w:rsid w:val="001D7B4C"/>
    <w:rsid w:val="001E32A0"/>
    <w:rsid w:val="00203293"/>
    <w:rsid w:val="00216EE9"/>
    <w:rsid w:val="00234D5C"/>
    <w:rsid w:val="00235122"/>
    <w:rsid w:val="00246131"/>
    <w:rsid w:val="002607AF"/>
    <w:rsid w:val="00270699"/>
    <w:rsid w:val="0027700D"/>
    <w:rsid w:val="00293101"/>
    <w:rsid w:val="002A4172"/>
    <w:rsid w:val="002A7164"/>
    <w:rsid w:val="002B45F8"/>
    <w:rsid w:val="002C07A8"/>
    <w:rsid w:val="002F145F"/>
    <w:rsid w:val="00317BA0"/>
    <w:rsid w:val="00355516"/>
    <w:rsid w:val="0035672F"/>
    <w:rsid w:val="00370F5E"/>
    <w:rsid w:val="00385206"/>
    <w:rsid w:val="00394ED7"/>
    <w:rsid w:val="003B2999"/>
    <w:rsid w:val="003C2778"/>
    <w:rsid w:val="003C3BBC"/>
    <w:rsid w:val="004035CA"/>
    <w:rsid w:val="00415E03"/>
    <w:rsid w:val="00444DDA"/>
    <w:rsid w:val="004646A1"/>
    <w:rsid w:val="0046480A"/>
    <w:rsid w:val="004731A7"/>
    <w:rsid w:val="004825B9"/>
    <w:rsid w:val="0048554F"/>
    <w:rsid w:val="00494840"/>
    <w:rsid w:val="004A6C67"/>
    <w:rsid w:val="004C371C"/>
    <w:rsid w:val="004D0FB4"/>
    <w:rsid w:val="004E0A9E"/>
    <w:rsid w:val="004E3253"/>
    <w:rsid w:val="004E61C3"/>
    <w:rsid w:val="004E7124"/>
    <w:rsid w:val="004F7C3F"/>
    <w:rsid w:val="005045F1"/>
    <w:rsid w:val="0052057C"/>
    <w:rsid w:val="00523AD8"/>
    <w:rsid w:val="005317DE"/>
    <w:rsid w:val="00564266"/>
    <w:rsid w:val="0056477F"/>
    <w:rsid w:val="005800A4"/>
    <w:rsid w:val="005843EE"/>
    <w:rsid w:val="0058466B"/>
    <w:rsid w:val="00584842"/>
    <w:rsid w:val="005866AD"/>
    <w:rsid w:val="005A1803"/>
    <w:rsid w:val="005A3551"/>
    <w:rsid w:val="005D36CD"/>
    <w:rsid w:val="005E602E"/>
    <w:rsid w:val="005E608C"/>
    <w:rsid w:val="006012FD"/>
    <w:rsid w:val="0062024B"/>
    <w:rsid w:val="00627080"/>
    <w:rsid w:val="00631C8E"/>
    <w:rsid w:val="0063635E"/>
    <w:rsid w:val="006549C5"/>
    <w:rsid w:val="00657706"/>
    <w:rsid w:val="00674F13"/>
    <w:rsid w:val="006806F8"/>
    <w:rsid w:val="006911A0"/>
    <w:rsid w:val="006929FE"/>
    <w:rsid w:val="006A46E1"/>
    <w:rsid w:val="006A7D07"/>
    <w:rsid w:val="006B04E3"/>
    <w:rsid w:val="006C5477"/>
    <w:rsid w:val="006D2520"/>
    <w:rsid w:val="006D4851"/>
    <w:rsid w:val="006D5BD7"/>
    <w:rsid w:val="006E42C4"/>
    <w:rsid w:val="006F370C"/>
    <w:rsid w:val="00720041"/>
    <w:rsid w:val="007305FC"/>
    <w:rsid w:val="0074258D"/>
    <w:rsid w:val="007468CD"/>
    <w:rsid w:val="00755BE7"/>
    <w:rsid w:val="007602F1"/>
    <w:rsid w:val="00775FC2"/>
    <w:rsid w:val="00776A31"/>
    <w:rsid w:val="00785619"/>
    <w:rsid w:val="00793390"/>
    <w:rsid w:val="007B109C"/>
    <w:rsid w:val="007C296E"/>
    <w:rsid w:val="00817A7E"/>
    <w:rsid w:val="00826491"/>
    <w:rsid w:val="008445A2"/>
    <w:rsid w:val="00856124"/>
    <w:rsid w:val="00860A4A"/>
    <w:rsid w:val="00865E8B"/>
    <w:rsid w:val="00865F00"/>
    <w:rsid w:val="00881272"/>
    <w:rsid w:val="008831CB"/>
    <w:rsid w:val="00890885"/>
    <w:rsid w:val="008A1AAF"/>
    <w:rsid w:val="008D72B7"/>
    <w:rsid w:val="00902A1B"/>
    <w:rsid w:val="00903975"/>
    <w:rsid w:val="00914F1F"/>
    <w:rsid w:val="00924BD5"/>
    <w:rsid w:val="00933245"/>
    <w:rsid w:val="00936429"/>
    <w:rsid w:val="00954105"/>
    <w:rsid w:val="0095673B"/>
    <w:rsid w:val="00973B21"/>
    <w:rsid w:val="00975136"/>
    <w:rsid w:val="00992507"/>
    <w:rsid w:val="00992EAA"/>
    <w:rsid w:val="009978FD"/>
    <w:rsid w:val="009B3C5B"/>
    <w:rsid w:val="009B6CB9"/>
    <w:rsid w:val="009C5595"/>
    <w:rsid w:val="009F40F3"/>
    <w:rsid w:val="009F464B"/>
    <w:rsid w:val="00A0490F"/>
    <w:rsid w:val="00A238D6"/>
    <w:rsid w:val="00A533E6"/>
    <w:rsid w:val="00A57164"/>
    <w:rsid w:val="00A9009E"/>
    <w:rsid w:val="00A90E3F"/>
    <w:rsid w:val="00A96CFC"/>
    <w:rsid w:val="00AA0668"/>
    <w:rsid w:val="00AA5DA5"/>
    <w:rsid w:val="00AE4108"/>
    <w:rsid w:val="00AF561B"/>
    <w:rsid w:val="00B03896"/>
    <w:rsid w:val="00B476BB"/>
    <w:rsid w:val="00B510A3"/>
    <w:rsid w:val="00B67003"/>
    <w:rsid w:val="00B67BFA"/>
    <w:rsid w:val="00B94C00"/>
    <w:rsid w:val="00BA31B8"/>
    <w:rsid w:val="00BB26FE"/>
    <w:rsid w:val="00BB5D6A"/>
    <w:rsid w:val="00BB6A00"/>
    <w:rsid w:val="00C05F29"/>
    <w:rsid w:val="00C2053C"/>
    <w:rsid w:val="00C35227"/>
    <w:rsid w:val="00C4727E"/>
    <w:rsid w:val="00C73969"/>
    <w:rsid w:val="00C8455D"/>
    <w:rsid w:val="00C91BF7"/>
    <w:rsid w:val="00C9253B"/>
    <w:rsid w:val="00C94F86"/>
    <w:rsid w:val="00CA2083"/>
    <w:rsid w:val="00CA32A1"/>
    <w:rsid w:val="00CA692E"/>
    <w:rsid w:val="00CB03AB"/>
    <w:rsid w:val="00CB0D23"/>
    <w:rsid w:val="00CB26EC"/>
    <w:rsid w:val="00CB5402"/>
    <w:rsid w:val="00CF2DF6"/>
    <w:rsid w:val="00CF7289"/>
    <w:rsid w:val="00D13121"/>
    <w:rsid w:val="00D15C15"/>
    <w:rsid w:val="00D20A49"/>
    <w:rsid w:val="00D2571A"/>
    <w:rsid w:val="00D273DB"/>
    <w:rsid w:val="00D448F5"/>
    <w:rsid w:val="00D60DA4"/>
    <w:rsid w:val="00D67CA8"/>
    <w:rsid w:val="00D764B6"/>
    <w:rsid w:val="00D91B48"/>
    <w:rsid w:val="00D93E8D"/>
    <w:rsid w:val="00DD3AD9"/>
    <w:rsid w:val="00DD4A7D"/>
    <w:rsid w:val="00DD5377"/>
    <w:rsid w:val="00DF11FB"/>
    <w:rsid w:val="00DF3156"/>
    <w:rsid w:val="00E20F59"/>
    <w:rsid w:val="00E26B65"/>
    <w:rsid w:val="00E27CA9"/>
    <w:rsid w:val="00E30B7C"/>
    <w:rsid w:val="00E365D8"/>
    <w:rsid w:val="00E366F9"/>
    <w:rsid w:val="00E36B46"/>
    <w:rsid w:val="00E579BA"/>
    <w:rsid w:val="00E60E52"/>
    <w:rsid w:val="00EB45B2"/>
    <w:rsid w:val="00ED35E1"/>
    <w:rsid w:val="00EE61C7"/>
    <w:rsid w:val="00EE6E5C"/>
    <w:rsid w:val="00F128FB"/>
    <w:rsid w:val="00F32815"/>
    <w:rsid w:val="00F37482"/>
    <w:rsid w:val="00F72339"/>
    <w:rsid w:val="00F72473"/>
    <w:rsid w:val="00F84133"/>
    <w:rsid w:val="00F949A0"/>
    <w:rsid w:val="00FB1E21"/>
    <w:rsid w:val="00FC0C7D"/>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paragraph" w:styleId="Heading3">
    <w:name w:val="heading 3"/>
    <w:basedOn w:val="Normal"/>
    <w:next w:val="Normal"/>
    <w:link w:val="Heading3Char"/>
    <w:qFormat/>
    <w:rsid w:val="00370F5E"/>
    <w:pPr>
      <w:keepNext/>
      <w:tabs>
        <w:tab w:val="left" w:pos="5760"/>
      </w:tabs>
      <w:spacing w:after="0" w:line="240" w:lineRule="auto"/>
      <w:ind w:left="0"/>
      <w:jc w:val="center"/>
      <w:outlineLvl w:val="2"/>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qFormat/>
    <w:rsid w:val="00A238D6"/>
    <w:pPr>
      <w:ind w:left="720"/>
      <w:contextualSpacing/>
    </w:pPr>
  </w:style>
  <w:style w:type="character" w:customStyle="1" w:styleId="Heading1Char">
    <w:name w:val="Heading 1 Char"/>
    <w:basedOn w:val="DefaultParagraphFont"/>
    <w:link w:val="Heading1"/>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rsid w:val="003B2999"/>
    <w:rPr>
      <w:rFonts w:ascii="Calibri" w:eastAsia="Calibri" w:hAnsi="Calibri" w:cs="Calibri"/>
      <w:color w:val="000000"/>
      <w:sz w:val="24"/>
      <w:lang w:eastAsia="en-ZA"/>
    </w:rPr>
  </w:style>
  <w:style w:type="paragraph" w:styleId="Footer">
    <w:name w:val="footer"/>
    <w:basedOn w:val="Normal"/>
    <w:link w:val="FooterChar"/>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rsid w:val="003B2999"/>
    <w:rPr>
      <w:rFonts w:ascii="Calibri" w:eastAsia="Calibri" w:hAnsi="Calibri" w:cs="Calibri"/>
      <w:color w:val="000000"/>
      <w:sz w:val="24"/>
      <w:lang w:eastAsia="en-ZA"/>
    </w:rPr>
  </w:style>
  <w:style w:type="paragraph" w:styleId="BalloonText">
    <w:name w:val="Balloon Text"/>
    <w:basedOn w:val="Normal"/>
    <w:link w:val="BalloonTextChar"/>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Heading3Char">
    <w:name w:val="Heading 3 Char"/>
    <w:basedOn w:val="DefaultParagraphFont"/>
    <w:link w:val="Heading3"/>
    <w:rsid w:val="00370F5E"/>
    <w:rPr>
      <w:rFonts w:ascii="Arial" w:eastAsia="Times New Roman" w:hAnsi="Arial" w:cs="Arial"/>
      <w:b/>
      <w:bCs/>
      <w:sz w:val="20"/>
      <w:szCs w:val="20"/>
    </w:rPr>
  </w:style>
  <w:style w:type="character" w:styleId="LineNumber">
    <w:name w:val="line number"/>
    <w:basedOn w:val="DefaultParagraphFont"/>
    <w:rsid w:val="00370F5E"/>
  </w:style>
  <w:style w:type="character" w:styleId="PageNumber">
    <w:name w:val="page number"/>
    <w:basedOn w:val="DefaultParagraphFont"/>
    <w:rsid w:val="00370F5E"/>
  </w:style>
  <w:style w:type="paragraph" w:styleId="Quote">
    <w:name w:val="Quote"/>
    <w:basedOn w:val="Normal"/>
    <w:link w:val="QuoteChar"/>
    <w:qFormat/>
    <w:rsid w:val="00370F5E"/>
    <w:pPr>
      <w:widowControl w:val="0"/>
      <w:tabs>
        <w:tab w:val="left" w:pos="851"/>
        <w:tab w:val="left" w:pos="1418"/>
        <w:tab w:val="center" w:pos="4111"/>
        <w:tab w:val="right" w:pos="8222"/>
      </w:tabs>
      <w:spacing w:after="0" w:line="480" w:lineRule="auto"/>
      <w:ind w:left="1134" w:right="1134"/>
    </w:pPr>
    <w:rPr>
      <w:rFonts w:ascii="Arial" w:eastAsia="Times New Roman" w:hAnsi="Arial" w:cs="Times New Roman"/>
      <w:noProof/>
      <w:color w:val="auto"/>
      <w:spacing w:val="26"/>
      <w:w w:val="104"/>
      <w:kern w:val="12"/>
      <w:szCs w:val="24"/>
      <w:lang w:val="en-GB" w:eastAsia="en-US"/>
    </w:rPr>
  </w:style>
  <w:style w:type="character" w:customStyle="1" w:styleId="QuoteChar">
    <w:name w:val="Quote Char"/>
    <w:basedOn w:val="DefaultParagraphFont"/>
    <w:link w:val="Quote"/>
    <w:rsid w:val="00370F5E"/>
    <w:rPr>
      <w:rFonts w:ascii="Arial" w:eastAsia="Times New Roman" w:hAnsi="Arial" w:cs="Times New Roman"/>
      <w:noProof/>
      <w:spacing w:val="26"/>
      <w:w w:val="104"/>
      <w:kern w:val="12"/>
      <w:sz w:val="24"/>
      <w:szCs w:val="24"/>
      <w:lang w:val="en-GB"/>
    </w:rPr>
  </w:style>
  <w:style w:type="paragraph" w:customStyle="1" w:styleId="StyleJustifiedLinespacingDouble">
    <w:name w:val="Style Justified Line spacing:  Double"/>
    <w:basedOn w:val="Normal"/>
    <w:rsid w:val="00370F5E"/>
    <w:pPr>
      <w:widowControl w:val="0"/>
      <w:spacing w:after="0" w:line="480" w:lineRule="auto"/>
      <w:ind w:left="0"/>
    </w:pPr>
    <w:rPr>
      <w:rFonts w:ascii="Arial" w:eastAsia="Times New Roman" w:hAnsi="Arial" w:cs="Times New Roman"/>
      <w:noProof/>
      <w:color w:val="auto"/>
      <w:w w:val="104"/>
      <w:kern w:val="2"/>
      <w:szCs w:val="20"/>
      <w:lang w:eastAsia="en-US"/>
    </w:rPr>
  </w:style>
  <w:style w:type="numbering" w:customStyle="1" w:styleId="NoList1">
    <w:name w:val="No List1"/>
    <w:next w:val="NoList"/>
    <w:semiHidden/>
    <w:rsid w:val="00370F5E"/>
  </w:style>
  <w:style w:type="paragraph" w:styleId="Title">
    <w:name w:val="Title"/>
    <w:basedOn w:val="Normal"/>
    <w:link w:val="TitleChar"/>
    <w:qFormat/>
    <w:rsid w:val="00370F5E"/>
    <w:pPr>
      <w:widowControl w:val="0"/>
      <w:tabs>
        <w:tab w:val="left" w:pos="4140"/>
      </w:tabs>
      <w:spacing w:after="0" w:line="480" w:lineRule="auto"/>
      <w:ind w:left="0"/>
      <w:jc w:val="center"/>
    </w:pPr>
    <w:rPr>
      <w:rFonts w:ascii="Arial" w:eastAsia="Times New Roman" w:hAnsi="Arial" w:cs="Times New Roman"/>
      <w:color w:val="auto"/>
      <w:szCs w:val="24"/>
      <w:u w:val="single"/>
      <w:lang w:eastAsia="x-none" w:bidi="he-IL"/>
    </w:rPr>
  </w:style>
  <w:style w:type="character" w:customStyle="1" w:styleId="TitleChar">
    <w:name w:val="Title Char"/>
    <w:basedOn w:val="DefaultParagraphFont"/>
    <w:link w:val="Title"/>
    <w:rsid w:val="00370F5E"/>
    <w:rPr>
      <w:rFonts w:ascii="Arial" w:eastAsia="Times New Roman" w:hAnsi="Arial" w:cs="Times New Roman"/>
      <w:sz w:val="24"/>
      <w:szCs w:val="24"/>
      <w:u w:val="single"/>
      <w:lang w:eastAsia="x-none" w:bidi="he-IL"/>
    </w:rPr>
  </w:style>
  <w:style w:type="paragraph" w:customStyle="1" w:styleId="Style1">
    <w:name w:val="Style1"/>
    <w:basedOn w:val="Normal"/>
    <w:autoRedefine/>
    <w:rsid w:val="00370F5E"/>
    <w:pPr>
      <w:widowControl w:val="0"/>
      <w:spacing w:after="0" w:line="480" w:lineRule="auto"/>
      <w:ind w:left="1080" w:right="1179"/>
    </w:pPr>
    <w:rPr>
      <w:rFonts w:ascii="Arial" w:eastAsia="Times New Roman" w:hAnsi="Arial" w:cs="Arial"/>
      <w:color w:val="auto"/>
      <w:spacing w:val="6"/>
      <w:w w:val="104"/>
      <w:szCs w:val="24"/>
      <w:lang w:eastAsia="en-US"/>
    </w:rPr>
  </w:style>
  <w:style w:type="paragraph" w:customStyle="1" w:styleId="Style2">
    <w:name w:val="Style2"/>
    <w:basedOn w:val="Normal"/>
    <w:rsid w:val="00370F5E"/>
    <w:pPr>
      <w:spacing w:after="0" w:line="480" w:lineRule="auto"/>
      <w:ind w:left="1080" w:right="1179"/>
    </w:pPr>
    <w:rPr>
      <w:rFonts w:ascii="Arial" w:eastAsia="Times New Roman" w:hAnsi="Arial" w:cs="Arial"/>
      <w:color w:val="auto"/>
      <w:spacing w:val="6"/>
      <w:w w:val="104"/>
      <w:szCs w:val="24"/>
      <w:lang w:eastAsia="en-US"/>
    </w:rPr>
  </w:style>
  <w:style w:type="paragraph" w:customStyle="1" w:styleId="Style3">
    <w:name w:val="Style3"/>
    <w:basedOn w:val="Normal"/>
    <w:rsid w:val="00370F5E"/>
    <w:pPr>
      <w:spacing w:after="0" w:line="480" w:lineRule="auto"/>
      <w:ind w:left="1260" w:right="1179"/>
      <w:jc w:val="left"/>
    </w:pPr>
    <w:rPr>
      <w:rFonts w:ascii="Arial" w:eastAsia="Times New Roman" w:hAnsi="Arial" w:cs="Arial"/>
      <w:color w:val="auto"/>
      <w:spacing w:val="12"/>
      <w:w w:val="104"/>
      <w:szCs w:val="24"/>
      <w:lang w:eastAsia="en-US"/>
    </w:rPr>
  </w:style>
  <w:style w:type="paragraph" w:customStyle="1" w:styleId="Style4">
    <w:name w:val="Style4"/>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5">
    <w:name w:val="Style5"/>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6">
    <w:name w:val="Style6"/>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7">
    <w:name w:val="Style7"/>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8">
    <w:name w:val="Style8"/>
    <w:basedOn w:val="Normal"/>
    <w:autoRedefine/>
    <w:rsid w:val="00370F5E"/>
    <w:pPr>
      <w:widowControl w:val="0"/>
      <w:spacing w:after="0" w:line="480" w:lineRule="auto"/>
      <w:ind w:left="0"/>
    </w:pPr>
    <w:rPr>
      <w:rFonts w:ascii="Arial" w:eastAsia="Times New Roman" w:hAnsi="Arial" w:cs="Arial"/>
      <w:b/>
      <w:color w:val="auto"/>
      <w:spacing w:val="12"/>
      <w:w w:val="104"/>
      <w:szCs w:val="24"/>
      <w:u w:val="single"/>
      <w:lang w:eastAsia="en-US"/>
    </w:rPr>
  </w:style>
  <w:style w:type="paragraph" w:customStyle="1" w:styleId="Style9">
    <w:name w:val="Style9"/>
    <w:basedOn w:val="Normal"/>
    <w:autoRedefine/>
    <w:rsid w:val="00370F5E"/>
    <w:pPr>
      <w:widowControl w:val="0"/>
      <w:spacing w:after="0" w:line="480" w:lineRule="auto"/>
      <w:ind w:left="0"/>
    </w:pPr>
    <w:rPr>
      <w:rFonts w:ascii="Arial" w:eastAsia="Times New Roman" w:hAnsi="Arial" w:cs="Arial"/>
      <w:color w:val="auto"/>
      <w:spacing w:val="12"/>
      <w:w w:val="10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79940025">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78ED-B2EC-46A6-B7F4-74BAA934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BRAD WANLESS</cp:lastModifiedBy>
  <cp:revision>2</cp:revision>
  <cp:lastPrinted>2023-06-12T10:42:00Z</cp:lastPrinted>
  <dcterms:created xsi:type="dcterms:W3CDTF">2023-06-23T08:47:00Z</dcterms:created>
  <dcterms:modified xsi:type="dcterms:W3CDTF">2023-06-23T08:47:00Z</dcterms:modified>
</cp:coreProperties>
</file>