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C866"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06E2E0DA"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48D8BEF8"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35219BC8" wp14:editId="65621E0C">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E231DA4"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6434E57B"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C5495C5"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34028A99" w14:textId="77777777" w:rsidR="007B7F59" w:rsidRPr="007B7F59" w:rsidRDefault="007B7F59" w:rsidP="007B7F59">
      <w:pPr>
        <w:spacing w:after="0" w:line="240" w:lineRule="auto"/>
        <w:ind w:left="0"/>
        <w:rPr>
          <w:rFonts w:eastAsia="Times New Roman" w:cs="Arial"/>
          <w:szCs w:val="24"/>
          <w:lang w:val="en-ZA"/>
        </w:rPr>
      </w:pPr>
    </w:p>
    <w:p w14:paraId="608BD5DD" w14:textId="77777777" w:rsidR="007B7F59" w:rsidRPr="007B7F59" w:rsidRDefault="007B7F59" w:rsidP="007B7F59">
      <w:pPr>
        <w:spacing w:after="0" w:line="240" w:lineRule="auto"/>
        <w:ind w:left="0"/>
        <w:rPr>
          <w:rFonts w:eastAsia="Times New Roman" w:cs="Arial"/>
          <w:szCs w:val="24"/>
          <w:lang w:val="en-ZA"/>
        </w:rPr>
      </w:pPr>
    </w:p>
    <w:p w14:paraId="6F9867A8" w14:textId="460F0E10"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CF4659">
        <w:rPr>
          <w:rFonts w:eastAsia="Times New Roman" w:cs="Arial"/>
          <w:bCs/>
          <w:szCs w:val="24"/>
          <w:lang w:val="en-ZA"/>
        </w:rPr>
        <w:t>583</w:t>
      </w:r>
      <w:r w:rsidR="004B254C">
        <w:rPr>
          <w:rFonts w:eastAsia="Times New Roman" w:cs="Arial"/>
          <w:bCs/>
          <w:szCs w:val="24"/>
          <w:lang w:val="en-ZA"/>
        </w:rPr>
        <w:t>5</w:t>
      </w:r>
      <w:r w:rsidRPr="004B254C">
        <w:rPr>
          <w:rFonts w:eastAsia="Times New Roman" w:cs="Arial"/>
          <w:bCs/>
          <w:szCs w:val="24"/>
          <w:lang w:val="en-ZA"/>
        </w:rPr>
        <w:t>/</w:t>
      </w:r>
      <w:r w:rsidR="004B254C">
        <w:rPr>
          <w:rFonts w:eastAsia="Times New Roman" w:cs="Arial"/>
          <w:bCs/>
          <w:szCs w:val="24"/>
          <w:lang w:val="en-ZA"/>
        </w:rPr>
        <w:t>2022</w:t>
      </w:r>
    </w:p>
    <w:p w14:paraId="44CD9935"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00279CC3" wp14:editId="0AB5959F">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26B78EC" w14:textId="1610E256" w:rsidR="007B7F59" w:rsidRPr="003B746C" w:rsidRDefault="00666A27" w:rsidP="00666A2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4958AD">
                              <w:rPr>
                                <w:rFonts w:cs="Arial"/>
                                <w:sz w:val="18"/>
                                <w:szCs w:val="20"/>
                              </w:rPr>
                              <w:t xml:space="preserve"> NO</w:t>
                            </w:r>
                          </w:p>
                          <w:p w14:paraId="000AD306" w14:textId="7437A70F" w:rsidR="007B7F59" w:rsidRPr="003B746C" w:rsidRDefault="00666A27" w:rsidP="00666A2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4958AD">
                              <w:rPr>
                                <w:rFonts w:cs="Arial"/>
                                <w:sz w:val="18"/>
                                <w:szCs w:val="20"/>
                              </w:rPr>
                              <w:t>NO</w:t>
                            </w:r>
                          </w:p>
                          <w:p w14:paraId="67E51543" w14:textId="1D81CE32" w:rsidR="007B7F59" w:rsidRPr="003B746C" w:rsidRDefault="00B96656" w:rsidP="002B448C">
                            <w:pPr>
                              <w:spacing w:before="240" w:after="0"/>
                              <w:rPr>
                                <w:rFonts w:cs="Arial"/>
                                <w:b/>
                                <w:sz w:val="18"/>
                                <w:szCs w:val="20"/>
                              </w:rPr>
                            </w:pPr>
                            <w:r>
                              <w:rPr>
                                <w:rFonts w:cs="Arial"/>
                                <w:b/>
                                <w:sz w:val="18"/>
                                <w:szCs w:val="20"/>
                              </w:rPr>
                              <w:t>26 June 2023</w:t>
                            </w:r>
                            <w:r w:rsidR="007B7F59" w:rsidRPr="003B746C">
                              <w:rPr>
                                <w:rFonts w:cs="Arial"/>
                                <w:b/>
                                <w:sz w:val="18"/>
                                <w:szCs w:val="20"/>
                              </w:rPr>
                              <w:tab/>
                              <w:t>_________________________</w:t>
                            </w:r>
                          </w:p>
                          <w:p w14:paraId="5A6D986F"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9CC3"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526B78EC" w14:textId="1610E256" w:rsidR="007B7F59" w:rsidRPr="003B746C" w:rsidRDefault="00666A27" w:rsidP="00666A27">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4958AD">
                        <w:rPr>
                          <w:rFonts w:cs="Arial"/>
                          <w:sz w:val="18"/>
                          <w:szCs w:val="20"/>
                        </w:rPr>
                        <w:t xml:space="preserve"> NO</w:t>
                      </w:r>
                    </w:p>
                    <w:p w14:paraId="000AD306" w14:textId="7437A70F" w:rsidR="007B7F59" w:rsidRPr="003B746C" w:rsidRDefault="00666A27" w:rsidP="00666A27">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4958AD">
                        <w:rPr>
                          <w:rFonts w:cs="Arial"/>
                          <w:sz w:val="18"/>
                          <w:szCs w:val="20"/>
                        </w:rPr>
                        <w:t>NO</w:t>
                      </w:r>
                    </w:p>
                    <w:p w14:paraId="67E51543" w14:textId="1D81CE32" w:rsidR="007B7F59" w:rsidRPr="003B746C" w:rsidRDefault="00B96656" w:rsidP="002B448C">
                      <w:pPr>
                        <w:spacing w:before="240" w:after="0"/>
                        <w:rPr>
                          <w:rFonts w:cs="Arial"/>
                          <w:b/>
                          <w:sz w:val="18"/>
                          <w:szCs w:val="20"/>
                        </w:rPr>
                      </w:pPr>
                      <w:r>
                        <w:rPr>
                          <w:rFonts w:cs="Arial"/>
                          <w:b/>
                          <w:sz w:val="18"/>
                          <w:szCs w:val="20"/>
                        </w:rPr>
                        <w:t>26 June 2023</w:t>
                      </w:r>
                      <w:r w:rsidR="007B7F59" w:rsidRPr="003B746C">
                        <w:rPr>
                          <w:rFonts w:cs="Arial"/>
                          <w:b/>
                          <w:sz w:val="18"/>
                          <w:szCs w:val="20"/>
                        </w:rPr>
                        <w:tab/>
                        <w:t>_________________________</w:t>
                      </w:r>
                    </w:p>
                    <w:p w14:paraId="5A6D986F"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1E7B65CA"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7EFCC08F"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41742769"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2018AB8E"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D7A3A34"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0517D20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DE0469A"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00184C6"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754F5919"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348ABC9" w14:textId="77777777" w:rsidR="004B254C" w:rsidRPr="004B254C" w:rsidRDefault="004B254C" w:rsidP="007B7F59">
      <w:pPr>
        <w:tabs>
          <w:tab w:val="right" w:pos="9029"/>
        </w:tabs>
        <w:spacing w:after="0" w:line="240" w:lineRule="auto"/>
        <w:ind w:left="0"/>
        <w:contextualSpacing/>
        <w:rPr>
          <w:b/>
          <w:bCs/>
        </w:rPr>
      </w:pPr>
      <w:r w:rsidRPr="004B254C">
        <w:rPr>
          <w:b/>
          <w:bCs/>
        </w:rPr>
        <w:t xml:space="preserve">SOUTH AFRICAN SECURITISATION </w:t>
      </w:r>
    </w:p>
    <w:p w14:paraId="05F310CE" w14:textId="77777777" w:rsidR="007B7F59" w:rsidRPr="007B7F59" w:rsidRDefault="004B254C" w:rsidP="007B7F59">
      <w:pPr>
        <w:tabs>
          <w:tab w:val="right" w:pos="9029"/>
        </w:tabs>
        <w:spacing w:after="0" w:line="240" w:lineRule="auto"/>
        <w:ind w:left="0"/>
        <w:contextualSpacing/>
        <w:rPr>
          <w:rFonts w:eastAsia="Times New Roman" w:cs="Arial"/>
          <w:szCs w:val="24"/>
          <w:lang w:val="en-ZA"/>
        </w:rPr>
      </w:pPr>
      <w:r w:rsidRPr="004B254C">
        <w:rPr>
          <w:b/>
          <w:bCs/>
        </w:rPr>
        <w:t>PROGRAMME (RF) LIMITED</w:t>
      </w:r>
      <w:r>
        <w:t xml:space="preserve"> </w:t>
      </w:r>
      <w:r>
        <w:tab/>
        <w:t>Plaintiff/</w:t>
      </w:r>
      <w:r w:rsidR="007B7F59" w:rsidRPr="007B7F59">
        <w:rPr>
          <w:rFonts w:eastAsia="Times New Roman" w:cs="Arial"/>
          <w:szCs w:val="24"/>
          <w:lang w:val="en-ZA"/>
        </w:rPr>
        <w:t xml:space="preserve"> Applicant</w:t>
      </w:r>
    </w:p>
    <w:p w14:paraId="58D87245"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2A4AD31"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0294E867"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25A4625B" w14:textId="77777777" w:rsidR="007B7F59" w:rsidRPr="004B254C" w:rsidRDefault="004B254C" w:rsidP="007B7F59">
      <w:pPr>
        <w:tabs>
          <w:tab w:val="right" w:pos="9029"/>
        </w:tabs>
        <w:spacing w:after="0" w:line="240" w:lineRule="auto"/>
        <w:ind w:left="0"/>
        <w:contextualSpacing/>
      </w:pPr>
      <w:r>
        <w:rPr>
          <w:b/>
          <w:bCs/>
        </w:rPr>
        <w:t xml:space="preserve">PRELENE </w:t>
      </w:r>
      <w:r w:rsidRPr="004B254C">
        <w:rPr>
          <w:b/>
          <w:bCs/>
        </w:rPr>
        <w:t>JAGLAL – GOVINDPERSHAD</w:t>
      </w:r>
      <w:r>
        <w:t xml:space="preserve"> </w:t>
      </w:r>
      <w:r>
        <w:tab/>
        <w:t>Defendant</w:t>
      </w:r>
      <w:r>
        <w:rPr>
          <w:rFonts w:cs="Arial"/>
          <w:b/>
          <w:szCs w:val="24"/>
          <w:lang w:val="en-ZA"/>
        </w:rPr>
        <w:t>/</w:t>
      </w:r>
      <w:r w:rsidR="007B7F59" w:rsidRPr="007B7F59">
        <w:rPr>
          <w:rFonts w:eastAsia="Times New Roman" w:cs="Arial"/>
          <w:szCs w:val="24"/>
          <w:lang w:val="en-ZA"/>
        </w:rPr>
        <w:t>First Respondent</w:t>
      </w:r>
    </w:p>
    <w:p w14:paraId="2E5E0A9B"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68C9AE6E"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1C358ECD" w14:textId="77777777" w:rsidR="007B7F59" w:rsidRPr="007B7F59" w:rsidRDefault="007B7F59" w:rsidP="007B7F59">
      <w:pPr>
        <w:spacing w:after="0" w:line="240" w:lineRule="auto"/>
        <w:ind w:left="1440" w:hanging="1440"/>
        <w:jc w:val="left"/>
        <w:rPr>
          <w:rFonts w:cs="Arial"/>
          <w:b/>
          <w:szCs w:val="24"/>
        </w:rPr>
      </w:pPr>
    </w:p>
    <w:p w14:paraId="4DB403F9"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E093576" w14:textId="77777777" w:rsidR="007B7F59" w:rsidRPr="007B7F59" w:rsidRDefault="004B254C" w:rsidP="007B7F59">
      <w:pPr>
        <w:spacing w:after="0" w:line="240" w:lineRule="auto"/>
        <w:ind w:left="0"/>
        <w:jc w:val="left"/>
        <w:rPr>
          <w:rFonts w:cs="Arial"/>
          <w:szCs w:val="24"/>
        </w:rPr>
      </w:pPr>
      <w:r>
        <w:rPr>
          <w:rFonts w:cs="Arial"/>
          <w:szCs w:val="24"/>
        </w:rPr>
        <w:t>MIA, J</w:t>
      </w:r>
    </w:p>
    <w:p w14:paraId="1254A6B8" w14:textId="77777777" w:rsidR="007B7F59" w:rsidRPr="007B7F59" w:rsidRDefault="007B7F59" w:rsidP="007B7F59">
      <w:pPr>
        <w:spacing w:after="0" w:line="240" w:lineRule="auto"/>
        <w:ind w:left="0"/>
        <w:jc w:val="left"/>
        <w:rPr>
          <w:rFonts w:cs="Arial"/>
          <w:szCs w:val="24"/>
        </w:rPr>
      </w:pPr>
    </w:p>
    <w:p w14:paraId="548C92D2" w14:textId="77777777" w:rsidR="007B7F59" w:rsidRPr="007B7F59" w:rsidRDefault="007B7F59" w:rsidP="007B7F59">
      <w:pPr>
        <w:spacing w:after="0" w:line="240" w:lineRule="auto"/>
        <w:ind w:left="0"/>
        <w:jc w:val="left"/>
        <w:rPr>
          <w:rFonts w:cs="Arial"/>
          <w:szCs w:val="24"/>
        </w:rPr>
      </w:pPr>
    </w:p>
    <w:p w14:paraId="2FE9620C" w14:textId="77777777" w:rsidR="00794DCB" w:rsidRDefault="004B254C" w:rsidP="00DA671A">
      <w:pPr>
        <w:pStyle w:val="JudgmentHeading"/>
        <w:ind w:firstLine="567"/>
      </w:pPr>
      <w:r>
        <w:t>Introduction</w:t>
      </w:r>
    </w:p>
    <w:p w14:paraId="61373CD8" w14:textId="5CE5BAAF" w:rsidR="00E64A77" w:rsidRDefault="00666A27" w:rsidP="00666A27">
      <w:pPr>
        <w:pStyle w:val="JudgmentNumbered"/>
        <w:numPr>
          <w:ilvl w:val="0"/>
          <w:numId w:val="0"/>
        </w:numPr>
        <w:ind w:left="567" w:hanging="567"/>
      </w:pPr>
      <w:r>
        <w:t>[1</w:t>
      </w:r>
      <w:bookmarkStart w:id="0" w:name="_GoBack"/>
      <w:bookmarkEnd w:id="0"/>
      <w:r>
        <w:t>]</w:t>
      </w:r>
      <w:r>
        <w:tab/>
      </w:r>
      <w:r w:rsidR="0010405B">
        <w:t xml:space="preserve">The </w:t>
      </w:r>
      <w:r w:rsidR="00305243">
        <w:t>p</w:t>
      </w:r>
      <w:r w:rsidR="0010405B">
        <w:t xml:space="preserve">laintiff seeks summary judgment for payment of </w:t>
      </w:r>
      <w:r w:rsidR="00305243">
        <w:t xml:space="preserve">the amount of </w:t>
      </w:r>
      <w:r w:rsidR="0010405B">
        <w:t xml:space="preserve">R 115 405.14, </w:t>
      </w:r>
      <w:r w:rsidR="00305243">
        <w:t>based on a Master Rental Agreement (the agreement) between the cedent, Safin Bank Limited</w:t>
      </w:r>
      <w:r w:rsidR="00973B04">
        <w:t xml:space="preserve"> </w:t>
      </w:r>
      <w:r w:rsidR="00305243">
        <w:t>(Sasfin) and the defendant on 24 December 2018.  The amount is in respect of</w:t>
      </w:r>
      <w:r w:rsidR="00E75944">
        <w:t xml:space="preserve"> (i) purported outstanding rentals for </w:t>
      </w:r>
      <w:r w:rsidR="0090214D">
        <w:t xml:space="preserve">the </w:t>
      </w:r>
      <w:r w:rsidR="00E75944">
        <w:t xml:space="preserve">period 25 August 2020 – 25 October 2021; and (ii) future rentals for the remaining duration </w:t>
      </w:r>
      <w:r w:rsidR="00E75944">
        <w:lastRenderedPageBreak/>
        <w:t xml:space="preserve">of the Master Rental Agreement (“the Claim”) </w:t>
      </w:r>
      <w:r w:rsidR="00BD4DF4">
        <w:t>for</w:t>
      </w:r>
      <w:r w:rsidR="00E75944">
        <w:t xml:space="preserve"> telephonic equipment </w:t>
      </w:r>
      <w:r w:rsidR="00305243">
        <w:t xml:space="preserve">rented by the defendant. </w:t>
      </w:r>
      <w:r w:rsidR="00E75944">
        <w:t>The defendant resisted summary judgment and raised three defences</w:t>
      </w:r>
      <w:r w:rsidR="0090214D">
        <w:t>,</w:t>
      </w:r>
      <w:r w:rsidR="00E75944">
        <w:t xml:space="preserve"> namely cancellation of the agreement</w:t>
      </w:r>
      <w:r w:rsidR="0090214D">
        <w:t>,</w:t>
      </w:r>
      <w:r w:rsidR="00E75944">
        <w:t xml:space="preserve"> </w:t>
      </w:r>
      <w:r w:rsidR="00137B18">
        <w:t xml:space="preserve">further, she </w:t>
      </w:r>
      <w:r w:rsidR="00E75944">
        <w:t xml:space="preserve">disputed </w:t>
      </w:r>
      <w:r w:rsidR="002175F4">
        <w:t xml:space="preserve">that </w:t>
      </w:r>
      <w:r w:rsidR="00A00165">
        <w:t>she</w:t>
      </w:r>
      <w:r w:rsidR="00E75944">
        <w:t xml:space="preserve"> was in arrears </w:t>
      </w:r>
      <w:r w:rsidR="00B10B71">
        <w:t xml:space="preserve">and </w:t>
      </w:r>
      <w:r w:rsidR="00434FEF">
        <w:t xml:space="preserve">contended that </w:t>
      </w:r>
      <w:r w:rsidR="00E75944">
        <w:t>S</w:t>
      </w:r>
      <w:r w:rsidR="0090214D">
        <w:t>a</w:t>
      </w:r>
      <w:r w:rsidR="00E75944">
        <w:t>sfin did not perform in terms of the agreement</w:t>
      </w:r>
      <w:r w:rsidR="00A954DB">
        <w:t>. The third defence raised was that she had</w:t>
      </w:r>
      <w:r w:rsidR="00E75944">
        <w:t xml:space="preserve"> no knowledge of the rights</w:t>
      </w:r>
      <w:r w:rsidR="0090214D">
        <w:t xml:space="preserve">, title and interest as </w:t>
      </w:r>
      <w:r w:rsidR="00186FD0">
        <w:t xml:space="preserve">the </w:t>
      </w:r>
      <w:r w:rsidR="0090214D">
        <w:t>cession was not properly pleaded.</w:t>
      </w:r>
      <w:r w:rsidR="00E75944">
        <w:t xml:space="preserve"> </w:t>
      </w:r>
      <w:r w:rsidR="007A4150">
        <w:t xml:space="preserve"> </w:t>
      </w:r>
    </w:p>
    <w:p w14:paraId="27634572" w14:textId="62F7F102" w:rsidR="00E75944" w:rsidRDefault="00666A27" w:rsidP="00666A27">
      <w:pPr>
        <w:pStyle w:val="JudgmentNumbered"/>
        <w:numPr>
          <w:ilvl w:val="0"/>
          <w:numId w:val="0"/>
        </w:numPr>
        <w:ind w:left="567" w:hanging="567"/>
      </w:pPr>
      <w:r>
        <w:t>[2]</w:t>
      </w:r>
      <w:r>
        <w:tab/>
      </w:r>
      <w:r w:rsidR="007A4150">
        <w:t xml:space="preserve">During the </w:t>
      </w:r>
      <w:r w:rsidR="000417EF">
        <w:t>hearing</w:t>
      </w:r>
      <w:r w:rsidR="007A4150">
        <w:t xml:space="preserve"> </w:t>
      </w:r>
      <w:r w:rsidR="001F4E8E">
        <w:t xml:space="preserve">of the matter, </w:t>
      </w:r>
      <w:r w:rsidR="000417EF">
        <w:t>counsel were requested</w:t>
      </w:r>
      <w:r w:rsidR="000922B7">
        <w:t xml:space="preserve"> </w:t>
      </w:r>
      <w:r w:rsidR="000D5267">
        <w:t xml:space="preserve">to file </w:t>
      </w:r>
      <w:r w:rsidR="000266DC">
        <w:t>supplementary</w:t>
      </w:r>
      <w:r w:rsidR="000D5267">
        <w:t xml:space="preserve"> submissions</w:t>
      </w:r>
      <w:r w:rsidR="000266DC">
        <w:t xml:space="preserve"> in view of questions which arose</w:t>
      </w:r>
      <w:r w:rsidR="001F4E8E">
        <w:t>,</w:t>
      </w:r>
      <w:r w:rsidR="00CE3361">
        <w:t xml:space="preserve"> namely</w:t>
      </w:r>
      <w:r w:rsidR="001F4E8E">
        <w:t>,</w:t>
      </w:r>
      <w:r w:rsidR="00CE3361" w:rsidRPr="00CE3361">
        <w:t xml:space="preserve"> </w:t>
      </w:r>
      <w:r w:rsidR="00CE3361">
        <w:t xml:space="preserve">the applicability of the Notice to Exempt Banks from the Provisions of Section 14 of the Act </w:t>
      </w:r>
      <w:r w:rsidR="00186FD0">
        <w:t>p</w:t>
      </w:r>
      <w:r w:rsidR="00CE3361">
        <w:t xml:space="preserve">ublished under GN 532 in GG 34399 of 27 June 2011 (“the Gazette notice”); and </w:t>
      </w:r>
      <w:r w:rsidR="005B2CC7">
        <w:t>t</w:t>
      </w:r>
      <w:r w:rsidR="00CE3361">
        <w:t xml:space="preserve">he </w:t>
      </w:r>
      <w:r w:rsidR="005B2CC7">
        <w:t xml:space="preserve">applicability of the </w:t>
      </w:r>
      <w:r w:rsidR="00CE3361">
        <w:t xml:space="preserve">unreported decision of </w:t>
      </w:r>
      <w:r w:rsidR="00CE3361" w:rsidRPr="00E64A77">
        <w:rPr>
          <w:i/>
          <w:iCs/>
        </w:rPr>
        <w:t>South African Securitisation Programme (RF) Ltd v Fullimput 11 (Pty) Ltd</w:t>
      </w:r>
      <w:r w:rsidR="00AB655D">
        <w:rPr>
          <w:i/>
          <w:iCs/>
        </w:rPr>
        <w:t xml:space="preserve"> </w:t>
      </w:r>
      <w:r w:rsidR="00CA4CB6">
        <w:rPr>
          <w:rStyle w:val="FootnoteReference"/>
          <w:i/>
          <w:iCs/>
        </w:rPr>
        <w:t xml:space="preserve"> </w:t>
      </w:r>
      <w:r w:rsidR="00AB655D">
        <w:t xml:space="preserve">to the present matter </w:t>
      </w:r>
      <w:r w:rsidR="00CE3361">
        <w:t xml:space="preserve">regarding the </w:t>
      </w:r>
      <w:r w:rsidR="00DE1B5D">
        <w:t xml:space="preserve">applicable </w:t>
      </w:r>
      <w:r w:rsidR="00CE3361">
        <w:t xml:space="preserve">order to be granted in relation to the return of the equipment to the </w:t>
      </w:r>
      <w:r w:rsidR="00E64A77">
        <w:t>p</w:t>
      </w:r>
      <w:r w:rsidR="00CE3361">
        <w:t>laintiff upon payment of the outstanding balance</w:t>
      </w:r>
      <w:r w:rsidR="00703BF9">
        <w:t xml:space="preserve">, in the event that </w:t>
      </w:r>
      <w:r w:rsidR="00962314">
        <w:t>plaintiff’s</w:t>
      </w:r>
      <w:r w:rsidR="004574A8">
        <w:t xml:space="preserve"> </w:t>
      </w:r>
      <w:r w:rsidR="00962314">
        <w:t xml:space="preserve">request for </w:t>
      </w:r>
      <w:r w:rsidR="00703BF9">
        <w:t xml:space="preserve">summary judgment </w:t>
      </w:r>
      <w:r w:rsidR="004574A8">
        <w:t>is granted</w:t>
      </w:r>
      <w:r w:rsidR="00CE3361">
        <w:t xml:space="preserve">. </w:t>
      </w:r>
      <w:r w:rsidR="00E64A77">
        <w:t>I am indebted to both counsel for the supplementary submissions filed herein.</w:t>
      </w:r>
    </w:p>
    <w:p w14:paraId="089885D7" w14:textId="0D8E4C38" w:rsidR="00CE2765" w:rsidRPr="00CE2765" w:rsidRDefault="00CE2765" w:rsidP="00CE2765">
      <w:pPr>
        <w:pStyle w:val="JudgmentNumbered"/>
        <w:numPr>
          <w:ilvl w:val="0"/>
          <w:numId w:val="0"/>
        </w:numPr>
        <w:ind w:left="567"/>
        <w:rPr>
          <w:i/>
          <w:iCs/>
        </w:rPr>
      </w:pPr>
      <w:r w:rsidRPr="00CE2765">
        <w:rPr>
          <w:i/>
          <w:iCs/>
        </w:rPr>
        <w:t>Background facts</w:t>
      </w:r>
    </w:p>
    <w:p w14:paraId="573B8188" w14:textId="1A344997" w:rsidR="00FD5B8A" w:rsidRDefault="00666A27" w:rsidP="00666A27">
      <w:pPr>
        <w:pStyle w:val="JudgmentNumbered"/>
        <w:numPr>
          <w:ilvl w:val="0"/>
          <w:numId w:val="0"/>
        </w:numPr>
        <w:ind w:left="567" w:hanging="567"/>
      </w:pPr>
      <w:r>
        <w:t>[3]</w:t>
      </w:r>
      <w:r>
        <w:tab/>
      </w:r>
      <w:r w:rsidR="0010405B">
        <w:t xml:space="preserve"> </w:t>
      </w:r>
      <w:r w:rsidR="004E6D0D">
        <w:t xml:space="preserve">On 24 December 2018 the </w:t>
      </w:r>
      <w:r w:rsidR="008B6248">
        <w:t xml:space="preserve">defendant, a medical practitioner entered into </w:t>
      </w:r>
      <w:r w:rsidR="00F75E4F">
        <w:t>an</w:t>
      </w:r>
      <w:r w:rsidR="008B6248">
        <w:t xml:space="preserve"> agreement with Sasfin</w:t>
      </w:r>
      <w:r w:rsidR="00906664">
        <w:t>,</w:t>
      </w:r>
      <w:r w:rsidR="008B0EE0">
        <w:t xml:space="preserve"> to lease equipment for a period</w:t>
      </w:r>
      <w:r w:rsidR="00AA1974">
        <w:t xml:space="preserve"> of </w:t>
      </w:r>
      <w:r w:rsidR="00210415">
        <w:t>60 months</w:t>
      </w:r>
      <w:r w:rsidR="00AA1974">
        <w:t xml:space="preserve"> from 19 January 2019</w:t>
      </w:r>
      <w:r w:rsidR="00AE1D47">
        <w:t xml:space="preserve">. The defendant contends that </w:t>
      </w:r>
      <w:r w:rsidR="00742C56">
        <w:t xml:space="preserve">she </w:t>
      </w:r>
      <w:r w:rsidR="00AE1D47">
        <w:t xml:space="preserve">cancelled </w:t>
      </w:r>
      <w:r w:rsidR="00742C56">
        <w:t xml:space="preserve">the agreement </w:t>
      </w:r>
      <w:r w:rsidR="0010405B">
        <w:t>on or about 12 May 2020</w:t>
      </w:r>
      <w:r w:rsidR="00742C56">
        <w:t xml:space="preserve">, </w:t>
      </w:r>
      <w:r w:rsidR="0010405B">
        <w:t>in terms of section 14(2)(b)(i) of the Consumer Protection Act 68 of 2008 (“</w:t>
      </w:r>
      <w:r w:rsidR="00AB655D">
        <w:t xml:space="preserve">the </w:t>
      </w:r>
      <w:r w:rsidR="0010405B">
        <w:t>C</w:t>
      </w:r>
      <w:r w:rsidR="00AB655D">
        <w:t xml:space="preserve">onsumer </w:t>
      </w:r>
      <w:r w:rsidR="0010405B">
        <w:t>P</w:t>
      </w:r>
      <w:r w:rsidR="00AB655D">
        <w:t xml:space="preserve">rotection </w:t>
      </w:r>
      <w:r w:rsidR="0010405B">
        <w:t>A</w:t>
      </w:r>
      <w:r w:rsidR="00AB655D">
        <w:t>ct</w:t>
      </w:r>
      <w:r w:rsidR="0010405B">
        <w:t>”)</w:t>
      </w:r>
      <w:r w:rsidR="00682CCF">
        <w:t xml:space="preserve"> which afforded her 20 business days to cancel</w:t>
      </w:r>
      <w:r w:rsidR="00742C56">
        <w:t xml:space="preserve">. </w:t>
      </w:r>
      <w:r w:rsidR="008E6249">
        <w:t>The cancellation of the agreement</w:t>
      </w:r>
      <w:r w:rsidR="00C61DC7">
        <w:t>,</w:t>
      </w:r>
      <w:r w:rsidR="008E6249">
        <w:t xml:space="preserve"> </w:t>
      </w:r>
      <w:r w:rsidR="0022783F">
        <w:t>a</w:t>
      </w:r>
      <w:r w:rsidR="0010405B">
        <w:t xml:space="preserve">ccordingly, </w:t>
      </w:r>
      <w:r w:rsidR="0022783F">
        <w:t xml:space="preserve">became </w:t>
      </w:r>
      <w:r w:rsidR="0010405B">
        <w:t xml:space="preserve">effective </w:t>
      </w:r>
      <w:r w:rsidR="0022783F">
        <w:t xml:space="preserve">on </w:t>
      </w:r>
      <w:r w:rsidR="0010405B">
        <w:t>17 June 2020</w:t>
      </w:r>
      <w:r w:rsidR="0022783F">
        <w:t xml:space="preserve">. </w:t>
      </w:r>
      <w:r w:rsidR="0010405B">
        <w:t xml:space="preserve"> </w:t>
      </w:r>
    </w:p>
    <w:p w14:paraId="2EB48662" w14:textId="7BD83350" w:rsidR="00AA2BBE" w:rsidRPr="00AA2BBE" w:rsidRDefault="00AA2BBE" w:rsidP="00AA2BBE">
      <w:pPr>
        <w:pStyle w:val="JudgmentNumbered"/>
        <w:numPr>
          <w:ilvl w:val="0"/>
          <w:numId w:val="0"/>
        </w:numPr>
        <w:ind w:left="1134" w:hanging="567"/>
        <w:rPr>
          <w:i/>
          <w:iCs/>
        </w:rPr>
      </w:pPr>
      <w:r w:rsidRPr="00AA2BBE">
        <w:rPr>
          <w:i/>
          <w:iCs/>
        </w:rPr>
        <w:t>Issue</w:t>
      </w:r>
      <w:r w:rsidR="00210415">
        <w:rPr>
          <w:i/>
          <w:iCs/>
        </w:rPr>
        <w:t xml:space="preserve"> for determination</w:t>
      </w:r>
    </w:p>
    <w:p w14:paraId="1E4D62DB" w14:textId="40B5D189" w:rsidR="00B4688C" w:rsidRDefault="00666A27" w:rsidP="00666A27">
      <w:pPr>
        <w:pStyle w:val="JudgmentNumbered"/>
        <w:numPr>
          <w:ilvl w:val="0"/>
          <w:numId w:val="0"/>
        </w:numPr>
        <w:ind w:left="567" w:hanging="567"/>
      </w:pPr>
      <w:r>
        <w:t>[4]</w:t>
      </w:r>
      <w:r>
        <w:tab/>
      </w:r>
      <w:r w:rsidR="00FD5B8A">
        <w:t xml:space="preserve">The issue for determination is whether </w:t>
      </w:r>
      <w:r w:rsidR="006F3D67">
        <w:t>the</w:t>
      </w:r>
      <w:r w:rsidR="00B4688C">
        <w:t xml:space="preserve"> </w:t>
      </w:r>
      <w:r w:rsidR="00FD5B8A">
        <w:t>defendant raised a bona fide defence</w:t>
      </w:r>
      <w:r w:rsidR="00B4688C">
        <w:t xml:space="preserve"> in resisting summary judgment</w:t>
      </w:r>
      <w:r w:rsidR="00B85132">
        <w:t xml:space="preserve">. </w:t>
      </w:r>
    </w:p>
    <w:p w14:paraId="3A6E75CF" w14:textId="77777777" w:rsidR="00386847" w:rsidRDefault="00386847" w:rsidP="00A50131">
      <w:pPr>
        <w:pStyle w:val="JudgmentNumbered"/>
        <w:numPr>
          <w:ilvl w:val="0"/>
          <w:numId w:val="0"/>
        </w:numPr>
        <w:ind w:left="567"/>
        <w:rPr>
          <w:i/>
          <w:iCs/>
        </w:rPr>
      </w:pPr>
    </w:p>
    <w:p w14:paraId="3569CED9" w14:textId="77777777" w:rsidR="00386847" w:rsidRDefault="00386847" w:rsidP="00A50131">
      <w:pPr>
        <w:pStyle w:val="JudgmentNumbered"/>
        <w:numPr>
          <w:ilvl w:val="0"/>
          <w:numId w:val="0"/>
        </w:numPr>
        <w:ind w:left="567"/>
        <w:rPr>
          <w:i/>
          <w:iCs/>
        </w:rPr>
      </w:pPr>
    </w:p>
    <w:p w14:paraId="7570DFA5" w14:textId="77777777" w:rsidR="00386847" w:rsidRDefault="00386847" w:rsidP="00A50131">
      <w:pPr>
        <w:pStyle w:val="JudgmentNumbered"/>
        <w:numPr>
          <w:ilvl w:val="0"/>
          <w:numId w:val="0"/>
        </w:numPr>
        <w:ind w:left="567"/>
        <w:rPr>
          <w:i/>
          <w:iCs/>
        </w:rPr>
      </w:pPr>
    </w:p>
    <w:p w14:paraId="608FB653" w14:textId="373132A6" w:rsidR="00A50131" w:rsidRPr="00A50131" w:rsidRDefault="00A50131" w:rsidP="00A50131">
      <w:pPr>
        <w:pStyle w:val="JudgmentNumbered"/>
        <w:numPr>
          <w:ilvl w:val="0"/>
          <w:numId w:val="0"/>
        </w:numPr>
        <w:ind w:left="567"/>
        <w:rPr>
          <w:i/>
          <w:iCs/>
        </w:rPr>
      </w:pPr>
      <w:r>
        <w:rPr>
          <w:i/>
          <w:iCs/>
        </w:rPr>
        <w:t>Submissions</w:t>
      </w:r>
    </w:p>
    <w:p w14:paraId="26A97434" w14:textId="16DD3E90" w:rsidR="00610612" w:rsidRDefault="00666A27" w:rsidP="00666A27">
      <w:pPr>
        <w:pStyle w:val="JudgmentNumbered"/>
        <w:numPr>
          <w:ilvl w:val="0"/>
          <w:numId w:val="0"/>
        </w:numPr>
        <w:ind w:left="567" w:hanging="567"/>
      </w:pPr>
      <w:r>
        <w:t>[5]</w:t>
      </w:r>
      <w:r>
        <w:tab/>
      </w:r>
      <w:r w:rsidR="0070239E">
        <w:t xml:space="preserve">In </w:t>
      </w:r>
      <w:r w:rsidR="00630F2B">
        <w:t>support of the application for summary judgment</w:t>
      </w:r>
      <w:r w:rsidR="00D752B2">
        <w:t xml:space="preserve">, </w:t>
      </w:r>
      <w:r w:rsidR="0070239E">
        <w:t xml:space="preserve">counsel for the applicant </w:t>
      </w:r>
      <w:r w:rsidR="004A327E">
        <w:t xml:space="preserve">submitted that </w:t>
      </w:r>
      <w:r w:rsidR="00610612">
        <w:t xml:space="preserve">clause 3 of the </w:t>
      </w:r>
      <w:r w:rsidR="004A327E">
        <w:t>agreement</w:t>
      </w:r>
      <w:r w:rsidR="00610612">
        <w:t xml:space="preserve"> stipulated that </w:t>
      </w:r>
      <w:r w:rsidR="00760C24">
        <w:t>Sasfin s</w:t>
      </w:r>
      <w:r w:rsidR="00291DC1">
        <w:t>old</w:t>
      </w:r>
      <w:r w:rsidR="00E83BC0">
        <w:t xml:space="preserve"> its rights </w:t>
      </w:r>
      <w:r w:rsidR="00630F2B">
        <w:t>as</w:t>
      </w:r>
      <w:r w:rsidR="00E83BC0">
        <w:t xml:space="preserve"> follows:</w:t>
      </w:r>
    </w:p>
    <w:p w14:paraId="7F3BEB2E" w14:textId="77777777" w:rsidR="00A911D1" w:rsidRDefault="00760C24" w:rsidP="00E83BC0">
      <w:pPr>
        <w:pStyle w:val="JudgmentNumbered"/>
        <w:numPr>
          <w:ilvl w:val="0"/>
          <w:numId w:val="0"/>
        </w:numPr>
        <w:ind w:left="1440"/>
      </w:pPr>
      <w:r>
        <w:t>“…all of the Seller’s right, title and interest in and to each of the Specified equipment leases, subject to the provisions of this Agreement.”</w:t>
      </w:r>
      <w:r w:rsidR="00AB42CA">
        <w:rPr>
          <w:rStyle w:val="FootnoteReference"/>
        </w:rPr>
        <w:footnoteReference w:id="1"/>
      </w:r>
      <w:r>
        <w:t xml:space="preserve">. </w:t>
      </w:r>
    </w:p>
    <w:p w14:paraId="71960E64" w14:textId="146CD8BA" w:rsidR="004C5849" w:rsidRDefault="008762ED" w:rsidP="00E21481">
      <w:pPr>
        <w:pStyle w:val="JudgmentNumbered"/>
        <w:numPr>
          <w:ilvl w:val="0"/>
          <w:numId w:val="0"/>
        </w:numPr>
        <w:ind w:left="567"/>
      </w:pPr>
      <w:r>
        <w:t>Thus,</w:t>
      </w:r>
      <w:r w:rsidR="00E6299F">
        <w:t xml:space="preserve"> he continued </w:t>
      </w:r>
      <w:r w:rsidR="008D1F37">
        <w:t xml:space="preserve">that </w:t>
      </w:r>
      <w:r w:rsidR="00E6299F">
        <w:t xml:space="preserve">the </w:t>
      </w:r>
      <w:r w:rsidR="00760C24">
        <w:t>agreement does not amount to a delegation</w:t>
      </w:r>
      <w:r w:rsidR="0043365A">
        <w:t xml:space="preserve"> which he </w:t>
      </w:r>
      <w:r w:rsidR="002A2A19">
        <w:t>submitted</w:t>
      </w:r>
      <w:r w:rsidR="00E21481">
        <w:t xml:space="preserve"> </w:t>
      </w:r>
      <w:r w:rsidR="00187FC3">
        <w:t>was a form of novation</w:t>
      </w:r>
      <w:r w:rsidR="006F1E5F">
        <w:rPr>
          <w:rStyle w:val="FootnoteReference"/>
        </w:rPr>
        <w:footnoteReference w:id="2"/>
      </w:r>
      <w:r w:rsidR="00617452">
        <w:t xml:space="preserve"> and a</w:t>
      </w:r>
      <w:r w:rsidR="002915A5">
        <w:t xml:space="preserve"> </w:t>
      </w:r>
      <w:r w:rsidR="001B40F2">
        <w:t xml:space="preserve">form of </w:t>
      </w:r>
      <w:r w:rsidR="00187FC3">
        <w:t>a cess</w:t>
      </w:r>
      <w:r w:rsidR="00403E30">
        <w:t>ion.</w:t>
      </w:r>
      <w:r w:rsidR="0043365A">
        <w:t xml:space="preserve"> </w:t>
      </w:r>
      <w:r w:rsidR="00760C24">
        <w:t xml:space="preserve"> </w:t>
      </w:r>
      <w:r w:rsidR="001B40F2">
        <w:t>Thus in the present matter</w:t>
      </w:r>
      <w:r w:rsidR="00760C24">
        <w:t>,</w:t>
      </w:r>
      <w:r w:rsidR="00E21481">
        <w:t xml:space="preserve"> </w:t>
      </w:r>
      <w:r w:rsidR="00A41B35">
        <w:t xml:space="preserve">there </w:t>
      </w:r>
      <w:r w:rsidR="00760C24">
        <w:t>is only</w:t>
      </w:r>
      <w:r w:rsidR="002915A5">
        <w:t xml:space="preserve"> </w:t>
      </w:r>
      <w:r w:rsidR="00760C24">
        <w:t>an agreement of cession</w:t>
      </w:r>
      <w:r w:rsidR="009B3AA6">
        <w:rPr>
          <w:rStyle w:val="FootnoteReference"/>
        </w:rPr>
        <w:footnoteReference w:id="3"/>
      </w:r>
      <w:r w:rsidR="00760C24">
        <w:t xml:space="preserve"> of Sasfin’s rights in terms of the master rental</w:t>
      </w:r>
      <w:r w:rsidR="00E21481">
        <w:t xml:space="preserve"> </w:t>
      </w:r>
      <w:r w:rsidR="00760C24">
        <w:t xml:space="preserve">agreement. </w:t>
      </w:r>
      <w:r w:rsidR="00821014">
        <w:t xml:space="preserve">The agreement remained between </w:t>
      </w:r>
      <w:r w:rsidR="000575EA">
        <w:t>Sasfin</w:t>
      </w:r>
      <w:r w:rsidR="001F1A55">
        <w:t xml:space="preserve"> and the defendant. </w:t>
      </w:r>
      <w:r w:rsidR="00E15F21">
        <w:t>Sasfin only</w:t>
      </w:r>
      <w:r w:rsidR="00E21481">
        <w:t xml:space="preserve"> </w:t>
      </w:r>
      <w:r w:rsidR="00E15F21">
        <w:t>ceded its</w:t>
      </w:r>
      <w:r w:rsidR="006A16B6">
        <w:t xml:space="preserve"> right, title and interest in the master rental agreement. The </w:t>
      </w:r>
      <w:r w:rsidR="002E1372">
        <w:t>defendant thus</w:t>
      </w:r>
      <w:r w:rsidR="00E21481">
        <w:t xml:space="preserve"> </w:t>
      </w:r>
      <w:r w:rsidR="002E1372">
        <w:t xml:space="preserve">retained the </w:t>
      </w:r>
      <w:r w:rsidR="006A16B6">
        <w:t xml:space="preserve">right to cancel in terms of section 14 of the CPA </w:t>
      </w:r>
      <w:r w:rsidR="002E1372">
        <w:t xml:space="preserve">and this </w:t>
      </w:r>
      <w:r w:rsidR="006A16B6">
        <w:t>right the</w:t>
      </w:r>
      <w:r w:rsidR="000F1B3A">
        <w:t xml:space="preserve"> </w:t>
      </w:r>
      <w:r w:rsidR="004C5849">
        <w:t>d</w:t>
      </w:r>
      <w:r w:rsidR="006A16B6">
        <w:t xml:space="preserve">efendant </w:t>
      </w:r>
      <w:r w:rsidR="00F85A45">
        <w:t xml:space="preserve">could </w:t>
      </w:r>
      <w:r w:rsidR="006A16B6">
        <w:t>exercise</w:t>
      </w:r>
      <w:r w:rsidR="00C63F14">
        <w:t xml:space="preserve"> </w:t>
      </w:r>
      <w:r w:rsidR="006A16B6">
        <w:t xml:space="preserve">against Sasfin, not the </w:t>
      </w:r>
      <w:r w:rsidR="004C5849">
        <w:t>p</w:t>
      </w:r>
      <w:r w:rsidR="006A16B6">
        <w:t xml:space="preserve">laintiff. </w:t>
      </w:r>
    </w:p>
    <w:p w14:paraId="09AF9591" w14:textId="423E6126" w:rsidR="00FC4171" w:rsidRDefault="00267192" w:rsidP="00267192">
      <w:pPr>
        <w:pStyle w:val="JudgmentNumbered"/>
        <w:numPr>
          <w:ilvl w:val="0"/>
          <w:numId w:val="0"/>
        </w:numPr>
        <w:ind w:left="567" w:hanging="567"/>
      </w:pPr>
      <w:r>
        <w:t>[6]</w:t>
      </w:r>
      <w:r>
        <w:tab/>
        <w:t xml:space="preserve">In relation to use of the word </w:t>
      </w:r>
      <w:r w:rsidR="00BA51E5">
        <w:t>“</w:t>
      </w:r>
      <w:r>
        <w:t>bank</w:t>
      </w:r>
      <w:r w:rsidR="00BA51E5">
        <w:t>”</w:t>
      </w:r>
      <w:r>
        <w:t xml:space="preserve"> </w:t>
      </w:r>
      <w:r w:rsidR="00BA51E5">
        <w:t xml:space="preserve">counsel submitted </w:t>
      </w:r>
      <w:r>
        <w:t xml:space="preserve">the plaintiff was precluded </w:t>
      </w:r>
      <w:r w:rsidR="00BA51E5">
        <w:t xml:space="preserve">from </w:t>
      </w:r>
      <w:r w:rsidR="001B2360">
        <w:t xml:space="preserve">use </w:t>
      </w:r>
      <w:r>
        <w:t xml:space="preserve">as it is an offence to use the name of a “bank” in terms of section 22 of the Banks Act, 94 of 1990, unless </w:t>
      </w:r>
      <w:r w:rsidR="00D644B5">
        <w:t xml:space="preserve">the entity </w:t>
      </w:r>
      <w:r>
        <w:t>is in fact registered as a bank.</w:t>
      </w:r>
      <w:r w:rsidR="00FC4171" w:rsidRPr="00FC4171">
        <w:t xml:space="preserve"> </w:t>
      </w:r>
      <w:r w:rsidR="00FC4171">
        <w:t xml:space="preserve">Section 22(4) of the Banks Act provides: </w:t>
      </w:r>
    </w:p>
    <w:p w14:paraId="03851D2F" w14:textId="23AC1D6D" w:rsidR="00267192" w:rsidRDefault="00FC4171" w:rsidP="00FC4171">
      <w:pPr>
        <w:pStyle w:val="JudgmentNumbered"/>
        <w:numPr>
          <w:ilvl w:val="0"/>
          <w:numId w:val="0"/>
        </w:numPr>
        <w:ind w:left="1440"/>
        <w:rPr>
          <w:sz w:val="22"/>
        </w:rPr>
      </w:pPr>
      <w:r w:rsidRPr="00FC4171">
        <w:rPr>
          <w:sz w:val="22"/>
        </w:rPr>
        <w:t xml:space="preserve">“(4) Any person who, in connection with any business conducted by such person- (a) uses any name, description or symbol indicating, or calculated to </w:t>
      </w:r>
      <w:r w:rsidRPr="00FC4171">
        <w:rPr>
          <w:sz w:val="22"/>
        </w:rPr>
        <w:lastRenderedPageBreak/>
        <w:t>lead persons to infer, that such person is a bank registered as such under this Act; or (b) in any other manner purports to be a bank registered as such under this Act, while such person is not so registered as a bank, shall be guilty of an offence</w:t>
      </w:r>
      <w:r>
        <w:rPr>
          <w:sz w:val="22"/>
        </w:rPr>
        <w:t>”</w:t>
      </w:r>
    </w:p>
    <w:p w14:paraId="021654D1" w14:textId="6683AC62" w:rsidR="001D24C8" w:rsidRDefault="0028620F" w:rsidP="005E7F43">
      <w:pPr>
        <w:pStyle w:val="JudgmentNumbered"/>
        <w:numPr>
          <w:ilvl w:val="0"/>
          <w:numId w:val="0"/>
        </w:numPr>
        <w:ind w:left="567" w:hanging="567"/>
      </w:pPr>
      <w:r w:rsidRPr="0028620F">
        <w:rPr>
          <w:szCs w:val="24"/>
        </w:rPr>
        <w:t>[7]</w:t>
      </w:r>
      <w:r w:rsidRPr="0028620F">
        <w:rPr>
          <w:szCs w:val="24"/>
        </w:rPr>
        <w:tab/>
      </w:r>
      <w:r w:rsidR="00595262">
        <w:rPr>
          <w:szCs w:val="24"/>
        </w:rPr>
        <w:t>In response to t</w:t>
      </w:r>
      <w:r w:rsidR="00B4325A" w:rsidRPr="0028620F">
        <w:rPr>
          <w:szCs w:val="24"/>
        </w:rPr>
        <w:t xml:space="preserve">he question posed to counsel was whether banks were exempt </w:t>
      </w:r>
      <w:r w:rsidRPr="0028620F">
        <w:rPr>
          <w:szCs w:val="24"/>
        </w:rPr>
        <w:t>from the application of s 14 of the CPA</w:t>
      </w:r>
      <w:r w:rsidR="00595262">
        <w:rPr>
          <w:szCs w:val="24"/>
        </w:rPr>
        <w:t>, c</w:t>
      </w:r>
      <w:r>
        <w:rPr>
          <w:szCs w:val="24"/>
        </w:rPr>
        <w:t xml:space="preserve">ounsel for the plaintiff submitted that </w:t>
      </w:r>
      <w:r w:rsidR="0048182B">
        <w:rPr>
          <w:szCs w:val="24"/>
        </w:rPr>
        <w:t xml:space="preserve">banks were </w:t>
      </w:r>
      <w:r w:rsidR="00A81A85">
        <w:rPr>
          <w:szCs w:val="24"/>
        </w:rPr>
        <w:t xml:space="preserve">and </w:t>
      </w:r>
      <w:r w:rsidR="0048182B">
        <w:rPr>
          <w:szCs w:val="24"/>
        </w:rPr>
        <w:t xml:space="preserve">referred to the </w:t>
      </w:r>
      <w:r w:rsidR="0048182B">
        <w:t xml:space="preserve">Government Notice 532 in Government Gazette 34399 of 27 June 2011. </w:t>
      </w:r>
      <w:r w:rsidR="00263ED3">
        <w:t xml:space="preserve">Counsel </w:t>
      </w:r>
      <w:r w:rsidR="006678D4">
        <w:t>continued</w:t>
      </w:r>
      <w:r w:rsidR="00EE06E1">
        <w:t xml:space="preserve"> and </w:t>
      </w:r>
      <w:r w:rsidR="00A54A27">
        <w:t xml:space="preserve">submitted that </w:t>
      </w:r>
      <w:r w:rsidR="00263ED3">
        <w:t xml:space="preserve">apart from </w:t>
      </w:r>
      <w:r w:rsidR="004057FC">
        <w:t>being exempt, Sasfin was not the supplier</w:t>
      </w:r>
      <w:r w:rsidR="008824A8">
        <w:t xml:space="preserve"> as </w:t>
      </w:r>
      <w:r w:rsidR="00F049F0">
        <w:t>contended by the defendant</w:t>
      </w:r>
      <w:r w:rsidR="004057FC">
        <w:t xml:space="preserve"> but the financier</w:t>
      </w:r>
      <w:r w:rsidR="00703BAC">
        <w:t xml:space="preserve">. </w:t>
      </w:r>
      <w:r w:rsidR="00AB655D">
        <w:t>Thus,</w:t>
      </w:r>
      <w:r w:rsidR="00F049F0">
        <w:t xml:space="preserve"> the </w:t>
      </w:r>
      <w:r w:rsidR="00703BAC">
        <w:t>defendant was not permitted to withhold payments due to defe</w:t>
      </w:r>
      <w:r w:rsidR="0092517C">
        <w:t xml:space="preserve">cts as she had </w:t>
      </w:r>
      <w:r w:rsidR="006D15C2">
        <w:t>a claim against the supplier of the equipment</w:t>
      </w:r>
      <w:r w:rsidR="002156B0">
        <w:t xml:space="preserve"> and was obliged to pay Sasfin who was out of pocket in the interim for the payment </w:t>
      </w:r>
      <w:r w:rsidR="00373C4C">
        <w:t xml:space="preserve">it had </w:t>
      </w:r>
      <w:r w:rsidR="002156B0">
        <w:t>made</w:t>
      </w:r>
      <w:r w:rsidR="00373C4C">
        <w:t xml:space="preserve"> to the supplier of the equipment</w:t>
      </w:r>
      <w:r w:rsidR="002156B0">
        <w:t>.</w:t>
      </w:r>
    </w:p>
    <w:p w14:paraId="3C1B66B5" w14:textId="5301A891" w:rsidR="005E7F43" w:rsidRDefault="001D24C8" w:rsidP="005E7F43">
      <w:pPr>
        <w:pStyle w:val="JudgmentNumbered"/>
        <w:numPr>
          <w:ilvl w:val="0"/>
          <w:numId w:val="0"/>
        </w:numPr>
        <w:ind w:left="567" w:hanging="567"/>
      </w:pPr>
      <w:r>
        <w:t>[8]</w:t>
      </w:r>
      <w:r>
        <w:tab/>
        <w:t xml:space="preserve">Counsel </w:t>
      </w:r>
      <w:r w:rsidR="003321D1">
        <w:t xml:space="preserve">for the plaintiff </w:t>
      </w:r>
      <w:r>
        <w:t xml:space="preserve">confirmed that the goods </w:t>
      </w:r>
      <w:r w:rsidR="00AA7C2C">
        <w:t>had</w:t>
      </w:r>
      <w:r w:rsidR="007C4295">
        <w:t>,</w:t>
      </w:r>
      <w:r w:rsidR="00AA7C2C">
        <w:t xml:space="preserve"> in the interim</w:t>
      </w:r>
      <w:r w:rsidR="007C4295">
        <w:t>,</w:t>
      </w:r>
      <w:r w:rsidR="00AA7C2C">
        <w:t xml:space="preserve"> been returned </w:t>
      </w:r>
      <w:r w:rsidR="007C4295">
        <w:t>i</w:t>
      </w:r>
      <w:r w:rsidR="00AA7C2C">
        <w:t xml:space="preserve">n October 2022 after the </w:t>
      </w:r>
      <w:r w:rsidR="007C4295">
        <w:t>plaintiff launched it</w:t>
      </w:r>
      <w:r w:rsidR="00AB655D">
        <w:t>s</w:t>
      </w:r>
      <w:r w:rsidR="007C4295">
        <w:t xml:space="preserve"> application for </w:t>
      </w:r>
      <w:r w:rsidR="00AA7C2C">
        <w:t xml:space="preserve">summary judgment in May 2022. </w:t>
      </w:r>
      <w:r w:rsidR="00EE6732">
        <w:t>In view of the initial order proposed</w:t>
      </w:r>
      <w:r w:rsidR="002A2748">
        <w:t>,</w:t>
      </w:r>
      <w:r w:rsidR="00EE6732">
        <w:t xml:space="preserve"> </w:t>
      </w:r>
      <w:r w:rsidR="002A2748">
        <w:t xml:space="preserve">counsel proposed </w:t>
      </w:r>
      <w:r w:rsidR="008E4CD1">
        <w:t xml:space="preserve">that the order make provision for the return of the </w:t>
      </w:r>
      <w:r w:rsidR="002A2748">
        <w:t>goods</w:t>
      </w:r>
      <w:r w:rsidR="008E4CD1">
        <w:t xml:space="preserve"> upon </w:t>
      </w:r>
      <w:r w:rsidR="00C7068F">
        <w:t xml:space="preserve">full </w:t>
      </w:r>
      <w:r w:rsidR="008E4CD1">
        <w:t xml:space="preserve">payment of </w:t>
      </w:r>
      <w:r w:rsidR="00C7068F">
        <w:t>the amounts due.</w:t>
      </w:r>
      <w:r w:rsidR="00EE6732">
        <w:t xml:space="preserve"> </w:t>
      </w:r>
      <w:r w:rsidR="00AA7C2C">
        <w:t xml:space="preserve"> </w:t>
      </w:r>
      <w:r w:rsidR="006D15C2">
        <w:t xml:space="preserve"> </w:t>
      </w:r>
    </w:p>
    <w:p w14:paraId="4A9B1829" w14:textId="3FCA884F" w:rsidR="003321D1" w:rsidRPr="0028620F" w:rsidRDefault="00460986" w:rsidP="005E7F43">
      <w:pPr>
        <w:pStyle w:val="JudgmentNumbered"/>
        <w:numPr>
          <w:ilvl w:val="0"/>
          <w:numId w:val="0"/>
        </w:numPr>
        <w:ind w:left="567" w:hanging="567"/>
        <w:rPr>
          <w:szCs w:val="24"/>
        </w:rPr>
      </w:pPr>
      <w:r>
        <w:t>[9]</w:t>
      </w:r>
      <w:r>
        <w:tab/>
      </w:r>
      <w:r w:rsidR="003E5C70">
        <w:t>In opposing the application, c</w:t>
      </w:r>
      <w:r>
        <w:t xml:space="preserve">ounsel for the defendant </w:t>
      </w:r>
      <w:r w:rsidR="00F2448D">
        <w:t xml:space="preserve">also confirmed </w:t>
      </w:r>
      <w:r w:rsidR="00FC7907">
        <w:t xml:space="preserve">the return of the </w:t>
      </w:r>
      <w:r>
        <w:t xml:space="preserve">leased equipment on 7 October 2022. </w:t>
      </w:r>
      <w:r w:rsidR="00881DC5">
        <w:t>In view of the return of the good</w:t>
      </w:r>
      <w:r w:rsidR="005D2587">
        <w:t>s</w:t>
      </w:r>
      <w:r w:rsidR="00FC7907">
        <w:t>,</w:t>
      </w:r>
      <w:r w:rsidR="00881DC5">
        <w:t xml:space="preserve"> </w:t>
      </w:r>
      <w:r w:rsidR="006E08C4">
        <w:t>counsel argued that</w:t>
      </w:r>
      <w:r w:rsidR="006241A0">
        <w:t xml:space="preserve"> the </w:t>
      </w:r>
      <w:r>
        <w:t xml:space="preserve">order </w:t>
      </w:r>
      <w:r w:rsidR="00964CF7">
        <w:t xml:space="preserve">proposed by the plaintiff </w:t>
      </w:r>
      <w:r>
        <w:t>cannot include the return of the rental equipment.</w:t>
      </w:r>
      <w:r w:rsidR="00B3786E">
        <w:t xml:space="preserve"> </w:t>
      </w:r>
      <w:r w:rsidR="000116C4">
        <w:t>This was c</w:t>
      </w:r>
      <w:r w:rsidR="00B3786E">
        <w:t xml:space="preserve">ounsel submitted </w:t>
      </w:r>
      <w:r w:rsidR="000116C4">
        <w:t xml:space="preserve">because </w:t>
      </w:r>
      <w:r w:rsidR="00B3786E">
        <w:t xml:space="preserve">the </w:t>
      </w:r>
      <w:r>
        <w:t xml:space="preserve">only remedies available to the </w:t>
      </w:r>
      <w:r w:rsidR="000116C4">
        <w:t>p</w:t>
      </w:r>
      <w:r>
        <w:t xml:space="preserve">laintiff are </w:t>
      </w:r>
      <w:r w:rsidR="000116C4">
        <w:t xml:space="preserve">those </w:t>
      </w:r>
      <w:r>
        <w:t>contained in section 3 of the C</w:t>
      </w:r>
      <w:r w:rsidR="007A382D">
        <w:t>PA</w:t>
      </w:r>
      <w:r w:rsidR="005578F2">
        <w:t>,</w:t>
      </w:r>
      <w:r w:rsidR="007A382D">
        <w:t xml:space="preserve"> </w:t>
      </w:r>
      <w:r>
        <w:t>specifically the reasonable cancellation penalty</w:t>
      </w:r>
      <w:r w:rsidR="007A382D">
        <w:t xml:space="preserve">. He submitted that the </w:t>
      </w:r>
      <w:r w:rsidR="002B3DDF">
        <w:t>plaintiff was entitled only to</w:t>
      </w:r>
      <w:r w:rsidR="005578F2">
        <w:t xml:space="preserve"> </w:t>
      </w:r>
      <w:r>
        <w:t>arrear rental amounts</w:t>
      </w:r>
      <w:r w:rsidR="005578F2">
        <w:t>,</w:t>
      </w:r>
      <w:r>
        <w:t xml:space="preserve"> </w:t>
      </w:r>
      <w:r w:rsidR="002B3DDF">
        <w:t>and the defendant disputed that it was in arrears as it cancelled the ag</w:t>
      </w:r>
      <w:r w:rsidR="002954DE">
        <w:t>reement. The plaintiff was not entitled to any interest counsel continued.</w:t>
      </w:r>
    </w:p>
    <w:p w14:paraId="4E8E9EC4" w14:textId="62007275" w:rsidR="00C37632" w:rsidRDefault="00FC4171" w:rsidP="00FC4171">
      <w:pPr>
        <w:pStyle w:val="JudgmentNumbered"/>
        <w:numPr>
          <w:ilvl w:val="0"/>
          <w:numId w:val="0"/>
        </w:numPr>
        <w:ind w:left="567" w:hanging="567"/>
      </w:pPr>
      <w:r>
        <w:t>[</w:t>
      </w:r>
      <w:r w:rsidR="002A2345">
        <w:t>10</w:t>
      </w:r>
      <w:r>
        <w:t>]</w:t>
      </w:r>
      <w:r>
        <w:tab/>
      </w:r>
      <w:r w:rsidR="005578F2">
        <w:t>T</w:t>
      </w:r>
      <w:r w:rsidR="0080526B">
        <w:t>h</w:t>
      </w:r>
      <w:r w:rsidR="00DA1112">
        <w:t xml:space="preserve">e defendant </w:t>
      </w:r>
      <w:r w:rsidR="005578F2">
        <w:t xml:space="preserve">relied on the </w:t>
      </w:r>
      <w:r w:rsidR="00840882">
        <w:t>principle</w:t>
      </w:r>
      <w:r w:rsidR="001D54F6">
        <w:t xml:space="preserve"> </w:t>
      </w:r>
      <w:r w:rsidR="00840882">
        <w:t xml:space="preserve">in </w:t>
      </w:r>
      <w:r w:rsidR="00840882" w:rsidRPr="001D54F6">
        <w:rPr>
          <w:i/>
          <w:iCs/>
        </w:rPr>
        <w:t>Maharaj v Barclays National Bank Ltd</w:t>
      </w:r>
      <w:r w:rsidR="001D54F6">
        <w:rPr>
          <w:i/>
          <w:iCs/>
        </w:rPr>
        <w:t xml:space="preserve"> </w:t>
      </w:r>
      <w:r w:rsidR="001D54F6">
        <w:rPr>
          <w:rStyle w:val="FootnoteReference"/>
          <w:i/>
          <w:iCs/>
        </w:rPr>
        <w:footnoteReference w:id="4"/>
      </w:r>
      <w:r w:rsidR="00840882">
        <w:t xml:space="preserve"> </w:t>
      </w:r>
      <w:r w:rsidR="00C37632">
        <w:t xml:space="preserve"> </w:t>
      </w:r>
      <w:r w:rsidR="003352C4">
        <w:t xml:space="preserve">which </w:t>
      </w:r>
      <w:r w:rsidR="00C37632">
        <w:t>states:</w:t>
      </w:r>
    </w:p>
    <w:p w14:paraId="30C699E7" w14:textId="7FB5CED8" w:rsidR="000B5381" w:rsidRPr="009F3DBD" w:rsidRDefault="00840882" w:rsidP="009F3DBD">
      <w:pPr>
        <w:pStyle w:val="JudgmentNumbered"/>
        <w:numPr>
          <w:ilvl w:val="0"/>
          <w:numId w:val="0"/>
        </w:numPr>
        <w:ind w:left="1440" w:firstLine="70"/>
        <w:rPr>
          <w:sz w:val="22"/>
        </w:rPr>
      </w:pPr>
      <w:r w:rsidRPr="009F3DBD">
        <w:rPr>
          <w:sz w:val="22"/>
        </w:rPr>
        <w:lastRenderedPageBreak/>
        <w:t xml:space="preserve">“Where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had “fully” disclosed the nature and grounds of his defence and the material facts upon which it is founded, and (b) whether on the facts so disclosed the defendant appears to have, as to either the whole or part of the claim, a defence which is both </w:t>
      </w:r>
      <w:r w:rsidR="006945DE" w:rsidRPr="009F3DBD">
        <w:rPr>
          <w:sz w:val="22"/>
        </w:rPr>
        <w:t>bona fide and good in law. If satisfied on these matters the Court must refuse summary judgment either wholly or in part, as the case may be.”</w:t>
      </w:r>
    </w:p>
    <w:p w14:paraId="51E2AA5D" w14:textId="753A4760" w:rsidR="00994927" w:rsidRDefault="009775A6" w:rsidP="00CE4E2F">
      <w:pPr>
        <w:pStyle w:val="JudgmentNumbered"/>
        <w:numPr>
          <w:ilvl w:val="0"/>
          <w:numId w:val="0"/>
        </w:numPr>
        <w:ind w:left="567" w:hanging="567"/>
      </w:pPr>
      <w:r>
        <w:t>[</w:t>
      </w:r>
      <w:r w:rsidR="00CE4E2F">
        <w:t>1</w:t>
      </w:r>
      <w:r w:rsidR="002A2345">
        <w:t>1</w:t>
      </w:r>
      <w:r>
        <w:t>]</w:t>
      </w:r>
      <w:r>
        <w:tab/>
        <w:t xml:space="preserve">Having regard to the </w:t>
      </w:r>
      <w:r w:rsidR="00AB655D">
        <w:t>defendant’s</w:t>
      </w:r>
      <w:r w:rsidR="00B650C0">
        <w:t xml:space="preserve"> affidavit resisting summary judgment</w:t>
      </w:r>
      <w:r w:rsidR="00871DF0">
        <w:t xml:space="preserve">, </w:t>
      </w:r>
      <w:r w:rsidR="009910E1">
        <w:t xml:space="preserve">the defendant’s </w:t>
      </w:r>
      <w:r w:rsidR="00871DF0">
        <w:t xml:space="preserve">assertion is </w:t>
      </w:r>
      <w:r w:rsidR="009910E1">
        <w:t xml:space="preserve">that she was </w:t>
      </w:r>
      <w:r w:rsidR="0010405B">
        <w:t>not in arrears at the time of cancellation</w:t>
      </w:r>
      <w:r w:rsidR="00994927">
        <w:t xml:space="preserve"> </w:t>
      </w:r>
      <w:r w:rsidR="002857E2">
        <w:t>in 2020.</w:t>
      </w:r>
      <w:r w:rsidR="00EE4670">
        <w:t xml:space="preserve"> If the agreement were </w:t>
      </w:r>
      <w:r w:rsidR="006077B8">
        <w:t>cancelled</w:t>
      </w:r>
      <w:r w:rsidR="00B96656">
        <w:t>,</w:t>
      </w:r>
      <w:r w:rsidR="006077B8">
        <w:t xml:space="preserve"> the defendant would not be </w:t>
      </w:r>
      <w:r w:rsidR="0010405B">
        <w:t xml:space="preserve">liable for future rentals in terms of the </w:t>
      </w:r>
      <w:r w:rsidR="006077B8">
        <w:t>a</w:t>
      </w:r>
      <w:r w:rsidR="0010405B">
        <w:t>greement.</w:t>
      </w:r>
      <w:r w:rsidR="00921567">
        <w:t xml:space="preserve"> </w:t>
      </w:r>
      <w:r w:rsidR="00060ED0">
        <w:t>Counsel submitted t</w:t>
      </w:r>
      <w:r w:rsidR="00921567">
        <w:t>he defendant</w:t>
      </w:r>
      <w:r w:rsidR="00060ED0">
        <w:t>’</w:t>
      </w:r>
      <w:r w:rsidR="00604562">
        <w:t>s defence</w:t>
      </w:r>
      <w:r w:rsidR="00654CFC">
        <w:t>s</w:t>
      </w:r>
      <w:r w:rsidR="00604562">
        <w:t xml:space="preserve"> raised</w:t>
      </w:r>
      <w:r w:rsidR="00B96656">
        <w:t>,</w:t>
      </w:r>
      <w:r w:rsidR="00F5381E">
        <w:t xml:space="preserve"> indicated that summary judgment be refused</w:t>
      </w:r>
      <w:r w:rsidR="00400854">
        <w:t>.</w:t>
      </w:r>
      <w:r w:rsidR="00400854">
        <w:rPr>
          <w:rStyle w:val="FootnoteReference"/>
        </w:rPr>
        <w:footnoteReference w:id="5"/>
      </w:r>
      <w:r w:rsidR="00CF7825">
        <w:t xml:space="preserve"> Th</w:t>
      </w:r>
      <w:r w:rsidR="00A12494">
        <w:t xml:space="preserve">is was </w:t>
      </w:r>
      <w:r w:rsidR="00393B89">
        <w:t>because</w:t>
      </w:r>
      <w:r w:rsidR="00A12494">
        <w:t xml:space="preserve"> her</w:t>
      </w:r>
      <w:r w:rsidR="003B612A">
        <w:t xml:space="preserve"> </w:t>
      </w:r>
      <w:r w:rsidR="007E1BC9">
        <w:t xml:space="preserve">defences </w:t>
      </w:r>
      <w:r w:rsidR="00A55DF9">
        <w:t xml:space="preserve">indicated </w:t>
      </w:r>
      <w:r w:rsidR="007E1BC9">
        <w:t xml:space="preserve">that there is a reasonable possibility </w:t>
      </w:r>
      <w:r w:rsidR="002F50AA">
        <w:t xml:space="preserve">that </w:t>
      </w:r>
      <w:r w:rsidR="007E1BC9">
        <w:t xml:space="preserve">the </w:t>
      </w:r>
      <w:r w:rsidR="00AB655D">
        <w:t>defences</w:t>
      </w:r>
      <w:r w:rsidR="007E1BC9">
        <w:t xml:space="preserve"> she </w:t>
      </w:r>
      <w:r w:rsidR="00393B89">
        <w:t>advanced</w:t>
      </w:r>
      <w:r w:rsidR="007E1BC9">
        <w:t xml:space="preserve"> may succeed </w:t>
      </w:r>
      <w:r w:rsidR="003B612A">
        <w:t xml:space="preserve">at trial. </w:t>
      </w:r>
      <w:r w:rsidR="00604562">
        <w:t xml:space="preserve"> </w:t>
      </w:r>
      <w:r w:rsidR="0010405B">
        <w:t xml:space="preserve"> </w:t>
      </w:r>
    </w:p>
    <w:p w14:paraId="66FA1416" w14:textId="62576086" w:rsidR="0044296B" w:rsidRDefault="000E5639" w:rsidP="00A55DF9">
      <w:pPr>
        <w:pStyle w:val="JudgmentNumbered"/>
        <w:numPr>
          <w:ilvl w:val="0"/>
          <w:numId w:val="0"/>
        </w:numPr>
        <w:ind w:left="567" w:hanging="567"/>
      </w:pPr>
      <w:r>
        <w:t>[</w:t>
      </w:r>
      <w:r w:rsidR="00A55DF9">
        <w:t>1</w:t>
      </w:r>
      <w:r w:rsidR="002A2345">
        <w:t>2</w:t>
      </w:r>
      <w:r>
        <w:t>]</w:t>
      </w:r>
      <w:r>
        <w:tab/>
      </w:r>
      <w:r w:rsidR="008E62E1">
        <w:t>I have noted the plaintiff</w:t>
      </w:r>
      <w:r w:rsidR="005533AB">
        <w:t>’s</w:t>
      </w:r>
      <w:r w:rsidR="008E62E1">
        <w:t xml:space="preserve"> </w:t>
      </w:r>
      <w:r w:rsidR="001617D0">
        <w:t xml:space="preserve">contention that the bank is exempt from the application of s14 </w:t>
      </w:r>
      <w:r w:rsidR="004759C8">
        <w:t xml:space="preserve">of the </w:t>
      </w:r>
      <w:r>
        <w:t xml:space="preserve">Consumer Protection Act </w:t>
      </w:r>
      <w:r w:rsidR="00AB4DB0">
        <w:t>68 of 2008</w:t>
      </w:r>
      <w:r w:rsidR="00B025DE">
        <w:t xml:space="preserve"> (CPA)</w:t>
      </w:r>
      <w:r w:rsidR="004B258D">
        <w:t xml:space="preserve"> </w:t>
      </w:r>
      <w:r w:rsidR="00F96FAE">
        <w:t xml:space="preserve"> in terms of Government Notice 532 in Government Gazette 34399 of 27 June 2011</w:t>
      </w:r>
      <w:r w:rsidR="00E44784">
        <w:t xml:space="preserve">. </w:t>
      </w:r>
      <w:r w:rsidR="00AB655D">
        <w:t>However,</w:t>
      </w:r>
      <w:r w:rsidR="00E44784">
        <w:t xml:space="preserve"> i</w:t>
      </w:r>
      <w:r w:rsidR="00AB7A8C">
        <w:t>n having regard to the purpose of the CPA and</w:t>
      </w:r>
      <w:r w:rsidR="0010653F">
        <w:t xml:space="preserve"> </w:t>
      </w:r>
      <w:r w:rsidR="00AB7A8C">
        <w:t xml:space="preserve">the Government Gazette, </w:t>
      </w:r>
      <w:r w:rsidR="00060FB3">
        <w:t>the purpose</w:t>
      </w:r>
      <w:r w:rsidR="00B96656">
        <w:t xml:space="preserve"> </w:t>
      </w:r>
      <w:r w:rsidR="00060FB3">
        <w:t xml:space="preserve">of exempting the bank from the application of </w:t>
      </w:r>
      <w:r w:rsidR="00DE67BD">
        <w:t xml:space="preserve">s14 </w:t>
      </w:r>
      <w:r w:rsidR="00060FB3">
        <w:t xml:space="preserve">could not </w:t>
      </w:r>
      <w:r w:rsidR="00DE67BD">
        <w:t xml:space="preserve">have the intention of depriving the </w:t>
      </w:r>
      <w:r w:rsidR="00060FB3">
        <w:t>consumer</w:t>
      </w:r>
      <w:r w:rsidR="00B96656">
        <w:t xml:space="preserve"> </w:t>
      </w:r>
      <w:r w:rsidR="00DE67BD">
        <w:t>of the protection afforded in the CPA</w:t>
      </w:r>
      <w:r w:rsidR="00431521">
        <w:t xml:space="preserve">. </w:t>
      </w:r>
      <w:r w:rsidR="00C3580F">
        <w:t>Nor could it deprive the consumer of its right to cancel granted in terms of s14</w:t>
      </w:r>
      <w:r w:rsidR="007A393D">
        <w:t xml:space="preserve">. </w:t>
      </w:r>
      <w:r w:rsidR="00DE67BD">
        <w:t xml:space="preserve"> </w:t>
      </w:r>
      <w:r w:rsidR="003A7279">
        <w:t>Section 14</w:t>
      </w:r>
      <w:r w:rsidR="00CE3991">
        <w:t xml:space="preserve"> </w:t>
      </w:r>
      <w:r w:rsidR="000F3B69">
        <w:t>2</w:t>
      </w:r>
      <w:r w:rsidR="00CE3991">
        <w:t>(</w:t>
      </w:r>
      <w:r w:rsidR="000F3B69">
        <w:t>b)(i) of the</w:t>
      </w:r>
      <w:r w:rsidR="00A1261F">
        <w:t xml:space="preserve"> CPA </w:t>
      </w:r>
      <w:r w:rsidR="00CE3991">
        <w:t xml:space="preserve">permits </w:t>
      </w:r>
      <w:r>
        <w:t xml:space="preserve">consumers to cancel any </w:t>
      </w:r>
      <w:r w:rsidR="008D5D5C">
        <w:t>fixed-term</w:t>
      </w:r>
      <w:r>
        <w:t xml:space="preserve"> agreement </w:t>
      </w:r>
      <w:r w:rsidR="00507E2C">
        <w:t xml:space="preserve">without </w:t>
      </w:r>
      <w:r>
        <w:t>reason by giving 20 business days' notice.</w:t>
      </w:r>
    </w:p>
    <w:p w14:paraId="05C2B870" w14:textId="41647B4E" w:rsidR="000E5639" w:rsidRDefault="0044296B" w:rsidP="002445F3">
      <w:pPr>
        <w:pStyle w:val="JudgmentNumbered"/>
        <w:numPr>
          <w:ilvl w:val="0"/>
          <w:numId w:val="0"/>
        </w:numPr>
        <w:ind w:left="567" w:hanging="567"/>
      </w:pPr>
      <w:r>
        <w:t>[13]</w:t>
      </w:r>
      <w:r>
        <w:tab/>
      </w:r>
      <w:r w:rsidR="00FB0284">
        <w:t xml:space="preserve">The defendant </w:t>
      </w:r>
      <w:r w:rsidR="001F10F7">
        <w:t>did cancel the agreement which was a</w:t>
      </w:r>
      <w:r w:rsidR="000E5639">
        <w:t xml:space="preserve"> '</w:t>
      </w:r>
      <w:r w:rsidR="008D5D5C">
        <w:t>fixed-term</w:t>
      </w:r>
      <w:r w:rsidR="000E5639">
        <w:t xml:space="preserve"> agreement</w:t>
      </w:r>
      <w:r w:rsidR="001F10F7">
        <w:t xml:space="preserve"> provided </w:t>
      </w:r>
      <w:r w:rsidR="00C61958">
        <w:t>for in the C</w:t>
      </w:r>
      <w:r w:rsidR="00C925D3">
        <w:t xml:space="preserve">onsumer </w:t>
      </w:r>
      <w:r w:rsidR="00C61958">
        <w:t>P</w:t>
      </w:r>
      <w:r w:rsidR="00C925D3">
        <w:t xml:space="preserve">rotection </w:t>
      </w:r>
      <w:r w:rsidR="00C61958">
        <w:t>A</w:t>
      </w:r>
      <w:r w:rsidR="00C925D3">
        <w:t>ct</w:t>
      </w:r>
      <w:r w:rsidR="00C61958">
        <w:t xml:space="preserve">. Upon cancellation </w:t>
      </w:r>
      <w:r w:rsidR="00390E53">
        <w:t xml:space="preserve">the defendant remained liable to the supplier in terms of the agreement </w:t>
      </w:r>
      <w:r w:rsidR="00FF5E2F">
        <w:t xml:space="preserve">up to date of cancellation and the </w:t>
      </w:r>
      <w:r w:rsidR="00665A80">
        <w:t xml:space="preserve">plaintiff can impose a reasonable cancellation penalty with </w:t>
      </w:r>
      <w:r w:rsidR="00665A80">
        <w:lastRenderedPageBreak/>
        <w:t>respect to goods supplied</w:t>
      </w:r>
      <w:r w:rsidR="00D35001">
        <w:t xml:space="preserve"> in contemplation  of the agreement enduring for </w:t>
      </w:r>
      <w:r w:rsidR="007B72B7">
        <w:t xml:space="preserve">the intended term. </w:t>
      </w:r>
      <w:r w:rsidR="00C925D3">
        <w:t>H</w:t>
      </w:r>
      <w:r w:rsidR="0042610C">
        <w:t>owever</w:t>
      </w:r>
      <w:r w:rsidR="00C925D3">
        <w:t>,</w:t>
      </w:r>
      <w:r w:rsidR="00C925D3" w:rsidRPr="00C925D3">
        <w:t xml:space="preserve"> </w:t>
      </w:r>
      <w:r w:rsidR="00C925D3">
        <w:t>it must credit the defendant</w:t>
      </w:r>
      <w:r w:rsidR="0042610C">
        <w:t xml:space="preserve"> with any amount that remains due to the defendant at the date of cancellation. In view of the </w:t>
      </w:r>
      <w:r w:rsidR="00EF4BFC">
        <w:t>good</w:t>
      </w:r>
      <w:r w:rsidR="00C925D3">
        <w:t>s</w:t>
      </w:r>
      <w:r w:rsidR="00EF4BFC">
        <w:t xml:space="preserve"> being returned in October 2022 and the application for summary judgment being issued in May 2022, the calculation could not reasonably have taken proper account of s</w:t>
      </w:r>
      <w:r w:rsidR="00AB655D">
        <w:t xml:space="preserve">ection </w:t>
      </w:r>
      <w:r w:rsidR="00EF4BFC">
        <w:t>14</w:t>
      </w:r>
      <w:r w:rsidR="00323E7B">
        <w:t xml:space="preserve">(3) (a) and (b).  The amount claimed by the plaintiff cannot be correct as per the </w:t>
      </w:r>
      <w:r w:rsidR="008252A9">
        <w:t>plaintiff certificate of balance</w:t>
      </w:r>
      <w:r w:rsidR="00C925D3">
        <w:t xml:space="preserve">. It follows that </w:t>
      </w:r>
      <w:r w:rsidR="008252A9">
        <w:t>he defendant is entitled to a proper account</w:t>
      </w:r>
      <w:r w:rsidR="005E45A3">
        <w:t xml:space="preserve">ing and has reasonably entered a defence. </w:t>
      </w:r>
      <w:r w:rsidR="00584F0F">
        <w:t>I have noted also that the C</w:t>
      </w:r>
      <w:r w:rsidR="00C925D3">
        <w:t xml:space="preserve">onsumer </w:t>
      </w:r>
      <w:r w:rsidR="00584F0F">
        <w:t>P</w:t>
      </w:r>
      <w:r w:rsidR="00C925D3">
        <w:t xml:space="preserve">rotection </w:t>
      </w:r>
      <w:r w:rsidR="00584F0F">
        <w:t>A</w:t>
      </w:r>
      <w:r w:rsidR="00C925D3">
        <w:t>ct</w:t>
      </w:r>
      <w:r w:rsidR="00584F0F">
        <w:t xml:space="preserve"> ensures that a supplier does not unlawfully place a limitation on the rights of a consumer afforded to it by the C</w:t>
      </w:r>
      <w:r w:rsidR="00C925D3">
        <w:t xml:space="preserve">onsumer </w:t>
      </w:r>
      <w:r w:rsidR="00584F0F">
        <w:t>P</w:t>
      </w:r>
      <w:r w:rsidR="00C925D3">
        <w:t xml:space="preserve">rotection </w:t>
      </w:r>
      <w:r w:rsidR="00584F0F">
        <w:t>A</w:t>
      </w:r>
      <w:r w:rsidR="00C925D3">
        <w:t>ction</w:t>
      </w:r>
      <w:r w:rsidR="00584F0F">
        <w:t>. On the contrary, sections 51(a) and (b) of the C</w:t>
      </w:r>
      <w:r w:rsidR="00C925D3">
        <w:t xml:space="preserve">onsumer </w:t>
      </w:r>
      <w:r w:rsidR="00584F0F">
        <w:t>P</w:t>
      </w:r>
      <w:r w:rsidR="00C925D3">
        <w:t xml:space="preserve">rotection </w:t>
      </w:r>
      <w:r w:rsidR="00584F0F">
        <w:t>A</w:t>
      </w:r>
      <w:r w:rsidR="00C925D3">
        <w:t>ct</w:t>
      </w:r>
      <w:r w:rsidR="00584F0F">
        <w:t xml:space="preserve">,  provides specifically for what is known  as the ‘trumping </w:t>
      </w:r>
      <w:r w:rsidR="00AB655D">
        <w:t>provisions</w:t>
      </w:r>
      <w:r w:rsidR="00584F0F">
        <w:t>.</w:t>
      </w:r>
      <w:r w:rsidR="00584F0F">
        <w:rPr>
          <w:rStyle w:val="FootnoteReference"/>
        </w:rPr>
        <w:footnoteReference w:id="6"/>
      </w:r>
      <w:r w:rsidR="00584F0F">
        <w:t xml:space="preserve">  The purpose is to avoid contractual exclusion or limitation of the consumer's rights.</w:t>
      </w:r>
    </w:p>
    <w:p w14:paraId="3A17CFFD" w14:textId="2ADD52B7" w:rsidR="002A7944" w:rsidRDefault="00DB62A5" w:rsidP="00DB62A5">
      <w:pPr>
        <w:pStyle w:val="JudgmentNumbered"/>
        <w:numPr>
          <w:ilvl w:val="0"/>
          <w:numId w:val="0"/>
        </w:numPr>
        <w:ind w:left="567" w:hanging="567"/>
      </w:pPr>
      <w:r>
        <w:t>[1</w:t>
      </w:r>
      <w:r w:rsidR="00DC214E">
        <w:t>4</w:t>
      </w:r>
      <w:r>
        <w:t>]</w:t>
      </w:r>
      <w:r w:rsidR="001E4008">
        <w:tab/>
      </w:r>
      <w:r w:rsidR="006940E0">
        <w:t xml:space="preserve">The third defence raised by the </w:t>
      </w:r>
      <w:r w:rsidR="00C15439">
        <w:t>defendant was</w:t>
      </w:r>
      <w:r w:rsidR="0010653F">
        <w:t xml:space="preserve"> </w:t>
      </w:r>
      <w:r w:rsidR="00C15439">
        <w:t xml:space="preserve">that the </w:t>
      </w:r>
      <w:r w:rsidR="0010653F">
        <w:t>plaintiff received</w:t>
      </w:r>
      <w:r w:rsidR="00006F1C">
        <w:t xml:space="preserve"> only  the reversionary interest</w:t>
      </w:r>
      <w:r w:rsidR="00C925D3">
        <w:t>,</w:t>
      </w:r>
      <w:r w:rsidR="00006F1C">
        <w:t xml:space="preserve"> namely the defendant</w:t>
      </w:r>
      <w:r w:rsidR="00C925D3">
        <w:t>’s</w:t>
      </w:r>
      <w:r w:rsidR="00006F1C">
        <w:t xml:space="preserve"> </w:t>
      </w:r>
      <w:r w:rsidR="009345D2">
        <w:t>obligation to perform under the contract and not the</w:t>
      </w:r>
      <w:r w:rsidR="0010653F">
        <w:t xml:space="preserve"> </w:t>
      </w:r>
      <w:r w:rsidR="006854EE">
        <w:t>interest</w:t>
      </w:r>
      <w:r w:rsidR="0010653F">
        <w:t xml:space="preserve"> </w:t>
      </w:r>
      <w:r w:rsidR="00873CAC">
        <w:t>in the cessionary after the</w:t>
      </w:r>
      <w:r w:rsidR="0010653F">
        <w:t xml:space="preserve"> </w:t>
      </w:r>
      <w:r w:rsidR="001F51CE">
        <w:t>cedent satisfies the secured debt.</w:t>
      </w:r>
      <w:r w:rsidR="007113C5" w:rsidRPr="007113C5">
        <w:t xml:space="preserve"> </w:t>
      </w:r>
      <w:r w:rsidR="007113C5">
        <w:t>The extent of the rights vested does not extend to transferring ownership of the ceded right outrightly to the cessionary</w:t>
      </w:r>
      <w:r w:rsidR="0094584C">
        <w:t xml:space="preserve">. </w:t>
      </w:r>
      <w:r w:rsidR="00BC13EF">
        <w:t xml:space="preserve">On this basis </w:t>
      </w:r>
      <w:r w:rsidR="00C144B6">
        <w:t xml:space="preserve">the defendant avers that the </w:t>
      </w:r>
      <w:r w:rsidR="00D664B3">
        <w:t>p</w:t>
      </w:r>
      <w:r w:rsidR="00C144B6">
        <w:t xml:space="preserve">laintiff </w:t>
      </w:r>
      <w:r w:rsidR="00D664B3">
        <w:t xml:space="preserve">has not set out </w:t>
      </w:r>
      <w:r w:rsidR="00C144B6">
        <w:t>in full the indebtedness</w:t>
      </w:r>
      <w:r w:rsidR="002724ED">
        <w:t xml:space="preserve">. </w:t>
      </w:r>
      <w:r w:rsidR="00EB6980">
        <w:t xml:space="preserve">It has not set out </w:t>
      </w:r>
      <w:r w:rsidR="00C144B6">
        <w:t xml:space="preserve">on what basis the purported cession entitles it to recover contractual damages arising out of the </w:t>
      </w:r>
      <w:r w:rsidR="00912C5F">
        <w:t>a</w:t>
      </w:r>
      <w:r w:rsidR="00C144B6">
        <w:t>greement.</w:t>
      </w:r>
      <w:r w:rsidR="00912C5F">
        <w:t xml:space="preserve"> She</w:t>
      </w:r>
      <w:r w:rsidR="00EB6980">
        <w:t xml:space="preserve"> </w:t>
      </w:r>
      <w:r w:rsidR="00E30C5B">
        <w:t xml:space="preserve">contends she </w:t>
      </w:r>
      <w:r w:rsidR="00EB6980">
        <w:t xml:space="preserve"> has </w:t>
      </w:r>
      <w:r w:rsidR="00E30C5B">
        <w:t>no knowledge of the cession by the cedent to the plaintiff</w:t>
      </w:r>
      <w:r w:rsidR="00584F5D">
        <w:t xml:space="preserve">. The plaintiff is required </w:t>
      </w:r>
      <w:r w:rsidR="00E30C5B">
        <w:t>to the pro</w:t>
      </w:r>
      <w:r w:rsidR="00584F5D">
        <w:t>ve the cession and the extent thereof</w:t>
      </w:r>
      <w:r w:rsidR="00E30C5B">
        <w:t xml:space="preserve">. </w:t>
      </w:r>
      <w:r w:rsidR="00AB655D">
        <w:t>Moreover,</w:t>
      </w:r>
      <w:r w:rsidR="0099254E">
        <w:t xml:space="preserve"> she </w:t>
      </w:r>
      <w:r w:rsidR="00566D77">
        <w:t xml:space="preserve">states that she was not </w:t>
      </w:r>
      <w:r w:rsidR="00E30C5B">
        <w:t xml:space="preserve">notified of </w:t>
      </w:r>
      <w:r w:rsidR="00E30C5B">
        <w:lastRenderedPageBreak/>
        <w:t>the cession and that she, without knowledge of the cession, continued to tend to its obligations in attempt to discharge of her indebtedness.</w:t>
      </w:r>
    </w:p>
    <w:p w14:paraId="297E01FB" w14:textId="54D2ED2D" w:rsidR="007D35C8" w:rsidRDefault="00CD09C7" w:rsidP="00CD09C7">
      <w:pPr>
        <w:pStyle w:val="JudgmentNumbered"/>
        <w:numPr>
          <w:ilvl w:val="0"/>
          <w:numId w:val="0"/>
        </w:numPr>
        <w:ind w:left="567" w:hanging="567"/>
      </w:pPr>
      <w:r>
        <w:t>[15]</w:t>
      </w:r>
      <w:r>
        <w:tab/>
        <w:t xml:space="preserve">I am satisfied that the defendant has raised defences </w:t>
      </w:r>
      <w:r w:rsidR="00470D35">
        <w:t xml:space="preserve">which </w:t>
      </w:r>
      <w:r w:rsidR="00BC5E92">
        <w:t xml:space="preserve">are </w:t>
      </w:r>
      <w:r w:rsidR="00BC5E92" w:rsidRPr="00AB655D">
        <w:rPr>
          <w:i/>
          <w:iCs/>
        </w:rPr>
        <w:t>bona fide</w:t>
      </w:r>
      <w:r w:rsidR="00BC5E92">
        <w:t xml:space="preserve"> </w:t>
      </w:r>
      <w:r w:rsidR="007E2818">
        <w:t xml:space="preserve">and good in law and </w:t>
      </w:r>
      <w:r>
        <w:t>there is a reasonable possibility that the defences she advanced may succeed at trial</w:t>
      </w:r>
      <w:r w:rsidR="00C30839">
        <w:t>.</w:t>
      </w:r>
      <w:r>
        <w:t xml:space="preserve">  </w:t>
      </w:r>
    </w:p>
    <w:p w14:paraId="561C3040" w14:textId="3FFA898D" w:rsidR="00CD09C7" w:rsidRDefault="007D35C8" w:rsidP="00CD09C7">
      <w:pPr>
        <w:pStyle w:val="JudgmentNumbered"/>
        <w:numPr>
          <w:ilvl w:val="0"/>
          <w:numId w:val="0"/>
        </w:numPr>
        <w:ind w:left="567" w:hanging="567"/>
      </w:pPr>
      <w:r>
        <w:t>[1</w:t>
      </w:r>
      <w:r w:rsidR="00AB1C04">
        <w:t>6</w:t>
      </w:r>
      <w:r>
        <w:t>]</w:t>
      </w:r>
      <w:r>
        <w:tab/>
      </w:r>
      <w:r w:rsidR="00AB1C04">
        <w:t>Consequently</w:t>
      </w:r>
      <w:r w:rsidR="00C817E7">
        <w:t>,</w:t>
      </w:r>
      <w:r w:rsidR="00AB1C04">
        <w:t xml:space="preserve"> I make the following order:</w:t>
      </w:r>
      <w:r w:rsidR="00CD09C7">
        <w:t xml:space="preserve"> </w:t>
      </w:r>
    </w:p>
    <w:p w14:paraId="791E73F8" w14:textId="77777777" w:rsidR="00A83A79" w:rsidRDefault="00A83A79" w:rsidP="007D35C8">
      <w:pPr>
        <w:pStyle w:val="JudgmentHeading"/>
        <w:ind w:firstLine="567"/>
      </w:pPr>
      <w:r w:rsidRPr="007D35C8">
        <w:t>Order</w:t>
      </w:r>
    </w:p>
    <w:p w14:paraId="4D40D155" w14:textId="3AE1BA54" w:rsidR="00DD2854" w:rsidRDefault="00DD2854" w:rsidP="00C817E7">
      <w:pPr>
        <w:pStyle w:val="JudgmentNumbered"/>
        <w:numPr>
          <w:ilvl w:val="0"/>
          <w:numId w:val="0"/>
        </w:numPr>
        <w:ind w:left="567"/>
      </w:pPr>
      <w:r>
        <w:t xml:space="preserve">The application </w:t>
      </w:r>
      <w:r w:rsidR="00B84E03">
        <w:t xml:space="preserve">for summary judgment </w:t>
      </w:r>
      <w:r>
        <w:t xml:space="preserve">is dismissed </w:t>
      </w:r>
      <w:r w:rsidR="00B84E03">
        <w:t>with costs.</w:t>
      </w:r>
    </w:p>
    <w:p w14:paraId="77AFF72E" w14:textId="77777777" w:rsidR="00A43310" w:rsidRDefault="00A43310" w:rsidP="00C817E7">
      <w:pPr>
        <w:pStyle w:val="JudgmentNumbered"/>
        <w:numPr>
          <w:ilvl w:val="0"/>
          <w:numId w:val="0"/>
        </w:numPr>
        <w:ind w:left="567"/>
      </w:pPr>
    </w:p>
    <w:p w14:paraId="5249776C" w14:textId="77777777" w:rsidR="00A43310" w:rsidRDefault="00A43310" w:rsidP="00C817E7">
      <w:pPr>
        <w:pStyle w:val="JudgmentNumbered"/>
        <w:numPr>
          <w:ilvl w:val="0"/>
          <w:numId w:val="0"/>
        </w:numPr>
        <w:ind w:left="567"/>
      </w:pPr>
    </w:p>
    <w:p w14:paraId="77F22AD4"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2061FF0E" w14:textId="1B1306F6" w:rsidR="002B448C" w:rsidRDefault="00C51E6F" w:rsidP="00EB01DA">
      <w:pPr>
        <w:pStyle w:val="JudgmentNumbered"/>
        <w:numPr>
          <w:ilvl w:val="0"/>
          <w:numId w:val="0"/>
        </w:numPr>
        <w:spacing w:after="0"/>
        <w:ind w:left="567" w:hanging="567"/>
        <w:jc w:val="right"/>
        <w:rPr>
          <w:b/>
        </w:rPr>
      </w:pPr>
      <w:r>
        <w:rPr>
          <w:b/>
        </w:rPr>
        <w:t>SC MIA</w:t>
      </w:r>
    </w:p>
    <w:p w14:paraId="6A826F42"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28F33981" w14:textId="77777777" w:rsidR="00EB01DA" w:rsidRDefault="002B448C" w:rsidP="00EB01DA">
      <w:pPr>
        <w:pStyle w:val="JudgmentNumbered"/>
        <w:numPr>
          <w:ilvl w:val="0"/>
          <w:numId w:val="0"/>
        </w:numPr>
        <w:spacing w:after="0"/>
        <w:ind w:left="567" w:hanging="567"/>
        <w:jc w:val="right"/>
        <w:rPr>
          <w:b/>
        </w:rPr>
        <w:sectPr w:rsidR="00EB01DA">
          <w:pgSz w:w="11906" w:h="16838"/>
          <w:pgMar w:top="1440" w:right="1440" w:bottom="1440" w:left="1440" w:header="708" w:footer="708" w:gutter="0"/>
          <w:cols w:space="708"/>
          <w:docGrid w:linePitch="360"/>
        </w:sectPr>
      </w:pPr>
      <w:r>
        <w:rPr>
          <w:b/>
        </w:rPr>
        <w:t>JOHANNESBURG</w:t>
      </w:r>
    </w:p>
    <w:p w14:paraId="15F1CD60" w14:textId="77777777" w:rsidR="00EB01DA" w:rsidRDefault="00EB01DA" w:rsidP="00EB01DA">
      <w:pPr>
        <w:pStyle w:val="JudgmentNumbered"/>
        <w:numPr>
          <w:ilvl w:val="0"/>
          <w:numId w:val="0"/>
        </w:numPr>
        <w:spacing w:after="0"/>
        <w:ind w:left="567" w:hanging="567"/>
        <w:jc w:val="right"/>
        <w:rPr>
          <w:b/>
        </w:rPr>
        <w:sectPr w:rsidR="00EB01DA" w:rsidSect="00EB01DA">
          <w:type w:val="continuous"/>
          <w:pgSz w:w="11906" w:h="16838"/>
          <w:pgMar w:top="1440" w:right="1440" w:bottom="1440" w:left="1440" w:header="708" w:footer="708" w:gutter="0"/>
          <w:cols w:space="708"/>
          <w:docGrid w:linePitch="360"/>
        </w:sectPr>
      </w:pPr>
    </w:p>
    <w:p w14:paraId="15188BC6" w14:textId="77777777" w:rsidR="00012B1C" w:rsidRPr="003673B7" w:rsidRDefault="00012B1C" w:rsidP="00012B1C">
      <w:pPr>
        <w:spacing w:after="0" w:line="240" w:lineRule="auto"/>
        <w:ind w:left="0"/>
        <w:rPr>
          <w:rFonts w:eastAsia="Times New Roman" w:cs="Arial"/>
          <w:szCs w:val="24"/>
          <w:lang w:val="en-ZA"/>
        </w:rPr>
      </w:pPr>
      <w:r w:rsidRPr="003673B7">
        <w:rPr>
          <w:rFonts w:eastAsia="Times New Roman" w:cs="Arial"/>
          <w:szCs w:val="24"/>
          <w:lang w:val="en-ZA"/>
        </w:rPr>
        <w:lastRenderedPageBreak/>
        <w:t>For the Applicant:</w:t>
      </w:r>
    </w:p>
    <w:p w14:paraId="69B6EC91" w14:textId="77777777" w:rsidR="00012B1C" w:rsidRPr="003673B7" w:rsidRDefault="00012B1C" w:rsidP="00012B1C">
      <w:pPr>
        <w:spacing w:after="0" w:line="240" w:lineRule="auto"/>
        <w:ind w:left="0"/>
        <w:rPr>
          <w:rFonts w:eastAsia="Times New Roman" w:cs="Arial"/>
          <w:szCs w:val="24"/>
          <w:lang w:val="en-ZA"/>
        </w:rPr>
      </w:pPr>
    </w:p>
    <w:p w14:paraId="299E5503" w14:textId="77777777" w:rsidR="00012B1C" w:rsidRPr="003673B7" w:rsidRDefault="00012B1C" w:rsidP="00012B1C">
      <w:pPr>
        <w:spacing w:after="0" w:line="240" w:lineRule="auto"/>
        <w:ind w:left="0"/>
        <w:rPr>
          <w:rFonts w:eastAsia="Times New Roman" w:cs="Arial"/>
          <w:szCs w:val="24"/>
          <w:lang w:val="en-ZA"/>
        </w:rPr>
      </w:pPr>
    </w:p>
    <w:p w14:paraId="3A3021DE" w14:textId="77777777" w:rsidR="00012B1C" w:rsidRPr="003673B7" w:rsidRDefault="00012B1C" w:rsidP="00012B1C">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639009F4" w14:textId="7BF4D79D" w:rsidR="00012B1C" w:rsidRDefault="00012B1C" w:rsidP="00012B1C">
      <w:pPr>
        <w:spacing w:after="0" w:line="240" w:lineRule="auto"/>
        <w:ind w:left="0"/>
        <w:rPr>
          <w:rFonts w:eastAsia="Times New Roman" w:cs="Arial"/>
          <w:szCs w:val="24"/>
          <w:lang w:val="en-ZA"/>
        </w:rPr>
      </w:pPr>
      <w:r w:rsidRPr="003673B7">
        <w:rPr>
          <w:rFonts w:eastAsia="Times New Roman" w:cs="Arial"/>
          <w:szCs w:val="24"/>
          <w:lang w:val="en-ZA"/>
        </w:rPr>
        <w:br w:type="column"/>
      </w:r>
      <w:r>
        <w:rPr>
          <w:rFonts w:eastAsia="Times New Roman" w:cs="Arial"/>
          <w:szCs w:val="24"/>
          <w:lang w:val="en-ZA"/>
        </w:rPr>
        <w:lastRenderedPageBreak/>
        <w:t xml:space="preserve">Adv. </w:t>
      </w:r>
      <w:r>
        <w:t xml:space="preserve">J G Botha </w:t>
      </w:r>
    </w:p>
    <w:p w14:paraId="27DABA59" w14:textId="630DA3B0" w:rsidR="00012B1C" w:rsidRPr="003673B7" w:rsidRDefault="00012B1C" w:rsidP="00012B1C">
      <w:pPr>
        <w:spacing w:after="0" w:line="240" w:lineRule="auto"/>
        <w:ind w:left="0"/>
        <w:rPr>
          <w:rFonts w:eastAsia="Times New Roman" w:cs="Arial"/>
          <w:szCs w:val="24"/>
          <w:lang w:val="en-ZA"/>
        </w:rPr>
      </w:pPr>
      <w:r w:rsidRPr="003673B7">
        <w:rPr>
          <w:rFonts w:eastAsia="Times New Roman" w:cs="Arial"/>
          <w:szCs w:val="24"/>
          <w:lang w:val="en-ZA"/>
        </w:rPr>
        <w:t xml:space="preserve">instructed by </w:t>
      </w:r>
      <w:r w:rsidR="005169B0">
        <w:rPr>
          <w:rFonts w:eastAsia="Times New Roman" w:cs="Arial"/>
          <w:szCs w:val="24"/>
          <w:lang w:val="en-ZA"/>
        </w:rPr>
        <w:t>ODBB INC.</w:t>
      </w:r>
    </w:p>
    <w:p w14:paraId="0D2BA09B" w14:textId="77777777" w:rsidR="00012B1C" w:rsidRPr="003673B7" w:rsidRDefault="00012B1C" w:rsidP="00012B1C">
      <w:pPr>
        <w:spacing w:after="0" w:line="240" w:lineRule="auto"/>
        <w:ind w:left="0"/>
        <w:rPr>
          <w:rFonts w:eastAsia="Times New Roman" w:cs="Arial"/>
          <w:szCs w:val="24"/>
          <w:lang w:val="en-ZA"/>
        </w:rPr>
      </w:pPr>
    </w:p>
    <w:p w14:paraId="5DBD1D98" w14:textId="268D761E" w:rsidR="00012B1C" w:rsidRDefault="00012B1C" w:rsidP="00012B1C">
      <w:pPr>
        <w:spacing w:after="0" w:line="240" w:lineRule="auto"/>
        <w:ind w:left="0"/>
        <w:rPr>
          <w:rFonts w:eastAsia="Times New Roman" w:cs="Arial"/>
          <w:szCs w:val="24"/>
          <w:lang w:val="en-ZA"/>
        </w:rPr>
      </w:pPr>
      <w:r>
        <w:t xml:space="preserve">Adv. N. </w:t>
      </w:r>
      <w:r w:rsidR="00F35C90">
        <w:t>Moyo</w:t>
      </w:r>
      <w:r w:rsidRPr="003673B7">
        <w:rPr>
          <w:rFonts w:eastAsia="Times New Roman" w:cs="Arial"/>
          <w:szCs w:val="24"/>
          <w:lang w:val="en-ZA"/>
        </w:rPr>
        <w:t xml:space="preserve"> </w:t>
      </w:r>
    </w:p>
    <w:p w14:paraId="3B252E67" w14:textId="5AA1ED7F" w:rsidR="00012B1C" w:rsidRDefault="00012B1C" w:rsidP="00012B1C">
      <w:pPr>
        <w:spacing w:after="0" w:line="240" w:lineRule="auto"/>
        <w:ind w:left="0"/>
        <w:rPr>
          <w:rFonts w:eastAsia="Times New Roman" w:cs="Arial"/>
          <w:szCs w:val="24"/>
          <w:lang w:val="en-ZA"/>
        </w:rPr>
      </w:pPr>
      <w:r w:rsidRPr="003673B7">
        <w:rPr>
          <w:rFonts w:eastAsia="Times New Roman" w:cs="Arial"/>
          <w:szCs w:val="24"/>
          <w:lang w:val="en-ZA"/>
        </w:rPr>
        <w:t xml:space="preserve">instructed by </w:t>
      </w:r>
      <w:r w:rsidR="00F35C90">
        <w:rPr>
          <w:rFonts w:eastAsia="Times New Roman" w:cs="Arial"/>
          <w:szCs w:val="24"/>
          <w:lang w:val="en-ZA"/>
        </w:rPr>
        <w:t xml:space="preserve">Africa and Associates </w:t>
      </w:r>
      <w:r>
        <w:rPr>
          <w:rFonts w:eastAsia="Times New Roman" w:cs="Arial"/>
          <w:szCs w:val="24"/>
          <w:lang w:val="en-ZA"/>
        </w:rPr>
        <w:t xml:space="preserve"> </w:t>
      </w:r>
    </w:p>
    <w:p w14:paraId="1C720B9F" w14:textId="77777777" w:rsidR="00012B1C" w:rsidRDefault="00012B1C" w:rsidP="00012B1C">
      <w:pPr>
        <w:pStyle w:val="JudgmentNumbered"/>
        <w:numPr>
          <w:ilvl w:val="0"/>
          <w:numId w:val="0"/>
        </w:numPr>
        <w:ind w:left="567" w:hanging="567"/>
        <w:rPr>
          <w:lang w:val="en-ZA"/>
        </w:rPr>
      </w:pPr>
    </w:p>
    <w:p w14:paraId="5E34A34F" w14:textId="00ECD074" w:rsidR="00012B1C" w:rsidRDefault="00012B1C" w:rsidP="00012B1C">
      <w:pPr>
        <w:pStyle w:val="JudgmentNumbered"/>
        <w:numPr>
          <w:ilvl w:val="0"/>
          <w:numId w:val="0"/>
        </w:numPr>
        <w:ind w:left="567" w:hanging="567"/>
        <w:rPr>
          <w:lang w:val="en-ZA"/>
        </w:rPr>
      </w:pPr>
      <w:r>
        <w:rPr>
          <w:lang w:val="en-ZA"/>
        </w:rPr>
        <w:t>Heard:</w:t>
      </w:r>
      <w:r w:rsidR="00D1623E">
        <w:rPr>
          <w:lang w:val="en-ZA"/>
        </w:rPr>
        <w:t xml:space="preserve"> 30 January 2023</w:t>
      </w:r>
    </w:p>
    <w:p w14:paraId="206DF375" w14:textId="40D215D7" w:rsidR="002B448C" w:rsidRPr="003673B7" w:rsidRDefault="00012B1C" w:rsidP="00012B1C">
      <w:pPr>
        <w:spacing w:after="0" w:line="240" w:lineRule="auto"/>
        <w:ind w:left="0"/>
        <w:rPr>
          <w:rFonts w:cs="Arial"/>
          <w:b/>
          <w:szCs w:val="24"/>
        </w:rPr>
      </w:pPr>
      <w:r>
        <w:rPr>
          <w:lang w:val="en-ZA"/>
        </w:rPr>
        <w:t>Delivered</w:t>
      </w:r>
      <w:r w:rsidR="0084437C">
        <w:rPr>
          <w:lang w:val="en-ZA"/>
        </w:rPr>
        <w:t>:</w:t>
      </w:r>
      <w:r w:rsidR="00A43310">
        <w:rPr>
          <w:lang w:val="en-ZA"/>
        </w:rPr>
        <w:t xml:space="preserve"> 2</w:t>
      </w:r>
      <w:r w:rsidR="00B940EC">
        <w:rPr>
          <w:lang w:val="en-ZA"/>
        </w:rPr>
        <w:t>6 June 2023</w:t>
      </w:r>
    </w:p>
    <w:sectPr w:rsidR="002B448C" w:rsidRPr="003673B7"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8B045" w14:textId="77777777" w:rsidR="008230E4" w:rsidRDefault="008230E4" w:rsidP="001D54F6">
      <w:pPr>
        <w:spacing w:after="0" w:line="240" w:lineRule="auto"/>
      </w:pPr>
      <w:r>
        <w:separator/>
      </w:r>
    </w:p>
  </w:endnote>
  <w:endnote w:type="continuationSeparator" w:id="0">
    <w:p w14:paraId="704383B7" w14:textId="77777777" w:rsidR="008230E4" w:rsidRDefault="008230E4" w:rsidP="001D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0FBA3" w14:textId="77777777" w:rsidR="008230E4" w:rsidRDefault="008230E4" w:rsidP="001D54F6">
      <w:pPr>
        <w:spacing w:after="0" w:line="240" w:lineRule="auto"/>
      </w:pPr>
      <w:r>
        <w:separator/>
      </w:r>
    </w:p>
  </w:footnote>
  <w:footnote w:type="continuationSeparator" w:id="0">
    <w:p w14:paraId="34D36773" w14:textId="77777777" w:rsidR="008230E4" w:rsidRDefault="008230E4" w:rsidP="001D54F6">
      <w:pPr>
        <w:spacing w:after="0" w:line="240" w:lineRule="auto"/>
      </w:pPr>
      <w:r>
        <w:continuationSeparator/>
      </w:r>
    </w:p>
  </w:footnote>
  <w:footnote w:id="1">
    <w:p w14:paraId="5E71413B" w14:textId="00B60056" w:rsidR="00AB42CA" w:rsidRPr="00AB42CA" w:rsidRDefault="00AB42CA">
      <w:pPr>
        <w:pStyle w:val="FootnoteText"/>
        <w:rPr>
          <w:lang w:val="en-ZA"/>
        </w:rPr>
      </w:pPr>
      <w:r>
        <w:rPr>
          <w:rStyle w:val="FootnoteReference"/>
        </w:rPr>
        <w:footnoteRef/>
      </w:r>
      <w:r>
        <w:t xml:space="preserve"> Record</w:t>
      </w:r>
      <w:r w:rsidR="0099047E">
        <w:t>,</w:t>
      </w:r>
      <w:r>
        <w:t xml:space="preserve"> </w:t>
      </w:r>
      <w:r w:rsidR="0099047E">
        <w:t>C</w:t>
      </w:r>
      <w:r>
        <w:t>aselines</w:t>
      </w:r>
      <w:r w:rsidR="0099047E">
        <w:t xml:space="preserve"> 001-45, </w:t>
      </w:r>
      <w:r>
        <w:t xml:space="preserve"> P</w:t>
      </w:r>
      <w:r w:rsidR="0099047E">
        <w:t xml:space="preserve">articulars </w:t>
      </w:r>
      <w:r w:rsidR="00AB655D">
        <w:t>of</w:t>
      </w:r>
      <w:r w:rsidR="0099047E">
        <w:t xml:space="preserve"> Claim</w:t>
      </w:r>
      <w:r>
        <w:t xml:space="preserve">, Annexure “SAS2”, clause 3.1 </w:t>
      </w:r>
    </w:p>
  </w:footnote>
  <w:footnote w:id="2">
    <w:p w14:paraId="643C254A" w14:textId="7B452B47" w:rsidR="006F1E5F" w:rsidRPr="006F1E5F" w:rsidRDefault="006F1E5F">
      <w:pPr>
        <w:pStyle w:val="FootnoteText"/>
        <w:rPr>
          <w:lang w:val="en-ZA"/>
        </w:rPr>
      </w:pPr>
      <w:r>
        <w:rPr>
          <w:rStyle w:val="FootnoteReference"/>
        </w:rPr>
        <w:footnoteRef/>
      </w:r>
      <w:r>
        <w:t xml:space="preserve">Delegation is a form of novation by which, by tri-partite agreement, between all concerned, a third party is introduced as debtor in substitution of the original debtor, who is discharged. (See: Van Achterberg v Walters 1950 (3) SA 734 (T) at 745; Jacobz v Fall 1981 (2) SA 863 (C) at 868G to 869H.) </w:t>
      </w:r>
    </w:p>
  </w:footnote>
  <w:footnote w:id="3">
    <w:p w14:paraId="71A461C2" w14:textId="09EAAD36" w:rsidR="009B3AA6" w:rsidRPr="009B3AA6" w:rsidRDefault="009B3AA6">
      <w:pPr>
        <w:pStyle w:val="FootnoteText"/>
        <w:rPr>
          <w:lang w:val="en-ZA"/>
        </w:rPr>
      </w:pPr>
      <w:r>
        <w:rPr>
          <w:rStyle w:val="FootnoteReference"/>
        </w:rPr>
        <w:footnoteRef/>
      </w:r>
      <w:r>
        <w:t xml:space="preserve"> Cession involves a substitution of a new creditor (the cessionary) for the original creditor (the cedent), the debtor remaining the same. Cession is sometimes described as a form of novation but differs from novation in not requiring consent of the debtor and in not resulting in a new contract to replace the existing one. See Christie’s Law of Contract in South Africa (7th Edition) at page 537. Assignment is generally used in our law to denote a transfer of both rights and obligations. Stepping into another’s shoes involves acquiring its rights which can be done by cession without the debtor’s consent, and undertaking its obligations, which can be done by delegation with the creditor’s consent. Since the lesser is included in the greater, it follows that the whole process of substitution cannot take place without the consent of the other party to the contract, which consent may be given in advance. See Christie </w:t>
      </w:r>
      <w:r w:rsidR="0062320D">
        <w:t>above</w:t>
      </w:r>
      <w:r>
        <w:t xml:space="preserve"> at page 546.</w:t>
      </w:r>
    </w:p>
  </w:footnote>
  <w:footnote w:id="4">
    <w:p w14:paraId="477D3332" w14:textId="4C10E8FB" w:rsidR="001D54F6" w:rsidRPr="008B0EE0" w:rsidRDefault="001D54F6">
      <w:pPr>
        <w:pStyle w:val="FootnoteText"/>
        <w:rPr>
          <w:sz w:val="18"/>
          <w:szCs w:val="18"/>
          <w:lang w:val="en-ZA"/>
        </w:rPr>
      </w:pPr>
      <w:r w:rsidRPr="008B0EE0">
        <w:rPr>
          <w:rStyle w:val="FootnoteReference"/>
          <w:sz w:val="18"/>
          <w:szCs w:val="18"/>
        </w:rPr>
        <w:footnoteRef/>
      </w:r>
      <w:r w:rsidR="0001728A" w:rsidRPr="008B0EE0">
        <w:rPr>
          <w:sz w:val="18"/>
          <w:szCs w:val="18"/>
        </w:rPr>
        <w:t>1976 (1) SA 418 (A) at 426 A-D</w:t>
      </w:r>
      <w:r w:rsidRPr="008B0EE0">
        <w:rPr>
          <w:sz w:val="18"/>
          <w:szCs w:val="18"/>
        </w:rPr>
        <w:t xml:space="preserve"> </w:t>
      </w:r>
    </w:p>
  </w:footnote>
  <w:footnote w:id="5">
    <w:p w14:paraId="5C81D232" w14:textId="13CF972A" w:rsidR="00400854" w:rsidRPr="00124546" w:rsidRDefault="00400854">
      <w:pPr>
        <w:pStyle w:val="FootnoteText"/>
        <w:rPr>
          <w:sz w:val="18"/>
          <w:szCs w:val="18"/>
          <w:lang w:val="en-ZA"/>
        </w:rPr>
      </w:pPr>
      <w:r w:rsidRPr="008B0EE0">
        <w:rPr>
          <w:rStyle w:val="FootnoteReference"/>
          <w:sz w:val="18"/>
          <w:szCs w:val="18"/>
        </w:rPr>
        <w:footnoteRef/>
      </w:r>
      <w:r w:rsidRPr="008B0EE0">
        <w:rPr>
          <w:sz w:val="18"/>
          <w:szCs w:val="18"/>
        </w:rPr>
        <w:t xml:space="preserve"> </w:t>
      </w:r>
      <w:r w:rsidRPr="00124546">
        <w:rPr>
          <w:sz w:val="18"/>
          <w:szCs w:val="18"/>
        </w:rPr>
        <w:t>Breitenbach v Fiat SA (Edms) Bpk 1976 (2) SA 226 (T); He &amp; She Investments (Pty) Ltd v Brand NO 2019 (5) SA 492 (WCC) at 497B</w:t>
      </w:r>
    </w:p>
  </w:footnote>
  <w:footnote w:id="6">
    <w:p w14:paraId="76F47B03" w14:textId="77777777" w:rsidR="00584F0F" w:rsidRPr="00124546" w:rsidRDefault="00584F0F" w:rsidP="00584F0F">
      <w:pPr>
        <w:pStyle w:val="FootnoteText"/>
        <w:rPr>
          <w:sz w:val="18"/>
          <w:szCs w:val="18"/>
        </w:rPr>
      </w:pPr>
      <w:r w:rsidRPr="00124546">
        <w:rPr>
          <w:rStyle w:val="FootnoteReference"/>
          <w:sz w:val="18"/>
          <w:szCs w:val="18"/>
        </w:rPr>
        <w:footnoteRef/>
      </w:r>
      <w:r w:rsidRPr="00124546">
        <w:rPr>
          <w:sz w:val="18"/>
          <w:szCs w:val="18"/>
        </w:rPr>
        <w:t xml:space="preserve"> 51 Prohibited transactions, agreements, terms or conditions </w:t>
      </w:r>
    </w:p>
    <w:p w14:paraId="1C2012C9" w14:textId="77777777" w:rsidR="00584F0F" w:rsidRPr="00124546" w:rsidRDefault="00584F0F" w:rsidP="00584F0F">
      <w:pPr>
        <w:pStyle w:val="FootnoteText"/>
        <w:rPr>
          <w:sz w:val="18"/>
          <w:szCs w:val="18"/>
        </w:rPr>
      </w:pPr>
      <w:r w:rsidRPr="00124546">
        <w:rPr>
          <w:sz w:val="18"/>
          <w:szCs w:val="18"/>
        </w:rPr>
        <w:t xml:space="preserve">(1) A supplier must not make a transaction or agreement subject to any term or condition if— </w:t>
      </w:r>
    </w:p>
    <w:p w14:paraId="157D63B1" w14:textId="77777777" w:rsidR="00584F0F" w:rsidRPr="00124546" w:rsidRDefault="00584F0F" w:rsidP="00584F0F">
      <w:pPr>
        <w:pStyle w:val="FootnoteText"/>
        <w:rPr>
          <w:sz w:val="18"/>
          <w:szCs w:val="18"/>
        </w:rPr>
      </w:pPr>
      <w:r w:rsidRPr="00124546">
        <w:rPr>
          <w:sz w:val="18"/>
          <w:szCs w:val="18"/>
        </w:rPr>
        <w:t xml:space="preserve">(a) its general purpose or effect is to— </w:t>
      </w:r>
    </w:p>
    <w:p w14:paraId="06663966" w14:textId="77777777" w:rsidR="00584F0F" w:rsidRPr="00124546" w:rsidRDefault="00584F0F" w:rsidP="00584F0F">
      <w:pPr>
        <w:pStyle w:val="FootnoteText"/>
        <w:ind w:left="981" w:firstLine="153"/>
        <w:rPr>
          <w:sz w:val="18"/>
          <w:szCs w:val="18"/>
        </w:rPr>
      </w:pPr>
      <w:r w:rsidRPr="00124546">
        <w:rPr>
          <w:sz w:val="18"/>
          <w:szCs w:val="18"/>
        </w:rPr>
        <w:t xml:space="preserve">(i) defeat the purposes and policy of this Act; </w:t>
      </w:r>
    </w:p>
    <w:p w14:paraId="1AB4A518" w14:textId="77777777" w:rsidR="00584F0F" w:rsidRPr="00124546" w:rsidRDefault="00584F0F" w:rsidP="00584F0F">
      <w:pPr>
        <w:pStyle w:val="FootnoteText"/>
        <w:ind w:left="828" w:firstLine="306"/>
        <w:rPr>
          <w:sz w:val="18"/>
          <w:szCs w:val="18"/>
        </w:rPr>
      </w:pPr>
      <w:r w:rsidRPr="00124546">
        <w:rPr>
          <w:sz w:val="18"/>
          <w:szCs w:val="18"/>
        </w:rPr>
        <w:t xml:space="preserve">(ii) mislead or deceive the consumer; or </w:t>
      </w:r>
    </w:p>
    <w:p w14:paraId="1F2E558C" w14:textId="77777777" w:rsidR="00584F0F" w:rsidRPr="00124546" w:rsidRDefault="00584F0F" w:rsidP="00584F0F">
      <w:pPr>
        <w:pStyle w:val="FootnoteText"/>
        <w:ind w:left="981" w:firstLine="153"/>
        <w:rPr>
          <w:sz w:val="18"/>
          <w:szCs w:val="18"/>
        </w:rPr>
      </w:pPr>
      <w:r w:rsidRPr="00124546">
        <w:rPr>
          <w:sz w:val="18"/>
          <w:szCs w:val="18"/>
        </w:rPr>
        <w:t xml:space="preserve">(iii) subject the consumer to fraudulent conduct; </w:t>
      </w:r>
    </w:p>
    <w:p w14:paraId="4F94AECE" w14:textId="77777777" w:rsidR="00584F0F" w:rsidRPr="00124546" w:rsidRDefault="00584F0F" w:rsidP="00584F0F">
      <w:pPr>
        <w:pStyle w:val="FootnoteText"/>
        <w:rPr>
          <w:sz w:val="18"/>
          <w:szCs w:val="18"/>
        </w:rPr>
      </w:pPr>
      <w:r w:rsidRPr="00124546">
        <w:rPr>
          <w:sz w:val="18"/>
          <w:szCs w:val="18"/>
        </w:rPr>
        <w:t xml:space="preserve">(b) it directly or indirectly purports to— </w:t>
      </w:r>
    </w:p>
    <w:p w14:paraId="1602F19A" w14:textId="77777777" w:rsidR="00584F0F" w:rsidRPr="00124546" w:rsidRDefault="00584F0F" w:rsidP="00584F0F">
      <w:pPr>
        <w:pStyle w:val="FootnoteText"/>
        <w:ind w:left="1440"/>
        <w:rPr>
          <w:sz w:val="18"/>
          <w:szCs w:val="18"/>
        </w:rPr>
      </w:pPr>
      <w:r w:rsidRPr="00124546">
        <w:rPr>
          <w:sz w:val="18"/>
          <w:szCs w:val="18"/>
        </w:rPr>
        <w:t xml:space="preserve">(i) waive or deprive a consumer of a right in terms of this Act; </w:t>
      </w:r>
    </w:p>
    <w:p w14:paraId="09FB4F7B" w14:textId="77777777" w:rsidR="00584F0F" w:rsidRPr="00124546" w:rsidRDefault="00584F0F" w:rsidP="00584F0F">
      <w:pPr>
        <w:pStyle w:val="FootnoteText"/>
        <w:ind w:left="1440"/>
        <w:rPr>
          <w:sz w:val="18"/>
          <w:szCs w:val="18"/>
        </w:rPr>
      </w:pPr>
      <w:r w:rsidRPr="00124546">
        <w:rPr>
          <w:sz w:val="18"/>
          <w:szCs w:val="18"/>
        </w:rPr>
        <w:t xml:space="preserve">(ii) avoid a supplier’s obligation or duty in terms of this Act; </w:t>
      </w:r>
    </w:p>
    <w:p w14:paraId="0924CD72" w14:textId="77777777" w:rsidR="00584F0F" w:rsidRPr="00124546" w:rsidRDefault="00584F0F" w:rsidP="00584F0F">
      <w:pPr>
        <w:pStyle w:val="FootnoteText"/>
        <w:ind w:left="1287" w:firstLine="153"/>
        <w:rPr>
          <w:sz w:val="18"/>
          <w:szCs w:val="18"/>
        </w:rPr>
      </w:pPr>
      <w:r w:rsidRPr="00124546">
        <w:rPr>
          <w:sz w:val="18"/>
          <w:szCs w:val="18"/>
        </w:rPr>
        <w:t>(iii) set aside or override the effect of any provision of this Act; or</w:t>
      </w:r>
    </w:p>
    <w:p w14:paraId="63EA44E3" w14:textId="77777777" w:rsidR="00584F0F" w:rsidRPr="00124546" w:rsidRDefault="00584F0F" w:rsidP="00584F0F">
      <w:pPr>
        <w:pStyle w:val="FootnoteText"/>
        <w:rPr>
          <w:sz w:val="18"/>
          <w:szCs w:val="18"/>
        </w:rPr>
      </w:pPr>
      <w:r w:rsidRPr="00124546">
        <w:rPr>
          <w:sz w:val="18"/>
          <w:szCs w:val="18"/>
        </w:rPr>
        <w:t xml:space="preserve"> </w:t>
      </w:r>
      <w:r w:rsidRPr="00124546">
        <w:rPr>
          <w:sz w:val="18"/>
          <w:szCs w:val="18"/>
        </w:rPr>
        <w:tab/>
      </w:r>
      <w:r w:rsidRPr="00124546">
        <w:rPr>
          <w:sz w:val="18"/>
          <w:szCs w:val="18"/>
        </w:rPr>
        <w:tab/>
        <w:t xml:space="preserve">(iv) authorise the supplier to— </w:t>
      </w:r>
    </w:p>
    <w:p w14:paraId="2D619454" w14:textId="77777777" w:rsidR="00584F0F" w:rsidRPr="00124546" w:rsidRDefault="00584F0F" w:rsidP="00584F0F">
      <w:pPr>
        <w:pStyle w:val="FootnoteText"/>
        <w:ind w:left="1287" w:firstLine="153"/>
        <w:rPr>
          <w:sz w:val="18"/>
          <w:szCs w:val="18"/>
        </w:rPr>
      </w:pPr>
      <w:r w:rsidRPr="00124546">
        <w:rPr>
          <w:sz w:val="18"/>
          <w:szCs w:val="18"/>
        </w:rPr>
        <w:t xml:space="preserve">(aa) do anything that is unlawful in terms of this Act; or </w:t>
      </w:r>
    </w:p>
    <w:p w14:paraId="13842885" w14:textId="77777777" w:rsidR="00584F0F" w:rsidRPr="00124546" w:rsidRDefault="00584F0F" w:rsidP="00584F0F">
      <w:pPr>
        <w:pStyle w:val="FootnoteText"/>
        <w:rPr>
          <w:sz w:val="18"/>
          <w:szCs w:val="18"/>
          <w:lang w:val="en-ZA"/>
        </w:rPr>
      </w:pPr>
      <w:r w:rsidRPr="00124546">
        <w:rPr>
          <w:sz w:val="18"/>
          <w:szCs w:val="18"/>
        </w:rPr>
        <w:t>(bb) fail to do anything that is required in terms of this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0AA6C060"/>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ascii="Arial" w:eastAsiaTheme="minorHAnsi" w:hAnsi="Arial" w:cs="Arial"/>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5B"/>
    <w:rsid w:val="00006F1C"/>
    <w:rsid w:val="000116C4"/>
    <w:rsid w:val="00012B1C"/>
    <w:rsid w:val="00014DF1"/>
    <w:rsid w:val="0001728A"/>
    <w:rsid w:val="000266DC"/>
    <w:rsid w:val="000417EF"/>
    <w:rsid w:val="0005150A"/>
    <w:rsid w:val="0005442B"/>
    <w:rsid w:val="000575EA"/>
    <w:rsid w:val="00060ED0"/>
    <w:rsid w:val="00060FB3"/>
    <w:rsid w:val="00061F3E"/>
    <w:rsid w:val="00080CE3"/>
    <w:rsid w:val="00091EBA"/>
    <w:rsid w:val="000922B7"/>
    <w:rsid w:val="000B5381"/>
    <w:rsid w:val="000B75F9"/>
    <w:rsid w:val="000D5267"/>
    <w:rsid w:val="000D56F8"/>
    <w:rsid w:val="000E5639"/>
    <w:rsid w:val="000F1B3A"/>
    <w:rsid w:val="000F3B69"/>
    <w:rsid w:val="0010405B"/>
    <w:rsid w:val="0010653F"/>
    <w:rsid w:val="00124546"/>
    <w:rsid w:val="00127DA5"/>
    <w:rsid w:val="001328FE"/>
    <w:rsid w:val="00137B18"/>
    <w:rsid w:val="001617D0"/>
    <w:rsid w:val="00165BA2"/>
    <w:rsid w:val="00184B2A"/>
    <w:rsid w:val="00186FD0"/>
    <w:rsid w:val="00187FC3"/>
    <w:rsid w:val="001A6758"/>
    <w:rsid w:val="001B2360"/>
    <w:rsid w:val="001B40F2"/>
    <w:rsid w:val="001C3576"/>
    <w:rsid w:val="001C5042"/>
    <w:rsid w:val="001D03CA"/>
    <w:rsid w:val="001D24C8"/>
    <w:rsid w:val="001D54F6"/>
    <w:rsid w:val="001D57FB"/>
    <w:rsid w:val="001D79EC"/>
    <w:rsid w:val="001E4008"/>
    <w:rsid w:val="001F10F7"/>
    <w:rsid w:val="001F1A55"/>
    <w:rsid w:val="001F3EBC"/>
    <w:rsid w:val="001F4E8E"/>
    <w:rsid w:val="001F51CE"/>
    <w:rsid w:val="0020252D"/>
    <w:rsid w:val="00210415"/>
    <w:rsid w:val="002156B0"/>
    <w:rsid w:val="002175F4"/>
    <w:rsid w:val="00223944"/>
    <w:rsid w:val="00225E19"/>
    <w:rsid w:val="0022783F"/>
    <w:rsid w:val="002445F3"/>
    <w:rsid w:val="002573B0"/>
    <w:rsid w:val="002619CA"/>
    <w:rsid w:val="00263ED3"/>
    <w:rsid w:val="00267192"/>
    <w:rsid w:val="002724ED"/>
    <w:rsid w:val="002857E2"/>
    <w:rsid w:val="0028620F"/>
    <w:rsid w:val="002915A5"/>
    <w:rsid w:val="00291DC1"/>
    <w:rsid w:val="002954DE"/>
    <w:rsid w:val="002A2345"/>
    <w:rsid w:val="002A2748"/>
    <w:rsid w:val="002A2A19"/>
    <w:rsid w:val="002A3A57"/>
    <w:rsid w:val="002A76FC"/>
    <w:rsid w:val="002A7944"/>
    <w:rsid w:val="002B3DDF"/>
    <w:rsid w:val="002B448C"/>
    <w:rsid w:val="002D0953"/>
    <w:rsid w:val="002E1372"/>
    <w:rsid w:val="002E2836"/>
    <w:rsid w:val="002F50AA"/>
    <w:rsid w:val="00305243"/>
    <w:rsid w:val="00323C3C"/>
    <w:rsid w:val="00323E7B"/>
    <w:rsid w:val="003321D1"/>
    <w:rsid w:val="003334C1"/>
    <w:rsid w:val="003352C4"/>
    <w:rsid w:val="00360565"/>
    <w:rsid w:val="003628DE"/>
    <w:rsid w:val="003673B7"/>
    <w:rsid w:val="00373C4C"/>
    <w:rsid w:val="00376867"/>
    <w:rsid w:val="00386847"/>
    <w:rsid w:val="00390E53"/>
    <w:rsid w:val="00393B89"/>
    <w:rsid w:val="00396D0A"/>
    <w:rsid w:val="003A7279"/>
    <w:rsid w:val="003A7A98"/>
    <w:rsid w:val="003B0BEA"/>
    <w:rsid w:val="003B612A"/>
    <w:rsid w:val="003D3110"/>
    <w:rsid w:val="003E1AE5"/>
    <w:rsid w:val="003E2A9F"/>
    <w:rsid w:val="003E5C70"/>
    <w:rsid w:val="003E648B"/>
    <w:rsid w:val="003F1E2D"/>
    <w:rsid w:val="00400854"/>
    <w:rsid w:val="00403E30"/>
    <w:rsid w:val="004057FC"/>
    <w:rsid w:val="0042610C"/>
    <w:rsid w:val="00431521"/>
    <w:rsid w:val="0043365A"/>
    <w:rsid w:val="00434FEF"/>
    <w:rsid w:val="0044296B"/>
    <w:rsid w:val="004507BB"/>
    <w:rsid w:val="00456EE7"/>
    <w:rsid w:val="004574A8"/>
    <w:rsid w:val="00460986"/>
    <w:rsid w:val="00467FF7"/>
    <w:rsid w:val="004707B8"/>
    <w:rsid w:val="00470D35"/>
    <w:rsid w:val="004759C8"/>
    <w:rsid w:val="00476BEF"/>
    <w:rsid w:val="0048182B"/>
    <w:rsid w:val="004958AD"/>
    <w:rsid w:val="004A327E"/>
    <w:rsid w:val="004B254C"/>
    <w:rsid w:val="004B258D"/>
    <w:rsid w:val="004C5849"/>
    <w:rsid w:val="004E6D0D"/>
    <w:rsid w:val="004F5252"/>
    <w:rsid w:val="00507E2C"/>
    <w:rsid w:val="005169B0"/>
    <w:rsid w:val="005533AB"/>
    <w:rsid w:val="00555E69"/>
    <w:rsid w:val="005578F2"/>
    <w:rsid w:val="00566D77"/>
    <w:rsid w:val="00573FBC"/>
    <w:rsid w:val="00584F0F"/>
    <w:rsid w:val="00584F5D"/>
    <w:rsid w:val="00585D4E"/>
    <w:rsid w:val="00595262"/>
    <w:rsid w:val="005B2CC7"/>
    <w:rsid w:val="005C1111"/>
    <w:rsid w:val="005D2587"/>
    <w:rsid w:val="005E45A3"/>
    <w:rsid w:val="005E7F43"/>
    <w:rsid w:val="00604562"/>
    <w:rsid w:val="006077B8"/>
    <w:rsid w:val="00610612"/>
    <w:rsid w:val="00611E38"/>
    <w:rsid w:val="00617452"/>
    <w:rsid w:val="0062320D"/>
    <w:rsid w:val="006241A0"/>
    <w:rsid w:val="00630F2B"/>
    <w:rsid w:val="0064403F"/>
    <w:rsid w:val="00654CFC"/>
    <w:rsid w:val="006561D0"/>
    <w:rsid w:val="00665A80"/>
    <w:rsid w:val="00666A27"/>
    <w:rsid w:val="006678D4"/>
    <w:rsid w:val="00671DEF"/>
    <w:rsid w:val="00682CCF"/>
    <w:rsid w:val="006854EE"/>
    <w:rsid w:val="006940E0"/>
    <w:rsid w:val="006945DE"/>
    <w:rsid w:val="006A16B6"/>
    <w:rsid w:val="006D15C2"/>
    <w:rsid w:val="006E08C4"/>
    <w:rsid w:val="006F1E5F"/>
    <w:rsid w:val="006F3D67"/>
    <w:rsid w:val="0070239E"/>
    <w:rsid w:val="00703BAC"/>
    <w:rsid w:val="00703BF9"/>
    <w:rsid w:val="007113C5"/>
    <w:rsid w:val="007218E3"/>
    <w:rsid w:val="00724E2F"/>
    <w:rsid w:val="0073027C"/>
    <w:rsid w:val="00742C56"/>
    <w:rsid w:val="0075171C"/>
    <w:rsid w:val="00760C24"/>
    <w:rsid w:val="00780511"/>
    <w:rsid w:val="00787674"/>
    <w:rsid w:val="007926ED"/>
    <w:rsid w:val="00794DCB"/>
    <w:rsid w:val="007A382D"/>
    <w:rsid w:val="007A393D"/>
    <w:rsid w:val="007A4150"/>
    <w:rsid w:val="007B2FD0"/>
    <w:rsid w:val="007B72B7"/>
    <w:rsid w:val="007B7F59"/>
    <w:rsid w:val="007C4295"/>
    <w:rsid w:val="007D35C8"/>
    <w:rsid w:val="007E165E"/>
    <w:rsid w:val="007E1BC9"/>
    <w:rsid w:val="007E2818"/>
    <w:rsid w:val="007E7927"/>
    <w:rsid w:val="00801BEE"/>
    <w:rsid w:val="00801F54"/>
    <w:rsid w:val="0080526B"/>
    <w:rsid w:val="00821014"/>
    <w:rsid w:val="008230E4"/>
    <w:rsid w:val="008252A9"/>
    <w:rsid w:val="00840882"/>
    <w:rsid w:val="0084437C"/>
    <w:rsid w:val="008651BC"/>
    <w:rsid w:val="0086725F"/>
    <w:rsid w:val="00871DF0"/>
    <w:rsid w:val="00873CAC"/>
    <w:rsid w:val="00875E3A"/>
    <w:rsid w:val="008762ED"/>
    <w:rsid w:val="00881DC5"/>
    <w:rsid w:val="008824A8"/>
    <w:rsid w:val="008B0EE0"/>
    <w:rsid w:val="008B6248"/>
    <w:rsid w:val="008B672F"/>
    <w:rsid w:val="008D1F37"/>
    <w:rsid w:val="008D5D5C"/>
    <w:rsid w:val="008D723E"/>
    <w:rsid w:val="008E23A6"/>
    <w:rsid w:val="008E4CD1"/>
    <w:rsid w:val="008E6249"/>
    <w:rsid w:val="008E62E1"/>
    <w:rsid w:val="008F7760"/>
    <w:rsid w:val="0090214D"/>
    <w:rsid w:val="00906664"/>
    <w:rsid w:val="00912C5F"/>
    <w:rsid w:val="00916581"/>
    <w:rsid w:val="00917A7F"/>
    <w:rsid w:val="00921567"/>
    <w:rsid w:val="0092517C"/>
    <w:rsid w:val="009345D2"/>
    <w:rsid w:val="00943213"/>
    <w:rsid w:val="0094584C"/>
    <w:rsid w:val="00960C24"/>
    <w:rsid w:val="00962314"/>
    <w:rsid w:val="00964CF7"/>
    <w:rsid w:val="00973B04"/>
    <w:rsid w:val="009775A6"/>
    <w:rsid w:val="00980227"/>
    <w:rsid w:val="0099047E"/>
    <w:rsid w:val="009910E1"/>
    <w:rsid w:val="0099254E"/>
    <w:rsid w:val="00994927"/>
    <w:rsid w:val="009A2505"/>
    <w:rsid w:val="009A7777"/>
    <w:rsid w:val="009B3AA6"/>
    <w:rsid w:val="009C08C0"/>
    <w:rsid w:val="009F3DBD"/>
    <w:rsid w:val="00A00165"/>
    <w:rsid w:val="00A12494"/>
    <w:rsid w:val="00A1261F"/>
    <w:rsid w:val="00A36A21"/>
    <w:rsid w:val="00A401C9"/>
    <w:rsid w:val="00A41B35"/>
    <w:rsid w:val="00A43310"/>
    <w:rsid w:val="00A50131"/>
    <w:rsid w:val="00A54A27"/>
    <w:rsid w:val="00A55DF9"/>
    <w:rsid w:val="00A7525E"/>
    <w:rsid w:val="00A81258"/>
    <w:rsid w:val="00A81A85"/>
    <w:rsid w:val="00A83A79"/>
    <w:rsid w:val="00A85F8C"/>
    <w:rsid w:val="00A911D1"/>
    <w:rsid w:val="00A954DB"/>
    <w:rsid w:val="00AA1974"/>
    <w:rsid w:val="00AA2BBE"/>
    <w:rsid w:val="00AA7C2C"/>
    <w:rsid w:val="00AB1C04"/>
    <w:rsid w:val="00AB42CA"/>
    <w:rsid w:val="00AB4DB0"/>
    <w:rsid w:val="00AB655D"/>
    <w:rsid w:val="00AB7A8C"/>
    <w:rsid w:val="00AC4E0C"/>
    <w:rsid w:val="00AE1D47"/>
    <w:rsid w:val="00B025DE"/>
    <w:rsid w:val="00B03DBD"/>
    <w:rsid w:val="00B05080"/>
    <w:rsid w:val="00B10B71"/>
    <w:rsid w:val="00B35F82"/>
    <w:rsid w:val="00B3786E"/>
    <w:rsid w:val="00B4325A"/>
    <w:rsid w:val="00B4688C"/>
    <w:rsid w:val="00B650C0"/>
    <w:rsid w:val="00B84D67"/>
    <w:rsid w:val="00B84E03"/>
    <w:rsid w:val="00B85132"/>
    <w:rsid w:val="00B91487"/>
    <w:rsid w:val="00B940EC"/>
    <w:rsid w:val="00B96656"/>
    <w:rsid w:val="00BA51E5"/>
    <w:rsid w:val="00BC13EF"/>
    <w:rsid w:val="00BC5E92"/>
    <w:rsid w:val="00BC69E6"/>
    <w:rsid w:val="00BC7FD3"/>
    <w:rsid w:val="00BD1EB0"/>
    <w:rsid w:val="00BD4BE8"/>
    <w:rsid w:val="00BD4DF4"/>
    <w:rsid w:val="00BD7E57"/>
    <w:rsid w:val="00BE06DF"/>
    <w:rsid w:val="00BF6E70"/>
    <w:rsid w:val="00C144B6"/>
    <w:rsid w:val="00C15439"/>
    <w:rsid w:val="00C30839"/>
    <w:rsid w:val="00C35767"/>
    <w:rsid w:val="00C3580F"/>
    <w:rsid w:val="00C37632"/>
    <w:rsid w:val="00C51E6F"/>
    <w:rsid w:val="00C61958"/>
    <w:rsid w:val="00C61DC7"/>
    <w:rsid w:val="00C63F14"/>
    <w:rsid w:val="00C7068F"/>
    <w:rsid w:val="00C817E7"/>
    <w:rsid w:val="00C925D3"/>
    <w:rsid w:val="00CA4CB6"/>
    <w:rsid w:val="00CB198F"/>
    <w:rsid w:val="00CB3186"/>
    <w:rsid w:val="00CB64FB"/>
    <w:rsid w:val="00CD007F"/>
    <w:rsid w:val="00CD09C7"/>
    <w:rsid w:val="00CE2765"/>
    <w:rsid w:val="00CE3361"/>
    <w:rsid w:val="00CE3991"/>
    <w:rsid w:val="00CE4E2F"/>
    <w:rsid w:val="00CF4659"/>
    <w:rsid w:val="00CF7825"/>
    <w:rsid w:val="00D1623E"/>
    <w:rsid w:val="00D31C5A"/>
    <w:rsid w:val="00D35001"/>
    <w:rsid w:val="00D51DEF"/>
    <w:rsid w:val="00D644B5"/>
    <w:rsid w:val="00D664B3"/>
    <w:rsid w:val="00D752B2"/>
    <w:rsid w:val="00DA1112"/>
    <w:rsid w:val="00DA671A"/>
    <w:rsid w:val="00DB62A5"/>
    <w:rsid w:val="00DC214E"/>
    <w:rsid w:val="00DD2854"/>
    <w:rsid w:val="00DE1B5D"/>
    <w:rsid w:val="00DE67BD"/>
    <w:rsid w:val="00E01655"/>
    <w:rsid w:val="00E15F21"/>
    <w:rsid w:val="00E21481"/>
    <w:rsid w:val="00E30C5B"/>
    <w:rsid w:val="00E44784"/>
    <w:rsid w:val="00E57AA8"/>
    <w:rsid w:val="00E6299F"/>
    <w:rsid w:val="00E64A77"/>
    <w:rsid w:val="00E73ABE"/>
    <w:rsid w:val="00E75944"/>
    <w:rsid w:val="00E83BC0"/>
    <w:rsid w:val="00E977F1"/>
    <w:rsid w:val="00E97A96"/>
    <w:rsid w:val="00EA5A64"/>
    <w:rsid w:val="00EB01DA"/>
    <w:rsid w:val="00EB403B"/>
    <w:rsid w:val="00EB6980"/>
    <w:rsid w:val="00EE06E1"/>
    <w:rsid w:val="00EE4670"/>
    <w:rsid w:val="00EE6732"/>
    <w:rsid w:val="00EF4BFC"/>
    <w:rsid w:val="00EF7830"/>
    <w:rsid w:val="00F049F0"/>
    <w:rsid w:val="00F2448D"/>
    <w:rsid w:val="00F35C90"/>
    <w:rsid w:val="00F477A5"/>
    <w:rsid w:val="00F5381E"/>
    <w:rsid w:val="00F54E7D"/>
    <w:rsid w:val="00F55129"/>
    <w:rsid w:val="00F66362"/>
    <w:rsid w:val="00F67002"/>
    <w:rsid w:val="00F75E4F"/>
    <w:rsid w:val="00F85A45"/>
    <w:rsid w:val="00F923DC"/>
    <w:rsid w:val="00F96FAE"/>
    <w:rsid w:val="00FB0284"/>
    <w:rsid w:val="00FC4171"/>
    <w:rsid w:val="00FC7907"/>
    <w:rsid w:val="00FD5B8A"/>
    <w:rsid w:val="00FE51ED"/>
    <w:rsid w:val="00FF5E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C116"/>
  <w15:chartTrackingRefBased/>
  <w15:docId w15:val="{103BEEFC-2D7B-49E7-BC37-0911B942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semiHidden/>
    <w:unhideWhenUsed/>
    <w:rsid w:val="001D5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F6"/>
    <w:rPr>
      <w:rFonts w:ascii="Arial" w:hAnsi="Arial"/>
      <w:sz w:val="20"/>
      <w:szCs w:val="20"/>
      <w:lang w:val="en-GB"/>
    </w:rPr>
  </w:style>
  <w:style w:type="character" w:styleId="FootnoteReference">
    <w:name w:val="footnote reference"/>
    <w:basedOn w:val="DefaultParagraphFont"/>
    <w:uiPriority w:val="99"/>
    <w:semiHidden/>
    <w:unhideWhenUsed/>
    <w:rsid w:val="001D54F6"/>
    <w:rPr>
      <w:vertAlign w:val="superscript"/>
    </w:rPr>
  </w:style>
  <w:style w:type="paragraph" w:styleId="Header">
    <w:name w:val="header"/>
    <w:basedOn w:val="Normal"/>
    <w:link w:val="HeaderChar"/>
    <w:uiPriority w:val="99"/>
    <w:unhideWhenUsed/>
    <w:rsid w:val="00223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944"/>
    <w:rPr>
      <w:rFonts w:ascii="Arial" w:hAnsi="Arial"/>
      <w:sz w:val="24"/>
      <w:lang w:val="en-GB"/>
    </w:rPr>
  </w:style>
  <w:style w:type="paragraph" w:styleId="Footer">
    <w:name w:val="footer"/>
    <w:basedOn w:val="Normal"/>
    <w:link w:val="FooterChar"/>
    <w:uiPriority w:val="99"/>
    <w:unhideWhenUsed/>
    <w:rsid w:val="00223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944"/>
    <w:rPr>
      <w:rFonts w:ascii="Arial" w:hAnsi="Arial"/>
      <w:sz w:val="24"/>
      <w:lang w:val="en-GB"/>
    </w:rPr>
  </w:style>
  <w:style w:type="character" w:customStyle="1" w:styleId="akn-p">
    <w:name w:val="akn-p"/>
    <w:basedOn w:val="DefaultParagraphFont"/>
    <w:rsid w:val="00C61958"/>
  </w:style>
  <w:style w:type="character" w:styleId="Hyperlink">
    <w:name w:val="Hyperlink"/>
    <w:basedOn w:val="DefaultParagraphFont"/>
    <w:uiPriority w:val="99"/>
    <w:semiHidden/>
    <w:unhideWhenUsed/>
    <w:rsid w:val="00C61958"/>
    <w:rPr>
      <w:color w:val="0000FF"/>
      <w:u w:val="single"/>
    </w:rPr>
  </w:style>
  <w:style w:type="character" w:customStyle="1" w:styleId="akn-num">
    <w:name w:val="akn-num"/>
    <w:basedOn w:val="DefaultParagraphFont"/>
    <w:rsid w:val="00C61958"/>
  </w:style>
  <w:style w:type="paragraph" w:styleId="Revision">
    <w:name w:val="Revision"/>
    <w:hidden/>
    <w:uiPriority w:val="99"/>
    <w:semiHidden/>
    <w:rsid w:val="00CB3186"/>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a\OneDrive%20-%20judiciary.org.za\Documents\Judgments%202023\High%20Court%20Judgment%20Template%20(0000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0FF0-703D-43B3-AE70-4DC359BD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 (00000002)</Template>
  <TotalTime>1</TotalTime>
  <Pages>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Mokone</cp:lastModifiedBy>
  <cp:revision>3</cp:revision>
  <cp:lastPrinted>2023-06-26T06:32:00Z</cp:lastPrinted>
  <dcterms:created xsi:type="dcterms:W3CDTF">2023-06-26T12:02:00Z</dcterms:created>
  <dcterms:modified xsi:type="dcterms:W3CDTF">2023-06-26T12:03:00Z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9b25c4b1-46d7-4626-8a6d-b189504eb038</vt:lpwstr>
  </property>
</Properties>
</file>