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D252FD" w:rsidRDefault="006C43D7" w:rsidP="00C74E97">
      <w:pPr>
        <w:spacing w:after="120" w:line="360" w:lineRule="auto"/>
        <w:jc w:val="center"/>
        <w:rPr>
          <w:rFonts w:cs="Arial"/>
          <w:b/>
          <w:bCs/>
          <w:szCs w:val="22"/>
        </w:rPr>
      </w:pPr>
      <w:bookmarkStart w:id="0" w:name="_GoBack"/>
      <w:bookmarkEnd w:id="0"/>
      <w:r w:rsidRPr="00D252FD">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143036" w:rsidRDefault="006C43D7" w:rsidP="00C74E97">
      <w:pPr>
        <w:spacing w:line="360" w:lineRule="auto"/>
        <w:jc w:val="center"/>
        <w:rPr>
          <w:rFonts w:cs="Arial"/>
          <w:b/>
          <w:szCs w:val="22"/>
        </w:rPr>
      </w:pPr>
      <w:r w:rsidRPr="00143036">
        <w:rPr>
          <w:rFonts w:cs="Arial"/>
          <w:b/>
          <w:szCs w:val="22"/>
        </w:rPr>
        <w:t xml:space="preserve">IN THE HIGH COURT OF SOUTH AFRICA, </w:t>
      </w:r>
    </w:p>
    <w:p w14:paraId="566C4D1B" w14:textId="77777777" w:rsidR="006C43D7" w:rsidRPr="00143036" w:rsidRDefault="006C43D7" w:rsidP="00C74E97">
      <w:pPr>
        <w:spacing w:line="360" w:lineRule="auto"/>
        <w:jc w:val="center"/>
        <w:rPr>
          <w:rFonts w:cs="Arial"/>
          <w:b/>
          <w:szCs w:val="22"/>
        </w:rPr>
      </w:pPr>
      <w:r w:rsidRPr="00143036">
        <w:rPr>
          <w:rFonts w:cs="Arial"/>
          <w:b/>
          <w:szCs w:val="22"/>
        </w:rPr>
        <w:t>GAUTENG DIVISION, JOHANNESBURG</w:t>
      </w:r>
    </w:p>
    <w:p w14:paraId="13D6E83E" w14:textId="77777777" w:rsidR="006C43D7" w:rsidRPr="00143036" w:rsidRDefault="006C43D7" w:rsidP="00C74E97">
      <w:pPr>
        <w:spacing w:line="360" w:lineRule="auto"/>
        <w:jc w:val="both"/>
        <w:rPr>
          <w:rFonts w:cs="Arial"/>
          <w:b/>
          <w:szCs w:val="22"/>
        </w:rPr>
      </w:pPr>
    </w:p>
    <w:p w14:paraId="0AF8DD38" w14:textId="7E4A1C9A" w:rsidR="006C43D7" w:rsidRPr="00143036" w:rsidRDefault="006C43D7" w:rsidP="00C74E97">
      <w:pPr>
        <w:spacing w:line="360" w:lineRule="auto"/>
        <w:jc w:val="right"/>
        <w:rPr>
          <w:rFonts w:cs="Arial"/>
          <w:szCs w:val="22"/>
        </w:rPr>
      </w:pPr>
      <w:r w:rsidRPr="00143036">
        <w:rPr>
          <w:rFonts w:cs="Arial"/>
          <w:b/>
          <w:szCs w:val="22"/>
        </w:rPr>
        <w:t xml:space="preserve">CASE NO: </w:t>
      </w:r>
      <w:r w:rsidR="00414786" w:rsidRPr="00143036">
        <w:rPr>
          <w:rFonts w:cs="Arial"/>
          <w:b/>
          <w:szCs w:val="22"/>
        </w:rPr>
        <w:t>2023-052134</w:t>
      </w:r>
      <w:r w:rsidRPr="00143036">
        <w:rPr>
          <w:rFonts w:cs="Arial"/>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6E859572" w:rsidR="00893C08" w:rsidRDefault="00893C08"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sidR="001A3C26">
                              <w:rPr>
                                <w:rFonts w:ascii="Century Gothic" w:hAnsi="Century Gothic"/>
                                <w:sz w:val="20"/>
                                <w:szCs w:val="20"/>
                              </w:rPr>
                              <w:t>NO</w:t>
                            </w:r>
                          </w:p>
                          <w:p w14:paraId="3A4C7296" w14:textId="7D5DD9C8" w:rsidR="00893C08" w:rsidRPr="001D3CC2" w:rsidRDefault="00893C08"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1A3C26">
                              <w:rPr>
                                <w:rFonts w:ascii="Century Gothic" w:hAnsi="Century Gothic"/>
                                <w:sz w:val="20"/>
                                <w:szCs w:val="20"/>
                              </w:rPr>
                              <w:t>NO</w:t>
                            </w: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5FgIAACw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6E859572" w:rsidR="00893C08" w:rsidRDefault="00893C08" w:rsidP="00FC42BD">
                      <w:pPr>
                        <w:numPr>
                          <w:ilvl w:val="0"/>
                          <w:numId w:val="2"/>
                        </w:numPr>
                        <w:rPr>
                          <w:rFonts w:ascii="Century Gothic" w:hAnsi="Century Gothic"/>
                          <w:sz w:val="20"/>
                          <w:szCs w:val="20"/>
                        </w:rPr>
                      </w:pPr>
                      <w:r w:rsidRPr="001D3CC2">
                        <w:rPr>
                          <w:rFonts w:ascii="Century Gothic" w:hAnsi="Century Gothic"/>
                          <w:sz w:val="20"/>
                          <w:szCs w:val="20"/>
                        </w:rPr>
                        <w:t xml:space="preserve">REPORTABLE: </w:t>
                      </w:r>
                      <w:r w:rsidR="001A3C26">
                        <w:rPr>
                          <w:rFonts w:ascii="Century Gothic" w:hAnsi="Century Gothic"/>
                          <w:sz w:val="20"/>
                          <w:szCs w:val="20"/>
                        </w:rPr>
                        <w:t>NO</w:t>
                      </w:r>
                    </w:p>
                    <w:p w14:paraId="3A4C7296" w14:textId="7D5DD9C8" w:rsidR="00893C08" w:rsidRPr="001D3CC2" w:rsidRDefault="00893C08" w:rsidP="00FC42BD">
                      <w:pPr>
                        <w:numPr>
                          <w:ilvl w:val="0"/>
                          <w:numId w:val="2"/>
                        </w:numPr>
                        <w:rPr>
                          <w:rFonts w:ascii="Century Gothic" w:hAnsi="Century Gothic"/>
                          <w:sz w:val="20"/>
                          <w:szCs w:val="20"/>
                        </w:rPr>
                      </w:pPr>
                      <w:r w:rsidRPr="001D3CC2">
                        <w:rPr>
                          <w:rFonts w:ascii="Century Gothic" w:hAnsi="Century Gothic"/>
                          <w:sz w:val="20"/>
                          <w:szCs w:val="20"/>
                        </w:rPr>
                        <w:t>OF INTEREST TO OTHER JUDGES</w:t>
                      </w:r>
                      <w:r>
                        <w:rPr>
                          <w:rFonts w:ascii="Century Gothic" w:hAnsi="Century Gothic"/>
                          <w:sz w:val="20"/>
                          <w:szCs w:val="20"/>
                        </w:rPr>
                        <w:t xml:space="preserve">: </w:t>
                      </w:r>
                      <w:r w:rsidR="001A3C26">
                        <w:rPr>
                          <w:rFonts w:ascii="Century Gothic" w:hAnsi="Century Gothic"/>
                          <w:sz w:val="20"/>
                          <w:szCs w:val="20"/>
                        </w:rPr>
                        <w:t>NO</w:t>
                      </w: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143036" w:rsidRDefault="006C43D7" w:rsidP="00C74E97">
      <w:pPr>
        <w:spacing w:line="360" w:lineRule="auto"/>
        <w:jc w:val="both"/>
        <w:rPr>
          <w:rFonts w:cs="Arial"/>
          <w:szCs w:val="22"/>
        </w:rPr>
      </w:pPr>
    </w:p>
    <w:p w14:paraId="4E808D74" w14:textId="77777777" w:rsidR="006C43D7" w:rsidRPr="00143036" w:rsidRDefault="006C43D7" w:rsidP="00C74E97">
      <w:pPr>
        <w:spacing w:line="360" w:lineRule="auto"/>
        <w:jc w:val="both"/>
        <w:rPr>
          <w:rFonts w:cs="Arial"/>
          <w:szCs w:val="22"/>
        </w:rPr>
      </w:pPr>
    </w:p>
    <w:p w14:paraId="34BF70B6" w14:textId="77777777" w:rsidR="006C43D7" w:rsidRPr="00143036" w:rsidRDefault="006C43D7" w:rsidP="00C74E97">
      <w:pPr>
        <w:spacing w:line="360" w:lineRule="auto"/>
        <w:jc w:val="both"/>
        <w:rPr>
          <w:rFonts w:cs="Arial"/>
          <w:szCs w:val="22"/>
        </w:rPr>
      </w:pPr>
    </w:p>
    <w:p w14:paraId="2F53BA3A" w14:textId="77777777" w:rsidR="006C43D7" w:rsidRPr="00143036" w:rsidRDefault="006C43D7" w:rsidP="00C74E97">
      <w:pPr>
        <w:spacing w:line="360" w:lineRule="auto"/>
        <w:jc w:val="both"/>
        <w:rPr>
          <w:rFonts w:cs="Arial"/>
          <w:szCs w:val="22"/>
        </w:rPr>
      </w:pPr>
    </w:p>
    <w:p w14:paraId="3A1C212E" w14:textId="77777777" w:rsidR="006C43D7" w:rsidRPr="00143036" w:rsidRDefault="006C43D7" w:rsidP="00C74E97">
      <w:pPr>
        <w:spacing w:line="360" w:lineRule="auto"/>
        <w:jc w:val="both"/>
        <w:rPr>
          <w:rFonts w:cs="Arial"/>
          <w:szCs w:val="22"/>
        </w:rPr>
      </w:pPr>
    </w:p>
    <w:p w14:paraId="04919B1B" w14:textId="77777777" w:rsidR="001D3CC2" w:rsidRPr="00143036" w:rsidRDefault="001D3CC2" w:rsidP="00C74E97">
      <w:pPr>
        <w:spacing w:line="360" w:lineRule="auto"/>
        <w:jc w:val="both"/>
        <w:rPr>
          <w:rFonts w:cs="Arial"/>
          <w:szCs w:val="22"/>
        </w:rPr>
      </w:pPr>
    </w:p>
    <w:p w14:paraId="045D3852" w14:textId="033CC371" w:rsidR="00E57446" w:rsidRPr="00143036" w:rsidRDefault="00E57446" w:rsidP="00C74E97">
      <w:pPr>
        <w:spacing w:line="360" w:lineRule="auto"/>
        <w:jc w:val="both"/>
        <w:rPr>
          <w:rFonts w:cs="Arial"/>
          <w:szCs w:val="22"/>
        </w:rPr>
      </w:pPr>
    </w:p>
    <w:p w14:paraId="2804C32A" w14:textId="6C8D50AF" w:rsidR="00E57446" w:rsidRPr="00143036" w:rsidRDefault="00E57446" w:rsidP="00C74E97">
      <w:pPr>
        <w:spacing w:line="360" w:lineRule="auto"/>
        <w:jc w:val="both"/>
        <w:rPr>
          <w:rFonts w:cs="Arial"/>
          <w:szCs w:val="22"/>
        </w:rPr>
      </w:pPr>
      <w:r w:rsidRPr="00143036">
        <w:rPr>
          <w:rFonts w:cs="Arial"/>
          <w:szCs w:val="22"/>
        </w:rPr>
        <w:t>In the application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E57446" w:rsidRPr="00143036" w14:paraId="4CBFF906" w14:textId="77777777" w:rsidTr="00893C08">
        <w:tc>
          <w:tcPr>
            <w:tcW w:w="6305" w:type="dxa"/>
          </w:tcPr>
          <w:p w14:paraId="07466740" w14:textId="19413B77" w:rsidR="00E57446" w:rsidRPr="00143036" w:rsidRDefault="00931722" w:rsidP="000766A0">
            <w:pPr>
              <w:autoSpaceDE w:val="0"/>
              <w:autoSpaceDN w:val="0"/>
              <w:adjustRightInd w:val="0"/>
              <w:rPr>
                <w:rFonts w:cs="Arial"/>
                <w:b/>
                <w:szCs w:val="22"/>
              </w:rPr>
            </w:pPr>
            <w:r w:rsidRPr="00143036">
              <w:rPr>
                <w:rFonts w:cs="Arial"/>
                <w:b/>
                <w:bCs/>
                <w:szCs w:val="22"/>
                <w:lang w:eastAsia="en-ZA"/>
              </w:rPr>
              <w:t>LISINFO TRADING (PTY) LT</w:t>
            </w:r>
            <w:r w:rsidR="000766A0" w:rsidRPr="00143036">
              <w:rPr>
                <w:rFonts w:cs="Arial"/>
                <w:b/>
                <w:bCs/>
                <w:szCs w:val="22"/>
                <w:lang w:eastAsia="en-ZA"/>
              </w:rPr>
              <w:t>D</w:t>
            </w:r>
          </w:p>
        </w:tc>
        <w:tc>
          <w:tcPr>
            <w:tcW w:w="2246" w:type="dxa"/>
          </w:tcPr>
          <w:p w14:paraId="32F3C456" w14:textId="70059E2A" w:rsidR="00E57446" w:rsidRPr="00143036" w:rsidRDefault="00931722" w:rsidP="00893C08">
            <w:pPr>
              <w:spacing w:line="360" w:lineRule="auto"/>
              <w:rPr>
                <w:rFonts w:cs="Arial"/>
                <w:szCs w:val="22"/>
              </w:rPr>
            </w:pPr>
            <w:r w:rsidRPr="00143036">
              <w:rPr>
                <w:rFonts w:cs="Arial"/>
                <w:szCs w:val="22"/>
              </w:rPr>
              <w:t xml:space="preserve">First </w:t>
            </w:r>
            <w:r w:rsidR="00E57446" w:rsidRPr="00143036">
              <w:rPr>
                <w:rFonts w:cs="Arial"/>
                <w:szCs w:val="22"/>
              </w:rPr>
              <w:t>Applicant</w:t>
            </w:r>
          </w:p>
        </w:tc>
      </w:tr>
      <w:tr w:rsidR="00931722" w:rsidRPr="00143036" w14:paraId="30974CF3" w14:textId="77777777" w:rsidTr="00893C08">
        <w:tc>
          <w:tcPr>
            <w:tcW w:w="6305" w:type="dxa"/>
          </w:tcPr>
          <w:p w14:paraId="3C1A89AC" w14:textId="01890A30" w:rsidR="00931722" w:rsidRPr="00143036" w:rsidRDefault="00931722" w:rsidP="00931722">
            <w:pPr>
              <w:autoSpaceDE w:val="0"/>
              <w:autoSpaceDN w:val="0"/>
              <w:adjustRightInd w:val="0"/>
              <w:rPr>
                <w:rFonts w:cs="Arial"/>
                <w:b/>
                <w:bCs/>
                <w:szCs w:val="22"/>
                <w:lang w:eastAsia="en-ZA"/>
              </w:rPr>
            </w:pPr>
            <w:r w:rsidRPr="00143036">
              <w:rPr>
                <w:rFonts w:cs="Arial"/>
                <w:b/>
                <w:bCs/>
                <w:szCs w:val="22"/>
                <w:lang w:eastAsia="en-ZA"/>
              </w:rPr>
              <w:t>SAUNDERS</w:t>
            </w:r>
            <w:r w:rsidR="008A05FC">
              <w:rPr>
                <w:rFonts w:cs="Arial"/>
                <w:b/>
                <w:bCs/>
                <w:szCs w:val="22"/>
                <w:lang w:eastAsia="en-ZA"/>
              </w:rPr>
              <w:t>,</w:t>
            </w:r>
            <w:r w:rsidRPr="00143036">
              <w:rPr>
                <w:rFonts w:cs="Arial"/>
                <w:b/>
                <w:bCs/>
                <w:szCs w:val="22"/>
                <w:lang w:eastAsia="en-ZA"/>
              </w:rPr>
              <w:t xml:space="preserve"> STUART ALAN JOHN </w:t>
            </w:r>
          </w:p>
        </w:tc>
        <w:tc>
          <w:tcPr>
            <w:tcW w:w="2246" w:type="dxa"/>
          </w:tcPr>
          <w:p w14:paraId="61205630" w14:textId="4227544A" w:rsidR="00931722" w:rsidRPr="00143036" w:rsidRDefault="00931722" w:rsidP="00893C08">
            <w:pPr>
              <w:spacing w:line="360" w:lineRule="auto"/>
              <w:rPr>
                <w:rFonts w:cs="Arial"/>
                <w:szCs w:val="22"/>
              </w:rPr>
            </w:pPr>
            <w:r w:rsidRPr="00143036">
              <w:rPr>
                <w:rFonts w:cs="Arial"/>
                <w:szCs w:val="22"/>
              </w:rPr>
              <w:t>Second Applicant</w:t>
            </w:r>
          </w:p>
        </w:tc>
      </w:tr>
      <w:tr w:rsidR="00E57446" w:rsidRPr="00143036" w14:paraId="582D8E94" w14:textId="77777777" w:rsidTr="00893C08">
        <w:tc>
          <w:tcPr>
            <w:tcW w:w="6305" w:type="dxa"/>
          </w:tcPr>
          <w:p w14:paraId="7BC13697" w14:textId="77777777" w:rsidR="00E57446" w:rsidRPr="00143036" w:rsidRDefault="00E57446" w:rsidP="00893C08">
            <w:pPr>
              <w:spacing w:line="360" w:lineRule="auto"/>
              <w:jc w:val="both"/>
              <w:rPr>
                <w:rFonts w:cs="Arial"/>
                <w:szCs w:val="22"/>
              </w:rPr>
            </w:pPr>
            <w:r w:rsidRPr="00143036">
              <w:rPr>
                <w:rFonts w:cs="Arial"/>
                <w:szCs w:val="22"/>
              </w:rPr>
              <w:t xml:space="preserve">and  </w:t>
            </w:r>
          </w:p>
        </w:tc>
        <w:tc>
          <w:tcPr>
            <w:tcW w:w="2246" w:type="dxa"/>
          </w:tcPr>
          <w:p w14:paraId="3E582FC6" w14:textId="77777777" w:rsidR="00E57446" w:rsidRPr="00143036" w:rsidRDefault="00E57446" w:rsidP="00893C08">
            <w:pPr>
              <w:spacing w:line="360" w:lineRule="auto"/>
              <w:jc w:val="right"/>
              <w:rPr>
                <w:rFonts w:cs="Arial"/>
                <w:szCs w:val="22"/>
              </w:rPr>
            </w:pPr>
          </w:p>
        </w:tc>
      </w:tr>
      <w:tr w:rsidR="00E57446" w:rsidRPr="00143036" w14:paraId="143F83E0" w14:textId="77777777" w:rsidTr="00893C08">
        <w:tc>
          <w:tcPr>
            <w:tcW w:w="6305" w:type="dxa"/>
          </w:tcPr>
          <w:p w14:paraId="66C3A0D3" w14:textId="36F13D0E" w:rsidR="00E57446" w:rsidRPr="00143036" w:rsidRDefault="00931722" w:rsidP="00893C08">
            <w:pPr>
              <w:spacing w:line="360" w:lineRule="auto"/>
              <w:jc w:val="both"/>
              <w:rPr>
                <w:rFonts w:cs="Arial"/>
                <w:b/>
                <w:szCs w:val="22"/>
              </w:rPr>
            </w:pPr>
            <w:r w:rsidRPr="00143036">
              <w:rPr>
                <w:rFonts w:cs="Arial"/>
                <w:b/>
                <w:bCs/>
                <w:szCs w:val="22"/>
                <w:lang w:eastAsia="en-ZA"/>
              </w:rPr>
              <w:t>LUNEM LEARNING CENTRE (PTY) LTD</w:t>
            </w:r>
          </w:p>
        </w:tc>
        <w:tc>
          <w:tcPr>
            <w:tcW w:w="2246" w:type="dxa"/>
          </w:tcPr>
          <w:p w14:paraId="79FDAF6B" w14:textId="46D62D07" w:rsidR="00E57446" w:rsidRPr="00143036" w:rsidRDefault="00931722" w:rsidP="00893C08">
            <w:pPr>
              <w:spacing w:line="360" w:lineRule="auto"/>
              <w:rPr>
                <w:rFonts w:cs="Arial"/>
                <w:szCs w:val="22"/>
              </w:rPr>
            </w:pPr>
            <w:r w:rsidRPr="00143036">
              <w:rPr>
                <w:rFonts w:cs="Arial"/>
                <w:szCs w:val="22"/>
              </w:rPr>
              <w:t xml:space="preserve">First </w:t>
            </w:r>
            <w:r w:rsidR="00E57446" w:rsidRPr="00143036">
              <w:rPr>
                <w:rFonts w:cs="Arial"/>
                <w:szCs w:val="22"/>
              </w:rPr>
              <w:t>Respondent</w:t>
            </w:r>
          </w:p>
        </w:tc>
      </w:tr>
      <w:tr w:rsidR="00931722" w:rsidRPr="00143036" w14:paraId="4C9FD9D3" w14:textId="77777777" w:rsidTr="00893C08">
        <w:tc>
          <w:tcPr>
            <w:tcW w:w="6305" w:type="dxa"/>
          </w:tcPr>
          <w:p w14:paraId="700B709A" w14:textId="6B5E3E65" w:rsidR="00931722" w:rsidRPr="00143036" w:rsidRDefault="00931722" w:rsidP="00893C08">
            <w:pPr>
              <w:spacing w:line="360" w:lineRule="auto"/>
              <w:jc w:val="both"/>
              <w:rPr>
                <w:rFonts w:cs="Arial"/>
                <w:b/>
                <w:bCs/>
                <w:szCs w:val="22"/>
                <w:lang w:eastAsia="en-ZA"/>
              </w:rPr>
            </w:pPr>
            <w:r w:rsidRPr="00143036">
              <w:rPr>
                <w:rFonts w:cs="Arial"/>
                <w:b/>
                <w:bCs/>
                <w:szCs w:val="22"/>
                <w:lang w:eastAsia="en-ZA"/>
              </w:rPr>
              <w:t>LUNEM LEARNING CENTRE SCHOOL</w:t>
            </w:r>
          </w:p>
        </w:tc>
        <w:tc>
          <w:tcPr>
            <w:tcW w:w="2246" w:type="dxa"/>
          </w:tcPr>
          <w:p w14:paraId="01EBC2E1" w14:textId="44DB942B" w:rsidR="00931722" w:rsidRPr="00143036" w:rsidRDefault="00931722" w:rsidP="00893C08">
            <w:pPr>
              <w:spacing w:line="360" w:lineRule="auto"/>
              <w:rPr>
                <w:rFonts w:cs="Arial"/>
                <w:szCs w:val="22"/>
              </w:rPr>
            </w:pPr>
            <w:r w:rsidRPr="00143036">
              <w:rPr>
                <w:rFonts w:cs="Arial"/>
                <w:szCs w:val="22"/>
              </w:rPr>
              <w:t>Second Respondent</w:t>
            </w:r>
          </w:p>
        </w:tc>
      </w:tr>
      <w:tr w:rsidR="00931722" w:rsidRPr="00143036" w14:paraId="44F7BD49" w14:textId="77777777" w:rsidTr="00893C08">
        <w:tc>
          <w:tcPr>
            <w:tcW w:w="6305" w:type="dxa"/>
          </w:tcPr>
          <w:p w14:paraId="45DE1ED1" w14:textId="670D0CAB" w:rsidR="00931722" w:rsidRPr="00143036" w:rsidRDefault="00931722" w:rsidP="00893C08">
            <w:pPr>
              <w:spacing w:line="360" w:lineRule="auto"/>
              <w:jc w:val="both"/>
              <w:rPr>
                <w:rFonts w:cs="Arial"/>
                <w:b/>
                <w:bCs/>
                <w:szCs w:val="22"/>
                <w:lang w:eastAsia="en-ZA"/>
              </w:rPr>
            </w:pPr>
            <w:r w:rsidRPr="00143036">
              <w:rPr>
                <w:rFonts w:cs="Arial"/>
                <w:b/>
                <w:bCs/>
                <w:szCs w:val="22"/>
                <w:lang w:eastAsia="en-ZA"/>
              </w:rPr>
              <w:t>XOLISWA KARENGA</w:t>
            </w:r>
          </w:p>
        </w:tc>
        <w:tc>
          <w:tcPr>
            <w:tcW w:w="2246" w:type="dxa"/>
          </w:tcPr>
          <w:p w14:paraId="755124A5" w14:textId="09AED821" w:rsidR="00931722" w:rsidRPr="00143036" w:rsidRDefault="00931722" w:rsidP="00893C08">
            <w:pPr>
              <w:spacing w:line="360" w:lineRule="auto"/>
              <w:rPr>
                <w:rFonts w:cs="Arial"/>
                <w:szCs w:val="22"/>
              </w:rPr>
            </w:pPr>
            <w:r w:rsidRPr="00143036">
              <w:rPr>
                <w:rFonts w:cs="Arial"/>
                <w:szCs w:val="22"/>
              </w:rPr>
              <w:t>Third Respondent</w:t>
            </w:r>
          </w:p>
        </w:tc>
      </w:tr>
      <w:tr w:rsidR="00931722" w:rsidRPr="00143036" w14:paraId="251CC69F" w14:textId="77777777" w:rsidTr="00893C08">
        <w:tc>
          <w:tcPr>
            <w:tcW w:w="6305" w:type="dxa"/>
          </w:tcPr>
          <w:p w14:paraId="38E24627" w14:textId="52CEB738" w:rsidR="00931722" w:rsidRPr="00143036" w:rsidRDefault="00931722" w:rsidP="00893C08">
            <w:pPr>
              <w:spacing w:line="360" w:lineRule="auto"/>
              <w:jc w:val="both"/>
              <w:rPr>
                <w:rFonts w:cs="Arial"/>
                <w:b/>
                <w:bCs/>
                <w:szCs w:val="22"/>
                <w:lang w:eastAsia="en-ZA"/>
              </w:rPr>
            </w:pPr>
            <w:r w:rsidRPr="00143036">
              <w:rPr>
                <w:rFonts w:cs="Arial"/>
                <w:b/>
                <w:bCs/>
                <w:szCs w:val="22"/>
                <w:lang w:eastAsia="en-ZA"/>
              </w:rPr>
              <w:t>THE MEC OF EDUCATION, GAUTENG</w:t>
            </w:r>
          </w:p>
        </w:tc>
        <w:tc>
          <w:tcPr>
            <w:tcW w:w="2246" w:type="dxa"/>
          </w:tcPr>
          <w:p w14:paraId="5BAA08B4" w14:textId="17EE1C23" w:rsidR="00931722" w:rsidRPr="00143036" w:rsidRDefault="00931722" w:rsidP="00893C08">
            <w:pPr>
              <w:spacing w:line="360" w:lineRule="auto"/>
              <w:rPr>
                <w:rFonts w:cs="Arial"/>
                <w:szCs w:val="22"/>
              </w:rPr>
            </w:pPr>
            <w:r w:rsidRPr="00143036">
              <w:rPr>
                <w:rFonts w:cs="Arial"/>
                <w:szCs w:val="22"/>
              </w:rPr>
              <w:t>Fourth Respondent</w:t>
            </w:r>
          </w:p>
        </w:tc>
      </w:tr>
    </w:tbl>
    <w:p w14:paraId="73A7E259" w14:textId="77777777" w:rsidR="00C1108E" w:rsidRPr="00143036" w:rsidRDefault="00C1108E" w:rsidP="00C74E97">
      <w:pPr>
        <w:pBdr>
          <w:bottom w:val="single" w:sz="4" w:space="1" w:color="auto"/>
        </w:pBdr>
        <w:spacing w:line="360" w:lineRule="auto"/>
        <w:jc w:val="both"/>
        <w:rPr>
          <w:rFonts w:cs="Arial"/>
          <w:szCs w:val="22"/>
        </w:rPr>
      </w:pPr>
    </w:p>
    <w:p w14:paraId="58DE5549" w14:textId="77777777" w:rsidR="006C43D7" w:rsidRPr="00143036" w:rsidRDefault="006C43D7" w:rsidP="00C74E97">
      <w:pPr>
        <w:spacing w:line="360" w:lineRule="auto"/>
        <w:jc w:val="both"/>
        <w:rPr>
          <w:rFonts w:cs="Arial"/>
          <w:szCs w:val="22"/>
        </w:rPr>
      </w:pPr>
    </w:p>
    <w:p w14:paraId="647AB70C" w14:textId="77777777" w:rsidR="006C43D7" w:rsidRPr="00143036" w:rsidRDefault="006C43D7" w:rsidP="00C74E97">
      <w:pPr>
        <w:keepNext/>
        <w:spacing w:line="360" w:lineRule="auto"/>
        <w:jc w:val="center"/>
        <w:outlineLvl w:val="1"/>
        <w:rPr>
          <w:rFonts w:cs="Arial"/>
          <w:b/>
          <w:bCs/>
          <w:szCs w:val="22"/>
        </w:rPr>
      </w:pPr>
      <w:r w:rsidRPr="00143036">
        <w:rPr>
          <w:rFonts w:cs="Arial"/>
          <w:b/>
          <w:bCs/>
          <w:szCs w:val="22"/>
        </w:rPr>
        <w:t>JUDGMENT</w:t>
      </w:r>
    </w:p>
    <w:p w14:paraId="52CD25EB" w14:textId="77777777" w:rsidR="006C43D7" w:rsidRPr="00143036" w:rsidRDefault="006C43D7" w:rsidP="00C74E97">
      <w:pPr>
        <w:pBdr>
          <w:bottom w:val="single" w:sz="4" w:space="1" w:color="auto"/>
        </w:pBdr>
        <w:spacing w:line="360" w:lineRule="auto"/>
        <w:jc w:val="both"/>
        <w:rPr>
          <w:rFonts w:cs="Arial"/>
          <w:szCs w:val="22"/>
        </w:rPr>
      </w:pPr>
    </w:p>
    <w:p w14:paraId="0CA76DA1" w14:textId="77777777" w:rsidR="00DC621D" w:rsidRPr="00143036" w:rsidRDefault="00DC621D" w:rsidP="00C74E97">
      <w:pPr>
        <w:spacing w:line="360" w:lineRule="auto"/>
        <w:jc w:val="both"/>
        <w:rPr>
          <w:rFonts w:cs="Arial"/>
          <w:b/>
          <w:szCs w:val="22"/>
        </w:rPr>
      </w:pPr>
    </w:p>
    <w:p w14:paraId="5BD82EFE" w14:textId="0F8FBF70" w:rsidR="00BE6AB8" w:rsidRPr="00143036" w:rsidRDefault="00C676F3" w:rsidP="00C74E97">
      <w:pPr>
        <w:spacing w:after="480" w:line="360" w:lineRule="auto"/>
        <w:jc w:val="both"/>
        <w:rPr>
          <w:rFonts w:cs="Arial"/>
          <w:b/>
          <w:szCs w:val="22"/>
        </w:rPr>
      </w:pPr>
      <w:r w:rsidRPr="00143036">
        <w:rPr>
          <w:rFonts w:cs="Arial"/>
          <w:b/>
          <w:szCs w:val="22"/>
        </w:rPr>
        <w:t>MOORCROFT</w:t>
      </w:r>
      <w:r w:rsidR="006C43D7" w:rsidRPr="00143036">
        <w:rPr>
          <w:rFonts w:cs="Arial"/>
          <w:b/>
          <w:szCs w:val="22"/>
        </w:rPr>
        <w:t xml:space="preserve"> AJ:</w:t>
      </w:r>
    </w:p>
    <w:p w14:paraId="09239A78" w14:textId="202EF25D" w:rsidR="00C460A0" w:rsidRPr="00143036" w:rsidRDefault="00C460A0" w:rsidP="00C74E97">
      <w:pPr>
        <w:keepNext/>
        <w:spacing w:after="480" w:line="360" w:lineRule="auto"/>
        <w:jc w:val="both"/>
        <w:rPr>
          <w:rFonts w:cs="Arial"/>
          <w:bCs/>
          <w:i/>
          <w:iCs/>
          <w:szCs w:val="22"/>
          <w:u w:val="single"/>
        </w:rPr>
      </w:pPr>
      <w:r w:rsidRPr="00143036">
        <w:rPr>
          <w:rFonts w:cs="Arial"/>
          <w:bCs/>
          <w:i/>
          <w:iCs/>
          <w:szCs w:val="22"/>
          <w:u w:val="single"/>
        </w:rPr>
        <w:lastRenderedPageBreak/>
        <w:t>Summary</w:t>
      </w:r>
    </w:p>
    <w:p w14:paraId="1A66B8E5" w14:textId="20FBDFD4" w:rsidR="00D252FD" w:rsidRPr="00143036" w:rsidRDefault="00D252FD" w:rsidP="00C74E97">
      <w:pPr>
        <w:keepNext/>
        <w:spacing w:after="480" w:line="360" w:lineRule="auto"/>
        <w:jc w:val="both"/>
        <w:rPr>
          <w:rFonts w:cs="Arial"/>
          <w:bCs/>
          <w:i/>
          <w:iCs/>
          <w:szCs w:val="22"/>
        </w:rPr>
      </w:pPr>
      <w:r w:rsidRPr="00143036">
        <w:rPr>
          <w:rFonts w:cs="Arial"/>
          <w:bCs/>
          <w:i/>
          <w:iCs/>
          <w:szCs w:val="22"/>
        </w:rPr>
        <w:t>Eviction –premises used for business of a school – agreement cancelled – applicant entitled to order ejecting the first and second respondents from commercial premises</w:t>
      </w:r>
    </w:p>
    <w:p w14:paraId="3C7A0B20" w14:textId="77777777" w:rsidR="000C4E07" w:rsidRPr="00143036" w:rsidRDefault="000C4E07" w:rsidP="00C74E97">
      <w:pPr>
        <w:spacing w:after="480" w:line="360" w:lineRule="auto"/>
        <w:jc w:val="both"/>
        <w:rPr>
          <w:rFonts w:cs="Arial"/>
          <w:bCs/>
          <w:i/>
          <w:iCs/>
          <w:szCs w:val="22"/>
        </w:rPr>
      </w:pPr>
    </w:p>
    <w:p w14:paraId="18AFD427" w14:textId="35E99A54" w:rsidR="00BE6AB8" w:rsidRPr="00143036" w:rsidRDefault="00BE6AB8" w:rsidP="00C74E97">
      <w:pPr>
        <w:keepNext/>
        <w:spacing w:after="480" w:line="360" w:lineRule="auto"/>
        <w:jc w:val="both"/>
        <w:rPr>
          <w:rFonts w:cs="Arial"/>
          <w:bCs/>
          <w:szCs w:val="22"/>
          <w:u w:val="single"/>
        </w:rPr>
      </w:pPr>
      <w:r w:rsidRPr="00143036">
        <w:rPr>
          <w:rFonts w:cs="Arial"/>
          <w:bCs/>
          <w:szCs w:val="22"/>
          <w:u w:val="single"/>
        </w:rPr>
        <w:t>Order</w:t>
      </w:r>
    </w:p>
    <w:p w14:paraId="25A66E53" w14:textId="785D3EDB" w:rsidR="00DC6EF8" w:rsidRPr="00143036" w:rsidRDefault="003B4100" w:rsidP="00C74E97">
      <w:pPr>
        <w:numPr>
          <w:ilvl w:val="0"/>
          <w:numId w:val="1"/>
        </w:numPr>
        <w:spacing w:after="480" w:line="360" w:lineRule="auto"/>
        <w:jc w:val="both"/>
        <w:rPr>
          <w:rFonts w:cs="Arial"/>
          <w:bCs/>
          <w:szCs w:val="22"/>
        </w:rPr>
      </w:pPr>
      <w:r w:rsidRPr="00143036">
        <w:rPr>
          <w:rFonts w:cs="Arial"/>
          <w:bCs/>
          <w:szCs w:val="22"/>
        </w:rPr>
        <w:t xml:space="preserve">In this </w:t>
      </w:r>
      <w:r w:rsidR="00B56906" w:rsidRPr="00143036">
        <w:rPr>
          <w:rFonts w:cs="Arial"/>
          <w:bCs/>
          <w:szCs w:val="22"/>
        </w:rPr>
        <w:t>matter</w:t>
      </w:r>
      <w:r w:rsidR="001A3C26" w:rsidRPr="00143036">
        <w:rPr>
          <w:rFonts w:cs="Arial"/>
          <w:bCs/>
          <w:szCs w:val="22"/>
        </w:rPr>
        <w:t xml:space="preserve"> I ma</w:t>
      </w:r>
      <w:r w:rsidR="00414786" w:rsidRPr="00143036">
        <w:rPr>
          <w:rFonts w:cs="Arial"/>
          <w:bCs/>
          <w:szCs w:val="22"/>
        </w:rPr>
        <w:t>d</w:t>
      </w:r>
      <w:r w:rsidR="001A3C26" w:rsidRPr="00143036">
        <w:rPr>
          <w:rFonts w:cs="Arial"/>
          <w:bCs/>
          <w:szCs w:val="22"/>
        </w:rPr>
        <w:t>e the following order</w:t>
      </w:r>
      <w:r w:rsidR="00414786" w:rsidRPr="00143036">
        <w:rPr>
          <w:rFonts w:cs="Arial"/>
          <w:bCs/>
          <w:szCs w:val="22"/>
        </w:rPr>
        <w:t xml:space="preserve"> on 23 June 2023</w:t>
      </w:r>
      <w:r w:rsidR="001A3C26" w:rsidRPr="00143036">
        <w:rPr>
          <w:rFonts w:cs="Arial"/>
          <w:bCs/>
          <w:szCs w:val="22"/>
        </w:rPr>
        <w:t>:</w:t>
      </w:r>
    </w:p>
    <w:p w14:paraId="6FE2F96E" w14:textId="77777777" w:rsidR="00414786" w:rsidRPr="00143036" w:rsidRDefault="00414786" w:rsidP="00414786">
      <w:pPr>
        <w:pStyle w:val="ListParagraph"/>
        <w:numPr>
          <w:ilvl w:val="0"/>
          <w:numId w:val="13"/>
        </w:numPr>
        <w:spacing w:before="120" w:after="120" w:line="360" w:lineRule="auto"/>
        <w:contextualSpacing w:val="0"/>
        <w:jc w:val="both"/>
        <w:rPr>
          <w:rFonts w:cs="Arial"/>
          <w:i/>
          <w:iCs/>
          <w:szCs w:val="22"/>
        </w:rPr>
      </w:pPr>
      <w:r w:rsidRPr="00143036">
        <w:rPr>
          <w:rFonts w:cs="Arial"/>
          <w:i/>
          <w:iCs/>
          <w:szCs w:val="22"/>
        </w:rPr>
        <w:t>Directing that the second applicant be permitted to represent the first applicant in the proceedings;</w:t>
      </w:r>
    </w:p>
    <w:p w14:paraId="7187D882" w14:textId="77777777" w:rsidR="00414786" w:rsidRPr="00143036" w:rsidRDefault="00414786" w:rsidP="00414786">
      <w:pPr>
        <w:pStyle w:val="ListParagraph"/>
        <w:numPr>
          <w:ilvl w:val="0"/>
          <w:numId w:val="13"/>
        </w:numPr>
        <w:spacing w:before="120" w:after="120" w:line="360" w:lineRule="auto"/>
        <w:contextualSpacing w:val="0"/>
        <w:jc w:val="both"/>
        <w:rPr>
          <w:rFonts w:cs="Arial"/>
          <w:i/>
          <w:iCs/>
          <w:szCs w:val="22"/>
        </w:rPr>
      </w:pPr>
      <w:r w:rsidRPr="00143036">
        <w:rPr>
          <w:rFonts w:cs="Arial"/>
          <w:i/>
          <w:iCs/>
          <w:szCs w:val="22"/>
        </w:rPr>
        <w:t>Ordering the first and second respondents and all who occupy by or through them to vacate the property situate at Erf No. 388, Portion No. 97 of the farm Diepsloot, Johannesburg, also known and described as Plot 97, Ridge Road, Diepsloot, Johannesburg before or on 30 September 2023;</w:t>
      </w:r>
    </w:p>
    <w:p w14:paraId="0389F4A2" w14:textId="77777777" w:rsidR="00414786" w:rsidRPr="00143036" w:rsidRDefault="00414786" w:rsidP="00414786">
      <w:pPr>
        <w:pStyle w:val="ListParagraph"/>
        <w:numPr>
          <w:ilvl w:val="0"/>
          <w:numId w:val="13"/>
        </w:numPr>
        <w:spacing w:before="120" w:after="120" w:line="360" w:lineRule="auto"/>
        <w:contextualSpacing w:val="0"/>
        <w:jc w:val="both"/>
        <w:rPr>
          <w:rFonts w:cs="Arial"/>
          <w:i/>
          <w:iCs/>
          <w:szCs w:val="22"/>
        </w:rPr>
      </w:pPr>
      <w:r w:rsidRPr="00143036">
        <w:rPr>
          <w:rFonts w:cs="Arial"/>
          <w:i/>
          <w:iCs/>
          <w:szCs w:val="22"/>
        </w:rPr>
        <w:t>Directing and authorising the Sheriff of the High Court to take such steps as are necessary to evict the first and second respondents and all who occupy by or through them in the event of any of them failing to vacate the property before or on 30 September 2023 or returning to occupy the property;</w:t>
      </w:r>
    </w:p>
    <w:p w14:paraId="5E7A92A3" w14:textId="77777777" w:rsidR="00414786" w:rsidRPr="00143036" w:rsidRDefault="00414786" w:rsidP="00414786">
      <w:pPr>
        <w:pStyle w:val="ListParagraph"/>
        <w:numPr>
          <w:ilvl w:val="0"/>
          <w:numId w:val="13"/>
        </w:numPr>
        <w:spacing w:before="120" w:after="120" w:line="360" w:lineRule="auto"/>
        <w:contextualSpacing w:val="0"/>
        <w:jc w:val="both"/>
        <w:rPr>
          <w:rFonts w:cs="Arial"/>
          <w:i/>
          <w:iCs/>
          <w:szCs w:val="22"/>
        </w:rPr>
      </w:pPr>
      <w:r w:rsidRPr="00143036">
        <w:rPr>
          <w:rFonts w:cs="Arial"/>
          <w:i/>
          <w:iCs/>
          <w:szCs w:val="22"/>
        </w:rPr>
        <w:t>Directing the first and second respondents to return all keys to the property to the first applicant on or before 30 September 2023.</w:t>
      </w:r>
    </w:p>
    <w:p w14:paraId="3AF61580" w14:textId="77777777" w:rsidR="000264AE" w:rsidRPr="00143036" w:rsidRDefault="000264AE" w:rsidP="00733F0D">
      <w:pPr>
        <w:rPr>
          <w:rFonts w:cs="Arial"/>
          <w:szCs w:val="22"/>
        </w:rPr>
      </w:pPr>
    </w:p>
    <w:p w14:paraId="08540072" w14:textId="67AF2A53" w:rsidR="00C9310B" w:rsidRPr="00143036" w:rsidRDefault="00573FF9" w:rsidP="00C74E97">
      <w:pPr>
        <w:pStyle w:val="ListParagraph"/>
        <w:widowControl w:val="0"/>
        <w:numPr>
          <w:ilvl w:val="0"/>
          <w:numId w:val="1"/>
        </w:numPr>
        <w:spacing w:before="480" w:after="480" w:line="360" w:lineRule="auto"/>
        <w:contextualSpacing w:val="0"/>
        <w:jc w:val="both"/>
        <w:rPr>
          <w:rFonts w:cs="Arial"/>
          <w:bCs/>
          <w:szCs w:val="22"/>
          <w:u w:val="single"/>
        </w:rPr>
      </w:pPr>
      <w:r w:rsidRPr="00143036">
        <w:rPr>
          <w:rFonts w:cs="Arial"/>
          <w:bCs/>
          <w:szCs w:val="22"/>
        </w:rPr>
        <w:t xml:space="preserve">The reasons for the order </w:t>
      </w:r>
      <w:r w:rsidR="00A63709" w:rsidRPr="00143036">
        <w:rPr>
          <w:rFonts w:cs="Arial"/>
          <w:bCs/>
          <w:szCs w:val="22"/>
        </w:rPr>
        <w:t>follow</w:t>
      </w:r>
      <w:r w:rsidRPr="00143036">
        <w:rPr>
          <w:rFonts w:cs="Arial"/>
          <w:bCs/>
          <w:szCs w:val="22"/>
        </w:rPr>
        <w:t xml:space="preserve"> below.</w:t>
      </w:r>
    </w:p>
    <w:p w14:paraId="1E7B5A2D" w14:textId="77777777" w:rsidR="00F60C92" w:rsidRPr="00143036" w:rsidRDefault="00F60C92" w:rsidP="00C74E97">
      <w:pPr>
        <w:keepNext/>
        <w:widowControl w:val="0"/>
        <w:spacing w:before="480" w:after="480" w:line="360" w:lineRule="auto"/>
        <w:jc w:val="both"/>
        <w:rPr>
          <w:rFonts w:cs="Arial"/>
          <w:bCs/>
          <w:szCs w:val="22"/>
          <w:u w:val="single"/>
        </w:rPr>
      </w:pPr>
    </w:p>
    <w:p w14:paraId="3658C913" w14:textId="735BA950" w:rsidR="00573FF9" w:rsidRPr="00143036" w:rsidRDefault="00D9086C" w:rsidP="00C74E97">
      <w:pPr>
        <w:keepNext/>
        <w:widowControl w:val="0"/>
        <w:spacing w:before="480" w:after="480" w:line="360" w:lineRule="auto"/>
        <w:jc w:val="both"/>
        <w:rPr>
          <w:rFonts w:cs="Arial"/>
          <w:bCs/>
          <w:szCs w:val="22"/>
          <w:u w:val="single"/>
        </w:rPr>
      </w:pPr>
      <w:r w:rsidRPr="00143036">
        <w:rPr>
          <w:rFonts w:cs="Arial"/>
          <w:bCs/>
          <w:szCs w:val="22"/>
          <w:u w:val="single"/>
        </w:rPr>
        <w:t>Introduction</w:t>
      </w:r>
      <w:r w:rsidR="00F60C92" w:rsidRPr="00143036">
        <w:rPr>
          <w:rFonts w:cs="Arial"/>
          <w:bCs/>
          <w:szCs w:val="22"/>
          <w:u w:val="single"/>
        </w:rPr>
        <w:t>: Urgency</w:t>
      </w:r>
    </w:p>
    <w:p w14:paraId="2BAB4CE2" w14:textId="54680462" w:rsidR="007D3956" w:rsidRPr="00143036" w:rsidRDefault="007D3956" w:rsidP="000C4E07">
      <w:pPr>
        <w:widowControl w:val="0"/>
        <w:numPr>
          <w:ilvl w:val="0"/>
          <w:numId w:val="1"/>
        </w:numPr>
        <w:spacing w:before="480" w:after="480" w:line="360" w:lineRule="auto"/>
        <w:jc w:val="both"/>
        <w:rPr>
          <w:rFonts w:cs="Arial"/>
          <w:bCs/>
          <w:szCs w:val="22"/>
        </w:rPr>
      </w:pPr>
      <w:r w:rsidRPr="00143036">
        <w:rPr>
          <w:rFonts w:cs="Arial"/>
          <w:bCs/>
          <w:szCs w:val="22"/>
        </w:rPr>
        <w:t>This is an urgent application for the ejectment of the first and second respondents</w:t>
      </w:r>
      <w:r w:rsidR="00F60C92" w:rsidRPr="00143036">
        <w:rPr>
          <w:rFonts w:cs="Arial"/>
          <w:bCs/>
          <w:szCs w:val="22"/>
        </w:rPr>
        <w:t xml:space="preserve"> </w:t>
      </w:r>
      <w:r w:rsidRPr="00143036">
        <w:rPr>
          <w:rFonts w:cs="Arial"/>
          <w:bCs/>
          <w:szCs w:val="22"/>
        </w:rPr>
        <w:t xml:space="preserve">from the applicant’s </w:t>
      </w:r>
      <w:r w:rsidR="00F86D63" w:rsidRPr="00143036">
        <w:rPr>
          <w:rFonts w:cs="Arial"/>
          <w:bCs/>
          <w:szCs w:val="22"/>
        </w:rPr>
        <w:t>commercial</w:t>
      </w:r>
      <w:r w:rsidRPr="00143036">
        <w:rPr>
          <w:rFonts w:cs="Arial"/>
          <w:bCs/>
          <w:szCs w:val="22"/>
        </w:rPr>
        <w:t xml:space="preserve"> premises situate at </w:t>
      </w:r>
      <w:r w:rsidRPr="00143036">
        <w:rPr>
          <w:rFonts w:cs="Arial"/>
          <w:szCs w:val="22"/>
        </w:rPr>
        <w:t>Erf No. 388, Portion No. 97 of the farm Diepsloot, Johannesburg</w:t>
      </w:r>
      <w:r w:rsidRPr="00143036">
        <w:rPr>
          <w:rFonts w:cs="Arial"/>
          <w:bCs/>
          <w:szCs w:val="22"/>
        </w:rPr>
        <w:t>.</w:t>
      </w:r>
    </w:p>
    <w:p w14:paraId="6CB08FBE" w14:textId="77777777" w:rsidR="00F60C92" w:rsidRPr="00143036" w:rsidRDefault="00F60C92" w:rsidP="00F60C92">
      <w:pPr>
        <w:widowControl w:val="0"/>
        <w:numPr>
          <w:ilvl w:val="0"/>
          <w:numId w:val="1"/>
        </w:numPr>
        <w:spacing w:before="480" w:after="480" w:line="360" w:lineRule="auto"/>
        <w:jc w:val="both"/>
        <w:rPr>
          <w:rFonts w:cs="Arial"/>
          <w:bCs/>
          <w:szCs w:val="22"/>
        </w:rPr>
      </w:pPr>
      <w:r w:rsidRPr="00143036">
        <w:rPr>
          <w:rFonts w:cs="Arial"/>
          <w:bCs/>
          <w:szCs w:val="22"/>
        </w:rPr>
        <w:lastRenderedPageBreak/>
        <w:t>The application came before me on Tuesday, 13 June 2023. I stood the matter down until Thursday, 15 June 2023 at 10h00 and gave directions for the filing of answering and replying affidavits.</w:t>
      </w:r>
    </w:p>
    <w:p w14:paraId="4C874CE8" w14:textId="77777777" w:rsidR="00F60C92" w:rsidRPr="00143036" w:rsidRDefault="00F60C92" w:rsidP="00F60C92">
      <w:pPr>
        <w:widowControl w:val="0"/>
        <w:numPr>
          <w:ilvl w:val="0"/>
          <w:numId w:val="1"/>
        </w:numPr>
        <w:spacing w:before="480" w:after="480" w:line="360" w:lineRule="auto"/>
        <w:jc w:val="both"/>
        <w:rPr>
          <w:rFonts w:cs="Arial"/>
          <w:bCs/>
          <w:szCs w:val="22"/>
        </w:rPr>
      </w:pPr>
      <w:r w:rsidRPr="00143036">
        <w:rPr>
          <w:rFonts w:cs="Arial"/>
          <w:bCs/>
          <w:szCs w:val="22"/>
        </w:rPr>
        <w:t>The first, second and third respondents (“the respondents”) argued that the matter was not of sufficient urgency to merit a hearing in the Urgent Court.</w:t>
      </w:r>
    </w:p>
    <w:p w14:paraId="7D9E34DF" w14:textId="00F2CD72" w:rsidR="00F60C92" w:rsidRPr="00143036" w:rsidRDefault="00F60C92" w:rsidP="00F60C92">
      <w:pPr>
        <w:widowControl w:val="0"/>
        <w:numPr>
          <w:ilvl w:val="0"/>
          <w:numId w:val="1"/>
        </w:numPr>
        <w:spacing w:before="480" w:after="480" w:line="360" w:lineRule="auto"/>
        <w:jc w:val="both"/>
        <w:rPr>
          <w:rFonts w:cs="Arial"/>
          <w:bCs/>
          <w:szCs w:val="22"/>
        </w:rPr>
      </w:pPr>
      <w:r w:rsidRPr="00143036">
        <w:rPr>
          <w:rFonts w:cs="Arial"/>
          <w:bCs/>
          <w:szCs w:val="22"/>
        </w:rPr>
        <w:t xml:space="preserve">I found that the matter was indeed one of commercial urgency. The property, the occupation of which forms the subject of the application, has been sold and transfer to the purchaser is expected to take place in August 2023. The applicant as seller is under an obligation to provide the purchaser with the occupation of the property bought and paid for. </w:t>
      </w:r>
    </w:p>
    <w:p w14:paraId="395F51FD" w14:textId="063FEDF9" w:rsidR="00F60C92" w:rsidRPr="00143036" w:rsidRDefault="00F60C92" w:rsidP="00F60C92">
      <w:pPr>
        <w:widowControl w:val="0"/>
        <w:numPr>
          <w:ilvl w:val="0"/>
          <w:numId w:val="1"/>
        </w:numPr>
        <w:spacing w:before="480" w:after="480" w:line="360" w:lineRule="auto"/>
        <w:jc w:val="both"/>
        <w:rPr>
          <w:rFonts w:cs="Arial"/>
          <w:bCs/>
          <w:szCs w:val="22"/>
        </w:rPr>
      </w:pPr>
      <w:r w:rsidRPr="00143036">
        <w:rPr>
          <w:rFonts w:cs="Arial"/>
          <w:bCs/>
          <w:szCs w:val="22"/>
        </w:rPr>
        <w:t>It is not disputed that the first and second respondents have refused to vacate the property and have not been meeting their financial obligations. The first and second respondent use the property to earn revenue but without paying rent.</w:t>
      </w:r>
    </w:p>
    <w:p w14:paraId="5EC8CF3E" w14:textId="77777777" w:rsidR="006F6748" w:rsidRPr="00143036" w:rsidRDefault="00F60C92" w:rsidP="00F60C92">
      <w:pPr>
        <w:widowControl w:val="0"/>
        <w:numPr>
          <w:ilvl w:val="0"/>
          <w:numId w:val="1"/>
        </w:numPr>
        <w:spacing w:before="480" w:after="480" w:line="360" w:lineRule="auto"/>
        <w:jc w:val="both"/>
        <w:rPr>
          <w:rFonts w:cs="Arial"/>
          <w:bCs/>
          <w:szCs w:val="22"/>
        </w:rPr>
      </w:pPr>
      <w:r w:rsidRPr="00143036">
        <w:rPr>
          <w:rFonts w:cs="Arial"/>
          <w:bCs/>
          <w:szCs w:val="22"/>
        </w:rPr>
        <w:t>The applicant made a last attempt to resolve the issue without having to approach the Court on 21 May 2023, but without success.</w:t>
      </w:r>
    </w:p>
    <w:p w14:paraId="18D91DDF" w14:textId="7FF465E0" w:rsidR="00F60C92" w:rsidRPr="00143036" w:rsidRDefault="006F6748" w:rsidP="00F60C92">
      <w:pPr>
        <w:widowControl w:val="0"/>
        <w:numPr>
          <w:ilvl w:val="0"/>
          <w:numId w:val="1"/>
        </w:numPr>
        <w:spacing w:before="480" w:after="480" w:line="360" w:lineRule="auto"/>
        <w:jc w:val="both"/>
        <w:rPr>
          <w:rFonts w:cs="Arial"/>
          <w:bCs/>
          <w:szCs w:val="22"/>
        </w:rPr>
      </w:pPr>
      <w:r w:rsidRPr="00143036">
        <w:rPr>
          <w:rFonts w:cs="Arial"/>
          <w:bCs/>
          <w:szCs w:val="22"/>
        </w:rPr>
        <w:t xml:space="preserve">Reference is made in the papers to ‘boarders’ at the school but this aspect was not addressed in argument. Nothing in this judgment affects the rights of </w:t>
      </w:r>
      <w:r w:rsidR="00D252FD" w:rsidRPr="00143036">
        <w:rPr>
          <w:rFonts w:cs="Arial"/>
          <w:bCs/>
          <w:szCs w:val="22"/>
        </w:rPr>
        <w:t xml:space="preserve">and protection afforded to </w:t>
      </w:r>
      <w:r w:rsidRPr="00143036">
        <w:rPr>
          <w:rFonts w:cs="Arial"/>
          <w:bCs/>
          <w:szCs w:val="22"/>
        </w:rPr>
        <w:t xml:space="preserve">any person by the </w:t>
      </w:r>
      <w:r w:rsidRPr="00143036">
        <w:rPr>
          <w:rFonts w:cs="Arial"/>
          <w:szCs w:val="22"/>
        </w:rPr>
        <w:t>Prevention of Illegal Eviction from and Unlawful Occupation of Land Act, 19 of 1998.</w:t>
      </w:r>
    </w:p>
    <w:p w14:paraId="772FE03D" w14:textId="77777777" w:rsidR="007D3956" w:rsidRPr="00143036" w:rsidRDefault="007D3956" w:rsidP="00575B68">
      <w:pPr>
        <w:widowControl w:val="0"/>
        <w:spacing w:before="480" w:after="480" w:line="360" w:lineRule="auto"/>
        <w:jc w:val="both"/>
        <w:rPr>
          <w:rFonts w:cs="Arial"/>
          <w:bCs/>
          <w:szCs w:val="22"/>
          <w:u w:val="single"/>
        </w:rPr>
      </w:pPr>
    </w:p>
    <w:p w14:paraId="055C60E0" w14:textId="5D37854D" w:rsidR="00414786" w:rsidRPr="00143036" w:rsidRDefault="00575B68" w:rsidP="00575B68">
      <w:pPr>
        <w:widowControl w:val="0"/>
        <w:spacing w:before="480" w:after="480" w:line="360" w:lineRule="auto"/>
        <w:jc w:val="both"/>
        <w:rPr>
          <w:rFonts w:cs="Arial"/>
          <w:bCs/>
          <w:szCs w:val="22"/>
          <w:u w:val="single"/>
        </w:rPr>
      </w:pPr>
      <w:r w:rsidRPr="00143036">
        <w:rPr>
          <w:rFonts w:cs="Arial"/>
          <w:bCs/>
          <w:szCs w:val="22"/>
          <w:u w:val="single"/>
        </w:rPr>
        <w:t xml:space="preserve">The </w:t>
      </w:r>
      <w:r w:rsidR="00B03811" w:rsidRPr="00143036">
        <w:rPr>
          <w:rFonts w:cs="Arial"/>
          <w:bCs/>
          <w:szCs w:val="22"/>
          <w:u w:val="single"/>
        </w:rPr>
        <w:t>second applicant’s application for leave to appear on the behalf of the first applicant</w:t>
      </w:r>
    </w:p>
    <w:p w14:paraId="6F610D53" w14:textId="0B1316EA" w:rsidR="00575B68" w:rsidRPr="00143036" w:rsidRDefault="00575B68" w:rsidP="00F11329">
      <w:pPr>
        <w:widowControl w:val="0"/>
        <w:numPr>
          <w:ilvl w:val="0"/>
          <w:numId w:val="1"/>
        </w:numPr>
        <w:autoSpaceDE w:val="0"/>
        <w:autoSpaceDN w:val="0"/>
        <w:adjustRightInd w:val="0"/>
        <w:spacing w:before="480" w:after="480" w:line="360" w:lineRule="auto"/>
        <w:jc w:val="both"/>
        <w:rPr>
          <w:rFonts w:cs="Arial"/>
          <w:i/>
          <w:iCs/>
          <w:szCs w:val="22"/>
          <w:lang w:eastAsia="en-ZA"/>
        </w:rPr>
      </w:pPr>
      <w:r w:rsidRPr="00143036">
        <w:rPr>
          <w:rFonts w:cs="Arial"/>
          <w:bCs/>
          <w:szCs w:val="22"/>
        </w:rPr>
        <w:t>The second applicant is a qualified and admitted advocate</w:t>
      </w:r>
      <w:r w:rsidR="002F250D" w:rsidRPr="00143036">
        <w:rPr>
          <w:rFonts w:cs="Arial"/>
          <w:bCs/>
          <w:szCs w:val="22"/>
        </w:rPr>
        <w:t xml:space="preserve"> and the </w:t>
      </w:r>
      <w:r w:rsidR="00F86D63" w:rsidRPr="00143036">
        <w:rPr>
          <w:rFonts w:cs="Arial"/>
          <w:bCs/>
          <w:szCs w:val="22"/>
        </w:rPr>
        <w:t>sole</w:t>
      </w:r>
      <w:r w:rsidR="002F250D" w:rsidRPr="00143036">
        <w:rPr>
          <w:rFonts w:cs="Arial"/>
          <w:bCs/>
          <w:szCs w:val="22"/>
        </w:rPr>
        <w:t xml:space="preserve"> director of the first applicant</w:t>
      </w:r>
      <w:r w:rsidR="00D252FD" w:rsidRPr="00143036">
        <w:rPr>
          <w:rFonts w:cs="Arial"/>
          <w:bCs/>
          <w:szCs w:val="22"/>
        </w:rPr>
        <w:t xml:space="preserve"> (“the applicant”)</w:t>
      </w:r>
      <w:r w:rsidR="002F250D" w:rsidRPr="00143036">
        <w:rPr>
          <w:rFonts w:cs="Arial"/>
          <w:bCs/>
          <w:szCs w:val="22"/>
        </w:rPr>
        <w:t>.</w:t>
      </w:r>
      <w:r w:rsidR="00F60C92" w:rsidRPr="00143036">
        <w:rPr>
          <w:rFonts w:cs="Arial"/>
          <w:bCs/>
          <w:szCs w:val="22"/>
        </w:rPr>
        <w:t xml:space="preserve"> He is not in private practice and is not briefed by an attorney in this matter.</w:t>
      </w:r>
      <w:r w:rsidR="00F60C92" w:rsidRPr="00143036">
        <w:rPr>
          <w:rStyle w:val="FootnoteReference"/>
          <w:rFonts w:cs="Arial"/>
          <w:bCs/>
          <w:szCs w:val="22"/>
        </w:rPr>
        <w:footnoteReference w:id="1"/>
      </w:r>
      <w:r w:rsidR="002F250D" w:rsidRPr="00143036">
        <w:rPr>
          <w:rFonts w:cs="Arial"/>
          <w:bCs/>
          <w:szCs w:val="22"/>
        </w:rPr>
        <w:t xml:space="preserve"> </w:t>
      </w:r>
      <w:r w:rsidR="00F60C92" w:rsidRPr="00143036">
        <w:rPr>
          <w:rFonts w:cs="Arial"/>
          <w:bCs/>
          <w:szCs w:val="22"/>
        </w:rPr>
        <w:t>The sole shareholder of the applicant is a trust</w:t>
      </w:r>
      <w:r w:rsidR="00D252FD" w:rsidRPr="00143036">
        <w:rPr>
          <w:rFonts w:cs="Arial"/>
          <w:bCs/>
          <w:szCs w:val="22"/>
        </w:rPr>
        <w:t xml:space="preserve"> that</w:t>
      </w:r>
      <w:r w:rsidR="00F60C92" w:rsidRPr="00143036">
        <w:rPr>
          <w:rFonts w:cs="Arial"/>
          <w:bCs/>
          <w:szCs w:val="22"/>
        </w:rPr>
        <w:t xml:space="preserve"> he is the </w:t>
      </w:r>
      <w:r w:rsidR="00F60C92" w:rsidRPr="00143036">
        <w:rPr>
          <w:rFonts w:cs="Arial"/>
          <w:bCs/>
          <w:szCs w:val="22"/>
        </w:rPr>
        <w:lastRenderedPageBreak/>
        <w:t xml:space="preserve">representative of and the applicant is his </w:t>
      </w:r>
      <w:r w:rsidR="00F60C92" w:rsidRPr="00143036">
        <w:rPr>
          <w:rFonts w:cs="Arial"/>
          <w:bCs/>
          <w:i/>
          <w:iCs/>
          <w:szCs w:val="22"/>
        </w:rPr>
        <w:t>alter ego</w:t>
      </w:r>
      <w:r w:rsidR="00F60C92" w:rsidRPr="00143036">
        <w:rPr>
          <w:rFonts w:cs="Arial"/>
          <w:bCs/>
          <w:szCs w:val="22"/>
        </w:rPr>
        <w:t xml:space="preserve"> in business.</w:t>
      </w:r>
      <w:r w:rsidR="00C13C4E" w:rsidRPr="00143036">
        <w:rPr>
          <w:rFonts w:cs="Arial"/>
          <w:bCs/>
          <w:szCs w:val="22"/>
        </w:rPr>
        <w:t xml:space="preserve"> </w:t>
      </w:r>
    </w:p>
    <w:p w14:paraId="54FAD9E0" w14:textId="77777777" w:rsidR="00F60C92" w:rsidRPr="00143036" w:rsidRDefault="00575B68" w:rsidP="0073367D">
      <w:pPr>
        <w:widowControl w:val="0"/>
        <w:numPr>
          <w:ilvl w:val="0"/>
          <w:numId w:val="1"/>
        </w:numPr>
        <w:autoSpaceDE w:val="0"/>
        <w:autoSpaceDN w:val="0"/>
        <w:adjustRightInd w:val="0"/>
        <w:spacing w:before="480" w:after="480" w:line="360" w:lineRule="auto"/>
        <w:jc w:val="both"/>
        <w:rPr>
          <w:rFonts w:cs="Arial"/>
          <w:bCs/>
          <w:szCs w:val="22"/>
        </w:rPr>
      </w:pPr>
      <w:r w:rsidRPr="00143036">
        <w:rPr>
          <w:rFonts w:cs="Arial"/>
          <w:bCs/>
          <w:szCs w:val="22"/>
        </w:rPr>
        <w:t xml:space="preserve">It was held in </w:t>
      </w:r>
      <w:r w:rsidRPr="00143036">
        <w:rPr>
          <w:rFonts w:cs="Arial"/>
          <w:bCs/>
          <w:i/>
          <w:iCs/>
          <w:szCs w:val="22"/>
        </w:rPr>
        <w:t>Y</w:t>
      </w:r>
      <w:r w:rsidRPr="00143036">
        <w:rPr>
          <w:rFonts w:cs="Arial"/>
          <w:i/>
          <w:iCs/>
          <w:szCs w:val="22"/>
          <w:lang w:eastAsia="en-ZA"/>
        </w:rPr>
        <w:t>ates Investments (Pty) Ltd v Commissioner for Inland Revenue</w:t>
      </w:r>
      <w:r w:rsidR="00DA00A3" w:rsidRPr="00143036">
        <w:rPr>
          <w:rStyle w:val="FootnoteReference"/>
          <w:rFonts w:cs="Arial"/>
          <w:i/>
          <w:iCs/>
          <w:szCs w:val="22"/>
          <w:lang w:eastAsia="en-ZA"/>
        </w:rPr>
        <w:footnoteReference w:id="2"/>
      </w:r>
      <w:r w:rsidR="00DA00A3" w:rsidRPr="00143036">
        <w:rPr>
          <w:rFonts w:cs="Arial"/>
          <w:i/>
          <w:iCs/>
          <w:szCs w:val="22"/>
          <w:lang w:eastAsia="en-ZA"/>
        </w:rPr>
        <w:t xml:space="preserve"> </w:t>
      </w:r>
      <w:r w:rsidR="00DA00A3" w:rsidRPr="00143036">
        <w:rPr>
          <w:rFonts w:cs="Arial"/>
          <w:szCs w:val="22"/>
          <w:lang w:eastAsia="en-ZA"/>
        </w:rPr>
        <w:t xml:space="preserve">that a company must be represented by counsel in court proceedings. The Appeal Court did </w:t>
      </w:r>
      <w:r w:rsidR="00C13C4E" w:rsidRPr="00143036">
        <w:rPr>
          <w:rFonts w:cs="Arial"/>
          <w:szCs w:val="22"/>
          <w:lang w:eastAsia="en-ZA"/>
        </w:rPr>
        <w:t xml:space="preserve">not </w:t>
      </w:r>
      <w:r w:rsidR="00DA00A3" w:rsidRPr="00143036">
        <w:rPr>
          <w:rFonts w:cs="Arial"/>
          <w:szCs w:val="22"/>
          <w:lang w:eastAsia="en-ZA"/>
        </w:rPr>
        <w:t>however address the question of a judicial discretion to allow a company to be represented by a</w:t>
      </w:r>
      <w:r w:rsidR="00B03811" w:rsidRPr="00143036">
        <w:rPr>
          <w:rFonts w:cs="Arial"/>
          <w:szCs w:val="22"/>
          <w:lang w:eastAsia="en-ZA"/>
        </w:rPr>
        <w:t xml:space="preserve"> director</w:t>
      </w:r>
      <w:r w:rsidR="00DA00A3" w:rsidRPr="00143036">
        <w:rPr>
          <w:rFonts w:cs="Arial"/>
          <w:szCs w:val="22"/>
          <w:lang w:eastAsia="en-ZA"/>
        </w:rPr>
        <w:t xml:space="preserve"> of the company</w:t>
      </w:r>
      <w:r w:rsidR="00C13C4E" w:rsidRPr="00143036">
        <w:rPr>
          <w:rFonts w:cs="Arial"/>
          <w:szCs w:val="22"/>
          <w:lang w:eastAsia="en-ZA"/>
        </w:rPr>
        <w:t xml:space="preserve"> under appropriate circumstances.</w:t>
      </w:r>
      <w:r w:rsidR="00DA00A3" w:rsidRPr="00143036">
        <w:rPr>
          <w:rFonts w:cs="Arial"/>
          <w:szCs w:val="22"/>
          <w:lang w:eastAsia="en-ZA"/>
        </w:rPr>
        <w:t xml:space="preserve"> </w:t>
      </w:r>
    </w:p>
    <w:p w14:paraId="45A2A546" w14:textId="5A31A5F3" w:rsidR="00575B68" w:rsidRPr="00143036" w:rsidRDefault="00D252FD" w:rsidP="0073367D">
      <w:pPr>
        <w:widowControl w:val="0"/>
        <w:numPr>
          <w:ilvl w:val="0"/>
          <w:numId w:val="1"/>
        </w:numPr>
        <w:autoSpaceDE w:val="0"/>
        <w:autoSpaceDN w:val="0"/>
        <w:adjustRightInd w:val="0"/>
        <w:spacing w:before="480" w:after="480" w:line="360" w:lineRule="auto"/>
        <w:jc w:val="both"/>
        <w:rPr>
          <w:rFonts w:cs="Arial"/>
          <w:bCs/>
          <w:szCs w:val="22"/>
        </w:rPr>
      </w:pPr>
      <w:r w:rsidRPr="00143036">
        <w:rPr>
          <w:rFonts w:cs="Arial"/>
          <w:szCs w:val="22"/>
          <w:lang w:eastAsia="en-ZA"/>
        </w:rPr>
        <w:t>This question was considered by the Supreme Court of Appeal i</w:t>
      </w:r>
      <w:r w:rsidR="004307E7" w:rsidRPr="00143036">
        <w:rPr>
          <w:rFonts w:cs="Arial"/>
          <w:szCs w:val="22"/>
          <w:lang w:eastAsia="en-ZA"/>
        </w:rPr>
        <w:t xml:space="preserve">n </w:t>
      </w:r>
      <w:r w:rsidR="00C13C4E" w:rsidRPr="00143036">
        <w:rPr>
          <w:rFonts w:eastAsia="Arial-BoldMT" w:cs="Arial"/>
          <w:i/>
          <w:iCs/>
          <w:szCs w:val="22"/>
        </w:rPr>
        <w:t>Manong v M</w:t>
      </w:r>
      <w:r w:rsidR="00C13C4E" w:rsidRPr="00143036">
        <w:rPr>
          <w:rFonts w:eastAsia="Arial-BoldMT" w:cs="Arial"/>
          <w:i/>
          <w:iCs/>
          <w:color w:val="000000" w:themeColor="text1"/>
          <w:szCs w:val="22"/>
        </w:rPr>
        <w:t>inister of Public Works</w:t>
      </w:r>
      <w:r w:rsidRPr="00143036">
        <w:rPr>
          <w:rFonts w:cs="Arial"/>
          <w:szCs w:val="22"/>
          <w:lang w:eastAsia="en-ZA"/>
        </w:rPr>
        <w:t>.</w:t>
      </w:r>
      <w:r w:rsidR="00C13C4E" w:rsidRPr="00143036">
        <w:rPr>
          <w:rStyle w:val="FootnoteReference"/>
          <w:rFonts w:cs="Arial"/>
          <w:szCs w:val="22"/>
          <w:lang w:eastAsia="en-ZA"/>
        </w:rPr>
        <w:footnoteReference w:id="3"/>
      </w:r>
      <w:r w:rsidR="004307E7" w:rsidRPr="00143036">
        <w:rPr>
          <w:rFonts w:cs="Arial"/>
          <w:szCs w:val="22"/>
          <w:lang w:eastAsia="en-ZA"/>
        </w:rPr>
        <w:t xml:space="preserve"> </w:t>
      </w:r>
      <w:r w:rsidR="00443D97" w:rsidRPr="00143036">
        <w:rPr>
          <w:rFonts w:cs="Arial"/>
          <w:szCs w:val="22"/>
          <w:lang w:eastAsia="en-ZA"/>
        </w:rPr>
        <w:t>Ponnan JA</w:t>
      </w:r>
      <w:r w:rsidR="004307E7" w:rsidRPr="00143036">
        <w:rPr>
          <w:rFonts w:cs="Arial"/>
          <w:szCs w:val="22"/>
          <w:lang w:eastAsia="en-ZA"/>
        </w:rPr>
        <w:t xml:space="preserve"> referred to the following dictum by </w:t>
      </w:r>
      <w:r w:rsidR="00F801E3" w:rsidRPr="00143036">
        <w:rPr>
          <w:rFonts w:cs="Arial"/>
          <w:szCs w:val="22"/>
          <w:lang w:eastAsia="en-ZA"/>
        </w:rPr>
        <w:t xml:space="preserve">Lord </w:t>
      </w:r>
      <w:r w:rsidR="004307E7" w:rsidRPr="00143036">
        <w:rPr>
          <w:rFonts w:cs="Arial"/>
          <w:szCs w:val="22"/>
          <w:lang w:eastAsia="en-ZA"/>
        </w:rPr>
        <w:t>Denning MR:</w:t>
      </w:r>
      <w:r w:rsidR="00AF2D03" w:rsidRPr="00143036">
        <w:rPr>
          <w:rStyle w:val="FootnoteReference"/>
          <w:rFonts w:cs="Arial"/>
          <w:szCs w:val="22"/>
          <w:lang w:eastAsia="en-ZA"/>
        </w:rPr>
        <w:footnoteReference w:id="4"/>
      </w:r>
    </w:p>
    <w:p w14:paraId="54FE1CBA" w14:textId="0948FF3B" w:rsidR="004307E7" w:rsidRPr="00143036" w:rsidRDefault="00F801E3" w:rsidP="00F801E3">
      <w:pPr>
        <w:widowControl w:val="0"/>
        <w:autoSpaceDE w:val="0"/>
        <w:autoSpaceDN w:val="0"/>
        <w:adjustRightInd w:val="0"/>
        <w:spacing w:before="480" w:after="480" w:line="360" w:lineRule="auto"/>
        <w:ind w:left="720"/>
        <w:jc w:val="both"/>
        <w:rPr>
          <w:rFonts w:cs="Arial"/>
          <w:bCs/>
          <w:i/>
          <w:iCs/>
          <w:szCs w:val="22"/>
        </w:rPr>
      </w:pPr>
      <w:r w:rsidRPr="00143036">
        <w:rPr>
          <w:rFonts w:cs="Arial"/>
          <w:i/>
          <w:iCs/>
          <w:szCs w:val="22"/>
        </w:rPr>
        <w:t>“It is well settled that every court of justice has the power of regulating its own proceedings; and, in doing so, to say whom it will hear as an advocate or representative of a party before it. As Parke J said in Collier v Hicks ((1831) 2 B &amp; Ad 663 at 672, 109 ER 1290 at 1293): "No person has a right to act as an advocate without the leave of the Court, which must of necessity have the power of regulating its own proceedings in all cases when they are not already regulated by ancient usage".</w:t>
      </w:r>
    </w:p>
    <w:p w14:paraId="4E12D912" w14:textId="46CCF117" w:rsidR="00F801E3" w:rsidRPr="00143036" w:rsidRDefault="00F801E3" w:rsidP="0073367D">
      <w:pPr>
        <w:widowControl w:val="0"/>
        <w:numPr>
          <w:ilvl w:val="0"/>
          <w:numId w:val="1"/>
        </w:numPr>
        <w:autoSpaceDE w:val="0"/>
        <w:autoSpaceDN w:val="0"/>
        <w:adjustRightInd w:val="0"/>
        <w:spacing w:before="480" w:after="480" w:line="360" w:lineRule="auto"/>
        <w:jc w:val="both"/>
        <w:rPr>
          <w:rFonts w:cs="Arial"/>
          <w:bCs/>
          <w:szCs w:val="22"/>
        </w:rPr>
      </w:pPr>
      <w:r w:rsidRPr="00143036">
        <w:rPr>
          <w:rFonts w:cs="Arial"/>
          <w:bCs/>
          <w:szCs w:val="22"/>
        </w:rPr>
        <w:t xml:space="preserve">In South Africa the power of the High Court to regulate its own process is </w:t>
      </w:r>
      <w:r w:rsidR="00443D97" w:rsidRPr="00143036">
        <w:rPr>
          <w:rFonts w:cs="Arial"/>
          <w:bCs/>
          <w:szCs w:val="22"/>
        </w:rPr>
        <w:t>regulated</w:t>
      </w:r>
      <w:r w:rsidRPr="00143036">
        <w:rPr>
          <w:rFonts w:cs="Arial"/>
          <w:bCs/>
          <w:szCs w:val="22"/>
        </w:rPr>
        <w:t xml:space="preserve"> by section 173 of the Constitution</w:t>
      </w:r>
      <w:r w:rsidR="00AF2D03" w:rsidRPr="00143036">
        <w:rPr>
          <w:rFonts w:cs="Arial"/>
          <w:bCs/>
          <w:szCs w:val="22"/>
        </w:rPr>
        <w:t xml:space="preserve"> of the Republic of South Africa</w:t>
      </w:r>
      <w:r w:rsidRPr="00143036">
        <w:rPr>
          <w:rFonts w:cs="Arial"/>
          <w:bCs/>
          <w:szCs w:val="22"/>
        </w:rPr>
        <w:t>, 1996.</w:t>
      </w:r>
    </w:p>
    <w:p w14:paraId="0B6FE1E9" w14:textId="345B83FE" w:rsidR="00F801E3" w:rsidRPr="00143036" w:rsidRDefault="00F801E3" w:rsidP="0073367D">
      <w:pPr>
        <w:widowControl w:val="0"/>
        <w:numPr>
          <w:ilvl w:val="0"/>
          <w:numId w:val="1"/>
        </w:numPr>
        <w:autoSpaceDE w:val="0"/>
        <w:autoSpaceDN w:val="0"/>
        <w:adjustRightInd w:val="0"/>
        <w:spacing w:before="480" w:after="480" w:line="360" w:lineRule="auto"/>
        <w:jc w:val="both"/>
        <w:rPr>
          <w:rFonts w:cs="Arial"/>
          <w:bCs/>
          <w:szCs w:val="22"/>
        </w:rPr>
      </w:pPr>
      <w:r w:rsidRPr="00143036">
        <w:rPr>
          <w:rFonts w:cs="Arial"/>
          <w:bCs/>
          <w:szCs w:val="22"/>
        </w:rPr>
        <w:t xml:space="preserve">In deciding to allow the applicant to represent the company that was his </w:t>
      </w:r>
      <w:r w:rsidRPr="00143036">
        <w:rPr>
          <w:rFonts w:cs="Arial"/>
          <w:bCs/>
          <w:i/>
          <w:iCs/>
          <w:szCs w:val="22"/>
        </w:rPr>
        <w:t>alter ego</w:t>
      </w:r>
      <w:r w:rsidRPr="00143036">
        <w:rPr>
          <w:rFonts w:cs="Arial"/>
          <w:bCs/>
          <w:szCs w:val="22"/>
        </w:rPr>
        <w:t xml:space="preserve">, </w:t>
      </w:r>
      <w:r w:rsidR="00686CD2" w:rsidRPr="00143036">
        <w:rPr>
          <w:rFonts w:cs="Arial"/>
          <w:bCs/>
          <w:szCs w:val="22"/>
        </w:rPr>
        <w:t xml:space="preserve">Ponnan JA </w:t>
      </w:r>
      <w:r w:rsidRPr="00143036">
        <w:rPr>
          <w:rFonts w:cs="Arial"/>
          <w:bCs/>
          <w:szCs w:val="22"/>
        </w:rPr>
        <w:t>said</w:t>
      </w:r>
      <w:r w:rsidR="00686CD2" w:rsidRPr="00143036">
        <w:rPr>
          <w:rFonts w:cs="Arial"/>
          <w:bCs/>
          <w:szCs w:val="22"/>
        </w:rPr>
        <w:t xml:space="preserve"> in </w:t>
      </w:r>
      <w:r w:rsidR="00686CD2" w:rsidRPr="00143036">
        <w:rPr>
          <w:rFonts w:cs="Arial"/>
          <w:bCs/>
          <w:i/>
          <w:iCs/>
          <w:szCs w:val="22"/>
        </w:rPr>
        <w:t>Manong</w:t>
      </w:r>
      <w:r w:rsidRPr="00143036">
        <w:rPr>
          <w:rFonts w:cs="Arial"/>
          <w:bCs/>
          <w:szCs w:val="22"/>
        </w:rPr>
        <w:t>:</w:t>
      </w:r>
    </w:p>
    <w:p w14:paraId="5CF21341" w14:textId="0BF91733" w:rsidR="00F801E3" w:rsidRPr="00143036" w:rsidRDefault="00F86D63" w:rsidP="00F801E3">
      <w:pPr>
        <w:widowControl w:val="0"/>
        <w:autoSpaceDE w:val="0"/>
        <w:autoSpaceDN w:val="0"/>
        <w:adjustRightInd w:val="0"/>
        <w:spacing w:before="480" w:after="480" w:line="360" w:lineRule="auto"/>
        <w:ind w:left="720"/>
        <w:jc w:val="both"/>
        <w:rPr>
          <w:rFonts w:cs="Arial"/>
          <w:bCs/>
          <w:i/>
          <w:iCs/>
          <w:szCs w:val="22"/>
        </w:rPr>
      </w:pPr>
      <w:r w:rsidRPr="00143036">
        <w:rPr>
          <w:rFonts w:cs="Arial"/>
          <w:i/>
          <w:iCs/>
          <w:szCs w:val="22"/>
        </w:rPr>
        <w:t>“</w:t>
      </w:r>
      <w:r w:rsidR="00F801E3" w:rsidRPr="00143036">
        <w:rPr>
          <w:rFonts w:cs="Arial"/>
          <w:i/>
          <w:iCs/>
          <w:szCs w:val="22"/>
        </w:rPr>
        <w:t xml:space="preserve">[9] The main reasons for relaxing the rule are, I suppose, obvious enough: a person in the position of the controlling mind of a small corporate entity can be expected to have as much knowledge of the company's business and financial affairs as an individual would have of his own. It thus seems somewhat unrealistic </w:t>
      </w:r>
      <w:r w:rsidR="00F801E3" w:rsidRPr="00143036">
        <w:rPr>
          <w:rFonts w:cs="Arial"/>
          <w:i/>
          <w:iCs/>
          <w:szCs w:val="22"/>
        </w:rPr>
        <w:lastRenderedPageBreak/>
        <w:t>and illogical to allow a private person a right of audience in a superior court as a party to proceedings, but deny it to him when he is the governing mind of a small company which is in reality no more than his business alter ego. In those circumstances the principle that a company is a separate entity would suffer no erosion if he were to be granted that right. There may also be the cost of litigation which the director of a small company, as well acquainted with the facts as would be the case if a party to the dispute personally, might wish to avoid. Such companies are far removed from the images of gigantic industrial corporations which references to company law may conjure up</w:t>
      </w:r>
      <w:r w:rsidR="00686CD2" w:rsidRPr="00143036">
        <w:rPr>
          <w:rFonts w:cs="Arial"/>
          <w:i/>
          <w:iCs/>
          <w:szCs w:val="22"/>
        </w:rPr>
        <w:t>.</w:t>
      </w:r>
      <w:r w:rsidR="002F250D" w:rsidRPr="00143036">
        <w:rPr>
          <w:rFonts w:cs="Arial"/>
          <w:i/>
          <w:iCs/>
          <w:szCs w:val="22"/>
        </w:rPr>
        <w:t>”</w:t>
      </w:r>
    </w:p>
    <w:p w14:paraId="2C8731CC" w14:textId="43726504" w:rsidR="00F801E3" w:rsidRPr="00143036" w:rsidRDefault="00686CD2" w:rsidP="0073367D">
      <w:pPr>
        <w:widowControl w:val="0"/>
        <w:numPr>
          <w:ilvl w:val="0"/>
          <w:numId w:val="1"/>
        </w:numPr>
        <w:autoSpaceDE w:val="0"/>
        <w:autoSpaceDN w:val="0"/>
        <w:adjustRightInd w:val="0"/>
        <w:spacing w:before="480" w:after="480" w:line="360" w:lineRule="auto"/>
        <w:jc w:val="both"/>
        <w:rPr>
          <w:rFonts w:cs="Arial"/>
          <w:bCs/>
          <w:szCs w:val="22"/>
        </w:rPr>
      </w:pPr>
      <w:r w:rsidRPr="00143036">
        <w:rPr>
          <w:rFonts w:cs="Arial"/>
          <w:bCs/>
          <w:szCs w:val="22"/>
        </w:rPr>
        <w:t xml:space="preserve">I therefore grant such an order. The second applicant (whose </w:t>
      </w:r>
      <w:r w:rsidR="00CF4028" w:rsidRPr="00143036">
        <w:rPr>
          <w:rFonts w:cs="Arial"/>
          <w:bCs/>
          <w:szCs w:val="22"/>
        </w:rPr>
        <w:t>joinder</w:t>
      </w:r>
      <w:r w:rsidRPr="00143036">
        <w:rPr>
          <w:rFonts w:cs="Arial"/>
          <w:bCs/>
          <w:szCs w:val="22"/>
        </w:rPr>
        <w:t xml:space="preserve"> as such is</w:t>
      </w:r>
      <w:r w:rsidR="00C13C4E" w:rsidRPr="00143036">
        <w:rPr>
          <w:rFonts w:cs="Arial"/>
          <w:bCs/>
          <w:szCs w:val="22"/>
        </w:rPr>
        <w:t xml:space="preserve"> not explained – he has at most a financial interest in the proceedings but not a legal interest</w:t>
      </w:r>
      <w:r w:rsidRPr="00143036">
        <w:rPr>
          <w:rFonts w:cs="Arial"/>
          <w:bCs/>
          <w:szCs w:val="22"/>
        </w:rPr>
        <w:t>) is of course not entitled to a fee</w:t>
      </w:r>
      <w:r w:rsidR="001701B8" w:rsidRPr="00143036">
        <w:rPr>
          <w:rFonts w:cs="Arial"/>
          <w:bCs/>
          <w:szCs w:val="22"/>
        </w:rPr>
        <w:t xml:space="preserve"> and no </w:t>
      </w:r>
      <w:r w:rsidR="00C13C4E" w:rsidRPr="00143036">
        <w:rPr>
          <w:rFonts w:cs="Arial"/>
          <w:bCs/>
          <w:szCs w:val="22"/>
        </w:rPr>
        <w:t xml:space="preserve">cost </w:t>
      </w:r>
      <w:r w:rsidR="001701B8" w:rsidRPr="00143036">
        <w:rPr>
          <w:rFonts w:cs="Arial"/>
          <w:bCs/>
          <w:szCs w:val="22"/>
        </w:rPr>
        <w:t>order is made.</w:t>
      </w:r>
    </w:p>
    <w:p w14:paraId="59F6760C" w14:textId="77777777" w:rsidR="001C112B" w:rsidRPr="00143036" w:rsidRDefault="001C112B" w:rsidP="007D3956">
      <w:pPr>
        <w:widowControl w:val="0"/>
        <w:spacing w:before="480" w:after="480" w:line="360" w:lineRule="auto"/>
        <w:jc w:val="both"/>
        <w:rPr>
          <w:rFonts w:cs="Arial"/>
          <w:bCs/>
          <w:szCs w:val="22"/>
          <w:u w:val="single"/>
        </w:rPr>
      </w:pPr>
    </w:p>
    <w:p w14:paraId="2B7DCBB9" w14:textId="413CF100" w:rsidR="00414786" w:rsidRPr="00143036" w:rsidRDefault="00414786" w:rsidP="007D3956">
      <w:pPr>
        <w:widowControl w:val="0"/>
        <w:spacing w:before="480" w:after="480" w:line="360" w:lineRule="auto"/>
        <w:jc w:val="both"/>
        <w:rPr>
          <w:rFonts w:cs="Arial"/>
          <w:bCs/>
          <w:szCs w:val="22"/>
        </w:rPr>
      </w:pPr>
      <w:r w:rsidRPr="00143036">
        <w:rPr>
          <w:rFonts w:cs="Arial"/>
          <w:bCs/>
          <w:szCs w:val="22"/>
          <w:u w:val="single"/>
        </w:rPr>
        <w:t>The merits of the application</w:t>
      </w:r>
      <w:r w:rsidRPr="00143036">
        <w:rPr>
          <w:rFonts w:cs="Arial"/>
          <w:bCs/>
          <w:szCs w:val="22"/>
        </w:rPr>
        <w:t xml:space="preserve">. </w:t>
      </w:r>
    </w:p>
    <w:p w14:paraId="6101C1C9" w14:textId="61B77DE3" w:rsidR="00344C52" w:rsidRPr="00143036" w:rsidRDefault="00FA4626" w:rsidP="008843CD">
      <w:pPr>
        <w:widowControl w:val="0"/>
        <w:numPr>
          <w:ilvl w:val="0"/>
          <w:numId w:val="1"/>
        </w:numPr>
        <w:spacing w:before="480" w:after="480" w:line="360" w:lineRule="auto"/>
        <w:jc w:val="both"/>
        <w:rPr>
          <w:rFonts w:cs="Arial"/>
          <w:bCs/>
          <w:szCs w:val="22"/>
        </w:rPr>
      </w:pPr>
      <w:r w:rsidRPr="00143036">
        <w:rPr>
          <w:rFonts w:cs="Arial"/>
          <w:bCs/>
          <w:szCs w:val="22"/>
        </w:rPr>
        <w:t>On 11 January 2022 t</w:t>
      </w:r>
      <w:r w:rsidR="007D3956" w:rsidRPr="00143036">
        <w:rPr>
          <w:rFonts w:cs="Arial"/>
          <w:bCs/>
          <w:szCs w:val="22"/>
        </w:rPr>
        <w:t xml:space="preserve">he applicant and the </w:t>
      </w:r>
      <w:r w:rsidR="00CF4028" w:rsidRPr="00143036">
        <w:rPr>
          <w:rFonts w:cs="Arial"/>
          <w:bCs/>
          <w:szCs w:val="22"/>
        </w:rPr>
        <w:t xml:space="preserve">first and second </w:t>
      </w:r>
      <w:r w:rsidR="007D3956" w:rsidRPr="00143036">
        <w:rPr>
          <w:rFonts w:cs="Arial"/>
          <w:bCs/>
          <w:szCs w:val="22"/>
        </w:rPr>
        <w:t>respondents entered into a one-year lease</w:t>
      </w:r>
      <w:r w:rsidR="00987B90" w:rsidRPr="00143036">
        <w:rPr>
          <w:rStyle w:val="FootnoteReference"/>
          <w:rFonts w:cs="Arial"/>
          <w:bCs/>
          <w:szCs w:val="22"/>
        </w:rPr>
        <w:footnoteReference w:id="5"/>
      </w:r>
      <w:r w:rsidR="007D3956" w:rsidRPr="00143036">
        <w:rPr>
          <w:rFonts w:cs="Arial"/>
          <w:bCs/>
          <w:szCs w:val="22"/>
        </w:rPr>
        <w:t xml:space="preserve"> of the property</w:t>
      </w:r>
      <w:r w:rsidRPr="00143036">
        <w:rPr>
          <w:rFonts w:cs="Arial"/>
          <w:bCs/>
          <w:szCs w:val="22"/>
        </w:rPr>
        <w:t xml:space="preserve"> in Diepsloot. The lease expired on 1 January 2023 and thereafter continued on </w:t>
      </w:r>
      <w:r w:rsidR="00344C52" w:rsidRPr="00143036">
        <w:rPr>
          <w:rFonts w:cs="Arial"/>
          <w:bCs/>
          <w:szCs w:val="22"/>
        </w:rPr>
        <w:t xml:space="preserve">an </w:t>
      </w:r>
      <w:r w:rsidR="00344C52" w:rsidRPr="00143036">
        <w:rPr>
          <w:rFonts w:cs="Arial"/>
          <w:bCs/>
          <w:i/>
          <w:iCs/>
          <w:szCs w:val="22"/>
        </w:rPr>
        <w:t>ad hoc</w:t>
      </w:r>
      <w:r w:rsidR="00344C52" w:rsidRPr="00143036">
        <w:rPr>
          <w:rFonts w:cs="Arial"/>
          <w:bCs/>
          <w:szCs w:val="22"/>
        </w:rPr>
        <w:t>,</w:t>
      </w:r>
      <w:r w:rsidRPr="00143036">
        <w:rPr>
          <w:rFonts w:cs="Arial"/>
          <w:bCs/>
          <w:szCs w:val="22"/>
        </w:rPr>
        <w:t xml:space="preserve"> month-by-month basis as </w:t>
      </w:r>
      <w:r w:rsidR="00344C52" w:rsidRPr="00143036">
        <w:rPr>
          <w:rFonts w:cs="Arial"/>
          <w:bCs/>
          <w:szCs w:val="22"/>
        </w:rPr>
        <w:t xml:space="preserve">is </w:t>
      </w:r>
      <w:r w:rsidR="00436F66" w:rsidRPr="00143036">
        <w:rPr>
          <w:rFonts w:cs="Arial"/>
          <w:bCs/>
          <w:szCs w:val="22"/>
        </w:rPr>
        <w:t>provided for in clause 1.12.</w:t>
      </w:r>
      <w:r w:rsidR="005F229E" w:rsidRPr="00143036">
        <w:rPr>
          <w:rFonts w:cs="Arial"/>
          <w:bCs/>
          <w:szCs w:val="22"/>
        </w:rPr>
        <w:t xml:space="preserve"> </w:t>
      </w:r>
      <w:r w:rsidR="00344C52" w:rsidRPr="00143036">
        <w:rPr>
          <w:rFonts w:cs="Arial"/>
          <w:bCs/>
          <w:szCs w:val="22"/>
        </w:rPr>
        <w:t>The respondent</w:t>
      </w:r>
      <w:r w:rsidR="005F229E" w:rsidRPr="00143036">
        <w:rPr>
          <w:rFonts w:cs="Arial"/>
          <w:bCs/>
          <w:szCs w:val="22"/>
        </w:rPr>
        <w:t>s</w:t>
      </w:r>
      <w:r w:rsidR="00344C52" w:rsidRPr="00143036">
        <w:rPr>
          <w:rFonts w:cs="Arial"/>
          <w:bCs/>
          <w:szCs w:val="22"/>
        </w:rPr>
        <w:t xml:space="preserve"> use the premises for commercial purposes, namely the operation of a school</w:t>
      </w:r>
      <w:r w:rsidR="00C13C4E" w:rsidRPr="00143036">
        <w:rPr>
          <w:rFonts w:cs="Arial"/>
          <w:bCs/>
          <w:szCs w:val="22"/>
        </w:rPr>
        <w:t xml:space="preserve"> for profit</w:t>
      </w:r>
      <w:r w:rsidR="00344C52" w:rsidRPr="00143036">
        <w:rPr>
          <w:rFonts w:cs="Arial"/>
          <w:bCs/>
          <w:szCs w:val="22"/>
        </w:rPr>
        <w:t>.</w:t>
      </w:r>
      <w:r w:rsidR="005F229E" w:rsidRPr="00143036">
        <w:rPr>
          <w:rFonts w:cs="Arial"/>
          <w:bCs/>
          <w:szCs w:val="22"/>
        </w:rPr>
        <w:t xml:space="preserve"> It is not disputed that one of the sources of income is monthly fees of a R1 000 for each of the one hundred and sixty learners, amounting to R1 920 000 per year.</w:t>
      </w:r>
    </w:p>
    <w:p w14:paraId="39209DA8" w14:textId="514A7F7E" w:rsidR="00624680" w:rsidRPr="00143036" w:rsidRDefault="00624680" w:rsidP="00610873">
      <w:pPr>
        <w:widowControl w:val="0"/>
        <w:numPr>
          <w:ilvl w:val="0"/>
          <w:numId w:val="1"/>
        </w:numPr>
        <w:spacing w:before="480" w:after="480" w:line="360" w:lineRule="auto"/>
        <w:jc w:val="both"/>
        <w:rPr>
          <w:rFonts w:cs="Arial"/>
          <w:bCs/>
          <w:szCs w:val="22"/>
        </w:rPr>
      </w:pPr>
      <w:r w:rsidRPr="00143036">
        <w:rPr>
          <w:rFonts w:cs="Arial"/>
          <w:bCs/>
          <w:szCs w:val="22"/>
        </w:rPr>
        <w:t>The parties noted in clause 2.11</w:t>
      </w:r>
      <w:r w:rsidRPr="00143036">
        <w:rPr>
          <w:rStyle w:val="FootnoteReference"/>
          <w:rFonts w:cs="Arial"/>
          <w:bCs/>
          <w:szCs w:val="22"/>
        </w:rPr>
        <w:footnoteReference w:id="6"/>
      </w:r>
      <w:r w:rsidRPr="00143036">
        <w:rPr>
          <w:rFonts w:cs="Arial"/>
          <w:bCs/>
          <w:szCs w:val="22"/>
        </w:rPr>
        <w:t xml:space="preserve"> </w:t>
      </w:r>
      <w:r w:rsidR="005F229E" w:rsidRPr="00143036">
        <w:rPr>
          <w:rFonts w:cs="Arial"/>
          <w:bCs/>
          <w:szCs w:val="22"/>
        </w:rPr>
        <w:t xml:space="preserve">of the agreement </w:t>
      </w:r>
      <w:r w:rsidRPr="00143036">
        <w:rPr>
          <w:rFonts w:cs="Arial"/>
          <w:bCs/>
          <w:szCs w:val="22"/>
        </w:rPr>
        <w:t xml:space="preserve">that it was the intention of the applicant to sell the property. The respondents were granted a pre-emptive right but this right fell away if the rental or services payment were in arrears for more than seven days. </w:t>
      </w:r>
      <w:r w:rsidR="001C112B" w:rsidRPr="00143036">
        <w:rPr>
          <w:rFonts w:cs="Arial"/>
          <w:bCs/>
          <w:szCs w:val="22"/>
        </w:rPr>
        <w:t>It is common cause that the payments due were in arrears and it follows that the pre-emptive right did not survive.</w:t>
      </w:r>
      <w:r w:rsidR="00B75B66" w:rsidRPr="00143036">
        <w:rPr>
          <w:rFonts w:cs="Arial"/>
          <w:bCs/>
          <w:szCs w:val="22"/>
        </w:rPr>
        <w:t xml:space="preserve"> The first and respondents are </w:t>
      </w:r>
      <w:r w:rsidR="00443D97" w:rsidRPr="00143036">
        <w:rPr>
          <w:rFonts w:cs="Arial"/>
          <w:bCs/>
          <w:szCs w:val="22"/>
        </w:rPr>
        <w:t xml:space="preserve">however </w:t>
      </w:r>
      <w:r w:rsidR="00B75B66" w:rsidRPr="00143036">
        <w:rPr>
          <w:rFonts w:cs="Arial"/>
          <w:bCs/>
          <w:szCs w:val="22"/>
        </w:rPr>
        <w:t xml:space="preserve">still of the opinion that </w:t>
      </w:r>
      <w:r w:rsidR="005F229E" w:rsidRPr="00143036">
        <w:rPr>
          <w:rFonts w:cs="Arial"/>
          <w:bCs/>
          <w:szCs w:val="22"/>
        </w:rPr>
        <w:t xml:space="preserve">they are entitled to enforce the pre-emptive right but they have taken no steps to do </w:t>
      </w:r>
      <w:r w:rsidR="005F229E" w:rsidRPr="00143036">
        <w:rPr>
          <w:rFonts w:cs="Arial"/>
          <w:bCs/>
          <w:szCs w:val="22"/>
        </w:rPr>
        <w:lastRenderedPageBreak/>
        <w:t>so.</w:t>
      </w:r>
    </w:p>
    <w:p w14:paraId="165885C0" w14:textId="25B6A157" w:rsidR="00337C90" w:rsidRPr="00143036" w:rsidRDefault="00337C90" w:rsidP="00610873">
      <w:pPr>
        <w:widowControl w:val="0"/>
        <w:numPr>
          <w:ilvl w:val="0"/>
          <w:numId w:val="1"/>
        </w:numPr>
        <w:spacing w:before="480" w:after="480" w:line="360" w:lineRule="auto"/>
        <w:jc w:val="both"/>
        <w:rPr>
          <w:rFonts w:cs="Arial"/>
          <w:bCs/>
          <w:szCs w:val="22"/>
        </w:rPr>
      </w:pPr>
      <w:r w:rsidRPr="00143036">
        <w:rPr>
          <w:rFonts w:cs="Arial"/>
          <w:bCs/>
          <w:szCs w:val="22"/>
        </w:rPr>
        <w:t>Clause 14.1</w:t>
      </w:r>
      <w:r w:rsidR="00987B90" w:rsidRPr="00143036">
        <w:rPr>
          <w:rStyle w:val="FootnoteReference"/>
          <w:rFonts w:cs="Arial"/>
          <w:bCs/>
          <w:szCs w:val="22"/>
        </w:rPr>
        <w:footnoteReference w:id="7"/>
      </w:r>
      <w:r w:rsidRPr="00143036">
        <w:rPr>
          <w:rFonts w:cs="Arial"/>
          <w:bCs/>
          <w:szCs w:val="22"/>
        </w:rPr>
        <w:t xml:space="preserve"> of the lease agreement provides that in the event of a failure by the lessees to comply with their obligations within seven days of written demand, the applicant as lessor shall be entitled to cancel the lease.</w:t>
      </w:r>
    </w:p>
    <w:p w14:paraId="046C1A52" w14:textId="16BE53AE" w:rsidR="009C083C" w:rsidRPr="00143036" w:rsidRDefault="00C4029E" w:rsidP="00610873">
      <w:pPr>
        <w:widowControl w:val="0"/>
        <w:numPr>
          <w:ilvl w:val="0"/>
          <w:numId w:val="1"/>
        </w:numPr>
        <w:spacing w:before="480" w:after="480" w:line="360" w:lineRule="auto"/>
        <w:jc w:val="both"/>
        <w:rPr>
          <w:rFonts w:cs="Arial"/>
          <w:bCs/>
          <w:szCs w:val="22"/>
        </w:rPr>
      </w:pPr>
      <w:r w:rsidRPr="00143036">
        <w:rPr>
          <w:rFonts w:cs="Arial"/>
          <w:bCs/>
          <w:szCs w:val="22"/>
        </w:rPr>
        <w:t xml:space="preserve">By the end of July 2022 an amount of R344 900 was overdue in respect of arrear rental. The respondents made </w:t>
      </w:r>
      <w:r w:rsidR="005F229E" w:rsidRPr="00143036">
        <w:rPr>
          <w:rFonts w:cs="Arial"/>
          <w:bCs/>
          <w:szCs w:val="22"/>
        </w:rPr>
        <w:t xml:space="preserve">but did not adhere to </w:t>
      </w:r>
      <w:r w:rsidRPr="00143036">
        <w:rPr>
          <w:rFonts w:cs="Arial"/>
          <w:bCs/>
          <w:szCs w:val="22"/>
        </w:rPr>
        <w:t>undertakings</w:t>
      </w:r>
      <w:r w:rsidR="005F229E" w:rsidRPr="00143036">
        <w:rPr>
          <w:rFonts w:cs="Arial"/>
          <w:bCs/>
          <w:szCs w:val="22"/>
        </w:rPr>
        <w:t xml:space="preserve"> to make payment.</w:t>
      </w:r>
      <w:r w:rsidR="009C083C" w:rsidRPr="00143036">
        <w:rPr>
          <w:rFonts w:cs="Arial"/>
          <w:bCs/>
          <w:szCs w:val="22"/>
        </w:rPr>
        <w:t xml:space="preserve"> </w:t>
      </w:r>
    </w:p>
    <w:p w14:paraId="4EEB66A5" w14:textId="2A886812" w:rsidR="00C4029E" w:rsidRPr="00143036" w:rsidRDefault="009C083C" w:rsidP="00610873">
      <w:pPr>
        <w:widowControl w:val="0"/>
        <w:numPr>
          <w:ilvl w:val="0"/>
          <w:numId w:val="1"/>
        </w:numPr>
        <w:spacing w:before="480" w:after="480" w:line="360" w:lineRule="auto"/>
        <w:jc w:val="both"/>
        <w:rPr>
          <w:rFonts w:cs="Arial"/>
          <w:bCs/>
          <w:szCs w:val="22"/>
        </w:rPr>
      </w:pPr>
      <w:r w:rsidRPr="00143036">
        <w:rPr>
          <w:rFonts w:cs="Arial"/>
          <w:bCs/>
          <w:szCs w:val="22"/>
        </w:rPr>
        <w:t>By the end of October 2022 the arrear rentals amounted to R474 900 and the amount due for the consumption of electricity (payable by the applicant to Eskom) was R193 793.35.</w:t>
      </w:r>
    </w:p>
    <w:p w14:paraId="738AF87D" w14:textId="0DC80EC5" w:rsidR="00987B90" w:rsidRPr="00143036" w:rsidRDefault="00987B90" w:rsidP="00610873">
      <w:pPr>
        <w:widowControl w:val="0"/>
        <w:numPr>
          <w:ilvl w:val="0"/>
          <w:numId w:val="1"/>
        </w:numPr>
        <w:spacing w:before="480" w:after="480" w:line="360" w:lineRule="auto"/>
        <w:jc w:val="both"/>
        <w:rPr>
          <w:rFonts w:cs="Arial"/>
          <w:bCs/>
          <w:szCs w:val="22"/>
        </w:rPr>
      </w:pPr>
      <w:r w:rsidRPr="00143036">
        <w:rPr>
          <w:rFonts w:cs="Arial"/>
          <w:bCs/>
          <w:szCs w:val="22"/>
        </w:rPr>
        <w:t>The amount of R577 900 was in arrears on 31 December 2022.</w:t>
      </w:r>
      <w:r w:rsidRPr="00143036">
        <w:rPr>
          <w:rStyle w:val="FootnoteReference"/>
          <w:rFonts w:cs="Arial"/>
          <w:bCs/>
          <w:szCs w:val="22"/>
        </w:rPr>
        <w:footnoteReference w:id="8"/>
      </w:r>
    </w:p>
    <w:p w14:paraId="01A78E28" w14:textId="77777777" w:rsidR="00627FF3" w:rsidRPr="00143036" w:rsidRDefault="00337C90" w:rsidP="00610873">
      <w:pPr>
        <w:widowControl w:val="0"/>
        <w:numPr>
          <w:ilvl w:val="0"/>
          <w:numId w:val="1"/>
        </w:numPr>
        <w:spacing w:before="480" w:after="480" w:line="360" w:lineRule="auto"/>
        <w:jc w:val="both"/>
        <w:rPr>
          <w:rFonts w:cs="Arial"/>
          <w:bCs/>
          <w:szCs w:val="22"/>
        </w:rPr>
      </w:pPr>
      <w:r w:rsidRPr="00143036">
        <w:rPr>
          <w:rFonts w:cs="Arial"/>
          <w:bCs/>
          <w:szCs w:val="22"/>
        </w:rPr>
        <w:t>On 27 February 2023 the applicant demand payment of the arrears within ten days, and advised the respondents of its intention to cancel the lease if payment was not forthcoming</w:t>
      </w:r>
      <w:r w:rsidR="00C642C5" w:rsidRPr="00143036">
        <w:rPr>
          <w:rFonts w:cs="Arial"/>
          <w:bCs/>
          <w:szCs w:val="22"/>
        </w:rPr>
        <w:t>.</w:t>
      </w:r>
      <w:r w:rsidR="00987B90" w:rsidRPr="00143036">
        <w:rPr>
          <w:rStyle w:val="FootnoteReference"/>
          <w:rFonts w:cs="Arial"/>
          <w:bCs/>
          <w:szCs w:val="22"/>
        </w:rPr>
        <w:footnoteReference w:id="9"/>
      </w:r>
      <w:r w:rsidR="00987B90" w:rsidRPr="00143036">
        <w:rPr>
          <w:rFonts w:cs="Arial"/>
          <w:bCs/>
          <w:szCs w:val="22"/>
        </w:rPr>
        <w:t xml:space="preserve"> </w:t>
      </w:r>
    </w:p>
    <w:p w14:paraId="36A57D23" w14:textId="18E88D08" w:rsidR="00414786" w:rsidRPr="00143036" w:rsidRDefault="00987B90" w:rsidP="00610873">
      <w:pPr>
        <w:widowControl w:val="0"/>
        <w:numPr>
          <w:ilvl w:val="0"/>
          <w:numId w:val="1"/>
        </w:numPr>
        <w:spacing w:before="480" w:after="480" w:line="360" w:lineRule="auto"/>
        <w:jc w:val="both"/>
        <w:rPr>
          <w:rFonts w:cs="Arial"/>
          <w:bCs/>
          <w:szCs w:val="22"/>
        </w:rPr>
      </w:pPr>
      <w:r w:rsidRPr="00143036">
        <w:rPr>
          <w:rFonts w:cs="Arial"/>
          <w:bCs/>
          <w:szCs w:val="22"/>
        </w:rPr>
        <w:t>As from 1 January 2023 the lease continued as a monthly tenancy but by 28 February 2023 the arrear</w:t>
      </w:r>
      <w:r w:rsidR="00627FF3" w:rsidRPr="00143036">
        <w:rPr>
          <w:rFonts w:cs="Arial"/>
          <w:bCs/>
          <w:szCs w:val="22"/>
        </w:rPr>
        <w:t xml:space="preserve"> rentals (excluding other charges such as amounts due for electricity consumption)</w:t>
      </w:r>
      <w:r w:rsidRPr="00143036">
        <w:rPr>
          <w:rFonts w:cs="Arial"/>
          <w:bCs/>
          <w:szCs w:val="22"/>
        </w:rPr>
        <w:t xml:space="preserve"> amounted to R685 900. </w:t>
      </w:r>
      <w:r w:rsidR="0012373D" w:rsidRPr="00143036">
        <w:rPr>
          <w:rFonts w:cs="Arial"/>
          <w:bCs/>
          <w:szCs w:val="22"/>
        </w:rPr>
        <w:t>An</w:t>
      </w:r>
      <w:r w:rsidRPr="00143036">
        <w:rPr>
          <w:rFonts w:cs="Arial"/>
          <w:bCs/>
          <w:szCs w:val="22"/>
        </w:rPr>
        <w:t xml:space="preserve"> amount of R104 000 was paid leaving R581 900 outstanding on 28 February 2023.</w:t>
      </w:r>
      <w:r w:rsidR="003727A0" w:rsidRPr="00143036">
        <w:rPr>
          <w:rFonts w:cs="Arial"/>
          <w:bCs/>
          <w:szCs w:val="22"/>
        </w:rPr>
        <w:t xml:space="preserve"> By the end of May 2023 the amount due was R899 900 excluding municipal rates and taxes, electricity, and interest.</w:t>
      </w:r>
    </w:p>
    <w:p w14:paraId="1602ED32" w14:textId="0DA06B90" w:rsidR="00F76535" w:rsidRPr="00143036" w:rsidRDefault="00F76535" w:rsidP="00610873">
      <w:pPr>
        <w:widowControl w:val="0"/>
        <w:numPr>
          <w:ilvl w:val="0"/>
          <w:numId w:val="1"/>
        </w:numPr>
        <w:spacing w:before="480" w:after="480" w:line="360" w:lineRule="auto"/>
        <w:jc w:val="both"/>
        <w:rPr>
          <w:rFonts w:cs="Arial"/>
          <w:bCs/>
          <w:szCs w:val="22"/>
        </w:rPr>
      </w:pPr>
      <w:r w:rsidRPr="00143036">
        <w:rPr>
          <w:rFonts w:cs="Arial"/>
          <w:bCs/>
          <w:szCs w:val="22"/>
        </w:rPr>
        <w:t xml:space="preserve">The applicant advised </w:t>
      </w:r>
      <w:r w:rsidR="00627FF3" w:rsidRPr="00143036">
        <w:rPr>
          <w:rFonts w:cs="Arial"/>
          <w:bCs/>
          <w:szCs w:val="22"/>
        </w:rPr>
        <w:t xml:space="preserve">on 11 March 2023 </w:t>
      </w:r>
      <w:r w:rsidRPr="00143036">
        <w:rPr>
          <w:rFonts w:cs="Arial"/>
          <w:bCs/>
          <w:szCs w:val="22"/>
        </w:rPr>
        <w:t xml:space="preserve">that payment of R141 900 was required to stave off cancellation. </w:t>
      </w:r>
      <w:r w:rsidR="00627FF3" w:rsidRPr="00143036">
        <w:rPr>
          <w:rFonts w:cs="Arial"/>
          <w:bCs/>
          <w:szCs w:val="22"/>
        </w:rPr>
        <w:t xml:space="preserve">On 31 March 2023 the amount of R680 000 was outstanding and the applicant advised that payment of R200 000 was </w:t>
      </w:r>
      <w:r w:rsidR="001C112B" w:rsidRPr="00143036">
        <w:rPr>
          <w:rFonts w:cs="Arial"/>
          <w:bCs/>
          <w:szCs w:val="22"/>
        </w:rPr>
        <w:t xml:space="preserve">now </w:t>
      </w:r>
      <w:r w:rsidR="00627FF3" w:rsidRPr="00143036">
        <w:rPr>
          <w:rFonts w:cs="Arial"/>
          <w:bCs/>
          <w:szCs w:val="22"/>
        </w:rPr>
        <w:t>required to stave off cancellation.</w:t>
      </w:r>
      <w:r w:rsidR="001C112B" w:rsidRPr="00143036">
        <w:rPr>
          <w:rFonts w:cs="Arial"/>
          <w:bCs/>
          <w:szCs w:val="22"/>
        </w:rPr>
        <w:t xml:space="preserve"> </w:t>
      </w:r>
    </w:p>
    <w:p w14:paraId="040B5BD7" w14:textId="6BA5689A" w:rsidR="00C642C5" w:rsidRPr="00143036" w:rsidRDefault="000F0C59" w:rsidP="00610873">
      <w:pPr>
        <w:widowControl w:val="0"/>
        <w:numPr>
          <w:ilvl w:val="0"/>
          <w:numId w:val="1"/>
        </w:numPr>
        <w:spacing w:before="480" w:after="480" w:line="360" w:lineRule="auto"/>
        <w:jc w:val="both"/>
        <w:rPr>
          <w:rFonts w:cs="Arial"/>
          <w:bCs/>
          <w:szCs w:val="22"/>
        </w:rPr>
      </w:pPr>
      <w:r w:rsidRPr="00143036">
        <w:rPr>
          <w:rFonts w:cs="Arial"/>
          <w:bCs/>
          <w:szCs w:val="22"/>
        </w:rPr>
        <w:t xml:space="preserve">Payment was not forthcoming and the </w:t>
      </w:r>
      <w:r w:rsidR="00C642C5" w:rsidRPr="00143036">
        <w:rPr>
          <w:rFonts w:cs="Arial"/>
          <w:bCs/>
          <w:szCs w:val="22"/>
        </w:rPr>
        <w:t xml:space="preserve">lease was cancelled in writing on 5 May </w:t>
      </w:r>
      <w:r w:rsidR="00C642C5" w:rsidRPr="00143036">
        <w:rPr>
          <w:rFonts w:cs="Arial"/>
          <w:bCs/>
          <w:szCs w:val="22"/>
        </w:rPr>
        <w:lastRenderedPageBreak/>
        <w:t>2023.</w:t>
      </w:r>
      <w:r w:rsidR="00C642C5" w:rsidRPr="00143036">
        <w:rPr>
          <w:rStyle w:val="FootnoteReference"/>
          <w:rFonts w:cs="Arial"/>
          <w:bCs/>
          <w:szCs w:val="22"/>
        </w:rPr>
        <w:footnoteReference w:id="10"/>
      </w:r>
    </w:p>
    <w:p w14:paraId="36F0F1AE" w14:textId="77777777" w:rsidR="006F6748" w:rsidRPr="00143036" w:rsidRDefault="006F6748" w:rsidP="006F6748">
      <w:pPr>
        <w:widowControl w:val="0"/>
        <w:numPr>
          <w:ilvl w:val="0"/>
          <w:numId w:val="1"/>
        </w:numPr>
        <w:spacing w:before="480" w:after="480" w:line="360" w:lineRule="auto"/>
        <w:jc w:val="both"/>
        <w:rPr>
          <w:rFonts w:cs="Arial"/>
          <w:bCs/>
          <w:szCs w:val="22"/>
        </w:rPr>
      </w:pPr>
      <w:r w:rsidRPr="00143036">
        <w:rPr>
          <w:rFonts w:cs="Arial"/>
          <w:bCs/>
          <w:szCs w:val="22"/>
        </w:rPr>
        <w:t>In summary, the applicant alleges that the total amount received from the respondents for the period January 2022 to 31 May 2023 in respect of rental (and holding over) was R675 100 while the amount of R1 575 000 was due and payable.</w:t>
      </w:r>
    </w:p>
    <w:p w14:paraId="2A3A97B0" w14:textId="5000E9E6" w:rsidR="006F6748" w:rsidRPr="00143036" w:rsidRDefault="000F0C59" w:rsidP="00610873">
      <w:pPr>
        <w:widowControl w:val="0"/>
        <w:numPr>
          <w:ilvl w:val="0"/>
          <w:numId w:val="1"/>
        </w:numPr>
        <w:spacing w:before="480" w:after="480" w:line="360" w:lineRule="auto"/>
        <w:jc w:val="both"/>
        <w:rPr>
          <w:rFonts w:cs="Arial"/>
          <w:bCs/>
          <w:szCs w:val="22"/>
        </w:rPr>
      </w:pPr>
      <w:r w:rsidRPr="00143036">
        <w:rPr>
          <w:rFonts w:cs="Arial"/>
          <w:bCs/>
          <w:szCs w:val="22"/>
        </w:rPr>
        <w:t>The respondents conceded in argument that the account was in arrears but did not concede the exact amount of the indebtedness.</w:t>
      </w:r>
      <w:r w:rsidR="006F6748" w:rsidRPr="00143036">
        <w:rPr>
          <w:rFonts w:cs="Arial"/>
          <w:bCs/>
          <w:szCs w:val="22"/>
        </w:rPr>
        <w:t xml:space="preserve"> </w:t>
      </w:r>
      <w:r w:rsidR="00B75B66" w:rsidRPr="00143036">
        <w:rPr>
          <w:rFonts w:cs="Arial"/>
          <w:bCs/>
          <w:szCs w:val="22"/>
        </w:rPr>
        <w:t xml:space="preserve">However, the respondents </w:t>
      </w:r>
      <w:r w:rsidR="006F6748" w:rsidRPr="00143036">
        <w:rPr>
          <w:rFonts w:cs="Arial"/>
          <w:bCs/>
          <w:szCs w:val="22"/>
        </w:rPr>
        <w:t xml:space="preserve">made a bald denial and </w:t>
      </w:r>
      <w:r w:rsidR="00B75B66" w:rsidRPr="00143036">
        <w:rPr>
          <w:rFonts w:cs="Arial"/>
          <w:bCs/>
          <w:szCs w:val="22"/>
        </w:rPr>
        <w:t>did put up any evidence to dispute the factual evidence of the applicant. If payments in addition to those admitted by the applicant were made, the onus</w:t>
      </w:r>
      <w:r w:rsidR="006068D4" w:rsidRPr="00143036">
        <w:rPr>
          <w:rStyle w:val="FootnoteReference"/>
          <w:rFonts w:cs="Arial"/>
          <w:bCs/>
          <w:szCs w:val="22"/>
        </w:rPr>
        <w:footnoteReference w:id="11"/>
      </w:r>
      <w:r w:rsidR="00B75B66" w:rsidRPr="00143036">
        <w:rPr>
          <w:rFonts w:cs="Arial"/>
          <w:bCs/>
          <w:szCs w:val="22"/>
        </w:rPr>
        <w:t xml:space="preserve"> to prove the payments </w:t>
      </w:r>
      <w:r w:rsidR="006068D4" w:rsidRPr="00143036">
        <w:rPr>
          <w:rFonts w:cs="Arial"/>
          <w:bCs/>
          <w:szCs w:val="22"/>
        </w:rPr>
        <w:t xml:space="preserve">was on the respondents. </w:t>
      </w:r>
    </w:p>
    <w:p w14:paraId="65380787" w14:textId="1487EAA7" w:rsidR="006068D4" w:rsidRPr="00143036" w:rsidRDefault="006068D4" w:rsidP="006068D4">
      <w:pPr>
        <w:widowControl w:val="0"/>
        <w:numPr>
          <w:ilvl w:val="0"/>
          <w:numId w:val="1"/>
        </w:numPr>
        <w:spacing w:before="480" w:after="480" w:line="360" w:lineRule="auto"/>
        <w:jc w:val="both"/>
        <w:rPr>
          <w:rFonts w:cs="Arial"/>
          <w:bCs/>
          <w:szCs w:val="22"/>
        </w:rPr>
      </w:pPr>
      <w:r w:rsidRPr="00143036">
        <w:rPr>
          <w:rFonts w:cs="Arial"/>
          <w:bCs/>
          <w:szCs w:val="22"/>
        </w:rPr>
        <w:t xml:space="preserve">The respondents’ stance is that they require a two-year period to seek alternative accommodation for the school. They make this </w:t>
      </w:r>
      <w:r w:rsidR="00443D97" w:rsidRPr="00143036">
        <w:rPr>
          <w:rFonts w:cs="Arial"/>
          <w:bCs/>
          <w:szCs w:val="22"/>
        </w:rPr>
        <w:t>proposal</w:t>
      </w:r>
      <w:r w:rsidRPr="00143036">
        <w:rPr>
          <w:rFonts w:cs="Arial"/>
          <w:bCs/>
          <w:szCs w:val="22"/>
        </w:rPr>
        <w:t xml:space="preserve"> without any tender to bring the arrears up to date</w:t>
      </w:r>
      <w:r w:rsidR="006F6748" w:rsidRPr="00143036">
        <w:rPr>
          <w:rFonts w:cs="Arial"/>
          <w:bCs/>
          <w:szCs w:val="22"/>
        </w:rPr>
        <w:t xml:space="preserve"> or to pay any rent to the applicant or to the new owner</w:t>
      </w:r>
      <w:r w:rsidRPr="00143036">
        <w:rPr>
          <w:rFonts w:cs="Arial"/>
          <w:bCs/>
          <w:szCs w:val="22"/>
        </w:rPr>
        <w:t>.</w:t>
      </w:r>
    </w:p>
    <w:p w14:paraId="09ED1DB9" w14:textId="77777777" w:rsidR="006068D4" w:rsidRPr="00143036" w:rsidRDefault="006068D4" w:rsidP="000F0C59">
      <w:pPr>
        <w:widowControl w:val="0"/>
        <w:spacing w:before="480" w:after="480" w:line="360" w:lineRule="auto"/>
        <w:jc w:val="both"/>
        <w:rPr>
          <w:rFonts w:cs="Arial"/>
          <w:bCs/>
          <w:szCs w:val="22"/>
          <w:u w:val="single"/>
        </w:rPr>
      </w:pPr>
    </w:p>
    <w:p w14:paraId="03534D53" w14:textId="736F250B" w:rsidR="000F0C59" w:rsidRPr="00143036" w:rsidRDefault="000F0C59" w:rsidP="000F0C59">
      <w:pPr>
        <w:widowControl w:val="0"/>
        <w:spacing w:before="480" w:after="480" w:line="360" w:lineRule="auto"/>
        <w:jc w:val="both"/>
        <w:rPr>
          <w:rFonts w:cs="Arial"/>
          <w:bCs/>
          <w:szCs w:val="22"/>
          <w:u w:val="single"/>
        </w:rPr>
      </w:pPr>
      <w:r w:rsidRPr="00143036">
        <w:rPr>
          <w:rFonts w:cs="Arial"/>
          <w:bCs/>
          <w:szCs w:val="22"/>
          <w:u w:val="single"/>
        </w:rPr>
        <w:t>The earlier proceedings</w:t>
      </w:r>
    </w:p>
    <w:p w14:paraId="1A8FD609" w14:textId="3DCEFCEA" w:rsidR="003C067B" w:rsidRPr="00143036" w:rsidRDefault="000F0C59" w:rsidP="00C14A51">
      <w:pPr>
        <w:widowControl w:val="0"/>
        <w:numPr>
          <w:ilvl w:val="0"/>
          <w:numId w:val="1"/>
        </w:numPr>
        <w:spacing w:before="480" w:after="480" w:line="360" w:lineRule="auto"/>
        <w:jc w:val="both"/>
        <w:rPr>
          <w:rFonts w:cs="Arial"/>
          <w:bCs/>
          <w:szCs w:val="22"/>
        </w:rPr>
      </w:pPr>
      <w:r w:rsidRPr="00143036">
        <w:rPr>
          <w:rFonts w:cs="Arial"/>
          <w:bCs/>
          <w:szCs w:val="22"/>
        </w:rPr>
        <w:t>The present respondents brought an application against the applicant that was heard on 18 May 2023</w:t>
      </w:r>
      <w:r w:rsidR="00414786" w:rsidRPr="00143036">
        <w:rPr>
          <w:rFonts w:cs="Arial"/>
          <w:bCs/>
          <w:szCs w:val="22"/>
        </w:rPr>
        <w:t>.</w:t>
      </w:r>
      <w:r w:rsidRPr="00143036">
        <w:rPr>
          <w:rFonts w:cs="Arial"/>
          <w:bCs/>
          <w:szCs w:val="22"/>
        </w:rPr>
        <w:t xml:space="preserve"> The </w:t>
      </w:r>
      <w:r w:rsidR="00C13C4E" w:rsidRPr="00143036">
        <w:rPr>
          <w:rFonts w:cs="Arial"/>
          <w:bCs/>
          <w:szCs w:val="22"/>
        </w:rPr>
        <w:t xml:space="preserve">judgment or </w:t>
      </w:r>
      <w:r w:rsidRPr="00143036">
        <w:rPr>
          <w:rFonts w:cs="Arial"/>
          <w:bCs/>
          <w:szCs w:val="22"/>
        </w:rPr>
        <w:t>order is not to hand but the respondents informs the court that the Court interdicted the applicant from evicting the respondents without following due process.</w:t>
      </w:r>
    </w:p>
    <w:p w14:paraId="7271450E" w14:textId="77777777" w:rsidR="00C13C4E" w:rsidRPr="00143036" w:rsidRDefault="00C13C4E" w:rsidP="00E16213">
      <w:pPr>
        <w:widowControl w:val="0"/>
        <w:spacing w:before="480" w:after="480" w:line="360" w:lineRule="auto"/>
        <w:jc w:val="both"/>
        <w:rPr>
          <w:rFonts w:cs="Arial"/>
          <w:bCs/>
          <w:szCs w:val="22"/>
          <w:u w:val="single"/>
        </w:rPr>
      </w:pPr>
    </w:p>
    <w:p w14:paraId="5308AC3B" w14:textId="48C96D41" w:rsidR="00E16213" w:rsidRPr="00143036" w:rsidRDefault="003E54E1" w:rsidP="00E16213">
      <w:pPr>
        <w:widowControl w:val="0"/>
        <w:spacing w:before="480" w:after="480" w:line="360" w:lineRule="auto"/>
        <w:jc w:val="both"/>
        <w:rPr>
          <w:rFonts w:cs="Arial"/>
          <w:bCs/>
          <w:szCs w:val="22"/>
          <w:u w:val="single"/>
        </w:rPr>
      </w:pPr>
      <w:r w:rsidRPr="00143036">
        <w:rPr>
          <w:rFonts w:cs="Arial"/>
          <w:bCs/>
          <w:szCs w:val="22"/>
          <w:u w:val="single"/>
        </w:rPr>
        <w:t>Conclusion</w:t>
      </w:r>
    </w:p>
    <w:p w14:paraId="51E6ABF2" w14:textId="16A1F8AD" w:rsidR="00E16213" w:rsidRPr="00143036" w:rsidRDefault="00E16213" w:rsidP="003B6C02">
      <w:pPr>
        <w:widowControl w:val="0"/>
        <w:numPr>
          <w:ilvl w:val="0"/>
          <w:numId w:val="1"/>
        </w:numPr>
        <w:spacing w:before="480" w:after="480" w:line="360" w:lineRule="auto"/>
        <w:jc w:val="both"/>
        <w:rPr>
          <w:rFonts w:cs="Arial"/>
          <w:bCs/>
          <w:szCs w:val="22"/>
        </w:rPr>
      </w:pPr>
      <w:r w:rsidRPr="00143036">
        <w:rPr>
          <w:rFonts w:cs="Arial"/>
          <w:bCs/>
          <w:szCs w:val="22"/>
        </w:rPr>
        <w:t>The respondents are in breach of their obligations and can not hide behind the fact that the business operated by them is a school.</w:t>
      </w:r>
      <w:r w:rsidR="00433D42" w:rsidRPr="00143036">
        <w:rPr>
          <w:rFonts w:cs="Arial"/>
          <w:bCs/>
          <w:szCs w:val="22"/>
        </w:rPr>
        <w:t xml:space="preserve"> The applicant is entitled to the order it seeks but I am of the view that in the interest of an orderly evacuation the respondents </w:t>
      </w:r>
      <w:r w:rsidR="00433D42" w:rsidRPr="00143036">
        <w:rPr>
          <w:rFonts w:cs="Arial"/>
          <w:bCs/>
          <w:szCs w:val="22"/>
        </w:rPr>
        <w:lastRenderedPageBreak/>
        <w:t>should be granted a time period in which to vacate.</w:t>
      </w:r>
      <w:r w:rsidR="00C10274" w:rsidRPr="00143036">
        <w:rPr>
          <w:rFonts w:cs="Arial"/>
          <w:bCs/>
          <w:szCs w:val="22"/>
        </w:rPr>
        <w:t xml:space="preserve"> I therefore </w:t>
      </w:r>
      <w:r w:rsidR="00443D97" w:rsidRPr="00143036">
        <w:rPr>
          <w:rFonts w:cs="Arial"/>
          <w:bCs/>
          <w:szCs w:val="22"/>
        </w:rPr>
        <w:t>order in terms of Rule 45A that the respondents vacate the property by the end of September and not by the end of July 2023 as sought by the applicant.</w:t>
      </w:r>
    </w:p>
    <w:p w14:paraId="0DA097A4" w14:textId="2A62B8C9" w:rsidR="006F6748" w:rsidRPr="00143036" w:rsidRDefault="003E54E1" w:rsidP="006F6748">
      <w:pPr>
        <w:widowControl w:val="0"/>
        <w:numPr>
          <w:ilvl w:val="0"/>
          <w:numId w:val="1"/>
        </w:numPr>
        <w:spacing w:before="480" w:after="480" w:line="360" w:lineRule="auto"/>
        <w:jc w:val="both"/>
        <w:rPr>
          <w:rFonts w:cs="Arial"/>
          <w:bCs/>
          <w:szCs w:val="22"/>
        </w:rPr>
      </w:pPr>
      <w:r w:rsidRPr="00143036">
        <w:rPr>
          <w:rFonts w:cs="Arial"/>
          <w:bCs/>
          <w:szCs w:val="22"/>
        </w:rPr>
        <w:t xml:space="preserve">For the reasons set out above I make the order in paragraph </w:t>
      </w:r>
      <w:r w:rsidR="006F6748" w:rsidRPr="00143036">
        <w:rPr>
          <w:rFonts w:cs="Arial"/>
          <w:bCs/>
          <w:szCs w:val="22"/>
        </w:rPr>
        <w:t>1.</w:t>
      </w:r>
    </w:p>
    <w:p w14:paraId="53CD27EE" w14:textId="672559CF" w:rsidR="00AE287F" w:rsidRPr="00143036" w:rsidRDefault="00A649E6" w:rsidP="006C43D7">
      <w:pPr>
        <w:tabs>
          <w:tab w:val="right" w:pos="0"/>
        </w:tabs>
        <w:spacing w:line="360" w:lineRule="auto"/>
        <w:contextualSpacing/>
        <w:jc w:val="right"/>
        <w:rPr>
          <w:rFonts w:cs="Arial"/>
          <w:b/>
          <w:szCs w:val="22"/>
        </w:rPr>
      </w:pPr>
      <w:r w:rsidRPr="00143036">
        <w:rPr>
          <w:rFonts w:cs="Arial"/>
          <w:b/>
          <w:szCs w:val="22"/>
        </w:rPr>
        <w:t>______________</w:t>
      </w:r>
    </w:p>
    <w:p w14:paraId="0CCB9BFE" w14:textId="7ABE564D" w:rsidR="006C43D7" w:rsidRPr="00143036" w:rsidRDefault="00C676F3" w:rsidP="006C43D7">
      <w:pPr>
        <w:tabs>
          <w:tab w:val="right" w:pos="0"/>
        </w:tabs>
        <w:spacing w:line="360" w:lineRule="auto"/>
        <w:contextualSpacing/>
        <w:jc w:val="right"/>
        <w:rPr>
          <w:rFonts w:cs="Arial"/>
          <w:b/>
          <w:szCs w:val="22"/>
        </w:rPr>
      </w:pPr>
      <w:r w:rsidRPr="00143036">
        <w:rPr>
          <w:rFonts w:cs="Arial"/>
          <w:b/>
          <w:szCs w:val="22"/>
        </w:rPr>
        <w:t>J MOORCROFT</w:t>
      </w:r>
    </w:p>
    <w:p w14:paraId="7A2C1059" w14:textId="77777777" w:rsidR="006C43D7" w:rsidRPr="00143036" w:rsidRDefault="006C43D7" w:rsidP="006C43D7">
      <w:pPr>
        <w:tabs>
          <w:tab w:val="right" w:pos="0"/>
        </w:tabs>
        <w:spacing w:line="360" w:lineRule="auto"/>
        <w:contextualSpacing/>
        <w:jc w:val="right"/>
        <w:rPr>
          <w:rFonts w:cs="Arial"/>
          <w:b/>
          <w:szCs w:val="22"/>
        </w:rPr>
      </w:pPr>
      <w:r w:rsidRPr="00143036">
        <w:rPr>
          <w:rFonts w:cs="Arial"/>
          <w:b/>
          <w:szCs w:val="22"/>
        </w:rPr>
        <w:t>ACTING JUDGE OF THE HIGH COURT OF SOUTH AFRICA</w:t>
      </w:r>
    </w:p>
    <w:p w14:paraId="077C2590" w14:textId="7452355B" w:rsidR="006C43D7" w:rsidRPr="00143036" w:rsidRDefault="006C43D7" w:rsidP="006C43D7">
      <w:pPr>
        <w:tabs>
          <w:tab w:val="right" w:pos="0"/>
          <w:tab w:val="left" w:pos="4253"/>
        </w:tabs>
        <w:spacing w:line="360" w:lineRule="auto"/>
        <w:contextualSpacing/>
        <w:jc w:val="right"/>
        <w:rPr>
          <w:rFonts w:cs="Arial"/>
          <w:b/>
          <w:szCs w:val="22"/>
        </w:rPr>
      </w:pPr>
      <w:r w:rsidRPr="00143036">
        <w:rPr>
          <w:rFonts w:cs="Arial"/>
          <w:b/>
          <w:szCs w:val="22"/>
        </w:rPr>
        <w:t>GAUTENG DIVISION</w:t>
      </w:r>
    </w:p>
    <w:p w14:paraId="40B9C946" w14:textId="77777777" w:rsidR="006C43D7" w:rsidRPr="00143036" w:rsidRDefault="006C43D7" w:rsidP="006C43D7">
      <w:pPr>
        <w:tabs>
          <w:tab w:val="right" w:pos="0"/>
          <w:tab w:val="left" w:pos="4253"/>
        </w:tabs>
        <w:spacing w:line="360" w:lineRule="auto"/>
        <w:contextualSpacing/>
        <w:jc w:val="right"/>
        <w:rPr>
          <w:rFonts w:cs="Arial"/>
          <w:b/>
          <w:szCs w:val="22"/>
        </w:rPr>
      </w:pPr>
      <w:r w:rsidRPr="00143036">
        <w:rPr>
          <w:rFonts w:cs="Arial"/>
          <w:b/>
          <w:szCs w:val="22"/>
        </w:rPr>
        <w:t>JOHANNESBURG</w:t>
      </w:r>
    </w:p>
    <w:p w14:paraId="326B529B" w14:textId="77777777" w:rsidR="006C43D7" w:rsidRPr="00143036"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143036" w:rsidRDefault="006C43D7" w:rsidP="006C43D7">
      <w:pPr>
        <w:spacing w:after="200" w:line="480" w:lineRule="auto"/>
        <w:contextualSpacing/>
        <w:jc w:val="right"/>
        <w:rPr>
          <w:rFonts w:cs="Arial"/>
          <w:b/>
          <w:i/>
          <w:iCs/>
          <w:szCs w:val="22"/>
        </w:rPr>
      </w:pPr>
      <w:r w:rsidRPr="00143036">
        <w:rPr>
          <w:rFonts w:cs="Arial"/>
          <w:b/>
          <w:i/>
          <w:iCs/>
          <w:szCs w:val="22"/>
        </w:rPr>
        <w:t>Electronically submitted</w:t>
      </w:r>
    </w:p>
    <w:p w14:paraId="4E3E9427" w14:textId="77777777" w:rsidR="006C43D7" w:rsidRPr="00143036" w:rsidRDefault="006C43D7" w:rsidP="006C43D7">
      <w:pPr>
        <w:spacing w:after="200" w:line="360" w:lineRule="auto"/>
        <w:contextualSpacing/>
        <w:jc w:val="both"/>
        <w:rPr>
          <w:rFonts w:eastAsia="Arial Unicode MS" w:cs="Arial"/>
          <w:bCs/>
          <w:szCs w:val="22"/>
        </w:rPr>
      </w:pPr>
    </w:p>
    <w:p w14:paraId="51C686CA" w14:textId="6DCEAAC7" w:rsidR="006C43D7" w:rsidRPr="00143036" w:rsidRDefault="006C43D7" w:rsidP="006C43D7">
      <w:pPr>
        <w:spacing w:after="200" w:line="360" w:lineRule="auto"/>
        <w:contextualSpacing/>
        <w:jc w:val="both"/>
        <w:rPr>
          <w:rFonts w:eastAsia="Arial Unicode MS" w:cs="Arial"/>
          <w:bCs/>
          <w:szCs w:val="22"/>
        </w:rPr>
      </w:pPr>
      <w:r w:rsidRPr="00143036">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143036">
        <w:rPr>
          <w:rFonts w:eastAsia="Arial Unicode MS" w:cs="Arial"/>
          <w:bCs/>
          <w:szCs w:val="22"/>
        </w:rPr>
        <w:t xml:space="preserve"> </w:t>
      </w:r>
      <w:r w:rsidR="005E553B" w:rsidRPr="00143036">
        <w:rPr>
          <w:rFonts w:eastAsia="Arial Unicode MS" w:cs="Arial"/>
          <w:b/>
          <w:szCs w:val="22"/>
        </w:rPr>
        <w:t xml:space="preserve">26 JUNE </w:t>
      </w:r>
      <w:r w:rsidR="00237FF9" w:rsidRPr="00143036">
        <w:rPr>
          <w:rFonts w:eastAsia="Arial Unicode MS" w:cs="Arial"/>
          <w:b/>
          <w:bCs/>
          <w:szCs w:val="22"/>
        </w:rPr>
        <w:t>202</w:t>
      </w:r>
      <w:r w:rsidR="00051A2B" w:rsidRPr="00143036">
        <w:rPr>
          <w:rFonts w:eastAsia="Arial Unicode MS" w:cs="Arial"/>
          <w:b/>
          <w:bCs/>
          <w:szCs w:val="22"/>
        </w:rPr>
        <w:t>3</w:t>
      </w:r>
      <w:r w:rsidR="00051A2B" w:rsidRPr="00143036">
        <w:rPr>
          <w:rFonts w:eastAsia="Arial Unicode MS" w:cs="Arial"/>
          <w:bCs/>
          <w:szCs w:val="22"/>
        </w:rPr>
        <w:t>.</w:t>
      </w:r>
    </w:p>
    <w:p w14:paraId="482DDF6E" w14:textId="77777777" w:rsidR="006C43D7" w:rsidRPr="00143036" w:rsidRDefault="006C43D7" w:rsidP="006C43D7">
      <w:pPr>
        <w:tabs>
          <w:tab w:val="right" w:pos="0"/>
          <w:tab w:val="left" w:pos="4253"/>
        </w:tabs>
        <w:spacing w:line="360" w:lineRule="auto"/>
        <w:contextualSpacing/>
        <w:jc w:val="center"/>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143036" w14:paraId="493AF0D7" w14:textId="77777777" w:rsidTr="00615F6B">
        <w:tc>
          <w:tcPr>
            <w:tcW w:w="4678" w:type="dxa"/>
          </w:tcPr>
          <w:p w14:paraId="6A05541A" w14:textId="7C4F1FE9" w:rsidR="009D35B5" w:rsidRPr="00143036" w:rsidRDefault="009D35B5" w:rsidP="00A25AB4">
            <w:pPr>
              <w:tabs>
                <w:tab w:val="right" w:pos="0"/>
                <w:tab w:val="left" w:pos="4253"/>
              </w:tabs>
              <w:spacing w:before="120" w:after="120"/>
              <w:rPr>
                <w:rFonts w:cs="Arial"/>
                <w:szCs w:val="22"/>
              </w:rPr>
            </w:pPr>
            <w:r w:rsidRPr="00143036">
              <w:rPr>
                <w:rFonts w:cs="Arial"/>
                <w:szCs w:val="22"/>
              </w:rPr>
              <w:t xml:space="preserve">COUNSEL FOR THE </w:t>
            </w:r>
            <w:r w:rsidR="00027D19" w:rsidRPr="00143036">
              <w:rPr>
                <w:rFonts w:cs="Arial"/>
                <w:szCs w:val="22"/>
              </w:rPr>
              <w:t>APPLICANT</w:t>
            </w:r>
            <w:r w:rsidR="00475C27" w:rsidRPr="00143036">
              <w:rPr>
                <w:rFonts w:cs="Arial"/>
                <w:szCs w:val="22"/>
              </w:rPr>
              <w:t>S</w:t>
            </w:r>
            <w:r w:rsidRPr="00143036">
              <w:rPr>
                <w:rFonts w:cs="Arial"/>
                <w:szCs w:val="22"/>
              </w:rPr>
              <w:t>:</w:t>
            </w:r>
          </w:p>
        </w:tc>
        <w:tc>
          <w:tcPr>
            <w:tcW w:w="3935" w:type="dxa"/>
          </w:tcPr>
          <w:p w14:paraId="69785AA9" w14:textId="281C5B49" w:rsidR="00D15C79" w:rsidRPr="00143036" w:rsidRDefault="00475C27" w:rsidP="00A25AB4">
            <w:pPr>
              <w:tabs>
                <w:tab w:val="right" w:pos="0"/>
                <w:tab w:val="left" w:pos="567"/>
                <w:tab w:val="right" w:pos="2727"/>
                <w:tab w:val="left" w:pos="4253"/>
              </w:tabs>
              <w:spacing w:before="120" w:after="120"/>
              <w:jc w:val="right"/>
              <w:rPr>
                <w:rFonts w:cs="Arial"/>
                <w:szCs w:val="22"/>
              </w:rPr>
            </w:pPr>
            <w:r w:rsidRPr="00143036">
              <w:rPr>
                <w:rFonts w:cs="Arial"/>
                <w:szCs w:val="22"/>
              </w:rPr>
              <w:t>SECOND APPLICANT IN PERSON</w:t>
            </w:r>
          </w:p>
        </w:tc>
      </w:tr>
      <w:tr w:rsidR="009D35B5" w:rsidRPr="00143036" w14:paraId="183C176D" w14:textId="77777777" w:rsidTr="00615F6B">
        <w:tc>
          <w:tcPr>
            <w:tcW w:w="4678" w:type="dxa"/>
          </w:tcPr>
          <w:p w14:paraId="75365413" w14:textId="481747BC" w:rsidR="009D35B5" w:rsidRPr="00143036" w:rsidRDefault="009D35B5" w:rsidP="00A25AB4">
            <w:pPr>
              <w:tabs>
                <w:tab w:val="right" w:pos="0"/>
                <w:tab w:val="left" w:pos="4253"/>
              </w:tabs>
              <w:spacing w:before="120" w:after="120"/>
              <w:rPr>
                <w:rFonts w:cs="Arial"/>
                <w:szCs w:val="22"/>
              </w:rPr>
            </w:pPr>
            <w:r w:rsidRPr="00143036">
              <w:rPr>
                <w:rFonts w:cs="Arial"/>
                <w:szCs w:val="22"/>
              </w:rPr>
              <w:t>INSTRUCTED BY:</w:t>
            </w:r>
          </w:p>
        </w:tc>
        <w:tc>
          <w:tcPr>
            <w:tcW w:w="3935" w:type="dxa"/>
          </w:tcPr>
          <w:p w14:paraId="4044534A" w14:textId="494DBCB6" w:rsidR="00E10D04" w:rsidRPr="00143036" w:rsidRDefault="00475C27" w:rsidP="00A25AB4">
            <w:pPr>
              <w:tabs>
                <w:tab w:val="right" w:pos="0"/>
                <w:tab w:val="left" w:pos="4253"/>
              </w:tabs>
              <w:spacing w:before="120" w:after="120"/>
              <w:jc w:val="right"/>
              <w:rPr>
                <w:rFonts w:cs="Arial"/>
                <w:szCs w:val="22"/>
              </w:rPr>
            </w:pPr>
            <w:r w:rsidRPr="00143036">
              <w:rPr>
                <w:rFonts w:cs="Arial"/>
                <w:szCs w:val="22"/>
              </w:rPr>
              <w:t>-</w:t>
            </w:r>
          </w:p>
        </w:tc>
      </w:tr>
      <w:tr w:rsidR="009D35B5" w:rsidRPr="00143036" w14:paraId="6E2BF966" w14:textId="77777777" w:rsidTr="00615F6B">
        <w:tc>
          <w:tcPr>
            <w:tcW w:w="4678" w:type="dxa"/>
          </w:tcPr>
          <w:p w14:paraId="545B6665" w14:textId="2362B768" w:rsidR="009D35B5" w:rsidRPr="00143036" w:rsidRDefault="009D35B5" w:rsidP="00A25AB4">
            <w:pPr>
              <w:tabs>
                <w:tab w:val="right" w:pos="0"/>
                <w:tab w:val="left" w:pos="4253"/>
              </w:tabs>
              <w:spacing w:before="120" w:after="120"/>
              <w:rPr>
                <w:rFonts w:cs="Arial"/>
                <w:szCs w:val="22"/>
              </w:rPr>
            </w:pPr>
            <w:r w:rsidRPr="00143036">
              <w:rPr>
                <w:rFonts w:cs="Arial"/>
                <w:szCs w:val="22"/>
              </w:rPr>
              <w:t xml:space="preserve">COUNSEL FOR </w:t>
            </w:r>
            <w:r w:rsidR="00475C27" w:rsidRPr="00143036">
              <w:rPr>
                <w:rFonts w:cs="Arial"/>
                <w:szCs w:val="22"/>
              </w:rPr>
              <w:t xml:space="preserve">FIRST, SECOND AND THIRD </w:t>
            </w:r>
            <w:r w:rsidR="00027D19" w:rsidRPr="00143036">
              <w:rPr>
                <w:rFonts w:cs="Arial"/>
                <w:szCs w:val="22"/>
              </w:rPr>
              <w:t>RESPONDENT</w:t>
            </w:r>
            <w:r w:rsidR="00475C27" w:rsidRPr="00143036">
              <w:rPr>
                <w:rFonts w:cs="Arial"/>
                <w:szCs w:val="22"/>
              </w:rPr>
              <w:t>S</w:t>
            </w:r>
            <w:r w:rsidRPr="00143036">
              <w:rPr>
                <w:rFonts w:cs="Arial"/>
                <w:szCs w:val="22"/>
              </w:rPr>
              <w:t>:</w:t>
            </w:r>
          </w:p>
        </w:tc>
        <w:tc>
          <w:tcPr>
            <w:tcW w:w="3935" w:type="dxa"/>
          </w:tcPr>
          <w:p w14:paraId="51741A90" w14:textId="69906D9B" w:rsidR="009D35B5" w:rsidRPr="00143036" w:rsidRDefault="005E553B" w:rsidP="00A25AB4">
            <w:pPr>
              <w:tabs>
                <w:tab w:val="right" w:pos="0"/>
                <w:tab w:val="left" w:pos="4253"/>
              </w:tabs>
              <w:spacing w:before="120" w:after="120"/>
              <w:jc w:val="right"/>
              <w:rPr>
                <w:rFonts w:cs="Arial"/>
                <w:szCs w:val="22"/>
              </w:rPr>
            </w:pPr>
            <w:r w:rsidRPr="00143036">
              <w:rPr>
                <w:rFonts w:cs="Arial"/>
                <w:szCs w:val="22"/>
              </w:rPr>
              <w:t>MR MOKALE</w:t>
            </w:r>
          </w:p>
        </w:tc>
      </w:tr>
      <w:tr w:rsidR="009D35B5" w:rsidRPr="00143036" w14:paraId="1EC4105A" w14:textId="77777777" w:rsidTr="00615F6B">
        <w:tc>
          <w:tcPr>
            <w:tcW w:w="4678" w:type="dxa"/>
          </w:tcPr>
          <w:p w14:paraId="184EC2ED" w14:textId="1E42F28A" w:rsidR="009D35B5" w:rsidRPr="00143036" w:rsidRDefault="009D35B5" w:rsidP="00A25AB4">
            <w:pPr>
              <w:tabs>
                <w:tab w:val="right" w:pos="0"/>
                <w:tab w:val="left" w:pos="4253"/>
              </w:tabs>
              <w:spacing w:before="120" w:after="120"/>
              <w:rPr>
                <w:rFonts w:cs="Arial"/>
                <w:szCs w:val="22"/>
              </w:rPr>
            </w:pPr>
            <w:r w:rsidRPr="00143036">
              <w:rPr>
                <w:rFonts w:cs="Arial"/>
                <w:szCs w:val="22"/>
              </w:rPr>
              <w:t>INSTRUCTED BY:</w:t>
            </w:r>
          </w:p>
        </w:tc>
        <w:tc>
          <w:tcPr>
            <w:tcW w:w="3935" w:type="dxa"/>
          </w:tcPr>
          <w:p w14:paraId="2098BE2A" w14:textId="6CE8DFD2" w:rsidR="001A3C26" w:rsidRPr="00143036" w:rsidRDefault="004A08E7" w:rsidP="00A25AB4">
            <w:pPr>
              <w:tabs>
                <w:tab w:val="right" w:pos="0"/>
                <w:tab w:val="left" w:pos="4253"/>
              </w:tabs>
              <w:spacing w:before="120" w:after="120"/>
              <w:jc w:val="right"/>
              <w:rPr>
                <w:rFonts w:cs="Arial"/>
                <w:szCs w:val="22"/>
              </w:rPr>
            </w:pPr>
            <w:r w:rsidRPr="00143036">
              <w:rPr>
                <w:rFonts w:cs="Arial"/>
                <w:szCs w:val="22"/>
              </w:rPr>
              <w:t>SMN ATTORNEYS</w:t>
            </w:r>
          </w:p>
        </w:tc>
      </w:tr>
      <w:tr w:rsidR="009D35B5" w:rsidRPr="00143036" w14:paraId="2A3FE2B1" w14:textId="77777777" w:rsidTr="00615F6B">
        <w:tc>
          <w:tcPr>
            <w:tcW w:w="4678" w:type="dxa"/>
          </w:tcPr>
          <w:p w14:paraId="0767D0FE" w14:textId="61925A22" w:rsidR="009D35B5" w:rsidRPr="00143036" w:rsidRDefault="009D35B5" w:rsidP="00A25AB4">
            <w:pPr>
              <w:tabs>
                <w:tab w:val="right" w:pos="0"/>
                <w:tab w:val="left" w:pos="4253"/>
              </w:tabs>
              <w:spacing w:before="120" w:after="120"/>
              <w:rPr>
                <w:rFonts w:cs="Arial"/>
                <w:szCs w:val="22"/>
              </w:rPr>
            </w:pPr>
            <w:r w:rsidRPr="00143036">
              <w:rPr>
                <w:rFonts w:cs="Arial"/>
                <w:szCs w:val="22"/>
              </w:rPr>
              <w:t xml:space="preserve">DATE </w:t>
            </w:r>
            <w:r w:rsidR="00E57446" w:rsidRPr="00143036">
              <w:rPr>
                <w:rFonts w:cs="Arial"/>
                <w:szCs w:val="22"/>
              </w:rPr>
              <w:t>OF ARGUMENT</w:t>
            </w:r>
            <w:r w:rsidRPr="00143036">
              <w:rPr>
                <w:rFonts w:cs="Arial"/>
                <w:szCs w:val="22"/>
              </w:rPr>
              <w:t>:</w:t>
            </w:r>
          </w:p>
        </w:tc>
        <w:tc>
          <w:tcPr>
            <w:tcW w:w="3935" w:type="dxa"/>
          </w:tcPr>
          <w:p w14:paraId="34C95147" w14:textId="2EBC2E88" w:rsidR="009D35B5" w:rsidRPr="00143036" w:rsidRDefault="00475C27" w:rsidP="00A25AB4">
            <w:pPr>
              <w:tabs>
                <w:tab w:val="right" w:pos="0"/>
                <w:tab w:val="left" w:pos="4253"/>
              </w:tabs>
              <w:spacing w:before="120" w:after="120"/>
              <w:jc w:val="right"/>
              <w:rPr>
                <w:rFonts w:cs="Arial"/>
                <w:szCs w:val="22"/>
              </w:rPr>
            </w:pPr>
            <w:r w:rsidRPr="00143036">
              <w:rPr>
                <w:rFonts w:cs="Arial"/>
                <w:szCs w:val="22"/>
              </w:rPr>
              <w:t>1</w:t>
            </w:r>
            <w:r w:rsidR="005E553B" w:rsidRPr="00143036">
              <w:rPr>
                <w:rFonts w:cs="Arial"/>
                <w:szCs w:val="22"/>
              </w:rPr>
              <w:t>5</w:t>
            </w:r>
            <w:r w:rsidRPr="00143036">
              <w:rPr>
                <w:rFonts w:cs="Arial"/>
                <w:szCs w:val="22"/>
              </w:rPr>
              <w:t xml:space="preserve"> JUNE </w:t>
            </w:r>
            <w:r w:rsidR="00027D19" w:rsidRPr="00143036">
              <w:rPr>
                <w:rFonts w:cs="Arial"/>
                <w:szCs w:val="22"/>
              </w:rPr>
              <w:t>2023</w:t>
            </w:r>
          </w:p>
        </w:tc>
      </w:tr>
      <w:tr w:rsidR="00A25AB4" w:rsidRPr="00143036" w14:paraId="5ECDFF3A" w14:textId="77777777" w:rsidTr="00615F6B">
        <w:tc>
          <w:tcPr>
            <w:tcW w:w="4678" w:type="dxa"/>
          </w:tcPr>
          <w:p w14:paraId="1DF2AE9E" w14:textId="10EA0C65" w:rsidR="00A25AB4" w:rsidRPr="00143036" w:rsidRDefault="00A25AB4" w:rsidP="00A25AB4">
            <w:pPr>
              <w:tabs>
                <w:tab w:val="right" w:pos="0"/>
                <w:tab w:val="left" w:pos="4253"/>
              </w:tabs>
              <w:spacing w:before="120" w:after="120"/>
              <w:rPr>
                <w:rFonts w:cs="Arial"/>
                <w:szCs w:val="22"/>
              </w:rPr>
            </w:pPr>
            <w:r w:rsidRPr="00143036">
              <w:rPr>
                <w:rFonts w:cs="Arial"/>
                <w:szCs w:val="22"/>
              </w:rPr>
              <w:t xml:space="preserve">DATE OF </w:t>
            </w:r>
            <w:r w:rsidR="00475C27" w:rsidRPr="00143036">
              <w:rPr>
                <w:rFonts w:cs="Arial"/>
                <w:szCs w:val="22"/>
              </w:rPr>
              <w:t>ORDER</w:t>
            </w:r>
            <w:r w:rsidRPr="00143036">
              <w:rPr>
                <w:rFonts w:cs="Arial"/>
                <w:szCs w:val="22"/>
              </w:rPr>
              <w:t>:</w:t>
            </w:r>
          </w:p>
        </w:tc>
        <w:tc>
          <w:tcPr>
            <w:tcW w:w="3935" w:type="dxa"/>
          </w:tcPr>
          <w:p w14:paraId="02219E99" w14:textId="1C683B9B" w:rsidR="00A25AB4" w:rsidRPr="00143036" w:rsidRDefault="000C4E07" w:rsidP="00A25AB4">
            <w:pPr>
              <w:tabs>
                <w:tab w:val="right" w:pos="0"/>
                <w:tab w:val="left" w:pos="4253"/>
              </w:tabs>
              <w:spacing w:before="120" w:after="120"/>
              <w:jc w:val="right"/>
              <w:rPr>
                <w:rFonts w:cs="Arial"/>
                <w:szCs w:val="22"/>
              </w:rPr>
            </w:pPr>
            <w:r w:rsidRPr="00143036">
              <w:rPr>
                <w:rFonts w:cs="Arial"/>
                <w:szCs w:val="22"/>
              </w:rPr>
              <w:t xml:space="preserve"> </w:t>
            </w:r>
            <w:r w:rsidR="005E553B" w:rsidRPr="00143036">
              <w:rPr>
                <w:rFonts w:cs="Arial"/>
                <w:szCs w:val="22"/>
              </w:rPr>
              <w:t>23</w:t>
            </w:r>
            <w:r w:rsidR="00F6329C" w:rsidRPr="00143036">
              <w:rPr>
                <w:rFonts w:cs="Arial"/>
                <w:szCs w:val="22"/>
              </w:rPr>
              <w:t xml:space="preserve"> JUNE </w:t>
            </w:r>
            <w:r w:rsidR="00A25AB4" w:rsidRPr="00143036">
              <w:rPr>
                <w:rFonts w:cs="Arial"/>
                <w:szCs w:val="22"/>
              </w:rPr>
              <w:t>2023</w:t>
            </w:r>
          </w:p>
        </w:tc>
      </w:tr>
      <w:tr w:rsidR="00475C27" w:rsidRPr="00143036" w14:paraId="60D04EC4" w14:textId="77777777" w:rsidTr="00FD4EA7">
        <w:tc>
          <w:tcPr>
            <w:tcW w:w="4678" w:type="dxa"/>
          </w:tcPr>
          <w:p w14:paraId="5DE32C7B" w14:textId="77777777" w:rsidR="00475C27" w:rsidRPr="00143036" w:rsidRDefault="00475C27" w:rsidP="00FD4EA7">
            <w:pPr>
              <w:tabs>
                <w:tab w:val="right" w:pos="0"/>
                <w:tab w:val="left" w:pos="4253"/>
              </w:tabs>
              <w:spacing w:before="120" w:after="120"/>
              <w:rPr>
                <w:rFonts w:cs="Arial"/>
                <w:szCs w:val="22"/>
              </w:rPr>
            </w:pPr>
            <w:r w:rsidRPr="00143036">
              <w:rPr>
                <w:rFonts w:cs="Arial"/>
                <w:szCs w:val="22"/>
              </w:rPr>
              <w:t>DATE OF JUDGMENT:</w:t>
            </w:r>
          </w:p>
        </w:tc>
        <w:tc>
          <w:tcPr>
            <w:tcW w:w="3935" w:type="dxa"/>
          </w:tcPr>
          <w:p w14:paraId="6F2E5DC5" w14:textId="027D4C6C" w:rsidR="00475C27" w:rsidRPr="00143036" w:rsidRDefault="00475C27" w:rsidP="00FD4EA7">
            <w:pPr>
              <w:tabs>
                <w:tab w:val="right" w:pos="0"/>
                <w:tab w:val="left" w:pos="4253"/>
              </w:tabs>
              <w:spacing w:before="120" w:after="120"/>
              <w:jc w:val="right"/>
              <w:rPr>
                <w:rFonts w:cs="Arial"/>
                <w:szCs w:val="22"/>
              </w:rPr>
            </w:pPr>
            <w:r w:rsidRPr="00143036">
              <w:rPr>
                <w:rFonts w:cs="Arial"/>
                <w:szCs w:val="22"/>
              </w:rPr>
              <w:t xml:space="preserve"> </w:t>
            </w:r>
            <w:r w:rsidR="005E553B" w:rsidRPr="00143036">
              <w:rPr>
                <w:rFonts w:cs="Arial"/>
                <w:szCs w:val="22"/>
              </w:rPr>
              <w:t>26</w:t>
            </w:r>
            <w:r w:rsidRPr="00143036">
              <w:rPr>
                <w:rFonts w:cs="Arial"/>
                <w:szCs w:val="22"/>
              </w:rPr>
              <w:t xml:space="preserve"> JUNE 2023</w:t>
            </w:r>
          </w:p>
        </w:tc>
      </w:tr>
      <w:tr w:rsidR="00475C27" w:rsidRPr="00143036" w14:paraId="0DAA6B4D" w14:textId="77777777" w:rsidTr="00615F6B">
        <w:tc>
          <w:tcPr>
            <w:tcW w:w="4678" w:type="dxa"/>
          </w:tcPr>
          <w:p w14:paraId="3F989879" w14:textId="77777777" w:rsidR="00475C27" w:rsidRPr="00143036" w:rsidRDefault="00475C27" w:rsidP="00A25AB4">
            <w:pPr>
              <w:tabs>
                <w:tab w:val="right" w:pos="0"/>
                <w:tab w:val="left" w:pos="4253"/>
              </w:tabs>
              <w:spacing w:before="120" w:after="120"/>
              <w:rPr>
                <w:rFonts w:cs="Arial"/>
                <w:szCs w:val="22"/>
              </w:rPr>
            </w:pPr>
          </w:p>
        </w:tc>
        <w:tc>
          <w:tcPr>
            <w:tcW w:w="3935" w:type="dxa"/>
          </w:tcPr>
          <w:p w14:paraId="5C1E337F" w14:textId="77777777" w:rsidR="00475C27" w:rsidRPr="00143036" w:rsidRDefault="00475C27" w:rsidP="00A25AB4">
            <w:pPr>
              <w:tabs>
                <w:tab w:val="right" w:pos="0"/>
                <w:tab w:val="left" w:pos="4253"/>
              </w:tabs>
              <w:spacing w:before="120" w:after="120"/>
              <w:jc w:val="right"/>
              <w:rPr>
                <w:rFonts w:cs="Arial"/>
                <w:szCs w:val="22"/>
              </w:rPr>
            </w:pPr>
          </w:p>
        </w:tc>
      </w:tr>
    </w:tbl>
    <w:p w14:paraId="1BD8F4EB" w14:textId="24205645" w:rsidR="00A402F6" w:rsidRPr="00143036" w:rsidRDefault="00A402F6" w:rsidP="00A402F6">
      <w:pPr>
        <w:tabs>
          <w:tab w:val="right" w:pos="8647"/>
        </w:tabs>
        <w:spacing w:line="360" w:lineRule="auto"/>
        <w:contextualSpacing/>
        <w:jc w:val="both"/>
        <w:rPr>
          <w:rFonts w:cs="Arial"/>
          <w:szCs w:val="22"/>
        </w:rPr>
      </w:pPr>
      <w:r w:rsidRPr="00143036">
        <w:rPr>
          <w:rFonts w:cs="Arial"/>
          <w:szCs w:val="22"/>
        </w:rPr>
        <w:tab/>
      </w:r>
    </w:p>
    <w:sectPr w:rsidR="00A402F6" w:rsidRPr="00143036"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25FD9" w14:textId="77777777" w:rsidR="003B2485" w:rsidRDefault="003B2485">
      <w:r>
        <w:separator/>
      </w:r>
    </w:p>
  </w:endnote>
  <w:endnote w:type="continuationSeparator" w:id="0">
    <w:p w14:paraId="37DEE320" w14:textId="77777777" w:rsidR="003B2485" w:rsidRDefault="003B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6CC53" w14:textId="77777777" w:rsidR="003B2485" w:rsidRDefault="003B2485">
      <w:r>
        <w:separator/>
      </w:r>
    </w:p>
  </w:footnote>
  <w:footnote w:type="continuationSeparator" w:id="0">
    <w:p w14:paraId="53D3AEEF" w14:textId="77777777" w:rsidR="003B2485" w:rsidRDefault="003B2485">
      <w:r>
        <w:continuationSeparator/>
      </w:r>
    </w:p>
  </w:footnote>
  <w:footnote w:id="1">
    <w:p w14:paraId="533A9DCF" w14:textId="77777777" w:rsidR="00F60C92" w:rsidRDefault="00F60C92" w:rsidP="00F60C92">
      <w:pPr>
        <w:pStyle w:val="FootnoteText"/>
      </w:pPr>
      <w:r>
        <w:rPr>
          <w:rStyle w:val="FootnoteReference"/>
        </w:rPr>
        <w:footnoteRef/>
      </w:r>
      <w:r>
        <w:t xml:space="preserve"> </w:t>
      </w:r>
      <w:r>
        <w:tab/>
        <w:t>See section 33 of the Legal Practice Act, 28 of 2014.</w:t>
      </w:r>
    </w:p>
  </w:footnote>
  <w:footnote w:id="2">
    <w:p w14:paraId="640149C6" w14:textId="4927D6DC" w:rsidR="00DA00A3" w:rsidRDefault="00DA00A3">
      <w:pPr>
        <w:pStyle w:val="FootnoteText"/>
      </w:pPr>
      <w:r>
        <w:rPr>
          <w:rStyle w:val="FootnoteReference"/>
        </w:rPr>
        <w:footnoteRef/>
      </w:r>
      <w:r>
        <w:t xml:space="preserve"> </w:t>
      </w:r>
      <w:r>
        <w:tab/>
      </w:r>
      <w:r w:rsidRPr="00DA00A3">
        <w:rPr>
          <w:rFonts w:cs="Arial"/>
          <w:bCs/>
          <w:i/>
          <w:iCs/>
        </w:rPr>
        <w:t>Y</w:t>
      </w:r>
      <w:r w:rsidRPr="00DA00A3">
        <w:rPr>
          <w:rFonts w:cs="Arial"/>
          <w:i/>
          <w:iCs/>
          <w:lang w:eastAsia="en-ZA"/>
        </w:rPr>
        <w:t>ates Investments (Pty) Ltd v Commissioner for Inland Revenue</w:t>
      </w:r>
      <w:r w:rsidRPr="00DA00A3">
        <w:rPr>
          <w:rFonts w:ascii="ArialMT" w:hAnsi="ArialMT" w:cs="ArialMT"/>
          <w:lang w:eastAsia="en-ZA"/>
        </w:rPr>
        <w:t xml:space="preserve"> </w:t>
      </w:r>
      <w:r>
        <w:rPr>
          <w:rFonts w:ascii="ArialMT" w:hAnsi="ArialMT" w:cs="ArialMT"/>
          <w:lang w:eastAsia="en-ZA"/>
        </w:rPr>
        <w:t>1956 (1) SA 364 (A).</w:t>
      </w:r>
    </w:p>
  </w:footnote>
  <w:footnote w:id="3">
    <w:p w14:paraId="59108ABF" w14:textId="77777777" w:rsidR="00C13C4E" w:rsidRPr="00AF2D03" w:rsidRDefault="00C13C4E" w:rsidP="00C13C4E">
      <w:pPr>
        <w:pStyle w:val="FootnoteText"/>
      </w:pPr>
      <w:r>
        <w:rPr>
          <w:rStyle w:val="FootnoteReference"/>
        </w:rPr>
        <w:footnoteRef/>
      </w:r>
      <w:r>
        <w:t xml:space="preserve"> </w:t>
      </w:r>
      <w:r>
        <w:tab/>
      </w:r>
      <w:r w:rsidRPr="004307E7">
        <w:rPr>
          <w:rFonts w:eastAsia="Arial-BoldMT" w:cs="Arial"/>
          <w:i/>
          <w:iCs/>
        </w:rPr>
        <w:t>Manong v M</w:t>
      </w:r>
      <w:r w:rsidRPr="00AF2D03">
        <w:rPr>
          <w:rFonts w:eastAsia="Arial-BoldMT" w:cs="Arial"/>
          <w:i/>
          <w:iCs/>
          <w:color w:val="000000" w:themeColor="text1"/>
        </w:rPr>
        <w:t>inister of Public Works</w:t>
      </w:r>
      <w:r w:rsidRPr="00AF2D03">
        <w:rPr>
          <w:rFonts w:eastAsia="Arial-BoldMT" w:cs="Arial"/>
          <w:color w:val="000000" w:themeColor="text1"/>
        </w:rPr>
        <w:t xml:space="preserve"> [2009] ZASCA 110 para 8. See also </w:t>
      </w:r>
      <w:r w:rsidRPr="00AF2D03">
        <w:rPr>
          <w:i/>
          <w:iCs/>
          <w:color w:val="000000" w:themeColor="text1"/>
        </w:rPr>
        <w:t>Mittal Steel South Africa Ltd t/a Vereeniging Steel v Pipechem CC</w:t>
      </w:r>
      <w:r w:rsidRPr="00AF2D03">
        <w:rPr>
          <w:color w:val="000000" w:themeColor="text1"/>
        </w:rPr>
        <w:t xml:space="preserve"> 2008 (1) SA 640 (C) para 51, </w:t>
      </w:r>
      <w:r w:rsidRPr="009E5638">
        <w:rPr>
          <w:i/>
          <w:iCs/>
        </w:rPr>
        <w:t>Ex Parte</w:t>
      </w:r>
      <w:r>
        <w:rPr>
          <w:i/>
          <w:iCs/>
        </w:rPr>
        <w:t xml:space="preserve"> </w:t>
      </w:r>
      <w:r w:rsidRPr="009E5638">
        <w:rPr>
          <w:i/>
          <w:iCs/>
        </w:rPr>
        <w:t>California</w:t>
      </w:r>
      <w:r>
        <w:rPr>
          <w:i/>
          <w:iCs/>
        </w:rPr>
        <w:t xml:space="preserve"> </w:t>
      </w:r>
      <w:r w:rsidRPr="009E5638">
        <w:rPr>
          <w:i/>
          <w:iCs/>
        </w:rPr>
        <w:t>Spice</w:t>
      </w:r>
      <w:r>
        <w:rPr>
          <w:i/>
          <w:iCs/>
        </w:rPr>
        <w:t xml:space="preserve"> </w:t>
      </w:r>
      <w:r w:rsidRPr="009E5638">
        <w:rPr>
          <w:i/>
          <w:iCs/>
        </w:rPr>
        <w:t>&amp;</w:t>
      </w:r>
      <w:r>
        <w:rPr>
          <w:i/>
          <w:iCs/>
        </w:rPr>
        <w:t xml:space="preserve"> </w:t>
      </w:r>
      <w:r w:rsidRPr="009E5638">
        <w:rPr>
          <w:i/>
          <w:iCs/>
        </w:rPr>
        <w:t>Marinade</w:t>
      </w:r>
      <w:r>
        <w:rPr>
          <w:i/>
          <w:iCs/>
        </w:rPr>
        <w:t xml:space="preserve"> </w:t>
      </w:r>
      <w:r w:rsidRPr="009E5638">
        <w:rPr>
          <w:i/>
          <w:iCs/>
        </w:rPr>
        <w:t>(Pty) Ltd and others in re Bankorp v</w:t>
      </w:r>
      <w:r>
        <w:rPr>
          <w:i/>
          <w:iCs/>
        </w:rPr>
        <w:t xml:space="preserve"> </w:t>
      </w:r>
      <w:r w:rsidRPr="009E5638">
        <w:rPr>
          <w:i/>
          <w:iCs/>
        </w:rPr>
        <w:t>California</w:t>
      </w:r>
      <w:r>
        <w:rPr>
          <w:i/>
          <w:iCs/>
        </w:rPr>
        <w:t xml:space="preserve"> </w:t>
      </w:r>
      <w:r w:rsidRPr="009E5638">
        <w:rPr>
          <w:i/>
          <w:iCs/>
        </w:rPr>
        <w:t>Spice</w:t>
      </w:r>
      <w:r>
        <w:rPr>
          <w:i/>
          <w:iCs/>
        </w:rPr>
        <w:t xml:space="preserve"> </w:t>
      </w:r>
      <w:r w:rsidRPr="009E5638">
        <w:rPr>
          <w:i/>
          <w:iCs/>
        </w:rPr>
        <w:t>&amp;</w:t>
      </w:r>
      <w:r>
        <w:rPr>
          <w:i/>
          <w:iCs/>
        </w:rPr>
        <w:t xml:space="preserve"> </w:t>
      </w:r>
      <w:r w:rsidRPr="009E5638">
        <w:rPr>
          <w:i/>
          <w:iCs/>
        </w:rPr>
        <w:t>Marinade</w:t>
      </w:r>
      <w:r>
        <w:rPr>
          <w:i/>
          <w:iCs/>
        </w:rPr>
        <w:t xml:space="preserve"> </w:t>
      </w:r>
      <w:r w:rsidRPr="009E5638">
        <w:rPr>
          <w:i/>
          <w:iCs/>
        </w:rPr>
        <w:t>(Pty) Ltd and others</w:t>
      </w:r>
      <w:r>
        <w:t xml:space="preserve"> </w:t>
      </w:r>
      <w:r w:rsidRPr="009E5638">
        <w:t>[1997] 4 All SA 317 (W)</w:t>
      </w:r>
      <w:r>
        <w:t xml:space="preserve"> </w:t>
      </w:r>
      <w:r w:rsidRPr="00AF2D03">
        <w:rPr>
          <w:rFonts w:cstheme="minorBidi"/>
          <w:color w:val="000000" w:themeColor="text1"/>
        </w:rPr>
        <w:t>para 13</w:t>
      </w:r>
      <w:r>
        <w:t xml:space="preserve">, and </w:t>
      </w:r>
      <w:r w:rsidRPr="009E5638">
        <w:rPr>
          <w:i/>
          <w:iCs/>
        </w:rPr>
        <w:t>Arbuthnot Leasing International Ltd v Havelet Leasing Ltd and others</w:t>
      </w:r>
      <w:r w:rsidRPr="009E5638">
        <w:t xml:space="preserve"> [1991] 1 All ER 591 (Ch)</w:t>
      </w:r>
      <w:r>
        <w:t xml:space="preserve"> </w:t>
      </w:r>
      <w:r w:rsidRPr="009E5638">
        <w:t>595</w:t>
      </w:r>
      <w:r>
        <w:t>.</w:t>
      </w:r>
    </w:p>
  </w:footnote>
  <w:footnote w:id="4">
    <w:p w14:paraId="4A1C3F99" w14:textId="19D46456" w:rsidR="00AF2D03" w:rsidRDefault="00AF2D03">
      <w:pPr>
        <w:pStyle w:val="FootnoteText"/>
      </w:pPr>
      <w:r>
        <w:rPr>
          <w:rStyle w:val="FootnoteReference"/>
        </w:rPr>
        <w:footnoteRef/>
      </w:r>
      <w:r>
        <w:t xml:space="preserve"> </w:t>
      </w:r>
      <w:r>
        <w:tab/>
      </w:r>
      <w:r w:rsidRPr="00A97ABD">
        <w:rPr>
          <w:i/>
          <w:iCs/>
        </w:rPr>
        <w:t>Engineers' and Managers' Association v Advisory, Conciliation and Arbitration Service and another</w:t>
      </w:r>
      <w:r>
        <w:t xml:space="preserve"> </w:t>
      </w:r>
      <w:r w:rsidRPr="00A97ABD">
        <w:t>(No 1) [1979] 3 All ER 223 (CA) 225</w:t>
      </w:r>
      <w:r>
        <w:t>.</w:t>
      </w:r>
    </w:p>
  </w:footnote>
  <w:footnote w:id="5">
    <w:p w14:paraId="6AF958B8" w14:textId="17850A7A" w:rsidR="00987B90" w:rsidRDefault="00987B90">
      <w:pPr>
        <w:pStyle w:val="FootnoteText"/>
      </w:pPr>
      <w:r>
        <w:rPr>
          <w:rStyle w:val="FootnoteReference"/>
        </w:rPr>
        <w:footnoteRef/>
      </w:r>
      <w:r>
        <w:t xml:space="preserve"> </w:t>
      </w:r>
      <w:r>
        <w:tab/>
        <w:t>CaseLines 173.</w:t>
      </w:r>
    </w:p>
  </w:footnote>
  <w:footnote w:id="6">
    <w:p w14:paraId="6BE6A1D7" w14:textId="0521CB4C" w:rsidR="00624680" w:rsidRDefault="00624680">
      <w:pPr>
        <w:pStyle w:val="FootnoteText"/>
      </w:pPr>
      <w:r>
        <w:rPr>
          <w:rStyle w:val="FootnoteReference"/>
        </w:rPr>
        <w:footnoteRef/>
      </w:r>
      <w:r>
        <w:t xml:space="preserve"> </w:t>
      </w:r>
      <w:r>
        <w:tab/>
        <w:t>CaseLines 179.</w:t>
      </w:r>
    </w:p>
  </w:footnote>
  <w:footnote w:id="7">
    <w:p w14:paraId="6A584B50" w14:textId="51142C78" w:rsidR="00987B90" w:rsidRDefault="00987B90">
      <w:pPr>
        <w:pStyle w:val="FootnoteText"/>
      </w:pPr>
      <w:r>
        <w:rPr>
          <w:rStyle w:val="FootnoteReference"/>
        </w:rPr>
        <w:footnoteRef/>
      </w:r>
      <w:r>
        <w:t xml:space="preserve"> </w:t>
      </w:r>
      <w:r>
        <w:tab/>
        <w:t>CaseLines 190.</w:t>
      </w:r>
    </w:p>
  </w:footnote>
  <w:footnote w:id="8">
    <w:p w14:paraId="3DCD9DBC" w14:textId="7A050B61" w:rsidR="00987B90" w:rsidRDefault="00987B90">
      <w:pPr>
        <w:pStyle w:val="FootnoteText"/>
      </w:pPr>
      <w:r>
        <w:rPr>
          <w:rStyle w:val="FootnoteReference"/>
        </w:rPr>
        <w:footnoteRef/>
      </w:r>
      <w:r>
        <w:t xml:space="preserve"> </w:t>
      </w:r>
      <w:r>
        <w:tab/>
        <w:t>CaseLines 273.</w:t>
      </w:r>
    </w:p>
  </w:footnote>
  <w:footnote w:id="9">
    <w:p w14:paraId="387C1F21" w14:textId="74D07AAF" w:rsidR="00987B90" w:rsidRDefault="00987B90">
      <w:pPr>
        <w:pStyle w:val="FootnoteText"/>
      </w:pPr>
      <w:r>
        <w:rPr>
          <w:rStyle w:val="FootnoteReference"/>
        </w:rPr>
        <w:footnoteRef/>
      </w:r>
      <w:r>
        <w:t xml:space="preserve"> </w:t>
      </w:r>
      <w:r>
        <w:tab/>
        <w:t>CaseLines 269.</w:t>
      </w:r>
    </w:p>
  </w:footnote>
  <w:footnote w:id="10">
    <w:p w14:paraId="13D63CE8" w14:textId="59DD9C00" w:rsidR="00C642C5" w:rsidRDefault="00C642C5">
      <w:pPr>
        <w:pStyle w:val="FootnoteText"/>
      </w:pPr>
      <w:r>
        <w:rPr>
          <w:rStyle w:val="FootnoteReference"/>
        </w:rPr>
        <w:footnoteRef/>
      </w:r>
      <w:r>
        <w:t xml:space="preserve"> </w:t>
      </w:r>
      <w:r>
        <w:tab/>
        <w:t xml:space="preserve">CaseLines </w:t>
      </w:r>
      <w:r w:rsidR="00987B90">
        <w:t>208.</w:t>
      </w:r>
    </w:p>
  </w:footnote>
  <w:footnote w:id="11">
    <w:p w14:paraId="197EB387" w14:textId="22174D82" w:rsidR="006068D4" w:rsidRDefault="006068D4">
      <w:pPr>
        <w:pStyle w:val="FootnoteText"/>
      </w:pPr>
      <w:r>
        <w:rPr>
          <w:rStyle w:val="FootnoteReference"/>
        </w:rPr>
        <w:footnoteRef/>
      </w:r>
      <w:r>
        <w:t xml:space="preserve"> </w:t>
      </w:r>
      <w:r>
        <w:tab/>
      </w:r>
      <w:r w:rsidRPr="008E25EA">
        <w:rPr>
          <w:rFonts w:eastAsiaTheme="minorHAnsi"/>
          <w:i/>
          <w:iCs/>
        </w:rPr>
        <w:t>Pillay v Krishna and Another</w:t>
      </w:r>
      <w:r>
        <w:rPr>
          <w:rFonts w:eastAsiaTheme="minorHAnsi"/>
          <w:i/>
          <w:iCs/>
        </w:rPr>
        <w:t xml:space="preserve"> </w:t>
      </w:r>
      <w:r w:rsidRPr="008E25EA">
        <w:rPr>
          <w:rFonts w:eastAsiaTheme="minorHAnsi"/>
        </w:rPr>
        <w:t>1946 AD 946</w:t>
      </w:r>
      <w:r>
        <w:rPr>
          <w:rFonts w:eastAsiaTheme="minorHAnsi"/>
        </w:rPr>
        <w:t xml:space="preserve"> p 954 to 956.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465F799A"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C57B50">
      <w:rPr>
        <w:rFonts w:cs="Arial"/>
        <w:noProof/>
        <w:sz w:val="20"/>
        <w:szCs w:val="20"/>
        <w:lang w:val="en-GB"/>
      </w:rPr>
      <w:t>2</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2"/>
  </w:num>
  <w:num w:numId="4">
    <w:abstractNumId w:val="5"/>
  </w:num>
  <w:num w:numId="5">
    <w:abstractNumId w:val="11"/>
  </w:num>
  <w:num w:numId="6">
    <w:abstractNumId w:val="9"/>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3"/>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25E2"/>
    <w:rsid w:val="00036508"/>
    <w:rsid w:val="00040CD3"/>
    <w:rsid w:val="00047F26"/>
    <w:rsid w:val="00050086"/>
    <w:rsid w:val="000504F1"/>
    <w:rsid w:val="00051A2B"/>
    <w:rsid w:val="000550EB"/>
    <w:rsid w:val="00063F7B"/>
    <w:rsid w:val="00066971"/>
    <w:rsid w:val="000737E1"/>
    <w:rsid w:val="00073E30"/>
    <w:rsid w:val="000766A0"/>
    <w:rsid w:val="00077D11"/>
    <w:rsid w:val="00081716"/>
    <w:rsid w:val="00082EDC"/>
    <w:rsid w:val="000833BB"/>
    <w:rsid w:val="000835BE"/>
    <w:rsid w:val="00087AE6"/>
    <w:rsid w:val="000906B5"/>
    <w:rsid w:val="00092591"/>
    <w:rsid w:val="0009429D"/>
    <w:rsid w:val="0009488C"/>
    <w:rsid w:val="0009540B"/>
    <w:rsid w:val="000956E5"/>
    <w:rsid w:val="00096A67"/>
    <w:rsid w:val="00097968"/>
    <w:rsid w:val="000A6AD8"/>
    <w:rsid w:val="000B21DA"/>
    <w:rsid w:val="000C4E07"/>
    <w:rsid w:val="000C7A3D"/>
    <w:rsid w:val="000D01E0"/>
    <w:rsid w:val="000D415C"/>
    <w:rsid w:val="000D4E84"/>
    <w:rsid w:val="000D53F5"/>
    <w:rsid w:val="000D5760"/>
    <w:rsid w:val="000D71C5"/>
    <w:rsid w:val="000D7D6A"/>
    <w:rsid w:val="000E1EC8"/>
    <w:rsid w:val="000E3EE8"/>
    <w:rsid w:val="000E5343"/>
    <w:rsid w:val="000F0C59"/>
    <w:rsid w:val="000F52E9"/>
    <w:rsid w:val="000F59F8"/>
    <w:rsid w:val="001025B5"/>
    <w:rsid w:val="00104142"/>
    <w:rsid w:val="00105F97"/>
    <w:rsid w:val="00107D26"/>
    <w:rsid w:val="00107D90"/>
    <w:rsid w:val="001142D1"/>
    <w:rsid w:val="00120C79"/>
    <w:rsid w:val="00120FB1"/>
    <w:rsid w:val="0012373D"/>
    <w:rsid w:val="00130253"/>
    <w:rsid w:val="00133E81"/>
    <w:rsid w:val="00140CED"/>
    <w:rsid w:val="00143036"/>
    <w:rsid w:val="00147FF5"/>
    <w:rsid w:val="00151DA9"/>
    <w:rsid w:val="00152899"/>
    <w:rsid w:val="00154961"/>
    <w:rsid w:val="00155A21"/>
    <w:rsid w:val="00161057"/>
    <w:rsid w:val="001671C1"/>
    <w:rsid w:val="001701B8"/>
    <w:rsid w:val="00171182"/>
    <w:rsid w:val="0017124B"/>
    <w:rsid w:val="00171D7F"/>
    <w:rsid w:val="00172DDF"/>
    <w:rsid w:val="00175DDD"/>
    <w:rsid w:val="001802F8"/>
    <w:rsid w:val="00180CB6"/>
    <w:rsid w:val="001838CC"/>
    <w:rsid w:val="00183EB6"/>
    <w:rsid w:val="00185ACF"/>
    <w:rsid w:val="0019039F"/>
    <w:rsid w:val="00190579"/>
    <w:rsid w:val="00190F4E"/>
    <w:rsid w:val="001916C4"/>
    <w:rsid w:val="001923E3"/>
    <w:rsid w:val="00192613"/>
    <w:rsid w:val="00192F78"/>
    <w:rsid w:val="00195810"/>
    <w:rsid w:val="00196E14"/>
    <w:rsid w:val="001A2608"/>
    <w:rsid w:val="001A3C26"/>
    <w:rsid w:val="001A5145"/>
    <w:rsid w:val="001A522A"/>
    <w:rsid w:val="001A7904"/>
    <w:rsid w:val="001B1D39"/>
    <w:rsid w:val="001B4217"/>
    <w:rsid w:val="001B4893"/>
    <w:rsid w:val="001B5D3E"/>
    <w:rsid w:val="001B606B"/>
    <w:rsid w:val="001C0755"/>
    <w:rsid w:val="001C112B"/>
    <w:rsid w:val="001C2371"/>
    <w:rsid w:val="001C33E6"/>
    <w:rsid w:val="001C7048"/>
    <w:rsid w:val="001D3CC2"/>
    <w:rsid w:val="001E0529"/>
    <w:rsid w:val="001E2EED"/>
    <w:rsid w:val="001E44D1"/>
    <w:rsid w:val="001E4691"/>
    <w:rsid w:val="001E518E"/>
    <w:rsid w:val="001F09D1"/>
    <w:rsid w:val="001F0A29"/>
    <w:rsid w:val="001F0CE5"/>
    <w:rsid w:val="001F3DBD"/>
    <w:rsid w:val="001F648A"/>
    <w:rsid w:val="001F6F43"/>
    <w:rsid w:val="00201620"/>
    <w:rsid w:val="0020474A"/>
    <w:rsid w:val="00205392"/>
    <w:rsid w:val="00206919"/>
    <w:rsid w:val="002104BF"/>
    <w:rsid w:val="002108B6"/>
    <w:rsid w:val="00214877"/>
    <w:rsid w:val="00215824"/>
    <w:rsid w:val="00216BC8"/>
    <w:rsid w:val="002175BA"/>
    <w:rsid w:val="0022218D"/>
    <w:rsid w:val="00226926"/>
    <w:rsid w:val="002302E3"/>
    <w:rsid w:val="00232100"/>
    <w:rsid w:val="00232528"/>
    <w:rsid w:val="00233704"/>
    <w:rsid w:val="00235D20"/>
    <w:rsid w:val="00237806"/>
    <w:rsid w:val="00237FF9"/>
    <w:rsid w:val="0024012B"/>
    <w:rsid w:val="00243D2F"/>
    <w:rsid w:val="00250164"/>
    <w:rsid w:val="00251668"/>
    <w:rsid w:val="00253F38"/>
    <w:rsid w:val="00253F72"/>
    <w:rsid w:val="00257FCA"/>
    <w:rsid w:val="002625C5"/>
    <w:rsid w:val="00262819"/>
    <w:rsid w:val="00263A96"/>
    <w:rsid w:val="00272B77"/>
    <w:rsid w:val="00285040"/>
    <w:rsid w:val="00285062"/>
    <w:rsid w:val="00292E3E"/>
    <w:rsid w:val="0029369B"/>
    <w:rsid w:val="00296DAF"/>
    <w:rsid w:val="002976B8"/>
    <w:rsid w:val="002A030C"/>
    <w:rsid w:val="002A4B7B"/>
    <w:rsid w:val="002B0355"/>
    <w:rsid w:val="002B05EA"/>
    <w:rsid w:val="002C15AC"/>
    <w:rsid w:val="002C2E80"/>
    <w:rsid w:val="002C4687"/>
    <w:rsid w:val="002D2842"/>
    <w:rsid w:val="002D47B3"/>
    <w:rsid w:val="002E3586"/>
    <w:rsid w:val="002E5B57"/>
    <w:rsid w:val="002E6CD7"/>
    <w:rsid w:val="002F1C4D"/>
    <w:rsid w:val="002F250D"/>
    <w:rsid w:val="002F2881"/>
    <w:rsid w:val="002F508A"/>
    <w:rsid w:val="002F72D3"/>
    <w:rsid w:val="00301DDA"/>
    <w:rsid w:val="00302290"/>
    <w:rsid w:val="003023F9"/>
    <w:rsid w:val="00302C31"/>
    <w:rsid w:val="00303919"/>
    <w:rsid w:val="003047C2"/>
    <w:rsid w:val="0030653F"/>
    <w:rsid w:val="003102C8"/>
    <w:rsid w:val="0031117B"/>
    <w:rsid w:val="00312EBC"/>
    <w:rsid w:val="00313056"/>
    <w:rsid w:val="003312BF"/>
    <w:rsid w:val="003313A2"/>
    <w:rsid w:val="00337135"/>
    <w:rsid w:val="00337C90"/>
    <w:rsid w:val="00337D6E"/>
    <w:rsid w:val="0034147B"/>
    <w:rsid w:val="00342E02"/>
    <w:rsid w:val="00344C52"/>
    <w:rsid w:val="003463D6"/>
    <w:rsid w:val="00346D31"/>
    <w:rsid w:val="00346DE6"/>
    <w:rsid w:val="00347E19"/>
    <w:rsid w:val="0035170A"/>
    <w:rsid w:val="00352F12"/>
    <w:rsid w:val="003541F6"/>
    <w:rsid w:val="003543C5"/>
    <w:rsid w:val="00354EF2"/>
    <w:rsid w:val="00355BEB"/>
    <w:rsid w:val="00357081"/>
    <w:rsid w:val="00357D35"/>
    <w:rsid w:val="0036253D"/>
    <w:rsid w:val="00363FCD"/>
    <w:rsid w:val="00364C43"/>
    <w:rsid w:val="00364E6A"/>
    <w:rsid w:val="00364E80"/>
    <w:rsid w:val="003676CF"/>
    <w:rsid w:val="00367720"/>
    <w:rsid w:val="00367778"/>
    <w:rsid w:val="0037029D"/>
    <w:rsid w:val="003727A0"/>
    <w:rsid w:val="00372A48"/>
    <w:rsid w:val="00373181"/>
    <w:rsid w:val="00375E93"/>
    <w:rsid w:val="00377123"/>
    <w:rsid w:val="00381213"/>
    <w:rsid w:val="003832F7"/>
    <w:rsid w:val="003840EC"/>
    <w:rsid w:val="00385DBA"/>
    <w:rsid w:val="0038715A"/>
    <w:rsid w:val="00390C3F"/>
    <w:rsid w:val="00393127"/>
    <w:rsid w:val="00395873"/>
    <w:rsid w:val="003A62CC"/>
    <w:rsid w:val="003A7864"/>
    <w:rsid w:val="003A7CA2"/>
    <w:rsid w:val="003B2485"/>
    <w:rsid w:val="003B4100"/>
    <w:rsid w:val="003B6C02"/>
    <w:rsid w:val="003C067B"/>
    <w:rsid w:val="003C1488"/>
    <w:rsid w:val="003C1A16"/>
    <w:rsid w:val="003C1E91"/>
    <w:rsid w:val="003C5536"/>
    <w:rsid w:val="003C7FCC"/>
    <w:rsid w:val="003D1202"/>
    <w:rsid w:val="003D19C3"/>
    <w:rsid w:val="003D36F9"/>
    <w:rsid w:val="003D77F1"/>
    <w:rsid w:val="003D7970"/>
    <w:rsid w:val="003E0159"/>
    <w:rsid w:val="003E449A"/>
    <w:rsid w:val="003E4A33"/>
    <w:rsid w:val="003E54E1"/>
    <w:rsid w:val="003E724B"/>
    <w:rsid w:val="003E7A60"/>
    <w:rsid w:val="003F1F49"/>
    <w:rsid w:val="003F4801"/>
    <w:rsid w:val="003F7448"/>
    <w:rsid w:val="00407F28"/>
    <w:rsid w:val="0041100A"/>
    <w:rsid w:val="004131C5"/>
    <w:rsid w:val="00413D9B"/>
    <w:rsid w:val="00414786"/>
    <w:rsid w:val="0042423E"/>
    <w:rsid w:val="00424BA6"/>
    <w:rsid w:val="004307E7"/>
    <w:rsid w:val="004339E6"/>
    <w:rsid w:val="00433D42"/>
    <w:rsid w:val="00434796"/>
    <w:rsid w:val="0043683A"/>
    <w:rsid w:val="00436F66"/>
    <w:rsid w:val="00437EB1"/>
    <w:rsid w:val="00440467"/>
    <w:rsid w:val="00441422"/>
    <w:rsid w:val="00443D97"/>
    <w:rsid w:val="00444ED6"/>
    <w:rsid w:val="00445DCB"/>
    <w:rsid w:val="00447235"/>
    <w:rsid w:val="0045044C"/>
    <w:rsid w:val="00460495"/>
    <w:rsid w:val="00460EEA"/>
    <w:rsid w:val="004630B6"/>
    <w:rsid w:val="00463106"/>
    <w:rsid w:val="00466A30"/>
    <w:rsid w:val="00467F5B"/>
    <w:rsid w:val="00474607"/>
    <w:rsid w:val="00474910"/>
    <w:rsid w:val="004749AF"/>
    <w:rsid w:val="00475410"/>
    <w:rsid w:val="00475C27"/>
    <w:rsid w:val="004774FF"/>
    <w:rsid w:val="0048285C"/>
    <w:rsid w:val="00484116"/>
    <w:rsid w:val="0048424E"/>
    <w:rsid w:val="00486F42"/>
    <w:rsid w:val="00487D14"/>
    <w:rsid w:val="004923A9"/>
    <w:rsid w:val="00495F7C"/>
    <w:rsid w:val="004A08E7"/>
    <w:rsid w:val="004A1E3F"/>
    <w:rsid w:val="004A2C7E"/>
    <w:rsid w:val="004A6625"/>
    <w:rsid w:val="004A69D6"/>
    <w:rsid w:val="004A70AB"/>
    <w:rsid w:val="004A7DFE"/>
    <w:rsid w:val="004B0DBA"/>
    <w:rsid w:val="004B21D9"/>
    <w:rsid w:val="004C0CE3"/>
    <w:rsid w:val="004C368B"/>
    <w:rsid w:val="004D1A31"/>
    <w:rsid w:val="004D1A91"/>
    <w:rsid w:val="004D262A"/>
    <w:rsid w:val="004D2C6F"/>
    <w:rsid w:val="004D2E01"/>
    <w:rsid w:val="004D3237"/>
    <w:rsid w:val="004D4E89"/>
    <w:rsid w:val="004E0F3F"/>
    <w:rsid w:val="004E1191"/>
    <w:rsid w:val="004E1349"/>
    <w:rsid w:val="004E3305"/>
    <w:rsid w:val="004E568C"/>
    <w:rsid w:val="004E5AD8"/>
    <w:rsid w:val="004F0806"/>
    <w:rsid w:val="004F12D8"/>
    <w:rsid w:val="004F22A6"/>
    <w:rsid w:val="004F4A37"/>
    <w:rsid w:val="00504B53"/>
    <w:rsid w:val="00505FF7"/>
    <w:rsid w:val="0051015D"/>
    <w:rsid w:val="0051292D"/>
    <w:rsid w:val="0051442D"/>
    <w:rsid w:val="0051622D"/>
    <w:rsid w:val="005207B2"/>
    <w:rsid w:val="005219EB"/>
    <w:rsid w:val="005262C2"/>
    <w:rsid w:val="0052705A"/>
    <w:rsid w:val="00537126"/>
    <w:rsid w:val="00537A72"/>
    <w:rsid w:val="005405F8"/>
    <w:rsid w:val="00542EAE"/>
    <w:rsid w:val="00546878"/>
    <w:rsid w:val="005509BE"/>
    <w:rsid w:val="00560E18"/>
    <w:rsid w:val="005621E7"/>
    <w:rsid w:val="00562B7E"/>
    <w:rsid w:val="00563355"/>
    <w:rsid w:val="00571E81"/>
    <w:rsid w:val="00573FF9"/>
    <w:rsid w:val="00575B68"/>
    <w:rsid w:val="00576B16"/>
    <w:rsid w:val="005949BC"/>
    <w:rsid w:val="005971D5"/>
    <w:rsid w:val="005A313A"/>
    <w:rsid w:val="005A35EB"/>
    <w:rsid w:val="005A680F"/>
    <w:rsid w:val="005A70F0"/>
    <w:rsid w:val="005A747A"/>
    <w:rsid w:val="005B07CB"/>
    <w:rsid w:val="005B2FF9"/>
    <w:rsid w:val="005B696E"/>
    <w:rsid w:val="005B6D81"/>
    <w:rsid w:val="005B7767"/>
    <w:rsid w:val="005B7DD3"/>
    <w:rsid w:val="005C7FC2"/>
    <w:rsid w:val="005D1F92"/>
    <w:rsid w:val="005D2137"/>
    <w:rsid w:val="005D2408"/>
    <w:rsid w:val="005D32A9"/>
    <w:rsid w:val="005D6122"/>
    <w:rsid w:val="005D6E80"/>
    <w:rsid w:val="005E0B20"/>
    <w:rsid w:val="005E2936"/>
    <w:rsid w:val="005E2F7B"/>
    <w:rsid w:val="005E3C94"/>
    <w:rsid w:val="005E553B"/>
    <w:rsid w:val="005E5C01"/>
    <w:rsid w:val="005E7118"/>
    <w:rsid w:val="005E7E9F"/>
    <w:rsid w:val="005F1CDA"/>
    <w:rsid w:val="005F229E"/>
    <w:rsid w:val="005F35C5"/>
    <w:rsid w:val="005F37A4"/>
    <w:rsid w:val="00602403"/>
    <w:rsid w:val="006041A4"/>
    <w:rsid w:val="006068D4"/>
    <w:rsid w:val="00610873"/>
    <w:rsid w:val="006109EC"/>
    <w:rsid w:val="00610F53"/>
    <w:rsid w:val="00611D8A"/>
    <w:rsid w:val="0061430D"/>
    <w:rsid w:val="006150CE"/>
    <w:rsid w:val="00615F6B"/>
    <w:rsid w:val="006165F4"/>
    <w:rsid w:val="006206CB"/>
    <w:rsid w:val="006245EC"/>
    <w:rsid w:val="00624680"/>
    <w:rsid w:val="00627FF3"/>
    <w:rsid w:val="006309D5"/>
    <w:rsid w:val="00642664"/>
    <w:rsid w:val="00643941"/>
    <w:rsid w:val="00644BBE"/>
    <w:rsid w:val="006466DA"/>
    <w:rsid w:val="00646711"/>
    <w:rsid w:val="006479F9"/>
    <w:rsid w:val="00647DDD"/>
    <w:rsid w:val="00653BA4"/>
    <w:rsid w:val="00657478"/>
    <w:rsid w:val="00657EDA"/>
    <w:rsid w:val="006609A2"/>
    <w:rsid w:val="00660C84"/>
    <w:rsid w:val="0066132D"/>
    <w:rsid w:val="0066194B"/>
    <w:rsid w:val="00661FC4"/>
    <w:rsid w:val="00666D4D"/>
    <w:rsid w:val="00672205"/>
    <w:rsid w:val="00672E95"/>
    <w:rsid w:val="0067508C"/>
    <w:rsid w:val="00677059"/>
    <w:rsid w:val="00680072"/>
    <w:rsid w:val="00680421"/>
    <w:rsid w:val="006858DA"/>
    <w:rsid w:val="00686CD2"/>
    <w:rsid w:val="006902F1"/>
    <w:rsid w:val="006918E9"/>
    <w:rsid w:val="00692A13"/>
    <w:rsid w:val="006951CE"/>
    <w:rsid w:val="00695B2C"/>
    <w:rsid w:val="006974C6"/>
    <w:rsid w:val="006A1F2C"/>
    <w:rsid w:val="006A3B6B"/>
    <w:rsid w:val="006A438B"/>
    <w:rsid w:val="006A4F20"/>
    <w:rsid w:val="006A6039"/>
    <w:rsid w:val="006B1E87"/>
    <w:rsid w:val="006B514A"/>
    <w:rsid w:val="006C1EA3"/>
    <w:rsid w:val="006C2AB0"/>
    <w:rsid w:val="006C2B5F"/>
    <w:rsid w:val="006C31B7"/>
    <w:rsid w:val="006C4213"/>
    <w:rsid w:val="006C43D7"/>
    <w:rsid w:val="006C49F6"/>
    <w:rsid w:val="006C53ED"/>
    <w:rsid w:val="006C5694"/>
    <w:rsid w:val="006D11AD"/>
    <w:rsid w:val="006D193A"/>
    <w:rsid w:val="006D25DD"/>
    <w:rsid w:val="006D29AA"/>
    <w:rsid w:val="006D4128"/>
    <w:rsid w:val="006D4C1B"/>
    <w:rsid w:val="006D5E57"/>
    <w:rsid w:val="006E0B4D"/>
    <w:rsid w:val="006E2083"/>
    <w:rsid w:val="006E2725"/>
    <w:rsid w:val="006E3064"/>
    <w:rsid w:val="006E405E"/>
    <w:rsid w:val="006E68E6"/>
    <w:rsid w:val="006F042A"/>
    <w:rsid w:val="006F0C74"/>
    <w:rsid w:val="006F1875"/>
    <w:rsid w:val="006F2187"/>
    <w:rsid w:val="006F25E5"/>
    <w:rsid w:val="006F2FCE"/>
    <w:rsid w:val="006F36B9"/>
    <w:rsid w:val="006F415C"/>
    <w:rsid w:val="006F489F"/>
    <w:rsid w:val="006F6748"/>
    <w:rsid w:val="0070560F"/>
    <w:rsid w:val="007112CA"/>
    <w:rsid w:val="007202BD"/>
    <w:rsid w:val="007205BF"/>
    <w:rsid w:val="00721AE9"/>
    <w:rsid w:val="007237D1"/>
    <w:rsid w:val="007241D4"/>
    <w:rsid w:val="00724D82"/>
    <w:rsid w:val="00730BF2"/>
    <w:rsid w:val="00732A6F"/>
    <w:rsid w:val="00733F0D"/>
    <w:rsid w:val="007344C1"/>
    <w:rsid w:val="0074214D"/>
    <w:rsid w:val="00742764"/>
    <w:rsid w:val="00745456"/>
    <w:rsid w:val="00751452"/>
    <w:rsid w:val="0075156A"/>
    <w:rsid w:val="00751F90"/>
    <w:rsid w:val="007619C5"/>
    <w:rsid w:val="00761C35"/>
    <w:rsid w:val="00762178"/>
    <w:rsid w:val="00765F62"/>
    <w:rsid w:val="00766026"/>
    <w:rsid w:val="00772025"/>
    <w:rsid w:val="007726C0"/>
    <w:rsid w:val="00781088"/>
    <w:rsid w:val="00781AA0"/>
    <w:rsid w:val="00781CF7"/>
    <w:rsid w:val="00781D24"/>
    <w:rsid w:val="00782DE8"/>
    <w:rsid w:val="00792E10"/>
    <w:rsid w:val="0079383D"/>
    <w:rsid w:val="007A006B"/>
    <w:rsid w:val="007A1D60"/>
    <w:rsid w:val="007B165A"/>
    <w:rsid w:val="007B2DAD"/>
    <w:rsid w:val="007B2DF7"/>
    <w:rsid w:val="007B7246"/>
    <w:rsid w:val="007B78C2"/>
    <w:rsid w:val="007C23FF"/>
    <w:rsid w:val="007C416B"/>
    <w:rsid w:val="007C4CB7"/>
    <w:rsid w:val="007C5008"/>
    <w:rsid w:val="007C658B"/>
    <w:rsid w:val="007D1E79"/>
    <w:rsid w:val="007D27CF"/>
    <w:rsid w:val="007D3956"/>
    <w:rsid w:val="007D4DAF"/>
    <w:rsid w:val="007E1175"/>
    <w:rsid w:val="007E220A"/>
    <w:rsid w:val="007E468A"/>
    <w:rsid w:val="007E58FC"/>
    <w:rsid w:val="007F07D4"/>
    <w:rsid w:val="007F1517"/>
    <w:rsid w:val="007F207F"/>
    <w:rsid w:val="007F5B91"/>
    <w:rsid w:val="008019A7"/>
    <w:rsid w:val="00803CEC"/>
    <w:rsid w:val="00804B15"/>
    <w:rsid w:val="008076A4"/>
    <w:rsid w:val="00807DC2"/>
    <w:rsid w:val="00810CA3"/>
    <w:rsid w:val="00811776"/>
    <w:rsid w:val="008200A7"/>
    <w:rsid w:val="00822050"/>
    <w:rsid w:val="008304EC"/>
    <w:rsid w:val="00830952"/>
    <w:rsid w:val="00830F84"/>
    <w:rsid w:val="00841C01"/>
    <w:rsid w:val="00843EFD"/>
    <w:rsid w:val="008443A9"/>
    <w:rsid w:val="008469B3"/>
    <w:rsid w:val="008535CA"/>
    <w:rsid w:val="008578F4"/>
    <w:rsid w:val="00860576"/>
    <w:rsid w:val="0086688C"/>
    <w:rsid w:val="008674AA"/>
    <w:rsid w:val="008675CC"/>
    <w:rsid w:val="0087609B"/>
    <w:rsid w:val="00880850"/>
    <w:rsid w:val="0088094C"/>
    <w:rsid w:val="00881004"/>
    <w:rsid w:val="00882C40"/>
    <w:rsid w:val="00885973"/>
    <w:rsid w:val="00892908"/>
    <w:rsid w:val="00893C08"/>
    <w:rsid w:val="008942FC"/>
    <w:rsid w:val="00895600"/>
    <w:rsid w:val="0089562F"/>
    <w:rsid w:val="008957BF"/>
    <w:rsid w:val="008A05FC"/>
    <w:rsid w:val="008A082A"/>
    <w:rsid w:val="008A225D"/>
    <w:rsid w:val="008A4DF4"/>
    <w:rsid w:val="008B0950"/>
    <w:rsid w:val="008B1DA9"/>
    <w:rsid w:val="008B571D"/>
    <w:rsid w:val="008B6162"/>
    <w:rsid w:val="008C3EBC"/>
    <w:rsid w:val="008C4AE0"/>
    <w:rsid w:val="008C57F6"/>
    <w:rsid w:val="008C7019"/>
    <w:rsid w:val="008D33A3"/>
    <w:rsid w:val="008D4715"/>
    <w:rsid w:val="008D5B23"/>
    <w:rsid w:val="008D6F1D"/>
    <w:rsid w:val="008E1B11"/>
    <w:rsid w:val="008E2ACD"/>
    <w:rsid w:val="008E7F87"/>
    <w:rsid w:val="008F0CC7"/>
    <w:rsid w:val="008F11CF"/>
    <w:rsid w:val="008F189C"/>
    <w:rsid w:val="008F1FE1"/>
    <w:rsid w:val="008F32FF"/>
    <w:rsid w:val="008F4486"/>
    <w:rsid w:val="008F4FC6"/>
    <w:rsid w:val="008F72CD"/>
    <w:rsid w:val="009015D3"/>
    <w:rsid w:val="00902179"/>
    <w:rsid w:val="00903877"/>
    <w:rsid w:val="0091544C"/>
    <w:rsid w:val="00921D03"/>
    <w:rsid w:val="00925CD2"/>
    <w:rsid w:val="00931722"/>
    <w:rsid w:val="00932559"/>
    <w:rsid w:val="00933065"/>
    <w:rsid w:val="00933569"/>
    <w:rsid w:val="009365B1"/>
    <w:rsid w:val="0093799C"/>
    <w:rsid w:val="009422A1"/>
    <w:rsid w:val="00943484"/>
    <w:rsid w:val="00944804"/>
    <w:rsid w:val="009449FB"/>
    <w:rsid w:val="0094634F"/>
    <w:rsid w:val="009473D8"/>
    <w:rsid w:val="00960ADF"/>
    <w:rsid w:val="00963A0C"/>
    <w:rsid w:val="009661B5"/>
    <w:rsid w:val="009725C0"/>
    <w:rsid w:val="009729BD"/>
    <w:rsid w:val="00974A92"/>
    <w:rsid w:val="00975270"/>
    <w:rsid w:val="00975BA1"/>
    <w:rsid w:val="00976F39"/>
    <w:rsid w:val="009809DD"/>
    <w:rsid w:val="009835E3"/>
    <w:rsid w:val="009837A6"/>
    <w:rsid w:val="00983C64"/>
    <w:rsid w:val="009869F2"/>
    <w:rsid w:val="00987B90"/>
    <w:rsid w:val="00987CDB"/>
    <w:rsid w:val="009A2613"/>
    <w:rsid w:val="009A2726"/>
    <w:rsid w:val="009A30E0"/>
    <w:rsid w:val="009A3619"/>
    <w:rsid w:val="009A66D0"/>
    <w:rsid w:val="009B08AF"/>
    <w:rsid w:val="009B10F4"/>
    <w:rsid w:val="009B3DFC"/>
    <w:rsid w:val="009B793E"/>
    <w:rsid w:val="009C083C"/>
    <w:rsid w:val="009C1EA6"/>
    <w:rsid w:val="009C37B9"/>
    <w:rsid w:val="009C38E7"/>
    <w:rsid w:val="009D31FA"/>
    <w:rsid w:val="009D32BD"/>
    <w:rsid w:val="009D33F1"/>
    <w:rsid w:val="009D35B5"/>
    <w:rsid w:val="009D37BD"/>
    <w:rsid w:val="009D4486"/>
    <w:rsid w:val="009D7128"/>
    <w:rsid w:val="009E21DE"/>
    <w:rsid w:val="009E6174"/>
    <w:rsid w:val="009F211E"/>
    <w:rsid w:val="009F2572"/>
    <w:rsid w:val="009F294E"/>
    <w:rsid w:val="009F30F1"/>
    <w:rsid w:val="009F37C7"/>
    <w:rsid w:val="009F50AB"/>
    <w:rsid w:val="00A005F6"/>
    <w:rsid w:val="00A0424F"/>
    <w:rsid w:val="00A051FB"/>
    <w:rsid w:val="00A103FF"/>
    <w:rsid w:val="00A121B5"/>
    <w:rsid w:val="00A16C6E"/>
    <w:rsid w:val="00A17DB2"/>
    <w:rsid w:val="00A22A14"/>
    <w:rsid w:val="00A23A49"/>
    <w:rsid w:val="00A25AB4"/>
    <w:rsid w:val="00A26214"/>
    <w:rsid w:val="00A26566"/>
    <w:rsid w:val="00A27A51"/>
    <w:rsid w:val="00A31837"/>
    <w:rsid w:val="00A3310D"/>
    <w:rsid w:val="00A37BA4"/>
    <w:rsid w:val="00A402F6"/>
    <w:rsid w:val="00A42167"/>
    <w:rsid w:val="00A43739"/>
    <w:rsid w:val="00A47150"/>
    <w:rsid w:val="00A47466"/>
    <w:rsid w:val="00A47815"/>
    <w:rsid w:val="00A47A18"/>
    <w:rsid w:val="00A539CB"/>
    <w:rsid w:val="00A57DA7"/>
    <w:rsid w:val="00A63709"/>
    <w:rsid w:val="00A643AB"/>
    <w:rsid w:val="00A649E6"/>
    <w:rsid w:val="00A660AF"/>
    <w:rsid w:val="00A70A95"/>
    <w:rsid w:val="00A70BDA"/>
    <w:rsid w:val="00A740B6"/>
    <w:rsid w:val="00A7621E"/>
    <w:rsid w:val="00A817D5"/>
    <w:rsid w:val="00A84F01"/>
    <w:rsid w:val="00A91332"/>
    <w:rsid w:val="00A93351"/>
    <w:rsid w:val="00A95538"/>
    <w:rsid w:val="00AA0013"/>
    <w:rsid w:val="00AA26FF"/>
    <w:rsid w:val="00AA6E8C"/>
    <w:rsid w:val="00AA6F19"/>
    <w:rsid w:val="00AA75E6"/>
    <w:rsid w:val="00AA79A8"/>
    <w:rsid w:val="00AA7A76"/>
    <w:rsid w:val="00AA7C2E"/>
    <w:rsid w:val="00AB0286"/>
    <w:rsid w:val="00AB404E"/>
    <w:rsid w:val="00AB4C6D"/>
    <w:rsid w:val="00AB53F2"/>
    <w:rsid w:val="00AB55F7"/>
    <w:rsid w:val="00AC022F"/>
    <w:rsid w:val="00AC2995"/>
    <w:rsid w:val="00AC4165"/>
    <w:rsid w:val="00AC556A"/>
    <w:rsid w:val="00AC76EA"/>
    <w:rsid w:val="00AC7FB7"/>
    <w:rsid w:val="00AD0239"/>
    <w:rsid w:val="00AD23BF"/>
    <w:rsid w:val="00AD25B6"/>
    <w:rsid w:val="00AD2631"/>
    <w:rsid w:val="00AD5A05"/>
    <w:rsid w:val="00AD662C"/>
    <w:rsid w:val="00AE1220"/>
    <w:rsid w:val="00AE287F"/>
    <w:rsid w:val="00AE39F3"/>
    <w:rsid w:val="00AE4006"/>
    <w:rsid w:val="00AE5118"/>
    <w:rsid w:val="00AE63BD"/>
    <w:rsid w:val="00AF0B2B"/>
    <w:rsid w:val="00AF2914"/>
    <w:rsid w:val="00AF2D03"/>
    <w:rsid w:val="00AF363F"/>
    <w:rsid w:val="00AF3E4F"/>
    <w:rsid w:val="00AF71E5"/>
    <w:rsid w:val="00B0366D"/>
    <w:rsid w:val="00B03811"/>
    <w:rsid w:val="00B071FF"/>
    <w:rsid w:val="00B11505"/>
    <w:rsid w:val="00B11DC2"/>
    <w:rsid w:val="00B15142"/>
    <w:rsid w:val="00B16F69"/>
    <w:rsid w:val="00B1789D"/>
    <w:rsid w:val="00B223FE"/>
    <w:rsid w:val="00B3208F"/>
    <w:rsid w:val="00B3260E"/>
    <w:rsid w:val="00B42807"/>
    <w:rsid w:val="00B428A6"/>
    <w:rsid w:val="00B43340"/>
    <w:rsid w:val="00B4461C"/>
    <w:rsid w:val="00B53913"/>
    <w:rsid w:val="00B554D4"/>
    <w:rsid w:val="00B55F3A"/>
    <w:rsid w:val="00B56906"/>
    <w:rsid w:val="00B569F1"/>
    <w:rsid w:val="00B61484"/>
    <w:rsid w:val="00B71CB5"/>
    <w:rsid w:val="00B71F16"/>
    <w:rsid w:val="00B72922"/>
    <w:rsid w:val="00B72A13"/>
    <w:rsid w:val="00B72ADA"/>
    <w:rsid w:val="00B7473A"/>
    <w:rsid w:val="00B75819"/>
    <w:rsid w:val="00B75B66"/>
    <w:rsid w:val="00B75CDA"/>
    <w:rsid w:val="00B81526"/>
    <w:rsid w:val="00B819E4"/>
    <w:rsid w:val="00B84042"/>
    <w:rsid w:val="00B84DD5"/>
    <w:rsid w:val="00B903CC"/>
    <w:rsid w:val="00B9165A"/>
    <w:rsid w:val="00B924B4"/>
    <w:rsid w:val="00B9487E"/>
    <w:rsid w:val="00B95910"/>
    <w:rsid w:val="00B9692A"/>
    <w:rsid w:val="00BA29E7"/>
    <w:rsid w:val="00BA33AF"/>
    <w:rsid w:val="00BA3A4C"/>
    <w:rsid w:val="00BA61FA"/>
    <w:rsid w:val="00BA67FC"/>
    <w:rsid w:val="00BB0F20"/>
    <w:rsid w:val="00BB17D2"/>
    <w:rsid w:val="00BB50D7"/>
    <w:rsid w:val="00BB7F08"/>
    <w:rsid w:val="00BC0623"/>
    <w:rsid w:val="00BC35CD"/>
    <w:rsid w:val="00BC3C54"/>
    <w:rsid w:val="00BC415B"/>
    <w:rsid w:val="00BC71D6"/>
    <w:rsid w:val="00BD2C66"/>
    <w:rsid w:val="00BD2CDE"/>
    <w:rsid w:val="00BD3D16"/>
    <w:rsid w:val="00BD41CF"/>
    <w:rsid w:val="00BD75F3"/>
    <w:rsid w:val="00BE0164"/>
    <w:rsid w:val="00BE12BD"/>
    <w:rsid w:val="00BE2B8C"/>
    <w:rsid w:val="00BE2ED7"/>
    <w:rsid w:val="00BE3498"/>
    <w:rsid w:val="00BE6AB8"/>
    <w:rsid w:val="00BF040B"/>
    <w:rsid w:val="00BF057E"/>
    <w:rsid w:val="00BF086D"/>
    <w:rsid w:val="00BF2167"/>
    <w:rsid w:val="00BF43BC"/>
    <w:rsid w:val="00BF4DDA"/>
    <w:rsid w:val="00BF55C7"/>
    <w:rsid w:val="00BF7ED8"/>
    <w:rsid w:val="00C0222C"/>
    <w:rsid w:val="00C04139"/>
    <w:rsid w:val="00C0572E"/>
    <w:rsid w:val="00C10274"/>
    <w:rsid w:val="00C10D74"/>
    <w:rsid w:val="00C1108E"/>
    <w:rsid w:val="00C13C4E"/>
    <w:rsid w:val="00C14A51"/>
    <w:rsid w:val="00C14B1A"/>
    <w:rsid w:val="00C15C65"/>
    <w:rsid w:val="00C17853"/>
    <w:rsid w:val="00C21B3D"/>
    <w:rsid w:val="00C24267"/>
    <w:rsid w:val="00C243E6"/>
    <w:rsid w:val="00C26FA6"/>
    <w:rsid w:val="00C2788D"/>
    <w:rsid w:val="00C31D37"/>
    <w:rsid w:val="00C33398"/>
    <w:rsid w:val="00C34C5B"/>
    <w:rsid w:val="00C361F6"/>
    <w:rsid w:val="00C3669A"/>
    <w:rsid w:val="00C371D5"/>
    <w:rsid w:val="00C4029E"/>
    <w:rsid w:val="00C423E3"/>
    <w:rsid w:val="00C44BAC"/>
    <w:rsid w:val="00C45626"/>
    <w:rsid w:val="00C458AF"/>
    <w:rsid w:val="00C460A0"/>
    <w:rsid w:val="00C4720D"/>
    <w:rsid w:val="00C50068"/>
    <w:rsid w:val="00C51C4B"/>
    <w:rsid w:val="00C549F4"/>
    <w:rsid w:val="00C57B50"/>
    <w:rsid w:val="00C60DD4"/>
    <w:rsid w:val="00C60F27"/>
    <w:rsid w:val="00C610F2"/>
    <w:rsid w:val="00C61B5E"/>
    <w:rsid w:val="00C642C5"/>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6AEA"/>
    <w:rsid w:val="00C875AE"/>
    <w:rsid w:val="00C9310B"/>
    <w:rsid w:val="00C937FB"/>
    <w:rsid w:val="00CA2964"/>
    <w:rsid w:val="00CA696D"/>
    <w:rsid w:val="00CA6B5A"/>
    <w:rsid w:val="00CB1536"/>
    <w:rsid w:val="00CB3907"/>
    <w:rsid w:val="00CB6167"/>
    <w:rsid w:val="00CC0C54"/>
    <w:rsid w:val="00CC1016"/>
    <w:rsid w:val="00CC32A0"/>
    <w:rsid w:val="00CD0D1D"/>
    <w:rsid w:val="00CD1673"/>
    <w:rsid w:val="00CD1721"/>
    <w:rsid w:val="00CD4DDC"/>
    <w:rsid w:val="00CE6301"/>
    <w:rsid w:val="00CE7B87"/>
    <w:rsid w:val="00CF2008"/>
    <w:rsid w:val="00CF3649"/>
    <w:rsid w:val="00CF4028"/>
    <w:rsid w:val="00CF4188"/>
    <w:rsid w:val="00CF4E9E"/>
    <w:rsid w:val="00CF7848"/>
    <w:rsid w:val="00D058FC"/>
    <w:rsid w:val="00D05F08"/>
    <w:rsid w:val="00D06213"/>
    <w:rsid w:val="00D10010"/>
    <w:rsid w:val="00D11510"/>
    <w:rsid w:val="00D116EE"/>
    <w:rsid w:val="00D12BB7"/>
    <w:rsid w:val="00D152A3"/>
    <w:rsid w:val="00D159D4"/>
    <w:rsid w:val="00D15C79"/>
    <w:rsid w:val="00D21601"/>
    <w:rsid w:val="00D21AA7"/>
    <w:rsid w:val="00D22F1C"/>
    <w:rsid w:val="00D23D75"/>
    <w:rsid w:val="00D252FD"/>
    <w:rsid w:val="00D31882"/>
    <w:rsid w:val="00D31BAB"/>
    <w:rsid w:val="00D31D27"/>
    <w:rsid w:val="00D32109"/>
    <w:rsid w:val="00D336A4"/>
    <w:rsid w:val="00D34AFB"/>
    <w:rsid w:val="00D35A03"/>
    <w:rsid w:val="00D37377"/>
    <w:rsid w:val="00D41830"/>
    <w:rsid w:val="00D45B8C"/>
    <w:rsid w:val="00D54307"/>
    <w:rsid w:val="00D56058"/>
    <w:rsid w:val="00D567E0"/>
    <w:rsid w:val="00D56A09"/>
    <w:rsid w:val="00D57976"/>
    <w:rsid w:val="00D61F2D"/>
    <w:rsid w:val="00D630DE"/>
    <w:rsid w:val="00D645C6"/>
    <w:rsid w:val="00D6548A"/>
    <w:rsid w:val="00D65905"/>
    <w:rsid w:val="00D67355"/>
    <w:rsid w:val="00D7327A"/>
    <w:rsid w:val="00D74EC8"/>
    <w:rsid w:val="00D81AC9"/>
    <w:rsid w:val="00D858CC"/>
    <w:rsid w:val="00D9086C"/>
    <w:rsid w:val="00D93AAA"/>
    <w:rsid w:val="00D94745"/>
    <w:rsid w:val="00D95DFF"/>
    <w:rsid w:val="00D963D5"/>
    <w:rsid w:val="00D96C96"/>
    <w:rsid w:val="00DA00A3"/>
    <w:rsid w:val="00DA41B2"/>
    <w:rsid w:val="00DA5D06"/>
    <w:rsid w:val="00DA7B20"/>
    <w:rsid w:val="00DB049D"/>
    <w:rsid w:val="00DB473D"/>
    <w:rsid w:val="00DB5727"/>
    <w:rsid w:val="00DC2E38"/>
    <w:rsid w:val="00DC2FBF"/>
    <w:rsid w:val="00DC52BC"/>
    <w:rsid w:val="00DC621D"/>
    <w:rsid w:val="00DC6A98"/>
    <w:rsid w:val="00DC6EF8"/>
    <w:rsid w:val="00DC7245"/>
    <w:rsid w:val="00DC730A"/>
    <w:rsid w:val="00DD12FC"/>
    <w:rsid w:val="00DD1ED6"/>
    <w:rsid w:val="00DD2B0D"/>
    <w:rsid w:val="00DE130A"/>
    <w:rsid w:val="00DE1F21"/>
    <w:rsid w:val="00DE3369"/>
    <w:rsid w:val="00DE33DB"/>
    <w:rsid w:val="00DE38B2"/>
    <w:rsid w:val="00DF2C9A"/>
    <w:rsid w:val="00DF5291"/>
    <w:rsid w:val="00DF6AC1"/>
    <w:rsid w:val="00E010C4"/>
    <w:rsid w:val="00E05572"/>
    <w:rsid w:val="00E10D04"/>
    <w:rsid w:val="00E10E0B"/>
    <w:rsid w:val="00E16213"/>
    <w:rsid w:val="00E16292"/>
    <w:rsid w:val="00E166FD"/>
    <w:rsid w:val="00E20294"/>
    <w:rsid w:val="00E25706"/>
    <w:rsid w:val="00E264BB"/>
    <w:rsid w:val="00E276DF"/>
    <w:rsid w:val="00E30596"/>
    <w:rsid w:val="00E31FF9"/>
    <w:rsid w:val="00E33434"/>
    <w:rsid w:val="00E33B23"/>
    <w:rsid w:val="00E37B1B"/>
    <w:rsid w:val="00E43C23"/>
    <w:rsid w:val="00E45160"/>
    <w:rsid w:val="00E45E6A"/>
    <w:rsid w:val="00E50A42"/>
    <w:rsid w:val="00E54FA5"/>
    <w:rsid w:val="00E56D64"/>
    <w:rsid w:val="00E57446"/>
    <w:rsid w:val="00E61081"/>
    <w:rsid w:val="00E65B18"/>
    <w:rsid w:val="00E65B9D"/>
    <w:rsid w:val="00E71CE6"/>
    <w:rsid w:val="00E71E16"/>
    <w:rsid w:val="00E728C6"/>
    <w:rsid w:val="00E76641"/>
    <w:rsid w:val="00E77AC7"/>
    <w:rsid w:val="00E83DA2"/>
    <w:rsid w:val="00E851E8"/>
    <w:rsid w:val="00E862E7"/>
    <w:rsid w:val="00E86DF2"/>
    <w:rsid w:val="00E879EC"/>
    <w:rsid w:val="00E9538B"/>
    <w:rsid w:val="00E95703"/>
    <w:rsid w:val="00EA0297"/>
    <w:rsid w:val="00EA116B"/>
    <w:rsid w:val="00EA2C29"/>
    <w:rsid w:val="00EA3F05"/>
    <w:rsid w:val="00EA5E85"/>
    <w:rsid w:val="00EB0B07"/>
    <w:rsid w:val="00EB0C6A"/>
    <w:rsid w:val="00EB144E"/>
    <w:rsid w:val="00EB1B82"/>
    <w:rsid w:val="00EB2F49"/>
    <w:rsid w:val="00EB462A"/>
    <w:rsid w:val="00EB635D"/>
    <w:rsid w:val="00EB6AA6"/>
    <w:rsid w:val="00EC0354"/>
    <w:rsid w:val="00EC5A70"/>
    <w:rsid w:val="00EC6633"/>
    <w:rsid w:val="00EC70BC"/>
    <w:rsid w:val="00ED018E"/>
    <w:rsid w:val="00ED044F"/>
    <w:rsid w:val="00ED07AD"/>
    <w:rsid w:val="00ED1502"/>
    <w:rsid w:val="00ED1E60"/>
    <w:rsid w:val="00ED39D5"/>
    <w:rsid w:val="00ED3B36"/>
    <w:rsid w:val="00EE55F9"/>
    <w:rsid w:val="00EE62A5"/>
    <w:rsid w:val="00EE63DE"/>
    <w:rsid w:val="00EF00EA"/>
    <w:rsid w:val="00EF0CBA"/>
    <w:rsid w:val="00EF34E1"/>
    <w:rsid w:val="00EF36A0"/>
    <w:rsid w:val="00F00D0F"/>
    <w:rsid w:val="00F0109E"/>
    <w:rsid w:val="00F11454"/>
    <w:rsid w:val="00F12E5A"/>
    <w:rsid w:val="00F221FC"/>
    <w:rsid w:val="00F24025"/>
    <w:rsid w:val="00F322F5"/>
    <w:rsid w:val="00F35033"/>
    <w:rsid w:val="00F35CAE"/>
    <w:rsid w:val="00F36EE7"/>
    <w:rsid w:val="00F41D9D"/>
    <w:rsid w:val="00F4468A"/>
    <w:rsid w:val="00F47EFB"/>
    <w:rsid w:val="00F505CE"/>
    <w:rsid w:val="00F5169E"/>
    <w:rsid w:val="00F51C0B"/>
    <w:rsid w:val="00F57AFC"/>
    <w:rsid w:val="00F60C92"/>
    <w:rsid w:val="00F627E4"/>
    <w:rsid w:val="00F6329C"/>
    <w:rsid w:val="00F65DBD"/>
    <w:rsid w:val="00F669B9"/>
    <w:rsid w:val="00F76535"/>
    <w:rsid w:val="00F773E6"/>
    <w:rsid w:val="00F801E3"/>
    <w:rsid w:val="00F80A07"/>
    <w:rsid w:val="00F80C1E"/>
    <w:rsid w:val="00F80CEE"/>
    <w:rsid w:val="00F81C18"/>
    <w:rsid w:val="00F81F36"/>
    <w:rsid w:val="00F8493C"/>
    <w:rsid w:val="00F85468"/>
    <w:rsid w:val="00F86A45"/>
    <w:rsid w:val="00F86BC7"/>
    <w:rsid w:val="00F86D63"/>
    <w:rsid w:val="00F907D4"/>
    <w:rsid w:val="00F9202F"/>
    <w:rsid w:val="00F92AA4"/>
    <w:rsid w:val="00FA2519"/>
    <w:rsid w:val="00FA4626"/>
    <w:rsid w:val="00FA6B1E"/>
    <w:rsid w:val="00FB4165"/>
    <w:rsid w:val="00FB59A0"/>
    <w:rsid w:val="00FC1792"/>
    <w:rsid w:val="00FC42BD"/>
    <w:rsid w:val="00FD2E9B"/>
    <w:rsid w:val="00FE065B"/>
    <w:rsid w:val="00FE06D8"/>
    <w:rsid w:val="00FE17D2"/>
    <w:rsid w:val="00FE2BF0"/>
    <w:rsid w:val="00FE43C6"/>
    <w:rsid w:val="00FE7835"/>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3C58BB0F-9B57-42C6-BE76-28646FD5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92958996">
          <w:marLeft w:val="675"/>
          <w:marRight w:val="0"/>
          <w:marTop w:val="0"/>
          <w:marBottom w:val="0"/>
          <w:divBdr>
            <w:top w:val="none" w:sz="0" w:space="0" w:color="auto"/>
            <w:left w:val="none" w:sz="0" w:space="0" w:color="auto"/>
            <w:bottom w:val="none" w:sz="0" w:space="0" w:color="auto"/>
            <w:right w:val="none" w:sz="0" w:space="0" w:color="auto"/>
          </w:divBdr>
        </w:div>
        <w:div w:id="1878808815">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78601891">
      <w:bodyDiv w:val="1"/>
      <w:marLeft w:val="0"/>
      <w:marRight w:val="0"/>
      <w:marTop w:val="0"/>
      <w:marBottom w:val="0"/>
      <w:divBdr>
        <w:top w:val="none" w:sz="0" w:space="0" w:color="auto"/>
        <w:left w:val="none" w:sz="0" w:space="0" w:color="auto"/>
        <w:bottom w:val="none" w:sz="0" w:space="0" w:color="auto"/>
        <w:right w:val="none" w:sz="0" w:space="0" w:color="auto"/>
      </w:divBdr>
      <w:divsChild>
        <w:div w:id="1484392275">
          <w:marLeft w:val="0"/>
          <w:marRight w:val="0"/>
          <w:marTop w:val="240"/>
          <w:marBottom w:val="0"/>
          <w:divBdr>
            <w:top w:val="none" w:sz="0" w:space="0" w:color="auto"/>
            <w:left w:val="none" w:sz="0" w:space="0" w:color="auto"/>
            <w:bottom w:val="none" w:sz="0" w:space="0" w:color="auto"/>
            <w:right w:val="none" w:sz="0" w:space="0" w:color="auto"/>
          </w:divBdr>
        </w:div>
        <w:div w:id="84348939">
          <w:marLeft w:val="0"/>
          <w:marRight w:val="0"/>
          <w:marTop w:val="120"/>
          <w:marBottom w:val="0"/>
          <w:divBdr>
            <w:top w:val="none" w:sz="0" w:space="0" w:color="auto"/>
            <w:left w:val="none" w:sz="0" w:space="0" w:color="auto"/>
            <w:bottom w:val="none" w:sz="0" w:space="0" w:color="auto"/>
            <w:right w:val="none" w:sz="0" w:space="0" w:color="auto"/>
          </w:divBdr>
        </w:div>
        <w:div w:id="291980242">
          <w:marLeft w:val="0"/>
          <w:marRight w:val="0"/>
          <w:marTop w:val="120"/>
          <w:marBottom w:val="0"/>
          <w:divBdr>
            <w:top w:val="none" w:sz="0" w:space="0" w:color="auto"/>
            <w:left w:val="none" w:sz="0" w:space="0" w:color="auto"/>
            <w:bottom w:val="none" w:sz="0" w:space="0" w:color="auto"/>
            <w:right w:val="none" w:sz="0" w:space="0" w:color="auto"/>
          </w:divBdr>
        </w:div>
      </w:divsChild>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AC98-2EBD-4D1B-8D2A-B36E4496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8</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2</cp:revision>
  <cp:lastPrinted>2023-06-24T13:28:00Z</cp:lastPrinted>
  <dcterms:created xsi:type="dcterms:W3CDTF">2023-06-26T12:27:00Z</dcterms:created>
  <dcterms:modified xsi:type="dcterms:W3CDTF">2023-06-26T12:27:00Z</dcterms:modified>
</cp:coreProperties>
</file>