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788A6317" w:rsidR="006C43D7" w:rsidRPr="006C43D7" w:rsidRDefault="006C43D7" w:rsidP="006C43D7">
      <w:pPr>
        <w:spacing w:line="360" w:lineRule="auto"/>
        <w:jc w:val="right"/>
        <w:rPr>
          <w:b/>
        </w:rPr>
      </w:pPr>
      <w:r w:rsidRPr="006C43D7">
        <w:rPr>
          <w:b/>
        </w:rPr>
        <w:t xml:space="preserve">CASE NO: </w:t>
      </w:r>
      <w:r w:rsidR="00A27A51">
        <w:rPr>
          <w:b/>
        </w:rPr>
        <w:t>2021/</w:t>
      </w:r>
      <w:r w:rsidR="007202BD">
        <w:rPr>
          <w:b/>
        </w:rPr>
        <w:t>14237</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15F5F052" w:rsidR="00D645C6" w:rsidRDefault="00966A96" w:rsidP="00966A9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0983879B" w:rsidR="00D645C6" w:rsidRPr="001D3CC2" w:rsidRDefault="00966A96" w:rsidP="00966A9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15F5F052" w:rsidR="00D645C6" w:rsidRDefault="00966A96" w:rsidP="00966A9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0983879B" w:rsidR="00D645C6" w:rsidRPr="001D3CC2" w:rsidRDefault="00966A96" w:rsidP="00966A96">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2245"/>
      </w:tblGrid>
      <w:tr w:rsidR="002104BF" w14:paraId="4E86F7E7" w14:textId="77777777" w:rsidTr="007202BD">
        <w:tc>
          <w:tcPr>
            <w:tcW w:w="6487" w:type="dxa"/>
          </w:tcPr>
          <w:p w14:paraId="74EE3EDE" w14:textId="2925031A" w:rsidR="002104BF" w:rsidRPr="0089562F" w:rsidRDefault="007202BD" w:rsidP="00AA7A76">
            <w:pPr>
              <w:spacing w:line="480" w:lineRule="auto"/>
              <w:jc w:val="both"/>
              <w:rPr>
                <w:rFonts w:cs="Arial"/>
                <w:b/>
                <w:szCs w:val="22"/>
              </w:rPr>
            </w:pPr>
            <w:r>
              <w:rPr>
                <w:rFonts w:cs="Arial"/>
                <w:b/>
                <w:szCs w:val="22"/>
              </w:rPr>
              <w:t>INTERNATIONAL PENTACOSTAL HOLINESS CHURCH (IPHC)</w:t>
            </w:r>
          </w:p>
        </w:tc>
        <w:tc>
          <w:tcPr>
            <w:tcW w:w="2280" w:type="dxa"/>
          </w:tcPr>
          <w:p w14:paraId="72EECEF8" w14:textId="13238518" w:rsidR="002104BF" w:rsidRDefault="007202BD" w:rsidP="007237D1">
            <w:pPr>
              <w:spacing w:line="480" w:lineRule="auto"/>
              <w:jc w:val="right"/>
              <w:rPr>
                <w:rFonts w:cs="Arial"/>
                <w:szCs w:val="22"/>
              </w:rPr>
            </w:pPr>
            <w:r>
              <w:rPr>
                <w:rFonts w:cs="Arial"/>
                <w:szCs w:val="22"/>
              </w:rPr>
              <w:t>Applicant</w:t>
            </w:r>
          </w:p>
        </w:tc>
      </w:tr>
      <w:tr w:rsidR="002104BF" w14:paraId="64E42908" w14:textId="77777777" w:rsidTr="007202BD">
        <w:tc>
          <w:tcPr>
            <w:tcW w:w="6487" w:type="dxa"/>
          </w:tcPr>
          <w:p w14:paraId="6E1E5BEB" w14:textId="42B97C2B" w:rsidR="002104BF" w:rsidRPr="00A22A14" w:rsidRDefault="00A22A14" w:rsidP="00A22A14">
            <w:pPr>
              <w:spacing w:line="480" w:lineRule="auto"/>
              <w:jc w:val="both"/>
              <w:rPr>
                <w:szCs w:val="22"/>
              </w:rPr>
            </w:pPr>
            <w:r>
              <w:rPr>
                <w:szCs w:val="22"/>
              </w:rPr>
              <w:t>a</w:t>
            </w:r>
            <w:r w:rsidR="002104BF" w:rsidRPr="00A22A14">
              <w:rPr>
                <w:szCs w:val="22"/>
              </w:rPr>
              <w:t>nd</w:t>
            </w:r>
            <w:r>
              <w:rPr>
                <w:szCs w:val="22"/>
              </w:rPr>
              <w:t xml:space="preserve">  </w:t>
            </w:r>
          </w:p>
        </w:tc>
        <w:tc>
          <w:tcPr>
            <w:tcW w:w="2280" w:type="dxa"/>
          </w:tcPr>
          <w:p w14:paraId="1DB932F2" w14:textId="77777777" w:rsidR="002104BF" w:rsidRDefault="002104BF" w:rsidP="007237D1">
            <w:pPr>
              <w:spacing w:line="480" w:lineRule="auto"/>
              <w:jc w:val="right"/>
              <w:rPr>
                <w:rFonts w:cs="Arial"/>
                <w:szCs w:val="22"/>
              </w:rPr>
            </w:pPr>
          </w:p>
        </w:tc>
      </w:tr>
      <w:tr w:rsidR="002104BF" w14:paraId="3BCAF70A" w14:textId="77777777" w:rsidTr="007202BD">
        <w:tc>
          <w:tcPr>
            <w:tcW w:w="6487" w:type="dxa"/>
          </w:tcPr>
          <w:p w14:paraId="0E8BF73D" w14:textId="0B3D2C9A" w:rsidR="002104BF" w:rsidRDefault="007202BD" w:rsidP="00C549F4">
            <w:pPr>
              <w:spacing w:line="480" w:lineRule="auto"/>
              <w:jc w:val="both"/>
              <w:rPr>
                <w:b/>
                <w:szCs w:val="22"/>
              </w:rPr>
            </w:pPr>
            <w:r>
              <w:rPr>
                <w:b/>
                <w:lang w:val="en-GB"/>
              </w:rPr>
              <w:t>THE MINISTER OF POLICE</w:t>
            </w:r>
          </w:p>
        </w:tc>
        <w:tc>
          <w:tcPr>
            <w:tcW w:w="2280" w:type="dxa"/>
          </w:tcPr>
          <w:p w14:paraId="2A989CFA" w14:textId="26D7E8D4" w:rsidR="002104BF" w:rsidRDefault="007202BD" w:rsidP="007237D1">
            <w:pPr>
              <w:spacing w:line="480" w:lineRule="auto"/>
              <w:jc w:val="right"/>
              <w:rPr>
                <w:rFonts w:cs="Arial"/>
                <w:szCs w:val="22"/>
              </w:rPr>
            </w:pPr>
            <w:r>
              <w:rPr>
                <w:rFonts w:cs="Arial"/>
                <w:szCs w:val="22"/>
              </w:rPr>
              <w:t>1</w:t>
            </w:r>
            <w:r w:rsidRPr="007202BD">
              <w:rPr>
                <w:rFonts w:cs="Arial"/>
                <w:szCs w:val="22"/>
                <w:vertAlign w:val="superscript"/>
              </w:rPr>
              <w:t>st</w:t>
            </w:r>
            <w:r>
              <w:rPr>
                <w:rFonts w:cs="Arial"/>
                <w:szCs w:val="22"/>
              </w:rPr>
              <w:t xml:space="preserve"> Respondent</w:t>
            </w:r>
          </w:p>
        </w:tc>
      </w:tr>
      <w:tr w:rsidR="007202BD" w14:paraId="4AA0B031" w14:textId="77777777" w:rsidTr="007202BD">
        <w:tc>
          <w:tcPr>
            <w:tcW w:w="6487" w:type="dxa"/>
          </w:tcPr>
          <w:p w14:paraId="59E1CFD2" w14:textId="7F28F141" w:rsidR="007202BD" w:rsidRDefault="007202BD" w:rsidP="00C549F4">
            <w:pPr>
              <w:spacing w:line="480" w:lineRule="auto"/>
              <w:jc w:val="both"/>
              <w:rPr>
                <w:b/>
                <w:lang w:val="en-GB"/>
              </w:rPr>
            </w:pPr>
            <w:r>
              <w:rPr>
                <w:b/>
                <w:lang w:val="en-GB"/>
              </w:rPr>
              <w:t>THE NATIONAL COMMISSIONER OF THE SOUTH AFRICAN POLICE SERVICE</w:t>
            </w:r>
          </w:p>
        </w:tc>
        <w:tc>
          <w:tcPr>
            <w:tcW w:w="2280" w:type="dxa"/>
          </w:tcPr>
          <w:p w14:paraId="46EE9A42" w14:textId="7E7DC3A8" w:rsidR="007202BD" w:rsidRDefault="007202BD" w:rsidP="007237D1">
            <w:pPr>
              <w:spacing w:line="480" w:lineRule="auto"/>
              <w:jc w:val="right"/>
              <w:rPr>
                <w:rFonts w:cs="Arial"/>
                <w:szCs w:val="22"/>
              </w:rPr>
            </w:pPr>
            <w:r>
              <w:rPr>
                <w:rFonts w:cs="Arial"/>
                <w:szCs w:val="22"/>
              </w:rPr>
              <w:t>2</w:t>
            </w:r>
            <w:r w:rsidRPr="007202BD">
              <w:rPr>
                <w:rFonts w:cs="Arial"/>
                <w:szCs w:val="22"/>
                <w:vertAlign w:val="superscript"/>
              </w:rPr>
              <w:t>nd</w:t>
            </w:r>
            <w:r>
              <w:rPr>
                <w:rFonts w:cs="Arial"/>
                <w:szCs w:val="22"/>
              </w:rPr>
              <w:t xml:space="preserve"> Respondent</w:t>
            </w:r>
          </w:p>
        </w:tc>
      </w:tr>
      <w:tr w:rsidR="007202BD" w14:paraId="24D485B2" w14:textId="77777777" w:rsidTr="007202BD">
        <w:tc>
          <w:tcPr>
            <w:tcW w:w="6487" w:type="dxa"/>
          </w:tcPr>
          <w:p w14:paraId="66DC8985" w14:textId="073464D5" w:rsidR="007202BD" w:rsidRDefault="007202BD" w:rsidP="00C549F4">
            <w:pPr>
              <w:spacing w:line="480" w:lineRule="auto"/>
              <w:jc w:val="both"/>
              <w:rPr>
                <w:b/>
                <w:lang w:val="en-GB"/>
              </w:rPr>
            </w:pPr>
            <w:r>
              <w:rPr>
                <w:b/>
                <w:lang w:val="en-GB"/>
              </w:rPr>
              <w:t>THE PROVINCIAL COMMISSIONER, NORTH WEST</w:t>
            </w:r>
          </w:p>
        </w:tc>
        <w:tc>
          <w:tcPr>
            <w:tcW w:w="2280" w:type="dxa"/>
          </w:tcPr>
          <w:p w14:paraId="3594B445" w14:textId="750219FB" w:rsidR="007202BD" w:rsidRDefault="007202BD" w:rsidP="007237D1">
            <w:pPr>
              <w:spacing w:line="480" w:lineRule="auto"/>
              <w:jc w:val="right"/>
              <w:rPr>
                <w:rFonts w:cs="Arial"/>
                <w:szCs w:val="22"/>
              </w:rPr>
            </w:pPr>
            <w:r>
              <w:rPr>
                <w:rFonts w:cs="Arial"/>
                <w:szCs w:val="22"/>
              </w:rPr>
              <w:t>3</w:t>
            </w:r>
            <w:r w:rsidRPr="007202BD">
              <w:rPr>
                <w:rFonts w:cs="Arial"/>
                <w:szCs w:val="22"/>
                <w:vertAlign w:val="superscript"/>
              </w:rPr>
              <w:t>rd</w:t>
            </w:r>
            <w:r>
              <w:rPr>
                <w:rFonts w:cs="Arial"/>
                <w:szCs w:val="22"/>
              </w:rPr>
              <w:t xml:space="preserve"> Respondent</w:t>
            </w:r>
          </w:p>
        </w:tc>
      </w:tr>
      <w:tr w:rsidR="007202BD" w14:paraId="7863A105" w14:textId="77777777" w:rsidTr="007202BD">
        <w:tc>
          <w:tcPr>
            <w:tcW w:w="6487" w:type="dxa"/>
          </w:tcPr>
          <w:p w14:paraId="3F0FD265" w14:textId="54DF1AA2" w:rsidR="007202BD" w:rsidRDefault="007202BD" w:rsidP="00C549F4">
            <w:pPr>
              <w:spacing w:line="480" w:lineRule="auto"/>
              <w:jc w:val="both"/>
              <w:rPr>
                <w:b/>
                <w:lang w:val="en-GB"/>
              </w:rPr>
            </w:pPr>
            <w:r>
              <w:rPr>
                <w:b/>
                <w:lang w:val="en-GB"/>
              </w:rPr>
              <w:t>CAPTAIN LETSOKO</w:t>
            </w:r>
          </w:p>
        </w:tc>
        <w:tc>
          <w:tcPr>
            <w:tcW w:w="2280" w:type="dxa"/>
          </w:tcPr>
          <w:p w14:paraId="5D073406" w14:textId="52B53F15" w:rsidR="007202BD" w:rsidRDefault="007202BD" w:rsidP="007237D1">
            <w:pPr>
              <w:spacing w:line="480" w:lineRule="auto"/>
              <w:jc w:val="right"/>
              <w:rPr>
                <w:rFonts w:cs="Arial"/>
                <w:szCs w:val="22"/>
              </w:rPr>
            </w:pPr>
            <w:r>
              <w:rPr>
                <w:rFonts w:cs="Arial"/>
                <w:szCs w:val="22"/>
              </w:rPr>
              <w:t>4</w:t>
            </w:r>
            <w:r w:rsidRPr="007202BD">
              <w:rPr>
                <w:rFonts w:cs="Arial"/>
                <w:szCs w:val="22"/>
                <w:vertAlign w:val="superscript"/>
              </w:rPr>
              <w:t>th</w:t>
            </w:r>
            <w:r>
              <w:rPr>
                <w:rFonts w:cs="Arial"/>
                <w:szCs w:val="22"/>
              </w:rPr>
              <w:t xml:space="preserve"> Respondent</w:t>
            </w:r>
          </w:p>
        </w:tc>
      </w:tr>
      <w:tr w:rsidR="007202BD" w14:paraId="43E65B3F" w14:textId="77777777" w:rsidTr="007202BD">
        <w:tc>
          <w:tcPr>
            <w:tcW w:w="6487" w:type="dxa"/>
          </w:tcPr>
          <w:p w14:paraId="3BC0F2B3" w14:textId="2E377A63" w:rsidR="007202BD" w:rsidRDefault="007202BD" w:rsidP="00C549F4">
            <w:pPr>
              <w:spacing w:line="480" w:lineRule="auto"/>
              <w:jc w:val="both"/>
              <w:rPr>
                <w:b/>
                <w:lang w:val="en-GB"/>
              </w:rPr>
            </w:pPr>
            <w:r>
              <w:rPr>
                <w:b/>
                <w:lang w:val="en-GB"/>
              </w:rPr>
              <w:t>PHASHA,  TSHENOLO</w:t>
            </w:r>
          </w:p>
        </w:tc>
        <w:tc>
          <w:tcPr>
            <w:tcW w:w="2280" w:type="dxa"/>
          </w:tcPr>
          <w:p w14:paraId="742B804F" w14:textId="3B0F9726" w:rsidR="007202BD" w:rsidRDefault="007202BD" w:rsidP="007237D1">
            <w:pPr>
              <w:spacing w:line="480" w:lineRule="auto"/>
              <w:jc w:val="right"/>
              <w:rPr>
                <w:rFonts w:cs="Arial"/>
                <w:szCs w:val="22"/>
              </w:rPr>
            </w:pPr>
            <w:r>
              <w:rPr>
                <w:rFonts w:cs="Arial"/>
                <w:szCs w:val="22"/>
              </w:rPr>
              <w:t>5</w:t>
            </w:r>
            <w:r w:rsidRPr="007202BD">
              <w:rPr>
                <w:rFonts w:cs="Arial"/>
                <w:szCs w:val="22"/>
                <w:vertAlign w:val="superscript"/>
              </w:rPr>
              <w:t>th</w:t>
            </w:r>
            <w:r>
              <w:rPr>
                <w:rFonts w:cs="Arial"/>
                <w:szCs w:val="22"/>
              </w:rPr>
              <w:t xml:space="preserve"> Respondent</w:t>
            </w:r>
          </w:p>
        </w:tc>
      </w:tr>
      <w:tr w:rsidR="007202BD" w14:paraId="06356A37" w14:textId="77777777" w:rsidTr="007202BD">
        <w:tc>
          <w:tcPr>
            <w:tcW w:w="6487" w:type="dxa"/>
          </w:tcPr>
          <w:p w14:paraId="44AB31ED" w14:textId="1DAC334F" w:rsidR="007202BD" w:rsidRDefault="007202BD" w:rsidP="00C549F4">
            <w:pPr>
              <w:spacing w:line="480" w:lineRule="auto"/>
              <w:jc w:val="both"/>
              <w:rPr>
                <w:b/>
                <w:lang w:val="en-GB"/>
              </w:rPr>
            </w:pPr>
            <w:r>
              <w:rPr>
                <w:b/>
                <w:lang w:val="en-GB"/>
              </w:rPr>
              <w:t>CHIEF KABELO NAWA</w:t>
            </w:r>
          </w:p>
        </w:tc>
        <w:tc>
          <w:tcPr>
            <w:tcW w:w="2280" w:type="dxa"/>
          </w:tcPr>
          <w:p w14:paraId="76A72B4F" w14:textId="205F00D1" w:rsidR="007202BD" w:rsidRDefault="007202BD" w:rsidP="007237D1">
            <w:pPr>
              <w:spacing w:line="480" w:lineRule="auto"/>
              <w:jc w:val="right"/>
              <w:rPr>
                <w:rFonts w:cs="Arial"/>
                <w:szCs w:val="22"/>
              </w:rPr>
            </w:pPr>
            <w:r>
              <w:rPr>
                <w:rFonts w:cs="Arial"/>
                <w:szCs w:val="22"/>
              </w:rPr>
              <w:t>6</w:t>
            </w:r>
            <w:r w:rsidRPr="007202BD">
              <w:rPr>
                <w:rFonts w:cs="Arial"/>
                <w:szCs w:val="22"/>
                <w:vertAlign w:val="superscript"/>
              </w:rPr>
              <w:t>th</w:t>
            </w:r>
            <w:r>
              <w:rPr>
                <w:rFonts w:cs="Arial"/>
                <w:szCs w:val="22"/>
              </w:rPr>
              <w:t xml:space="preserve"> Respondent</w:t>
            </w:r>
          </w:p>
        </w:tc>
      </w:tr>
      <w:tr w:rsidR="007202BD" w14:paraId="1273FAF8" w14:textId="77777777" w:rsidTr="007202BD">
        <w:tc>
          <w:tcPr>
            <w:tcW w:w="6487" w:type="dxa"/>
          </w:tcPr>
          <w:p w14:paraId="15BAF380" w14:textId="61696A01" w:rsidR="007202BD" w:rsidRDefault="007202BD" w:rsidP="00C549F4">
            <w:pPr>
              <w:spacing w:line="480" w:lineRule="auto"/>
              <w:jc w:val="both"/>
              <w:rPr>
                <w:b/>
                <w:lang w:val="en-GB"/>
              </w:rPr>
            </w:pPr>
            <w:r>
              <w:rPr>
                <w:b/>
                <w:lang w:val="en-GB"/>
              </w:rPr>
              <w:t>OCCUPANTS OF THE IP</w:t>
            </w:r>
            <w:r w:rsidR="00DC6EF8">
              <w:rPr>
                <w:b/>
                <w:lang w:val="en-GB"/>
              </w:rPr>
              <w:t>HC CHURCH IN LEBOTLOANE</w:t>
            </w:r>
          </w:p>
        </w:tc>
        <w:tc>
          <w:tcPr>
            <w:tcW w:w="2280" w:type="dxa"/>
          </w:tcPr>
          <w:p w14:paraId="401C22E8" w14:textId="55463FDD" w:rsidR="007202BD" w:rsidRDefault="00DC6EF8" w:rsidP="007237D1">
            <w:pPr>
              <w:spacing w:line="480" w:lineRule="auto"/>
              <w:jc w:val="right"/>
              <w:rPr>
                <w:rFonts w:cs="Arial"/>
                <w:szCs w:val="22"/>
              </w:rPr>
            </w:pPr>
            <w:r>
              <w:rPr>
                <w:rFonts w:cs="Arial"/>
                <w:szCs w:val="22"/>
              </w:rPr>
              <w:t>7</w:t>
            </w:r>
            <w:r w:rsidRPr="00DC6EF8">
              <w:rPr>
                <w:rFonts w:cs="Arial"/>
                <w:szCs w:val="22"/>
                <w:vertAlign w:val="superscript"/>
              </w:rPr>
              <w:t>th</w:t>
            </w:r>
            <w:r>
              <w:rPr>
                <w:rFonts w:cs="Arial"/>
                <w:szCs w:val="22"/>
              </w:rPr>
              <w:t xml:space="preserve"> Respondent</w:t>
            </w:r>
          </w:p>
        </w:tc>
      </w:tr>
    </w:tbl>
    <w:p w14:paraId="5E0E473D" w14:textId="50AB0ECA" w:rsidR="00CE6301" w:rsidRDefault="00CE6301" w:rsidP="006C43D7">
      <w:pPr>
        <w:pBdr>
          <w:bottom w:val="single" w:sz="4" w:space="1" w:color="auto"/>
        </w:pBdr>
        <w:spacing w:line="360" w:lineRule="auto"/>
        <w:jc w:val="both"/>
        <w:rPr>
          <w:rFonts w:cs="Arial"/>
          <w:szCs w:val="22"/>
        </w:rPr>
      </w:pPr>
    </w:p>
    <w:p w14:paraId="4D632D47" w14:textId="70CCEB16" w:rsidR="00F9202F" w:rsidRDefault="00F9202F" w:rsidP="006C43D7">
      <w:pPr>
        <w:pBdr>
          <w:bottom w:val="single" w:sz="4" w:space="1" w:color="auto"/>
        </w:pBdr>
        <w:spacing w:line="360" w:lineRule="auto"/>
        <w:jc w:val="both"/>
        <w:rPr>
          <w:rFonts w:cs="Arial"/>
          <w:szCs w:val="22"/>
        </w:rPr>
      </w:pPr>
    </w:p>
    <w:p w14:paraId="00639339" w14:textId="77777777" w:rsidR="00F9202F" w:rsidRDefault="00F9202F" w:rsidP="006C43D7">
      <w:pPr>
        <w:pBdr>
          <w:bottom w:val="single" w:sz="4" w:space="1" w:color="auto"/>
        </w:pBdr>
        <w:spacing w:line="360" w:lineRule="auto"/>
        <w:jc w:val="both"/>
        <w:rPr>
          <w:rFonts w:cs="Arial"/>
          <w:szCs w:val="22"/>
        </w:rPr>
      </w:pPr>
    </w:p>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202EF25D" w:rsidR="00C460A0" w:rsidRPr="003D19C3" w:rsidRDefault="00C460A0" w:rsidP="00653BA4">
      <w:pPr>
        <w:keepNext/>
        <w:spacing w:after="480" w:line="480" w:lineRule="auto"/>
        <w:jc w:val="both"/>
        <w:rPr>
          <w:rFonts w:cs="Arial"/>
          <w:bCs/>
          <w:i/>
          <w:iCs/>
          <w:szCs w:val="20"/>
          <w:u w:val="single"/>
        </w:rPr>
      </w:pPr>
      <w:r w:rsidRPr="003D19C3">
        <w:rPr>
          <w:rFonts w:cs="Arial"/>
          <w:bCs/>
          <w:i/>
          <w:iCs/>
          <w:szCs w:val="20"/>
          <w:u w:val="single"/>
        </w:rPr>
        <w:t>Summary</w:t>
      </w:r>
    </w:p>
    <w:p w14:paraId="441492A8" w14:textId="7BC2BED6" w:rsidR="00C9310B" w:rsidRPr="003D19C3" w:rsidRDefault="002976B8" w:rsidP="009869F2">
      <w:pPr>
        <w:spacing w:after="480" w:line="480" w:lineRule="auto"/>
        <w:jc w:val="both"/>
        <w:rPr>
          <w:rFonts w:cs="Arial"/>
          <w:bCs/>
          <w:i/>
          <w:iCs/>
          <w:szCs w:val="20"/>
        </w:rPr>
      </w:pPr>
      <w:r>
        <w:rPr>
          <w:rFonts w:cs="Arial"/>
          <w:bCs/>
          <w:i/>
          <w:iCs/>
          <w:szCs w:val="20"/>
        </w:rPr>
        <w:t xml:space="preserve">Spoliation – applicant in undisturbed occupation of church premises when its occupation was disturbed and </w:t>
      </w:r>
      <w:r w:rsidR="00A740B6">
        <w:rPr>
          <w:rFonts w:cs="Arial"/>
          <w:bCs/>
          <w:i/>
          <w:iCs/>
          <w:szCs w:val="20"/>
        </w:rPr>
        <w:t xml:space="preserve">it was </w:t>
      </w:r>
      <w:r>
        <w:rPr>
          <w:rFonts w:cs="Arial"/>
          <w:bCs/>
          <w:i/>
          <w:iCs/>
          <w:szCs w:val="20"/>
        </w:rPr>
        <w:t>lock</w:t>
      </w:r>
      <w:r w:rsidR="00A740B6">
        <w:rPr>
          <w:rFonts w:cs="Arial"/>
          <w:bCs/>
          <w:i/>
          <w:iCs/>
          <w:szCs w:val="20"/>
        </w:rPr>
        <w:t>ed</w:t>
      </w:r>
      <w:r>
        <w:rPr>
          <w:rFonts w:cs="Arial"/>
          <w:bCs/>
          <w:i/>
          <w:iCs/>
          <w:szCs w:val="20"/>
        </w:rPr>
        <w:t xml:space="preserve"> out of the premises – </w:t>
      </w:r>
      <w:r w:rsidR="00A740B6">
        <w:rPr>
          <w:rFonts w:cs="Arial"/>
          <w:bCs/>
          <w:i/>
          <w:iCs/>
          <w:szCs w:val="20"/>
        </w:rPr>
        <w:t xml:space="preserve">A persona </w:t>
      </w:r>
      <w:proofErr w:type="spellStart"/>
      <w:r w:rsidR="00A740B6">
        <w:rPr>
          <w:rFonts w:cs="Arial"/>
          <w:bCs/>
          <w:i/>
          <w:iCs/>
          <w:szCs w:val="20"/>
        </w:rPr>
        <w:t>iuris</w:t>
      </w:r>
      <w:proofErr w:type="spellEnd"/>
      <w:r w:rsidR="00A740B6">
        <w:rPr>
          <w:rFonts w:cs="Arial"/>
          <w:bCs/>
          <w:i/>
          <w:iCs/>
          <w:szCs w:val="20"/>
        </w:rPr>
        <w:t xml:space="preserve"> may occupy property through natural persons - </w:t>
      </w:r>
      <w:r>
        <w:rPr>
          <w:rFonts w:cs="Arial"/>
          <w:bCs/>
          <w:i/>
          <w:iCs/>
          <w:szCs w:val="20"/>
        </w:rPr>
        <w:t>Entitled to spoliation order</w:t>
      </w: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1050DEE4" w:rsidR="00DC6EF8" w:rsidRPr="005B696E" w:rsidRDefault="00966A96" w:rsidP="00966A96">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DC6EF8">
        <w:rPr>
          <w:rFonts w:cs="Arial"/>
          <w:bCs/>
          <w:szCs w:val="22"/>
        </w:rPr>
        <w:t>de</w:t>
      </w:r>
      <w:r w:rsidR="00C460A0">
        <w:rPr>
          <w:rFonts w:cs="Arial"/>
          <w:bCs/>
          <w:szCs w:val="22"/>
        </w:rPr>
        <w:t xml:space="preserve"> the following order</w:t>
      </w:r>
      <w:r w:rsidR="00DC6EF8">
        <w:rPr>
          <w:rFonts w:cs="Arial"/>
          <w:bCs/>
          <w:szCs w:val="22"/>
        </w:rPr>
        <w:t xml:space="preserve"> on 2 February 2023</w:t>
      </w:r>
      <w:r w:rsidR="00C460A0">
        <w:rPr>
          <w:rFonts w:cs="Arial"/>
          <w:bCs/>
          <w:szCs w:val="22"/>
        </w:rPr>
        <w:t>:</w:t>
      </w:r>
    </w:p>
    <w:p w14:paraId="63063489" w14:textId="4A112F50" w:rsidR="005B696E" w:rsidRPr="00966A96" w:rsidRDefault="00966A96" w:rsidP="00966A96">
      <w:pPr>
        <w:ind w:left="360" w:hanging="360"/>
        <w:jc w:val="both"/>
        <w:rPr>
          <w:i/>
          <w:iCs/>
        </w:rPr>
      </w:pPr>
      <w:r w:rsidRPr="005B696E">
        <w:rPr>
          <w:i/>
          <w:iCs/>
        </w:rPr>
        <w:t>1.</w:t>
      </w:r>
      <w:r w:rsidRPr="005B696E">
        <w:rPr>
          <w:i/>
          <w:iCs/>
        </w:rPr>
        <w:tab/>
      </w:r>
      <w:r w:rsidR="005B696E" w:rsidRPr="00966A96">
        <w:rPr>
          <w:i/>
          <w:iCs/>
        </w:rPr>
        <w:t xml:space="preserve">Ordering the first, second, third, fifth, sixth and seventh respondents (“the above respondents”) to forthwith restore possession of the Church at Stand 6086 </w:t>
      </w:r>
      <w:proofErr w:type="spellStart"/>
      <w:r w:rsidR="005B696E" w:rsidRPr="00966A96">
        <w:rPr>
          <w:i/>
          <w:iCs/>
        </w:rPr>
        <w:t>Lebotloane</w:t>
      </w:r>
      <w:proofErr w:type="spellEnd"/>
      <w:r w:rsidR="005B696E" w:rsidRPr="00966A96">
        <w:rPr>
          <w:i/>
          <w:iCs/>
        </w:rPr>
        <w:t xml:space="preserve"> Village, referred to as Nazareth (“the Church”), to the applicant and its office-bearers and worshippers who were dispossessed of such Church on 6th October 2020 upon service of the above Honourable Court.</w:t>
      </w:r>
    </w:p>
    <w:p w14:paraId="001A54F9" w14:textId="77777777" w:rsidR="005B696E" w:rsidRPr="005B696E" w:rsidRDefault="005B696E" w:rsidP="005B696E">
      <w:pPr>
        <w:jc w:val="both"/>
        <w:rPr>
          <w:i/>
          <w:iCs/>
        </w:rPr>
      </w:pPr>
    </w:p>
    <w:p w14:paraId="0D3A88D6" w14:textId="15DE8009" w:rsidR="005B696E" w:rsidRPr="00966A96" w:rsidRDefault="00966A96" w:rsidP="00966A96">
      <w:pPr>
        <w:ind w:left="360" w:hanging="360"/>
        <w:jc w:val="both"/>
        <w:rPr>
          <w:i/>
          <w:iCs/>
          <w:color w:val="000000" w:themeColor="text1"/>
          <w:sz w:val="24"/>
        </w:rPr>
      </w:pPr>
      <w:r w:rsidRPr="006E2083">
        <w:rPr>
          <w:i/>
          <w:iCs/>
          <w:color w:val="000000" w:themeColor="text1"/>
          <w:sz w:val="24"/>
        </w:rPr>
        <w:t>2.</w:t>
      </w:r>
      <w:r w:rsidRPr="006E2083">
        <w:rPr>
          <w:i/>
          <w:iCs/>
          <w:color w:val="000000" w:themeColor="text1"/>
          <w:sz w:val="24"/>
        </w:rPr>
        <w:tab/>
      </w:r>
      <w:r w:rsidR="005B696E" w:rsidRPr="00966A96">
        <w:rPr>
          <w:i/>
          <w:iCs/>
        </w:rPr>
        <w:t>In the event that the above respondents should fail to restore the said persons to possession of the Church upon service of the order of the above Honourable Court, autho</w:t>
      </w:r>
      <w:r w:rsidR="005B696E" w:rsidRPr="00966A96">
        <w:rPr>
          <w:i/>
          <w:iCs/>
          <w:color w:val="000000" w:themeColor="text1"/>
          <w:sz w:val="24"/>
        </w:rPr>
        <w:t>rising and directing the Sheriff of the above Honourable Court to restore possession of the Church to the said persons.</w:t>
      </w:r>
    </w:p>
    <w:p w14:paraId="19A02BF3" w14:textId="77777777" w:rsidR="005B696E" w:rsidRPr="006E2083" w:rsidRDefault="005B696E" w:rsidP="005B696E">
      <w:pPr>
        <w:jc w:val="both"/>
        <w:rPr>
          <w:i/>
          <w:iCs/>
          <w:color w:val="000000" w:themeColor="text1"/>
          <w:sz w:val="24"/>
        </w:rPr>
      </w:pPr>
    </w:p>
    <w:p w14:paraId="5BC649E2" w14:textId="3C0DEE02" w:rsidR="005B696E" w:rsidRPr="00966A96" w:rsidRDefault="00966A96" w:rsidP="00966A96">
      <w:pPr>
        <w:ind w:left="360" w:hanging="360"/>
        <w:jc w:val="both"/>
        <w:rPr>
          <w:i/>
          <w:iCs/>
          <w:color w:val="000000" w:themeColor="text1"/>
          <w:sz w:val="24"/>
        </w:rPr>
      </w:pPr>
      <w:r w:rsidRPr="006E2083">
        <w:rPr>
          <w:i/>
          <w:iCs/>
          <w:color w:val="000000" w:themeColor="text1"/>
          <w:sz w:val="24"/>
        </w:rPr>
        <w:t>3.</w:t>
      </w:r>
      <w:r w:rsidRPr="006E2083">
        <w:rPr>
          <w:i/>
          <w:iCs/>
          <w:color w:val="000000" w:themeColor="text1"/>
          <w:sz w:val="24"/>
        </w:rPr>
        <w:tab/>
      </w:r>
      <w:r w:rsidR="005B696E" w:rsidRPr="00966A96">
        <w:rPr>
          <w:i/>
          <w:iCs/>
          <w:color w:val="000000" w:themeColor="text1"/>
          <w:sz w:val="24"/>
        </w:rPr>
        <w:t xml:space="preserve">Ordering the </w:t>
      </w:r>
      <w:r w:rsidR="002976B8" w:rsidRPr="00966A96">
        <w:rPr>
          <w:i/>
          <w:iCs/>
          <w:color w:val="000000" w:themeColor="text1"/>
          <w:sz w:val="24"/>
        </w:rPr>
        <w:t>1</w:t>
      </w:r>
      <w:r w:rsidR="002976B8" w:rsidRPr="00966A96">
        <w:rPr>
          <w:i/>
          <w:iCs/>
          <w:color w:val="000000" w:themeColor="text1"/>
          <w:sz w:val="24"/>
          <w:vertAlign w:val="superscript"/>
        </w:rPr>
        <w:t>st</w:t>
      </w:r>
      <w:r w:rsidR="002976B8" w:rsidRPr="00966A96">
        <w:rPr>
          <w:i/>
          <w:iCs/>
          <w:color w:val="000000" w:themeColor="text1"/>
          <w:sz w:val="24"/>
        </w:rPr>
        <w:t xml:space="preserve"> and 6</w:t>
      </w:r>
      <w:r w:rsidR="002976B8" w:rsidRPr="00966A96">
        <w:rPr>
          <w:i/>
          <w:iCs/>
          <w:color w:val="000000" w:themeColor="text1"/>
          <w:sz w:val="24"/>
          <w:vertAlign w:val="superscript"/>
        </w:rPr>
        <w:t>th</w:t>
      </w:r>
      <w:r w:rsidR="002976B8" w:rsidRPr="00966A96">
        <w:rPr>
          <w:i/>
          <w:iCs/>
          <w:color w:val="000000" w:themeColor="text1"/>
          <w:sz w:val="24"/>
        </w:rPr>
        <w:t xml:space="preserve"> respondents</w:t>
      </w:r>
      <w:r w:rsidR="005B696E" w:rsidRPr="00966A96">
        <w:rPr>
          <w:i/>
          <w:iCs/>
          <w:color w:val="000000" w:themeColor="text1"/>
          <w:sz w:val="24"/>
        </w:rPr>
        <w:t xml:space="preserve"> jointly and severally to pay the costs of the application including the costs of two counsel, the one paying the other to be absolved.</w:t>
      </w:r>
    </w:p>
    <w:p w14:paraId="5395CEF2" w14:textId="77777777" w:rsidR="005B696E" w:rsidRPr="006E2083" w:rsidRDefault="005B696E" w:rsidP="005B696E">
      <w:pPr>
        <w:spacing w:after="240" w:line="360" w:lineRule="auto"/>
        <w:jc w:val="both"/>
        <w:rPr>
          <w:rFonts w:cs="Arial"/>
          <w:bCs/>
          <w:i/>
          <w:color w:val="000000" w:themeColor="text1"/>
          <w:sz w:val="24"/>
        </w:rPr>
      </w:pPr>
    </w:p>
    <w:p w14:paraId="08540072" w14:textId="7054011C" w:rsidR="00C9310B" w:rsidRPr="00966A96" w:rsidRDefault="00966A96" w:rsidP="00966A96">
      <w:pPr>
        <w:widowControl w:val="0"/>
        <w:tabs>
          <w:tab w:val="left" w:pos="567"/>
        </w:tabs>
        <w:spacing w:before="480" w:after="480" w:line="480" w:lineRule="auto"/>
        <w:jc w:val="both"/>
        <w:rPr>
          <w:rFonts w:cs="Arial"/>
          <w:bCs/>
          <w:szCs w:val="22"/>
          <w:u w:val="single"/>
        </w:rPr>
      </w:pPr>
      <w:r w:rsidRPr="00DC621D">
        <w:rPr>
          <w:rFonts w:cs="Arial"/>
          <w:bCs/>
          <w:szCs w:val="22"/>
        </w:rPr>
        <w:t>[</w:t>
      </w:r>
      <w:bookmarkStart w:id="0" w:name="_GoBack"/>
      <w:bookmarkEnd w:id="0"/>
      <w:r w:rsidRPr="00DC621D">
        <w:rPr>
          <w:rFonts w:cs="Arial"/>
          <w:bCs/>
          <w:szCs w:val="22"/>
        </w:rPr>
        <w:t>2]</w:t>
      </w:r>
      <w:r w:rsidRPr="00DC621D">
        <w:rPr>
          <w:rFonts w:cs="Arial"/>
          <w:bCs/>
          <w:szCs w:val="22"/>
        </w:rPr>
        <w:tab/>
      </w:r>
      <w:r w:rsidR="00573FF9" w:rsidRPr="00966A96">
        <w:rPr>
          <w:rFonts w:cs="Arial"/>
          <w:bCs/>
          <w:szCs w:val="22"/>
        </w:rPr>
        <w:t xml:space="preserve">The reasons for the order </w:t>
      </w:r>
      <w:r w:rsidR="00A63709" w:rsidRPr="00966A96">
        <w:rPr>
          <w:rFonts w:cs="Arial"/>
          <w:bCs/>
          <w:szCs w:val="22"/>
        </w:rPr>
        <w:t>follow</w:t>
      </w:r>
      <w:r w:rsidR="00573FF9" w:rsidRPr="00966A96">
        <w:rPr>
          <w:rFonts w:cs="Arial"/>
          <w:bCs/>
          <w:szCs w:val="22"/>
        </w:rPr>
        <w:t xml:space="preserve"> below.</w:t>
      </w:r>
    </w:p>
    <w:p w14:paraId="3658C913" w14:textId="73DC7682" w:rsidR="00573FF9" w:rsidRPr="00573FF9" w:rsidRDefault="00D9086C" w:rsidP="009869F2">
      <w:pPr>
        <w:keepNext/>
        <w:widowControl w:val="0"/>
        <w:spacing w:before="480" w:after="480" w:line="480" w:lineRule="auto"/>
        <w:jc w:val="both"/>
        <w:rPr>
          <w:rFonts w:cs="Arial"/>
          <w:bCs/>
          <w:szCs w:val="22"/>
          <w:u w:val="single"/>
        </w:rPr>
      </w:pPr>
      <w:r>
        <w:rPr>
          <w:rFonts w:cs="Arial"/>
          <w:bCs/>
          <w:szCs w:val="22"/>
          <w:u w:val="single"/>
        </w:rPr>
        <w:lastRenderedPageBreak/>
        <w:t>Introduction</w:t>
      </w:r>
    </w:p>
    <w:p w14:paraId="3A9DD256" w14:textId="7083C1FF" w:rsidR="00437EB1" w:rsidRDefault="00966A96" w:rsidP="00966A96">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F9202F">
        <w:rPr>
          <w:rFonts w:cs="Arial"/>
          <w:bCs/>
          <w:szCs w:val="22"/>
        </w:rPr>
        <w:t>This is a spoliation applica</w:t>
      </w:r>
      <w:r w:rsidR="00F36EE7">
        <w:rPr>
          <w:rFonts w:cs="Arial"/>
          <w:bCs/>
          <w:szCs w:val="22"/>
        </w:rPr>
        <w:t>tion.</w:t>
      </w:r>
      <w:r w:rsidR="00F9202F">
        <w:rPr>
          <w:rFonts w:cs="Arial"/>
          <w:bCs/>
          <w:szCs w:val="22"/>
        </w:rPr>
        <w:t xml:space="preserve"> The applicant is the</w:t>
      </w:r>
      <w:r w:rsidR="00F9202F" w:rsidRPr="00F9202F">
        <w:rPr>
          <w:rFonts w:cs="Arial"/>
          <w:bCs/>
          <w:szCs w:val="22"/>
        </w:rPr>
        <w:t xml:space="preserve"> International </w:t>
      </w:r>
      <w:proofErr w:type="spellStart"/>
      <w:r w:rsidR="00F9202F" w:rsidRPr="00F9202F">
        <w:rPr>
          <w:rFonts w:cs="Arial"/>
          <w:bCs/>
          <w:szCs w:val="22"/>
        </w:rPr>
        <w:t>Pentacostal</w:t>
      </w:r>
      <w:proofErr w:type="spellEnd"/>
      <w:r w:rsidR="00F9202F" w:rsidRPr="00F9202F">
        <w:rPr>
          <w:rFonts w:cs="Arial"/>
          <w:bCs/>
          <w:szCs w:val="22"/>
        </w:rPr>
        <w:t xml:space="preserve"> Holiness Church (IPHC)</w:t>
      </w:r>
      <w:r w:rsidR="00F9202F">
        <w:rPr>
          <w:rFonts w:cs="Arial"/>
          <w:bCs/>
          <w:szCs w:val="22"/>
        </w:rPr>
        <w:t xml:space="preserve"> represented by the head of the Church, designated the Spiritual Leader and the Comforter</w:t>
      </w:r>
      <w:r w:rsidR="00460EEA">
        <w:rPr>
          <w:rFonts w:cs="Arial"/>
          <w:bCs/>
          <w:szCs w:val="22"/>
        </w:rPr>
        <w:t xml:space="preserve">, whose name is MG </w:t>
      </w:r>
      <w:proofErr w:type="spellStart"/>
      <w:r w:rsidR="00460EEA">
        <w:rPr>
          <w:rFonts w:cs="Arial"/>
          <w:bCs/>
          <w:szCs w:val="22"/>
        </w:rPr>
        <w:t>Sandlana</w:t>
      </w:r>
      <w:proofErr w:type="spellEnd"/>
      <w:r w:rsidR="00F9202F">
        <w:rPr>
          <w:rFonts w:cs="Arial"/>
          <w:bCs/>
          <w:szCs w:val="22"/>
        </w:rPr>
        <w:t xml:space="preserve">. </w:t>
      </w:r>
    </w:p>
    <w:p w14:paraId="1D11088E" w14:textId="021B687A" w:rsidR="005F1CDA" w:rsidRDefault="00966A96" w:rsidP="00966A96">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5F1CDA">
        <w:rPr>
          <w:rFonts w:cs="Arial"/>
          <w:bCs/>
          <w:szCs w:val="22"/>
        </w:rPr>
        <w:t>The application is opposed only by the 6</w:t>
      </w:r>
      <w:r w:rsidR="005F1CDA" w:rsidRPr="00D61F2D">
        <w:rPr>
          <w:rFonts w:cs="Arial"/>
          <w:bCs/>
          <w:szCs w:val="22"/>
          <w:vertAlign w:val="superscript"/>
        </w:rPr>
        <w:t>th</w:t>
      </w:r>
      <w:r w:rsidR="005F1CDA">
        <w:rPr>
          <w:rFonts w:cs="Arial"/>
          <w:bCs/>
          <w:szCs w:val="22"/>
        </w:rPr>
        <w:t xml:space="preserve"> respondent (Chief </w:t>
      </w:r>
      <w:proofErr w:type="spellStart"/>
      <w:r w:rsidR="005F1CDA">
        <w:rPr>
          <w:rFonts w:cs="Arial"/>
          <w:bCs/>
          <w:szCs w:val="22"/>
        </w:rPr>
        <w:t>Nawa</w:t>
      </w:r>
      <w:proofErr w:type="spellEnd"/>
      <w:r w:rsidR="005F1CDA">
        <w:rPr>
          <w:rFonts w:cs="Arial"/>
          <w:bCs/>
          <w:szCs w:val="22"/>
        </w:rPr>
        <w:t xml:space="preserve">), and the </w:t>
      </w:r>
      <w:proofErr w:type="gramStart"/>
      <w:r w:rsidR="005F1CDA">
        <w:rPr>
          <w:rFonts w:cs="Arial"/>
          <w:bCs/>
          <w:szCs w:val="22"/>
        </w:rPr>
        <w:t>occupiers</w:t>
      </w:r>
      <w:proofErr w:type="gramEnd"/>
      <w:r w:rsidR="005F1CDA">
        <w:rPr>
          <w:rFonts w:cs="Arial"/>
          <w:bCs/>
          <w:szCs w:val="22"/>
        </w:rPr>
        <w:t xml:space="preserve"> of the Church property who are collectively cited as the “7</w:t>
      </w:r>
      <w:r w:rsidR="005F1CDA" w:rsidRPr="00A16C6E">
        <w:rPr>
          <w:rFonts w:cs="Arial"/>
          <w:bCs/>
          <w:szCs w:val="22"/>
          <w:vertAlign w:val="superscript"/>
        </w:rPr>
        <w:t>th</w:t>
      </w:r>
      <w:r w:rsidR="005F1CDA">
        <w:rPr>
          <w:rFonts w:cs="Arial"/>
          <w:bCs/>
          <w:szCs w:val="22"/>
        </w:rPr>
        <w:t xml:space="preserve"> respondent.” </w:t>
      </w:r>
    </w:p>
    <w:p w14:paraId="318202D5" w14:textId="7B0B7884" w:rsidR="005F1CDA" w:rsidRDefault="00966A96" w:rsidP="00966A96">
      <w:pPr>
        <w:widowControl w:val="0"/>
        <w:tabs>
          <w:tab w:val="left" w:pos="1418"/>
        </w:tabs>
        <w:spacing w:before="480" w:after="480" w:line="480" w:lineRule="auto"/>
        <w:ind w:left="1418" w:hanging="851"/>
        <w:jc w:val="both"/>
        <w:rPr>
          <w:rFonts w:cs="Arial"/>
          <w:bCs/>
          <w:szCs w:val="22"/>
        </w:rPr>
      </w:pPr>
      <w:r>
        <w:rPr>
          <w:rFonts w:cs="Arial"/>
          <w:bCs/>
          <w:szCs w:val="22"/>
        </w:rPr>
        <w:t>4.1</w:t>
      </w:r>
      <w:r>
        <w:rPr>
          <w:rFonts w:cs="Arial"/>
          <w:bCs/>
          <w:szCs w:val="22"/>
        </w:rPr>
        <w:tab/>
      </w:r>
      <w:r w:rsidR="005F1CDA">
        <w:rPr>
          <w:rFonts w:cs="Arial"/>
          <w:bCs/>
          <w:szCs w:val="22"/>
        </w:rPr>
        <w:t>The application was served on the 1</w:t>
      </w:r>
      <w:r w:rsidR="005F1CDA" w:rsidRPr="007F1517">
        <w:rPr>
          <w:rFonts w:cs="Arial"/>
          <w:bCs/>
          <w:szCs w:val="22"/>
          <w:vertAlign w:val="superscript"/>
        </w:rPr>
        <w:t>st</w:t>
      </w:r>
      <w:r w:rsidR="005F1CDA">
        <w:rPr>
          <w:rFonts w:cs="Arial"/>
          <w:bCs/>
          <w:szCs w:val="22"/>
        </w:rPr>
        <w:t xml:space="preserve"> respondent but the 1</w:t>
      </w:r>
      <w:r w:rsidR="005F1CDA" w:rsidRPr="007F1517">
        <w:rPr>
          <w:rFonts w:cs="Arial"/>
          <w:bCs/>
          <w:szCs w:val="22"/>
          <w:vertAlign w:val="superscript"/>
        </w:rPr>
        <w:t>st</w:t>
      </w:r>
      <w:r w:rsidR="005F1CDA">
        <w:rPr>
          <w:rFonts w:cs="Arial"/>
          <w:bCs/>
          <w:szCs w:val="22"/>
        </w:rPr>
        <w:t xml:space="preserve"> respondent chose not to oppose the application. </w:t>
      </w:r>
    </w:p>
    <w:p w14:paraId="63B377A6" w14:textId="46A31FE5" w:rsidR="005F1CDA" w:rsidRDefault="00966A96" w:rsidP="00966A96">
      <w:pPr>
        <w:widowControl w:val="0"/>
        <w:tabs>
          <w:tab w:val="left" w:pos="1418"/>
        </w:tabs>
        <w:spacing w:before="480" w:after="480" w:line="480" w:lineRule="auto"/>
        <w:ind w:left="1418" w:hanging="851"/>
        <w:jc w:val="both"/>
        <w:rPr>
          <w:rFonts w:cs="Arial"/>
          <w:bCs/>
          <w:szCs w:val="22"/>
        </w:rPr>
      </w:pPr>
      <w:r>
        <w:rPr>
          <w:rFonts w:cs="Arial"/>
          <w:bCs/>
          <w:szCs w:val="22"/>
        </w:rPr>
        <w:t>4.2</w:t>
      </w:r>
      <w:r>
        <w:rPr>
          <w:rFonts w:cs="Arial"/>
          <w:bCs/>
          <w:szCs w:val="22"/>
        </w:rPr>
        <w:tab/>
      </w:r>
      <w:r w:rsidR="005F1CDA">
        <w:rPr>
          <w:rFonts w:cs="Arial"/>
          <w:bCs/>
          <w:szCs w:val="22"/>
        </w:rPr>
        <w:t>The 2</w:t>
      </w:r>
      <w:r w:rsidR="005F1CDA" w:rsidRPr="003832F7">
        <w:rPr>
          <w:rFonts w:cs="Arial"/>
          <w:bCs/>
          <w:szCs w:val="22"/>
          <w:vertAlign w:val="superscript"/>
        </w:rPr>
        <w:t>nd</w:t>
      </w:r>
      <w:r w:rsidR="005F1CDA">
        <w:rPr>
          <w:rFonts w:cs="Arial"/>
          <w:bCs/>
          <w:szCs w:val="22"/>
        </w:rPr>
        <w:t>, 3</w:t>
      </w:r>
      <w:r w:rsidR="005F1CDA" w:rsidRPr="003832F7">
        <w:rPr>
          <w:rFonts w:cs="Arial"/>
          <w:bCs/>
          <w:szCs w:val="22"/>
          <w:vertAlign w:val="superscript"/>
        </w:rPr>
        <w:t>rd</w:t>
      </w:r>
      <w:r w:rsidR="005F1CDA">
        <w:rPr>
          <w:rFonts w:cs="Arial"/>
          <w:bCs/>
          <w:szCs w:val="22"/>
        </w:rPr>
        <w:t>, and 4</w:t>
      </w:r>
      <w:r w:rsidR="005F1CDA" w:rsidRPr="003832F7">
        <w:rPr>
          <w:rFonts w:cs="Arial"/>
          <w:bCs/>
          <w:szCs w:val="22"/>
          <w:vertAlign w:val="superscript"/>
        </w:rPr>
        <w:t>th</w:t>
      </w:r>
      <w:r w:rsidR="005F1CDA">
        <w:rPr>
          <w:rFonts w:cs="Arial"/>
          <w:bCs/>
          <w:szCs w:val="22"/>
        </w:rPr>
        <w:t xml:space="preserve"> respondents are divisions or functionaries of the 1</w:t>
      </w:r>
      <w:r w:rsidR="005F1CDA" w:rsidRPr="003832F7">
        <w:rPr>
          <w:rFonts w:cs="Arial"/>
          <w:bCs/>
          <w:szCs w:val="22"/>
          <w:vertAlign w:val="superscript"/>
        </w:rPr>
        <w:t>st</w:t>
      </w:r>
      <w:r w:rsidR="005F1CDA">
        <w:rPr>
          <w:rFonts w:cs="Arial"/>
          <w:bCs/>
          <w:szCs w:val="22"/>
        </w:rPr>
        <w:t xml:space="preserve"> respondent. </w:t>
      </w:r>
    </w:p>
    <w:p w14:paraId="77020613" w14:textId="416479D8" w:rsidR="005F1CDA" w:rsidRDefault="00966A96" w:rsidP="00966A96">
      <w:pPr>
        <w:widowControl w:val="0"/>
        <w:tabs>
          <w:tab w:val="left" w:pos="1418"/>
        </w:tabs>
        <w:spacing w:before="480" w:after="480" w:line="480" w:lineRule="auto"/>
        <w:ind w:left="1418" w:hanging="851"/>
        <w:jc w:val="both"/>
        <w:rPr>
          <w:rFonts w:cs="Arial"/>
          <w:bCs/>
          <w:szCs w:val="22"/>
        </w:rPr>
      </w:pPr>
      <w:r>
        <w:rPr>
          <w:rFonts w:cs="Arial"/>
          <w:bCs/>
          <w:szCs w:val="22"/>
        </w:rPr>
        <w:t>4.3</w:t>
      </w:r>
      <w:r>
        <w:rPr>
          <w:rFonts w:cs="Arial"/>
          <w:bCs/>
          <w:szCs w:val="22"/>
        </w:rPr>
        <w:tab/>
      </w:r>
      <w:r w:rsidR="002C2E80">
        <w:rPr>
          <w:rFonts w:cs="Arial"/>
          <w:bCs/>
          <w:szCs w:val="22"/>
        </w:rPr>
        <w:t>The 5</w:t>
      </w:r>
      <w:r w:rsidR="002C2E80" w:rsidRPr="002C2E80">
        <w:rPr>
          <w:rFonts w:cs="Arial"/>
          <w:bCs/>
          <w:szCs w:val="22"/>
          <w:vertAlign w:val="superscript"/>
        </w:rPr>
        <w:t>th</w:t>
      </w:r>
      <w:r w:rsidR="002C2E80">
        <w:rPr>
          <w:rFonts w:cs="Arial"/>
          <w:bCs/>
          <w:szCs w:val="22"/>
        </w:rPr>
        <w:t xml:space="preserve"> respondent does not oppose the application</w:t>
      </w:r>
      <w:r w:rsidR="005F1CDA">
        <w:rPr>
          <w:rFonts w:cs="Arial"/>
          <w:bCs/>
          <w:szCs w:val="22"/>
        </w:rPr>
        <w:t>.</w:t>
      </w:r>
    </w:p>
    <w:p w14:paraId="23B000E3" w14:textId="2D661C9D" w:rsidR="005F1CDA" w:rsidRDefault="00966A96" w:rsidP="00966A96">
      <w:pPr>
        <w:widowControl w:val="0"/>
        <w:tabs>
          <w:tab w:val="left" w:pos="1418"/>
        </w:tabs>
        <w:spacing w:before="480" w:after="480" w:line="480" w:lineRule="auto"/>
        <w:ind w:left="1418" w:hanging="851"/>
        <w:jc w:val="both"/>
        <w:rPr>
          <w:rFonts w:cs="Arial"/>
          <w:bCs/>
          <w:szCs w:val="22"/>
        </w:rPr>
      </w:pPr>
      <w:r>
        <w:rPr>
          <w:rFonts w:cs="Arial"/>
          <w:bCs/>
          <w:szCs w:val="22"/>
        </w:rPr>
        <w:t>4.4</w:t>
      </w:r>
      <w:r>
        <w:rPr>
          <w:rFonts w:cs="Arial"/>
          <w:bCs/>
          <w:szCs w:val="22"/>
        </w:rPr>
        <w:tab/>
      </w:r>
      <w:r w:rsidR="005F1CDA" w:rsidRPr="00F773E6">
        <w:rPr>
          <w:rFonts w:cs="Arial"/>
          <w:bCs/>
          <w:szCs w:val="22"/>
        </w:rPr>
        <w:t>The answering affidavit ostensibly deposed to on behalf of the occupiers do not name them and their opposition is not properly before Court.</w:t>
      </w:r>
      <w:r w:rsidR="005F1CDA">
        <w:rPr>
          <w:rFonts w:cs="Arial"/>
          <w:bCs/>
          <w:szCs w:val="22"/>
        </w:rPr>
        <w:t xml:space="preserve"> </w:t>
      </w:r>
      <w:r w:rsidR="005F1CDA" w:rsidRPr="00F773E6">
        <w:rPr>
          <w:rFonts w:cs="Arial"/>
          <w:bCs/>
          <w:szCs w:val="22"/>
        </w:rPr>
        <w:t>Th</w:t>
      </w:r>
      <w:r w:rsidR="005F1CDA">
        <w:rPr>
          <w:rFonts w:cs="Arial"/>
          <w:bCs/>
          <w:szCs w:val="22"/>
        </w:rPr>
        <w:t>e</w:t>
      </w:r>
      <w:r w:rsidR="005F1CDA" w:rsidRPr="00F773E6">
        <w:rPr>
          <w:rFonts w:cs="Arial"/>
          <w:bCs/>
          <w:szCs w:val="22"/>
        </w:rPr>
        <w:t xml:space="preserve"> application is not concerned with the legality or otherwise of the occupation </w:t>
      </w:r>
      <w:r w:rsidR="00903877">
        <w:rPr>
          <w:rFonts w:cs="Arial"/>
          <w:bCs/>
          <w:szCs w:val="22"/>
        </w:rPr>
        <w:t>by</w:t>
      </w:r>
      <w:r w:rsidR="005F1CDA" w:rsidRPr="00F773E6">
        <w:rPr>
          <w:rFonts w:cs="Arial"/>
          <w:bCs/>
          <w:szCs w:val="22"/>
        </w:rPr>
        <w:t xml:space="preserve"> anyone whose occupation </w:t>
      </w:r>
      <w:r w:rsidR="00903877">
        <w:rPr>
          <w:rFonts w:cs="Arial"/>
          <w:bCs/>
          <w:szCs w:val="22"/>
        </w:rPr>
        <w:t xml:space="preserve">of the premises </w:t>
      </w:r>
      <w:r w:rsidR="005F1CDA" w:rsidRPr="00F773E6">
        <w:rPr>
          <w:rFonts w:cs="Arial"/>
          <w:bCs/>
          <w:szCs w:val="22"/>
        </w:rPr>
        <w:t xml:space="preserve">might be subject to the Prevention of Illegal Evictions and Occupation of Land Act, </w:t>
      </w:r>
      <w:r w:rsidR="005F1CDA">
        <w:rPr>
          <w:rFonts w:cs="Arial"/>
          <w:bCs/>
          <w:szCs w:val="22"/>
        </w:rPr>
        <w:t>19</w:t>
      </w:r>
      <w:r w:rsidR="005F1CDA" w:rsidRPr="00F773E6">
        <w:rPr>
          <w:rFonts w:cs="Arial"/>
          <w:bCs/>
          <w:szCs w:val="22"/>
        </w:rPr>
        <w:t xml:space="preserve"> of </w:t>
      </w:r>
      <w:r w:rsidR="005F1CDA">
        <w:rPr>
          <w:rFonts w:cs="Arial"/>
          <w:bCs/>
          <w:szCs w:val="22"/>
        </w:rPr>
        <w:t>1998</w:t>
      </w:r>
      <w:r w:rsidR="005F1CDA" w:rsidRPr="00F773E6">
        <w:rPr>
          <w:rFonts w:cs="Arial"/>
          <w:bCs/>
          <w:szCs w:val="22"/>
        </w:rPr>
        <w:t>.</w:t>
      </w:r>
    </w:p>
    <w:p w14:paraId="665C2F1C" w14:textId="15565E23" w:rsidR="005B696E" w:rsidRDefault="00966A96" w:rsidP="00966A96">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F9202F">
        <w:rPr>
          <w:rFonts w:cs="Arial"/>
          <w:bCs/>
          <w:szCs w:val="22"/>
        </w:rPr>
        <w:t xml:space="preserve">There are disputes between factions of the Church as to control of the Church. These factions are referred to as the </w:t>
      </w:r>
      <w:proofErr w:type="spellStart"/>
      <w:r w:rsidR="00F9202F">
        <w:rPr>
          <w:rFonts w:cs="Arial"/>
          <w:bCs/>
          <w:szCs w:val="22"/>
        </w:rPr>
        <w:t>Zuurbekom</w:t>
      </w:r>
      <w:proofErr w:type="spellEnd"/>
      <w:r w:rsidR="00F9202F">
        <w:rPr>
          <w:rFonts w:cs="Arial"/>
          <w:bCs/>
          <w:szCs w:val="22"/>
        </w:rPr>
        <w:t>, Nazareth and Jerusalem factions, and the deponent to the main founding affidavit associates himself with the Jerusalem faction.</w:t>
      </w:r>
    </w:p>
    <w:p w14:paraId="19B02CAF" w14:textId="2A01779C" w:rsidR="00F8493C" w:rsidRPr="00903877" w:rsidRDefault="00966A96" w:rsidP="00966A96">
      <w:pPr>
        <w:widowControl w:val="0"/>
        <w:tabs>
          <w:tab w:val="left" w:pos="567"/>
        </w:tabs>
        <w:spacing w:before="480" w:after="480" w:line="480" w:lineRule="auto"/>
        <w:jc w:val="both"/>
        <w:rPr>
          <w:rFonts w:cs="Arial"/>
          <w:bCs/>
          <w:szCs w:val="22"/>
        </w:rPr>
      </w:pPr>
      <w:r w:rsidRPr="00903877">
        <w:rPr>
          <w:rFonts w:cs="Arial"/>
          <w:bCs/>
          <w:szCs w:val="22"/>
        </w:rPr>
        <w:t>[6]</w:t>
      </w:r>
      <w:r w:rsidRPr="00903877">
        <w:rPr>
          <w:rFonts w:cs="Arial"/>
          <w:bCs/>
          <w:szCs w:val="22"/>
        </w:rPr>
        <w:tab/>
      </w:r>
      <w:r w:rsidR="00903877" w:rsidRPr="00903877">
        <w:rPr>
          <w:rFonts w:cs="Arial"/>
          <w:bCs/>
          <w:szCs w:val="22"/>
        </w:rPr>
        <w:t xml:space="preserve">The premises were used by the faithful to gather twice weekly for religious activities. </w:t>
      </w:r>
      <w:r w:rsidR="00903877" w:rsidRPr="00903877">
        <w:rPr>
          <w:rFonts w:cs="Arial"/>
          <w:bCs/>
          <w:szCs w:val="22"/>
        </w:rPr>
        <w:lastRenderedPageBreak/>
        <w:t xml:space="preserve">When the alleged spoliation took place the deponent (though not present personally) and members of the Church were in </w:t>
      </w:r>
      <w:r w:rsidR="00903877" w:rsidRPr="00903877">
        <w:rPr>
          <w:rFonts w:cs="Arial"/>
          <w:bCs/>
          <w:i/>
          <w:iCs/>
          <w:szCs w:val="22"/>
        </w:rPr>
        <w:t>de facto</w:t>
      </w:r>
      <w:r w:rsidR="00903877" w:rsidRPr="00903877">
        <w:rPr>
          <w:rFonts w:cs="Arial"/>
          <w:bCs/>
          <w:szCs w:val="22"/>
        </w:rPr>
        <w:t xml:space="preserve"> control of the Church premises. </w:t>
      </w:r>
      <w:r w:rsidR="00F9202F" w:rsidRPr="00903877">
        <w:rPr>
          <w:rFonts w:cs="Arial"/>
          <w:bCs/>
          <w:szCs w:val="22"/>
        </w:rPr>
        <w:t xml:space="preserve">The disputes </w:t>
      </w:r>
      <w:r w:rsidR="009F2572" w:rsidRPr="00903877">
        <w:rPr>
          <w:rFonts w:cs="Arial"/>
          <w:bCs/>
          <w:szCs w:val="22"/>
        </w:rPr>
        <w:t xml:space="preserve">relating to the control and management of the Church need not be decided in this application. </w:t>
      </w:r>
    </w:p>
    <w:p w14:paraId="1DA7AE01" w14:textId="23310109" w:rsidR="005F1CDA" w:rsidRDefault="00966A96" w:rsidP="00966A96">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5F1CDA">
        <w:rPr>
          <w:rFonts w:cs="Arial"/>
          <w:bCs/>
          <w:szCs w:val="22"/>
        </w:rPr>
        <w:t>I am advised on behalf of the 6</w:t>
      </w:r>
      <w:r w:rsidR="005F1CDA" w:rsidRPr="00DF6AC1">
        <w:rPr>
          <w:rFonts w:cs="Arial"/>
          <w:bCs/>
          <w:szCs w:val="22"/>
          <w:vertAlign w:val="superscript"/>
        </w:rPr>
        <w:t>th</w:t>
      </w:r>
      <w:r w:rsidR="005F1CDA">
        <w:rPr>
          <w:rFonts w:cs="Arial"/>
          <w:bCs/>
          <w:szCs w:val="22"/>
        </w:rPr>
        <w:t xml:space="preserve"> respondent (who himself does not claim any office in the Church but who states that he allocated the property to the late Founder of the Church in 1983 and who recognises the son of the Founder as the rightful occupier of the Church premises) that the dispute</w:t>
      </w:r>
      <w:r w:rsidR="00C4720D">
        <w:rPr>
          <w:rFonts w:cs="Arial"/>
          <w:bCs/>
          <w:szCs w:val="22"/>
        </w:rPr>
        <w:t xml:space="preserve"> between the factions</w:t>
      </w:r>
      <w:r w:rsidR="005F1CDA">
        <w:rPr>
          <w:rFonts w:cs="Arial"/>
          <w:bCs/>
          <w:szCs w:val="22"/>
        </w:rPr>
        <w:t xml:space="preserve"> is being case managed in the Gauteng Division, Pretoria, and has in fact been under case management since 2020.</w:t>
      </w:r>
    </w:p>
    <w:p w14:paraId="035ABF1A" w14:textId="37AA8159" w:rsidR="005509BE" w:rsidRDefault="00966A96" w:rsidP="00966A96">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5509BE">
        <w:rPr>
          <w:rFonts w:cs="Arial"/>
          <w:bCs/>
          <w:szCs w:val="22"/>
        </w:rPr>
        <w:t>I am indebted to the applicant</w:t>
      </w:r>
      <w:r w:rsidR="00C4720D">
        <w:rPr>
          <w:rFonts w:cs="Arial"/>
          <w:bCs/>
          <w:szCs w:val="22"/>
        </w:rPr>
        <w:t>’</w:t>
      </w:r>
      <w:r w:rsidR="005509BE">
        <w:rPr>
          <w:rFonts w:cs="Arial"/>
          <w:bCs/>
          <w:szCs w:val="22"/>
        </w:rPr>
        <w:t xml:space="preserve">s counsel, Mr Segal and Mr </w:t>
      </w:r>
      <w:proofErr w:type="spellStart"/>
      <w:r w:rsidR="005509BE">
        <w:rPr>
          <w:rFonts w:cs="Arial"/>
        </w:rPr>
        <w:t>Mthunzi</w:t>
      </w:r>
      <w:proofErr w:type="spellEnd"/>
      <w:r w:rsidR="005509BE">
        <w:rPr>
          <w:rFonts w:cs="Arial"/>
        </w:rPr>
        <w:t>, and to the 6</w:t>
      </w:r>
      <w:r w:rsidR="005509BE" w:rsidRPr="005509BE">
        <w:rPr>
          <w:rFonts w:cs="Arial"/>
          <w:vertAlign w:val="superscript"/>
        </w:rPr>
        <w:t>th</w:t>
      </w:r>
      <w:r w:rsidR="005509BE">
        <w:rPr>
          <w:rFonts w:cs="Arial"/>
        </w:rPr>
        <w:t xml:space="preserve"> </w:t>
      </w:r>
      <w:r w:rsidR="00F8493C">
        <w:rPr>
          <w:rFonts w:cs="Arial"/>
          <w:bCs/>
          <w:szCs w:val="22"/>
        </w:rPr>
        <w:t>respondent’s counsel</w:t>
      </w:r>
      <w:r w:rsidR="005509BE">
        <w:rPr>
          <w:rFonts w:cs="Arial"/>
          <w:bCs/>
          <w:szCs w:val="22"/>
        </w:rPr>
        <w:t xml:space="preserve">, Mr </w:t>
      </w:r>
      <w:proofErr w:type="spellStart"/>
      <w:r w:rsidR="005509BE">
        <w:rPr>
          <w:rFonts w:cs="Arial"/>
          <w:bCs/>
          <w:szCs w:val="22"/>
        </w:rPr>
        <w:t>Nxumalo</w:t>
      </w:r>
      <w:proofErr w:type="spellEnd"/>
      <w:r w:rsidR="005509BE">
        <w:rPr>
          <w:rFonts w:cs="Arial"/>
          <w:bCs/>
          <w:szCs w:val="22"/>
        </w:rPr>
        <w:t>,</w:t>
      </w:r>
      <w:r w:rsidR="00F8493C">
        <w:rPr>
          <w:rFonts w:cs="Arial"/>
          <w:bCs/>
          <w:szCs w:val="22"/>
        </w:rPr>
        <w:t xml:space="preserve"> </w:t>
      </w:r>
      <w:r w:rsidR="005509BE">
        <w:rPr>
          <w:rFonts w:cs="Arial"/>
          <w:bCs/>
          <w:szCs w:val="22"/>
        </w:rPr>
        <w:t>for their helpful</w:t>
      </w:r>
      <w:r w:rsidR="00AE1220">
        <w:rPr>
          <w:rFonts w:cs="Arial"/>
          <w:bCs/>
          <w:szCs w:val="22"/>
        </w:rPr>
        <w:t xml:space="preserve"> a</w:t>
      </w:r>
      <w:r w:rsidR="005509BE">
        <w:rPr>
          <w:rFonts w:cs="Arial"/>
          <w:bCs/>
          <w:szCs w:val="22"/>
        </w:rPr>
        <w:t xml:space="preserve">rgument. </w:t>
      </w:r>
    </w:p>
    <w:p w14:paraId="7811B821" w14:textId="140FA7F1" w:rsidR="005509BE" w:rsidRDefault="00966A96" w:rsidP="00966A96">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5509BE">
        <w:rPr>
          <w:rFonts w:cs="Arial"/>
          <w:bCs/>
          <w:szCs w:val="22"/>
        </w:rPr>
        <w:t xml:space="preserve">Mr </w:t>
      </w:r>
      <w:proofErr w:type="spellStart"/>
      <w:r w:rsidR="005509BE">
        <w:rPr>
          <w:rFonts w:cs="Arial"/>
          <w:bCs/>
          <w:szCs w:val="22"/>
        </w:rPr>
        <w:t>Nxumalo</w:t>
      </w:r>
      <w:proofErr w:type="spellEnd"/>
      <w:r w:rsidR="005509BE">
        <w:rPr>
          <w:rFonts w:cs="Arial"/>
          <w:bCs/>
          <w:szCs w:val="22"/>
        </w:rPr>
        <w:t xml:space="preserve"> </w:t>
      </w:r>
      <w:r w:rsidR="00F8493C">
        <w:rPr>
          <w:rFonts w:cs="Arial"/>
          <w:bCs/>
          <w:szCs w:val="22"/>
        </w:rPr>
        <w:t xml:space="preserve">referred me to the decision of the Supreme Court of Appeal in </w:t>
      </w:r>
      <w:r w:rsidR="00F8493C" w:rsidRPr="00F8493C">
        <w:rPr>
          <w:i/>
          <w:iCs/>
        </w:rPr>
        <w:t xml:space="preserve">Street Pole Ads Durban (Pty) Ltd and Another v </w:t>
      </w:r>
      <w:proofErr w:type="spellStart"/>
      <w:r w:rsidR="00F8493C" w:rsidRPr="00F8493C">
        <w:rPr>
          <w:i/>
          <w:iCs/>
        </w:rPr>
        <w:t>Ethekwini</w:t>
      </w:r>
      <w:proofErr w:type="spellEnd"/>
      <w:r w:rsidR="00F8493C" w:rsidRPr="00F8493C">
        <w:rPr>
          <w:i/>
          <w:iCs/>
        </w:rPr>
        <w:t xml:space="preserve"> Municipality</w:t>
      </w:r>
      <w:r w:rsidR="00F8493C">
        <w:rPr>
          <w:rStyle w:val="FootnoteReference"/>
          <w:i/>
          <w:iCs/>
        </w:rPr>
        <w:footnoteReference w:id="1"/>
      </w:r>
      <w:r w:rsidR="00F8493C">
        <w:t xml:space="preserve"> </w:t>
      </w:r>
      <w:r w:rsidR="00BF7ED8">
        <w:t xml:space="preserve"> in support of the contention that where the applicant goes beyond the requirements of the </w:t>
      </w:r>
      <w:proofErr w:type="spellStart"/>
      <w:r w:rsidR="00BF7ED8">
        <w:t>mandament</w:t>
      </w:r>
      <w:proofErr w:type="spellEnd"/>
      <w:r w:rsidR="00BF7ED8">
        <w:t xml:space="preserve"> van </w:t>
      </w:r>
      <w:proofErr w:type="spellStart"/>
      <w:r w:rsidR="00BF7ED8">
        <w:t>spolie</w:t>
      </w:r>
      <w:proofErr w:type="spellEnd"/>
      <w:r w:rsidR="00BF7ED8">
        <w:t xml:space="preserve"> and place substantive rights in issue, the respondent may answer such additional claim of right and may seek to demonstrate that the applicant does not have the right to possession that it claims to have</w:t>
      </w:r>
      <w:r w:rsidR="00F8493C">
        <w:rPr>
          <w:rFonts w:cs="Arial"/>
          <w:bCs/>
          <w:szCs w:val="22"/>
        </w:rPr>
        <w:t>.</w:t>
      </w:r>
      <w:r w:rsidR="00BF7ED8">
        <w:rPr>
          <w:rFonts w:cs="Arial"/>
          <w:bCs/>
          <w:szCs w:val="22"/>
        </w:rPr>
        <w:t xml:space="preserve"> </w:t>
      </w:r>
    </w:p>
    <w:p w14:paraId="23907B3B" w14:textId="34113AF5" w:rsidR="00437EB1" w:rsidRDefault="00966A96" w:rsidP="00966A96">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BF7ED8">
        <w:rPr>
          <w:rFonts w:cs="Arial"/>
          <w:bCs/>
          <w:szCs w:val="22"/>
        </w:rPr>
        <w:t xml:space="preserve">In </w:t>
      </w:r>
      <w:r w:rsidR="004F4A37">
        <w:rPr>
          <w:rFonts w:cs="Arial"/>
          <w:bCs/>
          <w:szCs w:val="22"/>
        </w:rPr>
        <w:t xml:space="preserve">the </w:t>
      </w:r>
      <w:r w:rsidR="004F4A37" w:rsidRPr="004F4A37">
        <w:rPr>
          <w:rFonts w:cs="Arial"/>
          <w:bCs/>
          <w:i/>
          <w:iCs/>
          <w:szCs w:val="22"/>
        </w:rPr>
        <w:t>Street Pole</w:t>
      </w:r>
      <w:r w:rsidR="00BF7ED8">
        <w:rPr>
          <w:rFonts w:cs="Arial"/>
          <w:bCs/>
          <w:szCs w:val="22"/>
        </w:rPr>
        <w:t xml:space="preserve"> matter the applicant went beyond the </w:t>
      </w:r>
      <w:proofErr w:type="spellStart"/>
      <w:r w:rsidR="00BF7ED8">
        <w:rPr>
          <w:rFonts w:cs="Arial"/>
          <w:bCs/>
          <w:szCs w:val="22"/>
        </w:rPr>
        <w:t>mandament</w:t>
      </w:r>
      <w:proofErr w:type="spellEnd"/>
      <w:r w:rsidR="00BF7ED8">
        <w:rPr>
          <w:rFonts w:cs="Arial"/>
          <w:bCs/>
          <w:szCs w:val="22"/>
        </w:rPr>
        <w:t xml:space="preserve"> van </w:t>
      </w:r>
      <w:proofErr w:type="spellStart"/>
      <w:r w:rsidR="00BF7ED8">
        <w:rPr>
          <w:rFonts w:cs="Arial"/>
          <w:bCs/>
          <w:szCs w:val="22"/>
        </w:rPr>
        <w:t>spolie</w:t>
      </w:r>
      <w:proofErr w:type="spellEnd"/>
      <w:r w:rsidR="00BF7ED8">
        <w:rPr>
          <w:rFonts w:cs="Arial"/>
          <w:bCs/>
          <w:szCs w:val="22"/>
        </w:rPr>
        <w:t xml:space="preserve"> and claimed </w:t>
      </w:r>
      <w:r w:rsidR="004F4A37">
        <w:rPr>
          <w:rFonts w:cs="Arial"/>
          <w:bCs/>
          <w:szCs w:val="22"/>
        </w:rPr>
        <w:t>additional interdictory relief</w:t>
      </w:r>
      <w:r w:rsidR="00BF7ED8">
        <w:rPr>
          <w:rFonts w:cs="Arial"/>
          <w:bCs/>
          <w:szCs w:val="22"/>
        </w:rPr>
        <w:t xml:space="preserve">. </w:t>
      </w:r>
      <w:r w:rsidR="004F4A37">
        <w:rPr>
          <w:rFonts w:cs="Arial"/>
          <w:bCs/>
          <w:szCs w:val="22"/>
        </w:rPr>
        <w:t xml:space="preserve">The respondent brought a counter - application. </w:t>
      </w:r>
      <w:r w:rsidR="00BF7ED8">
        <w:rPr>
          <w:rFonts w:cs="Arial"/>
          <w:bCs/>
          <w:szCs w:val="22"/>
        </w:rPr>
        <w:t>Cameron JA said in paragraph 15:</w:t>
      </w:r>
    </w:p>
    <w:p w14:paraId="3BBA03EC" w14:textId="04BC6678" w:rsidR="00BF7ED8" w:rsidRPr="00BF7ED8" w:rsidRDefault="00BF7ED8" w:rsidP="00BF7ED8">
      <w:pPr>
        <w:widowControl w:val="0"/>
        <w:spacing w:before="480" w:after="480" w:line="480" w:lineRule="auto"/>
        <w:ind w:left="720"/>
        <w:jc w:val="both"/>
        <w:rPr>
          <w:rFonts w:cs="Arial"/>
          <w:bCs/>
          <w:i/>
          <w:iCs/>
          <w:color w:val="000000" w:themeColor="text1"/>
          <w:szCs w:val="22"/>
        </w:rPr>
      </w:pPr>
      <w:r>
        <w:rPr>
          <w:rFonts w:cs="Arial"/>
          <w:i/>
          <w:iCs/>
          <w:color w:val="000000" w:themeColor="text1"/>
          <w:szCs w:val="22"/>
          <w:shd w:val="clear" w:color="auto" w:fill="FFFFFF"/>
        </w:rPr>
        <w:t>“</w:t>
      </w:r>
      <w:r w:rsidRPr="00BF7ED8">
        <w:rPr>
          <w:rFonts w:cs="Arial"/>
          <w:i/>
          <w:iCs/>
          <w:color w:val="000000" w:themeColor="text1"/>
          <w:szCs w:val="22"/>
          <w:shd w:val="clear" w:color="auto" w:fill="FFFFFF"/>
        </w:rPr>
        <w:t>This argument</w:t>
      </w:r>
      <w:r>
        <w:rPr>
          <w:rStyle w:val="FootnoteReference"/>
          <w:rFonts w:cs="Arial"/>
          <w:i/>
          <w:iCs/>
          <w:color w:val="000000" w:themeColor="text1"/>
          <w:szCs w:val="22"/>
          <w:shd w:val="clear" w:color="auto" w:fill="FFFFFF"/>
        </w:rPr>
        <w:footnoteReference w:id="2"/>
      </w:r>
      <w:r w:rsidRPr="00BF7ED8">
        <w:rPr>
          <w:rFonts w:cs="Arial"/>
          <w:i/>
          <w:iCs/>
          <w:color w:val="000000" w:themeColor="text1"/>
          <w:szCs w:val="22"/>
          <w:shd w:val="clear" w:color="auto" w:fill="FFFFFF"/>
        </w:rPr>
        <w:t xml:space="preserve"> invokes the principle that an offending respondent in a spoliation </w:t>
      </w:r>
      <w:r w:rsidRPr="00BF7ED8">
        <w:rPr>
          <w:rFonts w:cs="Arial"/>
          <w:i/>
          <w:iCs/>
          <w:color w:val="000000" w:themeColor="text1"/>
          <w:szCs w:val="22"/>
          <w:shd w:val="clear" w:color="auto" w:fill="FFFFFF"/>
        </w:rPr>
        <w:lastRenderedPageBreak/>
        <w:t xml:space="preserve">application is generally not allowed to contest the </w:t>
      </w:r>
      <w:proofErr w:type="spellStart"/>
      <w:r w:rsidRPr="00BF7ED8">
        <w:rPr>
          <w:rFonts w:cs="Arial"/>
          <w:i/>
          <w:iCs/>
          <w:color w:val="000000" w:themeColor="text1"/>
          <w:szCs w:val="22"/>
          <w:shd w:val="clear" w:color="auto" w:fill="FFFFFF"/>
        </w:rPr>
        <w:t>spoliated</w:t>
      </w:r>
      <w:proofErr w:type="spellEnd"/>
      <w:r w:rsidRPr="00BF7ED8">
        <w:rPr>
          <w:rFonts w:cs="Arial"/>
          <w:i/>
          <w:iCs/>
          <w:color w:val="000000" w:themeColor="text1"/>
          <w:szCs w:val="22"/>
          <w:shd w:val="clear" w:color="auto" w:fill="FFFFFF"/>
        </w:rPr>
        <w:t xml:space="preserve"> applicant's title to the property. That is because good title is irrelevant: the claim to </w:t>
      </w:r>
      <w:proofErr w:type="spellStart"/>
      <w:r w:rsidRPr="00BF7ED8">
        <w:rPr>
          <w:rFonts w:cs="Arial"/>
          <w:i/>
          <w:iCs/>
          <w:color w:val="000000" w:themeColor="text1"/>
          <w:szCs w:val="22"/>
          <w:shd w:val="clear" w:color="auto" w:fill="FFFFFF"/>
        </w:rPr>
        <w:t>spoliatory</w:t>
      </w:r>
      <w:proofErr w:type="spellEnd"/>
      <w:r w:rsidRPr="00BF7ED8">
        <w:rPr>
          <w:rFonts w:cs="Arial"/>
          <w:i/>
          <w:iCs/>
          <w:color w:val="000000" w:themeColor="text1"/>
          <w:szCs w:val="22"/>
          <w:shd w:val="clear" w:color="auto" w:fill="FFFFFF"/>
        </w:rPr>
        <w:t xml:space="preserve"> relief arises solely from an </w:t>
      </w:r>
      <w:proofErr w:type="spellStart"/>
      <w:r w:rsidRPr="00BF7ED8">
        <w:rPr>
          <w:rFonts w:cs="Arial"/>
          <w:i/>
          <w:iCs/>
          <w:color w:val="000000" w:themeColor="text1"/>
          <w:szCs w:val="22"/>
          <w:shd w:val="clear" w:color="auto" w:fill="FFFFFF"/>
        </w:rPr>
        <w:t>unprocedural</w:t>
      </w:r>
      <w:proofErr w:type="spellEnd"/>
      <w:r w:rsidRPr="00BF7ED8">
        <w:rPr>
          <w:rFonts w:cs="Arial"/>
          <w:i/>
          <w:iCs/>
          <w:color w:val="000000" w:themeColor="text1"/>
          <w:szCs w:val="22"/>
          <w:shd w:val="clear" w:color="auto" w:fill="FFFFFF"/>
        </w:rPr>
        <w:t xml:space="preserve"> deprivation of possession. There is a qualification, however, if the applicant</w:t>
      </w:r>
      <w:proofErr w:type="gramStart"/>
      <w:r w:rsidRPr="00BF7ED8">
        <w:rPr>
          <w:rFonts w:cs="Arial"/>
          <w:i/>
          <w:iCs/>
          <w:color w:val="000000" w:themeColor="text1"/>
          <w:szCs w:val="22"/>
          <w:shd w:val="clear" w:color="auto" w:fill="FFFFFF"/>
        </w:rPr>
        <w:t>  goes</w:t>
      </w:r>
      <w:proofErr w:type="gramEnd"/>
      <w:r w:rsidRPr="00BF7ED8">
        <w:rPr>
          <w:rFonts w:cs="Arial"/>
          <w:i/>
          <w:iCs/>
          <w:color w:val="000000" w:themeColor="text1"/>
          <w:szCs w:val="22"/>
          <w:shd w:val="clear" w:color="auto" w:fill="FFFFFF"/>
        </w:rPr>
        <w:t xml:space="preserve"> further and claims a substantive right to possession, whether based on title of ownership or on contract. In that case 'the respondent may answer such additional claim of right and may demonstrate, if he can, that applicant does not have the right to possession which it claims'. This is because such an applicant in effect forces an investigation of the issues relevant to the further relief he claims. Once he does this, the respondent's defence in regard thereto has to be considered.'</w:t>
      </w:r>
      <w:r>
        <w:rPr>
          <w:rStyle w:val="FootnoteReference"/>
          <w:rFonts w:cs="Arial"/>
          <w:i/>
          <w:iCs/>
          <w:color w:val="000000" w:themeColor="text1"/>
          <w:szCs w:val="22"/>
          <w:shd w:val="clear" w:color="auto" w:fill="FFFFFF"/>
        </w:rPr>
        <w:footnoteReference w:id="3"/>
      </w:r>
      <w:r w:rsidRPr="00BF7ED8">
        <w:rPr>
          <w:rFonts w:cs="Arial"/>
          <w:i/>
          <w:iCs/>
          <w:color w:val="000000" w:themeColor="text1"/>
          <w:szCs w:val="22"/>
          <w:shd w:val="clear" w:color="auto" w:fill="FFFFFF"/>
        </w:rPr>
        <w:t> </w:t>
      </w:r>
    </w:p>
    <w:p w14:paraId="44A90A9E" w14:textId="7B3B7C01" w:rsidR="008076A4" w:rsidRDefault="00966A96" w:rsidP="00966A96">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D31D27">
        <w:rPr>
          <w:rFonts w:cs="Arial"/>
          <w:bCs/>
          <w:szCs w:val="22"/>
        </w:rPr>
        <w:t>Th</w:t>
      </w:r>
      <w:r w:rsidR="005F1CDA">
        <w:rPr>
          <w:rFonts w:cs="Arial"/>
          <w:bCs/>
          <w:szCs w:val="22"/>
        </w:rPr>
        <w:t>e relief sought</w:t>
      </w:r>
      <w:r w:rsidR="00D31D27">
        <w:rPr>
          <w:rFonts w:cs="Arial"/>
          <w:bCs/>
          <w:szCs w:val="22"/>
        </w:rPr>
        <w:t xml:space="preserve"> meant that the door was open to the respondent to deal with the merits of an underlying dispute and to bring a counter-application.</w:t>
      </w:r>
      <w:r w:rsidR="001C0755">
        <w:rPr>
          <w:rFonts w:cs="Arial"/>
          <w:bCs/>
          <w:szCs w:val="22"/>
        </w:rPr>
        <w:t xml:space="preserve"> </w:t>
      </w:r>
    </w:p>
    <w:p w14:paraId="6970260D" w14:textId="22A05076" w:rsidR="00D31D27" w:rsidRPr="004F4A37" w:rsidRDefault="00966A96" w:rsidP="00966A96">
      <w:pPr>
        <w:widowControl w:val="0"/>
        <w:tabs>
          <w:tab w:val="left" w:pos="567"/>
        </w:tabs>
        <w:spacing w:before="480" w:after="480" w:line="480" w:lineRule="auto"/>
        <w:jc w:val="both"/>
        <w:rPr>
          <w:rFonts w:cs="Arial"/>
          <w:bCs/>
          <w:szCs w:val="22"/>
        </w:rPr>
      </w:pPr>
      <w:r w:rsidRPr="004F4A37">
        <w:rPr>
          <w:rFonts w:cs="Arial"/>
          <w:bCs/>
          <w:szCs w:val="22"/>
        </w:rPr>
        <w:t>[12]</w:t>
      </w:r>
      <w:r w:rsidRPr="004F4A37">
        <w:rPr>
          <w:rFonts w:cs="Arial"/>
          <w:bCs/>
          <w:szCs w:val="22"/>
        </w:rPr>
        <w:tab/>
      </w:r>
      <w:r w:rsidR="001C0755">
        <w:rPr>
          <w:rFonts w:cs="Arial"/>
          <w:bCs/>
          <w:szCs w:val="22"/>
        </w:rPr>
        <w:t xml:space="preserve">Similarly, in </w:t>
      </w:r>
      <w:proofErr w:type="spellStart"/>
      <w:r w:rsidR="001C0755" w:rsidRPr="001C0755">
        <w:rPr>
          <w:i/>
          <w:iCs/>
        </w:rPr>
        <w:t>Xolitshe</w:t>
      </w:r>
      <w:proofErr w:type="spellEnd"/>
      <w:r w:rsidR="001C0755" w:rsidRPr="001C0755">
        <w:rPr>
          <w:i/>
          <w:iCs/>
        </w:rPr>
        <w:t xml:space="preserve"> Trading Enterprise (Pty) Ltd v </w:t>
      </w:r>
      <w:proofErr w:type="spellStart"/>
      <w:r w:rsidR="001C0755" w:rsidRPr="001C0755">
        <w:rPr>
          <w:i/>
          <w:iCs/>
        </w:rPr>
        <w:t>Blairvest</w:t>
      </w:r>
      <w:proofErr w:type="spellEnd"/>
      <w:r w:rsidR="001C0755" w:rsidRPr="001C0755">
        <w:rPr>
          <w:i/>
          <w:iCs/>
        </w:rPr>
        <w:t xml:space="preserve"> CC</w:t>
      </w:r>
      <w:r w:rsidR="001C0755">
        <w:rPr>
          <w:rStyle w:val="FootnoteReference"/>
        </w:rPr>
        <w:footnoteReference w:id="4"/>
      </w:r>
      <w:r w:rsidR="001C0755">
        <w:rPr>
          <w:i/>
          <w:iCs/>
        </w:rPr>
        <w:t xml:space="preserve"> </w:t>
      </w:r>
      <w:r w:rsidR="001C0755">
        <w:t>the applicants alleged and approached the Court on the basis of lease agreements</w:t>
      </w:r>
      <w:r w:rsidR="00AC2995">
        <w:t>. In one of the two cases before Court, Davis J found</w:t>
      </w:r>
      <w:r w:rsidR="004F4A37">
        <w:rPr>
          <w:rStyle w:val="FootnoteReference"/>
        </w:rPr>
        <w:footnoteReference w:id="5"/>
      </w:r>
      <w:r w:rsidR="00AC2995">
        <w:t xml:space="preserve"> that the lease agreements relied on had been terminated, and in the other that the applicant was never in possession.</w:t>
      </w:r>
    </w:p>
    <w:p w14:paraId="168850CC" w14:textId="3962E963" w:rsidR="004F4A37" w:rsidRDefault="00966A96" w:rsidP="00966A96">
      <w:pPr>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4F4A37">
        <w:rPr>
          <w:rFonts w:cs="Arial"/>
          <w:bCs/>
          <w:szCs w:val="22"/>
        </w:rPr>
        <w:t>These matters are clearly distinguishable from the matter now before Court. In the present matter the applicant relies for relief on its actual occupation of the premises from which it</w:t>
      </w:r>
      <w:r w:rsidR="00C4720D">
        <w:rPr>
          <w:rFonts w:cs="Arial"/>
          <w:bCs/>
          <w:szCs w:val="22"/>
        </w:rPr>
        <w:t xml:space="preserve"> alleges it</w:t>
      </w:r>
      <w:r w:rsidR="004F4A37">
        <w:rPr>
          <w:rFonts w:cs="Arial"/>
          <w:bCs/>
          <w:szCs w:val="22"/>
        </w:rPr>
        <w:t xml:space="preserve"> has been </w:t>
      </w:r>
      <w:proofErr w:type="spellStart"/>
      <w:r w:rsidR="005F1CDA">
        <w:rPr>
          <w:rFonts w:cs="Arial"/>
          <w:bCs/>
          <w:szCs w:val="22"/>
        </w:rPr>
        <w:t>unprocedurally</w:t>
      </w:r>
      <w:proofErr w:type="spellEnd"/>
      <w:r w:rsidR="005F1CDA">
        <w:rPr>
          <w:rFonts w:cs="Arial"/>
          <w:bCs/>
          <w:szCs w:val="22"/>
        </w:rPr>
        <w:t xml:space="preserve"> </w:t>
      </w:r>
      <w:r w:rsidR="004F4A37">
        <w:rPr>
          <w:rFonts w:cs="Arial"/>
          <w:bCs/>
          <w:szCs w:val="22"/>
        </w:rPr>
        <w:t xml:space="preserve">evicted. The applicant is of course a </w:t>
      </w:r>
      <w:r w:rsidR="004F4A37" w:rsidRPr="004F4A37">
        <w:rPr>
          <w:rFonts w:cs="Arial"/>
          <w:bCs/>
          <w:i/>
          <w:iCs/>
          <w:szCs w:val="22"/>
        </w:rPr>
        <w:t>persona</w:t>
      </w:r>
      <w:r w:rsidR="00A740B6">
        <w:rPr>
          <w:rFonts w:cs="Arial"/>
          <w:bCs/>
          <w:i/>
          <w:iCs/>
          <w:szCs w:val="22"/>
        </w:rPr>
        <w:t xml:space="preserve"> </w:t>
      </w:r>
      <w:proofErr w:type="spellStart"/>
      <w:r w:rsidR="00A740B6">
        <w:rPr>
          <w:rFonts w:cs="Arial"/>
          <w:bCs/>
          <w:i/>
          <w:iCs/>
          <w:szCs w:val="22"/>
        </w:rPr>
        <w:t>iuris</w:t>
      </w:r>
      <w:proofErr w:type="spellEnd"/>
      <w:r w:rsidR="004F4A37">
        <w:rPr>
          <w:rFonts w:cs="Arial"/>
          <w:bCs/>
          <w:szCs w:val="22"/>
        </w:rPr>
        <w:t xml:space="preserve"> and acts (and occupies premises) </w:t>
      </w:r>
      <w:r w:rsidR="00A740B6">
        <w:rPr>
          <w:rFonts w:cs="Arial"/>
          <w:bCs/>
          <w:szCs w:val="22"/>
        </w:rPr>
        <w:t xml:space="preserve">also </w:t>
      </w:r>
      <w:r w:rsidR="004F4A37">
        <w:rPr>
          <w:rFonts w:cs="Arial"/>
          <w:bCs/>
          <w:szCs w:val="22"/>
        </w:rPr>
        <w:t xml:space="preserve">through individuals, and these individuals were </w:t>
      </w:r>
      <w:proofErr w:type="spellStart"/>
      <w:r w:rsidR="005F1CDA">
        <w:rPr>
          <w:rFonts w:cs="Arial"/>
          <w:bCs/>
          <w:szCs w:val="22"/>
        </w:rPr>
        <w:t>unprocedurally</w:t>
      </w:r>
      <w:proofErr w:type="spellEnd"/>
      <w:r w:rsidR="005F1CDA">
        <w:rPr>
          <w:rFonts w:cs="Arial"/>
          <w:bCs/>
          <w:szCs w:val="22"/>
        </w:rPr>
        <w:t xml:space="preserve"> </w:t>
      </w:r>
      <w:r w:rsidR="004F4A37">
        <w:rPr>
          <w:rFonts w:cs="Arial"/>
          <w:bCs/>
          <w:szCs w:val="22"/>
        </w:rPr>
        <w:t>evicted on 6 October 2020.</w:t>
      </w:r>
    </w:p>
    <w:p w14:paraId="67212DDE" w14:textId="77777777" w:rsidR="009837A6" w:rsidRDefault="009837A6" w:rsidP="00A16C6E">
      <w:pPr>
        <w:widowControl w:val="0"/>
        <w:tabs>
          <w:tab w:val="left" w:pos="1570"/>
        </w:tabs>
        <w:spacing w:before="480" w:after="480" w:line="480" w:lineRule="auto"/>
        <w:jc w:val="both"/>
        <w:rPr>
          <w:rFonts w:cs="Arial"/>
          <w:bCs/>
          <w:szCs w:val="22"/>
          <w:u w:val="single"/>
        </w:rPr>
      </w:pPr>
    </w:p>
    <w:p w14:paraId="33F31E31" w14:textId="079E8356" w:rsidR="00A16C6E" w:rsidRPr="00A16C6E" w:rsidRDefault="00A16C6E" w:rsidP="00A16C6E">
      <w:pPr>
        <w:widowControl w:val="0"/>
        <w:tabs>
          <w:tab w:val="left" w:pos="1570"/>
        </w:tabs>
        <w:spacing w:before="480" w:after="480" w:line="480" w:lineRule="auto"/>
        <w:jc w:val="both"/>
        <w:rPr>
          <w:rFonts w:cs="Arial"/>
          <w:bCs/>
          <w:szCs w:val="22"/>
          <w:u w:val="single"/>
        </w:rPr>
      </w:pPr>
      <w:r w:rsidRPr="00A16C6E">
        <w:rPr>
          <w:rFonts w:cs="Arial"/>
          <w:bCs/>
          <w:szCs w:val="22"/>
          <w:u w:val="single"/>
        </w:rPr>
        <w:t>Jurisdicti</w:t>
      </w:r>
      <w:r>
        <w:rPr>
          <w:rFonts w:cs="Arial"/>
          <w:bCs/>
          <w:szCs w:val="22"/>
          <w:u w:val="single"/>
        </w:rPr>
        <w:t>on</w:t>
      </w:r>
    </w:p>
    <w:p w14:paraId="6D561FBA" w14:textId="632FBC97" w:rsidR="005B696E" w:rsidRDefault="00966A96" w:rsidP="00966A96">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F773E6">
        <w:rPr>
          <w:rFonts w:cs="Arial"/>
          <w:bCs/>
          <w:szCs w:val="22"/>
        </w:rPr>
        <w:t xml:space="preserve">The </w:t>
      </w:r>
      <w:r w:rsidR="00FB4165">
        <w:rPr>
          <w:rFonts w:cs="Arial"/>
          <w:bCs/>
          <w:szCs w:val="22"/>
        </w:rPr>
        <w:t>6</w:t>
      </w:r>
      <w:r w:rsidR="00FB4165" w:rsidRPr="00FB4165">
        <w:rPr>
          <w:rFonts w:cs="Arial"/>
          <w:bCs/>
          <w:szCs w:val="22"/>
          <w:vertAlign w:val="superscript"/>
        </w:rPr>
        <w:t>th</w:t>
      </w:r>
      <w:r w:rsidR="00FB4165">
        <w:rPr>
          <w:rFonts w:cs="Arial"/>
          <w:bCs/>
          <w:szCs w:val="22"/>
        </w:rPr>
        <w:t xml:space="preserve"> </w:t>
      </w:r>
      <w:r w:rsidR="00F773E6">
        <w:rPr>
          <w:rFonts w:cs="Arial"/>
          <w:bCs/>
          <w:szCs w:val="22"/>
        </w:rPr>
        <w:t>respondent disputes the jurisdiction of the Gauteng Division of the High Court in Johannesburg</w:t>
      </w:r>
      <w:r w:rsidR="00A16C6E">
        <w:rPr>
          <w:rFonts w:cs="Arial"/>
          <w:bCs/>
          <w:szCs w:val="22"/>
        </w:rPr>
        <w:t>.</w:t>
      </w:r>
      <w:r w:rsidR="00F773E6">
        <w:rPr>
          <w:rFonts w:cs="Arial"/>
          <w:bCs/>
          <w:szCs w:val="22"/>
        </w:rPr>
        <w:t xml:space="preserve"> The Court in Johannesburg is the local seat of the Gauteng Division in Pretoria and has concurrent jurisdiction</w:t>
      </w:r>
      <w:r w:rsidR="00F36EE7">
        <w:rPr>
          <w:rFonts w:cs="Arial"/>
          <w:bCs/>
          <w:szCs w:val="22"/>
        </w:rPr>
        <w:t xml:space="preserve"> with the main division in Pretoria</w:t>
      </w:r>
      <w:r w:rsidR="00F773E6">
        <w:rPr>
          <w:rFonts w:cs="Arial"/>
          <w:bCs/>
          <w:szCs w:val="22"/>
        </w:rPr>
        <w:t>.</w:t>
      </w:r>
      <w:r w:rsidR="00FA6B1E">
        <w:rPr>
          <w:rStyle w:val="FootnoteReference"/>
          <w:rFonts w:cs="Arial"/>
          <w:bCs/>
          <w:szCs w:val="22"/>
        </w:rPr>
        <w:footnoteReference w:id="6"/>
      </w:r>
    </w:p>
    <w:p w14:paraId="71785183" w14:textId="439917B8" w:rsidR="00892908" w:rsidRPr="002976B8" w:rsidRDefault="00966A96" w:rsidP="00966A96">
      <w:pPr>
        <w:widowControl w:val="0"/>
        <w:tabs>
          <w:tab w:val="left" w:pos="567"/>
        </w:tabs>
        <w:spacing w:before="480" w:after="480" w:line="480" w:lineRule="auto"/>
        <w:jc w:val="both"/>
        <w:rPr>
          <w:rFonts w:cs="Arial"/>
          <w:bCs/>
          <w:szCs w:val="22"/>
        </w:rPr>
      </w:pPr>
      <w:r w:rsidRPr="002976B8">
        <w:rPr>
          <w:rFonts w:cs="Arial"/>
          <w:bCs/>
          <w:szCs w:val="22"/>
        </w:rPr>
        <w:t>[15]</w:t>
      </w:r>
      <w:r w:rsidRPr="002976B8">
        <w:rPr>
          <w:rFonts w:cs="Arial"/>
          <w:bCs/>
          <w:szCs w:val="22"/>
        </w:rPr>
        <w:tab/>
      </w:r>
      <w:r w:rsidR="00892908" w:rsidRPr="002976B8">
        <w:rPr>
          <w:rFonts w:cs="Arial"/>
          <w:bCs/>
          <w:szCs w:val="22"/>
        </w:rPr>
        <w:t>The 1</w:t>
      </w:r>
      <w:r w:rsidR="00892908" w:rsidRPr="002976B8">
        <w:rPr>
          <w:rFonts w:cs="Arial"/>
          <w:bCs/>
          <w:szCs w:val="22"/>
          <w:vertAlign w:val="superscript"/>
        </w:rPr>
        <w:t>st</w:t>
      </w:r>
      <w:r w:rsidR="00892908" w:rsidRPr="002976B8">
        <w:rPr>
          <w:rFonts w:cs="Arial"/>
          <w:bCs/>
          <w:szCs w:val="22"/>
        </w:rPr>
        <w:t xml:space="preserve"> respondent as a department of </w:t>
      </w:r>
      <w:r w:rsidR="00001138" w:rsidRPr="002976B8">
        <w:rPr>
          <w:rFonts w:cs="Arial"/>
          <w:bCs/>
          <w:szCs w:val="22"/>
        </w:rPr>
        <w:t xml:space="preserve">Government </w:t>
      </w:r>
      <w:r w:rsidR="00892908" w:rsidRPr="002976B8">
        <w:rPr>
          <w:rFonts w:cs="Arial"/>
          <w:bCs/>
          <w:szCs w:val="22"/>
        </w:rPr>
        <w:t xml:space="preserve">has its </w:t>
      </w:r>
      <w:r w:rsidR="00C71AB8">
        <w:rPr>
          <w:rFonts w:cs="Arial"/>
          <w:bCs/>
          <w:szCs w:val="22"/>
        </w:rPr>
        <w:t>head</w:t>
      </w:r>
      <w:r w:rsidR="00892908" w:rsidRPr="002976B8">
        <w:rPr>
          <w:rFonts w:cs="Arial"/>
          <w:bCs/>
          <w:szCs w:val="22"/>
        </w:rPr>
        <w:t xml:space="preserve"> office in Pretoria</w:t>
      </w:r>
      <w:r w:rsidR="00C71AB8">
        <w:rPr>
          <w:rFonts w:cs="Arial"/>
          <w:bCs/>
          <w:szCs w:val="22"/>
        </w:rPr>
        <w:t>, the administrative capital</w:t>
      </w:r>
      <w:r w:rsidR="00892908" w:rsidRPr="002976B8">
        <w:rPr>
          <w:rFonts w:cs="Arial"/>
          <w:bCs/>
          <w:szCs w:val="22"/>
        </w:rPr>
        <w:t xml:space="preserve">. </w:t>
      </w:r>
      <w:r w:rsidR="002976B8" w:rsidRPr="002976B8">
        <w:rPr>
          <w:rFonts w:cs="Arial"/>
          <w:bCs/>
          <w:szCs w:val="22"/>
        </w:rPr>
        <w:t>The National Commissioner of the South African Police Service (cited as the 2</w:t>
      </w:r>
      <w:r w:rsidR="002976B8" w:rsidRPr="002976B8">
        <w:rPr>
          <w:rFonts w:cs="Arial"/>
          <w:bCs/>
          <w:szCs w:val="22"/>
          <w:vertAlign w:val="superscript"/>
        </w:rPr>
        <w:t>nd</w:t>
      </w:r>
      <w:r w:rsidR="002976B8" w:rsidRPr="002976B8">
        <w:rPr>
          <w:rFonts w:cs="Arial"/>
          <w:bCs/>
          <w:szCs w:val="22"/>
        </w:rPr>
        <w:t xml:space="preserve"> respondent) also has </w:t>
      </w:r>
      <w:r w:rsidR="00001138">
        <w:rPr>
          <w:rFonts w:cs="Arial"/>
          <w:bCs/>
          <w:szCs w:val="22"/>
        </w:rPr>
        <w:t>its</w:t>
      </w:r>
      <w:r w:rsidR="002976B8" w:rsidRPr="002976B8">
        <w:rPr>
          <w:rFonts w:cs="Arial"/>
          <w:bCs/>
          <w:szCs w:val="22"/>
        </w:rPr>
        <w:t xml:space="preserve"> head office in Pretoria. </w:t>
      </w:r>
      <w:r w:rsidR="00892908" w:rsidRPr="002976B8">
        <w:rPr>
          <w:rFonts w:cs="Arial"/>
          <w:bCs/>
          <w:szCs w:val="22"/>
        </w:rPr>
        <w:t>The 5</w:t>
      </w:r>
      <w:r w:rsidR="00892908" w:rsidRPr="002976B8">
        <w:rPr>
          <w:rFonts w:cs="Arial"/>
          <w:bCs/>
          <w:szCs w:val="22"/>
          <w:vertAlign w:val="superscript"/>
        </w:rPr>
        <w:t>th</w:t>
      </w:r>
      <w:r w:rsidR="00892908" w:rsidRPr="002976B8">
        <w:rPr>
          <w:rFonts w:cs="Arial"/>
          <w:bCs/>
          <w:szCs w:val="22"/>
        </w:rPr>
        <w:t xml:space="preserve"> respondent resides in </w:t>
      </w:r>
      <w:proofErr w:type="spellStart"/>
      <w:r w:rsidR="00892908" w:rsidRPr="002976B8">
        <w:rPr>
          <w:rFonts w:cs="Arial"/>
          <w:bCs/>
          <w:szCs w:val="22"/>
        </w:rPr>
        <w:t>Mabopane</w:t>
      </w:r>
      <w:proofErr w:type="spellEnd"/>
      <w:r w:rsidR="00892908" w:rsidRPr="002976B8">
        <w:rPr>
          <w:rFonts w:cs="Arial"/>
          <w:bCs/>
          <w:szCs w:val="22"/>
        </w:rPr>
        <w:t xml:space="preserve"> in the geographical area of Pretoria (Tshwane).</w:t>
      </w:r>
      <w:r w:rsidR="002976B8" w:rsidRPr="002976B8">
        <w:rPr>
          <w:rFonts w:cs="Arial"/>
          <w:bCs/>
          <w:szCs w:val="22"/>
        </w:rPr>
        <w:t xml:space="preserve"> </w:t>
      </w:r>
      <w:r w:rsidR="00892908" w:rsidRPr="002976B8">
        <w:rPr>
          <w:rFonts w:cs="Arial"/>
          <w:bCs/>
          <w:szCs w:val="22"/>
        </w:rPr>
        <w:t>It follows that this Court does have jurisdiction over the dispute.</w:t>
      </w:r>
      <w:r w:rsidR="00892908">
        <w:rPr>
          <w:rStyle w:val="FootnoteReference"/>
          <w:rFonts w:cs="Arial"/>
          <w:bCs/>
          <w:szCs w:val="22"/>
        </w:rPr>
        <w:footnoteReference w:id="7"/>
      </w:r>
    </w:p>
    <w:p w14:paraId="02578D1F" w14:textId="59FFC0ED" w:rsidR="00B55F3A" w:rsidRDefault="00966A96" w:rsidP="00966A96">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B55F3A">
        <w:rPr>
          <w:rFonts w:cs="Arial"/>
          <w:bCs/>
          <w:szCs w:val="22"/>
        </w:rPr>
        <w:t xml:space="preserve">There </w:t>
      </w:r>
      <w:r w:rsidR="009837A6">
        <w:rPr>
          <w:rFonts w:cs="Arial"/>
          <w:bCs/>
          <w:szCs w:val="22"/>
        </w:rPr>
        <w:t xml:space="preserve">was </w:t>
      </w:r>
      <w:r w:rsidR="00B55F3A">
        <w:rPr>
          <w:rFonts w:cs="Arial"/>
          <w:bCs/>
          <w:szCs w:val="22"/>
        </w:rPr>
        <w:t xml:space="preserve">a dispute at the hearing of the matter as to whether </w:t>
      </w:r>
      <w:proofErr w:type="spellStart"/>
      <w:r w:rsidR="00B55F3A">
        <w:rPr>
          <w:rFonts w:cs="Arial"/>
          <w:bCs/>
          <w:szCs w:val="22"/>
        </w:rPr>
        <w:t>Lebotloane</w:t>
      </w:r>
      <w:proofErr w:type="spellEnd"/>
      <w:r w:rsidR="00B55F3A">
        <w:rPr>
          <w:rFonts w:cs="Arial"/>
          <w:bCs/>
          <w:szCs w:val="22"/>
        </w:rPr>
        <w:t xml:space="preserve"> was situated in Pretoria</w:t>
      </w:r>
      <w:r w:rsidR="00460EEA">
        <w:rPr>
          <w:rFonts w:cs="Arial"/>
          <w:bCs/>
          <w:szCs w:val="22"/>
        </w:rPr>
        <w:t xml:space="preserve"> (</w:t>
      </w:r>
      <w:r w:rsidR="00782DE8">
        <w:rPr>
          <w:rFonts w:cs="Arial"/>
          <w:bCs/>
          <w:szCs w:val="22"/>
        </w:rPr>
        <w:t>i.e.</w:t>
      </w:r>
      <w:r w:rsidR="00460EEA">
        <w:rPr>
          <w:rFonts w:cs="Arial"/>
          <w:bCs/>
          <w:szCs w:val="22"/>
        </w:rPr>
        <w:t xml:space="preserve"> in Gauteng)</w:t>
      </w:r>
      <w:r w:rsidR="00B55F3A">
        <w:rPr>
          <w:rFonts w:cs="Arial"/>
          <w:bCs/>
          <w:szCs w:val="22"/>
        </w:rPr>
        <w:t xml:space="preserve"> or in the North West Province.</w:t>
      </w:r>
      <w:r w:rsidR="00460EEA">
        <w:rPr>
          <w:rFonts w:cs="Arial"/>
          <w:bCs/>
          <w:szCs w:val="22"/>
        </w:rPr>
        <w:t xml:space="preserve"> It is not necessary to resolve this dispute.</w:t>
      </w:r>
    </w:p>
    <w:p w14:paraId="4B093A1B" w14:textId="77777777" w:rsidR="002976B8" w:rsidRDefault="002976B8" w:rsidP="00A16C6E">
      <w:pPr>
        <w:widowControl w:val="0"/>
        <w:spacing w:before="480" w:after="480" w:line="480" w:lineRule="auto"/>
        <w:jc w:val="both"/>
        <w:rPr>
          <w:rFonts w:cs="Arial"/>
          <w:bCs/>
          <w:szCs w:val="22"/>
          <w:u w:val="single"/>
        </w:rPr>
      </w:pPr>
    </w:p>
    <w:p w14:paraId="171AC910" w14:textId="71DD1F5D" w:rsidR="005B696E" w:rsidRPr="00A16C6E" w:rsidRDefault="00A16C6E" w:rsidP="002976B8">
      <w:pPr>
        <w:keepNext/>
        <w:widowControl w:val="0"/>
        <w:spacing w:before="480" w:after="480" w:line="480" w:lineRule="auto"/>
        <w:jc w:val="both"/>
        <w:rPr>
          <w:rFonts w:cs="Arial"/>
          <w:bCs/>
          <w:szCs w:val="22"/>
          <w:u w:val="single"/>
        </w:rPr>
      </w:pPr>
      <w:r w:rsidRPr="00A16C6E">
        <w:rPr>
          <w:rFonts w:cs="Arial"/>
          <w:bCs/>
          <w:szCs w:val="22"/>
          <w:u w:val="single"/>
        </w:rPr>
        <w:t>The spoliation</w:t>
      </w:r>
    </w:p>
    <w:p w14:paraId="082B3880" w14:textId="3E8D9E54" w:rsidR="00903877" w:rsidRDefault="00966A96" w:rsidP="00966A96">
      <w:pPr>
        <w:keepNext/>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903877">
        <w:rPr>
          <w:rFonts w:cs="Arial"/>
          <w:bCs/>
          <w:szCs w:val="22"/>
        </w:rPr>
        <w:t xml:space="preserve">The spoliation application was not launched immediately. It was brought in March 2021 – five months after the events described </w:t>
      </w:r>
      <w:proofErr w:type="gramStart"/>
      <w:r w:rsidR="00903877">
        <w:rPr>
          <w:rFonts w:cs="Arial"/>
          <w:bCs/>
          <w:szCs w:val="22"/>
        </w:rPr>
        <w:t xml:space="preserve">below </w:t>
      </w:r>
      <w:r w:rsidR="00C71AB8">
        <w:rPr>
          <w:rFonts w:cs="Arial"/>
          <w:bCs/>
          <w:szCs w:val="22"/>
        </w:rPr>
        <w:t xml:space="preserve"> and</w:t>
      </w:r>
      <w:proofErr w:type="gramEnd"/>
      <w:r w:rsidR="00C71AB8">
        <w:rPr>
          <w:rFonts w:cs="Arial"/>
          <w:bCs/>
          <w:szCs w:val="22"/>
        </w:rPr>
        <w:t xml:space="preserve"> </w:t>
      </w:r>
      <w:r w:rsidR="00903877">
        <w:rPr>
          <w:rFonts w:cs="Arial"/>
          <w:bCs/>
          <w:szCs w:val="22"/>
        </w:rPr>
        <w:t xml:space="preserve">after approaches to the Commission for the Promotion and Protection of the Rights of Cultural, Religious and Linguistic Communities (CRL) had not borne fruit. The applicant may perhaps be </w:t>
      </w:r>
      <w:r w:rsidR="00903877">
        <w:rPr>
          <w:rFonts w:cs="Arial"/>
          <w:bCs/>
          <w:szCs w:val="22"/>
        </w:rPr>
        <w:lastRenderedPageBreak/>
        <w:t>criticised for the delay but it did take the steps that it believed necessary and did not acquiesce in the spoliation.</w:t>
      </w:r>
    </w:p>
    <w:p w14:paraId="0C82EC1E" w14:textId="0CB95F67" w:rsidR="00460EEA" w:rsidRDefault="00966A96" w:rsidP="00966A96">
      <w:pPr>
        <w:keepNext/>
        <w:widowControl w:val="0"/>
        <w:tabs>
          <w:tab w:val="left" w:pos="567"/>
        </w:tabs>
        <w:spacing w:before="480" w:after="480" w:line="480" w:lineRule="auto"/>
        <w:jc w:val="both"/>
        <w:rPr>
          <w:rFonts w:cs="Arial"/>
          <w:bCs/>
          <w:szCs w:val="22"/>
        </w:rPr>
      </w:pPr>
      <w:r>
        <w:rPr>
          <w:rFonts w:cs="Arial"/>
          <w:bCs/>
          <w:szCs w:val="22"/>
        </w:rPr>
        <w:t>[18]</w:t>
      </w:r>
      <w:r>
        <w:rPr>
          <w:rFonts w:cs="Arial"/>
          <w:bCs/>
          <w:szCs w:val="22"/>
        </w:rPr>
        <w:tab/>
      </w:r>
      <w:r w:rsidR="00B55F3A">
        <w:rPr>
          <w:rFonts w:cs="Arial"/>
          <w:bCs/>
          <w:szCs w:val="22"/>
        </w:rPr>
        <w:t>The deponent to the founding affidavit states</w:t>
      </w:r>
      <w:r w:rsidR="00460EEA">
        <w:rPr>
          <w:rStyle w:val="FootnoteReference"/>
          <w:rFonts w:cs="Arial"/>
          <w:bCs/>
          <w:szCs w:val="22"/>
        </w:rPr>
        <w:footnoteReference w:id="8"/>
      </w:r>
      <w:r w:rsidR="00B55F3A">
        <w:rPr>
          <w:rFonts w:cs="Arial"/>
          <w:bCs/>
          <w:szCs w:val="22"/>
        </w:rPr>
        <w:t xml:space="preserve"> that</w:t>
      </w:r>
      <w:r w:rsidR="00B4461C">
        <w:rPr>
          <w:rFonts w:cs="Arial"/>
          <w:bCs/>
          <w:szCs w:val="22"/>
        </w:rPr>
        <w:t xml:space="preserve"> on 6 October 202</w:t>
      </w:r>
      <w:r w:rsidR="0029369B">
        <w:rPr>
          <w:rFonts w:cs="Arial"/>
          <w:bCs/>
          <w:szCs w:val="22"/>
        </w:rPr>
        <w:t>0</w:t>
      </w:r>
      <w:r w:rsidR="00B55F3A">
        <w:rPr>
          <w:rFonts w:cs="Arial"/>
          <w:bCs/>
          <w:szCs w:val="22"/>
        </w:rPr>
        <w:t xml:space="preserve"> heavily armed members of the South African Police Intelligence Special Task Force arrived </w:t>
      </w:r>
      <w:r w:rsidR="00001138">
        <w:rPr>
          <w:rFonts w:cs="Arial"/>
          <w:bCs/>
          <w:szCs w:val="22"/>
        </w:rPr>
        <w:t xml:space="preserve">at </w:t>
      </w:r>
      <w:r w:rsidR="00B55F3A">
        <w:rPr>
          <w:rFonts w:cs="Arial"/>
          <w:bCs/>
          <w:szCs w:val="22"/>
        </w:rPr>
        <w:t xml:space="preserve">the Church together with members of the </w:t>
      </w:r>
      <w:proofErr w:type="spellStart"/>
      <w:r w:rsidR="00672205">
        <w:rPr>
          <w:rFonts w:cs="Arial"/>
          <w:bCs/>
          <w:szCs w:val="22"/>
        </w:rPr>
        <w:t>Bedwang</w:t>
      </w:r>
      <w:proofErr w:type="spellEnd"/>
      <w:r w:rsidR="00672205">
        <w:rPr>
          <w:rFonts w:cs="Arial"/>
          <w:bCs/>
          <w:szCs w:val="22"/>
        </w:rPr>
        <w:t xml:space="preserve"> Police Station. Security personnel at the Church were arrested. </w:t>
      </w:r>
      <w:r w:rsidR="00460EEA">
        <w:rPr>
          <w:rFonts w:cs="Arial"/>
          <w:bCs/>
          <w:szCs w:val="22"/>
        </w:rPr>
        <w:t>There was a serious police presence involving no less than five unmarked police vehicles and a vehicle carrying police markings.</w:t>
      </w:r>
      <w:r w:rsidR="00460EEA" w:rsidRPr="00460EEA">
        <w:rPr>
          <w:rFonts w:cs="Arial"/>
          <w:bCs/>
          <w:szCs w:val="22"/>
        </w:rPr>
        <w:t xml:space="preserve"> </w:t>
      </w:r>
    </w:p>
    <w:p w14:paraId="482F3343" w14:textId="1266CC54" w:rsidR="00460EEA" w:rsidRDefault="00966A96" w:rsidP="00966A96">
      <w:pPr>
        <w:widowControl w:val="0"/>
        <w:tabs>
          <w:tab w:val="left" w:pos="567"/>
        </w:tabs>
        <w:spacing w:before="480" w:after="480" w:line="480" w:lineRule="auto"/>
        <w:jc w:val="both"/>
        <w:rPr>
          <w:rFonts w:cs="Arial"/>
          <w:bCs/>
          <w:szCs w:val="22"/>
        </w:rPr>
      </w:pPr>
      <w:r>
        <w:rPr>
          <w:rFonts w:cs="Arial"/>
          <w:bCs/>
          <w:szCs w:val="22"/>
        </w:rPr>
        <w:t>[19]</w:t>
      </w:r>
      <w:r>
        <w:rPr>
          <w:rFonts w:cs="Arial"/>
          <w:bCs/>
          <w:szCs w:val="22"/>
        </w:rPr>
        <w:tab/>
      </w:r>
      <w:r w:rsidR="00460EEA">
        <w:rPr>
          <w:rFonts w:cs="Arial"/>
          <w:bCs/>
          <w:szCs w:val="22"/>
        </w:rPr>
        <w:t xml:space="preserve">The attending Priest, Priest </w:t>
      </w:r>
      <w:proofErr w:type="spellStart"/>
      <w:r w:rsidR="00460EEA">
        <w:rPr>
          <w:rFonts w:cs="Arial"/>
          <w:bCs/>
          <w:szCs w:val="22"/>
        </w:rPr>
        <w:t>Matlhare</w:t>
      </w:r>
      <w:proofErr w:type="spellEnd"/>
      <w:r w:rsidR="00460EEA">
        <w:rPr>
          <w:rFonts w:cs="Arial"/>
          <w:bCs/>
          <w:szCs w:val="22"/>
        </w:rPr>
        <w:t>, and others were ordered out of the Church building and the building was locked.</w:t>
      </w:r>
      <w:r w:rsidR="00437EB1">
        <w:rPr>
          <w:rFonts w:cs="Arial"/>
          <w:bCs/>
          <w:szCs w:val="22"/>
        </w:rPr>
        <w:t xml:space="preserve"> Priest </w:t>
      </w:r>
      <w:proofErr w:type="spellStart"/>
      <w:r w:rsidR="00437EB1">
        <w:rPr>
          <w:rFonts w:cs="Arial"/>
          <w:bCs/>
          <w:szCs w:val="22"/>
        </w:rPr>
        <w:t>Matlhare</w:t>
      </w:r>
      <w:proofErr w:type="spellEnd"/>
      <w:r w:rsidR="00437EB1">
        <w:rPr>
          <w:rFonts w:cs="Arial"/>
          <w:bCs/>
          <w:szCs w:val="22"/>
        </w:rPr>
        <w:t xml:space="preserve"> deposed to an answering affidavit </w:t>
      </w:r>
      <w:r w:rsidR="00C4720D">
        <w:rPr>
          <w:rFonts w:cs="Arial"/>
          <w:bCs/>
          <w:szCs w:val="22"/>
        </w:rPr>
        <w:t xml:space="preserve">meriting the inference that he </w:t>
      </w:r>
      <w:r w:rsidR="00437EB1">
        <w:rPr>
          <w:rFonts w:cs="Arial"/>
          <w:bCs/>
          <w:szCs w:val="22"/>
        </w:rPr>
        <w:t xml:space="preserve">was the officer of the Church who was the most senior person at the premises at the time, and thus </w:t>
      </w:r>
      <w:r w:rsidR="009837A6">
        <w:rPr>
          <w:rFonts w:cs="Arial"/>
          <w:bCs/>
          <w:szCs w:val="22"/>
        </w:rPr>
        <w:t>alleging</w:t>
      </w:r>
      <w:r w:rsidR="00437EB1">
        <w:rPr>
          <w:rFonts w:cs="Arial"/>
          <w:bCs/>
          <w:szCs w:val="22"/>
        </w:rPr>
        <w:t xml:space="preserve"> that he was </w:t>
      </w:r>
      <w:proofErr w:type="spellStart"/>
      <w:r w:rsidR="00437EB1">
        <w:rPr>
          <w:rFonts w:cs="Arial"/>
          <w:bCs/>
          <w:szCs w:val="22"/>
        </w:rPr>
        <w:t>spoliated</w:t>
      </w:r>
      <w:proofErr w:type="spellEnd"/>
      <w:r w:rsidR="00437EB1">
        <w:rPr>
          <w:rFonts w:cs="Arial"/>
          <w:bCs/>
          <w:szCs w:val="22"/>
        </w:rPr>
        <w:t xml:space="preserve"> of possession. </w:t>
      </w:r>
    </w:p>
    <w:p w14:paraId="1DCA509D" w14:textId="6D9BF083" w:rsidR="00460EEA" w:rsidRDefault="00966A96" w:rsidP="00966A96">
      <w:pPr>
        <w:widowControl w:val="0"/>
        <w:tabs>
          <w:tab w:val="left" w:pos="567"/>
        </w:tabs>
        <w:spacing w:before="480" w:after="480" w:line="480" w:lineRule="auto"/>
        <w:jc w:val="both"/>
        <w:rPr>
          <w:rFonts w:cs="Arial"/>
          <w:bCs/>
          <w:szCs w:val="22"/>
        </w:rPr>
      </w:pPr>
      <w:r>
        <w:rPr>
          <w:rFonts w:cs="Arial"/>
          <w:bCs/>
          <w:szCs w:val="22"/>
        </w:rPr>
        <w:t>[20]</w:t>
      </w:r>
      <w:r>
        <w:rPr>
          <w:rFonts w:cs="Arial"/>
          <w:bCs/>
          <w:szCs w:val="22"/>
        </w:rPr>
        <w:tab/>
      </w:r>
      <w:r w:rsidR="006F042A">
        <w:rPr>
          <w:rFonts w:cs="Arial"/>
          <w:bCs/>
          <w:szCs w:val="22"/>
        </w:rPr>
        <w:t xml:space="preserve">The explanation given </w:t>
      </w:r>
      <w:r w:rsidR="00437EB1">
        <w:rPr>
          <w:rFonts w:cs="Arial"/>
          <w:bCs/>
          <w:szCs w:val="22"/>
        </w:rPr>
        <w:t xml:space="preserve">by the Police </w:t>
      </w:r>
      <w:r w:rsidR="006F042A">
        <w:rPr>
          <w:rFonts w:cs="Arial"/>
          <w:bCs/>
          <w:szCs w:val="22"/>
        </w:rPr>
        <w:t>was that a report had been received that there were illegal firearms on the premises. Security guards were arrested and their firearms were confiscated. The arrested guards were later released and the charges of illegal possession of firearms were dropped.</w:t>
      </w:r>
      <w:r w:rsidR="006F042A">
        <w:rPr>
          <w:rStyle w:val="FootnoteReference"/>
          <w:rFonts w:cs="Arial"/>
          <w:bCs/>
          <w:szCs w:val="22"/>
        </w:rPr>
        <w:footnoteReference w:id="9"/>
      </w:r>
    </w:p>
    <w:p w14:paraId="519E5B82" w14:textId="0076EE2D" w:rsidR="00B4461C" w:rsidRDefault="00966A96" w:rsidP="00966A96">
      <w:pPr>
        <w:widowControl w:val="0"/>
        <w:tabs>
          <w:tab w:val="left" w:pos="567"/>
        </w:tabs>
        <w:spacing w:before="480" w:after="480" w:line="480" w:lineRule="auto"/>
        <w:jc w:val="both"/>
        <w:rPr>
          <w:rFonts w:cs="Arial"/>
          <w:bCs/>
          <w:szCs w:val="22"/>
        </w:rPr>
      </w:pPr>
      <w:r>
        <w:rPr>
          <w:rFonts w:cs="Arial"/>
          <w:bCs/>
          <w:szCs w:val="22"/>
        </w:rPr>
        <w:t>[21]</w:t>
      </w:r>
      <w:r>
        <w:rPr>
          <w:rFonts w:cs="Arial"/>
          <w:bCs/>
          <w:szCs w:val="22"/>
        </w:rPr>
        <w:tab/>
      </w:r>
      <w:r w:rsidR="00672205" w:rsidRPr="00B4461C">
        <w:rPr>
          <w:rFonts w:cs="Arial"/>
          <w:bCs/>
          <w:szCs w:val="22"/>
        </w:rPr>
        <w:t>This evidence is not disputed by</w:t>
      </w:r>
      <w:r w:rsidR="002976B8">
        <w:rPr>
          <w:rFonts w:cs="Arial"/>
          <w:bCs/>
          <w:szCs w:val="22"/>
        </w:rPr>
        <w:t xml:space="preserve"> or on behalf of</w:t>
      </w:r>
      <w:r w:rsidR="00672205" w:rsidRPr="00B4461C">
        <w:rPr>
          <w:rFonts w:cs="Arial"/>
          <w:bCs/>
          <w:szCs w:val="22"/>
        </w:rPr>
        <w:t xml:space="preserve"> the </w:t>
      </w:r>
      <w:r w:rsidR="008F32FF">
        <w:rPr>
          <w:rFonts w:cs="Arial"/>
          <w:bCs/>
          <w:szCs w:val="22"/>
        </w:rPr>
        <w:t>6</w:t>
      </w:r>
      <w:r w:rsidR="008F32FF" w:rsidRPr="008F32FF">
        <w:rPr>
          <w:rFonts w:cs="Arial"/>
          <w:bCs/>
          <w:szCs w:val="22"/>
          <w:vertAlign w:val="superscript"/>
        </w:rPr>
        <w:t>th</w:t>
      </w:r>
      <w:r w:rsidR="008F32FF">
        <w:rPr>
          <w:rFonts w:cs="Arial"/>
          <w:bCs/>
          <w:szCs w:val="22"/>
        </w:rPr>
        <w:t xml:space="preserve"> </w:t>
      </w:r>
      <w:r w:rsidR="00672205" w:rsidRPr="00B4461C">
        <w:rPr>
          <w:rFonts w:cs="Arial"/>
          <w:bCs/>
          <w:szCs w:val="22"/>
        </w:rPr>
        <w:t>respondent</w:t>
      </w:r>
      <w:r w:rsidR="00C71AB8">
        <w:rPr>
          <w:rFonts w:cs="Arial"/>
          <w:bCs/>
          <w:szCs w:val="22"/>
        </w:rPr>
        <w:t xml:space="preserve"> who’s</w:t>
      </w:r>
      <w:r w:rsidR="00672205" w:rsidRPr="00B4461C">
        <w:rPr>
          <w:rFonts w:cs="Arial"/>
          <w:bCs/>
          <w:szCs w:val="22"/>
        </w:rPr>
        <w:t xml:space="preserve"> states that the allegations are not within </w:t>
      </w:r>
      <w:r w:rsidR="00C71AB8">
        <w:rPr>
          <w:rFonts w:cs="Arial"/>
          <w:bCs/>
          <w:szCs w:val="22"/>
        </w:rPr>
        <w:t>his</w:t>
      </w:r>
      <w:r w:rsidR="009837A6">
        <w:rPr>
          <w:rFonts w:cs="Arial"/>
          <w:bCs/>
          <w:szCs w:val="22"/>
        </w:rPr>
        <w:t xml:space="preserve"> </w:t>
      </w:r>
      <w:r w:rsidR="00672205" w:rsidRPr="00B4461C">
        <w:rPr>
          <w:rFonts w:cs="Arial"/>
          <w:bCs/>
          <w:szCs w:val="22"/>
        </w:rPr>
        <w:t>knowledge.</w:t>
      </w:r>
      <w:r w:rsidR="00460EEA" w:rsidRPr="00B4461C">
        <w:rPr>
          <w:rFonts w:cs="Arial"/>
          <w:bCs/>
          <w:szCs w:val="22"/>
        </w:rPr>
        <w:t xml:space="preserve"> </w:t>
      </w:r>
      <w:r w:rsidR="00672205" w:rsidRPr="00B4461C">
        <w:rPr>
          <w:rFonts w:cs="Arial"/>
          <w:bCs/>
          <w:szCs w:val="22"/>
        </w:rPr>
        <w:t xml:space="preserve">It is common </w:t>
      </w:r>
      <w:proofErr w:type="gramStart"/>
      <w:r w:rsidR="00672205" w:rsidRPr="00B4461C">
        <w:rPr>
          <w:rFonts w:cs="Arial"/>
          <w:bCs/>
          <w:szCs w:val="22"/>
        </w:rPr>
        <w:t>cause</w:t>
      </w:r>
      <w:proofErr w:type="gramEnd"/>
      <w:r w:rsidR="00672205" w:rsidRPr="00B4461C">
        <w:rPr>
          <w:rFonts w:cs="Arial"/>
          <w:bCs/>
          <w:szCs w:val="22"/>
        </w:rPr>
        <w:t xml:space="preserve"> however that the </w:t>
      </w:r>
      <w:r w:rsidR="002976B8">
        <w:rPr>
          <w:rFonts w:cs="Arial"/>
          <w:bCs/>
          <w:szCs w:val="22"/>
        </w:rPr>
        <w:t>6</w:t>
      </w:r>
      <w:r w:rsidR="002976B8" w:rsidRPr="002976B8">
        <w:rPr>
          <w:rFonts w:cs="Arial"/>
          <w:bCs/>
          <w:szCs w:val="22"/>
          <w:vertAlign w:val="superscript"/>
        </w:rPr>
        <w:t>th</w:t>
      </w:r>
      <w:r w:rsidR="002976B8">
        <w:rPr>
          <w:rFonts w:cs="Arial"/>
          <w:bCs/>
          <w:szCs w:val="22"/>
        </w:rPr>
        <w:t xml:space="preserve"> </w:t>
      </w:r>
      <w:r w:rsidR="00672205" w:rsidRPr="00B4461C">
        <w:rPr>
          <w:rFonts w:cs="Arial"/>
          <w:bCs/>
          <w:szCs w:val="22"/>
        </w:rPr>
        <w:t xml:space="preserve">respondent arrived at the Church and the police officers gave the key to the </w:t>
      </w:r>
      <w:r w:rsidR="008F32FF">
        <w:rPr>
          <w:rFonts w:cs="Arial"/>
          <w:bCs/>
          <w:szCs w:val="22"/>
        </w:rPr>
        <w:t>premises</w:t>
      </w:r>
      <w:r w:rsidR="00672205" w:rsidRPr="00B4461C">
        <w:rPr>
          <w:rFonts w:cs="Arial"/>
          <w:bCs/>
          <w:szCs w:val="22"/>
        </w:rPr>
        <w:t xml:space="preserve"> to him.</w:t>
      </w:r>
      <w:r w:rsidR="00B4461C">
        <w:rPr>
          <w:rFonts w:cs="Arial"/>
          <w:bCs/>
          <w:szCs w:val="22"/>
        </w:rPr>
        <w:t xml:space="preserve"> </w:t>
      </w:r>
    </w:p>
    <w:p w14:paraId="62F888FF" w14:textId="77A49862" w:rsidR="00672205" w:rsidRDefault="00966A96" w:rsidP="00966A96">
      <w:pPr>
        <w:widowControl w:val="0"/>
        <w:tabs>
          <w:tab w:val="left" w:pos="567"/>
        </w:tabs>
        <w:spacing w:before="480" w:after="480" w:line="480" w:lineRule="auto"/>
        <w:jc w:val="both"/>
        <w:rPr>
          <w:rFonts w:cs="Arial"/>
          <w:bCs/>
          <w:szCs w:val="22"/>
        </w:rPr>
      </w:pPr>
      <w:r>
        <w:rPr>
          <w:rFonts w:cs="Arial"/>
          <w:bCs/>
          <w:szCs w:val="22"/>
        </w:rPr>
        <w:t>[22]</w:t>
      </w:r>
      <w:r>
        <w:rPr>
          <w:rFonts w:cs="Arial"/>
          <w:bCs/>
          <w:szCs w:val="22"/>
        </w:rPr>
        <w:tab/>
      </w:r>
      <w:r w:rsidR="00B4461C">
        <w:rPr>
          <w:rFonts w:cs="Arial"/>
          <w:bCs/>
          <w:szCs w:val="22"/>
        </w:rPr>
        <w:t>Two days later, on 8 October 202</w:t>
      </w:r>
      <w:r w:rsidR="0029369B">
        <w:rPr>
          <w:rFonts w:cs="Arial"/>
          <w:bCs/>
          <w:szCs w:val="22"/>
        </w:rPr>
        <w:t>0</w:t>
      </w:r>
      <w:r w:rsidR="00B4461C">
        <w:rPr>
          <w:rFonts w:cs="Arial"/>
          <w:bCs/>
          <w:szCs w:val="22"/>
        </w:rPr>
        <w:t xml:space="preserve"> it was explained to Mr </w:t>
      </w:r>
      <w:proofErr w:type="spellStart"/>
      <w:r w:rsidR="00B4461C">
        <w:rPr>
          <w:rFonts w:cs="Arial"/>
          <w:bCs/>
          <w:szCs w:val="22"/>
        </w:rPr>
        <w:t>Legodi</w:t>
      </w:r>
      <w:proofErr w:type="spellEnd"/>
      <w:r w:rsidR="00B4461C">
        <w:rPr>
          <w:rFonts w:cs="Arial"/>
          <w:bCs/>
          <w:szCs w:val="22"/>
        </w:rPr>
        <w:t xml:space="preserve"> </w:t>
      </w:r>
      <w:r w:rsidR="0029369B">
        <w:rPr>
          <w:rFonts w:cs="Arial"/>
          <w:bCs/>
          <w:szCs w:val="22"/>
        </w:rPr>
        <w:t xml:space="preserve">that the police </w:t>
      </w:r>
      <w:r w:rsidR="0029369B">
        <w:rPr>
          <w:rFonts w:cs="Arial"/>
          <w:bCs/>
          <w:szCs w:val="22"/>
        </w:rPr>
        <w:lastRenderedPageBreak/>
        <w:t xml:space="preserve">raid had taken place because a report had been received that there were </w:t>
      </w:r>
      <w:r w:rsidR="0029369B" w:rsidRPr="00DF6AC1">
        <w:rPr>
          <w:rFonts w:cs="Arial"/>
          <w:bCs/>
          <w:i/>
          <w:iCs/>
          <w:szCs w:val="22"/>
        </w:rPr>
        <w:t>‘people who wished to attack the Church.’</w:t>
      </w:r>
    </w:p>
    <w:p w14:paraId="5C178671" w14:textId="1F8CCD16" w:rsidR="00C71AB8" w:rsidRDefault="00966A96" w:rsidP="00966A96">
      <w:pPr>
        <w:widowControl w:val="0"/>
        <w:tabs>
          <w:tab w:val="left" w:pos="567"/>
        </w:tabs>
        <w:spacing w:before="480" w:after="480" w:line="480" w:lineRule="auto"/>
        <w:jc w:val="both"/>
        <w:rPr>
          <w:rFonts w:cs="Arial"/>
          <w:bCs/>
          <w:szCs w:val="22"/>
        </w:rPr>
      </w:pPr>
      <w:r>
        <w:rPr>
          <w:rFonts w:cs="Arial"/>
          <w:bCs/>
          <w:szCs w:val="22"/>
        </w:rPr>
        <w:t>[23]</w:t>
      </w:r>
      <w:r>
        <w:rPr>
          <w:rFonts w:cs="Arial"/>
          <w:bCs/>
          <w:szCs w:val="22"/>
        </w:rPr>
        <w:tab/>
      </w:r>
      <w:r w:rsidR="00B4461C">
        <w:rPr>
          <w:rFonts w:cs="Arial"/>
          <w:bCs/>
          <w:szCs w:val="22"/>
        </w:rPr>
        <w:t xml:space="preserve">The only inference is that the applicant and its office bearers, and by extension the faithful using the Church premises for religious practices, were </w:t>
      </w:r>
      <w:proofErr w:type="spellStart"/>
      <w:r w:rsidR="00A17DB2">
        <w:rPr>
          <w:rFonts w:cs="Arial"/>
          <w:bCs/>
          <w:szCs w:val="22"/>
        </w:rPr>
        <w:t>unprocedurally</w:t>
      </w:r>
      <w:proofErr w:type="spellEnd"/>
      <w:r w:rsidR="00A17DB2">
        <w:rPr>
          <w:rFonts w:cs="Arial"/>
          <w:bCs/>
          <w:szCs w:val="22"/>
        </w:rPr>
        <w:t xml:space="preserve"> </w:t>
      </w:r>
      <w:r w:rsidR="00B4461C">
        <w:rPr>
          <w:rFonts w:cs="Arial"/>
          <w:bCs/>
          <w:szCs w:val="22"/>
        </w:rPr>
        <w:t>deprived of their undisturbed possession and use of the premises.</w:t>
      </w:r>
      <w:r w:rsidR="009F2572">
        <w:rPr>
          <w:rStyle w:val="FootnoteReference"/>
          <w:rFonts w:cs="Arial"/>
          <w:bCs/>
          <w:szCs w:val="22"/>
        </w:rPr>
        <w:footnoteReference w:id="10"/>
      </w:r>
      <w:r w:rsidR="00437EB1">
        <w:rPr>
          <w:rFonts w:cs="Arial"/>
          <w:bCs/>
          <w:szCs w:val="22"/>
        </w:rPr>
        <w:t xml:space="preserve"> </w:t>
      </w:r>
    </w:p>
    <w:p w14:paraId="1AA47E64" w14:textId="1144076F" w:rsidR="00B4461C" w:rsidRDefault="00966A96" w:rsidP="00966A96">
      <w:pPr>
        <w:widowControl w:val="0"/>
        <w:tabs>
          <w:tab w:val="left" w:pos="567"/>
        </w:tabs>
        <w:spacing w:before="480" w:after="480" w:line="480" w:lineRule="auto"/>
        <w:jc w:val="both"/>
        <w:rPr>
          <w:rFonts w:cs="Arial"/>
          <w:bCs/>
          <w:szCs w:val="22"/>
        </w:rPr>
      </w:pPr>
      <w:r>
        <w:rPr>
          <w:rFonts w:cs="Arial"/>
          <w:bCs/>
          <w:szCs w:val="22"/>
        </w:rPr>
        <w:t>[24]</w:t>
      </w:r>
      <w:r>
        <w:rPr>
          <w:rFonts w:cs="Arial"/>
          <w:bCs/>
          <w:szCs w:val="22"/>
        </w:rPr>
        <w:tab/>
      </w:r>
      <w:r w:rsidR="008F32FF">
        <w:rPr>
          <w:rFonts w:cs="Arial"/>
          <w:bCs/>
          <w:szCs w:val="22"/>
        </w:rPr>
        <w:t>It is not the case for the applicant that it is entitled to occupation</w:t>
      </w:r>
      <w:r w:rsidR="00081716">
        <w:rPr>
          <w:rFonts w:cs="Arial"/>
          <w:bCs/>
          <w:szCs w:val="22"/>
        </w:rPr>
        <w:t xml:space="preserve"> that excludes the use of the premises by other</w:t>
      </w:r>
      <w:r w:rsidR="002C2E80">
        <w:rPr>
          <w:rFonts w:cs="Arial"/>
          <w:bCs/>
          <w:szCs w:val="22"/>
        </w:rPr>
        <w:t xml:space="preserve"> Church members</w:t>
      </w:r>
      <w:r w:rsidR="00081716">
        <w:rPr>
          <w:rFonts w:cs="Arial"/>
          <w:bCs/>
          <w:szCs w:val="22"/>
        </w:rPr>
        <w:t xml:space="preserve">, and </w:t>
      </w:r>
      <w:r w:rsidR="00903877">
        <w:rPr>
          <w:rFonts w:cs="Arial"/>
          <w:bCs/>
          <w:szCs w:val="22"/>
        </w:rPr>
        <w:t>it is not contentious</w:t>
      </w:r>
      <w:r w:rsidR="00081716">
        <w:rPr>
          <w:rFonts w:cs="Arial"/>
          <w:bCs/>
          <w:szCs w:val="22"/>
        </w:rPr>
        <w:t xml:space="preserve"> that the Church premises should be open to all Church members for purposes of worship.</w:t>
      </w:r>
    </w:p>
    <w:p w14:paraId="2123C4F6" w14:textId="37E6186E" w:rsidR="00051A2B" w:rsidRDefault="00966A96" w:rsidP="00966A96">
      <w:pPr>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r w:rsidR="00051A2B">
        <w:rPr>
          <w:rFonts w:cs="Arial"/>
          <w:bCs/>
          <w:szCs w:val="22"/>
        </w:rPr>
        <w:t>I therefore make the order as set out above.</w:t>
      </w:r>
    </w:p>
    <w:p w14:paraId="3E6BA7DA" w14:textId="43133B0D" w:rsidR="00AE287F" w:rsidRDefault="00AE287F" w:rsidP="006C43D7">
      <w:pPr>
        <w:tabs>
          <w:tab w:val="right" w:pos="0"/>
        </w:tabs>
        <w:spacing w:line="360" w:lineRule="auto"/>
        <w:contextualSpacing/>
        <w:jc w:val="right"/>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26F11B6B"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6C43D7">
        <w:rPr>
          <w:rFonts w:eastAsia="Arial Unicode MS" w:cs="Arial"/>
          <w:bCs/>
        </w:rPr>
        <w:t>CaseLines</w:t>
      </w:r>
      <w:proofErr w:type="spellEnd"/>
      <w:r w:rsidRPr="006C43D7">
        <w:rPr>
          <w:rFonts w:eastAsia="Arial Unicode MS" w:cs="Arial"/>
          <w:bCs/>
        </w:rPr>
        <w:t>. The date of the judgment is deemed to be</w:t>
      </w:r>
      <w:r w:rsidR="00C460A0">
        <w:rPr>
          <w:rFonts w:eastAsia="Arial Unicode MS" w:cs="Arial"/>
          <w:bCs/>
        </w:rPr>
        <w:t xml:space="preserve"> </w:t>
      </w:r>
      <w:r w:rsidR="005B696E" w:rsidRPr="005B696E">
        <w:rPr>
          <w:rFonts w:eastAsia="Arial Unicode MS" w:cs="Arial"/>
          <w:b/>
        </w:rPr>
        <w:t>3</w:t>
      </w:r>
      <w:r w:rsidR="00DC6EF8" w:rsidRPr="005B696E">
        <w:rPr>
          <w:rFonts w:eastAsia="Arial Unicode MS" w:cs="Arial"/>
          <w:b/>
        </w:rPr>
        <w:t xml:space="preserve"> </w:t>
      </w:r>
      <w:r w:rsidR="00DC6EF8">
        <w:rPr>
          <w:rFonts w:eastAsia="Arial Unicode MS" w:cs="Arial"/>
          <w:b/>
          <w:bCs/>
        </w:rPr>
        <w:t>FEBRUARY</w:t>
      </w:r>
      <w:r w:rsidR="00237FF9">
        <w:rPr>
          <w:rFonts w:eastAsia="Arial Unicode MS" w:cs="Arial"/>
          <w:b/>
          <w:bCs/>
        </w:rPr>
        <w:t xml:space="preserve"> 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43"/>
      </w:tblGrid>
      <w:tr w:rsidR="009D35B5" w14:paraId="493AF0D7" w14:textId="77777777" w:rsidTr="002C2E80">
        <w:tc>
          <w:tcPr>
            <w:tcW w:w="5670" w:type="dxa"/>
          </w:tcPr>
          <w:p w14:paraId="6A05541A" w14:textId="5B31EA04"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THE </w:t>
            </w:r>
            <w:r w:rsidR="00DC6EF8">
              <w:rPr>
                <w:rFonts w:cs="Arial"/>
              </w:rPr>
              <w:t>APPLICANT</w:t>
            </w:r>
            <w:r w:rsidRPr="006C43D7">
              <w:rPr>
                <w:rFonts w:cs="Arial"/>
              </w:rPr>
              <w:t>:</w:t>
            </w:r>
          </w:p>
        </w:tc>
        <w:tc>
          <w:tcPr>
            <w:tcW w:w="2943" w:type="dxa"/>
          </w:tcPr>
          <w:p w14:paraId="154E0630" w14:textId="77777777" w:rsidR="009D35B5" w:rsidRDefault="00DC6EF8" w:rsidP="00424BA6">
            <w:pPr>
              <w:tabs>
                <w:tab w:val="right" w:pos="0"/>
                <w:tab w:val="left" w:pos="4253"/>
              </w:tabs>
              <w:spacing w:line="360" w:lineRule="auto"/>
              <w:contextualSpacing/>
              <w:jc w:val="right"/>
              <w:rPr>
                <w:rFonts w:cs="Arial"/>
              </w:rPr>
            </w:pPr>
            <w:r>
              <w:rPr>
                <w:rFonts w:cs="Arial"/>
              </w:rPr>
              <w:t>N SEGAL</w:t>
            </w:r>
          </w:p>
          <w:p w14:paraId="69785AA9" w14:textId="1D0E6CE9" w:rsidR="00DC6EF8" w:rsidRDefault="00DC6EF8" w:rsidP="00424BA6">
            <w:pPr>
              <w:tabs>
                <w:tab w:val="right" w:pos="0"/>
                <w:tab w:val="left" w:pos="4253"/>
              </w:tabs>
              <w:spacing w:line="360" w:lineRule="auto"/>
              <w:contextualSpacing/>
              <w:jc w:val="right"/>
              <w:rPr>
                <w:rFonts w:cs="Arial"/>
              </w:rPr>
            </w:pPr>
            <w:r>
              <w:rPr>
                <w:rFonts w:cs="Arial"/>
              </w:rPr>
              <w:t>VJL MTHUNZI</w:t>
            </w:r>
          </w:p>
        </w:tc>
      </w:tr>
      <w:tr w:rsidR="009D35B5" w14:paraId="183C176D" w14:textId="77777777" w:rsidTr="002C2E80">
        <w:tc>
          <w:tcPr>
            <w:tcW w:w="5670" w:type="dxa"/>
          </w:tcPr>
          <w:p w14:paraId="75365413" w14:textId="4D497E49"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2943" w:type="dxa"/>
          </w:tcPr>
          <w:p w14:paraId="4044534A" w14:textId="1C8B8C5F" w:rsidR="009D35B5" w:rsidRDefault="00424BA6" w:rsidP="00424BA6">
            <w:pPr>
              <w:tabs>
                <w:tab w:val="right" w:pos="0"/>
                <w:tab w:val="left" w:pos="4253"/>
              </w:tabs>
              <w:spacing w:line="360" w:lineRule="auto"/>
              <w:contextualSpacing/>
              <w:jc w:val="right"/>
              <w:rPr>
                <w:rFonts w:cs="Arial"/>
              </w:rPr>
            </w:pPr>
            <w:r>
              <w:rPr>
                <w:rFonts w:cs="Arial"/>
              </w:rPr>
              <w:t>S</w:t>
            </w:r>
            <w:r w:rsidR="00DC6EF8">
              <w:rPr>
                <w:rFonts w:cs="Arial"/>
              </w:rPr>
              <w:t xml:space="preserve"> TWALA ATTORNEYS</w:t>
            </w:r>
          </w:p>
        </w:tc>
      </w:tr>
      <w:tr w:rsidR="009D35B5" w14:paraId="6E2BF966" w14:textId="77777777" w:rsidTr="002C2E80">
        <w:tc>
          <w:tcPr>
            <w:tcW w:w="5670" w:type="dxa"/>
          </w:tcPr>
          <w:p w14:paraId="545B6665" w14:textId="428F38F7" w:rsidR="009D35B5" w:rsidRDefault="009D35B5" w:rsidP="002C2E80">
            <w:pPr>
              <w:tabs>
                <w:tab w:val="right" w:pos="0"/>
                <w:tab w:val="left" w:pos="4253"/>
              </w:tabs>
              <w:spacing w:line="360" w:lineRule="auto"/>
              <w:contextualSpacing/>
              <w:rPr>
                <w:rFonts w:cs="Arial"/>
              </w:rPr>
            </w:pPr>
            <w:r>
              <w:rPr>
                <w:rFonts w:cs="Arial"/>
              </w:rPr>
              <w:lastRenderedPageBreak/>
              <w:t>COUNSEL</w:t>
            </w:r>
            <w:r w:rsidRPr="006C43D7">
              <w:rPr>
                <w:rFonts w:cs="Arial"/>
              </w:rPr>
              <w:t xml:space="preserve"> FOR </w:t>
            </w:r>
            <w:r w:rsidR="00DC6EF8">
              <w:rPr>
                <w:rFonts w:cs="Arial"/>
              </w:rPr>
              <w:t>6</w:t>
            </w:r>
            <w:r w:rsidR="00DC6EF8" w:rsidRPr="00DC6EF8">
              <w:rPr>
                <w:rFonts w:cs="Arial"/>
                <w:vertAlign w:val="superscript"/>
              </w:rPr>
              <w:t>th</w:t>
            </w:r>
            <w:r w:rsidR="00DC6EF8">
              <w:rPr>
                <w:rFonts w:cs="Arial"/>
              </w:rPr>
              <w:t xml:space="preserve"> AND </w:t>
            </w:r>
            <w:r w:rsidR="002C2E80">
              <w:rPr>
                <w:rFonts w:cs="Arial"/>
              </w:rPr>
              <w:t>“</w:t>
            </w:r>
            <w:r w:rsidR="00DC6EF8">
              <w:rPr>
                <w:rFonts w:cs="Arial"/>
              </w:rPr>
              <w:t>7</w:t>
            </w:r>
            <w:r w:rsidR="00DC6EF8" w:rsidRPr="00DC6EF8">
              <w:rPr>
                <w:rFonts w:cs="Arial"/>
                <w:vertAlign w:val="superscript"/>
              </w:rPr>
              <w:t>th</w:t>
            </w:r>
            <w:r w:rsidR="00DC6EF8">
              <w:rPr>
                <w:rFonts w:cs="Arial"/>
              </w:rPr>
              <w:t xml:space="preserve"> RESPONDENTS</w:t>
            </w:r>
            <w:r w:rsidRPr="006C43D7">
              <w:rPr>
                <w:rFonts w:cs="Arial"/>
              </w:rPr>
              <w:t>:</w:t>
            </w:r>
          </w:p>
        </w:tc>
        <w:tc>
          <w:tcPr>
            <w:tcW w:w="2943" w:type="dxa"/>
          </w:tcPr>
          <w:p w14:paraId="51741A90" w14:textId="6B6218C6" w:rsidR="009D35B5" w:rsidRDefault="005B696E" w:rsidP="00424BA6">
            <w:pPr>
              <w:tabs>
                <w:tab w:val="right" w:pos="0"/>
                <w:tab w:val="left" w:pos="4253"/>
              </w:tabs>
              <w:spacing w:line="360" w:lineRule="auto"/>
              <w:contextualSpacing/>
              <w:jc w:val="right"/>
              <w:rPr>
                <w:rFonts w:cs="Arial"/>
              </w:rPr>
            </w:pPr>
            <w:r>
              <w:rPr>
                <w:rFonts w:cs="Arial"/>
              </w:rPr>
              <w:t>M NXUMALO</w:t>
            </w:r>
          </w:p>
        </w:tc>
      </w:tr>
      <w:tr w:rsidR="009D35B5" w14:paraId="1EC4105A" w14:textId="77777777" w:rsidTr="002C2E80">
        <w:tc>
          <w:tcPr>
            <w:tcW w:w="5670" w:type="dxa"/>
          </w:tcPr>
          <w:p w14:paraId="184EC2ED" w14:textId="079A555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2943" w:type="dxa"/>
          </w:tcPr>
          <w:p w14:paraId="2098BE2A" w14:textId="33AD88F8" w:rsidR="009D35B5" w:rsidRDefault="00DC6EF8" w:rsidP="00424BA6">
            <w:pPr>
              <w:tabs>
                <w:tab w:val="right" w:pos="0"/>
                <w:tab w:val="left" w:pos="4253"/>
              </w:tabs>
              <w:spacing w:line="360" w:lineRule="auto"/>
              <w:contextualSpacing/>
              <w:jc w:val="right"/>
              <w:rPr>
                <w:rFonts w:cs="Arial"/>
              </w:rPr>
            </w:pPr>
            <w:r>
              <w:rPr>
                <w:rFonts w:cs="Arial"/>
              </w:rPr>
              <w:t>K J SELALA</w:t>
            </w:r>
            <w:r w:rsidR="005B696E">
              <w:rPr>
                <w:rFonts w:cs="Arial"/>
              </w:rPr>
              <w:t xml:space="preserve"> ATTORNEYS</w:t>
            </w:r>
          </w:p>
        </w:tc>
      </w:tr>
      <w:tr w:rsidR="009D35B5" w14:paraId="2A3FE2B1" w14:textId="77777777" w:rsidTr="002C2E80">
        <w:tc>
          <w:tcPr>
            <w:tcW w:w="5670" w:type="dxa"/>
          </w:tcPr>
          <w:p w14:paraId="0767D0FE" w14:textId="6078230F" w:rsidR="009D35B5" w:rsidRPr="006C43D7" w:rsidRDefault="009D35B5" w:rsidP="002C2E80">
            <w:pPr>
              <w:tabs>
                <w:tab w:val="right" w:pos="0"/>
                <w:tab w:val="left" w:pos="4253"/>
              </w:tabs>
              <w:spacing w:line="360" w:lineRule="auto"/>
              <w:contextualSpacing/>
              <w:rPr>
                <w:rFonts w:cs="Arial"/>
              </w:rPr>
            </w:pPr>
            <w:r w:rsidRPr="006C43D7">
              <w:rPr>
                <w:rFonts w:cs="Arial"/>
              </w:rPr>
              <w:t>DATE OF THE HEARING:</w:t>
            </w:r>
          </w:p>
        </w:tc>
        <w:tc>
          <w:tcPr>
            <w:tcW w:w="2943" w:type="dxa"/>
          </w:tcPr>
          <w:p w14:paraId="34C95147" w14:textId="59FC5A58" w:rsidR="009D35B5" w:rsidRDefault="00424BA6" w:rsidP="009D35B5">
            <w:pPr>
              <w:tabs>
                <w:tab w:val="right" w:pos="0"/>
                <w:tab w:val="left" w:pos="4253"/>
              </w:tabs>
              <w:spacing w:line="360" w:lineRule="auto"/>
              <w:contextualSpacing/>
              <w:jc w:val="right"/>
              <w:rPr>
                <w:rFonts w:cs="Arial"/>
              </w:rPr>
            </w:pPr>
            <w:r>
              <w:rPr>
                <w:rFonts w:cs="Arial"/>
              </w:rPr>
              <w:t>26</w:t>
            </w:r>
            <w:r w:rsidR="00EB6AA6">
              <w:rPr>
                <w:rFonts w:cs="Arial"/>
              </w:rPr>
              <w:t xml:space="preserve"> </w:t>
            </w:r>
            <w:r w:rsidR="00051A2B">
              <w:rPr>
                <w:rFonts w:cs="Arial"/>
              </w:rPr>
              <w:t>JANUARY 2023</w:t>
            </w:r>
          </w:p>
        </w:tc>
      </w:tr>
      <w:tr w:rsidR="009D35B5" w14:paraId="2AC11E46" w14:textId="77777777" w:rsidTr="002C2E80">
        <w:tc>
          <w:tcPr>
            <w:tcW w:w="5670" w:type="dxa"/>
          </w:tcPr>
          <w:p w14:paraId="1136CEE6" w14:textId="67FA0375"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w:t>
            </w:r>
            <w:r>
              <w:rPr>
                <w:rFonts w:cs="Arial"/>
              </w:rPr>
              <w:t>ORDER</w:t>
            </w:r>
            <w:r w:rsidRPr="006C43D7">
              <w:rPr>
                <w:rFonts w:cs="Arial"/>
              </w:rPr>
              <w:t>:</w:t>
            </w:r>
          </w:p>
        </w:tc>
        <w:tc>
          <w:tcPr>
            <w:tcW w:w="2943" w:type="dxa"/>
          </w:tcPr>
          <w:p w14:paraId="7EAC157B" w14:textId="0149033F" w:rsidR="009D35B5" w:rsidRDefault="00DC6EF8" w:rsidP="009D35B5">
            <w:pPr>
              <w:tabs>
                <w:tab w:val="right" w:pos="0"/>
                <w:tab w:val="left" w:pos="4253"/>
              </w:tabs>
              <w:spacing w:line="360" w:lineRule="auto"/>
              <w:contextualSpacing/>
              <w:jc w:val="right"/>
              <w:rPr>
                <w:rFonts w:cs="Arial"/>
              </w:rPr>
            </w:pPr>
            <w:r>
              <w:rPr>
                <w:rFonts w:cs="Arial"/>
              </w:rPr>
              <w:t>2 FEBRUARY</w:t>
            </w:r>
            <w:r w:rsidR="00051A2B">
              <w:rPr>
                <w:rFonts w:cs="Arial"/>
              </w:rPr>
              <w:t xml:space="preserve"> 2023</w:t>
            </w:r>
          </w:p>
        </w:tc>
      </w:tr>
      <w:tr w:rsidR="009D35B5" w14:paraId="757AA656" w14:textId="77777777" w:rsidTr="002C2E80">
        <w:tc>
          <w:tcPr>
            <w:tcW w:w="5670"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2943" w:type="dxa"/>
          </w:tcPr>
          <w:p w14:paraId="61863A62" w14:textId="113EE3F5" w:rsidR="009D35B5" w:rsidRDefault="005B696E" w:rsidP="009D35B5">
            <w:pPr>
              <w:tabs>
                <w:tab w:val="right" w:pos="0"/>
                <w:tab w:val="left" w:pos="4253"/>
              </w:tabs>
              <w:spacing w:line="360" w:lineRule="auto"/>
              <w:contextualSpacing/>
              <w:jc w:val="right"/>
              <w:rPr>
                <w:rFonts w:cs="Arial"/>
              </w:rPr>
            </w:pPr>
            <w:r>
              <w:rPr>
                <w:rFonts w:cs="Arial"/>
              </w:rPr>
              <w:t xml:space="preserve">3 </w:t>
            </w:r>
            <w:r w:rsidR="00DC6EF8">
              <w:rPr>
                <w:rFonts w:cs="Arial"/>
              </w:rPr>
              <w:t>FEBRUARY</w:t>
            </w:r>
            <w:r w:rsidR="00051A2B">
              <w:rPr>
                <w:rFonts w:cs="Arial"/>
              </w:rPr>
              <w:t xml:space="preserve"> 2023</w:t>
            </w:r>
          </w:p>
        </w:tc>
      </w:tr>
    </w:tbl>
    <w:p w14:paraId="1BD8F4EB" w14:textId="24205645" w:rsidR="00A402F6" w:rsidRPr="006C43D7" w:rsidRDefault="00A402F6" w:rsidP="00A402F6">
      <w:pPr>
        <w:tabs>
          <w:tab w:val="right" w:pos="8647"/>
        </w:tabs>
        <w:spacing w:line="360" w:lineRule="auto"/>
        <w:contextualSpacing/>
        <w:jc w:val="both"/>
        <w:rPr>
          <w:rFonts w:cs="Arial"/>
        </w:rPr>
      </w:pPr>
      <w:r w:rsidRPr="006C43D7">
        <w:rPr>
          <w:rFonts w:cs="Arial"/>
        </w:rPr>
        <w:tab/>
      </w:r>
    </w:p>
    <w:sectPr w:rsidR="00A402F6" w:rsidRPr="006C43D7"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2B0CA" w14:textId="77777777" w:rsidR="00414345" w:rsidRDefault="00414345">
      <w:r>
        <w:separator/>
      </w:r>
    </w:p>
  </w:endnote>
  <w:endnote w:type="continuationSeparator" w:id="0">
    <w:p w14:paraId="6B82D48D" w14:textId="77777777" w:rsidR="00414345" w:rsidRDefault="0041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FC3C" w14:textId="77777777" w:rsidR="00414345" w:rsidRDefault="00414345">
      <w:r>
        <w:separator/>
      </w:r>
    </w:p>
  </w:footnote>
  <w:footnote w:type="continuationSeparator" w:id="0">
    <w:p w14:paraId="3993B041" w14:textId="77777777" w:rsidR="00414345" w:rsidRDefault="00414345">
      <w:r>
        <w:continuationSeparator/>
      </w:r>
    </w:p>
  </w:footnote>
  <w:footnote w:id="1">
    <w:p w14:paraId="290CA330" w14:textId="69BAF90E" w:rsidR="00F8493C" w:rsidRDefault="00F8493C">
      <w:pPr>
        <w:pStyle w:val="FootnoteText"/>
      </w:pPr>
      <w:r>
        <w:rPr>
          <w:rStyle w:val="FootnoteReference"/>
        </w:rPr>
        <w:footnoteRef/>
      </w:r>
      <w:r>
        <w:t xml:space="preserve"> </w:t>
      </w:r>
      <w:r>
        <w:tab/>
      </w:r>
      <w:r w:rsidRPr="00BF7ED8">
        <w:rPr>
          <w:i/>
          <w:iCs/>
        </w:rPr>
        <w:t xml:space="preserve">Street Pole Ads Durban (Pty) Ltd and Another v </w:t>
      </w:r>
      <w:proofErr w:type="spellStart"/>
      <w:r w:rsidRPr="00BF7ED8">
        <w:rPr>
          <w:i/>
          <w:iCs/>
        </w:rPr>
        <w:t>Ethekwini</w:t>
      </w:r>
      <w:proofErr w:type="spellEnd"/>
      <w:r w:rsidRPr="00BF7ED8">
        <w:rPr>
          <w:i/>
          <w:iCs/>
        </w:rPr>
        <w:t xml:space="preserve"> Municipality</w:t>
      </w:r>
      <w:r>
        <w:t xml:space="preserve"> </w:t>
      </w:r>
      <w:r w:rsidRPr="00022A97">
        <w:t>2008 (5) SA 290 (SCA)</w:t>
      </w:r>
      <w:r w:rsidR="00BF7ED8">
        <w:t>.</w:t>
      </w:r>
    </w:p>
  </w:footnote>
  <w:footnote w:id="2">
    <w:p w14:paraId="1C804332" w14:textId="33B77E05" w:rsidR="00BF7ED8" w:rsidRDefault="00BF7ED8">
      <w:pPr>
        <w:pStyle w:val="FootnoteText"/>
      </w:pPr>
      <w:r>
        <w:rPr>
          <w:rStyle w:val="FootnoteReference"/>
        </w:rPr>
        <w:footnoteRef/>
      </w:r>
      <w:r>
        <w:t xml:space="preserve"> </w:t>
      </w:r>
      <w:r>
        <w:tab/>
        <w:t>Namely that the Court should not engage with the respondent’s counter – application in a spoliation application.</w:t>
      </w:r>
    </w:p>
  </w:footnote>
  <w:footnote w:id="3">
    <w:p w14:paraId="5F5F829A" w14:textId="144475CC" w:rsidR="00BF7ED8" w:rsidRDefault="00BF7ED8">
      <w:pPr>
        <w:pStyle w:val="FootnoteText"/>
      </w:pPr>
      <w:r>
        <w:rPr>
          <w:rStyle w:val="FootnoteReference"/>
        </w:rPr>
        <w:footnoteRef/>
      </w:r>
      <w:r>
        <w:t xml:space="preserve"> </w:t>
      </w:r>
      <w:r>
        <w:tab/>
        <w:t>Paragraph 15</w:t>
      </w:r>
      <w:r w:rsidR="004F4A37">
        <w:t xml:space="preserve"> of the </w:t>
      </w:r>
      <w:r w:rsidR="004F4A37" w:rsidRPr="004F4A37">
        <w:rPr>
          <w:i/>
          <w:iCs/>
        </w:rPr>
        <w:t>Street Pole</w:t>
      </w:r>
      <w:r w:rsidR="004F4A37">
        <w:t xml:space="preserve"> judgment</w:t>
      </w:r>
      <w:r w:rsidR="00F85468">
        <w:t>. Footnotes omitted.</w:t>
      </w:r>
    </w:p>
  </w:footnote>
  <w:footnote w:id="4">
    <w:p w14:paraId="05A700E1" w14:textId="4758490A" w:rsidR="001C0755" w:rsidRDefault="001C0755">
      <w:pPr>
        <w:pStyle w:val="FootnoteText"/>
      </w:pPr>
      <w:r>
        <w:rPr>
          <w:rStyle w:val="FootnoteReference"/>
        </w:rPr>
        <w:footnoteRef/>
      </w:r>
      <w:r>
        <w:t xml:space="preserve"> </w:t>
      </w:r>
      <w:r>
        <w:tab/>
      </w:r>
      <w:bookmarkStart w:id="1" w:name="_Hlk126255233"/>
      <w:proofErr w:type="spellStart"/>
      <w:r w:rsidRPr="001C0755">
        <w:rPr>
          <w:i/>
          <w:iCs/>
        </w:rPr>
        <w:t>Xolitshe</w:t>
      </w:r>
      <w:proofErr w:type="spellEnd"/>
      <w:r w:rsidRPr="001C0755">
        <w:rPr>
          <w:i/>
          <w:iCs/>
        </w:rPr>
        <w:t> </w:t>
      </w:r>
      <w:bookmarkEnd w:id="1"/>
      <w:r w:rsidRPr="001C0755">
        <w:rPr>
          <w:i/>
          <w:iCs/>
        </w:rPr>
        <w:t xml:space="preserve">Trading Enterprise (Pty) Ltd v </w:t>
      </w:r>
      <w:proofErr w:type="spellStart"/>
      <w:r w:rsidRPr="001C0755">
        <w:rPr>
          <w:i/>
          <w:iCs/>
        </w:rPr>
        <w:t>Blairvest</w:t>
      </w:r>
      <w:proofErr w:type="spellEnd"/>
      <w:r w:rsidRPr="001C0755">
        <w:rPr>
          <w:i/>
          <w:iCs/>
        </w:rPr>
        <w:t xml:space="preserve"> CC</w:t>
      </w:r>
      <w:r>
        <w:t xml:space="preserve"> </w:t>
      </w:r>
      <w:r w:rsidRPr="00C1788E">
        <w:t>2021 JDR 2282 (GP)</w:t>
      </w:r>
      <w:r>
        <w:t>.</w:t>
      </w:r>
    </w:p>
  </w:footnote>
  <w:footnote w:id="5">
    <w:p w14:paraId="7F4D0FCA" w14:textId="6735D31C" w:rsidR="004F4A37" w:rsidRPr="004F4A37" w:rsidRDefault="004F4A37">
      <w:pPr>
        <w:pStyle w:val="FootnoteText"/>
      </w:pPr>
      <w:r>
        <w:rPr>
          <w:rStyle w:val="FootnoteReference"/>
        </w:rPr>
        <w:footnoteRef/>
      </w:r>
      <w:r>
        <w:t xml:space="preserve"> </w:t>
      </w:r>
      <w:r>
        <w:tab/>
        <w:t xml:space="preserve">Paragraph 6 of the </w:t>
      </w:r>
      <w:proofErr w:type="spellStart"/>
      <w:r w:rsidRPr="001C0755">
        <w:rPr>
          <w:i/>
          <w:iCs/>
        </w:rPr>
        <w:t>Xolitshe</w:t>
      </w:r>
      <w:proofErr w:type="spellEnd"/>
      <w:r w:rsidRPr="001C0755">
        <w:rPr>
          <w:i/>
          <w:iCs/>
        </w:rPr>
        <w:t> </w:t>
      </w:r>
      <w:r>
        <w:t>judgment.</w:t>
      </w:r>
    </w:p>
  </w:footnote>
  <w:footnote w:id="6">
    <w:p w14:paraId="180F595D" w14:textId="12FF7CCE" w:rsidR="00FA6B1E" w:rsidRDefault="00FA6B1E">
      <w:pPr>
        <w:pStyle w:val="FootnoteText"/>
      </w:pPr>
      <w:r>
        <w:rPr>
          <w:rStyle w:val="FootnoteReference"/>
        </w:rPr>
        <w:footnoteRef/>
      </w:r>
      <w:r>
        <w:t xml:space="preserve"> </w:t>
      </w:r>
      <w:r>
        <w:tab/>
        <w:t>Notice 30, GG 39601 of 15 January 2016.</w:t>
      </w:r>
    </w:p>
  </w:footnote>
  <w:footnote w:id="7">
    <w:p w14:paraId="19B8039D" w14:textId="76BA4ECE" w:rsidR="00892908" w:rsidRDefault="00892908">
      <w:pPr>
        <w:pStyle w:val="FootnoteText"/>
      </w:pPr>
      <w:r>
        <w:rPr>
          <w:rStyle w:val="FootnoteReference"/>
        </w:rPr>
        <w:footnoteRef/>
      </w:r>
      <w:r>
        <w:t xml:space="preserve"> </w:t>
      </w:r>
      <w:r>
        <w:tab/>
        <w:t>Section 21(2) of the Superior Courts Act, 10 of 2013.</w:t>
      </w:r>
    </w:p>
  </w:footnote>
  <w:footnote w:id="8">
    <w:p w14:paraId="2C4DE9A7" w14:textId="7194166B" w:rsidR="00460EEA" w:rsidRDefault="00460EEA">
      <w:pPr>
        <w:pStyle w:val="FootnoteText"/>
      </w:pPr>
      <w:r>
        <w:rPr>
          <w:rStyle w:val="FootnoteReference"/>
        </w:rPr>
        <w:footnoteRef/>
      </w:r>
      <w:r>
        <w:t xml:space="preserve"> </w:t>
      </w:r>
      <w:r>
        <w:tab/>
        <w:t xml:space="preserve">His evidence is supported by that of the Priest who was present on the day, A M </w:t>
      </w:r>
      <w:proofErr w:type="spellStart"/>
      <w:r>
        <w:t>Matlhare</w:t>
      </w:r>
      <w:proofErr w:type="spellEnd"/>
      <w:r>
        <w:t>,</w:t>
      </w:r>
      <w:r w:rsidR="00C4720D">
        <w:t xml:space="preserve"> and</w:t>
      </w:r>
      <w:r>
        <w:t xml:space="preserve"> TJ </w:t>
      </w:r>
      <w:proofErr w:type="spellStart"/>
      <w:r>
        <w:t>Legodi</w:t>
      </w:r>
      <w:proofErr w:type="spellEnd"/>
      <w:r>
        <w:t xml:space="preserve"> Jnr, and TJ </w:t>
      </w:r>
      <w:proofErr w:type="spellStart"/>
      <w:r>
        <w:t>Legodi</w:t>
      </w:r>
      <w:proofErr w:type="spellEnd"/>
      <w:r>
        <w:t xml:space="preserve"> </w:t>
      </w:r>
      <w:proofErr w:type="spellStart"/>
      <w:r>
        <w:t>Snr</w:t>
      </w:r>
      <w:proofErr w:type="spellEnd"/>
      <w:r>
        <w:t xml:space="preserve"> who deposed to confirmatory affidavits.</w:t>
      </w:r>
    </w:p>
  </w:footnote>
  <w:footnote w:id="9">
    <w:p w14:paraId="16819942" w14:textId="09778F62" w:rsidR="006F042A" w:rsidRDefault="006F042A">
      <w:pPr>
        <w:pStyle w:val="FootnoteText"/>
      </w:pPr>
      <w:r>
        <w:rPr>
          <w:rStyle w:val="FootnoteReference"/>
        </w:rPr>
        <w:footnoteRef/>
      </w:r>
      <w:r>
        <w:t xml:space="preserve"> </w:t>
      </w:r>
      <w:r>
        <w:tab/>
        <w:t>The deponent confirms that the security guards did have firearms but these were licenced firearms carried by them when on duty.</w:t>
      </w:r>
    </w:p>
  </w:footnote>
  <w:footnote w:id="10">
    <w:p w14:paraId="76C94409" w14:textId="7724524A" w:rsidR="009F2572" w:rsidRDefault="009F2572">
      <w:pPr>
        <w:pStyle w:val="FootnoteText"/>
      </w:pPr>
      <w:r>
        <w:rPr>
          <w:rStyle w:val="FootnoteReference"/>
        </w:rPr>
        <w:footnoteRef/>
      </w:r>
      <w:r>
        <w:t xml:space="preserve"> </w:t>
      </w:r>
      <w:r>
        <w:tab/>
        <w:t xml:space="preserve">See Van </w:t>
      </w:r>
      <w:proofErr w:type="spellStart"/>
      <w:r>
        <w:t>Loggerenberg</w:t>
      </w:r>
      <w:proofErr w:type="spellEnd"/>
      <w:r>
        <w:t xml:space="preserve"> &amp; Bertelsmann </w:t>
      </w:r>
      <w:r w:rsidRPr="009F2572">
        <w:rPr>
          <w:i/>
          <w:iCs/>
        </w:rPr>
        <w:t>Erasmus: Superior Court Practice</w:t>
      </w:r>
      <w:r>
        <w:t xml:space="preserve"> RS 18, 2022, D7-1 </w:t>
      </w:r>
      <w:proofErr w:type="gramStart"/>
      <w:r>
        <w:t>et</w:t>
      </w:r>
      <w:proofErr w:type="gramEnd"/>
      <w:r>
        <w:t xml:space="preserve"> </w:t>
      </w:r>
      <w:proofErr w:type="spellStart"/>
      <w:r>
        <w:t>seq</w:t>
      </w:r>
      <w:proofErr w:type="spellEnd"/>
      <w:r>
        <w:t xml:space="preserve"> for a discussion of the applicable principles.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D964F3E"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966A96">
      <w:rPr>
        <w:rFonts w:cs="Arial"/>
        <w:noProof/>
        <w:sz w:val="20"/>
        <w:szCs w:val="20"/>
        <w:lang w:val="en-GB"/>
      </w:rPr>
      <w:t>9</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4"/>
  </w:num>
  <w:num w:numId="5">
    <w:abstractNumId w:val="8"/>
  </w:num>
  <w:num w:numId="6">
    <w:abstractNumId w:val="7"/>
  </w:num>
  <w:num w:numId="7">
    <w:abstractNumId w:val="0"/>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5D74"/>
    <w:rsid w:val="00024A29"/>
    <w:rsid w:val="000262B3"/>
    <w:rsid w:val="00030A89"/>
    <w:rsid w:val="000325E2"/>
    <w:rsid w:val="00047F26"/>
    <w:rsid w:val="00050086"/>
    <w:rsid w:val="000504F1"/>
    <w:rsid w:val="00051A2B"/>
    <w:rsid w:val="00063F7B"/>
    <w:rsid w:val="000737E1"/>
    <w:rsid w:val="00073E30"/>
    <w:rsid w:val="00081716"/>
    <w:rsid w:val="000833BB"/>
    <w:rsid w:val="0009488C"/>
    <w:rsid w:val="00097968"/>
    <w:rsid w:val="000A6AD8"/>
    <w:rsid w:val="000B21DA"/>
    <w:rsid w:val="000D5760"/>
    <w:rsid w:val="000D7D6A"/>
    <w:rsid w:val="000E5343"/>
    <w:rsid w:val="000F59F8"/>
    <w:rsid w:val="00104142"/>
    <w:rsid w:val="001142D1"/>
    <w:rsid w:val="00120FB1"/>
    <w:rsid w:val="00130253"/>
    <w:rsid w:val="00133E81"/>
    <w:rsid w:val="00140CED"/>
    <w:rsid w:val="00147FF5"/>
    <w:rsid w:val="00152899"/>
    <w:rsid w:val="00155A21"/>
    <w:rsid w:val="001671C1"/>
    <w:rsid w:val="00185ACF"/>
    <w:rsid w:val="00190579"/>
    <w:rsid w:val="00196E14"/>
    <w:rsid w:val="001A5145"/>
    <w:rsid w:val="001A522A"/>
    <w:rsid w:val="001A7904"/>
    <w:rsid w:val="001B1D39"/>
    <w:rsid w:val="001B4217"/>
    <w:rsid w:val="001B5D3E"/>
    <w:rsid w:val="001B606B"/>
    <w:rsid w:val="001C0755"/>
    <w:rsid w:val="001D3CC2"/>
    <w:rsid w:val="001E2EED"/>
    <w:rsid w:val="001F0A29"/>
    <w:rsid w:val="001F3DBD"/>
    <w:rsid w:val="001F648A"/>
    <w:rsid w:val="00201620"/>
    <w:rsid w:val="00205392"/>
    <w:rsid w:val="002104BF"/>
    <w:rsid w:val="00215824"/>
    <w:rsid w:val="00216BC8"/>
    <w:rsid w:val="0022218D"/>
    <w:rsid w:val="00226926"/>
    <w:rsid w:val="00232528"/>
    <w:rsid w:val="00237FF9"/>
    <w:rsid w:val="00250164"/>
    <w:rsid w:val="00253F38"/>
    <w:rsid w:val="002625C5"/>
    <w:rsid w:val="00262819"/>
    <w:rsid w:val="00285040"/>
    <w:rsid w:val="00285062"/>
    <w:rsid w:val="0029369B"/>
    <w:rsid w:val="002976B8"/>
    <w:rsid w:val="002A030C"/>
    <w:rsid w:val="002A4B7B"/>
    <w:rsid w:val="002C15AC"/>
    <w:rsid w:val="002C2E80"/>
    <w:rsid w:val="002C4687"/>
    <w:rsid w:val="002D47B3"/>
    <w:rsid w:val="002D6F6A"/>
    <w:rsid w:val="002E5B57"/>
    <w:rsid w:val="002E6CD7"/>
    <w:rsid w:val="002F1C4D"/>
    <w:rsid w:val="002F72D3"/>
    <w:rsid w:val="00302290"/>
    <w:rsid w:val="00302C31"/>
    <w:rsid w:val="003047C2"/>
    <w:rsid w:val="0030653F"/>
    <w:rsid w:val="003102C8"/>
    <w:rsid w:val="0031117B"/>
    <w:rsid w:val="00312EBC"/>
    <w:rsid w:val="00313056"/>
    <w:rsid w:val="00337135"/>
    <w:rsid w:val="0034147B"/>
    <w:rsid w:val="00342E02"/>
    <w:rsid w:val="003463D6"/>
    <w:rsid w:val="00346D31"/>
    <w:rsid w:val="00346DE6"/>
    <w:rsid w:val="003543C5"/>
    <w:rsid w:val="00354EF2"/>
    <w:rsid w:val="00357081"/>
    <w:rsid w:val="00357D35"/>
    <w:rsid w:val="00363FCD"/>
    <w:rsid w:val="00364C43"/>
    <w:rsid w:val="00367720"/>
    <w:rsid w:val="0037029D"/>
    <w:rsid w:val="00373181"/>
    <w:rsid w:val="00381213"/>
    <w:rsid w:val="003832F7"/>
    <w:rsid w:val="003840EC"/>
    <w:rsid w:val="00390C3F"/>
    <w:rsid w:val="00393127"/>
    <w:rsid w:val="003A7864"/>
    <w:rsid w:val="003B4100"/>
    <w:rsid w:val="003C1A16"/>
    <w:rsid w:val="003C1E91"/>
    <w:rsid w:val="003D19C3"/>
    <w:rsid w:val="003D36F9"/>
    <w:rsid w:val="003D77F1"/>
    <w:rsid w:val="003E7A60"/>
    <w:rsid w:val="003F1F49"/>
    <w:rsid w:val="003F7448"/>
    <w:rsid w:val="00407F28"/>
    <w:rsid w:val="0041100A"/>
    <w:rsid w:val="004131C5"/>
    <w:rsid w:val="00414345"/>
    <w:rsid w:val="0042423E"/>
    <w:rsid w:val="00424BA6"/>
    <w:rsid w:val="004339E6"/>
    <w:rsid w:val="0043683A"/>
    <w:rsid w:val="00437EB1"/>
    <w:rsid w:val="00441422"/>
    <w:rsid w:val="00445DCB"/>
    <w:rsid w:val="0045044C"/>
    <w:rsid w:val="00460495"/>
    <w:rsid w:val="00460EEA"/>
    <w:rsid w:val="004630B6"/>
    <w:rsid w:val="00474607"/>
    <w:rsid w:val="00474910"/>
    <w:rsid w:val="004749AF"/>
    <w:rsid w:val="00475410"/>
    <w:rsid w:val="00484116"/>
    <w:rsid w:val="0048424E"/>
    <w:rsid w:val="00486F42"/>
    <w:rsid w:val="00487D14"/>
    <w:rsid w:val="004A2C7E"/>
    <w:rsid w:val="004A6625"/>
    <w:rsid w:val="004A7DFE"/>
    <w:rsid w:val="004B21D9"/>
    <w:rsid w:val="004C0CE3"/>
    <w:rsid w:val="004C368B"/>
    <w:rsid w:val="004D1A31"/>
    <w:rsid w:val="004D262A"/>
    <w:rsid w:val="004D2C6F"/>
    <w:rsid w:val="004D2E01"/>
    <w:rsid w:val="004E568C"/>
    <w:rsid w:val="004E5AD8"/>
    <w:rsid w:val="004F12D8"/>
    <w:rsid w:val="004F22A6"/>
    <w:rsid w:val="004F4A37"/>
    <w:rsid w:val="00504B53"/>
    <w:rsid w:val="0051015D"/>
    <w:rsid w:val="0051292D"/>
    <w:rsid w:val="0051442D"/>
    <w:rsid w:val="0051622D"/>
    <w:rsid w:val="005219EB"/>
    <w:rsid w:val="005262C2"/>
    <w:rsid w:val="0052705A"/>
    <w:rsid w:val="00537A72"/>
    <w:rsid w:val="005405F8"/>
    <w:rsid w:val="00547A66"/>
    <w:rsid w:val="005509BE"/>
    <w:rsid w:val="00560E18"/>
    <w:rsid w:val="00571E81"/>
    <w:rsid w:val="00573FF9"/>
    <w:rsid w:val="00576B16"/>
    <w:rsid w:val="005A313A"/>
    <w:rsid w:val="005A680F"/>
    <w:rsid w:val="005B07CB"/>
    <w:rsid w:val="005B2FF9"/>
    <w:rsid w:val="005B696E"/>
    <w:rsid w:val="005B6D81"/>
    <w:rsid w:val="005B7DD3"/>
    <w:rsid w:val="005C7FC2"/>
    <w:rsid w:val="005D2408"/>
    <w:rsid w:val="005D6122"/>
    <w:rsid w:val="005D6E80"/>
    <w:rsid w:val="005E2F7B"/>
    <w:rsid w:val="005E3C94"/>
    <w:rsid w:val="005E5C01"/>
    <w:rsid w:val="005E7118"/>
    <w:rsid w:val="005F1CDA"/>
    <w:rsid w:val="005F37A4"/>
    <w:rsid w:val="00602403"/>
    <w:rsid w:val="006041A4"/>
    <w:rsid w:val="006109EC"/>
    <w:rsid w:val="00611D8A"/>
    <w:rsid w:val="006150CE"/>
    <w:rsid w:val="006165F4"/>
    <w:rsid w:val="00642664"/>
    <w:rsid w:val="00644BBE"/>
    <w:rsid w:val="006479F9"/>
    <w:rsid w:val="00647DDD"/>
    <w:rsid w:val="00653BA4"/>
    <w:rsid w:val="00657EDA"/>
    <w:rsid w:val="006609A2"/>
    <w:rsid w:val="00660C84"/>
    <w:rsid w:val="0066194B"/>
    <w:rsid w:val="00661FC4"/>
    <w:rsid w:val="00666D4D"/>
    <w:rsid w:val="00672205"/>
    <w:rsid w:val="006858DA"/>
    <w:rsid w:val="006902F1"/>
    <w:rsid w:val="006918E9"/>
    <w:rsid w:val="006951CE"/>
    <w:rsid w:val="00695B2C"/>
    <w:rsid w:val="006A438B"/>
    <w:rsid w:val="006B1E87"/>
    <w:rsid w:val="006B514A"/>
    <w:rsid w:val="006C4213"/>
    <w:rsid w:val="006C43D7"/>
    <w:rsid w:val="006C53ED"/>
    <w:rsid w:val="006C5694"/>
    <w:rsid w:val="006D4128"/>
    <w:rsid w:val="006E2083"/>
    <w:rsid w:val="006E68E6"/>
    <w:rsid w:val="006F042A"/>
    <w:rsid w:val="006F25E5"/>
    <w:rsid w:val="006F2FCE"/>
    <w:rsid w:val="006F415C"/>
    <w:rsid w:val="007112CA"/>
    <w:rsid w:val="007202BD"/>
    <w:rsid w:val="007205BF"/>
    <w:rsid w:val="007237D1"/>
    <w:rsid w:val="007241D4"/>
    <w:rsid w:val="00724D82"/>
    <w:rsid w:val="00732A6F"/>
    <w:rsid w:val="0074214D"/>
    <w:rsid w:val="00742764"/>
    <w:rsid w:val="00751452"/>
    <w:rsid w:val="0075156A"/>
    <w:rsid w:val="00751F90"/>
    <w:rsid w:val="00761C35"/>
    <w:rsid w:val="00766026"/>
    <w:rsid w:val="00772025"/>
    <w:rsid w:val="00781AA0"/>
    <w:rsid w:val="00781CF7"/>
    <w:rsid w:val="00782DE8"/>
    <w:rsid w:val="00792E10"/>
    <w:rsid w:val="007B165A"/>
    <w:rsid w:val="007B2DAD"/>
    <w:rsid w:val="007B7246"/>
    <w:rsid w:val="007B78C2"/>
    <w:rsid w:val="007C23FF"/>
    <w:rsid w:val="007C5008"/>
    <w:rsid w:val="007D1E79"/>
    <w:rsid w:val="007D27CF"/>
    <w:rsid w:val="007D4DAF"/>
    <w:rsid w:val="007E1175"/>
    <w:rsid w:val="007E468A"/>
    <w:rsid w:val="007E58FC"/>
    <w:rsid w:val="007F1517"/>
    <w:rsid w:val="007F207F"/>
    <w:rsid w:val="007F5B91"/>
    <w:rsid w:val="00803CEC"/>
    <w:rsid w:val="008076A4"/>
    <w:rsid w:val="00810CA3"/>
    <w:rsid w:val="00822050"/>
    <w:rsid w:val="00830952"/>
    <w:rsid w:val="00830F84"/>
    <w:rsid w:val="008443A9"/>
    <w:rsid w:val="008469B3"/>
    <w:rsid w:val="00860576"/>
    <w:rsid w:val="008674AA"/>
    <w:rsid w:val="008675CC"/>
    <w:rsid w:val="0087609B"/>
    <w:rsid w:val="0088094C"/>
    <w:rsid w:val="00881004"/>
    <w:rsid w:val="00882C40"/>
    <w:rsid w:val="00892908"/>
    <w:rsid w:val="008942FC"/>
    <w:rsid w:val="0089562F"/>
    <w:rsid w:val="008A082A"/>
    <w:rsid w:val="008A4DF4"/>
    <w:rsid w:val="008B1DA9"/>
    <w:rsid w:val="008B6162"/>
    <w:rsid w:val="008C3EBC"/>
    <w:rsid w:val="008C57F6"/>
    <w:rsid w:val="008D33A3"/>
    <w:rsid w:val="008D4715"/>
    <w:rsid w:val="008F189C"/>
    <w:rsid w:val="008F1FE1"/>
    <w:rsid w:val="008F32FF"/>
    <w:rsid w:val="008F4486"/>
    <w:rsid w:val="008F4FC6"/>
    <w:rsid w:val="00902179"/>
    <w:rsid w:val="00903877"/>
    <w:rsid w:val="0091544C"/>
    <w:rsid w:val="00921D03"/>
    <w:rsid w:val="00925CD2"/>
    <w:rsid w:val="00933065"/>
    <w:rsid w:val="00933569"/>
    <w:rsid w:val="009365B1"/>
    <w:rsid w:val="0093799C"/>
    <w:rsid w:val="009422A1"/>
    <w:rsid w:val="00944804"/>
    <w:rsid w:val="0094634F"/>
    <w:rsid w:val="009473D8"/>
    <w:rsid w:val="00960ADF"/>
    <w:rsid w:val="00963A0C"/>
    <w:rsid w:val="00966A96"/>
    <w:rsid w:val="00974A92"/>
    <w:rsid w:val="00975270"/>
    <w:rsid w:val="00975BA1"/>
    <w:rsid w:val="009835E3"/>
    <w:rsid w:val="009837A6"/>
    <w:rsid w:val="009869F2"/>
    <w:rsid w:val="00987CDB"/>
    <w:rsid w:val="009A2726"/>
    <w:rsid w:val="009A30E0"/>
    <w:rsid w:val="009A3619"/>
    <w:rsid w:val="009A66D0"/>
    <w:rsid w:val="009B08AF"/>
    <w:rsid w:val="009B3DFC"/>
    <w:rsid w:val="009B793E"/>
    <w:rsid w:val="009C1DED"/>
    <w:rsid w:val="009C37B9"/>
    <w:rsid w:val="009C38E7"/>
    <w:rsid w:val="009D32BD"/>
    <w:rsid w:val="009D35B5"/>
    <w:rsid w:val="009D4486"/>
    <w:rsid w:val="009F1595"/>
    <w:rsid w:val="009F211E"/>
    <w:rsid w:val="009F2572"/>
    <w:rsid w:val="009F294E"/>
    <w:rsid w:val="009F30F1"/>
    <w:rsid w:val="009F37C7"/>
    <w:rsid w:val="009F50AB"/>
    <w:rsid w:val="00A005F6"/>
    <w:rsid w:val="00A0424F"/>
    <w:rsid w:val="00A16C6E"/>
    <w:rsid w:val="00A17DB2"/>
    <w:rsid w:val="00A22A14"/>
    <w:rsid w:val="00A26214"/>
    <w:rsid w:val="00A27A51"/>
    <w:rsid w:val="00A37BA4"/>
    <w:rsid w:val="00A402F6"/>
    <w:rsid w:val="00A43739"/>
    <w:rsid w:val="00A47A18"/>
    <w:rsid w:val="00A539CB"/>
    <w:rsid w:val="00A63709"/>
    <w:rsid w:val="00A649E6"/>
    <w:rsid w:val="00A660AF"/>
    <w:rsid w:val="00A70A95"/>
    <w:rsid w:val="00A70BDA"/>
    <w:rsid w:val="00A740B6"/>
    <w:rsid w:val="00A7621E"/>
    <w:rsid w:val="00A93351"/>
    <w:rsid w:val="00AA0013"/>
    <w:rsid w:val="00AA26FF"/>
    <w:rsid w:val="00AA6E8C"/>
    <w:rsid w:val="00AA6F19"/>
    <w:rsid w:val="00AA79A8"/>
    <w:rsid w:val="00AA7A76"/>
    <w:rsid w:val="00AB0286"/>
    <w:rsid w:val="00AB4C6D"/>
    <w:rsid w:val="00AC2995"/>
    <w:rsid w:val="00AC4165"/>
    <w:rsid w:val="00AC556A"/>
    <w:rsid w:val="00AC76EA"/>
    <w:rsid w:val="00AD2631"/>
    <w:rsid w:val="00AE1220"/>
    <w:rsid w:val="00AE287F"/>
    <w:rsid w:val="00AE63BD"/>
    <w:rsid w:val="00AF0B2B"/>
    <w:rsid w:val="00AF2914"/>
    <w:rsid w:val="00AF363F"/>
    <w:rsid w:val="00AF3E4F"/>
    <w:rsid w:val="00B071FF"/>
    <w:rsid w:val="00B11505"/>
    <w:rsid w:val="00B11DC2"/>
    <w:rsid w:val="00B15142"/>
    <w:rsid w:val="00B42807"/>
    <w:rsid w:val="00B428A6"/>
    <w:rsid w:val="00B4461C"/>
    <w:rsid w:val="00B53913"/>
    <w:rsid w:val="00B554D4"/>
    <w:rsid w:val="00B55F3A"/>
    <w:rsid w:val="00B56906"/>
    <w:rsid w:val="00B71CB5"/>
    <w:rsid w:val="00B72922"/>
    <w:rsid w:val="00B72A13"/>
    <w:rsid w:val="00B72ADA"/>
    <w:rsid w:val="00B84DD5"/>
    <w:rsid w:val="00B9487E"/>
    <w:rsid w:val="00B95910"/>
    <w:rsid w:val="00BA29E7"/>
    <w:rsid w:val="00BA3A4C"/>
    <w:rsid w:val="00BB0F20"/>
    <w:rsid w:val="00BB7F08"/>
    <w:rsid w:val="00BC35CD"/>
    <w:rsid w:val="00BC415B"/>
    <w:rsid w:val="00BD2CDE"/>
    <w:rsid w:val="00BD41CF"/>
    <w:rsid w:val="00BE0164"/>
    <w:rsid w:val="00BE12BD"/>
    <w:rsid w:val="00BE2ED7"/>
    <w:rsid w:val="00BE6AB8"/>
    <w:rsid w:val="00BF086D"/>
    <w:rsid w:val="00BF2167"/>
    <w:rsid w:val="00BF43BC"/>
    <w:rsid w:val="00BF55C7"/>
    <w:rsid w:val="00BF7ED8"/>
    <w:rsid w:val="00C04139"/>
    <w:rsid w:val="00C21B3D"/>
    <w:rsid w:val="00C2788D"/>
    <w:rsid w:val="00C361F6"/>
    <w:rsid w:val="00C3669A"/>
    <w:rsid w:val="00C423E3"/>
    <w:rsid w:val="00C44BAC"/>
    <w:rsid w:val="00C45626"/>
    <w:rsid w:val="00C458AF"/>
    <w:rsid w:val="00C460A0"/>
    <w:rsid w:val="00C4720D"/>
    <w:rsid w:val="00C50068"/>
    <w:rsid w:val="00C549F4"/>
    <w:rsid w:val="00C610F2"/>
    <w:rsid w:val="00C676F3"/>
    <w:rsid w:val="00C71AB8"/>
    <w:rsid w:val="00C75909"/>
    <w:rsid w:val="00C77EFD"/>
    <w:rsid w:val="00C81A10"/>
    <w:rsid w:val="00C829DF"/>
    <w:rsid w:val="00C84021"/>
    <w:rsid w:val="00C875AE"/>
    <w:rsid w:val="00C9310B"/>
    <w:rsid w:val="00CA696D"/>
    <w:rsid w:val="00CB1536"/>
    <w:rsid w:val="00CB3907"/>
    <w:rsid w:val="00CB6167"/>
    <w:rsid w:val="00CC0C54"/>
    <w:rsid w:val="00CC1016"/>
    <w:rsid w:val="00CD1721"/>
    <w:rsid w:val="00CD4DDC"/>
    <w:rsid w:val="00CE6301"/>
    <w:rsid w:val="00CF2008"/>
    <w:rsid w:val="00CF3649"/>
    <w:rsid w:val="00CF4188"/>
    <w:rsid w:val="00CF4E9E"/>
    <w:rsid w:val="00CF7848"/>
    <w:rsid w:val="00D06213"/>
    <w:rsid w:val="00D10010"/>
    <w:rsid w:val="00D12BB7"/>
    <w:rsid w:val="00D21601"/>
    <w:rsid w:val="00D31882"/>
    <w:rsid w:val="00D31BAB"/>
    <w:rsid w:val="00D31D27"/>
    <w:rsid w:val="00D34AFB"/>
    <w:rsid w:val="00D35A03"/>
    <w:rsid w:val="00D37377"/>
    <w:rsid w:val="00D45B8C"/>
    <w:rsid w:val="00D56058"/>
    <w:rsid w:val="00D567E0"/>
    <w:rsid w:val="00D56A09"/>
    <w:rsid w:val="00D61F2D"/>
    <w:rsid w:val="00D630DE"/>
    <w:rsid w:val="00D645C6"/>
    <w:rsid w:val="00D65905"/>
    <w:rsid w:val="00D7327A"/>
    <w:rsid w:val="00D81AC9"/>
    <w:rsid w:val="00D858CC"/>
    <w:rsid w:val="00D9086C"/>
    <w:rsid w:val="00D94745"/>
    <w:rsid w:val="00D963D5"/>
    <w:rsid w:val="00DA41B2"/>
    <w:rsid w:val="00DA5D06"/>
    <w:rsid w:val="00DA7B20"/>
    <w:rsid w:val="00DC621D"/>
    <w:rsid w:val="00DC6A98"/>
    <w:rsid w:val="00DC6EF8"/>
    <w:rsid w:val="00DC7245"/>
    <w:rsid w:val="00DC730A"/>
    <w:rsid w:val="00DD12FC"/>
    <w:rsid w:val="00DE130A"/>
    <w:rsid w:val="00DE1F21"/>
    <w:rsid w:val="00DE38B2"/>
    <w:rsid w:val="00DF2C9A"/>
    <w:rsid w:val="00DF6AC1"/>
    <w:rsid w:val="00E05572"/>
    <w:rsid w:val="00E16292"/>
    <w:rsid w:val="00E166FD"/>
    <w:rsid w:val="00E25706"/>
    <w:rsid w:val="00E264BB"/>
    <w:rsid w:val="00E276DF"/>
    <w:rsid w:val="00E30596"/>
    <w:rsid w:val="00E33434"/>
    <w:rsid w:val="00E43C23"/>
    <w:rsid w:val="00E45E6A"/>
    <w:rsid w:val="00E50A42"/>
    <w:rsid w:val="00E56D64"/>
    <w:rsid w:val="00E71CE6"/>
    <w:rsid w:val="00E71E16"/>
    <w:rsid w:val="00E76641"/>
    <w:rsid w:val="00E851E8"/>
    <w:rsid w:val="00E95703"/>
    <w:rsid w:val="00EA0297"/>
    <w:rsid w:val="00EA3F05"/>
    <w:rsid w:val="00EA5E85"/>
    <w:rsid w:val="00EB0B07"/>
    <w:rsid w:val="00EB1B82"/>
    <w:rsid w:val="00EB635D"/>
    <w:rsid w:val="00EB6AA6"/>
    <w:rsid w:val="00EC70BC"/>
    <w:rsid w:val="00ED018E"/>
    <w:rsid w:val="00EE55F9"/>
    <w:rsid w:val="00EE62A5"/>
    <w:rsid w:val="00F11454"/>
    <w:rsid w:val="00F221FC"/>
    <w:rsid w:val="00F24025"/>
    <w:rsid w:val="00F36EE7"/>
    <w:rsid w:val="00F57AFC"/>
    <w:rsid w:val="00F627E4"/>
    <w:rsid w:val="00F65DBD"/>
    <w:rsid w:val="00F669B9"/>
    <w:rsid w:val="00F773E6"/>
    <w:rsid w:val="00F80CEE"/>
    <w:rsid w:val="00F81F36"/>
    <w:rsid w:val="00F8493C"/>
    <w:rsid w:val="00F85468"/>
    <w:rsid w:val="00F86A45"/>
    <w:rsid w:val="00F86BC7"/>
    <w:rsid w:val="00F9202F"/>
    <w:rsid w:val="00F92AA4"/>
    <w:rsid w:val="00FA6B1E"/>
    <w:rsid w:val="00FB4165"/>
    <w:rsid w:val="00FB59A0"/>
    <w:rsid w:val="00FC42BD"/>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9DB9-7420-4402-B1C2-27338324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9</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1900-12-31T22:00:00Z</cp:lastPrinted>
  <dcterms:created xsi:type="dcterms:W3CDTF">2023-02-07T11:51:00Z</dcterms:created>
  <dcterms:modified xsi:type="dcterms:W3CDTF">2023-02-07T11:51:00Z</dcterms:modified>
</cp:coreProperties>
</file>