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EAF9" w14:textId="78D58627" w:rsidR="00743FC9" w:rsidRPr="00242AE2" w:rsidRDefault="00242AE2" w:rsidP="004661B9">
      <w:pPr>
        <w:spacing w:after="0" w:line="360" w:lineRule="auto"/>
        <w:jc w:val="center"/>
        <w:outlineLvl w:val="0"/>
        <w:rPr>
          <w:rFonts w:ascii="Arial" w:eastAsia="Calibri" w:hAnsi="Arial" w:cs="Arial"/>
          <w:b/>
          <w:sz w:val="24"/>
          <w:szCs w:val="24"/>
        </w:rPr>
      </w:pPr>
      <w:r w:rsidRPr="00242AE2">
        <w:rPr>
          <w:rFonts w:ascii="Arial" w:eastAsia="Calibri" w:hAnsi="Arial" w:cs="Arial"/>
          <w:b/>
          <w:sz w:val="24"/>
          <w:szCs w:val="24"/>
        </w:rPr>
        <w:t>REPUBLIC OF SOUTH AFRICA</w:t>
      </w:r>
    </w:p>
    <w:p w14:paraId="190E6936" w14:textId="32886F25" w:rsidR="00743FC9" w:rsidRPr="00242AE2" w:rsidRDefault="00242AE2" w:rsidP="004661B9">
      <w:pPr>
        <w:spacing w:after="0" w:line="360" w:lineRule="auto"/>
        <w:jc w:val="center"/>
        <w:rPr>
          <w:rFonts w:ascii="Arial" w:eastAsia="Calibri" w:hAnsi="Arial" w:cs="Arial"/>
          <w:b/>
          <w:sz w:val="24"/>
          <w:szCs w:val="24"/>
        </w:rPr>
      </w:pPr>
      <w:r w:rsidRPr="00242AE2">
        <w:rPr>
          <w:rFonts w:ascii="Arial" w:eastAsia="Calibri" w:hAnsi="Arial" w:cs="Arial"/>
          <w:noProof/>
          <w:sz w:val="24"/>
          <w:szCs w:val="24"/>
          <w:lang w:val="en-US"/>
        </w:rPr>
        <w:drawing>
          <wp:inline distT="0" distB="0" distL="0" distR="0" wp14:anchorId="73307ADF" wp14:editId="25E6A79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9347149" w14:textId="77777777" w:rsidR="00242AE2" w:rsidRPr="00242AE2" w:rsidRDefault="00242AE2" w:rsidP="00242AE2">
      <w:pPr>
        <w:spacing w:after="0" w:line="360" w:lineRule="auto"/>
        <w:jc w:val="center"/>
        <w:outlineLvl w:val="0"/>
        <w:rPr>
          <w:rFonts w:ascii="Arial" w:eastAsia="Calibri" w:hAnsi="Arial" w:cs="Arial"/>
          <w:b/>
          <w:sz w:val="24"/>
          <w:szCs w:val="24"/>
        </w:rPr>
      </w:pPr>
      <w:r w:rsidRPr="00242AE2">
        <w:rPr>
          <w:rFonts w:ascii="Arial" w:eastAsia="Calibri" w:hAnsi="Arial" w:cs="Arial"/>
          <w:b/>
          <w:sz w:val="24"/>
          <w:szCs w:val="24"/>
        </w:rPr>
        <w:t>IN THE HIGH COURT OF SOUTH AFRICA</w:t>
      </w:r>
    </w:p>
    <w:p w14:paraId="4E2F3395" w14:textId="2B4908CF" w:rsidR="00743FC9" w:rsidRDefault="00242AE2" w:rsidP="00743FC9">
      <w:pPr>
        <w:spacing w:after="0" w:line="360" w:lineRule="auto"/>
        <w:jc w:val="center"/>
        <w:rPr>
          <w:rFonts w:ascii="Arial" w:eastAsia="Calibri" w:hAnsi="Arial" w:cs="Arial"/>
          <w:b/>
          <w:sz w:val="24"/>
          <w:szCs w:val="24"/>
        </w:rPr>
      </w:pPr>
      <w:r w:rsidRPr="00242AE2">
        <w:rPr>
          <w:rFonts w:ascii="Arial" w:eastAsia="Calibri" w:hAnsi="Arial" w:cs="Arial"/>
          <w:b/>
          <w:sz w:val="24"/>
          <w:szCs w:val="24"/>
        </w:rPr>
        <w:t>GAUTENG LOCAL DIVISION, JOHANNESBURG</w:t>
      </w:r>
    </w:p>
    <w:p w14:paraId="372AAFA0" w14:textId="5A627F2F" w:rsidR="00743FC9" w:rsidRDefault="00743FC9" w:rsidP="00242AE2">
      <w:pPr>
        <w:spacing w:after="0" w:line="360" w:lineRule="auto"/>
        <w:jc w:val="both"/>
        <w:outlineLvl w:val="0"/>
        <w:rPr>
          <w:rFonts w:ascii="Arial" w:eastAsia="Calibri" w:hAnsi="Arial" w:cs="Arial"/>
          <w:sz w:val="24"/>
          <w:szCs w:val="24"/>
          <w:lang w:val="en-GB"/>
        </w:rPr>
      </w:pPr>
    </w:p>
    <w:p w14:paraId="4DE09147" w14:textId="5B66272B" w:rsidR="00242AE2" w:rsidRDefault="00242AE2" w:rsidP="00242AE2">
      <w:pPr>
        <w:spacing w:after="0" w:line="360" w:lineRule="auto"/>
        <w:jc w:val="both"/>
        <w:outlineLvl w:val="0"/>
        <w:rPr>
          <w:rFonts w:ascii="Arial" w:eastAsia="Calibri" w:hAnsi="Arial" w:cs="Arial"/>
          <w:b/>
          <w:sz w:val="24"/>
          <w:szCs w:val="24"/>
          <w:lang w:val="en-GB"/>
        </w:rPr>
      </w:pPr>
      <w:r w:rsidRPr="00242AE2">
        <w:rPr>
          <w:rFonts w:ascii="Arial" w:eastAsia="Calibri" w:hAnsi="Arial" w:cs="Arial"/>
          <w:noProof/>
          <w:sz w:val="24"/>
          <w:szCs w:val="24"/>
          <w:lang w:val="en-US"/>
        </w:rPr>
        <mc:AlternateContent>
          <mc:Choice Requires="wps">
            <w:drawing>
              <wp:anchor distT="0" distB="0" distL="114300" distR="114300" simplePos="0" relativeHeight="251659264" behindDoc="0" locked="0" layoutInCell="1" allowOverlap="1" wp14:anchorId="1CB6FE2E" wp14:editId="3341ED66">
                <wp:simplePos x="0" y="0"/>
                <wp:positionH relativeFrom="column">
                  <wp:posOffset>-127000</wp:posOffset>
                </wp:positionH>
                <wp:positionV relativeFrom="paragraph">
                  <wp:posOffset>232410</wp:posOffset>
                </wp:positionV>
                <wp:extent cx="3314700" cy="1498600"/>
                <wp:effectExtent l="0" t="0" r="19050" b="2540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498600"/>
                        </a:xfrm>
                        <a:prstGeom prst="rect">
                          <a:avLst/>
                        </a:prstGeom>
                        <a:solidFill>
                          <a:srgbClr val="FFFFFF"/>
                        </a:solidFill>
                        <a:ln w="9525">
                          <a:solidFill>
                            <a:srgbClr val="000000"/>
                          </a:solidFill>
                          <a:miter lim="800000"/>
                          <a:headEnd/>
                          <a:tailEnd/>
                        </a:ln>
                      </wps:spPr>
                      <wps:txbx>
                        <w:txbxContent>
                          <w:p w14:paraId="7E1716B6" w14:textId="77777777" w:rsidR="00242AE2" w:rsidRPr="004120A8" w:rsidRDefault="00242AE2" w:rsidP="00242AE2">
                            <w:pPr>
                              <w:jc w:val="center"/>
                              <w:rPr>
                                <w:rFonts w:ascii="Century Gothic" w:hAnsi="Century Gothic"/>
                                <w:b/>
                                <w:sz w:val="2"/>
                                <w:szCs w:val="18"/>
                              </w:rPr>
                            </w:pPr>
                          </w:p>
                          <w:p w14:paraId="56CF42AC" w14:textId="3ED6190B" w:rsidR="00242AE2" w:rsidRPr="004120A8" w:rsidRDefault="002B4606" w:rsidP="002B4606">
                            <w:pPr>
                              <w:tabs>
                                <w:tab w:val="left" w:pos="900"/>
                              </w:tabs>
                              <w:spacing w:after="0" w:line="360" w:lineRule="auto"/>
                              <w:ind w:left="900" w:hanging="720"/>
                              <w:jc w:val="both"/>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42AE2">
                              <w:rPr>
                                <w:rFonts w:ascii="Century Gothic" w:hAnsi="Century Gothic"/>
                                <w:sz w:val="18"/>
                                <w:szCs w:val="18"/>
                              </w:rPr>
                              <w:t>REPORTABLE: NO</w:t>
                            </w:r>
                          </w:p>
                          <w:p w14:paraId="683D9261" w14:textId="7FCB8C66" w:rsidR="00242AE2" w:rsidRPr="004120A8" w:rsidRDefault="002B4606" w:rsidP="002B4606">
                            <w:pPr>
                              <w:tabs>
                                <w:tab w:val="left" w:pos="900"/>
                              </w:tabs>
                              <w:spacing w:after="0" w:line="360" w:lineRule="auto"/>
                              <w:ind w:left="900" w:hanging="720"/>
                              <w:jc w:val="both"/>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42AE2" w:rsidRPr="004120A8">
                              <w:rPr>
                                <w:rFonts w:ascii="Century Gothic" w:hAnsi="Century Gothic"/>
                                <w:sz w:val="18"/>
                                <w:szCs w:val="18"/>
                              </w:rPr>
                              <w:t>O</w:t>
                            </w:r>
                            <w:r w:rsidR="00242AE2">
                              <w:rPr>
                                <w:rFonts w:ascii="Century Gothic" w:hAnsi="Century Gothic"/>
                                <w:sz w:val="18"/>
                                <w:szCs w:val="18"/>
                              </w:rPr>
                              <w:t>F INTEREST TO OTHER JUDGES: NO</w:t>
                            </w:r>
                          </w:p>
                          <w:p w14:paraId="1D258189" w14:textId="405E6167" w:rsidR="00242AE2" w:rsidRPr="004120A8" w:rsidRDefault="002B4606" w:rsidP="002B4606">
                            <w:pPr>
                              <w:tabs>
                                <w:tab w:val="left" w:pos="900"/>
                              </w:tabs>
                              <w:spacing w:after="0" w:line="360" w:lineRule="auto"/>
                              <w:ind w:left="900" w:hanging="720"/>
                              <w:jc w:val="both"/>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242AE2" w:rsidRPr="004120A8">
                              <w:rPr>
                                <w:rFonts w:ascii="Century Gothic" w:hAnsi="Century Gothic"/>
                                <w:sz w:val="18"/>
                                <w:szCs w:val="18"/>
                              </w:rPr>
                              <w:t xml:space="preserve">REVISED. </w:t>
                            </w:r>
                          </w:p>
                          <w:p w14:paraId="42E726A2" w14:textId="77777777" w:rsidR="00242AE2" w:rsidRPr="004120A8" w:rsidRDefault="00242AE2" w:rsidP="00242AE2">
                            <w:pPr>
                              <w:rPr>
                                <w:rFonts w:ascii="Century Gothic" w:hAnsi="Century Gothic"/>
                                <w:b/>
                                <w:sz w:val="18"/>
                                <w:szCs w:val="18"/>
                              </w:rPr>
                            </w:pPr>
                          </w:p>
                          <w:p w14:paraId="38C1E1BB" w14:textId="77777777" w:rsidR="00242AE2" w:rsidRPr="004120A8" w:rsidRDefault="00242AE2" w:rsidP="00242AE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0FD845A" w14:textId="77777777" w:rsidR="00242AE2" w:rsidRPr="004120A8" w:rsidRDefault="00242AE2" w:rsidP="00242AE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8CB13C4" w14:textId="77777777" w:rsidR="00242AE2" w:rsidRPr="004120A8" w:rsidRDefault="00242AE2" w:rsidP="00242AE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6FE2E" id="_x0000_t202" coordsize="21600,21600" o:spt="202" path="m,l,21600r21600,l21600,xe">
                <v:stroke joinstyle="miter"/>
                <v:path gradientshapeok="t" o:connecttype="rect"/>
              </v:shapetype>
              <v:shape id="Text Box 2" o:spid="_x0000_s1026" type="#_x0000_t202" style="position:absolute;left:0;text-align:left;margin-left:-10pt;margin-top:18.3pt;width:261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">
                <o:lock v:ext="edit" aspectratio="t" verticies="t" text="t" shapetype="t"/>
                <v:textbox>
                  <w:txbxContent>
                    <w:p w14:paraId="7E1716B6" w14:textId="77777777" w:rsidR="00242AE2" w:rsidRPr="004120A8" w:rsidRDefault="00242AE2" w:rsidP="00242AE2">
                      <w:pPr>
                        <w:jc w:val="center"/>
                        <w:rPr>
                          <w:rFonts w:ascii="Century Gothic" w:hAnsi="Century Gothic"/>
                          <w:b/>
                          <w:sz w:val="2"/>
                          <w:szCs w:val="18"/>
                        </w:rPr>
                      </w:pPr>
                    </w:p>
                    <w:p w14:paraId="56CF42AC" w14:textId="3ED6190B" w:rsidR="00242AE2" w:rsidRPr="004120A8" w:rsidRDefault="002B4606" w:rsidP="002B4606">
                      <w:pPr>
                        <w:tabs>
                          <w:tab w:val="left" w:pos="900"/>
                        </w:tabs>
                        <w:spacing w:after="0" w:line="360" w:lineRule="auto"/>
                        <w:ind w:left="900" w:hanging="720"/>
                        <w:jc w:val="both"/>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42AE2">
                        <w:rPr>
                          <w:rFonts w:ascii="Century Gothic" w:hAnsi="Century Gothic"/>
                          <w:sz w:val="18"/>
                          <w:szCs w:val="18"/>
                        </w:rPr>
                        <w:t>REPORTABLE: NO</w:t>
                      </w:r>
                    </w:p>
                    <w:p w14:paraId="683D9261" w14:textId="7FCB8C66" w:rsidR="00242AE2" w:rsidRPr="004120A8" w:rsidRDefault="002B4606" w:rsidP="002B4606">
                      <w:pPr>
                        <w:tabs>
                          <w:tab w:val="left" w:pos="900"/>
                        </w:tabs>
                        <w:spacing w:after="0" w:line="360" w:lineRule="auto"/>
                        <w:ind w:left="900" w:hanging="720"/>
                        <w:jc w:val="both"/>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42AE2" w:rsidRPr="004120A8">
                        <w:rPr>
                          <w:rFonts w:ascii="Century Gothic" w:hAnsi="Century Gothic"/>
                          <w:sz w:val="18"/>
                          <w:szCs w:val="18"/>
                        </w:rPr>
                        <w:t>O</w:t>
                      </w:r>
                      <w:r w:rsidR="00242AE2">
                        <w:rPr>
                          <w:rFonts w:ascii="Century Gothic" w:hAnsi="Century Gothic"/>
                          <w:sz w:val="18"/>
                          <w:szCs w:val="18"/>
                        </w:rPr>
                        <w:t>F INTEREST TO OTHER JUDGES: NO</w:t>
                      </w:r>
                    </w:p>
                    <w:p w14:paraId="1D258189" w14:textId="405E6167" w:rsidR="00242AE2" w:rsidRPr="004120A8" w:rsidRDefault="002B4606" w:rsidP="002B4606">
                      <w:pPr>
                        <w:tabs>
                          <w:tab w:val="left" w:pos="900"/>
                        </w:tabs>
                        <w:spacing w:after="0" w:line="360" w:lineRule="auto"/>
                        <w:ind w:left="900" w:hanging="720"/>
                        <w:jc w:val="both"/>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242AE2" w:rsidRPr="004120A8">
                        <w:rPr>
                          <w:rFonts w:ascii="Century Gothic" w:hAnsi="Century Gothic"/>
                          <w:sz w:val="18"/>
                          <w:szCs w:val="18"/>
                        </w:rPr>
                        <w:t xml:space="preserve">REVISED. </w:t>
                      </w:r>
                    </w:p>
                    <w:p w14:paraId="42E726A2" w14:textId="77777777" w:rsidR="00242AE2" w:rsidRPr="004120A8" w:rsidRDefault="00242AE2" w:rsidP="00242AE2">
                      <w:pPr>
                        <w:rPr>
                          <w:rFonts w:ascii="Century Gothic" w:hAnsi="Century Gothic"/>
                          <w:b/>
                          <w:sz w:val="18"/>
                          <w:szCs w:val="18"/>
                        </w:rPr>
                      </w:pPr>
                    </w:p>
                    <w:p w14:paraId="38C1E1BB" w14:textId="77777777" w:rsidR="00242AE2" w:rsidRPr="004120A8" w:rsidRDefault="00242AE2" w:rsidP="00242AE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00FD845A" w14:textId="77777777" w:rsidR="00242AE2" w:rsidRPr="004120A8" w:rsidRDefault="00242AE2" w:rsidP="00242AE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8CB13C4" w14:textId="77777777" w:rsidR="00242AE2" w:rsidRPr="004120A8" w:rsidRDefault="00242AE2" w:rsidP="00242AE2">
                      <w:pPr>
                        <w:rPr>
                          <w:rFonts w:ascii="Century Gothic" w:hAnsi="Century Gothic"/>
                          <w:b/>
                          <w:sz w:val="2"/>
                          <w:szCs w:val="18"/>
                        </w:rPr>
                      </w:pPr>
                    </w:p>
                  </w:txbxContent>
                </v:textbox>
              </v:shape>
            </w:pict>
          </mc:Fallback>
        </mc:AlternateContent>
      </w:r>
      <w:r w:rsidRPr="00242AE2">
        <w:rPr>
          <w:rFonts w:ascii="Arial" w:eastAsia="Calibri" w:hAnsi="Arial" w:cs="Arial"/>
          <w:sz w:val="24"/>
          <w:szCs w:val="24"/>
          <w:lang w:val="en-GB"/>
        </w:rPr>
        <w:t xml:space="preserve">                                                                                                </w:t>
      </w:r>
      <w:r w:rsidRPr="00242AE2">
        <w:rPr>
          <w:rFonts w:ascii="Arial" w:eastAsia="Calibri" w:hAnsi="Arial" w:cs="Arial"/>
          <w:b/>
          <w:sz w:val="24"/>
          <w:szCs w:val="24"/>
          <w:lang w:val="en-GB"/>
        </w:rPr>
        <w:t>Case No: 18301/2018</w:t>
      </w:r>
    </w:p>
    <w:p w14:paraId="78F976E8" w14:textId="77777777" w:rsidR="00743FC9" w:rsidRDefault="00743FC9" w:rsidP="00242AE2">
      <w:pPr>
        <w:spacing w:after="0" w:line="360" w:lineRule="auto"/>
        <w:jc w:val="both"/>
        <w:outlineLvl w:val="0"/>
        <w:rPr>
          <w:rFonts w:ascii="Arial" w:eastAsia="Calibri" w:hAnsi="Arial" w:cs="Arial"/>
          <w:b/>
          <w:sz w:val="24"/>
          <w:szCs w:val="24"/>
          <w:lang w:val="en-GB"/>
        </w:rPr>
      </w:pPr>
    </w:p>
    <w:p w14:paraId="5B0EEE92" w14:textId="77777777" w:rsidR="00743FC9" w:rsidRPr="00242AE2" w:rsidRDefault="00743FC9" w:rsidP="00242AE2">
      <w:pPr>
        <w:spacing w:after="0" w:line="360" w:lineRule="auto"/>
        <w:jc w:val="both"/>
        <w:outlineLvl w:val="0"/>
        <w:rPr>
          <w:rFonts w:ascii="Arial" w:eastAsia="Calibri" w:hAnsi="Arial" w:cs="Arial"/>
          <w:b/>
          <w:sz w:val="24"/>
          <w:szCs w:val="24"/>
          <w:lang w:val="en-GB"/>
        </w:rPr>
      </w:pPr>
    </w:p>
    <w:p w14:paraId="3B323A84" w14:textId="77777777" w:rsidR="00242AE2" w:rsidRPr="00242AE2" w:rsidRDefault="00242AE2" w:rsidP="00242AE2">
      <w:pPr>
        <w:spacing w:after="0" w:line="360" w:lineRule="auto"/>
        <w:jc w:val="right"/>
        <w:rPr>
          <w:rFonts w:ascii="Arial" w:eastAsia="Calibri" w:hAnsi="Arial" w:cs="Arial"/>
          <w:sz w:val="24"/>
          <w:szCs w:val="24"/>
          <w:lang w:val="en-GB"/>
        </w:rPr>
      </w:pPr>
    </w:p>
    <w:p w14:paraId="10FBBF1C" w14:textId="77777777" w:rsidR="00242AE2" w:rsidRPr="00242AE2" w:rsidRDefault="00242AE2" w:rsidP="00242AE2">
      <w:pPr>
        <w:spacing w:after="0" w:line="360" w:lineRule="auto"/>
        <w:jc w:val="right"/>
        <w:rPr>
          <w:rFonts w:ascii="Arial" w:eastAsia="Calibri" w:hAnsi="Arial" w:cs="Arial"/>
          <w:b/>
          <w:sz w:val="24"/>
          <w:szCs w:val="24"/>
          <w:lang w:val="en-GB"/>
        </w:rPr>
      </w:pPr>
    </w:p>
    <w:p w14:paraId="24DF50E4" w14:textId="77777777" w:rsidR="00242AE2" w:rsidRPr="00242AE2" w:rsidRDefault="00242AE2" w:rsidP="00242AE2">
      <w:pPr>
        <w:spacing w:after="0" w:line="360" w:lineRule="auto"/>
        <w:rPr>
          <w:rFonts w:ascii="Arial" w:eastAsia="Calibri" w:hAnsi="Arial" w:cs="Arial"/>
          <w:sz w:val="24"/>
          <w:szCs w:val="24"/>
          <w:u w:val="single"/>
        </w:rPr>
      </w:pPr>
    </w:p>
    <w:p w14:paraId="12E7CD26" w14:textId="77777777" w:rsidR="00242AE2" w:rsidRPr="00242AE2" w:rsidRDefault="00242AE2" w:rsidP="00242AE2">
      <w:pPr>
        <w:spacing w:after="0" w:line="360" w:lineRule="auto"/>
        <w:rPr>
          <w:rFonts w:ascii="Arial" w:eastAsia="Calibri" w:hAnsi="Arial" w:cs="Arial"/>
          <w:sz w:val="24"/>
          <w:szCs w:val="24"/>
          <w:u w:val="single"/>
        </w:rPr>
      </w:pPr>
    </w:p>
    <w:p w14:paraId="36B703D0" w14:textId="371CA45A" w:rsidR="00743FC9" w:rsidRPr="00242AE2" w:rsidRDefault="00242AE2" w:rsidP="00242AE2">
      <w:pPr>
        <w:spacing w:after="0" w:line="360" w:lineRule="auto"/>
        <w:jc w:val="both"/>
        <w:rPr>
          <w:rFonts w:ascii="Arial" w:eastAsia="Calibri" w:hAnsi="Arial" w:cs="Times New Roman (Body CS)"/>
          <w:sz w:val="24"/>
          <w:szCs w:val="24"/>
          <w:lang w:val="en-GB"/>
        </w:rPr>
      </w:pPr>
      <w:r w:rsidRPr="00242AE2">
        <w:rPr>
          <w:rFonts w:ascii="Arial" w:eastAsia="Calibri" w:hAnsi="Arial" w:cs="Times New Roman (Body CS)"/>
          <w:sz w:val="24"/>
          <w:szCs w:val="24"/>
          <w:lang w:val="en-GB"/>
        </w:rPr>
        <w:t>In the matter between:</w:t>
      </w:r>
    </w:p>
    <w:p w14:paraId="1C369E23" w14:textId="77777777" w:rsidR="00242AE2" w:rsidRPr="00242AE2" w:rsidRDefault="00242AE2" w:rsidP="00242AE2">
      <w:pPr>
        <w:spacing w:after="0" w:line="240" w:lineRule="auto"/>
        <w:jc w:val="both"/>
        <w:rPr>
          <w:rFonts w:ascii="Arial" w:eastAsia="Calibri" w:hAnsi="Arial" w:cs="Times New Roman (Body CS)"/>
          <w:sz w:val="24"/>
          <w:szCs w:val="24"/>
          <w:lang w:val="en-GB"/>
        </w:rPr>
      </w:pPr>
    </w:p>
    <w:p w14:paraId="765D653A" w14:textId="77777777" w:rsidR="00242AE2" w:rsidRPr="00242AE2" w:rsidRDefault="00242AE2" w:rsidP="00242AE2">
      <w:pPr>
        <w:tabs>
          <w:tab w:val="right" w:pos="8647"/>
        </w:tabs>
        <w:spacing w:after="0" w:line="240" w:lineRule="auto"/>
        <w:jc w:val="both"/>
        <w:rPr>
          <w:rFonts w:ascii="Arial" w:eastAsia="Calibri" w:hAnsi="Arial" w:cs="Times New Roman (Body CS)"/>
          <w:b/>
          <w:bCs/>
          <w:sz w:val="24"/>
          <w:szCs w:val="24"/>
          <w:lang w:val="en-GB"/>
        </w:rPr>
      </w:pPr>
      <w:r w:rsidRPr="00242AE2">
        <w:rPr>
          <w:rFonts w:ascii="Arial" w:eastAsia="Calibri" w:hAnsi="Arial" w:cs="Times New Roman (Body CS)"/>
          <w:b/>
          <w:bCs/>
          <w:sz w:val="24"/>
          <w:szCs w:val="24"/>
          <w:lang w:val="en-GB"/>
        </w:rPr>
        <w:t xml:space="preserve">NEIL ERNEST DELPAUL                                                                                 </w:t>
      </w:r>
      <w:r w:rsidRPr="00242AE2">
        <w:rPr>
          <w:rFonts w:ascii="Arial" w:eastAsia="Calibri" w:hAnsi="Arial" w:cs="Times New Roman (Body CS)"/>
          <w:sz w:val="24"/>
          <w:szCs w:val="24"/>
          <w:lang w:val="en-GB"/>
        </w:rPr>
        <w:t>Plaintiff</w:t>
      </w:r>
    </w:p>
    <w:p w14:paraId="530849DB" w14:textId="60D9D63A" w:rsidR="00743FC9" w:rsidRPr="004661B9" w:rsidRDefault="00242AE2" w:rsidP="004661B9">
      <w:pPr>
        <w:tabs>
          <w:tab w:val="right" w:pos="8647"/>
        </w:tabs>
        <w:spacing w:after="0" w:line="240" w:lineRule="auto"/>
        <w:jc w:val="both"/>
        <w:rPr>
          <w:rFonts w:ascii="Arial" w:eastAsia="Calibri" w:hAnsi="Arial" w:cs="Times New Roman (Body CS)"/>
          <w:b/>
          <w:sz w:val="24"/>
          <w:szCs w:val="24"/>
          <w:lang w:val="en-GB"/>
        </w:rPr>
      </w:pPr>
      <w:r w:rsidRPr="00242AE2">
        <w:rPr>
          <w:rFonts w:ascii="Arial" w:eastAsia="Calibri" w:hAnsi="Arial" w:cs="Times New Roman (Body CS)"/>
          <w:b/>
          <w:sz w:val="24"/>
          <w:szCs w:val="24"/>
          <w:lang w:val="en-GB"/>
        </w:rPr>
        <w:tab/>
      </w:r>
    </w:p>
    <w:p w14:paraId="64A5F152" w14:textId="261A1E47" w:rsidR="00242AE2" w:rsidRPr="00242AE2" w:rsidRDefault="00242AE2" w:rsidP="00242AE2">
      <w:pPr>
        <w:tabs>
          <w:tab w:val="right" w:pos="8647"/>
        </w:tabs>
        <w:spacing w:before="120" w:after="0" w:line="240" w:lineRule="auto"/>
        <w:jc w:val="both"/>
        <w:rPr>
          <w:rFonts w:ascii="Arial" w:eastAsia="Calibri" w:hAnsi="Arial" w:cs="Times New Roman (Body CS)"/>
          <w:sz w:val="24"/>
          <w:szCs w:val="24"/>
          <w:lang w:val="en-GB"/>
        </w:rPr>
      </w:pPr>
      <w:r w:rsidRPr="00242AE2">
        <w:rPr>
          <w:rFonts w:ascii="Arial" w:eastAsia="Calibri" w:hAnsi="Arial" w:cs="Times New Roman (Body CS)"/>
          <w:sz w:val="24"/>
          <w:szCs w:val="24"/>
          <w:lang w:val="en-GB"/>
        </w:rPr>
        <w:t xml:space="preserve">and </w:t>
      </w:r>
    </w:p>
    <w:p w14:paraId="0A3916AF" w14:textId="77777777" w:rsidR="00743FC9" w:rsidRDefault="00743FC9" w:rsidP="00242AE2">
      <w:pPr>
        <w:tabs>
          <w:tab w:val="right" w:pos="8647"/>
        </w:tabs>
        <w:spacing w:beforeLines="60" w:before="144" w:afterLines="60" w:after="144" w:line="240" w:lineRule="auto"/>
        <w:jc w:val="both"/>
        <w:rPr>
          <w:rFonts w:ascii="Arial" w:eastAsia="Calibri" w:hAnsi="Arial" w:cs="Times New Roman (Body CS)"/>
          <w:b/>
          <w:bCs/>
          <w:sz w:val="24"/>
          <w:szCs w:val="24"/>
          <w:lang w:val="en-GB"/>
        </w:rPr>
      </w:pPr>
    </w:p>
    <w:p w14:paraId="2C32666C" w14:textId="1FFC5E7E" w:rsidR="00743FC9" w:rsidRPr="004661B9" w:rsidRDefault="00242AE2" w:rsidP="004661B9">
      <w:pPr>
        <w:tabs>
          <w:tab w:val="right" w:pos="8647"/>
        </w:tabs>
        <w:spacing w:beforeLines="60" w:before="144" w:afterLines="60" w:after="144" w:line="240" w:lineRule="auto"/>
        <w:jc w:val="both"/>
        <w:rPr>
          <w:rFonts w:ascii="Arial" w:eastAsia="Calibri" w:hAnsi="Arial" w:cs="Times New Roman (Body CS)"/>
          <w:bCs/>
          <w:sz w:val="24"/>
          <w:szCs w:val="24"/>
          <w:lang w:val="en-GB"/>
        </w:rPr>
      </w:pPr>
      <w:r w:rsidRPr="00242AE2">
        <w:rPr>
          <w:rFonts w:ascii="Arial" w:eastAsia="Calibri" w:hAnsi="Arial" w:cs="Times New Roman (Body CS)"/>
          <w:b/>
          <w:bCs/>
          <w:sz w:val="24"/>
          <w:szCs w:val="24"/>
          <w:lang w:val="en-GB"/>
        </w:rPr>
        <w:t xml:space="preserve">HOLLARD LIFE ASSURANCE CO. LTD                                                      </w:t>
      </w:r>
      <w:r w:rsidRPr="00242AE2">
        <w:rPr>
          <w:rFonts w:ascii="Arial" w:eastAsia="Calibri" w:hAnsi="Arial" w:cs="Times New Roman (Body CS)"/>
          <w:bCs/>
          <w:sz w:val="24"/>
          <w:szCs w:val="24"/>
          <w:lang w:val="en-GB"/>
        </w:rPr>
        <w:t xml:space="preserve">Defendant </w:t>
      </w:r>
    </w:p>
    <w:p w14:paraId="1613518C" w14:textId="64DD08F0" w:rsidR="00743FC9" w:rsidRDefault="00743FC9" w:rsidP="00743FC9">
      <w:pPr>
        <w:jc w:val="both"/>
        <w:rPr>
          <w:rFonts w:ascii="Arial" w:hAnsi="Arial" w:cs="Arial"/>
          <w:shd w:val="clear" w:color="auto" w:fill="FFFFFF"/>
        </w:rPr>
      </w:pPr>
      <w:r w:rsidRPr="00743FC9">
        <w:rPr>
          <w:rFonts w:ascii="Arial" w:hAnsi="Arial" w:cs="Arial"/>
          <w:shd w:val="clear" w:color="auto" w:fill="FFFFFF"/>
        </w:rPr>
        <w:t>This judgment was handed down electronically by circulation to the parties’ legal</w:t>
      </w:r>
      <w:r>
        <w:rPr>
          <w:rFonts w:ascii="Arial" w:hAnsi="Arial" w:cs="Arial"/>
          <w:shd w:val="clear" w:color="auto" w:fill="FFFFFF"/>
        </w:rPr>
        <w:t xml:space="preserve"> </w:t>
      </w:r>
      <w:r w:rsidRPr="00743FC9">
        <w:rPr>
          <w:rFonts w:ascii="Arial" w:hAnsi="Arial" w:cs="Arial"/>
          <w:shd w:val="clear" w:color="auto" w:fill="FFFFFF"/>
        </w:rPr>
        <w:t>representatives by email. The date and time for hand-down is deemed to be 10h00 on</w:t>
      </w:r>
      <w:r w:rsidR="00905524">
        <w:rPr>
          <w:rFonts w:ascii="Arial" w:hAnsi="Arial" w:cs="Arial"/>
          <w:shd w:val="clear" w:color="auto" w:fill="FFFFFF"/>
        </w:rPr>
        <w:t xml:space="preserve"> 30</w:t>
      </w:r>
      <w:r w:rsidRPr="00743FC9">
        <w:rPr>
          <w:rFonts w:ascii="Arial" w:hAnsi="Arial" w:cs="Arial"/>
          <w:shd w:val="clear" w:color="auto" w:fill="FFFFFF"/>
        </w:rPr>
        <w:t xml:space="preserve">  June 2023</w:t>
      </w:r>
    </w:p>
    <w:p w14:paraId="3778A96B" w14:textId="77777777" w:rsidR="00905524" w:rsidRPr="00242AE2" w:rsidRDefault="00905524" w:rsidP="00242AE2">
      <w:pPr>
        <w:pBdr>
          <w:bottom w:val="single" w:sz="12" w:space="1" w:color="auto"/>
        </w:pBdr>
        <w:tabs>
          <w:tab w:val="right" w:pos="8789"/>
        </w:tabs>
        <w:spacing w:after="0" w:line="360" w:lineRule="auto"/>
        <w:jc w:val="both"/>
        <w:rPr>
          <w:rFonts w:ascii="Arial" w:eastAsia="Calibri" w:hAnsi="Arial" w:cs="Arial"/>
          <w:sz w:val="24"/>
          <w:szCs w:val="24"/>
          <w:lang w:val="en-GB"/>
        </w:rPr>
      </w:pPr>
    </w:p>
    <w:p w14:paraId="1B74601D" w14:textId="77777777" w:rsidR="00242AE2" w:rsidRPr="00242AE2" w:rsidRDefault="00242AE2" w:rsidP="00242AE2">
      <w:pPr>
        <w:tabs>
          <w:tab w:val="right" w:pos="8789"/>
        </w:tabs>
        <w:spacing w:after="0" w:line="360" w:lineRule="auto"/>
        <w:jc w:val="both"/>
        <w:rPr>
          <w:rFonts w:ascii="Arial" w:eastAsia="Calibri" w:hAnsi="Arial" w:cs="Arial"/>
          <w:sz w:val="24"/>
          <w:szCs w:val="24"/>
          <w:lang w:val="en-GB"/>
        </w:rPr>
      </w:pPr>
    </w:p>
    <w:p w14:paraId="5A97E86A" w14:textId="77777777" w:rsidR="00242AE2" w:rsidRPr="00242AE2" w:rsidRDefault="00242AE2" w:rsidP="00242AE2">
      <w:pPr>
        <w:pBdr>
          <w:bottom w:val="single" w:sz="12" w:space="1" w:color="auto"/>
        </w:pBdr>
        <w:tabs>
          <w:tab w:val="right" w:pos="8789"/>
        </w:tabs>
        <w:spacing w:after="0" w:line="240" w:lineRule="auto"/>
        <w:jc w:val="center"/>
        <w:outlineLvl w:val="0"/>
        <w:rPr>
          <w:rFonts w:ascii="Arial" w:eastAsia="Calibri" w:hAnsi="Arial" w:cs="Arial"/>
          <w:b/>
          <w:sz w:val="24"/>
          <w:szCs w:val="24"/>
          <w:lang w:val="en-GB"/>
        </w:rPr>
      </w:pPr>
      <w:r w:rsidRPr="00242AE2">
        <w:rPr>
          <w:rFonts w:ascii="Arial" w:eastAsia="Calibri" w:hAnsi="Arial" w:cs="Arial"/>
          <w:b/>
          <w:sz w:val="24"/>
          <w:szCs w:val="24"/>
          <w:lang w:val="en-GB"/>
        </w:rPr>
        <w:t>JUDGMENT</w:t>
      </w:r>
    </w:p>
    <w:p w14:paraId="10BC06F9" w14:textId="77777777" w:rsidR="00242AE2" w:rsidRPr="00242AE2" w:rsidRDefault="00242AE2" w:rsidP="00242AE2">
      <w:pPr>
        <w:pBdr>
          <w:bottom w:val="single" w:sz="12" w:space="1" w:color="auto"/>
        </w:pBdr>
        <w:tabs>
          <w:tab w:val="right" w:pos="8789"/>
        </w:tabs>
        <w:spacing w:after="0" w:line="240" w:lineRule="auto"/>
        <w:jc w:val="center"/>
        <w:rPr>
          <w:rFonts w:ascii="Arial" w:eastAsia="Calibri" w:hAnsi="Arial" w:cs="Arial"/>
          <w:sz w:val="24"/>
          <w:szCs w:val="24"/>
          <w:lang w:val="en-GB"/>
        </w:rPr>
      </w:pPr>
    </w:p>
    <w:p w14:paraId="1864377B" w14:textId="77777777" w:rsidR="00242AE2" w:rsidRPr="00242AE2" w:rsidRDefault="00242AE2" w:rsidP="00242AE2">
      <w:pPr>
        <w:tabs>
          <w:tab w:val="left" w:pos="567"/>
        </w:tabs>
        <w:spacing w:after="0" w:line="480" w:lineRule="auto"/>
        <w:jc w:val="both"/>
        <w:rPr>
          <w:rFonts w:ascii="Arial" w:eastAsia="Times New Roman" w:hAnsi="Arial" w:cs="Arial"/>
          <w:sz w:val="24"/>
          <w:szCs w:val="24"/>
        </w:rPr>
      </w:pPr>
    </w:p>
    <w:p w14:paraId="57B125ED" w14:textId="77777777" w:rsidR="00242AE2" w:rsidRPr="00242AE2" w:rsidRDefault="00242AE2" w:rsidP="00242AE2">
      <w:pPr>
        <w:tabs>
          <w:tab w:val="left" w:pos="567"/>
        </w:tabs>
        <w:spacing w:after="0" w:line="480" w:lineRule="auto"/>
        <w:jc w:val="both"/>
        <w:outlineLvl w:val="0"/>
        <w:rPr>
          <w:rFonts w:ascii="Arial" w:eastAsia="Times New Roman" w:hAnsi="Arial" w:cs="Arial"/>
          <w:b/>
          <w:sz w:val="24"/>
          <w:szCs w:val="24"/>
        </w:rPr>
      </w:pPr>
      <w:r w:rsidRPr="00242AE2">
        <w:rPr>
          <w:rFonts w:ascii="Arial" w:eastAsia="Times New Roman" w:hAnsi="Arial" w:cs="Arial"/>
          <w:b/>
          <w:sz w:val="24"/>
          <w:szCs w:val="24"/>
        </w:rPr>
        <w:t>INGRID OPPERMAN J</w:t>
      </w:r>
    </w:p>
    <w:p w14:paraId="4208D06F" w14:textId="77777777" w:rsidR="00242AE2" w:rsidRPr="00242AE2" w:rsidRDefault="00242AE2" w:rsidP="00242AE2">
      <w:pPr>
        <w:tabs>
          <w:tab w:val="left" w:pos="567"/>
        </w:tabs>
        <w:spacing w:after="0" w:line="480" w:lineRule="auto"/>
        <w:jc w:val="both"/>
        <w:outlineLvl w:val="0"/>
        <w:rPr>
          <w:rFonts w:ascii="Arial" w:eastAsia="Times New Roman" w:hAnsi="Arial" w:cs="Arial"/>
          <w:b/>
          <w:sz w:val="24"/>
          <w:szCs w:val="24"/>
        </w:rPr>
      </w:pPr>
      <w:r w:rsidRPr="00242AE2">
        <w:rPr>
          <w:rFonts w:ascii="Arial" w:eastAsia="Times New Roman" w:hAnsi="Arial" w:cs="Arial"/>
          <w:b/>
          <w:sz w:val="24"/>
          <w:szCs w:val="24"/>
        </w:rPr>
        <w:t>Introduction</w:t>
      </w:r>
    </w:p>
    <w:p w14:paraId="67311C45" w14:textId="2AE8CF1D" w:rsidR="000F6A1D" w:rsidRDefault="002B4606" w:rsidP="002B4606">
      <w:pPr>
        <w:tabs>
          <w:tab w:val="left" w:pos="851"/>
        </w:tabs>
        <w:spacing w:after="240" w:line="480" w:lineRule="auto"/>
        <w:contextualSpacing/>
        <w:jc w:val="both"/>
        <w:rPr>
          <w:rFonts w:ascii="Arial" w:eastAsia="Calibri" w:hAnsi="Arial" w:cs="Arial"/>
          <w:sz w:val="24"/>
          <w:szCs w:val="24"/>
          <w:lang w:val="en-GB"/>
        </w:rPr>
      </w:pPr>
      <w:r>
        <w:rPr>
          <w:rFonts w:ascii="Arial" w:eastAsia="Calibri" w:hAnsi="Arial" w:cs="Arial"/>
          <w:sz w:val="24"/>
          <w:szCs w:val="24"/>
          <w:lang w:val="en-GB"/>
        </w:rPr>
        <w:t>[</w:t>
      </w:r>
      <w:bookmarkStart w:id="0" w:name="_GoBack"/>
      <w:bookmarkEnd w:id="0"/>
      <w:r>
        <w:rPr>
          <w:rFonts w:ascii="Arial" w:eastAsia="Calibri" w:hAnsi="Arial" w:cs="Arial"/>
          <w:sz w:val="24"/>
          <w:szCs w:val="24"/>
          <w:lang w:val="en-GB"/>
        </w:rPr>
        <w:t>1]</w:t>
      </w:r>
      <w:r>
        <w:rPr>
          <w:rFonts w:ascii="Arial" w:eastAsia="Calibri" w:hAnsi="Arial" w:cs="Arial"/>
          <w:sz w:val="24"/>
          <w:szCs w:val="24"/>
          <w:lang w:val="en-GB"/>
        </w:rPr>
        <w:tab/>
      </w:r>
      <w:r w:rsidR="00F63D6B">
        <w:rPr>
          <w:rFonts w:ascii="Arial" w:eastAsia="Calibri" w:hAnsi="Arial" w:cs="Arial"/>
          <w:sz w:val="24"/>
          <w:szCs w:val="24"/>
          <w:lang w:val="en-GB"/>
        </w:rPr>
        <w:t>This is a trial which traversed the interpretation of an insurance policy and its application to an event which occurred o</w:t>
      </w:r>
      <w:r w:rsidR="00242AE2" w:rsidRPr="00242AE2">
        <w:rPr>
          <w:rFonts w:ascii="Arial" w:eastAsia="Calibri" w:hAnsi="Arial" w:cs="Arial"/>
          <w:sz w:val="24"/>
          <w:szCs w:val="24"/>
          <w:lang w:val="en-GB"/>
        </w:rPr>
        <w:t>n 15 August 2015</w:t>
      </w:r>
      <w:r w:rsidR="00F63D6B">
        <w:rPr>
          <w:rFonts w:ascii="Arial" w:eastAsia="Calibri" w:hAnsi="Arial" w:cs="Arial"/>
          <w:sz w:val="24"/>
          <w:szCs w:val="24"/>
          <w:lang w:val="en-GB"/>
        </w:rPr>
        <w:t xml:space="preserve"> when</w:t>
      </w:r>
      <w:r w:rsidR="00242AE2" w:rsidRPr="00242AE2">
        <w:rPr>
          <w:rFonts w:ascii="Arial" w:eastAsia="Calibri" w:hAnsi="Arial" w:cs="Arial"/>
          <w:sz w:val="24"/>
          <w:szCs w:val="24"/>
          <w:lang w:val="en-GB"/>
        </w:rPr>
        <w:t xml:space="preserve"> Mr Delpaul, the </w:t>
      </w:r>
      <w:r w:rsidR="00242AE2" w:rsidRPr="00242AE2">
        <w:rPr>
          <w:rFonts w:ascii="Arial" w:eastAsia="Calibri" w:hAnsi="Arial" w:cs="Arial"/>
          <w:sz w:val="24"/>
          <w:szCs w:val="24"/>
          <w:lang w:val="en-GB"/>
        </w:rPr>
        <w:lastRenderedPageBreak/>
        <w:t>plaintiff, suffered an acute heart attack</w:t>
      </w:r>
      <w:r w:rsidR="00F63D6B">
        <w:rPr>
          <w:rFonts w:ascii="Arial" w:eastAsia="Calibri" w:hAnsi="Arial" w:cs="Arial"/>
          <w:sz w:val="24"/>
          <w:szCs w:val="24"/>
          <w:lang w:val="en-GB"/>
        </w:rPr>
        <w:t xml:space="preserve">. Thereafter he lodged a claim for payment </w:t>
      </w:r>
      <w:r w:rsidR="00242AE2" w:rsidRPr="00242AE2">
        <w:rPr>
          <w:rFonts w:ascii="Arial" w:eastAsia="Calibri" w:hAnsi="Arial" w:cs="Arial"/>
          <w:sz w:val="24"/>
          <w:szCs w:val="24"/>
          <w:lang w:val="en-GB"/>
        </w:rPr>
        <w:t>in terms of a written agreement of insurance concluded with the defendant (</w:t>
      </w:r>
      <w:r w:rsidR="00242AE2" w:rsidRPr="00242AE2">
        <w:rPr>
          <w:rFonts w:ascii="Arial" w:eastAsia="Calibri" w:hAnsi="Arial" w:cs="Arial"/>
          <w:i/>
          <w:iCs/>
          <w:sz w:val="24"/>
          <w:szCs w:val="24"/>
          <w:lang w:val="en-GB"/>
        </w:rPr>
        <w:t>Hollard</w:t>
      </w:r>
      <w:r w:rsidR="00242AE2" w:rsidRPr="00242AE2">
        <w:rPr>
          <w:rFonts w:ascii="Arial" w:eastAsia="Calibri" w:hAnsi="Arial" w:cs="Arial"/>
          <w:sz w:val="24"/>
          <w:szCs w:val="24"/>
          <w:lang w:val="en-GB"/>
        </w:rPr>
        <w:t>)</w:t>
      </w:r>
      <w:r w:rsidR="00F63D6B">
        <w:rPr>
          <w:rFonts w:ascii="Arial" w:eastAsia="Calibri" w:hAnsi="Arial" w:cs="Arial"/>
          <w:sz w:val="24"/>
          <w:szCs w:val="24"/>
          <w:lang w:val="en-GB"/>
        </w:rPr>
        <w:t xml:space="preserve">. </w:t>
      </w:r>
      <w:r w:rsidR="00242AE2" w:rsidRPr="00242AE2">
        <w:rPr>
          <w:rFonts w:ascii="Arial" w:eastAsia="Calibri" w:hAnsi="Arial" w:cs="Arial"/>
          <w:sz w:val="24"/>
          <w:szCs w:val="24"/>
          <w:lang w:val="en-GB"/>
        </w:rPr>
        <w:t xml:space="preserve"> </w:t>
      </w:r>
      <w:r w:rsidR="00743FC9">
        <w:rPr>
          <w:rFonts w:ascii="Arial" w:eastAsia="Calibri" w:hAnsi="Arial" w:cs="Arial"/>
          <w:sz w:val="24"/>
          <w:szCs w:val="24"/>
          <w:lang w:val="en-GB"/>
        </w:rPr>
        <w:t>Hollard</w:t>
      </w:r>
      <w:r w:rsidR="00F63D6B">
        <w:rPr>
          <w:rFonts w:ascii="Arial" w:eastAsia="Calibri" w:hAnsi="Arial" w:cs="Arial"/>
          <w:sz w:val="24"/>
          <w:szCs w:val="24"/>
          <w:lang w:val="en-GB"/>
        </w:rPr>
        <w:t xml:space="preserve"> interpreted the policy as entitling him to be paid</w:t>
      </w:r>
      <w:r w:rsidR="00242AE2" w:rsidRPr="00242AE2">
        <w:rPr>
          <w:rFonts w:ascii="Arial" w:eastAsia="Calibri" w:hAnsi="Arial" w:cs="Arial"/>
          <w:sz w:val="24"/>
          <w:szCs w:val="24"/>
          <w:lang w:val="en-GB"/>
        </w:rPr>
        <w:t xml:space="preserve"> 25% of the Benefit amount. </w:t>
      </w:r>
      <w:r w:rsidR="00F63D6B">
        <w:rPr>
          <w:rFonts w:ascii="Arial" w:eastAsia="Calibri" w:hAnsi="Arial" w:cs="Arial"/>
          <w:sz w:val="24"/>
          <w:szCs w:val="24"/>
          <w:lang w:val="en-GB"/>
        </w:rPr>
        <w:t xml:space="preserve">Quite how the appropriate percentage of the Benefit amount is to be determined is at the centre of this dispute. Hollard paid him the amount that its interpretation of the policy lead it to conclude that he was due. </w:t>
      </w:r>
      <w:r w:rsidR="00242AE2" w:rsidRPr="00242AE2">
        <w:rPr>
          <w:rFonts w:ascii="Arial" w:eastAsia="Calibri" w:hAnsi="Arial" w:cs="Arial"/>
          <w:sz w:val="24"/>
          <w:szCs w:val="24"/>
          <w:lang w:val="en-GB"/>
        </w:rPr>
        <w:t xml:space="preserve">Mr Delpaul </w:t>
      </w:r>
      <w:r w:rsidR="00F63D6B">
        <w:rPr>
          <w:rFonts w:ascii="Arial" w:eastAsia="Calibri" w:hAnsi="Arial" w:cs="Arial"/>
          <w:sz w:val="24"/>
          <w:szCs w:val="24"/>
          <w:lang w:val="en-GB"/>
        </w:rPr>
        <w:t xml:space="preserve">takes issue with this interpretation and </w:t>
      </w:r>
      <w:r w:rsidR="00242AE2" w:rsidRPr="00242AE2">
        <w:rPr>
          <w:rFonts w:ascii="Arial" w:eastAsia="Calibri" w:hAnsi="Arial" w:cs="Arial"/>
          <w:sz w:val="24"/>
          <w:szCs w:val="24"/>
          <w:lang w:val="en-GB"/>
        </w:rPr>
        <w:t>contends that he is entitle</w:t>
      </w:r>
      <w:r w:rsidR="000F6A1D">
        <w:rPr>
          <w:rFonts w:ascii="Arial" w:eastAsia="Calibri" w:hAnsi="Arial" w:cs="Arial"/>
          <w:sz w:val="24"/>
          <w:szCs w:val="24"/>
          <w:lang w:val="en-GB"/>
        </w:rPr>
        <w:t>d to 100%</w:t>
      </w:r>
      <w:r w:rsidR="00F63D6B">
        <w:rPr>
          <w:rFonts w:ascii="Arial" w:eastAsia="Calibri" w:hAnsi="Arial" w:cs="Arial"/>
          <w:sz w:val="24"/>
          <w:szCs w:val="24"/>
          <w:lang w:val="en-GB"/>
        </w:rPr>
        <w:t xml:space="preserve"> of the Benefit amount</w:t>
      </w:r>
      <w:r w:rsidR="000F6A1D">
        <w:rPr>
          <w:rFonts w:ascii="Arial" w:eastAsia="Calibri" w:hAnsi="Arial" w:cs="Arial"/>
          <w:sz w:val="24"/>
          <w:szCs w:val="24"/>
          <w:lang w:val="en-GB"/>
        </w:rPr>
        <w:t>.</w:t>
      </w:r>
      <w:r w:rsidR="00F63D6B">
        <w:rPr>
          <w:rFonts w:ascii="Arial" w:eastAsia="Calibri" w:hAnsi="Arial" w:cs="Arial"/>
          <w:sz w:val="24"/>
          <w:szCs w:val="24"/>
          <w:lang w:val="en-GB"/>
        </w:rPr>
        <w:t xml:space="preserve"> </w:t>
      </w:r>
    </w:p>
    <w:p w14:paraId="62167D1F" w14:textId="05F1DE46" w:rsidR="006A798D" w:rsidRPr="006A798D" w:rsidRDefault="002B4606" w:rsidP="002B4606">
      <w:pPr>
        <w:tabs>
          <w:tab w:val="left" w:pos="851"/>
        </w:tabs>
        <w:spacing w:after="240" w:line="480" w:lineRule="auto"/>
        <w:contextualSpacing/>
        <w:jc w:val="both"/>
        <w:rPr>
          <w:rFonts w:ascii="Arial" w:eastAsia="Calibri" w:hAnsi="Arial" w:cs="Arial"/>
          <w:sz w:val="24"/>
          <w:szCs w:val="24"/>
          <w:lang w:val="en-GB"/>
        </w:rPr>
      </w:pPr>
      <w:r w:rsidRPr="006A798D">
        <w:rPr>
          <w:rFonts w:ascii="Arial" w:eastAsia="Calibri" w:hAnsi="Arial" w:cs="Arial"/>
          <w:sz w:val="24"/>
          <w:szCs w:val="24"/>
          <w:lang w:val="en-GB"/>
        </w:rPr>
        <w:t>[2]</w:t>
      </w:r>
      <w:r w:rsidRPr="006A798D">
        <w:rPr>
          <w:rFonts w:ascii="Arial" w:eastAsia="Calibri" w:hAnsi="Arial" w:cs="Arial"/>
          <w:sz w:val="24"/>
          <w:szCs w:val="24"/>
          <w:lang w:val="en-GB"/>
        </w:rPr>
        <w:tab/>
      </w:r>
      <w:r w:rsidR="006836C8" w:rsidRPr="000F6A1D">
        <w:rPr>
          <w:rFonts w:ascii="Arial" w:hAnsi="Arial" w:cs="Arial"/>
          <w:sz w:val="24"/>
          <w:szCs w:val="24"/>
        </w:rPr>
        <w:t xml:space="preserve">The </w:t>
      </w:r>
      <w:r w:rsidR="00242AE2" w:rsidRPr="000F6A1D">
        <w:rPr>
          <w:rFonts w:ascii="Arial" w:hAnsi="Arial" w:cs="Arial"/>
          <w:sz w:val="24"/>
          <w:szCs w:val="24"/>
        </w:rPr>
        <w:t>percentage to which Mr Delpaul is entitled is dependent on the interpretation of the policy, the commencement date of which was 1 February 2012 (</w:t>
      </w:r>
      <w:r w:rsidR="00242AE2" w:rsidRPr="00743FC9">
        <w:rPr>
          <w:rFonts w:ascii="Arial" w:hAnsi="Arial" w:cs="Arial"/>
          <w:i/>
          <w:iCs/>
          <w:sz w:val="24"/>
          <w:szCs w:val="24"/>
        </w:rPr>
        <w:t>the policy</w:t>
      </w:r>
      <w:r w:rsidR="00242AE2" w:rsidRPr="000F6A1D">
        <w:rPr>
          <w:rFonts w:ascii="Arial" w:hAnsi="Arial" w:cs="Arial"/>
          <w:sz w:val="24"/>
          <w:szCs w:val="24"/>
        </w:rPr>
        <w:t>).</w:t>
      </w:r>
    </w:p>
    <w:p w14:paraId="13CB0A59" w14:textId="77777777" w:rsidR="006A798D" w:rsidRDefault="00242AE2" w:rsidP="006A798D">
      <w:pPr>
        <w:spacing w:after="240" w:line="480" w:lineRule="auto"/>
        <w:contextualSpacing/>
        <w:jc w:val="both"/>
        <w:rPr>
          <w:rFonts w:ascii="Arial" w:eastAsia="Calibri" w:hAnsi="Arial" w:cs="Arial"/>
          <w:sz w:val="24"/>
          <w:szCs w:val="24"/>
          <w:lang w:val="en-GB"/>
        </w:rPr>
      </w:pPr>
      <w:r w:rsidRPr="006A798D">
        <w:rPr>
          <w:rFonts w:ascii="Arial" w:hAnsi="Arial" w:cs="Arial"/>
          <w:b/>
          <w:sz w:val="24"/>
          <w:szCs w:val="24"/>
        </w:rPr>
        <w:t>The common cause facts</w:t>
      </w:r>
    </w:p>
    <w:p w14:paraId="7F920974" w14:textId="7A2C0612" w:rsidR="00A10E27" w:rsidRDefault="002B4606" w:rsidP="002B4606">
      <w:pPr>
        <w:tabs>
          <w:tab w:val="left" w:pos="851"/>
        </w:tabs>
        <w:spacing w:after="240" w:line="480" w:lineRule="auto"/>
        <w:contextualSpacing/>
        <w:jc w:val="both"/>
        <w:rPr>
          <w:rFonts w:ascii="Arial" w:eastAsia="Calibri" w:hAnsi="Arial" w:cs="Arial"/>
          <w:sz w:val="24"/>
          <w:szCs w:val="24"/>
          <w:lang w:val="en-GB"/>
        </w:rPr>
      </w:pPr>
      <w:r>
        <w:rPr>
          <w:rFonts w:ascii="Arial" w:eastAsia="Calibri" w:hAnsi="Arial" w:cs="Arial"/>
          <w:sz w:val="24"/>
          <w:szCs w:val="24"/>
          <w:lang w:val="en-GB"/>
        </w:rPr>
        <w:t>[3]</w:t>
      </w:r>
      <w:r>
        <w:rPr>
          <w:rFonts w:ascii="Arial" w:eastAsia="Calibri" w:hAnsi="Arial" w:cs="Arial"/>
          <w:sz w:val="24"/>
          <w:szCs w:val="24"/>
          <w:lang w:val="en-GB"/>
        </w:rPr>
        <w:tab/>
      </w:r>
      <w:r w:rsidR="00242AE2" w:rsidRPr="00743FC9">
        <w:rPr>
          <w:rFonts w:ascii="Arial" w:eastAsia="Calibri" w:hAnsi="Arial" w:cs="Arial"/>
          <w:sz w:val="24"/>
          <w:szCs w:val="24"/>
          <w:lang w:val="en-GB"/>
        </w:rPr>
        <w:t>The following facts were, at the commencement of the trial, largely common cause: Mr Delpaul had paid all his monthly premiums as at the date of the heart attack</w:t>
      </w:r>
      <w:r w:rsidR="00A10E27">
        <w:rPr>
          <w:rFonts w:ascii="Arial" w:eastAsia="Calibri" w:hAnsi="Arial" w:cs="Arial"/>
          <w:sz w:val="24"/>
          <w:szCs w:val="24"/>
          <w:lang w:val="en-GB"/>
        </w:rPr>
        <w:t xml:space="preserve"> so the policy was in operation</w:t>
      </w:r>
      <w:r w:rsidR="00242AE2" w:rsidRPr="00743FC9">
        <w:rPr>
          <w:rFonts w:ascii="Arial" w:eastAsia="Calibri" w:hAnsi="Arial" w:cs="Arial"/>
          <w:sz w:val="24"/>
          <w:szCs w:val="24"/>
          <w:lang w:val="en-GB"/>
        </w:rPr>
        <w:t xml:space="preserve">. </w:t>
      </w:r>
      <w:r w:rsidR="00A10E27">
        <w:rPr>
          <w:rFonts w:ascii="Arial" w:eastAsia="Calibri" w:hAnsi="Arial" w:cs="Arial"/>
          <w:sz w:val="24"/>
          <w:szCs w:val="24"/>
          <w:lang w:val="en-GB"/>
        </w:rPr>
        <w:t xml:space="preserve">His previous claims history under the policy is as follows. </w:t>
      </w:r>
    </w:p>
    <w:p w14:paraId="15A57452" w14:textId="3734A85F" w:rsidR="00A10E27" w:rsidRDefault="002B4606" w:rsidP="002B4606">
      <w:pPr>
        <w:tabs>
          <w:tab w:val="left" w:pos="1702"/>
        </w:tabs>
        <w:spacing w:after="240" w:line="480" w:lineRule="auto"/>
        <w:ind w:left="1702" w:hanging="851"/>
        <w:contextualSpacing/>
        <w:jc w:val="both"/>
        <w:rPr>
          <w:rFonts w:ascii="Arial" w:eastAsia="Calibri" w:hAnsi="Arial" w:cs="Arial"/>
          <w:sz w:val="24"/>
          <w:szCs w:val="24"/>
          <w:lang w:val="en-GB"/>
        </w:rPr>
      </w:pPr>
      <w:r>
        <w:rPr>
          <w:rFonts w:ascii="Univers" w:eastAsia="Calibri" w:hAnsi="Univers" w:cs="Arial"/>
          <w:sz w:val="24"/>
          <w:szCs w:val="24"/>
          <w:lang w:val="en-GB"/>
        </w:rPr>
        <w:t>3.1.</w:t>
      </w:r>
      <w:r>
        <w:rPr>
          <w:rFonts w:ascii="Univers" w:eastAsia="Calibri" w:hAnsi="Univers" w:cs="Arial"/>
          <w:sz w:val="24"/>
          <w:szCs w:val="24"/>
          <w:lang w:val="en-GB"/>
        </w:rPr>
        <w:tab/>
      </w:r>
      <w:r w:rsidR="00242AE2" w:rsidRPr="00743FC9">
        <w:rPr>
          <w:rFonts w:ascii="Arial" w:eastAsia="Calibri" w:hAnsi="Arial" w:cs="Arial"/>
          <w:sz w:val="24"/>
          <w:szCs w:val="24"/>
          <w:lang w:val="en-GB"/>
        </w:rPr>
        <w:t>In April 2012 he submitted a claim under the Cardiovascular Benefit Group for ischaemic heart disease and peripheral arterial disease which resulted in a coronary stent and for which he was paid 10% of the Benefit amount (</w:t>
      </w:r>
      <w:r w:rsidR="00242AE2" w:rsidRPr="00743FC9">
        <w:rPr>
          <w:rFonts w:ascii="Arial" w:eastAsia="Calibri" w:hAnsi="Arial" w:cs="Arial"/>
          <w:i/>
          <w:iCs/>
          <w:sz w:val="24"/>
          <w:szCs w:val="24"/>
          <w:lang w:val="en-GB"/>
        </w:rPr>
        <w:t>Event 1</w:t>
      </w:r>
      <w:r w:rsidR="00242AE2" w:rsidRPr="00743FC9">
        <w:rPr>
          <w:rFonts w:ascii="Arial" w:eastAsia="Calibri" w:hAnsi="Arial" w:cs="Arial"/>
          <w:sz w:val="24"/>
          <w:szCs w:val="24"/>
          <w:lang w:val="en-GB"/>
        </w:rPr>
        <w:t xml:space="preserve">). </w:t>
      </w:r>
    </w:p>
    <w:p w14:paraId="6F58A403" w14:textId="64B2B773" w:rsidR="006A798D" w:rsidRPr="00743FC9" w:rsidRDefault="002B4606" w:rsidP="002B4606">
      <w:pPr>
        <w:tabs>
          <w:tab w:val="left" w:pos="1702"/>
        </w:tabs>
        <w:spacing w:after="240" w:line="480" w:lineRule="auto"/>
        <w:ind w:left="1702" w:hanging="851"/>
        <w:contextualSpacing/>
        <w:jc w:val="both"/>
        <w:rPr>
          <w:rFonts w:ascii="Arial" w:eastAsia="Calibri" w:hAnsi="Arial" w:cs="Arial"/>
          <w:sz w:val="24"/>
          <w:szCs w:val="24"/>
          <w:lang w:val="en-GB"/>
        </w:rPr>
      </w:pPr>
      <w:r w:rsidRPr="00743FC9">
        <w:rPr>
          <w:rFonts w:ascii="Univers" w:eastAsia="Calibri" w:hAnsi="Univers" w:cs="Arial"/>
          <w:sz w:val="24"/>
          <w:szCs w:val="24"/>
          <w:lang w:val="en-GB"/>
        </w:rPr>
        <w:t>3.2.</w:t>
      </w:r>
      <w:r w:rsidRPr="00743FC9">
        <w:rPr>
          <w:rFonts w:ascii="Univers" w:eastAsia="Calibri" w:hAnsi="Univers" w:cs="Arial"/>
          <w:sz w:val="24"/>
          <w:szCs w:val="24"/>
          <w:lang w:val="en-GB"/>
        </w:rPr>
        <w:tab/>
      </w:r>
      <w:r w:rsidR="00242AE2" w:rsidRPr="00743FC9">
        <w:rPr>
          <w:rFonts w:ascii="Arial" w:eastAsia="Calibri" w:hAnsi="Arial" w:cs="Arial"/>
          <w:sz w:val="24"/>
          <w:szCs w:val="24"/>
          <w:lang w:val="en-GB"/>
        </w:rPr>
        <w:t>In July 2012, Mr Delpaul submitted a claim for peripheral arterial disease, which resulted in a bi-femoral bypass for which he was paid 90% of the Benefit amount</w:t>
      </w:r>
      <w:r w:rsidR="00242AE2" w:rsidRPr="006A798D">
        <w:rPr>
          <w:rFonts w:ascii="Arial" w:hAnsi="Arial" w:cs="Arial"/>
          <w:sz w:val="24"/>
          <w:szCs w:val="24"/>
        </w:rPr>
        <w:t xml:space="preserve"> (</w:t>
      </w:r>
      <w:r w:rsidR="00242AE2" w:rsidRPr="00743FC9">
        <w:rPr>
          <w:rFonts w:ascii="Arial" w:hAnsi="Arial" w:cs="Arial"/>
          <w:i/>
          <w:iCs/>
          <w:sz w:val="24"/>
          <w:szCs w:val="24"/>
        </w:rPr>
        <w:t>Event 2</w:t>
      </w:r>
      <w:r w:rsidR="00242AE2" w:rsidRPr="006A798D">
        <w:rPr>
          <w:rFonts w:ascii="Arial" w:hAnsi="Arial" w:cs="Arial"/>
          <w:sz w:val="24"/>
          <w:szCs w:val="24"/>
        </w:rPr>
        <w:t xml:space="preserve">). </w:t>
      </w:r>
    </w:p>
    <w:p w14:paraId="3BE6D9B0" w14:textId="09F3AFFA" w:rsidR="00743FC9" w:rsidRDefault="002B4606" w:rsidP="002B4606">
      <w:pPr>
        <w:tabs>
          <w:tab w:val="left" w:pos="1702"/>
        </w:tabs>
        <w:spacing w:after="240" w:line="480" w:lineRule="auto"/>
        <w:ind w:left="1702" w:hanging="851"/>
        <w:contextualSpacing/>
        <w:jc w:val="both"/>
        <w:rPr>
          <w:rFonts w:ascii="Arial" w:eastAsia="Calibri" w:hAnsi="Arial" w:cs="Arial"/>
          <w:sz w:val="24"/>
          <w:szCs w:val="24"/>
          <w:lang w:val="en-GB"/>
        </w:rPr>
      </w:pPr>
      <w:r>
        <w:rPr>
          <w:rFonts w:ascii="Univers" w:eastAsia="Calibri" w:hAnsi="Univers" w:cs="Arial"/>
          <w:sz w:val="24"/>
          <w:szCs w:val="24"/>
          <w:lang w:val="en-GB"/>
        </w:rPr>
        <w:t>3.3.</w:t>
      </w:r>
      <w:r>
        <w:rPr>
          <w:rFonts w:ascii="Univers" w:eastAsia="Calibri" w:hAnsi="Univers" w:cs="Arial"/>
          <w:sz w:val="24"/>
          <w:szCs w:val="24"/>
          <w:lang w:val="en-GB"/>
        </w:rPr>
        <w:tab/>
      </w:r>
      <w:r w:rsidR="00743FC9">
        <w:rPr>
          <w:rFonts w:ascii="Arial" w:eastAsia="Calibri" w:hAnsi="Arial" w:cs="Arial"/>
          <w:sz w:val="24"/>
          <w:szCs w:val="24"/>
          <w:lang w:val="en-GB"/>
        </w:rPr>
        <w:t xml:space="preserve">On 15 August 2015 Mr Delpaul suffered </w:t>
      </w:r>
      <w:r w:rsidR="00A10E27">
        <w:rPr>
          <w:rFonts w:ascii="Arial" w:eastAsia="Calibri" w:hAnsi="Arial" w:cs="Arial"/>
          <w:sz w:val="24"/>
          <w:szCs w:val="24"/>
          <w:lang w:val="en-GB"/>
        </w:rPr>
        <w:t xml:space="preserve">the </w:t>
      </w:r>
      <w:r w:rsidR="00743FC9">
        <w:rPr>
          <w:rFonts w:ascii="Arial" w:eastAsia="Calibri" w:hAnsi="Arial" w:cs="Arial"/>
          <w:sz w:val="24"/>
          <w:szCs w:val="24"/>
          <w:lang w:val="en-GB"/>
        </w:rPr>
        <w:t xml:space="preserve">acute heart attack </w:t>
      </w:r>
      <w:r w:rsidR="00A10E27">
        <w:rPr>
          <w:rFonts w:ascii="Arial" w:eastAsia="Calibri" w:hAnsi="Arial" w:cs="Arial"/>
          <w:sz w:val="24"/>
          <w:szCs w:val="24"/>
          <w:lang w:val="en-GB"/>
        </w:rPr>
        <w:t xml:space="preserve">mentioned in paragraph [1] of this judgment. For that he was paid </w:t>
      </w:r>
      <w:r w:rsidR="00743FC9">
        <w:rPr>
          <w:rFonts w:ascii="Arial" w:eastAsia="Calibri" w:hAnsi="Arial" w:cs="Arial"/>
          <w:sz w:val="24"/>
          <w:szCs w:val="24"/>
          <w:lang w:val="en-GB"/>
        </w:rPr>
        <w:t>out 25% of the Benefit amount (</w:t>
      </w:r>
      <w:r w:rsidR="00743FC9" w:rsidRPr="00743FC9">
        <w:rPr>
          <w:rFonts w:ascii="Arial" w:eastAsia="Calibri" w:hAnsi="Arial" w:cs="Arial"/>
          <w:i/>
          <w:iCs/>
          <w:sz w:val="24"/>
          <w:szCs w:val="24"/>
          <w:lang w:val="en-GB"/>
        </w:rPr>
        <w:t>Event 3</w:t>
      </w:r>
      <w:r w:rsidR="00743FC9">
        <w:rPr>
          <w:rFonts w:ascii="Arial" w:eastAsia="Calibri" w:hAnsi="Arial" w:cs="Arial"/>
          <w:sz w:val="24"/>
          <w:szCs w:val="24"/>
          <w:lang w:val="en-GB"/>
        </w:rPr>
        <w:t xml:space="preserve">). </w:t>
      </w:r>
    </w:p>
    <w:p w14:paraId="36990352" w14:textId="77777777" w:rsidR="006A798D" w:rsidRDefault="00242AE2" w:rsidP="006A798D">
      <w:pPr>
        <w:spacing w:after="240" w:line="480" w:lineRule="auto"/>
        <w:contextualSpacing/>
        <w:jc w:val="both"/>
        <w:rPr>
          <w:rFonts w:ascii="Arial" w:eastAsia="Calibri" w:hAnsi="Arial" w:cs="Arial"/>
          <w:sz w:val="24"/>
          <w:szCs w:val="24"/>
          <w:lang w:val="en-GB"/>
        </w:rPr>
      </w:pPr>
      <w:r w:rsidRPr="006A798D">
        <w:rPr>
          <w:rFonts w:ascii="Arial" w:hAnsi="Arial" w:cs="Arial"/>
          <w:b/>
          <w:sz w:val="24"/>
          <w:szCs w:val="24"/>
        </w:rPr>
        <w:lastRenderedPageBreak/>
        <w:t>The Policy</w:t>
      </w:r>
    </w:p>
    <w:p w14:paraId="272140ED" w14:textId="65BC757A" w:rsidR="006A798D" w:rsidRDefault="002B4606" w:rsidP="002B4606">
      <w:pPr>
        <w:tabs>
          <w:tab w:val="left" w:pos="851"/>
        </w:tabs>
        <w:spacing w:after="240" w:line="480" w:lineRule="auto"/>
        <w:contextualSpacing/>
        <w:jc w:val="both"/>
        <w:rPr>
          <w:rFonts w:ascii="Arial" w:eastAsia="Calibri" w:hAnsi="Arial" w:cs="Arial"/>
          <w:sz w:val="24"/>
          <w:szCs w:val="24"/>
          <w:lang w:val="en-GB"/>
        </w:rPr>
      </w:pPr>
      <w:r>
        <w:rPr>
          <w:rFonts w:ascii="Arial" w:eastAsia="Calibri" w:hAnsi="Arial" w:cs="Arial"/>
          <w:sz w:val="24"/>
          <w:szCs w:val="24"/>
          <w:lang w:val="en-GB"/>
        </w:rPr>
        <w:t>[4]</w:t>
      </w:r>
      <w:r>
        <w:rPr>
          <w:rFonts w:ascii="Arial" w:eastAsia="Calibri" w:hAnsi="Arial" w:cs="Arial"/>
          <w:sz w:val="24"/>
          <w:szCs w:val="24"/>
          <w:lang w:val="en-GB"/>
        </w:rPr>
        <w:tab/>
      </w:r>
      <w:r w:rsidR="00242AE2" w:rsidRPr="006A798D">
        <w:rPr>
          <w:rFonts w:ascii="Arial" w:hAnsi="Arial" w:cs="Arial"/>
          <w:sz w:val="24"/>
          <w:szCs w:val="24"/>
        </w:rPr>
        <w:t>The policy provides that the ‘Benefit’ as specified in the schedule (</w:t>
      </w:r>
      <w:r w:rsidR="00242AE2" w:rsidRPr="00743FC9">
        <w:rPr>
          <w:rFonts w:ascii="Arial" w:hAnsi="Arial" w:cs="Arial"/>
          <w:i/>
          <w:iCs/>
          <w:sz w:val="24"/>
          <w:szCs w:val="24"/>
        </w:rPr>
        <w:t>Benefit amount)</w:t>
      </w:r>
      <w:r w:rsidR="00242AE2" w:rsidRPr="006A798D">
        <w:rPr>
          <w:rFonts w:ascii="Arial" w:hAnsi="Arial" w:cs="Arial"/>
          <w:sz w:val="24"/>
          <w:szCs w:val="24"/>
        </w:rPr>
        <w:t xml:space="preserve"> shall be payable if Mr Delpaul suffers one of the </w:t>
      </w:r>
      <w:r w:rsidR="00242AE2" w:rsidRPr="00743FC9">
        <w:rPr>
          <w:rFonts w:ascii="Arial" w:hAnsi="Arial" w:cs="Arial"/>
          <w:b/>
          <w:bCs/>
          <w:sz w:val="24"/>
          <w:szCs w:val="24"/>
        </w:rPr>
        <w:t>events</w:t>
      </w:r>
      <w:r w:rsidR="00242AE2" w:rsidRPr="006A798D">
        <w:rPr>
          <w:rFonts w:ascii="Arial" w:hAnsi="Arial" w:cs="Arial"/>
          <w:sz w:val="24"/>
          <w:szCs w:val="24"/>
        </w:rPr>
        <w:t xml:space="preserve"> or conditions described in the policy. The amount payable </w:t>
      </w:r>
      <w:r w:rsidR="00A10E27">
        <w:rPr>
          <w:rFonts w:ascii="Arial" w:hAnsi="Arial" w:cs="Arial"/>
          <w:sz w:val="24"/>
          <w:szCs w:val="24"/>
        </w:rPr>
        <w:t xml:space="preserve">under the policy </w:t>
      </w:r>
      <w:r w:rsidR="00242AE2" w:rsidRPr="006A798D">
        <w:rPr>
          <w:rFonts w:ascii="Arial" w:hAnsi="Arial" w:cs="Arial"/>
          <w:sz w:val="24"/>
          <w:szCs w:val="24"/>
        </w:rPr>
        <w:t xml:space="preserve">is </w:t>
      </w:r>
      <w:r w:rsidR="00A10E27">
        <w:rPr>
          <w:rFonts w:ascii="Arial" w:hAnsi="Arial" w:cs="Arial"/>
          <w:sz w:val="24"/>
          <w:szCs w:val="24"/>
        </w:rPr>
        <w:t xml:space="preserve">expressed to be </w:t>
      </w:r>
      <w:r w:rsidR="00242AE2" w:rsidRPr="006A798D">
        <w:rPr>
          <w:rFonts w:ascii="Arial" w:hAnsi="Arial" w:cs="Arial"/>
          <w:sz w:val="24"/>
          <w:szCs w:val="24"/>
        </w:rPr>
        <w:t xml:space="preserve">a percentage of the Benefit amount as reflected for each event. The policy describes (under headings) 13 separate </w:t>
      </w:r>
      <w:r w:rsidR="00242AE2" w:rsidRPr="00743FC9">
        <w:rPr>
          <w:rFonts w:ascii="Arial" w:hAnsi="Arial" w:cs="Arial"/>
          <w:b/>
          <w:bCs/>
          <w:sz w:val="24"/>
          <w:szCs w:val="24"/>
        </w:rPr>
        <w:t>Benefit Groups</w:t>
      </w:r>
      <w:r w:rsidR="00242AE2" w:rsidRPr="006A798D">
        <w:rPr>
          <w:rFonts w:ascii="Arial" w:hAnsi="Arial" w:cs="Arial"/>
          <w:sz w:val="24"/>
          <w:szCs w:val="24"/>
        </w:rPr>
        <w:t>. By way of example, it mentions a Cardiovascular Benefit Group, a Cancer Benefit Group and the 13th and last Benefit Group is a ‘Catch-all’ Benefit Group.</w:t>
      </w:r>
      <w:r w:rsidR="00A10E27">
        <w:rPr>
          <w:rFonts w:ascii="Arial" w:hAnsi="Arial" w:cs="Arial"/>
          <w:sz w:val="24"/>
          <w:szCs w:val="24"/>
        </w:rPr>
        <w:t xml:space="preserve"> </w:t>
      </w:r>
    </w:p>
    <w:p w14:paraId="035E79C8" w14:textId="2C8E2F61" w:rsidR="006A798D" w:rsidRPr="00743FC9" w:rsidRDefault="002B4606" w:rsidP="002B4606">
      <w:pPr>
        <w:tabs>
          <w:tab w:val="left" w:pos="851"/>
        </w:tabs>
        <w:spacing w:after="240" w:line="480" w:lineRule="auto"/>
        <w:contextualSpacing/>
        <w:jc w:val="both"/>
        <w:rPr>
          <w:rFonts w:ascii="Arial" w:eastAsia="Calibri" w:hAnsi="Arial" w:cs="Arial"/>
          <w:sz w:val="24"/>
          <w:szCs w:val="24"/>
          <w:lang w:val="en-GB"/>
        </w:rPr>
      </w:pPr>
      <w:r w:rsidRPr="00743FC9">
        <w:rPr>
          <w:rFonts w:ascii="Arial" w:eastAsia="Calibri" w:hAnsi="Arial" w:cs="Arial"/>
          <w:sz w:val="24"/>
          <w:szCs w:val="24"/>
          <w:lang w:val="en-GB"/>
        </w:rPr>
        <w:t>[5]</w:t>
      </w:r>
      <w:r w:rsidRPr="00743FC9">
        <w:rPr>
          <w:rFonts w:ascii="Arial" w:eastAsia="Calibri" w:hAnsi="Arial" w:cs="Arial"/>
          <w:sz w:val="24"/>
          <w:szCs w:val="24"/>
          <w:lang w:val="en-GB"/>
        </w:rPr>
        <w:tab/>
      </w:r>
      <w:r w:rsidR="00242AE2" w:rsidRPr="006A798D">
        <w:rPr>
          <w:rFonts w:ascii="Arial" w:hAnsi="Arial" w:cs="Arial"/>
          <w:sz w:val="24"/>
          <w:szCs w:val="24"/>
        </w:rPr>
        <w:t>Each Group identifies ‘Events’ under sub-headings. The Cardiovascular Benefit Group identifies 12 events and provides that only one payment will be made per cardiovascular event with a single event being defined as all cardiovascular conditions or procedures that occur within a 30 day period.</w:t>
      </w:r>
    </w:p>
    <w:p w14:paraId="5A729E22" w14:textId="0B3A4D69" w:rsidR="006A798D" w:rsidRDefault="00880998" w:rsidP="006A798D">
      <w:pPr>
        <w:spacing w:after="240" w:line="480" w:lineRule="auto"/>
        <w:contextualSpacing/>
        <w:jc w:val="both"/>
        <w:rPr>
          <w:rFonts w:ascii="Arial" w:eastAsia="Calibri" w:hAnsi="Arial" w:cs="Arial"/>
          <w:sz w:val="24"/>
          <w:szCs w:val="24"/>
          <w:lang w:val="en-GB"/>
        </w:rPr>
      </w:pPr>
      <w:r>
        <w:rPr>
          <w:rFonts w:ascii="Arial" w:hAnsi="Arial" w:cs="Arial"/>
          <w:b/>
          <w:sz w:val="24"/>
          <w:szCs w:val="24"/>
        </w:rPr>
        <w:t>Evidence presented</w:t>
      </w:r>
    </w:p>
    <w:p w14:paraId="6A2825DA" w14:textId="759D91A1" w:rsidR="00880998" w:rsidRPr="00880998" w:rsidRDefault="00880998" w:rsidP="00880998">
      <w:pPr>
        <w:spacing w:after="240" w:line="480" w:lineRule="auto"/>
        <w:contextualSpacing/>
        <w:jc w:val="both"/>
        <w:rPr>
          <w:rFonts w:ascii="Arial" w:eastAsia="Calibri" w:hAnsi="Arial" w:cs="Arial"/>
          <w:sz w:val="24"/>
          <w:szCs w:val="24"/>
          <w:u w:val="single"/>
          <w:lang w:val="en-GB"/>
        </w:rPr>
      </w:pPr>
      <w:r w:rsidRPr="00880998">
        <w:rPr>
          <w:rFonts w:ascii="Arial" w:eastAsia="Calibri" w:hAnsi="Arial" w:cs="Arial"/>
          <w:sz w:val="24"/>
          <w:szCs w:val="24"/>
          <w:u w:val="single"/>
          <w:lang w:val="en-GB"/>
        </w:rPr>
        <w:t>Mrs Gonnerman - Hollard</w:t>
      </w:r>
    </w:p>
    <w:p w14:paraId="7A296C31" w14:textId="6D212B7C" w:rsidR="006A798D" w:rsidRDefault="002B4606" w:rsidP="002B4606">
      <w:pPr>
        <w:tabs>
          <w:tab w:val="left" w:pos="851"/>
        </w:tabs>
        <w:spacing w:after="240" w:line="480" w:lineRule="auto"/>
        <w:contextualSpacing/>
        <w:jc w:val="both"/>
        <w:rPr>
          <w:rFonts w:ascii="Arial" w:eastAsia="Calibri" w:hAnsi="Arial" w:cs="Arial"/>
          <w:sz w:val="24"/>
          <w:szCs w:val="24"/>
          <w:lang w:val="en-GB"/>
        </w:rPr>
      </w:pPr>
      <w:r>
        <w:rPr>
          <w:rFonts w:ascii="Arial" w:eastAsia="Calibri" w:hAnsi="Arial" w:cs="Arial"/>
          <w:sz w:val="24"/>
          <w:szCs w:val="24"/>
          <w:lang w:val="en-GB"/>
        </w:rPr>
        <w:t>[6]</w:t>
      </w:r>
      <w:r>
        <w:rPr>
          <w:rFonts w:ascii="Arial" w:eastAsia="Calibri" w:hAnsi="Arial" w:cs="Arial"/>
          <w:sz w:val="24"/>
          <w:szCs w:val="24"/>
          <w:lang w:val="en-GB"/>
        </w:rPr>
        <w:tab/>
      </w:r>
      <w:r w:rsidR="006836C8" w:rsidRPr="006A798D">
        <w:rPr>
          <w:rFonts w:ascii="Arial" w:hAnsi="Arial" w:cs="Arial"/>
          <w:sz w:val="24"/>
          <w:szCs w:val="24"/>
        </w:rPr>
        <w:t xml:space="preserve">The Benefit amount at the time that the claim was instituted </w:t>
      </w:r>
      <w:r w:rsidR="00743FC9">
        <w:rPr>
          <w:rFonts w:ascii="Arial" w:hAnsi="Arial" w:cs="Arial"/>
          <w:sz w:val="24"/>
          <w:szCs w:val="24"/>
        </w:rPr>
        <w:t>(</w:t>
      </w:r>
      <w:r w:rsidR="006836C8" w:rsidRPr="006A798D">
        <w:rPr>
          <w:rFonts w:ascii="Arial" w:hAnsi="Arial" w:cs="Arial"/>
          <w:sz w:val="24"/>
          <w:szCs w:val="24"/>
        </w:rPr>
        <w:t>had no claims been made prior thereto</w:t>
      </w:r>
      <w:r w:rsidR="00743FC9">
        <w:rPr>
          <w:rFonts w:ascii="Arial" w:hAnsi="Arial" w:cs="Arial"/>
          <w:sz w:val="24"/>
          <w:szCs w:val="24"/>
        </w:rPr>
        <w:t>)</w:t>
      </w:r>
      <w:r w:rsidR="006836C8" w:rsidRPr="006A798D">
        <w:rPr>
          <w:rFonts w:ascii="Arial" w:hAnsi="Arial" w:cs="Arial"/>
          <w:sz w:val="24"/>
          <w:szCs w:val="24"/>
        </w:rPr>
        <w:t xml:space="preserve"> was R 2 315 250 (</w:t>
      </w:r>
      <w:r w:rsidR="006836C8" w:rsidRPr="00743FC9">
        <w:rPr>
          <w:rFonts w:ascii="Arial" w:hAnsi="Arial" w:cs="Arial"/>
          <w:i/>
          <w:iCs/>
          <w:sz w:val="24"/>
          <w:szCs w:val="24"/>
        </w:rPr>
        <w:t>R</w:t>
      </w:r>
      <w:r w:rsidR="00743FC9" w:rsidRPr="00743FC9">
        <w:rPr>
          <w:rFonts w:ascii="Arial" w:hAnsi="Arial" w:cs="Arial"/>
          <w:i/>
          <w:iCs/>
          <w:sz w:val="24"/>
          <w:szCs w:val="24"/>
        </w:rPr>
        <w:t xml:space="preserve"> </w:t>
      </w:r>
      <w:r w:rsidR="006836C8" w:rsidRPr="00743FC9">
        <w:rPr>
          <w:rFonts w:ascii="Arial" w:hAnsi="Arial" w:cs="Arial"/>
          <w:i/>
          <w:iCs/>
          <w:sz w:val="24"/>
          <w:szCs w:val="24"/>
        </w:rPr>
        <w:t>2,3 million</w:t>
      </w:r>
      <w:r w:rsidR="006836C8" w:rsidRPr="006A798D">
        <w:rPr>
          <w:rFonts w:ascii="Arial" w:hAnsi="Arial" w:cs="Arial"/>
          <w:sz w:val="24"/>
          <w:szCs w:val="24"/>
        </w:rPr>
        <w:t xml:space="preserve">). Hollard contends that the Benefit amount is static and upon each claim being submitted under a particular Benefit Group, the balance reduces. </w:t>
      </w:r>
    </w:p>
    <w:p w14:paraId="22289EF2" w14:textId="3809DAF1" w:rsidR="006A798D" w:rsidRDefault="002B4606" w:rsidP="002B4606">
      <w:pPr>
        <w:tabs>
          <w:tab w:val="left" w:pos="851"/>
        </w:tabs>
        <w:spacing w:after="240" w:line="480" w:lineRule="auto"/>
        <w:contextualSpacing/>
        <w:jc w:val="both"/>
        <w:rPr>
          <w:rFonts w:ascii="Arial" w:eastAsia="Calibri" w:hAnsi="Arial" w:cs="Arial"/>
          <w:sz w:val="24"/>
          <w:szCs w:val="24"/>
          <w:lang w:val="en-GB"/>
        </w:rPr>
      </w:pPr>
      <w:r>
        <w:rPr>
          <w:rFonts w:ascii="Arial" w:eastAsia="Calibri" w:hAnsi="Arial" w:cs="Arial"/>
          <w:sz w:val="24"/>
          <w:szCs w:val="24"/>
          <w:lang w:val="en-GB"/>
        </w:rPr>
        <w:t>[7]</w:t>
      </w:r>
      <w:r>
        <w:rPr>
          <w:rFonts w:ascii="Arial" w:eastAsia="Calibri" w:hAnsi="Arial" w:cs="Arial"/>
          <w:sz w:val="24"/>
          <w:szCs w:val="24"/>
          <w:lang w:val="en-GB"/>
        </w:rPr>
        <w:tab/>
      </w:r>
      <w:r w:rsidR="006836C8" w:rsidRPr="006A798D">
        <w:rPr>
          <w:rFonts w:ascii="Arial" w:hAnsi="Arial" w:cs="Arial"/>
          <w:sz w:val="24"/>
          <w:szCs w:val="24"/>
        </w:rPr>
        <w:t>Hollard called Ms Gonnerman, a senior claims manager, to provide context to the policy</w:t>
      </w:r>
      <w:r w:rsidR="00880998">
        <w:rPr>
          <w:rFonts w:ascii="Arial" w:hAnsi="Arial" w:cs="Arial"/>
          <w:sz w:val="24"/>
          <w:szCs w:val="24"/>
        </w:rPr>
        <w:t xml:space="preserve">. She </w:t>
      </w:r>
      <w:r w:rsidR="006836C8" w:rsidRPr="006A798D">
        <w:rPr>
          <w:rFonts w:ascii="Arial" w:hAnsi="Arial" w:cs="Arial"/>
          <w:sz w:val="24"/>
          <w:szCs w:val="24"/>
        </w:rPr>
        <w:t>explained that the Benefit amount would reduce by the amount of any payment made and that the remaining balance would be available for further claims. The Benefit amount would reduce according to the percentage pay-out of the event</w:t>
      </w:r>
      <w:r w:rsidR="00743FC9">
        <w:rPr>
          <w:rFonts w:ascii="Arial" w:hAnsi="Arial" w:cs="Arial"/>
          <w:sz w:val="24"/>
          <w:szCs w:val="24"/>
        </w:rPr>
        <w:t xml:space="preserve"> on which the claim is based</w:t>
      </w:r>
      <w:r w:rsidR="006836C8" w:rsidRPr="006A798D">
        <w:rPr>
          <w:rFonts w:ascii="Arial" w:hAnsi="Arial" w:cs="Arial"/>
          <w:sz w:val="24"/>
          <w:szCs w:val="24"/>
        </w:rPr>
        <w:t xml:space="preserve"> until such time as there was no longer any benefit in respect of events falling under that particular Benefit Group. When the 100% pay-out point is reached, the cover in respect of the events falling under that Benefit Group </w:t>
      </w:r>
      <w:r w:rsidR="006836C8" w:rsidRPr="006A798D">
        <w:rPr>
          <w:rFonts w:ascii="Arial" w:hAnsi="Arial" w:cs="Arial"/>
          <w:sz w:val="24"/>
          <w:szCs w:val="24"/>
        </w:rPr>
        <w:lastRenderedPageBreak/>
        <w:t>would be endorsed to reflect 100% pay-out. The insured would then have to wait for 90 days for the Benefit amount to be reinstated but it would be limited to</w:t>
      </w:r>
      <w:r w:rsidR="00743FC9">
        <w:rPr>
          <w:rFonts w:ascii="Arial" w:hAnsi="Arial" w:cs="Arial"/>
          <w:sz w:val="24"/>
          <w:szCs w:val="24"/>
        </w:rPr>
        <w:t xml:space="preserve"> </w:t>
      </w:r>
      <w:r w:rsidR="006836C8" w:rsidRPr="006A798D">
        <w:rPr>
          <w:rFonts w:ascii="Arial" w:hAnsi="Arial" w:cs="Arial"/>
          <w:sz w:val="24"/>
          <w:szCs w:val="24"/>
        </w:rPr>
        <w:t>a pay-out of 25% if made before Mr Delpaul reached 75 years of age and 15% thereafter.</w:t>
      </w:r>
    </w:p>
    <w:p w14:paraId="1A341314" w14:textId="5F616FC6" w:rsidR="004D48A2" w:rsidRPr="00880998" w:rsidRDefault="002B4606" w:rsidP="002B4606">
      <w:pPr>
        <w:tabs>
          <w:tab w:val="left" w:pos="851"/>
        </w:tabs>
        <w:spacing w:after="240" w:line="480" w:lineRule="auto"/>
        <w:contextualSpacing/>
        <w:jc w:val="both"/>
        <w:rPr>
          <w:rFonts w:ascii="Arial" w:eastAsia="Calibri" w:hAnsi="Arial" w:cs="Arial"/>
          <w:sz w:val="24"/>
          <w:szCs w:val="24"/>
          <w:lang w:val="en-GB"/>
        </w:rPr>
      </w:pPr>
      <w:r w:rsidRPr="00880998">
        <w:rPr>
          <w:rFonts w:ascii="Arial" w:eastAsia="Calibri" w:hAnsi="Arial" w:cs="Arial"/>
          <w:sz w:val="24"/>
          <w:szCs w:val="24"/>
          <w:lang w:val="en-GB"/>
        </w:rPr>
        <w:t>[8]</w:t>
      </w:r>
      <w:r w:rsidRPr="00880998">
        <w:rPr>
          <w:rFonts w:ascii="Arial" w:eastAsia="Calibri" w:hAnsi="Arial" w:cs="Arial"/>
          <w:sz w:val="24"/>
          <w:szCs w:val="24"/>
          <w:lang w:val="en-GB"/>
        </w:rPr>
        <w:tab/>
      </w:r>
      <w:r w:rsidR="006836C8" w:rsidRPr="006A798D">
        <w:rPr>
          <w:rFonts w:ascii="Arial" w:hAnsi="Arial" w:cs="Arial"/>
          <w:sz w:val="24"/>
          <w:szCs w:val="24"/>
        </w:rPr>
        <w:t xml:space="preserve">She explained the reinstatement of the Benefit amount relevant to </w:t>
      </w:r>
      <w:r w:rsidR="00186803">
        <w:rPr>
          <w:rFonts w:ascii="Arial" w:hAnsi="Arial" w:cs="Arial"/>
          <w:sz w:val="24"/>
          <w:szCs w:val="24"/>
        </w:rPr>
        <w:t xml:space="preserve">                        </w:t>
      </w:r>
      <w:r w:rsidR="006836C8" w:rsidRPr="006A798D">
        <w:rPr>
          <w:rFonts w:ascii="Arial" w:hAnsi="Arial" w:cs="Arial"/>
          <w:sz w:val="24"/>
          <w:szCs w:val="24"/>
        </w:rPr>
        <w:t xml:space="preserve">Mr Delpaul’s claim as follows: After 100% of the Benefit amount was paid which occurred after Events 1 and 2, </w:t>
      </w:r>
      <w:r w:rsidR="00A10E27">
        <w:rPr>
          <w:rFonts w:ascii="Arial" w:hAnsi="Arial" w:cs="Arial"/>
          <w:sz w:val="24"/>
          <w:szCs w:val="24"/>
        </w:rPr>
        <w:t xml:space="preserve">(both of which fell within the </w:t>
      </w:r>
      <w:r w:rsidR="004D48A2" w:rsidRPr="006A798D">
        <w:rPr>
          <w:rFonts w:ascii="Arial" w:hAnsi="Arial" w:cs="Arial"/>
          <w:sz w:val="24"/>
          <w:szCs w:val="24"/>
        </w:rPr>
        <w:t>Cardiovascular Benefit Group</w:t>
      </w:r>
      <w:r w:rsidR="004D48A2">
        <w:rPr>
          <w:rFonts w:ascii="Arial" w:hAnsi="Arial" w:cs="Arial"/>
          <w:sz w:val="24"/>
          <w:szCs w:val="24"/>
        </w:rPr>
        <w:t xml:space="preserve">) </w:t>
      </w:r>
      <w:r w:rsidR="006836C8" w:rsidRPr="006A798D">
        <w:rPr>
          <w:rFonts w:ascii="Arial" w:hAnsi="Arial" w:cs="Arial"/>
          <w:sz w:val="24"/>
          <w:szCs w:val="24"/>
        </w:rPr>
        <w:t xml:space="preserve">the Benefit amount automatically reinstated after 90 days </w:t>
      </w:r>
      <w:r w:rsidR="004D48A2">
        <w:rPr>
          <w:rFonts w:ascii="Arial" w:hAnsi="Arial" w:cs="Arial"/>
          <w:sz w:val="24"/>
          <w:szCs w:val="24"/>
        </w:rPr>
        <w:t xml:space="preserve">up </w:t>
      </w:r>
      <w:r w:rsidR="006836C8" w:rsidRPr="006A798D">
        <w:rPr>
          <w:rFonts w:ascii="Arial" w:hAnsi="Arial" w:cs="Arial"/>
          <w:sz w:val="24"/>
          <w:szCs w:val="24"/>
        </w:rPr>
        <w:t xml:space="preserve">to 25% (as </w:t>
      </w:r>
      <w:r w:rsidR="00186803">
        <w:rPr>
          <w:rFonts w:ascii="Arial" w:hAnsi="Arial" w:cs="Arial"/>
          <w:sz w:val="24"/>
          <w:szCs w:val="24"/>
        </w:rPr>
        <w:t xml:space="preserve">             </w:t>
      </w:r>
      <w:r w:rsidR="006836C8" w:rsidRPr="006A798D">
        <w:rPr>
          <w:rFonts w:ascii="Arial" w:hAnsi="Arial" w:cs="Arial"/>
          <w:sz w:val="24"/>
          <w:szCs w:val="24"/>
        </w:rPr>
        <w:t xml:space="preserve">Mr Delpaul was </w:t>
      </w:r>
      <w:r w:rsidR="00743FC9">
        <w:rPr>
          <w:rFonts w:ascii="Arial" w:hAnsi="Arial" w:cs="Arial"/>
          <w:sz w:val="24"/>
          <w:szCs w:val="24"/>
        </w:rPr>
        <w:t xml:space="preserve">younger than </w:t>
      </w:r>
      <w:r w:rsidR="006836C8" w:rsidRPr="006A798D">
        <w:rPr>
          <w:rFonts w:ascii="Arial" w:hAnsi="Arial" w:cs="Arial"/>
          <w:sz w:val="24"/>
          <w:szCs w:val="24"/>
        </w:rPr>
        <w:t xml:space="preserve">75). She testified how Hollard had applied this interpretation of the policy to </w:t>
      </w:r>
      <w:r w:rsidR="00743FC9">
        <w:rPr>
          <w:rFonts w:ascii="Arial" w:hAnsi="Arial" w:cs="Arial"/>
          <w:sz w:val="24"/>
          <w:szCs w:val="24"/>
        </w:rPr>
        <w:t>Event 3</w:t>
      </w:r>
      <w:r w:rsidR="004D48A2">
        <w:rPr>
          <w:rFonts w:ascii="Arial" w:hAnsi="Arial" w:cs="Arial"/>
          <w:sz w:val="24"/>
          <w:szCs w:val="24"/>
        </w:rPr>
        <w:t xml:space="preserve">, which also fell within the </w:t>
      </w:r>
      <w:r w:rsidR="004D48A2" w:rsidRPr="006A798D">
        <w:rPr>
          <w:rFonts w:ascii="Arial" w:hAnsi="Arial" w:cs="Arial"/>
          <w:sz w:val="24"/>
          <w:szCs w:val="24"/>
        </w:rPr>
        <w:t>Cardiovascular Benefit Group</w:t>
      </w:r>
      <w:r w:rsidR="006836C8" w:rsidRPr="006A798D">
        <w:rPr>
          <w:rFonts w:ascii="Arial" w:hAnsi="Arial" w:cs="Arial"/>
          <w:sz w:val="24"/>
          <w:szCs w:val="24"/>
        </w:rPr>
        <w:t xml:space="preserve">. </w:t>
      </w:r>
    </w:p>
    <w:p w14:paraId="0B66693B" w14:textId="230DB18F" w:rsidR="006836C8" w:rsidRPr="006A798D" w:rsidRDefault="002B4606" w:rsidP="002B4606">
      <w:pPr>
        <w:tabs>
          <w:tab w:val="left" w:pos="851"/>
        </w:tabs>
        <w:spacing w:after="240" w:line="480" w:lineRule="auto"/>
        <w:contextualSpacing/>
        <w:jc w:val="both"/>
        <w:rPr>
          <w:rFonts w:ascii="Arial" w:eastAsia="Calibri" w:hAnsi="Arial" w:cs="Arial"/>
          <w:sz w:val="24"/>
          <w:szCs w:val="24"/>
          <w:lang w:val="en-GB"/>
        </w:rPr>
      </w:pPr>
      <w:r w:rsidRPr="006A798D">
        <w:rPr>
          <w:rFonts w:ascii="Arial" w:eastAsia="Calibri" w:hAnsi="Arial" w:cs="Arial"/>
          <w:sz w:val="24"/>
          <w:szCs w:val="24"/>
          <w:lang w:val="en-GB"/>
        </w:rPr>
        <w:t>[9]</w:t>
      </w:r>
      <w:r w:rsidRPr="006A798D">
        <w:rPr>
          <w:rFonts w:ascii="Arial" w:eastAsia="Calibri" w:hAnsi="Arial" w:cs="Arial"/>
          <w:sz w:val="24"/>
          <w:szCs w:val="24"/>
          <w:lang w:val="en-GB"/>
        </w:rPr>
        <w:tab/>
      </w:r>
      <w:r w:rsidR="006836C8" w:rsidRPr="006A798D">
        <w:rPr>
          <w:rFonts w:ascii="Arial" w:hAnsi="Arial" w:cs="Arial"/>
          <w:sz w:val="24"/>
          <w:szCs w:val="24"/>
        </w:rPr>
        <w:t xml:space="preserve">In April 2012, </w:t>
      </w:r>
      <w:r w:rsidR="00743FC9">
        <w:rPr>
          <w:rFonts w:ascii="Arial" w:hAnsi="Arial" w:cs="Arial"/>
          <w:sz w:val="24"/>
          <w:szCs w:val="24"/>
        </w:rPr>
        <w:t xml:space="preserve">when </w:t>
      </w:r>
      <w:r w:rsidR="006836C8" w:rsidRPr="006A798D">
        <w:rPr>
          <w:rFonts w:ascii="Arial" w:hAnsi="Arial" w:cs="Arial"/>
          <w:sz w:val="24"/>
          <w:szCs w:val="24"/>
        </w:rPr>
        <w:t>Mr Delpaul submitted a claim for Event 1</w:t>
      </w:r>
      <w:r w:rsidR="00743FC9">
        <w:rPr>
          <w:rFonts w:ascii="Arial" w:hAnsi="Arial" w:cs="Arial"/>
          <w:sz w:val="24"/>
          <w:szCs w:val="24"/>
        </w:rPr>
        <w:t>, t</w:t>
      </w:r>
      <w:r w:rsidR="006836C8" w:rsidRPr="006A798D">
        <w:rPr>
          <w:rFonts w:ascii="Arial" w:hAnsi="Arial" w:cs="Arial"/>
          <w:sz w:val="24"/>
          <w:szCs w:val="24"/>
        </w:rPr>
        <w:t>he pay</w:t>
      </w:r>
      <w:r w:rsidR="00880998">
        <w:rPr>
          <w:rFonts w:ascii="Arial" w:hAnsi="Arial" w:cs="Arial"/>
          <w:sz w:val="24"/>
          <w:szCs w:val="24"/>
        </w:rPr>
        <w:t>-</w:t>
      </w:r>
      <w:r w:rsidR="006836C8" w:rsidRPr="006A798D">
        <w:rPr>
          <w:rFonts w:ascii="Arial" w:hAnsi="Arial" w:cs="Arial"/>
          <w:sz w:val="24"/>
          <w:szCs w:val="24"/>
        </w:rPr>
        <w:t>out was made under the event described as ‘</w:t>
      </w:r>
      <w:r w:rsidR="006836C8" w:rsidRPr="00743FC9">
        <w:rPr>
          <w:rFonts w:ascii="Arial" w:hAnsi="Arial" w:cs="Arial"/>
          <w:sz w:val="24"/>
          <w:szCs w:val="24"/>
          <w:u w:val="single"/>
        </w:rPr>
        <w:t>Coronary Angioplasty/Stent</w:t>
      </w:r>
      <w:r w:rsidR="006836C8" w:rsidRPr="006A798D">
        <w:rPr>
          <w:rFonts w:ascii="Arial" w:hAnsi="Arial" w:cs="Arial"/>
          <w:sz w:val="24"/>
          <w:szCs w:val="24"/>
        </w:rPr>
        <w:t>’ where the amount of the pay-out is reflected as ‘10% of Benefit Amount’ and this was paid. The effect of this claim and pay-out resulted in the Benefit amount</w:t>
      </w:r>
      <w:r w:rsidR="00743FC9">
        <w:rPr>
          <w:rFonts w:ascii="Arial" w:hAnsi="Arial" w:cs="Arial"/>
          <w:sz w:val="24"/>
          <w:szCs w:val="24"/>
        </w:rPr>
        <w:t>,</w:t>
      </w:r>
      <w:r w:rsidR="006836C8" w:rsidRPr="006A798D">
        <w:rPr>
          <w:rFonts w:ascii="Arial" w:hAnsi="Arial" w:cs="Arial"/>
          <w:sz w:val="24"/>
          <w:szCs w:val="24"/>
        </w:rPr>
        <w:t xml:space="preserve"> under the rubric of Cardiovascular Benefit Group</w:t>
      </w:r>
      <w:r w:rsidR="00743FC9">
        <w:rPr>
          <w:rFonts w:ascii="Arial" w:hAnsi="Arial" w:cs="Arial"/>
          <w:sz w:val="24"/>
          <w:szCs w:val="24"/>
        </w:rPr>
        <w:t>,</w:t>
      </w:r>
      <w:r w:rsidR="006836C8" w:rsidRPr="006A798D">
        <w:rPr>
          <w:rFonts w:ascii="Arial" w:hAnsi="Arial" w:cs="Arial"/>
          <w:sz w:val="24"/>
          <w:szCs w:val="24"/>
        </w:rPr>
        <w:t xml:space="preserve"> reducing by 10%. The amount available under this Benefit Group was, according to Ms Gonnerman, thus reduced to 90% of the Benefit </w:t>
      </w:r>
      <w:r w:rsidR="00743FC9">
        <w:rPr>
          <w:rFonts w:ascii="Arial" w:hAnsi="Arial" w:cs="Arial"/>
          <w:sz w:val="24"/>
          <w:szCs w:val="24"/>
        </w:rPr>
        <w:t>a</w:t>
      </w:r>
      <w:r w:rsidR="006836C8" w:rsidRPr="006A798D">
        <w:rPr>
          <w:rFonts w:ascii="Arial" w:hAnsi="Arial" w:cs="Arial"/>
          <w:sz w:val="24"/>
          <w:szCs w:val="24"/>
        </w:rPr>
        <w:t xml:space="preserve">mount. In July 2012, Mr Delpaul submitted a claim for Event 2 which resulted in a claim under potentially two different Events being either </w:t>
      </w:r>
      <w:r w:rsidR="006836C8" w:rsidRPr="006A798D">
        <w:rPr>
          <w:rFonts w:ascii="Arial" w:hAnsi="Arial" w:cs="Arial"/>
          <w:sz w:val="24"/>
          <w:szCs w:val="24"/>
          <w:u w:val="single"/>
        </w:rPr>
        <w:t>‘Coronary Artery Disease with Surgery’</w:t>
      </w:r>
      <w:r w:rsidR="006836C8" w:rsidRPr="006A798D">
        <w:rPr>
          <w:rFonts w:ascii="Arial" w:hAnsi="Arial" w:cs="Arial"/>
          <w:sz w:val="24"/>
          <w:szCs w:val="24"/>
        </w:rPr>
        <w:t xml:space="preserve"> o</w:t>
      </w:r>
      <w:r w:rsidR="00880998">
        <w:rPr>
          <w:rFonts w:ascii="Arial" w:hAnsi="Arial" w:cs="Arial"/>
          <w:sz w:val="24"/>
          <w:szCs w:val="24"/>
        </w:rPr>
        <w:t>r</w:t>
      </w:r>
      <w:r w:rsidR="006836C8" w:rsidRPr="006A798D">
        <w:rPr>
          <w:rFonts w:ascii="Arial" w:hAnsi="Arial" w:cs="Arial"/>
          <w:sz w:val="24"/>
          <w:szCs w:val="24"/>
        </w:rPr>
        <w:t xml:space="preserve"> </w:t>
      </w:r>
      <w:r w:rsidR="006836C8" w:rsidRPr="006A798D">
        <w:rPr>
          <w:rFonts w:ascii="Arial" w:hAnsi="Arial" w:cs="Arial"/>
          <w:sz w:val="24"/>
          <w:szCs w:val="24"/>
          <w:u w:val="single"/>
        </w:rPr>
        <w:t>‘Surgery of the Aorta</w:t>
      </w:r>
      <w:r w:rsidR="006836C8" w:rsidRPr="006A798D">
        <w:rPr>
          <w:rFonts w:ascii="Arial" w:hAnsi="Arial" w:cs="Arial"/>
          <w:sz w:val="24"/>
          <w:szCs w:val="24"/>
        </w:rPr>
        <w:t>’. In each instance the amount payable was 100% of the Benefit amount. At this stage, there was only 90% of the Benefit amount available and Mr Gonnerman explained that Mr Delpaul was paid out the full balance i</w:t>
      </w:r>
      <w:r w:rsidR="004D48A2">
        <w:rPr>
          <w:rFonts w:ascii="Arial" w:hAnsi="Arial" w:cs="Arial"/>
          <w:sz w:val="24"/>
          <w:szCs w:val="24"/>
        </w:rPr>
        <w:t>.</w:t>
      </w:r>
      <w:r w:rsidR="006836C8" w:rsidRPr="006A798D">
        <w:rPr>
          <w:rFonts w:ascii="Arial" w:hAnsi="Arial" w:cs="Arial"/>
          <w:sz w:val="24"/>
          <w:szCs w:val="24"/>
        </w:rPr>
        <w:t>e</w:t>
      </w:r>
      <w:r w:rsidR="004D48A2">
        <w:rPr>
          <w:rFonts w:ascii="Arial" w:hAnsi="Arial" w:cs="Arial"/>
          <w:sz w:val="24"/>
          <w:szCs w:val="24"/>
        </w:rPr>
        <w:t>.</w:t>
      </w:r>
      <w:r w:rsidR="006836C8" w:rsidRPr="006A798D">
        <w:rPr>
          <w:rFonts w:ascii="Arial" w:hAnsi="Arial" w:cs="Arial"/>
          <w:sz w:val="24"/>
          <w:szCs w:val="24"/>
        </w:rPr>
        <w:t xml:space="preserve"> the remaining 90%. After this pay-out, the policy was endorsed to record that his pay</w:t>
      </w:r>
      <w:r w:rsidR="00743FC9">
        <w:rPr>
          <w:rFonts w:ascii="Arial" w:hAnsi="Arial" w:cs="Arial"/>
          <w:sz w:val="24"/>
          <w:szCs w:val="24"/>
        </w:rPr>
        <w:t>-</w:t>
      </w:r>
      <w:r w:rsidR="006836C8" w:rsidRPr="006A798D">
        <w:rPr>
          <w:rFonts w:ascii="Arial" w:hAnsi="Arial" w:cs="Arial"/>
          <w:sz w:val="24"/>
          <w:szCs w:val="24"/>
        </w:rPr>
        <w:t xml:space="preserve">out under the Cardiovascular Benefit Group had been paid out 100% and this triggered </w:t>
      </w:r>
      <w:r w:rsidR="004D48A2">
        <w:rPr>
          <w:rFonts w:ascii="Arial" w:hAnsi="Arial" w:cs="Arial"/>
          <w:sz w:val="24"/>
          <w:szCs w:val="24"/>
        </w:rPr>
        <w:t xml:space="preserve">90 days after the </w:t>
      </w:r>
      <w:r w:rsidR="00880998">
        <w:rPr>
          <w:rFonts w:ascii="Arial" w:hAnsi="Arial" w:cs="Arial"/>
          <w:sz w:val="24"/>
          <w:szCs w:val="24"/>
        </w:rPr>
        <w:t>Event 2,</w:t>
      </w:r>
      <w:r w:rsidR="004D48A2">
        <w:rPr>
          <w:rFonts w:ascii="Arial" w:hAnsi="Arial" w:cs="Arial"/>
          <w:sz w:val="24"/>
          <w:szCs w:val="24"/>
        </w:rPr>
        <w:t xml:space="preserve"> a limited reinstatement of the Benefit amount to 25% of what </w:t>
      </w:r>
      <w:r w:rsidR="004D48A2">
        <w:rPr>
          <w:rFonts w:ascii="Arial" w:hAnsi="Arial" w:cs="Arial"/>
          <w:sz w:val="24"/>
          <w:szCs w:val="24"/>
        </w:rPr>
        <w:lastRenderedPageBreak/>
        <w:t xml:space="preserve">it had been before. This was brought about by operation of </w:t>
      </w:r>
      <w:r w:rsidR="006836C8" w:rsidRPr="006A798D">
        <w:rPr>
          <w:rFonts w:ascii="Arial" w:hAnsi="Arial" w:cs="Arial"/>
          <w:sz w:val="24"/>
          <w:szCs w:val="24"/>
        </w:rPr>
        <w:t>the following clause in the policy:</w:t>
      </w:r>
    </w:p>
    <w:p w14:paraId="72DFC290" w14:textId="77777777" w:rsidR="006836C8" w:rsidRDefault="00471F2D" w:rsidP="006836C8">
      <w:pPr>
        <w:pStyle w:val="Heading2"/>
        <w:tabs>
          <w:tab w:val="left" w:pos="1268"/>
        </w:tabs>
        <w:ind w:left="1268"/>
        <w:rPr>
          <w:sz w:val="22"/>
          <w:szCs w:val="22"/>
        </w:rPr>
      </w:pPr>
      <w:r>
        <w:rPr>
          <w:b w:val="0"/>
          <w:sz w:val="22"/>
          <w:szCs w:val="22"/>
        </w:rPr>
        <w:t xml:space="preserve">‘ </w:t>
      </w:r>
      <w:r w:rsidR="006836C8" w:rsidRPr="00DC3098">
        <w:rPr>
          <w:sz w:val="22"/>
          <w:szCs w:val="22"/>
        </w:rPr>
        <w:t>Reins</w:t>
      </w:r>
      <w:r w:rsidR="006836C8" w:rsidRPr="00DC3098">
        <w:rPr>
          <w:spacing w:val="-1"/>
          <w:sz w:val="22"/>
          <w:szCs w:val="22"/>
        </w:rPr>
        <w:t>t</w:t>
      </w:r>
      <w:r w:rsidR="006836C8" w:rsidRPr="00DC3098">
        <w:rPr>
          <w:sz w:val="22"/>
          <w:szCs w:val="22"/>
        </w:rPr>
        <w:t>atem</w:t>
      </w:r>
      <w:r w:rsidR="006836C8" w:rsidRPr="00DC3098">
        <w:rPr>
          <w:spacing w:val="1"/>
          <w:sz w:val="22"/>
          <w:szCs w:val="22"/>
        </w:rPr>
        <w:t>e</w:t>
      </w:r>
      <w:r w:rsidR="006836C8" w:rsidRPr="00DC3098">
        <w:rPr>
          <w:sz w:val="22"/>
          <w:szCs w:val="22"/>
        </w:rPr>
        <w:t>nt</w:t>
      </w:r>
      <w:r w:rsidR="006836C8" w:rsidRPr="00DC3098">
        <w:rPr>
          <w:spacing w:val="-1"/>
          <w:sz w:val="22"/>
          <w:szCs w:val="22"/>
        </w:rPr>
        <w:t xml:space="preserve"> </w:t>
      </w:r>
      <w:r w:rsidR="006836C8" w:rsidRPr="00DC3098">
        <w:rPr>
          <w:sz w:val="22"/>
          <w:szCs w:val="22"/>
        </w:rPr>
        <w:t>of B</w:t>
      </w:r>
      <w:r w:rsidR="006836C8" w:rsidRPr="00DC3098">
        <w:rPr>
          <w:spacing w:val="-2"/>
          <w:sz w:val="22"/>
          <w:szCs w:val="22"/>
        </w:rPr>
        <w:t>e</w:t>
      </w:r>
      <w:r w:rsidR="006836C8" w:rsidRPr="00DC3098">
        <w:rPr>
          <w:sz w:val="22"/>
          <w:szCs w:val="22"/>
        </w:rPr>
        <w:t>nefit</w:t>
      </w:r>
      <w:r w:rsidR="006836C8" w:rsidRPr="00DC3098">
        <w:rPr>
          <w:spacing w:val="-1"/>
          <w:sz w:val="22"/>
          <w:szCs w:val="22"/>
        </w:rPr>
        <w:t xml:space="preserve"> </w:t>
      </w:r>
      <w:r w:rsidR="006836C8" w:rsidRPr="00DC3098">
        <w:rPr>
          <w:sz w:val="22"/>
          <w:szCs w:val="22"/>
        </w:rPr>
        <w:t>Amount</w:t>
      </w:r>
    </w:p>
    <w:p w14:paraId="0D380F1E" w14:textId="15837819" w:rsidR="006836C8" w:rsidRDefault="006836C8" w:rsidP="006836C8">
      <w:pPr>
        <w:pStyle w:val="Heading2"/>
        <w:tabs>
          <w:tab w:val="left" w:pos="1268"/>
        </w:tabs>
        <w:ind w:left="1268"/>
        <w:rPr>
          <w:rFonts w:eastAsia="Times New Roman"/>
          <w:b w:val="0"/>
          <w:bCs w:val="0"/>
          <w:sz w:val="22"/>
          <w:szCs w:val="22"/>
        </w:rPr>
      </w:pPr>
      <w:r w:rsidRPr="00DC3098">
        <w:rPr>
          <w:rFonts w:eastAsia="Times New Roman"/>
          <w:b w:val="0"/>
          <w:bCs w:val="0"/>
          <w:sz w:val="22"/>
          <w:szCs w:val="22"/>
        </w:rPr>
        <w:t xml:space="preserve">After the 14 day survival period following a claim event, </w:t>
      </w:r>
      <w:r>
        <w:rPr>
          <w:rFonts w:eastAsia="Times New Roman"/>
          <w:b w:val="0"/>
          <w:bCs w:val="0"/>
          <w:sz w:val="22"/>
          <w:szCs w:val="22"/>
        </w:rPr>
        <w:t>the Benefit Amount for conditions that are totally unrelated, in the opinion of Hollard Life, to the condition or event for which the claim had been paid will automatically reinstate to the Benefit Amount immediately prior to the claim payment.</w:t>
      </w:r>
    </w:p>
    <w:p w14:paraId="3AA8AEAA" w14:textId="77777777" w:rsidR="006836C8" w:rsidRPr="00DC3098" w:rsidRDefault="006836C8" w:rsidP="006836C8">
      <w:pPr>
        <w:pStyle w:val="Heading2"/>
        <w:tabs>
          <w:tab w:val="left" w:pos="1268"/>
        </w:tabs>
        <w:ind w:left="1268"/>
      </w:pPr>
      <w:r>
        <w:rPr>
          <w:rFonts w:eastAsia="Times New Roman"/>
          <w:b w:val="0"/>
          <w:bCs w:val="0"/>
          <w:sz w:val="22"/>
          <w:szCs w:val="22"/>
        </w:rPr>
        <w:t>After 1</w:t>
      </w:r>
      <w:r w:rsidRPr="00DC3098">
        <w:rPr>
          <w:rFonts w:eastAsia="Times New Roman"/>
          <w:b w:val="0"/>
          <w:bCs w:val="0"/>
          <w:sz w:val="22"/>
          <w:szCs w:val="22"/>
        </w:rPr>
        <w:t xml:space="preserve">00% of the Benefit Amount has been paid in respect of a condition or event, the Benefit Amount </w:t>
      </w:r>
      <w:r w:rsidRPr="00880998">
        <w:rPr>
          <w:rFonts w:eastAsia="Times New Roman"/>
          <w:b w:val="0"/>
          <w:bCs w:val="0"/>
          <w:sz w:val="22"/>
          <w:szCs w:val="22"/>
        </w:rPr>
        <w:t>for conditions that are related to that condition</w:t>
      </w:r>
      <w:r w:rsidRPr="00DC3098">
        <w:rPr>
          <w:rFonts w:eastAsia="Times New Roman"/>
          <w:b w:val="0"/>
          <w:bCs w:val="0"/>
          <w:sz w:val="22"/>
          <w:szCs w:val="22"/>
        </w:rPr>
        <w:t xml:space="preserve"> will automatically reinstate 90 days after the claim</w:t>
      </w:r>
      <w:r w:rsidRPr="00DC3098">
        <w:rPr>
          <w:rFonts w:eastAsia="Arial" w:cs="Arial"/>
          <w:b w:val="0"/>
          <w:bCs w:val="0"/>
          <w:spacing w:val="-4"/>
          <w:sz w:val="22"/>
          <w:szCs w:val="22"/>
        </w:rPr>
        <w:t xml:space="preserve"> </w:t>
      </w:r>
      <w:r w:rsidRPr="00DC3098">
        <w:rPr>
          <w:rFonts w:eastAsia="Arial" w:cs="Arial"/>
          <w:b w:val="0"/>
          <w:bCs w:val="0"/>
          <w:sz w:val="22"/>
          <w:szCs w:val="22"/>
        </w:rPr>
        <w:t>event</w:t>
      </w:r>
      <w:r w:rsidRPr="00DC3098">
        <w:rPr>
          <w:rFonts w:eastAsia="Arial" w:cs="Arial"/>
          <w:b w:val="0"/>
          <w:bCs w:val="0"/>
          <w:spacing w:val="-2"/>
          <w:sz w:val="22"/>
          <w:szCs w:val="22"/>
        </w:rPr>
        <w:t xml:space="preserve"> </w:t>
      </w:r>
      <w:r w:rsidRPr="00DC3098">
        <w:rPr>
          <w:rFonts w:eastAsia="Arial" w:cs="Arial"/>
          <w:b w:val="0"/>
          <w:bCs w:val="0"/>
          <w:spacing w:val="-1"/>
          <w:sz w:val="22"/>
          <w:szCs w:val="22"/>
        </w:rPr>
        <w:t>o</w:t>
      </w:r>
      <w:r w:rsidRPr="00DC3098">
        <w:rPr>
          <w:rFonts w:eastAsia="Arial" w:cs="Arial"/>
          <w:b w:val="0"/>
          <w:bCs w:val="0"/>
          <w:sz w:val="22"/>
          <w:szCs w:val="22"/>
        </w:rPr>
        <w:t>n t</w:t>
      </w:r>
      <w:r w:rsidRPr="00DC3098">
        <w:rPr>
          <w:rFonts w:eastAsia="Arial" w:cs="Arial"/>
          <w:b w:val="0"/>
          <w:bCs w:val="0"/>
          <w:spacing w:val="-2"/>
          <w:sz w:val="22"/>
          <w:szCs w:val="22"/>
        </w:rPr>
        <w:t>h</w:t>
      </w:r>
      <w:r w:rsidRPr="00DC3098">
        <w:rPr>
          <w:rFonts w:eastAsia="Arial" w:cs="Arial"/>
          <w:b w:val="0"/>
          <w:bCs w:val="0"/>
          <w:sz w:val="22"/>
          <w:szCs w:val="22"/>
        </w:rPr>
        <w:t>e fol</w:t>
      </w:r>
      <w:r w:rsidRPr="00DC3098">
        <w:rPr>
          <w:rFonts w:eastAsia="Arial" w:cs="Arial"/>
          <w:b w:val="0"/>
          <w:bCs w:val="0"/>
          <w:spacing w:val="-1"/>
          <w:sz w:val="22"/>
          <w:szCs w:val="22"/>
        </w:rPr>
        <w:t>l</w:t>
      </w:r>
      <w:r w:rsidRPr="00DC3098">
        <w:rPr>
          <w:rFonts w:eastAsia="Arial" w:cs="Arial"/>
          <w:b w:val="0"/>
          <w:bCs w:val="0"/>
          <w:sz w:val="22"/>
          <w:szCs w:val="22"/>
        </w:rPr>
        <w:t>ow</w:t>
      </w:r>
      <w:r w:rsidRPr="00DC3098">
        <w:rPr>
          <w:rFonts w:eastAsia="Arial" w:cs="Arial"/>
          <w:b w:val="0"/>
          <w:bCs w:val="0"/>
          <w:spacing w:val="-1"/>
          <w:sz w:val="22"/>
          <w:szCs w:val="22"/>
        </w:rPr>
        <w:t>i</w:t>
      </w:r>
      <w:r w:rsidRPr="00DC3098">
        <w:rPr>
          <w:rFonts w:eastAsia="Arial" w:cs="Arial"/>
          <w:b w:val="0"/>
          <w:bCs w:val="0"/>
          <w:spacing w:val="-2"/>
          <w:sz w:val="22"/>
          <w:szCs w:val="22"/>
        </w:rPr>
        <w:t>n</w:t>
      </w:r>
      <w:r w:rsidRPr="00DC3098">
        <w:rPr>
          <w:rFonts w:eastAsia="Arial" w:cs="Arial"/>
          <w:b w:val="0"/>
          <w:bCs w:val="0"/>
          <w:sz w:val="22"/>
          <w:szCs w:val="22"/>
        </w:rPr>
        <w:t xml:space="preserve">g </w:t>
      </w:r>
      <w:r w:rsidRPr="00DC3098">
        <w:rPr>
          <w:rFonts w:eastAsia="Arial" w:cs="Arial"/>
          <w:b w:val="0"/>
          <w:bCs w:val="0"/>
          <w:spacing w:val="-1"/>
          <w:sz w:val="22"/>
          <w:szCs w:val="22"/>
        </w:rPr>
        <w:t>b</w:t>
      </w:r>
      <w:r w:rsidRPr="00DC3098">
        <w:rPr>
          <w:rFonts w:eastAsia="Arial" w:cs="Arial"/>
          <w:b w:val="0"/>
          <w:bCs w:val="0"/>
          <w:sz w:val="22"/>
          <w:szCs w:val="22"/>
        </w:rPr>
        <w:t>asis:</w:t>
      </w:r>
      <w:r>
        <w:rPr>
          <w:rFonts w:eastAsia="Arial" w:cs="Arial"/>
          <w:b w:val="0"/>
          <w:bCs w:val="0"/>
          <w:sz w:val="22"/>
          <w:szCs w:val="22"/>
        </w:rPr>
        <w:t>…..</w:t>
      </w:r>
    </w:p>
    <w:p w14:paraId="779D3A0B" w14:textId="791325F2" w:rsidR="00FD6561" w:rsidRDefault="006836C8" w:rsidP="00880998">
      <w:pPr>
        <w:pStyle w:val="BodyText"/>
        <w:widowControl w:val="0"/>
        <w:tabs>
          <w:tab w:val="clear" w:pos="8640"/>
          <w:tab w:val="left" w:pos="1976"/>
          <w:tab w:val="left" w:pos="5589"/>
          <w:tab w:val="left" w:pos="6347"/>
          <w:tab w:val="left" w:pos="6821"/>
          <w:tab w:val="left" w:pos="7431"/>
        </w:tabs>
        <w:spacing w:before="74" w:line="360" w:lineRule="auto"/>
        <w:ind w:left="1616" w:right="596"/>
        <w:rPr>
          <w:rFonts w:eastAsia="Arial" w:cs="Arial"/>
          <w:iCs/>
          <w:sz w:val="22"/>
          <w:szCs w:val="22"/>
        </w:rPr>
      </w:pPr>
      <w:r w:rsidRPr="00DC3098">
        <w:rPr>
          <w:iCs/>
          <w:sz w:val="22"/>
          <w:szCs w:val="22"/>
        </w:rPr>
        <w:t>C</w:t>
      </w:r>
      <w:r w:rsidRPr="00DC3098">
        <w:rPr>
          <w:iCs/>
          <w:spacing w:val="-1"/>
          <w:sz w:val="22"/>
          <w:szCs w:val="22"/>
        </w:rPr>
        <w:t>l</w:t>
      </w:r>
      <w:r w:rsidRPr="00DC3098">
        <w:rPr>
          <w:iCs/>
          <w:sz w:val="22"/>
          <w:szCs w:val="22"/>
        </w:rPr>
        <w:t>ai</w:t>
      </w:r>
      <w:r w:rsidRPr="00DC3098">
        <w:rPr>
          <w:iCs/>
          <w:spacing w:val="-2"/>
          <w:sz w:val="22"/>
          <w:szCs w:val="22"/>
        </w:rPr>
        <w:t>m</w:t>
      </w:r>
      <w:r w:rsidRPr="00DC3098">
        <w:rPr>
          <w:iCs/>
          <w:sz w:val="22"/>
          <w:szCs w:val="22"/>
        </w:rPr>
        <w:t>s</w:t>
      </w:r>
      <w:r w:rsidRPr="00DC3098">
        <w:rPr>
          <w:iCs/>
          <w:spacing w:val="1"/>
          <w:sz w:val="22"/>
          <w:szCs w:val="22"/>
        </w:rPr>
        <w:t xml:space="preserve"> </w:t>
      </w:r>
      <w:r w:rsidRPr="00DC3098">
        <w:rPr>
          <w:iCs/>
          <w:sz w:val="22"/>
          <w:szCs w:val="22"/>
        </w:rPr>
        <w:t>pr</w:t>
      </w:r>
      <w:r w:rsidRPr="00DC3098">
        <w:rPr>
          <w:iCs/>
          <w:spacing w:val="-2"/>
          <w:sz w:val="22"/>
          <w:szCs w:val="22"/>
        </w:rPr>
        <w:t>i</w:t>
      </w:r>
      <w:r w:rsidRPr="00DC3098">
        <w:rPr>
          <w:iCs/>
          <w:sz w:val="22"/>
          <w:szCs w:val="22"/>
        </w:rPr>
        <w:t>or to</w:t>
      </w:r>
      <w:r w:rsidRPr="00DC3098">
        <w:rPr>
          <w:iCs/>
          <w:spacing w:val="2"/>
          <w:sz w:val="22"/>
          <w:szCs w:val="22"/>
        </w:rPr>
        <w:t xml:space="preserve"> </w:t>
      </w:r>
      <w:r w:rsidRPr="00DC3098">
        <w:rPr>
          <w:iCs/>
          <w:sz w:val="22"/>
          <w:szCs w:val="22"/>
        </w:rPr>
        <w:t>7</w:t>
      </w:r>
      <w:r w:rsidRPr="00DC3098">
        <w:rPr>
          <w:iCs/>
          <w:spacing w:val="-2"/>
          <w:sz w:val="22"/>
          <w:szCs w:val="22"/>
        </w:rPr>
        <w:t>5</w:t>
      </w:r>
      <w:r w:rsidRPr="00DC3098">
        <w:rPr>
          <w:iCs/>
          <w:position w:val="7"/>
          <w:sz w:val="22"/>
          <w:szCs w:val="22"/>
        </w:rPr>
        <w:t>th</w:t>
      </w:r>
      <w:r w:rsidRPr="00DC3098">
        <w:rPr>
          <w:iCs/>
          <w:spacing w:val="22"/>
          <w:position w:val="7"/>
          <w:sz w:val="22"/>
          <w:szCs w:val="22"/>
        </w:rPr>
        <w:t xml:space="preserve"> </w:t>
      </w:r>
      <w:r w:rsidRPr="00DC3098">
        <w:rPr>
          <w:iCs/>
          <w:sz w:val="22"/>
          <w:szCs w:val="22"/>
        </w:rPr>
        <w:t>bi</w:t>
      </w:r>
      <w:r w:rsidRPr="00DC3098">
        <w:rPr>
          <w:iCs/>
          <w:spacing w:val="-2"/>
          <w:sz w:val="22"/>
          <w:szCs w:val="22"/>
        </w:rPr>
        <w:t>rt</w:t>
      </w:r>
      <w:r>
        <w:rPr>
          <w:iCs/>
          <w:sz w:val="22"/>
          <w:szCs w:val="22"/>
        </w:rPr>
        <w:t xml:space="preserve">hday 25% </w:t>
      </w:r>
      <w:r w:rsidRPr="00DC3098">
        <w:rPr>
          <w:iCs/>
          <w:spacing w:val="-2"/>
          <w:sz w:val="22"/>
          <w:szCs w:val="22"/>
        </w:rPr>
        <w:t>o</w:t>
      </w:r>
      <w:r w:rsidRPr="00DC3098">
        <w:rPr>
          <w:iCs/>
          <w:sz w:val="22"/>
          <w:szCs w:val="22"/>
        </w:rPr>
        <w:t>f</w:t>
      </w:r>
      <w:r w:rsidR="00880998">
        <w:rPr>
          <w:iCs/>
          <w:sz w:val="22"/>
          <w:szCs w:val="22"/>
        </w:rPr>
        <w:t xml:space="preserve"> </w:t>
      </w:r>
      <w:r w:rsidRPr="00DC3098">
        <w:rPr>
          <w:iCs/>
          <w:sz w:val="22"/>
          <w:szCs w:val="22"/>
        </w:rPr>
        <w:t>t</w:t>
      </w:r>
      <w:r w:rsidRPr="00DC3098">
        <w:rPr>
          <w:iCs/>
          <w:spacing w:val="-1"/>
          <w:sz w:val="22"/>
          <w:szCs w:val="22"/>
        </w:rPr>
        <w:t>h</w:t>
      </w:r>
      <w:r>
        <w:rPr>
          <w:iCs/>
          <w:sz w:val="22"/>
          <w:szCs w:val="22"/>
        </w:rPr>
        <w:t xml:space="preserve">e </w:t>
      </w:r>
      <w:r w:rsidRPr="00DC3098">
        <w:rPr>
          <w:iCs/>
          <w:sz w:val="22"/>
          <w:szCs w:val="22"/>
        </w:rPr>
        <w:t>or</w:t>
      </w:r>
      <w:r w:rsidRPr="00DC3098">
        <w:rPr>
          <w:iCs/>
          <w:spacing w:val="-2"/>
          <w:sz w:val="22"/>
          <w:szCs w:val="22"/>
        </w:rPr>
        <w:t>i</w:t>
      </w:r>
      <w:r w:rsidRPr="00DC3098">
        <w:rPr>
          <w:iCs/>
          <w:sz w:val="22"/>
          <w:szCs w:val="22"/>
        </w:rPr>
        <w:t>gi</w:t>
      </w:r>
      <w:r w:rsidRPr="00DC3098">
        <w:rPr>
          <w:iCs/>
          <w:spacing w:val="-2"/>
          <w:sz w:val="22"/>
          <w:szCs w:val="22"/>
        </w:rPr>
        <w:t>n</w:t>
      </w:r>
      <w:r w:rsidRPr="00DC3098">
        <w:rPr>
          <w:iCs/>
          <w:sz w:val="22"/>
          <w:szCs w:val="22"/>
        </w:rPr>
        <w:t>al Ben</w:t>
      </w:r>
      <w:r w:rsidRPr="00DC3098">
        <w:rPr>
          <w:iCs/>
          <w:spacing w:val="-2"/>
          <w:sz w:val="22"/>
          <w:szCs w:val="22"/>
        </w:rPr>
        <w:t>e</w:t>
      </w:r>
      <w:r w:rsidRPr="00DC3098">
        <w:rPr>
          <w:iCs/>
          <w:sz w:val="22"/>
          <w:szCs w:val="22"/>
        </w:rPr>
        <w:t>fit</w:t>
      </w:r>
      <w:r w:rsidRPr="00DC3098">
        <w:rPr>
          <w:iCs/>
          <w:spacing w:val="19"/>
          <w:sz w:val="22"/>
          <w:szCs w:val="22"/>
        </w:rPr>
        <w:t xml:space="preserve"> </w:t>
      </w:r>
      <w:r w:rsidRPr="00DC3098">
        <w:rPr>
          <w:iCs/>
          <w:sz w:val="22"/>
          <w:szCs w:val="22"/>
        </w:rPr>
        <w:t>A</w:t>
      </w:r>
      <w:r w:rsidRPr="00DC3098">
        <w:rPr>
          <w:iCs/>
          <w:spacing w:val="-1"/>
          <w:sz w:val="22"/>
          <w:szCs w:val="22"/>
        </w:rPr>
        <w:t>m</w:t>
      </w:r>
      <w:r w:rsidRPr="00DC3098">
        <w:rPr>
          <w:iCs/>
          <w:spacing w:val="2"/>
          <w:sz w:val="22"/>
          <w:szCs w:val="22"/>
        </w:rPr>
        <w:t>o</w:t>
      </w:r>
      <w:r w:rsidRPr="00DC3098">
        <w:rPr>
          <w:iCs/>
          <w:sz w:val="22"/>
          <w:szCs w:val="22"/>
        </w:rPr>
        <w:t>u</w:t>
      </w:r>
      <w:r w:rsidRPr="00DC3098">
        <w:rPr>
          <w:iCs/>
          <w:spacing w:val="-2"/>
          <w:sz w:val="22"/>
          <w:szCs w:val="22"/>
        </w:rPr>
        <w:t>n</w:t>
      </w:r>
      <w:r w:rsidRPr="00DC3098">
        <w:rPr>
          <w:iCs/>
          <w:sz w:val="22"/>
          <w:szCs w:val="22"/>
        </w:rPr>
        <w:t>t</w:t>
      </w:r>
      <w:r w:rsidRPr="00DC3098">
        <w:rPr>
          <w:iCs/>
          <w:spacing w:val="19"/>
          <w:sz w:val="22"/>
          <w:szCs w:val="22"/>
        </w:rPr>
        <w:t xml:space="preserve"> </w:t>
      </w:r>
      <w:r w:rsidRPr="00DC3098">
        <w:rPr>
          <w:iCs/>
          <w:sz w:val="22"/>
          <w:szCs w:val="22"/>
        </w:rPr>
        <w:t>plus</w:t>
      </w:r>
      <w:r w:rsidRPr="00DC3098">
        <w:rPr>
          <w:iCs/>
          <w:spacing w:val="19"/>
          <w:sz w:val="22"/>
          <w:szCs w:val="22"/>
        </w:rPr>
        <w:t xml:space="preserve"> </w:t>
      </w:r>
      <w:r w:rsidRPr="00DC3098">
        <w:rPr>
          <w:iCs/>
          <w:spacing w:val="-2"/>
          <w:sz w:val="22"/>
          <w:szCs w:val="22"/>
        </w:rPr>
        <w:t>a</w:t>
      </w:r>
      <w:r w:rsidRPr="00DC3098">
        <w:rPr>
          <w:iCs/>
          <w:sz w:val="22"/>
          <w:szCs w:val="22"/>
        </w:rPr>
        <w:t>ny</w:t>
      </w:r>
      <w:r w:rsidRPr="00DC3098">
        <w:rPr>
          <w:iCs/>
          <w:spacing w:val="23"/>
          <w:sz w:val="22"/>
          <w:szCs w:val="22"/>
        </w:rPr>
        <w:t xml:space="preserve"> </w:t>
      </w:r>
      <w:r w:rsidRPr="00DC3098">
        <w:rPr>
          <w:iCs/>
          <w:spacing w:val="-2"/>
          <w:sz w:val="22"/>
          <w:szCs w:val="22"/>
        </w:rPr>
        <w:t>b</w:t>
      </w:r>
      <w:r w:rsidRPr="00DC3098">
        <w:rPr>
          <w:iCs/>
          <w:sz w:val="22"/>
          <w:szCs w:val="22"/>
        </w:rPr>
        <w:t>e</w:t>
      </w:r>
      <w:r w:rsidRPr="00DC3098">
        <w:rPr>
          <w:iCs/>
          <w:spacing w:val="-2"/>
          <w:sz w:val="22"/>
          <w:szCs w:val="22"/>
        </w:rPr>
        <w:t>n</w:t>
      </w:r>
      <w:r w:rsidRPr="00DC3098">
        <w:rPr>
          <w:iCs/>
          <w:sz w:val="22"/>
          <w:szCs w:val="22"/>
        </w:rPr>
        <w:t>efit</w:t>
      </w:r>
      <w:r w:rsidRPr="00DC3098">
        <w:rPr>
          <w:iCs/>
          <w:spacing w:val="22"/>
          <w:sz w:val="22"/>
          <w:szCs w:val="22"/>
        </w:rPr>
        <w:t xml:space="preserve"> </w:t>
      </w:r>
      <w:r w:rsidRPr="00DC3098">
        <w:rPr>
          <w:iCs/>
          <w:spacing w:val="-3"/>
          <w:sz w:val="22"/>
          <w:szCs w:val="22"/>
        </w:rPr>
        <w:t>i</w:t>
      </w:r>
      <w:r w:rsidRPr="00DC3098">
        <w:rPr>
          <w:iCs/>
          <w:sz w:val="22"/>
          <w:szCs w:val="22"/>
        </w:rPr>
        <w:t>ncreas</w:t>
      </w:r>
      <w:r w:rsidRPr="00DC3098">
        <w:rPr>
          <w:iCs/>
          <w:spacing w:val="2"/>
          <w:sz w:val="22"/>
          <w:szCs w:val="22"/>
        </w:rPr>
        <w:t>e</w:t>
      </w:r>
      <w:r>
        <w:rPr>
          <w:rFonts w:eastAsia="Arial" w:cs="Arial"/>
          <w:iCs/>
          <w:sz w:val="22"/>
          <w:szCs w:val="22"/>
        </w:rPr>
        <w:t>s</w:t>
      </w:r>
      <w:r w:rsidR="00471F2D">
        <w:rPr>
          <w:rFonts w:eastAsia="Arial" w:cs="Arial"/>
          <w:iCs/>
          <w:sz w:val="22"/>
          <w:szCs w:val="22"/>
        </w:rPr>
        <w:t>’</w:t>
      </w:r>
    </w:p>
    <w:p w14:paraId="1561B76B" w14:textId="77777777" w:rsidR="00880998" w:rsidRPr="006836C8" w:rsidRDefault="00880998" w:rsidP="00880998">
      <w:pPr>
        <w:pStyle w:val="BodyText"/>
        <w:widowControl w:val="0"/>
        <w:tabs>
          <w:tab w:val="clear" w:pos="8640"/>
          <w:tab w:val="left" w:pos="1976"/>
          <w:tab w:val="left" w:pos="5589"/>
          <w:tab w:val="left" w:pos="6347"/>
          <w:tab w:val="left" w:pos="6821"/>
          <w:tab w:val="left" w:pos="7431"/>
        </w:tabs>
        <w:spacing w:before="74" w:line="360" w:lineRule="auto"/>
        <w:ind w:left="1616" w:right="596"/>
        <w:rPr>
          <w:rFonts w:cs="Arial"/>
          <w:iCs/>
          <w:sz w:val="22"/>
          <w:szCs w:val="22"/>
        </w:rPr>
      </w:pPr>
    </w:p>
    <w:p w14:paraId="13118FB2" w14:textId="41ACF3B1" w:rsidR="00D20BAB" w:rsidRDefault="002B4606" w:rsidP="002B4606">
      <w:pPr>
        <w:pStyle w:val="BodyText"/>
        <w:widowControl w:val="0"/>
        <w:tabs>
          <w:tab w:val="clear" w:pos="8640"/>
        </w:tabs>
        <w:spacing w:before="74"/>
        <w:ind w:right="-46"/>
        <w:rPr>
          <w:rFonts w:cs="Arial"/>
          <w:iCs/>
        </w:rPr>
      </w:pPr>
      <w:r>
        <w:rPr>
          <w:rFonts w:cs="Arial"/>
          <w:iCs/>
        </w:rPr>
        <w:t>[10]</w:t>
      </w:r>
      <w:r>
        <w:rPr>
          <w:rFonts w:cs="Arial"/>
          <w:iCs/>
        </w:rPr>
        <w:tab/>
      </w:r>
      <w:r w:rsidR="006836C8" w:rsidRPr="006836C8">
        <w:rPr>
          <w:rFonts w:cs="Arial"/>
          <w:iCs/>
        </w:rPr>
        <w:t>This then, according to Ms Gonnerman, e</w:t>
      </w:r>
      <w:r w:rsidR="006A798D">
        <w:rPr>
          <w:rFonts w:cs="Arial"/>
          <w:iCs/>
        </w:rPr>
        <w:t xml:space="preserve">xplains why Mr Delpaul was paid </w:t>
      </w:r>
      <w:r w:rsidR="006836C8" w:rsidRPr="006836C8">
        <w:rPr>
          <w:rFonts w:cs="Arial"/>
          <w:iCs/>
        </w:rPr>
        <w:t xml:space="preserve">25% of the Benefit amount </w:t>
      </w:r>
      <w:r w:rsidR="004D48A2">
        <w:rPr>
          <w:rFonts w:cs="Arial"/>
          <w:iCs/>
        </w:rPr>
        <w:t>because</w:t>
      </w:r>
      <w:r w:rsidR="00B91EDE">
        <w:rPr>
          <w:rFonts w:cs="Arial"/>
          <w:iCs/>
        </w:rPr>
        <w:t xml:space="preserve"> </w:t>
      </w:r>
      <w:r w:rsidR="00880998">
        <w:rPr>
          <w:rFonts w:cs="Arial"/>
          <w:iCs/>
        </w:rPr>
        <w:t>E</w:t>
      </w:r>
      <w:r w:rsidR="004D48A2">
        <w:rPr>
          <w:rFonts w:cs="Arial"/>
          <w:iCs/>
        </w:rPr>
        <w:t xml:space="preserve">vent 3, the event we are dealing with, was a condition </w:t>
      </w:r>
      <w:r w:rsidR="004D48A2" w:rsidRPr="00880998">
        <w:rPr>
          <w:rFonts w:cs="Arial"/>
          <w:i/>
        </w:rPr>
        <w:t>related to</w:t>
      </w:r>
      <w:r w:rsidR="004D48A2">
        <w:rPr>
          <w:rFonts w:cs="Arial"/>
          <w:iCs/>
        </w:rPr>
        <w:t xml:space="preserve"> the conditions (</w:t>
      </w:r>
      <w:r w:rsidR="00880998">
        <w:rPr>
          <w:rFonts w:cs="Arial"/>
          <w:iCs/>
        </w:rPr>
        <w:t>E</w:t>
      </w:r>
      <w:r w:rsidR="004D48A2">
        <w:rPr>
          <w:rFonts w:cs="Arial"/>
          <w:iCs/>
        </w:rPr>
        <w:t xml:space="preserve">vents 1 and 2) that had </w:t>
      </w:r>
      <w:r w:rsidR="00186803">
        <w:rPr>
          <w:rFonts w:cs="Arial"/>
          <w:iCs/>
        </w:rPr>
        <w:t>led</w:t>
      </w:r>
      <w:r w:rsidR="004D48A2">
        <w:rPr>
          <w:rFonts w:cs="Arial"/>
          <w:iCs/>
        </w:rPr>
        <w:t xml:space="preserve"> to the original Benefit amount being completely drawn down</w:t>
      </w:r>
      <w:r w:rsidR="00B91EDE">
        <w:rPr>
          <w:rFonts w:cs="Arial"/>
          <w:iCs/>
        </w:rPr>
        <w:t xml:space="preserve">. Thus </w:t>
      </w:r>
      <w:r w:rsidR="004D48A2">
        <w:rPr>
          <w:rFonts w:cs="Arial"/>
          <w:iCs/>
        </w:rPr>
        <w:t xml:space="preserve">90 days thereafter the replenishment (reinstatement) of the Benefit amount </w:t>
      </w:r>
      <w:r w:rsidR="00B91EDE">
        <w:rPr>
          <w:rFonts w:cs="Arial"/>
          <w:iCs/>
        </w:rPr>
        <w:t xml:space="preserve">had been limited or </w:t>
      </w:r>
      <w:r w:rsidR="004D48A2">
        <w:rPr>
          <w:rFonts w:cs="Arial"/>
          <w:iCs/>
        </w:rPr>
        <w:t>capped at ‘</w:t>
      </w:r>
      <w:r w:rsidR="004D48A2" w:rsidRPr="00880998">
        <w:rPr>
          <w:rFonts w:cs="Arial"/>
          <w:i/>
        </w:rPr>
        <w:t>25% of the original Benefit amount plus any benefit increases</w:t>
      </w:r>
      <w:r w:rsidR="004D48A2">
        <w:rPr>
          <w:rFonts w:cs="Arial"/>
          <w:iCs/>
        </w:rPr>
        <w:t xml:space="preserve">’ </w:t>
      </w:r>
      <w:r w:rsidR="006836C8" w:rsidRPr="006836C8">
        <w:rPr>
          <w:rFonts w:cs="Arial"/>
          <w:iCs/>
        </w:rPr>
        <w:t xml:space="preserve">and why Mr Delpaul’s cover in terms of the Cardiovascular Benefit Group was then </w:t>
      </w:r>
      <w:r w:rsidR="00743FC9">
        <w:rPr>
          <w:rFonts w:cs="Arial"/>
          <w:iCs/>
        </w:rPr>
        <w:t xml:space="preserve">completely </w:t>
      </w:r>
      <w:r w:rsidR="006836C8" w:rsidRPr="006836C8">
        <w:rPr>
          <w:rFonts w:cs="Arial"/>
          <w:iCs/>
        </w:rPr>
        <w:t>exhausted and he was</w:t>
      </w:r>
      <w:r w:rsidR="004D48A2">
        <w:rPr>
          <w:rFonts w:cs="Arial"/>
          <w:iCs/>
        </w:rPr>
        <w:t>, once the 25% had been paid to him,</w:t>
      </w:r>
      <w:r w:rsidR="006836C8" w:rsidRPr="006836C8">
        <w:rPr>
          <w:rFonts w:cs="Arial"/>
          <w:iCs/>
        </w:rPr>
        <w:t xml:space="preserve"> no longer </w:t>
      </w:r>
      <w:r w:rsidR="00743FC9">
        <w:rPr>
          <w:rFonts w:cs="Arial"/>
          <w:iCs/>
        </w:rPr>
        <w:t xml:space="preserve">ever </w:t>
      </w:r>
      <w:r w:rsidR="006836C8" w:rsidRPr="006836C8">
        <w:rPr>
          <w:rFonts w:cs="Arial"/>
          <w:iCs/>
        </w:rPr>
        <w:t xml:space="preserve">entitled to any </w:t>
      </w:r>
      <w:r w:rsidR="004D48A2">
        <w:rPr>
          <w:rFonts w:cs="Arial"/>
          <w:iCs/>
        </w:rPr>
        <w:t xml:space="preserve">further </w:t>
      </w:r>
      <w:r w:rsidR="006836C8" w:rsidRPr="006836C8">
        <w:rPr>
          <w:rFonts w:cs="Arial"/>
          <w:iCs/>
        </w:rPr>
        <w:t>pay-out under this Benefit Group.</w:t>
      </w:r>
      <w:r w:rsidR="004D48A2">
        <w:rPr>
          <w:rFonts w:cs="Arial"/>
          <w:iCs/>
        </w:rPr>
        <w:t xml:space="preserve"> </w:t>
      </w:r>
    </w:p>
    <w:p w14:paraId="3EEBC3A6" w14:textId="43016065" w:rsidR="00880998" w:rsidRPr="00880998" w:rsidRDefault="00880998" w:rsidP="00880998">
      <w:pPr>
        <w:pStyle w:val="BodyText"/>
        <w:widowControl w:val="0"/>
        <w:tabs>
          <w:tab w:val="clear" w:pos="8640"/>
        </w:tabs>
        <w:spacing w:before="74"/>
        <w:ind w:right="-46"/>
        <w:rPr>
          <w:rFonts w:cs="Arial"/>
          <w:iCs/>
          <w:u w:val="single"/>
        </w:rPr>
      </w:pPr>
      <w:r w:rsidRPr="00880998">
        <w:rPr>
          <w:rFonts w:cs="Arial"/>
          <w:iCs/>
          <w:u w:val="single"/>
        </w:rPr>
        <w:t>Mr Delpaul</w:t>
      </w:r>
    </w:p>
    <w:p w14:paraId="23C24FB2" w14:textId="24C55725" w:rsidR="00D20BAB" w:rsidRDefault="002B4606" w:rsidP="002B4606">
      <w:pPr>
        <w:pStyle w:val="BodyText"/>
        <w:widowControl w:val="0"/>
        <w:tabs>
          <w:tab w:val="clear" w:pos="8640"/>
        </w:tabs>
        <w:spacing w:before="74"/>
        <w:ind w:right="-46"/>
        <w:rPr>
          <w:rFonts w:cs="Arial"/>
          <w:iCs/>
        </w:rPr>
      </w:pPr>
      <w:r>
        <w:rPr>
          <w:rFonts w:cs="Arial"/>
          <w:iCs/>
        </w:rPr>
        <w:t>[11]</w:t>
      </w:r>
      <w:r>
        <w:rPr>
          <w:rFonts w:cs="Arial"/>
          <w:iCs/>
        </w:rPr>
        <w:tab/>
      </w:r>
      <w:r w:rsidR="006836C8" w:rsidRPr="00D20BAB">
        <w:rPr>
          <w:rFonts w:cs="Arial"/>
          <w:iCs/>
        </w:rPr>
        <w:t xml:space="preserve">Mr Delpaul testified that he understood the policy to pay out per </w:t>
      </w:r>
      <w:r w:rsidR="006836C8" w:rsidRPr="00743FC9">
        <w:rPr>
          <w:rFonts w:cs="Arial"/>
          <w:b/>
          <w:bCs/>
          <w:iCs/>
        </w:rPr>
        <w:t>event</w:t>
      </w:r>
      <w:r w:rsidR="006836C8" w:rsidRPr="00D20BAB">
        <w:rPr>
          <w:rFonts w:cs="Arial"/>
          <w:iCs/>
        </w:rPr>
        <w:t xml:space="preserve">, that he had not been paid out for the event described as </w:t>
      </w:r>
      <w:r w:rsidR="006836C8" w:rsidRPr="00D20BAB">
        <w:rPr>
          <w:rFonts w:cs="Arial"/>
          <w:iCs/>
          <w:u w:val="single"/>
        </w:rPr>
        <w:t>‘Heart Attack’</w:t>
      </w:r>
      <w:r w:rsidR="006836C8" w:rsidRPr="00D20BAB">
        <w:rPr>
          <w:rFonts w:cs="Arial"/>
          <w:iCs/>
        </w:rPr>
        <w:t xml:space="preserve"> prior to this claim as Events 1 and 2 related to other events under the Cardiovascular Benefit Group</w:t>
      </w:r>
      <w:r w:rsidR="00743FC9">
        <w:rPr>
          <w:rFonts w:cs="Arial"/>
          <w:iCs/>
        </w:rPr>
        <w:t xml:space="preserve">. He contended that he </w:t>
      </w:r>
      <w:r w:rsidR="006836C8" w:rsidRPr="00D20BAB">
        <w:rPr>
          <w:rFonts w:cs="Arial"/>
          <w:iCs/>
        </w:rPr>
        <w:t xml:space="preserve">was accordingly entitled to payment of the percentage shown for </w:t>
      </w:r>
      <w:r w:rsidR="006836C8" w:rsidRPr="00D20BAB">
        <w:rPr>
          <w:rFonts w:cs="Arial"/>
          <w:iCs/>
        </w:rPr>
        <w:lastRenderedPageBreak/>
        <w:t>this event which is 100% of the Benefit amount.</w:t>
      </w:r>
    </w:p>
    <w:p w14:paraId="0AB8EF32" w14:textId="426A5989" w:rsidR="00880998" w:rsidRPr="00880998" w:rsidRDefault="00880998" w:rsidP="00880998">
      <w:pPr>
        <w:pStyle w:val="BodyText"/>
        <w:widowControl w:val="0"/>
        <w:tabs>
          <w:tab w:val="clear" w:pos="8640"/>
        </w:tabs>
        <w:spacing w:before="74"/>
        <w:ind w:right="-46"/>
        <w:rPr>
          <w:rFonts w:cs="Arial"/>
          <w:b/>
          <w:bCs/>
          <w:iCs/>
        </w:rPr>
      </w:pPr>
      <w:r w:rsidRPr="00880998">
        <w:rPr>
          <w:rFonts w:cs="Arial"/>
          <w:b/>
          <w:bCs/>
          <w:iCs/>
        </w:rPr>
        <w:t>Analysis</w:t>
      </w:r>
    </w:p>
    <w:p w14:paraId="707823B2" w14:textId="629FBA92" w:rsidR="00D20BAB" w:rsidRDefault="002B4606" w:rsidP="002B4606">
      <w:pPr>
        <w:pStyle w:val="BodyText"/>
        <w:widowControl w:val="0"/>
        <w:tabs>
          <w:tab w:val="clear" w:pos="8640"/>
        </w:tabs>
        <w:spacing w:before="74"/>
        <w:ind w:right="-46"/>
        <w:rPr>
          <w:rFonts w:cs="Arial"/>
          <w:iCs/>
        </w:rPr>
      </w:pPr>
      <w:r>
        <w:rPr>
          <w:rFonts w:cs="Arial"/>
          <w:iCs/>
        </w:rPr>
        <w:t>[12]</w:t>
      </w:r>
      <w:r>
        <w:rPr>
          <w:rFonts w:cs="Arial"/>
          <w:iCs/>
        </w:rPr>
        <w:tab/>
      </w:r>
      <w:r w:rsidR="006836C8" w:rsidRPr="00D20BAB">
        <w:rPr>
          <w:rFonts w:cs="Arial"/>
          <w:iCs/>
        </w:rPr>
        <w:t>I am conscious of the dangers of referencing the witnesses’ understanding of the policy when interpreting an agreement. As a general rule, such evidence would be inadmissible as it is irrelevant. It is for a court to interpret the agreement/</w:t>
      </w:r>
      <w:r w:rsidR="00880998" w:rsidRPr="00D20BAB">
        <w:rPr>
          <w:rFonts w:cs="Arial"/>
          <w:iCs/>
        </w:rPr>
        <w:t>policy,</w:t>
      </w:r>
      <w:r w:rsidR="006836C8" w:rsidRPr="00D20BAB">
        <w:rPr>
          <w:rFonts w:cs="Arial"/>
          <w:iCs/>
        </w:rPr>
        <w:t xml:space="preserve"> but one may have regard to such evidence for, amongst other reasons, context</w:t>
      </w:r>
      <w:r w:rsidR="00E94DA1">
        <w:rPr>
          <w:rStyle w:val="FootnoteReference"/>
          <w:rFonts w:cs="Arial"/>
          <w:iCs/>
        </w:rPr>
        <w:footnoteReference w:id="1"/>
      </w:r>
      <w:r w:rsidR="006836C8" w:rsidRPr="00D20BAB">
        <w:rPr>
          <w:rFonts w:cs="Arial"/>
          <w:iCs/>
        </w:rPr>
        <w:t>.</w:t>
      </w:r>
      <w:r w:rsidR="00E94DA1" w:rsidRPr="00E94DA1">
        <w:rPr>
          <w:rStyle w:val="FootnoteReference"/>
          <w:rFonts w:cs="Arial"/>
          <w:iCs/>
        </w:rPr>
        <w:t xml:space="preserve"> </w:t>
      </w:r>
    </w:p>
    <w:p w14:paraId="4BFE612B" w14:textId="3B3B079C" w:rsidR="00D20BAB" w:rsidRPr="00E94DA1" w:rsidRDefault="002B4606" w:rsidP="002B4606">
      <w:pPr>
        <w:pStyle w:val="BodyText"/>
        <w:widowControl w:val="0"/>
        <w:tabs>
          <w:tab w:val="clear" w:pos="8640"/>
        </w:tabs>
        <w:spacing w:before="74"/>
        <w:ind w:right="-46"/>
        <w:rPr>
          <w:rFonts w:cs="Arial"/>
          <w:iCs/>
        </w:rPr>
      </w:pPr>
      <w:r w:rsidRPr="00E94DA1">
        <w:rPr>
          <w:rFonts w:cs="Arial"/>
          <w:iCs/>
        </w:rPr>
        <w:t>[13]</w:t>
      </w:r>
      <w:r w:rsidRPr="00E94DA1">
        <w:rPr>
          <w:rFonts w:cs="Arial"/>
          <w:iCs/>
        </w:rPr>
        <w:tab/>
      </w:r>
      <w:r w:rsidR="006836C8" w:rsidRPr="00D20BAB">
        <w:rPr>
          <w:rFonts w:cs="Arial"/>
          <w:iCs/>
        </w:rPr>
        <w:t>Reading the policy as a whole, it is clear that the percentage</w:t>
      </w:r>
      <w:r w:rsidR="00880998">
        <w:rPr>
          <w:rFonts w:cs="Arial"/>
          <w:iCs/>
        </w:rPr>
        <w:t>s</w:t>
      </w:r>
      <w:r w:rsidR="006836C8" w:rsidRPr="00D20BAB">
        <w:rPr>
          <w:rFonts w:cs="Arial"/>
          <w:iCs/>
        </w:rPr>
        <w:t xml:space="preserve"> shown for each event within a Benefit Group, is payable ‘per cardiovascular event’. The ‘Reinstatement of Benefit Amount’ provision,</w:t>
      </w:r>
      <w:r w:rsidR="00743FC9">
        <w:rPr>
          <w:rFonts w:cs="Arial"/>
          <w:iCs/>
        </w:rPr>
        <w:t xml:space="preserve"> in my view,</w:t>
      </w:r>
      <w:r w:rsidR="006836C8" w:rsidRPr="00D20BAB">
        <w:rPr>
          <w:rFonts w:cs="Arial"/>
          <w:iCs/>
        </w:rPr>
        <w:t xml:space="preserve"> quoted herein</w:t>
      </w:r>
      <w:r w:rsidR="00471F2D">
        <w:rPr>
          <w:rFonts w:cs="Arial"/>
          <w:iCs/>
        </w:rPr>
        <w:t xml:space="preserve"> </w:t>
      </w:r>
      <w:r w:rsidR="006836C8" w:rsidRPr="00D20BAB">
        <w:rPr>
          <w:rFonts w:cs="Arial"/>
          <w:iCs/>
        </w:rPr>
        <w:t xml:space="preserve">before, supports this construction. If, by way of example, 50% of the Benefit amount for the event described as </w:t>
      </w:r>
      <w:r w:rsidR="006836C8" w:rsidRPr="00D20BAB">
        <w:rPr>
          <w:rFonts w:cs="Arial"/>
          <w:iCs/>
          <w:u w:val="single"/>
        </w:rPr>
        <w:t>‘Heart Transplant’</w:t>
      </w:r>
      <w:r w:rsidR="006836C8" w:rsidRPr="00D20BAB">
        <w:rPr>
          <w:rFonts w:cs="Arial"/>
          <w:iCs/>
        </w:rPr>
        <w:t xml:space="preserve"> is paid, the percentage paid is deducted from the 100% Benefit amount (R2,3 million) and what remains left for that event (being R1</w:t>
      </w:r>
      <w:r w:rsidR="00E94DA1">
        <w:rPr>
          <w:rFonts w:cs="Arial"/>
          <w:iCs/>
        </w:rPr>
        <w:t>,</w:t>
      </w:r>
      <w:r w:rsidR="006836C8" w:rsidRPr="00E94DA1">
        <w:rPr>
          <w:rFonts w:cs="Arial"/>
          <w:iCs/>
        </w:rPr>
        <w:t xml:space="preserve">15 million), can be claimed in the future. If that </w:t>
      </w:r>
      <w:r w:rsidR="00B91EDE">
        <w:rPr>
          <w:rFonts w:cs="Arial"/>
          <w:iCs/>
        </w:rPr>
        <w:t xml:space="preserve">remaining </w:t>
      </w:r>
      <w:r w:rsidR="006836C8" w:rsidRPr="00E94DA1">
        <w:rPr>
          <w:rFonts w:cs="Arial"/>
          <w:iCs/>
        </w:rPr>
        <w:t xml:space="preserve">50% is also paid out, the Benefit amount is reinstated after 90 days, but the subsequent claim for the event of </w:t>
      </w:r>
      <w:r w:rsidR="006836C8" w:rsidRPr="00E94DA1">
        <w:rPr>
          <w:rFonts w:cs="Arial"/>
          <w:iCs/>
          <w:u w:val="single"/>
        </w:rPr>
        <w:t>‘Heart Transplant’</w:t>
      </w:r>
      <w:r w:rsidR="006836C8" w:rsidRPr="00E94DA1">
        <w:rPr>
          <w:rFonts w:cs="Arial"/>
          <w:iCs/>
        </w:rPr>
        <w:t xml:space="preserve"> would be limited to 25% for that event if the claim we</w:t>
      </w:r>
      <w:r w:rsidR="00471F2D" w:rsidRPr="00E94DA1">
        <w:rPr>
          <w:rFonts w:cs="Arial"/>
          <w:iCs/>
        </w:rPr>
        <w:t xml:space="preserve">re made prior to the </w:t>
      </w:r>
      <w:r w:rsidR="00E94DA1">
        <w:rPr>
          <w:rFonts w:cs="Arial"/>
          <w:iCs/>
        </w:rPr>
        <w:t xml:space="preserve">insured reaching the </w:t>
      </w:r>
      <w:r w:rsidR="00471F2D" w:rsidRPr="00E94DA1">
        <w:rPr>
          <w:rFonts w:cs="Arial"/>
          <w:iCs/>
        </w:rPr>
        <w:t>age of 75.</w:t>
      </w:r>
    </w:p>
    <w:p w14:paraId="01EC0CC6" w14:textId="2DCA0BFF" w:rsidR="00880998" w:rsidRDefault="002B4606" w:rsidP="002B4606">
      <w:pPr>
        <w:pStyle w:val="BodyText"/>
        <w:widowControl w:val="0"/>
        <w:tabs>
          <w:tab w:val="clear" w:pos="8640"/>
        </w:tabs>
        <w:spacing w:before="74"/>
        <w:ind w:right="-46"/>
        <w:rPr>
          <w:rFonts w:cs="Arial"/>
          <w:iCs/>
        </w:rPr>
      </w:pPr>
      <w:r>
        <w:rPr>
          <w:rFonts w:cs="Arial"/>
          <w:iCs/>
        </w:rPr>
        <w:t>[14]</w:t>
      </w:r>
      <w:r>
        <w:rPr>
          <w:rFonts w:cs="Arial"/>
          <w:iCs/>
        </w:rPr>
        <w:tab/>
      </w:r>
      <w:r w:rsidR="000F6A1D" w:rsidRPr="00D20BAB">
        <w:rPr>
          <w:rFonts w:cs="Arial"/>
          <w:iCs/>
        </w:rPr>
        <w:t>The ‘Reinstatement of Benefit Amount’ clause</w:t>
      </w:r>
      <w:r w:rsidR="00B91EDE">
        <w:rPr>
          <w:rFonts w:cs="Arial"/>
          <w:iCs/>
        </w:rPr>
        <w:t xml:space="preserve"> </w:t>
      </w:r>
      <w:r w:rsidR="00880998">
        <w:rPr>
          <w:rFonts w:cs="Arial"/>
          <w:iCs/>
        </w:rPr>
        <w:t xml:space="preserve">places much reliance on whether the claim was for a related or an unrelated </w:t>
      </w:r>
      <w:r w:rsidR="00880998" w:rsidRPr="00880998">
        <w:rPr>
          <w:rFonts w:cs="Arial"/>
          <w:b/>
          <w:bCs/>
          <w:iCs/>
        </w:rPr>
        <w:t>condition.</w:t>
      </w:r>
      <w:r w:rsidR="00880998">
        <w:rPr>
          <w:rFonts w:cs="Arial"/>
          <w:iCs/>
        </w:rPr>
        <w:t xml:space="preserve"> If there was a 100% of Benefit amount pay-out for a particular type of </w:t>
      </w:r>
      <w:r w:rsidR="00880998" w:rsidRPr="00880998">
        <w:rPr>
          <w:rFonts w:cs="Arial"/>
          <w:b/>
          <w:bCs/>
          <w:iCs/>
        </w:rPr>
        <w:t xml:space="preserve">condition </w:t>
      </w:r>
      <w:r w:rsidR="00880998">
        <w:rPr>
          <w:rFonts w:cs="Arial"/>
          <w:iCs/>
        </w:rPr>
        <w:t xml:space="preserve">and then a subsequent claim was made for a </w:t>
      </w:r>
      <w:r w:rsidR="00880998" w:rsidRPr="00880998">
        <w:rPr>
          <w:rFonts w:cs="Arial"/>
          <w:i/>
        </w:rPr>
        <w:t>related</w:t>
      </w:r>
      <w:r w:rsidR="00880998">
        <w:rPr>
          <w:rFonts w:cs="Arial"/>
          <w:iCs/>
        </w:rPr>
        <w:t xml:space="preserve"> </w:t>
      </w:r>
      <w:r w:rsidR="00880998" w:rsidRPr="00880998">
        <w:rPr>
          <w:rFonts w:cs="Arial"/>
          <w:b/>
          <w:bCs/>
          <w:iCs/>
        </w:rPr>
        <w:t>condition</w:t>
      </w:r>
      <w:r w:rsidR="00880998">
        <w:rPr>
          <w:rFonts w:cs="Arial"/>
          <w:iCs/>
        </w:rPr>
        <w:t xml:space="preserve"> then 90 days would have to have passed between the </w:t>
      </w:r>
      <w:r w:rsidR="00880998">
        <w:rPr>
          <w:rFonts w:cs="Arial"/>
          <w:iCs/>
        </w:rPr>
        <w:lastRenderedPageBreak/>
        <w:t>two related claims for the Benefit amount to have been reinstated for the policy to respond to the second claim, and even then it would only respond to the extent of 25% of the original Benefit amount provided the insured was under 75 years of age.</w:t>
      </w:r>
    </w:p>
    <w:p w14:paraId="1BD29CF5" w14:textId="5D2D4C04" w:rsidR="00880998" w:rsidRDefault="002B4606" w:rsidP="002B4606">
      <w:pPr>
        <w:pStyle w:val="BodyText"/>
        <w:widowControl w:val="0"/>
        <w:tabs>
          <w:tab w:val="clear" w:pos="8640"/>
        </w:tabs>
        <w:spacing w:before="74"/>
        <w:ind w:right="-46"/>
        <w:rPr>
          <w:rFonts w:cs="Arial"/>
          <w:iCs/>
        </w:rPr>
      </w:pPr>
      <w:r>
        <w:rPr>
          <w:rFonts w:cs="Arial"/>
          <w:iCs/>
        </w:rPr>
        <w:t>[15]</w:t>
      </w:r>
      <w:r>
        <w:rPr>
          <w:rFonts w:cs="Arial"/>
          <w:iCs/>
        </w:rPr>
        <w:tab/>
      </w:r>
      <w:r w:rsidR="00880998">
        <w:rPr>
          <w:rFonts w:cs="Arial"/>
          <w:iCs/>
        </w:rPr>
        <w:t xml:space="preserve">If, however, the conditions of the two claims were </w:t>
      </w:r>
      <w:r w:rsidR="00880998" w:rsidRPr="00880998">
        <w:rPr>
          <w:rFonts w:cs="Arial"/>
          <w:i/>
        </w:rPr>
        <w:t>unrelated</w:t>
      </w:r>
      <w:r w:rsidR="00880998">
        <w:rPr>
          <w:rFonts w:cs="Arial"/>
          <w:i/>
        </w:rPr>
        <w:t xml:space="preserve"> </w:t>
      </w:r>
      <w:r w:rsidR="00880998">
        <w:rPr>
          <w:rFonts w:cs="Arial"/>
          <w:iCs/>
        </w:rPr>
        <w:t xml:space="preserve">then a mere 14 days would have to have expired between the first and the second claim and both could in that event be paid up to 100% each as the Benefit amount automatically tops up for </w:t>
      </w:r>
      <w:r w:rsidR="00880998">
        <w:rPr>
          <w:rFonts w:cs="Arial"/>
          <w:i/>
        </w:rPr>
        <w:t>unrelated claims</w:t>
      </w:r>
      <w:r w:rsidR="00880998">
        <w:rPr>
          <w:rFonts w:cs="Arial"/>
          <w:iCs/>
        </w:rPr>
        <w:t xml:space="preserve"> after 14 days. </w:t>
      </w:r>
    </w:p>
    <w:p w14:paraId="78E2920C" w14:textId="7E855C27" w:rsidR="00D20BAB" w:rsidRPr="00880998" w:rsidRDefault="002B4606" w:rsidP="002B4606">
      <w:pPr>
        <w:pStyle w:val="BodyText"/>
        <w:widowControl w:val="0"/>
        <w:tabs>
          <w:tab w:val="clear" w:pos="8640"/>
        </w:tabs>
        <w:spacing w:before="74"/>
        <w:ind w:right="-46"/>
        <w:rPr>
          <w:rFonts w:cs="Arial"/>
          <w:iCs/>
        </w:rPr>
      </w:pPr>
      <w:r w:rsidRPr="00880998">
        <w:rPr>
          <w:rFonts w:cs="Arial"/>
          <w:iCs/>
        </w:rPr>
        <w:t>[16]</w:t>
      </w:r>
      <w:r w:rsidRPr="00880998">
        <w:rPr>
          <w:rFonts w:cs="Arial"/>
          <w:iCs/>
        </w:rPr>
        <w:tab/>
      </w:r>
      <w:r w:rsidR="00880998">
        <w:rPr>
          <w:rFonts w:cs="Arial"/>
          <w:iCs/>
        </w:rPr>
        <w:t>T</w:t>
      </w:r>
      <w:r w:rsidR="000F6A1D" w:rsidRPr="00880998">
        <w:rPr>
          <w:rFonts w:cs="Arial"/>
          <w:iCs/>
        </w:rPr>
        <w:t xml:space="preserve">he payment of the Benefit amount </w:t>
      </w:r>
      <w:r w:rsidR="00880998">
        <w:rPr>
          <w:rFonts w:cs="Arial"/>
          <w:iCs/>
        </w:rPr>
        <w:t xml:space="preserve">occurs </w:t>
      </w:r>
      <w:r w:rsidR="000F6A1D" w:rsidRPr="00880998">
        <w:rPr>
          <w:rFonts w:cs="Arial"/>
          <w:iCs/>
        </w:rPr>
        <w:t xml:space="preserve">pursuant to a claim for </w:t>
      </w:r>
      <w:r w:rsidR="00880998">
        <w:rPr>
          <w:rFonts w:cs="Arial"/>
          <w:iCs/>
        </w:rPr>
        <w:t xml:space="preserve">an </w:t>
      </w:r>
      <w:r w:rsidR="00880998" w:rsidRPr="00186803">
        <w:rPr>
          <w:rFonts w:cs="Arial"/>
          <w:b/>
          <w:bCs/>
          <w:iCs/>
        </w:rPr>
        <w:t>event</w:t>
      </w:r>
      <w:r w:rsidR="00880998">
        <w:rPr>
          <w:rFonts w:cs="Arial"/>
          <w:iCs/>
        </w:rPr>
        <w:t xml:space="preserve"> </w:t>
      </w:r>
      <w:r w:rsidR="000F6A1D" w:rsidRPr="00880998">
        <w:rPr>
          <w:rFonts w:cs="Arial"/>
          <w:iCs/>
        </w:rPr>
        <w:t xml:space="preserve">as opposed to a </w:t>
      </w:r>
      <w:r w:rsidR="000F6A1D" w:rsidRPr="00186803">
        <w:rPr>
          <w:rFonts w:cs="Arial"/>
          <w:b/>
          <w:bCs/>
          <w:iCs/>
        </w:rPr>
        <w:t>Benefit Group</w:t>
      </w:r>
      <w:r w:rsidR="000F6A1D" w:rsidRPr="00880998">
        <w:rPr>
          <w:rFonts w:cs="Arial"/>
          <w:iCs/>
        </w:rPr>
        <w:t xml:space="preserve"> and provides that the Benefit amount will automatically be reinstated for conditions that are related to that event. On a proper interpretation, this means that if Hollard paid 100% for a specific cardiovascular event</w:t>
      </w:r>
      <w:r w:rsidR="00743FC9" w:rsidRPr="00880998">
        <w:rPr>
          <w:rFonts w:cs="Arial"/>
          <w:iCs/>
        </w:rPr>
        <w:t>,</w:t>
      </w:r>
      <w:r w:rsidR="000F6A1D" w:rsidRPr="00880998">
        <w:rPr>
          <w:rFonts w:cs="Arial"/>
          <w:iCs/>
        </w:rPr>
        <w:t xml:space="preserve"> such as the event ‘Heart Transplant’, the Benefit amount would be reinstated for that event after 90 days subject to a cap of 25% if Mr Delpaul were younger than 75 years of age.</w:t>
      </w:r>
    </w:p>
    <w:p w14:paraId="2709D7FD" w14:textId="0297397F" w:rsidR="00D20BAB" w:rsidRDefault="002B4606" w:rsidP="002B4606">
      <w:pPr>
        <w:pStyle w:val="BodyText"/>
        <w:widowControl w:val="0"/>
        <w:tabs>
          <w:tab w:val="clear" w:pos="8640"/>
        </w:tabs>
        <w:spacing w:before="74"/>
        <w:ind w:right="-46"/>
        <w:rPr>
          <w:rFonts w:cs="Arial"/>
          <w:iCs/>
        </w:rPr>
      </w:pPr>
      <w:r>
        <w:rPr>
          <w:rFonts w:cs="Arial"/>
          <w:iCs/>
        </w:rPr>
        <w:t>[17]</w:t>
      </w:r>
      <w:r>
        <w:rPr>
          <w:rFonts w:cs="Arial"/>
          <w:iCs/>
        </w:rPr>
        <w:tab/>
      </w:r>
      <w:r w:rsidR="000F6A1D" w:rsidRPr="00D20BAB">
        <w:rPr>
          <w:rFonts w:cs="Arial"/>
          <w:iCs/>
        </w:rPr>
        <w:t>The policy does not provide that once 100% of the Benefit amount in a particular Group has been paid, no further payments will be made for such Group. The policy does however provide that ‘Only one payment will be made per cardiovascular event.’ Thus, as there are 12 events described under this Group, Mr Delpaul could claim for each event once. He could in principle claim for a different event every 6 weeks</w:t>
      </w:r>
      <w:r w:rsidR="00880998">
        <w:rPr>
          <w:rFonts w:cs="Arial"/>
          <w:iCs/>
        </w:rPr>
        <w:t xml:space="preserve">. </w:t>
      </w:r>
      <w:r w:rsidR="000F6A1D" w:rsidRPr="00D20BAB">
        <w:rPr>
          <w:rFonts w:cs="Arial"/>
          <w:iCs/>
        </w:rPr>
        <w:t xml:space="preserve">That is so because a single event is defined as all cardiovascular procedures that occur within a 30 day period </w:t>
      </w:r>
      <w:r w:rsidR="00880998">
        <w:rPr>
          <w:rFonts w:cs="Arial"/>
          <w:iCs/>
        </w:rPr>
        <w:t xml:space="preserve">(4 weeks) </w:t>
      </w:r>
      <w:r w:rsidR="000F6A1D" w:rsidRPr="00D20BAB">
        <w:rPr>
          <w:rFonts w:cs="Arial"/>
          <w:iCs/>
        </w:rPr>
        <w:t>and a claim will only be admitted after a 14 day</w:t>
      </w:r>
      <w:r w:rsidR="00880998">
        <w:rPr>
          <w:rFonts w:cs="Arial"/>
          <w:iCs/>
        </w:rPr>
        <w:t xml:space="preserve"> </w:t>
      </w:r>
      <w:r w:rsidR="00186803">
        <w:rPr>
          <w:rFonts w:cs="Arial"/>
          <w:iCs/>
        </w:rPr>
        <w:t xml:space="preserve">               </w:t>
      </w:r>
      <w:r w:rsidR="00880998">
        <w:rPr>
          <w:rFonts w:cs="Arial"/>
          <w:iCs/>
        </w:rPr>
        <w:t>(2 weeks)</w:t>
      </w:r>
      <w:r w:rsidR="000F6A1D" w:rsidRPr="00D20BAB">
        <w:rPr>
          <w:rFonts w:cs="Arial"/>
          <w:iCs/>
        </w:rPr>
        <w:t xml:space="preserve"> survival period. </w:t>
      </w:r>
    </w:p>
    <w:p w14:paraId="3FAFC1AD" w14:textId="3BE95CBB" w:rsidR="00D20BAB" w:rsidRDefault="002B4606" w:rsidP="002B4606">
      <w:pPr>
        <w:pStyle w:val="BodyText"/>
        <w:widowControl w:val="0"/>
        <w:tabs>
          <w:tab w:val="clear" w:pos="8640"/>
        </w:tabs>
        <w:spacing w:before="74"/>
        <w:ind w:right="-46"/>
        <w:rPr>
          <w:rFonts w:cs="Arial"/>
          <w:iCs/>
        </w:rPr>
      </w:pPr>
      <w:r>
        <w:rPr>
          <w:rFonts w:cs="Arial"/>
          <w:iCs/>
        </w:rPr>
        <w:t>[18]</w:t>
      </w:r>
      <w:r>
        <w:rPr>
          <w:rFonts w:cs="Arial"/>
          <w:iCs/>
        </w:rPr>
        <w:tab/>
      </w:r>
      <w:r w:rsidR="000F6A1D" w:rsidRPr="00D20BAB">
        <w:rPr>
          <w:rFonts w:cs="Arial"/>
          <w:iCs/>
        </w:rPr>
        <w:t>The ‘Reinstatement of Benefit Amount’ clause insofar as ‘related conditions’ are concerned, would only become applicable where he were to claim for a second time for an event under this Group and under such circumstances the Benefit amount will only be reinstated 90 days after the claim</w:t>
      </w:r>
      <w:r w:rsidR="00471F2D">
        <w:rPr>
          <w:rFonts w:cs="Arial"/>
          <w:iCs/>
        </w:rPr>
        <w:t xml:space="preserve"> event and then the claim will </w:t>
      </w:r>
      <w:r w:rsidR="000F6A1D" w:rsidRPr="00D20BAB">
        <w:rPr>
          <w:rFonts w:cs="Arial"/>
          <w:iCs/>
        </w:rPr>
        <w:t xml:space="preserve">be capped to </w:t>
      </w:r>
      <w:r w:rsidR="000F6A1D" w:rsidRPr="00D20BAB">
        <w:rPr>
          <w:rFonts w:cs="Arial"/>
          <w:iCs/>
        </w:rPr>
        <w:lastRenderedPageBreak/>
        <w:t xml:space="preserve">25% of the Benefit amount (if the claim were made before the age of 75). </w:t>
      </w:r>
    </w:p>
    <w:p w14:paraId="54A5EF99" w14:textId="3B4E0A2E" w:rsidR="00D20BAB" w:rsidRPr="00512E3A" w:rsidRDefault="002B4606" w:rsidP="002B4606">
      <w:pPr>
        <w:pStyle w:val="BodyText"/>
        <w:widowControl w:val="0"/>
        <w:tabs>
          <w:tab w:val="clear" w:pos="8640"/>
        </w:tabs>
        <w:spacing w:before="74"/>
        <w:ind w:right="-46"/>
        <w:rPr>
          <w:rFonts w:cs="Arial"/>
          <w:iCs/>
        </w:rPr>
      </w:pPr>
      <w:r w:rsidRPr="00512E3A">
        <w:rPr>
          <w:rFonts w:cs="Arial"/>
          <w:iCs/>
        </w:rPr>
        <w:t>[19]</w:t>
      </w:r>
      <w:r w:rsidRPr="00512E3A">
        <w:rPr>
          <w:rFonts w:cs="Arial"/>
          <w:iCs/>
        </w:rPr>
        <w:tab/>
      </w:r>
      <w:r w:rsidR="000F6A1D" w:rsidRPr="00D20BAB">
        <w:rPr>
          <w:rFonts w:cs="Arial"/>
          <w:iCs/>
        </w:rPr>
        <w:t>The event ‘</w:t>
      </w:r>
      <w:r w:rsidR="000F6A1D" w:rsidRPr="00743FC9">
        <w:rPr>
          <w:rFonts w:cs="Arial"/>
          <w:iCs/>
          <w:u w:val="single"/>
        </w:rPr>
        <w:t>Coronary Angioplasty/Stent</w:t>
      </w:r>
      <w:r w:rsidR="000F6A1D" w:rsidRPr="00D20BAB">
        <w:rPr>
          <w:rFonts w:cs="Arial"/>
          <w:iCs/>
        </w:rPr>
        <w:t>’ is defined to be a medical procedure used to open narrowed blood vessels of the heart and devices known as ‘stents’ are used to help keep the arteries open. Crucially, it then provides: ‘This benefit covers an unlimited number of procedures.’ The policy provides that for each claim, for this event, 10% of the Benefit amount is payable. For Hollard’s interpretation of the policy to be correct, this benefit ought to have been limi</w:t>
      </w:r>
      <w:r w:rsidR="00471F2D">
        <w:rPr>
          <w:rFonts w:cs="Arial"/>
          <w:iCs/>
        </w:rPr>
        <w:t>ted to 10 procedures because 10</w:t>
      </w:r>
      <w:r w:rsidR="000F6A1D" w:rsidRPr="00D20BAB">
        <w:rPr>
          <w:rFonts w:cs="Arial"/>
          <w:iCs/>
        </w:rPr>
        <w:t>x</w:t>
      </w:r>
      <w:r w:rsidR="00471F2D">
        <w:rPr>
          <w:rFonts w:cs="Arial"/>
          <w:iCs/>
        </w:rPr>
        <w:t>1</w:t>
      </w:r>
      <w:r w:rsidR="000F6A1D" w:rsidRPr="00D20BAB">
        <w:rPr>
          <w:rFonts w:cs="Arial"/>
          <w:iCs/>
        </w:rPr>
        <w:t>0 = 100 and when that amount is reached</w:t>
      </w:r>
      <w:r w:rsidR="00743FC9">
        <w:rPr>
          <w:rFonts w:cs="Arial"/>
          <w:iCs/>
        </w:rPr>
        <w:t>,</w:t>
      </w:r>
      <w:r w:rsidR="000F6A1D" w:rsidRPr="00D20BAB">
        <w:rPr>
          <w:rFonts w:cs="Arial"/>
          <w:iCs/>
        </w:rPr>
        <w:t xml:space="preserve"> the Be</w:t>
      </w:r>
      <w:r w:rsidR="00B36658">
        <w:rPr>
          <w:rFonts w:cs="Arial"/>
          <w:iCs/>
        </w:rPr>
        <w:t xml:space="preserve">nefit amount would </w:t>
      </w:r>
      <w:r w:rsidR="00B91EDE">
        <w:rPr>
          <w:rFonts w:cs="Arial"/>
          <w:iCs/>
        </w:rPr>
        <w:t xml:space="preserve">on Hollard’s interpretation </w:t>
      </w:r>
      <w:r w:rsidR="00B36658">
        <w:rPr>
          <w:rFonts w:cs="Arial"/>
          <w:iCs/>
        </w:rPr>
        <w:t xml:space="preserve">be depleted. </w:t>
      </w:r>
      <w:r w:rsidR="000F6A1D" w:rsidRPr="00D20BAB">
        <w:rPr>
          <w:rFonts w:cs="Arial"/>
          <w:iCs/>
        </w:rPr>
        <w:t xml:space="preserve">Mrs Gonnerman, confronted with this dilemma, testified that the Benefit </w:t>
      </w:r>
      <w:r w:rsidR="000F6A1D" w:rsidRPr="00512E3A">
        <w:rPr>
          <w:rFonts w:cs="Arial"/>
          <w:iCs/>
        </w:rPr>
        <w:t>amount does not actually cover an unlimited number of p</w:t>
      </w:r>
      <w:r w:rsidR="00B36658" w:rsidRPr="00512E3A">
        <w:rPr>
          <w:rFonts w:cs="Arial"/>
          <w:iCs/>
        </w:rPr>
        <w:t>rocedures as stated in the polic</w:t>
      </w:r>
      <w:r w:rsidR="000F6A1D" w:rsidRPr="00512E3A">
        <w:rPr>
          <w:rFonts w:cs="Arial"/>
          <w:iCs/>
        </w:rPr>
        <w:t>y but only 10 procedures, at a payment of 10% of the Benefit amount for each claim to a maximum</w:t>
      </w:r>
      <w:r w:rsidR="00D20BAB" w:rsidRPr="00512E3A">
        <w:rPr>
          <w:rFonts w:cs="Arial"/>
          <w:iCs/>
        </w:rPr>
        <w:t xml:space="preserve"> of 100% of the Benefit amount.</w:t>
      </w:r>
    </w:p>
    <w:p w14:paraId="7CE5B40B" w14:textId="4E15F468" w:rsidR="000F6A1D" w:rsidRDefault="002B4606" w:rsidP="002B4606">
      <w:pPr>
        <w:pStyle w:val="BodyText"/>
        <w:widowControl w:val="0"/>
        <w:tabs>
          <w:tab w:val="clear" w:pos="8640"/>
          <w:tab w:val="left" w:pos="0"/>
          <w:tab w:val="right" w:pos="709"/>
        </w:tabs>
        <w:spacing w:before="74"/>
        <w:ind w:right="-46"/>
        <w:rPr>
          <w:rFonts w:cs="Arial"/>
          <w:iCs/>
        </w:rPr>
      </w:pPr>
      <w:r>
        <w:rPr>
          <w:rFonts w:cs="Arial"/>
          <w:iCs/>
        </w:rPr>
        <w:t>[20]</w:t>
      </w:r>
      <w:r>
        <w:rPr>
          <w:rFonts w:cs="Arial"/>
          <w:iCs/>
        </w:rPr>
        <w:tab/>
      </w:r>
      <w:r w:rsidR="000F6A1D" w:rsidRPr="000F6A1D">
        <w:rPr>
          <w:rFonts w:cs="Arial"/>
          <w:iCs/>
        </w:rPr>
        <w:t xml:space="preserve">This </w:t>
      </w:r>
      <w:r w:rsidR="00B91EDE">
        <w:rPr>
          <w:rFonts w:cs="Arial"/>
          <w:iCs/>
        </w:rPr>
        <w:t xml:space="preserve">answer </w:t>
      </w:r>
      <w:r w:rsidR="000F6A1D" w:rsidRPr="000F6A1D">
        <w:rPr>
          <w:rFonts w:cs="Arial"/>
          <w:iCs/>
        </w:rPr>
        <w:t xml:space="preserve">contradicts the express wording of the policy. The sentence in the policy can only be meaningful if one accepts that the policy responds </w:t>
      </w:r>
      <w:r w:rsidR="000F6A1D" w:rsidRPr="00743FC9">
        <w:rPr>
          <w:rFonts w:cs="Arial"/>
          <w:b/>
          <w:bCs/>
          <w:iCs/>
        </w:rPr>
        <w:t>per event</w:t>
      </w:r>
      <w:r w:rsidR="000F6A1D" w:rsidRPr="000F6A1D">
        <w:rPr>
          <w:rFonts w:cs="Arial"/>
          <w:iCs/>
        </w:rPr>
        <w:t xml:space="preserve"> and the amount payable is a percentage of the Benefit amount. Under this Group we know that only </w:t>
      </w:r>
      <w:r w:rsidR="000F6A1D" w:rsidRPr="00743FC9">
        <w:rPr>
          <w:rFonts w:cs="Arial"/>
          <w:b/>
          <w:bCs/>
          <w:iCs/>
        </w:rPr>
        <w:t>one</w:t>
      </w:r>
      <w:r w:rsidR="000F6A1D" w:rsidRPr="000F6A1D">
        <w:rPr>
          <w:rFonts w:cs="Arial"/>
          <w:iCs/>
        </w:rPr>
        <w:t xml:space="preserve"> payment will be made </w:t>
      </w:r>
      <w:r w:rsidR="000F6A1D" w:rsidRPr="00743FC9">
        <w:rPr>
          <w:rFonts w:cs="Arial"/>
          <w:b/>
          <w:bCs/>
          <w:iCs/>
        </w:rPr>
        <w:t>per event</w:t>
      </w:r>
      <w:r w:rsidR="000F6A1D" w:rsidRPr="000F6A1D">
        <w:rPr>
          <w:rFonts w:cs="Arial"/>
          <w:iCs/>
        </w:rPr>
        <w:t xml:space="preserve"> however the policy states that it will respond by paying out a benefit of 10% of the Benefit amount for an ‘unlimited’ number of procedures.</w:t>
      </w:r>
    </w:p>
    <w:p w14:paraId="570FB744" w14:textId="3A4D99E7" w:rsidR="00B91EDE" w:rsidRDefault="002B4606" w:rsidP="002B4606">
      <w:pPr>
        <w:pStyle w:val="BodyText"/>
        <w:widowControl w:val="0"/>
        <w:tabs>
          <w:tab w:val="left" w:pos="0"/>
          <w:tab w:val="left" w:pos="993"/>
        </w:tabs>
        <w:spacing w:before="74"/>
        <w:ind w:right="-46"/>
        <w:rPr>
          <w:rFonts w:cs="Arial"/>
          <w:iCs/>
        </w:rPr>
      </w:pPr>
      <w:r>
        <w:rPr>
          <w:rFonts w:cs="Arial"/>
          <w:iCs/>
        </w:rPr>
        <w:t>[21]</w:t>
      </w:r>
      <w:r>
        <w:rPr>
          <w:rFonts w:cs="Arial"/>
          <w:iCs/>
        </w:rPr>
        <w:tab/>
      </w:r>
      <w:r w:rsidR="000F6A1D" w:rsidRPr="000F6A1D">
        <w:rPr>
          <w:rFonts w:cs="Arial"/>
          <w:iCs/>
        </w:rPr>
        <w:t>Mr Mtukushe, representing Hollard, argued that the plaintiff’s construction of the policy l</w:t>
      </w:r>
      <w:r w:rsidR="00B36658">
        <w:rPr>
          <w:rFonts w:cs="Arial"/>
          <w:iCs/>
        </w:rPr>
        <w:t>eads to an absurdity</w:t>
      </w:r>
      <w:r w:rsidR="00B36658">
        <w:rPr>
          <w:rStyle w:val="FootnoteReference"/>
          <w:rFonts w:cs="Arial"/>
          <w:iCs/>
        </w:rPr>
        <w:footnoteReference w:id="2"/>
      </w:r>
      <w:r w:rsidR="00B36658">
        <w:rPr>
          <w:rFonts w:cs="Arial"/>
          <w:iCs/>
        </w:rPr>
        <w:t xml:space="preserve"> </w:t>
      </w:r>
      <w:r w:rsidR="000F6A1D" w:rsidRPr="000F6A1D">
        <w:rPr>
          <w:rFonts w:cs="Arial"/>
          <w:iCs/>
        </w:rPr>
        <w:t xml:space="preserve">and that a contract should be interpreted </w:t>
      </w:r>
      <w:r w:rsidR="00880998" w:rsidRPr="000F6A1D">
        <w:rPr>
          <w:rFonts w:cs="Arial"/>
          <w:iCs/>
        </w:rPr>
        <w:t>to</w:t>
      </w:r>
      <w:r w:rsidR="00B36658">
        <w:rPr>
          <w:rFonts w:cs="Arial"/>
          <w:iCs/>
        </w:rPr>
        <w:t xml:space="preserve"> give it a commercially</w:t>
      </w:r>
      <w:r w:rsidR="00B36658">
        <w:rPr>
          <w:rStyle w:val="FootnoteReference"/>
          <w:rFonts w:cs="Arial"/>
          <w:iCs/>
        </w:rPr>
        <w:footnoteReference w:id="3"/>
      </w:r>
      <w:r w:rsidR="00512E3A">
        <w:rPr>
          <w:rFonts w:cs="Arial"/>
          <w:iCs/>
        </w:rPr>
        <w:t xml:space="preserve"> </w:t>
      </w:r>
      <w:r w:rsidR="000F6A1D" w:rsidRPr="000F6A1D">
        <w:rPr>
          <w:rFonts w:cs="Arial"/>
          <w:iCs/>
        </w:rPr>
        <w:t xml:space="preserve">sensible meaning. This is so because having regard to the amount of the monthly premium, being R3 955.75, the parties could not have intended that Mr Delpaul would potentially be paid R2,3 million every 6 weeks. </w:t>
      </w:r>
    </w:p>
    <w:p w14:paraId="133906AE" w14:textId="217255AD" w:rsidR="00924A2E" w:rsidRDefault="002B4606" w:rsidP="002B4606">
      <w:pPr>
        <w:pStyle w:val="BodyText"/>
        <w:widowControl w:val="0"/>
        <w:tabs>
          <w:tab w:val="left" w:pos="0"/>
          <w:tab w:val="left" w:pos="993"/>
        </w:tabs>
        <w:spacing w:before="74"/>
        <w:ind w:right="-46"/>
        <w:rPr>
          <w:rFonts w:cs="Arial"/>
          <w:iCs/>
        </w:rPr>
      </w:pPr>
      <w:r>
        <w:rPr>
          <w:rFonts w:cs="Arial"/>
          <w:iCs/>
        </w:rPr>
        <w:lastRenderedPageBreak/>
        <w:t>[22]</w:t>
      </w:r>
      <w:r>
        <w:rPr>
          <w:rFonts w:cs="Arial"/>
          <w:iCs/>
        </w:rPr>
        <w:tab/>
      </w:r>
      <w:r w:rsidR="000F6A1D" w:rsidRPr="000F6A1D">
        <w:rPr>
          <w:rFonts w:cs="Arial"/>
          <w:iCs/>
        </w:rPr>
        <w:t>No evidence was presented as to Hollard’s risk assessment in relation to these various Groups, what the probabilities are of suffering from conditions which would trigger payments and more importantly surviving them to enable a pay-out. In my view this argument has limited persuasi</w:t>
      </w:r>
      <w:r w:rsidR="00B91EDE">
        <w:rPr>
          <w:rFonts w:cs="Arial"/>
          <w:iCs/>
        </w:rPr>
        <w:t xml:space="preserve">ve force </w:t>
      </w:r>
      <w:r w:rsidR="000F6A1D" w:rsidRPr="000F6A1D">
        <w:rPr>
          <w:rFonts w:cs="Arial"/>
          <w:iCs/>
        </w:rPr>
        <w:t>in the context of this case and on the evidence, or lack thereof, presented to assess this</w:t>
      </w:r>
      <w:r w:rsidR="00743FC9">
        <w:rPr>
          <w:rFonts w:cs="Arial"/>
          <w:iCs/>
        </w:rPr>
        <w:t xml:space="preserve"> ‘absurdity’</w:t>
      </w:r>
      <w:r w:rsidR="000F6A1D" w:rsidRPr="000F6A1D">
        <w:rPr>
          <w:rFonts w:cs="Arial"/>
          <w:iCs/>
        </w:rPr>
        <w:t>.</w:t>
      </w:r>
      <w:r w:rsidR="00743FC9">
        <w:rPr>
          <w:rFonts w:cs="Arial"/>
          <w:iCs/>
        </w:rPr>
        <w:t xml:space="preserve"> </w:t>
      </w:r>
    </w:p>
    <w:p w14:paraId="48D05607" w14:textId="26D3ABCB" w:rsidR="00AD4DF5" w:rsidRDefault="002B4606" w:rsidP="002B4606">
      <w:pPr>
        <w:pStyle w:val="BodyText"/>
        <w:widowControl w:val="0"/>
        <w:tabs>
          <w:tab w:val="left" w:pos="0"/>
          <w:tab w:val="left" w:pos="993"/>
        </w:tabs>
        <w:spacing w:before="74"/>
        <w:ind w:right="-46"/>
        <w:rPr>
          <w:rFonts w:cs="Arial"/>
          <w:iCs/>
        </w:rPr>
      </w:pPr>
      <w:r>
        <w:rPr>
          <w:rFonts w:cs="Arial"/>
          <w:iCs/>
        </w:rPr>
        <w:t>[23]</w:t>
      </w:r>
      <w:r>
        <w:rPr>
          <w:rFonts w:cs="Arial"/>
          <w:iCs/>
        </w:rPr>
        <w:tab/>
      </w:r>
      <w:r w:rsidR="000F6A1D" w:rsidRPr="00924A2E">
        <w:rPr>
          <w:rFonts w:cs="Arial"/>
          <w:iCs/>
        </w:rPr>
        <w:tab/>
        <w:t>Mr Mtukushe also drew attention to Mr Delpaul’s failure to have objected to the manner in which Hollard had implemented the policy i</w:t>
      </w:r>
      <w:r w:rsidR="00B91EDE">
        <w:rPr>
          <w:rFonts w:cs="Arial"/>
          <w:iCs/>
        </w:rPr>
        <w:t>.</w:t>
      </w:r>
      <w:r w:rsidR="000F6A1D" w:rsidRPr="00924A2E">
        <w:rPr>
          <w:rFonts w:cs="Arial"/>
          <w:iCs/>
        </w:rPr>
        <w:t>e</w:t>
      </w:r>
      <w:r w:rsidR="00B91EDE">
        <w:rPr>
          <w:rFonts w:cs="Arial"/>
          <w:iCs/>
        </w:rPr>
        <w:t>.</w:t>
      </w:r>
      <w:r w:rsidR="000F6A1D" w:rsidRPr="00924A2E">
        <w:rPr>
          <w:rFonts w:cs="Arial"/>
          <w:iCs/>
        </w:rPr>
        <w:t xml:space="preserve"> in accordance with </w:t>
      </w:r>
      <w:r w:rsidR="00743FC9">
        <w:rPr>
          <w:rFonts w:cs="Arial"/>
          <w:iCs/>
        </w:rPr>
        <w:t xml:space="preserve">its </w:t>
      </w:r>
      <w:r w:rsidR="000F6A1D" w:rsidRPr="00924A2E">
        <w:rPr>
          <w:rFonts w:cs="Arial"/>
          <w:iCs/>
        </w:rPr>
        <w:t xml:space="preserve">interpretation. Mr Delpaul was confronted with this </w:t>
      </w:r>
      <w:r w:rsidR="00743FC9">
        <w:rPr>
          <w:rFonts w:cs="Arial"/>
          <w:iCs/>
        </w:rPr>
        <w:t xml:space="preserve">failure </w:t>
      </w:r>
      <w:r w:rsidR="000F6A1D" w:rsidRPr="00924A2E">
        <w:rPr>
          <w:rFonts w:cs="Arial"/>
          <w:iCs/>
        </w:rPr>
        <w:t>during cross-examination. He was asked why, after Event 2, he had not objected to the 90% pay-out when on his construction of the policy he would have been entitled to 100%. He responded that</w:t>
      </w:r>
      <w:r w:rsidR="00B36658" w:rsidRPr="00B36658">
        <w:t xml:space="preserve"> </w:t>
      </w:r>
      <w:r w:rsidR="00B36658" w:rsidRPr="00924A2E">
        <w:rPr>
          <w:rFonts w:cs="Arial"/>
          <w:iCs/>
        </w:rPr>
        <w:t xml:space="preserve">he did complain to his broker, that he had changed brokers and that when he had instituted action in this case, he had been told that his claim in respect </w:t>
      </w:r>
      <w:r w:rsidR="00743FC9">
        <w:rPr>
          <w:rFonts w:cs="Arial"/>
          <w:iCs/>
        </w:rPr>
        <w:t>of that 10%</w:t>
      </w:r>
      <w:r w:rsidR="00B36658" w:rsidRPr="00924A2E">
        <w:rPr>
          <w:rFonts w:cs="Arial"/>
          <w:iCs/>
        </w:rPr>
        <w:t xml:space="preserve"> short payment, had prescribed. </w:t>
      </w:r>
    </w:p>
    <w:p w14:paraId="0DC1FE48" w14:textId="2F3BDE80" w:rsidR="00924A2E" w:rsidRDefault="002B4606" w:rsidP="002B4606">
      <w:pPr>
        <w:pStyle w:val="BodyText"/>
        <w:widowControl w:val="0"/>
        <w:tabs>
          <w:tab w:val="left" w:pos="0"/>
          <w:tab w:val="left" w:pos="993"/>
        </w:tabs>
        <w:spacing w:before="74"/>
        <w:ind w:right="-46"/>
        <w:rPr>
          <w:rFonts w:cs="Arial"/>
          <w:iCs/>
        </w:rPr>
      </w:pPr>
      <w:r>
        <w:rPr>
          <w:rFonts w:cs="Arial"/>
          <w:iCs/>
        </w:rPr>
        <w:t>[24]</w:t>
      </w:r>
      <w:r>
        <w:rPr>
          <w:rFonts w:cs="Arial"/>
          <w:iCs/>
        </w:rPr>
        <w:tab/>
      </w:r>
      <w:r w:rsidR="00B36658" w:rsidRPr="00924A2E">
        <w:rPr>
          <w:rFonts w:cs="Arial"/>
          <w:iCs/>
        </w:rPr>
        <w:t xml:space="preserve">He was also criticised, during argument, for not having taken that dispute to the Insurance Ombud in the same manner as he had done with the claim under </w:t>
      </w:r>
      <w:r w:rsidR="00186803">
        <w:rPr>
          <w:rFonts w:cs="Arial"/>
          <w:iCs/>
        </w:rPr>
        <w:t xml:space="preserve">            </w:t>
      </w:r>
      <w:r w:rsidR="00B36658" w:rsidRPr="00924A2E">
        <w:rPr>
          <w:rFonts w:cs="Arial"/>
          <w:iCs/>
        </w:rPr>
        <w:t xml:space="preserve">Event 3. In my view, this criticism has limited value as it was not traversed with </w:t>
      </w:r>
      <w:r w:rsidR="00186803">
        <w:rPr>
          <w:rFonts w:cs="Arial"/>
          <w:iCs/>
        </w:rPr>
        <w:t xml:space="preserve">                 </w:t>
      </w:r>
      <w:r w:rsidR="00B36658" w:rsidRPr="00924A2E">
        <w:rPr>
          <w:rFonts w:cs="Arial"/>
          <w:iCs/>
        </w:rPr>
        <w:t>Mr Delpaul during cross-examination. He was not afforded the opportunity to deal with this. I can think of a number of explanations such as that the amount was relatively small (10%) and that he was recovering from surgery – the reward was simply not worth the effort.</w:t>
      </w:r>
    </w:p>
    <w:p w14:paraId="6644C50E" w14:textId="75ADFFD1" w:rsidR="00512E3A" w:rsidRPr="00512E3A" w:rsidRDefault="002B4606" w:rsidP="002B4606">
      <w:pPr>
        <w:pStyle w:val="BodyText"/>
        <w:widowControl w:val="0"/>
        <w:tabs>
          <w:tab w:val="left" w:pos="0"/>
          <w:tab w:val="left" w:pos="993"/>
        </w:tabs>
        <w:spacing w:before="74"/>
        <w:ind w:right="-46"/>
        <w:rPr>
          <w:rFonts w:cs="Arial"/>
          <w:iCs/>
        </w:rPr>
      </w:pPr>
      <w:r w:rsidRPr="00512E3A">
        <w:rPr>
          <w:rFonts w:cs="Arial"/>
          <w:iCs/>
        </w:rPr>
        <w:t>[25]</w:t>
      </w:r>
      <w:r w:rsidRPr="00512E3A">
        <w:rPr>
          <w:rFonts w:cs="Arial"/>
          <w:iCs/>
        </w:rPr>
        <w:tab/>
      </w:r>
      <w:r w:rsidR="00B36658" w:rsidRPr="00924A2E">
        <w:rPr>
          <w:rFonts w:cs="Arial"/>
          <w:iCs/>
        </w:rPr>
        <w:t>Finally, Mr Mtukushe pointed out that Mr Delpaul was fully aware of Hollard’s construction of the policy as it was endorsed to that effect. After the</w:t>
      </w:r>
      <w:r w:rsidR="00924A2E">
        <w:rPr>
          <w:rFonts w:cs="Arial"/>
          <w:iCs/>
        </w:rPr>
        <w:t xml:space="preserve"> 100% ceiling had been </w:t>
      </w:r>
      <w:r w:rsidR="00512E3A">
        <w:rPr>
          <w:rFonts w:cs="Arial"/>
          <w:iCs/>
        </w:rPr>
        <w:t xml:space="preserve">reached, </w:t>
      </w:r>
      <w:r w:rsidR="00B36658" w:rsidRPr="00924A2E">
        <w:rPr>
          <w:rFonts w:cs="Arial"/>
          <w:iCs/>
        </w:rPr>
        <w:t xml:space="preserve">Hollard recorded under the heading ‘EXCLUSIONS AND ENDORSEMENTS’ on </w:t>
      </w:r>
      <w:r w:rsidR="00924A2E">
        <w:rPr>
          <w:rFonts w:cs="Arial"/>
          <w:iCs/>
        </w:rPr>
        <w:t xml:space="preserve">the covering page the following </w:t>
      </w:r>
      <w:r w:rsidR="00B36658" w:rsidRPr="00924A2E">
        <w:rPr>
          <w:rFonts w:cs="Arial"/>
          <w:iCs/>
        </w:rPr>
        <w:t>‘Payout under C</w:t>
      </w:r>
      <w:r w:rsidR="00512E3A">
        <w:rPr>
          <w:rFonts w:cs="Arial"/>
          <w:iCs/>
        </w:rPr>
        <w:t xml:space="preserve">ardiovascular Group – 100%’ </w:t>
      </w:r>
      <w:r w:rsidR="00B36658" w:rsidRPr="00924A2E">
        <w:rPr>
          <w:rFonts w:cs="Arial"/>
          <w:iCs/>
        </w:rPr>
        <w:t xml:space="preserve">and on the last page the following ‘It is hereby confirmed that 100% of </w:t>
      </w:r>
      <w:r w:rsidR="00B36658" w:rsidRPr="00924A2E">
        <w:rPr>
          <w:rFonts w:cs="Arial"/>
          <w:iCs/>
        </w:rPr>
        <w:lastRenderedPageBreak/>
        <w:t xml:space="preserve">the benefit amount has been paid out under the Cardiovascular Benefit Group’. </w:t>
      </w:r>
    </w:p>
    <w:p w14:paraId="5C6A65E1" w14:textId="19FF640D" w:rsidR="00880998" w:rsidRDefault="002B4606" w:rsidP="002B4606">
      <w:pPr>
        <w:pStyle w:val="BodyText"/>
        <w:widowControl w:val="0"/>
        <w:tabs>
          <w:tab w:val="left" w:pos="0"/>
          <w:tab w:val="left" w:pos="993"/>
        </w:tabs>
        <w:spacing w:before="74"/>
        <w:ind w:right="-46"/>
        <w:rPr>
          <w:rFonts w:cs="Arial"/>
          <w:iCs/>
        </w:rPr>
      </w:pPr>
      <w:r>
        <w:rPr>
          <w:rFonts w:cs="Arial"/>
          <w:iCs/>
        </w:rPr>
        <w:t>[26]</w:t>
      </w:r>
      <w:r>
        <w:rPr>
          <w:rFonts w:cs="Arial"/>
          <w:iCs/>
        </w:rPr>
        <w:tab/>
      </w:r>
      <w:r w:rsidR="00B36658" w:rsidRPr="00924A2E">
        <w:rPr>
          <w:rFonts w:cs="Arial"/>
          <w:iCs/>
        </w:rPr>
        <w:t>Mr Wannenburg, quite correctly in my view, pointed out that this unilateral act by Hollard of recording that 100% of the Benefit amount had been paid out</w:t>
      </w:r>
      <w:r w:rsidR="00743FC9">
        <w:rPr>
          <w:rFonts w:cs="Arial"/>
          <w:iCs/>
        </w:rPr>
        <w:t xml:space="preserve"> </w:t>
      </w:r>
      <w:r w:rsidR="00880998">
        <w:rPr>
          <w:rFonts w:cs="Arial"/>
          <w:iCs/>
        </w:rPr>
        <w:t xml:space="preserve">is </w:t>
      </w:r>
      <w:r w:rsidR="00B36658" w:rsidRPr="00924A2E">
        <w:rPr>
          <w:rFonts w:cs="Arial"/>
          <w:iCs/>
        </w:rPr>
        <w:t xml:space="preserve">of no legal consequence on the case pleaded before this court.  </w:t>
      </w:r>
      <w:r w:rsidR="00924A2E" w:rsidRPr="00743FC9">
        <w:rPr>
          <w:rFonts w:cs="Arial"/>
          <w:iCs/>
        </w:rPr>
        <w:t>The question is, how are the terms of the policy to be interpreted having regard to the admissible evidence</w:t>
      </w:r>
      <w:r w:rsidR="00880998">
        <w:rPr>
          <w:rFonts w:cs="Arial"/>
          <w:iCs/>
        </w:rPr>
        <w:t>.</w:t>
      </w:r>
    </w:p>
    <w:p w14:paraId="35589CFE" w14:textId="4D28317D" w:rsidR="00924A2E" w:rsidRPr="00743FC9" w:rsidRDefault="002B4606" w:rsidP="002B4606">
      <w:pPr>
        <w:pStyle w:val="BodyText"/>
        <w:widowControl w:val="0"/>
        <w:tabs>
          <w:tab w:val="left" w:pos="0"/>
          <w:tab w:val="left" w:pos="993"/>
        </w:tabs>
        <w:spacing w:before="74"/>
        <w:ind w:right="-46"/>
        <w:rPr>
          <w:rFonts w:cs="Arial"/>
          <w:iCs/>
        </w:rPr>
      </w:pPr>
      <w:r w:rsidRPr="00743FC9">
        <w:rPr>
          <w:rFonts w:cs="Arial"/>
          <w:iCs/>
        </w:rPr>
        <w:t>[27]</w:t>
      </w:r>
      <w:r w:rsidRPr="00743FC9">
        <w:rPr>
          <w:rFonts w:cs="Arial"/>
          <w:iCs/>
        </w:rPr>
        <w:tab/>
      </w:r>
      <w:r w:rsidR="00743FC9">
        <w:rPr>
          <w:rFonts w:cs="Arial"/>
          <w:iCs/>
        </w:rPr>
        <w:t>T</w:t>
      </w:r>
      <w:r w:rsidR="00924A2E" w:rsidRPr="00743FC9">
        <w:rPr>
          <w:rFonts w:cs="Arial"/>
          <w:iCs/>
        </w:rPr>
        <w:t>he object is to ascertain the intention of the parties</w:t>
      </w:r>
      <w:r w:rsidR="00924A2E">
        <w:rPr>
          <w:rStyle w:val="FootnoteReference"/>
          <w:rFonts w:cs="Arial"/>
          <w:iCs/>
        </w:rPr>
        <w:footnoteReference w:id="4"/>
      </w:r>
      <w:r w:rsidR="00743FC9">
        <w:rPr>
          <w:rFonts w:cs="Arial"/>
          <w:iCs/>
        </w:rPr>
        <w:t xml:space="preserve"> at the time of the conclusion of the agreement and not how they endorsed it along the way</w:t>
      </w:r>
      <w:r w:rsidR="00924A2E" w:rsidRPr="00743FC9">
        <w:rPr>
          <w:rFonts w:cs="Arial"/>
          <w:iCs/>
        </w:rPr>
        <w:t>.</w:t>
      </w:r>
      <w:r w:rsidR="00743FC9">
        <w:rPr>
          <w:rFonts w:cs="Arial"/>
          <w:iCs/>
        </w:rPr>
        <w:t xml:space="preserve"> I accept that it is permissible to have regard to the conduct of the parties in implementing an agreement in order to answer this question but I have no evidence before me as to when this endorsement occurred and in any event, Events 1 and 2 happened so shortly after one another that Mr Delpaul might well have reasoned that he was paid the full Benefit amount in a period of 3 months and the 10% shortfall was not worth the effort.</w:t>
      </w:r>
    </w:p>
    <w:p w14:paraId="18912399" w14:textId="0B65CE77" w:rsidR="00880998" w:rsidRDefault="002B4606" w:rsidP="002B4606">
      <w:pPr>
        <w:pStyle w:val="BodyText"/>
        <w:widowControl w:val="0"/>
        <w:tabs>
          <w:tab w:val="left" w:pos="0"/>
          <w:tab w:val="left" w:pos="993"/>
        </w:tabs>
        <w:spacing w:before="74"/>
        <w:ind w:right="-46"/>
        <w:rPr>
          <w:rFonts w:cs="Arial"/>
          <w:iCs/>
        </w:rPr>
      </w:pPr>
      <w:r>
        <w:rPr>
          <w:rFonts w:cs="Arial"/>
          <w:iCs/>
        </w:rPr>
        <w:t>[28]</w:t>
      </w:r>
      <w:r>
        <w:rPr>
          <w:rFonts w:cs="Arial"/>
          <w:iCs/>
        </w:rPr>
        <w:tab/>
      </w:r>
      <w:r w:rsidR="00880998">
        <w:rPr>
          <w:rFonts w:cs="Arial"/>
          <w:iCs/>
        </w:rPr>
        <w:t>No evidence was presented as to the related or unrelated nature of Events 1, 2 and 3, nor of Hollard having formed any particular view (in a clinical, rather than a mere legal interpretive sense) as to whether the conditions were related or not. That lacuna leaves the Court in the dark as to which of the scenarios contemplated in the automatic reinstatement of the Benefit Amount clause finds application to Mr Delpaul’s case.</w:t>
      </w:r>
      <w:r w:rsidR="00880998" w:rsidRPr="00743FC9">
        <w:rPr>
          <w:rFonts w:cs="Arial"/>
          <w:iCs/>
        </w:rPr>
        <w:t xml:space="preserve"> </w:t>
      </w:r>
    </w:p>
    <w:p w14:paraId="05871122" w14:textId="1A09F76D" w:rsidR="00880998" w:rsidRDefault="002B4606" w:rsidP="002B4606">
      <w:pPr>
        <w:pStyle w:val="BodyText"/>
        <w:widowControl w:val="0"/>
        <w:tabs>
          <w:tab w:val="left" w:pos="0"/>
          <w:tab w:val="left" w:pos="993"/>
        </w:tabs>
        <w:spacing w:before="74"/>
        <w:ind w:right="-46"/>
        <w:rPr>
          <w:rFonts w:cs="Arial"/>
          <w:iCs/>
        </w:rPr>
      </w:pPr>
      <w:r>
        <w:rPr>
          <w:rFonts w:cs="Arial"/>
          <w:iCs/>
        </w:rPr>
        <w:t>[29]</w:t>
      </w:r>
      <w:r>
        <w:rPr>
          <w:rFonts w:cs="Arial"/>
          <w:iCs/>
        </w:rPr>
        <w:tab/>
      </w:r>
      <w:r w:rsidR="00880998">
        <w:rPr>
          <w:rFonts w:cs="Arial"/>
          <w:iCs/>
        </w:rPr>
        <w:t xml:space="preserve">There was a belated attempt during re-examination of Mrs Gonnerman to suggest that Mr Delpaul’s underlying medical condition is atherosclerosis and Events 1, 2 and 3 were all related due to this medical condition. No expert evidence was presented during the trial and the introduction of medical opinion evidence by an </w:t>
      </w:r>
      <w:r w:rsidR="00880998">
        <w:rPr>
          <w:rFonts w:cs="Arial"/>
          <w:iCs/>
        </w:rPr>
        <w:lastRenderedPageBreak/>
        <w:t xml:space="preserve">unqualified person during re-examination, is inadmissible. But perhaps more problematic is that Hollard seems to have changed its reason for repudiating the claim. Initially and in its letter dated 4 September 2015 it relied on the following exclusion: </w:t>
      </w:r>
    </w:p>
    <w:p w14:paraId="506A8531" w14:textId="7F2156F6" w:rsidR="00880998" w:rsidRDefault="00880998" w:rsidP="004661B9">
      <w:pPr>
        <w:pStyle w:val="BodyText"/>
        <w:widowControl w:val="0"/>
        <w:tabs>
          <w:tab w:val="left" w:pos="0"/>
          <w:tab w:val="left" w:pos="993"/>
        </w:tabs>
        <w:spacing w:before="74" w:line="360" w:lineRule="auto"/>
        <w:ind w:left="1134" w:right="-46"/>
        <w:rPr>
          <w:rFonts w:cs="Arial"/>
          <w:iCs/>
          <w:sz w:val="22"/>
          <w:szCs w:val="22"/>
        </w:rPr>
      </w:pPr>
      <w:r w:rsidRPr="00880998">
        <w:rPr>
          <w:rFonts w:cs="Arial"/>
          <w:iCs/>
          <w:sz w:val="22"/>
          <w:szCs w:val="22"/>
        </w:rPr>
        <w:t>‘No claim will be paid under the reinstated cover where, in the opinion of Hollard Life, the claim is a direct consequence of the event for which a 100% payment was made before reinstatement’.</w:t>
      </w:r>
    </w:p>
    <w:p w14:paraId="3D121AAC" w14:textId="77777777" w:rsidR="004661B9" w:rsidRPr="00880998" w:rsidRDefault="004661B9" w:rsidP="004661B9">
      <w:pPr>
        <w:pStyle w:val="BodyText"/>
        <w:widowControl w:val="0"/>
        <w:tabs>
          <w:tab w:val="left" w:pos="0"/>
          <w:tab w:val="left" w:pos="993"/>
        </w:tabs>
        <w:spacing w:before="74" w:line="360" w:lineRule="auto"/>
        <w:ind w:left="1134" w:right="-46"/>
        <w:rPr>
          <w:rFonts w:cs="Arial"/>
          <w:iCs/>
          <w:sz w:val="22"/>
          <w:szCs w:val="22"/>
        </w:rPr>
      </w:pPr>
    </w:p>
    <w:p w14:paraId="1D16935F" w14:textId="04144E3C" w:rsidR="00880998" w:rsidRPr="002B4606" w:rsidRDefault="002B4606" w:rsidP="002B4606">
      <w:pPr>
        <w:tabs>
          <w:tab w:val="left" w:pos="0"/>
        </w:tabs>
        <w:spacing w:line="480" w:lineRule="auto"/>
        <w:jc w:val="both"/>
        <w:rPr>
          <w:rFonts w:ascii="Arial" w:eastAsia="Times New Roman" w:hAnsi="Arial" w:cs="Arial"/>
          <w:iCs/>
          <w:sz w:val="24"/>
          <w:szCs w:val="24"/>
          <w:lang w:val="en-GB"/>
        </w:rPr>
      </w:pPr>
      <w:r>
        <w:rPr>
          <w:rFonts w:ascii="Arial" w:eastAsia="Times New Roman" w:hAnsi="Arial" w:cs="Arial"/>
          <w:iCs/>
          <w:sz w:val="24"/>
          <w:szCs w:val="24"/>
          <w:lang w:val="en-GB"/>
        </w:rPr>
        <w:t>[30]</w:t>
      </w:r>
      <w:r>
        <w:rPr>
          <w:rFonts w:ascii="Arial" w:eastAsia="Times New Roman" w:hAnsi="Arial" w:cs="Arial"/>
          <w:iCs/>
          <w:sz w:val="24"/>
          <w:szCs w:val="24"/>
          <w:lang w:val="en-GB"/>
        </w:rPr>
        <w:tab/>
      </w:r>
      <w:r w:rsidR="00880998" w:rsidRPr="002B4606">
        <w:rPr>
          <w:rFonts w:ascii="Arial" w:eastAsia="Times New Roman" w:hAnsi="Arial" w:cs="Arial"/>
          <w:iCs/>
          <w:sz w:val="24"/>
          <w:szCs w:val="24"/>
          <w:lang w:val="en-GB"/>
        </w:rPr>
        <w:t xml:space="preserve">Hollard stated that: </w:t>
      </w:r>
    </w:p>
    <w:p w14:paraId="4382EEF2" w14:textId="568ABDEA" w:rsidR="00880998" w:rsidRDefault="00880998" w:rsidP="004661B9">
      <w:pPr>
        <w:pStyle w:val="ListParagraph"/>
        <w:spacing w:line="360" w:lineRule="auto"/>
        <w:ind w:left="1134"/>
        <w:jc w:val="both"/>
        <w:rPr>
          <w:rFonts w:ascii="Arial" w:eastAsia="Times New Roman" w:hAnsi="Arial" w:cs="Arial"/>
          <w:iCs/>
          <w:sz w:val="24"/>
          <w:szCs w:val="24"/>
          <w:lang w:val="en-GB"/>
        </w:rPr>
      </w:pPr>
      <w:r w:rsidRPr="00880998">
        <w:rPr>
          <w:rFonts w:ascii="Arial" w:eastAsia="Times New Roman" w:hAnsi="Arial" w:cs="Arial"/>
          <w:iCs/>
          <w:lang w:val="en-GB"/>
        </w:rPr>
        <w:t>‘Unfortunately the current claim cannot be considered under the re-instated cover as the condition currently being claimed for is directly related to the ischaemic heart disease that resulted in the previous claim paid in 2012. We regret no further claim is payable under the cardiovascular benefit group</w:t>
      </w:r>
      <w:r>
        <w:rPr>
          <w:rFonts w:ascii="Arial" w:eastAsia="Times New Roman" w:hAnsi="Arial" w:cs="Arial"/>
          <w:iCs/>
          <w:sz w:val="24"/>
          <w:szCs w:val="24"/>
          <w:lang w:val="en-GB"/>
        </w:rPr>
        <w:t>.’</w:t>
      </w:r>
    </w:p>
    <w:p w14:paraId="23A4AA2D" w14:textId="77777777" w:rsidR="004661B9" w:rsidRPr="004661B9" w:rsidRDefault="004661B9" w:rsidP="004661B9">
      <w:pPr>
        <w:pStyle w:val="ListParagraph"/>
        <w:spacing w:line="360" w:lineRule="auto"/>
        <w:ind w:left="1134"/>
        <w:jc w:val="both"/>
        <w:rPr>
          <w:rFonts w:ascii="Arial" w:eastAsia="Times New Roman" w:hAnsi="Arial" w:cs="Arial"/>
          <w:iCs/>
          <w:sz w:val="24"/>
          <w:szCs w:val="24"/>
          <w:lang w:val="en-GB"/>
        </w:rPr>
      </w:pPr>
    </w:p>
    <w:p w14:paraId="134C9EC9" w14:textId="15E348E1" w:rsidR="00880998" w:rsidRPr="002B4606" w:rsidRDefault="002B4606" w:rsidP="002B4606">
      <w:pPr>
        <w:tabs>
          <w:tab w:val="left" w:pos="0"/>
        </w:tabs>
        <w:spacing w:line="480" w:lineRule="auto"/>
        <w:jc w:val="both"/>
        <w:rPr>
          <w:rFonts w:ascii="Arial" w:eastAsia="Times New Roman" w:hAnsi="Arial" w:cs="Arial"/>
          <w:iCs/>
          <w:sz w:val="24"/>
          <w:szCs w:val="24"/>
          <w:lang w:val="en-GB"/>
        </w:rPr>
      </w:pPr>
      <w:r>
        <w:rPr>
          <w:rFonts w:ascii="Arial" w:eastAsia="Times New Roman" w:hAnsi="Arial" w:cs="Arial"/>
          <w:iCs/>
          <w:sz w:val="24"/>
          <w:szCs w:val="24"/>
          <w:lang w:val="en-GB"/>
        </w:rPr>
        <w:t>[31]</w:t>
      </w:r>
      <w:r>
        <w:rPr>
          <w:rFonts w:ascii="Arial" w:eastAsia="Times New Roman" w:hAnsi="Arial" w:cs="Arial"/>
          <w:iCs/>
          <w:sz w:val="24"/>
          <w:szCs w:val="24"/>
          <w:lang w:val="en-GB"/>
        </w:rPr>
        <w:tab/>
      </w:r>
      <w:r w:rsidR="00880998" w:rsidRPr="002B4606">
        <w:rPr>
          <w:rFonts w:ascii="Arial" w:eastAsia="Times New Roman" w:hAnsi="Arial" w:cs="Arial"/>
          <w:iCs/>
          <w:sz w:val="24"/>
          <w:szCs w:val="24"/>
          <w:lang w:val="en-GB"/>
        </w:rPr>
        <w:t>Yet, Hollard paid 25%. If consistent, it ought to have paid nothing.</w:t>
      </w:r>
    </w:p>
    <w:p w14:paraId="57D4E5BA" w14:textId="195AE371" w:rsidR="00880998" w:rsidRPr="002B4606" w:rsidRDefault="002B4606" w:rsidP="002B4606">
      <w:pPr>
        <w:tabs>
          <w:tab w:val="left" w:pos="0"/>
        </w:tabs>
        <w:spacing w:line="480" w:lineRule="auto"/>
        <w:jc w:val="both"/>
        <w:rPr>
          <w:rFonts w:ascii="Arial" w:eastAsia="Times New Roman" w:hAnsi="Arial" w:cs="Arial"/>
          <w:iCs/>
          <w:sz w:val="24"/>
          <w:szCs w:val="24"/>
          <w:lang w:val="en-GB"/>
        </w:rPr>
      </w:pPr>
      <w:r>
        <w:rPr>
          <w:rFonts w:ascii="Arial" w:eastAsia="Times New Roman" w:hAnsi="Arial" w:cs="Arial"/>
          <w:iCs/>
          <w:sz w:val="24"/>
          <w:szCs w:val="24"/>
          <w:lang w:val="en-GB"/>
        </w:rPr>
        <w:t>[32]</w:t>
      </w:r>
      <w:r>
        <w:rPr>
          <w:rFonts w:ascii="Arial" w:eastAsia="Times New Roman" w:hAnsi="Arial" w:cs="Arial"/>
          <w:iCs/>
          <w:sz w:val="24"/>
          <w:szCs w:val="24"/>
          <w:lang w:val="en-GB"/>
        </w:rPr>
        <w:tab/>
      </w:r>
      <w:r w:rsidR="00880998" w:rsidRPr="002B4606">
        <w:rPr>
          <w:rFonts w:ascii="Arial" w:eastAsia="Times New Roman" w:hAnsi="Arial" w:cs="Arial"/>
          <w:iCs/>
          <w:sz w:val="24"/>
          <w:szCs w:val="24"/>
          <w:lang w:val="en-GB"/>
        </w:rPr>
        <w:t>The version sought to be advanced during re-examination was that all 3 Events were related. This is a causation issue which would require medical evidence which was not presented.</w:t>
      </w:r>
    </w:p>
    <w:p w14:paraId="238B919E" w14:textId="6C8459E6" w:rsidR="00924A2E" w:rsidRPr="002B4606" w:rsidRDefault="002B4606" w:rsidP="002B4606">
      <w:pPr>
        <w:tabs>
          <w:tab w:val="left" w:pos="0"/>
        </w:tabs>
        <w:spacing w:line="480" w:lineRule="auto"/>
        <w:jc w:val="both"/>
        <w:rPr>
          <w:rFonts w:ascii="Arial" w:eastAsia="Times New Roman" w:hAnsi="Arial" w:cs="Arial"/>
          <w:iCs/>
          <w:sz w:val="24"/>
          <w:szCs w:val="24"/>
          <w:lang w:val="en-GB"/>
        </w:rPr>
      </w:pPr>
      <w:r>
        <w:rPr>
          <w:rFonts w:ascii="Arial" w:eastAsia="Times New Roman" w:hAnsi="Arial" w:cs="Arial"/>
          <w:iCs/>
          <w:sz w:val="24"/>
          <w:szCs w:val="24"/>
          <w:lang w:val="en-GB"/>
        </w:rPr>
        <w:t>[33]</w:t>
      </w:r>
      <w:r>
        <w:rPr>
          <w:rFonts w:ascii="Arial" w:eastAsia="Times New Roman" w:hAnsi="Arial" w:cs="Arial"/>
          <w:iCs/>
          <w:sz w:val="24"/>
          <w:szCs w:val="24"/>
          <w:lang w:val="en-GB"/>
        </w:rPr>
        <w:tab/>
      </w:r>
      <w:r w:rsidR="00924A2E" w:rsidRPr="002B4606">
        <w:rPr>
          <w:rFonts w:ascii="Arial" w:eastAsia="Times New Roman" w:hAnsi="Arial" w:cs="Arial"/>
          <w:iCs/>
          <w:sz w:val="24"/>
          <w:szCs w:val="24"/>
          <w:lang w:val="en-GB"/>
        </w:rPr>
        <w:t>I was referred to the contra proferentem rule</w:t>
      </w:r>
      <w:r w:rsidR="00743FC9" w:rsidRPr="002B4606">
        <w:rPr>
          <w:rFonts w:ascii="Arial" w:eastAsia="Times New Roman" w:hAnsi="Arial" w:cs="Arial"/>
          <w:iCs/>
          <w:sz w:val="24"/>
          <w:szCs w:val="24"/>
          <w:lang w:val="en-GB"/>
        </w:rPr>
        <w:t xml:space="preserve"> and urged</w:t>
      </w:r>
      <w:r w:rsidR="00924A2E" w:rsidRPr="002B4606">
        <w:rPr>
          <w:rFonts w:ascii="Arial" w:eastAsia="Times New Roman" w:hAnsi="Arial" w:cs="Arial"/>
          <w:iCs/>
          <w:sz w:val="24"/>
          <w:szCs w:val="24"/>
          <w:lang w:val="en-GB"/>
        </w:rPr>
        <w:t xml:space="preserve"> to resolve any ambiguity against Hollard. I have no need to </w:t>
      </w:r>
      <w:r w:rsidR="00AD4DF5" w:rsidRPr="002B4606">
        <w:rPr>
          <w:rFonts w:ascii="Arial" w:eastAsia="Times New Roman" w:hAnsi="Arial" w:cs="Arial"/>
          <w:iCs/>
          <w:sz w:val="24"/>
          <w:szCs w:val="24"/>
          <w:lang w:val="en-GB"/>
        </w:rPr>
        <w:t xml:space="preserve">resort to this rule to </w:t>
      </w:r>
      <w:r w:rsidR="00924A2E" w:rsidRPr="002B4606">
        <w:rPr>
          <w:rFonts w:ascii="Arial" w:eastAsia="Times New Roman" w:hAnsi="Arial" w:cs="Arial"/>
          <w:iCs/>
          <w:sz w:val="24"/>
          <w:szCs w:val="24"/>
          <w:lang w:val="en-GB"/>
        </w:rPr>
        <w:t>construe the document against the author being Hollard.</w:t>
      </w:r>
      <w:r w:rsidR="00AD4DF5" w:rsidRPr="002B4606">
        <w:rPr>
          <w:rFonts w:ascii="Arial" w:eastAsia="Times New Roman" w:hAnsi="Arial" w:cs="Arial"/>
          <w:iCs/>
          <w:sz w:val="24"/>
          <w:szCs w:val="24"/>
          <w:lang w:val="en-GB"/>
        </w:rPr>
        <w:t xml:space="preserve"> I am persuaded by the wording of the policy discussed above and the evidence, or lack thereof, presented in the trial.</w:t>
      </w:r>
    </w:p>
    <w:p w14:paraId="3C5E2FF8" w14:textId="368CAE7F" w:rsidR="00924A2E" w:rsidRPr="002B4606" w:rsidRDefault="002B4606" w:rsidP="002B4606">
      <w:pPr>
        <w:tabs>
          <w:tab w:val="left" w:pos="0"/>
        </w:tabs>
        <w:spacing w:line="480" w:lineRule="auto"/>
        <w:jc w:val="both"/>
        <w:rPr>
          <w:rFonts w:ascii="Arial" w:eastAsia="Times New Roman" w:hAnsi="Arial" w:cs="Arial"/>
          <w:iCs/>
          <w:sz w:val="24"/>
          <w:szCs w:val="24"/>
          <w:lang w:val="en-GB"/>
        </w:rPr>
      </w:pPr>
      <w:r>
        <w:rPr>
          <w:rFonts w:ascii="Arial" w:eastAsia="Times New Roman" w:hAnsi="Arial" w:cs="Arial"/>
          <w:iCs/>
          <w:sz w:val="24"/>
          <w:szCs w:val="24"/>
          <w:lang w:val="en-GB"/>
        </w:rPr>
        <w:t>[34]</w:t>
      </w:r>
      <w:r>
        <w:rPr>
          <w:rFonts w:ascii="Arial" w:eastAsia="Times New Roman" w:hAnsi="Arial" w:cs="Arial"/>
          <w:iCs/>
          <w:sz w:val="24"/>
          <w:szCs w:val="24"/>
          <w:lang w:val="en-GB"/>
        </w:rPr>
        <w:tab/>
      </w:r>
      <w:r w:rsidR="00924A2E" w:rsidRPr="002B4606">
        <w:rPr>
          <w:rFonts w:ascii="Arial" w:eastAsia="Times New Roman" w:hAnsi="Arial" w:cs="Arial"/>
          <w:iCs/>
          <w:sz w:val="24"/>
          <w:szCs w:val="24"/>
          <w:lang w:val="en-GB"/>
        </w:rPr>
        <w:t xml:space="preserve">I thus conclude that the amount payable for the heart attack suffered by </w:t>
      </w:r>
      <w:r w:rsidR="00186803" w:rsidRPr="002B4606">
        <w:rPr>
          <w:rFonts w:ascii="Arial" w:eastAsia="Times New Roman" w:hAnsi="Arial" w:cs="Arial"/>
          <w:iCs/>
          <w:sz w:val="24"/>
          <w:szCs w:val="24"/>
          <w:lang w:val="en-GB"/>
        </w:rPr>
        <w:t xml:space="preserve">               </w:t>
      </w:r>
      <w:r w:rsidR="00924A2E" w:rsidRPr="002B4606">
        <w:rPr>
          <w:rFonts w:ascii="Arial" w:eastAsia="Times New Roman" w:hAnsi="Arial" w:cs="Arial"/>
          <w:iCs/>
          <w:sz w:val="24"/>
          <w:szCs w:val="24"/>
          <w:lang w:val="en-GB"/>
        </w:rPr>
        <w:t>Mr Delpaul and claimed for on 15 August 2015</w:t>
      </w:r>
      <w:r w:rsidR="00743FC9" w:rsidRPr="002B4606">
        <w:rPr>
          <w:rFonts w:ascii="Arial" w:eastAsia="Times New Roman" w:hAnsi="Arial" w:cs="Arial"/>
          <w:iCs/>
          <w:sz w:val="24"/>
          <w:szCs w:val="24"/>
          <w:lang w:val="en-GB"/>
        </w:rPr>
        <w:t xml:space="preserve"> (Event </w:t>
      </w:r>
      <w:r w:rsidR="00880998" w:rsidRPr="002B4606">
        <w:rPr>
          <w:rFonts w:ascii="Arial" w:eastAsia="Times New Roman" w:hAnsi="Arial" w:cs="Arial"/>
          <w:iCs/>
          <w:sz w:val="24"/>
          <w:szCs w:val="24"/>
          <w:lang w:val="en-GB"/>
        </w:rPr>
        <w:t>3</w:t>
      </w:r>
      <w:r w:rsidR="00743FC9" w:rsidRPr="002B4606">
        <w:rPr>
          <w:rFonts w:ascii="Arial" w:eastAsia="Times New Roman" w:hAnsi="Arial" w:cs="Arial"/>
          <w:iCs/>
          <w:sz w:val="24"/>
          <w:szCs w:val="24"/>
          <w:lang w:val="en-GB"/>
        </w:rPr>
        <w:t>)</w:t>
      </w:r>
      <w:r w:rsidR="00924A2E" w:rsidRPr="002B4606">
        <w:rPr>
          <w:rFonts w:ascii="Arial" w:eastAsia="Times New Roman" w:hAnsi="Arial" w:cs="Arial"/>
          <w:iCs/>
          <w:sz w:val="24"/>
          <w:szCs w:val="24"/>
          <w:lang w:val="en-GB"/>
        </w:rPr>
        <w:t>, entitles him to payment of 100% of the Benefit amount as at that date being R 2 315 250 of which he has received 25% being R578 787.50. I intend ordering Hollard to pay Mr Delpaul the balance.</w:t>
      </w:r>
    </w:p>
    <w:p w14:paraId="7AF6615B" w14:textId="3568CEC0" w:rsidR="00880998" w:rsidRPr="00880998" w:rsidRDefault="00880998" w:rsidP="00880998">
      <w:pPr>
        <w:pStyle w:val="ListParagraph"/>
        <w:spacing w:line="480" w:lineRule="auto"/>
        <w:ind w:left="0"/>
        <w:jc w:val="both"/>
        <w:rPr>
          <w:rFonts w:ascii="Arial" w:eastAsia="Times New Roman" w:hAnsi="Arial" w:cs="Arial"/>
          <w:b/>
          <w:bCs/>
          <w:iCs/>
          <w:sz w:val="24"/>
          <w:szCs w:val="24"/>
          <w:lang w:val="en-GB"/>
        </w:rPr>
      </w:pPr>
      <w:r w:rsidRPr="00880998">
        <w:rPr>
          <w:rFonts w:ascii="Arial" w:eastAsia="Times New Roman" w:hAnsi="Arial" w:cs="Arial"/>
          <w:b/>
          <w:bCs/>
          <w:iCs/>
          <w:sz w:val="24"/>
          <w:szCs w:val="24"/>
          <w:lang w:val="en-GB"/>
        </w:rPr>
        <w:t>Costs</w:t>
      </w:r>
    </w:p>
    <w:p w14:paraId="04630135" w14:textId="558FBC09" w:rsidR="00924A2E" w:rsidRPr="002B4606" w:rsidRDefault="002B4606" w:rsidP="002B4606">
      <w:pPr>
        <w:tabs>
          <w:tab w:val="left" w:pos="0"/>
        </w:tabs>
        <w:spacing w:line="480" w:lineRule="auto"/>
        <w:jc w:val="both"/>
        <w:rPr>
          <w:rFonts w:ascii="Arial" w:eastAsia="Times New Roman" w:hAnsi="Arial" w:cs="Arial"/>
          <w:iCs/>
          <w:sz w:val="24"/>
          <w:szCs w:val="24"/>
          <w:lang w:val="en-GB"/>
        </w:rPr>
      </w:pPr>
      <w:r w:rsidRPr="00924A2E">
        <w:rPr>
          <w:rFonts w:ascii="Arial" w:eastAsia="Times New Roman" w:hAnsi="Arial" w:cs="Arial"/>
          <w:iCs/>
          <w:sz w:val="24"/>
          <w:szCs w:val="24"/>
          <w:lang w:val="en-GB"/>
        </w:rPr>
        <w:lastRenderedPageBreak/>
        <w:t>[35]</w:t>
      </w:r>
      <w:r w:rsidRPr="00924A2E">
        <w:rPr>
          <w:rFonts w:ascii="Arial" w:eastAsia="Times New Roman" w:hAnsi="Arial" w:cs="Arial"/>
          <w:iCs/>
          <w:sz w:val="24"/>
          <w:szCs w:val="24"/>
          <w:lang w:val="en-GB"/>
        </w:rPr>
        <w:tab/>
      </w:r>
      <w:r w:rsidR="00924A2E" w:rsidRPr="002B4606">
        <w:rPr>
          <w:rFonts w:ascii="Arial" w:eastAsia="Times New Roman" w:hAnsi="Arial" w:cs="Arial"/>
          <w:iCs/>
          <w:sz w:val="24"/>
          <w:szCs w:val="24"/>
          <w:lang w:val="en-GB"/>
        </w:rPr>
        <w:t>In respect of costs, it should follow the result except for one feature: The trial commenced on a Monday (23 January 2023) and on the Friday preceding this (20 January 2023), Hollard uploaded 95</w:t>
      </w:r>
      <w:r w:rsidR="00743FC9" w:rsidRPr="002B4606">
        <w:rPr>
          <w:rFonts w:ascii="Arial" w:eastAsia="Times New Roman" w:hAnsi="Arial" w:cs="Arial"/>
          <w:iCs/>
          <w:sz w:val="24"/>
          <w:szCs w:val="24"/>
          <w:lang w:val="en-GB"/>
        </w:rPr>
        <w:t>7</w:t>
      </w:r>
      <w:r w:rsidR="00924A2E" w:rsidRPr="002B4606">
        <w:rPr>
          <w:rFonts w:ascii="Arial" w:eastAsia="Times New Roman" w:hAnsi="Arial" w:cs="Arial"/>
          <w:iCs/>
          <w:sz w:val="24"/>
          <w:szCs w:val="24"/>
          <w:lang w:val="en-GB"/>
        </w:rPr>
        <w:t xml:space="preserve"> pages onto Caselines. Perturbed by this, </w:t>
      </w:r>
      <w:r w:rsidR="00186803" w:rsidRPr="002B4606">
        <w:rPr>
          <w:rFonts w:ascii="Arial" w:eastAsia="Times New Roman" w:hAnsi="Arial" w:cs="Arial"/>
          <w:iCs/>
          <w:sz w:val="24"/>
          <w:szCs w:val="24"/>
          <w:lang w:val="en-GB"/>
        </w:rPr>
        <w:t xml:space="preserve">              </w:t>
      </w:r>
      <w:r w:rsidR="00924A2E" w:rsidRPr="002B4606">
        <w:rPr>
          <w:rFonts w:ascii="Arial" w:eastAsia="Times New Roman" w:hAnsi="Arial" w:cs="Arial"/>
          <w:iCs/>
          <w:sz w:val="24"/>
          <w:szCs w:val="24"/>
          <w:lang w:val="en-GB"/>
        </w:rPr>
        <w:t xml:space="preserve">Mr Delpaul’s attorneys of record immediately sent a mail objecting to the late uploading of the voluminous trial bundle and recorded their prejudice in preparing properly for the trial. In response, Hollard’s attorneys pointed out that Hollard’s discovery affidavit, containing all the documents </w:t>
      </w:r>
      <w:r w:rsidR="00743FC9" w:rsidRPr="002B4606">
        <w:rPr>
          <w:rFonts w:ascii="Arial" w:eastAsia="Times New Roman" w:hAnsi="Arial" w:cs="Arial"/>
          <w:iCs/>
          <w:sz w:val="24"/>
          <w:szCs w:val="24"/>
          <w:lang w:val="en-GB"/>
        </w:rPr>
        <w:t xml:space="preserve">which were </w:t>
      </w:r>
      <w:r w:rsidR="00924A2E" w:rsidRPr="002B4606">
        <w:rPr>
          <w:rFonts w:ascii="Arial" w:eastAsia="Times New Roman" w:hAnsi="Arial" w:cs="Arial"/>
          <w:iCs/>
          <w:sz w:val="24"/>
          <w:szCs w:val="24"/>
          <w:lang w:val="en-GB"/>
        </w:rPr>
        <w:t>uploaded, was served more than 3 years</w:t>
      </w:r>
      <w:r w:rsidR="00512E3A" w:rsidRPr="002B4606">
        <w:rPr>
          <w:rFonts w:ascii="Arial" w:eastAsia="Times New Roman" w:hAnsi="Arial" w:cs="Arial"/>
          <w:iCs/>
          <w:sz w:val="24"/>
          <w:szCs w:val="24"/>
          <w:lang w:val="en-GB"/>
        </w:rPr>
        <w:t xml:space="preserve"> </w:t>
      </w:r>
      <w:r w:rsidR="00924A2E" w:rsidRPr="002B4606">
        <w:rPr>
          <w:rFonts w:ascii="Arial" w:eastAsia="Times New Roman" w:hAnsi="Arial" w:cs="Arial"/>
          <w:iCs/>
          <w:sz w:val="24"/>
          <w:szCs w:val="24"/>
          <w:lang w:val="en-GB"/>
        </w:rPr>
        <w:t xml:space="preserve">prior, that most of the documents were already in their possession and that </w:t>
      </w:r>
      <w:r w:rsidR="00186803" w:rsidRPr="002B4606">
        <w:rPr>
          <w:rFonts w:ascii="Arial" w:eastAsia="Times New Roman" w:hAnsi="Arial" w:cs="Arial"/>
          <w:iCs/>
          <w:sz w:val="24"/>
          <w:szCs w:val="24"/>
          <w:lang w:val="en-GB"/>
        </w:rPr>
        <w:t xml:space="preserve">                       </w:t>
      </w:r>
      <w:r w:rsidR="00924A2E" w:rsidRPr="002B4606">
        <w:rPr>
          <w:rFonts w:ascii="Arial" w:eastAsia="Times New Roman" w:hAnsi="Arial" w:cs="Arial"/>
          <w:iCs/>
          <w:sz w:val="24"/>
          <w:szCs w:val="24"/>
          <w:lang w:val="en-GB"/>
        </w:rPr>
        <w:t>Mr Delpaul’s bundle was only uploaded on the Wednesday (18 January 2023).</w:t>
      </w:r>
    </w:p>
    <w:p w14:paraId="65320600" w14:textId="40D7BA37" w:rsidR="00924A2E" w:rsidRPr="002B4606" w:rsidRDefault="002B4606" w:rsidP="002B4606">
      <w:pPr>
        <w:tabs>
          <w:tab w:val="left" w:pos="0"/>
        </w:tabs>
        <w:spacing w:line="480" w:lineRule="auto"/>
        <w:jc w:val="both"/>
        <w:rPr>
          <w:rFonts w:ascii="Arial" w:eastAsia="Times New Roman" w:hAnsi="Arial" w:cs="Arial"/>
          <w:iCs/>
          <w:sz w:val="24"/>
          <w:szCs w:val="24"/>
          <w:lang w:val="en-GB"/>
        </w:rPr>
      </w:pPr>
      <w:r w:rsidRPr="00924A2E">
        <w:rPr>
          <w:rFonts w:ascii="Arial" w:eastAsia="Times New Roman" w:hAnsi="Arial" w:cs="Arial"/>
          <w:iCs/>
          <w:sz w:val="24"/>
          <w:szCs w:val="24"/>
          <w:lang w:val="en-GB"/>
        </w:rPr>
        <w:t>[36]</w:t>
      </w:r>
      <w:r w:rsidRPr="00924A2E">
        <w:rPr>
          <w:rFonts w:ascii="Arial" w:eastAsia="Times New Roman" w:hAnsi="Arial" w:cs="Arial"/>
          <w:iCs/>
          <w:sz w:val="24"/>
          <w:szCs w:val="24"/>
          <w:lang w:val="en-GB"/>
        </w:rPr>
        <w:tab/>
      </w:r>
      <w:r w:rsidR="00924A2E" w:rsidRPr="002B4606">
        <w:rPr>
          <w:rFonts w:ascii="Arial" w:eastAsia="Times New Roman" w:hAnsi="Arial" w:cs="Arial"/>
          <w:iCs/>
          <w:sz w:val="24"/>
          <w:szCs w:val="24"/>
          <w:lang w:val="en-GB"/>
        </w:rPr>
        <w:t xml:space="preserve">During a pre-trail held on 19 May 2022 the parties had agreed that the plaintiff would prepare the trial bundles and provide them to the defendant 4 weeks before trial. The defendant would supplement the bundles if </w:t>
      </w:r>
      <w:r w:rsidR="00186803" w:rsidRPr="002B4606">
        <w:rPr>
          <w:rFonts w:ascii="Arial" w:eastAsia="Times New Roman" w:hAnsi="Arial" w:cs="Arial"/>
          <w:iCs/>
          <w:sz w:val="24"/>
          <w:szCs w:val="24"/>
          <w:lang w:val="en-GB"/>
        </w:rPr>
        <w:t>necessary,</w:t>
      </w:r>
      <w:r w:rsidR="00924A2E" w:rsidRPr="002B4606">
        <w:rPr>
          <w:rFonts w:ascii="Arial" w:eastAsia="Times New Roman" w:hAnsi="Arial" w:cs="Arial"/>
          <w:iCs/>
          <w:sz w:val="24"/>
          <w:szCs w:val="24"/>
          <w:lang w:val="en-GB"/>
        </w:rPr>
        <w:t xml:space="preserve"> within a week from receipt of the bundles. It is unclear when the trial bundles were made </w:t>
      </w:r>
      <w:r w:rsidR="00186803" w:rsidRPr="002B4606">
        <w:rPr>
          <w:rFonts w:ascii="Arial" w:eastAsia="Times New Roman" w:hAnsi="Arial" w:cs="Arial"/>
          <w:iCs/>
          <w:sz w:val="24"/>
          <w:szCs w:val="24"/>
          <w:lang w:val="en-GB"/>
        </w:rPr>
        <w:t>available,</w:t>
      </w:r>
      <w:r w:rsidR="00924A2E" w:rsidRPr="002B4606">
        <w:rPr>
          <w:rFonts w:ascii="Arial" w:eastAsia="Times New Roman" w:hAnsi="Arial" w:cs="Arial"/>
          <w:iCs/>
          <w:sz w:val="24"/>
          <w:szCs w:val="24"/>
          <w:lang w:val="en-GB"/>
        </w:rPr>
        <w:t xml:space="preserve"> but it would appear from the Caselines bundle that it was about 18 January 2023. Both parties therefore did not comply with the timeline agreed to at the pre-trial.</w:t>
      </w:r>
    </w:p>
    <w:p w14:paraId="4B1D0D3C" w14:textId="6B7E2B2E" w:rsidR="00924A2E" w:rsidRPr="002B4606" w:rsidRDefault="002B4606" w:rsidP="002B4606">
      <w:pPr>
        <w:tabs>
          <w:tab w:val="left" w:pos="0"/>
        </w:tabs>
        <w:spacing w:line="480" w:lineRule="auto"/>
        <w:jc w:val="both"/>
        <w:rPr>
          <w:rFonts w:ascii="Arial" w:eastAsia="Times New Roman" w:hAnsi="Arial" w:cs="Arial"/>
          <w:iCs/>
          <w:sz w:val="24"/>
          <w:szCs w:val="24"/>
          <w:lang w:val="en-GB"/>
        </w:rPr>
      </w:pPr>
      <w:r w:rsidRPr="00924A2E">
        <w:rPr>
          <w:rFonts w:ascii="Arial" w:eastAsia="Times New Roman" w:hAnsi="Arial" w:cs="Arial"/>
          <w:iCs/>
          <w:sz w:val="24"/>
          <w:szCs w:val="24"/>
          <w:lang w:val="en-GB"/>
        </w:rPr>
        <w:t>[37]</w:t>
      </w:r>
      <w:r w:rsidRPr="00924A2E">
        <w:rPr>
          <w:rFonts w:ascii="Arial" w:eastAsia="Times New Roman" w:hAnsi="Arial" w:cs="Arial"/>
          <w:iCs/>
          <w:sz w:val="24"/>
          <w:szCs w:val="24"/>
          <w:lang w:val="en-GB"/>
        </w:rPr>
        <w:tab/>
      </w:r>
      <w:r w:rsidR="00924A2E" w:rsidRPr="002B4606">
        <w:rPr>
          <w:rFonts w:ascii="Arial" w:eastAsia="Times New Roman" w:hAnsi="Arial" w:cs="Arial"/>
          <w:iCs/>
          <w:sz w:val="24"/>
          <w:szCs w:val="24"/>
          <w:lang w:val="en-GB"/>
        </w:rPr>
        <w:t>Mr Wannenburg stressed that not a single document of the 95</w:t>
      </w:r>
      <w:r w:rsidR="00743FC9" w:rsidRPr="002B4606">
        <w:rPr>
          <w:rFonts w:ascii="Arial" w:eastAsia="Times New Roman" w:hAnsi="Arial" w:cs="Arial"/>
          <w:iCs/>
          <w:sz w:val="24"/>
          <w:szCs w:val="24"/>
          <w:lang w:val="en-GB"/>
        </w:rPr>
        <w:t>7</w:t>
      </w:r>
      <w:r w:rsidR="00924A2E" w:rsidRPr="002B4606">
        <w:rPr>
          <w:rFonts w:ascii="Arial" w:eastAsia="Times New Roman" w:hAnsi="Arial" w:cs="Arial"/>
          <w:iCs/>
          <w:sz w:val="24"/>
          <w:szCs w:val="24"/>
          <w:lang w:val="en-GB"/>
        </w:rPr>
        <w:t xml:space="preserve"> documents uploaded was used. He argued that</w:t>
      </w:r>
      <w:r w:rsidR="00512E3A" w:rsidRPr="002B4606">
        <w:rPr>
          <w:rFonts w:ascii="Arial" w:eastAsia="Times New Roman" w:hAnsi="Arial" w:cs="Arial"/>
          <w:iCs/>
          <w:sz w:val="24"/>
          <w:szCs w:val="24"/>
          <w:lang w:val="en-GB"/>
        </w:rPr>
        <w:t xml:space="preserve"> they were not only irrelevant </w:t>
      </w:r>
      <w:r w:rsidR="00924A2E" w:rsidRPr="002B4606">
        <w:rPr>
          <w:rFonts w:ascii="Arial" w:eastAsia="Times New Roman" w:hAnsi="Arial" w:cs="Arial"/>
          <w:iCs/>
          <w:sz w:val="24"/>
          <w:szCs w:val="24"/>
          <w:lang w:val="en-GB"/>
        </w:rPr>
        <w:t>but also of a highly confidential nature consisting of amongst other documents, medical reports, pathology reports, laboratory results and the like</w:t>
      </w:r>
      <w:r w:rsidR="00743FC9" w:rsidRPr="002B4606">
        <w:rPr>
          <w:rFonts w:ascii="Arial" w:eastAsia="Times New Roman" w:hAnsi="Arial" w:cs="Arial"/>
          <w:iCs/>
          <w:sz w:val="24"/>
          <w:szCs w:val="24"/>
          <w:lang w:val="en-GB"/>
        </w:rPr>
        <w:t>, all of which</w:t>
      </w:r>
      <w:r w:rsidR="00924A2E" w:rsidRPr="002B4606">
        <w:rPr>
          <w:rFonts w:ascii="Arial" w:eastAsia="Times New Roman" w:hAnsi="Arial" w:cs="Arial"/>
          <w:iCs/>
          <w:sz w:val="24"/>
          <w:szCs w:val="24"/>
          <w:lang w:val="en-GB"/>
        </w:rPr>
        <w:t xml:space="preserve"> were now part of a public record. He argued that this constituted an abuse of the process and that it should attract a punitive costs order.</w:t>
      </w:r>
    </w:p>
    <w:p w14:paraId="34918B78" w14:textId="58212D23" w:rsidR="00924A2E" w:rsidRPr="002B4606" w:rsidRDefault="002B4606" w:rsidP="002B4606">
      <w:pPr>
        <w:tabs>
          <w:tab w:val="left" w:pos="0"/>
        </w:tabs>
        <w:spacing w:line="480" w:lineRule="auto"/>
        <w:jc w:val="both"/>
        <w:rPr>
          <w:rFonts w:ascii="Arial" w:eastAsia="Times New Roman" w:hAnsi="Arial" w:cs="Arial"/>
          <w:iCs/>
          <w:sz w:val="24"/>
          <w:szCs w:val="24"/>
          <w:lang w:val="en-GB"/>
        </w:rPr>
      </w:pPr>
      <w:r>
        <w:rPr>
          <w:rFonts w:ascii="Arial" w:eastAsia="Times New Roman" w:hAnsi="Arial" w:cs="Arial"/>
          <w:iCs/>
          <w:sz w:val="24"/>
          <w:szCs w:val="24"/>
          <w:lang w:val="en-GB"/>
        </w:rPr>
        <w:t>[38]</w:t>
      </w:r>
      <w:r>
        <w:rPr>
          <w:rFonts w:ascii="Arial" w:eastAsia="Times New Roman" w:hAnsi="Arial" w:cs="Arial"/>
          <w:iCs/>
          <w:sz w:val="24"/>
          <w:szCs w:val="24"/>
          <w:lang w:val="en-GB"/>
        </w:rPr>
        <w:tab/>
      </w:r>
      <w:r w:rsidR="00924A2E" w:rsidRPr="002B4606">
        <w:rPr>
          <w:rFonts w:ascii="Arial" w:eastAsia="Times New Roman" w:hAnsi="Arial" w:cs="Arial"/>
          <w:iCs/>
          <w:sz w:val="24"/>
          <w:szCs w:val="24"/>
          <w:lang w:val="en-GB"/>
        </w:rPr>
        <w:t xml:space="preserve">The awarding of costs is a matter of judicial discretion to be exercised having regard to all the facts of the case. I do not consider that the uploading of the vast amount of documents at the eleventh hour </w:t>
      </w:r>
      <w:r w:rsidR="00743FC9" w:rsidRPr="002B4606">
        <w:rPr>
          <w:rFonts w:ascii="Arial" w:eastAsia="Times New Roman" w:hAnsi="Arial" w:cs="Arial"/>
          <w:iCs/>
          <w:sz w:val="24"/>
          <w:szCs w:val="24"/>
          <w:lang w:val="en-GB"/>
        </w:rPr>
        <w:t xml:space="preserve">is </w:t>
      </w:r>
      <w:r w:rsidR="00924A2E" w:rsidRPr="002B4606">
        <w:rPr>
          <w:rFonts w:ascii="Arial" w:eastAsia="Times New Roman" w:hAnsi="Arial" w:cs="Arial"/>
          <w:iCs/>
          <w:sz w:val="24"/>
          <w:szCs w:val="24"/>
          <w:lang w:val="en-GB"/>
        </w:rPr>
        <w:t xml:space="preserve">deserving of a punitive costs order in the </w:t>
      </w:r>
      <w:r w:rsidR="00924A2E" w:rsidRPr="002B4606">
        <w:rPr>
          <w:rFonts w:ascii="Arial" w:eastAsia="Times New Roman" w:hAnsi="Arial" w:cs="Arial"/>
          <w:iCs/>
          <w:sz w:val="24"/>
          <w:szCs w:val="24"/>
          <w:lang w:val="en-GB"/>
        </w:rPr>
        <w:lastRenderedPageBreak/>
        <w:t>circumstances of this case. It seems that both parties were late with their trial preparation. Neither the plaintiff nor the defendant complied with the agreement reached at the pre-tr</w:t>
      </w:r>
      <w:r w:rsidR="00AD4DF5" w:rsidRPr="002B4606">
        <w:rPr>
          <w:rFonts w:ascii="Arial" w:eastAsia="Times New Roman" w:hAnsi="Arial" w:cs="Arial"/>
          <w:iCs/>
          <w:sz w:val="24"/>
          <w:szCs w:val="24"/>
          <w:lang w:val="en-GB"/>
        </w:rPr>
        <w:t>i</w:t>
      </w:r>
      <w:r w:rsidR="00924A2E" w:rsidRPr="002B4606">
        <w:rPr>
          <w:rFonts w:ascii="Arial" w:eastAsia="Times New Roman" w:hAnsi="Arial" w:cs="Arial"/>
          <w:iCs/>
          <w:sz w:val="24"/>
          <w:szCs w:val="24"/>
          <w:lang w:val="en-GB"/>
        </w:rPr>
        <w:t>al. Also, there was no request after the uploading of the documents to remove same on the basis of confidentiality. The objection related to the timing thereof</w:t>
      </w:r>
      <w:r w:rsidR="00743FC9" w:rsidRPr="002B4606">
        <w:rPr>
          <w:rFonts w:ascii="Arial" w:eastAsia="Times New Roman" w:hAnsi="Arial" w:cs="Arial"/>
          <w:iCs/>
          <w:sz w:val="24"/>
          <w:szCs w:val="24"/>
          <w:lang w:val="en-GB"/>
        </w:rPr>
        <w:t xml:space="preserve"> not to the content of that which was uploaded</w:t>
      </w:r>
      <w:r w:rsidR="00924A2E" w:rsidRPr="002B4606">
        <w:rPr>
          <w:rFonts w:ascii="Arial" w:eastAsia="Times New Roman" w:hAnsi="Arial" w:cs="Arial"/>
          <w:iCs/>
          <w:sz w:val="24"/>
          <w:szCs w:val="24"/>
          <w:lang w:val="en-GB"/>
        </w:rPr>
        <w:t xml:space="preserve">. </w:t>
      </w:r>
      <w:r w:rsidR="00743FC9" w:rsidRPr="002B4606">
        <w:rPr>
          <w:rFonts w:ascii="Arial" w:eastAsia="Times New Roman" w:hAnsi="Arial" w:cs="Arial"/>
          <w:iCs/>
          <w:sz w:val="24"/>
          <w:szCs w:val="24"/>
          <w:lang w:val="en-GB"/>
        </w:rPr>
        <w:t>As it turns out t</w:t>
      </w:r>
      <w:r w:rsidR="00924A2E" w:rsidRPr="002B4606">
        <w:rPr>
          <w:rFonts w:ascii="Arial" w:eastAsia="Times New Roman" w:hAnsi="Arial" w:cs="Arial"/>
          <w:iCs/>
          <w:sz w:val="24"/>
          <w:szCs w:val="24"/>
          <w:lang w:val="en-GB"/>
        </w:rPr>
        <w:t xml:space="preserve">he documents were not </w:t>
      </w:r>
      <w:r w:rsidR="00AD4DF5" w:rsidRPr="002B4606">
        <w:rPr>
          <w:rFonts w:ascii="Arial" w:eastAsia="Times New Roman" w:hAnsi="Arial" w:cs="Arial"/>
          <w:iCs/>
          <w:sz w:val="24"/>
          <w:szCs w:val="24"/>
          <w:lang w:val="en-GB"/>
        </w:rPr>
        <w:t xml:space="preserve">used </w:t>
      </w:r>
      <w:r w:rsidR="00924A2E" w:rsidRPr="002B4606">
        <w:rPr>
          <w:rFonts w:ascii="Arial" w:eastAsia="Times New Roman" w:hAnsi="Arial" w:cs="Arial"/>
          <w:iCs/>
          <w:sz w:val="24"/>
          <w:szCs w:val="24"/>
          <w:lang w:val="en-GB"/>
        </w:rPr>
        <w:t>and a</w:t>
      </w:r>
      <w:r w:rsidR="00AD4DF5" w:rsidRPr="002B4606">
        <w:rPr>
          <w:rFonts w:ascii="Arial" w:eastAsia="Times New Roman" w:hAnsi="Arial" w:cs="Arial"/>
          <w:iCs/>
          <w:sz w:val="24"/>
          <w:szCs w:val="24"/>
          <w:lang w:val="en-GB"/>
        </w:rPr>
        <w:t>s</w:t>
      </w:r>
      <w:r w:rsidR="00880998" w:rsidRPr="002B4606">
        <w:rPr>
          <w:rFonts w:ascii="Arial" w:eastAsia="Times New Roman" w:hAnsi="Arial" w:cs="Arial"/>
          <w:iCs/>
          <w:sz w:val="24"/>
          <w:szCs w:val="24"/>
          <w:lang w:val="en-GB"/>
        </w:rPr>
        <w:t xml:space="preserve"> </w:t>
      </w:r>
      <w:r w:rsidR="00AD4DF5" w:rsidRPr="002B4606">
        <w:rPr>
          <w:rFonts w:ascii="Arial" w:eastAsia="Times New Roman" w:hAnsi="Arial" w:cs="Arial"/>
          <w:iCs/>
          <w:sz w:val="24"/>
          <w:szCs w:val="24"/>
          <w:lang w:val="en-GB"/>
        </w:rPr>
        <w:t>t</w:t>
      </w:r>
      <w:r w:rsidR="00924A2E" w:rsidRPr="002B4606">
        <w:rPr>
          <w:rFonts w:ascii="Arial" w:eastAsia="Times New Roman" w:hAnsi="Arial" w:cs="Arial"/>
          <w:iCs/>
          <w:sz w:val="24"/>
          <w:szCs w:val="24"/>
          <w:lang w:val="en-GB"/>
        </w:rPr>
        <w:t xml:space="preserve">hey are </w:t>
      </w:r>
      <w:r w:rsidR="00AD4DF5" w:rsidRPr="002B4606">
        <w:rPr>
          <w:rFonts w:ascii="Arial" w:eastAsia="Times New Roman" w:hAnsi="Arial" w:cs="Arial"/>
          <w:iCs/>
          <w:sz w:val="24"/>
          <w:szCs w:val="24"/>
          <w:lang w:val="en-GB"/>
        </w:rPr>
        <w:t xml:space="preserve">confidential they should </w:t>
      </w:r>
      <w:r w:rsidR="00924A2E" w:rsidRPr="002B4606">
        <w:rPr>
          <w:rFonts w:ascii="Arial" w:eastAsia="Times New Roman" w:hAnsi="Arial" w:cs="Arial"/>
          <w:iCs/>
          <w:sz w:val="24"/>
          <w:szCs w:val="24"/>
          <w:lang w:val="en-GB"/>
        </w:rPr>
        <w:t>be removed from the Caselines file</w:t>
      </w:r>
      <w:r w:rsidR="00AD4DF5" w:rsidRPr="002B4606">
        <w:rPr>
          <w:rFonts w:ascii="Arial" w:eastAsia="Times New Roman" w:hAnsi="Arial" w:cs="Arial"/>
          <w:iCs/>
          <w:sz w:val="24"/>
          <w:szCs w:val="24"/>
          <w:lang w:val="en-GB"/>
        </w:rPr>
        <w:t xml:space="preserve"> within </w:t>
      </w:r>
      <w:r w:rsidR="00880998" w:rsidRPr="002B4606">
        <w:rPr>
          <w:rFonts w:ascii="Arial" w:eastAsia="Times New Roman" w:hAnsi="Arial" w:cs="Arial"/>
          <w:iCs/>
          <w:sz w:val="24"/>
          <w:szCs w:val="24"/>
          <w:lang w:val="en-GB"/>
        </w:rPr>
        <w:t>24</w:t>
      </w:r>
      <w:r w:rsidR="00AD4DF5" w:rsidRPr="002B4606">
        <w:rPr>
          <w:rFonts w:ascii="Arial" w:eastAsia="Times New Roman" w:hAnsi="Arial" w:cs="Arial"/>
          <w:iCs/>
          <w:sz w:val="24"/>
          <w:szCs w:val="24"/>
          <w:lang w:val="en-GB"/>
        </w:rPr>
        <w:t xml:space="preserve"> hours of this judgment being handed down</w:t>
      </w:r>
      <w:r w:rsidR="00924A2E" w:rsidRPr="002B4606">
        <w:rPr>
          <w:rFonts w:ascii="Arial" w:eastAsia="Times New Roman" w:hAnsi="Arial" w:cs="Arial"/>
          <w:iCs/>
          <w:sz w:val="24"/>
          <w:szCs w:val="24"/>
          <w:lang w:val="en-GB"/>
        </w:rPr>
        <w:t>, failing which the matter may be enrolled before me for this costs order to be revisited.</w:t>
      </w:r>
    </w:p>
    <w:p w14:paraId="5351D489" w14:textId="65A20690" w:rsidR="00880998" w:rsidRPr="00880998" w:rsidRDefault="00880998" w:rsidP="00880998">
      <w:pPr>
        <w:pStyle w:val="ListParagraph"/>
        <w:spacing w:line="480" w:lineRule="auto"/>
        <w:ind w:left="0"/>
        <w:jc w:val="both"/>
        <w:rPr>
          <w:rFonts w:ascii="Arial" w:eastAsia="Times New Roman" w:hAnsi="Arial" w:cs="Arial"/>
          <w:b/>
          <w:bCs/>
          <w:iCs/>
          <w:sz w:val="24"/>
          <w:szCs w:val="24"/>
          <w:lang w:val="en-GB"/>
        </w:rPr>
      </w:pPr>
      <w:r w:rsidRPr="00880998">
        <w:rPr>
          <w:rFonts w:ascii="Arial" w:eastAsia="Times New Roman" w:hAnsi="Arial" w:cs="Arial"/>
          <w:b/>
          <w:bCs/>
          <w:iCs/>
          <w:sz w:val="24"/>
          <w:szCs w:val="24"/>
          <w:lang w:val="en-GB"/>
        </w:rPr>
        <w:t>Order</w:t>
      </w:r>
    </w:p>
    <w:p w14:paraId="4EA037CF" w14:textId="414C01A3" w:rsidR="00924A2E" w:rsidRPr="002B4606" w:rsidRDefault="002B4606" w:rsidP="002B4606">
      <w:pPr>
        <w:tabs>
          <w:tab w:val="left" w:pos="0"/>
        </w:tabs>
        <w:spacing w:line="480" w:lineRule="auto"/>
        <w:jc w:val="both"/>
        <w:rPr>
          <w:rFonts w:ascii="Arial" w:eastAsia="Times New Roman" w:hAnsi="Arial" w:cs="Arial"/>
          <w:iCs/>
          <w:sz w:val="24"/>
          <w:szCs w:val="24"/>
          <w:lang w:val="en-GB"/>
        </w:rPr>
      </w:pPr>
      <w:r w:rsidRPr="00924A2E">
        <w:rPr>
          <w:rFonts w:ascii="Arial" w:eastAsia="Times New Roman" w:hAnsi="Arial" w:cs="Arial"/>
          <w:iCs/>
          <w:sz w:val="24"/>
          <w:szCs w:val="24"/>
          <w:lang w:val="en-GB"/>
        </w:rPr>
        <w:t>[39]</w:t>
      </w:r>
      <w:r w:rsidRPr="00924A2E">
        <w:rPr>
          <w:rFonts w:ascii="Arial" w:eastAsia="Times New Roman" w:hAnsi="Arial" w:cs="Arial"/>
          <w:iCs/>
          <w:sz w:val="24"/>
          <w:szCs w:val="24"/>
          <w:lang w:val="en-GB"/>
        </w:rPr>
        <w:tab/>
      </w:r>
      <w:r w:rsidR="00924A2E" w:rsidRPr="002B4606">
        <w:rPr>
          <w:rFonts w:ascii="Arial" w:hAnsi="Arial" w:cs="Arial"/>
          <w:sz w:val="24"/>
          <w:szCs w:val="24"/>
        </w:rPr>
        <w:t>I accordingly grant the following order:</w:t>
      </w:r>
    </w:p>
    <w:p w14:paraId="7389E965" w14:textId="56FE3006" w:rsidR="00924A2E" w:rsidRPr="00924A2E" w:rsidRDefault="00743FC9" w:rsidP="00924A2E">
      <w:pPr>
        <w:pStyle w:val="ListParagraph"/>
        <w:spacing w:after="0" w:line="480" w:lineRule="auto"/>
        <w:ind w:left="0"/>
        <w:jc w:val="both"/>
        <w:rPr>
          <w:rFonts w:ascii="Arial" w:eastAsia="Times New Roman" w:hAnsi="Arial" w:cs="Arial"/>
          <w:iCs/>
          <w:sz w:val="24"/>
          <w:szCs w:val="24"/>
          <w:lang w:val="en-GB"/>
        </w:rPr>
      </w:pPr>
      <w:r>
        <w:rPr>
          <w:rFonts w:ascii="Arial" w:hAnsi="Arial" w:cs="Arial"/>
          <w:sz w:val="24"/>
          <w:szCs w:val="24"/>
        </w:rPr>
        <w:t xml:space="preserve">             </w:t>
      </w:r>
      <w:r w:rsidR="00924A2E" w:rsidRPr="00924A2E">
        <w:rPr>
          <w:rFonts w:ascii="Arial" w:hAnsi="Arial" w:cs="Arial"/>
          <w:sz w:val="24"/>
          <w:szCs w:val="24"/>
        </w:rPr>
        <w:t>Judgment is granted against the Defendant for:</w:t>
      </w:r>
    </w:p>
    <w:p w14:paraId="0CCBC8CC" w14:textId="7E650792" w:rsidR="00924A2E" w:rsidRPr="00924A2E" w:rsidRDefault="002B4606" w:rsidP="002B4606">
      <w:pPr>
        <w:tabs>
          <w:tab w:val="left" w:pos="1702"/>
        </w:tabs>
        <w:spacing w:after="0" w:line="480" w:lineRule="auto"/>
        <w:ind w:left="1702" w:hanging="851"/>
        <w:contextualSpacing/>
        <w:jc w:val="both"/>
        <w:rPr>
          <w:rFonts w:ascii="Arial" w:hAnsi="Arial" w:cs="Arial"/>
          <w:i/>
          <w:iCs/>
          <w:sz w:val="24"/>
          <w:szCs w:val="24"/>
        </w:rPr>
      </w:pPr>
      <w:r w:rsidRPr="00924A2E">
        <w:rPr>
          <w:rFonts w:ascii="Univers" w:hAnsi="Univers" w:cs="Arial"/>
          <w:iCs/>
          <w:sz w:val="24"/>
          <w:szCs w:val="24"/>
        </w:rPr>
        <w:t>39.1.</w:t>
      </w:r>
      <w:r w:rsidRPr="00924A2E">
        <w:rPr>
          <w:rFonts w:ascii="Univers" w:hAnsi="Univers" w:cs="Arial"/>
          <w:iCs/>
          <w:sz w:val="24"/>
          <w:szCs w:val="24"/>
        </w:rPr>
        <w:tab/>
      </w:r>
      <w:r w:rsidR="00924A2E" w:rsidRPr="00924A2E">
        <w:rPr>
          <w:rFonts w:ascii="Arial" w:hAnsi="Arial" w:cs="Arial"/>
          <w:sz w:val="24"/>
          <w:szCs w:val="24"/>
        </w:rPr>
        <w:t>Payment in the amount of R1 736 437.50 together with interest thereon at the rate of 10.25% per annum from 23 May 2018 to date of final payment.</w:t>
      </w:r>
    </w:p>
    <w:p w14:paraId="00E2EC64" w14:textId="3E87E4E5" w:rsidR="00924A2E" w:rsidRPr="00924A2E" w:rsidRDefault="002B4606" w:rsidP="002B4606">
      <w:pPr>
        <w:tabs>
          <w:tab w:val="left" w:pos="1702"/>
        </w:tabs>
        <w:spacing w:after="240" w:line="480" w:lineRule="auto"/>
        <w:ind w:left="1702" w:hanging="851"/>
        <w:contextualSpacing/>
        <w:jc w:val="both"/>
        <w:rPr>
          <w:rFonts w:ascii="Arial" w:hAnsi="Arial" w:cs="Arial"/>
          <w:i/>
          <w:iCs/>
          <w:sz w:val="24"/>
          <w:szCs w:val="24"/>
        </w:rPr>
      </w:pPr>
      <w:r w:rsidRPr="00924A2E">
        <w:rPr>
          <w:rFonts w:ascii="Univers" w:hAnsi="Univers" w:cs="Arial"/>
          <w:iCs/>
          <w:sz w:val="24"/>
          <w:szCs w:val="24"/>
        </w:rPr>
        <w:t>39.2.</w:t>
      </w:r>
      <w:r w:rsidRPr="00924A2E">
        <w:rPr>
          <w:rFonts w:ascii="Univers" w:hAnsi="Univers" w:cs="Arial"/>
          <w:iCs/>
          <w:sz w:val="24"/>
          <w:szCs w:val="24"/>
        </w:rPr>
        <w:tab/>
      </w:r>
      <w:r w:rsidR="00924A2E" w:rsidRPr="00924A2E">
        <w:rPr>
          <w:rFonts w:ascii="Arial" w:hAnsi="Arial" w:cs="Arial"/>
          <w:sz w:val="24"/>
          <w:szCs w:val="24"/>
        </w:rPr>
        <w:t>Costs of suit.</w:t>
      </w:r>
    </w:p>
    <w:p w14:paraId="5DEC3765" w14:textId="10238A93" w:rsidR="00924A2E" w:rsidRPr="004661B9" w:rsidRDefault="002B4606" w:rsidP="002B4606">
      <w:pPr>
        <w:tabs>
          <w:tab w:val="left" w:pos="1702"/>
        </w:tabs>
        <w:spacing w:after="240" w:line="480" w:lineRule="auto"/>
        <w:ind w:left="1702" w:hanging="851"/>
        <w:contextualSpacing/>
        <w:jc w:val="both"/>
        <w:rPr>
          <w:rFonts w:ascii="Arial" w:hAnsi="Arial" w:cs="Arial"/>
          <w:i/>
          <w:iCs/>
          <w:sz w:val="24"/>
          <w:szCs w:val="24"/>
        </w:rPr>
      </w:pPr>
      <w:r w:rsidRPr="004661B9">
        <w:rPr>
          <w:rFonts w:ascii="Univers" w:hAnsi="Univers" w:cs="Arial"/>
          <w:iCs/>
          <w:sz w:val="24"/>
          <w:szCs w:val="24"/>
        </w:rPr>
        <w:t>39.3.</w:t>
      </w:r>
      <w:r w:rsidRPr="004661B9">
        <w:rPr>
          <w:rFonts w:ascii="Univers" w:hAnsi="Univers" w:cs="Arial"/>
          <w:iCs/>
          <w:sz w:val="24"/>
          <w:szCs w:val="24"/>
        </w:rPr>
        <w:tab/>
      </w:r>
      <w:r w:rsidR="00924A2E" w:rsidRPr="00924A2E">
        <w:rPr>
          <w:rFonts w:ascii="Arial" w:hAnsi="Arial" w:cs="Arial"/>
          <w:sz w:val="24"/>
          <w:szCs w:val="24"/>
        </w:rPr>
        <w:t xml:space="preserve">The documents at Caselines 0017-1 to 0017-957 are to be removed within </w:t>
      </w:r>
      <w:r w:rsidR="00880998">
        <w:rPr>
          <w:rFonts w:ascii="Arial" w:hAnsi="Arial" w:cs="Arial"/>
          <w:sz w:val="24"/>
          <w:szCs w:val="24"/>
        </w:rPr>
        <w:t>24 hours</w:t>
      </w:r>
      <w:r w:rsidR="00924A2E" w:rsidRPr="00924A2E">
        <w:rPr>
          <w:rFonts w:ascii="Arial" w:hAnsi="Arial" w:cs="Arial"/>
          <w:sz w:val="24"/>
          <w:szCs w:val="24"/>
        </w:rPr>
        <w:t xml:space="preserve"> of this order</w:t>
      </w:r>
      <w:r w:rsidR="00880998">
        <w:rPr>
          <w:rFonts w:ascii="Arial" w:hAnsi="Arial" w:cs="Arial"/>
          <w:sz w:val="24"/>
          <w:szCs w:val="24"/>
        </w:rPr>
        <w:t xml:space="preserve"> being mailed to the Defendant’s attorneys of record</w:t>
      </w:r>
      <w:r w:rsidR="00924A2E" w:rsidRPr="00924A2E">
        <w:rPr>
          <w:rFonts w:ascii="Arial" w:hAnsi="Arial" w:cs="Arial"/>
          <w:sz w:val="24"/>
          <w:szCs w:val="24"/>
        </w:rPr>
        <w:t xml:space="preserve"> failing which the </w:t>
      </w:r>
      <w:r w:rsidR="00880998">
        <w:rPr>
          <w:rFonts w:ascii="Arial" w:hAnsi="Arial" w:cs="Arial"/>
          <w:sz w:val="24"/>
          <w:szCs w:val="24"/>
        </w:rPr>
        <w:t>P</w:t>
      </w:r>
      <w:r w:rsidR="00924A2E" w:rsidRPr="00924A2E">
        <w:rPr>
          <w:rFonts w:ascii="Arial" w:hAnsi="Arial" w:cs="Arial"/>
          <w:sz w:val="24"/>
          <w:szCs w:val="24"/>
        </w:rPr>
        <w:t>laintiff may set this matter down before Opperman J for the scale of the costs order to be revisited.</w:t>
      </w:r>
    </w:p>
    <w:p w14:paraId="4B0907DE" w14:textId="347FB7F3" w:rsidR="004661B9" w:rsidRDefault="004661B9" w:rsidP="004661B9">
      <w:pPr>
        <w:spacing w:after="240" w:line="480" w:lineRule="auto"/>
        <w:contextualSpacing/>
        <w:jc w:val="both"/>
        <w:rPr>
          <w:rFonts w:ascii="Arial" w:hAnsi="Arial" w:cs="Arial"/>
          <w:sz w:val="24"/>
          <w:szCs w:val="24"/>
        </w:rPr>
      </w:pPr>
    </w:p>
    <w:p w14:paraId="22C0B920" w14:textId="77777777" w:rsidR="004661B9" w:rsidRPr="004661B9" w:rsidRDefault="004661B9" w:rsidP="004661B9">
      <w:pPr>
        <w:spacing w:after="240" w:line="480" w:lineRule="auto"/>
        <w:contextualSpacing/>
        <w:jc w:val="both"/>
        <w:rPr>
          <w:rFonts w:ascii="Arial" w:hAnsi="Arial" w:cs="Arial"/>
          <w:i/>
          <w:iCs/>
          <w:sz w:val="24"/>
          <w:szCs w:val="24"/>
        </w:rPr>
      </w:pPr>
    </w:p>
    <w:p w14:paraId="4A1617C9" w14:textId="77777777" w:rsidR="00924A2E" w:rsidRDefault="00924A2E" w:rsidP="00924A2E">
      <w:pPr>
        <w:spacing w:after="240" w:line="480" w:lineRule="auto"/>
        <w:ind w:left="851"/>
        <w:contextualSpacing/>
        <w:jc w:val="both"/>
        <w:rPr>
          <w:rFonts w:ascii="Arial" w:hAnsi="Arial" w:cs="Arial"/>
          <w:iCs/>
          <w:sz w:val="24"/>
          <w:szCs w:val="24"/>
        </w:rPr>
      </w:pPr>
    </w:p>
    <w:p w14:paraId="4C9B665E" w14:textId="77777777" w:rsidR="00924A2E" w:rsidRDefault="00924A2E" w:rsidP="00924A2E">
      <w:pPr>
        <w:spacing w:after="240" w:line="480" w:lineRule="auto"/>
        <w:ind w:left="851"/>
        <w:contextualSpacing/>
        <w:jc w:val="right"/>
        <w:rPr>
          <w:rFonts w:ascii="Arial" w:hAnsi="Arial" w:cs="Arial"/>
          <w:iCs/>
          <w:sz w:val="24"/>
          <w:szCs w:val="24"/>
        </w:rPr>
      </w:pPr>
      <w:r>
        <w:rPr>
          <w:rFonts w:ascii="Arial" w:hAnsi="Arial" w:cs="Arial"/>
          <w:iCs/>
          <w:sz w:val="24"/>
          <w:szCs w:val="24"/>
        </w:rPr>
        <w:t>__________________________</w:t>
      </w:r>
    </w:p>
    <w:p w14:paraId="00B2F0A8" w14:textId="77777777" w:rsidR="00924A2E" w:rsidRPr="00924A2E" w:rsidRDefault="00924A2E" w:rsidP="00471F2D">
      <w:pPr>
        <w:spacing w:after="240" w:line="240" w:lineRule="auto"/>
        <w:ind w:left="851"/>
        <w:contextualSpacing/>
        <w:jc w:val="right"/>
        <w:rPr>
          <w:rFonts w:ascii="Arial" w:hAnsi="Arial" w:cs="Arial"/>
          <w:iCs/>
          <w:sz w:val="24"/>
          <w:szCs w:val="24"/>
          <w:lang w:val="en-GB"/>
        </w:rPr>
      </w:pPr>
      <w:r w:rsidRPr="00924A2E">
        <w:rPr>
          <w:rFonts w:ascii="Arial" w:hAnsi="Arial" w:cs="Arial"/>
          <w:iCs/>
          <w:sz w:val="24"/>
          <w:szCs w:val="24"/>
          <w:lang w:val="en-GB"/>
        </w:rPr>
        <w:t xml:space="preserve">                                                                                            I OPPERMAN </w:t>
      </w:r>
    </w:p>
    <w:p w14:paraId="6BC6FB9A" w14:textId="77777777" w:rsidR="00924A2E" w:rsidRPr="00924A2E" w:rsidRDefault="00924A2E" w:rsidP="00471F2D">
      <w:pPr>
        <w:spacing w:after="240" w:line="240" w:lineRule="auto"/>
        <w:ind w:left="851"/>
        <w:contextualSpacing/>
        <w:jc w:val="right"/>
        <w:rPr>
          <w:rFonts w:ascii="Arial" w:hAnsi="Arial" w:cs="Arial"/>
          <w:iCs/>
          <w:sz w:val="24"/>
          <w:szCs w:val="24"/>
          <w:lang w:val="en-GB"/>
        </w:rPr>
      </w:pPr>
      <w:r w:rsidRPr="00924A2E">
        <w:rPr>
          <w:rFonts w:ascii="Arial" w:hAnsi="Arial" w:cs="Arial"/>
          <w:iCs/>
          <w:sz w:val="24"/>
          <w:szCs w:val="24"/>
          <w:lang w:val="en-GB"/>
        </w:rPr>
        <w:t xml:space="preserve">                                                                            Judge of the High Court</w:t>
      </w:r>
    </w:p>
    <w:p w14:paraId="4BAF20FB" w14:textId="77777777" w:rsidR="00924A2E" w:rsidRPr="00924A2E" w:rsidRDefault="00924A2E" w:rsidP="00471F2D">
      <w:pPr>
        <w:spacing w:after="240" w:line="240" w:lineRule="auto"/>
        <w:ind w:left="851"/>
        <w:contextualSpacing/>
        <w:jc w:val="right"/>
        <w:rPr>
          <w:rFonts w:ascii="Arial" w:hAnsi="Arial" w:cs="Arial"/>
          <w:iCs/>
          <w:sz w:val="24"/>
          <w:szCs w:val="24"/>
          <w:lang w:val="en-GB"/>
        </w:rPr>
      </w:pPr>
      <w:r w:rsidRPr="00924A2E">
        <w:rPr>
          <w:rFonts w:ascii="Arial" w:hAnsi="Arial" w:cs="Arial"/>
          <w:iCs/>
          <w:sz w:val="24"/>
          <w:szCs w:val="24"/>
          <w:lang w:val="en-GB"/>
        </w:rPr>
        <w:lastRenderedPageBreak/>
        <w:t xml:space="preserve">                                                          Gauteng Local Division, Johannesburg      </w:t>
      </w:r>
    </w:p>
    <w:p w14:paraId="18912111" w14:textId="77777777" w:rsidR="00924A2E" w:rsidRPr="00924A2E" w:rsidRDefault="00924A2E" w:rsidP="00924A2E">
      <w:pPr>
        <w:spacing w:after="240" w:line="480" w:lineRule="auto"/>
        <w:ind w:left="851"/>
        <w:contextualSpacing/>
        <w:jc w:val="right"/>
        <w:rPr>
          <w:rFonts w:ascii="Arial" w:hAnsi="Arial" w:cs="Arial"/>
          <w:iCs/>
          <w:sz w:val="24"/>
          <w:szCs w:val="24"/>
        </w:rPr>
      </w:pPr>
    </w:p>
    <w:p w14:paraId="26E359E4" w14:textId="2FC1BF12" w:rsidR="00471F2D" w:rsidRDefault="00471F2D" w:rsidP="00924A2E">
      <w:pPr>
        <w:pStyle w:val="ListParagraph"/>
        <w:spacing w:line="480" w:lineRule="auto"/>
        <w:ind w:left="0"/>
        <w:jc w:val="both"/>
        <w:rPr>
          <w:rFonts w:ascii="Arial" w:eastAsia="Times New Roman" w:hAnsi="Arial" w:cs="Arial"/>
          <w:iCs/>
          <w:sz w:val="24"/>
          <w:szCs w:val="24"/>
          <w:lang w:val="en-GB"/>
        </w:rPr>
      </w:pPr>
    </w:p>
    <w:p w14:paraId="44D09258" w14:textId="77777777" w:rsidR="00BF263D" w:rsidRDefault="00BF263D" w:rsidP="00BF263D">
      <w:pPr>
        <w:spacing w:line="360" w:lineRule="auto"/>
        <w:rPr>
          <w:rFonts w:ascii="Arial" w:eastAsia="Times New Roman" w:hAnsi="Arial" w:cs="Arial"/>
          <w:iCs/>
          <w:sz w:val="24"/>
          <w:szCs w:val="24"/>
          <w:lang w:val="en-GB"/>
        </w:rPr>
      </w:pPr>
    </w:p>
    <w:p w14:paraId="7AFC400A" w14:textId="461593B6" w:rsidR="00471F2D" w:rsidRPr="00BF263D" w:rsidRDefault="00471F2D" w:rsidP="00BF263D">
      <w:pPr>
        <w:spacing w:line="360" w:lineRule="auto"/>
        <w:rPr>
          <w:rFonts w:ascii="Arial" w:eastAsia="Times New Roman" w:hAnsi="Arial" w:cs="Arial"/>
          <w:iCs/>
        </w:rPr>
      </w:pPr>
      <w:r w:rsidRPr="00BF263D">
        <w:rPr>
          <w:rFonts w:ascii="Arial" w:eastAsia="Times New Roman" w:hAnsi="Arial" w:cs="Arial"/>
          <w:iCs/>
        </w:rPr>
        <w:t>Counsel for the plaintiff:  Mr WF Wannenburg</w:t>
      </w:r>
    </w:p>
    <w:p w14:paraId="3A31B306" w14:textId="77777777" w:rsidR="00471F2D" w:rsidRPr="00743FC9" w:rsidRDefault="00471F2D" w:rsidP="00BF263D">
      <w:pPr>
        <w:pStyle w:val="ListParagraph"/>
        <w:spacing w:line="360" w:lineRule="auto"/>
        <w:ind w:left="0"/>
        <w:rPr>
          <w:rFonts w:ascii="Arial" w:eastAsia="Times New Roman" w:hAnsi="Arial" w:cs="Arial"/>
          <w:iCs/>
        </w:rPr>
      </w:pPr>
      <w:r w:rsidRPr="00743FC9">
        <w:rPr>
          <w:rFonts w:ascii="Arial" w:eastAsia="Times New Roman" w:hAnsi="Arial" w:cs="Arial"/>
          <w:iCs/>
        </w:rPr>
        <w:t>Instructed by:  Esthe Muller Inc</w:t>
      </w:r>
    </w:p>
    <w:p w14:paraId="1FADBC88" w14:textId="77777777" w:rsidR="00471F2D" w:rsidRPr="00743FC9" w:rsidRDefault="00471F2D" w:rsidP="00BF263D">
      <w:pPr>
        <w:pStyle w:val="ListParagraph"/>
        <w:spacing w:line="360" w:lineRule="auto"/>
        <w:ind w:left="0"/>
        <w:rPr>
          <w:rFonts w:ascii="Arial" w:eastAsia="Times New Roman" w:hAnsi="Arial" w:cs="Arial"/>
          <w:iCs/>
        </w:rPr>
      </w:pPr>
      <w:r w:rsidRPr="00743FC9">
        <w:rPr>
          <w:rFonts w:ascii="Arial" w:eastAsia="Times New Roman" w:hAnsi="Arial" w:cs="Arial"/>
          <w:iCs/>
        </w:rPr>
        <w:t>Counsel for the defendant: Mr L Mtukushe</w:t>
      </w:r>
    </w:p>
    <w:p w14:paraId="67266E98" w14:textId="77777777" w:rsidR="00471F2D" w:rsidRPr="00743FC9" w:rsidRDefault="00471F2D" w:rsidP="00BF263D">
      <w:pPr>
        <w:pStyle w:val="ListParagraph"/>
        <w:spacing w:line="360" w:lineRule="auto"/>
        <w:ind w:left="0"/>
        <w:rPr>
          <w:rFonts w:ascii="Arial" w:eastAsia="Times New Roman" w:hAnsi="Arial" w:cs="Arial"/>
          <w:iCs/>
        </w:rPr>
      </w:pPr>
      <w:r w:rsidRPr="00743FC9">
        <w:rPr>
          <w:rFonts w:ascii="Arial" w:eastAsia="Times New Roman" w:hAnsi="Arial" w:cs="Arial"/>
          <w:iCs/>
        </w:rPr>
        <w:t>Instructed by:   Rupert Candy Attorneys</w:t>
      </w:r>
    </w:p>
    <w:p w14:paraId="486D981B" w14:textId="77777777" w:rsidR="00471F2D" w:rsidRPr="00743FC9" w:rsidRDefault="00471F2D" w:rsidP="00BF263D">
      <w:pPr>
        <w:pStyle w:val="ListParagraph"/>
        <w:spacing w:line="360" w:lineRule="auto"/>
        <w:ind w:left="0"/>
        <w:rPr>
          <w:rFonts w:ascii="Arial" w:eastAsia="Times New Roman" w:hAnsi="Arial" w:cs="Arial"/>
          <w:iCs/>
        </w:rPr>
      </w:pPr>
      <w:r w:rsidRPr="00743FC9">
        <w:rPr>
          <w:rFonts w:ascii="Arial" w:eastAsia="Times New Roman" w:hAnsi="Arial" w:cs="Arial"/>
          <w:iCs/>
        </w:rPr>
        <w:t>Date of hearing:  23 January 2023 and 13 June 2023</w:t>
      </w:r>
    </w:p>
    <w:p w14:paraId="2F712A50" w14:textId="109CCD3C" w:rsidR="00471F2D" w:rsidRPr="00743FC9" w:rsidRDefault="00471F2D" w:rsidP="00BF263D">
      <w:pPr>
        <w:pStyle w:val="ListParagraph"/>
        <w:spacing w:line="360" w:lineRule="auto"/>
        <w:ind w:left="0"/>
        <w:rPr>
          <w:rFonts w:ascii="Arial" w:eastAsia="Times New Roman" w:hAnsi="Arial" w:cs="Arial"/>
          <w:iCs/>
        </w:rPr>
      </w:pPr>
      <w:r w:rsidRPr="00743FC9">
        <w:rPr>
          <w:rFonts w:ascii="Arial" w:eastAsia="Times New Roman" w:hAnsi="Arial" w:cs="Arial"/>
          <w:iCs/>
        </w:rPr>
        <w:t xml:space="preserve">Date of Judgment: </w:t>
      </w:r>
      <w:r w:rsidR="00186803">
        <w:rPr>
          <w:rFonts w:ascii="Arial" w:eastAsia="Times New Roman" w:hAnsi="Arial" w:cs="Arial"/>
          <w:iCs/>
        </w:rPr>
        <w:t>30 June 2023</w:t>
      </w:r>
    </w:p>
    <w:p w14:paraId="2371051F" w14:textId="77777777" w:rsidR="00471F2D" w:rsidRPr="00924A2E" w:rsidRDefault="00471F2D" w:rsidP="00924A2E">
      <w:pPr>
        <w:pStyle w:val="ListParagraph"/>
        <w:spacing w:line="480" w:lineRule="auto"/>
        <w:ind w:left="0"/>
        <w:jc w:val="both"/>
        <w:rPr>
          <w:rFonts w:ascii="Arial" w:eastAsia="Times New Roman" w:hAnsi="Arial" w:cs="Arial"/>
          <w:iCs/>
          <w:sz w:val="24"/>
          <w:szCs w:val="24"/>
          <w:lang w:val="en-GB"/>
        </w:rPr>
      </w:pPr>
    </w:p>
    <w:p w14:paraId="41DE49BB" w14:textId="77777777" w:rsidR="00924A2E" w:rsidRPr="00924A2E" w:rsidRDefault="00924A2E" w:rsidP="00924A2E">
      <w:pPr>
        <w:pStyle w:val="BodyText"/>
        <w:widowControl w:val="0"/>
        <w:tabs>
          <w:tab w:val="left" w:pos="0"/>
          <w:tab w:val="left" w:pos="993"/>
        </w:tabs>
        <w:spacing w:before="74"/>
        <w:ind w:right="-46"/>
        <w:rPr>
          <w:rFonts w:cs="Arial"/>
          <w:iCs/>
        </w:rPr>
      </w:pPr>
    </w:p>
    <w:p w14:paraId="07BF721D" w14:textId="77777777" w:rsidR="006836C8" w:rsidRPr="00242AE2" w:rsidRDefault="006836C8" w:rsidP="000F6A1D">
      <w:pPr>
        <w:spacing w:line="480" w:lineRule="auto"/>
        <w:jc w:val="both"/>
        <w:rPr>
          <w:rFonts w:ascii="Arial" w:hAnsi="Arial" w:cs="Arial"/>
          <w:sz w:val="24"/>
          <w:szCs w:val="24"/>
        </w:rPr>
      </w:pPr>
    </w:p>
    <w:p w14:paraId="56897A95" w14:textId="77777777" w:rsidR="003C09D7" w:rsidRPr="00242AE2" w:rsidRDefault="003C09D7" w:rsidP="000F6A1D">
      <w:pPr>
        <w:spacing w:line="480" w:lineRule="auto"/>
        <w:jc w:val="both"/>
        <w:rPr>
          <w:rFonts w:ascii="Arial" w:hAnsi="Arial" w:cs="Arial"/>
          <w:sz w:val="24"/>
          <w:szCs w:val="24"/>
        </w:rPr>
      </w:pPr>
    </w:p>
    <w:sectPr w:rsidR="003C09D7" w:rsidRPr="00242AE2" w:rsidSect="00B3665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E7554" w14:textId="77777777" w:rsidR="00B76215" w:rsidRDefault="00B76215" w:rsidP="00242AE2">
      <w:pPr>
        <w:spacing w:after="0" w:line="240" w:lineRule="auto"/>
      </w:pPr>
      <w:r>
        <w:separator/>
      </w:r>
    </w:p>
  </w:endnote>
  <w:endnote w:type="continuationSeparator" w:id="0">
    <w:p w14:paraId="0681D937" w14:textId="77777777" w:rsidR="00B76215" w:rsidRDefault="00B76215" w:rsidP="0024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7F5A" w14:textId="77777777" w:rsidR="00B76215" w:rsidRDefault="00B76215" w:rsidP="00242AE2">
      <w:pPr>
        <w:spacing w:after="0" w:line="240" w:lineRule="auto"/>
      </w:pPr>
      <w:r>
        <w:separator/>
      </w:r>
    </w:p>
  </w:footnote>
  <w:footnote w:type="continuationSeparator" w:id="0">
    <w:p w14:paraId="6B308468" w14:textId="77777777" w:rsidR="00B76215" w:rsidRDefault="00B76215" w:rsidP="00242AE2">
      <w:pPr>
        <w:spacing w:after="0" w:line="240" w:lineRule="auto"/>
      </w:pPr>
      <w:r>
        <w:continuationSeparator/>
      </w:r>
    </w:p>
  </w:footnote>
  <w:footnote w:id="1">
    <w:p w14:paraId="09D68C90" w14:textId="1FCED263" w:rsidR="00E94DA1" w:rsidRPr="00880998" w:rsidRDefault="00E94DA1" w:rsidP="00E94DA1">
      <w:pPr>
        <w:pStyle w:val="Heading2"/>
        <w:spacing w:before="240" w:after="180" w:line="288" w:lineRule="atLeast"/>
        <w:rPr>
          <w:rFonts w:cs="Arial"/>
          <w:b w:val="0"/>
          <w:bCs w:val="0"/>
          <w:color w:val="000000" w:themeColor="text1"/>
          <w:sz w:val="20"/>
          <w:szCs w:val="20"/>
        </w:rPr>
      </w:pPr>
      <w:r w:rsidRPr="00880998">
        <w:rPr>
          <w:rStyle w:val="FootnoteReference"/>
          <w:rFonts w:cs="Arial"/>
          <w:sz w:val="20"/>
          <w:szCs w:val="20"/>
        </w:rPr>
        <w:footnoteRef/>
      </w:r>
      <w:r w:rsidRPr="00880998">
        <w:rPr>
          <w:rFonts w:cs="Arial"/>
          <w:sz w:val="20"/>
          <w:szCs w:val="20"/>
        </w:rPr>
        <w:t xml:space="preserve"> </w:t>
      </w:r>
      <w:r w:rsidRPr="00880998">
        <w:rPr>
          <w:rFonts w:cs="Arial"/>
          <w:b w:val="0"/>
          <w:bCs w:val="0"/>
          <w:i/>
          <w:iCs w:val="0"/>
          <w:color w:val="000000" w:themeColor="text1"/>
          <w:sz w:val="20"/>
          <w:szCs w:val="20"/>
        </w:rPr>
        <w:t>KPMG Chartered Accountants (SA) v Securefin Limited and Another</w:t>
      </w:r>
      <w:r w:rsidRPr="00880998">
        <w:rPr>
          <w:rFonts w:cs="Arial"/>
          <w:b w:val="0"/>
          <w:bCs w:val="0"/>
          <w:color w:val="000000" w:themeColor="text1"/>
          <w:sz w:val="20"/>
          <w:szCs w:val="20"/>
        </w:rPr>
        <w:t xml:space="preserve"> (644/07) [2009] ZASCA 7; 2009 (4) SA 399 (SCA) ; [2009] 2 All SA 523 (SCA) (13 March 2009) at par [39] where Harms JA said: ‘…</w:t>
      </w:r>
      <w:r w:rsidRPr="00880998">
        <w:rPr>
          <w:rFonts w:cs="Arial"/>
          <w:b w:val="0"/>
          <w:bCs w:val="0"/>
          <w:i/>
          <w:iCs w:val="0"/>
          <w:color w:val="000000" w:themeColor="text1"/>
          <w:sz w:val="20"/>
          <w:szCs w:val="20"/>
        </w:rPr>
        <w:t xml:space="preserve">Fourth, to the extent that evidence may be admissible to contextualise the document (since “context is everything” to establish its factual matrix or purpose or for purposes of identification, “one must use it as conservatively as possible” </w:t>
      </w:r>
    </w:p>
    <w:p w14:paraId="06DB17BB" w14:textId="77777777" w:rsidR="00E94DA1" w:rsidRPr="00880998" w:rsidRDefault="00E94DA1" w:rsidP="00E94DA1">
      <w:pPr>
        <w:pStyle w:val="FootnoteText"/>
        <w:rPr>
          <w:rFonts w:ascii="Arial" w:hAnsi="Arial" w:cs="Arial"/>
          <w:lang w:val="en-US"/>
        </w:rPr>
      </w:pPr>
    </w:p>
  </w:footnote>
  <w:footnote w:id="2">
    <w:p w14:paraId="54A90030" w14:textId="77777777" w:rsidR="00B36658" w:rsidRPr="00B36658" w:rsidRDefault="00B36658" w:rsidP="00B36658">
      <w:pPr>
        <w:pStyle w:val="FootnoteText"/>
        <w:ind w:left="142" w:hanging="142"/>
        <w:rPr>
          <w:rFonts w:ascii="Arial" w:hAnsi="Arial" w:cs="Arial"/>
        </w:rPr>
      </w:pPr>
      <w:r>
        <w:rPr>
          <w:rStyle w:val="FootnoteReference"/>
        </w:rPr>
        <w:footnoteRef/>
      </w:r>
      <w:r>
        <w:t xml:space="preserve"> </w:t>
      </w:r>
      <w:r w:rsidRPr="00B36658">
        <w:rPr>
          <w:rFonts w:ascii="Arial" w:hAnsi="Arial" w:cs="Arial"/>
          <w:i/>
        </w:rPr>
        <w:t>Bothma-Batho Transport (Edms) Bpk v S Botha &amp; Seuns Transport (Edms) Bpk</w:t>
      </w:r>
      <w:r w:rsidRPr="00B36658">
        <w:rPr>
          <w:rFonts w:ascii="Arial" w:hAnsi="Arial" w:cs="Arial"/>
        </w:rPr>
        <w:t>, 2014 (2) SA 494 (SCA) at para [12]</w:t>
      </w:r>
    </w:p>
  </w:footnote>
  <w:footnote w:id="3">
    <w:p w14:paraId="72791B29" w14:textId="77777777" w:rsidR="00B36658" w:rsidRPr="00B36658" w:rsidRDefault="00B36658">
      <w:pPr>
        <w:pStyle w:val="FootnoteText"/>
        <w:rPr>
          <w:rFonts w:ascii="Arial" w:hAnsi="Arial" w:cs="Arial"/>
        </w:rPr>
      </w:pPr>
      <w:r>
        <w:rPr>
          <w:rStyle w:val="FootnoteReference"/>
        </w:rPr>
        <w:footnoteRef/>
      </w:r>
      <w:r>
        <w:t xml:space="preserve"> </w:t>
      </w:r>
      <w:r w:rsidRPr="00B36658">
        <w:rPr>
          <w:rFonts w:ascii="Arial" w:hAnsi="Arial" w:cs="Arial"/>
          <w:i/>
        </w:rPr>
        <w:t>North East Finance (Pty) Ltd v Standard Bank of South Africa Ltd</w:t>
      </w:r>
      <w:r w:rsidRPr="00B36658">
        <w:rPr>
          <w:rFonts w:ascii="Arial" w:hAnsi="Arial" w:cs="Arial"/>
        </w:rPr>
        <w:t>, 2013 (5) SA 1 (SCA) at para [24]</w:t>
      </w:r>
    </w:p>
  </w:footnote>
  <w:footnote w:id="4">
    <w:p w14:paraId="2B13D90D" w14:textId="77777777" w:rsidR="00924A2E" w:rsidRPr="00924A2E" w:rsidRDefault="00924A2E" w:rsidP="00924A2E">
      <w:pPr>
        <w:pStyle w:val="FootnoteText"/>
        <w:ind w:left="142" w:hanging="142"/>
        <w:rPr>
          <w:rFonts w:ascii="Arial" w:hAnsi="Arial" w:cs="Arial"/>
        </w:rPr>
      </w:pPr>
      <w:r>
        <w:rPr>
          <w:rStyle w:val="FootnoteReference"/>
        </w:rPr>
        <w:footnoteRef/>
      </w:r>
      <w:r>
        <w:t xml:space="preserve"> </w:t>
      </w:r>
      <w:r w:rsidRPr="00924A2E">
        <w:rPr>
          <w:rFonts w:ascii="Arial" w:hAnsi="Arial" w:cs="Arial"/>
          <w:i/>
        </w:rPr>
        <w:t>Novartis SA (Pty) Ltd v Maphil Trading (Pty) Ltd</w:t>
      </w:r>
      <w:r w:rsidRPr="00924A2E">
        <w:rPr>
          <w:rFonts w:ascii="Arial" w:hAnsi="Arial" w:cs="Arial"/>
        </w:rPr>
        <w:t xml:space="preserve">, 2016 (1) SA 518 (SCA) at paras [27] – [35]; </w:t>
      </w:r>
      <w:r w:rsidRPr="00924A2E">
        <w:rPr>
          <w:rFonts w:ascii="Arial" w:hAnsi="Arial" w:cs="Arial"/>
          <w:i/>
        </w:rPr>
        <w:t>Capitec Bank Holdings Limited and Another v Coral Lagoon Investments 194 (Pty) Ltd and Others</w:t>
      </w:r>
      <w:r w:rsidRPr="00924A2E">
        <w:rPr>
          <w:rFonts w:ascii="Arial" w:hAnsi="Arial" w:cs="Arial"/>
        </w:rPr>
        <w:t xml:space="preserve"> [2021] ZASCA 99 (9 July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9F3"/>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764118D"/>
    <w:multiLevelType w:val="hybridMultilevel"/>
    <w:tmpl w:val="23BEADBC"/>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
    <w:nsid w:val="1C7B3EB7"/>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4">
    <w:nsid w:val="1F315CDB"/>
    <w:multiLevelType w:val="hybridMultilevel"/>
    <w:tmpl w:val="EC9CCCA2"/>
    <w:lvl w:ilvl="0" w:tplc="00EA6006">
      <w:start w:val="16"/>
      <w:numFmt w:val="decimal"/>
      <w:lvlText w:val="%1"/>
      <w:lvlJc w:val="left"/>
      <w:pPr>
        <w:ind w:hanging="720"/>
      </w:pPr>
      <w:rPr>
        <w:rFonts w:ascii="Arial" w:eastAsia="Arial" w:hAnsi="Arial" w:hint="default"/>
        <w:spacing w:val="-1"/>
        <w:w w:val="99"/>
        <w:position w:val="6"/>
        <w:sz w:val="13"/>
        <w:szCs w:val="13"/>
      </w:rPr>
    </w:lvl>
    <w:lvl w:ilvl="1" w:tplc="5AD88C7E">
      <w:start w:val="1"/>
      <w:numFmt w:val="bullet"/>
      <w:lvlText w:val="•"/>
      <w:lvlJc w:val="left"/>
      <w:pPr>
        <w:ind w:hanging="360"/>
      </w:pPr>
      <w:rPr>
        <w:rFonts w:ascii="Arial" w:eastAsia="Arial" w:hAnsi="Arial" w:hint="default"/>
        <w:w w:val="131"/>
        <w:sz w:val="24"/>
        <w:szCs w:val="24"/>
      </w:rPr>
    </w:lvl>
    <w:lvl w:ilvl="2" w:tplc="5E50B8E4">
      <w:start w:val="1"/>
      <w:numFmt w:val="bullet"/>
      <w:lvlText w:val="•"/>
      <w:lvlJc w:val="left"/>
      <w:rPr>
        <w:rFonts w:hint="default"/>
      </w:rPr>
    </w:lvl>
    <w:lvl w:ilvl="3" w:tplc="8A627D72">
      <w:start w:val="1"/>
      <w:numFmt w:val="bullet"/>
      <w:lvlText w:val="•"/>
      <w:lvlJc w:val="left"/>
      <w:rPr>
        <w:rFonts w:hint="default"/>
      </w:rPr>
    </w:lvl>
    <w:lvl w:ilvl="4" w:tplc="136A0966">
      <w:start w:val="1"/>
      <w:numFmt w:val="bullet"/>
      <w:lvlText w:val="•"/>
      <w:lvlJc w:val="left"/>
      <w:rPr>
        <w:rFonts w:hint="default"/>
      </w:rPr>
    </w:lvl>
    <w:lvl w:ilvl="5" w:tplc="0F2664C8">
      <w:start w:val="1"/>
      <w:numFmt w:val="bullet"/>
      <w:lvlText w:val="•"/>
      <w:lvlJc w:val="left"/>
      <w:rPr>
        <w:rFonts w:hint="default"/>
      </w:rPr>
    </w:lvl>
    <w:lvl w:ilvl="6" w:tplc="ADD69C66">
      <w:start w:val="1"/>
      <w:numFmt w:val="bullet"/>
      <w:lvlText w:val="•"/>
      <w:lvlJc w:val="left"/>
      <w:rPr>
        <w:rFonts w:hint="default"/>
      </w:rPr>
    </w:lvl>
    <w:lvl w:ilvl="7" w:tplc="9A0651A0">
      <w:start w:val="1"/>
      <w:numFmt w:val="bullet"/>
      <w:lvlText w:val="•"/>
      <w:lvlJc w:val="left"/>
      <w:rPr>
        <w:rFonts w:hint="default"/>
      </w:rPr>
    </w:lvl>
    <w:lvl w:ilvl="8" w:tplc="E9D04E6C">
      <w:start w:val="1"/>
      <w:numFmt w:val="bullet"/>
      <w:lvlText w:val="•"/>
      <w:lvlJc w:val="left"/>
      <w:rPr>
        <w:rFonts w:hint="default"/>
      </w:rPr>
    </w:lvl>
  </w:abstractNum>
  <w:abstractNum w:abstractNumId="5">
    <w:nsid w:val="4C7D1BAC"/>
    <w:multiLevelType w:val="hybridMultilevel"/>
    <w:tmpl w:val="BE5EC65A"/>
    <w:lvl w:ilvl="0" w:tplc="CAE2E8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C924029"/>
    <w:multiLevelType w:val="hybridMultilevel"/>
    <w:tmpl w:val="5DFC0E4E"/>
    <w:lvl w:ilvl="0" w:tplc="CAE2E8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E2"/>
    <w:rsid w:val="000F6A1D"/>
    <w:rsid w:val="00186803"/>
    <w:rsid w:val="00242AE2"/>
    <w:rsid w:val="00245705"/>
    <w:rsid w:val="002606E9"/>
    <w:rsid w:val="002B4606"/>
    <w:rsid w:val="003A319C"/>
    <w:rsid w:val="003B4FBE"/>
    <w:rsid w:val="003C09D7"/>
    <w:rsid w:val="004661B9"/>
    <w:rsid w:val="00471F2D"/>
    <w:rsid w:val="004C465F"/>
    <w:rsid w:val="004D48A2"/>
    <w:rsid w:val="00512E3A"/>
    <w:rsid w:val="00622865"/>
    <w:rsid w:val="006836C8"/>
    <w:rsid w:val="006A798D"/>
    <w:rsid w:val="006B0B88"/>
    <w:rsid w:val="00734DA3"/>
    <w:rsid w:val="00743FC9"/>
    <w:rsid w:val="00810587"/>
    <w:rsid w:val="00880998"/>
    <w:rsid w:val="008C1BEE"/>
    <w:rsid w:val="00905524"/>
    <w:rsid w:val="00924A2E"/>
    <w:rsid w:val="009D524E"/>
    <w:rsid w:val="00A05548"/>
    <w:rsid w:val="00A10E27"/>
    <w:rsid w:val="00AD4DF5"/>
    <w:rsid w:val="00B36658"/>
    <w:rsid w:val="00B76215"/>
    <w:rsid w:val="00B91EDE"/>
    <w:rsid w:val="00BF263D"/>
    <w:rsid w:val="00D20BAB"/>
    <w:rsid w:val="00E94DA1"/>
    <w:rsid w:val="00F63D6B"/>
    <w:rsid w:val="00FD65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5B17"/>
  <w15:chartTrackingRefBased/>
  <w15:docId w15:val="{9F9D12E1-E3CB-417F-A2FD-2EE546E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836C8"/>
    <w:pPr>
      <w:keepNext/>
      <w:spacing w:after="0" w:line="360" w:lineRule="auto"/>
      <w:jc w:val="both"/>
      <w:outlineLvl w:val="1"/>
    </w:pPr>
    <w:rPr>
      <w:rFonts w:ascii="Arial" w:eastAsia="MS Gothic" w:hAnsi="Arial" w:cs="Times New Roman"/>
      <w:b/>
      <w:bCs/>
      <w:i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6C8"/>
    <w:rPr>
      <w:rFonts w:ascii="Arial" w:eastAsia="MS Gothic" w:hAnsi="Arial" w:cs="Times New Roman"/>
      <w:b/>
      <w:bCs/>
      <w:iCs/>
      <w:sz w:val="24"/>
      <w:szCs w:val="28"/>
      <w:lang w:val="en-GB"/>
    </w:rPr>
  </w:style>
  <w:style w:type="paragraph" w:styleId="BodyText">
    <w:name w:val="Body Text"/>
    <w:basedOn w:val="Normal"/>
    <w:link w:val="BodyTextChar"/>
    <w:uiPriority w:val="1"/>
    <w:qFormat/>
    <w:rsid w:val="006836C8"/>
    <w:pPr>
      <w:tabs>
        <w:tab w:val="right" w:pos="8640"/>
      </w:tabs>
      <w:spacing w:after="0" w:line="480" w:lineRule="auto"/>
      <w:jc w:val="both"/>
    </w:pPr>
    <w:rPr>
      <w:rFonts w:ascii="Arial" w:eastAsia="Times New Roman" w:hAnsi="Arial" w:cs="Times New Roman"/>
      <w:sz w:val="24"/>
      <w:szCs w:val="24"/>
      <w:lang w:val="en-GB"/>
    </w:rPr>
  </w:style>
  <w:style w:type="character" w:customStyle="1" w:styleId="BodyTextChar">
    <w:name w:val="Body Text Char"/>
    <w:basedOn w:val="DefaultParagraphFont"/>
    <w:link w:val="BodyText"/>
    <w:uiPriority w:val="1"/>
    <w:rsid w:val="006836C8"/>
    <w:rPr>
      <w:rFonts w:ascii="Arial" w:eastAsia="Times New Roman" w:hAnsi="Arial" w:cs="Times New Roman"/>
      <w:sz w:val="24"/>
      <w:szCs w:val="24"/>
      <w:lang w:val="en-GB"/>
    </w:rPr>
  </w:style>
  <w:style w:type="paragraph" w:styleId="FootnoteText">
    <w:name w:val="footnote text"/>
    <w:basedOn w:val="Normal"/>
    <w:link w:val="FootnoteTextChar"/>
    <w:uiPriority w:val="99"/>
    <w:semiHidden/>
    <w:unhideWhenUsed/>
    <w:rsid w:val="00B36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658"/>
    <w:rPr>
      <w:sz w:val="20"/>
      <w:szCs w:val="20"/>
    </w:rPr>
  </w:style>
  <w:style w:type="character" w:styleId="FootnoteReference">
    <w:name w:val="footnote reference"/>
    <w:basedOn w:val="DefaultParagraphFont"/>
    <w:uiPriority w:val="99"/>
    <w:semiHidden/>
    <w:unhideWhenUsed/>
    <w:rsid w:val="00B36658"/>
    <w:rPr>
      <w:vertAlign w:val="superscript"/>
    </w:rPr>
  </w:style>
  <w:style w:type="paragraph" w:styleId="ListParagraph">
    <w:name w:val="List Paragraph"/>
    <w:basedOn w:val="Normal"/>
    <w:uiPriority w:val="34"/>
    <w:qFormat/>
    <w:rsid w:val="00924A2E"/>
    <w:pPr>
      <w:ind w:left="720"/>
      <w:contextualSpacing/>
    </w:pPr>
  </w:style>
  <w:style w:type="paragraph" w:styleId="Revision">
    <w:name w:val="Revision"/>
    <w:hidden/>
    <w:uiPriority w:val="99"/>
    <w:semiHidden/>
    <w:rsid w:val="00F63D6B"/>
    <w:pPr>
      <w:spacing w:after="0" w:line="240" w:lineRule="auto"/>
    </w:pPr>
  </w:style>
  <w:style w:type="character" w:customStyle="1" w:styleId="apple-converted-space">
    <w:name w:val="apple-converted-space"/>
    <w:basedOn w:val="DefaultParagraphFont"/>
    <w:rsid w:val="00E94DA1"/>
  </w:style>
  <w:style w:type="character" w:styleId="Hyperlink">
    <w:name w:val="Hyperlink"/>
    <w:basedOn w:val="DefaultParagraphFont"/>
    <w:uiPriority w:val="99"/>
    <w:semiHidden/>
    <w:unhideWhenUsed/>
    <w:rsid w:val="00E94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614E-E547-47D8-B15A-0D439E40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Zintle Twaku</dc:creator>
  <cp:keywords/>
  <dc:description/>
  <cp:lastModifiedBy>Mokone</cp:lastModifiedBy>
  <cp:revision>3</cp:revision>
  <dcterms:created xsi:type="dcterms:W3CDTF">2023-06-30T10:02:00Z</dcterms:created>
  <dcterms:modified xsi:type="dcterms:W3CDTF">2023-06-30T10:03:00Z</dcterms:modified>
</cp:coreProperties>
</file>