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bookmarkStart w:id="0" w:name="_GoBack"/>
      <w:bookmarkEnd w:id="0"/>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6604F" w:rsidRDefault="006C43D7" w:rsidP="00C74E97">
      <w:pPr>
        <w:spacing w:line="360" w:lineRule="auto"/>
        <w:jc w:val="center"/>
        <w:rPr>
          <w:rFonts w:cs="Arial"/>
          <w:b/>
          <w:szCs w:val="22"/>
        </w:rPr>
      </w:pPr>
      <w:r w:rsidRPr="0006604F">
        <w:rPr>
          <w:rFonts w:cs="Arial"/>
          <w:b/>
          <w:szCs w:val="22"/>
        </w:rPr>
        <w:t xml:space="preserve">IN THE HIGH COURT OF SOUTH AFRICA, </w:t>
      </w:r>
    </w:p>
    <w:p w14:paraId="566C4D1B" w14:textId="77777777" w:rsidR="006C43D7" w:rsidRPr="0006604F" w:rsidRDefault="006C43D7" w:rsidP="00C74E97">
      <w:pPr>
        <w:spacing w:line="360" w:lineRule="auto"/>
        <w:jc w:val="center"/>
        <w:rPr>
          <w:rFonts w:cs="Arial"/>
          <w:b/>
          <w:szCs w:val="22"/>
        </w:rPr>
      </w:pPr>
      <w:r w:rsidRPr="0006604F">
        <w:rPr>
          <w:rFonts w:cs="Arial"/>
          <w:b/>
          <w:szCs w:val="22"/>
        </w:rPr>
        <w:t>GAUTENG DIVISION, JOHANNESBURG</w:t>
      </w:r>
    </w:p>
    <w:p w14:paraId="13D6E83E" w14:textId="77777777" w:rsidR="006C43D7" w:rsidRPr="0006604F" w:rsidRDefault="006C43D7" w:rsidP="00C74E97">
      <w:pPr>
        <w:spacing w:line="360" w:lineRule="auto"/>
        <w:jc w:val="both"/>
        <w:rPr>
          <w:rFonts w:cs="Arial"/>
          <w:b/>
          <w:szCs w:val="22"/>
        </w:rPr>
      </w:pPr>
    </w:p>
    <w:p w14:paraId="3698476C" w14:textId="24357D49" w:rsidR="006C43D7" w:rsidRPr="0006604F" w:rsidRDefault="006C43D7" w:rsidP="00C74E97">
      <w:pPr>
        <w:spacing w:line="360" w:lineRule="auto"/>
        <w:jc w:val="right"/>
        <w:rPr>
          <w:rFonts w:cs="Arial"/>
          <w:b/>
          <w:szCs w:val="22"/>
        </w:rPr>
      </w:pPr>
      <w:r w:rsidRPr="0006604F">
        <w:rPr>
          <w:rFonts w:cs="Arial"/>
          <w:b/>
          <w:szCs w:val="22"/>
        </w:rPr>
        <w:t xml:space="preserve">CASE NO: </w:t>
      </w:r>
      <w:r w:rsidR="006A7245" w:rsidRPr="0006604F">
        <w:rPr>
          <w:rFonts w:cs="Arial"/>
          <w:b/>
          <w:szCs w:val="22"/>
        </w:rPr>
        <w:t>2020/16910</w:t>
      </w:r>
    </w:p>
    <w:p w14:paraId="0AF8DD38" w14:textId="77777777" w:rsidR="006C43D7" w:rsidRPr="0006604F" w:rsidRDefault="006C43D7" w:rsidP="00C74E97">
      <w:pPr>
        <w:spacing w:line="360" w:lineRule="auto"/>
        <w:jc w:val="right"/>
        <w:rPr>
          <w:rFonts w:cs="Arial"/>
          <w:szCs w:val="22"/>
        </w:rPr>
      </w:pPr>
      <w:r w:rsidRPr="0006604F">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75E1E3FB" w:rsidR="00D645C6" w:rsidRDefault="00D645C6"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6A7245">
                              <w:rPr>
                                <w:rFonts w:ascii="Century Gothic" w:hAnsi="Century Gothic"/>
                                <w:sz w:val="20"/>
                                <w:szCs w:val="20"/>
                              </w:rPr>
                              <w:t>NO</w:t>
                            </w:r>
                          </w:p>
                          <w:p w14:paraId="3A4C7296" w14:textId="3D8CEF93" w:rsidR="00D645C6" w:rsidRPr="001D3CC2" w:rsidRDefault="00D645C6"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3511F3">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75E1E3FB" w:rsidR="00D645C6" w:rsidRDefault="00D645C6"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6A7245">
                        <w:rPr>
                          <w:rFonts w:ascii="Century Gothic" w:hAnsi="Century Gothic"/>
                          <w:sz w:val="20"/>
                          <w:szCs w:val="20"/>
                        </w:rPr>
                        <w:t>NO</w:t>
                      </w:r>
                    </w:p>
                    <w:p w14:paraId="3A4C7296" w14:textId="3D8CEF93" w:rsidR="00D645C6" w:rsidRPr="001D3CC2" w:rsidRDefault="00D645C6"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3511F3">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6604F" w:rsidRDefault="006C43D7" w:rsidP="00C74E97">
      <w:pPr>
        <w:spacing w:line="360" w:lineRule="auto"/>
        <w:jc w:val="both"/>
        <w:rPr>
          <w:rFonts w:cs="Arial"/>
          <w:szCs w:val="22"/>
        </w:rPr>
      </w:pPr>
    </w:p>
    <w:p w14:paraId="4E808D74" w14:textId="77777777" w:rsidR="006C43D7" w:rsidRPr="0006604F" w:rsidRDefault="006C43D7" w:rsidP="00C74E97">
      <w:pPr>
        <w:spacing w:line="360" w:lineRule="auto"/>
        <w:jc w:val="both"/>
        <w:rPr>
          <w:rFonts w:cs="Arial"/>
          <w:szCs w:val="22"/>
        </w:rPr>
      </w:pPr>
    </w:p>
    <w:p w14:paraId="34BF70B6" w14:textId="77777777" w:rsidR="006C43D7" w:rsidRPr="0006604F" w:rsidRDefault="006C43D7" w:rsidP="00C74E97">
      <w:pPr>
        <w:spacing w:line="360" w:lineRule="auto"/>
        <w:jc w:val="both"/>
        <w:rPr>
          <w:rFonts w:cs="Arial"/>
          <w:szCs w:val="22"/>
        </w:rPr>
      </w:pPr>
    </w:p>
    <w:p w14:paraId="2F53BA3A" w14:textId="77777777" w:rsidR="006C43D7" w:rsidRPr="0006604F" w:rsidRDefault="006C43D7" w:rsidP="00C74E97">
      <w:pPr>
        <w:spacing w:line="360" w:lineRule="auto"/>
        <w:jc w:val="both"/>
        <w:rPr>
          <w:rFonts w:cs="Arial"/>
          <w:szCs w:val="22"/>
        </w:rPr>
      </w:pPr>
    </w:p>
    <w:p w14:paraId="3A1C212E" w14:textId="77777777" w:rsidR="006C43D7" w:rsidRPr="0006604F" w:rsidRDefault="006C43D7" w:rsidP="00C74E97">
      <w:pPr>
        <w:spacing w:line="360" w:lineRule="auto"/>
        <w:jc w:val="both"/>
        <w:rPr>
          <w:rFonts w:cs="Arial"/>
          <w:szCs w:val="22"/>
        </w:rPr>
      </w:pPr>
    </w:p>
    <w:p w14:paraId="04919B1B" w14:textId="77777777" w:rsidR="001D3CC2" w:rsidRPr="0006604F" w:rsidRDefault="001D3CC2" w:rsidP="00C74E97">
      <w:pPr>
        <w:spacing w:line="360" w:lineRule="auto"/>
        <w:jc w:val="both"/>
        <w:rPr>
          <w:rFonts w:cs="Arial"/>
          <w:szCs w:val="22"/>
        </w:rPr>
      </w:pPr>
    </w:p>
    <w:p w14:paraId="65EE98C6" w14:textId="7A252702" w:rsidR="00AA7A76" w:rsidRPr="0006604F" w:rsidRDefault="00AA7A76" w:rsidP="00C74E97">
      <w:pPr>
        <w:spacing w:line="360" w:lineRule="auto"/>
        <w:jc w:val="both"/>
        <w:rPr>
          <w:rFonts w:cs="Arial"/>
          <w:szCs w:val="22"/>
        </w:rPr>
      </w:pPr>
      <w:r w:rsidRPr="0006604F">
        <w:rPr>
          <w:rFonts w:cs="Arial"/>
          <w:szCs w:val="22"/>
        </w:rPr>
        <w:t>In the matter between:</w:t>
      </w:r>
    </w:p>
    <w:p w14:paraId="7E567C59" w14:textId="77777777" w:rsidR="00EB4FC0" w:rsidRPr="0006604F" w:rsidRDefault="00EB4FC0"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rsidRPr="0006604F" w14:paraId="4E86F7E7" w14:textId="77777777" w:rsidTr="00F4468A">
        <w:tc>
          <w:tcPr>
            <w:tcW w:w="6305" w:type="dxa"/>
          </w:tcPr>
          <w:p w14:paraId="74EE3EDE" w14:textId="3D867248" w:rsidR="002104BF" w:rsidRPr="0006604F" w:rsidRDefault="006A7245" w:rsidP="00C74E97">
            <w:pPr>
              <w:spacing w:line="360" w:lineRule="auto"/>
              <w:jc w:val="both"/>
              <w:rPr>
                <w:rFonts w:cs="Arial"/>
                <w:b/>
                <w:szCs w:val="22"/>
              </w:rPr>
            </w:pPr>
            <w:r w:rsidRPr="0006604F">
              <w:rPr>
                <w:rFonts w:cs="Arial"/>
                <w:b/>
                <w:szCs w:val="22"/>
              </w:rPr>
              <w:t>DEVLAND CASH AND CARRY (PTY) LTD</w:t>
            </w:r>
          </w:p>
        </w:tc>
        <w:tc>
          <w:tcPr>
            <w:tcW w:w="2246" w:type="dxa"/>
          </w:tcPr>
          <w:p w14:paraId="72EECEF8" w14:textId="1C67AEEB" w:rsidR="002104BF" w:rsidRPr="0006604F" w:rsidRDefault="0001593E" w:rsidP="00C74E97">
            <w:pPr>
              <w:spacing w:line="360" w:lineRule="auto"/>
              <w:rPr>
                <w:rFonts w:cs="Arial"/>
                <w:szCs w:val="22"/>
              </w:rPr>
            </w:pPr>
            <w:r w:rsidRPr="0006604F">
              <w:rPr>
                <w:rFonts w:cs="Arial"/>
                <w:szCs w:val="22"/>
              </w:rPr>
              <w:t>Plaintiff</w:t>
            </w:r>
          </w:p>
        </w:tc>
      </w:tr>
      <w:tr w:rsidR="007A1D60" w:rsidRPr="0006604F" w14:paraId="64E42908" w14:textId="77777777" w:rsidTr="00F4468A">
        <w:tc>
          <w:tcPr>
            <w:tcW w:w="6305" w:type="dxa"/>
          </w:tcPr>
          <w:p w14:paraId="5042A4FA" w14:textId="77777777" w:rsidR="00EB4FC0" w:rsidRPr="0006604F" w:rsidRDefault="00EB4FC0" w:rsidP="00C74E97">
            <w:pPr>
              <w:spacing w:line="360" w:lineRule="auto"/>
              <w:jc w:val="both"/>
              <w:rPr>
                <w:rFonts w:cs="Arial"/>
                <w:szCs w:val="22"/>
              </w:rPr>
            </w:pPr>
          </w:p>
          <w:p w14:paraId="22188E4D" w14:textId="77777777" w:rsidR="002104BF" w:rsidRPr="0006604F" w:rsidRDefault="00A22A14" w:rsidP="00C74E97">
            <w:pPr>
              <w:spacing w:line="360" w:lineRule="auto"/>
              <w:jc w:val="both"/>
              <w:rPr>
                <w:rFonts w:cs="Arial"/>
                <w:szCs w:val="22"/>
              </w:rPr>
            </w:pPr>
            <w:r w:rsidRPr="0006604F">
              <w:rPr>
                <w:rFonts w:cs="Arial"/>
                <w:szCs w:val="22"/>
              </w:rPr>
              <w:t>a</w:t>
            </w:r>
            <w:r w:rsidR="002104BF" w:rsidRPr="0006604F">
              <w:rPr>
                <w:rFonts w:cs="Arial"/>
                <w:szCs w:val="22"/>
              </w:rPr>
              <w:t>nd</w:t>
            </w:r>
            <w:r w:rsidRPr="0006604F">
              <w:rPr>
                <w:rFonts w:cs="Arial"/>
                <w:szCs w:val="22"/>
              </w:rPr>
              <w:t xml:space="preserve">  </w:t>
            </w:r>
          </w:p>
          <w:p w14:paraId="6E1E5BEB" w14:textId="28B0CF97" w:rsidR="00BE4BD9" w:rsidRPr="0006604F" w:rsidRDefault="00BE4BD9" w:rsidP="00C74E97">
            <w:pPr>
              <w:spacing w:line="360" w:lineRule="auto"/>
              <w:jc w:val="both"/>
              <w:rPr>
                <w:rFonts w:cs="Arial"/>
                <w:szCs w:val="22"/>
              </w:rPr>
            </w:pPr>
          </w:p>
        </w:tc>
        <w:tc>
          <w:tcPr>
            <w:tcW w:w="2246" w:type="dxa"/>
          </w:tcPr>
          <w:p w14:paraId="1DB932F2" w14:textId="77777777" w:rsidR="002104BF" w:rsidRPr="0006604F" w:rsidRDefault="002104BF" w:rsidP="00C74E97">
            <w:pPr>
              <w:spacing w:line="360" w:lineRule="auto"/>
              <w:jc w:val="right"/>
              <w:rPr>
                <w:rFonts w:cs="Arial"/>
                <w:szCs w:val="22"/>
              </w:rPr>
            </w:pPr>
          </w:p>
        </w:tc>
      </w:tr>
      <w:tr w:rsidR="007A1D60" w:rsidRPr="0006604F" w14:paraId="3BCAF70A" w14:textId="77777777" w:rsidTr="00F4468A">
        <w:tc>
          <w:tcPr>
            <w:tcW w:w="6305" w:type="dxa"/>
          </w:tcPr>
          <w:p w14:paraId="0E8BF73D" w14:textId="2C0A2840" w:rsidR="002104BF" w:rsidRPr="0006604F" w:rsidRDefault="006A7245" w:rsidP="00C74E97">
            <w:pPr>
              <w:spacing w:line="360" w:lineRule="auto"/>
              <w:jc w:val="both"/>
              <w:rPr>
                <w:rFonts w:cs="Arial"/>
                <w:b/>
                <w:szCs w:val="22"/>
              </w:rPr>
            </w:pPr>
            <w:r w:rsidRPr="0006604F">
              <w:rPr>
                <w:rFonts w:cs="Arial"/>
                <w:b/>
                <w:szCs w:val="22"/>
                <w:lang w:val="en-US"/>
              </w:rPr>
              <w:t>G4</w:t>
            </w:r>
            <w:r w:rsidR="0083212E" w:rsidRPr="0006604F">
              <w:rPr>
                <w:rFonts w:cs="Arial"/>
                <w:b/>
                <w:szCs w:val="22"/>
                <w:lang w:val="en-US"/>
              </w:rPr>
              <w:t>S</w:t>
            </w:r>
            <w:r w:rsidRPr="0006604F">
              <w:rPr>
                <w:rFonts w:cs="Arial"/>
                <w:b/>
                <w:szCs w:val="22"/>
                <w:lang w:val="en-US"/>
              </w:rPr>
              <w:t xml:space="preserve"> CASH SOLUTIONS SA (PTY) LTD</w:t>
            </w:r>
          </w:p>
        </w:tc>
        <w:tc>
          <w:tcPr>
            <w:tcW w:w="2246" w:type="dxa"/>
          </w:tcPr>
          <w:p w14:paraId="2A989CFA" w14:textId="37DE3EED" w:rsidR="002104BF" w:rsidRPr="0006604F" w:rsidRDefault="007A1D60" w:rsidP="00C74E97">
            <w:pPr>
              <w:spacing w:line="360" w:lineRule="auto"/>
              <w:rPr>
                <w:rFonts w:cs="Arial"/>
                <w:szCs w:val="22"/>
              </w:rPr>
            </w:pPr>
            <w:r w:rsidRPr="0006604F">
              <w:rPr>
                <w:rFonts w:cs="Arial"/>
                <w:szCs w:val="22"/>
              </w:rPr>
              <w:t>Defendant</w:t>
            </w:r>
          </w:p>
        </w:tc>
      </w:tr>
    </w:tbl>
    <w:p w14:paraId="4D632D47" w14:textId="70CCEB16" w:rsidR="00F9202F" w:rsidRPr="0006604F" w:rsidRDefault="00F9202F" w:rsidP="00C74E97">
      <w:pPr>
        <w:pBdr>
          <w:bottom w:val="single" w:sz="4" w:space="1" w:color="auto"/>
        </w:pBdr>
        <w:spacing w:line="360" w:lineRule="auto"/>
        <w:jc w:val="both"/>
        <w:rPr>
          <w:rFonts w:cs="Arial"/>
          <w:szCs w:val="22"/>
        </w:rPr>
      </w:pPr>
    </w:p>
    <w:p w14:paraId="64CFD117" w14:textId="77777777" w:rsidR="00CE6301" w:rsidRPr="0006604F" w:rsidRDefault="00CE6301" w:rsidP="00C74E97">
      <w:pPr>
        <w:pBdr>
          <w:bottom w:val="single" w:sz="4" w:space="1" w:color="auto"/>
        </w:pBdr>
        <w:spacing w:line="360" w:lineRule="auto"/>
        <w:jc w:val="both"/>
        <w:rPr>
          <w:rFonts w:cs="Arial"/>
          <w:szCs w:val="22"/>
        </w:rPr>
      </w:pPr>
    </w:p>
    <w:p w14:paraId="58DE5549" w14:textId="77777777" w:rsidR="006C43D7" w:rsidRPr="0006604F" w:rsidRDefault="006C43D7" w:rsidP="00C74E97">
      <w:pPr>
        <w:spacing w:line="360" w:lineRule="auto"/>
        <w:jc w:val="both"/>
        <w:rPr>
          <w:rFonts w:cs="Arial"/>
          <w:szCs w:val="22"/>
        </w:rPr>
      </w:pPr>
    </w:p>
    <w:p w14:paraId="647AB70C" w14:textId="77777777" w:rsidR="006C43D7" w:rsidRPr="0006604F" w:rsidRDefault="006C43D7" w:rsidP="00C74E97">
      <w:pPr>
        <w:keepNext/>
        <w:spacing w:line="360" w:lineRule="auto"/>
        <w:jc w:val="center"/>
        <w:outlineLvl w:val="1"/>
        <w:rPr>
          <w:rFonts w:cs="Arial"/>
          <w:b/>
          <w:bCs/>
          <w:szCs w:val="22"/>
        </w:rPr>
      </w:pPr>
      <w:r w:rsidRPr="0006604F">
        <w:rPr>
          <w:rFonts w:cs="Arial"/>
          <w:b/>
          <w:bCs/>
          <w:szCs w:val="22"/>
        </w:rPr>
        <w:t>JUDGMENT</w:t>
      </w:r>
    </w:p>
    <w:p w14:paraId="52CD25EB" w14:textId="77777777" w:rsidR="006C43D7" w:rsidRPr="0006604F" w:rsidRDefault="006C43D7" w:rsidP="00C74E97">
      <w:pPr>
        <w:pBdr>
          <w:bottom w:val="single" w:sz="4" w:space="1" w:color="auto"/>
        </w:pBdr>
        <w:spacing w:line="360" w:lineRule="auto"/>
        <w:jc w:val="both"/>
        <w:rPr>
          <w:rFonts w:cs="Arial"/>
          <w:szCs w:val="22"/>
        </w:rPr>
      </w:pPr>
    </w:p>
    <w:p w14:paraId="0CA76DA1" w14:textId="77777777" w:rsidR="00DC621D" w:rsidRPr="0006604F" w:rsidRDefault="00DC621D" w:rsidP="00C74E97">
      <w:pPr>
        <w:spacing w:line="360" w:lineRule="auto"/>
        <w:jc w:val="both"/>
        <w:rPr>
          <w:rFonts w:cs="Arial"/>
          <w:b/>
          <w:szCs w:val="22"/>
        </w:rPr>
      </w:pPr>
    </w:p>
    <w:p w14:paraId="5BD82EFE" w14:textId="0F8FBF70" w:rsidR="00BE6AB8" w:rsidRPr="0006604F" w:rsidRDefault="00C676F3" w:rsidP="00C74E97">
      <w:pPr>
        <w:spacing w:after="480" w:line="360" w:lineRule="auto"/>
        <w:jc w:val="both"/>
        <w:rPr>
          <w:rFonts w:cs="Arial"/>
          <w:b/>
          <w:szCs w:val="22"/>
        </w:rPr>
      </w:pPr>
      <w:r w:rsidRPr="0006604F">
        <w:rPr>
          <w:rFonts w:cs="Arial"/>
          <w:b/>
          <w:szCs w:val="22"/>
        </w:rPr>
        <w:t>MOORCROFT</w:t>
      </w:r>
      <w:r w:rsidR="006C43D7" w:rsidRPr="0006604F">
        <w:rPr>
          <w:rFonts w:cs="Arial"/>
          <w:b/>
          <w:szCs w:val="22"/>
        </w:rPr>
        <w:t xml:space="preserve"> AJ:</w:t>
      </w:r>
    </w:p>
    <w:p w14:paraId="09239A78" w14:textId="202EF25D" w:rsidR="00C460A0" w:rsidRPr="0006604F" w:rsidRDefault="00C460A0" w:rsidP="00C74E97">
      <w:pPr>
        <w:keepNext/>
        <w:spacing w:after="480" w:line="360" w:lineRule="auto"/>
        <w:jc w:val="both"/>
        <w:rPr>
          <w:rFonts w:cs="Arial"/>
          <w:bCs/>
          <w:i/>
          <w:iCs/>
          <w:szCs w:val="22"/>
          <w:u w:val="single"/>
        </w:rPr>
      </w:pPr>
      <w:r w:rsidRPr="0006604F">
        <w:rPr>
          <w:rFonts w:cs="Arial"/>
          <w:bCs/>
          <w:i/>
          <w:iCs/>
          <w:szCs w:val="22"/>
          <w:u w:val="single"/>
        </w:rPr>
        <w:lastRenderedPageBreak/>
        <w:t>Summary</w:t>
      </w:r>
    </w:p>
    <w:p w14:paraId="3545B748" w14:textId="6131F588" w:rsidR="006A7245" w:rsidRPr="0006604F" w:rsidRDefault="004D0C22" w:rsidP="00C74E97">
      <w:pPr>
        <w:keepNext/>
        <w:spacing w:after="480" w:line="360" w:lineRule="auto"/>
        <w:jc w:val="both"/>
        <w:rPr>
          <w:rFonts w:cs="Arial"/>
          <w:bCs/>
          <w:i/>
          <w:iCs/>
          <w:szCs w:val="22"/>
        </w:rPr>
      </w:pPr>
      <w:r w:rsidRPr="0006604F">
        <w:rPr>
          <w:rFonts w:cs="Arial"/>
          <w:bCs/>
          <w:i/>
          <w:iCs/>
          <w:szCs w:val="22"/>
        </w:rPr>
        <w:t>A loss causally connected to a contract and arising from the performance of the contract may give rise to a claim for contractual damages.</w:t>
      </w:r>
    </w:p>
    <w:p w14:paraId="11C1E65E" w14:textId="328CC947" w:rsidR="004D0C22" w:rsidRPr="0006604F" w:rsidRDefault="004D0C22" w:rsidP="00C74E97">
      <w:pPr>
        <w:keepNext/>
        <w:spacing w:after="480" w:line="360" w:lineRule="auto"/>
        <w:jc w:val="both"/>
        <w:rPr>
          <w:rFonts w:cs="Arial"/>
          <w:bCs/>
          <w:i/>
          <w:iCs/>
          <w:szCs w:val="22"/>
        </w:rPr>
      </w:pPr>
      <w:r w:rsidRPr="0006604F">
        <w:rPr>
          <w:rFonts w:cs="Arial"/>
          <w:bCs/>
          <w:i/>
          <w:iCs/>
          <w:szCs w:val="22"/>
        </w:rPr>
        <w:t xml:space="preserve">A loss causally connected to a contract </w:t>
      </w:r>
      <w:r w:rsidR="00321B4F" w:rsidRPr="0006604F">
        <w:rPr>
          <w:rFonts w:cs="Arial"/>
          <w:bCs/>
          <w:i/>
          <w:iCs/>
          <w:szCs w:val="22"/>
        </w:rPr>
        <w:t>but not</w:t>
      </w:r>
      <w:r w:rsidRPr="0006604F">
        <w:rPr>
          <w:rFonts w:cs="Arial"/>
          <w:bCs/>
          <w:i/>
          <w:iCs/>
          <w:szCs w:val="22"/>
        </w:rPr>
        <w:t xml:space="preserve"> arising from the performance of the contract </w:t>
      </w:r>
      <w:r w:rsidR="006A12F4">
        <w:rPr>
          <w:rFonts w:cs="Arial"/>
          <w:bCs/>
          <w:i/>
          <w:iCs/>
          <w:szCs w:val="22"/>
        </w:rPr>
        <w:t xml:space="preserve">but rather from additional or complementary duties </w:t>
      </w:r>
      <w:r w:rsidRPr="0006604F">
        <w:rPr>
          <w:rFonts w:cs="Arial"/>
          <w:bCs/>
          <w:i/>
          <w:iCs/>
          <w:szCs w:val="22"/>
        </w:rPr>
        <w:t>may give rise to a claim for delictual damages</w:t>
      </w:r>
      <w:r w:rsidR="00321B4F" w:rsidRPr="0006604F">
        <w:rPr>
          <w:rFonts w:cs="Arial"/>
          <w:bCs/>
          <w:i/>
          <w:iCs/>
          <w:szCs w:val="22"/>
        </w:rPr>
        <w:t>, subject to qualifications.</w:t>
      </w:r>
    </w:p>
    <w:p w14:paraId="49519421" w14:textId="77777777" w:rsidR="006A7245" w:rsidRPr="0006604F" w:rsidRDefault="006A7245" w:rsidP="00C74E97">
      <w:pPr>
        <w:keepNext/>
        <w:spacing w:after="480" w:line="360" w:lineRule="auto"/>
        <w:jc w:val="both"/>
        <w:rPr>
          <w:rFonts w:cs="Arial"/>
          <w:bCs/>
          <w:szCs w:val="22"/>
          <w:u w:val="single"/>
        </w:rPr>
      </w:pPr>
    </w:p>
    <w:p w14:paraId="18AFD427" w14:textId="4E951B9F" w:rsidR="00BE6AB8" w:rsidRPr="0006604F" w:rsidRDefault="00BE6AB8" w:rsidP="00C74E97">
      <w:pPr>
        <w:keepNext/>
        <w:spacing w:after="480" w:line="360" w:lineRule="auto"/>
        <w:jc w:val="both"/>
        <w:rPr>
          <w:rFonts w:cs="Arial"/>
          <w:bCs/>
          <w:szCs w:val="22"/>
          <w:u w:val="single"/>
        </w:rPr>
      </w:pPr>
      <w:r w:rsidRPr="0006604F">
        <w:rPr>
          <w:rFonts w:cs="Arial"/>
          <w:bCs/>
          <w:szCs w:val="22"/>
          <w:u w:val="single"/>
        </w:rPr>
        <w:t>Order</w:t>
      </w:r>
    </w:p>
    <w:p w14:paraId="25A66E53" w14:textId="08AFAFD4" w:rsidR="00DC6EF8" w:rsidRPr="0006604F" w:rsidRDefault="003B4100" w:rsidP="00C74E97">
      <w:pPr>
        <w:numPr>
          <w:ilvl w:val="0"/>
          <w:numId w:val="1"/>
        </w:numPr>
        <w:spacing w:after="480" w:line="360" w:lineRule="auto"/>
        <w:jc w:val="both"/>
        <w:rPr>
          <w:rFonts w:cs="Arial"/>
          <w:bCs/>
          <w:szCs w:val="22"/>
        </w:rPr>
      </w:pPr>
      <w:r w:rsidRPr="0006604F">
        <w:rPr>
          <w:rFonts w:cs="Arial"/>
          <w:bCs/>
          <w:szCs w:val="22"/>
        </w:rPr>
        <w:t xml:space="preserve">In this </w:t>
      </w:r>
      <w:r w:rsidR="00B56906" w:rsidRPr="0006604F">
        <w:rPr>
          <w:rFonts w:cs="Arial"/>
          <w:bCs/>
          <w:szCs w:val="22"/>
        </w:rPr>
        <w:t xml:space="preserve">matter </w:t>
      </w:r>
      <w:r w:rsidR="00C460A0" w:rsidRPr="0006604F">
        <w:rPr>
          <w:rFonts w:cs="Arial"/>
          <w:bCs/>
          <w:szCs w:val="22"/>
        </w:rPr>
        <w:t>I ma</w:t>
      </w:r>
      <w:r w:rsidR="00DF5291" w:rsidRPr="0006604F">
        <w:rPr>
          <w:rFonts w:cs="Arial"/>
          <w:bCs/>
          <w:szCs w:val="22"/>
        </w:rPr>
        <w:t>k</w:t>
      </w:r>
      <w:r w:rsidR="00DC6EF8" w:rsidRPr="0006604F">
        <w:rPr>
          <w:rFonts w:cs="Arial"/>
          <w:bCs/>
          <w:szCs w:val="22"/>
        </w:rPr>
        <w:t>e</w:t>
      </w:r>
      <w:r w:rsidR="00C460A0" w:rsidRPr="0006604F">
        <w:rPr>
          <w:rFonts w:cs="Arial"/>
          <w:bCs/>
          <w:szCs w:val="22"/>
        </w:rPr>
        <w:t xml:space="preserve"> the following order:</w:t>
      </w:r>
    </w:p>
    <w:p w14:paraId="4B10F575" w14:textId="6E49C006" w:rsidR="006A7245" w:rsidRPr="0006604F" w:rsidRDefault="00B71A55" w:rsidP="00B71A55">
      <w:pPr>
        <w:pStyle w:val="ListParagraph"/>
        <w:numPr>
          <w:ilvl w:val="0"/>
          <w:numId w:val="13"/>
        </w:numPr>
        <w:spacing w:before="120" w:after="120" w:line="360" w:lineRule="auto"/>
        <w:contextualSpacing w:val="0"/>
        <w:jc w:val="both"/>
        <w:rPr>
          <w:rFonts w:cs="Arial"/>
          <w:i/>
          <w:iCs/>
          <w:szCs w:val="22"/>
        </w:rPr>
      </w:pPr>
      <w:r w:rsidRPr="0006604F">
        <w:rPr>
          <w:rFonts w:cs="Arial"/>
          <w:i/>
          <w:iCs/>
          <w:szCs w:val="22"/>
        </w:rPr>
        <w:t xml:space="preserve">I declare that the defendant can not be held delictually liable to the plaintiff in respect of the services that were performed </w:t>
      </w:r>
      <w:r w:rsidRPr="0006604F">
        <w:rPr>
          <w:rFonts w:cs="Arial"/>
          <w:bCs/>
          <w:i/>
          <w:iCs/>
          <w:szCs w:val="22"/>
        </w:rPr>
        <w:t>pursuant to the contract between the parties, as pleaded in paragraphs 10.3 to 17 of the plaintiff’s particulars of claim; paragraphs 10 to 17 of the defendant’s plea; and paragraph 4.2, 5.12 and 10 of the plaintiff’s replication</w:t>
      </w:r>
    </w:p>
    <w:p w14:paraId="3685284A" w14:textId="5BD46F0B" w:rsidR="006A7245" w:rsidRPr="0006604F" w:rsidRDefault="00B71A55" w:rsidP="00B71A55">
      <w:pPr>
        <w:pStyle w:val="ListParagraph"/>
        <w:numPr>
          <w:ilvl w:val="0"/>
          <w:numId w:val="13"/>
        </w:numPr>
        <w:spacing w:before="120" w:after="120" w:line="360" w:lineRule="auto"/>
        <w:contextualSpacing w:val="0"/>
        <w:jc w:val="both"/>
        <w:rPr>
          <w:rFonts w:cs="Arial"/>
          <w:i/>
          <w:iCs/>
          <w:szCs w:val="22"/>
        </w:rPr>
      </w:pPr>
      <w:r w:rsidRPr="0006604F">
        <w:rPr>
          <w:rFonts w:cs="Arial"/>
          <w:i/>
          <w:iCs/>
          <w:szCs w:val="22"/>
        </w:rPr>
        <w:t>The action and the issue separated in terms of paragraph 1.2 of the order of 23 May 2023 are both postponed sine die;</w:t>
      </w:r>
    </w:p>
    <w:p w14:paraId="64BC66E9" w14:textId="578E1E41" w:rsidR="00854139" w:rsidRPr="0006604F" w:rsidRDefault="00854139" w:rsidP="00B71A55">
      <w:pPr>
        <w:pStyle w:val="ListParagraph"/>
        <w:numPr>
          <w:ilvl w:val="0"/>
          <w:numId w:val="13"/>
        </w:numPr>
        <w:spacing w:before="120" w:after="120" w:line="360" w:lineRule="auto"/>
        <w:contextualSpacing w:val="0"/>
        <w:jc w:val="both"/>
        <w:rPr>
          <w:rFonts w:cs="Arial"/>
          <w:i/>
          <w:iCs/>
          <w:szCs w:val="22"/>
        </w:rPr>
      </w:pPr>
      <w:r w:rsidRPr="0006604F">
        <w:rPr>
          <w:rFonts w:cs="Arial"/>
          <w:i/>
          <w:iCs/>
          <w:szCs w:val="22"/>
        </w:rPr>
        <w:t>The plaintiff</w:t>
      </w:r>
      <w:r w:rsidR="006A12F4">
        <w:rPr>
          <w:rFonts w:cs="Arial"/>
          <w:i/>
          <w:iCs/>
          <w:szCs w:val="22"/>
        </w:rPr>
        <w:t xml:space="preserve"> shall, if so advised,</w:t>
      </w:r>
      <w:r w:rsidRPr="0006604F">
        <w:rPr>
          <w:rFonts w:cs="Arial"/>
          <w:i/>
          <w:iCs/>
          <w:szCs w:val="22"/>
        </w:rPr>
        <w:t xml:space="preserve"> to apply for leave to amend the particulars of claim in terms of Rule 28 within fifteen days of this order.</w:t>
      </w:r>
    </w:p>
    <w:p w14:paraId="757B03C8" w14:textId="7D59AD32" w:rsidR="006A7245" w:rsidRPr="0006604F" w:rsidRDefault="00B71A55" w:rsidP="00B71A55">
      <w:pPr>
        <w:pStyle w:val="ListParagraph"/>
        <w:numPr>
          <w:ilvl w:val="0"/>
          <w:numId w:val="13"/>
        </w:numPr>
        <w:spacing w:before="120" w:after="120" w:line="360" w:lineRule="auto"/>
        <w:contextualSpacing w:val="0"/>
        <w:jc w:val="both"/>
        <w:rPr>
          <w:rFonts w:cs="Arial"/>
          <w:i/>
          <w:iCs/>
          <w:szCs w:val="22"/>
        </w:rPr>
      </w:pPr>
      <w:r w:rsidRPr="0006604F">
        <w:rPr>
          <w:rFonts w:cs="Arial"/>
          <w:i/>
          <w:iCs/>
          <w:szCs w:val="22"/>
        </w:rPr>
        <w:t>T</w:t>
      </w:r>
      <w:r w:rsidR="00FF2021" w:rsidRPr="0006604F">
        <w:rPr>
          <w:rFonts w:cs="Arial"/>
          <w:i/>
          <w:iCs/>
          <w:szCs w:val="22"/>
        </w:rPr>
        <w:t xml:space="preserve">he plaintiff </w:t>
      </w:r>
      <w:r w:rsidRPr="0006604F">
        <w:rPr>
          <w:rFonts w:cs="Arial"/>
          <w:i/>
          <w:iCs/>
          <w:szCs w:val="22"/>
        </w:rPr>
        <w:t xml:space="preserve">is ordered </w:t>
      </w:r>
      <w:r w:rsidR="00FF2021" w:rsidRPr="0006604F">
        <w:rPr>
          <w:rFonts w:cs="Arial"/>
          <w:i/>
          <w:iCs/>
          <w:szCs w:val="22"/>
        </w:rPr>
        <w:t>to pay the defendant’s costs</w:t>
      </w:r>
      <w:r w:rsidR="006A12F4">
        <w:rPr>
          <w:rFonts w:cs="Arial"/>
          <w:i/>
          <w:iCs/>
          <w:szCs w:val="22"/>
        </w:rPr>
        <w:t xml:space="preserve"> to date</w:t>
      </w:r>
      <w:r w:rsidR="00FF2021" w:rsidRPr="0006604F">
        <w:rPr>
          <w:rFonts w:cs="Arial"/>
          <w:i/>
          <w:iCs/>
          <w:szCs w:val="22"/>
        </w:rPr>
        <w:t>, including the reserved costs of the application for separation instituted on 21 October 2022</w:t>
      </w:r>
      <w:r w:rsidRPr="0006604F">
        <w:rPr>
          <w:rFonts w:cs="Arial"/>
          <w:i/>
          <w:iCs/>
          <w:szCs w:val="22"/>
        </w:rPr>
        <w:t xml:space="preserve"> and in terms of which the order of 23 May 2023 was granted.</w:t>
      </w:r>
    </w:p>
    <w:p w14:paraId="5493FAA1" w14:textId="77777777" w:rsidR="00B16F69" w:rsidRPr="0006604F" w:rsidRDefault="00B16F69" w:rsidP="00C74E97">
      <w:pPr>
        <w:spacing w:before="120" w:after="120" w:line="360" w:lineRule="auto"/>
        <w:rPr>
          <w:rFonts w:cs="Arial"/>
          <w:i/>
          <w:iCs/>
          <w:szCs w:val="22"/>
        </w:rPr>
      </w:pPr>
    </w:p>
    <w:p w14:paraId="08540072" w14:textId="67AF2A53" w:rsidR="00C9310B" w:rsidRPr="0006604F" w:rsidRDefault="00573FF9" w:rsidP="00C74E97">
      <w:pPr>
        <w:pStyle w:val="ListParagraph"/>
        <w:widowControl w:val="0"/>
        <w:numPr>
          <w:ilvl w:val="0"/>
          <w:numId w:val="1"/>
        </w:numPr>
        <w:spacing w:before="480" w:after="480" w:line="360" w:lineRule="auto"/>
        <w:contextualSpacing w:val="0"/>
        <w:jc w:val="both"/>
        <w:rPr>
          <w:rFonts w:cs="Arial"/>
          <w:bCs/>
          <w:szCs w:val="22"/>
          <w:u w:val="single"/>
        </w:rPr>
      </w:pPr>
      <w:r w:rsidRPr="0006604F">
        <w:rPr>
          <w:rFonts w:cs="Arial"/>
          <w:bCs/>
          <w:szCs w:val="22"/>
        </w:rPr>
        <w:t xml:space="preserve">The reasons for the order </w:t>
      </w:r>
      <w:r w:rsidR="00A63709" w:rsidRPr="0006604F">
        <w:rPr>
          <w:rFonts w:cs="Arial"/>
          <w:bCs/>
          <w:szCs w:val="22"/>
        </w:rPr>
        <w:t>follow</w:t>
      </w:r>
      <w:r w:rsidRPr="0006604F">
        <w:rPr>
          <w:rFonts w:cs="Arial"/>
          <w:bCs/>
          <w:szCs w:val="22"/>
        </w:rPr>
        <w:t xml:space="preserve"> below.</w:t>
      </w:r>
    </w:p>
    <w:p w14:paraId="3658C913" w14:textId="73DC7682" w:rsidR="00573FF9" w:rsidRPr="0006604F" w:rsidRDefault="00D9086C" w:rsidP="00C74E97">
      <w:pPr>
        <w:keepNext/>
        <w:widowControl w:val="0"/>
        <w:spacing w:before="480" w:after="480" w:line="360" w:lineRule="auto"/>
        <w:jc w:val="both"/>
        <w:rPr>
          <w:rFonts w:cs="Arial"/>
          <w:bCs/>
          <w:szCs w:val="22"/>
          <w:u w:val="single"/>
        </w:rPr>
      </w:pPr>
      <w:r w:rsidRPr="0006604F">
        <w:rPr>
          <w:rFonts w:cs="Arial"/>
          <w:bCs/>
          <w:szCs w:val="22"/>
          <w:u w:val="single"/>
        </w:rPr>
        <w:lastRenderedPageBreak/>
        <w:t>Introduction</w:t>
      </w:r>
    </w:p>
    <w:p w14:paraId="5EA4D2D0" w14:textId="61B4B81E" w:rsidR="00FF2021" w:rsidRPr="0006604F" w:rsidRDefault="00FF2021" w:rsidP="00C74E97">
      <w:pPr>
        <w:widowControl w:val="0"/>
        <w:numPr>
          <w:ilvl w:val="0"/>
          <w:numId w:val="1"/>
        </w:numPr>
        <w:spacing w:before="480" w:after="480" w:line="360" w:lineRule="auto"/>
        <w:jc w:val="both"/>
        <w:rPr>
          <w:rFonts w:cs="Arial"/>
          <w:bCs/>
          <w:szCs w:val="22"/>
        </w:rPr>
      </w:pPr>
      <w:r w:rsidRPr="0006604F">
        <w:rPr>
          <w:rFonts w:cs="Arial"/>
          <w:bCs/>
          <w:szCs w:val="22"/>
        </w:rPr>
        <w:t>Devland instituted a claim against G4S for money lost during an cash-in-transit heist</w:t>
      </w:r>
      <w:r w:rsidR="006A12F4">
        <w:rPr>
          <w:rFonts w:cs="Arial"/>
          <w:bCs/>
          <w:szCs w:val="22"/>
        </w:rPr>
        <w:t xml:space="preserve"> that took place</w:t>
      </w:r>
      <w:r w:rsidRPr="0006604F">
        <w:rPr>
          <w:rFonts w:cs="Arial"/>
          <w:bCs/>
          <w:szCs w:val="22"/>
        </w:rPr>
        <w:t xml:space="preserve"> at a time when the cash was in the custody of G4S.</w:t>
      </w:r>
    </w:p>
    <w:p w14:paraId="51210F26" w14:textId="7CFF6D17" w:rsidR="00FF2021" w:rsidRPr="0006604F" w:rsidRDefault="00FF2021" w:rsidP="00FF2021">
      <w:pPr>
        <w:widowControl w:val="0"/>
        <w:numPr>
          <w:ilvl w:val="0"/>
          <w:numId w:val="1"/>
        </w:numPr>
        <w:spacing w:before="480" w:after="480" w:line="360" w:lineRule="auto"/>
        <w:jc w:val="both"/>
        <w:rPr>
          <w:rFonts w:cs="Arial"/>
          <w:bCs/>
          <w:szCs w:val="22"/>
        </w:rPr>
      </w:pPr>
      <w:r w:rsidRPr="0006604F">
        <w:rPr>
          <w:rFonts w:cs="Arial"/>
          <w:bCs/>
          <w:szCs w:val="22"/>
        </w:rPr>
        <w:t xml:space="preserve">On 23 May 2023 </w:t>
      </w:r>
      <w:r w:rsidR="006A12F4">
        <w:rPr>
          <w:rFonts w:cs="Arial"/>
          <w:bCs/>
          <w:szCs w:val="22"/>
        </w:rPr>
        <w:t>Coppin J</w:t>
      </w:r>
      <w:r w:rsidRPr="0006604F">
        <w:rPr>
          <w:rFonts w:cs="Arial"/>
          <w:bCs/>
          <w:szCs w:val="22"/>
        </w:rPr>
        <w:t xml:space="preserve"> order</w:t>
      </w:r>
      <w:r w:rsidR="006A12F4">
        <w:rPr>
          <w:rFonts w:cs="Arial"/>
          <w:bCs/>
          <w:szCs w:val="22"/>
        </w:rPr>
        <w:t>ed</w:t>
      </w:r>
      <w:r w:rsidRPr="0006604F">
        <w:rPr>
          <w:rFonts w:cs="Arial"/>
          <w:bCs/>
          <w:szCs w:val="22"/>
        </w:rPr>
        <w:t xml:space="preserve"> that two questions arising from the pleadings be separated and decided before the remaining issues in dispute. </w:t>
      </w:r>
    </w:p>
    <w:p w14:paraId="7AD937B3" w14:textId="549D82D5" w:rsidR="00FF2021" w:rsidRPr="0006604F" w:rsidRDefault="00FF2021" w:rsidP="00B302C7">
      <w:pPr>
        <w:widowControl w:val="0"/>
        <w:numPr>
          <w:ilvl w:val="0"/>
          <w:numId w:val="1"/>
        </w:numPr>
        <w:spacing w:before="480" w:after="480" w:line="360" w:lineRule="auto"/>
        <w:jc w:val="both"/>
        <w:rPr>
          <w:rFonts w:cs="Arial"/>
          <w:bCs/>
          <w:i/>
          <w:iCs/>
          <w:szCs w:val="22"/>
        </w:rPr>
      </w:pPr>
      <w:r w:rsidRPr="0006604F">
        <w:rPr>
          <w:rFonts w:cs="Arial"/>
          <w:bCs/>
          <w:szCs w:val="22"/>
        </w:rPr>
        <w:t xml:space="preserve">These </w:t>
      </w:r>
      <w:r w:rsidR="006A12F4">
        <w:rPr>
          <w:rFonts w:cs="Arial"/>
          <w:bCs/>
          <w:szCs w:val="22"/>
        </w:rPr>
        <w:t>questions</w:t>
      </w:r>
      <w:r w:rsidRPr="0006604F">
        <w:rPr>
          <w:rFonts w:cs="Arial"/>
          <w:bCs/>
          <w:szCs w:val="22"/>
        </w:rPr>
        <w:t xml:space="preserve"> are whether:</w:t>
      </w:r>
    </w:p>
    <w:p w14:paraId="7A3AC53C" w14:textId="1E588F28" w:rsidR="00FF2021" w:rsidRPr="0006604F" w:rsidRDefault="00FF2021" w:rsidP="00B302C7">
      <w:pPr>
        <w:widowControl w:val="0"/>
        <w:spacing w:before="480" w:after="240" w:line="360" w:lineRule="auto"/>
        <w:ind w:left="567" w:hanging="567"/>
        <w:jc w:val="both"/>
        <w:rPr>
          <w:rFonts w:cs="Arial"/>
          <w:bCs/>
          <w:i/>
          <w:iCs/>
          <w:szCs w:val="22"/>
        </w:rPr>
      </w:pPr>
      <w:r w:rsidRPr="0006604F">
        <w:rPr>
          <w:rFonts w:cs="Arial"/>
          <w:bCs/>
          <w:i/>
          <w:iCs/>
          <w:szCs w:val="22"/>
        </w:rPr>
        <w:t>“1.1</w:t>
      </w:r>
      <w:r w:rsidRPr="0006604F">
        <w:rPr>
          <w:rFonts w:cs="Arial"/>
          <w:bCs/>
          <w:i/>
          <w:iCs/>
          <w:szCs w:val="22"/>
        </w:rPr>
        <w:tab/>
        <w:t xml:space="preserve">The Applicant/Defendant can be held delictually liable to the Respondent/Plaintiff in respect of the services that were performed </w:t>
      </w:r>
      <w:bookmarkStart w:id="1" w:name="_Hlk139176234"/>
      <w:r w:rsidRPr="0006604F">
        <w:rPr>
          <w:rFonts w:cs="Arial"/>
          <w:bCs/>
          <w:i/>
          <w:iCs/>
          <w:szCs w:val="22"/>
        </w:rPr>
        <w:t>pursuant to a contract between the parties, as pleaded in paragraphs 10.3 to 17 of the Respondent/Plaintiff’s Particulars of Claim; paragraphs 10 to 17 of the Applicant/Defendant’s plea; and paragraph 4.2, 5.12 and 10 of the Respondent/Applicant’s</w:t>
      </w:r>
      <w:r w:rsidR="00B71A55" w:rsidRPr="0006604F">
        <w:rPr>
          <w:rStyle w:val="FootnoteReference"/>
          <w:rFonts w:cs="Arial"/>
          <w:bCs/>
          <w:i/>
          <w:iCs/>
          <w:szCs w:val="22"/>
        </w:rPr>
        <w:footnoteReference w:id="1"/>
      </w:r>
      <w:r w:rsidRPr="0006604F">
        <w:rPr>
          <w:rFonts w:cs="Arial"/>
          <w:bCs/>
          <w:i/>
          <w:iCs/>
          <w:szCs w:val="22"/>
        </w:rPr>
        <w:t xml:space="preserve"> replication</w:t>
      </w:r>
      <w:bookmarkEnd w:id="1"/>
      <w:r w:rsidRPr="0006604F">
        <w:rPr>
          <w:rFonts w:cs="Arial"/>
          <w:bCs/>
          <w:i/>
          <w:iCs/>
          <w:szCs w:val="22"/>
        </w:rPr>
        <w:t>; and</w:t>
      </w:r>
    </w:p>
    <w:p w14:paraId="3BAD8EB3" w14:textId="77777777" w:rsidR="00FF2021" w:rsidRPr="0006604F" w:rsidRDefault="00FF2021" w:rsidP="00B302C7">
      <w:pPr>
        <w:widowControl w:val="0"/>
        <w:spacing w:before="240" w:after="480" w:line="360" w:lineRule="auto"/>
        <w:ind w:left="567" w:hanging="567"/>
        <w:jc w:val="both"/>
        <w:rPr>
          <w:rFonts w:cs="Arial"/>
          <w:bCs/>
          <w:i/>
          <w:iCs/>
          <w:szCs w:val="22"/>
        </w:rPr>
      </w:pPr>
      <w:r w:rsidRPr="0006604F">
        <w:rPr>
          <w:rFonts w:cs="Arial"/>
          <w:bCs/>
          <w:i/>
          <w:iCs/>
          <w:szCs w:val="22"/>
        </w:rPr>
        <w:t>1.2</w:t>
      </w:r>
      <w:r w:rsidRPr="0006604F">
        <w:rPr>
          <w:rFonts w:cs="Arial"/>
          <w:bCs/>
          <w:i/>
          <w:iCs/>
          <w:szCs w:val="22"/>
        </w:rPr>
        <w:tab/>
        <w:t>The Applicant/Defendant’s conduct would constitute reckless, grossly negligent and negligent conduct, and whether, in the circumstances, the Respondent/Plaintiff’s claim is subject to the limitation of liability clause contained in clause 9.1 of the contract between the parties, as pleaded in paragraphs 5.4, 6.5 and 11 of the Respondent/Plaintiff’s Particulars of claim; and paragraphs 4.2.1, 6.3.2 and 11 of the Applicant/Defendant’s plea.”</w:t>
      </w:r>
    </w:p>
    <w:p w14:paraId="0C484544" w14:textId="61EDABFB" w:rsidR="00FF2021" w:rsidRPr="0006604F" w:rsidRDefault="00FF2021" w:rsidP="00FF2021">
      <w:pPr>
        <w:widowControl w:val="0"/>
        <w:numPr>
          <w:ilvl w:val="0"/>
          <w:numId w:val="1"/>
        </w:numPr>
        <w:spacing w:before="480" w:after="480" w:line="360" w:lineRule="auto"/>
        <w:jc w:val="both"/>
        <w:rPr>
          <w:rFonts w:cs="Arial"/>
          <w:bCs/>
          <w:szCs w:val="22"/>
        </w:rPr>
      </w:pPr>
      <w:r w:rsidRPr="0006604F">
        <w:rPr>
          <w:rFonts w:cs="Arial"/>
          <w:bCs/>
          <w:szCs w:val="22"/>
        </w:rPr>
        <w:t xml:space="preserve">The matter was set down for trial </w:t>
      </w:r>
      <w:r w:rsidR="002168EA" w:rsidRPr="0006604F">
        <w:rPr>
          <w:rFonts w:cs="Arial"/>
          <w:bCs/>
          <w:szCs w:val="22"/>
        </w:rPr>
        <w:t>in terms of</w:t>
      </w:r>
      <w:r w:rsidRPr="0006604F">
        <w:rPr>
          <w:rFonts w:cs="Arial"/>
          <w:bCs/>
          <w:szCs w:val="22"/>
        </w:rPr>
        <w:t xml:space="preserve"> Rule 33(4) but before the hearing date the parties agreed that </w:t>
      </w:r>
      <w:r w:rsidR="00715674" w:rsidRPr="0006604F">
        <w:rPr>
          <w:rFonts w:cs="Arial"/>
          <w:bCs/>
          <w:szCs w:val="22"/>
        </w:rPr>
        <w:t xml:space="preserve">subject to the consent of the Court, which is hereby granted, </w:t>
      </w:r>
      <w:r w:rsidRPr="0006604F">
        <w:rPr>
          <w:rFonts w:cs="Arial"/>
          <w:bCs/>
          <w:szCs w:val="22"/>
        </w:rPr>
        <w:t>the question in paragraph 1.2 above be reserved for later deliberation</w:t>
      </w:r>
      <w:r w:rsidR="00715674" w:rsidRPr="0006604F">
        <w:rPr>
          <w:rFonts w:cs="Arial"/>
          <w:bCs/>
          <w:szCs w:val="22"/>
        </w:rPr>
        <w:t xml:space="preserve"> to the extent necessary,</w:t>
      </w:r>
      <w:r w:rsidRPr="0006604F">
        <w:rPr>
          <w:rFonts w:cs="Arial"/>
          <w:bCs/>
          <w:szCs w:val="22"/>
        </w:rPr>
        <w:t xml:space="preserve"> and that the Court now deal only with the question in paragraph 1.1.</w:t>
      </w:r>
    </w:p>
    <w:p w14:paraId="14490FE4" w14:textId="77777777" w:rsidR="00715674" w:rsidRPr="0006604F" w:rsidRDefault="00715674" w:rsidP="00715674">
      <w:pPr>
        <w:widowControl w:val="0"/>
        <w:spacing w:before="480" w:after="480" w:line="360" w:lineRule="auto"/>
        <w:jc w:val="both"/>
        <w:rPr>
          <w:rFonts w:cs="Arial"/>
          <w:bCs/>
          <w:szCs w:val="22"/>
          <w:u w:val="single"/>
        </w:rPr>
      </w:pPr>
    </w:p>
    <w:p w14:paraId="0BC66723" w14:textId="74344507" w:rsidR="00FF2021" w:rsidRPr="0006604F" w:rsidRDefault="00FF2021" w:rsidP="00321B4F">
      <w:pPr>
        <w:widowControl w:val="0"/>
        <w:spacing w:before="480" w:after="480" w:line="360" w:lineRule="auto"/>
        <w:jc w:val="both"/>
        <w:rPr>
          <w:rFonts w:cs="Arial"/>
          <w:bCs/>
          <w:szCs w:val="22"/>
          <w:u w:val="single"/>
        </w:rPr>
      </w:pPr>
      <w:r w:rsidRPr="0006604F">
        <w:rPr>
          <w:rFonts w:cs="Arial"/>
          <w:bCs/>
          <w:szCs w:val="22"/>
          <w:u w:val="single"/>
        </w:rPr>
        <w:t>The merits</w:t>
      </w:r>
    </w:p>
    <w:p w14:paraId="6AF1CCB7" w14:textId="7C54694F" w:rsidR="0083212E" w:rsidRPr="0006604F" w:rsidRDefault="00DC0AE6"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The parties entered into a written contract whereby </w:t>
      </w:r>
      <w:r w:rsidR="0083212E" w:rsidRPr="0006604F">
        <w:rPr>
          <w:rFonts w:cs="Arial"/>
          <w:bCs/>
          <w:szCs w:val="22"/>
        </w:rPr>
        <w:t>G4S</w:t>
      </w:r>
      <w:r w:rsidRPr="0006604F">
        <w:rPr>
          <w:rFonts w:cs="Arial"/>
          <w:bCs/>
          <w:szCs w:val="22"/>
        </w:rPr>
        <w:t xml:space="preserve"> would provide cash </w:t>
      </w:r>
      <w:r w:rsidRPr="0006604F">
        <w:rPr>
          <w:rFonts w:cs="Arial"/>
          <w:bCs/>
          <w:szCs w:val="22"/>
        </w:rPr>
        <w:lastRenderedPageBreak/>
        <w:t>management and security services</w:t>
      </w:r>
      <w:r w:rsidR="006A12F4">
        <w:rPr>
          <w:rFonts w:cs="Arial"/>
          <w:bCs/>
          <w:szCs w:val="22"/>
        </w:rPr>
        <w:t xml:space="preserve"> </w:t>
      </w:r>
      <w:r w:rsidR="006A12F4" w:rsidRPr="0006604F">
        <w:rPr>
          <w:rFonts w:cs="Arial"/>
          <w:bCs/>
          <w:szCs w:val="22"/>
        </w:rPr>
        <w:t>to Devland</w:t>
      </w:r>
      <w:r w:rsidR="006A12F4">
        <w:rPr>
          <w:rFonts w:cs="Arial"/>
          <w:bCs/>
          <w:szCs w:val="22"/>
        </w:rPr>
        <w:t>,</w:t>
      </w:r>
      <w:r w:rsidRPr="0006604F">
        <w:rPr>
          <w:rFonts w:cs="Arial"/>
          <w:bCs/>
          <w:szCs w:val="22"/>
        </w:rPr>
        <w:t xml:space="preserve"> more specifically the collection, storage and delivery of </w:t>
      </w:r>
      <w:r w:rsidR="0083212E" w:rsidRPr="0006604F">
        <w:rPr>
          <w:rFonts w:cs="Arial"/>
          <w:bCs/>
          <w:szCs w:val="22"/>
        </w:rPr>
        <w:t>money</w:t>
      </w:r>
      <w:r w:rsidRPr="0006604F">
        <w:rPr>
          <w:rFonts w:cs="Arial"/>
          <w:bCs/>
          <w:szCs w:val="22"/>
        </w:rPr>
        <w:t xml:space="preserve"> in accordance with </w:t>
      </w:r>
      <w:r w:rsidR="0083212E" w:rsidRPr="0006604F">
        <w:rPr>
          <w:rFonts w:cs="Arial"/>
          <w:bCs/>
          <w:szCs w:val="22"/>
        </w:rPr>
        <w:t>G4S</w:t>
      </w:r>
      <w:r w:rsidRPr="0006604F">
        <w:rPr>
          <w:rFonts w:cs="Arial"/>
          <w:bCs/>
          <w:szCs w:val="22"/>
        </w:rPr>
        <w:t xml:space="preserve">’s operating methods. </w:t>
      </w:r>
    </w:p>
    <w:p w14:paraId="132C10DA" w14:textId="394BF21A" w:rsidR="0083212E" w:rsidRPr="0006604F" w:rsidRDefault="0083212E" w:rsidP="0083212E">
      <w:pPr>
        <w:widowControl w:val="0"/>
        <w:numPr>
          <w:ilvl w:val="0"/>
          <w:numId w:val="1"/>
        </w:numPr>
        <w:spacing w:before="480" w:after="480" w:line="360" w:lineRule="auto"/>
        <w:jc w:val="both"/>
        <w:rPr>
          <w:rFonts w:cs="Arial"/>
          <w:bCs/>
          <w:szCs w:val="22"/>
        </w:rPr>
      </w:pPr>
      <w:r w:rsidRPr="0006604F">
        <w:rPr>
          <w:rFonts w:cs="Arial"/>
          <w:bCs/>
          <w:szCs w:val="22"/>
        </w:rPr>
        <w:t>On 9 September 2019 G4S made two collections</w:t>
      </w:r>
      <w:r w:rsidR="00F72E34" w:rsidRPr="0006604F">
        <w:rPr>
          <w:rFonts w:cs="Arial"/>
          <w:bCs/>
          <w:szCs w:val="22"/>
        </w:rPr>
        <w:t xml:space="preserve"> of</w:t>
      </w:r>
      <w:r w:rsidRPr="0006604F">
        <w:rPr>
          <w:rFonts w:cs="Arial"/>
          <w:bCs/>
          <w:szCs w:val="22"/>
        </w:rPr>
        <w:t xml:space="preserve"> </w:t>
      </w:r>
      <w:r w:rsidR="00F72E34" w:rsidRPr="0006604F">
        <w:rPr>
          <w:rFonts w:cs="Arial"/>
          <w:bCs/>
          <w:szCs w:val="22"/>
        </w:rPr>
        <w:t xml:space="preserve">cash </w:t>
      </w:r>
      <w:r w:rsidRPr="0006604F">
        <w:rPr>
          <w:rFonts w:cs="Arial"/>
          <w:bCs/>
          <w:szCs w:val="22"/>
        </w:rPr>
        <w:t xml:space="preserve">from Devland’s premises. The first occurred before noon and the second in the afternoon. The two cash collections were both in G4S’s armed vehicle when it was robbed </w:t>
      </w:r>
      <w:r w:rsidR="00F72E34" w:rsidRPr="0006604F">
        <w:rPr>
          <w:rFonts w:cs="Arial"/>
          <w:bCs/>
          <w:szCs w:val="22"/>
        </w:rPr>
        <w:t>later on the same afternoon</w:t>
      </w:r>
      <w:r w:rsidRPr="0006604F">
        <w:rPr>
          <w:rFonts w:cs="Arial"/>
          <w:bCs/>
          <w:szCs w:val="22"/>
        </w:rPr>
        <w:t>.</w:t>
      </w:r>
    </w:p>
    <w:p w14:paraId="400BF707" w14:textId="1E844C9A" w:rsidR="00EC60D5" w:rsidRPr="0006604F" w:rsidRDefault="0083212E"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Devland’s claim is for the amount of the first collection. It alleges that G4S’s failure to </w:t>
      </w:r>
      <w:r w:rsidR="00B868F6" w:rsidRPr="0006604F">
        <w:rPr>
          <w:rFonts w:cs="Arial"/>
          <w:bCs/>
          <w:szCs w:val="22"/>
        </w:rPr>
        <w:t xml:space="preserve">timeously </w:t>
      </w:r>
      <w:r w:rsidRPr="0006604F">
        <w:rPr>
          <w:rFonts w:cs="Arial"/>
          <w:bCs/>
          <w:szCs w:val="22"/>
        </w:rPr>
        <w:t xml:space="preserve">deliver the first collection to G4S’s branch office at Crown Mines or alternatively deposit the first collection into Devland’s </w:t>
      </w:r>
      <w:r w:rsidR="007410D0" w:rsidRPr="0006604F">
        <w:rPr>
          <w:rFonts w:cs="Arial"/>
          <w:bCs/>
          <w:szCs w:val="22"/>
        </w:rPr>
        <w:t xml:space="preserve">two nominated </w:t>
      </w:r>
      <w:r w:rsidRPr="0006604F">
        <w:rPr>
          <w:rFonts w:cs="Arial"/>
          <w:bCs/>
          <w:szCs w:val="22"/>
        </w:rPr>
        <w:t>bank account</w:t>
      </w:r>
      <w:r w:rsidR="007410D0" w:rsidRPr="0006604F">
        <w:rPr>
          <w:rFonts w:cs="Arial"/>
          <w:bCs/>
          <w:szCs w:val="22"/>
        </w:rPr>
        <w:t>s before it could be robbed</w:t>
      </w:r>
      <w:r w:rsidR="00F72E34" w:rsidRPr="0006604F">
        <w:rPr>
          <w:rFonts w:cs="Arial"/>
          <w:bCs/>
          <w:szCs w:val="22"/>
        </w:rPr>
        <w:t xml:space="preserve"> was wrongful and negligent,</w:t>
      </w:r>
      <w:r w:rsidR="007410D0" w:rsidRPr="0006604F">
        <w:rPr>
          <w:rFonts w:cs="Arial"/>
          <w:bCs/>
          <w:szCs w:val="22"/>
        </w:rPr>
        <w:t xml:space="preserve"> and in breach of </w:t>
      </w:r>
      <w:r w:rsidR="002168EA" w:rsidRPr="0006604F">
        <w:rPr>
          <w:rFonts w:cs="Arial"/>
          <w:bCs/>
          <w:szCs w:val="22"/>
        </w:rPr>
        <w:t>a</w:t>
      </w:r>
      <w:r w:rsidR="007410D0" w:rsidRPr="0006604F">
        <w:rPr>
          <w:rFonts w:cs="Arial"/>
          <w:bCs/>
          <w:szCs w:val="22"/>
        </w:rPr>
        <w:t xml:space="preserve"> duty of care,</w:t>
      </w:r>
      <w:r w:rsidR="001D72FA">
        <w:rPr>
          <w:rStyle w:val="FootnoteReference"/>
          <w:rFonts w:cs="Arial"/>
          <w:bCs/>
          <w:szCs w:val="22"/>
        </w:rPr>
        <w:footnoteReference w:id="2"/>
      </w:r>
      <w:r w:rsidR="00F72E34" w:rsidRPr="0006604F">
        <w:rPr>
          <w:rFonts w:cs="Arial"/>
          <w:bCs/>
          <w:szCs w:val="22"/>
        </w:rPr>
        <w:t xml:space="preserve"> and therefore renders G4S liable to Devland in delict for the loss of the money in accordance with the </w:t>
      </w:r>
      <w:r w:rsidR="00F72E34" w:rsidRPr="0006604F">
        <w:rPr>
          <w:rFonts w:cs="Arial"/>
          <w:bCs/>
          <w:i/>
          <w:iCs/>
          <w:szCs w:val="22"/>
        </w:rPr>
        <w:t>actio lex Aquilia</w:t>
      </w:r>
      <w:r w:rsidR="00F72E34" w:rsidRPr="0006604F">
        <w:rPr>
          <w:rFonts w:cs="Arial"/>
          <w:bCs/>
          <w:szCs w:val="22"/>
        </w:rPr>
        <w:t>. No claim is made</w:t>
      </w:r>
      <w:r w:rsidR="00EC60D5" w:rsidRPr="0006604F">
        <w:rPr>
          <w:rFonts w:cs="Arial"/>
          <w:bCs/>
          <w:szCs w:val="22"/>
        </w:rPr>
        <w:t xml:space="preserve"> (in contract or</w:t>
      </w:r>
      <w:r w:rsidR="002168EA" w:rsidRPr="0006604F">
        <w:rPr>
          <w:rFonts w:cs="Arial"/>
          <w:bCs/>
          <w:szCs w:val="22"/>
        </w:rPr>
        <w:t xml:space="preserve"> in</w:t>
      </w:r>
      <w:r w:rsidR="00EC60D5" w:rsidRPr="0006604F">
        <w:rPr>
          <w:rFonts w:cs="Arial"/>
          <w:bCs/>
          <w:szCs w:val="22"/>
        </w:rPr>
        <w:t xml:space="preserve"> delict)</w:t>
      </w:r>
      <w:r w:rsidR="00F72E34" w:rsidRPr="0006604F">
        <w:rPr>
          <w:rFonts w:cs="Arial"/>
          <w:bCs/>
          <w:szCs w:val="22"/>
        </w:rPr>
        <w:t xml:space="preserve"> in respect of the loss of the second collection.</w:t>
      </w:r>
    </w:p>
    <w:p w14:paraId="60009A2E" w14:textId="02FAA842" w:rsidR="001D72FA" w:rsidRPr="0006604F" w:rsidRDefault="002168EA" w:rsidP="001D72FA">
      <w:pPr>
        <w:widowControl w:val="0"/>
        <w:numPr>
          <w:ilvl w:val="0"/>
          <w:numId w:val="1"/>
        </w:numPr>
        <w:spacing w:before="480" w:after="480" w:line="360" w:lineRule="auto"/>
        <w:jc w:val="both"/>
        <w:rPr>
          <w:rFonts w:cs="Arial"/>
          <w:bCs/>
          <w:szCs w:val="22"/>
        </w:rPr>
      </w:pPr>
      <w:r w:rsidRPr="0006604F">
        <w:rPr>
          <w:rFonts w:cs="Arial"/>
          <w:bCs/>
          <w:szCs w:val="22"/>
        </w:rPr>
        <w:t>T</w:t>
      </w:r>
      <w:r w:rsidR="00EC60D5" w:rsidRPr="0006604F">
        <w:rPr>
          <w:rFonts w:cs="Arial"/>
          <w:bCs/>
          <w:szCs w:val="22"/>
        </w:rPr>
        <w:t xml:space="preserve">he loss of both collections arose out of the performance of the contract. S4S’s staff went the Devland premises to collect cash twice on the same day. They did so in fulfilment of S4S’s contractual obligations. </w:t>
      </w:r>
      <w:r w:rsidR="001D72FA" w:rsidRPr="0006604F">
        <w:rPr>
          <w:rFonts w:cs="Arial"/>
          <w:bCs/>
          <w:szCs w:val="22"/>
        </w:rPr>
        <w:t>G4S’s duty was to collect money and then to safeguard the money until it was deposited. The robbery occurred after the collection of the money but before it could be deposited.</w:t>
      </w:r>
    </w:p>
    <w:p w14:paraId="3B9A7EB1" w14:textId="00DFA537" w:rsidR="00855D5D" w:rsidRPr="0006604F" w:rsidRDefault="00855D5D"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The delictual claim now pursued by Devland arose </w:t>
      </w:r>
      <w:r w:rsidR="001D72FA">
        <w:rPr>
          <w:rFonts w:cs="Arial"/>
          <w:bCs/>
          <w:szCs w:val="22"/>
        </w:rPr>
        <w:t xml:space="preserve">therefore </w:t>
      </w:r>
      <w:r w:rsidRPr="0006604F">
        <w:rPr>
          <w:rFonts w:cs="Arial"/>
          <w:bCs/>
          <w:szCs w:val="22"/>
        </w:rPr>
        <w:t>pursuant to and during the performance of G4S’s contractual obligations.</w:t>
      </w:r>
      <w:r w:rsidR="001D72FA" w:rsidRPr="001D72FA">
        <w:rPr>
          <w:rFonts w:cs="Arial"/>
          <w:bCs/>
          <w:szCs w:val="22"/>
        </w:rPr>
        <w:t xml:space="preserve"> </w:t>
      </w:r>
      <w:r w:rsidR="001D72FA" w:rsidRPr="0006604F">
        <w:rPr>
          <w:rFonts w:cs="Arial"/>
          <w:bCs/>
          <w:szCs w:val="22"/>
        </w:rPr>
        <w:t>I find that Devland’s loss occurred in the performance of the contract</w:t>
      </w:r>
      <w:r w:rsidR="001D72FA">
        <w:rPr>
          <w:rFonts w:cs="Arial"/>
          <w:bCs/>
          <w:szCs w:val="22"/>
        </w:rPr>
        <w:t xml:space="preserve"> and that</w:t>
      </w:r>
      <w:r w:rsidR="001D72FA" w:rsidRPr="0006604F">
        <w:rPr>
          <w:rFonts w:cs="Arial"/>
          <w:bCs/>
          <w:szCs w:val="22"/>
        </w:rPr>
        <w:t xml:space="preserve"> G4S can not be held liable in delict.</w:t>
      </w:r>
    </w:p>
    <w:p w14:paraId="5B3C2E22" w14:textId="5A342BE1" w:rsidR="00715674" w:rsidRPr="0006604F" w:rsidRDefault="00EC60D5"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If S4S were under a contractual obligation to deliver the </w:t>
      </w:r>
      <w:r w:rsidR="00B302C7" w:rsidRPr="0006604F">
        <w:rPr>
          <w:rFonts w:cs="Arial"/>
          <w:bCs/>
          <w:szCs w:val="22"/>
        </w:rPr>
        <w:t>c</w:t>
      </w:r>
      <w:r w:rsidRPr="0006604F">
        <w:rPr>
          <w:rFonts w:cs="Arial"/>
          <w:bCs/>
          <w:szCs w:val="22"/>
        </w:rPr>
        <w:t xml:space="preserve">ash before going back for the second collection and it failed in that duty, Devland’s potential claim would have been a claim for contractual damages. </w:t>
      </w:r>
      <w:r w:rsidR="001D72FA">
        <w:rPr>
          <w:rFonts w:cs="Arial"/>
          <w:bCs/>
          <w:szCs w:val="22"/>
        </w:rPr>
        <w:t>However, t</w:t>
      </w:r>
      <w:r w:rsidRPr="0006604F">
        <w:rPr>
          <w:rFonts w:cs="Arial"/>
          <w:bCs/>
          <w:szCs w:val="22"/>
        </w:rPr>
        <w:t xml:space="preserve">he fact that G4S failed to get the first collection to safety before going back for the second </w:t>
      </w:r>
      <w:r w:rsidR="00497189" w:rsidRPr="0006604F">
        <w:rPr>
          <w:rFonts w:cs="Arial"/>
          <w:bCs/>
          <w:szCs w:val="22"/>
        </w:rPr>
        <w:t>does not mean that it was no longer acting in fulfilment of the contract.</w:t>
      </w:r>
      <w:r w:rsidR="00FF0D0D" w:rsidRPr="0006604F">
        <w:rPr>
          <w:rFonts w:cs="Arial"/>
          <w:bCs/>
          <w:szCs w:val="22"/>
        </w:rPr>
        <w:t xml:space="preserve"> </w:t>
      </w:r>
    </w:p>
    <w:p w14:paraId="41BCED61" w14:textId="0148CA0F" w:rsidR="00170AEE" w:rsidRPr="0006604F" w:rsidRDefault="00170AEE" w:rsidP="00C74E97">
      <w:pPr>
        <w:widowControl w:val="0"/>
        <w:numPr>
          <w:ilvl w:val="0"/>
          <w:numId w:val="1"/>
        </w:numPr>
        <w:spacing w:before="480" w:after="480" w:line="360" w:lineRule="auto"/>
        <w:jc w:val="both"/>
        <w:rPr>
          <w:rFonts w:cs="Arial"/>
          <w:bCs/>
          <w:szCs w:val="22"/>
        </w:rPr>
      </w:pPr>
      <w:r w:rsidRPr="0006604F">
        <w:rPr>
          <w:rFonts w:cs="Arial"/>
          <w:bCs/>
          <w:szCs w:val="22"/>
        </w:rPr>
        <w:t>The concurrence of contractual and delictual remedies</w:t>
      </w:r>
      <w:r w:rsidR="00A8576B" w:rsidRPr="0006604F">
        <w:rPr>
          <w:rFonts w:cs="Arial"/>
          <w:bCs/>
          <w:szCs w:val="22"/>
        </w:rPr>
        <w:t xml:space="preserve"> has given rise to </w:t>
      </w:r>
      <w:r w:rsidR="00A8576B" w:rsidRPr="0006604F">
        <w:rPr>
          <w:rFonts w:cs="Arial"/>
          <w:bCs/>
          <w:szCs w:val="22"/>
        </w:rPr>
        <w:lastRenderedPageBreak/>
        <w:t>uncertainty.</w:t>
      </w:r>
      <w:r w:rsidR="00A8576B" w:rsidRPr="0006604F">
        <w:rPr>
          <w:rStyle w:val="FootnoteReference"/>
          <w:rFonts w:cs="Arial"/>
          <w:i/>
          <w:iCs/>
          <w:szCs w:val="22"/>
        </w:rPr>
        <w:footnoteReference w:id="3"/>
      </w:r>
    </w:p>
    <w:p w14:paraId="07B59881" w14:textId="0493C15F" w:rsidR="00170AEE" w:rsidRPr="0006604F" w:rsidRDefault="00170AEE" w:rsidP="00C74E97">
      <w:pPr>
        <w:widowControl w:val="0"/>
        <w:numPr>
          <w:ilvl w:val="0"/>
          <w:numId w:val="1"/>
        </w:numPr>
        <w:spacing w:before="480" w:after="480" w:line="360" w:lineRule="auto"/>
        <w:jc w:val="both"/>
        <w:rPr>
          <w:rFonts w:cs="Arial"/>
          <w:bCs/>
          <w:szCs w:val="22"/>
        </w:rPr>
      </w:pPr>
      <w:r w:rsidRPr="0006604F">
        <w:rPr>
          <w:rFonts w:cs="Arial"/>
          <w:bCs/>
          <w:szCs w:val="22"/>
        </w:rPr>
        <w:t>It is not controversial that the existence of a contractual relationship does not without more preclude a claim in delict.</w:t>
      </w:r>
      <w:r w:rsidR="00A8576B" w:rsidRPr="0006604F">
        <w:rPr>
          <w:rStyle w:val="FootnoteReference"/>
          <w:rFonts w:cs="Arial"/>
          <w:bCs/>
          <w:szCs w:val="22"/>
        </w:rPr>
        <w:footnoteReference w:id="4"/>
      </w:r>
      <w:r w:rsidRPr="0006604F">
        <w:rPr>
          <w:rFonts w:cs="Arial"/>
          <w:bCs/>
          <w:szCs w:val="22"/>
        </w:rPr>
        <w:t xml:space="preserve"> The Aquilian action is</w:t>
      </w:r>
      <w:r w:rsidR="00076C64" w:rsidRPr="0006604F">
        <w:rPr>
          <w:rFonts w:cs="Arial"/>
          <w:bCs/>
          <w:szCs w:val="22"/>
        </w:rPr>
        <w:t>, for instance,</w:t>
      </w:r>
      <w:r w:rsidRPr="0006604F">
        <w:rPr>
          <w:rFonts w:cs="Arial"/>
          <w:bCs/>
          <w:szCs w:val="22"/>
        </w:rPr>
        <w:t xml:space="preserve"> available to an employer confronted by unlawful competition by an employee.</w:t>
      </w:r>
      <w:r w:rsidRPr="0006604F">
        <w:rPr>
          <w:rStyle w:val="FootnoteReference"/>
          <w:rFonts w:cs="Arial"/>
          <w:bCs/>
          <w:szCs w:val="22"/>
        </w:rPr>
        <w:footnoteReference w:id="5"/>
      </w:r>
      <w:r w:rsidRPr="0006604F">
        <w:rPr>
          <w:rFonts w:cs="Arial"/>
          <w:bCs/>
          <w:szCs w:val="22"/>
        </w:rPr>
        <w:t xml:space="preserve"> </w:t>
      </w:r>
      <w:r w:rsidR="006C0D1A" w:rsidRPr="0006604F">
        <w:rPr>
          <w:rFonts w:cs="Arial"/>
          <w:bCs/>
          <w:szCs w:val="22"/>
        </w:rPr>
        <w:t xml:space="preserve">An employee may not misappropriate confidential information and trade secrets of the employer. The authors of </w:t>
      </w:r>
      <w:r w:rsidR="006C0D1A" w:rsidRPr="0006604F">
        <w:rPr>
          <w:rFonts w:cs="Arial"/>
          <w:bCs/>
          <w:i/>
          <w:iCs/>
          <w:szCs w:val="22"/>
        </w:rPr>
        <w:t>Unlawful Competition</w:t>
      </w:r>
      <w:r w:rsidR="006C0D1A" w:rsidRPr="0006604F">
        <w:rPr>
          <w:rFonts w:cs="Arial"/>
          <w:bCs/>
          <w:szCs w:val="22"/>
        </w:rPr>
        <w:t xml:space="preserve"> wrote:</w:t>
      </w:r>
      <w:r w:rsidR="006C0D1A" w:rsidRPr="0006604F">
        <w:rPr>
          <w:rStyle w:val="FootnoteReference"/>
          <w:rFonts w:cs="Arial"/>
          <w:bCs/>
          <w:szCs w:val="22"/>
        </w:rPr>
        <w:footnoteReference w:id="6"/>
      </w:r>
    </w:p>
    <w:p w14:paraId="3B1072C4" w14:textId="25749792" w:rsidR="006C0D1A" w:rsidRPr="0006604F" w:rsidRDefault="006C0D1A" w:rsidP="006C0D1A">
      <w:pPr>
        <w:widowControl w:val="0"/>
        <w:spacing w:before="480" w:after="480" w:line="360" w:lineRule="auto"/>
        <w:ind w:left="1440"/>
        <w:jc w:val="both"/>
        <w:rPr>
          <w:rFonts w:cs="Arial"/>
          <w:bCs/>
          <w:i/>
          <w:iCs/>
          <w:szCs w:val="22"/>
        </w:rPr>
      </w:pPr>
      <w:r w:rsidRPr="0006604F">
        <w:rPr>
          <w:rFonts w:cs="Arial"/>
          <w:bCs/>
          <w:i/>
          <w:iCs/>
          <w:szCs w:val="22"/>
        </w:rPr>
        <w:t>“… the same act may therefore in principle render the employee liable ex contractu as well as ex delicto</w:t>
      </w:r>
      <w:r w:rsidR="0080665F" w:rsidRPr="0006604F">
        <w:rPr>
          <w:rFonts w:cs="Arial"/>
          <w:bCs/>
          <w:i/>
          <w:iCs/>
          <w:szCs w:val="22"/>
        </w:rPr>
        <w:t xml:space="preserve">. This is so </w:t>
      </w:r>
      <w:r w:rsidR="001D72FA">
        <w:rPr>
          <w:rFonts w:cs="Arial"/>
          <w:bCs/>
          <w:i/>
          <w:iCs/>
          <w:szCs w:val="22"/>
        </w:rPr>
        <w:t xml:space="preserve">because </w:t>
      </w:r>
      <w:r w:rsidR="0080665F" w:rsidRPr="0006604F">
        <w:rPr>
          <w:rFonts w:cs="Arial"/>
          <w:bCs/>
          <w:i/>
          <w:iCs/>
          <w:szCs w:val="22"/>
        </w:rPr>
        <w:t>apart from breach of contract, the conduct complained of also wrongfully and culpably infringes a legally protected interest (trade secret) which exists independently of the contract.</w:t>
      </w:r>
      <w:r w:rsidRPr="0006604F">
        <w:rPr>
          <w:rFonts w:cs="Arial"/>
          <w:bCs/>
          <w:i/>
          <w:iCs/>
          <w:szCs w:val="22"/>
        </w:rPr>
        <w:t>”</w:t>
      </w:r>
    </w:p>
    <w:p w14:paraId="4087BAF2" w14:textId="77777777" w:rsidR="00170AEE" w:rsidRPr="0006604F" w:rsidRDefault="00170AEE"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Similarly, the Aquilian action is available in the event of a breach of a fiduciary duty independently from contractual duties owed to the company by a company director. </w:t>
      </w:r>
    </w:p>
    <w:p w14:paraId="17EC2ED2" w14:textId="2081BADA" w:rsidR="00B868F6" w:rsidRPr="0006604F" w:rsidRDefault="0080665F" w:rsidP="00C74E97">
      <w:pPr>
        <w:widowControl w:val="0"/>
        <w:numPr>
          <w:ilvl w:val="0"/>
          <w:numId w:val="1"/>
        </w:numPr>
        <w:spacing w:before="480" w:after="480" w:line="360" w:lineRule="auto"/>
        <w:jc w:val="both"/>
        <w:rPr>
          <w:rFonts w:cs="Arial"/>
          <w:bCs/>
          <w:szCs w:val="22"/>
        </w:rPr>
      </w:pPr>
      <w:r w:rsidRPr="0006604F">
        <w:rPr>
          <w:rFonts w:cs="Arial"/>
          <w:bCs/>
          <w:szCs w:val="22"/>
        </w:rPr>
        <w:t>However,</w:t>
      </w:r>
      <w:r w:rsidR="00170AEE" w:rsidRPr="0006604F">
        <w:rPr>
          <w:rFonts w:cs="Arial"/>
          <w:bCs/>
          <w:szCs w:val="22"/>
        </w:rPr>
        <w:t xml:space="preserve"> a</w:t>
      </w:r>
      <w:r w:rsidR="00FF0D0D" w:rsidRPr="0006604F">
        <w:rPr>
          <w:rFonts w:cs="Arial"/>
          <w:bCs/>
          <w:szCs w:val="22"/>
        </w:rPr>
        <w:t xml:space="preserve"> delictual remedy can not be </w:t>
      </w:r>
      <w:r w:rsidR="006542FD" w:rsidRPr="0006604F">
        <w:rPr>
          <w:rFonts w:cs="Arial"/>
          <w:bCs/>
          <w:szCs w:val="22"/>
        </w:rPr>
        <w:t xml:space="preserve">made </w:t>
      </w:r>
      <w:r w:rsidR="00715674" w:rsidRPr="0006604F">
        <w:rPr>
          <w:rFonts w:cs="Arial"/>
          <w:bCs/>
          <w:szCs w:val="22"/>
        </w:rPr>
        <w:t>available</w:t>
      </w:r>
      <w:r w:rsidR="00B302C7" w:rsidRPr="0006604F">
        <w:rPr>
          <w:rFonts w:cs="Arial"/>
          <w:bCs/>
          <w:szCs w:val="22"/>
        </w:rPr>
        <w:t xml:space="preserve"> merely</w:t>
      </w:r>
      <w:r w:rsidR="00FF0D0D" w:rsidRPr="0006604F">
        <w:rPr>
          <w:rFonts w:cs="Arial"/>
          <w:bCs/>
          <w:szCs w:val="22"/>
        </w:rPr>
        <w:t xml:space="preserve"> because </w:t>
      </w:r>
      <w:r w:rsidR="001D72FA">
        <w:rPr>
          <w:rFonts w:cs="Arial"/>
          <w:bCs/>
          <w:szCs w:val="22"/>
        </w:rPr>
        <w:t xml:space="preserve">the contracting parties could have provided for </w:t>
      </w:r>
      <w:r w:rsidR="00FF0D0D" w:rsidRPr="0006604F">
        <w:rPr>
          <w:rFonts w:cs="Arial"/>
          <w:bCs/>
          <w:szCs w:val="22"/>
        </w:rPr>
        <w:t xml:space="preserve">a contractual remedy </w:t>
      </w:r>
      <w:r w:rsidR="001D72FA">
        <w:rPr>
          <w:rFonts w:cs="Arial"/>
          <w:bCs/>
          <w:szCs w:val="22"/>
        </w:rPr>
        <w:t>but failed to do so, or the</w:t>
      </w:r>
      <w:r w:rsidR="00A6768C">
        <w:rPr>
          <w:rFonts w:cs="Arial"/>
          <w:bCs/>
          <w:szCs w:val="22"/>
        </w:rPr>
        <w:t xml:space="preserve"> parties</w:t>
      </w:r>
      <w:r w:rsidR="00C10C0C" w:rsidRPr="0006604F">
        <w:rPr>
          <w:rFonts w:cs="Arial"/>
          <w:bCs/>
          <w:szCs w:val="22"/>
        </w:rPr>
        <w:t xml:space="preserve"> </w:t>
      </w:r>
      <w:r w:rsidR="00FF0D0D" w:rsidRPr="0006604F">
        <w:rPr>
          <w:rFonts w:cs="Arial"/>
          <w:bCs/>
          <w:szCs w:val="22"/>
        </w:rPr>
        <w:t xml:space="preserve">excluded </w:t>
      </w:r>
      <w:r w:rsidR="001D72FA">
        <w:rPr>
          <w:rFonts w:cs="Arial"/>
          <w:bCs/>
          <w:szCs w:val="22"/>
        </w:rPr>
        <w:t xml:space="preserve">the contractual remedy in the </w:t>
      </w:r>
      <w:r w:rsidR="00FF0D0D" w:rsidRPr="0006604F">
        <w:rPr>
          <w:rFonts w:cs="Arial"/>
          <w:bCs/>
          <w:szCs w:val="22"/>
        </w:rPr>
        <w:t>contract</w:t>
      </w:r>
      <w:r w:rsidRPr="0006604F">
        <w:rPr>
          <w:rFonts w:cs="Arial"/>
          <w:bCs/>
          <w:szCs w:val="22"/>
        </w:rPr>
        <w:t xml:space="preserve"> that govern the relationship between the parties</w:t>
      </w:r>
      <w:r w:rsidR="00FF0D0D" w:rsidRPr="0006604F">
        <w:rPr>
          <w:rFonts w:cs="Arial"/>
          <w:bCs/>
          <w:szCs w:val="22"/>
        </w:rPr>
        <w:t>.</w:t>
      </w:r>
      <w:r w:rsidR="00C10C0C" w:rsidRPr="0006604F">
        <w:rPr>
          <w:rStyle w:val="FootnoteReference"/>
          <w:rFonts w:cs="Arial"/>
          <w:bCs/>
          <w:szCs w:val="22"/>
        </w:rPr>
        <w:footnoteReference w:id="7"/>
      </w:r>
      <w:r w:rsidR="00C10C0C" w:rsidRPr="0006604F">
        <w:rPr>
          <w:rFonts w:cs="Arial"/>
          <w:bCs/>
          <w:szCs w:val="22"/>
        </w:rPr>
        <w:t xml:space="preserve"> The time to negotiate adequate contractual remedies is, after all, when the contract is being negotiated.</w:t>
      </w:r>
      <w:r w:rsidR="00C10C0C" w:rsidRPr="0006604F">
        <w:rPr>
          <w:rStyle w:val="FootnoteReference"/>
          <w:rFonts w:cs="Arial"/>
          <w:bCs/>
          <w:szCs w:val="22"/>
        </w:rPr>
        <w:footnoteReference w:id="8"/>
      </w:r>
    </w:p>
    <w:p w14:paraId="2A4D298B" w14:textId="5A1C8CE5" w:rsidR="00B302C7" w:rsidRPr="0006604F" w:rsidRDefault="008541C3" w:rsidP="00C74E97">
      <w:pPr>
        <w:widowControl w:val="0"/>
        <w:numPr>
          <w:ilvl w:val="0"/>
          <w:numId w:val="1"/>
        </w:numPr>
        <w:spacing w:before="480" w:after="480" w:line="360" w:lineRule="auto"/>
        <w:jc w:val="both"/>
        <w:rPr>
          <w:rFonts w:cs="Arial"/>
          <w:bCs/>
          <w:szCs w:val="22"/>
        </w:rPr>
      </w:pPr>
      <w:r>
        <w:rPr>
          <w:rFonts w:cs="Arial"/>
          <w:bCs/>
          <w:szCs w:val="22"/>
        </w:rPr>
        <w:t>C</w:t>
      </w:r>
      <w:r w:rsidRPr="0006604F">
        <w:rPr>
          <w:rFonts w:cs="Arial"/>
          <w:bCs/>
          <w:szCs w:val="22"/>
        </w:rPr>
        <w:t>ontractual autonomy must be respected.</w:t>
      </w:r>
      <w:r>
        <w:rPr>
          <w:rFonts w:cs="Arial"/>
          <w:bCs/>
          <w:szCs w:val="22"/>
        </w:rPr>
        <w:t xml:space="preserve"> </w:t>
      </w:r>
      <w:r w:rsidR="00497189" w:rsidRPr="0006604F">
        <w:rPr>
          <w:rFonts w:cs="Arial"/>
          <w:bCs/>
          <w:szCs w:val="22"/>
        </w:rPr>
        <w:t xml:space="preserve">When parties enter in a contract, their rights and obligations must be found in the contract subject of course to obligations </w:t>
      </w:r>
      <w:r w:rsidR="00497189" w:rsidRPr="0006604F">
        <w:rPr>
          <w:rFonts w:cs="Arial"/>
          <w:bCs/>
          <w:szCs w:val="22"/>
        </w:rPr>
        <w:lastRenderedPageBreak/>
        <w:t>imposed and rights created by law.</w:t>
      </w:r>
      <w:r w:rsidR="00497189" w:rsidRPr="0006604F">
        <w:rPr>
          <w:rStyle w:val="FootnoteReference"/>
          <w:rFonts w:cs="Arial"/>
          <w:bCs/>
          <w:szCs w:val="22"/>
        </w:rPr>
        <w:footnoteReference w:id="9"/>
      </w:r>
      <w:r w:rsidR="00497189" w:rsidRPr="0006604F">
        <w:rPr>
          <w:rFonts w:cs="Arial"/>
          <w:bCs/>
          <w:szCs w:val="22"/>
        </w:rPr>
        <w:t xml:space="preserve"> </w:t>
      </w:r>
      <w:r w:rsidR="00A6768C" w:rsidRPr="0006604F">
        <w:rPr>
          <w:rFonts w:cs="Arial"/>
          <w:bCs/>
          <w:szCs w:val="22"/>
        </w:rPr>
        <w:t>The contract and its terms must be lawful. A contract that limits the obligations of a party or grants rights contrary to law will not be enforced.</w:t>
      </w:r>
      <w:r w:rsidR="00A6768C">
        <w:rPr>
          <w:rFonts w:cs="Arial"/>
          <w:bCs/>
          <w:szCs w:val="22"/>
        </w:rPr>
        <w:t xml:space="preserve"> </w:t>
      </w:r>
    </w:p>
    <w:p w14:paraId="27B319D0" w14:textId="4C0385F9" w:rsidR="00497189" w:rsidRPr="0006604F" w:rsidRDefault="00297352"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In </w:t>
      </w:r>
      <w:r w:rsidR="00A825C3" w:rsidRPr="0006604F">
        <w:rPr>
          <w:rFonts w:cs="Arial"/>
          <w:i/>
          <w:iCs/>
          <w:szCs w:val="22"/>
        </w:rPr>
        <w:t>Lillicrap, Wassenaar and Partners v Pilkington Brothers (SA) (Pty) Ltd</w:t>
      </w:r>
      <w:r w:rsidRPr="0006604F">
        <w:rPr>
          <w:rFonts w:cs="Arial"/>
          <w:bCs/>
          <w:szCs w:val="22"/>
        </w:rPr>
        <w:t>,</w:t>
      </w:r>
      <w:r w:rsidRPr="0006604F">
        <w:rPr>
          <w:rStyle w:val="FootnoteReference"/>
          <w:rFonts w:cs="Arial"/>
          <w:bCs/>
          <w:szCs w:val="22"/>
        </w:rPr>
        <w:footnoteReference w:id="10"/>
      </w:r>
      <w:r w:rsidRPr="0006604F">
        <w:rPr>
          <w:rFonts w:cs="Arial"/>
          <w:bCs/>
          <w:szCs w:val="22"/>
        </w:rPr>
        <w:t xml:space="preserve">  </w:t>
      </w:r>
      <w:r w:rsidR="00855D5D" w:rsidRPr="0006604F">
        <w:rPr>
          <w:rFonts w:cs="Arial"/>
          <w:szCs w:val="22"/>
          <w:lang w:eastAsia="en-ZA"/>
        </w:rPr>
        <w:t>Grosskopf AJA said that -</w:t>
      </w:r>
    </w:p>
    <w:p w14:paraId="4EEC2792" w14:textId="4E3FE842" w:rsidR="00C95C6A" w:rsidRPr="0006604F" w:rsidRDefault="00B302C7" w:rsidP="00321B4F">
      <w:pPr>
        <w:spacing w:line="360" w:lineRule="auto"/>
        <w:ind w:left="1440"/>
        <w:jc w:val="both"/>
        <w:rPr>
          <w:rFonts w:cs="Arial"/>
          <w:i/>
          <w:iCs/>
          <w:szCs w:val="22"/>
        </w:rPr>
      </w:pPr>
      <w:r w:rsidRPr="0006604F">
        <w:rPr>
          <w:rFonts w:cs="Arial"/>
          <w:i/>
          <w:iCs/>
          <w:szCs w:val="22"/>
        </w:rPr>
        <w:t xml:space="preserve">“… </w:t>
      </w:r>
      <w:r w:rsidR="00C95C6A" w:rsidRPr="0006604F">
        <w:rPr>
          <w:rFonts w:cs="Arial"/>
          <w:i/>
          <w:iCs/>
          <w:szCs w:val="22"/>
        </w:rPr>
        <w:t xml:space="preserve">the Aquilian action does not fit comfortably in a contractual setting like the present. When parties enter into such a contract, they normally regulate those features which they consider important for the purpose of the relationship which they are creating. This does not of course mean that the law may not impose additional obligations by way of naturalia arising by implication of law, or, as I have indicated above, those arising ex delicto independently of the contract. However, in general, contracting parties contemplate that their contract should lay down the ambit of their reciprocal rights and obligations. To that end they would define, expressly or tacitly, the nature and quality of the performance required from each party. If the Aquilian action were generally available for defective performance of contractual obligations, a party's performance would presumably have to be tested not only against the definition of his duties in the contract, but also by applying the standard of the bonus paterfamilias. How is the latter standard to be determined? Could it conceivably be higher or lower than the contractual one? If the standard imposed by law differed in theory from the contractual one, the result must surely be that the parties agreed to be bound by a particular standard of care and thereby excluded any standard other than the contractual one. If, on the other hand, it were to be argued that the bonus paterfamilias would always comply with the standards laid down by a contract to which he is a party, one would in effect be saying that the law of delict can be invoked to reinforce the law of contract. I can think of no policy consideration to justify such a conclusion. See in this regard the dissenting speech of Lord BRANDON in the Junior Books case supra at </w:t>
      </w:r>
      <w:r w:rsidR="00C95C6A" w:rsidRPr="0006604F">
        <w:rPr>
          <w:rFonts w:cs="Arial"/>
          <w:i/>
          <w:iCs/>
          <w:szCs w:val="22"/>
        </w:rPr>
        <w:lastRenderedPageBreak/>
        <w:t>551E - 552E with which Lord KEITH of Kinkel agreed at 536G - 537D of the report. In the present case, the respondent repeatedly emphasized in its pleadings that it was its detailed requirements, as laid down in the contract between the parties, which defined the ambit of the appellant's obligations. It is these requirements which, according to the respondent, set the standard by which negligence falls to be determined. See para 4 (b) of the respondent's amended particulars of claim read with para 1 (a) of the respondent's further particulars dated 19 August 1981, as also paras 5, 6 and 7 of the particulars of claim and para 10 (d) of the said further particulars. It seems anomalous that the delictual standard of culpa or fault should be governed by what was contractually agreed upon by the parties.</w:t>
      </w:r>
    </w:p>
    <w:p w14:paraId="73C9AF51" w14:textId="65466B6E" w:rsidR="00FF0D0D" w:rsidRPr="0006604F" w:rsidRDefault="00C95C6A" w:rsidP="00321B4F">
      <w:pPr>
        <w:widowControl w:val="0"/>
        <w:spacing w:before="480" w:after="480" w:line="360" w:lineRule="auto"/>
        <w:ind w:left="1440"/>
        <w:jc w:val="both"/>
        <w:rPr>
          <w:rFonts w:cs="Arial"/>
          <w:bCs/>
          <w:szCs w:val="22"/>
        </w:rPr>
      </w:pPr>
      <w:r w:rsidRPr="0006604F">
        <w:rPr>
          <w:rFonts w:cs="Arial"/>
          <w:i/>
          <w:iCs/>
          <w:szCs w:val="22"/>
        </w:rPr>
        <w:t>Apart from defining the parties' respective duties (including the standard of performance required) a contract may regulate other aspects of the relationship between the parties. Thus, for instance, it may limit or extend liability, impose penalties or grant indemnities, provide special methods of settling disputes (eg by arbitration) etc. A Court should therefore in my view be loath to extend the law of delict into this area and thereby eliminate provisions which the parties considered necessary or desirable for their own protection. The possible counter to this argument, viz that the parties are in general entitled to couch their contract in such terms that delictual liability is also excluded or qualified, does not in my view carry conviction. Contracts are for the most part concluded by businessmen. Why should the law of delict introduce an unwanted liability which, unless excluded, could provide a trap for the unwary?”</w:t>
      </w:r>
    </w:p>
    <w:p w14:paraId="7E10AB8D" w14:textId="79B45BC0" w:rsidR="00FF0D0D" w:rsidRPr="0006604F" w:rsidRDefault="00FF0D0D" w:rsidP="00321B4F">
      <w:pPr>
        <w:widowControl w:val="0"/>
        <w:spacing w:before="480" w:after="480" w:line="360" w:lineRule="auto"/>
        <w:ind w:left="720"/>
        <w:jc w:val="both"/>
        <w:rPr>
          <w:rFonts w:cs="Arial"/>
          <w:bCs/>
          <w:i/>
          <w:iCs/>
          <w:szCs w:val="22"/>
        </w:rPr>
      </w:pPr>
    </w:p>
    <w:p w14:paraId="6A83E0C0" w14:textId="5AA7E884" w:rsidR="0083212E" w:rsidRPr="0006604F" w:rsidRDefault="00B868F6"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It is also alleged that G4S made </w:t>
      </w:r>
      <w:r w:rsidR="008843C7" w:rsidRPr="0006604F">
        <w:rPr>
          <w:rFonts w:cs="Arial"/>
          <w:bCs/>
          <w:szCs w:val="22"/>
        </w:rPr>
        <w:t>a ‘</w:t>
      </w:r>
      <w:r w:rsidRPr="0006604F">
        <w:rPr>
          <w:rFonts w:cs="Arial"/>
          <w:bCs/>
          <w:szCs w:val="22"/>
        </w:rPr>
        <w:t>material misrepresentation</w:t>
      </w:r>
      <w:r w:rsidR="008843C7" w:rsidRPr="0006604F">
        <w:rPr>
          <w:rFonts w:cs="Arial"/>
          <w:bCs/>
          <w:szCs w:val="22"/>
        </w:rPr>
        <w:t>’</w:t>
      </w:r>
      <w:r w:rsidRPr="0006604F">
        <w:rPr>
          <w:rFonts w:cs="Arial"/>
          <w:bCs/>
          <w:szCs w:val="22"/>
        </w:rPr>
        <w:t xml:space="preserve"> that caused harm to Devland.</w:t>
      </w:r>
      <w:r w:rsidR="005401B9" w:rsidRPr="0006604F">
        <w:rPr>
          <w:rFonts w:cs="Arial"/>
          <w:bCs/>
          <w:szCs w:val="22"/>
        </w:rPr>
        <w:t xml:space="preserve"> </w:t>
      </w:r>
      <w:r w:rsidR="008843C7" w:rsidRPr="0006604F">
        <w:rPr>
          <w:rFonts w:cs="Arial"/>
          <w:bCs/>
          <w:szCs w:val="22"/>
        </w:rPr>
        <w:t>I</w:t>
      </w:r>
      <w:r w:rsidR="005401B9" w:rsidRPr="0006604F">
        <w:rPr>
          <w:rFonts w:cs="Arial"/>
          <w:bCs/>
          <w:szCs w:val="22"/>
        </w:rPr>
        <w:t xml:space="preserve">t </w:t>
      </w:r>
      <w:r w:rsidR="00715674" w:rsidRPr="0006604F">
        <w:rPr>
          <w:rFonts w:cs="Arial"/>
          <w:bCs/>
          <w:szCs w:val="22"/>
        </w:rPr>
        <w:t xml:space="preserve">is not </w:t>
      </w:r>
      <w:r w:rsidR="005401B9" w:rsidRPr="0006604F">
        <w:rPr>
          <w:rFonts w:cs="Arial"/>
          <w:bCs/>
          <w:szCs w:val="22"/>
        </w:rPr>
        <w:t>alleged that the misrepresentation (whether innocent, negligent, or fraudulent) induced Devland to enter into the contract</w:t>
      </w:r>
      <w:r w:rsidR="005401B9" w:rsidRPr="0006604F">
        <w:rPr>
          <w:rStyle w:val="FootnoteReference"/>
          <w:rFonts w:cs="Arial"/>
          <w:bCs/>
          <w:szCs w:val="22"/>
        </w:rPr>
        <w:footnoteReference w:id="11"/>
      </w:r>
      <w:r w:rsidR="008843C7" w:rsidRPr="0006604F">
        <w:rPr>
          <w:rFonts w:cs="Arial"/>
          <w:bCs/>
          <w:szCs w:val="22"/>
        </w:rPr>
        <w:t xml:space="preserve"> nor</w:t>
      </w:r>
      <w:r w:rsidR="00CF1129">
        <w:rPr>
          <w:rFonts w:cs="Arial"/>
          <w:bCs/>
          <w:szCs w:val="22"/>
        </w:rPr>
        <w:t xml:space="preserve"> is it apparent</w:t>
      </w:r>
      <w:r w:rsidR="008843C7" w:rsidRPr="0006604F">
        <w:rPr>
          <w:rFonts w:cs="Arial"/>
          <w:bCs/>
          <w:szCs w:val="22"/>
        </w:rPr>
        <w:t xml:space="preserve"> what the misrepresentation actually was.</w:t>
      </w:r>
      <w:r w:rsidR="008843C7" w:rsidRPr="0006604F">
        <w:rPr>
          <w:rStyle w:val="FootnoteReference"/>
          <w:rFonts w:cs="Arial"/>
          <w:bCs/>
          <w:szCs w:val="22"/>
        </w:rPr>
        <w:footnoteReference w:id="12"/>
      </w:r>
    </w:p>
    <w:p w14:paraId="06EABA97" w14:textId="56A747F6" w:rsidR="001A72B1" w:rsidRPr="0006604F" w:rsidRDefault="00D20C50" w:rsidP="00C74E97">
      <w:pPr>
        <w:widowControl w:val="0"/>
        <w:numPr>
          <w:ilvl w:val="0"/>
          <w:numId w:val="1"/>
        </w:numPr>
        <w:spacing w:before="480" w:after="480" w:line="360" w:lineRule="auto"/>
        <w:jc w:val="both"/>
        <w:rPr>
          <w:rFonts w:cs="Arial"/>
          <w:bCs/>
          <w:szCs w:val="22"/>
        </w:rPr>
      </w:pPr>
      <w:r w:rsidRPr="0006604F">
        <w:rPr>
          <w:rFonts w:cs="Arial"/>
          <w:bCs/>
          <w:szCs w:val="22"/>
        </w:rPr>
        <w:lastRenderedPageBreak/>
        <w:t xml:space="preserve">The distinction between a loss that occurs pursuant to or </w:t>
      </w:r>
      <w:r w:rsidR="00715674" w:rsidRPr="0006604F">
        <w:rPr>
          <w:rFonts w:cs="Arial"/>
          <w:bCs/>
          <w:szCs w:val="22"/>
        </w:rPr>
        <w:t>in</w:t>
      </w:r>
      <w:r w:rsidRPr="0006604F">
        <w:rPr>
          <w:rFonts w:cs="Arial"/>
          <w:bCs/>
          <w:szCs w:val="22"/>
        </w:rPr>
        <w:t xml:space="preserve"> the performance of a contract for which the remedy is a claim for contractual damages, and a claim that arises </w:t>
      </w:r>
      <w:r w:rsidR="001A72B1" w:rsidRPr="0006604F">
        <w:rPr>
          <w:rFonts w:cs="Arial"/>
          <w:bCs/>
          <w:szCs w:val="22"/>
        </w:rPr>
        <w:t xml:space="preserve">between parties to a contract but </w:t>
      </w:r>
      <w:r w:rsidRPr="0006604F">
        <w:rPr>
          <w:rFonts w:cs="Arial"/>
          <w:bCs/>
          <w:szCs w:val="22"/>
        </w:rPr>
        <w:t xml:space="preserve">independently </w:t>
      </w:r>
      <w:r w:rsidR="00C66E94" w:rsidRPr="0006604F">
        <w:rPr>
          <w:rFonts w:cs="Arial"/>
          <w:bCs/>
          <w:szCs w:val="22"/>
        </w:rPr>
        <w:t xml:space="preserve">and </w:t>
      </w:r>
      <w:r w:rsidRPr="0006604F">
        <w:rPr>
          <w:rFonts w:cs="Arial"/>
          <w:bCs/>
          <w:szCs w:val="22"/>
        </w:rPr>
        <w:t xml:space="preserve">from additional or </w:t>
      </w:r>
      <w:r w:rsidR="001219CC" w:rsidRPr="0006604F">
        <w:rPr>
          <w:rFonts w:cs="Arial"/>
          <w:bCs/>
          <w:szCs w:val="22"/>
        </w:rPr>
        <w:t>complementary</w:t>
      </w:r>
      <w:r w:rsidRPr="0006604F">
        <w:rPr>
          <w:rFonts w:cs="Arial"/>
          <w:bCs/>
          <w:szCs w:val="22"/>
        </w:rPr>
        <w:t xml:space="preserve"> duties for which the remedy is a claim for delictual damages, is illustrated by the judgment of the Full Court</w:t>
      </w:r>
      <w:r w:rsidR="00C66E94" w:rsidRPr="0006604F">
        <w:rPr>
          <w:rStyle w:val="FootnoteReference"/>
          <w:rFonts w:cs="Arial"/>
          <w:bCs/>
          <w:szCs w:val="22"/>
        </w:rPr>
        <w:footnoteReference w:id="13"/>
      </w:r>
      <w:r w:rsidR="00C66E94" w:rsidRPr="0006604F">
        <w:rPr>
          <w:rFonts w:cs="Arial"/>
          <w:bCs/>
          <w:szCs w:val="22"/>
        </w:rPr>
        <w:t xml:space="preserve"> of the Gauteng Division in Johannesburg</w:t>
      </w:r>
      <w:r w:rsidRPr="0006604F">
        <w:rPr>
          <w:rFonts w:cs="Arial"/>
          <w:bCs/>
          <w:szCs w:val="22"/>
        </w:rPr>
        <w:t xml:space="preserve"> in </w:t>
      </w:r>
      <w:r w:rsidRPr="0006604F">
        <w:rPr>
          <w:rFonts w:cs="Arial"/>
          <w:bCs/>
          <w:i/>
          <w:iCs/>
          <w:color w:val="000000"/>
          <w:szCs w:val="22"/>
        </w:rPr>
        <w:t>G4S Cash Solutions SA (Pty) Ltd v Zandspruit Cash &amp; Carry (Pty) Ltd and another</w:t>
      </w:r>
      <w:r w:rsidR="001A72B1" w:rsidRPr="0006604F">
        <w:rPr>
          <w:rFonts w:cs="Arial"/>
          <w:bCs/>
          <w:i/>
          <w:iCs/>
          <w:color w:val="000000"/>
          <w:szCs w:val="22"/>
        </w:rPr>
        <w:t>,</w:t>
      </w:r>
      <w:r w:rsidRPr="0006604F">
        <w:rPr>
          <w:rStyle w:val="FootnoteReference"/>
          <w:rFonts w:cs="Arial"/>
          <w:bCs/>
          <w:i/>
          <w:iCs/>
          <w:color w:val="000000"/>
          <w:szCs w:val="22"/>
        </w:rPr>
        <w:footnoteReference w:id="14"/>
      </w:r>
      <w:r w:rsidRPr="0006604F">
        <w:rPr>
          <w:rFonts w:cs="Arial"/>
          <w:bCs/>
          <w:color w:val="000000"/>
          <w:szCs w:val="22"/>
        </w:rPr>
        <w:t xml:space="preserve"> </w:t>
      </w:r>
      <w:r w:rsidR="00B302C7" w:rsidRPr="0006604F">
        <w:rPr>
          <w:rFonts w:cs="Arial"/>
          <w:bCs/>
          <w:color w:val="000000"/>
          <w:szCs w:val="22"/>
        </w:rPr>
        <w:t>(</w:t>
      </w:r>
      <w:r w:rsidR="001A72B1" w:rsidRPr="0006604F">
        <w:rPr>
          <w:rFonts w:cs="Arial"/>
          <w:bCs/>
          <w:color w:val="000000"/>
          <w:szCs w:val="22"/>
        </w:rPr>
        <w:t>“the Zandspruit matter.”</w:t>
      </w:r>
      <w:r w:rsidR="00B302C7" w:rsidRPr="0006604F">
        <w:rPr>
          <w:rFonts w:cs="Arial"/>
          <w:bCs/>
          <w:color w:val="000000"/>
          <w:szCs w:val="22"/>
        </w:rPr>
        <w:t>)</w:t>
      </w:r>
      <w:r w:rsidRPr="0006604F">
        <w:rPr>
          <w:rFonts w:cs="Arial"/>
          <w:bCs/>
          <w:color w:val="000000"/>
          <w:szCs w:val="22"/>
        </w:rPr>
        <w:t xml:space="preserve"> </w:t>
      </w:r>
      <w:r w:rsidR="001A72B1" w:rsidRPr="0006604F">
        <w:rPr>
          <w:rFonts w:cs="Arial"/>
          <w:bCs/>
          <w:color w:val="000000"/>
          <w:szCs w:val="22"/>
        </w:rPr>
        <w:t xml:space="preserve">Devland was the second respondent on appeal in the Zandspruit matter. </w:t>
      </w:r>
    </w:p>
    <w:p w14:paraId="52458A37" w14:textId="040F1805" w:rsidR="009619EE" w:rsidRPr="0006604F" w:rsidRDefault="001A72B1"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As in the present matter, G4S provided cash management services to Zandspruit and Devland in terms of contracts. </w:t>
      </w:r>
      <w:r w:rsidR="00006E3B" w:rsidRPr="0006604F">
        <w:rPr>
          <w:rFonts w:cs="Arial"/>
          <w:bCs/>
          <w:szCs w:val="22"/>
        </w:rPr>
        <w:t>These two related firms</w:t>
      </w:r>
      <w:r w:rsidRPr="0006604F">
        <w:rPr>
          <w:rFonts w:cs="Arial"/>
          <w:bCs/>
          <w:szCs w:val="22"/>
        </w:rPr>
        <w:t xml:space="preserve"> suffered</w:t>
      </w:r>
      <w:r w:rsidR="00006E3B" w:rsidRPr="0006604F">
        <w:rPr>
          <w:rFonts w:cs="Arial"/>
          <w:bCs/>
          <w:szCs w:val="22"/>
        </w:rPr>
        <w:t xml:space="preserve"> </w:t>
      </w:r>
      <w:r w:rsidRPr="0006604F">
        <w:rPr>
          <w:rFonts w:cs="Arial"/>
          <w:bCs/>
          <w:szCs w:val="22"/>
        </w:rPr>
        <w:t>loss</w:t>
      </w:r>
      <w:r w:rsidR="00006E3B" w:rsidRPr="0006604F">
        <w:rPr>
          <w:rFonts w:cs="Arial"/>
          <w:bCs/>
          <w:szCs w:val="22"/>
        </w:rPr>
        <w:t>e</w:t>
      </w:r>
      <w:r w:rsidR="009619EE" w:rsidRPr="0006604F">
        <w:rPr>
          <w:rFonts w:cs="Arial"/>
          <w:bCs/>
          <w:szCs w:val="22"/>
        </w:rPr>
        <w:t>s</w:t>
      </w:r>
      <w:r w:rsidRPr="0006604F">
        <w:rPr>
          <w:rFonts w:cs="Arial"/>
          <w:bCs/>
          <w:szCs w:val="22"/>
        </w:rPr>
        <w:t xml:space="preserve"> due to crime</w:t>
      </w:r>
      <w:r w:rsidR="009619EE" w:rsidRPr="0006604F">
        <w:rPr>
          <w:rFonts w:cs="Arial"/>
          <w:bCs/>
          <w:szCs w:val="22"/>
        </w:rPr>
        <w:t>s committed by third parties and there was a causal</w:t>
      </w:r>
      <w:r w:rsidR="00DE278F">
        <w:rPr>
          <w:rStyle w:val="FootnoteReference"/>
          <w:rFonts w:cs="Arial"/>
          <w:bCs/>
          <w:szCs w:val="22"/>
        </w:rPr>
        <w:footnoteReference w:id="15"/>
      </w:r>
      <w:r w:rsidR="009619EE" w:rsidRPr="0006604F">
        <w:rPr>
          <w:rFonts w:cs="Arial"/>
          <w:bCs/>
          <w:szCs w:val="22"/>
        </w:rPr>
        <w:t xml:space="preserve"> connection between the losses and the contracts, but the crucial difference is that the losses </w:t>
      </w:r>
      <w:r w:rsidR="00F81CE2" w:rsidRPr="0006604F">
        <w:rPr>
          <w:rFonts w:cs="Arial"/>
          <w:bCs/>
          <w:szCs w:val="22"/>
        </w:rPr>
        <w:t xml:space="preserve">did not arise out of the </w:t>
      </w:r>
      <w:r w:rsidR="00C66E94" w:rsidRPr="0006604F">
        <w:rPr>
          <w:rFonts w:cs="Arial"/>
          <w:bCs/>
          <w:szCs w:val="22"/>
        </w:rPr>
        <w:t xml:space="preserve">performance </w:t>
      </w:r>
      <w:r w:rsidR="00F81CE2" w:rsidRPr="0006604F">
        <w:rPr>
          <w:rFonts w:cs="Arial"/>
          <w:bCs/>
          <w:szCs w:val="22"/>
        </w:rPr>
        <w:t>of the contract</w:t>
      </w:r>
      <w:r w:rsidR="00006E3B" w:rsidRPr="0006604F">
        <w:rPr>
          <w:rFonts w:cs="Arial"/>
          <w:bCs/>
          <w:szCs w:val="22"/>
        </w:rPr>
        <w:t>s</w:t>
      </w:r>
      <w:r w:rsidR="00C66E94" w:rsidRPr="0006604F">
        <w:rPr>
          <w:rFonts w:cs="Arial"/>
          <w:bCs/>
          <w:szCs w:val="22"/>
        </w:rPr>
        <w:t>.</w:t>
      </w:r>
      <w:r w:rsidR="00F81CE2" w:rsidRPr="0006604F">
        <w:rPr>
          <w:rFonts w:cs="Arial"/>
          <w:bCs/>
          <w:szCs w:val="22"/>
        </w:rPr>
        <w:t xml:space="preserve"> </w:t>
      </w:r>
    </w:p>
    <w:p w14:paraId="25D0BCF3" w14:textId="315EDA12" w:rsidR="00006E3B" w:rsidRPr="0006604F" w:rsidRDefault="001A72B1"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Zandspruit and </w:t>
      </w:r>
      <w:r w:rsidR="00F81CE2" w:rsidRPr="0006604F">
        <w:rPr>
          <w:rFonts w:cs="Arial"/>
          <w:bCs/>
          <w:szCs w:val="22"/>
        </w:rPr>
        <w:t>Devland fell victim to fraud perpetrated by third parties who, using information</w:t>
      </w:r>
      <w:r w:rsidRPr="0006604F">
        <w:rPr>
          <w:rFonts w:cs="Arial"/>
          <w:bCs/>
          <w:szCs w:val="22"/>
        </w:rPr>
        <w:t xml:space="preserve"> and items such as identification cards</w:t>
      </w:r>
      <w:r w:rsidR="00F81CE2" w:rsidRPr="0006604F">
        <w:rPr>
          <w:rFonts w:cs="Arial"/>
          <w:bCs/>
          <w:szCs w:val="22"/>
        </w:rPr>
        <w:t xml:space="preserve"> </w:t>
      </w:r>
      <w:r w:rsidRPr="0006604F">
        <w:rPr>
          <w:rFonts w:cs="Arial"/>
          <w:bCs/>
          <w:szCs w:val="22"/>
        </w:rPr>
        <w:t xml:space="preserve">stolen </w:t>
      </w:r>
      <w:r w:rsidR="00F81CE2" w:rsidRPr="0006604F">
        <w:rPr>
          <w:rFonts w:cs="Arial"/>
          <w:bCs/>
          <w:szCs w:val="22"/>
        </w:rPr>
        <w:t xml:space="preserve">from G4S arrived at </w:t>
      </w:r>
      <w:r w:rsidRPr="0006604F">
        <w:rPr>
          <w:rFonts w:cs="Arial"/>
          <w:bCs/>
          <w:szCs w:val="22"/>
        </w:rPr>
        <w:t xml:space="preserve">the gates </w:t>
      </w:r>
      <w:r w:rsidR="00F81CE2" w:rsidRPr="0006604F">
        <w:rPr>
          <w:rFonts w:cs="Arial"/>
          <w:bCs/>
          <w:szCs w:val="22"/>
        </w:rPr>
        <w:t xml:space="preserve">and identified </w:t>
      </w:r>
      <w:r w:rsidRPr="0006604F">
        <w:rPr>
          <w:rFonts w:cs="Arial"/>
          <w:bCs/>
          <w:szCs w:val="22"/>
        </w:rPr>
        <w:t xml:space="preserve">themselves </w:t>
      </w:r>
      <w:r w:rsidR="00F81CE2" w:rsidRPr="0006604F">
        <w:rPr>
          <w:rFonts w:cs="Arial"/>
          <w:bCs/>
          <w:szCs w:val="22"/>
        </w:rPr>
        <w:t>as employee</w:t>
      </w:r>
      <w:r w:rsidRPr="0006604F">
        <w:rPr>
          <w:rFonts w:cs="Arial"/>
          <w:bCs/>
          <w:szCs w:val="22"/>
        </w:rPr>
        <w:t>s</w:t>
      </w:r>
      <w:r w:rsidR="00F81CE2" w:rsidRPr="0006604F">
        <w:rPr>
          <w:rFonts w:cs="Arial"/>
          <w:bCs/>
          <w:szCs w:val="22"/>
        </w:rPr>
        <w:t xml:space="preserve"> of G4S there to make a collection. </w:t>
      </w:r>
      <w:r w:rsidR="00006E3B" w:rsidRPr="0006604F">
        <w:rPr>
          <w:rFonts w:cs="Arial"/>
          <w:bCs/>
          <w:szCs w:val="22"/>
        </w:rPr>
        <w:t>They absconded with bags of cash.</w:t>
      </w:r>
    </w:p>
    <w:p w14:paraId="092CF8FF" w14:textId="77777777" w:rsidR="003511F3" w:rsidRPr="0006604F" w:rsidRDefault="00C66E94" w:rsidP="003511F3">
      <w:pPr>
        <w:widowControl w:val="0"/>
        <w:numPr>
          <w:ilvl w:val="0"/>
          <w:numId w:val="1"/>
        </w:numPr>
        <w:spacing w:before="480" w:after="480" w:line="360" w:lineRule="auto"/>
        <w:jc w:val="both"/>
        <w:rPr>
          <w:rFonts w:cs="Arial"/>
          <w:bCs/>
          <w:szCs w:val="22"/>
        </w:rPr>
      </w:pPr>
      <w:r w:rsidRPr="0006604F">
        <w:rPr>
          <w:rFonts w:cs="Arial"/>
          <w:bCs/>
          <w:szCs w:val="22"/>
        </w:rPr>
        <w:t xml:space="preserve">In the </w:t>
      </w:r>
      <w:r w:rsidR="00F81CE2" w:rsidRPr="0006604F">
        <w:rPr>
          <w:rFonts w:cs="Arial"/>
          <w:bCs/>
          <w:szCs w:val="22"/>
        </w:rPr>
        <w:t xml:space="preserve">Court </w:t>
      </w:r>
      <w:r w:rsidR="00F81CE2" w:rsidRPr="0006604F">
        <w:rPr>
          <w:rFonts w:cs="Arial"/>
          <w:bCs/>
          <w:i/>
          <w:szCs w:val="22"/>
        </w:rPr>
        <w:t xml:space="preserve">a quo </w:t>
      </w:r>
      <w:r w:rsidR="00F81CE2" w:rsidRPr="0006604F">
        <w:rPr>
          <w:rFonts w:cs="Arial"/>
          <w:bCs/>
          <w:szCs w:val="22"/>
        </w:rPr>
        <w:t xml:space="preserve">Matojane J held that the loss suffered by </w:t>
      </w:r>
      <w:r w:rsidR="00006E3B" w:rsidRPr="0006604F">
        <w:rPr>
          <w:rFonts w:cs="Arial"/>
          <w:bCs/>
          <w:szCs w:val="22"/>
        </w:rPr>
        <w:t xml:space="preserve">the two firms </w:t>
      </w:r>
      <w:r w:rsidR="00F81CE2" w:rsidRPr="0006604F">
        <w:rPr>
          <w:rFonts w:cs="Arial"/>
          <w:bCs/>
          <w:szCs w:val="22"/>
        </w:rPr>
        <w:t>originated from the services that G4S was contracted to provide, but that the delictual claims did not arise pursuant to or during the service</w:t>
      </w:r>
      <w:r w:rsidR="00006E3B" w:rsidRPr="0006604F">
        <w:rPr>
          <w:rFonts w:cs="Arial"/>
          <w:bCs/>
          <w:szCs w:val="22"/>
        </w:rPr>
        <w:t>s</w:t>
      </w:r>
      <w:r w:rsidR="00F81CE2" w:rsidRPr="0006604F">
        <w:rPr>
          <w:rFonts w:cs="Arial"/>
          <w:bCs/>
          <w:szCs w:val="22"/>
        </w:rPr>
        <w:t xml:space="preserve"> rendered by </w:t>
      </w:r>
      <w:r w:rsidR="00B6649D" w:rsidRPr="0006604F">
        <w:rPr>
          <w:rFonts w:cs="Arial"/>
          <w:bCs/>
          <w:szCs w:val="22"/>
        </w:rPr>
        <w:t>G4S.</w:t>
      </w:r>
      <w:r w:rsidR="00B07D89" w:rsidRPr="0006604F">
        <w:rPr>
          <w:rFonts w:cs="Arial"/>
          <w:bCs/>
          <w:szCs w:val="22"/>
        </w:rPr>
        <w:t xml:space="preserve"> He granted </w:t>
      </w:r>
      <w:r w:rsidR="006C781A" w:rsidRPr="0006604F">
        <w:rPr>
          <w:rFonts w:cs="Arial"/>
          <w:bCs/>
          <w:szCs w:val="22"/>
        </w:rPr>
        <w:t xml:space="preserve">an order for </w:t>
      </w:r>
      <w:r w:rsidR="00B07D89" w:rsidRPr="0006604F">
        <w:rPr>
          <w:rFonts w:cs="Arial"/>
          <w:bCs/>
          <w:szCs w:val="22"/>
        </w:rPr>
        <w:t>damages in delict.</w:t>
      </w:r>
      <w:r w:rsidR="001219CC" w:rsidRPr="0006604F">
        <w:rPr>
          <w:rFonts w:cs="Arial"/>
          <w:bCs/>
          <w:szCs w:val="22"/>
        </w:rPr>
        <w:t xml:space="preserve"> G4S’ duties arose because of the business relationship evinced by the contract</w:t>
      </w:r>
      <w:r w:rsidR="006C781A" w:rsidRPr="0006604F">
        <w:rPr>
          <w:rFonts w:cs="Arial"/>
          <w:bCs/>
          <w:szCs w:val="22"/>
        </w:rPr>
        <w:t>s</w:t>
      </w:r>
      <w:r w:rsidR="001219CC" w:rsidRPr="0006604F">
        <w:rPr>
          <w:rFonts w:cs="Arial"/>
          <w:bCs/>
          <w:szCs w:val="22"/>
        </w:rPr>
        <w:t xml:space="preserve"> (i.e.,  there </w:t>
      </w:r>
      <w:r w:rsidR="00B302C7" w:rsidRPr="0006604F">
        <w:rPr>
          <w:rFonts w:cs="Arial"/>
          <w:bCs/>
          <w:szCs w:val="22"/>
        </w:rPr>
        <w:t>wa</w:t>
      </w:r>
      <w:r w:rsidR="001219CC" w:rsidRPr="0006604F">
        <w:rPr>
          <w:rFonts w:cs="Arial"/>
          <w:bCs/>
          <w:szCs w:val="22"/>
        </w:rPr>
        <w:t xml:space="preserve">s a </w:t>
      </w:r>
      <w:r w:rsidRPr="0006604F">
        <w:rPr>
          <w:rFonts w:cs="Arial"/>
          <w:bCs/>
          <w:szCs w:val="22"/>
        </w:rPr>
        <w:t>casual</w:t>
      </w:r>
      <w:r w:rsidR="001219CC" w:rsidRPr="0006604F">
        <w:rPr>
          <w:rFonts w:cs="Arial"/>
          <w:bCs/>
          <w:szCs w:val="22"/>
        </w:rPr>
        <w:t xml:space="preserve"> connection) but the</w:t>
      </w:r>
      <w:r w:rsidR="006C781A" w:rsidRPr="0006604F">
        <w:rPr>
          <w:rFonts w:cs="Arial"/>
          <w:bCs/>
          <w:szCs w:val="22"/>
        </w:rPr>
        <w:t xml:space="preserve"> losses</w:t>
      </w:r>
      <w:r w:rsidR="001219CC" w:rsidRPr="0006604F">
        <w:rPr>
          <w:rFonts w:cs="Arial"/>
          <w:bCs/>
          <w:szCs w:val="22"/>
        </w:rPr>
        <w:t xml:space="preserve"> </w:t>
      </w:r>
      <w:r w:rsidR="006C781A" w:rsidRPr="0006604F">
        <w:rPr>
          <w:rFonts w:cs="Arial"/>
          <w:bCs/>
          <w:szCs w:val="22"/>
        </w:rPr>
        <w:t xml:space="preserve">occurred </w:t>
      </w:r>
      <w:r w:rsidRPr="0006604F">
        <w:rPr>
          <w:rFonts w:cs="Arial"/>
          <w:bCs/>
          <w:szCs w:val="22"/>
        </w:rPr>
        <w:t>independently</w:t>
      </w:r>
      <w:r w:rsidR="001219CC" w:rsidRPr="0006604F">
        <w:rPr>
          <w:rFonts w:cs="Arial"/>
          <w:bCs/>
          <w:szCs w:val="22"/>
        </w:rPr>
        <w:t>. The loss</w:t>
      </w:r>
      <w:r w:rsidR="00B302C7" w:rsidRPr="0006604F">
        <w:rPr>
          <w:rFonts w:cs="Arial"/>
          <w:bCs/>
          <w:szCs w:val="22"/>
        </w:rPr>
        <w:t>es</w:t>
      </w:r>
      <w:r w:rsidR="003511F3">
        <w:rPr>
          <w:rFonts w:cs="Arial"/>
          <w:bCs/>
          <w:szCs w:val="22"/>
        </w:rPr>
        <w:t xml:space="preserve"> therefore</w:t>
      </w:r>
      <w:r w:rsidR="001219CC" w:rsidRPr="0006604F">
        <w:rPr>
          <w:rFonts w:cs="Arial"/>
          <w:bCs/>
          <w:szCs w:val="22"/>
        </w:rPr>
        <w:t xml:space="preserve"> did not occur in the performance of the contract</w:t>
      </w:r>
      <w:r w:rsidR="003511F3">
        <w:rPr>
          <w:rFonts w:cs="Arial"/>
          <w:bCs/>
          <w:szCs w:val="22"/>
        </w:rPr>
        <w:t xml:space="preserve"> but were causally related</w:t>
      </w:r>
      <w:r w:rsidRPr="0006604F">
        <w:rPr>
          <w:rFonts w:cs="Arial"/>
          <w:bCs/>
          <w:szCs w:val="22"/>
        </w:rPr>
        <w:t xml:space="preserve">. </w:t>
      </w:r>
      <w:r w:rsidR="003511F3" w:rsidRPr="0006604F">
        <w:rPr>
          <w:rFonts w:cs="Arial"/>
          <w:bCs/>
          <w:szCs w:val="22"/>
        </w:rPr>
        <w:t xml:space="preserve">G4S had in breach of a duty of care failed to advise the two firms that uniforms and official identification cards had been lost or stolen, that its vehicles were occasionally used without authority, or that imposters had converted vehicles to look identical or similar to those of G4S, and that cash collection bosses and keys have been lost or stolen or </w:t>
      </w:r>
      <w:r w:rsidR="003511F3" w:rsidRPr="0006604F">
        <w:rPr>
          <w:rFonts w:cs="Arial"/>
          <w:bCs/>
          <w:szCs w:val="22"/>
        </w:rPr>
        <w:lastRenderedPageBreak/>
        <w:t xml:space="preserve">that they could be duplicated. </w:t>
      </w:r>
    </w:p>
    <w:p w14:paraId="0902F4A5" w14:textId="13ADE712" w:rsidR="00F81CE2" w:rsidRPr="0006604F" w:rsidRDefault="00C66E94" w:rsidP="00C74E97">
      <w:pPr>
        <w:widowControl w:val="0"/>
        <w:numPr>
          <w:ilvl w:val="0"/>
          <w:numId w:val="1"/>
        </w:numPr>
        <w:spacing w:before="480" w:after="480" w:line="360" w:lineRule="auto"/>
        <w:jc w:val="both"/>
        <w:rPr>
          <w:rFonts w:cs="Arial"/>
          <w:bCs/>
          <w:szCs w:val="22"/>
        </w:rPr>
      </w:pPr>
      <w:r w:rsidRPr="0006604F">
        <w:rPr>
          <w:rFonts w:cs="Arial"/>
          <w:bCs/>
          <w:szCs w:val="22"/>
        </w:rPr>
        <w:t xml:space="preserve">The appeal against the order granted in favour of Devland was dismissed with costs; the Court partially upheld the appeal against the order granted in favour of Zandspruit on the basis of contributory negligence but did not upset the finding that Zandspruit </w:t>
      </w:r>
      <w:r w:rsidR="00B07D89" w:rsidRPr="0006604F">
        <w:rPr>
          <w:rFonts w:cs="Arial"/>
          <w:bCs/>
          <w:szCs w:val="22"/>
        </w:rPr>
        <w:t>(and Devland) were entitled to damages in delict.</w:t>
      </w:r>
    </w:p>
    <w:p w14:paraId="45A2FE05" w14:textId="794E743D" w:rsidR="001219CC" w:rsidRPr="0006604F" w:rsidRDefault="00680C8D" w:rsidP="00C74E97">
      <w:pPr>
        <w:widowControl w:val="0"/>
        <w:numPr>
          <w:ilvl w:val="0"/>
          <w:numId w:val="1"/>
        </w:numPr>
        <w:spacing w:before="480" w:after="480" w:line="360" w:lineRule="auto"/>
        <w:jc w:val="both"/>
        <w:rPr>
          <w:rFonts w:cs="Arial"/>
          <w:bCs/>
          <w:szCs w:val="22"/>
        </w:rPr>
      </w:pPr>
      <w:r w:rsidRPr="0006604F">
        <w:rPr>
          <w:rFonts w:cs="Arial"/>
          <w:bCs/>
          <w:szCs w:val="22"/>
        </w:rPr>
        <w:t>T</w:t>
      </w:r>
      <w:r w:rsidR="00B6649D" w:rsidRPr="0006604F">
        <w:rPr>
          <w:rFonts w:cs="Arial"/>
          <w:bCs/>
          <w:szCs w:val="22"/>
        </w:rPr>
        <w:t xml:space="preserve">he present matter and the </w:t>
      </w:r>
      <w:r w:rsidR="00B6649D" w:rsidRPr="0006604F">
        <w:rPr>
          <w:rFonts w:cs="Arial"/>
          <w:bCs/>
          <w:i/>
          <w:szCs w:val="22"/>
        </w:rPr>
        <w:t xml:space="preserve">Zandspruit </w:t>
      </w:r>
      <w:r w:rsidR="00B6649D" w:rsidRPr="0006604F">
        <w:rPr>
          <w:rFonts w:cs="Arial"/>
          <w:bCs/>
          <w:szCs w:val="22"/>
        </w:rPr>
        <w:t xml:space="preserve">case are therefore clearly distinguishable on the facts, as in the present matter the loss arose directly out of the services rendered in terms of the contract whereas in the </w:t>
      </w:r>
      <w:r w:rsidR="00B6649D" w:rsidRPr="0006604F">
        <w:rPr>
          <w:rFonts w:cs="Arial"/>
          <w:bCs/>
          <w:i/>
          <w:szCs w:val="22"/>
        </w:rPr>
        <w:t xml:space="preserve">Zandspruit </w:t>
      </w:r>
      <w:r w:rsidR="00B6649D" w:rsidRPr="0006604F">
        <w:rPr>
          <w:rFonts w:cs="Arial"/>
          <w:bCs/>
          <w:szCs w:val="22"/>
        </w:rPr>
        <w:t xml:space="preserve">matter G4S was held liable in delict under circumstances where it breached a duty of care to advise the two appellants of cardinal facts and third party imposters were as a result able to defraud the two appellants. </w:t>
      </w:r>
    </w:p>
    <w:p w14:paraId="53F41DC8" w14:textId="21B49F8C" w:rsidR="006C5745" w:rsidRPr="0006604F" w:rsidRDefault="001219CC" w:rsidP="00C74E97">
      <w:pPr>
        <w:widowControl w:val="0"/>
        <w:numPr>
          <w:ilvl w:val="0"/>
          <w:numId w:val="1"/>
        </w:numPr>
        <w:spacing w:before="480" w:after="480" w:line="360" w:lineRule="auto"/>
        <w:jc w:val="both"/>
        <w:rPr>
          <w:rFonts w:cs="Arial"/>
          <w:bCs/>
          <w:szCs w:val="22"/>
        </w:rPr>
      </w:pPr>
      <w:r w:rsidRPr="0006604F">
        <w:rPr>
          <w:rFonts w:cs="Arial"/>
          <w:i/>
          <w:iCs/>
          <w:szCs w:val="22"/>
        </w:rPr>
        <w:t>Trio Engineered Products Inc v Pilot Crushtec International (Pty) Ltd</w:t>
      </w:r>
      <w:r w:rsidRPr="0006604F">
        <w:rPr>
          <w:rStyle w:val="FootnoteReference"/>
          <w:rFonts w:cs="Arial"/>
          <w:i/>
          <w:iCs/>
          <w:szCs w:val="22"/>
        </w:rPr>
        <w:footnoteReference w:id="16"/>
      </w:r>
      <w:r w:rsidRPr="0006604F">
        <w:rPr>
          <w:rFonts w:cs="Arial"/>
          <w:szCs w:val="22"/>
        </w:rPr>
        <w:t xml:space="preserve"> </w:t>
      </w:r>
      <w:r w:rsidR="00B6649D" w:rsidRPr="0006604F">
        <w:rPr>
          <w:rFonts w:cs="Arial"/>
          <w:bCs/>
          <w:szCs w:val="22"/>
        </w:rPr>
        <w:t xml:space="preserve"> is similarly distinguishable</w:t>
      </w:r>
      <w:r w:rsidR="003511F3">
        <w:rPr>
          <w:rFonts w:cs="Arial"/>
          <w:bCs/>
          <w:szCs w:val="22"/>
        </w:rPr>
        <w:t xml:space="preserve"> from the facts in the present matter</w:t>
      </w:r>
      <w:r w:rsidR="00B6649D" w:rsidRPr="0006604F">
        <w:rPr>
          <w:rFonts w:cs="Arial"/>
          <w:bCs/>
          <w:szCs w:val="22"/>
        </w:rPr>
        <w:t>. Pilot counter</w:t>
      </w:r>
      <w:r w:rsidR="00680C8D" w:rsidRPr="0006604F">
        <w:rPr>
          <w:rFonts w:cs="Arial"/>
          <w:bCs/>
          <w:szCs w:val="22"/>
        </w:rPr>
        <w:t>-</w:t>
      </w:r>
      <w:r w:rsidR="00B6649D" w:rsidRPr="0006604F">
        <w:rPr>
          <w:rFonts w:cs="Arial"/>
          <w:bCs/>
          <w:szCs w:val="22"/>
        </w:rPr>
        <w:t>claimed</w:t>
      </w:r>
      <w:r w:rsidR="00912E62" w:rsidRPr="0006604F">
        <w:rPr>
          <w:rStyle w:val="FootnoteReference"/>
          <w:rFonts w:cs="Arial"/>
          <w:bCs/>
          <w:szCs w:val="22"/>
        </w:rPr>
        <w:footnoteReference w:id="17"/>
      </w:r>
      <w:r w:rsidR="00B6649D" w:rsidRPr="0006604F">
        <w:rPr>
          <w:rFonts w:cs="Arial"/>
          <w:bCs/>
          <w:szCs w:val="22"/>
        </w:rPr>
        <w:t xml:space="preserve"> against Trio on the basis of a contractual claim for breach of an exclusive strategic distribution agreement</w:t>
      </w:r>
      <w:r w:rsidR="008D0500" w:rsidRPr="0006604F">
        <w:rPr>
          <w:rFonts w:cs="Arial"/>
          <w:bCs/>
          <w:szCs w:val="22"/>
        </w:rPr>
        <w:t>, alleging</w:t>
      </w:r>
      <w:r w:rsidR="00B6649D" w:rsidRPr="0006604F">
        <w:rPr>
          <w:rFonts w:cs="Arial"/>
          <w:bCs/>
          <w:szCs w:val="22"/>
        </w:rPr>
        <w:t xml:space="preserve"> that Trio had</w:t>
      </w:r>
      <w:r w:rsidR="00284EE3" w:rsidRPr="0006604F">
        <w:rPr>
          <w:rFonts w:cs="Arial"/>
          <w:bCs/>
          <w:szCs w:val="22"/>
        </w:rPr>
        <w:t xml:space="preserve"> usurped a commercial opportunity by</w:t>
      </w:r>
      <w:r w:rsidR="00B6649D" w:rsidRPr="0006604F">
        <w:rPr>
          <w:rFonts w:cs="Arial"/>
          <w:bCs/>
          <w:szCs w:val="22"/>
        </w:rPr>
        <w:t xml:space="preserve"> enter</w:t>
      </w:r>
      <w:r w:rsidR="00284EE3" w:rsidRPr="0006604F">
        <w:rPr>
          <w:rFonts w:cs="Arial"/>
          <w:bCs/>
          <w:szCs w:val="22"/>
        </w:rPr>
        <w:t>ing</w:t>
      </w:r>
      <w:r w:rsidR="00B6649D" w:rsidRPr="0006604F">
        <w:rPr>
          <w:rFonts w:cs="Arial"/>
          <w:bCs/>
          <w:szCs w:val="22"/>
        </w:rPr>
        <w:t xml:space="preserve"> into an agreement directly with a client of Pilot</w:t>
      </w:r>
      <w:r w:rsidR="00912E62" w:rsidRPr="0006604F">
        <w:rPr>
          <w:rFonts w:cs="Arial"/>
          <w:bCs/>
          <w:szCs w:val="22"/>
        </w:rPr>
        <w:t>.</w:t>
      </w:r>
      <w:r w:rsidR="006C5745" w:rsidRPr="0006604F">
        <w:rPr>
          <w:rFonts w:cs="Arial"/>
          <w:bCs/>
          <w:szCs w:val="22"/>
        </w:rPr>
        <w:t xml:space="preserve"> It also</w:t>
      </w:r>
      <w:r w:rsidR="008D0500" w:rsidRPr="0006604F">
        <w:rPr>
          <w:rFonts w:cs="Arial"/>
          <w:bCs/>
          <w:szCs w:val="22"/>
        </w:rPr>
        <w:t xml:space="preserve"> instituted a </w:t>
      </w:r>
      <w:r w:rsidR="00B6649D" w:rsidRPr="0006604F">
        <w:rPr>
          <w:rFonts w:cs="Arial"/>
          <w:bCs/>
          <w:szCs w:val="22"/>
        </w:rPr>
        <w:t xml:space="preserve">second counterclaim </w:t>
      </w:r>
      <w:r w:rsidR="00284EE3" w:rsidRPr="0006604F">
        <w:rPr>
          <w:rFonts w:cs="Arial"/>
          <w:bCs/>
          <w:szCs w:val="22"/>
        </w:rPr>
        <w:t xml:space="preserve">for contractual damages arising from a repudiation of </w:t>
      </w:r>
      <w:r w:rsidR="006C5745" w:rsidRPr="0006604F">
        <w:rPr>
          <w:rFonts w:cs="Arial"/>
          <w:bCs/>
          <w:szCs w:val="22"/>
        </w:rPr>
        <w:t xml:space="preserve">the distribution agreement, </w:t>
      </w:r>
      <w:r w:rsidR="00284EE3" w:rsidRPr="0006604F">
        <w:rPr>
          <w:rFonts w:cs="Arial"/>
          <w:bCs/>
          <w:szCs w:val="22"/>
        </w:rPr>
        <w:t>and in the alternative</w:t>
      </w:r>
      <w:r w:rsidR="00680C8D" w:rsidRPr="0006604F">
        <w:rPr>
          <w:rStyle w:val="FootnoteReference"/>
          <w:rFonts w:cs="Arial"/>
          <w:bCs/>
          <w:szCs w:val="22"/>
        </w:rPr>
        <w:footnoteReference w:id="18"/>
      </w:r>
      <w:r w:rsidR="00284EE3" w:rsidRPr="0006604F">
        <w:rPr>
          <w:rFonts w:cs="Arial"/>
          <w:bCs/>
          <w:szCs w:val="22"/>
        </w:rPr>
        <w:t xml:space="preserve"> a claim for delictual damages. </w:t>
      </w:r>
    </w:p>
    <w:p w14:paraId="155868A3" w14:textId="5872FBE4" w:rsidR="006C5745" w:rsidRPr="0006604F" w:rsidRDefault="006C5745" w:rsidP="00C74E97">
      <w:pPr>
        <w:widowControl w:val="0"/>
        <w:numPr>
          <w:ilvl w:val="0"/>
          <w:numId w:val="1"/>
        </w:numPr>
        <w:spacing w:before="480" w:after="480" w:line="360" w:lineRule="auto"/>
        <w:jc w:val="both"/>
        <w:rPr>
          <w:rFonts w:cs="Arial"/>
          <w:bCs/>
          <w:szCs w:val="22"/>
        </w:rPr>
      </w:pPr>
      <w:r w:rsidRPr="0006604F">
        <w:rPr>
          <w:rFonts w:cs="Arial"/>
          <w:bCs/>
          <w:szCs w:val="22"/>
        </w:rPr>
        <w:t>Pilot alleged that by reason of the contractual relationship, Trio had obtained knowledge of and access to Pilot’s confidential information and customer connections.</w:t>
      </w:r>
      <w:r w:rsidR="00284EE3" w:rsidRPr="0006604F">
        <w:rPr>
          <w:rFonts w:cs="Arial"/>
          <w:bCs/>
          <w:szCs w:val="22"/>
        </w:rPr>
        <w:t xml:space="preserve"> </w:t>
      </w:r>
      <w:r w:rsidRPr="0006604F">
        <w:rPr>
          <w:rFonts w:cs="Arial"/>
          <w:bCs/>
          <w:szCs w:val="22"/>
        </w:rPr>
        <w:t xml:space="preserve">This alternative claim </w:t>
      </w:r>
      <w:r w:rsidR="008D0500" w:rsidRPr="0006604F">
        <w:rPr>
          <w:rFonts w:cs="Arial"/>
          <w:bCs/>
          <w:szCs w:val="22"/>
        </w:rPr>
        <w:t xml:space="preserve">grounded in delict </w:t>
      </w:r>
      <w:r w:rsidRPr="0006604F">
        <w:rPr>
          <w:rFonts w:cs="Arial"/>
          <w:bCs/>
          <w:szCs w:val="22"/>
        </w:rPr>
        <w:t xml:space="preserve">was </w:t>
      </w:r>
      <w:r w:rsidR="00B6649D" w:rsidRPr="0006604F">
        <w:rPr>
          <w:rFonts w:cs="Arial"/>
          <w:bCs/>
          <w:szCs w:val="22"/>
        </w:rPr>
        <w:t>based on unlawful competition</w:t>
      </w:r>
      <w:r w:rsidRPr="0006604F">
        <w:rPr>
          <w:rFonts w:cs="Arial"/>
          <w:bCs/>
          <w:szCs w:val="22"/>
        </w:rPr>
        <w:t xml:space="preserve"> and specifically</w:t>
      </w:r>
      <w:r w:rsidR="00B6649D" w:rsidRPr="0006604F">
        <w:rPr>
          <w:rFonts w:cs="Arial"/>
          <w:bCs/>
          <w:szCs w:val="22"/>
        </w:rPr>
        <w:t xml:space="preserve"> the usurpation of goodwill</w:t>
      </w:r>
      <w:r w:rsidRPr="0006604F">
        <w:rPr>
          <w:rFonts w:cs="Arial"/>
          <w:bCs/>
          <w:szCs w:val="22"/>
        </w:rPr>
        <w:t xml:space="preserve"> and business opportunities</w:t>
      </w:r>
      <w:r w:rsidR="00B6649D" w:rsidRPr="0006604F">
        <w:rPr>
          <w:rFonts w:cs="Arial"/>
          <w:bCs/>
          <w:szCs w:val="22"/>
        </w:rPr>
        <w:t xml:space="preserve">. </w:t>
      </w:r>
    </w:p>
    <w:p w14:paraId="2A067EA0" w14:textId="4D867597" w:rsidR="007C059B" w:rsidRPr="0006604F" w:rsidRDefault="00284EE3" w:rsidP="00321B4F">
      <w:pPr>
        <w:widowControl w:val="0"/>
        <w:numPr>
          <w:ilvl w:val="0"/>
          <w:numId w:val="1"/>
        </w:numPr>
        <w:spacing w:before="480" w:after="480" w:line="360" w:lineRule="auto"/>
        <w:jc w:val="both"/>
        <w:rPr>
          <w:rFonts w:cs="Arial"/>
          <w:bCs/>
          <w:szCs w:val="22"/>
        </w:rPr>
      </w:pPr>
      <w:r w:rsidRPr="0006604F">
        <w:rPr>
          <w:rFonts w:cs="Arial"/>
          <w:bCs/>
          <w:szCs w:val="22"/>
        </w:rPr>
        <w:t>Unterhalter J dismissed an exception</w:t>
      </w:r>
      <w:r w:rsidR="00912E62" w:rsidRPr="0006604F">
        <w:rPr>
          <w:rFonts w:cs="Arial"/>
          <w:bCs/>
          <w:szCs w:val="22"/>
        </w:rPr>
        <w:t xml:space="preserve"> to the second counterclaim and the alternative second counterclaim.</w:t>
      </w:r>
      <w:r w:rsidR="00C5441D" w:rsidRPr="0006604F">
        <w:rPr>
          <w:rFonts w:cs="Arial"/>
          <w:bCs/>
          <w:szCs w:val="22"/>
        </w:rPr>
        <w:t xml:space="preserve"> </w:t>
      </w:r>
      <w:r w:rsidR="00F32873" w:rsidRPr="0006604F">
        <w:rPr>
          <w:rFonts w:cs="Arial"/>
          <w:bCs/>
          <w:szCs w:val="22"/>
        </w:rPr>
        <w:t xml:space="preserve">He </w:t>
      </w:r>
      <w:r w:rsidR="003511F3">
        <w:rPr>
          <w:rFonts w:cs="Arial"/>
          <w:bCs/>
          <w:szCs w:val="22"/>
        </w:rPr>
        <w:t>said</w:t>
      </w:r>
      <w:r w:rsidR="00F32873" w:rsidRPr="0006604F">
        <w:rPr>
          <w:rFonts w:cs="Arial"/>
          <w:bCs/>
          <w:szCs w:val="22"/>
        </w:rPr>
        <w:t xml:space="preserve"> that the law occupies a middle ground between the two extremes of recognising a delictual duty that co-exists with every contractual duty, and the equally unpalatable approach of refusing to recognise a duty in delict whenever a contractual duty is found to exist.</w:t>
      </w:r>
      <w:r w:rsidR="00C24F23" w:rsidRPr="0006604F">
        <w:rPr>
          <w:rFonts w:cs="Arial"/>
          <w:bCs/>
          <w:szCs w:val="22"/>
        </w:rPr>
        <w:t xml:space="preserve"> </w:t>
      </w:r>
      <w:r w:rsidR="002F7AA1" w:rsidRPr="0006604F">
        <w:rPr>
          <w:rFonts w:cs="Arial"/>
          <w:bCs/>
          <w:szCs w:val="22"/>
        </w:rPr>
        <w:t xml:space="preserve">Duties that complement or are not repugnant to </w:t>
      </w:r>
      <w:r w:rsidR="002F7AA1" w:rsidRPr="0006604F">
        <w:rPr>
          <w:rFonts w:cs="Arial"/>
          <w:bCs/>
          <w:szCs w:val="22"/>
        </w:rPr>
        <w:lastRenderedPageBreak/>
        <w:t>contractual obligations may give rise to concurrent contractual and delictual claims</w:t>
      </w:r>
      <w:r w:rsidR="007C059B" w:rsidRPr="0006604F">
        <w:rPr>
          <w:rStyle w:val="FootnoteReference"/>
          <w:rFonts w:cs="Arial"/>
          <w:bCs/>
          <w:szCs w:val="22"/>
        </w:rPr>
        <w:footnoteReference w:id="19"/>
      </w:r>
      <w:r w:rsidR="00100F71" w:rsidRPr="0006604F">
        <w:rPr>
          <w:rFonts w:cs="Arial"/>
          <w:bCs/>
          <w:szCs w:val="22"/>
        </w:rPr>
        <w:t xml:space="preserve"> framed in the alternative.</w:t>
      </w:r>
    </w:p>
    <w:p w14:paraId="554925A1" w14:textId="0467C5FB" w:rsidR="00C77202" w:rsidRPr="0006604F" w:rsidRDefault="00C77202" w:rsidP="00321B4F">
      <w:pPr>
        <w:widowControl w:val="0"/>
        <w:numPr>
          <w:ilvl w:val="0"/>
          <w:numId w:val="1"/>
        </w:numPr>
        <w:spacing w:before="480" w:after="480" w:line="360" w:lineRule="auto"/>
        <w:jc w:val="both"/>
        <w:rPr>
          <w:rFonts w:cs="Arial"/>
          <w:bCs/>
          <w:szCs w:val="22"/>
        </w:rPr>
      </w:pPr>
      <w:r w:rsidRPr="0006604F">
        <w:rPr>
          <w:rFonts w:cs="Arial"/>
          <w:bCs/>
          <w:szCs w:val="22"/>
        </w:rPr>
        <w:t>He said:</w:t>
      </w:r>
    </w:p>
    <w:p w14:paraId="3417FC07" w14:textId="7099B0D0" w:rsidR="00C77202" w:rsidRPr="0006604F" w:rsidRDefault="00C77202" w:rsidP="00C77202">
      <w:pPr>
        <w:spacing w:line="360" w:lineRule="auto"/>
        <w:ind w:left="1440"/>
        <w:jc w:val="both"/>
        <w:rPr>
          <w:rFonts w:cs="Arial"/>
          <w:i/>
          <w:iCs/>
          <w:szCs w:val="22"/>
          <w:lang w:eastAsia="en-ZA"/>
        </w:rPr>
      </w:pPr>
      <w:r w:rsidRPr="0006604F">
        <w:rPr>
          <w:rFonts w:cs="Arial"/>
          <w:i/>
          <w:iCs/>
          <w:szCs w:val="22"/>
          <w:lang w:eastAsia="en-ZA"/>
        </w:rPr>
        <w:t>“[29] The position in our law may, I think, be summarised as follows:</w:t>
      </w:r>
    </w:p>
    <w:p w14:paraId="172C63D9" w14:textId="77777777" w:rsidR="00C77202" w:rsidRPr="0006604F" w:rsidRDefault="00C77202" w:rsidP="00C77202">
      <w:pPr>
        <w:spacing w:line="360" w:lineRule="auto"/>
        <w:ind w:left="1440"/>
        <w:jc w:val="both"/>
        <w:rPr>
          <w:rFonts w:cs="Arial"/>
          <w:i/>
          <w:iCs/>
          <w:szCs w:val="22"/>
          <w:lang w:eastAsia="en-ZA"/>
        </w:rPr>
      </w:pPr>
      <w:r w:rsidRPr="0006604F">
        <w:rPr>
          <w:rFonts w:cs="Arial"/>
          <w:i/>
          <w:iCs/>
          <w:szCs w:val="22"/>
          <w:lang w:eastAsia="en-ZA"/>
        </w:rPr>
        <w:t>(a) A breach of contract is not, without more, a delict.</w:t>
      </w:r>
    </w:p>
    <w:p w14:paraId="1CFF445D" w14:textId="77777777" w:rsidR="00C77202" w:rsidRPr="0006604F" w:rsidRDefault="00C77202" w:rsidP="00C77202">
      <w:pPr>
        <w:spacing w:line="360" w:lineRule="auto"/>
        <w:ind w:left="1440"/>
        <w:jc w:val="both"/>
        <w:rPr>
          <w:rFonts w:cs="Arial"/>
          <w:i/>
          <w:iCs/>
          <w:szCs w:val="22"/>
          <w:lang w:eastAsia="en-ZA"/>
        </w:rPr>
      </w:pPr>
      <w:r w:rsidRPr="0006604F">
        <w:rPr>
          <w:rFonts w:cs="Arial"/>
          <w:i/>
          <w:iCs/>
          <w:szCs w:val="22"/>
          <w:lang w:eastAsia="en-ZA"/>
        </w:rPr>
        <w:t>(b)  Where parties have chosen to regulate their relationship under a contract, the contractual rights and obligations undertaken will not ordinarily permit of the recognition of a delictual duty at variance with the contract.</w:t>
      </w:r>
    </w:p>
    <w:p w14:paraId="07EE7709" w14:textId="77777777" w:rsidR="00C77202" w:rsidRPr="0006604F" w:rsidRDefault="00C77202" w:rsidP="00C77202">
      <w:pPr>
        <w:spacing w:line="360" w:lineRule="auto"/>
        <w:ind w:left="1440"/>
        <w:jc w:val="both"/>
        <w:rPr>
          <w:rFonts w:cs="Arial"/>
          <w:i/>
          <w:iCs/>
          <w:szCs w:val="22"/>
          <w:lang w:eastAsia="en-ZA"/>
        </w:rPr>
      </w:pPr>
      <w:r w:rsidRPr="0006604F">
        <w:rPr>
          <w:rFonts w:cs="Arial"/>
          <w:i/>
          <w:iCs/>
          <w:szCs w:val="22"/>
          <w:lang w:eastAsia="en-ZA"/>
        </w:rPr>
        <w:t>(c) Parties to a contract may have additional or complementary duties that arise independently in delict.</w:t>
      </w:r>
    </w:p>
    <w:p w14:paraId="36307706" w14:textId="15415025" w:rsidR="00C77202" w:rsidRPr="0006604F" w:rsidRDefault="00C77202" w:rsidP="00C77202">
      <w:pPr>
        <w:spacing w:line="360" w:lineRule="auto"/>
        <w:ind w:left="1440"/>
        <w:jc w:val="both"/>
        <w:rPr>
          <w:rFonts w:cs="Arial"/>
          <w:i/>
          <w:iCs/>
          <w:szCs w:val="22"/>
          <w:lang w:eastAsia="en-ZA"/>
        </w:rPr>
      </w:pPr>
      <w:r w:rsidRPr="0006604F">
        <w:rPr>
          <w:rFonts w:cs="Arial"/>
          <w:i/>
          <w:iCs/>
          <w:szCs w:val="22"/>
          <w:lang w:eastAsia="en-ZA"/>
        </w:rPr>
        <w:t>(d) …”</w:t>
      </w:r>
      <w:r w:rsidRPr="0006604F">
        <w:rPr>
          <w:rStyle w:val="FootnoteReference"/>
          <w:rFonts w:cs="Arial"/>
          <w:i/>
          <w:iCs/>
          <w:szCs w:val="22"/>
          <w:lang w:eastAsia="en-ZA"/>
        </w:rPr>
        <w:footnoteReference w:id="20"/>
      </w:r>
    </w:p>
    <w:p w14:paraId="27A6DE05" w14:textId="77777777" w:rsidR="003511F3" w:rsidRDefault="003511F3" w:rsidP="0082555A">
      <w:pPr>
        <w:widowControl w:val="0"/>
        <w:spacing w:before="480" w:after="480" w:line="360" w:lineRule="auto"/>
        <w:jc w:val="both"/>
        <w:rPr>
          <w:rFonts w:cs="Arial"/>
          <w:bCs/>
          <w:szCs w:val="22"/>
          <w:u w:val="single"/>
        </w:rPr>
      </w:pPr>
    </w:p>
    <w:p w14:paraId="1909A9A8" w14:textId="3A59F208" w:rsidR="0082555A" w:rsidRPr="0006604F" w:rsidRDefault="0082555A" w:rsidP="0082555A">
      <w:pPr>
        <w:widowControl w:val="0"/>
        <w:spacing w:before="480" w:after="480" w:line="360" w:lineRule="auto"/>
        <w:jc w:val="both"/>
        <w:rPr>
          <w:rFonts w:cs="Arial"/>
          <w:bCs/>
          <w:szCs w:val="22"/>
          <w:u w:val="single"/>
        </w:rPr>
      </w:pPr>
      <w:r w:rsidRPr="0006604F">
        <w:rPr>
          <w:rFonts w:cs="Arial"/>
          <w:bCs/>
          <w:szCs w:val="22"/>
          <w:u w:val="single"/>
        </w:rPr>
        <w:t>The scope of the order</w:t>
      </w:r>
    </w:p>
    <w:p w14:paraId="7CC1ACC0" w14:textId="6EBEE8DD" w:rsidR="0082555A" w:rsidRPr="0006604F" w:rsidRDefault="0082555A" w:rsidP="00C74E97">
      <w:pPr>
        <w:widowControl w:val="0"/>
        <w:numPr>
          <w:ilvl w:val="0"/>
          <w:numId w:val="1"/>
        </w:numPr>
        <w:spacing w:before="480" w:after="480" w:line="360" w:lineRule="auto"/>
        <w:jc w:val="both"/>
        <w:rPr>
          <w:rFonts w:cs="Arial"/>
          <w:bCs/>
          <w:szCs w:val="22"/>
        </w:rPr>
      </w:pPr>
      <w:r w:rsidRPr="0006604F">
        <w:rPr>
          <w:rFonts w:cs="Arial"/>
          <w:bCs/>
          <w:szCs w:val="22"/>
        </w:rPr>
        <w:t>Counsel had widely different views on what would be a proper order if I found that plaintiff did not have a claim in delict. Mr van Nieuwenhuizen for the plaintiff argued that the matter should be dealt with as an exception, and that the plaintiff be granted leave to amend the particulars of claim. Mr Herholdt for the defendant submitted that the action itself be dismissed.</w:t>
      </w:r>
    </w:p>
    <w:p w14:paraId="68110088" w14:textId="112268B5" w:rsidR="00B71A55" w:rsidRPr="0006604F" w:rsidRDefault="0082555A" w:rsidP="00C74E97">
      <w:pPr>
        <w:widowControl w:val="0"/>
        <w:numPr>
          <w:ilvl w:val="0"/>
          <w:numId w:val="1"/>
        </w:numPr>
        <w:spacing w:before="480" w:after="480" w:line="360" w:lineRule="auto"/>
        <w:jc w:val="both"/>
        <w:rPr>
          <w:rFonts w:cs="Arial"/>
          <w:bCs/>
          <w:szCs w:val="22"/>
        </w:rPr>
      </w:pPr>
      <w:r w:rsidRPr="0006604F">
        <w:rPr>
          <w:rFonts w:cs="Arial"/>
          <w:bCs/>
          <w:szCs w:val="22"/>
        </w:rPr>
        <w:t>To my mind the answer is to be found in the order of 23 May 2023. The issue separated is a very narrow one. I am called upon to determine</w:t>
      </w:r>
      <w:r w:rsidR="003511F3">
        <w:rPr>
          <w:rFonts w:cs="Arial"/>
          <w:bCs/>
          <w:szCs w:val="22"/>
        </w:rPr>
        <w:t xml:space="preserve"> only</w:t>
      </w:r>
      <w:r w:rsidRPr="0006604F">
        <w:rPr>
          <w:rFonts w:cs="Arial"/>
          <w:bCs/>
          <w:szCs w:val="22"/>
        </w:rPr>
        <w:t xml:space="preserve"> if the defendant is liable in delict on the pleadings, with the contract as the basis for the delictual liability.</w:t>
      </w:r>
      <w:r w:rsidR="006C0D1A" w:rsidRPr="0006604F">
        <w:rPr>
          <w:rStyle w:val="FootnoteReference"/>
          <w:rFonts w:cs="Arial"/>
          <w:bCs/>
          <w:szCs w:val="22"/>
        </w:rPr>
        <w:footnoteReference w:id="21"/>
      </w:r>
      <w:r w:rsidR="0080665F" w:rsidRPr="0006604F">
        <w:rPr>
          <w:rFonts w:cs="Arial"/>
          <w:bCs/>
          <w:szCs w:val="22"/>
        </w:rPr>
        <w:t xml:space="preserve"> </w:t>
      </w:r>
    </w:p>
    <w:p w14:paraId="4BA3F33B" w14:textId="36E41BF3" w:rsidR="0082555A" w:rsidRPr="0006604F" w:rsidRDefault="0080665F" w:rsidP="00C74E97">
      <w:pPr>
        <w:widowControl w:val="0"/>
        <w:numPr>
          <w:ilvl w:val="0"/>
          <w:numId w:val="1"/>
        </w:numPr>
        <w:spacing w:before="480" w:after="480" w:line="360" w:lineRule="auto"/>
        <w:jc w:val="both"/>
        <w:rPr>
          <w:rFonts w:cs="Arial"/>
          <w:bCs/>
          <w:szCs w:val="22"/>
        </w:rPr>
      </w:pPr>
      <w:r w:rsidRPr="0006604F">
        <w:rPr>
          <w:rFonts w:cs="Arial"/>
          <w:bCs/>
          <w:szCs w:val="22"/>
        </w:rPr>
        <w:t>I am not called upon to determine whether, as Mr van Nieuwenhuizen argues, the necessary facts are pleaded (however ineptly</w:t>
      </w:r>
      <w:r w:rsidR="00B71A55" w:rsidRPr="0006604F">
        <w:rPr>
          <w:rFonts w:cs="Arial"/>
          <w:bCs/>
          <w:szCs w:val="22"/>
        </w:rPr>
        <w:t xml:space="preserve"> and confusingly)</w:t>
      </w:r>
      <w:r w:rsidRPr="0006604F">
        <w:rPr>
          <w:rFonts w:cs="Arial"/>
          <w:bCs/>
          <w:szCs w:val="22"/>
        </w:rPr>
        <w:t xml:space="preserve"> to also sustain a </w:t>
      </w:r>
      <w:r w:rsidRPr="0006604F">
        <w:rPr>
          <w:rFonts w:cs="Arial"/>
          <w:bCs/>
          <w:szCs w:val="22"/>
        </w:rPr>
        <w:lastRenderedPageBreak/>
        <w:t>contractual claim.</w:t>
      </w:r>
    </w:p>
    <w:p w14:paraId="16A47494" w14:textId="732B06D9" w:rsidR="00B71A55" w:rsidRPr="0006604F" w:rsidRDefault="00B71A55" w:rsidP="00C74E97">
      <w:pPr>
        <w:widowControl w:val="0"/>
        <w:numPr>
          <w:ilvl w:val="0"/>
          <w:numId w:val="1"/>
        </w:numPr>
        <w:spacing w:before="480" w:after="480" w:line="360" w:lineRule="auto"/>
        <w:jc w:val="both"/>
        <w:rPr>
          <w:rFonts w:cs="Arial"/>
          <w:bCs/>
          <w:szCs w:val="22"/>
        </w:rPr>
      </w:pPr>
      <w:r w:rsidRPr="0006604F">
        <w:rPr>
          <w:rFonts w:cs="Arial"/>
          <w:bCs/>
          <w:szCs w:val="22"/>
        </w:rPr>
        <w:t>I conclude that I am neither permitted to grant the plaintiff leave to amend the particulars of claim, nor to dismiss the action.</w:t>
      </w:r>
      <w:r w:rsidR="00854139" w:rsidRPr="0006604F">
        <w:rPr>
          <w:rFonts w:cs="Arial"/>
          <w:bCs/>
          <w:szCs w:val="22"/>
        </w:rPr>
        <w:t xml:space="preserve"> The plaintiff is of course entitled to apply for leave to amend in terms of Rule 28, and should do so within a reasonable time so that the finalisation of the litigation is not unduly delayed.</w:t>
      </w:r>
    </w:p>
    <w:p w14:paraId="74C5E6F4" w14:textId="0447F54B" w:rsidR="00854139" w:rsidRPr="0006604F" w:rsidRDefault="00854139" w:rsidP="00C74E97">
      <w:pPr>
        <w:widowControl w:val="0"/>
        <w:numPr>
          <w:ilvl w:val="0"/>
          <w:numId w:val="1"/>
        </w:numPr>
        <w:spacing w:before="480" w:after="480" w:line="360" w:lineRule="auto"/>
        <w:jc w:val="both"/>
        <w:rPr>
          <w:rFonts w:cs="Arial"/>
          <w:bCs/>
          <w:szCs w:val="22"/>
        </w:rPr>
      </w:pPr>
      <w:r w:rsidRPr="0006604F">
        <w:rPr>
          <w:rFonts w:cs="Arial"/>
          <w:bCs/>
          <w:szCs w:val="22"/>
        </w:rPr>
        <w:t>It is so that the present dispute could</w:t>
      </w:r>
      <w:r w:rsidR="003511F3">
        <w:rPr>
          <w:rFonts w:cs="Arial"/>
          <w:bCs/>
          <w:szCs w:val="22"/>
        </w:rPr>
        <w:t xml:space="preserve"> perhaps</w:t>
      </w:r>
      <w:r w:rsidRPr="0006604F">
        <w:rPr>
          <w:rFonts w:cs="Arial"/>
          <w:bCs/>
          <w:szCs w:val="22"/>
        </w:rPr>
        <w:t xml:space="preserve"> have been dealt with by way of exception on the basis that the particulars of claim were vague and embarrassing, alternatively did not disclose a cause of action.</w:t>
      </w:r>
      <w:r w:rsidRPr="0006604F">
        <w:rPr>
          <w:rStyle w:val="FootnoteReference"/>
          <w:rFonts w:cs="Arial"/>
          <w:bCs/>
          <w:szCs w:val="22"/>
        </w:rPr>
        <w:footnoteReference w:id="22"/>
      </w:r>
      <w:r w:rsidRPr="0006604F">
        <w:rPr>
          <w:rFonts w:cs="Arial"/>
          <w:bCs/>
          <w:szCs w:val="22"/>
        </w:rPr>
        <w:t xml:space="preserve"> Having considered the costs aspect I am nevertheless of the view that the plaintiff should bear the costs, and that the cost order not be limited to costs on exception.</w:t>
      </w:r>
    </w:p>
    <w:p w14:paraId="3D1A49C8" w14:textId="2EFB9DDA" w:rsidR="0082555A" w:rsidRPr="0006604F" w:rsidRDefault="0082555A" w:rsidP="0082555A">
      <w:pPr>
        <w:widowControl w:val="0"/>
        <w:spacing w:before="480" w:after="480" w:line="360" w:lineRule="auto"/>
        <w:jc w:val="both"/>
        <w:rPr>
          <w:rFonts w:cs="Arial"/>
          <w:bCs/>
          <w:szCs w:val="22"/>
          <w:u w:val="single"/>
        </w:rPr>
      </w:pPr>
      <w:r w:rsidRPr="0006604F">
        <w:rPr>
          <w:rFonts w:cs="Arial"/>
          <w:bCs/>
          <w:szCs w:val="22"/>
          <w:u w:val="single"/>
        </w:rPr>
        <w:t>Conclusion</w:t>
      </w:r>
    </w:p>
    <w:p w14:paraId="2123C4F6" w14:textId="5ABDC423" w:rsidR="00051A2B" w:rsidRPr="0006604F" w:rsidRDefault="00051A2B" w:rsidP="00C74E97">
      <w:pPr>
        <w:widowControl w:val="0"/>
        <w:numPr>
          <w:ilvl w:val="0"/>
          <w:numId w:val="1"/>
        </w:numPr>
        <w:spacing w:before="480" w:after="480" w:line="360" w:lineRule="auto"/>
        <w:jc w:val="both"/>
        <w:rPr>
          <w:rFonts w:cs="Arial"/>
          <w:bCs/>
          <w:szCs w:val="22"/>
        </w:rPr>
      </w:pPr>
      <w:r w:rsidRPr="0006604F">
        <w:rPr>
          <w:rFonts w:cs="Arial"/>
          <w:bCs/>
          <w:szCs w:val="22"/>
        </w:rPr>
        <w:t>I therefore make the order as set out above.</w:t>
      </w:r>
    </w:p>
    <w:p w14:paraId="3E6BA7DA" w14:textId="43133B0D" w:rsidR="00AE287F" w:rsidRPr="0006604F" w:rsidRDefault="00AE287F" w:rsidP="006C43D7">
      <w:pPr>
        <w:tabs>
          <w:tab w:val="right" w:pos="0"/>
        </w:tabs>
        <w:spacing w:line="360" w:lineRule="auto"/>
        <w:contextualSpacing/>
        <w:jc w:val="right"/>
        <w:rPr>
          <w:rFonts w:cs="Arial"/>
          <w:b/>
          <w:szCs w:val="22"/>
        </w:rPr>
      </w:pPr>
    </w:p>
    <w:p w14:paraId="53CD27EE" w14:textId="672559CF" w:rsidR="00AE287F" w:rsidRPr="0006604F" w:rsidRDefault="00A649E6" w:rsidP="006C43D7">
      <w:pPr>
        <w:tabs>
          <w:tab w:val="right" w:pos="0"/>
        </w:tabs>
        <w:spacing w:line="360" w:lineRule="auto"/>
        <w:contextualSpacing/>
        <w:jc w:val="right"/>
        <w:rPr>
          <w:rFonts w:cs="Arial"/>
          <w:b/>
          <w:szCs w:val="22"/>
        </w:rPr>
      </w:pPr>
      <w:r w:rsidRPr="0006604F">
        <w:rPr>
          <w:rFonts w:cs="Arial"/>
          <w:b/>
          <w:szCs w:val="22"/>
        </w:rPr>
        <w:t>______________</w:t>
      </w:r>
    </w:p>
    <w:p w14:paraId="0CCB9BFE" w14:textId="7ABE564D" w:rsidR="006C43D7" w:rsidRPr="0006604F" w:rsidRDefault="00C676F3" w:rsidP="006C43D7">
      <w:pPr>
        <w:tabs>
          <w:tab w:val="right" w:pos="0"/>
        </w:tabs>
        <w:spacing w:line="360" w:lineRule="auto"/>
        <w:contextualSpacing/>
        <w:jc w:val="right"/>
        <w:rPr>
          <w:rFonts w:cs="Arial"/>
          <w:b/>
          <w:szCs w:val="22"/>
        </w:rPr>
      </w:pPr>
      <w:r w:rsidRPr="0006604F">
        <w:rPr>
          <w:rFonts w:cs="Arial"/>
          <w:b/>
          <w:szCs w:val="22"/>
        </w:rPr>
        <w:t>J MOORCROFT</w:t>
      </w:r>
    </w:p>
    <w:p w14:paraId="7A2C1059" w14:textId="77777777" w:rsidR="006C43D7" w:rsidRPr="0006604F" w:rsidRDefault="006C43D7" w:rsidP="006C43D7">
      <w:pPr>
        <w:tabs>
          <w:tab w:val="right" w:pos="0"/>
        </w:tabs>
        <w:spacing w:line="360" w:lineRule="auto"/>
        <w:contextualSpacing/>
        <w:jc w:val="right"/>
        <w:rPr>
          <w:rFonts w:cs="Arial"/>
          <w:b/>
          <w:szCs w:val="22"/>
        </w:rPr>
      </w:pPr>
      <w:r w:rsidRPr="0006604F">
        <w:rPr>
          <w:rFonts w:cs="Arial"/>
          <w:b/>
          <w:szCs w:val="22"/>
        </w:rPr>
        <w:t>ACTING JUDGE OF THE HIGH COURT OF SOUTH AFRICA</w:t>
      </w:r>
    </w:p>
    <w:p w14:paraId="077C2590" w14:textId="7452355B" w:rsidR="006C43D7" w:rsidRPr="0006604F" w:rsidRDefault="006C43D7" w:rsidP="006C43D7">
      <w:pPr>
        <w:tabs>
          <w:tab w:val="right" w:pos="0"/>
          <w:tab w:val="left" w:pos="4253"/>
        </w:tabs>
        <w:spacing w:line="360" w:lineRule="auto"/>
        <w:contextualSpacing/>
        <w:jc w:val="right"/>
        <w:rPr>
          <w:rFonts w:cs="Arial"/>
          <w:b/>
          <w:szCs w:val="22"/>
        </w:rPr>
      </w:pPr>
      <w:r w:rsidRPr="0006604F">
        <w:rPr>
          <w:rFonts w:cs="Arial"/>
          <w:b/>
          <w:szCs w:val="22"/>
        </w:rPr>
        <w:t>GAUTENG DIVISION</w:t>
      </w:r>
    </w:p>
    <w:p w14:paraId="40B9C946" w14:textId="77777777" w:rsidR="006C43D7" w:rsidRPr="0006604F" w:rsidRDefault="006C43D7" w:rsidP="006C43D7">
      <w:pPr>
        <w:tabs>
          <w:tab w:val="right" w:pos="0"/>
          <w:tab w:val="left" w:pos="4253"/>
        </w:tabs>
        <w:spacing w:line="360" w:lineRule="auto"/>
        <w:contextualSpacing/>
        <w:jc w:val="right"/>
        <w:rPr>
          <w:rFonts w:cs="Arial"/>
          <w:b/>
          <w:szCs w:val="22"/>
        </w:rPr>
      </w:pPr>
      <w:r w:rsidRPr="0006604F">
        <w:rPr>
          <w:rFonts w:cs="Arial"/>
          <w:b/>
          <w:szCs w:val="22"/>
        </w:rPr>
        <w:t>JOHANNESBURG</w:t>
      </w:r>
    </w:p>
    <w:p w14:paraId="326B529B" w14:textId="77777777" w:rsidR="006C43D7" w:rsidRPr="0006604F"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06604F" w:rsidRDefault="006C43D7" w:rsidP="006C43D7">
      <w:pPr>
        <w:spacing w:after="200" w:line="480" w:lineRule="auto"/>
        <w:contextualSpacing/>
        <w:jc w:val="right"/>
        <w:rPr>
          <w:rFonts w:cs="Arial"/>
          <w:b/>
          <w:i/>
          <w:iCs/>
          <w:szCs w:val="22"/>
        </w:rPr>
      </w:pPr>
      <w:r w:rsidRPr="0006604F">
        <w:rPr>
          <w:rFonts w:cs="Arial"/>
          <w:b/>
          <w:i/>
          <w:iCs/>
          <w:szCs w:val="22"/>
        </w:rPr>
        <w:t>Electronically submitted</w:t>
      </w:r>
    </w:p>
    <w:p w14:paraId="4E3E9427" w14:textId="77777777" w:rsidR="006C43D7" w:rsidRPr="0006604F" w:rsidRDefault="006C43D7" w:rsidP="006C43D7">
      <w:pPr>
        <w:spacing w:after="200" w:line="360" w:lineRule="auto"/>
        <w:contextualSpacing/>
        <w:jc w:val="both"/>
        <w:rPr>
          <w:rFonts w:eastAsia="Arial Unicode MS" w:cs="Arial"/>
          <w:bCs/>
          <w:szCs w:val="22"/>
        </w:rPr>
      </w:pPr>
    </w:p>
    <w:p w14:paraId="51C686CA" w14:textId="50EFC04C" w:rsidR="006C43D7" w:rsidRPr="0006604F" w:rsidRDefault="006C43D7" w:rsidP="006C43D7">
      <w:pPr>
        <w:spacing w:after="200" w:line="360" w:lineRule="auto"/>
        <w:contextualSpacing/>
        <w:jc w:val="both"/>
        <w:rPr>
          <w:rFonts w:eastAsia="Arial Unicode MS" w:cs="Arial"/>
          <w:bCs/>
          <w:szCs w:val="22"/>
        </w:rPr>
      </w:pPr>
      <w:r w:rsidRPr="0006604F">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06604F">
        <w:rPr>
          <w:rFonts w:eastAsia="Arial Unicode MS" w:cs="Arial"/>
          <w:bCs/>
          <w:szCs w:val="22"/>
        </w:rPr>
        <w:t xml:space="preserve"> </w:t>
      </w:r>
      <w:r w:rsidR="00170AEE" w:rsidRPr="0006604F">
        <w:rPr>
          <w:rFonts w:eastAsia="Arial Unicode MS" w:cs="Arial"/>
          <w:b/>
          <w:szCs w:val="22"/>
        </w:rPr>
        <w:t xml:space="preserve">3 JULY </w:t>
      </w:r>
      <w:r w:rsidR="00237FF9" w:rsidRPr="0006604F">
        <w:rPr>
          <w:rFonts w:eastAsia="Arial Unicode MS" w:cs="Arial"/>
          <w:b/>
          <w:bCs/>
          <w:szCs w:val="22"/>
        </w:rPr>
        <w:t>202</w:t>
      </w:r>
      <w:r w:rsidR="00051A2B" w:rsidRPr="0006604F">
        <w:rPr>
          <w:rFonts w:eastAsia="Arial Unicode MS" w:cs="Arial"/>
          <w:b/>
          <w:bCs/>
          <w:szCs w:val="22"/>
        </w:rPr>
        <w:t>3</w:t>
      </w:r>
      <w:r w:rsidR="00051A2B" w:rsidRPr="0006604F">
        <w:rPr>
          <w:rFonts w:eastAsia="Arial Unicode MS" w:cs="Arial"/>
          <w:bCs/>
          <w:szCs w:val="22"/>
        </w:rPr>
        <w:t>.</w:t>
      </w:r>
    </w:p>
    <w:p w14:paraId="482DDF6E" w14:textId="77777777" w:rsidR="006C43D7" w:rsidRPr="0006604F"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4852"/>
      </w:tblGrid>
      <w:tr w:rsidR="009D35B5" w:rsidRPr="0006604F" w14:paraId="493AF0D7" w14:textId="77777777" w:rsidTr="003511F3">
        <w:tc>
          <w:tcPr>
            <w:tcW w:w="3228" w:type="dxa"/>
          </w:tcPr>
          <w:p w14:paraId="6A05541A" w14:textId="2B804A1B" w:rsidR="009D35B5" w:rsidRPr="0006604F" w:rsidRDefault="009D35B5" w:rsidP="006C49F6">
            <w:pPr>
              <w:tabs>
                <w:tab w:val="right" w:pos="0"/>
                <w:tab w:val="left" w:pos="4253"/>
              </w:tabs>
              <w:spacing w:before="120" w:after="120"/>
              <w:rPr>
                <w:rFonts w:cs="Arial"/>
                <w:szCs w:val="22"/>
              </w:rPr>
            </w:pPr>
            <w:r w:rsidRPr="0006604F">
              <w:rPr>
                <w:rFonts w:cs="Arial"/>
                <w:szCs w:val="22"/>
              </w:rPr>
              <w:t xml:space="preserve">COUNSEL FOR </w:t>
            </w:r>
            <w:r w:rsidR="00170AEE" w:rsidRPr="0006604F">
              <w:rPr>
                <w:rFonts w:cs="Arial"/>
                <w:szCs w:val="22"/>
              </w:rPr>
              <w:t>PLAINTIFF</w:t>
            </w:r>
            <w:r w:rsidRPr="0006604F">
              <w:rPr>
                <w:rFonts w:cs="Arial"/>
                <w:szCs w:val="22"/>
              </w:rPr>
              <w:t>:</w:t>
            </w:r>
          </w:p>
        </w:tc>
        <w:tc>
          <w:tcPr>
            <w:tcW w:w="4852" w:type="dxa"/>
          </w:tcPr>
          <w:p w14:paraId="69785AA9" w14:textId="5C7417A1" w:rsidR="00DC6EF8" w:rsidRPr="0006604F" w:rsidRDefault="006A7245" w:rsidP="006C49F6">
            <w:pPr>
              <w:tabs>
                <w:tab w:val="right" w:pos="0"/>
                <w:tab w:val="left" w:pos="567"/>
                <w:tab w:val="right" w:pos="2727"/>
                <w:tab w:val="left" w:pos="4253"/>
              </w:tabs>
              <w:spacing w:before="120" w:after="120"/>
              <w:jc w:val="right"/>
              <w:rPr>
                <w:rFonts w:cs="Arial"/>
                <w:szCs w:val="22"/>
              </w:rPr>
            </w:pPr>
            <w:r w:rsidRPr="0006604F">
              <w:rPr>
                <w:rFonts w:cs="Arial"/>
                <w:szCs w:val="22"/>
              </w:rPr>
              <w:t>H VAN NIEUWENHUIZEN</w:t>
            </w:r>
          </w:p>
        </w:tc>
      </w:tr>
      <w:tr w:rsidR="009D35B5" w:rsidRPr="0006604F" w14:paraId="183C176D" w14:textId="77777777" w:rsidTr="003511F3">
        <w:tc>
          <w:tcPr>
            <w:tcW w:w="3228" w:type="dxa"/>
          </w:tcPr>
          <w:p w14:paraId="75365413" w14:textId="481747BC" w:rsidR="009D35B5" w:rsidRPr="0006604F" w:rsidRDefault="009D35B5" w:rsidP="006C49F6">
            <w:pPr>
              <w:tabs>
                <w:tab w:val="right" w:pos="0"/>
                <w:tab w:val="left" w:pos="4253"/>
              </w:tabs>
              <w:spacing w:before="120" w:after="120"/>
              <w:rPr>
                <w:rFonts w:cs="Arial"/>
                <w:szCs w:val="22"/>
              </w:rPr>
            </w:pPr>
            <w:r w:rsidRPr="0006604F">
              <w:rPr>
                <w:rFonts w:cs="Arial"/>
                <w:szCs w:val="22"/>
              </w:rPr>
              <w:t>INSTRUCTED BY:</w:t>
            </w:r>
          </w:p>
        </w:tc>
        <w:tc>
          <w:tcPr>
            <w:tcW w:w="4852" w:type="dxa"/>
          </w:tcPr>
          <w:p w14:paraId="4044534A" w14:textId="7C2C1868" w:rsidR="00762178" w:rsidRPr="0006604F" w:rsidRDefault="006A7245" w:rsidP="006C49F6">
            <w:pPr>
              <w:tabs>
                <w:tab w:val="right" w:pos="0"/>
                <w:tab w:val="left" w:pos="4253"/>
              </w:tabs>
              <w:spacing w:before="120" w:after="120"/>
              <w:jc w:val="right"/>
              <w:rPr>
                <w:rFonts w:cs="Arial"/>
                <w:szCs w:val="22"/>
              </w:rPr>
            </w:pPr>
            <w:r w:rsidRPr="0006604F">
              <w:rPr>
                <w:rFonts w:cs="Arial"/>
                <w:szCs w:val="22"/>
              </w:rPr>
              <w:t>ZIYAAD PATEL ATTORNEYS</w:t>
            </w:r>
          </w:p>
        </w:tc>
      </w:tr>
      <w:tr w:rsidR="009D35B5" w:rsidRPr="0006604F" w14:paraId="6E2BF966" w14:textId="77777777" w:rsidTr="003511F3">
        <w:tc>
          <w:tcPr>
            <w:tcW w:w="3228" w:type="dxa"/>
          </w:tcPr>
          <w:p w14:paraId="545B6665" w14:textId="3E4348EB" w:rsidR="009D35B5" w:rsidRPr="0006604F" w:rsidRDefault="009D35B5" w:rsidP="006C49F6">
            <w:pPr>
              <w:tabs>
                <w:tab w:val="right" w:pos="0"/>
                <w:tab w:val="left" w:pos="4253"/>
              </w:tabs>
              <w:spacing w:before="120" w:after="120"/>
              <w:rPr>
                <w:rFonts w:cs="Arial"/>
                <w:szCs w:val="22"/>
              </w:rPr>
            </w:pPr>
            <w:r w:rsidRPr="0006604F">
              <w:rPr>
                <w:rFonts w:cs="Arial"/>
                <w:szCs w:val="22"/>
              </w:rPr>
              <w:lastRenderedPageBreak/>
              <w:t xml:space="preserve">COUNSEL FOR </w:t>
            </w:r>
            <w:r w:rsidR="006245EC" w:rsidRPr="0006604F">
              <w:rPr>
                <w:rFonts w:cs="Arial"/>
                <w:szCs w:val="22"/>
              </w:rPr>
              <w:t>DEFENDANT</w:t>
            </w:r>
            <w:r w:rsidRPr="0006604F">
              <w:rPr>
                <w:rFonts w:cs="Arial"/>
                <w:szCs w:val="22"/>
              </w:rPr>
              <w:t>:</w:t>
            </w:r>
          </w:p>
        </w:tc>
        <w:tc>
          <w:tcPr>
            <w:tcW w:w="4852" w:type="dxa"/>
          </w:tcPr>
          <w:p w14:paraId="51741A90" w14:textId="2387D456" w:rsidR="009D35B5" w:rsidRPr="0006604F" w:rsidRDefault="006A7245" w:rsidP="006C49F6">
            <w:pPr>
              <w:tabs>
                <w:tab w:val="right" w:pos="0"/>
                <w:tab w:val="left" w:pos="4253"/>
              </w:tabs>
              <w:spacing w:before="120" w:after="120"/>
              <w:jc w:val="right"/>
              <w:rPr>
                <w:rFonts w:cs="Arial"/>
                <w:szCs w:val="22"/>
              </w:rPr>
            </w:pPr>
            <w:r w:rsidRPr="0006604F">
              <w:rPr>
                <w:rFonts w:cs="Arial"/>
                <w:szCs w:val="22"/>
              </w:rPr>
              <w:t>G HERHOLDT</w:t>
            </w:r>
          </w:p>
        </w:tc>
      </w:tr>
      <w:tr w:rsidR="009D35B5" w:rsidRPr="0006604F" w14:paraId="1EC4105A" w14:textId="77777777" w:rsidTr="003511F3">
        <w:tc>
          <w:tcPr>
            <w:tcW w:w="3228" w:type="dxa"/>
          </w:tcPr>
          <w:p w14:paraId="184EC2ED" w14:textId="1E42F28A" w:rsidR="009D35B5" w:rsidRPr="0006604F" w:rsidRDefault="009D35B5" w:rsidP="006C49F6">
            <w:pPr>
              <w:tabs>
                <w:tab w:val="right" w:pos="0"/>
                <w:tab w:val="left" w:pos="4253"/>
              </w:tabs>
              <w:spacing w:before="120" w:after="120"/>
              <w:rPr>
                <w:rFonts w:cs="Arial"/>
                <w:szCs w:val="22"/>
              </w:rPr>
            </w:pPr>
            <w:r w:rsidRPr="0006604F">
              <w:rPr>
                <w:rFonts w:cs="Arial"/>
                <w:szCs w:val="22"/>
              </w:rPr>
              <w:t>INSTRUCTED BY:</w:t>
            </w:r>
          </w:p>
        </w:tc>
        <w:tc>
          <w:tcPr>
            <w:tcW w:w="4852" w:type="dxa"/>
          </w:tcPr>
          <w:p w14:paraId="2098BE2A" w14:textId="5A2EA6F9" w:rsidR="009D35B5" w:rsidRPr="0006604F" w:rsidRDefault="006A7245" w:rsidP="006C49F6">
            <w:pPr>
              <w:tabs>
                <w:tab w:val="right" w:pos="0"/>
                <w:tab w:val="left" w:pos="4253"/>
              </w:tabs>
              <w:spacing w:before="120" w:after="120"/>
              <w:jc w:val="right"/>
              <w:rPr>
                <w:rFonts w:cs="Arial"/>
                <w:szCs w:val="22"/>
              </w:rPr>
            </w:pPr>
            <w:r w:rsidRPr="0006604F">
              <w:rPr>
                <w:rFonts w:cs="Arial"/>
                <w:szCs w:val="22"/>
              </w:rPr>
              <w:t>EVERSHEDS SUTHEROLAND  SA INC</w:t>
            </w:r>
          </w:p>
        </w:tc>
      </w:tr>
      <w:tr w:rsidR="009D35B5" w:rsidRPr="0006604F" w14:paraId="2A3FE2B1" w14:textId="77777777" w:rsidTr="003511F3">
        <w:tc>
          <w:tcPr>
            <w:tcW w:w="3228" w:type="dxa"/>
          </w:tcPr>
          <w:p w14:paraId="0767D0FE" w14:textId="4707CE9D" w:rsidR="009D35B5" w:rsidRPr="0006604F" w:rsidRDefault="009D35B5" w:rsidP="006C49F6">
            <w:pPr>
              <w:tabs>
                <w:tab w:val="right" w:pos="0"/>
                <w:tab w:val="left" w:pos="4253"/>
              </w:tabs>
              <w:spacing w:before="120" w:after="120"/>
              <w:rPr>
                <w:rFonts w:cs="Arial"/>
                <w:szCs w:val="22"/>
              </w:rPr>
            </w:pPr>
            <w:r w:rsidRPr="0006604F">
              <w:rPr>
                <w:rFonts w:cs="Arial"/>
                <w:szCs w:val="22"/>
              </w:rPr>
              <w:t xml:space="preserve">DATE OF THE </w:t>
            </w:r>
            <w:r w:rsidR="006245EC" w:rsidRPr="0006604F">
              <w:rPr>
                <w:rFonts w:cs="Arial"/>
                <w:szCs w:val="22"/>
              </w:rPr>
              <w:t>TRIAL</w:t>
            </w:r>
            <w:r w:rsidRPr="0006604F">
              <w:rPr>
                <w:rFonts w:cs="Arial"/>
                <w:szCs w:val="22"/>
              </w:rPr>
              <w:t>:</w:t>
            </w:r>
          </w:p>
        </w:tc>
        <w:tc>
          <w:tcPr>
            <w:tcW w:w="4852" w:type="dxa"/>
          </w:tcPr>
          <w:p w14:paraId="34C95147" w14:textId="28B02190" w:rsidR="009D35B5" w:rsidRPr="0006604F" w:rsidRDefault="006A7245" w:rsidP="006C49F6">
            <w:pPr>
              <w:tabs>
                <w:tab w:val="right" w:pos="0"/>
                <w:tab w:val="left" w:pos="4253"/>
              </w:tabs>
              <w:spacing w:before="120" w:after="120"/>
              <w:jc w:val="right"/>
              <w:rPr>
                <w:rFonts w:cs="Arial"/>
                <w:szCs w:val="22"/>
              </w:rPr>
            </w:pPr>
            <w:r w:rsidRPr="0006604F">
              <w:rPr>
                <w:rFonts w:cs="Arial"/>
                <w:szCs w:val="22"/>
              </w:rPr>
              <w:t>5 JUNE 2023</w:t>
            </w:r>
          </w:p>
        </w:tc>
      </w:tr>
      <w:tr w:rsidR="009D35B5" w:rsidRPr="0006604F" w14:paraId="757AA656" w14:textId="77777777" w:rsidTr="003511F3">
        <w:tc>
          <w:tcPr>
            <w:tcW w:w="3228" w:type="dxa"/>
          </w:tcPr>
          <w:p w14:paraId="05387251" w14:textId="5A778948" w:rsidR="009D35B5" w:rsidRPr="0006604F" w:rsidRDefault="009D35B5" w:rsidP="006C49F6">
            <w:pPr>
              <w:tabs>
                <w:tab w:val="right" w:pos="0"/>
                <w:tab w:val="left" w:pos="4253"/>
              </w:tabs>
              <w:spacing w:before="120" w:after="120"/>
              <w:rPr>
                <w:rFonts w:cs="Arial"/>
                <w:szCs w:val="22"/>
              </w:rPr>
            </w:pPr>
            <w:r w:rsidRPr="0006604F">
              <w:rPr>
                <w:rFonts w:cs="Arial"/>
                <w:szCs w:val="22"/>
              </w:rPr>
              <w:t>DATE OF JUDGMENT:</w:t>
            </w:r>
          </w:p>
        </w:tc>
        <w:tc>
          <w:tcPr>
            <w:tcW w:w="4852" w:type="dxa"/>
          </w:tcPr>
          <w:p w14:paraId="61863A62" w14:textId="13074923" w:rsidR="009D35B5" w:rsidRPr="0006604F" w:rsidRDefault="00170AEE" w:rsidP="006C49F6">
            <w:pPr>
              <w:tabs>
                <w:tab w:val="right" w:pos="0"/>
                <w:tab w:val="left" w:pos="4253"/>
              </w:tabs>
              <w:spacing w:before="120" w:after="120"/>
              <w:jc w:val="right"/>
              <w:rPr>
                <w:rFonts w:cs="Arial"/>
                <w:szCs w:val="22"/>
              </w:rPr>
            </w:pPr>
            <w:r w:rsidRPr="0006604F">
              <w:rPr>
                <w:rFonts w:cs="Arial"/>
                <w:szCs w:val="22"/>
              </w:rPr>
              <w:t>3 JULY</w:t>
            </w:r>
            <w:r w:rsidR="00051A2B" w:rsidRPr="0006604F">
              <w:rPr>
                <w:rFonts w:cs="Arial"/>
                <w:szCs w:val="22"/>
              </w:rPr>
              <w:t xml:space="preserve"> 2023</w:t>
            </w:r>
          </w:p>
        </w:tc>
      </w:tr>
    </w:tbl>
    <w:p w14:paraId="1BD8F4EB" w14:textId="24205645" w:rsidR="00A402F6" w:rsidRPr="0006604F" w:rsidRDefault="00A402F6" w:rsidP="00A402F6">
      <w:pPr>
        <w:tabs>
          <w:tab w:val="right" w:pos="8647"/>
        </w:tabs>
        <w:spacing w:line="360" w:lineRule="auto"/>
        <w:contextualSpacing/>
        <w:jc w:val="both"/>
        <w:rPr>
          <w:rFonts w:cs="Arial"/>
          <w:szCs w:val="22"/>
        </w:rPr>
      </w:pPr>
      <w:r w:rsidRPr="0006604F">
        <w:rPr>
          <w:rFonts w:cs="Arial"/>
          <w:szCs w:val="22"/>
        </w:rPr>
        <w:tab/>
      </w:r>
    </w:p>
    <w:sectPr w:rsidR="00A402F6" w:rsidRPr="0006604F"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95AC" w14:textId="77777777" w:rsidR="0083329D" w:rsidRDefault="0083329D">
      <w:r>
        <w:separator/>
      </w:r>
    </w:p>
  </w:endnote>
  <w:endnote w:type="continuationSeparator" w:id="0">
    <w:p w14:paraId="1C6859A7" w14:textId="77777777" w:rsidR="0083329D" w:rsidRDefault="0083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5C660" w14:textId="77777777" w:rsidR="0083329D" w:rsidRDefault="0083329D">
      <w:r>
        <w:separator/>
      </w:r>
    </w:p>
  </w:footnote>
  <w:footnote w:type="continuationSeparator" w:id="0">
    <w:p w14:paraId="1DB6F97C" w14:textId="77777777" w:rsidR="0083329D" w:rsidRDefault="0083329D">
      <w:r>
        <w:continuationSeparator/>
      </w:r>
    </w:p>
  </w:footnote>
  <w:footnote w:id="1">
    <w:p w14:paraId="4678C5D3" w14:textId="49ACFB4D" w:rsidR="00B71A55" w:rsidRDefault="00B71A55">
      <w:pPr>
        <w:pStyle w:val="FootnoteText"/>
      </w:pPr>
      <w:r>
        <w:rPr>
          <w:rStyle w:val="FootnoteReference"/>
        </w:rPr>
        <w:footnoteRef/>
      </w:r>
      <w:r>
        <w:t xml:space="preserve"> </w:t>
      </w:r>
      <w:r>
        <w:tab/>
        <w:t>This is clearly intended to be a reference to the plaintiff’s replication.</w:t>
      </w:r>
    </w:p>
  </w:footnote>
  <w:footnote w:id="2">
    <w:p w14:paraId="547B7F12" w14:textId="0D3D9113" w:rsidR="001D72FA" w:rsidRDefault="001D72FA">
      <w:pPr>
        <w:pStyle w:val="FootnoteText"/>
      </w:pPr>
      <w:r>
        <w:rPr>
          <w:rStyle w:val="FootnoteReference"/>
        </w:rPr>
        <w:footnoteRef/>
      </w:r>
      <w:r>
        <w:t xml:space="preserve"> </w:t>
      </w:r>
      <w:r>
        <w:tab/>
        <w:t>Breach of duty of care encompasses two elements, negligence and wrongfulness. My sentence can be construed as tautologous.</w:t>
      </w:r>
    </w:p>
  </w:footnote>
  <w:footnote w:id="3">
    <w:p w14:paraId="0C3C5332" w14:textId="14560EFA" w:rsidR="00A8576B" w:rsidRDefault="00A8576B" w:rsidP="00A8576B">
      <w:pPr>
        <w:pStyle w:val="FootnoteText"/>
      </w:pPr>
      <w:r>
        <w:rPr>
          <w:rStyle w:val="FootnoteReference"/>
        </w:rPr>
        <w:footnoteRef/>
      </w:r>
      <w:r>
        <w:t xml:space="preserve"> </w:t>
      </w:r>
      <w:r>
        <w:tab/>
      </w:r>
      <w:r w:rsidRPr="009D2DCF">
        <w:rPr>
          <w:i/>
          <w:iCs/>
        </w:rPr>
        <w:t>Trio Engineered Products Inc v Pilot Crushtec International (Pty) Ltd</w:t>
      </w:r>
      <w:r>
        <w:t xml:space="preserve"> </w:t>
      </w:r>
      <w:r w:rsidRPr="009D2DCF">
        <w:t>2019 (3) SA 580 (GJ)</w:t>
      </w:r>
      <w:r>
        <w:t xml:space="preserve"> para 20</w:t>
      </w:r>
      <w:r w:rsidR="008541C3">
        <w:t>.</w:t>
      </w:r>
    </w:p>
  </w:footnote>
  <w:footnote w:id="4">
    <w:p w14:paraId="6094A589" w14:textId="1DD179DD" w:rsidR="00A8576B" w:rsidRDefault="00A8576B">
      <w:pPr>
        <w:pStyle w:val="FootnoteText"/>
      </w:pPr>
      <w:r>
        <w:rPr>
          <w:rStyle w:val="FootnoteReference"/>
        </w:rPr>
        <w:footnoteRef/>
      </w:r>
      <w:r>
        <w:t xml:space="preserve"> </w:t>
      </w:r>
      <w:r>
        <w:tab/>
        <w:t xml:space="preserve">Ibid para 21; </w:t>
      </w:r>
      <w:r w:rsidRPr="00F94115">
        <w:rPr>
          <w:i/>
          <w:iCs/>
        </w:rPr>
        <w:t>Lillicrap, Wassenaar and Partners v Pilkington Brothers (SA) (Pty) Ltd</w:t>
      </w:r>
      <w:r>
        <w:t xml:space="preserve"> </w:t>
      </w:r>
      <w:r w:rsidRPr="00F94115">
        <w:t>1985 (1) SA 475 (A)</w:t>
      </w:r>
      <w:r>
        <w:t>.</w:t>
      </w:r>
    </w:p>
  </w:footnote>
  <w:footnote w:id="5">
    <w:p w14:paraId="2DD4CAAE" w14:textId="3E0AD77D" w:rsidR="00170AEE" w:rsidRDefault="00170AEE" w:rsidP="00170AEE">
      <w:pPr>
        <w:pStyle w:val="FootnoteText"/>
      </w:pPr>
      <w:r>
        <w:rPr>
          <w:rStyle w:val="FootnoteReference"/>
        </w:rPr>
        <w:footnoteRef/>
      </w:r>
      <w:r>
        <w:t xml:space="preserve"> </w:t>
      </w:r>
      <w:r>
        <w:tab/>
      </w:r>
      <w:r w:rsidRPr="0002113C">
        <w:rPr>
          <w:i/>
          <w:iCs/>
        </w:rPr>
        <w:t>Atlas Organic Fertilizers (Pty) Ltd v Pikkewyn Ghwano (Pty) Ltd and Others</w:t>
      </w:r>
      <w:r>
        <w:t xml:space="preserve"> </w:t>
      </w:r>
      <w:r w:rsidRPr="0002113C">
        <w:t>1981 (2) SA 173 (T)</w:t>
      </w:r>
      <w:r w:rsidR="006C0D1A">
        <w:t>.</w:t>
      </w:r>
    </w:p>
  </w:footnote>
  <w:footnote w:id="6">
    <w:p w14:paraId="45EC0D26" w14:textId="457EF506" w:rsidR="006C0D1A" w:rsidRPr="006C0D1A" w:rsidRDefault="006C0D1A">
      <w:pPr>
        <w:pStyle w:val="FootnoteText"/>
      </w:pPr>
      <w:r>
        <w:rPr>
          <w:rStyle w:val="FootnoteReference"/>
        </w:rPr>
        <w:footnoteRef/>
      </w:r>
      <w:r>
        <w:t xml:space="preserve"> </w:t>
      </w:r>
      <w:r>
        <w:tab/>
        <w:t>See</w:t>
      </w:r>
      <w:r w:rsidR="00CF1129">
        <w:t xml:space="preserve"> </w:t>
      </w:r>
      <w:r>
        <w:t xml:space="preserve">van Heerden and Neethling </w:t>
      </w:r>
      <w:r>
        <w:rPr>
          <w:i/>
          <w:iCs/>
        </w:rPr>
        <w:t xml:space="preserve">Unlawful Competition </w:t>
      </w:r>
      <w:r>
        <w:t>1</w:t>
      </w:r>
      <w:r w:rsidRPr="006C0D1A">
        <w:rPr>
          <w:vertAlign w:val="superscript"/>
        </w:rPr>
        <w:t>st</w:t>
      </w:r>
      <w:r>
        <w:t xml:space="preserve"> ed. 1995 p 234 to 239, and specifically footnote 79 on page 235.</w:t>
      </w:r>
    </w:p>
  </w:footnote>
  <w:footnote w:id="7">
    <w:p w14:paraId="667B2F9D" w14:textId="6C360409" w:rsidR="00C10C0C" w:rsidRDefault="00C10C0C">
      <w:pPr>
        <w:pStyle w:val="FootnoteText"/>
      </w:pPr>
      <w:r>
        <w:rPr>
          <w:rStyle w:val="FootnoteReference"/>
        </w:rPr>
        <w:footnoteRef/>
      </w:r>
      <w:r>
        <w:t xml:space="preserve"> </w:t>
      </w:r>
      <w:r>
        <w:tab/>
      </w:r>
      <w:r w:rsidRPr="00AF1C4D">
        <w:rPr>
          <w:i/>
          <w:iCs/>
        </w:rPr>
        <w:t xml:space="preserve">Trustees, Two Oceans Aquarium Trust v Kantey &amp; Templer (Pty) Ltd </w:t>
      </w:r>
      <w:r w:rsidRPr="00AF1C4D">
        <w:t>2006 (3) SA 138 (SCA)</w:t>
      </w:r>
      <w:r>
        <w:t xml:space="preserve"> para 18.</w:t>
      </w:r>
      <w:r w:rsidR="00855D5D">
        <w:t xml:space="preserve"> Brand JA said: </w:t>
      </w:r>
      <w:r w:rsidR="00855D5D" w:rsidRPr="00AF1C4D">
        <w:rPr>
          <w:rFonts w:cs="Arial"/>
          <w:i/>
          <w:iCs/>
        </w:rPr>
        <w:t>“The point underlying the decision in Lillicrap was that the existence of a contractual relationship enables the parties to regulate their relationship themselves, including provisions as to their respective remedies. There is thus no policy imperative for the law to superimpose a further remedy. Consequently, the mere absence of a contractual remedy in the present case does not by itself distinguish it materially from Lillicrap.</w:t>
      </w:r>
      <w:r w:rsidR="00855D5D">
        <w:rPr>
          <w:rFonts w:cs="Arial"/>
          <w:i/>
          <w:iCs/>
        </w:rPr>
        <w:t>”</w:t>
      </w:r>
      <w:r w:rsidR="00855D5D">
        <w:t>”</w:t>
      </w:r>
    </w:p>
  </w:footnote>
  <w:footnote w:id="8">
    <w:p w14:paraId="742CC6E9" w14:textId="42B5E605" w:rsidR="00C10C0C" w:rsidRDefault="00C10C0C" w:rsidP="00C10C0C">
      <w:pPr>
        <w:pStyle w:val="FootnoteText"/>
      </w:pPr>
      <w:r>
        <w:rPr>
          <w:rStyle w:val="FootnoteReference"/>
        </w:rPr>
        <w:footnoteRef/>
      </w:r>
      <w:r>
        <w:t xml:space="preserve"> </w:t>
      </w:r>
      <w:r>
        <w:tab/>
      </w:r>
      <w:r w:rsidR="00B55800">
        <w:t xml:space="preserve">Compare </w:t>
      </w:r>
      <w:r w:rsidRPr="00AF1C4D">
        <w:rPr>
          <w:i/>
          <w:iCs/>
        </w:rPr>
        <w:t xml:space="preserve">Trustees, Two Oceans Aquarium Trust v Kantey &amp; Templer (Pty) Ltd </w:t>
      </w:r>
      <w:r w:rsidRPr="00AF1C4D">
        <w:t>2006 (3) SA 138 (SCA)</w:t>
      </w:r>
      <w:r>
        <w:t xml:space="preserve"> para </w:t>
      </w:r>
      <w:r w:rsidR="00B55800">
        <w:t>24</w:t>
      </w:r>
      <w:r>
        <w:t>.</w:t>
      </w:r>
    </w:p>
  </w:footnote>
  <w:footnote w:id="9">
    <w:p w14:paraId="46EABBD4" w14:textId="2A8F6EF1" w:rsidR="00497189" w:rsidRDefault="00497189">
      <w:pPr>
        <w:pStyle w:val="FootnoteText"/>
      </w:pPr>
      <w:r>
        <w:rPr>
          <w:rStyle w:val="FootnoteReference"/>
        </w:rPr>
        <w:footnoteRef/>
      </w:r>
      <w:r>
        <w:t xml:space="preserve"> </w:t>
      </w:r>
      <w:r>
        <w:tab/>
        <w:t>The National Credit Act, 34 of 2005 comes to mind. So does the Private Security Industry Regulation Act, 56 of 2001 and Code of Conduct. It is not alleged in this matter that the contract was in conflict with obligations imposed by law.</w:t>
      </w:r>
    </w:p>
  </w:footnote>
  <w:footnote w:id="10">
    <w:p w14:paraId="41EAA0DD" w14:textId="604DA9CD" w:rsidR="00297352" w:rsidRDefault="00297352">
      <w:pPr>
        <w:pStyle w:val="FootnoteText"/>
      </w:pPr>
      <w:r>
        <w:rPr>
          <w:rStyle w:val="FootnoteReference"/>
        </w:rPr>
        <w:footnoteRef/>
      </w:r>
      <w:r>
        <w:t xml:space="preserve"> </w:t>
      </w:r>
      <w:r>
        <w:tab/>
      </w:r>
      <w:r w:rsidR="0023713F" w:rsidRPr="00F94115">
        <w:rPr>
          <w:i/>
          <w:iCs/>
        </w:rPr>
        <w:t>Lillicrap, Wassenaar and Partners v Pilkington Brothers (SA) (Pty) Ltd</w:t>
      </w:r>
      <w:r w:rsidR="0023713F">
        <w:t xml:space="preserve"> </w:t>
      </w:r>
      <w:r w:rsidR="0023713F" w:rsidRPr="00F94115">
        <w:t>1985 (1) SA 475 (A)</w:t>
      </w:r>
      <w:r w:rsidR="0023713F">
        <w:t xml:space="preserve"> </w:t>
      </w:r>
      <w:r w:rsidR="00BE3721">
        <w:t>500F to</w:t>
      </w:r>
      <w:r w:rsidR="0023713F">
        <w:t xml:space="preserve"> 501H.</w:t>
      </w:r>
      <w:r w:rsidR="00BE3721">
        <w:t xml:space="preserve"> </w:t>
      </w:r>
      <w:r>
        <w:t xml:space="preserve">See also </w:t>
      </w:r>
      <w:r w:rsidRPr="00EB5918">
        <w:rPr>
          <w:i/>
          <w:iCs/>
        </w:rPr>
        <w:t>Country Cloud Trading CC v MEC, Department of Infrastructure Development</w:t>
      </w:r>
      <w:r>
        <w:t xml:space="preserve"> </w:t>
      </w:r>
      <w:r w:rsidRPr="00050C52">
        <w:t>2015 (1) SA 1 (CC)</w:t>
      </w:r>
      <w:r>
        <w:t xml:space="preserve"> paras 63 to 65</w:t>
      </w:r>
      <w:r w:rsidR="00FF0D0D">
        <w:t xml:space="preserve"> and </w:t>
      </w:r>
      <w:r w:rsidR="00FF0D0D" w:rsidRPr="00AF1C4D">
        <w:rPr>
          <w:i/>
          <w:iCs/>
        </w:rPr>
        <w:t xml:space="preserve">Trustees, Two Oceans Aquarium Trust v Kantey &amp; Templer (Pty) Ltd </w:t>
      </w:r>
      <w:r w:rsidR="00FF0D0D" w:rsidRPr="00AF1C4D">
        <w:t>2006 (3) SA 138 (SCA)</w:t>
      </w:r>
      <w:r w:rsidR="00FF0D0D">
        <w:t xml:space="preserve"> p</w:t>
      </w:r>
      <w:r w:rsidR="00FF0D0D" w:rsidRPr="00AF1C4D">
        <w:t>aras 21 to 24</w:t>
      </w:r>
      <w:r w:rsidR="00DE278F">
        <w:t>.</w:t>
      </w:r>
    </w:p>
  </w:footnote>
  <w:footnote w:id="11">
    <w:p w14:paraId="64DC3796" w14:textId="2FEA9DE4" w:rsidR="005401B9" w:rsidRDefault="005401B9">
      <w:pPr>
        <w:pStyle w:val="FootnoteText"/>
      </w:pPr>
      <w:r>
        <w:rPr>
          <w:rStyle w:val="FootnoteReference"/>
        </w:rPr>
        <w:footnoteRef/>
      </w:r>
      <w:r>
        <w:t xml:space="preserve"> </w:t>
      </w:r>
      <w:r>
        <w:tab/>
      </w:r>
      <w:r w:rsidR="008843C7">
        <w:t xml:space="preserve">Cf </w:t>
      </w:r>
      <w:r w:rsidR="008843C7" w:rsidRPr="00B33649">
        <w:rPr>
          <w:i/>
          <w:iCs/>
        </w:rPr>
        <w:t>Novick and Another v Comair Holdings Ltd and Others</w:t>
      </w:r>
      <w:r w:rsidR="008843C7">
        <w:t xml:space="preserve"> </w:t>
      </w:r>
      <w:r w:rsidR="008843C7" w:rsidRPr="00B33649">
        <w:t>1979 (2) SA 116 (W)</w:t>
      </w:r>
      <w:r w:rsidR="008843C7">
        <w:t xml:space="preserve"> 149C, </w:t>
      </w:r>
    </w:p>
  </w:footnote>
  <w:footnote w:id="12">
    <w:p w14:paraId="2457A9B4" w14:textId="1F7536CE" w:rsidR="008843C7" w:rsidRDefault="008843C7">
      <w:pPr>
        <w:pStyle w:val="FootnoteText"/>
      </w:pPr>
      <w:r>
        <w:rPr>
          <w:rStyle w:val="FootnoteReference"/>
        </w:rPr>
        <w:footnoteRef/>
      </w:r>
      <w:r>
        <w:t xml:space="preserve"> </w:t>
      </w:r>
      <w:r>
        <w:tab/>
        <w:t>Cf para</w:t>
      </w:r>
      <w:r w:rsidR="00170AEE">
        <w:t>s 5.5.2 and</w:t>
      </w:r>
      <w:r>
        <w:t xml:space="preserve"> 15 of the particulars of claim and para </w:t>
      </w:r>
      <w:r w:rsidR="00EC60D5">
        <w:t xml:space="preserve">5.7 of the replication. </w:t>
      </w:r>
    </w:p>
  </w:footnote>
  <w:footnote w:id="13">
    <w:p w14:paraId="440D5F81" w14:textId="6BEF1A47" w:rsidR="00C66E94" w:rsidRDefault="00C66E94">
      <w:pPr>
        <w:pStyle w:val="FootnoteText"/>
      </w:pPr>
      <w:r>
        <w:rPr>
          <w:rStyle w:val="FootnoteReference"/>
        </w:rPr>
        <w:footnoteRef/>
      </w:r>
      <w:r>
        <w:t xml:space="preserve"> </w:t>
      </w:r>
      <w:r>
        <w:tab/>
        <w:t>Dippenaar J, Mudau J and Adams J concurring.</w:t>
      </w:r>
    </w:p>
  </w:footnote>
  <w:footnote w:id="14">
    <w:p w14:paraId="63271F9E" w14:textId="05B30D58" w:rsidR="00D20C50" w:rsidRDefault="00D20C50">
      <w:pPr>
        <w:pStyle w:val="FootnoteText"/>
      </w:pPr>
      <w:r>
        <w:rPr>
          <w:rStyle w:val="FootnoteReference"/>
        </w:rPr>
        <w:footnoteRef/>
      </w:r>
      <w:r>
        <w:t xml:space="preserve"> </w:t>
      </w:r>
      <w:r>
        <w:tab/>
      </w:r>
      <w:r w:rsidRPr="00321B4F">
        <w:rPr>
          <w:rFonts w:cs="Arial"/>
          <w:bCs/>
          <w:i/>
          <w:iCs/>
          <w:color w:val="000000"/>
        </w:rPr>
        <w:t>G4S Cash Solutions SA (Pty) Ltd v Zandspruit Cash &amp; Carry (Pty) Ltd and another</w:t>
      </w:r>
      <w:r w:rsidRPr="00321B4F">
        <w:rPr>
          <w:rFonts w:cs="Arial"/>
          <w:bCs/>
          <w:color w:val="000000"/>
        </w:rPr>
        <w:t xml:space="preserve"> [2022] ZAGPJHC 7.</w:t>
      </w:r>
      <w:r w:rsidR="00006E3B">
        <w:rPr>
          <w:rFonts w:cs="Arial"/>
          <w:bCs/>
          <w:color w:val="000000"/>
        </w:rPr>
        <w:t xml:space="preserve"> This judgment must be distinguished from the judgment by the Supreme Court of Appeal in </w:t>
      </w:r>
      <w:r w:rsidR="001219CC" w:rsidRPr="006C37AC">
        <w:rPr>
          <w:i/>
          <w:iCs/>
        </w:rPr>
        <w:t>G4S Cash Solutions (SA) (Pty) Ltd v Zandspruit Cash &amp; Carry (Pty) Ltd and Another</w:t>
      </w:r>
      <w:r w:rsidR="001219CC" w:rsidRPr="006C37AC">
        <w:t xml:space="preserve"> 2017 (2) SA 24 (SCA)</w:t>
      </w:r>
      <w:r w:rsidR="001219CC">
        <w:t>.</w:t>
      </w:r>
    </w:p>
  </w:footnote>
  <w:footnote w:id="15">
    <w:p w14:paraId="52191E2E" w14:textId="0EEA8D3D" w:rsidR="00DE278F" w:rsidRDefault="00DE278F">
      <w:pPr>
        <w:pStyle w:val="FootnoteText"/>
      </w:pPr>
      <w:r>
        <w:rPr>
          <w:rStyle w:val="FootnoteReference"/>
        </w:rPr>
        <w:footnoteRef/>
      </w:r>
      <w:r>
        <w:t xml:space="preserve"> </w:t>
      </w:r>
      <w:r>
        <w:tab/>
        <w:t xml:space="preserve">Cf </w:t>
      </w:r>
      <w:r w:rsidRPr="00DE278F">
        <w:rPr>
          <w:i/>
          <w:iCs/>
        </w:rPr>
        <w:t>Van Wyk v Lewis</w:t>
      </w:r>
      <w:r>
        <w:t xml:space="preserve"> 1924 AD 438 p 443 (Innes CJ) and 455 to 456 (Wessels JA)</w:t>
      </w:r>
      <w:r w:rsidR="00CF1129">
        <w:t xml:space="preserve">, and the analysis of these </w:t>
      </w:r>
      <w:r w:rsidR="00CF1129" w:rsidRPr="00CF1129">
        <w:rPr>
          <w:i/>
          <w:iCs/>
        </w:rPr>
        <w:t>dicta</w:t>
      </w:r>
      <w:r w:rsidR="00CF1129">
        <w:rPr>
          <w:i/>
          <w:iCs/>
        </w:rPr>
        <w:t xml:space="preserve"> </w:t>
      </w:r>
      <w:r w:rsidR="00CF1129">
        <w:t xml:space="preserve">by Grosskopf AJA  in </w:t>
      </w:r>
      <w:r w:rsidR="00CF1129" w:rsidRPr="00F94115">
        <w:rPr>
          <w:i/>
          <w:iCs/>
        </w:rPr>
        <w:t>Lillicrap, Wassenaar and Partners v Pilkington Brothers (SA) (Pty) Ltd</w:t>
      </w:r>
      <w:r w:rsidR="00CF1129">
        <w:t xml:space="preserve"> </w:t>
      </w:r>
      <w:r w:rsidR="00CF1129" w:rsidRPr="00F94115">
        <w:t>1985 (1) SA 475 (A)</w:t>
      </w:r>
      <w:r w:rsidR="00CF1129">
        <w:t xml:space="preserve"> 501H to 502G.</w:t>
      </w:r>
    </w:p>
  </w:footnote>
  <w:footnote w:id="16">
    <w:p w14:paraId="0158A6DC" w14:textId="302DC538" w:rsidR="001219CC" w:rsidRDefault="001219CC">
      <w:pPr>
        <w:pStyle w:val="FootnoteText"/>
      </w:pPr>
      <w:r>
        <w:rPr>
          <w:rStyle w:val="FootnoteReference"/>
        </w:rPr>
        <w:footnoteRef/>
      </w:r>
      <w:r>
        <w:t xml:space="preserve"> </w:t>
      </w:r>
      <w:r>
        <w:tab/>
      </w:r>
      <w:r w:rsidRPr="009D2DCF">
        <w:rPr>
          <w:i/>
          <w:iCs/>
        </w:rPr>
        <w:t>Trio Engineered Products Inc v Pilot Crushtec International (Pty) Ltd</w:t>
      </w:r>
      <w:r>
        <w:t xml:space="preserve"> </w:t>
      </w:r>
      <w:r w:rsidRPr="009D2DCF">
        <w:t>2019 (3) SA 580 (GJ)</w:t>
      </w:r>
      <w:r>
        <w:t>.</w:t>
      </w:r>
    </w:p>
  </w:footnote>
  <w:footnote w:id="17">
    <w:p w14:paraId="5F240CEC" w14:textId="412C847B" w:rsidR="00912E62" w:rsidRDefault="00912E62">
      <w:pPr>
        <w:pStyle w:val="FootnoteText"/>
      </w:pPr>
      <w:r>
        <w:rPr>
          <w:rStyle w:val="FootnoteReference"/>
        </w:rPr>
        <w:footnoteRef/>
      </w:r>
      <w:r>
        <w:t xml:space="preserve"> </w:t>
      </w:r>
      <w:r>
        <w:tab/>
        <w:t>Ibid paras 1 to 5.</w:t>
      </w:r>
    </w:p>
  </w:footnote>
  <w:footnote w:id="18">
    <w:p w14:paraId="773C4D8E" w14:textId="014C6D9F" w:rsidR="00680C8D" w:rsidRDefault="00680C8D">
      <w:pPr>
        <w:pStyle w:val="FootnoteText"/>
      </w:pPr>
      <w:r>
        <w:rPr>
          <w:rStyle w:val="FootnoteReference"/>
        </w:rPr>
        <w:footnoteRef/>
      </w:r>
      <w:r>
        <w:t xml:space="preserve"> </w:t>
      </w:r>
      <w:r>
        <w:tab/>
        <w:t>Ibid para 34.</w:t>
      </w:r>
    </w:p>
  </w:footnote>
  <w:footnote w:id="19">
    <w:p w14:paraId="6493432F" w14:textId="77777777" w:rsidR="007C059B" w:rsidRDefault="007C059B" w:rsidP="007C059B">
      <w:pPr>
        <w:pStyle w:val="FootnoteText"/>
      </w:pPr>
      <w:r>
        <w:rPr>
          <w:rStyle w:val="FootnoteReference"/>
        </w:rPr>
        <w:footnoteRef/>
      </w:r>
      <w:r>
        <w:t xml:space="preserve"> </w:t>
      </w:r>
      <w:r>
        <w:tab/>
        <w:t>Ibid para 27.</w:t>
      </w:r>
    </w:p>
  </w:footnote>
  <w:footnote w:id="20">
    <w:p w14:paraId="05AC6639" w14:textId="21D95AFB" w:rsidR="00C77202" w:rsidRDefault="00C77202">
      <w:pPr>
        <w:pStyle w:val="FootnoteText"/>
      </w:pPr>
      <w:r>
        <w:rPr>
          <w:rStyle w:val="FootnoteReference"/>
        </w:rPr>
        <w:footnoteRef/>
      </w:r>
      <w:r>
        <w:t xml:space="preserve"> </w:t>
      </w:r>
      <w:r>
        <w:tab/>
        <w:t>Para (d) is not relevant to the present matter. It addressed the position of a third party who sues a party to a contract.</w:t>
      </w:r>
    </w:p>
  </w:footnote>
  <w:footnote w:id="21">
    <w:p w14:paraId="2F95F878" w14:textId="137D2DF8" w:rsidR="006C0D1A" w:rsidRDefault="006C0D1A">
      <w:pPr>
        <w:pStyle w:val="FootnoteText"/>
      </w:pPr>
      <w:r>
        <w:rPr>
          <w:rStyle w:val="FootnoteReference"/>
        </w:rPr>
        <w:footnoteRef/>
      </w:r>
      <w:r>
        <w:t xml:space="preserve"> </w:t>
      </w:r>
      <w:r>
        <w:tab/>
        <w:t>See</w:t>
      </w:r>
      <w:r w:rsidR="0080665F">
        <w:t xml:space="preserve"> para 14 of the particulars of claim.</w:t>
      </w:r>
    </w:p>
  </w:footnote>
  <w:footnote w:id="22">
    <w:p w14:paraId="493B0A11" w14:textId="06EC8936" w:rsidR="00854139" w:rsidRDefault="00854139">
      <w:pPr>
        <w:pStyle w:val="FootnoteText"/>
      </w:pPr>
      <w:r>
        <w:rPr>
          <w:rStyle w:val="FootnoteReference"/>
        </w:rPr>
        <w:footnoteRef/>
      </w:r>
      <w:r>
        <w:t xml:space="preserve"> </w:t>
      </w:r>
      <w:r>
        <w:tab/>
        <w:t xml:space="preserve">Compare </w:t>
      </w:r>
      <w:r w:rsidRPr="004F31E6">
        <w:rPr>
          <w:i/>
          <w:iCs/>
        </w:rPr>
        <w:t>Edward L Bateman Ltd v C a Brand Projects (Pty) Ltd</w:t>
      </w:r>
      <w:r>
        <w:t xml:space="preserve"> </w:t>
      </w:r>
      <w:r w:rsidRPr="004F31E6">
        <w:t xml:space="preserve">1995 (4) SA 128 (T) </w:t>
      </w:r>
      <w:r>
        <w:t>141F.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41112B65"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F83054">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215B"/>
    <w:rsid w:val="00006113"/>
    <w:rsid w:val="00006E3B"/>
    <w:rsid w:val="0001111B"/>
    <w:rsid w:val="0001140A"/>
    <w:rsid w:val="00011522"/>
    <w:rsid w:val="00013B7F"/>
    <w:rsid w:val="00013F00"/>
    <w:rsid w:val="0001593E"/>
    <w:rsid w:val="00015D74"/>
    <w:rsid w:val="00022ACD"/>
    <w:rsid w:val="00024A29"/>
    <w:rsid w:val="000262B3"/>
    <w:rsid w:val="00030A89"/>
    <w:rsid w:val="000325E2"/>
    <w:rsid w:val="00036508"/>
    <w:rsid w:val="00042EE3"/>
    <w:rsid w:val="00047F26"/>
    <w:rsid w:val="00050086"/>
    <w:rsid w:val="000502BE"/>
    <w:rsid w:val="000504F1"/>
    <w:rsid w:val="00051A2B"/>
    <w:rsid w:val="00063F7B"/>
    <w:rsid w:val="0006604F"/>
    <w:rsid w:val="00066971"/>
    <w:rsid w:val="000737E1"/>
    <w:rsid w:val="00073E30"/>
    <w:rsid w:val="00076C64"/>
    <w:rsid w:val="00081716"/>
    <w:rsid w:val="00082EDC"/>
    <w:rsid w:val="000833BB"/>
    <w:rsid w:val="00087AE6"/>
    <w:rsid w:val="00092591"/>
    <w:rsid w:val="0009429D"/>
    <w:rsid w:val="0009488C"/>
    <w:rsid w:val="0009540B"/>
    <w:rsid w:val="00097968"/>
    <w:rsid w:val="000A6AD8"/>
    <w:rsid w:val="000B21DA"/>
    <w:rsid w:val="000C0593"/>
    <w:rsid w:val="000C38AF"/>
    <w:rsid w:val="000D415C"/>
    <w:rsid w:val="000D5760"/>
    <w:rsid w:val="000D71C5"/>
    <w:rsid w:val="000D7D6A"/>
    <w:rsid w:val="000E1EC8"/>
    <w:rsid w:val="000E3EE8"/>
    <w:rsid w:val="000E5343"/>
    <w:rsid w:val="000F59F8"/>
    <w:rsid w:val="00100F71"/>
    <w:rsid w:val="001025B5"/>
    <w:rsid w:val="00104142"/>
    <w:rsid w:val="00104F6B"/>
    <w:rsid w:val="00105F97"/>
    <w:rsid w:val="001142D1"/>
    <w:rsid w:val="00120C79"/>
    <w:rsid w:val="00120FB1"/>
    <w:rsid w:val="001219CC"/>
    <w:rsid w:val="00130253"/>
    <w:rsid w:val="00133E81"/>
    <w:rsid w:val="00140CED"/>
    <w:rsid w:val="00147FF5"/>
    <w:rsid w:val="00151DA9"/>
    <w:rsid w:val="00152899"/>
    <w:rsid w:val="00154961"/>
    <w:rsid w:val="00155A21"/>
    <w:rsid w:val="00161057"/>
    <w:rsid w:val="001671C1"/>
    <w:rsid w:val="00170AEE"/>
    <w:rsid w:val="00171182"/>
    <w:rsid w:val="0017124B"/>
    <w:rsid w:val="00171D7F"/>
    <w:rsid w:val="00172DDF"/>
    <w:rsid w:val="00180CB6"/>
    <w:rsid w:val="001838CC"/>
    <w:rsid w:val="00183EB6"/>
    <w:rsid w:val="00185ACF"/>
    <w:rsid w:val="00190579"/>
    <w:rsid w:val="001916C4"/>
    <w:rsid w:val="00192F78"/>
    <w:rsid w:val="00195810"/>
    <w:rsid w:val="00196E14"/>
    <w:rsid w:val="001A5145"/>
    <w:rsid w:val="001A522A"/>
    <w:rsid w:val="001A72B1"/>
    <w:rsid w:val="001A7904"/>
    <w:rsid w:val="001B1D39"/>
    <w:rsid w:val="001B4217"/>
    <w:rsid w:val="001B4893"/>
    <w:rsid w:val="001B5D3E"/>
    <w:rsid w:val="001B606B"/>
    <w:rsid w:val="001C0755"/>
    <w:rsid w:val="001C2371"/>
    <w:rsid w:val="001C33E6"/>
    <w:rsid w:val="001C7048"/>
    <w:rsid w:val="001D3CC2"/>
    <w:rsid w:val="001D72FA"/>
    <w:rsid w:val="001E2EED"/>
    <w:rsid w:val="001E4691"/>
    <w:rsid w:val="001E518E"/>
    <w:rsid w:val="001F0A29"/>
    <w:rsid w:val="001F3DBD"/>
    <w:rsid w:val="001F648A"/>
    <w:rsid w:val="00201620"/>
    <w:rsid w:val="0020474A"/>
    <w:rsid w:val="00205392"/>
    <w:rsid w:val="00206919"/>
    <w:rsid w:val="002104BF"/>
    <w:rsid w:val="002108B6"/>
    <w:rsid w:val="00215824"/>
    <w:rsid w:val="002168EA"/>
    <w:rsid w:val="00216BC8"/>
    <w:rsid w:val="002175BA"/>
    <w:rsid w:val="0022218D"/>
    <w:rsid w:val="00226926"/>
    <w:rsid w:val="00232528"/>
    <w:rsid w:val="00235D20"/>
    <w:rsid w:val="0023713F"/>
    <w:rsid w:val="00237FF9"/>
    <w:rsid w:val="0024012B"/>
    <w:rsid w:val="00250164"/>
    <w:rsid w:val="00251668"/>
    <w:rsid w:val="00251CBB"/>
    <w:rsid w:val="00253F38"/>
    <w:rsid w:val="00253F72"/>
    <w:rsid w:val="002625C5"/>
    <w:rsid w:val="00262819"/>
    <w:rsid w:val="0026489E"/>
    <w:rsid w:val="00284EE3"/>
    <w:rsid w:val="00285040"/>
    <w:rsid w:val="00285062"/>
    <w:rsid w:val="0029369B"/>
    <w:rsid w:val="00297352"/>
    <w:rsid w:val="002976B8"/>
    <w:rsid w:val="002A030C"/>
    <w:rsid w:val="002A4B7B"/>
    <w:rsid w:val="002C15AC"/>
    <w:rsid w:val="002C2E80"/>
    <w:rsid w:val="002C4687"/>
    <w:rsid w:val="002D2842"/>
    <w:rsid w:val="002D47B3"/>
    <w:rsid w:val="002E2698"/>
    <w:rsid w:val="002E5B57"/>
    <w:rsid w:val="002E6CD7"/>
    <w:rsid w:val="002F1C4D"/>
    <w:rsid w:val="002F2881"/>
    <w:rsid w:val="002F508A"/>
    <w:rsid w:val="002F72D3"/>
    <w:rsid w:val="002F7AA1"/>
    <w:rsid w:val="00302290"/>
    <w:rsid w:val="00302C31"/>
    <w:rsid w:val="00303919"/>
    <w:rsid w:val="003047C2"/>
    <w:rsid w:val="0030653F"/>
    <w:rsid w:val="003102C8"/>
    <w:rsid w:val="0031117B"/>
    <w:rsid w:val="00312400"/>
    <w:rsid w:val="00312EBC"/>
    <w:rsid w:val="00313056"/>
    <w:rsid w:val="00321B4F"/>
    <w:rsid w:val="003312BF"/>
    <w:rsid w:val="003313A2"/>
    <w:rsid w:val="00337135"/>
    <w:rsid w:val="0034147B"/>
    <w:rsid w:val="00342E02"/>
    <w:rsid w:val="003463D6"/>
    <w:rsid w:val="00346D31"/>
    <w:rsid w:val="00346DE6"/>
    <w:rsid w:val="00347E19"/>
    <w:rsid w:val="003511F3"/>
    <w:rsid w:val="0035170A"/>
    <w:rsid w:val="003541F6"/>
    <w:rsid w:val="003543C5"/>
    <w:rsid w:val="00354EF2"/>
    <w:rsid w:val="00357081"/>
    <w:rsid w:val="00357D35"/>
    <w:rsid w:val="00363FCD"/>
    <w:rsid w:val="00364C43"/>
    <w:rsid w:val="00364E6A"/>
    <w:rsid w:val="00364E80"/>
    <w:rsid w:val="003676CF"/>
    <w:rsid w:val="00367720"/>
    <w:rsid w:val="00367778"/>
    <w:rsid w:val="0037029D"/>
    <w:rsid w:val="00372A48"/>
    <w:rsid w:val="00373181"/>
    <w:rsid w:val="00377123"/>
    <w:rsid w:val="00381213"/>
    <w:rsid w:val="003832F7"/>
    <w:rsid w:val="003840EC"/>
    <w:rsid w:val="00390C3F"/>
    <w:rsid w:val="00393127"/>
    <w:rsid w:val="00395873"/>
    <w:rsid w:val="003A7864"/>
    <w:rsid w:val="003B4100"/>
    <w:rsid w:val="003C1488"/>
    <w:rsid w:val="003C1A16"/>
    <w:rsid w:val="003C1E91"/>
    <w:rsid w:val="003C7FCC"/>
    <w:rsid w:val="003D19C3"/>
    <w:rsid w:val="003D36F9"/>
    <w:rsid w:val="003D77F1"/>
    <w:rsid w:val="003E2560"/>
    <w:rsid w:val="003E449A"/>
    <w:rsid w:val="003E4A33"/>
    <w:rsid w:val="003E724B"/>
    <w:rsid w:val="003E7A60"/>
    <w:rsid w:val="003F1F49"/>
    <w:rsid w:val="003F211F"/>
    <w:rsid w:val="003F4801"/>
    <w:rsid w:val="003F7448"/>
    <w:rsid w:val="003F78AE"/>
    <w:rsid w:val="00407F28"/>
    <w:rsid w:val="0041100A"/>
    <w:rsid w:val="004131C5"/>
    <w:rsid w:val="00413D9B"/>
    <w:rsid w:val="0042423E"/>
    <w:rsid w:val="00424BA6"/>
    <w:rsid w:val="004339E6"/>
    <w:rsid w:val="0043596E"/>
    <w:rsid w:val="0043683A"/>
    <w:rsid w:val="00437EB1"/>
    <w:rsid w:val="00441422"/>
    <w:rsid w:val="00442BA1"/>
    <w:rsid w:val="00444ED6"/>
    <w:rsid w:val="00445DCB"/>
    <w:rsid w:val="0045044C"/>
    <w:rsid w:val="00460495"/>
    <w:rsid w:val="00460EEA"/>
    <w:rsid w:val="00462873"/>
    <w:rsid w:val="004630B6"/>
    <w:rsid w:val="00463106"/>
    <w:rsid w:val="00474607"/>
    <w:rsid w:val="00474910"/>
    <w:rsid w:val="004749AF"/>
    <w:rsid w:val="00475410"/>
    <w:rsid w:val="004774FF"/>
    <w:rsid w:val="00484116"/>
    <w:rsid w:val="0048424E"/>
    <w:rsid w:val="00486F42"/>
    <w:rsid w:val="00487D14"/>
    <w:rsid w:val="00495F7C"/>
    <w:rsid w:val="00497189"/>
    <w:rsid w:val="004A1E3F"/>
    <w:rsid w:val="004A2C7E"/>
    <w:rsid w:val="004A6625"/>
    <w:rsid w:val="004A69D6"/>
    <w:rsid w:val="004A7DFE"/>
    <w:rsid w:val="004B0DBA"/>
    <w:rsid w:val="004B21D9"/>
    <w:rsid w:val="004C0CE3"/>
    <w:rsid w:val="004C368B"/>
    <w:rsid w:val="004D0C22"/>
    <w:rsid w:val="004D1A31"/>
    <w:rsid w:val="004D262A"/>
    <w:rsid w:val="004D2C6F"/>
    <w:rsid w:val="004D2E01"/>
    <w:rsid w:val="004D3237"/>
    <w:rsid w:val="004E0F3F"/>
    <w:rsid w:val="004E3305"/>
    <w:rsid w:val="004E568C"/>
    <w:rsid w:val="004E5AD8"/>
    <w:rsid w:val="004F0806"/>
    <w:rsid w:val="004F12D8"/>
    <w:rsid w:val="004F22A6"/>
    <w:rsid w:val="004F4A37"/>
    <w:rsid w:val="00504B53"/>
    <w:rsid w:val="0051015D"/>
    <w:rsid w:val="0051292D"/>
    <w:rsid w:val="0051442D"/>
    <w:rsid w:val="0051622D"/>
    <w:rsid w:val="005219EB"/>
    <w:rsid w:val="005262C2"/>
    <w:rsid w:val="0052705A"/>
    <w:rsid w:val="005360A5"/>
    <w:rsid w:val="00537A72"/>
    <w:rsid w:val="005401B9"/>
    <w:rsid w:val="005405F8"/>
    <w:rsid w:val="00546878"/>
    <w:rsid w:val="005509BE"/>
    <w:rsid w:val="00550D0B"/>
    <w:rsid w:val="00560E18"/>
    <w:rsid w:val="005621E7"/>
    <w:rsid w:val="00571E81"/>
    <w:rsid w:val="00573FF9"/>
    <w:rsid w:val="00576B16"/>
    <w:rsid w:val="00581CCE"/>
    <w:rsid w:val="005949BC"/>
    <w:rsid w:val="005A313A"/>
    <w:rsid w:val="005A35EB"/>
    <w:rsid w:val="005A680F"/>
    <w:rsid w:val="005A70F0"/>
    <w:rsid w:val="005B07CB"/>
    <w:rsid w:val="005B2FF9"/>
    <w:rsid w:val="005B696E"/>
    <w:rsid w:val="005B6D81"/>
    <w:rsid w:val="005B7767"/>
    <w:rsid w:val="005B7DD3"/>
    <w:rsid w:val="005C7FC2"/>
    <w:rsid w:val="005D1F92"/>
    <w:rsid w:val="005D2408"/>
    <w:rsid w:val="005D6122"/>
    <w:rsid w:val="005D6BCD"/>
    <w:rsid w:val="005D6E80"/>
    <w:rsid w:val="005E0B20"/>
    <w:rsid w:val="005E2936"/>
    <w:rsid w:val="005E2F7B"/>
    <w:rsid w:val="005E3C94"/>
    <w:rsid w:val="005E5C01"/>
    <w:rsid w:val="005E7118"/>
    <w:rsid w:val="005E7E9F"/>
    <w:rsid w:val="005F1CDA"/>
    <w:rsid w:val="005F37A4"/>
    <w:rsid w:val="00602403"/>
    <w:rsid w:val="006041A4"/>
    <w:rsid w:val="0060757E"/>
    <w:rsid w:val="006109EC"/>
    <w:rsid w:val="00610F53"/>
    <w:rsid w:val="00611D8A"/>
    <w:rsid w:val="0061430D"/>
    <w:rsid w:val="006150CE"/>
    <w:rsid w:val="006165F4"/>
    <w:rsid w:val="006245EC"/>
    <w:rsid w:val="006309D5"/>
    <w:rsid w:val="00642664"/>
    <w:rsid w:val="00644BBE"/>
    <w:rsid w:val="0064502D"/>
    <w:rsid w:val="006466DA"/>
    <w:rsid w:val="00646711"/>
    <w:rsid w:val="0064779B"/>
    <w:rsid w:val="006479F9"/>
    <w:rsid w:val="00647DDD"/>
    <w:rsid w:val="00653BA4"/>
    <w:rsid w:val="006542FD"/>
    <w:rsid w:val="00657478"/>
    <w:rsid w:val="00657EDA"/>
    <w:rsid w:val="006609A2"/>
    <w:rsid w:val="00660C84"/>
    <w:rsid w:val="0066132D"/>
    <w:rsid w:val="0066194B"/>
    <w:rsid w:val="00661FC4"/>
    <w:rsid w:val="00666D4D"/>
    <w:rsid w:val="00672205"/>
    <w:rsid w:val="0067508C"/>
    <w:rsid w:val="00677059"/>
    <w:rsid w:val="00680072"/>
    <w:rsid w:val="00680C8D"/>
    <w:rsid w:val="006858DA"/>
    <w:rsid w:val="006902F1"/>
    <w:rsid w:val="006918E9"/>
    <w:rsid w:val="006951CE"/>
    <w:rsid w:val="00695B2C"/>
    <w:rsid w:val="006A12F4"/>
    <w:rsid w:val="006A1F2C"/>
    <w:rsid w:val="006A3B6B"/>
    <w:rsid w:val="006A438B"/>
    <w:rsid w:val="006A4F20"/>
    <w:rsid w:val="006A7245"/>
    <w:rsid w:val="006B1E87"/>
    <w:rsid w:val="006B514A"/>
    <w:rsid w:val="006C0D1A"/>
    <w:rsid w:val="006C2AB0"/>
    <w:rsid w:val="006C2B5F"/>
    <w:rsid w:val="006C31B7"/>
    <w:rsid w:val="006C4213"/>
    <w:rsid w:val="006C43D7"/>
    <w:rsid w:val="006C49F6"/>
    <w:rsid w:val="006C53ED"/>
    <w:rsid w:val="006C5694"/>
    <w:rsid w:val="006C5745"/>
    <w:rsid w:val="006C781A"/>
    <w:rsid w:val="006D11AD"/>
    <w:rsid w:val="006D29AA"/>
    <w:rsid w:val="006D4128"/>
    <w:rsid w:val="006D4C1B"/>
    <w:rsid w:val="006D5E57"/>
    <w:rsid w:val="006D73D4"/>
    <w:rsid w:val="006E0996"/>
    <w:rsid w:val="006E2083"/>
    <w:rsid w:val="006E2725"/>
    <w:rsid w:val="006E3064"/>
    <w:rsid w:val="006E68E6"/>
    <w:rsid w:val="006F042A"/>
    <w:rsid w:val="006F0C74"/>
    <w:rsid w:val="006F1875"/>
    <w:rsid w:val="006F2187"/>
    <w:rsid w:val="006F25E5"/>
    <w:rsid w:val="006F2FCE"/>
    <w:rsid w:val="006F36B9"/>
    <w:rsid w:val="006F415C"/>
    <w:rsid w:val="0070560F"/>
    <w:rsid w:val="007112CA"/>
    <w:rsid w:val="00715674"/>
    <w:rsid w:val="007202BD"/>
    <w:rsid w:val="007205BF"/>
    <w:rsid w:val="007237D1"/>
    <w:rsid w:val="007241D4"/>
    <w:rsid w:val="00724D82"/>
    <w:rsid w:val="00730BF2"/>
    <w:rsid w:val="00732A6F"/>
    <w:rsid w:val="007410D0"/>
    <w:rsid w:val="0074214D"/>
    <w:rsid w:val="00742764"/>
    <w:rsid w:val="00745456"/>
    <w:rsid w:val="00751452"/>
    <w:rsid w:val="0075156A"/>
    <w:rsid w:val="00751F90"/>
    <w:rsid w:val="007619C5"/>
    <w:rsid w:val="00761C35"/>
    <w:rsid w:val="00762178"/>
    <w:rsid w:val="00766026"/>
    <w:rsid w:val="00772025"/>
    <w:rsid w:val="00781AA0"/>
    <w:rsid w:val="00781CF7"/>
    <w:rsid w:val="00781D24"/>
    <w:rsid w:val="00782DE8"/>
    <w:rsid w:val="00792E10"/>
    <w:rsid w:val="007A1D60"/>
    <w:rsid w:val="007B165A"/>
    <w:rsid w:val="007B2DAD"/>
    <w:rsid w:val="007B7246"/>
    <w:rsid w:val="007B78C2"/>
    <w:rsid w:val="007C059B"/>
    <w:rsid w:val="007C23FF"/>
    <w:rsid w:val="007C416B"/>
    <w:rsid w:val="007C4CB7"/>
    <w:rsid w:val="007C5008"/>
    <w:rsid w:val="007C658B"/>
    <w:rsid w:val="007D1D67"/>
    <w:rsid w:val="007D1E79"/>
    <w:rsid w:val="007D27CF"/>
    <w:rsid w:val="007D4DAF"/>
    <w:rsid w:val="007E1175"/>
    <w:rsid w:val="007E220A"/>
    <w:rsid w:val="007E468A"/>
    <w:rsid w:val="007E58FC"/>
    <w:rsid w:val="007F1517"/>
    <w:rsid w:val="007F207F"/>
    <w:rsid w:val="007F5B91"/>
    <w:rsid w:val="008004C5"/>
    <w:rsid w:val="00803CEC"/>
    <w:rsid w:val="0080665F"/>
    <w:rsid w:val="008076A4"/>
    <w:rsid w:val="00810CA3"/>
    <w:rsid w:val="008200A7"/>
    <w:rsid w:val="00822050"/>
    <w:rsid w:val="0082555A"/>
    <w:rsid w:val="00830952"/>
    <w:rsid w:val="00830F84"/>
    <w:rsid w:val="0083212E"/>
    <w:rsid w:val="0083329D"/>
    <w:rsid w:val="008443A9"/>
    <w:rsid w:val="008469B3"/>
    <w:rsid w:val="00854139"/>
    <w:rsid w:val="008541C3"/>
    <w:rsid w:val="00855D5D"/>
    <w:rsid w:val="00860576"/>
    <w:rsid w:val="0086688C"/>
    <w:rsid w:val="008674AA"/>
    <w:rsid w:val="008675CC"/>
    <w:rsid w:val="008722B0"/>
    <w:rsid w:val="0087609B"/>
    <w:rsid w:val="0088094C"/>
    <w:rsid w:val="00881004"/>
    <w:rsid w:val="00882C40"/>
    <w:rsid w:val="008843C7"/>
    <w:rsid w:val="00885973"/>
    <w:rsid w:val="00892908"/>
    <w:rsid w:val="008942FC"/>
    <w:rsid w:val="0089562F"/>
    <w:rsid w:val="008A0546"/>
    <w:rsid w:val="008A082A"/>
    <w:rsid w:val="008A4DF4"/>
    <w:rsid w:val="008B1DA9"/>
    <w:rsid w:val="008B44E5"/>
    <w:rsid w:val="008B6162"/>
    <w:rsid w:val="008C3EBC"/>
    <w:rsid w:val="008C56F6"/>
    <w:rsid w:val="008C57F6"/>
    <w:rsid w:val="008D0500"/>
    <w:rsid w:val="008D33A3"/>
    <w:rsid w:val="008D4715"/>
    <w:rsid w:val="008D5B23"/>
    <w:rsid w:val="008D6A41"/>
    <w:rsid w:val="008D6F1D"/>
    <w:rsid w:val="008E2ACD"/>
    <w:rsid w:val="008E7F87"/>
    <w:rsid w:val="008F0CC7"/>
    <w:rsid w:val="008F11CF"/>
    <w:rsid w:val="008F189C"/>
    <w:rsid w:val="008F1FE1"/>
    <w:rsid w:val="008F27FB"/>
    <w:rsid w:val="008F32FF"/>
    <w:rsid w:val="008F4486"/>
    <w:rsid w:val="008F4FC6"/>
    <w:rsid w:val="008F72CD"/>
    <w:rsid w:val="00902179"/>
    <w:rsid w:val="00903877"/>
    <w:rsid w:val="00912E62"/>
    <w:rsid w:val="0091544C"/>
    <w:rsid w:val="00921D03"/>
    <w:rsid w:val="00922AF1"/>
    <w:rsid w:val="00925CD2"/>
    <w:rsid w:val="00933065"/>
    <w:rsid w:val="00933569"/>
    <w:rsid w:val="009365B1"/>
    <w:rsid w:val="0093799C"/>
    <w:rsid w:val="009422A1"/>
    <w:rsid w:val="00944804"/>
    <w:rsid w:val="009449FB"/>
    <w:rsid w:val="0094634F"/>
    <w:rsid w:val="009473D8"/>
    <w:rsid w:val="00960ADF"/>
    <w:rsid w:val="009619EE"/>
    <w:rsid w:val="00963A0C"/>
    <w:rsid w:val="009661B5"/>
    <w:rsid w:val="00974A92"/>
    <w:rsid w:val="00975270"/>
    <w:rsid w:val="00975BA1"/>
    <w:rsid w:val="009809DD"/>
    <w:rsid w:val="009835E3"/>
    <w:rsid w:val="009837A6"/>
    <w:rsid w:val="009869F2"/>
    <w:rsid w:val="00987CDB"/>
    <w:rsid w:val="009A2726"/>
    <w:rsid w:val="009A30E0"/>
    <w:rsid w:val="009A3619"/>
    <w:rsid w:val="009A66D0"/>
    <w:rsid w:val="009B08AF"/>
    <w:rsid w:val="009B3DFC"/>
    <w:rsid w:val="009B793E"/>
    <w:rsid w:val="009C1EA6"/>
    <w:rsid w:val="009C37B9"/>
    <w:rsid w:val="009C38E7"/>
    <w:rsid w:val="009D32BD"/>
    <w:rsid w:val="009D33F1"/>
    <w:rsid w:val="009D35B5"/>
    <w:rsid w:val="009D4486"/>
    <w:rsid w:val="009D7128"/>
    <w:rsid w:val="009F211E"/>
    <w:rsid w:val="009F2572"/>
    <w:rsid w:val="009F294E"/>
    <w:rsid w:val="009F30F1"/>
    <w:rsid w:val="009F37C7"/>
    <w:rsid w:val="009F50AB"/>
    <w:rsid w:val="00A005F6"/>
    <w:rsid w:val="00A0424F"/>
    <w:rsid w:val="00A103FF"/>
    <w:rsid w:val="00A121B5"/>
    <w:rsid w:val="00A16C6E"/>
    <w:rsid w:val="00A17DB2"/>
    <w:rsid w:val="00A22A14"/>
    <w:rsid w:val="00A23A49"/>
    <w:rsid w:val="00A26214"/>
    <w:rsid w:val="00A26566"/>
    <w:rsid w:val="00A27A51"/>
    <w:rsid w:val="00A3310D"/>
    <w:rsid w:val="00A37BA4"/>
    <w:rsid w:val="00A402F6"/>
    <w:rsid w:val="00A42167"/>
    <w:rsid w:val="00A43739"/>
    <w:rsid w:val="00A47815"/>
    <w:rsid w:val="00A47A18"/>
    <w:rsid w:val="00A539CB"/>
    <w:rsid w:val="00A63709"/>
    <w:rsid w:val="00A649E6"/>
    <w:rsid w:val="00A660AF"/>
    <w:rsid w:val="00A6768C"/>
    <w:rsid w:val="00A70A95"/>
    <w:rsid w:val="00A70BDA"/>
    <w:rsid w:val="00A740B6"/>
    <w:rsid w:val="00A7621E"/>
    <w:rsid w:val="00A817D5"/>
    <w:rsid w:val="00A825C3"/>
    <w:rsid w:val="00A85403"/>
    <w:rsid w:val="00A8576B"/>
    <w:rsid w:val="00A93351"/>
    <w:rsid w:val="00A95538"/>
    <w:rsid w:val="00AA0013"/>
    <w:rsid w:val="00AA26FF"/>
    <w:rsid w:val="00AA6E8C"/>
    <w:rsid w:val="00AA6F19"/>
    <w:rsid w:val="00AA75E6"/>
    <w:rsid w:val="00AA79A8"/>
    <w:rsid w:val="00AA7A76"/>
    <w:rsid w:val="00AA7C2E"/>
    <w:rsid w:val="00AB0286"/>
    <w:rsid w:val="00AB4C6D"/>
    <w:rsid w:val="00AB53F2"/>
    <w:rsid w:val="00AB55F7"/>
    <w:rsid w:val="00AB58F1"/>
    <w:rsid w:val="00AC2995"/>
    <w:rsid w:val="00AC4165"/>
    <w:rsid w:val="00AC556A"/>
    <w:rsid w:val="00AC76EA"/>
    <w:rsid w:val="00AC7FB7"/>
    <w:rsid w:val="00AD25B6"/>
    <w:rsid w:val="00AD2631"/>
    <w:rsid w:val="00AE1220"/>
    <w:rsid w:val="00AE287F"/>
    <w:rsid w:val="00AE39F3"/>
    <w:rsid w:val="00AE63BD"/>
    <w:rsid w:val="00AF0B2B"/>
    <w:rsid w:val="00AF2914"/>
    <w:rsid w:val="00AF363F"/>
    <w:rsid w:val="00AF3E4F"/>
    <w:rsid w:val="00AF71E5"/>
    <w:rsid w:val="00B071FF"/>
    <w:rsid w:val="00B07D89"/>
    <w:rsid w:val="00B11505"/>
    <w:rsid w:val="00B11DC2"/>
    <w:rsid w:val="00B15142"/>
    <w:rsid w:val="00B16F69"/>
    <w:rsid w:val="00B1789D"/>
    <w:rsid w:val="00B17B37"/>
    <w:rsid w:val="00B223FE"/>
    <w:rsid w:val="00B302C7"/>
    <w:rsid w:val="00B3208F"/>
    <w:rsid w:val="00B42807"/>
    <w:rsid w:val="00B428A6"/>
    <w:rsid w:val="00B43340"/>
    <w:rsid w:val="00B4461C"/>
    <w:rsid w:val="00B53913"/>
    <w:rsid w:val="00B554D4"/>
    <w:rsid w:val="00B55800"/>
    <w:rsid w:val="00B55F3A"/>
    <w:rsid w:val="00B56906"/>
    <w:rsid w:val="00B6649D"/>
    <w:rsid w:val="00B71A55"/>
    <w:rsid w:val="00B71CB5"/>
    <w:rsid w:val="00B72922"/>
    <w:rsid w:val="00B72A13"/>
    <w:rsid w:val="00B72ADA"/>
    <w:rsid w:val="00B75819"/>
    <w:rsid w:val="00B77E34"/>
    <w:rsid w:val="00B819E4"/>
    <w:rsid w:val="00B84042"/>
    <w:rsid w:val="00B84DD5"/>
    <w:rsid w:val="00B868F6"/>
    <w:rsid w:val="00B924B4"/>
    <w:rsid w:val="00B9487E"/>
    <w:rsid w:val="00B95910"/>
    <w:rsid w:val="00BA29E7"/>
    <w:rsid w:val="00BA3A4C"/>
    <w:rsid w:val="00BB0F20"/>
    <w:rsid w:val="00BB50D7"/>
    <w:rsid w:val="00BB7F08"/>
    <w:rsid w:val="00BC0623"/>
    <w:rsid w:val="00BC35CD"/>
    <w:rsid w:val="00BC415B"/>
    <w:rsid w:val="00BD2C66"/>
    <w:rsid w:val="00BD2CDE"/>
    <w:rsid w:val="00BD41CF"/>
    <w:rsid w:val="00BE0164"/>
    <w:rsid w:val="00BE12BD"/>
    <w:rsid w:val="00BE2ED7"/>
    <w:rsid w:val="00BE3498"/>
    <w:rsid w:val="00BE3721"/>
    <w:rsid w:val="00BE4BD9"/>
    <w:rsid w:val="00BE6AB8"/>
    <w:rsid w:val="00BF040B"/>
    <w:rsid w:val="00BF086D"/>
    <w:rsid w:val="00BF2167"/>
    <w:rsid w:val="00BF43BC"/>
    <w:rsid w:val="00BF4DDA"/>
    <w:rsid w:val="00BF55C7"/>
    <w:rsid w:val="00BF7ED8"/>
    <w:rsid w:val="00C0222C"/>
    <w:rsid w:val="00C04139"/>
    <w:rsid w:val="00C0572E"/>
    <w:rsid w:val="00C10C0C"/>
    <w:rsid w:val="00C149AF"/>
    <w:rsid w:val="00C15C65"/>
    <w:rsid w:val="00C21B3D"/>
    <w:rsid w:val="00C24267"/>
    <w:rsid w:val="00C243E6"/>
    <w:rsid w:val="00C24F23"/>
    <w:rsid w:val="00C2788D"/>
    <w:rsid w:val="00C31D37"/>
    <w:rsid w:val="00C33398"/>
    <w:rsid w:val="00C361F6"/>
    <w:rsid w:val="00C3669A"/>
    <w:rsid w:val="00C371D5"/>
    <w:rsid w:val="00C423E3"/>
    <w:rsid w:val="00C44BAC"/>
    <w:rsid w:val="00C45626"/>
    <w:rsid w:val="00C458AF"/>
    <w:rsid w:val="00C460A0"/>
    <w:rsid w:val="00C4720D"/>
    <w:rsid w:val="00C50068"/>
    <w:rsid w:val="00C5441D"/>
    <w:rsid w:val="00C549F4"/>
    <w:rsid w:val="00C610F2"/>
    <w:rsid w:val="00C66E94"/>
    <w:rsid w:val="00C676F3"/>
    <w:rsid w:val="00C71AB8"/>
    <w:rsid w:val="00C73E8B"/>
    <w:rsid w:val="00C74E97"/>
    <w:rsid w:val="00C75909"/>
    <w:rsid w:val="00C767D5"/>
    <w:rsid w:val="00C77202"/>
    <w:rsid w:val="00C77EFD"/>
    <w:rsid w:val="00C809AF"/>
    <w:rsid w:val="00C81A10"/>
    <w:rsid w:val="00C829DF"/>
    <w:rsid w:val="00C82F5A"/>
    <w:rsid w:val="00C84021"/>
    <w:rsid w:val="00C86AEA"/>
    <w:rsid w:val="00C875AE"/>
    <w:rsid w:val="00C9310B"/>
    <w:rsid w:val="00C937FB"/>
    <w:rsid w:val="00C95C6A"/>
    <w:rsid w:val="00CA696D"/>
    <w:rsid w:val="00CA6B5A"/>
    <w:rsid w:val="00CB1536"/>
    <w:rsid w:val="00CB3907"/>
    <w:rsid w:val="00CB6167"/>
    <w:rsid w:val="00CC0C54"/>
    <w:rsid w:val="00CC1016"/>
    <w:rsid w:val="00CD1673"/>
    <w:rsid w:val="00CD1721"/>
    <w:rsid w:val="00CD4DDC"/>
    <w:rsid w:val="00CE6301"/>
    <w:rsid w:val="00CF1129"/>
    <w:rsid w:val="00CF2008"/>
    <w:rsid w:val="00CF3649"/>
    <w:rsid w:val="00CF4188"/>
    <w:rsid w:val="00CF4E9E"/>
    <w:rsid w:val="00CF7848"/>
    <w:rsid w:val="00D058FC"/>
    <w:rsid w:val="00D06213"/>
    <w:rsid w:val="00D10010"/>
    <w:rsid w:val="00D11510"/>
    <w:rsid w:val="00D12BB7"/>
    <w:rsid w:val="00D159D4"/>
    <w:rsid w:val="00D20C50"/>
    <w:rsid w:val="00D21601"/>
    <w:rsid w:val="00D22F1C"/>
    <w:rsid w:val="00D31882"/>
    <w:rsid w:val="00D31BAB"/>
    <w:rsid w:val="00D31D27"/>
    <w:rsid w:val="00D32109"/>
    <w:rsid w:val="00D34AFB"/>
    <w:rsid w:val="00D35A03"/>
    <w:rsid w:val="00D37377"/>
    <w:rsid w:val="00D41830"/>
    <w:rsid w:val="00D45B8C"/>
    <w:rsid w:val="00D56058"/>
    <w:rsid w:val="00D567E0"/>
    <w:rsid w:val="00D56A09"/>
    <w:rsid w:val="00D61F2D"/>
    <w:rsid w:val="00D630DE"/>
    <w:rsid w:val="00D645C6"/>
    <w:rsid w:val="00D65905"/>
    <w:rsid w:val="00D7327A"/>
    <w:rsid w:val="00D74EC8"/>
    <w:rsid w:val="00D81AC9"/>
    <w:rsid w:val="00D858CC"/>
    <w:rsid w:val="00D9086C"/>
    <w:rsid w:val="00D94745"/>
    <w:rsid w:val="00D95DFF"/>
    <w:rsid w:val="00D963D5"/>
    <w:rsid w:val="00DA2380"/>
    <w:rsid w:val="00DA41B2"/>
    <w:rsid w:val="00DA5D06"/>
    <w:rsid w:val="00DA7B20"/>
    <w:rsid w:val="00DB5727"/>
    <w:rsid w:val="00DC0AE6"/>
    <w:rsid w:val="00DC52BC"/>
    <w:rsid w:val="00DC621D"/>
    <w:rsid w:val="00DC6A98"/>
    <w:rsid w:val="00DC6EF8"/>
    <w:rsid w:val="00DC7245"/>
    <w:rsid w:val="00DC730A"/>
    <w:rsid w:val="00DD12FC"/>
    <w:rsid w:val="00DD2B0D"/>
    <w:rsid w:val="00DE130A"/>
    <w:rsid w:val="00DE1F21"/>
    <w:rsid w:val="00DE278F"/>
    <w:rsid w:val="00DE38B2"/>
    <w:rsid w:val="00DF2C9A"/>
    <w:rsid w:val="00DF5291"/>
    <w:rsid w:val="00DF6AC1"/>
    <w:rsid w:val="00E010C4"/>
    <w:rsid w:val="00E05572"/>
    <w:rsid w:val="00E16292"/>
    <w:rsid w:val="00E166FD"/>
    <w:rsid w:val="00E20294"/>
    <w:rsid w:val="00E239D7"/>
    <w:rsid w:val="00E25706"/>
    <w:rsid w:val="00E264BB"/>
    <w:rsid w:val="00E276DF"/>
    <w:rsid w:val="00E30596"/>
    <w:rsid w:val="00E31FF9"/>
    <w:rsid w:val="00E33434"/>
    <w:rsid w:val="00E43C23"/>
    <w:rsid w:val="00E45E6A"/>
    <w:rsid w:val="00E50A42"/>
    <w:rsid w:val="00E54FA5"/>
    <w:rsid w:val="00E56D64"/>
    <w:rsid w:val="00E61081"/>
    <w:rsid w:val="00E65B18"/>
    <w:rsid w:val="00E65B9D"/>
    <w:rsid w:val="00E71CE6"/>
    <w:rsid w:val="00E71E16"/>
    <w:rsid w:val="00E728C6"/>
    <w:rsid w:val="00E76641"/>
    <w:rsid w:val="00E77AC7"/>
    <w:rsid w:val="00E851E8"/>
    <w:rsid w:val="00E86DF2"/>
    <w:rsid w:val="00E879EC"/>
    <w:rsid w:val="00E95703"/>
    <w:rsid w:val="00EA0297"/>
    <w:rsid w:val="00EA2C29"/>
    <w:rsid w:val="00EA3F05"/>
    <w:rsid w:val="00EA548B"/>
    <w:rsid w:val="00EA5E85"/>
    <w:rsid w:val="00EB0B07"/>
    <w:rsid w:val="00EB144E"/>
    <w:rsid w:val="00EB1B82"/>
    <w:rsid w:val="00EB462A"/>
    <w:rsid w:val="00EB4CA8"/>
    <w:rsid w:val="00EB4FC0"/>
    <w:rsid w:val="00EB635D"/>
    <w:rsid w:val="00EB6AA6"/>
    <w:rsid w:val="00EC0354"/>
    <w:rsid w:val="00EC5A70"/>
    <w:rsid w:val="00EC60D5"/>
    <w:rsid w:val="00EC70BC"/>
    <w:rsid w:val="00ED018E"/>
    <w:rsid w:val="00ED044F"/>
    <w:rsid w:val="00ED07AD"/>
    <w:rsid w:val="00ED39D5"/>
    <w:rsid w:val="00ED3B36"/>
    <w:rsid w:val="00EE55F9"/>
    <w:rsid w:val="00EE62A5"/>
    <w:rsid w:val="00EE63DE"/>
    <w:rsid w:val="00EF00EA"/>
    <w:rsid w:val="00EF34E1"/>
    <w:rsid w:val="00EF36A0"/>
    <w:rsid w:val="00EF5446"/>
    <w:rsid w:val="00F063E2"/>
    <w:rsid w:val="00F11454"/>
    <w:rsid w:val="00F12E5A"/>
    <w:rsid w:val="00F221FC"/>
    <w:rsid w:val="00F24025"/>
    <w:rsid w:val="00F32873"/>
    <w:rsid w:val="00F35CAE"/>
    <w:rsid w:val="00F36EE7"/>
    <w:rsid w:val="00F41D9D"/>
    <w:rsid w:val="00F4468A"/>
    <w:rsid w:val="00F57AFC"/>
    <w:rsid w:val="00F627E4"/>
    <w:rsid w:val="00F62D5B"/>
    <w:rsid w:val="00F65DBD"/>
    <w:rsid w:val="00F669B9"/>
    <w:rsid w:val="00F72E34"/>
    <w:rsid w:val="00F773E6"/>
    <w:rsid w:val="00F80A07"/>
    <w:rsid w:val="00F80CEE"/>
    <w:rsid w:val="00F81C18"/>
    <w:rsid w:val="00F81CE2"/>
    <w:rsid w:val="00F81F36"/>
    <w:rsid w:val="00F83054"/>
    <w:rsid w:val="00F8493C"/>
    <w:rsid w:val="00F85468"/>
    <w:rsid w:val="00F86A45"/>
    <w:rsid w:val="00F86BC7"/>
    <w:rsid w:val="00F907D4"/>
    <w:rsid w:val="00F9202F"/>
    <w:rsid w:val="00F92AA4"/>
    <w:rsid w:val="00FA2519"/>
    <w:rsid w:val="00FA63FB"/>
    <w:rsid w:val="00FA6B1E"/>
    <w:rsid w:val="00FB4165"/>
    <w:rsid w:val="00FB59A0"/>
    <w:rsid w:val="00FC1792"/>
    <w:rsid w:val="00FC42BD"/>
    <w:rsid w:val="00FD2E9B"/>
    <w:rsid w:val="00FE065B"/>
    <w:rsid w:val="00FE17D2"/>
    <w:rsid w:val="00FF0D0D"/>
    <w:rsid w:val="00FF202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A5E096B8-6BCC-4A52-86C9-E2E96853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styleId="Revision">
    <w:name w:val="Revision"/>
    <w:hidden/>
    <w:uiPriority w:val="99"/>
    <w:semiHidden/>
    <w:rsid w:val="0083212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236814372">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3850-A029-49AC-BB25-5FC27659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12</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2</cp:revision>
  <cp:lastPrinted>2023-07-02T06:05:00Z</cp:lastPrinted>
  <dcterms:created xsi:type="dcterms:W3CDTF">2023-07-04T10:05:00Z</dcterms:created>
  <dcterms:modified xsi:type="dcterms:W3CDTF">2023-07-04T10:05:00Z</dcterms:modified>
</cp:coreProperties>
</file>