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71CF1"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bookmarkStart w:id="0" w:name="_GoBack"/>
      <w:bookmarkEnd w:id="0"/>
      <w:r w:rsidRPr="007B7F59">
        <w:rPr>
          <w:rFonts w:eastAsia="Times New Roman" w:cs="Arial"/>
          <w:b/>
          <w:noProof/>
          <w:szCs w:val="24"/>
          <w:lang w:val="en-ZA" w:eastAsia="en-ZA"/>
        </w:rPr>
        <w:t>REPUBLIC OF SOUTH AFRICA</w:t>
      </w:r>
    </w:p>
    <w:p w14:paraId="708E30E0"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19F5EDB9"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778ADC9D" wp14:editId="253E793C">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0AAD9EDD"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41B430CB"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38C0B18A"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5367D426" w14:textId="77777777" w:rsidR="007B7F59" w:rsidRPr="007B7F59" w:rsidRDefault="007B7F59" w:rsidP="007B7F59">
      <w:pPr>
        <w:spacing w:after="0" w:line="240" w:lineRule="auto"/>
        <w:ind w:left="0"/>
        <w:rPr>
          <w:rFonts w:eastAsia="Times New Roman" w:cs="Arial"/>
          <w:szCs w:val="24"/>
          <w:lang w:val="en-ZA"/>
        </w:rPr>
      </w:pPr>
    </w:p>
    <w:p w14:paraId="5142878D" w14:textId="77777777" w:rsidR="007B7F59" w:rsidRPr="007B7F59" w:rsidRDefault="007B7F59" w:rsidP="007B7F59">
      <w:pPr>
        <w:spacing w:after="0" w:line="240" w:lineRule="auto"/>
        <w:ind w:left="0"/>
        <w:rPr>
          <w:rFonts w:eastAsia="Times New Roman" w:cs="Arial"/>
          <w:szCs w:val="24"/>
          <w:lang w:val="en-ZA"/>
        </w:rPr>
      </w:pPr>
    </w:p>
    <w:p w14:paraId="00570C96" w14:textId="15FB279C"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A870E5">
        <w:rPr>
          <w:rFonts w:eastAsia="Times New Roman" w:cs="Arial"/>
          <w:bCs/>
          <w:szCs w:val="24"/>
          <w:lang w:val="en-ZA"/>
        </w:rPr>
        <w:t>7960</w:t>
      </w:r>
      <w:r w:rsidRPr="00A870E5">
        <w:rPr>
          <w:rFonts w:eastAsia="Times New Roman" w:cs="Arial"/>
          <w:bCs/>
          <w:szCs w:val="24"/>
          <w:lang w:val="en-ZA"/>
        </w:rPr>
        <w:t>/</w:t>
      </w:r>
      <w:r w:rsidR="00A870E5" w:rsidRPr="00A870E5">
        <w:rPr>
          <w:rFonts w:eastAsia="Times New Roman" w:cs="Arial"/>
          <w:bCs/>
          <w:szCs w:val="24"/>
          <w:lang w:val="en-ZA"/>
        </w:rPr>
        <w:t>2021</w:t>
      </w:r>
    </w:p>
    <w:p w14:paraId="268A7A3C"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68BDB28F" wp14:editId="507807E4">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27D39DE8" w14:textId="674865A3" w:rsidR="007B7F59" w:rsidRPr="003B746C"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REPORTABLE: </w:t>
                            </w:r>
                            <w:r w:rsidRPr="00A870E5">
                              <w:rPr>
                                <w:rFonts w:cs="Arial"/>
                                <w:sz w:val="18"/>
                                <w:szCs w:val="20"/>
                              </w:rPr>
                              <w:t xml:space="preserve"> NO</w:t>
                            </w:r>
                          </w:p>
                          <w:p w14:paraId="7C5D8C38" w14:textId="5798B3BE" w:rsidR="007B7F59" w:rsidRPr="003B746C"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OF INTEREST TO OTHER JUDGES: </w:t>
                            </w:r>
                            <w:r w:rsidRPr="00A870E5">
                              <w:rPr>
                                <w:rFonts w:cs="Arial"/>
                                <w:sz w:val="18"/>
                                <w:szCs w:val="20"/>
                              </w:rPr>
                              <w:t>NO</w:t>
                            </w:r>
                          </w:p>
                          <w:p w14:paraId="2BD9305D" w14:textId="6041EF88" w:rsidR="007B7F59"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REVISED: </w:t>
                            </w:r>
                            <w:r w:rsidRPr="00A870E5">
                              <w:rPr>
                                <w:rFonts w:cs="Arial"/>
                                <w:sz w:val="18"/>
                                <w:szCs w:val="20"/>
                              </w:rPr>
                              <w:t>NO</w:t>
                            </w:r>
                          </w:p>
                          <w:p w14:paraId="4621288A" w14:textId="2675006B" w:rsidR="007B7F59" w:rsidRPr="003B746C" w:rsidRDefault="009B467A" w:rsidP="002B448C">
                            <w:pPr>
                              <w:spacing w:before="240" w:after="0"/>
                              <w:rPr>
                                <w:rFonts w:cs="Arial"/>
                                <w:b/>
                                <w:sz w:val="18"/>
                                <w:szCs w:val="20"/>
                              </w:rPr>
                            </w:pPr>
                            <w:r>
                              <w:rPr>
                                <w:rFonts w:cs="Arial"/>
                                <w:b/>
                                <w:sz w:val="18"/>
                                <w:szCs w:val="20"/>
                              </w:rPr>
                              <w:t xml:space="preserve">4 July 2023 </w:t>
                            </w:r>
                            <w:r w:rsidR="007B7F59" w:rsidRPr="003B746C">
                              <w:rPr>
                                <w:rFonts w:cs="Arial"/>
                                <w:b/>
                                <w:sz w:val="18"/>
                                <w:szCs w:val="20"/>
                              </w:rPr>
                              <w:tab/>
                              <w:t>_________________________</w:t>
                            </w:r>
                          </w:p>
                          <w:p w14:paraId="011D1E4A"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shapetype w14:anchorId="68BDB28F"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27D39DE8" w14:textId="674865A3" w:rsidR="007B7F59" w:rsidRPr="003B746C"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REPORTABLE: </w:t>
                      </w:r>
                      <w:r w:rsidRPr="00A870E5">
                        <w:rPr>
                          <w:rFonts w:cs="Arial"/>
                          <w:sz w:val="18"/>
                          <w:szCs w:val="20"/>
                        </w:rPr>
                        <w:t xml:space="preserve"> NO</w:t>
                      </w:r>
                    </w:p>
                    <w:p w14:paraId="7C5D8C38" w14:textId="5798B3BE" w:rsidR="007B7F59" w:rsidRPr="003B746C"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OF INTEREST TO OTHER JUDGES: </w:t>
                      </w:r>
                      <w:r w:rsidRPr="00A870E5">
                        <w:rPr>
                          <w:rFonts w:cs="Arial"/>
                          <w:sz w:val="18"/>
                          <w:szCs w:val="20"/>
                        </w:rPr>
                        <w:t>NO</w:t>
                      </w:r>
                    </w:p>
                    <w:p w14:paraId="2BD9305D" w14:textId="6041EF88" w:rsidR="007B7F59"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REVISED: </w:t>
                      </w:r>
                      <w:r w:rsidRPr="00A870E5">
                        <w:rPr>
                          <w:rFonts w:cs="Arial"/>
                          <w:sz w:val="18"/>
                          <w:szCs w:val="20"/>
                        </w:rPr>
                        <w:t>NO</w:t>
                      </w:r>
                    </w:p>
                    <w:p w14:paraId="4621288A" w14:textId="2675006B" w:rsidR="007B7F59" w:rsidRPr="003B746C" w:rsidRDefault="009B467A" w:rsidP="002B448C">
                      <w:pPr>
                        <w:spacing w:before="240" w:after="0"/>
                        <w:rPr>
                          <w:rFonts w:cs="Arial"/>
                          <w:b/>
                          <w:sz w:val="18"/>
                          <w:szCs w:val="20"/>
                        </w:rPr>
                      </w:pPr>
                      <w:r>
                        <w:rPr>
                          <w:rFonts w:cs="Arial"/>
                          <w:b/>
                          <w:sz w:val="18"/>
                          <w:szCs w:val="20"/>
                        </w:rPr>
                        <w:t xml:space="preserve">4 July 2023 </w:t>
                      </w:r>
                      <w:r w:rsidR="007B7F59" w:rsidRPr="003B746C">
                        <w:rPr>
                          <w:rFonts w:cs="Arial"/>
                          <w:b/>
                          <w:sz w:val="18"/>
                          <w:szCs w:val="20"/>
                        </w:rPr>
                        <w:tab/>
                        <w:t>_________________________</w:t>
                      </w:r>
                    </w:p>
                    <w:p w14:paraId="011D1E4A"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29801BED"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32BC29F1"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77A1CA08"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14D079B0"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1CD91441"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4EEAC7BF"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1FFDC4D4"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F2B478A" w14:textId="77777777" w:rsidR="00A870E5" w:rsidRPr="007B7F59" w:rsidRDefault="00A870E5" w:rsidP="00A870E5">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1A6457FF" w14:textId="77777777" w:rsidR="00A870E5" w:rsidRPr="007B7F59" w:rsidRDefault="00A870E5" w:rsidP="00A870E5">
      <w:pPr>
        <w:tabs>
          <w:tab w:val="right" w:pos="9029"/>
        </w:tabs>
        <w:spacing w:after="0" w:line="240" w:lineRule="auto"/>
        <w:ind w:left="0"/>
        <w:contextualSpacing/>
        <w:rPr>
          <w:rFonts w:eastAsia="Times New Roman" w:cs="Arial"/>
          <w:b/>
          <w:szCs w:val="24"/>
          <w:lang w:val="en-ZA"/>
        </w:rPr>
      </w:pPr>
    </w:p>
    <w:p w14:paraId="16908378" w14:textId="77777777" w:rsidR="00A870E5" w:rsidRPr="007B7F59" w:rsidRDefault="00A870E5" w:rsidP="00A870E5">
      <w:pPr>
        <w:tabs>
          <w:tab w:val="right" w:pos="9029"/>
        </w:tabs>
        <w:spacing w:after="0" w:line="240" w:lineRule="auto"/>
        <w:ind w:left="0"/>
        <w:contextualSpacing/>
        <w:rPr>
          <w:rFonts w:eastAsia="Times New Roman" w:cs="Arial"/>
          <w:b/>
          <w:szCs w:val="24"/>
          <w:lang w:val="en-ZA"/>
        </w:rPr>
      </w:pPr>
    </w:p>
    <w:p w14:paraId="41103E0D" w14:textId="77777777" w:rsidR="00A870E5" w:rsidRPr="007B7F59" w:rsidRDefault="00A870E5" w:rsidP="00A870E5">
      <w:pPr>
        <w:tabs>
          <w:tab w:val="right" w:pos="9029"/>
        </w:tabs>
        <w:spacing w:after="0" w:line="240" w:lineRule="auto"/>
        <w:ind w:left="0"/>
        <w:contextualSpacing/>
        <w:rPr>
          <w:rFonts w:eastAsia="Times New Roman" w:cs="Arial"/>
          <w:szCs w:val="24"/>
          <w:lang w:val="en-ZA"/>
        </w:rPr>
      </w:pPr>
      <w:r w:rsidRPr="00DF6C95">
        <w:rPr>
          <w:rFonts w:eastAsia="Times New Roman" w:cs="Arial"/>
          <w:b/>
          <w:szCs w:val="24"/>
          <w:lang w:val="en-ZA"/>
        </w:rPr>
        <w:t>ASSETLINE SOUTH AFRICA (PTY) LTD</w:t>
      </w:r>
      <w:r>
        <w:rPr>
          <w:rFonts w:eastAsia="Times New Roman" w:cs="Arial"/>
          <w:b/>
          <w:szCs w:val="24"/>
          <w:lang w:val="en-ZA"/>
        </w:rPr>
        <w:t xml:space="preserve">                               </w:t>
      </w:r>
      <w:r>
        <w:rPr>
          <w:rFonts w:eastAsia="Times New Roman" w:cs="Arial"/>
          <w:szCs w:val="24"/>
          <w:lang w:val="en-ZA"/>
        </w:rPr>
        <w:t>Applicant</w:t>
      </w:r>
    </w:p>
    <w:p w14:paraId="2729600D" w14:textId="77777777" w:rsidR="00A870E5" w:rsidRPr="007B7F59" w:rsidRDefault="00A870E5" w:rsidP="00A870E5">
      <w:pPr>
        <w:tabs>
          <w:tab w:val="right" w:pos="9029"/>
        </w:tabs>
        <w:spacing w:after="0" w:line="240" w:lineRule="auto"/>
        <w:ind w:left="0"/>
        <w:contextualSpacing/>
        <w:rPr>
          <w:rFonts w:eastAsia="Times New Roman" w:cs="Arial"/>
          <w:szCs w:val="24"/>
          <w:lang w:val="en-ZA"/>
        </w:rPr>
      </w:pPr>
    </w:p>
    <w:p w14:paraId="795698B4" w14:textId="77777777" w:rsidR="00A870E5" w:rsidRPr="007B7F59" w:rsidRDefault="00A870E5" w:rsidP="00A870E5">
      <w:pPr>
        <w:tabs>
          <w:tab w:val="right" w:pos="9029"/>
        </w:tabs>
        <w:spacing w:after="0" w:line="240" w:lineRule="auto"/>
        <w:ind w:left="0"/>
        <w:contextualSpacing/>
        <w:rPr>
          <w:rFonts w:eastAsia="Times New Roman" w:cs="Arial"/>
          <w:szCs w:val="24"/>
          <w:lang w:val="en-ZA"/>
        </w:rPr>
      </w:pPr>
    </w:p>
    <w:p w14:paraId="0A2D2442" w14:textId="6A6C7252" w:rsidR="00A870E5" w:rsidRPr="007B7F59" w:rsidRDefault="00A870E5" w:rsidP="00466E6C">
      <w:pPr>
        <w:tabs>
          <w:tab w:val="left" w:pos="2050"/>
        </w:tabs>
        <w:spacing w:after="0" w:line="240" w:lineRule="auto"/>
        <w:ind w:left="0"/>
        <w:contextualSpacing/>
        <w:rPr>
          <w:rFonts w:eastAsia="Times New Roman" w:cs="Arial"/>
          <w:szCs w:val="24"/>
          <w:lang w:val="en-ZA"/>
        </w:rPr>
      </w:pPr>
      <w:r w:rsidRPr="007B7F59">
        <w:rPr>
          <w:rFonts w:eastAsia="Times New Roman" w:cs="Arial"/>
          <w:szCs w:val="24"/>
          <w:lang w:val="en-ZA"/>
        </w:rPr>
        <w:t>and</w:t>
      </w:r>
      <w:r w:rsidR="00466E6C">
        <w:rPr>
          <w:rFonts w:eastAsia="Times New Roman" w:cs="Arial"/>
          <w:szCs w:val="24"/>
          <w:lang w:val="en-ZA"/>
        </w:rPr>
        <w:tab/>
      </w:r>
    </w:p>
    <w:p w14:paraId="00D4BCFD" w14:textId="77777777" w:rsidR="00A870E5" w:rsidRPr="007B7F59" w:rsidRDefault="00A870E5" w:rsidP="00A870E5">
      <w:pPr>
        <w:tabs>
          <w:tab w:val="right" w:pos="9029"/>
        </w:tabs>
        <w:spacing w:after="0" w:line="240" w:lineRule="auto"/>
        <w:ind w:left="0"/>
        <w:contextualSpacing/>
        <w:rPr>
          <w:rFonts w:eastAsia="Times New Roman" w:cs="Arial"/>
          <w:szCs w:val="24"/>
          <w:lang w:val="en-ZA"/>
        </w:rPr>
      </w:pPr>
    </w:p>
    <w:p w14:paraId="7C62F48C" w14:textId="77777777" w:rsidR="00A870E5" w:rsidRDefault="00A870E5" w:rsidP="00A870E5">
      <w:pPr>
        <w:tabs>
          <w:tab w:val="right" w:pos="9029"/>
        </w:tabs>
        <w:spacing w:after="0" w:line="240" w:lineRule="auto"/>
        <w:ind w:left="0"/>
        <w:contextualSpacing/>
        <w:rPr>
          <w:rFonts w:cs="Arial"/>
          <w:szCs w:val="24"/>
          <w:lang w:val="en-ZA"/>
        </w:rPr>
      </w:pPr>
      <w:r w:rsidRPr="00DF6C95">
        <w:rPr>
          <w:rFonts w:cs="Arial"/>
          <w:b/>
          <w:szCs w:val="24"/>
          <w:lang w:val="en-ZA"/>
        </w:rPr>
        <w:t>MLM AND ASSOCIATES INC</w:t>
      </w:r>
      <w:r>
        <w:rPr>
          <w:rFonts w:cs="Arial"/>
          <w:b/>
          <w:szCs w:val="24"/>
          <w:lang w:val="en-ZA"/>
        </w:rPr>
        <w:t xml:space="preserve">                                                 </w:t>
      </w:r>
      <w:r w:rsidRPr="00DF6C95">
        <w:rPr>
          <w:rFonts w:cs="Arial"/>
          <w:szCs w:val="24"/>
          <w:lang w:val="en-ZA"/>
        </w:rPr>
        <w:t>First</w:t>
      </w:r>
      <w:r>
        <w:rPr>
          <w:rFonts w:cs="Arial"/>
          <w:b/>
          <w:szCs w:val="24"/>
          <w:lang w:val="en-ZA"/>
        </w:rPr>
        <w:t xml:space="preserve"> </w:t>
      </w:r>
      <w:r>
        <w:rPr>
          <w:rFonts w:cs="Arial"/>
          <w:szCs w:val="24"/>
          <w:lang w:val="en-ZA"/>
        </w:rPr>
        <w:t>Respondent</w:t>
      </w:r>
    </w:p>
    <w:p w14:paraId="7B4C995D" w14:textId="77777777" w:rsidR="00A870E5" w:rsidRDefault="00A870E5" w:rsidP="00A870E5">
      <w:pPr>
        <w:pStyle w:val="JudgmentNumbered"/>
        <w:numPr>
          <w:ilvl w:val="0"/>
          <w:numId w:val="0"/>
        </w:numPr>
        <w:ind w:left="567" w:hanging="567"/>
        <w:rPr>
          <w:lang w:val="en-ZA"/>
        </w:rPr>
      </w:pPr>
    </w:p>
    <w:p w14:paraId="44A48FED" w14:textId="77777777" w:rsidR="00A870E5" w:rsidRPr="00DF6C95" w:rsidRDefault="00A870E5" w:rsidP="00A870E5">
      <w:pPr>
        <w:pStyle w:val="JudgmentNumbered"/>
        <w:numPr>
          <w:ilvl w:val="0"/>
          <w:numId w:val="0"/>
        </w:numPr>
        <w:ind w:left="567" w:hanging="567"/>
        <w:rPr>
          <w:lang w:val="en-ZA"/>
        </w:rPr>
      </w:pPr>
      <w:r w:rsidRPr="00DF6C95">
        <w:rPr>
          <w:b/>
          <w:lang w:val="en-ZA"/>
        </w:rPr>
        <w:t>ROSE MOSIMA LESHIKA</w:t>
      </w:r>
      <w:r>
        <w:rPr>
          <w:lang w:val="en-ZA"/>
        </w:rPr>
        <w:tab/>
      </w:r>
      <w:r>
        <w:rPr>
          <w:lang w:val="en-ZA"/>
        </w:rPr>
        <w:tab/>
      </w:r>
      <w:r>
        <w:rPr>
          <w:lang w:val="en-ZA"/>
        </w:rPr>
        <w:tab/>
      </w:r>
      <w:r>
        <w:rPr>
          <w:lang w:val="en-ZA"/>
        </w:rPr>
        <w:tab/>
      </w:r>
      <w:r>
        <w:rPr>
          <w:lang w:val="en-ZA"/>
        </w:rPr>
        <w:tab/>
      </w:r>
      <w:r>
        <w:rPr>
          <w:lang w:val="en-ZA"/>
        </w:rPr>
        <w:tab/>
        <w:t>Second Respondent</w:t>
      </w:r>
    </w:p>
    <w:p w14:paraId="4EF26CDA"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4546D018" w14:textId="77777777" w:rsidR="007B7F59" w:rsidRPr="007B7F59" w:rsidRDefault="007B7F59" w:rsidP="007B7F59">
      <w:pPr>
        <w:spacing w:after="0" w:line="240" w:lineRule="auto"/>
        <w:ind w:left="1440" w:hanging="1440"/>
        <w:jc w:val="left"/>
        <w:rPr>
          <w:rFonts w:cs="Arial"/>
          <w:b/>
          <w:szCs w:val="24"/>
        </w:rPr>
      </w:pPr>
    </w:p>
    <w:p w14:paraId="48AA0DF2"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3EE5E5F7" w14:textId="36AE040B" w:rsidR="007B7F59" w:rsidRPr="007B7F59" w:rsidRDefault="00466E6C" w:rsidP="007B7F59">
      <w:pPr>
        <w:spacing w:after="0" w:line="240" w:lineRule="auto"/>
        <w:ind w:left="0"/>
        <w:jc w:val="left"/>
        <w:rPr>
          <w:rFonts w:cs="Arial"/>
          <w:szCs w:val="24"/>
        </w:rPr>
      </w:pPr>
      <w:r>
        <w:rPr>
          <w:rFonts w:cs="Arial"/>
          <w:szCs w:val="24"/>
        </w:rPr>
        <w:t>Mia, J</w:t>
      </w:r>
    </w:p>
    <w:p w14:paraId="14B40189" w14:textId="77777777" w:rsidR="007B7F59" w:rsidRPr="007B7F59" w:rsidRDefault="007B7F59" w:rsidP="007B7F59">
      <w:pPr>
        <w:spacing w:after="0" w:line="240" w:lineRule="auto"/>
        <w:ind w:left="0"/>
        <w:jc w:val="left"/>
        <w:rPr>
          <w:rFonts w:cs="Arial"/>
          <w:szCs w:val="24"/>
        </w:rPr>
      </w:pPr>
    </w:p>
    <w:p w14:paraId="58AB9F36" w14:textId="77777777" w:rsidR="007B7F59" w:rsidRPr="007B7F59" w:rsidRDefault="007B7F59" w:rsidP="007B7F59">
      <w:pPr>
        <w:spacing w:after="0" w:line="240" w:lineRule="auto"/>
        <w:ind w:left="0"/>
        <w:jc w:val="left"/>
        <w:rPr>
          <w:rFonts w:cs="Arial"/>
          <w:szCs w:val="24"/>
        </w:rPr>
      </w:pPr>
    </w:p>
    <w:p w14:paraId="459BCC7C" w14:textId="39A4AB7B" w:rsidR="0034339C" w:rsidRDefault="00794A15" w:rsidP="007B7F59">
      <w:pPr>
        <w:pStyle w:val="JudgmentNumbered"/>
      </w:pPr>
      <w:r>
        <w:t>This is an application for</w:t>
      </w:r>
      <w:r w:rsidR="006B76C0">
        <w:t xml:space="preserve"> </w:t>
      </w:r>
      <w:r w:rsidR="001B43BB">
        <w:t xml:space="preserve">an order that the first and second </w:t>
      </w:r>
      <w:r w:rsidR="00280AEB">
        <w:t>respondents</w:t>
      </w:r>
      <w:r w:rsidR="001B43BB">
        <w:t xml:space="preserve"> pay the amount of </w:t>
      </w:r>
      <w:r w:rsidR="00F60168">
        <w:t>R2</w:t>
      </w:r>
      <w:r w:rsidR="006E0F8D">
        <w:t> </w:t>
      </w:r>
      <w:r w:rsidR="00F60168">
        <w:t>03</w:t>
      </w:r>
      <w:r w:rsidR="006E0F8D">
        <w:t>5 600.44</w:t>
      </w:r>
      <w:r w:rsidR="004C04A9">
        <w:t>,</w:t>
      </w:r>
      <w:r w:rsidR="001B43BB">
        <w:t xml:space="preserve"> the one paying the other to be absolved</w:t>
      </w:r>
      <w:r w:rsidR="00E62C0A">
        <w:t>, plus interest at the rate of 5%  per month from  21 June 2020</w:t>
      </w:r>
      <w:r w:rsidR="00250FEA">
        <w:t xml:space="preserve"> to </w:t>
      </w:r>
      <w:r w:rsidR="00F125A7">
        <w:t xml:space="preserve">the </w:t>
      </w:r>
      <w:r w:rsidR="00250FEA">
        <w:t xml:space="preserve">date of </w:t>
      </w:r>
      <w:r w:rsidR="004C04A9">
        <w:t xml:space="preserve">the </w:t>
      </w:r>
      <w:r w:rsidR="00250FEA">
        <w:t>final payment.</w:t>
      </w:r>
      <w:r w:rsidR="003A50C4">
        <w:t xml:space="preserve"> </w:t>
      </w:r>
      <w:r w:rsidR="003A50C4">
        <w:lastRenderedPageBreak/>
        <w:t xml:space="preserve">Furthermore, the property </w:t>
      </w:r>
      <w:r w:rsidR="00815A16">
        <w:t>owned by the second respondent</w:t>
      </w:r>
      <w:r w:rsidR="007412A4">
        <w:t xml:space="preserve">, Section No. 13 as shown and more fully described on Sectional Plan No. SS 000324/15 in the scheme known as CEDAR TREE OFFICE PARK in respect of the land and building or buildings </w:t>
      </w:r>
      <w:r w:rsidR="003521A2">
        <w:t>situated</w:t>
      </w:r>
      <w:r w:rsidR="007412A4">
        <w:t xml:space="preserve"> at FOURWAYS EXTENSION 45 TOWNSHIP, Local Authority: City of Johannesburg, of which section the floor area, according to the said sectional plan is 146 ( one hundred and forty six) square metres in extent</w:t>
      </w:r>
      <w:r w:rsidR="005A018F">
        <w:t xml:space="preserve"> (the property)</w:t>
      </w:r>
      <w:r w:rsidR="00750327">
        <w:t>,</w:t>
      </w:r>
      <w:r w:rsidR="00750327" w:rsidRPr="00750327">
        <w:t xml:space="preserve"> </w:t>
      </w:r>
      <w:r w:rsidR="00750327">
        <w:t>be declared specially executable</w:t>
      </w:r>
      <w:r w:rsidR="00815A16">
        <w:t xml:space="preserve">. </w:t>
      </w:r>
      <w:r w:rsidR="00BF204E">
        <w:t xml:space="preserve"> The applicant also requested costs on the attorney and client scale. </w:t>
      </w:r>
      <w:r w:rsidR="00062069">
        <w:t xml:space="preserve"> The application is opposed</w:t>
      </w:r>
      <w:r w:rsidR="003521A2">
        <w:t xml:space="preserve"> by the respondents</w:t>
      </w:r>
      <w:r w:rsidR="0034339C">
        <w:t xml:space="preserve">. </w:t>
      </w:r>
    </w:p>
    <w:p w14:paraId="0526733F" w14:textId="7BD1FFA6" w:rsidR="00F8302B" w:rsidRDefault="00F8302B" w:rsidP="007B7F59">
      <w:pPr>
        <w:pStyle w:val="JudgmentNumbered"/>
      </w:pPr>
      <w:r>
        <w:t xml:space="preserve">The applicant is </w:t>
      </w:r>
      <w:r w:rsidR="00BD1CE7">
        <w:t>Assetline South Africa (Pty) Ltd</w:t>
      </w:r>
      <w:r w:rsidR="007C39E3">
        <w:t>,</w:t>
      </w:r>
      <w:r w:rsidR="00AC2CF1">
        <w:t xml:space="preserve"> </w:t>
      </w:r>
      <w:r w:rsidR="007C39E3">
        <w:t>a</w:t>
      </w:r>
      <w:r w:rsidR="00AC2CF1">
        <w:t xml:space="preserve"> company registered and incorporated in terms of the company laws of South Africa</w:t>
      </w:r>
      <w:r w:rsidR="007C39E3">
        <w:t>,</w:t>
      </w:r>
      <w:r w:rsidR="00D56C7A">
        <w:t xml:space="preserve"> having its princip</w:t>
      </w:r>
      <w:r w:rsidR="007C39E3">
        <w:t>a</w:t>
      </w:r>
      <w:r w:rsidR="00D56C7A">
        <w:t xml:space="preserve">l place of business </w:t>
      </w:r>
      <w:r w:rsidR="00D91772">
        <w:t xml:space="preserve">at </w:t>
      </w:r>
      <w:r w:rsidR="00D4296D">
        <w:t>2</w:t>
      </w:r>
      <w:r w:rsidR="00D4296D" w:rsidRPr="00D4296D">
        <w:rPr>
          <w:vertAlign w:val="superscript"/>
        </w:rPr>
        <w:t>nd</w:t>
      </w:r>
      <w:r w:rsidR="00D4296D">
        <w:t xml:space="preserve"> Floor, 108 Elisabeth Avenue,</w:t>
      </w:r>
      <w:r w:rsidR="00FB4CD8">
        <w:t xml:space="preserve"> </w:t>
      </w:r>
      <w:r w:rsidR="003F6DEB">
        <w:t xml:space="preserve">Parkmore, Sandton. </w:t>
      </w:r>
      <w:r w:rsidR="00274BBE">
        <w:t xml:space="preserve"> The </w:t>
      </w:r>
      <w:r w:rsidR="00D91772">
        <w:t>f</w:t>
      </w:r>
      <w:r w:rsidR="00274BBE">
        <w:t>irst respondent is MLM Associates</w:t>
      </w:r>
      <w:r w:rsidR="00C26A46">
        <w:t xml:space="preserve"> Inc. an incorporation in terms of the company laws of South Africa</w:t>
      </w:r>
      <w:r w:rsidR="00274BBE">
        <w:t>,</w:t>
      </w:r>
      <w:r w:rsidR="005A355A">
        <w:t xml:space="preserve"> with its chosen </w:t>
      </w:r>
      <w:r w:rsidR="005A355A" w:rsidRPr="003B73FD">
        <w:rPr>
          <w:i/>
          <w:iCs/>
        </w:rPr>
        <w:t xml:space="preserve">domicilium </w:t>
      </w:r>
      <w:r w:rsidR="00D53223" w:rsidRPr="003B73FD">
        <w:rPr>
          <w:i/>
          <w:iCs/>
        </w:rPr>
        <w:t>citant et executandi</w:t>
      </w:r>
      <w:r w:rsidR="00D53223">
        <w:t xml:space="preserve">, </w:t>
      </w:r>
      <w:r w:rsidR="00D91772">
        <w:t xml:space="preserve">at </w:t>
      </w:r>
      <w:r w:rsidR="007A578F">
        <w:t>9</w:t>
      </w:r>
      <w:r w:rsidR="00D53223">
        <w:t xml:space="preserve"> Origin</w:t>
      </w:r>
      <w:r w:rsidR="002D712D">
        <w:t>,</w:t>
      </w:r>
      <w:r w:rsidR="00D53223">
        <w:t xml:space="preserve"> Creek Lane,</w:t>
      </w:r>
      <w:r w:rsidR="00077794">
        <w:t xml:space="preserve"> </w:t>
      </w:r>
      <w:r w:rsidR="00A9627A">
        <w:t>Steyn City, Fourways</w:t>
      </w:r>
      <w:r w:rsidR="00F12937">
        <w:t xml:space="preserve">. The second respondent is </w:t>
      </w:r>
      <w:r w:rsidR="00681B8B">
        <w:t xml:space="preserve">Ms </w:t>
      </w:r>
      <w:r w:rsidR="00F12937">
        <w:t>Rose Mosima Lesh</w:t>
      </w:r>
      <w:r w:rsidR="00734F57">
        <w:t>i</w:t>
      </w:r>
      <w:r w:rsidR="00F12937">
        <w:t>ka</w:t>
      </w:r>
      <w:r w:rsidR="00734F57">
        <w:t xml:space="preserve">, an adult female businesswoman, </w:t>
      </w:r>
      <w:r w:rsidR="00B9189E">
        <w:t>and director of the first respondent</w:t>
      </w:r>
      <w:r w:rsidR="007A578F">
        <w:t xml:space="preserve"> residing at 9 Origin</w:t>
      </w:r>
      <w:r w:rsidR="002D712D">
        <w:t xml:space="preserve">, Creek </w:t>
      </w:r>
      <w:r w:rsidR="007A578F">
        <w:t xml:space="preserve"> Lane</w:t>
      </w:r>
      <w:r w:rsidR="002D712D">
        <w:t xml:space="preserve">, Steyn City, Fourways. </w:t>
      </w:r>
      <w:r w:rsidR="007A578F">
        <w:t xml:space="preserve"> </w:t>
      </w:r>
    </w:p>
    <w:p w14:paraId="48F493D0" w14:textId="22BB7364" w:rsidR="003F063C" w:rsidRDefault="0034339C" w:rsidP="007B7F59">
      <w:pPr>
        <w:pStyle w:val="JudgmentNumbered"/>
      </w:pPr>
      <w:r>
        <w:t>Both the opposing and replying affidavits were filed late</w:t>
      </w:r>
      <w:r w:rsidR="00681B8B">
        <w:t>.</w:t>
      </w:r>
      <w:r>
        <w:t xml:space="preserve">  The applicant did not </w:t>
      </w:r>
      <w:r w:rsidR="00705C3C">
        <w:t xml:space="preserve">take </w:t>
      </w:r>
      <w:r w:rsidR="0066791C">
        <w:t xml:space="preserve">issue with the late filing of the opposing affidavit and </w:t>
      </w:r>
      <w:r w:rsidR="005F7282">
        <w:t xml:space="preserve">sought the same consideration in respect of the late filing of its </w:t>
      </w:r>
      <w:r w:rsidR="00BE1875">
        <w:t xml:space="preserve">replying </w:t>
      </w:r>
      <w:r w:rsidR="005F7282">
        <w:t>affidavit</w:t>
      </w:r>
      <w:r w:rsidR="00C7361F">
        <w:t xml:space="preserve">. In the absence thereof, it tendered </w:t>
      </w:r>
      <w:r w:rsidR="00F125A7">
        <w:t>an</w:t>
      </w:r>
      <w:r w:rsidR="00C7361F">
        <w:t xml:space="preserve"> explanation for the late filing of the replying affidavit </w:t>
      </w:r>
      <w:r w:rsidR="00BA42E1">
        <w:t xml:space="preserve">citing admission to </w:t>
      </w:r>
      <w:r w:rsidR="00F125A7">
        <w:t xml:space="preserve">the </w:t>
      </w:r>
      <w:r w:rsidR="00BA42E1">
        <w:t xml:space="preserve">hospital of the </w:t>
      </w:r>
      <w:r w:rsidR="00F125A7">
        <w:t>applicant’s</w:t>
      </w:r>
      <w:r w:rsidR="00C92D79">
        <w:t xml:space="preserve"> attorney as well as certain reli</w:t>
      </w:r>
      <w:r w:rsidR="00D515FB">
        <w:t>gious holidays occurring in September 2021</w:t>
      </w:r>
      <w:r w:rsidR="00F125A7">
        <w:t>,</w:t>
      </w:r>
      <w:r w:rsidR="00D515FB">
        <w:t xml:space="preserve"> which prevented the </w:t>
      </w:r>
      <w:r w:rsidR="00644B10">
        <w:t xml:space="preserve">attorney and counsel from working and attending to finalising the </w:t>
      </w:r>
      <w:r w:rsidR="00B23C15">
        <w:t xml:space="preserve">affidavit.  The submission was that it was </w:t>
      </w:r>
      <w:r w:rsidR="00A97EEB">
        <w:t>pertinent to consider all the relevant facts. I am of the view</w:t>
      </w:r>
      <w:r w:rsidR="003C5434">
        <w:t xml:space="preserve">, </w:t>
      </w:r>
      <w:r w:rsidR="00A97EEB">
        <w:t xml:space="preserve"> this </w:t>
      </w:r>
      <w:r w:rsidR="00BE1875">
        <w:t xml:space="preserve">consideration </w:t>
      </w:r>
      <w:r w:rsidR="00A97EEB">
        <w:t>applies to both the opposing and replying affidavits</w:t>
      </w:r>
      <w:r w:rsidR="00F80311">
        <w:t>,</w:t>
      </w:r>
      <w:r w:rsidR="00A97EEB">
        <w:t xml:space="preserve"> and both </w:t>
      </w:r>
      <w:r w:rsidR="00F80311">
        <w:t xml:space="preserve">affidavits </w:t>
      </w:r>
      <w:r w:rsidR="003F063C">
        <w:t>are condoned and accepted.</w:t>
      </w:r>
    </w:p>
    <w:p w14:paraId="4974B28D" w14:textId="222DBC24" w:rsidR="00EE028B" w:rsidRDefault="00EE028B" w:rsidP="007B7F59">
      <w:pPr>
        <w:pStyle w:val="JudgmentNumbered"/>
      </w:pPr>
      <w:r>
        <w:t>The applicant and first respondent entered into a</w:t>
      </w:r>
      <w:r w:rsidR="00681B8B">
        <w:t xml:space="preserve"> written </w:t>
      </w:r>
      <w:r>
        <w:t xml:space="preserve">agreement in terms of which the applicant advanced a loan to the first respondent in the amount of R1 050 000.  The second respondent stood surety and co-principal debtor </w:t>
      </w:r>
      <w:r w:rsidR="00681B8B">
        <w:t>for</w:t>
      </w:r>
      <w:r w:rsidR="009B7825">
        <w:t xml:space="preserve"> </w:t>
      </w:r>
      <w:r>
        <w:t xml:space="preserve">the first respondent </w:t>
      </w:r>
      <w:r w:rsidR="00681B8B">
        <w:t>in respect of</w:t>
      </w:r>
      <w:r w:rsidR="009B7825">
        <w:t xml:space="preserve"> </w:t>
      </w:r>
      <w:r>
        <w:t>the amounts</w:t>
      </w:r>
      <w:r w:rsidR="00681B8B">
        <w:t xml:space="preserve"> the applicant loaned to the first respondent</w:t>
      </w:r>
      <w:r w:rsidR="003C5434">
        <w:t xml:space="preserve">. </w:t>
      </w:r>
      <w:r>
        <w:t xml:space="preserve">The debt was secured by passing a mortgage bond over the </w:t>
      </w:r>
      <w:r>
        <w:lastRenderedPageBreak/>
        <w:t xml:space="preserve">property owned by the second respondent. The property over which a mortgage </w:t>
      </w:r>
      <w:r w:rsidR="002D43B5">
        <w:t xml:space="preserve">bond </w:t>
      </w:r>
      <w:r>
        <w:t xml:space="preserve">was passed is commercial property from which the second respondent conducts her practice as an occupational therapist. </w:t>
      </w:r>
      <w:r w:rsidR="00D13764">
        <w:t xml:space="preserve">The </w:t>
      </w:r>
      <w:r w:rsidR="00681B8B">
        <w:t xml:space="preserve">first and second </w:t>
      </w:r>
      <w:r w:rsidR="00D13764">
        <w:t xml:space="preserve">respondents </w:t>
      </w:r>
      <w:r w:rsidR="00681B8B">
        <w:t xml:space="preserve">(the respondents) </w:t>
      </w:r>
      <w:r w:rsidR="00D13764">
        <w:t>oppose the applica</w:t>
      </w:r>
      <w:r w:rsidR="00CD372B">
        <w:t xml:space="preserve">tion </w:t>
      </w:r>
      <w:r w:rsidR="00D13764">
        <w:t xml:space="preserve">on the basis that the applicant did not conduct an affordability assessment in terms of Regulation 23A of the National Credit Act 34 of 2005 (the </w:t>
      </w:r>
      <w:r w:rsidR="00681B8B">
        <w:t>NCA</w:t>
      </w:r>
      <w:r w:rsidR="00D13764">
        <w:t xml:space="preserve">) when concluding the </w:t>
      </w:r>
      <w:r w:rsidR="00613B91">
        <w:t xml:space="preserve">second </w:t>
      </w:r>
      <w:r w:rsidR="00D13764">
        <w:t>agreement</w:t>
      </w:r>
      <w:r w:rsidR="00613B91">
        <w:t xml:space="preserve">. </w:t>
      </w:r>
      <w:r w:rsidR="00D13764">
        <w:t>The respondent also a</w:t>
      </w:r>
      <w:r w:rsidR="00681B8B">
        <w:t>lleged</w:t>
      </w:r>
      <w:r w:rsidR="009B7825">
        <w:t xml:space="preserve"> </w:t>
      </w:r>
      <w:r w:rsidR="00D13764">
        <w:t>that the applicant is not a registered credit provider.  The respondents stated that the loan is thus null and void as no money was advanced to the first respondent</w:t>
      </w:r>
      <w:r w:rsidR="00183AA2">
        <w:t xml:space="preserve"> when the second agreement was concluded</w:t>
      </w:r>
      <w:r w:rsidR="00D13764">
        <w:t xml:space="preserve">. The monies that were advanced </w:t>
      </w:r>
      <w:r w:rsidR="000C085A">
        <w:t>were</w:t>
      </w:r>
      <w:r w:rsidR="00D13764">
        <w:t xml:space="preserve"> to the second respondent </w:t>
      </w:r>
      <w:r w:rsidR="00941D7B">
        <w:t>when the first agreement was concluded.</w:t>
      </w:r>
      <w:r w:rsidR="00D13764">
        <w:t xml:space="preserve">  The respondents advanced further that the interest rate amounts to extortion or oppression and the loan agreement</w:t>
      </w:r>
      <w:r w:rsidR="000C085A">
        <w:t xml:space="preserve"> </w:t>
      </w:r>
      <w:r w:rsidR="00D13764">
        <w:t>should thus be set aside.</w:t>
      </w:r>
      <w:r>
        <w:t xml:space="preserve">  </w:t>
      </w:r>
    </w:p>
    <w:p w14:paraId="3D10E694" w14:textId="00693133" w:rsidR="005F091C" w:rsidRPr="005F091C" w:rsidRDefault="00544F8C" w:rsidP="007B7F59">
      <w:pPr>
        <w:pStyle w:val="JudgmentNumbered"/>
      </w:pPr>
      <w:r w:rsidRPr="007536D6">
        <w:rPr>
          <w:lang w:val="en-CA"/>
        </w:rPr>
        <w:t>The applicant and the second respondent</w:t>
      </w:r>
      <w:r w:rsidRPr="00A54746">
        <w:rPr>
          <w:lang w:val="en-CA"/>
        </w:rPr>
        <w:t xml:space="preserve"> concluded a loan agreement on 3 October 2018</w:t>
      </w:r>
      <w:r w:rsidR="001949A5">
        <w:rPr>
          <w:lang w:val="en-CA"/>
        </w:rPr>
        <w:t>,</w:t>
      </w:r>
      <w:r w:rsidRPr="00A54746">
        <w:rPr>
          <w:lang w:val="en-CA"/>
        </w:rPr>
        <w:t xml:space="preserve"> pursuant to which the applicant advanced an amount of </w:t>
      </w:r>
      <w:r>
        <w:rPr>
          <w:lang w:val="en-CA"/>
        </w:rPr>
        <w:t>R</w:t>
      </w:r>
      <w:r w:rsidRPr="00A54746">
        <w:rPr>
          <w:lang w:val="en-CA"/>
        </w:rPr>
        <w:t>1</w:t>
      </w:r>
      <w:r w:rsidR="00A1299A">
        <w:rPr>
          <w:lang w:val="en-CA"/>
        </w:rPr>
        <w:t> </w:t>
      </w:r>
      <w:r w:rsidRPr="00A54746">
        <w:rPr>
          <w:lang w:val="en-CA"/>
        </w:rPr>
        <w:t>0</w:t>
      </w:r>
      <w:r>
        <w:rPr>
          <w:lang w:val="en-CA"/>
        </w:rPr>
        <w:t>50</w:t>
      </w:r>
      <w:r w:rsidR="00A1299A">
        <w:rPr>
          <w:lang w:val="en-CA"/>
        </w:rPr>
        <w:t xml:space="preserve"> </w:t>
      </w:r>
      <w:r w:rsidRPr="00A54746">
        <w:rPr>
          <w:lang w:val="en-CA"/>
        </w:rPr>
        <w:t xml:space="preserve">000 </w:t>
      </w:r>
      <w:r w:rsidRPr="00A84170">
        <w:rPr>
          <w:lang w:val="en-CA"/>
        </w:rPr>
        <w:t>to the second respondent</w:t>
      </w:r>
      <w:r>
        <w:rPr>
          <w:lang w:val="en-CA"/>
        </w:rPr>
        <w:t>.</w:t>
      </w:r>
      <w:r w:rsidRPr="00B15BF8">
        <w:rPr>
          <w:lang w:val="en-CA"/>
        </w:rPr>
        <w:t xml:space="preserve"> Pursuant to this agreement</w:t>
      </w:r>
      <w:r w:rsidR="00A1299A">
        <w:rPr>
          <w:lang w:val="en-CA"/>
        </w:rPr>
        <w:t>,</w:t>
      </w:r>
      <w:r w:rsidRPr="00B15BF8">
        <w:rPr>
          <w:lang w:val="en-CA"/>
        </w:rPr>
        <w:t xml:space="preserve"> the second respondent passed a covering mortgage bond over the </w:t>
      </w:r>
      <w:r w:rsidR="00BE05FB">
        <w:rPr>
          <w:lang w:val="en-CA"/>
        </w:rPr>
        <w:t>im</w:t>
      </w:r>
      <w:r w:rsidRPr="00B15BF8">
        <w:rPr>
          <w:lang w:val="en-CA"/>
        </w:rPr>
        <w:t>movable property in favor of the applicant</w:t>
      </w:r>
      <w:r>
        <w:rPr>
          <w:lang w:val="en-CA"/>
        </w:rPr>
        <w:t>.</w:t>
      </w:r>
      <w:r w:rsidR="001949A5">
        <w:rPr>
          <w:lang w:val="en-CA"/>
        </w:rPr>
        <w:t xml:space="preserve"> </w:t>
      </w:r>
      <w:r>
        <w:rPr>
          <w:lang w:val="en-CA"/>
        </w:rPr>
        <w:t>P</w:t>
      </w:r>
      <w:r w:rsidRPr="00130C1C">
        <w:rPr>
          <w:lang w:val="en-CA"/>
        </w:rPr>
        <w:t xml:space="preserve">rior to concluding this </w:t>
      </w:r>
      <w:r w:rsidR="00681B8B" w:rsidRPr="00130C1C">
        <w:rPr>
          <w:lang w:val="en-CA"/>
        </w:rPr>
        <w:t>agreement,</w:t>
      </w:r>
      <w:r w:rsidRPr="00130C1C">
        <w:rPr>
          <w:lang w:val="en-CA"/>
        </w:rPr>
        <w:t xml:space="preserve"> the applicant</w:t>
      </w:r>
      <w:r>
        <w:rPr>
          <w:lang w:val="en-CA"/>
        </w:rPr>
        <w:t xml:space="preserve"> considered the second respondent</w:t>
      </w:r>
      <w:r w:rsidR="00D109D5">
        <w:rPr>
          <w:lang w:val="en-CA"/>
        </w:rPr>
        <w:t>’</w:t>
      </w:r>
      <w:r>
        <w:rPr>
          <w:lang w:val="en-CA"/>
        </w:rPr>
        <w:t xml:space="preserve">s </w:t>
      </w:r>
      <w:r w:rsidRPr="00130C1C">
        <w:rPr>
          <w:lang w:val="en-CA"/>
        </w:rPr>
        <w:t>risk</w:t>
      </w:r>
      <w:r w:rsidR="00BE05FB">
        <w:rPr>
          <w:lang w:val="en-CA"/>
        </w:rPr>
        <w:t xml:space="preserve">. </w:t>
      </w:r>
      <w:r w:rsidR="00800D45">
        <w:rPr>
          <w:lang w:val="en-CA"/>
        </w:rPr>
        <w:t>T</w:t>
      </w:r>
      <w:r>
        <w:rPr>
          <w:lang w:val="en-CA"/>
        </w:rPr>
        <w:t>wo banks</w:t>
      </w:r>
      <w:r w:rsidR="00D109D5">
        <w:rPr>
          <w:lang w:val="en-CA"/>
        </w:rPr>
        <w:t xml:space="preserve"> </w:t>
      </w:r>
      <w:r w:rsidR="00800D45">
        <w:rPr>
          <w:lang w:val="en-CA"/>
        </w:rPr>
        <w:t xml:space="preserve">had refused to </w:t>
      </w:r>
      <w:r>
        <w:rPr>
          <w:lang w:val="en-CA"/>
        </w:rPr>
        <w:t>provide loans</w:t>
      </w:r>
      <w:r w:rsidR="00C67F06">
        <w:rPr>
          <w:lang w:val="en-CA"/>
        </w:rPr>
        <w:t xml:space="preserve"> to her</w:t>
      </w:r>
      <w:r>
        <w:rPr>
          <w:lang w:val="en-CA"/>
        </w:rPr>
        <w:t>. The applicant</w:t>
      </w:r>
      <w:r w:rsidR="00C67F06">
        <w:rPr>
          <w:lang w:val="en-CA"/>
        </w:rPr>
        <w:t>,</w:t>
      </w:r>
      <w:r>
        <w:rPr>
          <w:lang w:val="en-CA"/>
        </w:rPr>
        <w:t xml:space="preserve"> notwithstanding this consideration</w:t>
      </w:r>
      <w:r w:rsidR="00C67F06">
        <w:rPr>
          <w:lang w:val="en-CA"/>
        </w:rPr>
        <w:t>,</w:t>
      </w:r>
      <w:r>
        <w:rPr>
          <w:lang w:val="en-CA"/>
        </w:rPr>
        <w:t xml:space="preserve"> considered the second respondent</w:t>
      </w:r>
      <w:r w:rsidR="00C67F06">
        <w:rPr>
          <w:lang w:val="en-CA"/>
        </w:rPr>
        <w:t>’</w:t>
      </w:r>
      <w:r>
        <w:rPr>
          <w:lang w:val="en-CA"/>
        </w:rPr>
        <w:t>s position</w:t>
      </w:r>
      <w:r w:rsidR="009A71EE">
        <w:rPr>
          <w:lang w:val="en-CA"/>
        </w:rPr>
        <w:t xml:space="preserve"> and indicated that it </w:t>
      </w:r>
      <w:r>
        <w:rPr>
          <w:lang w:val="en-CA"/>
        </w:rPr>
        <w:t xml:space="preserve">conducted an </w:t>
      </w:r>
      <w:r w:rsidRPr="00130C1C">
        <w:rPr>
          <w:lang w:val="en-CA"/>
        </w:rPr>
        <w:t>affordability analysis in relation to the second respondent</w:t>
      </w:r>
      <w:r w:rsidR="009A71EE">
        <w:rPr>
          <w:lang w:val="en-CA"/>
        </w:rPr>
        <w:t xml:space="preserve">. </w:t>
      </w:r>
      <w:r w:rsidR="00681B8B">
        <w:rPr>
          <w:lang w:val="en-CA"/>
        </w:rPr>
        <w:t>Considering</w:t>
      </w:r>
      <w:r>
        <w:rPr>
          <w:lang w:val="en-CA"/>
        </w:rPr>
        <w:t xml:space="preserve"> her asset</w:t>
      </w:r>
      <w:r w:rsidR="00681B8B">
        <w:rPr>
          <w:lang w:val="en-CA"/>
        </w:rPr>
        <w:t>s</w:t>
      </w:r>
      <w:r w:rsidR="00732839">
        <w:rPr>
          <w:lang w:val="en-CA"/>
        </w:rPr>
        <w:t xml:space="preserve">, </w:t>
      </w:r>
      <w:r w:rsidR="00681B8B">
        <w:rPr>
          <w:lang w:val="en-CA"/>
        </w:rPr>
        <w:t>in particular</w:t>
      </w:r>
      <w:r w:rsidR="00732839">
        <w:rPr>
          <w:lang w:val="en-CA"/>
        </w:rPr>
        <w:t xml:space="preserve">, the property, it decided to </w:t>
      </w:r>
      <w:r>
        <w:rPr>
          <w:lang w:val="en-CA"/>
        </w:rPr>
        <w:t>grant</w:t>
      </w:r>
      <w:r w:rsidR="00732839">
        <w:rPr>
          <w:lang w:val="en-CA"/>
        </w:rPr>
        <w:t xml:space="preserve"> the l</w:t>
      </w:r>
      <w:r>
        <w:rPr>
          <w:lang w:val="en-CA"/>
        </w:rPr>
        <w:t xml:space="preserve">oan </w:t>
      </w:r>
      <w:r w:rsidR="002F2926">
        <w:rPr>
          <w:lang w:val="en-CA"/>
        </w:rPr>
        <w:t>and entered into an agreement. T</w:t>
      </w:r>
      <w:r w:rsidRPr="00130C1C">
        <w:rPr>
          <w:lang w:val="en-CA"/>
        </w:rPr>
        <w:t>h</w:t>
      </w:r>
      <w:r w:rsidR="00495B9C">
        <w:rPr>
          <w:lang w:val="en-CA"/>
        </w:rPr>
        <w:t xml:space="preserve">is </w:t>
      </w:r>
      <w:r w:rsidRPr="00E131C5">
        <w:rPr>
          <w:lang w:val="en-CA"/>
        </w:rPr>
        <w:t xml:space="preserve">loan was due to be repaid by </w:t>
      </w:r>
      <w:r>
        <w:rPr>
          <w:lang w:val="en-CA"/>
        </w:rPr>
        <w:t>2 M</w:t>
      </w:r>
      <w:r w:rsidRPr="00E131C5">
        <w:rPr>
          <w:lang w:val="en-CA"/>
        </w:rPr>
        <w:t>ay 2019</w:t>
      </w:r>
      <w:r>
        <w:rPr>
          <w:lang w:val="en-CA"/>
        </w:rPr>
        <w:t>. H</w:t>
      </w:r>
      <w:r w:rsidRPr="00E131C5">
        <w:rPr>
          <w:lang w:val="en-CA"/>
        </w:rPr>
        <w:t>owever</w:t>
      </w:r>
      <w:r w:rsidR="002F2926">
        <w:rPr>
          <w:lang w:val="en-CA"/>
        </w:rPr>
        <w:t>,</w:t>
      </w:r>
      <w:r w:rsidRPr="00E131C5">
        <w:rPr>
          <w:lang w:val="en-CA"/>
        </w:rPr>
        <w:t xml:space="preserve"> </w:t>
      </w:r>
      <w:r>
        <w:rPr>
          <w:lang w:val="en-CA"/>
        </w:rPr>
        <w:t xml:space="preserve">the </w:t>
      </w:r>
      <w:r w:rsidR="0083557E">
        <w:rPr>
          <w:lang w:val="en-CA"/>
        </w:rPr>
        <w:t xml:space="preserve">second </w:t>
      </w:r>
      <w:r w:rsidRPr="00E131C5">
        <w:rPr>
          <w:lang w:val="en-CA"/>
        </w:rPr>
        <w:t>responde</w:t>
      </w:r>
      <w:r>
        <w:rPr>
          <w:lang w:val="en-CA"/>
        </w:rPr>
        <w:t xml:space="preserve">nt </w:t>
      </w:r>
      <w:r w:rsidRPr="00E131C5">
        <w:rPr>
          <w:lang w:val="en-CA"/>
        </w:rPr>
        <w:t>defaulted on her obligations in terms of this agreement</w:t>
      </w:r>
      <w:r>
        <w:rPr>
          <w:lang w:val="en-CA"/>
        </w:rPr>
        <w:t xml:space="preserve"> and </w:t>
      </w:r>
      <w:r w:rsidRPr="00991A03">
        <w:rPr>
          <w:lang w:val="en-CA"/>
        </w:rPr>
        <w:t>requested more time to enable her to discharge her indebtedness</w:t>
      </w:r>
      <w:r>
        <w:rPr>
          <w:lang w:val="en-CA"/>
        </w:rPr>
        <w:t>. T</w:t>
      </w:r>
      <w:r w:rsidRPr="00991A03">
        <w:rPr>
          <w:lang w:val="en-CA"/>
        </w:rPr>
        <w:t>he applicant agree</w:t>
      </w:r>
      <w:r>
        <w:rPr>
          <w:lang w:val="en-CA"/>
        </w:rPr>
        <w:t>d</w:t>
      </w:r>
      <w:r w:rsidRPr="00991A03">
        <w:rPr>
          <w:lang w:val="en-CA"/>
        </w:rPr>
        <w:t xml:space="preserve"> to the request on condition that the first respondent assume</w:t>
      </w:r>
      <w:r w:rsidR="00681B8B">
        <w:rPr>
          <w:lang w:val="en-CA"/>
        </w:rPr>
        <w:t>d</w:t>
      </w:r>
      <w:r w:rsidRPr="00991A03">
        <w:rPr>
          <w:lang w:val="en-CA"/>
        </w:rPr>
        <w:t xml:space="preserve"> responsibility for the </w:t>
      </w:r>
      <w:r>
        <w:rPr>
          <w:lang w:val="en-CA"/>
        </w:rPr>
        <w:t xml:space="preserve">debt. </w:t>
      </w:r>
    </w:p>
    <w:p w14:paraId="632FCB5E" w14:textId="7F756A9D" w:rsidR="00292FA1" w:rsidRPr="00292FA1" w:rsidRDefault="00544F8C" w:rsidP="00681B8B">
      <w:pPr>
        <w:pStyle w:val="JudgmentNumbered"/>
        <w:tabs>
          <w:tab w:val="left" w:pos="8315"/>
        </w:tabs>
      </w:pPr>
      <w:r>
        <w:rPr>
          <w:lang w:val="en-CA"/>
        </w:rPr>
        <w:t>A</w:t>
      </w:r>
      <w:r w:rsidRPr="0061416E">
        <w:rPr>
          <w:lang w:val="en-CA"/>
        </w:rPr>
        <w:t>ccordingly</w:t>
      </w:r>
      <w:r w:rsidR="00CE4148">
        <w:rPr>
          <w:lang w:val="en-CA"/>
        </w:rPr>
        <w:t>,</w:t>
      </w:r>
      <w:r w:rsidRPr="0061416E">
        <w:rPr>
          <w:lang w:val="en-CA"/>
        </w:rPr>
        <w:t xml:space="preserve"> on 19 August 2019</w:t>
      </w:r>
      <w:r w:rsidR="0083557E">
        <w:rPr>
          <w:lang w:val="en-CA"/>
        </w:rPr>
        <w:t>,</w:t>
      </w:r>
      <w:r w:rsidRPr="0061416E">
        <w:rPr>
          <w:lang w:val="en-CA"/>
        </w:rPr>
        <w:t xml:space="preserve"> the applicant and the first respondent concluded </w:t>
      </w:r>
      <w:r w:rsidR="00A0045D">
        <w:rPr>
          <w:lang w:val="en-CA"/>
        </w:rPr>
        <w:t xml:space="preserve">a </w:t>
      </w:r>
      <w:r w:rsidRPr="0061416E">
        <w:rPr>
          <w:lang w:val="en-CA"/>
        </w:rPr>
        <w:t xml:space="preserve">written loan agreement </w:t>
      </w:r>
      <w:r>
        <w:rPr>
          <w:lang w:val="en-CA"/>
        </w:rPr>
        <w:t>(</w:t>
      </w:r>
      <w:r w:rsidRPr="0061416E">
        <w:rPr>
          <w:lang w:val="en-CA"/>
        </w:rPr>
        <w:t xml:space="preserve">the </w:t>
      </w:r>
      <w:r w:rsidR="00681B8B">
        <w:rPr>
          <w:lang w:val="en-CA"/>
        </w:rPr>
        <w:t xml:space="preserve">second </w:t>
      </w:r>
      <w:r>
        <w:rPr>
          <w:lang w:val="en-CA"/>
        </w:rPr>
        <w:t>agreement)</w:t>
      </w:r>
      <w:r w:rsidR="00BF72DB">
        <w:rPr>
          <w:lang w:val="en-CA"/>
        </w:rPr>
        <w:t>,</w:t>
      </w:r>
      <w:r>
        <w:rPr>
          <w:lang w:val="en-CA"/>
        </w:rPr>
        <w:t xml:space="preserve"> pursuant</w:t>
      </w:r>
      <w:r w:rsidR="00A0045D">
        <w:rPr>
          <w:lang w:val="en-CA"/>
        </w:rPr>
        <w:t xml:space="preserve"> </w:t>
      </w:r>
      <w:r w:rsidR="00681B8B">
        <w:rPr>
          <w:lang w:val="en-CA"/>
        </w:rPr>
        <w:t xml:space="preserve">to </w:t>
      </w:r>
      <w:r w:rsidR="005F091C">
        <w:rPr>
          <w:lang w:val="en-CA"/>
        </w:rPr>
        <w:t xml:space="preserve">which </w:t>
      </w:r>
      <w:r w:rsidRPr="0061416E">
        <w:rPr>
          <w:lang w:val="en-CA"/>
        </w:rPr>
        <w:t xml:space="preserve">the applicant advanced the amount of </w:t>
      </w:r>
      <w:r w:rsidR="00681B8B">
        <w:rPr>
          <w:lang w:val="en-CA"/>
        </w:rPr>
        <w:t>R</w:t>
      </w:r>
      <w:r w:rsidRPr="0061416E">
        <w:rPr>
          <w:lang w:val="en-CA"/>
        </w:rPr>
        <w:t>1,050,000</w:t>
      </w:r>
      <w:r w:rsidRPr="00EF207C">
        <w:rPr>
          <w:lang w:val="en-CA"/>
        </w:rPr>
        <w:t xml:space="preserve"> to the first respondent</w:t>
      </w:r>
      <w:r>
        <w:rPr>
          <w:lang w:val="en-CA"/>
        </w:rPr>
        <w:t xml:space="preserve">. In terms of </w:t>
      </w:r>
      <w:r w:rsidRPr="00EF207C">
        <w:rPr>
          <w:lang w:val="en-CA"/>
        </w:rPr>
        <w:t>this agreement the applicant claims payment</w:t>
      </w:r>
      <w:r>
        <w:rPr>
          <w:lang w:val="en-CA"/>
        </w:rPr>
        <w:t xml:space="preserve"> where the </w:t>
      </w:r>
      <w:r w:rsidRPr="00EF207C">
        <w:rPr>
          <w:lang w:val="en-CA"/>
        </w:rPr>
        <w:t xml:space="preserve">interest accrued on </w:t>
      </w:r>
      <w:r w:rsidRPr="00EF207C">
        <w:rPr>
          <w:lang w:val="en-CA"/>
        </w:rPr>
        <w:lastRenderedPageBreak/>
        <w:t>the loan amount at a rate of 3.5% per month</w:t>
      </w:r>
      <w:r>
        <w:rPr>
          <w:lang w:val="en-CA"/>
        </w:rPr>
        <w:t xml:space="preserve">. In </w:t>
      </w:r>
      <w:r w:rsidRPr="00377456">
        <w:rPr>
          <w:lang w:val="en-CA"/>
        </w:rPr>
        <w:t xml:space="preserve">the </w:t>
      </w:r>
      <w:r>
        <w:rPr>
          <w:lang w:val="en-CA"/>
        </w:rPr>
        <w:t>e</w:t>
      </w:r>
      <w:r w:rsidRPr="00377456">
        <w:rPr>
          <w:lang w:val="en-CA"/>
        </w:rPr>
        <w:t>vent of</w:t>
      </w:r>
      <w:r>
        <w:rPr>
          <w:lang w:val="en-CA"/>
        </w:rPr>
        <w:t xml:space="preserve"> a </w:t>
      </w:r>
      <w:r w:rsidR="00681B8B" w:rsidRPr="00377456">
        <w:rPr>
          <w:lang w:val="en-CA"/>
        </w:rPr>
        <w:t xml:space="preserve">default </w:t>
      </w:r>
      <w:r w:rsidR="00681B8B">
        <w:rPr>
          <w:lang w:val="en-CA"/>
        </w:rPr>
        <w:t>on</w:t>
      </w:r>
      <w:r w:rsidR="005F091C">
        <w:rPr>
          <w:lang w:val="en-CA"/>
        </w:rPr>
        <w:t xml:space="preserve"> the </w:t>
      </w:r>
      <w:r w:rsidR="00681B8B">
        <w:rPr>
          <w:lang w:val="en-CA"/>
        </w:rPr>
        <w:t>agreement, the</w:t>
      </w:r>
      <w:r>
        <w:rPr>
          <w:lang w:val="en-CA"/>
        </w:rPr>
        <w:t xml:space="preserve"> interest </w:t>
      </w:r>
      <w:r w:rsidR="00012461">
        <w:rPr>
          <w:lang w:val="en-CA"/>
        </w:rPr>
        <w:t xml:space="preserve">rate </w:t>
      </w:r>
      <w:r>
        <w:rPr>
          <w:lang w:val="en-CA"/>
        </w:rPr>
        <w:t xml:space="preserve">increased and </w:t>
      </w:r>
      <w:r w:rsidRPr="00377456">
        <w:rPr>
          <w:lang w:val="en-CA"/>
        </w:rPr>
        <w:t>would accrue at a rate of 5% per month</w:t>
      </w:r>
      <w:r w:rsidR="00BF72DB">
        <w:rPr>
          <w:lang w:val="en-CA"/>
        </w:rPr>
        <w:t>,</w:t>
      </w:r>
      <w:r w:rsidR="00012461">
        <w:rPr>
          <w:lang w:val="en-CA"/>
        </w:rPr>
        <w:t xml:space="preserve"> which </w:t>
      </w:r>
      <w:r w:rsidR="009811B9">
        <w:rPr>
          <w:lang w:val="en-CA"/>
        </w:rPr>
        <w:t>over a period of 12 months equal</w:t>
      </w:r>
      <w:r w:rsidR="00681B8B">
        <w:rPr>
          <w:lang w:val="en-CA"/>
        </w:rPr>
        <w:t>s</w:t>
      </w:r>
      <w:r w:rsidR="009811B9">
        <w:rPr>
          <w:lang w:val="en-CA"/>
        </w:rPr>
        <w:t xml:space="preserve"> </w:t>
      </w:r>
      <w:r w:rsidR="00681B8B">
        <w:rPr>
          <w:lang w:val="en-CA"/>
        </w:rPr>
        <w:t xml:space="preserve">to </w:t>
      </w:r>
      <w:r w:rsidR="00012461">
        <w:rPr>
          <w:lang w:val="en-CA"/>
        </w:rPr>
        <w:t xml:space="preserve">60% per </w:t>
      </w:r>
      <w:r w:rsidR="004720A9">
        <w:rPr>
          <w:lang w:val="en-CA"/>
        </w:rPr>
        <w:t>annum</w:t>
      </w:r>
      <w:r>
        <w:rPr>
          <w:lang w:val="en-CA"/>
        </w:rPr>
        <w:t>. T</w:t>
      </w:r>
      <w:r w:rsidRPr="00377456">
        <w:rPr>
          <w:lang w:val="en-CA"/>
        </w:rPr>
        <w:t xml:space="preserve">he first respondent was obliged to repay the loan amount and interest by 31 </w:t>
      </w:r>
      <w:r>
        <w:rPr>
          <w:lang w:val="en-CA"/>
        </w:rPr>
        <w:t>M</w:t>
      </w:r>
      <w:r w:rsidRPr="00377456">
        <w:rPr>
          <w:lang w:val="en-CA"/>
        </w:rPr>
        <w:t>ay 2020</w:t>
      </w:r>
      <w:r>
        <w:rPr>
          <w:lang w:val="en-CA"/>
        </w:rPr>
        <w:t>. The</w:t>
      </w:r>
      <w:r w:rsidR="004720A9">
        <w:rPr>
          <w:lang w:val="en-CA"/>
        </w:rPr>
        <w:t xml:space="preserve"> </w:t>
      </w:r>
      <w:r w:rsidRPr="00D05379">
        <w:rPr>
          <w:lang w:val="en-CA"/>
        </w:rPr>
        <w:t>second responden</w:t>
      </w:r>
      <w:r>
        <w:rPr>
          <w:lang w:val="en-CA"/>
        </w:rPr>
        <w:t>t</w:t>
      </w:r>
      <w:r w:rsidR="004720A9">
        <w:rPr>
          <w:lang w:val="en-CA"/>
        </w:rPr>
        <w:t xml:space="preserve"> </w:t>
      </w:r>
      <w:r w:rsidRPr="00D05379">
        <w:rPr>
          <w:lang w:val="en-CA"/>
        </w:rPr>
        <w:t>stood as</w:t>
      </w:r>
      <w:r>
        <w:rPr>
          <w:lang w:val="en-CA"/>
        </w:rPr>
        <w:t xml:space="preserve"> </w:t>
      </w:r>
      <w:r w:rsidRPr="00D05379">
        <w:rPr>
          <w:lang w:val="en-CA"/>
        </w:rPr>
        <w:t>su</w:t>
      </w:r>
      <w:r>
        <w:rPr>
          <w:lang w:val="en-CA"/>
        </w:rPr>
        <w:t xml:space="preserve">rety </w:t>
      </w:r>
      <w:r w:rsidRPr="00D05379">
        <w:rPr>
          <w:lang w:val="en-CA"/>
        </w:rPr>
        <w:t>for an</w:t>
      </w:r>
      <w:r>
        <w:rPr>
          <w:lang w:val="en-CA"/>
        </w:rPr>
        <w:t>d co-principal debtor</w:t>
      </w:r>
      <w:r w:rsidR="00AF7B3F">
        <w:rPr>
          <w:lang w:val="en-CA"/>
        </w:rPr>
        <w:t>,</w:t>
      </w:r>
      <w:r>
        <w:rPr>
          <w:lang w:val="en-CA"/>
        </w:rPr>
        <w:t xml:space="preserve"> </w:t>
      </w:r>
      <w:r w:rsidR="00681B8B">
        <w:rPr>
          <w:lang w:val="en-CA"/>
        </w:rPr>
        <w:t xml:space="preserve">for </w:t>
      </w:r>
      <w:r w:rsidRPr="00D05379">
        <w:rPr>
          <w:lang w:val="en-CA"/>
        </w:rPr>
        <w:t xml:space="preserve">the first </w:t>
      </w:r>
      <w:r>
        <w:rPr>
          <w:lang w:val="en-CA"/>
        </w:rPr>
        <w:t xml:space="preserve">respondent for the amounts </w:t>
      </w:r>
      <w:r w:rsidR="00AF7B3F">
        <w:rPr>
          <w:lang w:val="en-CA"/>
        </w:rPr>
        <w:t>owing</w:t>
      </w:r>
      <w:r>
        <w:rPr>
          <w:lang w:val="en-CA"/>
        </w:rPr>
        <w:t xml:space="preserve"> to the applicant. The amount was secured by passing a </w:t>
      </w:r>
      <w:r w:rsidRPr="00D05379">
        <w:rPr>
          <w:lang w:val="en-CA"/>
        </w:rPr>
        <w:t xml:space="preserve">mortgage bond over </w:t>
      </w:r>
      <w:r>
        <w:rPr>
          <w:lang w:val="en-CA"/>
        </w:rPr>
        <w:t xml:space="preserve">the immovable property </w:t>
      </w:r>
      <w:r w:rsidRPr="00D05379">
        <w:rPr>
          <w:lang w:val="en-CA"/>
        </w:rPr>
        <w:t>owned by the second responde</w:t>
      </w:r>
      <w:r>
        <w:rPr>
          <w:lang w:val="en-CA"/>
        </w:rPr>
        <w:t xml:space="preserve">nt. </w:t>
      </w:r>
      <w:r w:rsidRPr="00470174">
        <w:rPr>
          <w:lang w:val="en-CA"/>
        </w:rPr>
        <w:t xml:space="preserve"> </w:t>
      </w:r>
      <w:r w:rsidR="00EF5F7B">
        <w:rPr>
          <w:lang w:val="en-CA"/>
        </w:rPr>
        <w:t>.</w:t>
      </w:r>
    </w:p>
    <w:p w14:paraId="4ECD48F4" w14:textId="58B788F2" w:rsidR="00544F8C" w:rsidRPr="00544F8C" w:rsidRDefault="00544F8C" w:rsidP="007B7F59">
      <w:pPr>
        <w:pStyle w:val="JudgmentNumbered"/>
      </w:pPr>
      <w:r w:rsidRPr="00470174">
        <w:rPr>
          <w:lang w:val="en-CA"/>
        </w:rPr>
        <w:t>The first responde</w:t>
      </w:r>
      <w:r w:rsidR="00AF7B3F">
        <w:rPr>
          <w:lang w:val="en-CA"/>
        </w:rPr>
        <w:t xml:space="preserve">nt </w:t>
      </w:r>
      <w:r w:rsidRPr="00470174">
        <w:rPr>
          <w:lang w:val="en-CA"/>
        </w:rPr>
        <w:t>defaulted in terms of the agreement and fail</w:t>
      </w:r>
      <w:r w:rsidR="00681B8B">
        <w:rPr>
          <w:lang w:val="en-CA"/>
        </w:rPr>
        <w:t>ed</w:t>
      </w:r>
      <w:r w:rsidRPr="00470174">
        <w:rPr>
          <w:lang w:val="en-CA"/>
        </w:rPr>
        <w:t xml:space="preserve"> to repay the amount time</w:t>
      </w:r>
      <w:r w:rsidR="005F2B74">
        <w:rPr>
          <w:lang w:val="en-CA"/>
        </w:rPr>
        <w:t>ous</w:t>
      </w:r>
      <w:r w:rsidR="00853A80">
        <w:rPr>
          <w:lang w:val="en-CA"/>
        </w:rPr>
        <w:t>l</w:t>
      </w:r>
      <w:r w:rsidRPr="00470174">
        <w:rPr>
          <w:lang w:val="en-CA"/>
        </w:rPr>
        <w:t>y</w:t>
      </w:r>
      <w:r w:rsidR="00681B8B">
        <w:rPr>
          <w:lang w:val="en-CA"/>
        </w:rPr>
        <w:t>. L</w:t>
      </w:r>
      <w:r w:rsidR="00A00CAD">
        <w:rPr>
          <w:lang w:val="en-CA"/>
        </w:rPr>
        <w:t>etters</w:t>
      </w:r>
      <w:r w:rsidRPr="00470174">
        <w:rPr>
          <w:lang w:val="en-CA"/>
        </w:rPr>
        <w:t xml:space="preserve"> of demand </w:t>
      </w:r>
      <w:r w:rsidR="00853A80">
        <w:rPr>
          <w:lang w:val="en-CA"/>
        </w:rPr>
        <w:t>were</w:t>
      </w:r>
      <w:r w:rsidRPr="00470174">
        <w:rPr>
          <w:lang w:val="en-CA"/>
        </w:rPr>
        <w:t xml:space="preserve"> sent</w:t>
      </w:r>
      <w:r w:rsidRPr="00A95BB0">
        <w:rPr>
          <w:lang w:val="en-CA"/>
        </w:rPr>
        <w:t xml:space="preserve"> b</w:t>
      </w:r>
      <w:r w:rsidR="00853A80">
        <w:rPr>
          <w:lang w:val="en-CA"/>
        </w:rPr>
        <w:t>y</w:t>
      </w:r>
      <w:r w:rsidRPr="00A95BB0">
        <w:rPr>
          <w:lang w:val="en-CA"/>
        </w:rPr>
        <w:t xml:space="preserve"> e-mail and th</w:t>
      </w:r>
      <w:r w:rsidR="00681B8B">
        <w:rPr>
          <w:lang w:val="en-CA"/>
        </w:rPr>
        <w:t>rough th</w:t>
      </w:r>
      <w:r w:rsidRPr="00A95BB0">
        <w:rPr>
          <w:lang w:val="en-CA"/>
        </w:rPr>
        <w:t>e sheriff</w:t>
      </w:r>
      <w:r w:rsidR="00681B8B">
        <w:rPr>
          <w:lang w:val="en-CA"/>
        </w:rPr>
        <w:t>. O</w:t>
      </w:r>
      <w:r w:rsidR="00292FA1">
        <w:rPr>
          <w:lang w:val="en-CA"/>
        </w:rPr>
        <w:t xml:space="preserve">n </w:t>
      </w:r>
      <w:r w:rsidRPr="00A95BB0">
        <w:rPr>
          <w:lang w:val="en-CA"/>
        </w:rPr>
        <w:t xml:space="preserve"> 1 June 2020</w:t>
      </w:r>
      <w:r w:rsidR="00A00CAD">
        <w:rPr>
          <w:lang w:val="en-CA"/>
        </w:rPr>
        <w:t>,</w:t>
      </w:r>
      <w:r w:rsidRPr="00A95BB0">
        <w:rPr>
          <w:lang w:val="en-CA"/>
        </w:rPr>
        <w:t xml:space="preserve"> the </w:t>
      </w:r>
      <w:r w:rsidR="00853A80">
        <w:rPr>
          <w:lang w:val="en-CA"/>
        </w:rPr>
        <w:t>a</w:t>
      </w:r>
      <w:r w:rsidRPr="00A95BB0">
        <w:rPr>
          <w:lang w:val="en-CA"/>
        </w:rPr>
        <w:t xml:space="preserve">mount of </w:t>
      </w:r>
      <w:r w:rsidR="00853A80">
        <w:rPr>
          <w:lang w:val="en-CA"/>
        </w:rPr>
        <w:t>R</w:t>
      </w:r>
      <w:r w:rsidRPr="00A95BB0">
        <w:rPr>
          <w:lang w:val="en-CA"/>
        </w:rPr>
        <w:t>2</w:t>
      </w:r>
      <w:r w:rsidR="00823DF1">
        <w:rPr>
          <w:lang w:val="en-CA"/>
        </w:rPr>
        <w:t xml:space="preserve"> 0</w:t>
      </w:r>
      <w:r w:rsidRPr="00A95BB0">
        <w:rPr>
          <w:lang w:val="en-CA"/>
        </w:rPr>
        <w:t xml:space="preserve">35 600 was </w:t>
      </w:r>
      <w:r w:rsidR="00F03E08">
        <w:rPr>
          <w:lang w:val="en-CA"/>
        </w:rPr>
        <w:t xml:space="preserve">due in terms of the second agreement concluded with </w:t>
      </w:r>
      <w:r w:rsidRPr="00A95BB0">
        <w:rPr>
          <w:lang w:val="en-CA"/>
        </w:rPr>
        <w:t>the applicant plus interest at a rate of 5% per month</w:t>
      </w:r>
      <w:r>
        <w:rPr>
          <w:lang w:val="en-CA"/>
        </w:rPr>
        <w:t>.</w:t>
      </w:r>
    </w:p>
    <w:p w14:paraId="044AE48B" w14:textId="15E9637A" w:rsidR="0062464F" w:rsidRDefault="00F825A7" w:rsidP="007B7F59">
      <w:pPr>
        <w:pStyle w:val="JudgmentNumbered"/>
      </w:pPr>
      <w:r>
        <w:t>The material terms of the agreement advanced by the applicant are</w:t>
      </w:r>
      <w:r w:rsidR="009F6756">
        <w:t>:</w:t>
      </w:r>
      <w:r>
        <w:t xml:space="preserve"> </w:t>
      </w:r>
    </w:p>
    <w:p w14:paraId="3D2F5E05" w14:textId="5566DE3B" w:rsidR="00F825A7" w:rsidRDefault="00F825A7" w:rsidP="0062464F">
      <w:pPr>
        <w:pStyle w:val="JudgmentNumbered"/>
        <w:numPr>
          <w:ilvl w:val="1"/>
          <w:numId w:val="4"/>
        </w:numPr>
      </w:pPr>
      <w:r>
        <w:t xml:space="preserve">that the </w:t>
      </w:r>
      <w:r w:rsidR="00DE2631">
        <w:t xml:space="preserve">applicant </w:t>
      </w:r>
      <w:r w:rsidR="00681B8B">
        <w:t>advances</w:t>
      </w:r>
      <w:r w:rsidR="00DE2631">
        <w:t xml:space="preserve"> a loan of R 1</w:t>
      </w:r>
      <w:r w:rsidR="00BA50E8">
        <w:t> 050</w:t>
      </w:r>
      <w:r w:rsidR="0062464F">
        <w:t> </w:t>
      </w:r>
      <w:r w:rsidR="00BA50E8">
        <w:t>000</w:t>
      </w:r>
      <w:r w:rsidR="0062464F">
        <w:t>;</w:t>
      </w:r>
    </w:p>
    <w:p w14:paraId="7E8708EF" w14:textId="049278B9" w:rsidR="0062464F" w:rsidRDefault="00017F3A" w:rsidP="0062464F">
      <w:pPr>
        <w:pStyle w:val="JudgmentNumbered"/>
        <w:numPr>
          <w:ilvl w:val="1"/>
          <w:numId w:val="4"/>
        </w:numPr>
      </w:pPr>
      <w:r>
        <w:t xml:space="preserve">the first respondent acknowledged that as </w:t>
      </w:r>
      <w:r w:rsidR="007A69CC">
        <w:t>of</w:t>
      </w:r>
      <w:r>
        <w:t xml:space="preserve"> 31 May 2019</w:t>
      </w:r>
      <w:r w:rsidR="007A69CC">
        <w:t>,</w:t>
      </w:r>
      <w:r>
        <w:t xml:space="preserve"> the loan amount</w:t>
      </w:r>
      <w:r w:rsidR="007A69CC">
        <w:t>,</w:t>
      </w:r>
      <w:r>
        <w:t xml:space="preserve"> together with interest</w:t>
      </w:r>
      <w:r w:rsidR="00277423">
        <w:t xml:space="preserve"> and costs owing</w:t>
      </w:r>
      <w:r w:rsidR="007A69CC">
        <w:t xml:space="preserve">, </w:t>
      </w:r>
      <w:r w:rsidR="00277423">
        <w:t>was R 1 089 950;</w:t>
      </w:r>
    </w:p>
    <w:p w14:paraId="6A96ED35" w14:textId="47BF4F71" w:rsidR="00277423" w:rsidRDefault="00277423" w:rsidP="0062464F">
      <w:pPr>
        <w:pStyle w:val="JudgmentNumbered"/>
        <w:numPr>
          <w:ilvl w:val="1"/>
          <w:numId w:val="4"/>
        </w:numPr>
      </w:pPr>
      <w:r>
        <w:t>the first respondent unconditionally a</w:t>
      </w:r>
      <w:r w:rsidR="00D66A40">
        <w:t xml:space="preserve">cknowledged its indebtedness to the applicant for the loan </w:t>
      </w:r>
      <w:r w:rsidR="007A69CC">
        <w:t>amount;</w:t>
      </w:r>
    </w:p>
    <w:p w14:paraId="090F2881" w14:textId="3D8E7605" w:rsidR="00D66A40" w:rsidRDefault="00D66A40" w:rsidP="0062464F">
      <w:pPr>
        <w:pStyle w:val="JudgmentNumbered"/>
        <w:numPr>
          <w:ilvl w:val="1"/>
          <w:numId w:val="4"/>
        </w:numPr>
      </w:pPr>
      <w:r>
        <w:t xml:space="preserve">the debt would accrue interest at a rate of 3.75% per month from June 2019 to </w:t>
      </w:r>
      <w:r w:rsidR="007A69CC">
        <w:t xml:space="preserve">the </w:t>
      </w:r>
      <w:r>
        <w:t>date upon which the debt plus interest and costs</w:t>
      </w:r>
      <w:r w:rsidR="00E50704">
        <w:t xml:space="preserve"> had been paid in full to the applicant;</w:t>
      </w:r>
    </w:p>
    <w:p w14:paraId="41EBC36F" w14:textId="783DB5F8" w:rsidR="00E50704" w:rsidRDefault="00E50704" w:rsidP="0062464F">
      <w:pPr>
        <w:pStyle w:val="JudgmentNumbered"/>
        <w:numPr>
          <w:ilvl w:val="1"/>
          <w:numId w:val="4"/>
        </w:numPr>
      </w:pPr>
      <w:r>
        <w:t>the first respondent would pay monthly instalments of interest calculated</w:t>
      </w:r>
      <w:r w:rsidR="00B83838">
        <w:t xml:space="preserve"> at 3.75% per month on or before the first day of each and every month to the applicant;</w:t>
      </w:r>
    </w:p>
    <w:p w14:paraId="6E572EBC" w14:textId="3CA718CC" w:rsidR="00B83838" w:rsidRDefault="0014664E" w:rsidP="0062464F">
      <w:pPr>
        <w:pStyle w:val="JudgmentNumbered"/>
        <w:numPr>
          <w:ilvl w:val="1"/>
          <w:numId w:val="4"/>
        </w:numPr>
      </w:pPr>
      <w:r>
        <w:t xml:space="preserve">the first respondent acknowledged and agreed </w:t>
      </w:r>
      <w:r w:rsidR="00AF2E06">
        <w:t>that</w:t>
      </w:r>
      <w:r>
        <w:t xml:space="preserve"> it had conducted investigations into the interest rate applied, and was satisfied</w:t>
      </w:r>
      <w:r w:rsidR="00887B1E">
        <w:t xml:space="preserve"> that the rate was market</w:t>
      </w:r>
      <w:r w:rsidR="00C0534F">
        <w:t>-</w:t>
      </w:r>
      <w:r w:rsidR="00887B1E">
        <w:t xml:space="preserve"> related and </w:t>
      </w:r>
      <w:r w:rsidR="00AF2E06">
        <w:t>acceptable</w:t>
      </w:r>
      <w:r w:rsidR="00887B1E">
        <w:t xml:space="preserve"> to it</w:t>
      </w:r>
      <w:r w:rsidR="002B465B">
        <w:t>;</w:t>
      </w:r>
    </w:p>
    <w:p w14:paraId="6F8D1003" w14:textId="4CF35257" w:rsidR="002F3799" w:rsidRDefault="002B465B" w:rsidP="002F3799">
      <w:pPr>
        <w:pStyle w:val="JudgmentNumbered"/>
        <w:numPr>
          <w:ilvl w:val="1"/>
          <w:numId w:val="4"/>
        </w:numPr>
      </w:pPr>
      <w:r>
        <w:lastRenderedPageBreak/>
        <w:t>the first respondent undertook to repay the entire debt, plus any interest and costs that remained owing to the applicant</w:t>
      </w:r>
      <w:r w:rsidR="002F3799">
        <w:t>, by 31 May 2020;</w:t>
      </w:r>
    </w:p>
    <w:p w14:paraId="637D9801" w14:textId="59A63575" w:rsidR="000447C7" w:rsidRDefault="000447C7" w:rsidP="002F3799">
      <w:pPr>
        <w:pStyle w:val="JudgmentNumbered"/>
        <w:numPr>
          <w:ilvl w:val="1"/>
          <w:numId w:val="4"/>
        </w:numPr>
      </w:pPr>
      <w:r>
        <w:t>the first respondent agreed to pay an amount of R575 per month to the applicant as an administration fee, which would be paid at the same time as payment of interest;</w:t>
      </w:r>
    </w:p>
    <w:p w14:paraId="1E60F556" w14:textId="5500E238" w:rsidR="000447C7" w:rsidRDefault="005F431F" w:rsidP="002F3799">
      <w:pPr>
        <w:pStyle w:val="JudgmentNumbered"/>
        <w:numPr>
          <w:ilvl w:val="1"/>
          <w:numId w:val="4"/>
        </w:numPr>
      </w:pPr>
      <w:r>
        <w:t>as security</w:t>
      </w:r>
      <w:r w:rsidR="005E66B2">
        <w:t xml:space="preserve"> for </w:t>
      </w:r>
      <w:r>
        <w:t>the first respondent</w:t>
      </w:r>
      <w:r w:rsidR="005E66B2">
        <w:t>’</w:t>
      </w:r>
      <w:r>
        <w:t xml:space="preserve">s indebtedness under and </w:t>
      </w:r>
      <w:r w:rsidR="00520B6F">
        <w:t>in terms</w:t>
      </w:r>
      <w:r>
        <w:t xml:space="preserve"> of the agree</w:t>
      </w:r>
      <w:r w:rsidR="007730B1">
        <w:t xml:space="preserve">ment, the second </w:t>
      </w:r>
      <w:r w:rsidR="00520B6F">
        <w:t>respondent</w:t>
      </w:r>
      <w:r w:rsidR="007730B1">
        <w:t xml:space="preserve"> would stand </w:t>
      </w:r>
      <w:r w:rsidR="00233833">
        <w:t xml:space="preserve">as surety </w:t>
      </w:r>
      <w:r w:rsidR="001B2313">
        <w:t xml:space="preserve">for </w:t>
      </w:r>
      <w:r w:rsidR="00233833">
        <w:t>and co-principal debtor</w:t>
      </w:r>
      <w:r w:rsidR="001B2313">
        <w:t xml:space="preserve"> with the first </w:t>
      </w:r>
      <w:r w:rsidR="00E80530">
        <w:t xml:space="preserve">respondent for the amounts </w:t>
      </w:r>
      <w:r w:rsidR="00273ABB">
        <w:t>owing</w:t>
      </w:r>
      <w:r w:rsidR="00E80530">
        <w:t xml:space="preserve"> to the applicant;</w:t>
      </w:r>
    </w:p>
    <w:p w14:paraId="7EA0D808" w14:textId="390D5ACD" w:rsidR="00E80530" w:rsidRDefault="00890DE6" w:rsidP="002F3799">
      <w:pPr>
        <w:pStyle w:val="JudgmentNumbered"/>
        <w:numPr>
          <w:ilvl w:val="1"/>
          <w:numId w:val="4"/>
        </w:numPr>
      </w:pPr>
      <w:r>
        <w:t xml:space="preserve">it was recorded </w:t>
      </w:r>
      <w:r w:rsidR="009F5C99">
        <w:t xml:space="preserve">that </w:t>
      </w:r>
      <w:r>
        <w:t xml:space="preserve">the second respondent had already passed a first covering </w:t>
      </w:r>
      <w:r w:rsidR="001E4BA1">
        <w:t xml:space="preserve">mortgage bond </w:t>
      </w:r>
      <w:r w:rsidR="001264BB">
        <w:t>over the immovable property in favour of the applicant</w:t>
      </w:r>
      <w:r w:rsidR="00A04A05">
        <w:t xml:space="preserve"> in the amount of R 2 100 000</w:t>
      </w:r>
      <w:r w:rsidR="001264BB">
        <w:t>;</w:t>
      </w:r>
    </w:p>
    <w:p w14:paraId="6F8AB755" w14:textId="5DE2C0E2" w:rsidR="00F2268B" w:rsidRDefault="009F5C99" w:rsidP="002F3799">
      <w:pPr>
        <w:pStyle w:val="JudgmentNumbered"/>
        <w:numPr>
          <w:ilvl w:val="1"/>
          <w:numId w:val="4"/>
        </w:numPr>
      </w:pPr>
      <w:r>
        <w:t>i</w:t>
      </w:r>
      <w:r w:rsidR="00643D21">
        <w:t xml:space="preserve">t was recorded that the first covering bond </w:t>
      </w:r>
      <w:r w:rsidR="00682D5B">
        <w:t>continue</w:t>
      </w:r>
      <w:r>
        <w:t>d</w:t>
      </w:r>
      <w:r w:rsidR="00643D21">
        <w:t xml:space="preserve"> to serve as security </w:t>
      </w:r>
      <w:r w:rsidR="00DE24F1">
        <w:t xml:space="preserve"> for the  </w:t>
      </w:r>
      <w:r w:rsidR="00F2268B">
        <w:t>respondent’s</w:t>
      </w:r>
      <w:r w:rsidR="00DE24F1">
        <w:t xml:space="preserve"> obligation to the applicant in terms of the</w:t>
      </w:r>
      <w:r w:rsidR="00F2268B">
        <w:t xml:space="preserve"> </w:t>
      </w:r>
      <w:r w:rsidR="00020325">
        <w:t xml:space="preserve">agreement and </w:t>
      </w:r>
      <w:r w:rsidR="006255B1">
        <w:t>suretyship</w:t>
      </w:r>
      <w:r w:rsidR="004E07BC">
        <w:t xml:space="preserve">; </w:t>
      </w:r>
    </w:p>
    <w:p w14:paraId="6F4EAB71" w14:textId="63EF67FE" w:rsidR="008F090A" w:rsidRDefault="00DE24F1" w:rsidP="002F3799">
      <w:pPr>
        <w:pStyle w:val="JudgmentNumbered"/>
        <w:numPr>
          <w:ilvl w:val="1"/>
          <w:numId w:val="4"/>
        </w:numPr>
      </w:pPr>
      <w:r>
        <w:t xml:space="preserve"> </w:t>
      </w:r>
      <w:r w:rsidR="009504BB">
        <w:t>i</w:t>
      </w:r>
      <w:r w:rsidR="004E07BC">
        <w:t xml:space="preserve">n the event of the first respondent defaulting in regard to </w:t>
      </w:r>
      <w:r w:rsidR="009F1658">
        <w:t xml:space="preserve">its obligations in relation to the </w:t>
      </w:r>
      <w:r w:rsidR="006255B1">
        <w:t>agreement</w:t>
      </w:r>
      <w:r w:rsidR="00D50331">
        <w:t xml:space="preserve"> or being unable to pay or threatening to stop</w:t>
      </w:r>
      <w:r w:rsidR="008F090A">
        <w:t xml:space="preserve"> or suspend payment of any amount in terms of the agreement:</w:t>
      </w:r>
    </w:p>
    <w:p w14:paraId="1A5E10A5" w14:textId="727578B3" w:rsidR="0054783B" w:rsidRDefault="0054783B" w:rsidP="0063095A">
      <w:pPr>
        <w:pStyle w:val="JudgmentNumbered"/>
        <w:numPr>
          <w:ilvl w:val="2"/>
          <w:numId w:val="4"/>
        </w:numPr>
      </w:pPr>
      <w:r>
        <w:t>The applicant would be entitled to claims costs on an attorney client scale should it be necessary to institute legal action;</w:t>
      </w:r>
    </w:p>
    <w:p w14:paraId="325BE77F" w14:textId="1F11068C" w:rsidR="00804AD4" w:rsidRDefault="00163905" w:rsidP="008F090A">
      <w:pPr>
        <w:pStyle w:val="JudgmentNumbered"/>
        <w:numPr>
          <w:ilvl w:val="2"/>
          <w:numId w:val="4"/>
        </w:numPr>
      </w:pPr>
      <w:r>
        <w:t xml:space="preserve">The first respondent would be obliged to pay a default </w:t>
      </w:r>
      <w:r w:rsidR="0019531F">
        <w:t xml:space="preserve">loan management fee in the amount of </w:t>
      </w:r>
      <w:r w:rsidR="002D0C9C">
        <w:t>R500  on a daily ba</w:t>
      </w:r>
      <w:r w:rsidR="00273ABB">
        <w:t xml:space="preserve">sis from </w:t>
      </w:r>
      <w:r w:rsidR="0081753A">
        <w:t xml:space="preserve">the </w:t>
      </w:r>
      <w:r w:rsidR="00273ABB">
        <w:t xml:space="preserve">date of default until </w:t>
      </w:r>
      <w:r w:rsidR="0081753A">
        <w:t xml:space="preserve">the </w:t>
      </w:r>
      <w:r w:rsidR="00273ABB">
        <w:t xml:space="preserve">date of </w:t>
      </w:r>
      <w:r w:rsidR="00804AD4">
        <w:t xml:space="preserve">final </w:t>
      </w:r>
      <w:r w:rsidR="00273ABB">
        <w:t>payment</w:t>
      </w:r>
      <w:r w:rsidR="00804AD4">
        <w:t xml:space="preserve"> to the applicant</w:t>
      </w:r>
      <w:r w:rsidR="00273ABB">
        <w:t>;</w:t>
      </w:r>
    </w:p>
    <w:p w14:paraId="28797DD1" w14:textId="7CC63340" w:rsidR="00953EAD" w:rsidRDefault="00953EAD" w:rsidP="008F090A">
      <w:pPr>
        <w:pStyle w:val="JudgmentNumbered"/>
        <w:numPr>
          <w:ilvl w:val="2"/>
          <w:numId w:val="4"/>
        </w:numPr>
      </w:pPr>
      <w:r>
        <w:t xml:space="preserve">All costs incurred by the applicant due to the first </w:t>
      </w:r>
      <w:r w:rsidR="0081753A">
        <w:t>respondent’s</w:t>
      </w:r>
      <w:r>
        <w:t xml:space="preserve"> fault would be payable by the first respondent;</w:t>
      </w:r>
    </w:p>
    <w:p w14:paraId="0A44A315" w14:textId="1634CE11" w:rsidR="001264BB" w:rsidRDefault="00E6695B" w:rsidP="008F090A">
      <w:pPr>
        <w:pStyle w:val="JudgmentNumbered"/>
        <w:numPr>
          <w:ilvl w:val="2"/>
          <w:numId w:val="4"/>
        </w:numPr>
      </w:pPr>
      <w:r>
        <w:t xml:space="preserve">Interest would be </w:t>
      </w:r>
      <w:r w:rsidR="0081753A">
        <w:t>levied</w:t>
      </w:r>
      <w:r>
        <w:t xml:space="preserve"> on the outstanding debt at 5% per month </w:t>
      </w:r>
      <w:r w:rsidR="008B4801">
        <w:t xml:space="preserve">compounded monthly in arrears </w:t>
      </w:r>
      <w:r w:rsidR="0081753A">
        <w:t xml:space="preserve"> from date of default until date of final payment;</w:t>
      </w:r>
      <w:r w:rsidR="006255B1">
        <w:t xml:space="preserve"> </w:t>
      </w:r>
    </w:p>
    <w:p w14:paraId="7CF86CED" w14:textId="4608D50B" w:rsidR="00770ABF" w:rsidRDefault="00031400" w:rsidP="00031400">
      <w:pPr>
        <w:pStyle w:val="JudgmentNumbered"/>
        <w:numPr>
          <w:ilvl w:val="1"/>
          <w:numId w:val="4"/>
        </w:numPr>
      </w:pPr>
      <w:r>
        <w:lastRenderedPageBreak/>
        <w:t xml:space="preserve">A certificate issued by any director or manager of the applicant </w:t>
      </w:r>
      <w:r w:rsidR="00E60032">
        <w:t xml:space="preserve">would constitute a liquid document for all </w:t>
      </w:r>
      <w:r w:rsidR="008105AA">
        <w:t>legal purposes</w:t>
      </w:r>
      <w:r w:rsidR="001E69B1">
        <w:t>,</w:t>
      </w:r>
      <w:r w:rsidR="008105AA">
        <w:t xml:space="preserve"> and </w:t>
      </w:r>
      <w:r w:rsidR="00770ABF">
        <w:t>it would not be necessary to prove the appointment of the person signing the document;</w:t>
      </w:r>
    </w:p>
    <w:p w14:paraId="074A7BCC" w14:textId="42B680A9" w:rsidR="00D13514" w:rsidRDefault="00CA22BA" w:rsidP="00031400">
      <w:pPr>
        <w:pStyle w:val="JudgmentNumbered"/>
        <w:numPr>
          <w:ilvl w:val="1"/>
          <w:numId w:val="4"/>
        </w:numPr>
      </w:pPr>
      <w:r>
        <w:t xml:space="preserve">The parties agreed the loan agreement novated and </w:t>
      </w:r>
      <w:r w:rsidR="00AA0774">
        <w:t>supersedes</w:t>
      </w:r>
      <w:r>
        <w:t xml:space="preserve"> all previous and other </w:t>
      </w:r>
      <w:r w:rsidR="001E69B1">
        <w:t>agreements</w:t>
      </w:r>
      <w:r>
        <w:t xml:space="preserve"> except for </w:t>
      </w:r>
      <w:r w:rsidR="00D75699">
        <w:t>the first</w:t>
      </w:r>
      <w:r w:rsidR="001E69B1">
        <w:t xml:space="preserve"> </w:t>
      </w:r>
      <w:r>
        <w:t>covering mortgage bond</w:t>
      </w:r>
      <w:r w:rsidR="001E69B1">
        <w:t>,</w:t>
      </w:r>
      <w:r>
        <w:t xml:space="preserve"> </w:t>
      </w:r>
      <w:r w:rsidR="00D75699">
        <w:t xml:space="preserve">which would continue to serve as security for the loan amount in the agreement. </w:t>
      </w:r>
    </w:p>
    <w:p w14:paraId="39E9AB30" w14:textId="087ECAE2" w:rsidR="00974417" w:rsidRDefault="00724A5A" w:rsidP="00031400">
      <w:pPr>
        <w:pStyle w:val="JudgmentNumbered"/>
        <w:numPr>
          <w:ilvl w:val="1"/>
          <w:numId w:val="4"/>
        </w:numPr>
      </w:pPr>
      <w:r>
        <w:t>On 8 August 2019</w:t>
      </w:r>
      <w:r w:rsidR="00391DDB">
        <w:t>,</w:t>
      </w:r>
      <w:r>
        <w:t xml:space="preserve"> the</w:t>
      </w:r>
      <w:r w:rsidR="00952D45">
        <w:t xml:space="preserve"> second </w:t>
      </w:r>
      <w:r>
        <w:t xml:space="preserve"> respondent</w:t>
      </w:r>
      <w:r w:rsidR="00952D45">
        <w:t xml:space="preserve">, acting personally concluded a </w:t>
      </w:r>
      <w:r w:rsidR="001D1BFE">
        <w:t xml:space="preserve">written deed of suretyship in favour of the applicant. </w:t>
      </w:r>
      <w:r w:rsidR="00974417">
        <w:t xml:space="preserve"> </w:t>
      </w:r>
    </w:p>
    <w:p w14:paraId="78160419" w14:textId="7D4B9BD4" w:rsidR="00724A5A" w:rsidRDefault="006A09B3" w:rsidP="00031400">
      <w:pPr>
        <w:pStyle w:val="JudgmentNumbered"/>
        <w:numPr>
          <w:ilvl w:val="1"/>
          <w:numId w:val="4"/>
        </w:numPr>
      </w:pPr>
      <w:r>
        <w:t>T</w:t>
      </w:r>
      <w:r w:rsidR="00974417">
        <w:t xml:space="preserve">he first respondent </w:t>
      </w:r>
      <w:r w:rsidR="001012DD">
        <w:t>executed a continuing cov</w:t>
      </w:r>
      <w:r w:rsidR="00CA7A88">
        <w:t xml:space="preserve">ering mortgage bond over the </w:t>
      </w:r>
      <w:r w:rsidR="00CE56B2">
        <w:t>prope</w:t>
      </w:r>
      <w:r w:rsidR="00412AAC">
        <w:t xml:space="preserve">rty in favour of the applicant. The </w:t>
      </w:r>
      <w:r w:rsidR="00FA3AA0">
        <w:t>second</w:t>
      </w:r>
      <w:r w:rsidR="001E69B1">
        <w:t xml:space="preserve"> </w:t>
      </w:r>
      <w:r w:rsidR="00412AAC">
        <w:t>respondent</w:t>
      </w:r>
      <w:r w:rsidR="00FA3AA0">
        <w:t xml:space="preserve"> acknow</w:t>
      </w:r>
      <w:r w:rsidR="001E69B1">
        <w:t>ledged</w:t>
      </w:r>
      <w:r w:rsidR="00FA3AA0">
        <w:t xml:space="preserve"> she </w:t>
      </w:r>
      <w:r w:rsidR="001E69B1">
        <w:t xml:space="preserve">was </w:t>
      </w:r>
      <w:r w:rsidR="00FA3AA0">
        <w:t>indebted to the applicant in the amount of R2 100</w:t>
      </w:r>
      <w:r w:rsidR="001E69B1">
        <w:t> </w:t>
      </w:r>
      <w:r w:rsidR="00FA3AA0">
        <w:t>000</w:t>
      </w:r>
      <w:r w:rsidR="001E69B1">
        <w:t>.</w:t>
      </w:r>
      <w:r w:rsidR="00412AAC">
        <w:t xml:space="preserve"> </w:t>
      </w:r>
      <w:r w:rsidR="00C2602A">
        <w:t xml:space="preserve"> </w:t>
      </w:r>
      <w:r w:rsidR="00724A5A">
        <w:t xml:space="preserve"> </w:t>
      </w:r>
    </w:p>
    <w:p w14:paraId="51593035" w14:textId="5F9E9951" w:rsidR="00BD6D73" w:rsidRDefault="00F12CEA" w:rsidP="007B7F59">
      <w:pPr>
        <w:pStyle w:val="JudgmentNumbered"/>
      </w:pPr>
      <w:r>
        <w:t xml:space="preserve">The </w:t>
      </w:r>
      <w:r w:rsidR="00542483">
        <w:t xml:space="preserve">issues for determination </w:t>
      </w:r>
      <w:r w:rsidR="00BD6D73">
        <w:t>as agreed between the parties are</w:t>
      </w:r>
      <w:r w:rsidR="00391DDB">
        <w:t>:</w:t>
      </w:r>
      <w:r w:rsidR="00BD6D73">
        <w:t xml:space="preserve"> </w:t>
      </w:r>
    </w:p>
    <w:p w14:paraId="00BF2EA8" w14:textId="07F3D205" w:rsidR="00E96AAC" w:rsidRDefault="00BD6D73" w:rsidP="00BD6D73">
      <w:pPr>
        <w:pStyle w:val="JudgmentNumbered"/>
        <w:numPr>
          <w:ilvl w:val="1"/>
          <w:numId w:val="4"/>
        </w:numPr>
      </w:pPr>
      <w:r>
        <w:t xml:space="preserve">Whether the prior agreement between the </w:t>
      </w:r>
      <w:r w:rsidR="009E13D1">
        <w:t>a</w:t>
      </w:r>
      <w:r>
        <w:t xml:space="preserve">pplicant and the </w:t>
      </w:r>
      <w:r w:rsidR="009E13D1">
        <w:t xml:space="preserve">second </w:t>
      </w:r>
      <w:r w:rsidR="009F41DC">
        <w:t>r</w:t>
      </w:r>
      <w:r>
        <w:t xml:space="preserve">espondent effects the </w:t>
      </w:r>
      <w:r w:rsidR="001C6663">
        <w:t xml:space="preserve">validity </w:t>
      </w:r>
      <w:r>
        <w:t>of the subsequent agreemen</w:t>
      </w:r>
      <w:r w:rsidR="001C1700">
        <w:t>t</w:t>
      </w:r>
      <w:r w:rsidR="009F41DC">
        <w:t>?</w:t>
      </w:r>
    </w:p>
    <w:p w14:paraId="22849E4D" w14:textId="4A107987" w:rsidR="00E96AAC" w:rsidRDefault="00BD6D73" w:rsidP="00BD6D73">
      <w:pPr>
        <w:pStyle w:val="JudgmentNumbered"/>
        <w:numPr>
          <w:ilvl w:val="1"/>
          <w:numId w:val="4"/>
        </w:numPr>
      </w:pPr>
      <w:r>
        <w:t xml:space="preserve">Whether the original agreement was novated by the new </w:t>
      </w:r>
      <w:r w:rsidR="009F41DC">
        <w:t>agreement?</w:t>
      </w:r>
      <w:r>
        <w:t xml:space="preserve"> </w:t>
      </w:r>
    </w:p>
    <w:p w14:paraId="79CAFCDF" w14:textId="3464D7FD" w:rsidR="009B2FD1" w:rsidRDefault="00BD6D73" w:rsidP="009B2FD1">
      <w:pPr>
        <w:pStyle w:val="JudgmentNumbered"/>
        <w:numPr>
          <w:ilvl w:val="1"/>
          <w:numId w:val="4"/>
        </w:numPr>
      </w:pPr>
      <w:r>
        <w:t>Whether the N</w:t>
      </w:r>
      <w:r w:rsidR="00681B8B">
        <w:t xml:space="preserve">CA </w:t>
      </w:r>
      <w:r>
        <w:t xml:space="preserve"> find</w:t>
      </w:r>
      <w:r w:rsidR="001C6663">
        <w:t>s</w:t>
      </w:r>
      <w:r>
        <w:t xml:space="preserve"> application in the matter, and if so</w:t>
      </w:r>
      <w:r w:rsidR="005F780D">
        <w:t xml:space="preserve">, </w:t>
      </w:r>
      <w:r w:rsidR="001C1700">
        <w:t>w</w:t>
      </w:r>
      <w:r>
        <w:t>hether</w:t>
      </w:r>
      <w:r w:rsidR="005F780D">
        <w:t xml:space="preserve"> </w:t>
      </w:r>
      <w:r w:rsidR="001C6663">
        <w:t xml:space="preserve">there has been compliance with </w:t>
      </w:r>
      <w:r w:rsidR="00681B8B">
        <w:t xml:space="preserve">it </w:t>
      </w:r>
      <w:r w:rsidR="005F780D">
        <w:t xml:space="preserve"> and if not </w:t>
      </w:r>
      <w:r w:rsidR="009B2FD1">
        <w:t>t</w:t>
      </w:r>
      <w:r>
        <w:t xml:space="preserve">he consequence of any </w:t>
      </w:r>
      <w:r w:rsidR="005F780D">
        <w:t>non-compliance</w:t>
      </w:r>
      <w:r>
        <w:t xml:space="preserve">. </w:t>
      </w:r>
    </w:p>
    <w:p w14:paraId="1B015C8B" w14:textId="6D3597F1" w:rsidR="009B2FD1" w:rsidRDefault="001C1700" w:rsidP="00BD6D73">
      <w:pPr>
        <w:pStyle w:val="JudgmentNumbered"/>
        <w:numPr>
          <w:ilvl w:val="1"/>
          <w:numId w:val="4"/>
        </w:numPr>
      </w:pPr>
      <w:r>
        <w:t>w</w:t>
      </w:r>
      <w:r w:rsidR="00BD6D73">
        <w:t xml:space="preserve">hether the interest rate charged by the Applicant is usurious. </w:t>
      </w:r>
    </w:p>
    <w:p w14:paraId="431E8FB0" w14:textId="3F28927F" w:rsidR="007B7F59" w:rsidRDefault="001C1700" w:rsidP="00BD6D73">
      <w:pPr>
        <w:pStyle w:val="JudgmentNumbered"/>
        <w:numPr>
          <w:ilvl w:val="1"/>
          <w:numId w:val="4"/>
        </w:numPr>
      </w:pPr>
      <w:r>
        <w:t>w</w:t>
      </w:r>
      <w:r w:rsidR="00BD6D73">
        <w:t>hether a reserve price ought to be set for the sale of the commercial immovable property.</w:t>
      </w:r>
    </w:p>
    <w:p w14:paraId="30C0016D" w14:textId="5C3BE6A5" w:rsidR="00821E9E" w:rsidRDefault="003E0FB7" w:rsidP="00821E9E">
      <w:pPr>
        <w:pStyle w:val="JudgmentNumbered"/>
        <w:numPr>
          <w:ilvl w:val="0"/>
          <w:numId w:val="0"/>
        </w:numPr>
        <w:ind w:left="1134" w:hanging="567"/>
        <w:rPr>
          <w:i/>
          <w:iCs/>
        </w:rPr>
      </w:pPr>
      <w:r>
        <w:rPr>
          <w:i/>
          <w:iCs/>
        </w:rPr>
        <w:t xml:space="preserve">The validity of the </w:t>
      </w:r>
      <w:r w:rsidR="0037235B">
        <w:rPr>
          <w:i/>
          <w:iCs/>
        </w:rPr>
        <w:t>second</w:t>
      </w:r>
      <w:r>
        <w:rPr>
          <w:i/>
          <w:iCs/>
        </w:rPr>
        <w:t xml:space="preserve"> agreement</w:t>
      </w:r>
    </w:p>
    <w:p w14:paraId="02B2A1D5" w14:textId="78431BCC" w:rsidR="00681B8B" w:rsidRPr="00742DFE" w:rsidRDefault="009355F0" w:rsidP="00681B8B">
      <w:pPr>
        <w:pStyle w:val="JudgmentNumbered"/>
        <w:rPr>
          <w:i/>
          <w:iCs/>
        </w:rPr>
      </w:pPr>
      <w:r>
        <w:t xml:space="preserve">Having regard to the </w:t>
      </w:r>
      <w:r w:rsidR="00047897">
        <w:t xml:space="preserve">first and </w:t>
      </w:r>
      <w:r>
        <w:t xml:space="preserve">second agreement it is not </w:t>
      </w:r>
      <w:r w:rsidR="00BF5259">
        <w:t xml:space="preserve">in </w:t>
      </w:r>
      <w:r>
        <w:t>dispute that</w:t>
      </w:r>
      <w:r w:rsidR="00BF5259">
        <w:t xml:space="preserve"> </w:t>
      </w:r>
      <w:r w:rsidR="00047897">
        <w:t>both agreement</w:t>
      </w:r>
      <w:r w:rsidR="00681B8B">
        <w:t>s</w:t>
      </w:r>
      <w:r w:rsidR="00047897">
        <w:t xml:space="preserve"> were concluded </w:t>
      </w:r>
      <w:r w:rsidR="00BF5259">
        <w:t>between the parties.</w:t>
      </w:r>
      <w:r w:rsidR="00C83FF0">
        <w:t xml:space="preserve"> The </w:t>
      </w:r>
      <w:r w:rsidR="00232751">
        <w:t xml:space="preserve">second </w:t>
      </w:r>
      <w:r w:rsidR="00C83FF0">
        <w:t xml:space="preserve">agreement </w:t>
      </w:r>
      <w:r w:rsidR="00432271">
        <w:t xml:space="preserve">states that it </w:t>
      </w:r>
      <w:r w:rsidR="00681B8B">
        <w:t>supersedes</w:t>
      </w:r>
      <w:r w:rsidR="00432271">
        <w:t xml:space="preserve"> all prior agreements. </w:t>
      </w:r>
      <w:r w:rsidR="00BF5259">
        <w:t xml:space="preserve"> </w:t>
      </w:r>
      <w:r w:rsidR="00E50DFB">
        <w:t>T</w:t>
      </w:r>
      <w:r w:rsidR="00197424">
        <w:t>he respondent</w:t>
      </w:r>
      <w:r w:rsidR="00681B8B">
        <w:t>s</w:t>
      </w:r>
      <w:r w:rsidR="00197424">
        <w:t xml:space="preserve"> seek</w:t>
      </w:r>
      <w:r w:rsidR="00681B8B">
        <w:t xml:space="preserve"> </w:t>
      </w:r>
      <w:r w:rsidR="00197424">
        <w:t xml:space="preserve"> to have the </w:t>
      </w:r>
      <w:r w:rsidR="00197424">
        <w:lastRenderedPageBreak/>
        <w:t xml:space="preserve">agreement set aside on the basis that the applicant was not a credit provider or that the interest rate </w:t>
      </w:r>
      <w:r w:rsidR="000279B4">
        <w:t xml:space="preserve">was too high and falls foul of the </w:t>
      </w:r>
      <w:r w:rsidR="000279B4" w:rsidRPr="00FA2F22">
        <w:rPr>
          <w:i/>
          <w:iCs/>
        </w:rPr>
        <w:t>in duplum</w:t>
      </w:r>
      <w:r w:rsidR="000279B4">
        <w:t xml:space="preserve"> rule</w:t>
      </w:r>
      <w:r w:rsidR="00133F55">
        <w:t xml:space="preserve">. These </w:t>
      </w:r>
      <w:r w:rsidR="000279B4">
        <w:t xml:space="preserve"> considerations have been addressed by the Court in</w:t>
      </w:r>
      <w:r w:rsidR="00837396">
        <w:t xml:space="preserve"> </w:t>
      </w:r>
      <w:r w:rsidR="00837396" w:rsidRPr="00E621F1">
        <w:rPr>
          <w:i/>
          <w:iCs/>
        </w:rPr>
        <w:t xml:space="preserve">Paulsen and </w:t>
      </w:r>
      <w:r w:rsidR="00837396">
        <w:rPr>
          <w:i/>
          <w:iCs/>
        </w:rPr>
        <w:t>A</w:t>
      </w:r>
      <w:r w:rsidR="00837396" w:rsidRPr="00E621F1">
        <w:rPr>
          <w:i/>
          <w:iCs/>
        </w:rPr>
        <w:t>nother v Slip</w:t>
      </w:r>
      <w:r w:rsidR="00837396">
        <w:rPr>
          <w:i/>
          <w:iCs/>
        </w:rPr>
        <w:t xml:space="preserve"> K</w:t>
      </w:r>
      <w:r w:rsidR="00837396" w:rsidRPr="00E621F1">
        <w:rPr>
          <w:i/>
          <w:iCs/>
        </w:rPr>
        <w:t>not Investments 777(Pty) Ltd</w:t>
      </w:r>
      <w:r w:rsidR="00837396">
        <w:rPr>
          <w:rStyle w:val="FootnoteReference"/>
          <w:i/>
          <w:iCs/>
        </w:rPr>
        <w:footnoteReference w:id="1"/>
      </w:r>
      <w:r w:rsidR="00681B8B">
        <w:rPr>
          <w:i/>
          <w:iCs/>
        </w:rPr>
        <w:t xml:space="preserve"> where the court </w:t>
      </w:r>
      <w:r w:rsidR="00681B8B" w:rsidRPr="007D294E">
        <w:t>held</w:t>
      </w:r>
      <w:r w:rsidR="00681B8B">
        <w:t xml:space="preserve"> </w:t>
      </w:r>
      <w:r w:rsidR="00681B8B" w:rsidRPr="00327606">
        <w:t>at</w:t>
      </w:r>
      <w:r w:rsidR="00681B8B">
        <w:rPr>
          <w:i/>
          <w:iCs/>
        </w:rPr>
        <w:t xml:space="preserve"> </w:t>
      </w:r>
      <w:r w:rsidR="00681B8B" w:rsidRPr="007D294E">
        <w:t>para [39]</w:t>
      </w:r>
      <w:r w:rsidR="00681B8B">
        <w:t>:</w:t>
      </w:r>
    </w:p>
    <w:p w14:paraId="19F70B86" w14:textId="77777777" w:rsidR="00681B8B" w:rsidRPr="00742DFE" w:rsidRDefault="00681B8B" w:rsidP="00681B8B">
      <w:pPr>
        <w:pStyle w:val="JudgmentNumbered"/>
        <w:numPr>
          <w:ilvl w:val="0"/>
          <w:numId w:val="0"/>
        </w:numPr>
        <w:ind w:left="1440"/>
        <w:rPr>
          <w:sz w:val="22"/>
        </w:rPr>
      </w:pPr>
      <w:r>
        <w:rPr>
          <w:sz w:val="22"/>
        </w:rPr>
        <w:t>“</w:t>
      </w:r>
      <w:r w:rsidRPr="00742DFE">
        <w:rPr>
          <w:sz w:val="22"/>
        </w:rPr>
        <w:t>Even if Slip Knot were to be required to register under s 40(1), its failure to do so would not render this agreement void. Section 40(4) provides for the consequences of a credit provider failing to register in accordance with s 40(1): any agreement with that credit provider is 'an unlawful agreement and void to the extent provided for in s 89'.   Therefore, in order to determine the validity of the agreement, s 40(4) must be read with s 89(2)(d).    Section 89 is contained in ch 5 of the NCA, entitled 'Consumer Credit Agreements'. The term 'credit agreement' in this chapter can only be understood to refer to those credit agreements which are subject to the Act.    To understand the term differently would render many of the provisions in this chapter entirely   meaningless.”</w:t>
      </w:r>
    </w:p>
    <w:p w14:paraId="56BDA3E3" w14:textId="47D25364" w:rsidR="00837396" w:rsidRDefault="00837396" w:rsidP="00136148">
      <w:pPr>
        <w:pStyle w:val="JudgmentNumbered"/>
        <w:numPr>
          <w:ilvl w:val="0"/>
          <w:numId w:val="0"/>
        </w:numPr>
        <w:ind w:left="567" w:hanging="567"/>
        <w:rPr>
          <w:i/>
          <w:iCs/>
        </w:rPr>
      </w:pPr>
    </w:p>
    <w:p w14:paraId="088C2B8D" w14:textId="4300B2E0" w:rsidR="00E83707" w:rsidRPr="00742DFE" w:rsidRDefault="00681B8B" w:rsidP="00282D29">
      <w:pPr>
        <w:pStyle w:val="JudgmentNumbered"/>
        <w:rPr>
          <w:sz w:val="22"/>
        </w:rPr>
      </w:pPr>
      <w:r>
        <w:t>The assertions made by the respondents are not correct. On both agreements,  it is clear that t</w:t>
      </w:r>
      <w:r w:rsidR="00EB5690">
        <w:t xml:space="preserve">he applicant </w:t>
      </w:r>
      <w:r>
        <w:t xml:space="preserve">is </w:t>
      </w:r>
      <w:r w:rsidR="00EB5690">
        <w:t xml:space="preserve"> a credit provider</w:t>
      </w:r>
      <w:r w:rsidR="006B1995">
        <w:t xml:space="preserve">. </w:t>
      </w:r>
      <w:r>
        <w:t>This provides more than sufficient proof.</w:t>
      </w:r>
      <w:r w:rsidR="00645DB5">
        <w:t xml:space="preserve"> </w:t>
      </w:r>
      <w:r w:rsidR="006B1995">
        <w:t xml:space="preserve">The view </w:t>
      </w:r>
      <w:r w:rsidR="00E83707">
        <w:t xml:space="preserve">in </w:t>
      </w:r>
      <w:r w:rsidR="00E83707" w:rsidRPr="00E621F1">
        <w:rPr>
          <w:i/>
          <w:iCs/>
        </w:rPr>
        <w:t>Paulsen</w:t>
      </w:r>
      <w:r w:rsidR="00E83707">
        <w:rPr>
          <w:rStyle w:val="FootnoteReference"/>
          <w:i/>
          <w:iCs/>
        </w:rPr>
        <w:footnoteReference w:id="2"/>
      </w:r>
      <w:r w:rsidR="00244F34">
        <w:rPr>
          <w:i/>
          <w:iCs/>
        </w:rPr>
        <w:t xml:space="preserve"> </w:t>
      </w:r>
      <w:r w:rsidR="006128AF">
        <w:t>regarding unregistered credit providers</w:t>
      </w:r>
      <w:r w:rsidR="0090216E">
        <w:t xml:space="preserve"> </w:t>
      </w:r>
      <w:r w:rsidR="006128AF">
        <w:t xml:space="preserve">suggests that the </w:t>
      </w:r>
      <w:r w:rsidR="00AD37B5">
        <w:t>agreement</w:t>
      </w:r>
      <w:r w:rsidR="006128AF">
        <w:t xml:space="preserve"> </w:t>
      </w:r>
      <w:r w:rsidR="00AD37B5">
        <w:t>is rendered void</w:t>
      </w:r>
      <w:r w:rsidR="00B377E2">
        <w:t xml:space="preserve"> only to the extent provided in s 89</w:t>
      </w:r>
      <w:r w:rsidR="00AD37B5">
        <w:t xml:space="preserve">. </w:t>
      </w:r>
    </w:p>
    <w:p w14:paraId="51A5F863" w14:textId="7D5B2068" w:rsidR="00BF5F92" w:rsidRPr="007E18BA" w:rsidRDefault="00BF5F92" w:rsidP="00A83A79">
      <w:pPr>
        <w:pStyle w:val="JudgmentNumbered"/>
        <w:rPr>
          <w:i/>
          <w:iCs/>
        </w:rPr>
      </w:pPr>
      <w:r>
        <w:t>S</w:t>
      </w:r>
      <w:r w:rsidR="007E18BA">
        <w:t>ection</w:t>
      </w:r>
      <w:r>
        <w:t xml:space="preserve"> 89</w:t>
      </w:r>
      <w:r w:rsidR="007E18BA">
        <w:t>(2)</w:t>
      </w:r>
      <w:r>
        <w:t xml:space="preserve"> provides</w:t>
      </w:r>
      <w:r w:rsidR="007E18BA">
        <w:t>:</w:t>
      </w:r>
    </w:p>
    <w:p w14:paraId="45325E0E" w14:textId="55CEA8C3" w:rsidR="007E18BA" w:rsidRPr="00BC03A9" w:rsidRDefault="00BC03A9" w:rsidP="007E18BA">
      <w:pPr>
        <w:pStyle w:val="JudgmentNumbered"/>
        <w:numPr>
          <w:ilvl w:val="0"/>
          <w:numId w:val="0"/>
        </w:numPr>
        <w:ind w:left="720"/>
        <w:rPr>
          <w:sz w:val="22"/>
        </w:rPr>
      </w:pPr>
      <w:r>
        <w:rPr>
          <w:sz w:val="22"/>
        </w:rPr>
        <w:t>“</w:t>
      </w:r>
      <w:r w:rsidR="00500A0D" w:rsidRPr="00BC03A9">
        <w:rPr>
          <w:sz w:val="22"/>
        </w:rPr>
        <w:t xml:space="preserve">Subject to subsections 3 and 4, a credit agreement </w:t>
      </w:r>
      <w:r w:rsidR="005F3427" w:rsidRPr="00BC03A9">
        <w:rPr>
          <w:sz w:val="22"/>
        </w:rPr>
        <w:t>is unlawful if-</w:t>
      </w:r>
    </w:p>
    <w:p w14:paraId="07761AC6" w14:textId="353DC2DE" w:rsidR="005F3427" w:rsidRPr="00BC03A9" w:rsidRDefault="005F3427" w:rsidP="005F3427">
      <w:pPr>
        <w:pStyle w:val="JudgmentNumbered"/>
        <w:numPr>
          <w:ilvl w:val="0"/>
          <w:numId w:val="5"/>
        </w:numPr>
        <w:rPr>
          <w:sz w:val="22"/>
        </w:rPr>
      </w:pPr>
      <w:r w:rsidRPr="00BC03A9">
        <w:rPr>
          <w:sz w:val="22"/>
        </w:rPr>
        <w:t>At the time the agreement</w:t>
      </w:r>
      <w:r w:rsidR="004171FA" w:rsidRPr="00BC03A9">
        <w:rPr>
          <w:sz w:val="22"/>
        </w:rPr>
        <w:t xml:space="preserve"> was made the consumer was an unemancipated minor unassisted by a guardian</w:t>
      </w:r>
      <w:r w:rsidR="000C1AB7" w:rsidRPr="00BC03A9">
        <w:rPr>
          <w:sz w:val="22"/>
        </w:rPr>
        <w:t>, or was subject to-</w:t>
      </w:r>
    </w:p>
    <w:p w14:paraId="0A28BE4A" w14:textId="0845C0AC" w:rsidR="000C1AB7" w:rsidRPr="00BC03A9" w:rsidRDefault="00741D40" w:rsidP="00741D40">
      <w:pPr>
        <w:pStyle w:val="JudgmentNumbered"/>
        <w:numPr>
          <w:ilvl w:val="2"/>
          <w:numId w:val="4"/>
        </w:numPr>
        <w:rPr>
          <w:sz w:val="22"/>
        </w:rPr>
      </w:pPr>
      <w:r w:rsidRPr="00BC03A9">
        <w:rPr>
          <w:sz w:val="22"/>
        </w:rPr>
        <w:t>An order of a competent court</w:t>
      </w:r>
      <w:r w:rsidR="00770A0D" w:rsidRPr="00BC03A9">
        <w:rPr>
          <w:sz w:val="22"/>
        </w:rPr>
        <w:t xml:space="preserve"> holding that person to be mentally unfit;</w:t>
      </w:r>
      <w:r w:rsidR="00FA0A14" w:rsidRPr="00BC03A9">
        <w:rPr>
          <w:sz w:val="22"/>
        </w:rPr>
        <w:t xml:space="preserve"> or</w:t>
      </w:r>
    </w:p>
    <w:p w14:paraId="6B43A86F" w14:textId="02653612" w:rsidR="00FA0A14" w:rsidRPr="00BC03A9" w:rsidRDefault="00FA0A14" w:rsidP="00741D40">
      <w:pPr>
        <w:pStyle w:val="JudgmentNumbered"/>
        <w:numPr>
          <w:ilvl w:val="2"/>
          <w:numId w:val="4"/>
        </w:numPr>
        <w:rPr>
          <w:sz w:val="22"/>
        </w:rPr>
      </w:pPr>
      <w:r w:rsidRPr="00BC03A9">
        <w:rPr>
          <w:sz w:val="22"/>
        </w:rPr>
        <w:t>An administration order referred to in section 74(1)</w:t>
      </w:r>
      <w:r w:rsidR="00E36222" w:rsidRPr="00BC03A9">
        <w:rPr>
          <w:sz w:val="22"/>
        </w:rPr>
        <w:t xml:space="preserve"> of the magistrates Courts act, and the administrator concerned did not consent to the agreement</w:t>
      </w:r>
      <w:r w:rsidR="00B449B6" w:rsidRPr="00BC03A9">
        <w:rPr>
          <w:sz w:val="22"/>
        </w:rPr>
        <w:t>,</w:t>
      </w:r>
    </w:p>
    <w:p w14:paraId="1FA2C229" w14:textId="4CD4CFEC" w:rsidR="00B449B6" w:rsidRPr="00BC03A9" w:rsidRDefault="00B449B6" w:rsidP="00B449B6">
      <w:pPr>
        <w:pStyle w:val="JudgmentNumbered"/>
        <w:numPr>
          <w:ilvl w:val="0"/>
          <w:numId w:val="0"/>
        </w:numPr>
        <w:ind w:left="1701"/>
        <w:rPr>
          <w:sz w:val="22"/>
        </w:rPr>
      </w:pPr>
      <w:r w:rsidRPr="00BC03A9">
        <w:rPr>
          <w:sz w:val="22"/>
        </w:rPr>
        <w:lastRenderedPageBreak/>
        <w:t>And the credit provider knew, or could reasonably</w:t>
      </w:r>
      <w:r w:rsidR="00DD77E5" w:rsidRPr="00BC03A9">
        <w:rPr>
          <w:sz w:val="22"/>
        </w:rPr>
        <w:t xml:space="preserve"> have determined that the consumer was the subject of such an order;</w:t>
      </w:r>
    </w:p>
    <w:p w14:paraId="050C9C89" w14:textId="29CE35CE" w:rsidR="0005124A" w:rsidRPr="00BC03A9" w:rsidRDefault="00DD77E5" w:rsidP="00DD77E5">
      <w:pPr>
        <w:pStyle w:val="JudgmentNumbered"/>
        <w:numPr>
          <w:ilvl w:val="0"/>
          <w:numId w:val="0"/>
        </w:numPr>
        <w:ind w:left="567" w:hanging="567"/>
        <w:rPr>
          <w:sz w:val="22"/>
        </w:rPr>
      </w:pPr>
      <w:r w:rsidRPr="00BC03A9">
        <w:rPr>
          <w:sz w:val="22"/>
        </w:rPr>
        <w:tab/>
      </w:r>
      <w:r w:rsidR="00101AC5" w:rsidRPr="00BC03A9">
        <w:rPr>
          <w:sz w:val="22"/>
        </w:rPr>
        <w:tab/>
      </w:r>
      <w:r w:rsidR="0005124A" w:rsidRPr="00BC03A9">
        <w:rPr>
          <w:sz w:val="22"/>
        </w:rPr>
        <w:t>b)</w:t>
      </w:r>
      <w:r w:rsidR="00101AC5" w:rsidRPr="00BC03A9">
        <w:rPr>
          <w:sz w:val="22"/>
        </w:rPr>
        <w:tab/>
      </w:r>
      <w:r w:rsidR="0005124A" w:rsidRPr="00BC03A9">
        <w:rPr>
          <w:sz w:val="22"/>
        </w:rPr>
        <w:t>the agreement results from an offer prohibited in terms of section 74(1);</w:t>
      </w:r>
    </w:p>
    <w:p w14:paraId="3E0AC25C" w14:textId="6E471AFA" w:rsidR="004058D9" w:rsidRPr="00BC03A9" w:rsidRDefault="002B2C5B" w:rsidP="00DD77E5">
      <w:pPr>
        <w:pStyle w:val="JudgmentNumbered"/>
        <w:numPr>
          <w:ilvl w:val="0"/>
          <w:numId w:val="0"/>
        </w:numPr>
        <w:ind w:left="567" w:hanging="567"/>
        <w:rPr>
          <w:sz w:val="22"/>
        </w:rPr>
      </w:pPr>
      <w:r w:rsidRPr="00BC03A9">
        <w:rPr>
          <w:sz w:val="22"/>
        </w:rPr>
        <w:tab/>
      </w:r>
      <w:r w:rsidR="00640806">
        <w:rPr>
          <w:sz w:val="22"/>
        </w:rPr>
        <w:tab/>
      </w:r>
      <w:r w:rsidR="00BC03A9" w:rsidRPr="00BC03A9">
        <w:rPr>
          <w:sz w:val="22"/>
        </w:rPr>
        <w:t>c)</w:t>
      </w:r>
      <w:r w:rsidR="00BC03A9" w:rsidRPr="00BC03A9">
        <w:rPr>
          <w:sz w:val="22"/>
        </w:rPr>
        <w:tab/>
        <w:t>…</w:t>
      </w:r>
    </w:p>
    <w:p w14:paraId="51F8CCEB" w14:textId="38E2DD72" w:rsidR="00BC03A9" w:rsidRPr="00BC03A9" w:rsidRDefault="00BC03A9" w:rsidP="00DD77E5">
      <w:pPr>
        <w:pStyle w:val="JudgmentNumbered"/>
        <w:numPr>
          <w:ilvl w:val="0"/>
          <w:numId w:val="0"/>
        </w:numPr>
        <w:ind w:left="567" w:hanging="567"/>
        <w:rPr>
          <w:sz w:val="22"/>
        </w:rPr>
      </w:pPr>
      <w:r w:rsidRPr="00BC03A9">
        <w:rPr>
          <w:sz w:val="22"/>
        </w:rPr>
        <w:tab/>
      </w:r>
      <w:r w:rsidR="00640806">
        <w:rPr>
          <w:sz w:val="22"/>
        </w:rPr>
        <w:tab/>
      </w:r>
      <w:r w:rsidRPr="00BC03A9">
        <w:rPr>
          <w:sz w:val="22"/>
        </w:rPr>
        <w:t>d)</w:t>
      </w:r>
      <w:r w:rsidRPr="00BC03A9">
        <w:rPr>
          <w:sz w:val="22"/>
        </w:rPr>
        <w:tab/>
        <w:t>…</w:t>
      </w:r>
      <w:r>
        <w:rPr>
          <w:sz w:val="22"/>
        </w:rPr>
        <w:t>”</w:t>
      </w:r>
    </w:p>
    <w:p w14:paraId="07E4F69C" w14:textId="0D515A94" w:rsidR="00DD77E5" w:rsidRPr="00741D40" w:rsidRDefault="00101AC5" w:rsidP="00DD77E5">
      <w:pPr>
        <w:pStyle w:val="JudgmentNumbered"/>
        <w:numPr>
          <w:ilvl w:val="0"/>
          <w:numId w:val="0"/>
        </w:numPr>
        <w:ind w:left="567" w:hanging="567"/>
      </w:pPr>
      <w:r>
        <w:tab/>
      </w:r>
    </w:p>
    <w:p w14:paraId="31C78BCB" w14:textId="6DC65343" w:rsidR="004F7473" w:rsidRPr="004F7473" w:rsidRDefault="00182B41" w:rsidP="00A83A79">
      <w:pPr>
        <w:pStyle w:val="JudgmentNumbered"/>
        <w:rPr>
          <w:i/>
          <w:iCs/>
        </w:rPr>
      </w:pPr>
      <w:r>
        <w:t xml:space="preserve">According to the </w:t>
      </w:r>
      <w:r w:rsidR="00FD4C89">
        <w:t xml:space="preserve">second respondent </w:t>
      </w:r>
      <w:r>
        <w:t xml:space="preserve">she was in </w:t>
      </w:r>
      <w:r w:rsidR="00FD4C89">
        <w:t xml:space="preserve">default of the first agreement </w:t>
      </w:r>
      <w:r w:rsidR="00970F63">
        <w:t xml:space="preserve">and during the period that </w:t>
      </w:r>
      <w:r w:rsidR="00AB0890">
        <w:t xml:space="preserve">she had an </w:t>
      </w:r>
      <w:r w:rsidR="00970F63">
        <w:t xml:space="preserve">opportunity to extend </w:t>
      </w:r>
      <w:r w:rsidR="00E1527F">
        <w:t>the period in which to pay the applicant</w:t>
      </w:r>
      <w:r w:rsidR="00AB0890">
        <w:t xml:space="preserve">, the applicant insisted that </w:t>
      </w:r>
      <w:r w:rsidR="00E1527F">
        <w:t xml:space="preserve">the second agreement </w:t>
      </w:r>
      <w:r w:rsidR="009814C8">
        <w:t xml:space="preserve">be concluded </w:t>
      </w:r>
      <w:r w:rsidR="00E1527F">
        <w:t>with the first respondent</w:t>
      </w:r>
      <w:r w:rsidR="00723BF1">
        <w:t xml:space="preserve">. There is no proof relating to affordability in relation to first respondent. The applicant knowing that </w:t>
      </w:r>
      <w:r w:rsidR="00666F59">
        <w:t>two banks had previously refused a loan</w:t>
      </w:r>
      <w:r w:rsidR="00867715">
        <w:t xml:space="preserve">, entered into </w:t>
      </w:r>
      <w:r w:rsidR="009814C8">
        <w:t xml:space="preserve">the second </w:t>
      </w:r>
      <w:r w:rsidR="00867715">
        <w:t xml:space="preserve">agreement </w:t>
      </w:r>
      <w:r w:rsidR="009814C8">
        <w:t xml:space="preserve">aware that </w:t>
      </w:r>
      <w:r w:rsidR="00951A4A">
        <w:t>the first respondent was the alter ego of the</w:t>
      </w:r>
      <w:r w:rsidR="00867715">
        <w:t xml:space="preserve"> second respondent, was </w:t>
      </w:r>
      <w:r w:rsidR="0074341E">
        <w:t xml:space="preserve">aware that she had defaulted on the agreement and still concluded </w:t>
      </w:r>
      <w:r w:rsidR="00951A4A">
        <w:t xml:space="preserve">the </w:t>
      </w:r>
      <w:r w:rsidR="0074341E">
        <w:t>agreement with the first respondent</w:t>
      </w:r>
      <w:r w:rsidR="00951A4A">
        <w:t>. The applicant</w:t>
      </w:r>
      <w:r w:rsidR="00B43359">
        <w:t xml:space="preserve"> </w:t>
      </w:r>
      <w:r w:rsidR="00B620EB">
        <w:t>accepted the same security</w:t>
      </w:r>
      <w:r w:rsidR="0003686E">
        <w:t>,</w:t>
      </w:r>
      <w:r w:rsidR="00B620EB">
        <w:t xml:space="preserve"> namely that the </w:t>
      </w:r>
      <w:r w:rsidR="0051696F">
        <w:t>mortgage bond</w:t>
      </w:r>
      <w:r w:rsidR="00CF0363">
        <w:t>,</w:t>
      </w:r>
      <w:r w:rsidR="0051696F">
        <w:t xml:space="preserve"> </w:t>
      </w:r>
      <w:r w:rsidR="00561546">
        <w:t xml:space="preserve">which the second respondent pledged as security to </w:t>
      </w:r>
      <w:r w:rsidR="00CF0363">
        <w:t>continue</w:t>
      </w:r>
      <w:r w:rsidR="0059744D">
        <w:t xml:space="preserve"> </w:t>
      </w:r>
      <w:r w:rsidR="00561546">
        <w:t xml:space="preserve">serving as </w:t>
      </w:r>
      <w:r w:rsidR="0059744D">
        <w:t>security for the loan</w:t>
      </w:r>
      <w:r w:rsidR="004F7473">
        <w:t xml:space="preserve">. </w:t>
      </w:r>
    </w:p>
    <w:p w14:paraId="05684D75" w14:textId="725640F1" w:rsidR="00725FCE" w:rsidRDefault="00453ECC" w:rsidP="00A83A79">
      <w:pPr>
        <w:pStyle w:val="JudgmentNumbered"/>
      </w:pPr>
      <w:r>
        <w:t xml:space="preserve">The second respondent </w:t>
      </w:r>
      <w:r w:rsidR="00A619D2">
        <w:t xml:space="preserve">indicates that she was in default and the agreement permitted her to extend the loan. She did not extend the loan and </w:t>
      </w:r>
      <w:r w:rsidR="00623E69">
        <w:t xml:space="preserve">was compelled to </w:t>
      </w:r>
      <w:r w:rsidR="00C925F4">
        <w:t>sign the second agreement</w:t>
      </w:r>
      <w:r w:rsidR="00B86635">
        <w:t xml:space="preserve"> which she</w:t>
      </w:r>
      <w:r w:rsidR="006363A8">
        <w:t xml:space="preserve"> now seeks to </w:t>
      </w:r>
      <w:r w:rsidR="00C858E0">
        <w:t xml:space="preserve">be excused from </w:t>
      </w:r>
      <w:r w:rsidR="00DD2881">
        <w:t xml:space="preserve">asserting that both loans constitute reckless credit and should be declared void. </w:t>
      </w:r>
      <w:r w:rsidR="008E4460">
        <w:t>Clause 17 of the agreement concluded on 19 August 2019</w:t>
      </w:r>
      <w:r w:rsidR="00F7240C">
        <w:t xml:space="preserve">, provides for such </w:t>
      </w:r>
      <w:r w:rsidR="0003686E">
        <w:t>supersession</w:t>
      </w:r>
      <w:r w:rsidR="00F7240C">
        <w:t xml:space="preserve"> and novation</w:t>
      </w:r>
      <w:r w:rsidR="0003686E">
        <w:t xml:space="preserve">. The clause </w:t>
      </w:r>
      <w:r w:rsidR="00725FCE">
        <w:t>states:</w:t>
      </w:r>
    </w:p>
    <w:p w14:paraId="65667245" w14:textId="5776233B" w:rsidR="00FD6A0A" w:rsidRDefault="00725FCE" w:rsidP="00800BB3">
      <w:pPr>
        <w:pStyle w:val="JudgmentNumbered"/>
        <w:numPr>
          <w:ilvl w:val="0"/>
          <w:numId w:val="0"/>
        </w:numPr>
        <w:ind w:left="1701"/>
        <w:rPr>
          <w:sz w:val="22"/>
        </w:rPr>
      </w:pPr>
      <w:r w:rsidRPr="001528A8">
        <w:rPr>
          <w:sz w:val="22"/>
        </w:rPr>
        <w:t xml:space="preserve">“ The parties including the borrower and Leshika </w:t>
      </w:r>
      <w:r w:rsidR="00800BB3" w:rsidRPr="001528A8">
        <w:rPr>
          <w:sz w:val="22"/>
        </w:rPr>
        <w:t xml:space="preserve"> acknowledge and agree that this </w:t>
      </w:r>
      <w:r w:rsidR="008E4460" w:rsidRPr="001528A8">
        <w:rPr>
          <w:sz w:val="22"/>
        </w:rPr>
        <w:t xml:space="preserve"> </w:t>
      </w:r>
      <w:r w:rsidR="001E21E7" w:rsidRPr="001528A8">
        <w:rPr>
          <w:sz w:val="22"/>
        </w:rPr>
        <w:t xml:space="preserve"> </w:t>
      </w:r>
      <w:r w:rsidR="00800BB3" w:rsidRPr="001528A8">
        <w:rPr>
          <w:sz w:val="22"/>
        </w:rPr>
        <w:t xml:space="preserve">agreement novates </w:t>
      </w:r>
      <w:r w:rsidR="00B55578" w:rsidRPr="001528A8">
        <w:rPr>
          <w:sz w:val="22"/>
        </w:rPr>
        <w:t xml:space="preserve"> replaces and </w:t>
      </w:r>
      <w:r w:rsidR="0003686E" w:rsidRPr="001528A8">
        <w:rPr>
          <w:sz w:val="22"/>
        </w:rPr>
        <w:t>supersedes</w:t>
      </w:r>
      <w:r w:rsidR="00B55578" w:rsidRPr="001528A8">
        <w:rPr>
          <w:sz w:val="22"/>
        </w:rPr>
        <w:t xml:space="preserve"> all previous agreements between Assetline</w:t>
      </w:r>
      <w:r w:rsidR="001528A8" w:rsidRPr="001528A8">
        <w:rPr>
          <w:sz w:val="22"/>
        </w:rPr>
        <w:t xml:space="preserve"> and or the borrower and or Leshika…</w:t>
      </w:r>
      <w:r w:rsidR="00C210B9">
        <w:rPr>
          <w:sz w:val="22"/>
        </w:rPr>
        <w:t xml:space="preserve">  save and except for the </w:t>
      </w:r>
      <w:r w:rsidR="00104189">
        <w:rPr>
          <w:sz w:val="22"/>
        </w:rPr>
        <w:t xml:space="preserve">Registered </w:t>
      </w:r>
      <w:r w:rsidR="00C210B9">
        <w:rPr>
          <w:sz w:val="22"/>
        </w:rPr>
        <w:t>Mortgage Bond which</w:t>
      </w:r>
      <w:r w:rsidR="00104189">
        <w:rPr>
          <w:sz w:val="22"/>
        </w:rPr>
        <w:t xml:space="preserve"> in terms of this agreement</w:t>
      </w:r>
      <w:r w:rsidR="00B51540">
        <w:rPr>
          <w:sz w:val="22"/>
        </w:rPr>
        <w:t>, remains in place as continuing security cover</w:t>
      </w:r>
      <w:r w:rsidR="00C210B9">
        <w:rPr>
          <w:sz w:val="22"/>
        </w:rPr>
        <w:t xml:space="preserve"> </w:t>
      </w:r>
      <w:r w:rsidR="00B51540">
        <w:rPr>
          <w:sz w:val="22"/>
        </w:rPr>
        <w:t>…</w:t>
      </w:r>
      <w:r w:rsidR="001528A8" w:rsidRPr="001528A8">
        <w:rPr>
          <w:sz w:val="22"/>
        </w:rPr>
        <w:t>”</w:t>
      </w:r>
    </w:p>
    <w:p w14:paraId="09353813" w14:textId="6528D248" w:rsidR="00500DC1" w:rsidRDefault="00AC252D" w:rsidP="00CD4BCF">
      <w:pPr>
        <w:pStyle w:val="JudgmentNumbered"/>
        <w:numPr>
          <w:ilvl w:val="0"/>
          <w:numId w:val="0"/>
        </w:numPr>
        <w:ind w:left="567" w:hanging="567"/>
        <w:rPr>
          <w:szCs w:val="24"/>
        </w:rPr>
      </w:pPr>
      <w:r w:rsidRPr="00AC252D">
        <w:rPr>
          <w:szCs w:val="24"/>
        </w:rPr>
        <w:tab/>
      </w:r>
      <w:r w:rsidR="00D53EE5">
        <w:rPr>
          <w:szCs w:val="24"/>
        </w:rPr>
        <w:t xml:space="preserve"> </w:t>
      </w:r>
    </w:p>
    <w:p w14:paraId="582DF355" w14:textId="3053BBDE" w:rsidR="00C90E79" w:rsidRDefault="00500DC1" w:rsidP="00C90E79">
      <w:pPr>
        <w:pStyle w:val="JudgmentNumbered"/>
        <w:numPr>
          <w:ilvl w:val="0"/>
          <w:numId w:val="0"/>
        </w:numPr>
        <w:ind w:left="567" w:hanging="567"/>
        <w:rPr>
          <w:szCs w:val="24"/>
        </w:rPr>
      </w:pPr>
      <w:r>
        <w:rPr>
          <w:szCs w:val="24"/>
        </w:rPr>
        <w:lastRenderedPageBreak/>
        <w:t>[1</w:t>
      </w:r>
      <w:r w:rsidR="001832AC">
        <w:rPr>
          <w:szCs w:val="24"/>
        </w:rPr>
        <w:t>5</w:t>
      </w:r>
      <w:r>
        <w:rPr>
          <w:szCs w:val="24"/>
        </w:rPr>
        <w:t>]</w:t>
      </w:r>
      <w:r>
        <w:rPr>
          <w:szCs w:val="24"/>
        </w:rPr>
        <w:tab/>
      </w:r>
      <w:r w:rsidR="00BA6B0C">
        <w:rPr>
          <w:szCs w:val="24"/>
        </w:rPr>
        <w:t>The</w:t>
      </w:r>
      <w:r w:rsidR="00500A0F">
        <w:rPr>
          <w:szCs w:val="24"/>
        </w:rPr>
        <w:t xml:space="preserve"> </w:t>
      </w:r>
      <w:r w:rsidR="001832AC">
        <w:rPr>
          <w:szCs w:val="24"/>
        </w:rPr>
        <w:t xml:space="preserve">second </w:t>
      </w:r>
      <w:r w:rsidR="00500A0F">
        <w:rPr>
          <w:szCs w:val="24"/>
        </w:rPr>
        <w:t>agreement</w:t>
      </w:r>
      <w:r w:rsidR="00640806">
        <w:rPr>
          <w:szCs w:val="24"/>
        </w:rPr>
        <w:t>,</w:t>
      </w:r>
      <w:r w:rsidR="00F54CDC">
        <w:rPr>
          <w:szCs w:val="24"/>
        </w:rPr>
        <w:t xml:space="preserve"> concluded on 19 August 2019 </w:t>
      </w:r>
      <w:r w:rsidR="00500A0F">
        <w:rPr>
          <w:szCs w:val="24"/>
        </w:rPr>
        <w:t xml:space="preserve">is clear in terms of </w:t>
      </w:r>
      <w:r w:rsidR="0003686E">
        <w:rPr>
          <w:szCs w:val="24"/>
        </w:rPr>
        <w:t>superseding</w:t>
      </w:r>
      <w:r w:rsidR="00500A0F">
        <w:rPr>
          <w:szCs w:val="24"/>
        </w:rPr>
        <w:t xml:space="preserve"> the previous agreement. </w:t>
      </w:r>
      <w:r w:rsidR="00577CE3">
        <w:rPr>
          <w:szCs w:val="24"/>
        </w:rPr>
        <w:t xml:space="preserve"> </w:t>
      </w:r>
      <w:r w:rsidR="00C90E79">
        <w:rPr>
          <w:szCs w:val="24"/>
        </w:rPr>
        <w:t xml:space="preserve">The second agreement </w:t>
      </w:r>
      <w:r w:rsidR="0003686E">
        <w:rPr>
          <w:szCs w:val="24"/>
        </w:rPr>
        <w:t>supersedes</w:t>
      </w:r>
      <w:r w:rsidR="00C90E79">
        <w:rPr>
          <w:szCs w:val="24"/>
        </w:rPr>
        <w:t xml:space="preserve"> the first agreement as provided in clause 17 of the agreement. The question of novation is similarly addressed.  Thus the </w:t>
      </w:r>
      <w:r w:rsidR="00C90E79">
        <w:t xml:space="preserve">prior agreement between the applicant and the second respondent is </w:t>
      </w:r>
      <w:r w:rsidR="0003686E">
        <w:t>superseded</w:t>
      </w:r>
      <w:r w:rsidR="00C90E79">
        <w:t xml:space="preserve"> by the subsequent agreement as provided by the later agreement and is novated</w:t>
      </w:r>
      <w:r w:rsidR="00DA446F">
        <w:t xml:space="preserve">. </w:t>
      </w:r>
      <w:r w:rsidR="001832AC">
        <w:rPr>
          <w:szCs w:val="24"/>
        </w:rPr>
        <w:t xml:space="preserve">There is no </w:t>
      </w:r>
      <w:r w:rsidR="00034130">
        <w:rPr>
          <w:szCs w:val="24"/>
        </w:rPr>
        <w:t>proof attached to the applicant’s application that it conducted a</w:t>
      </w:r>
      <w:r w:rsidR="001E282B">
        <w:rPr>
          <w:szCs w:val="24"/>
        </w:rPr>
        <w:t xml:space="preserve">n affordability assessment in relation to the second agreement. The applicant was aware that the </w:t>
      </w:r>
      <w:r w:rsidR="00EB4A26">
        <w:rPr>
          <w:szCs w:val="24"/>
        </w:rPr>
        <w:t xml:space="preserve">two financial institutions had refused credit to the second </w:t>
      </w:r>
      <w:r w:rsidR="001E282B">
        <w:rPr>
          <w:szCs w:val="24"/>
        </w:rPr>
        <w:t>respondent</w:t>
      </w:r>
      <w:r w:rsidR="00EB4A26">
        <w:rPr>
          <w:szCs w:val="24"/>
        </w:rPr>
        <w:t xml:space="preserve"> and that the second respondent had defaulted on </w:t>
      </w:r>
      <w:r w:rsidR="00FB56DE">
        <w:rPr>
          <w:szCs w:val="24"/>
        </w:rPr>
        <w:t xml:space="preserve">the agreement it had concluded with it in 2019. </w:t>
      </w:r>
      <w:r w:rsidR="008B1C75">
        <w:rPr>
          <w:szCs w:val="24"/>
        </w:rPr>
        <w:t xml:space="preserve">The offer </w:t>
      </w:r>
      <w:r w:rsidR="00305A54">
        <w:rPr>
          <w:szCs w:val="24"/>
        </w:rPr>
        <w:t xml:space="preserve">could be interpreted as an offer in terms of s 74(1) </w:t>
      </w:r>
      <w:r w:rsidR="00BA2225">
        <w:rPr>
          <w:szCs w:val="24"/>
        </w:rPr>
        <w:t xml:space="preserve"> when regard is had to the second respondent being the </w:t>
      </w:r>
      <w:r w:rsidR="00DE0029">
        <w:rPr>
          <w:szCs w:val="24"/>
        </w:rPr>
        <w:t>alter</w:t>
      </w:r>
      <w:r w:rsidR="00BA2225">
        <w:rPr>
          <w:szCs w:val="24"/>
        </w:rPr>
        <w:t xml:space="preserve"> ego of the first respondent.</w:t>
      </w:r>
      <w:r w:rsidR="00672515">
        <w:rPr>
          <w:szCs w:val="24"/>
        </w:rPr>
        <w:t xml:space="preserve"> In the </w:t>
      </w:r>
      <w:r w:rsidR="003C58DF">
        <w:rPr>
          <w:szCs w:val="24"/>
        </w:rPr>
        <w:t>a</w:t>
      </w:r>
      <w:r w:rsidR="00305A54">
        <w:rPr>
          <w:szCs w:val="24"/>
        </w:rPr>
        <w:t>lternate</w:t>
      </w:r>
      <w:r w:rsidR="003C58DF">
        <w:rPr>
          <w:szCs w:val="24"/>
        </w:rPr>
        <w:t xml:space="preserve">, the agreement is reckless as there was no affordability </w:t>
      </w:r>
      <w:r w:rsidR="0003686E">
        <w:rPr>
          <w:szCs w:val="24"/>
        </w:rPr>
        <w:t>assessment,</w:t>
      </w:r>
      <w:r w:rsidR="003C58DF">
        <w:rPr>
          <w:szCs w:val="24"/>
        </w:rPr>
        <w:t xml:space="preserve"> and none is attached </w:t>
      </w:r>
      <w:r w:rsidR="003C5A77">
        <w:rPr>
          <w:szCs w:val="24"/>
        </w:rPr>
        <w:t xml:space="preserve">indicating that it was conducted. Consequently the </w:t>
      </w:r>
      <w:r w:rsidR="00440A44">
        <w:rPr>
          <w:szCs w:val="24"/>
        </w:rPr>
        <w:t>second agreement</w:t>
      </w:r>
      <w:r w:rsidR="009751E9">
        <w:rPr>
          <w:szCs w:val="24"/>
        </w:rPr>
        <w:t>,</w:t>
      </w:r>
      <w:r w:rsidR="00440A44">
        <w:rPr>
          <w:szCs w:val="24"/>
        </w:rPr>
        <w:t xml:space="preserve"> having replaced the first</w:t>
      </w:r>
      <w:r w:rsidR="009751E9">
        <w:rPr>
          <w:szCs w:val="24"/>
        </w:rPr>
        <w:t>,</w:t>
      </w:r>
      <w:r w:rsidR="00440A44">
        <w:rPr>
          <w:szCs w:val="24"/>
        </w:rPr>
        <w:t xml:space="preserve"> is declared void. </w:t>
      </w:r>
    </w:p>
    <w:p w14:paraId="594B4977" w14:textId="49854E31" w:rsidR="00C109C5" w:rsidRDefault="003730EA" w:rsidP="003730EA">
      <w:pPr>
        <w:pStyle w:val="JudgmentNumbered"/>
        <w:numPr>
          <w:ilvl w:val="0"/>
          <w:numId w:val="0"/>
        </w:numPr>
        <w:ind w:left="567" w:hanging="567"/>
      </w:pPr>
      <w:r>
        <w:t>[1</w:t>
      </w:r>
      <w:r w:rsidR="00DA446F">
        <w:t>6</w:t>
      </w:r>
      <w:r>
        <w:t>]</w:t>
      </w:r>
      <w:r>
        <w:tab/>
      </w:r>
      <w:r w:rsidR="006F5436">
        <w:t xml:space="preserve">To the extent I am wrong in </w:t>
      </w:r>
      <w:r w:rsidR="00714096">
        <w:t>declaring</w:t>
      </w:r>
      <w:r w:rsidR="006F5436">
        <w:t xml:space="preserve"> the second agreement void, </w:t>
      </w:r>
      <w:r w:rsidR="00714096">
        <w:t>the</w:t>
      </w:r>
      <w:r w:rsidR="00055EA7">
        <w:t xml:space="preserve"> </w:t>
      </w:r>
      <w:r w:rsidR="0003686E">
        <w:t>NC</w:t>
      </w:r>
      <w:r w:rsidR="00055EA7">
        <w:t xml:space="preserve">A </w:t>
      </w:r>
      <w:r w:rsidR="00E475B1">
        <w:t xml:space="preserve">provides </w:t>
      </w:r>
      <w:r w:rsidR="0003686E">
        <w:t xml:space="preserve">in </w:t>
      </w:r>
      <w:r w:rsidR="00E475B1">
        <w:t>s</w:t>
      </w:r>
      <w:r w:rsidR="0003686E">
        <w:t>ection</w:t>
      </w:r>
      <w:r w:rsidR="00E475B1">
        <w:t xml:space="preserve"> 10</w:t>
      </w:r>
      <w:r w:rsidR="00C109C5">
        <w:t>1(2) that:</w:t>
      </w:r>
    </w:p>
    <w:p w14:paraId="5537C8E2" w14:textId="4EF5A34D" w:rsidR="00C109C5" w:rsidRDefault="00C109C5" w:rsidP="00C109C5">
      <w:pPr>
        <w:pStyle w:val="JudgmentNumbered"/>
        <w:numPr>
          <w:ilvl w:val="0"/>
          <w:numId w:val="0"/>
        </w:numPr>
        <w:ind w:left="1134"/>
        <w:rPr>
          <w:color w:val="000000"/>
          <w:sz w:val="22"/>
        </w:rPr>
      </w:pPr>
      <w:r w:rsidRPr="00C109C5">
        <w:rPr>
          <w:color w:val="000000"/>
          <w:sz w:val="22"/>
        </w:rPr>
        <w:t>(2) A credit provider who is a party to a credit agreement with a consumer and enters into a new credit agreement with the same consumer that replaces the earlier agreement in whole or in part may charge that consumer an initiation fee contemplated in subsection (1) </w:t>
      </w:r>
      <w:r w:rsidRPr="00C109C5">
        <w:rPr>
          <w:i/>
          <w:iCs/>
          <w:color w:val="000000"/>
          <w:sz w:val="22"/>
        </w:rPr>
        <w:t>(b)</w:t>
      </w:r>
      <w:r w:rsidRPr="00C109C5">
        <w:rPr>
          <w:color w:val="000000"/>
          <w:sz w:val="22"/>
        </w:rPr>
        <w:t> in respect of that second credit agreement, only to the extent permitted by regulation, having regard to the nature of the transaction and the character of the relationship between the credit provider and consumer.</w:t>
      </w:r>
      <w:r w:rsidR="0040243C">
        <w:rPr>
          <w:color w:val="000000"/>
          <w:sz w:val="22"/>
        </w:rPr>
        <w:t>”</w:t>
      </w:r>
    </w:p>
    <w:p w14:paraId="08975C19" w14:textId="680F5E4F" w:rsidR="0040243C" w:rsidRDefault="0003686E" w:rsidP="00282D29">
      <w:pPr>
        <w:pStyle w:val="JudgmentNumbered"/>
        <w:numPr>
          <w:ilvl w:val="0"/>
          <w:numId w:val="0"/>
        </w:numPr>
        <w:ind w:left="567" w:hanging="567"/>
        <w:rPr>
          <w:color w:val="000000"/>
          <w:szCs w:val="24"/>
        </w:rPr>
      </w:pPr>
      <w:r>
        <w:rPr>
          <w:color w:val="000000"/>
          <w:szCs w:val="24"/>
        </w:rPr>
        <w:t>[17]</w:t>
      </w:r>
      <w:r>
        <w:rPr>
          <w:color w:val="000000"/>
          <w:szCs w:val="24"/>
        </w:rPr>
        <w:tab/>
        <w:t xml:space="preserve">On this basis, I therefore conclude that </w:t>
      </w:r>
      <w:r w:rsidR="001D3E07">
        <w:rPr>
          <w:color w:val="000000"/>
          <w:szCs w:val="24"/>
        </w:rPr>
        <w:t>,</w:t>
      </w:r>
      <w:r w:rsidR="0040243C" w:rsidRPr="0040243C">
        <w:rPr>
          <w:color w:val="000000"/>
          <w:szCs w:val="24"/>
        </w:rPr>
        <w:t xml:space="preserve"> the applicant</w:t>
      </w:r>
      <w:r w:rsidR="0040243C">
        <w:rPr>
          <w:color w:val="000000"/>
          <w:szCs w:val="24"/>
        </w:rPr>
        <w:t xml:space="preserve">, </w:t>
      </w:r>
      <w:r w:rsidR="00714096">
        <w:rPr>
          <w:color w:val="000000"/>
          <w:szCs w:val="24"/>
        </w:rPr>
        <w:t>was not entitled to</w:t>
      </w:r>
      <w:r w:rsidR="0040243C">
        <w:rPr>
          <w:color w:val="000000"/>
          <w:szCs w:val="24"/>
        </w:rPr>
        <w:t xml:space="preserve"> </w:t>
      </w:r>
      <w:r w:rsidR="00507C06">
        <w:rPr>
          <w:color w:val="000000"/>
          <w:szCs w:val="24"/>
        </w:rPr>
        <w:t>charge the respondent</w:t>
      </w:r>
      <w:r>
        <w:rPr>
          <w:color w:val="000000"/>
          <w:szCs w:val="24"/>
        </w:rPr>
        <w:t>s</w:t>
      </w:r>
      <w:r w:rsidR="00507C06">
        <w:rPr>
          <w:color w:val="000000"/>
          <w:szCs w:val="24"/>
        </w:rPr>
        <w:t xml:space="preserve"> a further initiation fee as the agreement </w:t>
      </w:r>
      <w:r w:rsidR="009253ED">
        <w:rPr>
          <w:color w:val="000000"/>
          <w:szCs w:val="24"/>
        </w:rPr>
        <w:t>replace</w:t>
      </w:r>
      <w:r>
        <w:rPr>
          <w:color w:val="000000"/>
          <w:szCs w:val="24"/>
        </w:rPr>
        <w:t xml:space="preserve">d the </w:t>
      </w:r>
      <w:r w:rsidR="009253ED">
        <w:rPr>
          <w:color w:val="000000"/>
          <w:szCs w:val="24"/>
        </w:rPr>
        <w:t>agreement between the same parties</w:t>
      </w:r>
      <w:r w:rsidR="00832439">
        <w:rPr>
          <w:color w:val="000000"/>
          <w:szCs w:val="24"/>
        </w:rPr>
        <w:t>,</w:t>
      </w:r>
      <w:r w:rsidR="009253ED">
        <w:rPr>
          <w:color w:val="000000"/>
          <w:szCs w:val="24"/>
        </w:rPr>
        <w:t xml:space="preserve"> namely the applicant and the second respondent</w:t>
      </w:r>
      <w:r w:rsidR="001D3E07">
        <w:rPr>
          <w:color w:val="000000"/>
          <w:szCs w:val="24"/>
        </w:rPr>
        <w:t>,</w:t>
      </w:r>
      <w:r w:rsidR="009253ED">
        <w:rPr>
          <w:color w:val="000000"/>
          <w:szCs w:val="24"/>
        </w:rPr>
        <w:t xml:space="preserve"> who </w:t>
      </w:r>
      <w:r w:rsidR="000A04F5">
        <w:rPr>
          <w:color w:val="000000"/>
          <w:szCs w:val="24"/>
        </w:rPr>
        <w:t xml:space="preserve">was surety and co-principal debtor. </w:t>
      </w:r>
      <w:r w:rsidR="0040243C" w:rsidRPr="0040243C">
        <w:rPr>
          <w:color w:val="000000"/>
          <w:szCs w:val="24"/>
        </w:rPr>
        <w:t xml:space="preserve"> </w:t>
      </w:r>
    </w:p>
    <w:p w14:paraId="40D24CE4" w14:textId="0191C08E" w:rsidR="003D09D9" w:rsidRDefault="003730EA" w:rsidP="00BC44C6">
      <w:pPr>
        <w:pStyle w:val="JudgmentNumbered"/>
        <w:numPr>
          <w:ilvl w:val="0"/>
          <w:numId w:val="0"/>
        </w:numPr>
        <w:ind w:left="567" w:hanging="567"/>
      </w:pPr>
      <w:r>
        <w:t>[1</w:t>
      </w:r>
      <w:r w:rsidR="0003686E">
        <w:t>8</w:t>
      </w:r>
      <w:r>
        <w:t>]</w:t>
      </w:r>
      <w:r>
        <w:tab/>
      </w:r>
      <w:r w:rsidR="00883651">
        <w:t xml:space="preserve">A further consideration regarding the application </w:t>
      </w:r>
      <w:r w:rsidR="0094095C">
        <w:t>of</w:t>
      </w:r>
      <w:r w:rsidR="00883651">
        <w:t xml:space="preserve"> the </w:t>
      </w:r>
      <w:r w:rsidR="0003686E">
        <w:t>NC</w:t>
      </w:r>
      <w:r w:rsidR="00883651">
        <w:t xml:space="preserve">A is </w:t>
      </w:r>
      <w:r w:rsidR="00583E3D">
        <w:t>whether the inter</w:t>
      </w:r>
      <w:r w:rsidR="00A53B7A">
        <w:t xml:space="preserve">est was usurious. </w:t>
      </w:r>
      <w:r w:rsidR="00261282">
        <w:t xml:space="preserve">The </w:t>
      </w:r>
      <w:r w:rsidR="00282D29">
        <w:t xml:space="preserve">NCA </w:t>
      </w:r>
      <w:r w:rsidR="00261282">
        <w:t xml:space="preserve">provides </w:t>
      </w:r>
      <w:r w:rsidR="00883651">
        <w:t>that the interest may not exceed the</w:t>
      </w:r>
      <w:r w:rsidR="0094095C">
        <w:t xml:space="preserve"> </w:t>
      </w:r>
      <w:r w:rsidR="003D09D9">
        <w:t>unpaid balance of the principal debt. S</w:t>
      </w:r>
      <w:r w:rsidR="00832439">
        <w:t>ection</w:t>
      </w:r>
      <w:r w:rsidR="003D09D9">
        <w:t xml:space="preserve"> 103(5) provides </w:t>
      </w:r>
    </w:p>
    <w:p w14:paraId="28B87D24" w14:textId="41109021" w:rsidR="00A83A79" w:rsidRDefault="003D09D9" w:rsidP="003D09D9">
      <w:pPr>
        <w:pStyle w:val="JudgmentNumbered"/>
        <w:numPr>
          <w:ilvl w:val="0"/>
          <w:numId w:val="0"/>
        </w:numPr>
        <w:ind w:left="873"/>
        <w:rPr>
          <w:color w:val="000000"/>
          <w:sz w:val="22"/>
        </w:rPr>
      </w:pPr>
      <w:r>
        <w:rPr>
          <w:color w:val="000000"/>
          <w:sz w:val="22"/>
        </w:rPr>
        <w:lastRenderedPageBreak/>
        <w:t>“</w:t>
      </w:r>
      <w:r w:rsidRPr="003D09D9">
        <w:rPr>
          <w:color w:val="000000"/>
          <w:sz w:val="22"/>
        </w:rPr>
        <w:t>Despite any provision of the common law or a credit agreement to the contrary, the amounts contemplated in section 101 (1) </w:t>
      </w:r>
      <w:r w:rsidRPr="003D09D9">
        <w:rPr>
          <w:i/>
          <w:iCs/>
          <w:color w:val="000000"/>
          <w:sz w:val="22"/>
        </w:rPr>
        <w:t>(b)</w:t>
      </w:r>
      <w:r w:rsidRPr="003D09D9">
        <w:rPr>
          <w:color w:val="000000"/>
          <w:sz w:val="22"/>
        </w:rPr>
        <w:t> to </w:t>
      </w:r>
      <w:r w:rsidRPr="003D09D9">
        <w:rPr>
          <w:i/>
          <w:iCs/>
          <w:color w:val="000000"/>
          <w:sz w:val="22"/>
        </w:rPr>
        <w:t>(g)</w:t>
      </w:r>
      <w:r w:rsidRPr="003D09D9">
        <w:rPr>
          <w:color w:val="000000"/>
          <w:sz w:val="22"/>
        </w:rPr>
        <w:t> that accrue during the time that a consumer is in default under the credit agreement may not, in aggregate, exceed the unpaid balance of the principal debt under that credit agreement as at the time that the default occurs.</w:t>
      </w:r>
      <w:r>
        <w:rPr>
          <w:color w:val="000000"/>
          <w:sz w:val="22"/>
        </w:rPr>
        <w:t>”</w:t>
      </w:r>
    </w:p>
    <w:p w14:paraId="4906580A" w14:textId="19BEF0A2" w:rsidR="00E43706" w:rsidRDefault="00282D29" w:rsidP="00282D29">
      <w:pPr>
        <w:pStyle w:val="JudgmentNumbered"/>
        <w:numPr>
          <w:ilvl w:val="0"/>
          <w:numId w:val="0"/>
        </w:numPr>
        <w:ind w:left="567" w:hanging="567"/>
        <w:rPr>
          <w:color w:val="000000"/>
          <w:szCs w:val="24"/>
        </w:rPr>
      </w:pPr>
      <w:r>
        <w:rPr>
          <w:color w:val="000000"/>
          <w:szCs w:val="24"/>
        </w:rPr>
        <w:t>[19]</w:t>
      </w:r>
      <w:r>
        <w:rPr>
          <w:color w:val="000000"/>
          <w:szCs w:val="24"/>
        </w:rPr>
        <w:tab/>
      </w:r>
      <w:r w:rsidR="002653AB">
        <w:rPr>
          <w:color w:val="000000"/>
          <w:szCs w:val="24"/>
        </w:rPr>
        <w:t>The principal</w:t>
      </w:r>
      <w:r w:rsidR="009A3A71">
        <w:rPr>
          <w:color w:val="000000"/>
          <w:szCs w:val="24"/>
        </w:rPr>
        <w:t xml:space="preserve"> debt was R 1 050</w:t>
      </w:r>
      <w:r w:rsidR="0006632C">
        <w:rPr>
          <w:color w:val="000000"/>
          <w:szCs w:val="24"/>
        </w:rPr>
        <w:t> </w:t>
      </w:r>
      <w:r w:rsidR="009A3A71">
        <w:rPr>
          <w:color w:val="000000"/>
          <w:szCs w:val="24"/>
        </w:rPr>
        <w:t>000</w:t>
      </w:r>
      <w:r w:rsidR="0006632C">
        <w:rPr>
          <w:color w:val="000000"/>
          <w:szCs w:val="24"/>
        </w:rPr>
        <w:t>; thus</w:t>
      </w:r>
      <w:r w:rsidR="009A3A71">
        <w:rPr>
          <w:color w:val="000000"/>
          <w:szCs w:val="24"/>
        </w:rPr>
        <w:t xml:space="preserve"> the interest </w:t>
      </w:r>
      <w:r w:rsidR="00B651C3">
        <w:rPr>
          <w:color w:val="000000"/>
          <w:szCs w:val="24"/>
        </w:rPr>
        <w:t xml:space="preserve">could not </w:t>
      </w:r>
      <w:r w:rsidR="009A3A71">
        <w:rPr>
          <w:color w:val="000000"/>
          <w:szCs w:val="24"/>
        </w:rPr>
        <w:t>exceed the amount</w:t>
      </w:r>
      <w:r w:rsidR="0094095C">
        <w:rPr>
          <w:color w:val="000000"/>
          <w:szCs w:val="24"/>
        </w:rPr>
        <w:t xml:space="preserve"> of R 2 100</w:t>
      </w:r>
      <w:r w:rsidR="00E43706">
        <w:rPr>
          <w:color w:val="000000"/>
          <w:szCs w:val="24"/>
        </w:rPr>
        <w:t> </w:t>
      </w:r>
      <w:r w:rsidR="0094095C">
        <w:rPr>
          <w:color w:val="000000"/>
          <w:szCs w:val="24"/>
        </w:rPr>
        <w:t>000</w:t>
      </w:r>
      <w:r w:rsidR="00B569AD">
        <w:rPr>
          <w:color w:val="000000"/>
          <w:szCs w:val="24"/>
        </w:rPr>
        <w:t>.</w:t>
      </w:r>
      <w:r w:rsidR="00BD348C">
        <w:rPr>
          <w:color w:val="000000"/>
          <w:szCs w:val="24"/>
        </w:rPr>
        <w:t xml:space="preserve"> </w:t>
      </w:r>
      <w:r w:rsidR="000A6BCA">
        <w:rPr>
          <w:color w:val="000000"/>
          <w:szCs w:val="24"/>
        </w:rPr>
        <w:t xml:space="preserve">The interest in the amount of 5% per annum exceed what </w:t>
      </w:r>
      <w:r>
        <w:rPr>
          <w:color w:val="000000"/>
          <w:szCs w:val="24"/>
        </w:rPr>
        <w:t xml:space="preserve">is </w:t>
      </w:r>
      <w:r w:rsidR="000A6BCA">
        <w:rPr>
          <w:color w:val="000000"/>
          <w:szCs w:val="24"/>
        </w:rPr>
        <w:t>permitted</w:t>
      </w:r>
      <w:r>
        <w:rPr>
          <w:color w:val="000000"/>
          <w:szCs w:val="24"/>
        </w:rPr>
        <w:t xml:space="preserve"> under the NCA</w:t>
      </w:r>
      <w:r w:rsidR="000A6BCA">
        <w:rPr>
          <w:color w:val="000000"/>
          <w:szCs w:val="24"/>
        </w:rPr>
        <w:t>. The a</w:t>
      </w:r>
      <w:r w:rsidR="00B95E05">
        <w:rPr>
          <w:color w:val="000000"/>
          <w:szCs w:val="24"/>
        </w:rPr>
        <w:t>p</w:t>
      </w:r>
      <w:r w:rsidR="000A6BCA">
        <w:rPr>
          <w:color w:val="000000"/>
          <w:szCs w:val="24"/>
        </w:rPr>
        <w:t xml:space="preserve">plicant </w:t>
      </w:r>
      <w:r w:rsidR="00B95E05">
        <w:rPr>
          <w:color w:val="000000"/>
          <w:szCs w:val="24"/>
        </w:rPr>
        <w:t>conceded this aspect in its heads of argument. T</w:t>
      </w:r>
      <w:r w:rsidR="00A2145A">
        <w:rPr>
          <w:color w:val="000000"/>
          <w:szCs w:val="24"/>
        </w:rPr>
        <w:t xml:space="preserve">he interest that was applicable </w:t>
      </w:r>
      <w:r w:rsidR="0006632C">
        <w:rPr>
          <w:color w:val="000000"/>
          <w:szCs w:val="24"/>
        </w:rPr>
        <w:t xml:space="preserve">in the event that agreement was not void </w:t>
      </w:r>
      <w:r w:rsidR="00A2145A">
        <w:rPr>
          <w:color w:val="000000"/>
          <w:szCs w:val="24"/>
        </w:rPr>
        <w:t xml:space="preserve">was limited </w:t>
      </w:r>
      <w:r>
        <w:rPr>
          <w:color w:val="000000"/>
          <w:szCs w:val="24"/>
        </w:rPr>
        <w:t xml:space="preserve">under </w:t>
      </w:r>
      <w:r w:rsidR="00565AD4">
        <w:rPr>
          <w:color w:val="000000"/>
          <w:szCs w:val="24"/>
        </w:rPr>
        <w:t>the provision of s</w:t>
      </w:r>
      <w:r>
        <w:rPr>
          <w:color w:val="000000"/>
          <w:szCs w:val="24"/>
        </w:rPr>
        <w:t>ection</w:t>
      </w:r>
      <w:r w:rsidR="00565AD4">
        <w:rPr>
          <w:color w:val="000000"/>
          <w:szCs w:val="24"/>
        </w:rPr>
        <w:t xml:space="preserve"> 103(5). </w:t>
      </w:r>
    </w:p>
    <w:p w14:paraId="77AC7CCE" w14:textId="3994D2A0" w:rsidR="00E04F8E" w:rsidRDefault="00E43706" w:rsidP="00E43706">
      <w:pPr>
        <w:pStyle w:val="JudgmentNumbered"/>
        <w:numPr>
          <w:ilvl w:val="0"/>
          <w:numId w:val="0"/>
        </w:numPr>
        <w:ind w:left="567" w:hanging="567"/>
        <w:rPr>
          <w:color w:val="000000"/>
          <w:szCs w:val="24"/>
        </w:rPr>
      </w:pPr>
      <w:r>
        <w:rPr>
          <w:color w:val="000000"/>
          <w:szCs w:val="24"/>
        </w:rPr>
        <w:t>[</w:t>
      </w:r>
      <w:r w:rsidR="009751E9">
        <w:rPr>
          <w:color w:val="000000"/>
          <w:szCs w:val="24"/>
        </w:rPr>
        <w:t>20</w:t>
      </w:r>
      <w:r>
        <w:rPr>
          <w:color w:val="000000"/>
          <w:szCs w:val="24"/>
        </w:rPr>
        <w:t>]</w:t>
      </w:r>
      <w:r>
        <w:rPr>
          <w:color w:val="000000"/>
          <w:szCs w:val="24"/>
        </w:rPr>
        <w:tab/>
      </w:r>
      <w:r w:rsidR="008C2D51">
        <w:rPr>
          <w:color w:val="000000"/>
          <w:szCs w:val="24"/>
        </w:rPr>
        <w:t xml:space="preserve">The applicant </w:t>
      </w:r>
      <w:r w:rsidR="00282D29">
        <w:rPr>
          <w:color w:val="000000"/>
          <w:szCs w:val="24"/>
        </w:rPr>
        <w:t xml:space="preserve">seeks </w:t>
      </w:r>
      <w:r w:rsidR="008C2D51">
        <w:rPr>
          <w:color w:val="000000"/>
          <w:szCs w:val="24"/>
        </w:rPr>
        <w:t>that the property be declared specially executable</w:t>
      </w:r>
      <w:r w:rsidR="001F05D0">
        <w:rPr>
          <w:color w:val="000000"/>
          <w:szCs w:val="24"/>
        </w:rPr>
        <w:t xml:space="preserve">. The </w:t>
      </w:r>
      <w:r w:rsidR="00282D29">
        <w:rPr>
          <w:color w:val="000000"/>
          <w:szCs w:val="24"/>
        </w:rPr>
        <w:t xml:space="preserve">submission made on behalf of the </w:t>
      </w:r>
      <w:r w:rsidR="00805978">
        <w:rPr>
          <w:color w:val="000000"/>
          <w:szCs w:val="24"/>
        </w:rPr>
        <w:t>respondent</w:t>
      </w:r>
      <w:r w:rsidR="00532B19">
        <w:rPr>
          <w:color w:val="000000"/>
          <w:szCs w:val="24"/>
        </w:rPr>
        <w:t>s</w:t>
      </w:r>
      <w:r w:rsidR="00805978">
        <w:rPr>
          <w:color w:val="000000"/>
          <w:szCs w:val="24"/>
        </w:rPr>
        <w:t xml:space="preserve"> </w:t>
      </w:r>
      <w:r w:rsidR="00282D29">
        <w:rPr>
          <w:color w:val="000000"/>
          <w:szCs w:val="24"/>
        </w:rPr>
        <w:t xml:space="preserve">is </w:t>
      </w:r>
      <w:r w:rsidR="00805978">
        <w:rPr>
          <w:color w:val="000000"/>
          <w:szCs w:val="24"/>
        </w:rPr>
        <w:t>that the property is valued at R3.3 million rand and may be sold for substantially less than it</w:t>
      </w:r>
      <w:r w:rsidR="00282D29">
        <w:rPr>
          <w:color w:val="000000"/>
          <w:szCs w:val="24"/>
        </w:rPr>
        <w:t>s</w:t>
      </w:r>
      <w:r w:rsidR="00805978">
        <w:rPr>
          <w:color w:val="000000"/>
          <w:szCs w:val="24"/>
        </w:rPr>
        <w:t xml:space="preserve"> value</w:t>
      </w:r>
      <w:r w:rsidR="00282D29">
        <w:rPr>
          <w:color w:val="000000"/>
          <w:szCs w:val="24"/>
        </w:rPr>
        <w:t>.</w:t>
      </w:r>
      <w:r w:rsidR="0067083D">
        <w:rPr>
          <w:color w:val="000000"/>
          <w:szCs w:val="24"/>
        </w:rPr>
        <w:t xml:space="preserve"> </w:t>
      </w:r>
      <w:r w:rsidR="00282D29">
        <w:rPr>
          <w:color w:val="000000"/>
          <w:szCs w:val="24"/>
        </w:rPr>
        <w:t xml:space="preserve">For that reason, it may </w:t>
      </w:r>
      <w:r w:rsidR="00805978">
        <w:rPr>
          <w:color w:val="000000"/>
          <w:szCs w:val="24"/>
        </w:rPr>
        <w:t>plac</w:t>
      </w:r>
      <w:r w:rsidR="00282D29">
        <w:rPr>
          <w:color w:val="000000"/>
          <w:szCs w:val="24"/>
        </w:rPr>
        <w:t xml:space="preserve">e </w:t>
      </w:r>
      <w:r w:rsidR="00805978">
        <w:rPr>
          <w:color w:val="000000"/>
          <w:szCs w:val="24"/>
        </w:rPr>
        <w:t>the respondents at a disadvantage</w:t>
      </w:r>
      <w:r w:rsidR="0067083D">
        <w:rPr>
          <w:color w:val="000000"/>
          <w:szCs w:val="24"/>
        </w:rPr>
        <w:t>,</w:t>
      </w:r>
      <w:r w:rsidR="00805978">
        <w:rPr>
          <w:color w:val="000000"/>
          <w:szCs w:val="24"/>
        </w:rPr>
        <w:t xml:space="preserve"> </w:t>
      </w:r>
      <w:r w:rsidR="00B16883">
        <w:rPr>
          <w:color w:val="000000"/>
          <w:szCs w:val="24"/>
        </w:rPr>
        <w:t xml:space="preserve">the property </w:t>
      </w:r>
      <w:r w:rsidR="00282D29">
        <w:rPr>
          <w:color w:val="000000"/>
          <w:szCs w:val="24"/>
        </w:rPr>
        <w:t xml:space="preserve">being realised </w:t>
      </w:r>
      <w:r w:rsidR="00B16883">
        <w:rPr>
          <w:color w:val="000000"/>
          <w:szCs w:val="24"/>
        </w:rPr>
        <w:t xml:space="preserve">for less than its value. </w:t>
      </w:r>
      <w:r w:rsidR="00463363">
        <w:rPr>
          <w:color w:val="000000"/>
          <w:szCs w:val="24"/>
        </w:rPr>
        <w:t xml:space="preserve"> To the extent that the absence of </w:t>
      </w:r>
      <w:r w:rsidR="008945E7">
        <w:rPr>
          <w:color w:val="000000"/>
          <w:szCs w:val="24"/>
        </w:rPr>
        <w:t>a reserve</w:t>
      </w:r>
      <w:r w:rsidR="00532B19">
        <w:rPr>
          <w:color w:val="000000"/>
          <w:szCs w:val="24"/>
        </w:rPr>
        <w:t xml:space="preserve"> price </w:t>
      </w:r>
      <w:r w:rsidR="008945E7">
        <w:rPr>
          <w:color w:val="000000"/>
          <w:szCs w:val="24"/>
        </w:rPr>
        <w:t xml:space="preserve">will foreseeably result in the sale of the property </w:t>
      </w:r>
      <w:r w:rsidR="00532B19">
        <w:rPr>
          <w:color w:val="000000"/>
          <w:szCs w:val="24"/>
        </w:rPr>
        <w:t xml:space="preserve">at </w:t>
      </w:r>
      <w:r w:rsidR="008945E7">
        <w:rPr>
          <w:color w:val="000000"/>
          <w:szCs w:val="24"/>
        </w:rPr>
        <w:t xml:space="preserve">a </w:t>
      </w:r>
      <w:r w:rsidR="00CF73C8">
        <w:rPr>
          <w:color w:val="000000"/>
          <w:szCs w:val="24"/>
        </w:rPr>
        <w:t>lower price and may be prejudicial, I am of the view that a reserve price be determined</w:t>
      </w:r>
      <w:r w:rsidR="00532B19">
        <w:rPr>
          <w:color w:val="000000"/>
          <w:szCs w:val="24"/>
        </w:rPr>
        <w:t xml:space="preserve">. </w:t>
      </w:r>
      <w:r w:rsidR="00282D29">
        <w:rPr>
          <w:color w:val="000000"/>
          <w:szCs w:val="24"/>
        </w:rPr>
        <w:t xml:space="preserve">But that </w:t>
      </w:r>
      <w:r w:rsidR="00532B19">
        <w:rPr>
          <w:color w:val="000000"/>
          <w:szCs w:val="24"/>
        </w:rPr>
        <w:t xml:space="preserve">is not necessary in the present matter as </w:t>
      </w:r>
      <w:r w:rsidR="00402E7D">
        <w:rPr>
          <w:color w:val="000000"/>
          <w:szCs w:val="24"/>
        </w:rPr>
        <w:t xml:space="preserve">the agreement is declared void. </w:t>
      </w:r>
      <w:r w:rsidR="00CC750A">
        <w:rPr>
          <w:color w:val="000000"/>
          <w:szCs w:val="24"/>
        </w:rPr>
        <w:t xml:space="preserve"> </w:t>
      </w:r>
    </w:p>
    <w:p w14:paraId="1879A6D9" w14:textId="56E26E40" w:rsidR="001D3E07" w:rsidRPr="001D3E07" w:rsidRDefault="0067083D" w:rsidP="00E43706">
      <w:pPr>
        <w:pStyle w:val="JudgmentNumbered"/>
        <w:numPr>
          <w:ilvl w:val="0"/>
          <w:numId w:val="0"/>
        </w:numPr>
        <w:ind w:left="567" w:hanging="567"/>
        <w:rPr>
          <w:szCs w:val="24"/>
        </w:rPr>
      </w:pPr>
      <w:r>
        <w:rPr>
          <w:color w:val="000000"/>
          <w:szCs w:val="24"/>
        </w:rPr>
        <w:t>[2</w:t>
      </w:r>
      <w:r w:rsidR="00E04F8E">
        <w:rPr>
          <w:color w:val="000000"/>
          <w:szCs w:val="24"/>
        </w:rPr>
        <w:t>1]</w:t>
      </w:r>
      <w:r w:rsidR="00E04F8E">
        <w:rPr>
          <w:color w:val="000000"/>
          <w:szCs w:val="24"/>
        </w:rPr>
        <w:tab/>
      </w:r>
      <w:r w:rsidR="00E43706">
        <w:rPr>
          <w:color w:val="000000"/>
          <w:szCs w:val="24"/>
        </w:rPr>
        <w:t xml:space="preserve">The agreement makes provision for costs on the attorney and client scale. </w:t>
      </w:r>
      <w:r w:rsidR="00AB3474">
        <w:rPr>
          <w:color w:val="000000"/>
          <w:szCs w:val="24"/>
        </w:rPr>
        <w:t xml:space="preserve"> </w:t>
      </w:r>
      <w:r w:rsidR="00E43706">
        <w:rPr>
          <w:color w:val="000000"/>
          <w:szCs w:val="24"/>
        </w:rPr>
        <w:t>I</w:t>
      </w:r>
      <w:r w:rsidR="000A4099">
        <w:rPr>
          <w:color w:val="000000"/>
          <w:szCs w:val="24"/>
        </w:rPr>
        <w:t xml:space="preserve"> am satisfied that the respondent raised concerns that were relevant</w:t>
      </w:r>
      <w:r w:rsidR="00402E7D">
        <w:rPr>
          <w:color w:val="000000"/>
          <w:szCs w:val="24"/>
        </w:rPr>
        <w:t xml:space="preserve"> and has succeeded</w:t>
      </w:r>
      <w:r w:rsidR="00282D29">
        <w:rPr>
          <w:color w:val="000000"/>
          <w:szCs w:val="24"/>
        </w:rPr>
        <w:t xml:space="preserve"> to show that such costs are justified</w:t>
      </w:r>
      <w:r w:rsidR="00402E7D">
        <w:rPr>
          <w:color w:val="000000"/>
          <w:szCs w:val="24"/>
        </w:rPr>
        <w:t>.</w:t>
      </w:r>
      <w:r w:rsidR="007F658F">
        <w:rPr>
          <w:color w:val="000000"/>
          <w:szCs w:val="24"/>
        </w:rPr>
        <w:t xml:space="preserve"> </w:t>
      </w:r>
      <w:r w:rsidR="00AB3474">
        <w:rPr>
          <w:color w:val="000000"/>
          <w:szCs w:val="24"/>
        </w:rPr>
        <w:t xml:space="preserve"> </w:t>
      </w:r>
    </w:p>
    <w:p w14:paraId="43333890" w14:textId="1D6123A9" w:rsidR="00D53BEF" w:rsidRDefault="003730EA" w:rsidP="003730EA">
      <w:pPr>
        <w:pStyle w:val="JudgmentNumbered"/>
        <w:numPr>
          <w:ilvl w:val="0"/>
          <w:numId w:val="0"/>
        </w:numPr>
      </w:pPr>
      <w:r>
        <w:t>[</w:t>
      </w:r>
      <w:r w:rsidR="00515A1C">
        <w:t>2</w:t>
      </w:r>
      <w:r w:rsidR="0067083D">
        <w:t>2</w:t>
      </w:r>
      <w:r>
        <w:t>]</w:t>
      </w:r>
      <w:r>
        <w:tab/>
      </w:r>
      <w:r w:rsidR="00D53BEF">
        <w:t>Consequently</w:t>
      </w:r>
      <w:r w:rsidR="0067083D">
        <w:t>,</w:t>
      </w:r>
      <w:r w:rsidR="00D53BEF">
        <w:t xml:space="preserve"> I grant an order as follows:</w:t>
      </w:r>
    </w:p>
    <w:p w14:paraId="24065CC2" w14:textId="231FEB9E" w:rsidR="00A83A79" w:rsidRPr="00115102" w:rsidRDefault="002B448C" w:rsidP="009110B3">
      <w:pPr>
        <w:pStyle w:val="JudgmentNumbered"/>
        <w:numPr>
          <w:ilvl w:val="0"/>
          <w:numId w:val="0"/>
        </w:numPr>
        <w:ind w:left="567"/>
        <w:rPr>
          <w:b/>
          <w:bCs/>
        </w:rPr>
      </w:pPr>
      <w:r w:rsidRPr="00115102">
        <w:rPr>
          <w:b/>
          <w:bCs/>
        </w:rPr>
        <w:t>Order</w:t>
      </w:r>
      <w:r w:rsidR="00515A1C" w:rsidRPr="00115102">
        <w:rPr>
          <w:b/>
          <w:bCs/>
        </w:rPr>
        <w:t>:</w:t>
      </w:r>
    </w:p>
    <w:p w14:paraId="5C4F35E8" w14:textId="7CAC2148" w:rsidR="00CE2A03" w:rsidRDefault="00CE2A03" w:rsidP="00CE2A03">
      <w:pPr>
        <w:pStyle w:val="JudgmentNumbered"/>
        <w:numPr>
          <w:ilvl w:val="0"/>
          <w:numId w:val="0"/>
        </w:numPr>
        <w:ind w:left="720"/>
      </w:pPr>
      <w:r>
        <w:t>The application is dismissed with costs</w:t>
      </w:r>
      <w:r w:rsidR="00282D29">
        <w:t xml:space="preserve"> on attorney and client scale</w:t>
      </w:r>
      <w:r>
        <w:t xml:space="preserve">. </w:t>
      </w:r>
    </w:p>
    <w:p w14:paraId="14CB1F2E" w14:textId="53C35AFC" w:rsidR="00FB1F02" w:rsidRDefault="00FB1F02" w:rsidP="0036354A">
      <w:pPr>
        <w:pStyle w:val="JudgmentNumbered"/>
        <w:numPr>
          <w:ilvl w:val="0"/>
          <w:numId w:val="0"/>
        </w:numPr>
        <w:ind w:left="720"/>
      </w:pPr>
    </w:p>
    <w:p w14:paraId="23214B0E"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4F4923FD" w14:textId="2F3BFF10" w:rsidR="002B448C" w:rsidRDefault="0084479B" w:rsidP="00EB01DA">
      <w:pPr>
        <w:pStyle w:val="JudgmentNumbered"/>
        <w:numPr>
          <w:ilvl w:val="0"/>
          <w:numId w:val="0"/>
        </w:numPr>
        <w:spacing w:after="0"/>
        <w:ind w:left="567" w:hanging="567"/>
        <w:jc w:val="right"/>
        <w:rPr>
          <w:b/>
        </w:rPr>
      </w:pPr>
      <w:r>
        <w:rPr>
          <w:b/>
        </w:rPr>
        <w:t>S MIA</w:t>
      </w:r>
    </w:p>
    <w:p w14:paraId="43F67AD3"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61D2C94A" w14:textId="77777777" w:rsidR="00EB01DA" w:rsidRDefault="002B448C" w:rsidP="00EB01DA">
      <w:pPr>
        <w:pStyle w:val="JudgmentNumbered"/>
        <w:numPr>
          <w:ilvl w:val="0"/>
          <w:numId w:val="0"/>
        </w:numPr>
        <w:spacing w:after="0"/>
        <w:ind w:left="567" w:hanging="567"/>
        <w:jc w:val="right"/>
        <w:rPr>
          <w:b/>
        </w:rPr>
        <w:sectPr w:rsidR="00EB01DA">
          <w:headerReference w:type="default" r:id="rId10"/>
          <w:footerReference w:type="default" r:id="rId11"/>
          <w:pgSz w:w="11906" w:h="16838"/>
          <w:pgMar w:top="1440" w:right="1440" w:bottom="1440" w:left="1440" w:header="708" w:footer="708" w:gutter="0"/>
          <w:cols w:space="708"/>
          <w:docGrid w:linePitch="360"/>
        </w:sectPr>
      </w:pPr>
      <w:r>
        <w:rPr>
          <w:b/>
        </w:rPr>
        <w:t>JOHANNESBURG</w:t>
      </w:r>
    </w:p>
    <w:p w14:paraId="6E811783" w14:textId="77777777" w:rsidR="00EB01DA" w:rsidRDefault="00EB01DA" w:rsidP="00EB01DA">
      <w:pPr>
        <w:pStyle w:val="JudgmentNumbered"/>
        <w:numPr>
          <w:ilvl w:val="0"/>
          <w:numId w:val="0"/>
        </w:numPr>
        <w:spacing w:after="0"/>
        <w:ind w:left="567" w:hanging="567"/>
        <w:jc w:val="right"/>
        <w:rPr>
          <w:b/>
        </w:rPr>
        <w:sectPr w:rsidR="00EB01DA" w:rsidSect="00EB01DA">
          <w:type w:val="continuous"/>
          <w:pgSz w:w="11906" w:h="16838"/>
          <w:pgMar w:top="1440" w:right="1440" w:bottom="1440" w:left="1440" w:header="708" w:footer="708" w:gutter="0"/>
          <w:cols w:space="708"/>
          <w:docGrid w:linePitch="360"/>
        </w:sectPr>
      </w:pPr>
    </w:p>
    <w:p w14:paraId="2FE8D45A" w14:textId="77777777" w:rsidR="00A870E5" w:rsidRPr="003673B7" w:rsidRDefault="00A870E5" w:rsidP="00A870E5">
      <w:pPr>
        <w:spacing w:after="0" w:line="240" w:lineRule="auto"/>
        <w:ind w:left="0"/>
        <w:rPr>
          <w:rFonts w:eastAsia="Times New Roman" w:cs="Arial"/>
          <w:szCs w:val="24"/>
          <w:lang w:val="en-ZA"/>
        </w:rPr>
      </w:pPr>
      <w:r w:rsidRPr="003673B7">
        <w:rPr>
          <w:rFonts w:eastAsia="Times New Roman" w:cs="Arial"/>
          <w:szCs w:val="24"/>
          <w:lang w:val="en-ZA"/>
        </w:rPr>
        <w:lastRenderedPageBreak/>
        <w:t>For the Applicant:</w:t>
      </w:r>
    </w:p>
    <w:p w14:paraId="12275A50" w14:textId="77777777" w:rsidR="00A870E5" w:rsidRPr="003673B7" w:rsidRDefault="00A870E5" w:rsidP="00A870E5">
      <w:pPr>
        <w:spacing w:after="0" w:line="240" w:lineRule="auto"/>
        <w:ind w:left="0"/>
        <w:rPr>
          <w:rFonts w:eastAsia="Times New Roman" w:cs="Arial"/>
          <w:szCs w:val="24"/>
          <w:lang w:val="en-ZA"/>
        </w:rPr>
      </w:pPr>
    </w:p>
    <w:p w14:paraId="0AC06BD5" w14:textId="77777777" w:rsidR="00A870E5" w:rsidRPr="003673B7" w:rsidRDefault="00A870E5" w:rsidP="00A870E5">
      <w:pPr>
        <w:spacing w:after="0" w:line="240" w:lineRule="auto"/>
        <w:ind w:left="0"/>
        <w:rPr>
          <w:rFonts w:eastAsia="Times New Roman" w:cs="Arial"/>
          <w:szCs w:val="24"/>
          <w:lang w:val="en-ZA"/>
        </w:rPr>
      </w:pPr>
    </w:p>
    <w:p w14:paraId="12F589C5" w14:textId="77777777" w:rsidR="00A870E5" w:rsidRPr="003673B7" w:rsidRDefault="00A870E5" w:rsidP="00A870E5">
      <w:pPr>
        <w:spacing w:after="0" w:line="240" w:lineRule="auto"/>
        <w:ind w:left="0"/>
        <w:rPr>
          <w:rFonts w:eastAsia="Times New Roman" w:cs="Arial"/>
          <w:szCs w:val="24"/>
          <w:lang w:val="en-ZA"/>
        </w:rPr>
      </w:pPr>
      <w:r w:rsidRPr="003673B7">
        <w:rPr>
          <w:rFonts w:eastAsia="Times New Roman" w:cs="Arial"/>
          <w:szCs w:val="24"/>
          <w:lang w:val="en-ZA"/>
        </w:rPr>
        <w:t>For the Respondent:</w:t>
      </w:r>
    </w:p>
    <w:p w14:paraId="70B317AA" w14:textId="77777777" w:rsidR="00A870E5" w:rsidRDefault="00A870E5" w:rsidP="00A870E5">
      <w:pPr>
        <w:spacing w:after="0" w:line="240" w:lineRule="auto"/>
        <w:ind w:left="0"/>
        <w:rPr>
          <w:rFonts w:eastAsia="Times New Roman" w:cs="Arial"/>
          <w:szCs w:val="24"/>
          <w:lang w:val="en-ZA"/>
        </w:rPr>
      </w:pPr>
      <w:r w:rsidRPr="003673B7">
        <w:rPr>
          <w:rFonts w:eastAsia="Times New Roman" w:cs="Arial"/>
          <w:szCs w:val="24"/>
          <w:lang w:val="en-ZA"/>
        </w:rPr>
        <w:br w:type="column"/>
      </w:r>
      <w:r>
        <w:rPr>
          <w:rFonts w:eastAsia="Times New Roman" w:cs="Arial"/>
          <w:szCs w:val="24"/>
          <w:lang w:val="en-ZA"/>
        </w:rPr>
        <w:lastRenderedPageBreak/>
        <w:t xml:space="preserve">Adv. </w:t>
      </w:r>
      <w:r>
        <w:t>J M Hoffman</w:t>
      </w:r>
      <w:r w:rsidRPr="003673B7">
        <w:rPr>
          <w:rFonts w:eastAsia="Times New Roman" w:cs="Arial"/>
          <w:szCs w:val="24"/>
          <w:lang w:val="en-ZA"/>
        </w:rPr>
        <w:t xml:space="preserve"> </w:t>
      </w:r>
    </w:p>
    <w:p w14:paraId="219FD171" w14:textId="77777777" w:rsidR="00A870E5" w:rsidRPr="003673B7" w:rsidRDefault="00A870E5" w:rsidP="00A870E5">
      <w:pPr>
        <w:spacing w:after="0" w:line="240" w:lineRule="auto"/>
        <w:ind w:left="0"/>
        <w:rPr>
          <w:rFonts w:eastAsia="Times New Roman" w:cs="Arial"/>
          <w:szCs w:val="24"/>
          <w:lang w:val="en-ZA"/>
        </w:rPr>
      </w:pPr>
      <w:r w:rsidRPr="003673B7">
        <w:rPr>
          <w:rFonts w:eastAsia="Times New Roman" w:cs="Arial"/>
          <w:szCs w:val="24"/>
          <w:lang w:val="en-ZA"/>
        </w:rPr>
        <w:t xml:space="preserve">instructed by </w:t>
      </w:r>
      <w:r>
        <w:rPr>
          <w:rFonts w:eastAsia="Times New Roman" w:cs="Arial"/>
          <w:szCs w:val="24"/>
          <w:lang w:val="en-ZA"/>
        </w:rPr>
        <w:t>SWVG Inc</w:t>
      </w:r>
    </w:p>
    <w:p w14:paraId="0B32991F" w14:textId="77777777" w:rsidR="00A870E5" w:rsidRPr="003673B7" w:rsidRDefault="00A870E5" w:rsidP="00A870E5">
      <w:pPr>
        <w:spacing w:after="0" w:line="240" w:lineRule="auto"/>
        <w:ind w:left="0"/>
        <w:rPr>
          <w:rFonts w:eastAsia="Times New Roman" w:cs="Arial"/>
          <w:szCs w:val="24"/>
          <w:lang w:val="en-ZA"/>
        </w:rPr>
      </w:pPr>
    </w:p>
    <w:p w14:paraId="2F28EF2A" w14:textId="77777777" w:rsidR="00A870E5" w:rsidRDefault="00A870E5" w:rsidP="00A870E5">
      <w:pPr>
        <w:spacing w:after="0" w:line="240" w:lineRule="auto"/>
        <w:ind w:left="0"/>
        <w:rPr>
          <w:rFonts w:eastAsia="Times New Roman" w:cs="Arial"/>
          <w:szCs w:val="24"/>
          <w:lang w:val="en-ZA"/>
        </w:rPr>
      </w:pPr>
      <w:r>
        <w:t>Adv. S. Mathiba</w:t>
      </w:r>
      <w:r w:rsidRPr="003673B7">
        <w:rPr>
          <w:rFonts w:eastAsia="Times New Roman" w:cs="Arial"/>
          <w:szCs w:val="24"/>
          <w:lang w:val="en-ZA"/>
        </w:rPr>
        <w:t xml:space="preserve"> </w:t>
      </w:r>
    </w:p>
    <w:p w14:paraId="506BDAE0" w14:textId="77777777" w:rsidR="00A870E5" w:rsidRDefault="00A870E5" w:rsidP="00A870E5">
      <w:pPr>
        <w:spacing w:after="0" w:line="240" w:lineRule="auto"/>
        <w:ind w:left="0"/>
        <w:rPr>
          <w:rFonts w:eastAsia="Times New Roman" w:cs="Arial"/>
          <w:szCs w:val="24"/>
          <w:lang w:val="en-ZA"/>
        </w:rPr>
      </w:pPr>
      <w:r w:rsidRPr="003673B7">
        <w:rPr>
          <w:rFonts w:eastAsia="Times New Roman" w:cs="Arial"/>
          <w:szCs w:val="24"/>
          <w:lang w:val="en-ZA"/>
        </w:rPr>
        <w:t xml:space="preserve">instructed by </w:t>
      </w:r>
      <w:r>
        <w:rPr>
          <w:rFonts w:eastAsia="Times New Roman" w:cs="Arial"/>
          <w:szCs w:val="24"/>
          <w:lang w:val="en-ZA"/>
        </w:rPr>
        <w:t>Preshnee Govender Attorneys</w:t>
      </w:r>
    </w:p>
    <w:p w14:paraId="54B89B31" w14:textId="77777777" w:rsidR="00A870E5" w:rsidRDefault="00A870E5" w:rsidP="00A870E5">
      <w:pPr>
        <w:pStyle w:val="JudgmentNumbered"/>
        <w:numPr>
          <w:ilvl w:val="0"/>
          <w:numId w:val="0"/>
        </w:numPr>
        <w:ind w:left="567" w:hanging="567"/>
        <w:rPr>
          <w:lang w:val="en-ZA"/>
        </w:rPr>
      </w:pPr>
    </w:p>
    <w:p w14:paraId="49267C25" w14:textId="14F025DD" w:rsidR="00A870E5" w:rsidRDefault="00A870E5" w:rsidP="00A870E5">
      <w:pPr>
        <w:pStyle w:val="JudgmentNumbered"/>
        <w:numPr>
          <w:ilvl w:val="0"/>
          <w:numId w:val="0"/>
        </w:numPr>
        <w:ind w:left="567" w:hanging="567"/>
        <w:rPr>
          <w:lang w:val="en-ZA"/>
        </w:rPr>
      </w:pPr>
      <w:r>
        <w:rPr>
          <w:lang w:val="en-ZA"/>
        </w:rPr>
        <w:t>Heard:</w:t>
      </w:r>
      <w:r w:rsidR="00B45CDF">
        <w:rPr>
          <w:lang w:val="en-ZA"/>
        </w:rPr>
        <w:t xml:space="preserve"> 31 January 2023</w:t>
      </w:r>
    </w:p>
    <w:p w14:paraId="64756D02" w14:textId="2A9454E4" w:rsidR="00A870E5" w:rsidRPr="00F22AB7" w:rsidRDefault="00A870E5" w:rsidP="00A870E5">
      <w:pPr>
        <w:pStyle w:val="JudgmentNumbered"/>
        <w:numPr>
          <w:ilvl w:val="0"/>
          <w:numId w:val="0"/>
        </w:numPr>
        <w:ind w:left="567" w:hanging="567"/>
        <w:rPr>
          <w:lang w:val="en-ZA"/>
        </w:rPr>
      </w:pPr>
      <w:r>
        <w:rPr>
          <w:lang w:val="en-ZA"/>
        </w:rPr>
        <w:t xml:space="preserve">Delivered: </w:t>
      </w:r>
      <w:r w:rsidR="00B45CDF">
        <w:rPr>
          <w:lang w:val="en-ZA"/>
        </w:rPr>
        <w:t xml:space="preserve"> </w:t>
      </w:r>
      <w:r w:rsidR="00DF79B8">
        <w:rPr>
          <w:lang w:val="en-ZA"/>
        </w:rPr>
        <w:t xml:space="preserve">4 </w:t>
      </w:r>
      <w:r w:rsidR="00B45CDF">
        <w:rPr>
          <w:lang w:val="en-ZA"/>
        </w:rPr>
        <w:t>July 2023</w:t>
      </w:r>
    </w:p>
    <w:sectPr w:rsidR="00A870E5" w:rsidRPr="00F22AB7" w:rsidSect="009559B5">
      <w:headerReference w:type="default" r:id="rId12"/>
      <w:footerReference w:type="default" r:id="rId13"/>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B4602" w14:textId="77777777" w:rsidR="00740BA8" w:rsidRDefault="00740BA8" w:rsidP="00197F8C">
      <w:pPr>
        <w:spacing w:after="0" w:line="240" w:lineRule="auto"/>
      </w:pPr>
      <w:r>
        <w:separator/>
      </w:r>
    </w:p>
  </w:endnote>
  <w:endnote w:type="continuationSeparator" w:id="0">
    <w:p w14:paraId="607D5279" w14:textId="77777777" w:rsidR="00740BA8" w:rsidRDefault="00740BA8" w:rsidP="0019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908702"/>
      <w:docPartObj>
        <w:docPartGallery w:val="Page Numbers (Bottom of Page)"/>
        <w:docPartUnique/>
      </w:docPartObj>
    </w:sdtPr>
    <w:sdtEndPr>
      <w:rPr>
        <w:noProof/>
      </w:rPr>
    </w:sdtEndPr>
    <w:sdtContent>
      <w:p w14:paraId="7A8EC38D" w14:textId="00FBBE8B" w:rsidR="00372E56" w:rsidRDefault="00372E56">
        <w:pPr>
          <w:pStyle w:val="Footer"/>
          <w:jc w:val="right"/>
        </w:pPr>
        <w:r>
          <w:fldChar w:fldCharType="begin"/>
        </w:r>
        <w:r>
          <w:instrText xml:space="preserve"> PAGE   \* MERGEFORMAT </w:instrText>
        </w:r>
        <w:r>
          <w:fldChar w:fldCharType="separate"/>
        </w:r>
        <w:r w:rsidR="00F77F09">
          <w:rPr>
            <w:noProof/>
          </w:rPr>
          <w:t>2</w:t>
        </w:r>
        <w:r>
          <w:rPr>
            <w:noProof/>
          </w:rPr>
          <w:fldChar w:fldCharType="end"/>
        </w:r>
      </w:p>
    </w:sdtContent>
  </w:sdt>
  <w:p w14:paraId="3E0731B2" w14:textId="77777777" w:rsidR="00372E56" w:rsidRDefault="00372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097702"/>
      <w:docPartObj>
        <w:docPartGallery w:val="Page Numbers (Bottom of Page)"/>
        <w:docPartUnique/>
      </w:docPartObj>
    </w:sdtPr>
    <w:sdtEndPr>
      <w:rPr>
        <w:noProof/>
      </w:rPr>
    </w:sdtEndPr>
    <w:sdtContent>
      <w:p w14:paraId="1F2EB0A1" w14:textId="53EA7C6D" w:rsidR="00B72F42" w:rsidRDefault="00B72F42">
        <w:pPr>
          <w:pStyle w:val="Footer"/>
          <w:jc w:val="right"/>
        </w:pPr>
        <w:r>
          <w:fldChar w:fldCharType="begin"/>
        </w:r>
        <w:r>
          <w:instrText xml:space="preserve"> PAGE   \* MERGEFORMAT </w:instrText>
        </w:r>
        <w:r>
          <w:fldChar w:fldCharType="separate"/>
        </w:r>
        <w:r w:rsidR="00F77F09">
          <w:rPr>
            <w:noProof/>
          </w:rPr>
          <w:t>1</w:t>
        </w:r>
        <w:r>
          <w:rPr>
            <w:noProof/>
          </w:rPr>
          <w:fldChar w:fldCharType="end"/>
        </w:r>
        <w:r>
          <w:rPr>
            <w:noProof/>
          </w:rPr>
          <w:t>1</w:t>
        </w:r>
      </w:p>
    </w:sdtContent>
  </w:sdt>
  <w:p w14:paraId="5D3AE621" w14:textId="77777777" w:rsidR="00B72F42" w:rsidRDefault="00B72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8C552" w14:textId="77777777" w:rsidR="00740BA8" w:rsidRDefault="00740BA8" w:rsidP="00197F8C">
      <w:pPr>
        <w:spacing w:after="0" w:line="240" w:lineRule="auto"/>
      </w:pPr>
      <w:r>
        <w:separator/>
      </w:r>
    </w:p>
  </w:footnote>
  <w:footnote w:type="continuationSeparator" w:id="0">
    <w:p w14:paraId="6E94437A" w14:textId="77777777" w:rsidR="00740BA8" w:rsidRDefault="00740BA8" w:rsidP="00197F8C">
      <w:pPr>
        <w:spacing w:after="0" w:line="240" w:lineRule="auto"/>
      </w:pPr>
      <w:r>
        <w:continuationSeparator/>
      </w:r>
    </w:p>
  </w:footnote>
  <w:footnote w:id="1">
    <w:p w14:paraId="15151B62" w14:textId="77777777" w:rsidR="00837396" w:rsidRPr="00197F8C" w:rsidRDefault="00837396" w:rsidP="00837396">
      <w:pPr>
        <w:pStyle w:val="FootnoteText"/>
        <w:rPr>
          <w:lang w:val="en-ZA"/>
        </w:rPr>
      </w:pPr>
      <w:r>
        <w:rPr>
          <w:rStyle w:val="FootnoteReference"/>
        </w:rPr>
        <w:footnoteRef/>
      </w:r>
      <w:r>
        <w:t xml:space="preserve"> </w:t>
      </w:r>
      <w:r w:rsidRPr="00E621F1">
        <w:rPr>
          <w:i/>
          <w:iCs/>
        </w:rPr>
        <w:t xml:space="preserve">Paulsen and </w:t>
      </w:r>
      <w:r>
        <w:rPr>
          <w:i/>
          <w:iCs/>
        </w:rPr>
        <w:t>A</w:t>
      </w:r>
      <w:r w:rsidRPr="00E621F1">
        <w:rPr>
          <w:i/>
          <w:iCs/>
        </w:rPr>
        <w:t>nother v Slip</w:t>
      </w:r>
      <w:r>
        <w:rPr>
          <w:i/>
          <w:iCs/>
        </w:rPr>
        <w:t xml:space="preserve"> K</w:t>
      </w:r>
      <w:r w:rsidRPr="00E621F1">
        <w:rPr>
          <w:i/>
          <w:iCs/>
        </w:rPr>
        <w:t>not Investments 777(Pty) Ltd</w:t>
      </w:r>
      <w:r>
        <w:t xml:space="preserve"> 2015 (3) SA 479 (CC)</w:t>
      </w:r>
    </w:p>
  </w:footnote>
  <w:footnote w:id="2">
    <w:p w14:paraId="43B36052" w14:textId="77777777" w:rsidR="00E83707" w:rsidRPr="00197F8C" w:rsidRDefault="00E83707" w:rsidP="00E83707">
      <w:pPr>
        <w:pStyle w:val="FootnoteText"/>
        <w:rPr>
          <w:lang w:val="en-ZA"/>
        </w:rPr>
      </w:pPr>
      <w:r>
        <w:rPr>
          <w:rStyle w:val="FootnoteReference"/>
        </w:rPr>
        <w:footnoteRef/>
      </w:r>
      <w:r>
        <w:t xml:space="preserve"> </w:t>
      </w:r>
      <w:r w:rsidRPr="00E621F1">
        <w:rPr>
          <w:i/>
          <w:iCs/>
        </w:rPr>
        <w:t xml:space="preserve">Paulsen and </w:t>
      </w:r>
      <w:r>
        <w:rPr>
          <w:i/>
          <w:iCs/>
        </w:rPr>
        <w:t>A</w:t>
      </w:r>
      <w:r w:rsidRPr="00E621F1">
        <w:rPr>
          <w:i/>
          <w:iCs/>
        </w:rPr>
        <w:t>nother v Slip</w:t>
      </w:r>
      <w:r>
        <w:rPr>
          <w:i/>
          <w:iCs/>
        </w:rPr>
        <w:t xml:space="preserve"> K</w:t>
      </w:r>
      <w:r w:rsidRPr="00E621F1">
        <w:rPr>
          <w:i/>
          <w:iCs/>
        </w:rPr>
        <w:t>not Investments 777(Pty) Ltd</w:t>
      </w:r>
      <w:r>
        <w:t xml:space="preserve"> 2015 (3) SA 479 (CC)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205078"/>
      <w:docPartObj>
        <w:docPartGallery w:val="Page Numbers (Top of Page)"/>
        <w:docPartUnique/>
      </w:docPartObj>
    </w:sdtPr>
    <w:sdtEndPr>
      <w:rPr>
        <w:noProof/>
      </w:rPr>
    </w:sdtEndPr>
    <w:sdtContent>
      <w:p w14:paraId="129D28F9" w14:textId="69DA1C5F" w:rsidR="00282D29" w:rsidRDefault="00282D29">
        <w:pPr>
          <w:pStyle w:val="Header"/>
          <w:jc w:val="right"/>
        </w:pPr>
        <w:r>
          <w:fldChar w:fldCharType="begin"/>
        </w:r>
        <w:r>
          <w:instrText xml:space="preserve"> PAGE   \* MERGEFORMAT </w:instrText>
        </w:r>
        <w:r>
          <w:fldChar w:fldCharType="separate"/>
        </w:r>
        <w:r w:rsidR="00F77F09">
          <w:rPr>
            <w:noProof/>
          </w:rPr>
          <w:t>2</w:t>
        </w:r>
        <w:r>
          <w:rPr>
            <w:noProof/>
          </w:rPr>
          <w:fldChar w:fldCharType="end"/>
        </w:r>
      </w:p>
    </w:sdtContent>
  </w:sdt>
  <w:p w14:paraId="3CE6C8B2" w14:textId="77777777" w:rsidR="00282D29" w:rsidRDefault="00282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986949"/>
      <w:docPartObj>
        <w:docPartGallery w:val="Page Numbers (Top of Page)"/>
        <w:docPartUnique/>
      </w:docPartObj>
    </w:sdtPr>
    <w:sdtEndPr>
      <w:rPr>
        <w:noProof/>
      </w:rPr>
    </w:sdtEndPr>
    <w:sdtContent>
      <w:p w14:paraId="236B140E" w14:textId="49E88851" w:rsidR="00B72F42" w:rsidRDefault="00B72F42">
        <w:pPr>
          <w:pStyle w:val="Header"/>
          <w:jc w:val="right"/>
        </w:pPr>
        <w:r>
          <w:fldChar w:fldCharType="begin"/>
        </w:r>
        <w:r>
          <w:instrText xml:space="preserve"> PAGE   \* MERGEFORMAT </w:instrText>
        </w:r>
        <w:r>
          <w:fldChar w:fldCharType="separate"/>
        </w:r>
        <w:r w:rsidR="00F77F09">
          <w:rPr>
            <w:noProof/>
          </w:rPr>
          <w:t>1</w:t>
        </w:r>
        <w:r>
          <w:rPr>
            <w:noProof/>
          </w:rPr>
          <w:fldChar w:fldCharType="end"/>
        </w:r>
        <w:r>
          <w:rPr>
            <w:noProof/>
          </w:rPr>
          <w:t>1</w:t>
        </w:r>
      </w:p>
    </w:sdtContent>
  </w:sdt>
  <w:p w14:paraId="5DED264A" w14:textId="77777777" w:rsidR="00B72F42" w:rsidRDefault="00B72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45473B"/>
    <w:multiLevelType w:val="multilevel"/>
    <w:tmpl w:val="E1063752"/>
    <w:lvl w:ilvl="0">
      <w:start w:val="1"/>
      <w:numFmt w:val="decimal"/>
      <w:pStyle w:val="JudgmentNumbered"/>
      <w:lvlText w:val="[%1]"/>
      <w:lvlJc w:val="left"/>
      <w:pPr>
        <w:ind w:left="850" w:hanging="567"/>
      </w:pPr>
      <w:rPr>
        <w:rFonts w:hint="default"/>
        <w:i w:val="0"/>
        <w:iCs w:val="0"/>
        <w:sz w:val="24"/>
        <w:szCs w:val="24"/>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7F8028B4"/>
    <w:multiLevelType w:val="hybridMultilevel"/>
    <w:tmpl w:val="63041EA4"/>
    <w:lvl w:ilvl="0" w:tplc="1C090019">
      <w:start w:val="1"/>
      <w:numFmt w:val="lowerLetter"/>
      <w:lvlText w:val="%1."/>
      <w:lvlJc w:val="left"/>
      <w:pPr>
        <w:ind w:left="1080" w:hanging="360"/>
      </w:pPr>
      <w:rPr>
        <w:rFonts w:hint="default"/>
        <w:i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E5"/>
    <w:rsid w:val="00004D48"/>
    <w:rsid w:val="00012461"/>
    <w:rsid w:val="000178A7"/>
    <w:rsid w:val="00017F3A"/>
    <w:rsid w:val="00020325"/>
    <w:rsid w:val="000279B4"/>
    <w:rsid w:val="00031400"/>
    <w:rsid w:val="00032BB5"/>
    <w:rsid w:val="00034130"/>
    <w:rsid w:val="0003426B"/>
    <w:rsid w:val="0003686E"/>
    <w:rsid w:val="000447C7"/>
    <w:rsid w:val="00047897"/>
    <w:rsid w:val="00050E99"/>
    <w:rsid w:val="0005124A"/>
    <w:rsid w:val="00055EA7"/>
    <w:rsid w:val="00062069"/>
    <w:rsid w:val="0006632C"/>
    <w:rsid w:val="00077794"/>
    <w:rsid w:val="00077D90"/>
    <w:rsid w:val="000810AD"/>
    <w:rsid w:val="000A04F5"/>
    <w:rsid w:val="000A4099"/>
    <w:rsid w:val="000A5392"/>
    <w:rsid w:val="000A6BCA"/>
    <w:rsid w:val="000B75F9"/>
    <w:rsid w:val="000C085A"/>
    <w:rsid w:val="000C1AB7"/>
    <w:rsid w:val="000C1C42"/>
    <w:rsid w:val="000D1753"/>
    <w:rsid w:val="000E0BD3"/>
    <w:rsid w:val="001012DD"/>
    <w:rsid w:val="00101AC5"/>
    <w:rsid w:val="00104189"/>
    <w:rsid w:val="0010491A"/>
    <w:rsid w:val="00115102"/>
    <w:rsid w:val="001156C9"/>
    <w:rsid w:val="00120537"/>
    <w:rsid w:val="001264BB"/>
    <w:rsid w:val="00130C1C"/>
    <w:rsid w:val="00133F55"/>
    <w:rsid w:val="00136148"/>
    <w:rsid w:val="0014664E"/>
    <w:rsid w:val="001528A8"/>
    <w:rsid w:val="00156746"/>
    <w:rsid w:val="00156F43"/>
    <w:rsid w:val="00163905"/>
    <w:rsid w:val="0017184F"/>
    <w:rsid w:val="00172B82"/>
    <w:rsid w:val="00182B41"/>
    <w:rsid w:val="001832AC"/>
    <w:rsid w:val="00183AA2"/>
    <w:rsid w:val="001949A5"/>
    <w:rsid w:val="0019531F"/>
    <w:rsid w:val="0019547D"/>
    <w:rsid w:val="00197424"/>
    <w:rsid w:val="00197F8C"/>
    <w:rsid w:val="001B2313"/>
    <w:rsid w:val="001B43BB"/>
    <w:rsid w:val="001C059B"/>
    <w:rsid w:val="001C1517"/>
    <w:rsid w:val="001C1700"/>
    <w:rsid w:val="001C23F7"/>
    <w:rsid w:val="001C3576"/>
    <w:rsid w:val="001C5042"/>
    <w:rsid w:val="001C6663"/>
    <w:rsid w:val="001D03CA"/>
    <w:rsid w:val="001D1BFE"/>
    <w:rsid w:val="001D3E07"/>
    <w:rsid w:val="001E1E8A"/>
    <w:rsid w:val="001E21E7"/>
    <w:rsid w:val="001E282B"/>
    <w:rsid w:val="001E4BA1"/>
    <w:rsid w:val="001E69B1"/>
    <w:rsid w:val="001F05D0"/>
    <w:rsid w:val="001F4D43"/>
    <w:rsid w:val="002044E7"/>
    <w:rsid w:val="00210168"/>
    <w:rsid w:val="00223B0F"/>
    <w:rsid w:val="00227CC9"/>
    <w:rsid w:val="00232751"/>
    <w:rsid w:val="00233833"/>
    <w:rsid w:val="00244F34"/>
    <w:rsid w:val="00250FEA"/>
    <w:rsid w:val="00255E4E"/>
    <w:rsid w:val="002573B0"/>
    <w:rsid w:val="00261282"/>
    <w:rsid w:val="002636A3"/>
    <w:rsid w:val="002653AB"/>
    <w:rsid w:val="00273ABB"/>
    <w:rsid w:val="00274BBE"/>
    <w:rsid w:val="00277423"/>
    <w:rsid w:val="00280AEB"/>
    <w:rsid w:val="00282D29"/>
    <w:rsid w:val="002865B2"/>
    <w:rsid w:val="00287BD8"/>
    <w:rsid w:val="002914A6"/>
    <w:rsid w:val="00292FA1"/>
    <w:rsid w:val="002B2C5B"/>
    <w:rsid w:val="002B448C"/>
    <w:rsid w:val="002B465B"/>
    <w:rsid w:val="002B62B6"/>
    <w:rsid w:val="002B63C2"/>
    <w:rsid w:val="002C6552"/>
    <w:rsid w:val="002D0C9C"/>
    <w:rsid w:val="002D43B5"/>
    <w:rsid w:val="002D712D"/>
    <w:rsid w:val="002F2926"/>
    <w:rsid w:val="002F3799"/>
    <w:rsid w:val="00305A54"/>
    <w:rsid w:val="00316A5F"/>
    <w:rsid w:val="00327606"/>
    <w:rsid w:val="00335F19"/>
    <w:rsid w:val="00342D74"/>
    <w:rsid w:val="0034339C"/>
    <w:rsid w:val="00344863"/>
    <w:rsid w:val="003521A2"/>
    <w:rsid w:val="003533DC"/>
    <w:rsid w:val="0036354A"/>
    <w:rsid w:val="003673B7"/>
    <w:rsid w:val="0037235B"/>
    <w:rsid w:val="00372E56"/>
    <w:rsid w:val="003730EA"/>
    <w:rsid w:val="00375682"/>
    <w:rsid w:val="00377456"/>
    <w:rsid w:val="00391DDB"/>
    <w:rsid w:val="00395034"/>
    <w:rsid w:val="00397721"/>
    <w:rsid w:val="003A2005"/>
    <w:rsid w:val="003A4D05"/>
    <w:rsid w:val="003A50C4"/>
    <w:rsid w:val="003B017A"/>
    <w:rsid w:val="003B0BEA"/>
    <w:rsid w:val="003B3B7D"/>
    <w:rsid w:val="003B73FD"/>
    <w:rsid w:val="003B7855"/>
    <w:rsid w:val="003C5434"/>
    <w:rsid w:val="003C58DF"/>
    <w:rsid w:val="003C5A77"/>
    <w:rsid w:val="003D09D9"/>
    <w:rsid w:val="003D1DCF"/>
    <w:rsid w:val="003D2024"/>
    <w:rsid w:val="003D7340"/>
    <w:rsid w:val="003D7E56"/>
    <w:rsid w:val="003E0FB7"/>
    <w:rsid w:val="003F063C"/>
    <w:rsid w:val="003F6C2B"/>
    <w:rsid w:val="003F6DEB"/>
    <w:rsid w:val="004007DF"/>
    <w:rsid w:val="0040243C"/>
    <w:rsid w:val="00402E7D"/>
    <w:rsid w:val="004058D9"/>
    <w:rsid w:val="00412AAC"/>
    <w:rsid w:val="004167B7"/>
    <w:rsid w:val="004171FA"/>
    <w:rsid w:val="004236FD"/>
    <w:rsid w:val="0043138D"/>
    <w:rsid w:val="00432271"/>
    <w:rsid w:val="00440A44"/>
    <w:rsid w:val="00453ECC"/>
    <w:rsid w:val="00463363"/>
    <w:rsid w:val="00466E6C"/>
    <w:rsid w:val="00470174"/>
    <w:rsid w:val="004720A9"/>
    <w:rsid w:val="00474CF2"/>
    <w:rsid w:val="00495B9C"/>
    <w:rsid w:val="004A0E98"/>
    <w:rsid w:val="004C04A9"/>
    <w:rsid w:val="004C42FD"/>
    <w:rsid w:val="004D40C3"/>
    <w:rsid w:val="004E07BC"/>
    <w:rsid w:val="004E24B8"/>
    <w:rsid w:val="004E3E46"/>
    <w:rsid w:val="004F7473"/>
    <w:rsid w:val="00500A0D"/>
    <w:rsid w:val="00500A0F"/>
    <w:rsid w:val="00500DC1"/>
    <w:rsid w:val="00507C06"/>
    <w:rsid w:val="00515A1C"/>
    <w:rsid w:val="0051696F"/>
    <w:rsid w:val="00520556"/>
    <w:rsid w:val="00520B6F"/>
    <w:rsid w:val="00532B19"/>
    <w:rsid w:val="0053753E"/>
    <w:rsid w:val="00542483"/>
    <w:rsid w:val="00544F8C"/>
    <w:rsid w:val="0054783B"/>
    <w:rsid w:val="00550FCD"/>
    <w:rsid w:val="005535C5"/>
    <w:rsid w:val="00553A72"/>
    <w:rsid w:val="00561546"/>
    <w:rsid w:val="00565AD4"/>
    <w:rsid w:val="00566092"/>
    <w:rsid w:val="00577CE3"/>
    <w:rsid w:val="0058197F"/>
    <w:rsid w:val="00583E3D"/>
    <w:rsid w:val="00585A5A"/>
    <w:rsid w:val="00590168"/>
    <w:rsid w:val="0059630D"/>
    <w:rsid w:val="0059744D"/>
    <w:rsid w:val="005A018F"/>
    <w:rsid w:val="005A154D"/>
    <w:rsid w:val="005A355A"/>
    <w:rsid w:val="005A405F"/>
    <w:rsid w:val="005B559E"/>
    <w:rsid w:val="005C364C"/>
    <w:rsid w:val="005C5587"/>
    <w:rsid w:val="005E66B2"/>
    <w:rsid w:val="005F091C"/>
    <w:rsid w:val="005F2B74"/>
    <w:rsid w:val="005F3427"/>
    <w:rsid w:val="005F431F"/>
    <w:rsid w:val="005F7282"/>
    <w:rsid w:val="005F780D"/>
    <w:rsid w:val="006128AF"/>
    <w:rsid w:val="00613B91"/>
    <w:rsid w:val="0061416E"/>
    <w:rsid w:val="00623E69"/>
    <w:rsid w:val="0062464F"/>
    <w:rsid w:val="00625095"/>
    <w:rsid w:val="006255B1"/>
    <w:rsid w:val="0063095A"/>
    <w:rsid w:val="00633760"/>
    <w:rsid w:val="006363A8"/>
    <w:rsid w:val="00640806"/>
    <w:rsid w:val="00643D21"/>
    <w:rsid w:val="00644391"/>
    <w:rsid w:val="00644B10"/>
    <w:rsid w:val="00645DB5"/>
    <w:rsid w:val="00666F59"/>
    <w:rsid w:val="0066791C"/>
    <w:rsid w:val="0067083D"/>
    <w:rsid w:val="00672515"/>
    <w:rsid w:val="00681B8B"/>
    <w:rsid w:val="00682D5B"/>
    <w:rsid w:val="00691531"/>
    <w:rsid w:val="006A09B3"/>
    <w:rsid w:val="006B1995"/>
    <w:rsid w:val="006B76C0"/>
    <w:rsid w:val="006C2B94"/>
    <w:rsid w:val="006E0F8D"/>
    <w:rsid w:val="006E62F3"/>
    <w:rsid w:val="006F5436"/>
    <w:rsid w:val="00703981"/>
    <w:rsid w:val="0070507A"/>
    <w:rsid w:val="00705C3C"/>
    <w:rsid w:val="00714096"/>
    <w:rsid w:val="00723BF1"/>
    <w:rsid w:val="00724A5A"/>
    <w:rsid w:val="00725FCE"/>
    <w:rsid w:val="00732839"/>
    <w:rsid w:val="0073371C"/>
    <w:rsid w:val="00734F57"/>
    <w:rsid w:val="00736CFB"/>
    <w:rsid w:val="00737097"/>
    <w:rsid w:val="00740BA8"/>
    <w:rsid w:val="007412A4"/>
    <w:rsid w:val="00741D40"/>
    <w:rsid w:val="00742DFE"/>
    <w:rsid w:val="0074341E"/>
    <w:rsid w:val="00750327"/>
    <w:rsid w:val="007536D6"/>
    <w:rsid w:val="00770A0D"/>
    <w:rsid w:val="00770ABF"/>
    <w:rsid w:val="007730B1"/>
    <w:rsid w:val="00794A15"/>
    <w:rsid w:val="00794DCB"/>
    <w:rsid w:val="007A578F"/>
    <w:rsid w:val="007A69CC"/>
    <w:rsid w:val="007B3618"/>
    <w:rsid w:val="007B4B4F"/>
    <w:rsid w:val="007B7F59"/>
    <w:rsid w:val="007C39E3"/>
    <w:rsid w:val="007D2877"/>
    <w:rsid w:val="007D294E"/>
    <w:rsid w:val="007E18BA"/>
    <w:rsid w:val="007F60F3"/>
    <w:rsid w:val="007F658F"/>
    <w:rsid w:val="00800BB3"/>
    <w:rsid w:val="00800D45"/>
    <w:rsid w:val="00804AD4"/>
    <w:rsid w:val="00805978"/>
    <w:rsid w:val="008105AA"/>
    <w:rsid w:val="00815A16"/>
    <w:rsid w:val="0081753A"/>
    <w:rsid w:val="00821E9E"/>
    <w:rsid w:val="00823DF1"/>
    <w:rsid w:val="00825B6F"/>
    <w:rsid w:val="00831DBD"/>
    <w:rsid w:val="00832439"/>
    <w:rsid w:val="00833324"/>
    <w:rsid w:val="0083557E"/>
    <w:rsid w:val="00837396"/>
    <w:rsid w:val="0084479B"/>
    <w:rsid w:val="00853A80"/>
    <w:rsid w:val="00867715"/>
    <w:rsid w:val="00883651"/>
    <w:rsid w:val="00887B1E"/>
    <w:rsid w:val="00890DE6"/>
    <w:rsid w:val="008936B8"/>
    <w:rsid w:val="008940E6"/>
    <w:rsid w:val="008945E7"/>
    <w:rsid w:val="00897AA2"/>
    <w:rsid w:val="008A6B73"/>
    <w:rsid w:val="008B1C75"/>
    <w:rsid w:val="008B4801"/>
    <w:rsid w:val="008C2D51"/>
    <w:rsid w:val="008C72EC"/>
    <w:rsid w:val="008E4460"/>
    <w:rsid w:val="008F090A"/>
    <w:rsid w:val="0090216E"/>
    <w:rsid w:val="009110B3"/>
    <w:rsid w:val="009253ED"/>
    <w:rsid w:val="00926CD2"/>
    <w:rsid w:val="009355F0"/>
    <w:rsid w:val="0094095C"/>
    <w:rsid w:val="009419FF"/>
    <w:rsid w:val="00941D7B"/>
    <w:rsid w:val="009504BB"/>
    <w:rsid w:val="009505E3"/>
    <w:rsid w:val="00951A4A"/>
    <w:rsid w:val="00952D45"/>
    <w:rsid w:val="00953EAD"/>
    <w:rsid w:val="00960C24"/>
    <w:rsid w:val="00970F63"/>
    <w:rsid w:val="00974417"/>
    <w:rsid w:val="009751E9"/>
    <w:rsid w:val="00975661"/>
    <w:rsid w:val="009811B9"/>
    <w:rsid w:val="009814C8"/>
    <w:rsid w:val="00991A03"/>
    <w:rsid w:val="009A3A71"/>
    <w:rsid w:val="009A612F"/>
    <w:rsid w:val="009A71EE"/>
    <w:rsid w:val="009B2FD1"/>
    <w:rsid w:val="009B3DA9"/>
    <w:rsid w:val="009B467A"/>
    <w:rsid w:val="009B7825"/>
    <w:rsid w:val="009C08C0"/>
    <w:rsid w:val="009E13D1"/>
    <w:rsid w:val="009E18E7"/>
    <w:rsid w:val="009F1658"/>
    <w:rsid w:val="009F1F83"/>
    <w:rsid w:val="009F41DC"/>
    <w:rsid w:val="009F5C99"/>
    <w:rsid w:val="009F6756"/>
    <w:rsid w:val="009F6B0C"/>
    <w:rsid w:val="00A0045D"/>
    <w:rsid w:val="00A00CAD"/>
    <w:rsid w:val="00A04A05"/>
    <w:rsid w:val="00A1299A"/>
    <w:rsid w:val="00A2064A"/>
    <w:rsid w:val="00A2145A"/>
    <w:rsid w:val="00A347F9"/>
    <w:rsid w:val="00A454C2"/>
    <w:rsid w:val="00A53B7A"/>
    <w:rsid w:val="00A54746"/>
    <w:rsid w:val="00A6173A"/>
    <w:rsid w:val="00A619D2"/>
    <w:rsid w:val="00A62714"/>
    <w:rsid w:val="00A761B4"/>
    <w:rsid w:val="00A771A2"/>
    <w:rsid w:val="00A809E2"/>
    <w:rsid w:val="00A83A79"/>
    <w:rsid w:val="00A84170"/>
    <w:rsid w:val="00A870E5"/>
    <w:rsid w:val="00A93DE5"/>
    <w:rsid w:val="00A95BB0"/>
    <w:rsid w:val="00A9627A"/>
    <w:rsid w:val="00A97EEB"/>
    <w:rsid w:val="00AA0774"/>
    <w:rsid w:val="00AA289A"/>
    <w:rsid w:val="00AA5D3D"/>
    <w:rsid w:val="00AB0890"/>
    <w:rsid w:val="00AB3474"/>
    <w:rsid w:val="00AC252D"/>
    <w:rsid w:val="00AC2CF1"/>
    <w:rsid w:val="00AD37B5"/>
    <w:rsid w:val="00AD47C6"/>
    <w:rsid w:val="00AD6F0E"/>
    <w:rsid w:val="00AF2E06"/>
    <w:rsid w:val="00AF43C0"/>
    <w:rsid w:val="00AF7B3F"/>
    <w:rsid w:val="00B15BF8"/>
    <w:rsid w:val="00B16285"/>
    <w:rsid w:val="00B16883"/>
    <w:rsid w:val="00B23C15"/>
    <w:rsid w:val="00B377E2"/>
    <w:rsid w:val="00B43359"/>
    <w:rsid w:val="00B449B6"/>
    <w:rsid w:val="00B45CDF"/>
    <w:rsid w:val="00B51540"/>
    <w:rsid w:val="00B53919"/>
    <w:rsid w:val="00B55578"/>
    <w:rsid w:val="00B569AD"/>
    <w:rsid w:val="00B620EB"/>
    <w:rsid w:val="00B639F6"/>
    <w:rsid w:val="00B651C3"/>
    <w:rsid w:val="00B72F42"/>
    <w:rsid w:val="00B7345A"/>
    <w:rsid w:val="00B73C38"/>
    <w:rsid w:val="00B83838"/>
    <w:rsid w:val="00B86635"/>
    <w:rsid w:val="00B9189E"/>
    <w:rsid w:val="00B95E05"/>
    <w:rsid w:val="00BA2225"/>
    <w:rsid w:val="00BA42E1"/>
    <w:rsid w:val="00BA50E8"/>
    <w:rsid w:val="00BA6B0C"/>
    <w:rsid w:val="00BC03A9"/>
    <w:rsid w:val="00BC44C6"/>
    <w:rsid w:val="00BD1CE7"/>
    <w:rsid w:val="00BD348C"/>
    <w:rsid w:val="00BD6D73"/>
    <w:rsid w:val="00BE05FB"/>
    <w:rsid w:val="00BE06DF"/>
    <w:rsid w:val="00BE1875"/>
    <w:rsid w:val="00BF204E"/>
    <w:rsid w:val="00BF5259"/>
    <w:rsid w:val="00BF5F92"/>
    <w:rsid w:val="00BF72DB"/>
    <w:rsid w:val="00C0534F"/>
    <w:rsid w:val="00C109C5"/>
    <w:rsid w:val="00C11977"/>
    <w:rsid w:val="00C13948"/>
    <w:rsid w:val="00C210B9"/>
    <w:rsid w:val="00C2602A"/>
    <w:rsid w:val="00C26A46"/>
    <w:rsid w:val="00C476D0"/>
    <w:rsid w:val="00C5129C"/>
    <w:rsid w:val="00C52DE7"/>
    <w:rsid w:val="00C66903"/>
    <w:rsid w:val="00C67F06"/>
    <w:rsid w:val="00C7361F"/>
    <w:rsid w:val="00C83FF0"/>
    <w:rsid w:val="00C858E0"/>
    <w:rsid w:val="00C90E79"/>
    <w:rsid w:val="00C925F4"/>
    <w:rsid w:val="00C92D79"/>
    <w:rsid w:val="00C964A1"/>
    <w:rsid w:val="00CA22BA"/>
    <w:rsid w:val="00CA7309"/>
    <w:rsid w:val="00CA7A88"/>
    <w:rsid w:val="00CA7C92"/>
    <w:rsid w:val="00CC750A"/>
    <w:rsid w:val="00CD1D39"/>
    <w:rsid w:val="00CD372B"/>
    <w:rsid w:val="00CD4930"/>
    <w:rsid w:val="00CD4BCF"/>
    <w:rsid w:val="00CE2A03"/>
    <w:rsid w:val="00CE4148"/>
    <w:rsid w:val="00CE56B2"/>
    <w:rsid w:val="00CF0363"/>
    <w:rsid w:val="00CF73C8"/>
    <w:rsid w:val="00D05166"/>
    <w:rsid w:val="00D05379"/>
    <w:rsid w:val="00D07468"/>
    <w:rsid w:val="00D109D5"/>
    <w:rsid w:val="00D13514"/>
    <w:rsid w:val="00D13764"/>
    <w:rsid w:val="00D13DB9"/>
    <w:rsid w:val="00D25996"/>
    <w:rsid w:val="00D31A12"/>
    <w:rsid w:val="00D4296D"/>
    <w:rsid w:val="00D50331"/>
    <w:rsid w:val="00D515FB"/>
    <w:rsid w:val="00D53223"/>
    <w:rsid w:val="00D53BEF"/>
    <w:rsid w:val="00D53EE5"/>
    <w:rsid w:val="00D56C7A"/>
    <w:rsid w:val="00D61027"/>
    <w:rsid w:val="00D66A40"/>
    <w:rsid w:val="00D75699"/>
    <w:rsid w:val="00D77F09"/>
    <w:rsid w:val="00D8306A"/>
    <w:rsid w:val="00D91772"/>
    <w:rsid w:val="00D91C97"/>
    <w:rsid w:val="00DA446F"/>
    <w:rsid w:val="00DB2261"/>
    <w:rsid w:val="00DC3B92"/>
    <w:rsid w:val="00DD2881"/>
    <w:rsid w:val="00DD77E5"/>
    <w:rsid w:val="00DE0029"/>
    <w:rsid w:val="00DE24F1"/>
    <w:rsid w:val="00DE2631"/>
    <w:rsid w:val="00DF79B8"/>
    <w:rsid w:val="00E04E5E"/>
    <w:rsid w:val="00E04F8E"/>
    <w:rsid w:val="00E131C5"/>
    <w:rsid w:val="00E1527F"/>
    <w:rsid w:val="00E16039"/>
    <w:rsid w:val="00E1688D"/>
    <w:rsid w:val="00E25F86"/>
    <w:rsid w:val="00E36222"/>
    <w:rsid w:val="00E433D3"/>
    <w:rsid w:val="00E43706"/>
    <w:rsid w:val="00E43EAD"/>
    <w:rsid w:val="00E44023"/>
    <w:rsid w:val="00E45148"/>
    <w:rsid w:val="00E475B1"/>
    <w:rsid w:val="00E50704"/>
    <w:rsid w:val="00E50DFB"/>
    <w:rsid w:val="00E533EB"/>
    <w:rsid w:val="00E54436"/>
    <w:rsid w:val="00E60032"/>
    <w:rsid w:val="00E61AF5"/>
    <w:rsid w:val="00E621F1"/>
    <w:rsid w:val="00E62C0A"/>
    <w:rsid w:val="00E6695B"/>
    <w:rsid w:val="00E71666"/>
    <w:rsid w:val="00E80530"/>
    <w:rsid w:val="00E83707"/>
    <w:rsid w:val="00E84811"/>
    <w:rsid w:val="00E903F5"/>
    <w:rsid w:val="00E91A9C"/>
    <w:rsid w:val="00E9477D"/>
    <w:rsid w:val="00E96AAC"/>
    <w:rsid w:val="00EA5B03"/>
    <w:rsid w:val="00EA70A8"/>
    <w:rsid w:val="00EB01DA"/>
    <w:rsid w:val="00EB4A26"/>
    <w:rsid w:val="00EB5690"/>
    <w:rsid w:val="00EE028B"/>
    <w:rsid w:val="00EE42A5"/>
    <w:rsid w:val="00EF207C"/>
    <w:rsid w:val="00EF27D5"/>
    <w:rsid w:val="00EF5F7B"/>
    <w:rsid w:val="00F03E08"/>
    <w:rsid w:val="00F125A7"/>
    <w:rsid w:val="00F12937"/>
    <w:rsid w:val="00F12CEA"/>
    <w:rsid w:val="00F2268B"/>
    <w:rsid w:val="00F416D5"/>
    <w:rsid w:val="00F4724E"/>
    <w:rsid w:val="00F54CDC"/>
    <w:rsid w:val="00F60168"/>
    <w:rsid w:val="00F66BFA"/>
    <w:rsid w:val="00F7240C"/>
    <w:rsid w:val="00F77F09"/>
    <w:rsid w:val="00F80311"/>
    <w:rsid w:val="00F825A7"/>
    <w:rsid w:val="00F8302B"/>
    <w:rsid w:val="00FA0A14"/>
    <w:rsid w:val="00FA217A"/>
    <w:rsid w:val="00FA2F22"/>
    <w:rsid w:val="00FA3AA0"/>
    <w:rsid w:val="00FA6E88"/>
    <w:rsid w:val="00FB1824"/>
    <w:rsid w:val="00FB1F02"/>
    <w:rsid w:val="00FB37AA"/>
    <w:rsid w:val="00FB4CD8"/>
    <w:rsid w:val="00FB56DE"/>
    <w:rsid w:val="00FC3004"/>
    <w:rsid w:val="00FD4C89"/>
    <w:rsid w:val="00FD6A0A"/>
    <w:rsid w:val="00FD7C07"/>
    <w:rsid w:val="00FF43C4"/>
    <w:rsid w:val="00FF4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03AE"/>
  <w15:chartTrackingRefBased/>
  <w15:docId w15:val="{9566DC7C-00A9-4D89-9D64-6E12C8A6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ind w:left="567"/>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basedOn w:val="Normal"/>
    <w:link w:val="FootnoteTextChar"/>
    <w:uiPriority w:val="99"/>
    <w:semiHidden/>
    <w:unhideWhenUsed/>
    <w:rsid w:val="00197F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F8C"/>
    <w:rPr>
      <w:rFonts w:ascii="Arial" w:hAnsi="Arial"/>
      <w:sz w:val="20"/>
      <w:szCs w:val="20"/>
      <w:lang w:val="en-GB"/>
    </w:rPr>
  </w:style>
  <w:style w:type="character" w:styleId="FootnoteReference">
    <w:name w:val="footnote reference"/>
    <w:basedOn w:val="DefaultParagraphFont"/>
    <w:uiPriority w:val="99"/>
    <w:semiHidden/>
    <w:unhideWhenUsed/>
    <w:rsid w:val="00197F8C"/>
    <w:rPr>
      <w:vertAlign w:val="superscript"/>
    </w:rPr>
  </w:style>
  <w:style w:type="character" w:customStyle="1" w:styleId="mc">
    <w:name w:val="mc"/>
    <w:basedOn w:val="DefaultParagraphFont"/>
    <w:rsid w:val="00A771A2"/>
  </w:style>
  <w:style w:type="character" w:customStyle="1" w:styleId="g1">
    <w:name w:val="g1"/>
    <w:basedOn w:val="DefaultParagraphFont"/>
    <w:rsid w:val="00A771A2"/>
  </w:style>
  <w:style w:type="character" w:styleId="Hyperlink">
    <w:name w:val="Hyperlink"/>
    <w:basedOn w:val="DefaultParagraphFont"/>
    <w:uiPriority w:val="99"/>
    <w:semiHidden/>
    <w:unhideWhenUsed/>
    <w:rsid w:val="00A771A2"/>
    <w:rPr>
      <w:color w:val="0000FF"/>
      <w:u w:val="single"/>
    </w:rPr>
  </w:style>
  <w:style w:type="paragraph" w:styleId="Revision">
    <w:name w:val="Revision"/>
    <w:hidden/>
    <w:uiPriority w:val="99"/>
    <w:semiHidden/>
    <w:rsid w:val="00681B8B"/>
    <w:pPr>
      <w:spacing w:after="0" w:line="240" w:lineRule="auto"/>
    </w:pPr>
    <w:rPr>
      <w:rFonts w:ascii="Arial" w:hAnsi="Arial"/>
      <w:sz w:val="24"/>
      <w:lang w:val="en-GB"/>
    </w:rPr>
  </w:style>
  <w:style w:type="paragraph" w:styleId="Header">
    <w:name w:val="header"/>
    <w:basedOn w:val="Normal"/>
    <w:link w:val="HeaderChar"/>
    <w:uiPriority w:val="99"/>
    <w:unhideWhenUsed/>
    <w:rsid w:val="00282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D29"/>
    <w:rPr>
      <w:rFonts w:ascii="Arial" w:hAnsi="Arial"/>
      <w:sz w:val="24"/>
      <w:lang w:val="en-GB"/>
    </w:rPr>
  </w:style>
  <w:style w:type="paragraph" w:styleId="Footer">
    <w:name w:val="footer"/>
    <w:basedOn w:val="Normal"/>
    <w:link w:val="FooterChar"/>
    <w:uiPriority w:val="99"/>
    <w:unhideWhenUsed/>
    <w:rsid w:val="00282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D29"/>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270537">
      <w:bodyDiv w:val="1"/>
      <w:marLeft w:val="0"/>
      <w:marRight w:val="0"/>
      <w:marTop w:val="0"/>
      <w:marBottom w:val="0"/>
      <w:divBdr>
        <w:top w:val="none" w:sz="0" w:space="0" w:color="auto"/>
        <w:left w:val="none" w:sz="0" w:space="0" w:color="auto"/>
        <w:bottom w:val="none" w:sz="0" w:space="0" w:color="auto"/>
        <w:right w:val="none" w:sz="0" w:space="0" w:color="auto"/>
      </w:divBdr>
      <w:divsChild>
        <w:div w:id="1297102289">
          <w:marLeft w:val="0"/>
          <w:marRight w:val="0"/>
          <w:marTop w:val="120"/>
          <w:marBottom w:val="0"/>
          <w:divBdr>
            <w:top w:val="none" w:sz="0" w:space="0" w:color="auto"/>
            <w:left w:val="none" w:sz="0" w:space="0" w:color="auto"/>
            <w:bottom w:val="none" w:sz="0" w:space="0" w:color="auto"/>
            <w:right w:val="none" w:sz="0" w:space="0" w:color="auto"/>
          </w:divBdr>
        </w:div>
        <w:div w:id="94326717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a\OneDrive%20-%20judiciary.org.za\Documents\Judgments%202023\High%20Court%20Judgment%20Template%20(0000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9F60-16A7-4AF1-A9CF-15482F9A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 (00000002)</Template>
  <TotalTime>0</TotalTime>
  <Pages>11</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Mokone</cp:lastModifiedBy>
  <cp:revision>2</cp:revision>
  <dcterms:created xsi:type="dcterms:W3CDTF">2023-07-05T13:57:00Z</dcterms:created>
  <dcterms:modified xsi:type="dcterms:W3CDTF">2023-07-05T13:57:00Z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69a04e0a-52ec-4380-b410-2b55fad4c04c</vt:lpwstr>
  </property>
</Properties>
</file>