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7D143" w14:textId="77777777" w:rsidR="00564266" w:rsidRPr="00394ED7" w:rsidRDefault="00564266" w:rsidP="00785619">
      <w:pPr>
        <w:spacing w:after="0" w:line="240" w:lineRule="auto"/>
        <w:ind w:left="0"/>
        <w:jc w:val="center"/>
        <w:rPr>
          <w:rFonts w:ascii="Arial" w:eastAsia="Times New Roman" w:hAnsi="Arial" w:cs="Arial"/>
          <w:b/>
          <w:color w:val="auto"/>
          <w:szCs w:val="24"/>
        </w:rPr>
      </w:pPr>
      <w:r w:rsidRPr="00394ED7">
        <w:rPr>
          <w:rFonts w:ascii="Arial" w:eastAsia="Times New Roman" w:hAnsi="Arial" w:cs="Arial"/>
          <w:b/>
          <w:szCs w:val="24"/>
        </w:rPr>
        <w:t>REPUBLIC OF SOUTH AFRICA</w:t>
      </w:r>
    </w:p>
    <w:p w14:paraId="2A23F1ED" w14:textId="252B333C" w:rsidR="00564266" w:rsidRPr="00394ED7" w:rsidRDefault="00564266" w:rsidP="00785619">
      <w:pPr>
        <w:spacing w:after="0" w:line="240" w:lineRule="auto"/>
        <w:ind w:left="0"/>
        <w:jc w:val="center"/>
        <w:rPr>
          <w:rFonts w:ascii="Arial" w:eastAsia="Times New Roman" w:hAnsi="Arial" w:cs="Arial"/>
          <w:b/>
          <w:szCs w:val="24"/>
        </w:rPr>
      </w:pPr>
      <w:r w:rsidRPr="00394ED7">
        <w:rPr>
          <w:rFonts w:ascii="Arial" w:eastAsia="Times New Roman" w:hAnsi="Arial" w:cs="Arial"/>
          <w:b/>
          <w:noProof/>
          <w:szCs w:val="24"/>
          <w:lang w:val="en-US" w:eastAsia="en-US"/>
        </w:rPr>
        <w:drawing>
          <wp:inline distT="0" distB="0" distL="0" distR="0" wp14:anchorId="6F479A18" wp14:editId="28EF76EB">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4004CADE" w14:textId="77777777" w:rsidR="00564266" w:rsidRPr="00394ED7" w:rsidRDefault="00564266" w:rsidP="00785619">
      <w:pPr>
        <w:spacing w:after="0" w:line="240" w:lineRule="auto"/>
        <w:ind w:left="0"/>
        <w:jc w:val="center"/>
        <w:rPr>
          <w:rFonts w:ascii="Arial" w:eastAsia="Times New Roman" w:hAnsi="Arial" w:cs="Arial"/>
          <w:b/>
          <w:szCs w:val="24"/>
          <w:lang w:eastAsia="en-US"/>
        </w:rPr>
      </w:pPr>
      <w:r w:rsidRPr="00394ED7">
        <w:rPr>
          <w:rFonts w:ascii="Arial" w:eastAsia="Times New Roman" w:hAnsi="Arial" w:cs="Arial"/>
          <w:b/>
          <w:szCs w:val="24"/>
        </w:rPr>
        <w:t>IN THE HIGH COURT OF SOUTH AFRICA</w:t>
      </w:r>
    </w:p>
    <w:p w14:paraId="12E78237" w14:textId="77777777" w:rsidR="00564266" w:rsidRPr="00394ED7" w:rsidRDefault="00564266" w:rsidP="00785619">
      <w:pPr>
        <w:spacing w:after="0" w:line="240" w:lineRule="auto"/>
        <w:ind w:left="0"/>
        <w:jc w:val="center"/>
        <w:rPr>
          <w:rFonts w:ascii="Arial" w:eastAsia="Times New Roman" w:hAnsi="Arial" w:cs="Arial"/>
          <w:b/>
          <w:szCs w:val="24"/>
        </w:rPr>
      </w:pPr>
      <w:r w:rsidRPr="00394ED7">
        <w:rPr>
          <w:rFonts w:ascii="Arial" w:eastAsia="Times New Roman" w:hAnsi="Arial" w:cs="Arial"/>
          <w:b/>
          <w:szCs w:val="24"/>
        </w:rPr>
        <w:t>GAUTENG DIVISION, JOHANNESBURG</w:t>
      </w:r>
    </w:p>
    <w:p w14:paraId="567B2A1B" w14:textId="77777777" w:rsidR="00785619" w:rsidRDefault="00785619" w:rsidP="00785619">
      <w:pPr>
        <w:spacing w:after="0" w:line="240" w:lineRule="auto"/>
        <w:ind w:left="0"/>
        <w:jc w:val="right"/>
        <w:rPr>
          <w:rFonts w:ascii="Arial" w:eastAsia="Times New Roman" w:hAnsi="Arial" w:cs="Arial"/>
          <w:b/>
          <w:szCs w:val="24"/>
        </w:rPr>
      </w:pPr>
    </w:p>
    <w:p w14:paraId="4E0B3B81" w14:textId="34758339" w:rsidR="00564266" w:rsidRPr="00394ED7" w:rsidRDefault="00785619" w:rsidP="00785619">
      <w:pPr>
        <w:spacing w:after="0" w:line="240" w:lineRule="auto"/>
        <w:ind w:left="0"/>
        <w:jc w:val="right"/>
        <w:rPr>
          <w:rFonts w:ascii="Arial" w:eastAsia="Times New Roman" w:hAnsi="Arial" w:cs="Arial"/>
          <w:b/>
          <w:szCs w:val="24"/>
        </w:rPr>
      </w:pPr>
      <w:r>
        <w:rPr>
          <w:rFonts w:ascii="Arial" w:eastAsia="Times New Roman" w:hAnsi="Arial" w:cs="Arial"/>
          <w:b/>
          <w:szCs w:val="24"/>
        </w:rPr>
        <w:t>CASE NUMBER</w:t>
      </w:r>
      <w:r w:rsidRPr="00394ED7">
        <w:rPr>
          <w:rFonts w:ascii="Arial" w:eastAsia="Times New Roman" w:hAnsi="Arial" w:cs="Arial"/>
          <w:b/>
          <w:szCs w:val="24"/>
        </w:rPr>
        <w:t xml:space="preserve">: </w:t>
      </w:r>
      <w:r w:rsidR="00E212CE">
        <w:rPr>
          <w:rFonts w:ascii="Arial" w:eastAsia="Times New Roman" w:hAnsi="Arial" w:cs="Arial"/>
          <w:b/>
          <w:szCs w:val="24"/>
          <w:u w:val="single"/>
        </w:rPr>
        <w:t>2020/28966</w:t>
      </w:r>
    </w:p>
    <w:p w14:paraId="1FF69AB5" w14:textId="31FC699D" w:rsidR="00ED35E1" w:rsidRDefault="00ED35E1" w:rsidP="00ED35E1">
      <w:pPr>
        <w:spacing w:after="0" w:line="240" w:lineRule="auto"/>
        <w:ind w:left="0"/>
        <w:jc w:val="left"/>
        <w:rPr>
          <w:rFonts w:ascii="Arial" w:eastAsia="Times New Roman" w:hAnsi="Arial" w:cs="Arial"/>
          <w:b/>
          <w:szCs w:val="24"/>
        </w:rPr>
      </w:pPr>
      <w:r>
        <w:rPr>
          <w:noProof/>
          <w:lang w:val="en-US" w:eastAsia="en-US"/>
        </w:rPr>
        <mc:AlternateContent>
          <mc:Choice Requires="wps">
            <w:drawing>
              <wp:anchor distT="0" distB="0" distL="114300" distR="114300" simplePos="0" relativeHeight="251659264" behindDoc="0" locked="0" layoutInCell="1" allowOverlap="1" wp14:anchorId="26E3B4C4" wp14:editId="3B6C6D60">
                <wp:simplePos x="0" y="0"/>
                <wp:positionH relativeFrom="margin">
                  <wp:posOffset>0</wp:posOffset>
                </wp:positionH>
                <wp:positionV relativeFrom="page">
                  <wp:posOffset>3200400</wp:posOffset>
                </wp:positionV>
                <wp:extent cx="3314700" cy="1266825"/>
                <wp:effectExtent l="0" t="0" r="1905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124BE20C" w14:textId="77777777" w:rsidR="00ED35E1" w:rsidRPr="004120A8" w:rsidRDefault="00ED35E1" w:rsidP="00ED35E1">
                            <w:pPr>
                              <w:jc w:val="center"/>
                              <w:rPr>
                                <w:rFonts w:ascii="Century Gothic" w:hAnsi="Century Gothic"/>
                                <w:b/>
                                <w:sz w:val="2"/>
                                <w:szCs w:val="18"/>
                              </w:rPr>
                            </w:pPr>
                          </w:p>
                          <w:p w14:paraId="042BB3EA" w14:textId="6A25762A" w:rsidR="00ED35E1" w:rsidRPr="004120A8" w:rsidRDefault="0016260F" w:rsidP="0016260F">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56F4030A" w:rsidR="00ED35E1" w:rsidRPr="004120A8" w:rsidRDefault="0016260F" w:rsidP="0016260F">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0AED9183" w:rsidR="00ED35E1" w:rsidRPr="004120A8" w:rsidRDefault="0016260F" w:rsidP="0016260F">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 xml:space="preserve">REVISED. </w:t>
                            </w:r>
                            <w:r w:rsidR="00467784">
                              <w:rPr>
                                <w:rFonts w:ascii="Century Gothic" w:hAnsi="Century Gothic"/>
                                <w:sz w:val="18"/>
                                <w:szCs w:val="18"/>
                              </w:rPr>
                              <w:t>YES</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7CC91F9B"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D42EA">
                              <w:rPr>
                                <w:rFonts w:ascii="Century Gothic" w:hAnsi="Century Gothic"/>
                                <w:b/>
                                <w:sz w:val="18"/>
                                <w:szCs w:val="18"/>
                              </w:rPr>
                              <w:t>B.C</w:t>
                            </w:r>
                            <w:r w:rsidR="0056477F">
                              <w:rPr>
                                <w:rFonts w:ascii="Century Gothic" w:hAnsi="Century Gothic"/>
                                <w:b/>
                                <w:sz w:val="18"/>
                                <w:szCs w:val="18"/>
                              </w:rPr>
                              <w:t>.</w:t>
                            </w:r>
                            <w:r w:rsidR="001D42EA">
                              <w:rPr>
                                <w:rFonts w:ascii="Century Gothic" w:hAnsi="Century Gothic"/>
                                <w:b/>
                                <w:sz w:val="18"/>
                                <w:szCs w:val="18"/>
                              </w:rPr>
                              <w:t xml:space="preserve"> WANLESS</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467784" w:rsidRPr="00467784">
                              <w:rPr>
                                <w:rFonts w:ascii="Century Gothic" w:hAnsi="Century Gothic"/>
                                <w:b/>
                                <w:sz w:val="18"/>
                                <w:szCs w:val="18"/>
                              </w:rPr>
                              <w:t>3</w:t>
                            </w:r>
                            <w:r w:rsidR="00BB7757" w:rsidRPr="00467784">
                              <w:rPr>
                                <w:rFonts w:ascii="Century Gothic" w:hAnsi="Century Gothic"/>
                                <w:b/>
                                <w:sz w:val="18"/>
                                <w:szCs w:val="18"/>
                              </w:rPr>
                              <w:t xml:space="preserve"> February</w:t>
                            </w:r>
                            <w:r w:rsidRPr="00467784">
                              <w:rPr>
                                <w:rFonts w:ascii="Century Gothic" w:hAnsi="Century Gothic"/>
                                <w:b/>
                                <w:sz w:val="18"/>
                                <w:szCs w:val="18"/>
                              </w:rPr>
                              <w:t xml:space="preserve"> 202</w:t>
                            </w:r>
                            <w:r w:rsidR="00BB7757" w:rsidRPr="00467784">
                              <w:rPr>
                                <w:rFonts w:ascii="Century Gothic" w:hAnsi="Century Gothic"/>
                                <w:b/>
                                <w:sz w:val="18"/>
                                <w:szCs w:val="18"/>
                              </w:rPr>
                              <w:t>3</w:t>
                            </w:r>
                          </w:p>
                          <w:p w14:paraId="457623E5" w14:textId="77777777" w:rsidR="00ED35E1" w:rsidRPr="004120A8" w:rsidRDefault="00ED35E1" w:rsidP="00ED35E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3B4C4"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">
                <v:path arrowok="t"/>
                <v:textbox>
                  <w:txbxContent>
                    <w:p w14:paraId="124BE20C" w14:textId="77777777" w:rsidR="00ED35E1" w:rsidRPr="004120A8" w:rsidRDefault="00ED35E1" w:rsidP="00ED35E1">
                      <w:pPr>
                        <w:jc w:val="center"/>
                        <w:rPr>
                          <w:rFonts w:ascii="Century Gothic" w:hAnsi="Century Gothic"/>
                          <w:b/>
                          <w:sz w:val="2"/>
                          <w:szCs w:val="18"/>
                        </w:rPr>
                      </w:pPr>
                    </w:p>
                    <w:p w14:paraId="042BB3EA" w14:textId="6A25762A" w:rsidR="00ED35E1" w:rsidRPr="004120A8" w:rsidRDefault="0016260F" w:rsidP="0016260F">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56F4030A" w:rsidR="00ED35E1" w:rsidRPr="004120A8" w:rsidRDefault="0016260F" w:rsidP="0016260F">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0AED9183" w:rsidR="00ED35E1" w:rsidRPr="004120A8" w:rsidRDefault="0016260F" w:rsidP="0016260F">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 xml:space="preserve">REVISED. </w:t>
                      </w:r>
                      <w:r w:rsidR="00467784">
                        <w:rPr>
                          <w:rFonts w:ascii="Century Gothic" w:hAnsi="Century Gothic"/>
                          <w:sz w:val="18"/>
                          <w:szCs w:val="18"/>
                        </w:rPr>
                        <w:t>YES</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7CC91F9B"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D42EA">
                        <w:rPr>
                          <w:rFonts w:ascii="Century Gothic" w:hAnsi="Century Gothic"/>
                          <w:b/>
                          <w:sz w:val="18"/>
                          <w:szCs w:val="18"/>
                        </w:rPr>
                        <w:t>B.C</w:t>
                      </w:r>
                      <w:r w:rsidR="0056477F">
                        <w:rPr>
                          <w:rFonts w:ascii="Century Gothic" w:hAnsi="Century Gothic"/>
                          <w:b/>
                          <w:sz w:val="18"/>
                          <w:szCs w:val="18"/>
                        </w:rPr>
                        <w:t>.</w:t>
                      </w:r>
                      <w:r w:rsidR="001D42EA">
                        <w:rPr>
                          <w:rFonts w:ascii="Century Gothic" w:hAnsi="Century Gothic"/>
                          <w:b/>
                          <w:sz w:val="18"/>
                          <w:szCs w:val="18"/>
                        </w:rPr>
                        <w:t xml:space="preserve"> WANLESS</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467784" w:rsidRPr="00467784">
                        <w:rPr>
                          <w:rFonts w:ascii="Century Gothic" w:hAnsi="Century Gothic"/>
                          <w:b/>
                          <w:sz w:val="18"/>
                          <w:szCs w:val="18"/>
                        </w:rPr>
                        <w:t>3</w:t>
                      </w:r>
                      <w:r w:rsidR="00BB7757" w:rsidRPr="00467784">
                        <w:rPr>
                          <w:rFonts w:ascii="Century Gothic" w:hAnsi="Century Gothic"/>
                          <w:b/>
                          <w:sz w:val="18"/>
                          <w:szCs w:val="18"/>
                        </w:rPr>
                        <w:t xml:space="preserve"> February</w:t>
                      </w:r>
                      <w:r w:rsidRPr="00467784">
                        <w:rPr>
                          <w:rFonts w:ascii="Century Gothic" w:hAnsi="Century Gothic"/>
                          <w:b/>
                          <w:sz w:val="18"/>
                          <w:szCs w:val="18"/>
                        </w:rPr>
                        <w:t xml:space="preserve"> 202</w:t>
                      </w:r>
                      <w:r w:rsidR="00BB7757" w:rsidRPr="00467784">
                        <w:rPr>
                          <w:rFonts w:ascii="Century Gothic" w:hAnsi="Century Gothic"/>
                          <w:b/>
                          <w:sz w:val="18"/>
                          <w:szCs w:val="18"/>
                        </w:rPr>
                        <w:t>3</w:t>
                      </w:r>
                    </w:p>
                    <w:p w14:paraId="457623E5" w14:textId="77777777" w:rsidR="00ED35E1" w:rsidRPr="004120A8" w:rsidRDefault="00ED35E1" w:rsidP="00ED35E1">
                      <w:pPr>
                        <w:rPr>
                          <w:rFonts w:ascii="Century Gothic" w:hAnsi="Century Gothic"/>
                          <w:b/>
                          <w:sz w:val="2"/>
                          <w:szCs w:val="18"/>
                        </w:rPr>
                      </w:pPr>
                    </w:p>
                  </w:txbxContent>
                </v:textbox>
                <w10:wrap type="topAndBottom" anchorx="margin" anchory="page"/>
              </v:shape>
            </w:pict>
          </mc:Fallback>
        </mc:AlternateContent>
      </w:r>
    </w:p>
    <w:p w14:paraId="5299D93C" w14:textId="6A660774" w:rsidR="00564266" w:rsidRPr="00394ED7" w:rsidRDefault="00564266" w:rsidP="00ED35E1">
      <w:pPr>
        <w:spacing w:after="0" w:line="240" w:lineRule="auto"/>
        <w:ind w:left="0"/>
        <w:jc w:val="left"/>
        <w:rPr>
          <w:rFonts w:ascii="Arial" w:eastAsia="Times New Roman" w:hAnsi="Arial" w:cs="Arial"/>
          <w:b/>
          <w:szCs w:val="24"/>
        </w:rPr>
      </w:pP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t xml:space="preserve">     </w:t>
      </w:r>
    </w:p>
    <w:p w14:paraId="732FB793" w14:textId="77777777" w:rsidR="00CB5402" w:rsidRPr="00394ED7" w:rsidRDefault="00CB5402" w:rsidP="00ED58EE">
      <w:pPr>
        <w:spacing w:after="0" w:line="240" w:lineRule="auto"/>
        <w:ind w:left="0"/>
        <w:rPr>
          <w:rFonts w:ascii="Arial" w:eastAsia="Times New Roman" w:hAnsi="Arial" w:cs="Arial"/>
          <w:szCs w:val="24"/>
          <w:lang w:eastAsia="en-US"/>
        </w:rPr>
      </w:pPr>
      <w:r w:rsidRPr="00394ED7">
        <w:rPr>
          <w:rFonts w:ascii="Arial" w:eastAsia="Times New Roman" w:hAnsi="Arial" w:cs="Arial"/>
          <w:szCs w:val="24"/>
        </w:rPr>
        <w:t>In the matter between:</w:t>
      </w:r>
    </w:p>
    <w:p w14:paraId="08A26802" w14:textId="77777777" w:rsidR="00785619" w:rsidRDefault="00785619" w:rsidP="00ED58EE">
      <w:pPr>
        <w:spacing w:after="0" w:line="240" w:lineRule="auto"/>
        <w:ind w:left="0"/>
        <w:rPr>
          <w:rFonts w:ascii="Arial" w:eastAsia="Times New Roman" w:hAnsi="Arial" w:cs="Arial"/>
          <w:b/>
          <w:szCs w:val="24"/>
        </w:rPr>
      </w:pPr>
    </w:p>
    <w:p w14:paraId="3E7C83CE" w14:textId="77777777" w:rsidR="00E212CE" w:rsidRDefault="00E212CE" w:rsidP="00ED58EE">
      <w:pPr>
        <w:spacing w:after="0" w:line="240" w:lineRule="auto"/>
        <w:ind w:left="0"/>
        <w:rPr>
          <w:rFonts w:ascii="Arial" w:eastAsia="Times New Roman" w:hAnsi="Arial" w:cs="Arial"/>
          <w:b/>
          <w:szCs w:val="24"/>
        </w:rPr>
      </w:pPr>
      <w:r>
        <w:rPr>
          <w:rFonts w:ascii="Arial" w:eastAsia="Times New Roman" w:hAnsi="Arial" w:cs="Arial"/>
          <w:b/>
          <w:szCs w:val="24"/>
        </w:rPr>
        <w:t xml:space="preserve">THE LAND AND AGRICULTURAL </w:t>
      </w:r>
    </w:p>
    <w:p w14:paraId="597CD3E4" w14:textId="490944D4" w:rsidR="00CB5402" w:rsidRPr="00394ED7" w:rsidRDefault="00E212CE" w:rsidP="00ED58EE">
      <w:pPr>
        <w:spacing w:after="0" w:line="240" w:lineRule="auto"/>
        <w:ind w:left="0"/>
        <w:rPr>
          <w:rFonts w:ascii="Arial" w:eastAsia="Times New Roman" w:hAnsi="Arial" w:cs="Arial"/>
          <w:szCs w:val="24"/>
        </w:rPr>
      </w:pPr>
      <w:r>
        <w:rPr>
          <w:rFonts w:ascii="Arial" w:eastAsia="Times New Roman" w:hAnsi="Arial" w:cs="Arial"/>
          <w:b/>
          <w:szCs w:val="24"/>
        </w:rPr>
        <w:t>DEVELOPMENT BANK OF SOUTH AFRICA                                                       Applicant</w:t>
      </w:r>
      <w:r w:rsidR="00CB5402" w:rsidRPr="00394ED7">
        <w:rPr>
          <w:rFonts w:ascii="Arial" w:eastAsia="Times New Roman" w:hAnsi="Arial" w:cs="Arial"/>
          <w:b/>
          <w:szCs w:val="24"/>
        </w:rPr>
        <w:t xml:space="preserve"> </w:t>
      </w:r>
      <w:r w:rsidR="00785619">
        <w:rPr>
          <w:rFonts w:ascii="Arial" w:eastAsia="Times New Roman" w:hAnsi="Arial" w:cs="Arial"/>
          <w:b/>
          <w:szCs w:val="24"/>
        </w:rPr>
        <w:tab/>
      </w:r>
      <w:r w:rsidR="00785619">
        <w:rPr>
          <w:rFonts w:ascii="Arial" w:eastAsia="Times New Roman" w:hAnsi="Arial" w:cs="Arial"/>
          <w:b/>
          <w:szCs w:val="24"/>
        </w:rPr>
        <w:tab/>
      </w:r>
      <w:r w:rsidR="00785619">
        <w:rPr>
          <w:rFonts w:ascii="Arial" w:eastAsia="Times New Roman" w:hAnsi="Arial" w:cs="Arial"/>
          <w:b/>
          <w:szCs w:val="24"/>
        </w:rPr>
        <w:tab/>
      </w:r>
      <w:r w:rsidR="00785619">
        <w:rPr>
          <w:rFonts w:ascii="Arial" w:eastAsia="Times New Roman" w:hAnsi="Arial" w:cs="Arial"/>
          <w:b/>
          <w:szCs w:val="24"/>
        </w:rPr>
        <w:tab/>
      </w:r>
      <w:r w:rsidR="00785619">
        <w:rPr>
          <w:rFonts w:ascii="Arial" w:eastAsia="Times New Roman" w:hAnsi="Arial" w:cs="Arial"/>
          <w:b/>
          <w:szCs w:val="24"/>
        </w:rPr>
        <w:tab/>
        <w:t xml:space="preserve"> </w:t>
      </w:r>
      <w:r>
        <w:rPr>
          <w:rFonts w:ascii="Arial" w:eastAsia="Times New Roman" w:hAnsi="Arial" w:cs="Arial"/>
          <w:b/>
          <w:szCs w:val="24"/>
        </w:rPr>
        <w:t xml:space="preserve">        </w:t>
      </w:r>
    </w:p>
    <w:p w14:paraId="06068516" w14:textId="71BF358E" w:rsidR="00E212CE" w:rsidRPr="00394ED7" w:rsidRDefault="00E212CE" w:rsidP="00ED58EE">
      <w:pPr>
        <w:spacing w:after="0" w:line="240" w:lineRule="auto"/>
        <w:ind w:left="0"/>
        <w:rPr>
          <w:rFonts w:ascii="Arial" w:eastAsia="Times New Roman" w:hAnsi="Arial" w:cs="Arial"/>
          <w:szCs w:val="24"/>
        </w:rPr>
      </w:pPr>
      <w:r>
        <w:rPr>
          <w:rFonts w:ascii="Arial" w:eastAsia="Times New Roman" w:hAnsi="Arial" w:cs="Arial"/>
          <w:szCs w:val="24"/>
        </w:rPr>
        <w:t>a</w:t>
      </w:r>
      <w:r w:rsidR="00CB5402" w:rsidRPr="00394ED7">
        <w:rPr>
          <w:rFonts w:ascii="Arial" w:eastAsia="Times New Roman" w:hAnsi="Arial" w:cs="Arial"/>
          <w:szCs w:val="24"/>
        </w:rPr>
        <w:t>nd</w:t>
      </w:r>
    </w:p>
    <w:p w14:paraId="3E90428D" w14:textId="77777777" w:rsidR="00785619" w:rsidRDefault="00785619" w:rsidP="00ED58EE">
      <w:pPr>
        <w:spacing w:after="0" w:line="240" w:lineRule="auto"/>
        <w:ind w:left="0"/>
        <w:rPr>
          <w:rFonts w:ascii="Arial" w:eastAsia="Times New Roman" w:hAnsi="Arial" w:cs="Arial"/>
          <w:b/>
          <w:szCs w:val="24"/>
        </w:rPr>
      </w:pPr>
    </w:p>
    <w:p w14:paraId="3F55ED92" w14:textId="3E8A7994" w:rsidR="00CB5402" w:rsidRPr="00394ED7" w:rsidRDefault="00E212CE" w:rsidP="00ED58EE">
      <w:pPr>
        <w:spacing w:after="0" w:line="240" w:lineRule="auto"/>
        <w:ind w:left="0"/>
        <w:rPr>
          <w:rFonts w:ascii="Arial" w:eastAsia="Times New Roman" w:hAnsi="Arial" w:cs="Arial"/>
          <w:szCs w:val="24"/>
          <w:lang w:eastAsia="en-US"/>
        </w:rPr>
      </w:pPr>
      <w:r>
        <w:rPr>
          <w:rFonts w:ascii="Arial" w:eastAsia="Times New Roman" w:hAnsi="Arial" w:cs="Arial"/>
          <w:b/>
          <w:szCs w:val="24"/>
        </w:rPr>
        <w:t>PHOSFERT TRADING (PTY) LIMITED</w:t>
      </w:r>
      <w:r w:rsidR="00CB5402" w:rsidRPr="00CB5402">
        <w:rPr>
          <w:rFonts w:ascii="Arial" w:eastAsia="Times New Roman" w:hAnsi="Arial" w:cs="Arial"/>
          <w:szCs w:val="24"/>
        </w:rPr>
        <w:t xml:space="preserve"> </w:t>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r w:rsidR="00BB7757">
        <w:rPr>
          <w:rFonts w:ascii="Arial" w:eastAsia="Times New Roman" w:hAnsi="Arial" w:cs="Arial"/>
          <w:szCs w:val="24"/>
        </w:rPr>
        <w:t xml:space="preserve">      </w:t>
      </w:r>
      <w:r w:rsidR="00BB7757" w:rsidRPr="00BB7757">
        <w:rPr>
          <w:rFonts w:ascii="Arial" w:eastAsia="Times New Roman" w:hAnsi="Arial" w:cs="Arial"/>
          <w:b/>
          <w:bCs/>
          <w:szCs w:val="24"/>
        </w:rPr>
        <w:t>Respondent</w:t>
      </w:r>
    </w:p>
    <w:p w14:paraId="5E87C56A" w14:textId="77777777" w:rsidR="00785619" w:rsidRDefault="00785619" w:rsidP="00ED58EE">
      <w:pPr>
        <w:spacing w:after="0" w:line="240" w:lineRule="auto"/>
        <w:ind w:left="0"/>
        <w:rPr>
          <w:rFonts w:ascii="Arial" w:eastAsia="Times New Roman" w:hAnsi="Arial" w:cs="Arial"/>
          <w:b/>
          <w:szCs w:val="24"/>
        </w:rPr>
      </w:pPr>
    </w:p>
    <w:p w14:paraId="2CB030A3" w14:textId="77777777" w:rsidR="00865E8B" w:rsidRDefault="00785619" w:rsidP="00ED58EE">
      <w:pPr>
        <w:spacing w:after="0" w:line="240" w:lineRule="auto"/>
        <w:ind w:left="0"/>
        <w:rPr>
          <w:rFonts w:ascii="Arial" w:eastAsia="Times New Roman" w:hAnsi="Arial" w:cs="Arial"/>
          <w:szCs w:val="24"/>
        </w:rPr>
      </w:pPr>
      <w:r>
        <w:rPr>
          <w:rFonts w:ascii="Arial" w:eastAsia="Times New Roman" w:hAnsi="Arial" w:cs="Arial"/>
          <w:b/>
          <w:szCs w:val="24"/>
        </w:rPr>
        <w:softHyphen/>
      </w:r>
      <w:r>
        <w:rPr>
          <w:rFonts w:ascii="Arial" w:eastAsia="Times New Roman" w:hAnsi="Arial" w:cs="Arial"/>
          <w:b/>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p>
    <w:p w14:paraId="7E46AFDB" w14:textId="4C9ABB4F" w:rsidR="00865E8B" w:rsidRPr="00F72473" w:rsidRDefault="00865E8B" w:rsidP="00ED58EE">
      <w:pPr>
        <w:spacing w:after="0" w:line="240" w:lineRule="auto"/>
        <w:ind w:left="0"/>
        <w:rPr>
          <w:rFonts w:ascii="Arial" w:eastAsia="Times New Roman" w:hAnsi="Arial" w:cs="Arial"/>
          <w:i/>
          <w:szCs w:val="24"/>
        </w:rPr>
      </w:pPr>
      <w:r w:rsidRPr="00F72473">
        <w:rPr>
          <w:rFonts w:ascii="Arial" w:eastAsia="Times New Roman" w:hAnsi="Arial" w:cs="Arial"/>
          <w:i/>
          <w:szCs w:val="24"/>
        </w:rPr>
        <w:t xml:space="preserve">This </w:t>
      </w:r>
      <w:r w:rsidR="00F72473" w:rsidRPr="00F72473">
        <w:rPr>
          <w:rFonts w:ascii="Arial" w:eastAsia="Times New Roman" w:hAnsi="Arial" w:cs="Arial"/>
          <w:i/>
          <w:szCs w:val="24"/>
        </w:rPr>
        <w:t>judgment was</w:t>
      </w:r>
      <w:r w:rsidRPr="00F72473">
        <w:rPr>
          <w:rFonts w:ascii="Arial" w:eastAsia="Times New Roman" w:hAnsi="Arial" w:cs="Arial"/>
          <w:i/>
          <w:szCs w:val="24"/>
        </w:rPr>
        <w:t xml:space="preserve"> handed down electronically by circulation to the parties' and/or the parties' representatives by email and by being uploaded to Case Lines. The date and time for hand-down is deemed to be 10h00 o</w:t>
      </w:r>
      <w:r w:rsidRPr="00F5220D">
        <w:rPr>
          <w:rFonts w:ascii="Arial" w:eastAsia="Times New Roman" w:hAnsi="Arial" w:cs="Arial"/>
          <w:i/>
          <w:color w:val="auto"/>
          <w:szCs w:val="24"/>
        </w:rPr>
        <w:t xml:space="preserve">n </w:t>
      </w:r>
      <w:r w:rsidR="00467784">
        <w:rPr>
          <w:rFonts w:ascii="Arial" w:eastAsia="Times New Roman" w:hAnsi="Arial" w:cs="Arial"/>
          <w:i/>
          <w:color w:val="auto"/>
          <w:szCs w:val="24"/>
        </w:rPr>
        <w:t>3</w:t>
      </w:r>
      <w:r w:rsidR="00BB7757" w:rsidRPr="00467784">
        <w:rPr>
          <w:rFonts w:ascii="Arial" w:eastAsia="Times New Roman" w:hAnsi="Arial" w:cs="Arial"/>
          <w:i/>
          <w:color w:val="auto"/>
          <w:szCs w:val="24"/>
        </w:rPr>
        <w:t xml:space="preserve"> February</w:t>
      </w:r>
      <w:r w:rsidRPr="00467784">
        <w:rPr>
          <w:rFonts w:ascii="Arial" w:eastAsia="Times New Roman" w:hAnsi="Arial" w:cs="Arial"/>
          <w:i/>
          <w:color w:val="auto"/>
          <w:szCs w:val="24"/>
        </w:rPr>
        <w:t xml:space="preserve"> 202</w:t>
      </w:r>
      <w:r w:rsidR="00BB7757" w:rsidRPr="00467784">
        <w:rPr>
          <w:rFonts w:ascii="Arial" w:eastAsia="Times New Roman" w:hAnsi="Arial" w:cs="Arial"/>
          <w:i/>
          <w:color w:val="auto"/>
          <w:szCs w:val="24"/>
        </w:rPr>
        <w:t>3</w:t>
      </w:r>
      <w:r w:rsidRPr="00F72473">
        <w:rPr>
          <w:rFonts w:ascii="Arial" w:eastAsia="Times New Roman" w:hAnsi="Arial" w:cs="Arial"/>
          <w:i/>
          <w:szCs w:val="24"/>
        </w:rPr>
        <w:t>.</w:t>
      </w:r>
    </w:p>
    <w:p w14:paraId="78D5722C" w14:textId="77777777" w:rsidR="00CB5402" w:rsidRDefault="00785619" w:rsidP="00ED58EE">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2F89E783" w14:textId="77777777" w:rsidR="00785619" w:rsidRDefault="00785619" w:rsidP="00785619">
      <w:pPr>
        <w:spacing w:after="0" w:line="240" w:lineRule="auto"/>
        <w:ind w:left="0"/>
        <w:jc w:val="center"/>
        <w:rPr>
          <w:rFonts w:ascii="Arial" w:eastAsia="Times New Roman" w:hAnsi="Arial" w:cs="Arial"/>
          <w:b/>
          <w:szCs w:val="24"/>
        </w:rPr>
      </w:pPr>
    </w:p>
    <w:p w14:paraId="58836B39" w14:textId="77777777" w:rsidR="00785619" w:rsidRDefault="00785619" w:rsidP="00785619">
      <w:pPr>
        <w:spacing w:after="0" w:line="240" w:lineRule="auto"/>
        <w:ind w:left="0"/>
        <w:jc w:val="center"/>
        <w:rPr>
          <w:rFonts w:ascii="Arial" w:eastAsia="Times New Roman" w:hAnsi="Arial" w:cs="Arial"/>
          <w:szCs w:val="24"/>
        </w:rPr>
      </w:pPr>
      <w:r w:rsidRPr="00394ED7">
        <w:rPr>
          <w:rFonts w:ascii="Arial" w:eastAsia="Times New Roman" w:hAnsi="Arial" w:cs="Arial"/>
          <w:b/>
          <w:szCs w:val="24"/>
        </w:rPr>
        <w:t>JUDGMENT</w:t>
      </w:r>
    </w:p>
    <w:p w14:paraId="44B5535B" w14:textId="77777777" w:rsidR="00785619" w:rsidRPr="00785619" w:rsidRDefault="00785619" w:rsidP="00785619">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7B4BA83D" w14:textId="77777777" w:rsidR="00564266" w:rsidRPr="00394ED7" w:rsidRDefault="00564266" w:rsidP="00785619">
      <w:pPr>
        <w:spacing w:after="0" w:line="240" w:lineRule="auto"/>
        <w:ind w:left="0"/>
        <w:rPr>
          <w:rFonts w:ascii="Arial" w:hAnsi="Arial" w:cs="Arial"/>
          <w:b/>
          <w:szCs w:val="24"/>
        </w:rPr>
      </w:pPr>
    </w:p>
    <w:p w14:paraId="208238BA" w14:textId="792F05D3" w:rsidR="00564266" w:rsidRPr="00ED58EE" w:rsidRDefault="001D42EA" w:rsidP="00ED58EE">
      <w:pPr>
        <w:spacing w:after="0" w:line="276" w:lineRule="auto"/>
        <w:rPr>
          <w:rFonts w:ascii="Arial" w:hAnsi="Arial" w:cs="Arial"/>
          <w:b/>
          <w:szCs w:val="24"/>
          <w:u w:val="single"/>
        </w:rPr>
      </w:pPr>
      <w:r w:rsidRPr="00ED58EE">
        <w:rPr>
          <w:rFonts w:ascii="Arial" w:hAnsi="Arial" w:cs="Arial"/>
          <w:b/>
          <w:szCs w:val="24"/>
          <w:u w:val="single"/>
        </w:rPr>
        <w:t>WANLESS</w:t>
      </w:r>
      <w:r w:rsidR="00F949A0" w:rsidRPr="00ED58EE">
        <w:rPr>
          <w:rFonts w:ascii="Arial" w:hAnsi="Arial" w:cs="Arial"/>
          <w:b/>
          <w:szCs w:val="24"/>
          <w:u w:val="single"/>
        </w:rPr>
        <w:t xml:space="preserve"> </w:t>
      </w:r>
      <w:r w:rsidRPr="00ED58EE">
        <w:rPr>
          <w:rFonts w:ascii="Arial" w:hAnsi="Arial" w:cs="Arial"/>
          <w:b/>
          <w:szCs w:val="24"/>
          <w:u w:val="single"/>
        </w:rPr>
        <w:t>A</w:t>
      </w:r>
      <w:r w:rsidR="00F949A0" w:rsidRPr="00ED58EE">
        <w:rPr>
          <w:rFonts w:ascii="Arial" w:hAnsi="Arial" w:cs="Arial"/>
          <w:b/>
          <w:szCs w:val="24"/>
          <w:u w:val="single"/>
        </w:rPr>
        <w:t>J</w:t>
      </w:r>
    </w:p>
    <w:p w14:paraId="3EC7081E" w14:textId="77777777" w:rsidR="000A3680" w:rsidRPr="00ED58EE" w:rsidRDefault="000A3680" w:rsidP="00ED58EE">
      <w:pPr>
        <w:spacing w:after="0" w:line="276" w:lineRule="auto"/>
        <w:rPr>
          <w:rFonts w:ascii="Arial" w:hAnsi="Arial" w:cs="Arial"/>
          <w:b/>
          <w:szCs w:val="24"/>
        </w:rPr>
      </w:pPr>
    </w:p>
    <w:p w14:paraId="748F4ADA" w14:textId="77777777" w:rsidR="0058466B" w:rsidRPr="00ED58EE" w:rsidRDefault="0058466B" w:rsidP="00ED58EE">
      <w:pPr>
        <w:spacing w:after="0" w:line="276" w:lineRule="auto"/>
        <w:rPr>
          <w:rFonts w:ascii="Arial" w:hAnsi="Arial" w:cs="Arial"/>
          <w:b/>
          <w:szCs w:val="24"/>
          <w:u w:val="single"/>
        </w:rPr>
      </w:pPr>
      <w:r w:rsidRPr="00ED58EE">
        <w:rPr>
          <w:rFonts w:ascii="Arial" w:hAnsi="Arial" w:cs="Arial"/>
          <w:b/>
          <w:szCs w:val="24"/>
          <w:u w:val="single"/>
        </w:rPr>
        <w:t>Introduction</w:t>
      </w:r>
    </w:p>
    <w:p w14:paraId="383772E0" w14:textId="77777777" w:rsidR="000A3680" w:rsidRPr="00ED58EE" w:rsidRDefault="000A3680" w:rsidP="00ED58EE">
      <w:pPr>
        <w:spacing w:after="0" w:line="276" w:lineRule="auto"/>
        <w:ind w:left="720"/>
        <w:rPr>
          <w:rFonts w:ascii="Arial" w:eastAsiaTheme="minorHAnsi" w:hAnsi="Arial" w:cs="Arial"/>
          <w:color w:val="auto"/>
          <w:szCs w:val="24"/>
          <w:lang w:eastAsia="en-US"/>
        </w:rPr>
      </w:pPr>
    </w:p>
    <w:p w14:paraId="081803C4" w14:textId="30E6378B" w:rsidR="00F5220D" w:rsidRPr="0016260F" w:rsidRDefault="0016260F" w:rsidP="0016260F">
      <w:pPr>
        <w:spacing w:after="0" w:line="276" w:lineRule="auto"/>
        <w:ind w:left="720" w:hanging="686"/>
        <w:rPr>
          <w:rFonts w:ascii="Arial" w:eastAsiaTheme="minorHAnsi" w:hAnsi="Arial" w:cs="Arial"/>
          <w:color w:val="auto"/>
          <w:szCs w:val="24"/>
          <w:lang w:eastAsia="en-US"/>
        </w:rPr>
      </w:pPr>
      <w:r w:rsidRPr="00ED58EE">
        <w:rPr>
          <w:rFonts w:ascii="Arial" w:eastAsiaTheme="minorHAnsi" w:hAnsi="Arial" w:cs="Arial"/>
          <w:color w:val="auto"/>
          <w:szCs w:val="24"/>
          <w:lang w:eastAsia="en-US"/>
        </w:rPr>
        <w:t>[1]</w:t>
      </w:r>
      <w:r w:rsidRPr="00ED58EE">
        <w:rPr>
          <w:rFonts w:ascii="Arial" w:eastAsiaTheme="minorHAnsi" w:hAnsi="Arial" w:cs="Arial"/>
          <w:color w:val="auto"/>
          <w:szCs w:val="24"/>
          <w:lang w:eastAsia="en-US"/>
        </w:rPr>
        <w:tab/>
      </w:r>
      <w:r w:rsidR="003D3771" w:rsidRPr="0016260F">
        <w:rPr>
          <w:rFonts w:ascii="Arial" w:eastAsiaTheme="minorHAnsi" w:hAnsi="Arial" w:cs="Arial"/>
          <w:color w:val="auto"/>
          <w:szCs w:val="24"/>
          <w:lang w:eastAsia="en-US"/>
        </w:rPr>
        <w:t>On the 27</w:t>
      </w:r>
      <w:r w:rsidR="003D3771" w:rsidRPr="0016260F">
        <w:rPr>
          <w:rFonts w:ascii="Arial" w:eastAsiaTheme="minorHAnsi" w:hAnsi="Arial" w:cs="Arial"/>
          <w:color w:val="auto"/>
          <w:szCs w:val="24"/>
          <w:vertAlign w:val="superscript"/>
          <w:lang w:eastAsia="en-US"/>
        </w:rPr>
        <w:t>th</w:t>
      </w:r>
      <w:r w:rsidR="003D3771" w:rsidRPr="0016260F">
        <w:rPr>
          <w:rFonts w:ascii="Arial" w:eastAsiaTheme="minorHAnsi" w:hAnsi="Arial" w:cs="Arial"/>
          <w:color w:val="auto"/>
          <w:szCs w:val="24"/>
          <w:lang w:eastAsia="en-US"/>
        </w:rPr>
        <w:t xml:space="preserve"> of July 2022 </w:t>
      </w:r>
      <w:r w:rsidR="003248DA" w:rsidRPr="0016260F">
        <w:rPr>
          <w:rFonts w:ascii="Arial" w:eastAsiaTheme="minorHAnsi" w:hAnsi="Arial" w:cs="Arial"/>
          <w:color w:val="auto"/>
          <w:szCs w:val="24"/>
          <w:lang w:eastAsia="en-US"/>
        </w:rPr>
        <w:t>Mudau J</w:t>
      </w:r>
      <w:r w:rsidR="003D3771" w:rsidRPr="0016260F">
        <w:rPr>
          <w:rFonts w:ascii="Arial" w:eastAsiaTheme="minorHAnsi" w:hAnsi="Arial" w:cs="Arial"/>
          <w:color w:val="auto"/>
          <w:szCs w:val="24"/>
          <w:lang w:eastAsia="en-US"/>
        </w:rPr>
        <w:t xml:space="preserve"> heard an application by THE LAND AND AGRICULTURAL DEVELOPMENT BANK OF SOUTH AFRICA </w:t>
      </w:r>
      <w:r w:rsidR="003D3771" w:rsidRPr="0016260F">
        <w:rPr>
          <w:rFonts w:ascii="Arial" w:eastAsiaTheme="minorHAnsi" w:hAnsi="Arial" w:cs="Arial"/>
          <w:i/>
          <w:iCs/>
          <w:color w:val="auto"/>
          <w:szCs w:val="24"/>
          <w:lang w:eastAsia="en-US"/>
        </w:rPr>
        <w:t>(“the Applicant”)</w:t>
      </w:r>
      <w:r w:rsidR="003D3771" w:rsidRPr="0016260F">
        <w:rPr>
          <w:rFonts w:ascii="Arial" w:eastAsiaTheme="minorHAnsi" w:hAnsi="Arial" w:cs="Arial"/>
          <w:color w:val="auto"/>
          <w:szCs w:val="24"/>
          <w:lang w:eastAsia="en-US"/>
        </w:rPr>
        <w:t xml:space="preserve"> for the </w:t>
      </w:r>
      <w:r w:rsidR="00345237" w:rsidRPr="0016260F">
        <w:rPr>
          <w:rFonts w:ascii="Arial" w:eastAsiaTheme="minorHAnsi" w:hAnsi="Arial" w:cs="Arial"/>
          <w:color w:val="auto"/>
          <w:szCs w:val="24"/>
          <w:lang w:eastAsia="en-US"/>
        </w:rPr>
        <w:t>final</w:t>
      </w:r>
      <w:r w:rsidR="003D3771" w:rsidRPr="0016260F">
        <w:rPr>
          <w:rFonts w:ascii="Arial" w:eastAsiaTheme="minorHAnsi" w:hAnsi="Arial" w:cs="Arial"/>
          <w:color w:val="auto"/>
          <w:szCs w:val="24"/>
          <w:lang w:eastAsia="en-US"/>
        </w:rPr>
        <w:t>,</w:t>
      </w:r>
      <w:r w:rsidR="003248DA" w:rsidRPr="0016260F">
        <w:rPr>
          <w:rFonts w:ascii="Arial" w:eastAsiaTheme="minorHAnsi" w:hAnsi="Arial" w:cs="Arial"/>
          <w:color w:val="auto"/>
          <w:szCs w:val="24"/>
          <w:lang w:eastAsia="en-US"/>
        </w:rPr>
        <w:t xml:space="preserve"> </w:t>
      </w:r>
      <w:r w:rsidR="003D3771" w:rsidRPr="0016260F">
        <w:rPr>
          <w:rFonts w:ascii="Arial" w:eastAsiaTheme="minorHAnsi" w:hAnsi="Arial" w:cs="Arial"/>
          <w:i/>
          <w:iCs/>
          <w:color w:val="auto"/>
          <w:szCs w:val="24"/>
          <w:lang w:eastAsia="en-US"/>
        </w:rPr>
        <w:t>alternatively</w:t>
      </w:r>
      <w:r w:rsidR="003D3771" w:rsidRPr="0016260F">
        <w:rPr>
          <w:rFonts w:ascii="Arial" w:eastAsiaTheme="minorHAnsi" w:hAnsi="Arial" w:cs="Arial"/>
          <w:color w:val="auto"/>
          <w:szCs w:val="24"/>
          <w:lang w:eastAsia="en-US"/>
        </w:rPr>
        <w:t xml:space="preserve">, </w:t>
      </w:r>
      <w:r w:rsidR="00345237" w:rsidRPr="0016260F">
        <w:rPr>
          <w:rFonts w:ascii="Arial" w:eastAsiaTheme="minorHAnsi" w:hAnsi="Arial" w:cs="Arial"/>
          <w:color w:val="auto"/>
          <w:szCs w:val="24"/>
          <w:lang w:eastAsia="en-US"/>
        </w:rPr>
        <w:t>provisional</w:t>
      </w:r>
      <w:r w:rsidR="003D3771" w:rsidRPr="0016260F">
        <w:rPr>
          <w:rFonts w:ascii="Arial" w:eastAsiaTheme="minorHAnsi" w:hAnsi="Arial" w:cs="Arial"/>
          <w:color w:val="auto"/>
          <w:szCs w:val="24"/>
          <w:lang w:eastAsia="en-US"/>
        </w:rPr>
        <w:t xml:space="preserve">, winding-up of </w:t>
      </w:r>
      <w:r w:rsidR="003D3771" w:rsidRPr="0016260F">
        <w:rPr>
          <w:rFonts w:ascii="Arial" w:eastAsia="Times New Roman" w:hAnsi="Arial" w:cs="Arial"/>
          <w:bCs/>
          <w:szCs w:val="24"/>
        </w:rPr>
        <w:t xml:space="preserve">PHOSFERT TRADING (PTY) LIMITED </w:t>
      </w:r>
      <w:r w:rsidR="003D3771" w:rsidRPr="0016260F">
        <w:rPr>
          <w:rFonts w:ascii="Arial" w:eastAsia="Times New Roman" w:hAnsi="Arial" w:cs="Arial"/>
          <w:bCs/>
          <w:i/>
          <w:iCs/>
          <w:szCs w:val="24"/>
        </w:rPr>
        <w:t>(“the Respondent”)</w:t>
      </w:r>
      <w:r w:rsidR="003D3771" w:rsidRPr="0016260F">
        <w:rPr>
          <w:rFonts w:ascii="Arial" w:eastAsia="Times New Roman" w:hAnsi="Arial" w:cs="Arial"/>
          <w:bCs/>
          <w:szCs w:val="24"/>
        </w:rPr>
        <w:t>.</w:t>
      </w:r>
      <w:r w:rsidR="003248DA" w:rsidRPr="0016260F">
        <w:rPr>
          <w:rFonts w:ascii="Arial" w:eastAsia="Times New Roman" w:hAnsi="Arial" w:cs="Arial"/>
          <w:bCs/>
          <w:szCs w:val="24"/>
        </w:rPr>
        <w:t xml:space="preserve"> The application was opposed and argument was presented before the learned Judge.</w:t>
      </w:r>
      <w:r w:rsidR="003D3771" w:rsidRPr="0016260F">
        <w:rPr>
          <w:rFonts w:ascii="Arial" w:eastAsia="Times New Roman" w:hAnsi="Arial" w:cs="Arial"/>
          <w:bCs/>
          <w:szCs w:val="24"/>
        </w:rPr>
        <w:t xml:space="preserve"> Pursuant thereto, on the </w:t>
      </w:r>
      <w:r w:rsidR="003248DA" w:rsidRPr="0016260F">
        <w:rPr>
          <w:rFonts w:ascii="Arial" w:eastAsia="Times New Roman" w:hAnsi="Arial" w:cs="Arial"/>
          <w:bCs/>
          <w:szCs w:val="24"/>
        </w:rPr>
        <w:t>15</w:t>
      </w:r>
      <w:r w:rsidR="003248DA" w:rsidRPr="0016260F">
        <w:rPr>
          <w:rFonts w:ascii="Arial" w:eastAsia="Times New Roman" w:hAnsi="Arial" w:cs="Arial"/>
          <w:bCs/>
          <w:szCs w:val="24"/>
          <w:vertAlign w:val="superscript"/>
        </w:rPr>
        <w:t>th</w:t>
      </w:r>
      <w:r w:rsidR="003248DA" w:rsidRPr="0016260F">
        <w:rPr>
          <w:rFonts w:ascii="Arial" w:eastAsia="Times New Roman" w:hAnsi="Arial" w:cs="Arial"/>
          <w:bCs/>
          <w:szCs w:val="24"/>
        </w:rPr>
        <w:t xml:space="preserve"> of September 2022, </w:t>
      </w:r>
      <w:r w:rsidR="003248DA" w:rsidRPr="0016260F">
        <w:rPr>
          <w:rFonts w:ascii="Arial" w:eastAsia="Times New Roman" w:hAnsi="Arial" w:cs="Arial"/>
          <w:bCs/>
          <w:szCs w:val="24"/>
        </w:rPr>
        <w:lastRenderedPageBreak/>
        <w:t>Mudau J</w:t>
      </w:r>
      <w:r w:rsidR="00A23D21" w:rsidRPr="0016260F">
        <w:rPr>
          <w:rFonts w:ascii="Arial" w:eastAsia="Times New Roman" w:hAnsi="Arial" w:cs="Arial"/>
          <w:bCs/>
          <w:szCs w:val="24"/>
        </w:rPr>
        <w:t xml:space="preserve"> delivered a written judgment</w:t>
      </w:r>
      <w:r w:rsidR="007C4D9A" w:rsidRPr="00ED58EE">
        <w:rPr>
          <w:rStyle w:val="FootnoteReference"/>
          <w:rFonts w:ascii="Arial" w:eastAsia="Times New Roman" w:hAnsi="Arial" w:cs="Arial"/>
          <w:bCs/>
          <w:szCs w:val="24"/>
        </w:rPr>
        <w:footnoteReference w:id="2"/>
      </w:r>
      <w:r w:rsidR="00A23D21" w:rsidRPr="0016260F">
        <w:rPr>
          <w:rFonts w:ascii="Arial" w:eastAsia="Times New Roman" w:hAnsi="Arial" w:cs="Arial"/>
          <w:bCs/>
          <w:szCs w:val="24"/>
        </w:rPr>
        <w:t xml:space="preserve"> and </w:t>
      </w:r>
      <w:r w:rsidR="003248DA" w:rsidRPr="0016260F">
        <w:rPr>
          <w:rFonts w:ascii="Arial" w:eastAsia="Times New Roman" w:hAnsi="Arial" w:cs="Arial"/>
          <w:bCs/>
          <w:szCs w:val="24"/>
        </w:rPr>
        <w:t>granted an order whereby the Respondent was provisionally wound-up. Thereafter, the Applicant complied with the terms of the order in respect of service</w:t>
      </w:r>
      <w:r w:rsidR="00A23D21" w:rsidRPr="0016260F">
        <w:rPr>
          <w:rFonts w:ascii="Arial" w:eastAsia="Times New Roman" w:hAnsi="Arial" w:cs="Arial"/>
          <w:bCs/>
          <w:szCs w:val="24"/>
        </w:rPr>
        <w:t xml:space="preserve"> and the</w:t>
      </w:r>
      <w:r w:rsidR="003248DA" w:rsidRPr="0016260F">
        <w:rPr>
          <w:rFonts w:ascii="Arial" w:eastAsia="Times New Roman" w:hAnsi="Arial" w:cs="Arial"/>
          <w:bCs/>
          <w:szCs w:val="24"/>
        </w:rPr>
        <w:t xml:space="preserve"> Respondent</w:t>
      </w:r>
      <w:r w:rsidR="0011714E" w:rsidRPr="0016260F">
        <w:rPr>
          <w:rFonts w:ascii="Arial" w:eastAsia="Times New Roman" w:hAnsi="Arial" w:cs="Arial"/>
          <w:bCs/>
          <w:szCs w:val="24"/>
        </w:rPr>
        <w:t xml:space="preserve"> has</w:t>
      </w:r>
      <w:r w:rsidR="003248DA" w:rsidRPr="0016260F">
        <w:rPr>
          <w:rFonts w:ascii="Arial" w:eastAsia="Times New Roman" w:hAnsi="Arial" w:cs="Arial"/>
          <w:bCs/>
          <w:szCs w:val="24"/>
        </w:rPr>
        <w:t xml:space="preserve"> opposed</w:t>
      </w:r>
      <w:r w:rsidR="0011714E" w:rsidRPr="0016260F">
        <w:rPr>
          <w:rFonts w:ascii="Arial" w:eastAsia="Times New Roman" w:hAnsi="Arial" w:cs="Arial"/>
          <w:bCs/>
          <w:szCs w:val="24"/>
        </w:rPr>
        <w:t xml:space="preserve"> the granting of a final winding-up order.</w:t>
      </w:r>
      <w:r w:rsidR="00A23D21" w:rsidRPr="0016260F">
        <w:rPr>
          <w:rFonts w:ascii="Arial" w:eastAsia="Times New Roman" w:hAnsi="Arial" w:cs="Arial"/>
          <w:bCs/>
          <w:szCs w:val="24"/>
        </w:rPr>
        <w:t xml:space="preserve"> The application papers were not supplemented by either party. Arising therefrom, the issues essentially remain the same insofar as the grounds upon which the Applicant relies for the winding-up of the Respondent and the opposition thereto on behalf of the Responden</w:t>
      </w:r>
      <w:r w:rsidR="00124E15" w:rsidRPr="0016260F">
        <w:rPr>
          <w:rFonts w:ascii="Arial" w:eastAsia="Times New Roman" w:hAnsi="Arial" w:cs="Arial"/>
          <w:bCs/>
          <w:szCs w:val="24"/>
        </w:rPr>
        <w:t>t,</w:t>
      </w:r>
      <w:r w:rsidR="00A23D21" w:rsidRPr="0016260F">
        <w:rPr>
          <w:rFonts w:ascii="Arial" w:eastAsia="Times New Roman" w:hAnsi="Arial" w:cs="Arial"/>
          <w:bCs/>
          <w:szCs w:val="24"/>
        </w:rPr>
        <w:t xml:space="preserve"> are concer</w:t>
      </w:r>
      <w:r w:rsidR="003E1714" w:rsidRPr="0016260F">
        <w:rPr>
          <w:rFonts w:ascii="Arial" w:eastAsia="Times New Roman" w:hAnsi="Arial" w:cs="Arial"/>
          <w:bCs/>
          <w:szCs w:val="24"/>
        </w:rPr>
        <w:t>ned. It follows therefrom that the decision this Court must make is whether the Respondent should be finally wound-up or whether</w:t>
      </w:r>
      <w:r w:rsidR="00835F76" w:rsidRPr="0016260F">
        <w:rPr>
          <w:rFonts w:ascii="Arial" w:eastAsia="Times New Roman" w:hAnsi="Arial" w:cs="Arial"/>
          <w:bCs/>
          <w:szCs w:val="24"/>
        </w:rPr>
        <w:t xml:space="preserve"> the application for the winding-up of the Respondent should be dismissed and</w:t>
      </w:r>
      <w:r w:rsidR="003E1714" w:rsidRPr="0016260F">
        <w:rPr>
          <w:rFonts w:ascii="Arial" w:eastAsia="Times New Roman" w:hAnsi="Arial" w:cs="Arial"/>
          <w:bCs/>
          <w:szCs w:val="24"/>
        </w:rPr>
        <w:t xml:space="preserve"> the order of Mudau J</w:t>
      </w:r>
      <w:r w:rsidR="00835F76" w:rsidRPr="0016260F">
        <w:rPr>
          <w:rFonts w:ascii="Arial" w:eastAsia="Times New Roman" w:hAnsi="Arial" w:cs="Arial"/>
          <w:bCs/>
          <w:szCs w:val="24"/>
        </w:rPr>
        <w:t xml:space="preserve"> provisionally winding-up the Respondent</w:t>
      </w:r>
      <w:r w:rsidR="00F5220D" w:rsidRPr="0016260F">
        <w:rPr>
          <w:rFonts w:ascii="Arial" w:eastAsia="Times New Roman" w:hAnsi="Arial" w:cs="Arial"/>
          <w:bCs/>
          <w:szCs w:val="24"/>
        </w:rPr>
        <w:t xml:space="preserve"> set aside.</w:t>
      </w:r>
    </w:p>
    <w:p w14:paraId="0A71C6C8" w14:textId="77777777" w:rsidR="00F5220D" w:rsidRPr="00ED58EE" w:rsidRDefault="00F5220D" w:rsidP="00ED58EE">
      <w:pPr>
        <w:pStyle w:val="ListParagraph"/>
        <w:spacing w:after="0" w:line="276" w:lineRule="auto"/>
        <w:rPr>
          <w:rFonts w:ascii="Arial" w:eastAsiaTheme="minorHAnsi" w:hAnsi="Arial" w:cs="Arial"/>
          <w:color w:val="auto"/>
          <w:szCs w:val="24"/>
          <w:lang w:eastAsia="en-US"/>
        </w:rPr>
      </w:pPr>
    </w:p>
    <w:p w14:paraId="3EDCFDD0" w14:textId="7DA633D6" w:rsidR="00C264AD" w:rsidRPr="0016260F" w:rsidRDefault="0016260F" w:rsidP="0016260F">
      <w:pPr>
        <w:spacing w:after="0" w:line="276" w:lineRule="auto"/>
        <w:ind w:left="720" w:hanging="686"/>
        <w:rPr>
          <w:rFonts w:ascii="Arial" w:eastAsiaTheme="minorHAnsi" w:hAnsi="Arial" w:cs="Arial"/>
          <w:color w:val="auto"/>
          <w:szCs w:val="24"/>
          <w:lang w:eastAsia="en-US"/>
        </w:rPr>
      </w:pPr>
      <w:r w:rsidRPr="00ED58EE">
        <w:rPr>
          <w:rFonts w:ascii="Arial" w:eastAsiaTheme="minorHAnsi" w:hAnsi="Arial" w:cs="Arial"/>
          <w:color w:val="auto"/>
          <w:szCs w:val="24"/>
          <w:lang w:eastAsia="en-US"/>
        </w:rPr>
        <w:t>[2</w:t>
      </w:r>
      <w:bookmarkStart w:id="0" w:name="_GoBack"/>
      <w:bookmarkEnd w:id="0"/>
      <w:r w:rsidRPr="00ED58EE">
        <w:rPr>
          <w:rFonts w:ascii="Arial" w:eastAsiaTheme="minorHAnsi" w:hAnsi="Arial" w:cs="Arial"/>
          <w:color w:val="auto"/>
          <w:szCs w:val="24"/>
          <w:lang w:eastAsia="en-US"/>
        </w:rPr>
        <w:t>]</w:t>
      </w:r>
      <w:r w:rsidRPr="00ED58EE">
        <w:rPr>
          <w:rFonts w:ascii="Arial" w:eastAsiaTheme="minorHAnsi" w:hAnsi="Arial" w:cs="Arial"/>
          <w:color w:val="auto"/>
          <w:szCs w:val="24"/>
          <w:lang w:eastAsia="en-US"/>
        </w:rPr>
        <w:tab/>
      </w:r>
      <w:r w:rsidR="00C264AD" w:rsidRPr="0016260F">
        <w:rPr>
          <w:rFonts w:ascii="Arial" w:eastAsia="Times New Roman" w:hAnsi="Arial" w:cs="Arial"/>
          <w:bCs/>
          <w:szCs w:val="24"/>
        </w:rPr>
        <w:t xml:space="preserve">The Applicant’s application for the winding-up of the Respondent is in terms of subsection 346(1)(b) of the </w:t>
      </w:r>
      <w:r w:rsidR="00C264AD" w:rsidRPr="0016260F">
        <w:rPr>
          <w:rFonts w:ascii="Arial" w:eastAsia="Times New Roman" w:hAnsi="Arial" w:cs="Arial"/>
          <w:bCs/>
          <w:i/>
          <w:iCs/>
          <w:szCs w:val="24"/>
        </w:rPr>
        <w:t>Companies Act 61 of 1973 (“the Act”)</w:t>
      </w:r>
      <w:r w:rsidR="00C264AD" w:rsidRPr="0016260F">
        <w:rPr>
          <w:rFonts w:ascii="Arial" w:eastAsia="Times New Roman" w:hAnsi="Arial" w:cs="Arial"/>
          <w:bCs/>
          <w:szCs w:val="24"/>
        </w:rPr>
        <w:t xml:space="preserve"> read with subsections 344(</w:t>
      </w:r>
      <w:r w:rsidR="00F921B5" w:rsidRPr="0016260F">
        <w:rPr>
          <w:rFonts w:ascii="Arial" w:eastAsia="Times New Roman" w:hAnsi="Arial" w:cs="Arial"/>
          <w:bCs/>
          <w:szCs w:val="24"/>
        </w:rPr>
        <w:t>f</w:t>
      </w:r>
      <w:r w:rsidR="00C264AD" w:rsidRPr="0016260F">
        <w:rPr>
          <w:rFonts w:ascii="Arial" w:eastAsia="Times New Roman" w:hAnsi="Arial" w:cs="Arial"/>
          <w:bCs/>
          <w:szCs w:val="24"/>
        </w:rPr>
        <w:t>) and (</w:t>
      </w:r>
      <w:r w:rsidR="00F921B5" w:rsidRPr="0016260F">
        <w:rPr>
          <w:rFonts w:ascii="Arial" w:eastAsia="Times New Roman" w:hAnsi="Arial" w:cs="Arial"/>
          <w:bCs/>
          <w:szCs w:val="24"/>
        </w:rPr>
        <w:t>h</w:t>
      </w:r>
      <w:r w:rsidR="00C264AD" w:rsidRPr="0016260F">
        <w:rPr>
          <w:rFonts w:ascii="Arial" w:eastAsia="Times New Roman" w:hAnsi="Arial" w:cs="Arial"/>
          <w:bCs/>
          <w:szCs w:val="24"/>
        </w:rPr>
        <w:t>) and 345(1)(c) of the Act.</w:t>
      </w:r>
    </w:p>
    <w:p w14:paraId="3C4EE82C" w14:textId="77777777" w:rsidR="00835F76" w:rsidRPr="00ED58EE" w:rsidRDefault="00835F76" w:rsidP="00ED58EE">
      <w:pPr>
        <w:pStyle w:val="ListParagraph"/>
        <w:spacing w:after="0" w:line="276" w:lineRule="auto"/>
        <w:rPr>
          <w:rFonts w:ascii="Arial" w:eastAsiaTheme="minorHAnsi" w:hAnsi="Arial" w:cs="Arial"/>
          <w:color w:val="auto"/>
          <w:szCs w:val="24"/>
          <w:lang w:eastAsia="en-US"/>
        </w:rPr>
      </w:pPr>
    </w:p>
    <w:p w14:paraId="4B3A5B2F" w14:textId="57C516B1" w:rsidR="00F921B5" w:rsidRPr="00ED58EE" w:rsidRDefault="00F921B5" w:rsidP="00ED58EE">
      <w:pPr>
        <w:spacing w:after="0" w:line="276" w:lineRule="auto"/>
        <w:ind w:left="0" w:firstLine="720"/>
        <w:rPr>
          <w:rFonts w:ascii="Arial" w:eastAsiaTheme="minorHAnsi" w:hAnsi="Arial" w:cs="Arial"/>
          <w:color w:val="auto"/>
          <w:szCs w:val="24"/>
          <w:lang w:eastAsia="en-US"/>
        </w:rPr>
      </w:pPr>
      <w:r w:rsidRPr="00ED58EE">
        <w:rPr>
          <w:rFonts w:ascii="Arial" w:eastAsiaTheme="minorHAnsi" w:hAnsi="Arial" w:cs="Arial"/>
          <w:i/>
          <w:iCs/>
          <w:color w:val="auto"/>
          <w:szCs w:val="24"/>
          <w:lang w:eastAsia="en-US"/>
        </w:rPr>
        <w:t xml:space="preserve">Subsection </w:t>
      </w:r>
      <w:r w:rsidRPr="00ED58EE">
        <w:rPr>
          <w:rFonts w:ascii="Arial" w:eastAsia="Times New Roman" w:hAnsi="Arial" w:cs="Arial"/>
          <w:bCs/>
          <w:i/>
          <w:iCs/>
          <w:szCs w:val="24"/>
        </w:rPr>
        <w:t>346(1)(b) of the Act</w:t>
      </w:r>
      <w:r w:rsidRPr="00ED58EE">
        <w:rPr>
          <w:rFonts w:ascii="Arial" w:eastAsia="Times New Roman" w:hAnsi="Arial" w:cs="Arial"/>
          <w:bCs/>
          <w:szCs w:val="24"/>
        </w:rPr>
        <w:t xml:space="preserve"> states:</w:t>
      </w:r>
    </w:p>
    <w:p w14:paraId="18C8FE42" w14:textId="77777777" w:rsidR="00F921B5" w:rsidRPr="00ED58EE" w:rsidRDefault="00F921B5" w:rsidP="00ED58EE">
      <w:pPr>
        <w:pStyle w:val="ListParagraph"/>
        <w:spacing w:after="0" w:line="276" w:lineRule="auto"/>
        <w:rPr>
          <w:rFonts w:ascii="Arial" w:eastAsiaTheme="minorHAnsi" w:hAnsi="Arial" w:cs="Arial"/>
          <w:color w:val="auto"/>
          <w:szCs w:val="24"/>
          <w:lang w:eastAsia="en-US"/>
        </w:rPr>
      </w:pPr>
    </w:p>
    <w:p w14:paraId="2CBDAE68" w14:textId="77777777" w:rsidR="00F921B5" w:rsidRPr="00ED58EE" w:rsidRDefault="00F921B5" w:rsidP="00ED58EE">
      <w:pPr>
        <w:spacing w:after="0" w:line="276" w:lineRule="auto"/>
        <w:ind w:left="720" w:firstLine="720"/>
        <w:rPr>
          <w:rFonts w:ascii="Arial" w:hAnsi="Arial" w:cs="Arial"/>
          <w:b/>
          <w:bCs/>
          <w:szCs w:val="24"/>
        </w:rPr>
      </w:pPr>
      <w:r w:rsidRPr="00ED58EE">
        <w:rPr>
          <w:rFonts w:ascii="Arial" w:eastAsiaTheme="minorHAnsi" w:hAnsi="Arial" w:cs="Arial"/>
          <w:color w:val="auto"/>
          <w:szCs w:val="24"/>
          <w:lang w:eastAsia="en-US"/>
        </w:rPr>
        <w:t>“</w:t>
      </w:r>
      <w:r w:rsidR="00C264AD" w:rsidRPr="00ED58EE">
        <w:rPr>
          <w:rFonts w:ascii="Arial" w:hAnsi="Arial" w:cs="Arial"/>
          <w:b/>
          <w:bCs/>
          <w:szCs w:val="24"/>
        </w:rPr>
        <w:t xml:space="preserve">Application for winding-up of company </w:t>
      </w:r>
    </w:p>
    <w:p w14:paraId="4EEEDB40" w14:textId="17F8CD9F" w:rsidR="00610CE6" w:rsidRPr="0016260F" w:rsidRDefault="0016260F" w:rsidP="0016260F">
      <w:pPr>
        <w:spacing w:after="0" w:line="276" w:lineRule="auto"/>
        <w:ind w:left="2160" w:hanging="720"/>
        <w:rPr>
          <w:rFonts w:ascii="Arial" w:eastAsiaTheme="minorHAnsi" w:hAnsi="Arial" w:cs="Arial"/>
          <w:color w:val="auto"/>
          <w:szCs w:val="24"/>
          <w:lang w:eastAsia="en-US"/>
        </w:rPr>
      </w:pPr>
      <w:r w:rsidRPr="00ED58EE">
        <w:rPr>
          <w:rFonts w:ascii="Arial" w:hAnsi="Arial" w:cs="Arial"/>
          <w:szCs w:val="24"/>
          <w:lang w:eastAsia="en-US"/>
        </w:rPr>
        <w:t>(1)</w:t>
      </w:r>
      <w:r w:rsidRPr="00ED58EE">
        <w:rPr>
          <w:rFonts w:ascii="Arial" w:hAnsi="Arial" w:cs="Arial"/>
          <w:szCs w:val="24"/>
          <w:lang w:eastAsia="en-US"/>
        </w:rPr>
        <w:tab/>
      </w:r>
      <w:r w:rsidR="00C264AD" w:rsidRPr="0016260F">
        <w:rPr>
          <w:rFonts w:ascii="Arial" w:hAnsi="Arial" w:cs="Arial"/>
          <w:szCs w:val="24"/>
        </w:rPr>
        <w:t>An application to the Court for the winding-up of a company may, subject to the provisions of this section, be made-</w:t>
      </w:r>
    </w:p>
    <w:p w14:paraId="7F4CEBF8" w14:textId="77777777" w:rsidR="00610CE6" w:rsidRPr="00ED58EE" w:rsidRDefault="00610CE6" w:rsidP="00ED58EE">
      <w:pPr>
        <w:pStyle w:val="ListParagraph"/>
        <w:spacing w:after="0" w:line="276" w:lineRule="auto"/>
        <w:ind w:left="2160"/>
        <w:rPr>
          <w:rFonts w:ascii="Arial" w:hAnsi="Arial" w:cs="Arial"/>
          <w:szCs w:val="24"/>
        </w:rPr>
      </w:pPr>
    </w:p>
    <w:p w14:paraId="46CA9EA6" w14:textId="1D672561" w:rsidR="00C264AD" w:rsidRPr="0016260F" w:rsidRDefault="0016260F" w:rsidP="0016260F">
      <w:pPr>
        <w:spacing w:after="0" w:line="276" w:lineRule="auto"/>
        <w:ind w:left="2520" w:hanging="360"/>
        <w:rPr>
          <w:rFonts w:ascii="Arial" w:eastAsiaTheme="minorHAnsi" w:hAnsi="Arial" w:cs="Arial"/>
          <w:color w:val="auto"/>
          <w:szCs w:val="24"/>
          <w:lang w:eastAsia="en-US"/>
        </w:rPr>
      </w:pPr>
      <w:r w:rsidRPr="00ED58EE">
        <w:rPr>
          <w:szCs w:val="24"/>
          <w:lang w:eastAsia="en-US"/>
        </w:rPr>
        <w:t>(a)</w:t>
      </w:r>
      <w:r w:rsidRPr="00ED58EE">
        <w:rPr>
          <w:szCs w:val="24"/>
          <w:lang w:eastAsia="en-US"/>
        </w:rPr>
        <w:tab/>
      </w:r>
      <w:r w:rsidR="00C264AD" w:rsidRPr="0016260F">
        <w:rPr>
          <w:rFonts w:ascii="Arial" w:hAnsi="Arial" w:cs="Arial"/>
          <w:szCs w:val="24"/>
        </w:rPr>
        <w:t xml:space="preserve"> </w:t>
      </w:r>
      <w:r w:rsidR="00610CE6" w:rsidRPr="0016260F">
        <w:rPr>
          <w:rFonts w:ascii="Arial" w:hAnsi="Arial" w:cs="Arial"/>
          <w:szCs w:val="24"/>
        </w:rPr>
        <w:tab/>
      </w:r>
      <w:r w:rsidR="00F921B5" w:rsidRPr="0016260F">
        <w:rPr>
          <w:rFonts w:ascii="Arial" w:hAnsi="Arial" w:cs="Arial"/>
          <w:szCs w:val="24"/>
        </w:rPr>
        <w:t>………………………………………...</w:t>
      </w:r>
      <w:r w:rsidR="00C264AD" w:rsidRPr="0016260F">
        <w:rPr>
          <w:rFonts w:ascii="Arial" w:hAnsi="Arial" w:cs="Arial"/>
          <w:szCs w:val="24"/>
        </w:rPr>
        <w:t xml:space="preserve"> </w:t>
      </w:r>
    </w:p>
    <w:p w14:paraId="66353366" w14:textId="77777777" w:rsidR="00C264AD" w:rsidRPr="00ED58EE" w:rsidRDefault="00C264AD" w:rsidP="00ED58EE">
      <w:pPr>
        <w:pStyle w:val="Default"/>
        <w:spacing w:line="276" w:lineRule="auto"/>
        <w:jc w:val="both"/>
      </w:pPr>
    </w:p>
    <w:p w14:paraId="65320F9A" w14:textId="53427D7F" w:rsidR="00C91BF7" w:rsidRPr="00ED58EE" w:rsidRDefault="00C264AD" w:rsidP="00ED58EE">
      <w:pPr>
        <w:spacing w:after="0" w:line="276" w:lineRule="auto"/>
        <w:ind w:left="2880" w:hanging="720"/>
        <w:rPr>
          <w:rFonts w:ascii="Arial" w:hAnsi="Arial" w:cs="Arial"/>
          <w:i/>
          <w:iCs/>
          <w:szCs w:val="24"/>
        </w:rPr>
      </w:pPr>
      <w:r w:rsidRPr="00ED58EE">
        <w:rPr>
          <w:rFonts w:ascii="Arial" w:hAnsi="Arial" w:cs="Arial"/>
          <w:szCs w:val="24"/>
        </w:rPr>
        <w:t xml:space="preserve">(b) </w:t>
      </w:r>
      <w:r w:rsidR="00610CE6" w:rsidRPr="00ED58EE">
        <w:rPr>
          <w:rFonts w:ascii="Arial" w:hAnsi="Arial" w:cs="Arial"/>
          <w:szCs w:val="24"/>
        </w:rPr>
        <w:tab/>
      </w:r>
      <w:r w:rsidRPr="00ED58EE">
        <w:rPr>
          <w:rFonts w:ascii="Arial" w:hAnsi="Arial" w:cs="Arial"/>
          <w:szCs w:val="24"/>
        </w:rPr>
        <w:t xml:space="preserve">by one or more of its </w:t>
      </w:r>
      <w:r w:rsidRPr="00ED58EE">
        <w:rPr>
          <w:rFonts w:ascii="Arial" w:hAnsi="Arial" w:cs="Arial"/>
          <w:szCs w:val="24"/>
          <w:u w:val="single"/>
        </w:rPr>
        <w:t>creditors (including contingent or prospective creditors</w:t>
      </w:r>
      <w:r w:rsidRPr="00ED58EE">
        <w:rPr>
          <w:rFonts w:ascii="Arial" w:hAnsi="Arial" w:cs="Arial"/>
          <w:szCs w:val="24"/>
        </w:rPr>
        <w:t>);</w:t>
      </w:r>
      <w:r w:rsidR="00F921B5" w:rsidRPr="00ED58EE">
        <w:rPr>
          <w:rFonts w:ascii="Arial" w:hAnsi="Arial" w:cs="Arial"/>
          <w:szCs w:val="24"/>
        </w:rPr>
        <w:t xml:space="preserve">” </w:t>
      </w:r>
      <w:r w:rsidR="00610CE6" w:rsidRPr="00ED58EE">
        <w:rPr>
          <w:rStyle w:val="FootnoteReference"/>
          <w:rFonts w:ascii="Arial" w:hAnsi="Arial" w:cs="Arial"/>
          <w:szCs w:val="24"/>
        </w:rPr>
        <w:footnoteReference w:id="3"/>
      </w:r>
    </w:p>
    <w:p w14:paraId="12D4ACED" w14:textId="03FAA916" w:rsidR="00835F76" w:rsidRPr="00ED58EE" w:rsidRDefault="00835F76" w:rsidP="00ED58EE">
      <w:pPr>
        <w:spacing w:after="0" w:line="276" w:lineRule="auto"/>
        <w:ind w:left="0"/>
        <w:rPr>
          <w:rFonts w:ascii="Arial" w:hAnsi="Arial" w:cs="Arial"/>
          <w:i/>
          <w:iCs/>
          <w:szCs w:val="24"/>
        </w:rPr>
      </w:pPr>
    </w:p>
    <w:p w14:paraId="63948CD4" w14:textId="40FEC6AC" w:rsidR="00F921B5" w:rsidRPr="00ED58EE" w:rsidRDefault="00F921B5" w:rsidP="00ED58EE">
      <w:pPr>
        <w:spacing w:after="0" w:line="276" w:lineRule="auto"/>
        <w:ind w:left="0"/>
        <w:rPr>
          <w:rFonts w:ascii="Arial" w:hAnsi="Arial" w:cs="Arial"/>
          <w:i/>
          <w:iCs/>
          <w:szCs w:val="24"/>
        </w:rPr>
      </w:pPr>
    </w:p>
    <w:p w14:paraId="69E04933" w14:textId="65237DC3" w:rsidR="00F921B5" w:rsidRPr="00ED58EE" w:rsidRDefault="00F921B5" w:rsidP="00ED58EE">
      <w:pPr>
        <w:spacing w:after="0" w:line="276" w:lineRule="auto"/>
        <w:ind w:left="0" w:firstLine="720"/>
        <w:rPr>
          <w:rFonts w:ascii="Arial" w:hAnsi="Arial" w:cs="Arial"/>
          <w:szCs w:val="24"/>
        </w:rPr>
      </w:pPr>
      <w:r w:rsidRPr="00ED58EE">
        <w:rPr>
          <w:rFonts w:ascii="Arial" w:hAnsi="Arial" w:cs="Arial"/>
          <w:i/>
          <w:iCs/>
          <w:szCs w:val="24"/>
        </w:rPr>
        <w:t>Subsections 344(f) and (h)</w:t>
      </w:r>
      <w:r w:rsidR="00FE0C4F" w:rsidRPr="00ED58EE">
        <w:rPr>
          <w:rFonts w:ascii="Arial" w:hAnsi="Arial" w:cs="Arial"/>
          <w:i/>
          <w:iCs/>
          <w:szCs w:val="24"/>
        </w:rPr>
        <w:t xml:space="preserve"> of the Act</w:t>
      </w:r>
      <w:r w:rsidRPr="00ED58EE">
        <w:rPr>
          <w:rFonts w:ascii="Arial" w:hAnsi="Arial" w:cs="Arial"/>
          <w:szCs w:val="24"/>
        </w:rPr>
        <w:t xml:space="preserve"> read as follows:</w:t>
      </w:r>
    </w:p>
    <w:p w14:paraId="5295D40D" w14:textId="09187AEC" w:rsidR="00F921B5" w:rsidRPr="00ED58EE" w:rsidRDefault="00F921B5" w:rsidP="00ED58EE">
      <w:pPr>
        <w:spacing w:after="0" w:line="276" w:lineRule="auto"/>
        <w:ind w:left="0"/>
        <w:rPr>
          <w:rFonts w:ascii="Arial" w:hAnsi="Arial" w:cs="Arial"/>
          <w:i/>
          <w:iCs/>
          <w:szCs w:val="24"/>
        </w:rPr>
      </w:pPr>
    </w:p>
    <w:p w14:paraId="36E706D5" w14:textId="77777777" w:rsidR="00F921B5" w:rsidRPr="00ED58EE" w:rsidRDefault="00F921B5" w:rsidP="00ED58EE">
      <w:pPr>
        <w:pStyle w:val="Default"/>
        <w:spacing w:line="276" w:lineRule="auto"/>
        <w:ind w:left="720" w:firstLine="720"/>
        <w:jc w:val="both"/>
        <w:rPr>
          <w:b/>
          <w:bCs/>
        </w:rPr>
      </w:pPr>
      <w:r w:rsidRPr="00ED58EE">
        <w:t>“</w:t>
      </w:r>
      <w:r w:rsidRPr="00ED58EE">
        <w:rPr>
          <w:b/>
          <w:bCs/>
        </w:rPr>
        <w:t>Circumstances in which company may be wound up by Court</w:t>
      </w:r>
    </w:p>
    <w:p w14:paraId="3F21FAB1" w14:textId="7824CD5B" w:rsidR="00F921B5" w:rsidRPr="00ED58EE" w:rsidRDefault="00F921B5" w:rsidP="00ED58EE">
      <w:pPr>
        <w:pStyle w:val="Default"/>
        <w:spacing w:line="276" w:lineRule="auto"/>
        <w:jc w:val="both"/>
      </w:pPr>
      <w:r w:rsidRPr="00ED58EE">
        <w:rPr>
          <w:b/>
          <w:bCs/>
        </w:rPr>
        <w:t xml:space="preserve"> </w:t>
      </w:r>
    </w:p>
    <w:p w14:paraId="159B1B4A" w14:textId="77777777" w:rsidR="00F921B5" w:rsidRPr="00ED58EE" w:rsidRDefault="00F921B5" w:rsidP="00ED58EE">
      <w:pPr>
        <w:pStyle w:val="Default"/>
        <w:spacing w:line="276" w:lineRule="auto"/>
        <w:ind w:left="720" w:firstLine="720"/>
        <w:jc w:val="both"/>
      </w:pPr>
      <w:r w:rsidRPr="00ED58EE">
        <w:t xml:space="preserve">A company may be wound up by the Court if- </w:t>
      </w:r>
    </w:p>
    <w:p w14:paraId="4D7E19DE" w14:textId="32C3A683" w:rsidR="00F921B5" w:rsidRPr="00ED58EE" w:rsidRDefault="00F921B5" w:rsidP="00ED58EE">
      <w:pPr>
        <w:pStyle w:val="Default"/>
        <w:spacing w:line="276" w:lineRule="auto"/>
        <w:jc w:val="both"/>
      </w:pPr>
      <w:r w:rsidRPr="00ED58EE">
        <w:t xml:space="preserve"> </w:t>
      </w:r>
    </w:p>
    <w:p w14:paraId="437CC79F" w14:textId="0236ACE1" w:rsidR="00F921B5" w:rsidRPr="00ED58EE" w:rsidRDefault="00F921B5" w:rsidP="00ED58EE">
      <w:pPr>
        <w:pStyle w:val="Default"/>
        <w:spacing w:line="276" w:lineRule="auto"/>
        <w:ind w:left="720" w:firstLine="720"/>
        <w:jc w:val="both"/>
      </w:pPr>
      <w:r w:rsidRPr="00ED58EE">
        <w:t xml:space="preserve">(f) </w:t>
      </w:r>
      <w:r w:rsidR="00610CE6" w:rsidRPr="00ED58EE">
        <w:tab/>
      </w:r>
      <w:r w:rsidRPr="00ED58EE">
        <w:t xml:space="preserve">the company is </w:t>
      </w:r>
      <w:r w:rsidRPr="00ED58EE">
        <w:rPr>
          <w:u w:val="single"/>
        </w:rPr>
        <w:t>unable to pay its debts as described in section 345</w:t>
      </w:r>
      <w:r w:rsidRPr="00ED58EE">
        <w:t>;</w:t>
      </w:r>
    </w:p>
    <w:p w14:paraId="6C7760CF" w14:textId="57FDED13" w:rsidR="00F921B5" w:rsidRPr="00ED58EE" w:rsidRDefault="00F921B5" w:rsidP="00ED58EE">
      <w:pPr>
        <w:pStyle w:val="Default"/>
        <w:spacing w:line="276" w:lineRule="auto"/>
        <w:jc w:val="both"/>
      </w:pPr>
      <w:r w:rsidRPr="00ED58EE">
        <w:t xml:space="preserve">  </w:t>
      </w:r>
    </w:p>
    <w:p w14:paraId="46FE6B29" w14:textId="05EACCE4" w:rsidR="00F921B5" w:rsidRPr="00ED58EE" w:rsidRDefault="00F921B5" w:rsidP="00ED58EE">
      <w:pPr>
        <w:spacing w:after="0" w:line="276" w:lineRule="auto"/>
        <w:ind w:left="2160" w:hanging="720"/>
        <w:rPr>
          <w:rFonts w:ascii="Arial" w:hAnsi="Arial" w:cs="Arial"/>
          <w:i/>
          <w:iCs/>
          <w:szCs w:val="24"/>
        </w:rPr>
      </w:pPr>
      <w:r w:rsidRPr="00ED58EE">
        <w:rPr>
          <w:rFonts w:ascii="Arial" w:hAnsi="Arial" w:cs="Arial"/>
          <w:szCs w:val="24"/>
        </w:rPr>
        <w:t xml:space="preserve">(h) </w:t>
      </w:r>
      <w:r w:rsidR="00610CE6" w:rsidRPr="00ED58EE">
        <w:rPr>
          <w:rFonts w:ascii="Arial" w:hAnsi="Arial" w:cs="Arial"/>
          <w:szCs w:val="24"/>
        </w:rPr>
        <w:tab/>
      </w:r>
      <w:r w:rsidRPr="00ED58EE">
        <w:rPr>
          <w:rFonts w:ascii="Arial" w:hAnsi="Arial" w:cs="Arial"/>
          <w:szCs w:val="24"/>
        </w:rPr>
        <w:t xml:space="preserve">it appears to the Court that it is </w:t>
      </w:r>
      <w:r w:rsidRPr="00ED58EE">
        <w:rPr>
          <w:rFonts w:ascii="Arial" w:hAnsi="Arial" w:cs="Arial"/>
          <w:szCs w:val="24"/>
          <w:u w:val="single"/>
        </w:rPr>
        <w:t>just and equitable</w:t>
      </w:r>
      <w:r w:rsidRPr="00ED58EE">
        <w:rPr>
          <w:rFonts w:ascii="Arial" w:hAnsi="Arial" w:cs="Arial"/>
          <w:szCs w:val="24"/>
        </w:rPr>
        <w:t xml:space="preserve"> that the company should be wound up. “</w:t>
      </w:r>
      <w:r w:rsidR="00610CE6" w:rsidRPr="00ED58EE">
        <w:rPr>
          <w:rStyle w:val="FootnoteReference"/>
          <w:rFonts w:ascii="Arial" w:hAnsi="Arial" w:cs="Arial"/>
          <w:szCs w:val="24"/>
        </w:rPr>
        <w:footnoteReference w:id="4"/>
      </w:r>
    </w:p>
    <w:p w14:paraId="4843B586" w14:textId="459D5CD2" w:rsidR="00835F76" w:rsidRPr="00ED58EE" w:rsidRDefault="00835F76" w:rsidP="00ED58EE">
      <w:pPr>
        <w:spacing w:after="0" w:line="276" w:lineRule="auto"/>
        <w:ind w:left="0"/>
        <w:rPr>
          <w:rFonts w:ascii="Arial" w:hAnsi="Arial" w:cs="Arial"/>
          <w:i/>
          <w:iCs/>
          <w:szCs w:val="24"/>
        </w:rPr>
      </w:pPr>
    </w:p>
    <w:p w14:paraId="3AC9E4CE" w14:textId="00EE7615" w:rsidR="00F921B5" w:rsidRPr="00ED58EE" w:rsidRDefault="00FE0C4F" w:rsidP="00ED58EE">
      <w:pPr>
        <w:pStyle w:val="Default"/>
        <w:spacing w:line="276" w:lineRule="auto"/>
        <w:ind w:firstLine="720"/>
        <w:jc w:val="both"/>
      </w:pPr>
      <w:r w:rsidRPr="00ED58EE">
        <w:t xml:space="preserve">Finally, </w:t>
      </w:r>
      <w:r w:rsidRPr="00ED58EE">
        <w:rPr>
          <w:i/>
          <w:iCs/>
        </w:rPr>
        <w:t>subsection 345(1)</w:t>
      </w:r>
      <w:r w:rsidR="00520BCF" w:rsidRPr="00ED58EE">
        <w:rPr>
          <w:i/>
          <w:iCs/>
        </w:rPr>
        <w:t>(c)</w:t>
      </w:r>
      <w:r w:rsidRPr="00ED58EE">
        <w:rPr>
          <w:i/>
          <w:iCs/>
        </w:rPr>
        <w:t xml:space="preserve"> of the Act</w:t>
      </w:r>
      <w:r w:rsidRPr="00ED58EE">
        <w:t xml:space="preserve"> reads:</w:t>
      </w:r>
    </w:p>
    <w:p w14:paraId="6E8B550A" w14:textId="724A4A5B" w:rsidR="00FE0C4F" w:rsidRPr="00ED58EE" w:rsidRDefault="00FE0C4F" w:rsidP="00ED58EE">
      <w:pPr>
        <w:pStyle w:val="Default"/>
        <w:spacing w:line="276" w:lineRule="auto"/>
        <w:jc w:val="both"/>
      </w:pPr>
    </w:p>
    <w:p w14:paraId="6D00E9B4" w14:textId="5B4D84A0" w:rsidR="008731FC" w:rsidRPr="00ED58EE" w:rsidRDefault="00FE0C4F" w:rsidP="00ED58EE">
      <w:pPr>
        <w:pStyle w:val="Default"/>
        <w:spacing w:line="276" w:lineRule="auto"/>
        <w:ind w:left="720" w:firstLine="720"/>
        <w:jc w:val="both"/>
        <w:rPr>
          <w:b/>
          <w:bCs/>
        </w:rPr>
      </w:pPr>
      <w:r w:rsidRPr="00ED58EE">
        <w:lastRenderedPageBreak/>
        <w:t>“</w:t>
      </w:r>
      <w:r w:rsidRPr="00ED58EE">
        <w:rPr>
          <w:b/>
          <w:bCs/>
        </w:rPr>
        <w:t>When company deemed unable to pay its debts</w:t>
      </w:r>
    </w:p>
    <w:p w14:paraId="47E5E08A" w14:textId="77777777" w:rsidR="008731FC" w:rsidRPr="00ED58EE" w:rsidRDefault="008731FC" w:rsidP="00ED58EE">
      <w:pPr>
        <w:pStyle w:val="Default"/>
        <w:spacing w:line="276" w:lineRule="auto"/>
        <w:jc w:val="both"/>
        <w:rPr>
          <w:b/>
          <w:bCs/>
        </w:rPr>
      </w:pPr>
    </w:p>
    <w:p w14:paraId="7E1C18D4" w14:textId="57677130" w:rsidR="008731FC" w:rsidRPr="00ED58EE" w:rsidRDefault="00610CE6" w:rsidP="00ED58EE">
      <w:pPr>
        <w:pStyle w:val="Default"/>
        <w:spacing w:line="276" w:lineRule="auto"/>
        <w:ind w:left="2160" w:hanging="720"/>
        <w:jc w:val="both"/>
      </w:pPr>
      <w:r w:rsidRPr="00ED58EE">
        <w:t xml:space="preserve">(1) </w:t>
      </w:r>
      <w:r w:rsidRPr="00ED58EE">
        <w:tab/>
      </w:r>
      <w:r w:rsidR="00FE0C4F" w:rsidRPr="00ED58EE">
        <w:t>A company or body corporate shall be deemed to be unable to pay its debts if-</w:t>
      </w:r>
    </w:p>
    <w:p w14:paraId="5FAEE2FA" w14:textId="57128F9B" w:rsidR="00FE0C4F" w:rsidRPr="00ED58EE" w:rsidRDefault="00FE0C4F" w:rsidP="00ED58EE">
      <w:pPr>
        <w:pStyle w:val="Default"/>
        <w:spacing w:line="276" w:lineRule="auto"/>
        <w:ind w:left="720"/>
        <w:jc w:val="both"/>
      </w:pPr>
      <w:r w:rsidRPr="00ED58EE">
        <w:t xml:space="preserve"> </w:t>
      </w:r>
    </w:p>
    <w:p w14:paraId="357468A8" w14:textId="0F4BA6D9" w:rsidR="008731FC" w:rsidRPr="00ED58EE" w:rsidRDefault="008731FC" w:rsidP="00ED58EE">
      <w:pPr>
        <w:spacing w:after="0" w:line="276" w:lineRule="auto"/>
        <w:ind w:left="2880" w:hanging="720"/>
        <w:rPr>
          <w:rFonts w:ascii="Arial" w:hAnsi="Arial" w:cs="Arial"/>
          <w:i/>
          <w:iCs/>
          <w:szCs w:val="24"/>
        </w:rPr>
      </w:pPr>
      <w:r w:rsidRPr="00ED58EE">
        <w:rPr>
          <w:rFonts w:ascii="Arial" w:hAnsi="Arial" w:cs="Arial"/>
          <w:szCs w:val="24"/>
        </w:rPr>
        <w:t xml:space="preserve">(c) </w:t>
      </w:r>
      <w:r w:rsidR="00610CE6" w:rsidRPr="00ED58EE">
        <w:rPr>
          <w:rFonts w:ascii="Arial" w:hAnsi="Arial" w:cs="Arial"/>
          <w:szCs w:val="24"/>
        </w:rPr>
        <w:tab/>
      </w:r>
      <w:r w:rsidRPr="00ED58EE">
        <w:rPr>
          <w:rFonts w:ascii="Arial" w:hAnsi="Arial" w:cs="Arial"/>
          <w:szCs w:val="24"/>
          <w:u w:val="single"/>
        </w:rPr>
        <w:t>it is proved to the satisfaction of the Court</w:t>
      </w:r>
      <w:r w:rsidRPr="00ED58EE">
        <w:rPr>
          <w:rFonts w:ascii="Arial" w:hAnsi="Arial" w:cs="Arial"/>
          <w:szCs w:val="24"/>
        </w:rPr>
        <w:t xml:space="preserve"> that the company is unable to pay its debts.”</w:t>
      </w:r>
      <w:r w:rsidR="00436A06" w:rsidRPr="00ED58EE">
        <w:rPr>
          <w:rStyle w:val="FootnoteReference"/>
          <w:rFonts w:ascii="Arial" w:hAnsi="Arial" w:cs="Arial"/>
          <w:szCs w:val="24"/>
        </w:rPr>
        <w:footnoteReference w:id="5"/>
      </w:r>
    </w:p>
    <w:p w14:paraId="48652730" w14:textId="56304FDC" w:rsidR="00520BCF" w:rsidRPr="00ED58EE" w:rsidRDefault="00520BCF" w:rsidP="00ED58EE">
      <w:pPr>
        <w:spacing w:after="0" w:line="276" w:lineRule="auto"/>
        <w:ind w:left="0"/>
        <w:rPr>
          <w:rFonts w:ascii="Arial" w:hAnsi="Arial" w:cs="Arial"/>
          <w:szCs w:val="24"/>
        </w:rPr>
      </w:pPr>
    </w:p>
    <w:p w14:paraId="0AC1E1C0" w14:textId="1B5EA774" w:rsidR="00520BCF" w:rsidRPr="0016260F" w:rsidRDefault="0016260F" w:rsidP="0016260F">
      <w:pPr>
        <w:spacing w:after="0" w:line="276" w:lineRule="auto"/>
        <w:ind w:left="720" w:hanging="686"/>
        <w:rPr>
          <w:rFonts w:ascii="Arial" w:hAnsi="Arial" w:cs="Arial"/>
          <w:szCs w:val="24"/>
        </w:rPr>
      </w:pPr>
      <w:r w:rsidRPr="00ED58EE">
        <w:rPr>
          <w:rFonts w:ascii="Arial" w:hAnsi="Arial" w:cs="Arial"/>
          <w:szCs w:val="24"/>
        </w:rPr>
        <w:t>[3]</w:t>
      </w:r>
      <w:r w:rsidRPr="00ED58EE">
        <w:rPr>
          <w:rFonts w:ascii="Arial" w:hAnsi="Arial" w:cs="Arial"/>
          <w:szCs w:val="24"/>
        </w:rPr>
        <w:tab/>
      </w:r>
      <w:r w:rsidR="00520BCF" w:rsidRPr="0016260F">
        <w:rPr>
          <w:rFonts w:ascii="Arial" w:hAnsi="Arial" w:cs="Arial"/>
          <w:szCs w:val="24"/>
        </w:rPr>
        <w:t>This Court is aided greatly by the fact that Mudau J has delivered a clear and concise judgment in this matter when granting an order provisionally winding-up the Respondent.</w:t>
      </w:r>
      <w:r w:rsidR="004F31AF" w:rsidRPr="0016260F">
        <w:rPr>
          <w:rFonts w:ascii="Arial" w:hAnsi="Arial" w:cs="Arial"/>
          <w:szCs w:val="24"/>
        </w:rPr>
        <w:t xml:space="preserve"> In the premises, particularly in light of the fact that the application papers are identical in respect of both stages of the application for the winding-up of the Respondent, it would be superfluous for this Court to simply repeat the facts and principles of law</w:t>
      </w:r>
      <w:r w:rsidR="00835F76" w:rsidRPr="0016260F">
        <w:rPr>
          <w:rFonts w:ascii="Arial" w:hAnsi="Arial" w:cs="Arial"/>
          <w:szCs w:val="24"/>
        </w:rPr>
        <w:t xml:space="preserve"> applicable to this matter and</w:t>
      </w:r>
      <w:r w:rsidR="004F31AF" w:rsidRPr="0016260F">
        <w:rPr>
          <w:rFonts w:ascii="Arial" w:hAnsi="Arial" w:cs="Arial"/>
          <w:szCs w:val="24"/>
        </w:rPr>
        <w:t xml:space="preserve"> as already</w:t>
      </w:r>
      <w:r w:rsidR="00835F76" w:rsidRPr="0016260F">
        <w:rPr>
          <w:rFonts w:ascii="Arial" w:hAnsi="Arial" w:cs="Arial"/>
          <w:szCs w:val="24"/>
        </w:rPr>
        <w:t xml:space="preserve"> dealt with</w:t>
      </w:r>
      <w:r w:rsidR="004F31AF" w:rsidRPr="0016260F">
        <w:rPr>
          <w:rFonts w:ascii="Arial" w:hAnsi="Arial" w:cs="Arial"/>
          <w:szCs w:val="24"/>
        </w:rPr>
        <w:t xml:space="preserve"> by Mudau J. Rather, the approach this Court shall adopt in this judgment will be to refer to the salient portions of Mudau J’s judgment</w:t>
      </w:r>
      <w:r w:rsidR="00835F76" w:rsidRPr="0016260F">
        <w:rPr>
          <w:rFonts w:ascii="Arial" w:hAnsi="Arial" w:cs="Arial"/>
          <w:szCs w:val="24"/>
        </w:rPr>
        <w:t>,</w:t>
      </w:r>
      <w:r w:rsidR="004F31AF" w:rsidRPr="0016260F">
        <w:rPr>
          <w:rFonts w:ascii="Arial" w:hAnsi="Arial" w:cs="Arial"/>
          <w:szCs w:val="24"/>
        </w:rPr>
        <w:t xml:space="preserve"> incorporat</w:t>
      </w:r>
      <w:r w:rsidR="00835F76" w:rsidRPr="0016260F">
        <w:rPr>
          <w:rFonts w:ascii="Arial" w:hAnsi="Arial" w:cs="Arial"/>
          <w:szCs w:val="24"/>
        </w:rPr>
        <w:t>ing</w:t>
      </w:r>
      <w:r w:rsidR="004F31AF" w:rsidRPr="0016260F">
        <w:rPr>
          <w:rFonts w:ascii="Arial" w:hAnsi="Arial" w:cs="Arial"/>
          <w:szCs w:val="24"/>
        </w:rPr>
        <w:t xml:space="preserve">, </w:t>
      </w:r>
      <w:r w:rsidR="004F31AF" w:rsidRPr="0016260F">
        <w:rPr>
          <w:rFonts w:ascii="Arial" w:hAnsi="Arial" w:cs="Arial"/>
          <w:i/>
          <w:iCs/>
          <w:szCs w:val="24"/>
        </w:rPr>
        <w:t>alternatively,</w:t>
      </w:r>
      <w:r w:rsidR="004F31AF" w:rsidRPr="0016260F">
        <w:rPr>
          <w:rFonts w:ascii="Arial" w:hAnsi="Arial" w:cs="Arial"/>
          <w:szCs w:val="24"/>
        </w:rPr>
        <w:t xml:space="preserve"> distinguish</w:t>
      </w:r>
      <w:r w:rsidR="00835F76" w:rsidRPr="0016260F">
        <w:rPr>
          <w:rFonts w:ascii="Arial" w:hAnsi="Arial" w:cs="Arial"/>
          <w:szCs w:val="24"/>
        </w:rPr>
        <w:t>ing,</w:t>
      </w:r>
      <w:r w:rsidR="004F31AF" w:rsidRPr="0016260F">
        <w:rPr>
          <w:rFonts w:ascii="Arial" w:hAnsi="Arial" w:cs="Arial"/>
          <w:szCs w:val="24"/>
        </w:rPr>
        <w:t xml:space="preserve"> same by reference</w:t>
      </w:r>
      <w:r w:rsidR="00835F76" w:rsidRPr="0016260F">
        <w:rPr>
          <w:rFonts w:ascii="Arial" w:hAnsi="Arial" w:cs="Arial"/>
          <w:szCs w:val="24"/>
        </w:rPr>
        <w:t xml:space="preserve"> </w:t>
      </w:r>
      <w:r w:rsidR="008A25F1" w:rsidRPr="0016260F">
        <w:rPr>
          <w:rFonts w:ascii="Arial" w:hAnsi="Arial" w:cs="Arial"/>
          <w:szCs w:val="24"/>
        </w:rPr>
        <w:t xml:space="preserve">thereto </w:t>
      </w:r>
      <w:r w:rsidR="00835F76" w:rsidRPr="0016260F">
        <w:rPr>
          <w:rFonts w:ascii="Arial" w:hAnsi="Arial" w:cs="Arial"/>
          <w:szCs w:val="24"/>
        </w:rPr>
        <w:t xml:space="preserve">in the judgment of this Court, thereby reaching a decision as to whether this Court should grant a final winding-up order. </w:t>
      </w:r>
    </w:p>
    <w:p w14:paraId="1A208017" w14:textId="78F36E74" w:rsidR="008731FC" w:rsidRPr="00ED58EE" w:rsidRDefault="008731FC" w:rsidP="00ED58EE">
      <w:pPr>
        <w:pStyle w:val="Default"/>
        <w:spacing w:line="276" w:lineRule="auto"/>
        <w:jc w:val="both"/>
      </w:pPr>
    </w:p>
    <w:p w14:paraId="4C8763CF" w14:textId="365AD87F" w:rsidR="0045616D" w:rsidRPr="00ED58EE" w:rsidRDefault="0045616D" w:rsidP="00ED58EE">
      <w:pPr>
        <w:pStyle w:val="Default"/>
        <w:spacing w:line="276" w:lineRule="auto"/>
        <w:jc w:val="both"/>
        <w:rPr>
          <w:b/>
          <w:bCs/>
          <w:u w:val="single"/>
        </w:rPr>
      </w:pPr>
      <w:r w:rsidRPr="00ED58EE">
        <w:rPr>
          <w:b/>
          <w:bCs/>
          <w:u w:val="single"/>
        </w:rPr>
        <w:t xml:space="preserve">The facts </w:t>
      </w:r>
    </w:p>
    <w:p w14:paraId="64A72D5D" w14:textId="7C843115" w:rsidR="0045616D" w:rsidRPr="00ED58EE" w:rsidRDefault="0045616D" w:rsidP="00ED58EE">
      <w:pPr>
        <w:pStyle w:val="Default"/>
        <w:spacing w:line="276" w:lineRule="auto"/>
        <w:jc w:val="both"/>
        <w:rPr>
          <w:b/>
          <w:bCs/>
          <w:u w:val="single"/>
        </w:rPr>
      </w:pPr>
    </w:p>
    <w:p w14:paraId="765BF84C" w14:textId="750AF908" w:rsidR="0045616D" w:rsidRPr="00ED58EE" w:rsidRDefault="0016260F" w:rsidP="0016260F">
      <w:pPr>
        <w:pStyle w:val="Default"/>
        <w:spacing w:line="276" w:lineRule="auto"/>
        <w:ind w:left="720" w:hanging="686"/>
        <w:jc w:val="both"/>
      </w:pPr>
      <w:r w:rsidRPr="00ED58EE">
        <w:t>[4]</w:t>
      </w:r>
      <w:r w:rsidRPr="00ED58EE">
        <w:tab/>
      </w:r>
      <w:r w:rsidR="0045616D" w:rsidRPr="00ED58EE">
        <w:t xml:space="preserve">The facts of this matter giving rise to the Respondent’s indebtedness to the Applicant are as set out in paragraphs [2] to [6] inclusive of the judgment of Mudau J </w:t>
      </w:r>
      <w:r w:rsidR="0045616D" w:rsidRPr="00ED58EE">
        <w:rPr>
          <w:i/>
          <w:iCs/>
        </w:rPr>
        <w:t>(“</w:t>
      </w:r>
      <w:r w:rsidR="002028A2" w:rsidRPr="00ED58EE">
        <w:rPr>
          <w:i/>
          <w:iCs/>
        </w:rPr>
        <w:t>the judgment”</w:t>
      </w:r>
      <w:r w:rsidR="00610CE6" w:rsidRPr="00ED58EE">
        <w:rPr>
          <w:i/>
          <w:iCs/>
        </w:rPr>
        <w:t>).</w:t>
      </w:r>
      <w:r w:rsidR="00610CE6" w:rsidRPr="00ED58EE">
        <w:t xml:space="preserve"> This</w:t>
      </w:r>
      <w:r w:rsidR="002028A2" w:rsidRPr="00ED58EE">
        <w:t xml:space="preserve"> Court is in agreement therewith. Moreover, the documentation and the facts relied upon by the Applicant as set out in the judgment are common cause in this application, subject to</w:t>
      </w:r>
      <w:r w:rsidR="00DB103D" w:rsidRPr="00ED58EE">
        <w:t xml:space="preserve"> certain grounds of opposition to the application raised by the Respondent.</w:t>
      </w:r>
      <w:r w:rsidR="002028A2" w:rsidRPr="00ED58EE">
        <w:t xml:space="preserve"> In light thereof, the end result is that the Applicant avers that the Respondent is indebted to the Applicant in terms of a Deed of Suretyship in respect of two companies, namely AGRI TRADING SERVICES (PTY) LIMITED </w:t>
      </w:r>
      <w:r w:rsidR="002028A2" w:rsidRPr="00ED58EE">
        <w:rPr>
          <w:i/>
          <w:iCs/>
        </w:rPr>
        <w:t>(“ATS”)</w:t>
      </w:r>
      <w:r w:rsidR="002028A2" w:rsidRPr="00ED58EE">
        <w:t xml:space="preserve"> and AGRI OIL MILLS (PTY) LIMITED </w:t>
      </w:r>
      <w:r w:rsidR="002028A2" w:rsidRPr="00ED58EE">
        <w:rPr>
          <w:i/>
          <w:iCs/>
        </w:rPr>
        <w:t>(“”AOM”)</w:t>
      </w:r>
      <w:r w:rsidR="002028A2" w:rsidRPr="00ED58EE">
        <w:t xml:space="preserve">  in t</w:t>
      </w:r>
      <w:r w:rsidR="008A25F1">
        <w:t>he total sum of not less than R</w:t>
      </w:r>
      <w:r w:rsidR="002028A2" w:rsidRPr="00ED58EE">
        <w:t xml:space="preserve">122 308 995.58 as at 11 February 2019, excluding further interest and costs for which the Respondent is </w:t>
      </w:r>
      <w:r w:rsidR="0027273C" w:rsidRPr="00ED58EE">
        <w:t xml:space="preserve">indebted as surety </w:t>
      </w:r>
      <w:r w:rsidR="0027273C" w:rsidRPr="00ED58EE">
        <w:rPr>
          <w:i/>
          <w:iCs/>
        </w:rPr>
        <w:t>in solidum</w:t>
      </w:r>
      <w:r w:rsidR="0027273C" w:rsidRPr="00ED58EE">
        <w:t xml:space="preserve"> for and co-principal debtor, jointly and severally, with each of ATS and AOM.</w:t>
      </w:r>
      <w:r w:rsidR="002028A2" w:rsidRPr="00ED58EE">
        <w:t xml:space="preserve"> </w:t>
      </w:r>
      <w:r w:rsidR="0027273C" w:rsidRPr="00ED58EE">
        <w:t xml:space="preserve">The reason why the Respondent is ultimately indebted to the Applicant is in light of the fact that the said Deed of Suretyship was lawfully ceded by GROCAPITAL FINANCIAL SERVICES </w:t>
      </w:r>
      <w:r w:rsidR="0027273C" w:rsidRPr="00ED58EE">
        <w:rPr>
          <w:i/>
          <w:iCs/>
        </w:rPr>
        <w:t>(“GroCap”)</w:t>
      </w:r>
      <w:r w:rsidR="0027273C" w:rsidRPr="00ED58EE">
        <w:t xml:space="preserve"> to the Applicant.</w:t>
      </w:r>
    </w:p>
    <w:p w14:paraId="5BC275AF" w14:textId="4575BFD1" w:rsidR="00E80089" w:rsidRPr="00ED58EE" w:rsidRDefault="00E80089" w:rsidP="00ED58EE">
      <w:pPr>
        <w:pStyle w:val="Default"/>
        <w:spacing w:line="276" w:lineRule="auto"/>
        <w:jc w:val="both"/>
        <w:rPr>
          <w:b/>
          <w:bCs/>
          <w:u w:val="single"/>
        </w:rPr>
      </w:pPr>
    </w:p>
    <w:p w14:paraId="120A4388" w14:textId="4CBCFF53" w:rsidR="00DB103D" w:rsidRPr="00ED58EE" w:rsidRDefault="00DB103D" w:rsidP="00ED58EE">
      <w:pPr>
        <w:pStyle w:val="Default"/>
        <w:spacing w:line="276" w:lineRule="auto"/>
        <w:jc w:val="both"/>
        <w:rPr>
          <w:b/>
          <w:bCs/>
          <w:u w:val="single"/>
        </w:rPr>
      </w:pPr>
      <w:r w:rsidRPr="00ED58EE">
        <w:rPr>
          <w:b/>
          <w:bCs/>
          <w:u w:val="single"/>
        </w:rPr>
        <w:t>The grounds of opposition raised by the Respondent</w:t>
      </w:r>
    </w:p>
    <w:p w14:paraId="352D2247" w14:textId="7D483ED6" w:rsidR="00DB103D" w:rsidRPr="00ED58EE" w:rsidRDefault="00DB103D" w:rsidP="00ED58EE">
      <w:pPr>
        <w:pStyle w:val="Default"/>
        <w:spacing w:line="276" w:lineRule="auto"/>
        <w:jc w:val="both"/>
        <w:rPr>
          <w:b/>
          <w:bCs/>
          <w:u w:val="single"/>
        </w:rPr>
      </w:pPr>
    </w:p>
    <w:p w14:paraId="2918A9B5" w14:textId="5A652360" w:rsidR="00610CE6" w:rsidRPr="00ED58EE" w:rsidRDefault="0016260F" w:rsidP="0016260F">
      <w:pPr>
        <w:pStyle w:val="Default"/>
        <w:spacing w:line="276" w:lineRule="auto"/>
        <w:ind w:left="720" w:hanging="686"/>
        <w:jc w:val="both"/>
      </w:pPr>
      <w:r w:rsidRPr="00ED58EE">
        <w:t>[5]</w:t>
      </w:r>
      <w:r w:rsidRPr="00ED58EE">
        <w:tab/>
      </w:r>
      <w:r w:rsidR="00DB103D" w:rsidRPr="00ED58EE">
        <w:t>A number of grounds of opposition were raised on behalf of the Respondent to the application. The</w:t>
      </w:r>
      <w:r w:rsidR="004B5F05" w:rsidRPr="00ED58EE">
        <w:t xml:space="preserve"> grounds of opposition raised </w:t>
      </w:r>
      <w:r w:rsidR="00D27B71" w:rsidRPr="00ED58EE">
        <w:t xml:space="preserve">at the stage when the matter first came before this Court are as dealt with in the judgment when granting the provisional </w:t>
      </w:r>
      <w:r w:rsidR="00D27B71" w:rsidRPr="00ED58EE">
        <w:lastRenderedPageBreak/>
        <w:t>winding-up order. When the matter was once again set down before this Court for the granting of a final winding-up order the grounds of opposition argued at this stage</w:t>
      </w:r>
      <w:r w:rsidR="007C4D9A" w:rsidRPr="00ED58EE">
        <w:rPr>
          <w:rStyle w:val="FootnoteReference"/>
        </w:rPr>
        <w:footnoteReference w:id="6"/>
      </w:r>
      <w:r w:rsidR="00D27B71" w:rsidRPr="00ED58EE">
        <w:t xml:space="preserve"> had become somewhat refined. These can be broadly described as the following:</w:t>
      </w:r>
    </w:p>
    <w:p w14:paraId="73CCEC69" w14:textId="77777777" w:rsidR="00610CE6" w:rsidRPr="00ED58EE" w:rsidRDefault="00610CE6" w:rsidP="00ED58EE">
      <w:pPr>
        <w:pStyle w:val="Default"/>
        <w:spacing w:line="276" w:lineRule="auto"/>
        <w:ind w:left="720"/>
        <w:jc w:val="both"/>
      </w:pPr>
    </w:p>
    <w:p w14:paraId="0F8BC6DC" w14:textId="1CE00D26" w:rsidR="00610CE6" w:rsidRPr="00ED58EE" w:rsidRDefault="0016260F" w:rsidP="0016260F">
      <w:pPr>
        <w:pStyle w:val="Default"/>
        <w:spacing w:line="276" w:lineRule="auto"/>
        <w:ind w:left="1440" w:hanging="720"/>
        <w:jc w:val="both"/>
      </w:pPr>
      <w:r w:rsidRPr="00ED58EE">
        <w:t>5.1</w:t>
      </w:r>
      <w:r w:rsidRPr="00ED58EE">
        <w:tab/>
      </w:r>
      <w:r w:rsidR="00F154CD" w:rsidRPr="00ED58EE">
        <w:t>an application for the final winding-up of the Respondent cannot be granted on the grounds of being just and equitable;</w:t>
      </w:r>
    </w:p>
    <w:p w14:paraId="619194C5" w14:textId="77777777" w:rsidR="00610CE6" w:rsidRPr="00ED58EE" w:rsidRDefault="00610CE6" w:rsidP="00ED58EE">
      <w:pPr>
        <w:pStyle w:val="Default"/>
        <w:spacing w:line="276" w:lineRule="auto"/>
        <w:ind w:left="1440"/>
        <w:jc w:val="both"/>
      </w:pPr>
    </w:p>
    <w:p w14:paraId="3D4947A3" w14:textId="43F804E1" w:rsidR="00610CE6" w:rsidRPr="00ED58EE" w:rsidRDefault="0016260F" w:rsidP="0016260F">
      <w:pPr>
        <w:pStyle w:val="Default"/>
        <w:spacing w:line="276" w:lineRule="auto"/>
        <w:ind w:left="1440" w:hanging="720"/>
        <w:jc w:val="both"/>
      </w:pPr>
      <w:r w:rsidRPr="00ED58EE">
        <w:t>5.2</w:t>
      </w:r>
      <w:r w:rsidRPr="00ED58EE">
        <w:tab/>
      </w:r>
      <w:r w:rsidR="00F154CD" w:rsidRPr="00ED58EE">
        <w:t>the indebtedness of the Respondent towards the Applicant is genuinely disputed in that:</w:t>
      </w:r>
    </w:p>
    <w:p w14:paraId="3F4DFF19" w14:textId="77777777" w:rsidR="00610CE6" w:rsidRPr="00ED58EE" w:rsidRDefault="00610CE6" w:rsidP="00ED58EE">
      <w:pPr>
        <w:pStyle w:val="ListParagraph"/>
        <w:spacing w:after="0" w:line="276" w:lineRule="auto"/>
        <w:rPr>
          <w:rFonts w:ascii="Arial" w:hAnsi="Arial" w:cs="Arial"/>
          <w:szCs w:val="24"/>
        </w:rPr>
      </w:pPr>
    </w:p>
    <w:p w14:paraId="6671C62D" w14:textId="1769769C" w:rsidR="00610CE6" w:rsidRPr="00ED58EE" w:rsidRDefault="0016260F" w:rsidP="0016260F">
      <w:pPr>
        <w:pStyle w:val="Default"/>
        <w:spacing w:line="276" w:lineRule="auto"/>
        <w:ind w:left="2160" w:hanging="720"/>
        <w:jc w:val="both"/>
      </w:pPr>
      <w:r w:rsidRPr="00ED58EE">
        <w:t>5.2.1</w:t>
      </w:r>
      <w:r w:rsidRPr="00ED58EE">
        <w:tab/>
      </w:r>
      <w:r w:rsidR="00F154CD" w:rsidRPr="00ED58EE">
        <w:t>the transactions fall outside the Applicant’s powers;</w:t>
      </w:r>
    </w:p>
    <w:p w14:paraId="077D54FA" w14:textId="77777777" w:rsidR="00610CE6" w:rsidRPr="00ED58EE" w:rsidRDefault="00610CE6" w:rsidP="00ED58EE">
      <w:pPr>
        <w:pStyle w:val="Default"/>
        <w:spacing w:line="276" w:lineRule="auto"/>
        <w:ind w:left="2160"/>
        <w:jc w:val="both"/>
      </w:pPr>
    </w:p>
    <w:p w14:paraId="23A4DC58" w14:textId="78E229C6" w:rsidR="00610CE6" w:rsidRPr="00ED58EE" w:rsidRDefault="0016260F" w:rsidP="0016260F">
      <w:pPr>
        <w:pStyle w:val="Default"/>
        <w:spacing w:line="276" w:lineRule="auto"/>
        <w:ind w:left="2160" w:hanging="720"/>
        <w:jc w:val="both"/>
      </w:pPr>
      <w:r w:rsidRPr="00ED58EE">
        <w:t>5.2.2</w:t>
      </w:r>
      <w:r w:rsidRPr="00ED58EE">
        <w:tab/>
      </w:r>
      <w:r w:rsidR="00F154CD" w:rsidRPr="00ED58EE">
        <w:t>the Applicant did not allege nor prove the fulfilment or waiver of any of the suspensive conditions contained in the agreement between GroCap and ATS</w:t>
      </w:r>
      <w:r w:rsidR="00407A2A" w:rsidRPr="00ED58EE">
        <w:t xml:space="preserve"> and the agreement between GroCap and AOM;</w:t>
      </w:r>
    </w:p>
    <w:p w14:paraId="06A5DD3C" w14:textId="77777777" w:rsidR="00610CE6" w:rsidRPr="00ED58EE" w:rsidRDefault="00610CE6" w:rsidP="00ED58EE">
      <w:pPr>
        <w:pStyle w:val="ListParagraph"/>
        <w:spacing w:after="0" w:line="276" w:lineRule="auto"/>
        <w:rPr>
          <w:rFonts w:ascii="Arial" w:hAnsi="Arial" w:cs="Arial"/>
          <w:szCs w:val="24"/>
        </w:rPr>
      </w:pPr>
    </w:p>
    <w:p w14:paraId="51296FAB" w14:textId="5DF41BFA" w:rsidR="00610CE6" w:rsidRPr="00ED58EE" w:rsidRDefault="0016260F" w:rsidP="0016260F">
      <w:pPr>
        <w:pStyle w:val="Default"/>
        <w:spacing w:line="276" w:lineRule="auto"/>
        <w:ind w:left="2160" w:hanging="720"/>
        <w:jc w:val="both"/>
      </w:pPr>
      <w:r w:rsidRPr="00ED58EE">
        <w:t>5.2.3</w:t>
      </w:r>
      <w:r w:rsidRPr="00ED58EE">
        <w:tab/>
      </w:r>
      <w:r w:rsidR="00407A2A" w:rsidRPr="00ED58EE">
        <w:t>the Applicant did not allege nor prove the fulfilment or waiver of any of the suspensive conditions contained in the agreement of cession between GroCap and the Applicant;</w:t>
      </w:r>
    </w:p>
    <w:p w14:paraId="3DADE0F7" w14:textId="77777777" w:rsidR="00610CE6" w:rsidRPr="00ED58EE" w:rsidRDefault="00610CE6" w:rsidP="00ED58EE">
      <w:pPr>
        <w:pStyle w:val="ListParagraph"/>
        <w:spacing w:after="0" w:line="276" w:lineRule="auto"/>
        <w:rPr>
          <w:rFonts w:ascii="Arial" w:hAnsi="Arial" w:cs="Arial"/>
          <w:szCs w:val="24"/>
        </w:rPr>
      </w:pPr>
    </w:p>
    <w:p w14:paraId="1D892786" w14:textId="29272646" w:rsidR="00610CE6" w:rsidRPr="00ED58EE" w:rsidRDefault="0016260F" w:rsidP="0016260F">
      <w:pPr>
        <w:pStyle w:val="Default"/>
        <w:spacing w:line="276" w:lineRule="auto"/>
        <w:ind w:left="2160" w:hanging="720"/>
        <w:jc w:val="both"/>
      </w:pPr>
      <w:r w:rsidRPr="00ED58EE">
        <w:t>5.2.4</w:t>
      </w:r>
      <w:r w:rsidRPr="00ED58EE">
        <w:tab/>
      </w:r>
      <w:r w:rsidR="00407A2A" w:rsidRPr="00ED58EE">
        <w:t>the Applicant has not demonstrated that GroCap’s purported claims against ATS, AOM and/or the Respondent were part of the subset supposedly ceded, nor does the Applicant allege when and how that was supposed to have taken place;</w:t>
      </w:r>
    </w:p>
    <w:p w14:paraId="31BE0FEE" w14:textId="77777777" w:rsidR="00610CE6" w:rsidRPr="00ED58EE" w:rsidRDefault="00610CE6" w:rsidP="00ED58EE">
      <w:pPr>
        <w:pStyle w:val="ListParagraph"/>
        <w:spacing w:after="0" w:line="276" w:lineRule="auto"/>
        <w:rPr>
          <w:rFonts w:ascii="Arial" w:hAnsi="Arial" w:cs="Arial"/>
          <w:szCs w:val="24"/>
        </w:rPr>
      </w:pPr>
    </w:p>
    <w:p w14:paraId="44B132F0" w14:textId="4E40DB3A" w:rsidR="00047D40" w:rsidRPr="00ED58EE" w:rsidRDefault="0016260F" w:rsidP="0016260F">
      <w:pPr>
        <w:pStyle w:val="Default"/>
        <w:spacing w:line="276" w:lineRule="auto"/>
        <w:ind w:left="1440" w:hanging="720"/>
        <w:jc w:val="both"/>
      </w:pPr>
      <w:r w:rsidRPr="00ED58EE">
        <w:t>5.3</w:t>
      </w:r>
      <w:r w:rsidRPr="00ED58EE">
        <w:tab/>
      </w:r>
      <w:r w:rsidR="00407A2A" w:rsidRPr="00ED58EE">
        <w:t>it is denied that the Respondent provided a suretyship undertaking to GroCap.</w:t>
      </w:r>
      <w:r w:rsidR="00F154CD" w:rsidRPr="00ED58EE">
        <w:t xml:space="preserve"> </w:t>
      </w:r>
    </w:p>
    <w:p w14:paraId="47715DFD" w14:textId="3C81C9BE" w:rsidR="00047D40" w:rsidRPr="00ED58EE" w:rsidRDefault="00047D40" w:rsidP="00ED58EE">
      <w:pPr>
        <w:pStyle w:val="Default"/>
        <w:spacing w:line="276" w:lineRule="auto"/>
        <w:jc w:val="both"/>
      </w:pPr>
    </w:p>
    <w:p w14:paraId="1AA65CA3" w14:textId="77777777" w:rsidR="00D17D12" w:rsidRPr="00ED58EE" w:rsidRDefault="00D17D12" w:rsidP="00ED58EE">
      <w:pPr>
        <w:pStyle w:val="Default"/>
        <w:spacing w:line="276" w:lineRule="auto"/>
        <w:jc w:val="both"/>
        <w:rPr>
          <w:b/>
          <w:bCs/>
          <w:u w:val="single"/>
        </w:rPr>
      </w:pPr>
      <w:r w:rsidRPr="00ED58EE">
        <w:rPr>
          <w:b/>
          <w:bCs/>
          <w:u w:val="single"/>
        </w:rPr>
        <w:t>The test to be applied in the granting of a provisional and final winding-up order</w:t>
      </w:r>
      <w:r w:rsidR="00F154CD" w:rsidRPr="00ED58EE">
        <w:rPr>
          <w:b/>
          <w:bCs/>
          <w:u w:val="single"/>
        </w:rPr>
        <w:t xml:space="preserve"> </w:t>
      </w:r>
    </w:p>
    <w:p w14:paraId="13E0D690" w14:textId="07680483" w:rsidR="00D17D12" w:rsidRPr="00ED58EE" w:rsidRDefault="00D17D12" w:rsidP="00ED58EE">
      <w:pPr>
        <w:pStyle w:val="Default"/>
        <w:spacing w:line="276" w:lineRule="auto"/>
        <w:jc w:val="both"/>
        <w:rPr>
          <w:b/>
          <w:bCs/>
          <w:u w:val="single"/>
        </w:rPr>
      </w:pPr>
    </w:p>
    <w:p w14:paraId="7D7DA9EE" w14:textId="59DEAA87" w:rsidR="00DB103D" w:rsidRPr="00ED58EE" w:rsidRDefault="0016260F" w:rsidP="0016260F">
      <w:pPr>
        <w:pStyle w:val="Default"/>
        <w:spacing w:line="276" w:lineRule="auto"/>
        <w:ind w:left="720" w:hanging="686"/>
        <w:jc w:val="both"/>
      </w:pPr>
      <w:r w:rsidRPr="00ED58EE">
        <w:t>[6]</w:t>
      </w:r>
      <w:r w:rsidRPr="00ED58EE">
        <w:tab/>
      </w:r>
      <w:r w:rsidR="00D17D12" w:rsidRPr="00ED58EE">
        <w:t xml:space="preserve">It is important that the distinction between the test to be applied at the stage when a court considers the granting of a provisional winding-up order and that when a court considers the granting of a final winding-up order, be borne in mind. This distinction was clearly and succinctly set out in the matter of </w:t>
      </w:r>
      <w:r w:rsidR="00D17D12" w:rsidRPr="00ED58EE">
        <w:rPr>
          <w:i/>
          <w:iCs/>
        </w:rPr>
        <w:t>ABSA Bank Ltd v Erf 1252 Marine Drive (Pty) Ltd and Another</w:t>
      </w:r>
      <w:r w:rsidR="000B1D8C" w:rsidRPr="00ED58EE">
        <w:rPr>
          <w:rStyle w:val="FootnoteReference"/>
          <w:i/>
          <w:iCs/>
        </w:rPr>
        <w:footnoteReference w:id="7"/>
      </w:r>
      <w:r w:rsidR="00D17D12" w:rsidRPr="00ED58EE">
        <w:t xml:space="preserve"> where it</w:t>
      </w:r>
      <w:r w:rsidR="00D17D12" w:rsidRPr="00ED58EE">
        <w:rPr>
          <w:i/>
          <w:iCs/>
        </w:rPr>
        <w:t xml:space="preserve"> </w:t>
      </w:r>
      <w:r w:rsidR="00D17D12" w:rsidRPr="00ED58EE">
        <w:t>was</w:t>
      </w:r>
      <w:r w:rsidR="00DB103D" w:rsidRPr="00ED58EE">
        <w:t xml:space="preserve"> </w:t>
      </w:r>
      <w:r w:rsidR="00D17D12" w:rsidRPr="00ED58EE">
        <w:t>held:</w:t>
      </w:r>
    </w:p>
    <w:p w14:paraId="69D97AD2" w14:textId="5749B356" w:rsidR="00D17D12" w:rsidRPr="00ED58EE" w:rsidRDefault="00D17D12" w:rsidP="00ED58EE">
      <w:pPr>
        <w:pStyle w:val="Default"/>
        <w:spacing w:line="276" w:lineRule="auto"/>
        <w:ind w:left="360"/>
        <w:jc w:val="both"/>
      </w:pPr>
    </w:p>
    <w:p w14:paraId="6A9A578C" w14:textId="3E1D91DE" w:rsidR="00347141" w:rsidRPr="00ED58EE" w:rsidRDefault="00347141" w:rsidP="00ED58EE">
      <w:pPr>
        <w:pStyle w:val="Default"/>
        <w:spacing w:line="276" w:lineRule="auto"/>
        <w:ind w:left="360"/>
        <w:jc w:val="both"/>
      </w:pPr>
    </w:p>
    <w:p w14:paraId="0F71BCBB" w14:textId="4D31C0D4" w:rsidR="00347141" w:rsidRPr="008B708A" w:rsidRDefault="00347141" w:rsidP="00ED58EE">
      <w:pPr>
        <w:pStyle w:val="Default"/>
        <w:spacing w:line="276" w:lineRule="auto"/>
        <w:ind w:left="1440" w:hanging="1080"/>
        <w:jc w:val="both"/>
        <w:rPr>
          <w:i/>
          <w:iCs/>
        </w:rPr>
      </w:pPr>
      <w:r w:rsidRPr="00ED58EE">
        <w:tab/>
      </w:r>
      <w:r w:rsidR="00467784" w:rsidRPr="008B708A">
        <w:rPr>
          <w:i/>
          <w:iCs/>
        </w:rPr>
        <w:t>“</w:t>
      </w:r>
      <w:r w:rsidRPr="008B708A">
        <w:rPr>
          <w:i/>
          <w:iCs/>
        </w:rPr>
        <w:t xml:space="preserve">At the provisional stage the applicant had to make out only a prima facie case – in the peculiar sense of that term explained in Kalil v Decotex (Pty) Ltd and </w:t>
      </w:r>
      <w:r w:rsidR="00467784" w:rsidRPr="008B708A">
        <w:rPr>
          <w:i/>
          <w:iCs/>
        </w:rPr>
        <w:t>A</w:t>
      </w:r>
      <w:r w:rsidRPr="008B708A">
        <w:rPr>
          <w:i/>
          <w:iCs/>
        </w:rPr>
        <w:t xml:space="preserve">nother 1988 (1) SA 943 at 976D – 978F.  In order to succeed in obtaining a final order the applicant has to prove its case on the evidence as it falls to be assessed in the usual manner in proceedings on motion for final relief.  The </w:t>
      </w:r>
      <w:r w:rsidRPr="008B708A">
        <w:rPr>
          <w:i/>
          <w:iCs/>
        </w:rPr>
        <w:lastRenderedPageBreak/>
        <w:t>practical distinction between the two requirements thus arises out of the</w:t>
      </w:r>
      <w:r w:rsidRPr="00ED58EE">
        <w:t xml:space="preserve"> </w:t>
      </w:r>
      <w:r w:rsidRPr="008B708A">
        <w:rPr>
          <w:i/>
          <w:iCs/>
        </w:rPr>
        <w:t>application of the Plascon-Evans evidentiary rule in opposed proceedings for a final order; cf. Export Harness Supplies (Pty) Limited v Pasdec Autom</w:t>
      </w:r>
      <w:r w:rsidR="00467784" w:rsidRPr="008B708A">
        <w:rPr>
          <w:i/>
          <w:iCs/>
        </w:rPr>
        <w:t>o</w:t>
      </w:r>
      <w:r w:rsidRPr="008B708A">
        <w:rPr>
          <w:i/>
          <w:iCs/>
        </w:rPr>
        <w:t>tive Technologies (Pty) Limited 2005 JDR 0304 (SCA), at para. 4. The effect has been described in terms which suggest that a higher ‘degree of proof…on a balance of probabilities’ is required for a final order than for a provisional order (Paarwater v South Sahara Investments (Pty) Ltd [2005] 4 All SA 185 (SCA), at para. 3).  While the basis for that description is understandable, I would suggest respectfully that the position might more accurately be described as being that while the applicant must establish its case on the probabilities to obtain either a provisional or a final order, in an opposed application, a different, and more stringent approach to the evidence, consistent with the Plascon-Evans rule, must be adopted by a court in deciding whether the applicant has made a case for a final order.  This is in contradistinction to the approach to an opposed application for a provisional order, when the case is decided on the probabilities as they appear from the papers.</w:t>
      </w:r>
      <w:r w:rsidR="008B708A" w:rsidRPr="008B708A">
        <w:rPr>
          <w:i/>
          <w:iCs/>
        </w:rPr>
        <w:t>”</w:t>
      </w:r>
      <w:r w:rsidR="008E794A" w:rsidRPr="008B708A">
        <w:rPr>
          <w:rStyle w:val="FootnoteReference"/>
          <w:i/>
          <w:iCs/>
        </w:rPr>
        <w:footnoteReference w:id="8"/>
      </w:r>
    </w:p>
    <w:p w14:paraId="566D196D" w14:textId="7142599C" w:rsidR="008F19DC" w:rsidRPr="00ED58EE" w:rsidRDefault="008F19DC" w:rsidP="00ED58EE">
      <w:pPr>
        <w:pStyle w:val="Default"/>
        <w:spacing w:line="276" w:lineRule="auto"/>
        <w:jc w:val="both"/>
      </w:pPr>
    </w:p>
    <w:p w14:paraId="5975DB59" w14:textId="2B00D456" w:rsidR="008F19DC" w:rsidRPr="00ED58EE" w:rsidRDefault="0016260F" w:rsidP="0016260F">
      <w:pPr>
        <w:pStyle w:val="Default"/>
        <w:spacing w:line="276" w:lineRule="auto"/>
        <w:ind w:left="720" w:hanging="686"/>
        <w:jc w:val="both"/>
      </w:pPr>
      <w:r w:rsidRPr="00ED58EE">
        <w:t>[7]</w:t>
      </w:r>
      <w:r w:rsidRPr="00ED58EE">
        <w:tab/>
      </w:r>
      <w:r w:rsidR="008F19DC" w:rsidRPr="00ED58EE">
        <w:t>It is now necessary for this Court to consider each of the grounds of opposition raised by the Respondent to the granting of a final winding-up order.</w:t>
      </w:r>
    </w:p>
    <w:p w14:paraId="6691CBF7" w14:textId="4CE7BCC9" w:rsidR="008F19DC" w:rsidRPr="00ED58EE" w:rsidRDefault="008F19DC" w:rsidP="00ED58EE">
      <w:pPr>
        <w:pStyle w:val="Default"/>
        <w:spacing w:line="276" w:lineRule="auto"/>
        <w:jc w:val="both"/>
      </w:pPr>
    </w:p>
    <w:p w14:paraId="091F5CC2" w14:textId="4C2C9307" w:rsidR="008F19DC" w:rsidRPr="00ED58EE" w:rsidRDefault="008F19DC" w:rsidP="00ED58EE">
      <w:pPr>
        <w:pStyle w:val="Default"/>
        <w:spacing w:line="276" w:lineRule="auto"/>
        <w:jc w:val="both"/>
        <w:rPr>
          <w:b/>
          <w:bCs/>
          <w:u w:val="single"/>
        </w:rPr>
      </w:pPr>
      <w:r w:rsidRPr="00ED58EE">
        <w:rPr>
          <w:b/>
          <w:bCs/>
          <w:u w:val="single"/>
        </w:rPr>
        <w:t>An application for the final winding-up of the Respondent cannot be granted on the grounds of being just and equitable.</w:t>
      </w:r>
    </w:p>
    <w:p w14:paraId="288F75A2" w14:textId="1E5563F0" w:rsidR="008F19DC" w:rsidRPr="00ED58EE" w:rsidRDefault="008F19DC" w:rsidP="00ED58EE">
      <w:pPr>
        <w:pStyle w:val="Default"/>
        <w:spacing w:line="276" w:lineRule="auto"/>
        <w:jc w:val="both"/>
        <w:rPr>
          <w:b/>
          <w:bCs/>
          <w:u w:val="single"/>
        </w:rPr>
      </w:pPr>
    </w:p>
    <w:p w14:paraId="7327DFDD" w14:textId="5AE8AB4F" w:rsidR="00F5220D" w:rsidRPr="00ED58EE" w:rsidRDefault="0016260F" w:rsidP="0016260F">
      <w:pPr>
        <w:pStyle w:val="Default"/>
        <w:spacing w:line="276" w:lineRule="auto"/>
        <w:ind w:left="720" w:hanging="686"/>
        <w:jc w:val="both"/>
      </w:pPr>
      <w:r w:rsidRPr="00ED58EE">
        <w:t>[8]</w:t>
      </w:r>
      <w:r w:rsidRPr="00ED58EE">
        <w:tab/>
      </w:r>
      <w:r w:rsidR="008B575C" w:rsidRPr="00ED58EE">
        <w:t>This ground of opposition was raised at the first hearing by the Respondent but does not appear from the judgment to have been considered by Mudau J when granting the order provisionally winding-up the Respondent.</w:t>
      </w:r>
      <w:r w:rsidR="008145B1" w:rsidRPr="00ED58EE">
        <w:t xml:space="preserve"> Moreover, it does not appear from the judgment that the order of provisional winding-up was based on just and equitable grounds. In addition thereto, it would seem that the Applicant both at the first hearing and again before this Court, placed little emphasis on this ground as one upon which the Respondent should be wound-up</w:t>
      </w:r>
      <w:r w:rsidR="008A25F1">
        <w:t>,</w:t>
      </w:r>
      <w:r w:rsidR="008145B1" w:rsidRPr="00ED58EE">
        <w:t xml:space="preserve"> but rather, based its case primarily on the fact that the Respondent was unable to pay its debts.</w:t>
      </w:r>
    </w:p>
    <w:p w14:paraId="0DD28F55" w14:textId="77777777" w:rsidR="00F5220D" w:rsidRPr="00ED58EE" w:rsidRDefault="00F5220D" w:rsidP="00ED58EE">
      <w:pPr>
        <w:pStyle w:val="Default"/>
        <w:spacing w:line="276" w:lineRule="auto"/>
        <w:ind w:left="720"/>
        <w:jc w:val="both"/>
      </w:pPr>
    </w:p>
    <w:p w14:paraId="7DD894AA" w14:textId="2703E158" w:rsidR="00F5220D" w:rsidRPr="00ED58EE" w:rsidRDefault="0016260F" w:rsidP="0016260F">
      <w:pPr>
        <w:pStyle w:val="Default"/>
        <w:spacing w:line="276" w:lineRule="auto"/>
        <w:ind w:left="720" w:hanging="686"/>
        <w:jc w:val="both"/>
      </w:pPr>
      <w:r w:rsidRPr="00ED58EE">
        <w:t>[9]</w:t>
      </w:r>
      <w:r w:rsidRPr="00ED58EE">
        <w:tab/>
      </w:r>
      <w:r w:rsidR="008145B1" w:rsidRPr="00ED58EE">
        <w:t>The Respondent submitted that it had dispelled any case the Applicant may have had for a just and equitable winding-up.</w:t>
      </w:r>
      <w:r w:rsidR="00274F90" w:rsidRPr="00ED58EE">
        <w:t xml:space="preserve"> In summary, the Applicant had alleged that it would be just and equitable to wind the Respondent up because the Respondent had been used to mislead creditors in a sham company structure. In opposition thereto the Respondent had alleged that it was at all times independent, trading and generating funds as a holding company and engaged in business with both ATS and AOM at arms’ length.</w:t>
      </w:r>
    </w:p>
    <w:p w14:paraId="78CC3531" w14:textId="77777777" w:rsidR="00F5220D" w:rsidRPr="00ED58EE" w:rsidRDefault="00F5220D" w:rsidP="00ED58EE">
      <w:pPr>
        <w:pStyle w:val="ListParagraph"/>
        <w:spacing w:after="0" w:line="276" w:lineRule="auto"/>
        <w:rPr>
          <w:rFonts w:ascii="Arial" w:hAnsi="Arial" w:cs="Arial"/>
          <w:szCs w:val="24"/>
        </w:rPr>
      </w:pPr>
    </w:p>
    <w:p w14:paraId="7BAEB129" w14:textId="3000BA9D" w:rsidR="00274F90" w:rsidRDefault="0016260F" w:rsidP="0016260F">
      <w:pPr>
        <w:pStyle w:val="Default"/>
        <w:spacing w:line="276" w:lineRule="auto"/>
        <w:ind w:left="720" w:hanging="686"/>
        <w:jc w:val="both"/>
      </w:pPr>
      <w:r>
        <w:lastRenderedPageBreak/>
        <w:t>[10]</w:t>
      </w:r>
      <w:r>
        <w:tab/>
      </w:r>
      <w:r w:rsidR="00274F90" w:rsidRPr="00ED58EE">
        <w:t>In light of the aforegoing and when this Court applies the correct test in respect of a final winding-up order to the facts as set out in the application papers, this Court cannot grant a final order winding up the Respondent in terms of subsection 344(h) on the grounds that it would be just and equitable to do so.</w:t>
      </w:r>
    </w:p>
    <w:p w14:paraId="65C3278E" w14:textId="59E3B53D" w:rsidR="00274F90" w:rsidRPr="00ED58EE" w:rsidRDefault="00274F90" w:rsidP="00ED58EE">
      <w:pPr>
        <w:pStyle w:val="Default"/>
        <w:spacing w:line="276" w:lineRule="auto"/>
        <w:jc w:val="both"/>
      </w:pPr>
    </w:p>
    <w:p w14:paraId="248E0A91" w14:textId="7A6FD3CE" w:rsidR="006456CC" w:rsidRDefault="00274F90" w:rsidP="00ED58EE">
      <w:pPr>
        <w:pStyle w:val="Default"/>
        <w:spacing w:line="276" w:lineRule="auto"/>
        <w:jc w:val="both"/>
        <w:rPr>
          <w:b/>
          <w:bCs/>
          <w:u w:val="single"/>
        </w:rPr>
      </w:pPr>
      <w:r w:rsidRPr="00ED58EE">
        <w:rPr>
          <w:b/>
          <w:bCs/>
          <w:u w:val="single"/>
        </w:rPr>
        <w:t>The transactions fall outside the Applicant’s powers</w:t>
      </w:r>
    </w:p>
    <w:p w14:paraId="2F1D86DD" w14:textId="77777777" w:rsidR="008B708A" w:rsidRPr="00ED58EE" w:rsidRDefault="008B708A" w:rsidP="00ED58EE">
      <w:pPr>
        <w:pStyle w:val="Default"/>
        <w:spacing w:line="276" w:lineRule="auto"/>
        <w:jc w:val="both"/>
        <w:rPr>
          <w:b/>
          <w:bCs/>
          <w:u w:val="single"/>
        </w:rPr>
      </w:pPr>
    </w:p>
    <w:p w14:paraId="1D8ADA68" w14:textId="77777777" w:rsidR="006456CC" w:rsidRPr="00ED58EE" w:rsidRDefault="006456CC" w:rsidP="00ED58EE">
      <w:pPr>
        <w:pStyle w:val="Default"/>
        <w:spacing w:line="276" w:lineRule="auto"/>
        <w:ind w:left="360"/>
        <w:jc w:val="both"/>
        <w:rPr>
          <w:b/>
          <w:bCs/>
          <w:u w:val="single"/>
        </w:rPr>
      </w:pPr>
    </w:p>
    <w:p w14:paraId="401932EB" w14:textId="2AFC66CE" w:rsidR="00F5220D" w:rsidRPr="00ED58EE" w:rsidRDefault="0016260F" w:rsidP="0016260F">
      <w:pPr>
        <w:pStyle w:val="Default"/>
        <w:spacing w:line="276" w:lineRule="auto"/>
        <w:ind w:left="720" w:hanging="686"/>
        <w:jc w:val="both"/>
      </w:pPr>
      <w:r w:rsidRPr="00ED58EE">
        <w:t>[11]</w:t>
      </w:r>
      <w:r w:rsidRPr="00ED58EE">
        <w:tab/>
      </w:r>
      <w:r w:rsidR="006F73FC" w:rsidRPr="00ED58EE">
        <w:t>This ground was raised by the Respondent at the first hearing and was dealt with in the judgment</w:t>
      </w:r>
      <w:r w:rsidR="0097427C" w:rsidRPr="00ED58EE">
        <w:t xml:space="preserve">. The Respondent is quite correct that in terms of section 3 of </w:t>
      </w:r>
      <w:r w:rsidR="0097427C" w:rsidRPr="00ED58EE">
        <w:rPr>
          <w:i/>
          <w:iCs/>
        </w:rPr>
        <w:t xml:space="preserve">The Land and Agricultural Development Bank  Act 15 of 2002 </w:t>
      </w:r>
      <w:r w:rsidR="0097427C" w:rsidRPr="00ED58EE">
        <w:t>the Applicant is empowered and obligated to pursue only the purposes set out therein and a transaction which falls outside such a purpose is invalid and unenforceable.</w:t>
      </w:r>
      <w:r w:rsidR="007C4D9A" w:rsidRPr="00ED58EE">
        <w:rPr>
          <w:rStyle w:val="FootnoteReference"/>
        </w:rPr>
        <w:footnoteReference w:id="9"/>
      </w:r>
      <w:r w:rsidR="0097427C" w:rsidRPr="00ED58EE">
        <w:t xml:space="preserve"> </w:t>
      </w:r>
      <w:r w:rsidR="000B0F68" w:rsidRPr="00ED58EE">
        <w:t xml:space="preserve">It was submitted by the Respondent that neither the business of ATS nor AOM concerned agriculture. As such, any purported cession by GroCap to the Applicant of GroCap’s alleged claims against ATS and AOM fell outside the Applicant’s purpose and are invalid and unenforceable. In the premises, it </w:t>
      </w:r>
      <w:r w:rsidR="008A25F1">
        <w:t>was submitted by the Respondent</w:t>
      </w:r>
      <w:r w:rsidR="000B0F68" w:rsidRPr="00ED58EE">
        <w:t xml:space="preserve"> that there is and can be, no principal debt owing by ATS and/or AOM to the Applicant.</w:t>
      </w:r>
    </w:p>
    <w:p w14:paraId="57B82FD3" w14:textId="77777777" w:rsidR="00F5220D" w:rsidRPr="00ED58EE" w:rsidRDefault="00F5220D" w:rsidP="00ED58EE">
      <w:pPr>
        <w:pStyle w:val="Default"/>
        <w:spacing w:line="276" w:lineRule="auto"/>
        <w:ind w:left="720"/>
        <w:jc w:val="both"/>
      </w:pPr>
    </w:p>
    <w:p w14:paraId="71EFE417" w14:textId="628532D8" w:rsidR="00F5220D" w:rsidRPr="00ED58EE" w:rsidRDefault="0016260F" w:rsidP="0016260F">
      <w:pPr>
        <w:pStyle w:val="Default"/>
        <w:spacing w:line="276" w:lineRule="auto"/>
        <w:ind w:left="720" w:hanging="686"/>
        <w:jc w:val="both"/>
      </w:pPr>
      <w:r w:rsidRPr="00ED58EE">
        <w:t>[12]</w:t>
      </w:r>
      <w:r w:rsidRPr="00ED58EE">
        <w:tab/>
      </w:r>
      <w:r w:rsidR="00A918AA" w:rsidRPr="00ED58EE">
        <w:t>I</w:t>
      </w:r>
      <w:r w:rsidR="000B0F68" w:rsidRPr="00ED58EE">
        <w:t>n the judgment, this proposition was rejected</w:t>
      </w:r>
      <w:r w:rsidR="00A918AA" w:rsidRPr="00ED58EE">
        <w:t xml:space="preserve"> on the basis that,</w:t>
      </w:r>
      <w:r w:rsidR="000B0F68" w:rsidRPr="00ED58EE">
        <w:t xml:space="preserve"> on the </w:t>
      </w:r>
      <w:r w:rsidR="000960D9" w:rsidRPr="00ED58EE">
        <w:t>Respondent’s</w:t>
      </w:r>
      <w:r w:rsidR="000B0F68" w:rsidRPr="00ED58EE">
        <w:t xml:space="preserve"> own version, the business of </w:t>
      </w:r>
      <w:r w:rsidR="00A918AA" w:rsidRPr="00ED58EE">
        <w:t>both</w:t>
      </w:r>
      <w:r w:rsidR="000B0F68" w:rsidRPr="00ED58EE">
        <w:t xml:space="preserve"> A</w:t>
      </w:r>
      <w:r w:rsidR="000960D9" w:rsidRPr="00ED58EE">
        <w:t>T</w:t>
      </w:r>
      <w:r w:rsidR="000B0F68" w:rsidRPr="00ED58EE">
        <w:t>S and AOM</w:t>
      </w:r>
      <w:r w:rsidR="000960D9" w:rsidRPr="00ED58EE">
        <w:t xml:space="preserve"> involve the business of </w:t>
      </w:r>
      <w:r w:rsidR="000960D9" w:rsidRPr="00ED58EE">
        <w:rPr>
          <w:i/>
          <w:iCs/>
        </w:rPr>
        <w:t>“the procurement of soya beans, crushing them to produce soya oil and soya cake and selling the end products into the market”.</w:t>
      </w:r>
      <w:r w:rsidR="000960D9" w:rsidRPr="00ED58EE">
        <w:t xml:space="preserve"> On this basis the Court held that the business of ATS and AOM fell squarely within the objects of subsections 3(1) and (2) of</w:t>
      </w:r>
      <w:r w:rsidR="007F443E" w:rsidRPr="00ED58EE">
        <w:t xml:space="preserve"> </w:t>
      </w:r>
      <w:r w:rsidR="007F443E" w:rsidRPr="00ED58EE">
        <w:rPr>
          <w:i/>
          <w:iCs/>
        </w:rPr>
        <w:t>The Land and Agricultural Development Bank  Act 15 of 2002</w:t>
      </w:r>
      <w:r w:rsidR="000960D9" w:rsidRPr="00ED58EE">
        <w:t>. These subsections are set out, in full, in the judgment. In order not to burden this judgment unnecessarily, the said subsections (which by their very nature are lengthy and wide) will not be repeated herein.</w:t>
      </w:r>
    </w:p>
    <w:p w14:paraId="1B0E3195" w14:textId="77777777" w:rsidR="00F5220D" w:rsidRPr="00ED58EE" w:rsidRDefault="00F5220D" w:rsidP="00ED58EE">
      <w:pPr>
        <w:pStyle w:val="ListParagraph"/>
        <w:spacing w:after="0" w:line="276" w:lineRule="auto"/>
        <w:rPr>
          <w:rFonts w:ascii="Arial" w:hAnsi="Arial" w:cs="Arial"/>
          <w:szCs w:val="24"/>
        </w:rPr>
      </w:pPr>
    </w:p>
    <w:p w14:paraId="7BC49C64" w14:textId="6B6A27C9" w:rsidR="00F5220D" w:rsidRPr="00ED58EE" w:rsidRDefault="0016260F" w:rsidP="0016260F">
      <w:pPr>
        <w:pStyle w:val="Default"/>
        <w:spacing w:line="276" w:lineRule="auto"/>
        <w:ind w:left="720" w:hanging="686"/>
        <w:jc w:val="both"/>
      </w:pPr>
      <w:r w:rsidRPr="00ED58EE">
        <w:t>[13]</w:t>
      </w:r>
      <w:r w:rsidRPr="00ED58EE">
        <w:tab/>
      </w:r>
      <w:r w:rsidR="00A918AA" w:rsidRPr="00ED58EE">
        <w:t xml:space="preserve">It is necessary to point out that it was not the Respondent’s version that the businesses of both ATS and AOM were as described above. Rather, it is common cause on the application papers that whilst AOM carried on business processing and manufacturing in the soya bean market as set out above, ATS </w:t>
      </w:r>
      <w:r w:rsidR="007242D0" w:rsidRPr="00ED58EE">
        <w:t xml:space="preserve">was in the business of trading </w:t>
      </w:r>
      <w:r w:rsidR="00223992" w:rsidRPr="00ED58EE">
        <w:t>on</w:t>
      </w:r>
      <w:r w:rsidR="007242D0" w:rsidRPr="00ED58EE">
        <w:t xml:space="preserve"> the South African Futures Exchange, predominantly in agricultural derivatives.</w:t>
      </w:r>
    </w:p>
    <w:p w14:paraId="40B0A010" w14:textId="77777777" w:rsidR="00F5220D" w:rsidRPr="00ED58EE" w:rsidRDefault="00F5220D" w:rsidP="00ED58EE">
      <w:pPr>
        <w:pStyle w:val="ListParagraph"/>
        <w:spacing w:after="0" w:line="276" w:lineRule="auto"/>
        <w:rPr>
          <w:rFonts w:ascii="Arial" w:hAnsi="Arial" w:cs="Arial"/>
          <w:szCs w:val="24"/>
        </w:rPr>
      </w:pPr>
    </w:p>
    <w:p w14:paraId="57E6E13D" w14:textId="5EE7530E" w:rsidR="007242D0" w:rsidRPr="00ED58EE" w:rsidRDefault="0016260F" w:rsidP="0016260F">
      <w:pPr>
        <w:pStyle w:val="Default"/>
        <w:spacing w:line="276" w:lineRule="auto"/>
        <w:ind w:left="720" w:hanging="686"/>
        <w:jc w:val="both"/>
      </w:pPr>
      <w:r w:rsidRPr="00ED58EE">
        <w:t>[14]</w:t>
      </w:r>
      <w:r w:rsidRPr="00ED58EE">
        <w:tab/>
      </w:r>
      <w:r w:rsidR="000960D9" w:rsidRPr="00ED58EE">
        <w:t>This Court has carefully considered the</w:t>
      </w:r>
      <w:r w:rsidR="007242D0" w:rsidRPr="00ED58EE">
        <w:t xml:space="preserve"> aforegoing</w:t>
      </w:r>
      <w:r w:rsidR="000960D9" w:rsidRPr="00ED58EE">
        <w:t xml:space="preserve"> and is satisfied that the business carried out by both ATS and AOM fall within the meaning </w:t>
      </w:r>
      <w:r w:rsidR="007F443E" w:rsidRPr="00ED58EE">
        <w:t xml:space="preserve">and purpose of </w:t>
      </w:r>
      <w:r w:rsidR="007F443E" w:rsidRPr="00ED58EE">
        <w:rPr>
          <w:i/>
          <w:iCs/>
        </w:rPr>
        <w:t xml:space="preserve">The Land and Agricultural Development Bank  Act 15 of 2002 </w:t>
      </w:r>
      <w:r w:rsidR="007F443E" w:rsidRPr="00ED58EE">
        <w:t>with particular reference to section 3 thereof.</w:t>
      </w:r>
      <w:r w:rsidR="007242D0" w:rsidRPr="00ED58EE">
        <w:t xml:space="preserve"> In respect of the business of ATS, this Court is satisfied that same would be </w:t>
      </w:r>
      <w:r w:rsidR="007242D0" w:rsidRPr="00ED58EE">
        <w:lastRenderedPageBreak/>
        <w:t xml:space="preserve">covered by the provisions of subsection 3(1)(f) of </w:t>
      </w:r>
      <w:r w:rsidR="007242D0" w:rsidRPr="00ED58EE">
        <w:rPr>
          <w:i/>
          <w:iCs/>
        </w:rPr>
        <w:t>The Land and Agricultural Development Bank  Act 15 of 2002</w:t>
      </w:r>
      <w:r w:rsidR="007242D0" w:rsidRPr="00ED58EE">
        <w:t xml:space="preserve"> which states that:-</w:t>
      </w:r>
    </w:p>
    <w:p w14:paraId="0F5AE712" w14:textId="77777777" w:rsidR="007242D0" w:rsidRPr="00ED58EE" w:rsidRDefault="007242D0" w:rsidP="00ED58EE">
      <w:pPr>
        <w:pStyle w:val="Default"/>
        <w:spacing w:line="276" w:lineRule="auto"/>
        <w:ind w:left="360"/>
        <w:jc w:val="both"/>
      </w:pPr>
    </w:p>
    <w:p w14:paraId="0AC1734E" w14:textId="731955CB" w:rsidR="007242D0" w:rsidRPr="00ED58EE" w:rsidRDefault="007242D0" w:rsidP="00ED58EE">
      <w:pPr>
        <w:pStyle w:val="Default"/>
        <w:spacing w:line="276" w:lineRule="auto"/>
        <w:ind w:left="1440"/>
        <w:jc w:val="both"/>
        <w:rPr>
          <w:i/>
          <w:iCs/>
        </w:rPr>
      </w:pPr>
      <w:r w:rsidRPr="00ED58EE">
        <w:rPr>
          <w:i/>
          <w:iCs/>
        </w:rPr>
        <w:t>“The objects of the Bank are the promotion, facilitation and support of the enhancement of productivity, profitability, invest</w:t>
      </w:r>
      <w:r w:rsidR="008A25F1">
        <w:rPr>
          <w:i/>
          <w:iCs/>
        </w:rPr>
        <w:t>ment</w:t>
      </w:r>
      <w:r w:rsidRPr="00ED58EE">
        <w:rPr>
          <w:i/>
          <w:iCs/>
        </w:rPr>
        <w:t xml:space="preserve"> and innovation</w:t>
      </w:r>
      <w:r w:rsidR="00223992" w:rsidRPr="00ED58EE">
        <w:rPr>
          <w:i/>
          <w:iCs/>
        </w:rPr>
        <w:t xml:space="preserve"> </w:t>
      </w:r>
      <w:r w:rsidRPr="00ED58EE">
        <w:rPr>
          <w:i/>
          <w:iCs/>
        </w:rPr>
        <w:t xml:space="preserve">in the </w:t>
      </w:r>
      <w:r w:rsidRPr="00ED58EE">
        <w:rPr>
          <w:i/>
          <w:iCs/>
          <w:u w:val="single"/>
        </w:rPr>
        <w:t>agricultural</w:t>
      </w:r>
      <w:r w:rsidRPr="00ED58EE">
        <w:rPr>
          <w:i/>
          <w:iCs/>
        </w:rPr>
        <w:t xml:space="preserve"> and rural </w:t>
      </w:r>
      <w:r w:rsidRPr="00ED58EE">
        <w:rPr>
          <w:i/>
          <w:iCs/>
          <w:u w:val="single"/>
        </w:rPr>
        <w:t>financ</w:t>
      </w:r>
      <w:r w:rsidR="00223992" w:rsidRPr="00ED58EE">
        <w:rPr>
          <w:i/>
          <w:iCs/>
          <w:u w:val="single"/>
        </w:rPr>
        <w:t>ial systems</w:t>
      </w:r>
      <w:r w:rsidR="00223992" w:rsidRPr="00ED58EE">
        <w:rPr>
          <w:i/>
          <w:iCs/>
        </w:rPr>
        <w:t>.”</w:t>
      </w:r>
      <w:r w:rsidR="007C4D9A" w:rsidRPr="00ED58EE">
        <w:rPr>
          <w:rStyle w:val="FootnoteReference"/>
          <w:i/>
          <w:iCs/>
        </w:rPr>
        <w:footnoteReference w:id="10"/>
      </w:r>
      <w:r w:rsidRPr="00ED58EE">
        <w:rPr>
          <w:i/>
          <w:iCs/>
        </w:rPr>
        <w:t xml:space="preserve"> </w:t>
      </w:r>
    </w:p>
    <w:p w14:paraId="509F8C85" w14:textId="13DEA761" w:rsidR="00223992" w:rsidRPr="00ED58EE" w:rsidRDefault="00223992" w:rsidP="00ED58EE">
      <w:pPr>
        <w:pStyle w:val="Default"/>
        <w:spacing w:line="276" w:lineRule="auto"/>
        <w:ind w:left="360"/>
        <w:jc w:val="both"/>
        <w:rPr>
          <w:i/>
          <w:iCs/>
        </w:rPr>
      </w:pPr>
    </w:p>
    <w:p w14:paraId="6D47F7FC" w14:textId="71699C01" w:rsidR="00223992" w:rsidRPr="00ED58EE" w:rsidRDefault="00223992" w:rsidP="00ED58EE">
      <w:pPr>
        <w:pStyle w:val="Default"/>
        <w:spacing w:line="276" w:lineRule="auto"/>
        <w:ind w:left="720"/>
        <w:jc w:val="both"/>
        <w:rPr>
          <w:i/>
          <w:iCs/>
        </w:rPr>
      </w:pPr>
      <w:r w:rsidRPr="00ED58EE">
        <w:t xml:space="preserve">The fact that ATS carried out business trading on the South African Futures Exchange, predominantly in </w:t>
      </w:r>
      <w:r w:rsidRPr="00ED58EE">
        <w:rPr>
          <w:u w:val="single"/>
        </w:rPr>
        <w:t>agricultural</w:t>
      </w:r>
      <w:r w:rsidRPr="00ED58EE">
        <w:t xml:space="preserve"> derivatives</w:t>
      </w:r>
      <w:r w:rsidR="008A25F1">
        <w:t>,</w:t>
      </w:r>
      <w:r w:rsidRPr="00ED58EE">
        <w:t xml:space="preserve"> </w:t>
      </w:r>
      <w:r w:rsidR="004426A5" w:rsidRPr="00ED58EE">
        <w:t>puts this</w:t>
      </w:r>
      <w:r w:rsidRPr="00ED58EE">
        <w:t xml:space="preserve"> mode of business within the objects envisaged by </w:t>
      </w:r>
      <w:r w:rsidRPr="00ED58EE">
        <w:rPr>
          <w:i/>
          <w:iCs/>
        </w:rPr>
        <w:t xml:space="preserve">The Land and Agricultural Development </w:t>
      </w:r>
      <w:r w:rsidR="004426A5" w:rsidRPr="00ED58EE">
        <w:rPr>
          <w:i/>
          <w:iCs/>
        </w:rPr>
        <w:t>Bank Act</w:t>
      </w:r>
      <w:r w:rsidRPr="00ED58EE">
        <w:rPr>
          <w:i/>
          <w:iCs/>
        </w:rPr>
        <w:t xml:space="preserve"> 15 of 2002. </w:t>
      </w:r>
    </w:p>
    <w:p w14:paraId="38E1F18A" w14:textId="77777777" w:rsidR="00223992" w:rsidRPr="00ED58EE" w:rsidRDefault="00223992" w:rsidP="00ED58EE">
      <w:pPr>
        <w:pStyle w:val="Default"/>
        <w:spacing w:line="276" w:lineRule="auto"/>
        <w:ind w:left="360"/>
        <w:jc w:val="both"/>
        <w:rPr>
          <w:i/>
          <w:iCs/>
        </w:rPr>
      </w:pPr>
    </w:p>
    <w:p w14:paraId="19F8F540" w14:textId="4B3C2F17" w:rsidR="007F443E" w:rsidRPr="00ED58EE" w:rsidRDefault="0016260F" w:rsidP="0016260F">
      <w:pPr>
        <w:pStyle w:val="Default"/>
        <w:spacing w:line="276" w:lineRule="auto"/>
        <w:ind w:left="720" w:hanging="686"/>
        <w:jc w:val="both"/>
      </w:pPr>
      <w:r w:rsidRPr="00ED58EE">
        <w:t>[15]</w:t>
      </w:r>
      <w:r w:rsidRPr="00ED58EE">
        <w:tab/>
      </w:r>
      <w:r w:rsidR="00223992" w:rsidRPr="00ED58EE">
        <w:t>But even if this</w:t>
      </w:r>
      <w:r w:rsidR="005E5728" w:rsidRPr="00ED58EE">
        <w:t xml:space="preserve"> Court is incorrect in this regard, it must be accepted that the business carried out by AOM and as described earlier in this judgment, falls squarely within the objects of section 3 of </w:t>
      </w:r>
      <w:r w:rsidR="005E5728" w:rsidRPr="00ED58EE">
        <w:rPr>
          <w:i/>
          <w:iCs/>
        </w:rPr>
        <w:t xml:space="preserve">The Land and Agricultural Development </w:t>
      </w:r>
      <w:r w:rsidR="004426A5" w:rsidRPr="00ED58EE">
        <w:rPr>
          <w:i/>
          <w:iCs/>
        </w:rPr>
        <w:t>Bank Act</w:t>
      </w:r>
      <w:r w:rsidR="005E5728" w:rsidRPr="00ED58EE">
        <w:rPr>
          <w:i/>
          <w:iCs/>
        </w:rPr>
        <w:t xml:space="preserve"> 15 of 2002. </w:t>
      </w:r>
      <w:r w:rsidR="005E5728" w:rsidRPr="00ED58EE">
        <w:t xml:space="preserve">Hence, even if, for the purposes of argument, it was accepted that the cession by GroCap to the Applicant of GroCap’s claims against ATS fell outside the Applicant’s purpose and were therefore invalid and unenforceable, the Respondent’s indebtedness in respect of AOM would still remain.  </w:t>
      </w:r>
      <w:r w:rsidR="007F443E" w:rsidRPr="00ED58EE">
        <w:t>In the premises, this Court</w:t>
      </w:r>
      <w:r w:rsidR="007242D0" w:rsidRPr="00ED58EE">
        <w:t xml:space="preserve"> ultimately</w:t>
      </w:r>
      <w:r w:rsidR="007F443E" w:rsidRPr="00ED58EE">
        <w:t xml:space="preserve"> agrees with the finding of Mudau J in the judgment and holds that this ground of opposition does not assist the Respondent in avoiding the granting of a final</w:t>
      </w:r>
      <w:r w:rsidR="00562F79" w:rsidRPr="00ED58EE">
        <w:t xml:space="preserve"> winding-up order.</w:t>
      </w:r>
    </w:p>
    <w:p w14:paraId="01EAFA99" w14:textId="15C933F1" w:rsidR="00562F79" w:rsidRPr="00ED58EE" w:rsidRDefault="00562F79" w:rsidP="00ED58EE">
      <w:pPr>
        <w:pStyle w:val="Default"/>
        <w:spacing w:line="276" w:lineRule="auto"/>
        <w:jc w:val="both"/>
      </w:pPr>
    </w:p>
    <w:p w14:paraId="325454A4" w14:textId="182290AE" w:rsidR="00562F79" w:rsidRPr="00ED58EE" w:rsidRDefault="00562F79" w:rsidP="00ED58EE">
      <w:pPr>
        <w:pStyle w:val="Default"/>
        <w:spacing w:line="276" w:lineRule="auto"/>
        <w:jc w:val="both"/>
        <w:rPr>
          <w:b/>
          <w:bCs/>
          <w:u w:val="single"/>
        </w:rPr>
      </w:pPr>
      <w:r w:rsidRPr="00ED58EE">
        <w:rPr>
          <w:b/>
          <w:bCs/>
          <w:u w:val="single"/>
        </w:rPr>
        <w:t>The Applicant did not allege nor prove the fulfilment or waiver of any of the suspensive conditions contained in the agreement between GroCap and ATS and the agreement between GroCap and AOM</w:t>
      </w:r>
    </w:p>
    <w:p w14:paraId="6622108B" w14:textId="77777777" w:rsidR="00A007A5" w:rsidRPr="00ED58EE" w:rsidRDefault="00A007A5" w:rsidP="00ED58EE">
      <w:pPr>
        <w:pStyle w:val="Default"/>
        <w:spacing w:line="276" w:lineRule="auto"/>
        <w:jc w:val="both"/>
        <w:rPr>
          <w:b/>
          <w:bCs/>
          <w:u w:val="single"/>
        </w:rPr>
      </w:pPr>
    </w:p>
    <w:p w14:paraId="7CCECA74" w14:textId="006CB9D7" w:rsidR="00B8021E" w:rsidRPr="00ED58EE" w:rsidRDefault="00A007A5" w:rsidP="00ED58EE">
      <w:pPr>
        <w:pStyle w:val="Default"/>
        <w:spacing w:line="276" w:lineRule="auto"/>
        <w:jc w:val="both"/>
        <w:rPr>
          <w:b/>
          <w:bCs/>
          <w:u w:val="single"/>
        </w:rPr>
      </w:pPr>
      <w:r w:rsidRPr="00ED58EE">
        <w:rPr>
          <w:b/>
          <w:bCs/>
          <w:u w:val="single"/>
        </w:rPr>
        <w:t>T</w:t>
      </w:r>
      <w:r w:rsidR="00B8021E" w:rsidRPr="00ED58EE">
        <w:rPr>
          <w:b/>
          <w:bCs/>
          <w:u w:val="single"/>
        </w:rPr>
        <w:t>he Applicant did not allege nor prove the fulfilment or waiver of any of the suspensive conditions contained in the agreement of cession between GroCap and the Applicant</w:t>
      </w:r>
    </w:p>
    <w:p w14:paraId="2439C19C" w14:textId="77777777" w:rsidR="00B8021E" w:rsidRPr="00ED58EE" w:rsidRDefault="00B8021E" w:rsidP="00ED58EE">
      <w:pPr>
        <w:pStyle w:val="Default"/>
        <w:spacing w:line="276" w:lineRule="auto"/>
        <w:ind w:left="1185"/>
        <w:jc w:val="both"/>
      </w:pPr>
    </w:p>
    <w:p w14:paraId="56C54A79" w14:textId="15080756" w:rsidR="00B8021E" w:rsidRPr="00ED58EE" w:rsidRDefault="00A007A5" w:rsidP="00ED58EE">
      <w:pPr>
        <w:pStyle w:val="Default"/>
        <w:spacing w:line="276" w:lineRule="auto"/>
        <w:jc w:val="both"/>
        <w:rPr>
          <w:b/>
          <w:bCs/>
          <w:u w:val="single"/>
        </w:rPr>
      </w:pPr>
      <w:r w:rsidRPr="00ED58EE">
        <w:rPr>
          <w:b/>
          <w:bCs/>
          <w:u w:val="single"/>
        </w:rPr>
        <w:t>T</w:t>
      </w:r>
      <w:r w:rsidR="00B8021E" w:rsidRPr="00ED58EE">
        <w:rPr>
          <w:b/>
          <w:bCs/>
          <w:u w:val="single"/>
        </w:rPr>
        <w:t>he Applicant has not demonstrated that GroCap’s purported claims against ATS, AOM and/or the Respondent were part of the subset supposedly ceded, nor does the Applicant allege when and how that was supposed to have taken place</w:t>
      </w:r>
    </w:p>
    <w:p w14:paraId="29CA9A1E" w14:textId="6AEFBFA9" w:rsidR="00562F79" w:rsidRPr="00ED58EE" w:rsidRDefault="00562F79" w:rsidP="00ED58EE">
      <w:pPr>
        <w:pStyle w:val="Default"/>
        <w:spacing w:line="276" w:lineRule="auto"/>
        <w:jc w:val="both"/>
        <w:rPr>
          <w:b/>
          <w:bCs/>
          <w:u w:val="single"/>
        </w:rPr>
      </w:pPr>
    </w:p>
    <w:p w14:paraId="5E931109" w14:textId="5F75F4C6" w:rsidR="00F5220D" w:rsidRPr="00ED58EE" w:rsidRDefault="0016260F" w:rsidP="0016260F">
      <w:pPr>
        <w:pStyle w:val="Default"/>
        <w:spacing w:line="276" w:lineRule="auto"/>
        <w:ind w:left="720" w:hanging="686"/>
        <w:jc w:val="both"/>
      </w:pPr>
      <w:r w:rsidRPr="00ED58EE">
        <w:t>[16]</w:t>
      </w:r>
      <w:r w:rsidRPr="00ED58EE">
        <w:tab/>
      </w:r>
      <w:r w:rsidR="00802DE9" w:rsidRPr="00ED58EE">
        <w:t>Whilst the above three headings were set out separately earlier in this judgment</w:t>
      </w:r>
      <w:r w:rsidR="007C4D9A" w:rsidRPr="00ED58EE">
        <w:rPr>
          <w:rStyle w:val="FootnoteReference"/>
        </w:rPr>
        <w:footnoteReference w:id="11"/>
      </w:r>
      <w:r w:rsidR="00802DE9" w:rsidRPr="00ED58EE">
        <w:t xml:space="preserve"> and were raised as separate grounds of opposition on behalf of the Respondent, it is, by virtue of the nature thereof, convenient to deal with them simultaneously, as if under one heading. Indeed, this appears to be the approach adopted by Mudau J in the judgment when granting the provisional winding-up order.</w:t>
      </w:r>
    </w:p>
    <w:p w14:paraId="1132486E" w14:textId="77777777" w:rsidR="00F5220D" w:rsidRPr="00ED58EE" w:rsidRDefault="00F5220D" w:rsidP="00ED58EE">
      <w:pPr>
        <w:pStyle w:val="Default"/>
        <w:spacing w:line="276" w:lineRule="auto"/>
        <w:ind w:left="720"/>
        <w:jc w:val="both"/>
      </w:pPr>
    </w:p>
    <w:p w14:paraId="543FBA8D" w14:textId="77E753F5" w:rsidR="00F5220D" w:rsidRPr="00ED58EE" w:rsidRDefault="0016260F" w:rsidP="0016260F">
      <w:pPr>
        <w:pStyle w:val="Default"/>
        <w:spacing w:line="276" w:lineRule="auto"/>
        <w:ind w:left="720" w:hanging="686"/>
        <w:jc w:val="both"/>
      </w:pPr>
      <w:r w:rsidRPr="00ED58EE">
        <w:t>[17]</w:t>
      </w:r>
      <w:r w:rsidRPr="00ED58EE">
        <w:tab/>
      </w:r>
      <w:r w:rsidR="00DC66E3" w:rsidRPr="00ED58EE">
        <w:t xml:space="preserve">In respect of the cession and the underlying </w:t>
      </w:r>
      <w:r w:rsidR="00DC66E3" w:rsidRPr="00ED58EE">
        <w:rPr>
          <w:i/>
          <w:iCs/>
        </w:rPr>
        <w:t>causa</w:t>
      </w:r>
      <w:r w:rsidR="00DC66E3" w:rsidRPr="00ED58EE">
        <w:t xml:space="preserve"> thereto, it was (correctly in this Court’s opinion) submitted on behalf of the Applicant that it does not “lie in the mouth </w:t>
      </w:r>
      <w:r w:rsidR="00DC66E3" w:rsidRPr="00ED58EE">
        <w:lastRenderedPageBreak/>
        <w:t>of the Respondent” to, without adducing any evidence, deny that the claim was properly and lawfully ceded to the Applicant. Moreover, as pointed out by the Applicant, representatives of both the cedent and cessionary</w:t>
      </w:r>
      <w:r w:rsidR="004672B0" w:rsidRPr="00ED58EE">
        <w:t xml:space="preserve"> have confirmed, under oath, that the claim was ceded and complete. As found by Mudau J in the judgment, as cessionary</w:t>
      </w:r>
      <w:r w:rsidR="008A25F1">
        <w:t>,</w:t>
      </w:r>
      <w:r w:rsidR="004672B0" w:rsidRPr="00ED58EE">
        <w:t xml:space="preserve"> the Applicant is entitled to enforce all rights that previously vested in the cedent, including</w:t>
      </w:r>
      <w:r w:rsidR="00411E1F" w:rsidRPr="00ED58EE">
        <w:t xml:space="preserve"> the enforcement of rights related to securities provided to the cedent as per their SLA. The learned Judge further found that the Respondent had not provided any countervailing evidence to dispute that the claim was in fact ceded. In the premises, Mudau J held that such a bald or bare denial by the Respondent does not constitute a defence as the Applicant’s version is, in this instance, not seriously or unambiguously addressed.</w:t>
      </w:r>
    </w:p>
    <w:p w14:paraId="2BE49E73" w14:textId="77777777" w:rsidR="00F5220D" w:rsidRPr="00ED58EE" w:rsidRDefault="00F5220D" w:rsidP="00ED58EE">
      <w:pPr>
        <w:pStyle w:val="ListParagraph"/>
        <w:spacing w:after="0" w:line="276" w:lineRule="auto"/>
        <w:rPr>
          <w:rFonts w:ascii="Arial" w:hAnsi="Arial" w:cs="Arial"/>
          <w:szCs w:val="24"/>
        </w:rPr>
      </w:pPr>
    </w:p>
    <w:p w14:paraId="15613F0D" w14:textId="6FBB1A28" w:rsidR="00DC66E3" w:rsidRPr="00ED58EE" w:rsidRDefault="0016260F" w:rsidP="0016260F">
      <w:pPr>
        <w:pStyle w:val="Default"/>
        <w:spacing w:line="276" w:lineRule="auto"/>
        <w:ind w:left="720" w:hanging="686"/>
        <w:jc w:val="both"/>
      </w:pPr>
      <w:r w:rsidRPr="00ED58EE">
        <w:t>[18]</w:t>
      </w:r>
      <w:r w:rsidRPr="00ED58EE">
        <w:tab/>
      </w:r>
      <w:r w:rsidR="00411E1F" w:rsidRPr="00ED58EE">
        <w:t>This Court not only accepts the submissions made on behalf of the Applicant but also concurs with the decision reached on this aspect by the Court granting the provisional winding-up order. In the premises, none of the grounds as set out above form the basis of valid opposition to prevent this Court from granting an order finally winding-up the Respondent.</w:t>
      </w:r>
    </w:p>
    <w:p w14:paraId="55DF4833" w14:textId="6EEE2503" w:rsidR="00164638" w:rsidRPr="00ED58EE" w:rsidRDefault="00164638" w:rsidP="00ED58EE">
      <w:pPr>
        <w:pStyle w:val="Default"/>
        <w:spacing w:line="276" w:lineRule="auto"/>
        <w:jc w:val="both"/>
      </w:pPr>
    </w:p>
    <w:p w14:paraId="79872D33" w14:textId="71A116DA" w:rsidR="00164638" w:rsidRPr="00ED58EE" w:rsidRDefault="00164638" w:rsidP="00ED58EE">
      <w:pPr>
        <w:pStyle w:val="Default"/>
        <w:spacing w:line="276" w:lineRule="auto"/>
        <w:jc w:val="both"/>
        <w:rPr>
          <w:b/>
          <w:bCs/>
          <w:u w:val="single"/>
        </w:rPr>
      </w:pPr>
      <w:r w:rsidRPr="00ED58EE">
        <w:rPr>
          <w:b/>
          <w:bCs/>
          <w:u w:val="single"/>
        </w:rPr>
        <w:t>It is denied that the Respondent provided a suretyship undertaking to GroCap</w:t>
      </w:r>
    </w:p>
    <w:p w14:paraId="4E080D56" w14:textId="77777777" w:rsidR="00164638" w:rsidRPr="00ED58EE" w:rsidRDefault="00164638" w:rsidP="00ED58EE">
      <w:pPr>
        <w:pStyle w:val="Default"/>
        <w:spacing w:line="276" w:lineRule="auto"/>
        <w:jc w:val="both"/>
        <w:rPr>
          <w:b/>
          <w:bCs/>
          <w:u w:val="single"/>
        </w:rPr>
      </w:pPr>
    </w:p>
    <w:p w14:paraId="31A8A29A" w14:textId="504E87C3" w:rsidR="00F5220D" w:rsidRPr="00ED58EE" w:rsidRDefault="0016260F" w:rsidP="0016260F">
      <w:pPr>
        <w:pStyle w:val="Default"/>
        <w:spacing w:line="276" w:lineRule="auto"/>
        <w:ind w:left="720" w:hanging="686"/>
        <w:jc w:val="both"/>
      </w:pPr>
      <w:r w:rsidRPr="00ED58EE">
        <w:t>[19]</w:t>
      </w:r>
      <w:r w:rsidRPr="00ED58EE">
        <w:tab/>
      </w:r>
      <w:r w:rsidR="00164638" w:rsidRPr="00ED58EE">
        <w:t>With regard to this ground of opposition raised by the Respondent</w:t>
      </w:r>
      <w:r w:rsidR="008A25F1">
        <w:t>,</w:t>
      </w:r>
      <w:r w:rsidR="00164638" w:rsidRPr="00ED58EE">
        <w:t xml:space="preserve"> </w:t>
      </w:r>
      <w:r w:rsidR="00E7742F" w:rsidRPr="00ED58EE">
        <w:t xml:space="preserve">it is not clear whether the Respondent ultimately relies on </w:t>
      </w:r>
      <w:r w:rsidR="00E7742F" w:rsidRPr="00ED58EE">
        <w:rPr>
          <w:i/>
          <w:iCs/>
        </w:rPr>
        <w:t>iustus error</w:t>
      </w:r>
      <w:r w:rsidR="00E7742F" w:rsidRPr="00ED58EE">
        <w:t xml:space="preserve">, </w:t>
      </w:r>
      <w:r w:rsidR="00E7742F" w:rsidRPr="00ED58EE">
        <w:rPr>
          <w:i/>
          <w:iCs/>
        </w:rPr>
        <w:t>alternatively</w:t>
      </w:r>
      <w:r w:rsidR="00E7742F" w:rsidRPr="00ED58EE">
        <w:t>, fraud. In the Applicant’</w:t>
      </w:r>
      <w:r w:rsidR="007F71D5" w:rsidRPr="00ED58EE">
        <w:t>s</w:t>
      </w:r>
      <w:r w:rsidR="00E7742F" w:rsidRPr="00ED58EE">
        <w:t xml:space="preserve"> Heads of Argument (filed prior to the first appearance in this matter) the argument in response to this ground of opposition deals solely with </w:t>
      </w:r>
      <w:r w:rsidR="00E7742F" w:rsidRPr="00ED58EE">
        <w:rPr>
          <w:i/>
          <w:iCs/>
        </w:rPr>
        <w:t>ius</w:t>
      </w:r>
      <w:r w:rsidR="00B15D12" w:rsidRPr="00ED58EE">
        <w:rPr>
          <w:i/>
          <w:iCs/>
        </w:rPr>
        <w:t>t</w:t>
      </w:r>
      <w:r w:rsidR="00E7742F" w:rsidRPr="00ED58EE">
        <w:rPr>
          <w:i/>
          <w:iCs/>
        </w:rPr>
        <w:t>us error</w:t>
      </w:r>
      <w:r w:rsidR="00E7742F" w:rsidRPr="00ED58EE">
        <w:t xml:space="preserve"> and fraud is not mentioned.</w:t>
      </w:r>
      <w:r w:rsidR="00B15D12" w:rsidRPr="00ED58EE">
        <w:t xml:space="preserve"> Moreover, in the judgment, when dismissing this ground of opposition to the application</w:t>
      </w:r>
      <w:r w:rsidR="00164638" w:rsidRPr="00ED58EE">
        <w:t xml:space="preserve"> </w:t>
      </w:r>
      <w:r w:rsidR="00B15D12" w:rsidRPr="00ED58EE">
        <w:t xml:space="preserve">the Court noted that </w:t>
      </w:r>
      <w:r w:rsidR="00B15D12" w:rsidRPr="00ED58EE">
        <w:rPr>
          <w:i/>
          <w:iCs/>
        </w:rPr>
        <w:t>“The high-watermark of the respondent’s case is its reliance on iustus error …….”.</w:t>
      </w:r>
      <w:r w:rsidR="00B15D12" w:rsidRPr="00ED58EE">
        <w:t xml:space="preserve"> </w:t>
      </w:r>
      <w:r w:rsidR="007F71D5" w:rsidRPr="00ED58EE">
        <w:t>Mudau J, despite acknowledging earlier in the judgment that the director of the respondent alleges she was induced by fraud to sign a page of the Deed of Suretyship,</w:t>
      </w:r>
      <w:r w:rsidR="00B15D12" w:rsidRPr="00ED58EE">
        <w:t xml:space="preserve"> does not</w:t>
      </w:r>
      <w:r w:rsidR="007F71D5" w:rsidRPr="00ED58EE">
        <w:t xml:space="preserve"> mention fraud again in the judgment and does not deal with fraud when dismissing this ground of opposition by the Respondent.</w:t>
      </w:r>
      <w:r w:rsidR="00B15D12" w:rsidRPr="00ED58EE">
        <w:t xml:space="preserve"> However, in the Respondent’s Heads of Argument on Final Winding-up dated the 12</w:t>
      </w:r>
      <w:r w:rsidR="00B15D12" w:rsidRPr="00ED58EE">
        <w:rPr>
          <w:vertAlign w:val="superscript"/>
        </w:rPr>
        <w:t>th</w:t>
      </w:r>
      <w:r w:rsidR="00B15D12" w:rsidRPr="00ED58EE">
        <w:t xml:space="preserve"> of October 2022 (after the granting of the provisional winding-up order) reliance is placed squarely on fraud and the defence of </w:t>
      </w:r>
      <w:r w:rsidR="00B15D12" w:rsidRPr="00ED58EE">
        <w:rPr>
          <w:i/>
          <w:iCs/>
        </w:rPr>
        <w:t>iustus error</w:t>
      </w:r>
      <w:r w:rsidR="00B15D12" w:rsidRPr="00ED58EE">
        <w:t xml:space="preserve"> has been specifically abandoned.</w:t>
      </w:r>
    </w:p>
    <w:p w14:paraId="25143677" w14:textId="77777777" w:rsidR="00F5220D" w:rsidRPr="00ED58EE" w:rsidRDefault="00F5220D" w:rsidP="00ED58EE">
      <w:pPr>
        <w:pStyle w:val="Default"/>
        <w:spacing w:line="276" w:lineRule="auto"/>
        <w:ind w:left="720"/>
        <w:jc w:val="both"/>
      </w:pPr>
    </w:p>
    <w:p w14:paraId="0FCFFA86" w14:textId="0F9488BE" w:rsidR="00F5220D" w:rsidRPr="00ED58EE" w:rsidRDefault="0016260F" w:rsidP="0016260F">
      <w:pPr>
        <w:pStyle w:val="Default"/>
        <w:spacing w:line="276" w:lineRule="auto"/>
        <w:ind w:left="720" w:hanging="686"/>
        <w:jc w:val="both"/>
      </w:pPr>
      <w:r w:rsidRPr="00ED58EE">
        <w:t>[20]</w:t>
      </w:r>
      <w:r w:rsidRPr="00ED58EE">
        <w:tab/>
      </w:r>
      <w:r w:rsidR="00E84A71" w:rsidRPr="00ED58EE">
        <w:t>More specifically, the Respondent seeks to avoid any liability and therefore any indebtedness to the Applicant arising from the Deed of Suretyship as a result of fraud committed by a third party whose misrepresentation caused the Respondent’s director to sign a single page of the document.</w:t>
      </w:r>
    </w:p>
    <w:p w14:paraId="38CA980F" w14:textId="77777777" w:rsidR="00F5220D" w:rsidRPr="00ED58EE" w:rsidRDefault="00F5220D" w:rsidP="00ED58EE">
      <w:pPr>
        <w:pStyle w:val="ListParagraph"/>
        <w:spacing w:after="0" w:line="276" w:lineRule="auto"/>
        <w:rPr>
          <w:rFonts w:ascii="Arial" w:hAnsi="Arial" w:cs="Arial"/>
          <w:szCs w:val="24"/>
        </w:rPr>
      </w:pPr>
    </w:p>
    <w:p w14:paraId="459CB15D" w14:textId="6DD4963D" w:rsidR="00F5220D" w:rsidRPr="00ED58EE" w:rsidRDefault="0016260F" w:rsidP="0016260F">
      <w:pPr>
        <w:pStyle w:val="Default"/>
        <w:spacing w:line="276" w:lineRule="auto"/>
        <w:ind w:left="720" w:hanging="686"/>
        <w:jc w:val="both"/>
      </w:pPr>
      <w:r w:rsidRPr="00ED58EE">
        <w:t>[21]</w:t>
      </w:r>
      <w:r w:rsidRPr="00ED58EE">
        <w:tab/>
      </w:r>
      <w:r w:rsidR="00E84A71" w:rsidRPr="00ED58EE">
        <w:t xml:space="preserve">Despite the apparent confusion as to the nature of the Respondent’s defence (in law), what </w:t>
      </w:r>
      <w:r w:rsidR="00E84A71" w:rsidRPr="008A25F1">
        <w:rPr>
          <w:i/>
        </w:rPr>
        <w:t>is</w:t>
      </w:r>
      <w:r w:rsidR="00E84A71" w:rsidRPr="00ED58EE">
        <w:t xml:space="preserve"> clear to this Court is that the facts of this matter remain the same.</w:t>
      </w:r>
      <w:r w:rsidR="00A761AD" w:rsidRPr="00ED58EE">
        <w:t xml:space="preserve"> In the premises, it is merely necessary for this Court to consider, on the same facts as before, whether the Applicant is entitled to a final winding-up order once the </w:t>
      </w:r>
      <w:r w:rsidR="00A761AD" w:rsidRPr="00ED58EE">
        <w:rPr>
          <w:i/>
          <w:iCs/>
        </w:rPr>
        <w:t>Plascon-Evans</w:t>
      </w:r>
      <w:r w:rsidR="00A761AD" w:rsidRPr="00ED58EE">
        <w:t xml:space="preserve"> </w:t>
      </w:r>
      <w:r w:rsidR="00A761AD" w:rsidRPr="00ED58EE">
        <w:lastRenderedPageBreak/>
        <w:t xml:space="preserve">evidentiary rule is applied, taking into account that the Respondent now relies on fraud rather than </w:t>
      </w:r>
      <w:r w:rsidR="00F5220D" w:rsidRPr="00ED58EE">
        <w:rPr>
          <w:i/>
          <w:iCs/>
        </w:rPr>
        <w:t>iustus error.</w:t>
      </w:r>
    </w:p>
    <w:p w14:paraId="274D0FBC" w14:textId="77777777" w:rsidR="00F5220D" w:rsidRPr="00ED58EE" w:rsidRDefault="00F5220D" w:rsidP="00ED58EE">
      <w:pPr>
        <w:pStyle w:val="ListParagraph"/>
        <w:spacing w:after="0" w:line="276" w:lineRule="auto"/>
        <w:rPr>
          <w:rFonts w:ascii="Arial" w:hAnsi="Arial" w:cs="Arial"/>
          <w:szCs w:val="24"/>
        </w:rPr>
      </w:pPr>
    </w:p>
    <w:p w14:paraId="3C6CA41E" w14:textId="2126F012" w:rsidR="00F5220D" w:rsidRPr="00ED58EE" w:rsidRDefault="0016260F" w:rsidP="0016260F">
      <w:pPr>
        <w:pStyle w:val="Default"/>
        <w:spacing w:line="276" w:lineRule="auto"/>
        <w:ind w:left="720" w:hanging="686"/>
        <w:jc w:val="both"/>
      </w:pPr>
      <w:r w:rsidRPr="00ED58EE">
        <w:t>[22]</w:t>
      </w:r>
      <w:r w:rsidRPr="00ED58EE">
        <w:tab/>
      </w:r>
      <w:r w:rsidR="007F71D5" w:rsidRPr="00ED58EE">
        <w:t xml:space="preserve">Whilst admitting that she signed the Deed of Suretyship, Mrs Rohit (the Respondent’s director) alleges that she signed only the one page </w:t>
      </w:r>
      <w:r w:rsidR="007F71D5" w:rsidRPr="00ED58EE">
        <w:rPr>
          <w:i/>
          <w:iCs/>
        </w:rPr>
        <w:t>“…as shareholder of ATS authorising and consenting to Hugo renewing ATS’s financial facilities”.</w:t>
      </w:r>
      <w:r w:rsidR="007F71D5" w:rsidRPr="00ED58EE">
        <w:t xml:space="preserve"> Mrs Rohit </w:t>
      </w:r>
      <w:r w:rsidR="00D70DC0" w:rsidRPr="00ED58EE">
        <w:t>also</w:t>
      </w:r>
      <w:r w:rsidR="007F71D5" w:rsidRPr="00ED58EE">
        <w:t xml:space="preserve"> alleges that</w:t>
      </w:r>
      <w:r w:rsidR="00D70DC0" w:rsidRPr="00ED58EE">
        <w:t xml:space="preserve"> she was told that</w:t>
      </w:r>
      <w:r w:rsidR="007F71D5" w:rsidRPr="00ED58EE">
        <w:t xml:space="preserve"> </w:t>
      </w:r>
      <w:r w:rsidR="00D70DC0" w:rsidRPr="00ED58EE">
        <w:t>the page she was signing would be attached to and constitute, a shareholders’ resolution and not a Deed of Suretyship.</w:t>
      </w:r>
    </w:p>
    <w:p w14:paraId="2EE0E52C" w14:textId="77777777" w:rsidR="00F5220D" w:rsidRPr="00ED58EE" w:rsidRDefault="00F5220D" w:rsidP="00ED58EE">
      <w:pPr>
        <w:pStyle w:val="ListParagraph"/>
        <w:spacing w:after="0" w:line="276" w:lineRule="auto"/>
        <w:rPr>
          <w:rFonts w:ascii="Arial" w:hAnsi="Arial" w:cs="Arial"/>
          <w:szCs w:val="24"/>
        </w:rPr>
      </w:pPr>
    </w:p>
    <w:p w14:paraId="0FDCC397" w14:textId="157AC010" w:rsidR="00F5220D" w:rsidRPr="00ED58EE" w:rsidRDefault="0016260F" w:rsidP="0016260F">
      <w:pPr>
        <w:pStyle w:val="Default"/>
        <w:spacing w:line="276" w:lineRule="auto"/>
        <w:ind w:left="720" w:hanging="686"/>
        <w:jc w:val="both"/>
      </w:pPr>
      <w:r w:rsidRPr="00ED58EE">
        <w:t>[23]</w:t>
      </w:r>
      <w:r w:rsidRPr="00ED58EE">
        <w:tab/>
      </w:r>
      <w:r w:rsidR="00D70DC0" w:rsidRPr="00ED58EE">
        <w:t xml:space="preserve">The submissions made on behalf of the Applicant in response to these averments, even despite the fact that they were made in respect of the defence of </w:t>
      </w:r>
      <w:r w:rsidR="00D70DC0" w:rsidRPr="00ED58EE">
        <w:rPr>
          <w:i/>
          <w:iCs/>
        </w:rPr>
        <w:t>iustus error</w:t>
      </w:r>
      <w:r w:rsidR="00D70DC0" w:rsidRPr="00ED58EE">
        <w:t>, are no less noteworthy in respect of the defence of fraud. The first such submission is that Mrs Rohit concedes that the document was signed to renew ATS’s financial facilities which included security</w:t>
      </w:r>
      <w:r w:rsidR="00B36C7B" w:rsidRPr="00ED58EE">
        <w:t xml:space="preserve"> demanded in the form of a suretyship. Thus, submits the Applicant, there can be no doubt that Mrs Rohit knew she was signing a Deed of Suretyship, particularly since she, on her own version, is a seasoned businesswoman.</w:t>
      </w:r>
    </w:p>
    <w:p w14:paraId="2348287C" w14:textId="77777777" w:rsidR="00F5220D" w:rsidRPr="00ED58EE" w:rsidRDefault="00F5220D" w:rsidP="00ED58EE">
      <w:pPr>
        <w:pStyle w:val="ListParagraph"/>
        <w:spacing w:after="0" w:line="276" w:lineRule="auto"/>
        <w:rPr>
          <w:rFonts w:ascii="Arial" w:hAnsi="Arial" w:cs="Arial"/>
          <w:szCs w:val="24"/>
        </w:rPr>
      </w:pPr>
    </w:p>
    <w:p w14:paraId="7B3905FA" w14:textId="7E797B43" w:rsidR="00F5220D" w:rsidRPr="00ED58EE" w:rsidRDefault="0016260F" w:rsidP="0016260F">
      <w:pPr>
        <w:pStyle w:val="Default"/>
        <w:spacing w:line="276" w:lineRule="auto"/>
        <w:ind w:left="720" w:hanging="686"/>
        <w:jc w:val="both"/>
      </w:pPr>
      <w:r w:rsidRPr="00ED58EE">
        <w:t>[24]</w:t>
      </w:r>
      <w:r w:rsidRPr="00ED58EE">
        <w:tab/>
      </w:r>
      <w:r w:rsidR="00B36C7B" w:rsidRPr="00ED58EE">
        <w:t xml:space="preserve">In addition to the aforegoing the Applicant also submits that there could have been no doubt that Mrs Rohit knew she was signing a Deed of Suretyship in light of the fact that not only did she sign this document but she also signed the resolution referred to in the said Deed of Suretyship. </w:t>
      </w:r>
      <w:r w:rsidR="008A25F1">
        <w:t xml:space="preserve">It was submitted on behalf of the Applicant </w:t>
      </w:r>
      <w:r w:rsidR="00901792">
        <w:t xml:space="preserve">that </w:t>
      </w:r>
      <w:r w:rsidR="008A25F1">
        <w:t>t</w:t>
      </w:r>
      <w:r w:rsidR="00B36C7B" w:rsidRPr="00ED58EE">
        <w:t>his resolution</w:t>
      </w:r>
      <w:r w:rsidR="008A25F1">
        <w:t>,</w:t>
      </w:r>
      <w:r w:rsidR="00B36C7B" w:rsidRPr="00ED58EE">
        <w:t xml:space="preserve"> which was put up as an annexure to the replying affidavit</w:t>
      </w:r>
      <w:r w:rsidR="008A25F1">
        <w:t>,</w:t>
      </w:r>
      <w:r w:rsidR="00B36C7B" w:rsidRPr="00ED58EE">
        <w:t xml:space="preserve"> clearly refers and agrees to the “Unlimited Cross Suretyship”.</w:t>
      </w:r>
      <w:r w:rsidR="00D70DC0" w:rsidRPr="00ED58EE">
        <w:t xml:space="preserve"> </w:t>
      </w:r>
    </w:p>
    <w:p w14:paraId="55A7313E" w14:textId="77777777" w:rsidR="00F5220D" w:rsidRPr="00ED58EE" w:rsidRDefault="00F5220D" w:rsidP="00ED58EE">
      <w:pPr>
        <w:pStyle w:val="ListParagraph"/>
        <w:spacing w:after="0" w:line="276" w:lineRule="auto"/>
        <w:rPr>
          <w:rFonts w:ascii="Arial" w:hAnsi="Arial" w:cs="Arial"/>
          <w:szCs w:val="24"/>
        </w:rPr>
      </w:pPr>
    </w:p>
    <w:p w14:paraId="5B61A95B" w14:textId="123B0D4A" w:rsidR="00F5220D" w:rsidRPr="00ED58EE" w:rsidRDefault="0016260F" w:rsidP="0016260F">
      <w:pPr>
        <w:pStyle w:val="Default"/>
        <w:spacing w:line="276" w:lineRule="auto"/>
        <w:ind w:left="720" w:hanging="686"/>
        <w:jc w:val="both"/>
      </w:pPr>
      <w:r w:rsidRPr="00ED58EE">
        <w:t>[25]</w:t>
      </w:r>
      <w:r w:rsidRPr="00ED58EE">
        <w:tab/>
      </w:r>
      <w:r w:rsidR="000368BD" w:rsidRPr="00ED58EE">
        <w:t xml:space="preserve">Based on the aforegoing, it was submitted that the Respondent’s version is accordingly so far-fetched and untenable that this Court is justified in rejecting it on the application papers before it and </w:t>
      </w:r>
      <w:r w:rsidR="008A25F1">
        <w:t xml:space="preserve">is </w:t>
      </w:r>
      <w:r w:rsidR="000368BD" w:rsidRPr="00ED58EE">
        <w:t>entitled to grant a final winding-up order.</w:t>
      </w:r>
    </w:p>
    <w:p w14:paraId="4CAAFF7E" w14:textId="77777777" w:rsidR="00F5220D" w:rsidRPr="00ED58EE" w:rsidRDefault="00F5220D" w:rsidP="00ED58EE">
      <w:pPr>
        <w:pStyle w:val="ListParagraph"/>
        <w:spacing w:after="0" w:line="276" w:lineRule="auto"/>
        <w:rPr>
          <w:rFonts w:ascii="Arial" w:hAnsi="Arial" w:cs="Arial"/>
          <w:szCs w:val="24"/>
        </w:rPr>
      </w:pPr>
    </w:p>
    <w:p w14:paraId="3856F54D" w14:textId="41FC9709" w:rsidR="00A5753C" w:rsidRPr="00ED58EE" w:rsidRDefault="0016260F" w:rsidP="0016260F">
      <w:pPr>
        <w:pStyle w:val="Default"/>
        <w:spacing w:line="276" w:lineRule="auto"/>
        <w:ind w:left="720" w:hanging="686"/>
        <w:jc w:val="both"/>
      </w:pPr>
      <w:r w:rsidRPr="00ED58EE">
        <w:t>[26]</w:t>
      </w:r>
      <w:r w:rsidRPr="00ED58EE">
        <w:tab/>
      </w:r>
      <w:r w:rsidR="00A5753C" w:rsidRPr="00ED58EE">
        <w:t xml:space="preserve">Having regard to, </w:t>
      </w:r>
      <w:r w:rsidR="00A5753C" w:rsidRPr="00ED58EE">
        <w:rPr>
          <w:i/>
          <w:iCs/>
        </w:rPr>
        <w:t>inter alia,</w:t>
      </w:r>
      <w:r w:rsidR="00A5753C" w:rsidRPr="00ED58EE">
        <w:t xml:space="preserve"> the submissions made on behalf of the Applicant and applying the test as set out in </w:t>
      </w:r>
      <w:r w:rsidR="00A5753C" w:rsidRPr="00ED58EE">
        <w:rPr>
          <w:i/>
          <w:iCs/>
        </w:rPr>
        <w:t>Plascon-Evans</w:t>
      </w:r>
      <w:r w:rsidR="00A5753C" w:rsidRPr="00ED58EE">
        <w:t xml:space="preserve"> to the facts of this matter, it is clear that the defence of fraud cannot assist the Respondent in its opposition to the application by the Applicant for the final winding-up of the Respondent.</w:t>
      </w:r>
    </w:p>
    <w:p w14:paraId="60061B45" w14:textId="77777777" w:rsidR="00F5220D" w:rsidRPr="00ED58EE" w:rsidRDefault="00F5220D" w:rsidP="00ED58EE">
      <w:pPr>
        <w:pStyle w:val="Default"/>
        <w:spacing w:line="276" w:lineRule="auto"/>
        <w:jc w:val="both"/>
        <w:rPr>
          <w:b/>
          <w:bCs/>
          <w:u w:val="single"/>
        </w:rPr>
      </w:pPr>
    </w:p>
    <w:p w14:paraId="1AA4F0A3" w14:textId="57187324" w:rsidR="00A5753C" w:rsidRPr="00ED58EE" w:rsidRDefault="00A5753C" w:rsidP="00ED58EE">
      <w:pPr>
        <w:pStyle w:val="Default"/>
        <w:spacing w:line="276" w:lineRule="auto"/>
        <w:jc w:val="both"/>
        <w:rPr>
          <w:b/>
          <w:bCs/>
          <w:u w:val="single"/>
        </w:rPr>
      </w:pPr>
      <w:r w:rsidRPr="00ED58EE">
        <w:rPr>
          <w:b/>
          <w:bCs/>
          <w:u w:val="single"/>
        </w:rPr>
        <w:t>Conclusion</w:t>
      </w:r>
    </w:p>
    <w:p w14:paraId="2C5A45EF" w14:textId="4BF6A13B" w:rsidR="00A5753C" w:rsidRPr="00ED58EE" w:rsidRDefault="00A5753C" w:rsidP="00ED58EE">
      <w:pPr>
        <w:pStyle w:val="Default"/>
        <w:spacing w:line="276" w:lineRule="auto"/>
        <w:jc w:val="both"/>
        <w:rPr>
          <w:b/>
          <w:bCs/>
          <w:u w:val="single"/>
        </w:rPr>
      </w:pPr>
    </w:p>
    <w:p w14:paraId="6C7452B6" w14:textId="2EC47656" w:rsidR="00F5220D" w:rsidRPr="00ED58EE" w:rsidRDefault="0016260F" w:rsidP="0016260F">
      <w:pPr>
        <w:pStyle w:val="Default"/>
        <w:spacing w:line="276" w:lineRule="auto"/>
        <w:ind w:left="720" w:hanging="686"/>
        <w:jc w:val="both"/>
      </w:pPr>
      <w:r w:rsidRPr="00ED58EE">
        <w:t>[27]</w:t>
      </w:r>
      <w:r w:rsidRPr="00ED58EE">
        <w:tab/>
      </w:r>
      <w:r w:rsidR="00A5753C" w:rsidRPr="00ED58EE">
        <w:t xml:space="preserve">That concludes an examination of the grounds of opposition raised by the Respondent </w:t>
      </w:r>
      <w:r w:rsidR="00E137B4" w:rsidRPr="00ED58EE">
        <w:t>in respect of the application for a final winding-up order. Where any other possible grounds of opposition may not have been dealt with in this judgment, this Court is in agreement with the judgment of Mudau J in respect of the granting of the provisional winding-up order and is satisfied that those grounds of opposition do not stand muster at the stage of granting a final winding-up order when the correct test is applied thereto. Further, this Court aligns itself with the findings of Mudau J in relation to</w:t>
      </w:r>
      <w:r w:rsidR="000952E0" w:rsidRPr="00ED58EE">
        <w:t xml:space="preserve">, </w:t>
      </w:r>
      <w:r w:rsidR="000952E0" w:rsidRPr="00ED58EE">
        <w:rPr>
          <w:i/>
          <w:iCs/>
        </w:rPr>
        <w:t>inter alia</w:t>
      </w:r>
      <w:r w:rsidR="000952E0" w:rsidRPr="00ED58EE">
        <w:t>,</w:t>
      </w:r>
      <w:r w:rsidR="00E137B4" w:rsidRPr="00ED58EE">
        <w:t xml:space="preserve"> the Applicant having proven the Respondent’s indebtedness to it</w:t>
      </w:r>
      <w:r w:rsidR="000952E0" w:rsidRPr="00ED58EE">
        <w:t>; the fact  that the Respondent is commercially insolvent</w:t>
      </w:r>
      <w:r w:rsidR="00E137B4" w:rsidRPr="00ED58EE">
        <w:t xml:space="preserve"> and</w:t>
      </w:r>
      <w:r w:rsidR="000952E0" w:rsidRPr="00ED58EE">
        <w:t>, most importantly,</w:t>
      </w:r>
      <w:r w:rsidR="00E137B4" w:rsidRPr="00ED58EE">
        <w:t xml:space="preserve"> the inability of the </w:t>
      </w:r>
      <w:r w:rsidR="000952E0" w:rsidRPr="00ED58EE">
        <w:lastRenderedPageBreak/>
        <w:t>Respondent to pay its debts. This judgment will not be burdened by, once again, dealing therewith.</w:t>
      </w:r>
    </w:p>
    <w:p w14:paraId="278CFC17" w14:textId="77777777" w:rsidR="00F5220D" w:rsidRPr="00ED58EE" w:rsidRDefault="00F5220D" w:rsidP="00ED58EE">
      <w:pPr>
        <w:pStyle w:val="Default"/>
        <w:spacing w:line="276" w:lineRule="auto"/>
        <w:ind w:left="720"/>
        <w:jc w:val="both"/>
      </w:pPr>
    </w:p>
    <w:p w14:paraId="38087982" w14:textId="27742BE3" w:rsidR="000952E0" w:rsidRPr="00ED58EE" w:rsidRDefault="0016260F" w:rsidP="0016260F">
      <w:pPr>
        <w:pStyle w:val="Default"/>
        <w:spacing w:line="276" w:lineRule="auto"/>
        <w:ind w:left="720" w:hanging="686"/>
        <w:jc w:val="both"/>
      </w:pPr>
      <w:r w:rsidRPr="00ED58EE">
        <w:t>[28]</w:t>
      </w:r>
      <w:r w:rsidRPr="00ED58EE">
        <w:tab/>
      </w:r>
      <w:r w:rsidR="00E137B4" w:rsidRPr="00ED58EE">
        <w:t>In the premises, it must</w:t>
      </w:r>
      <w:r w:rsidR="000952E0" w:rsidRPr="00ED58EE">
        <w:t xml:space="preserve"> follow that this Court finds that the Respondent is unable to pay its debts within t</w:t>
      </w:r>
      <w:r w:rsidR="007C4D9A" w:rsidRPr="00ED58EE">
        <w:t>he meaning of subsection 345(1)(c)</w:t>
      </w:r>
      <w:r w:rsidR="000952E0" w:rsidRPr="00ED58EE">
        <w:t xml:space="preserve"> of the Act and should be finally wound-up.</w:t>
      </w:r>
    </w:p>
    <w:p w14:paraId="45F007CF" w14:textId="24687102" w:rsidR="000952E0" w:rsidRPr="00ED58EE" w:rsidRDefault="000952E0" w:rsidP="00ED58EE">
      <w:pPr>
        <w:pStyle w:val="Default"/>
        <w:spacing w:line="276" w:lineRule="auto"/>
        <w:jc w:val="both"/>
      </w:pPr>
    </w:p>
    <w:p w14:paraId="0331E579" w14:textId="13B6382A" w:rsidR="008F19DC" w:rsidRPr="00ED58EE" w:rsidRDefault="000952E0" w:rsidP="00ED58EE">
      <w:pPr>
        <w:pStyle w:val="Default"/>
        <w:spacing w:line="276" w:lineRule="auto"/>
        <w:jc w:val="both"/>
        <w:rPr>
          <w:b/>
          <w:bCs/>
          <w:u w:val="single"/>
        </w:rPr>
      </w:pPr>
      <w:r w:rsidRPr="00ED58EE">
        <w:rPr>
          <w:b/>
          <w:bCs/>
          <w:u w:val="single"/>
        </w:rPr>
        <w:t>Order</w:t>
      </w:r>
    </w:p>
    <w:p w14:paraId="1299075F" w14:textId="6554A5C4" w:rsidR="000952E0" w:rsidRPr="00ED58EE" w:rsidRDefault="000952E0" w:rsidP="00ED58EE">
      <w:pPr>
        <w:pStyle w:val="Default"/>
        <w:spacing w:line="276" w:lineRule="auto"/>
        <w:jc w:val="both"/>
        <w:rPr>
          <w:b/>
          <w:bCs/>
          <w:u w:val="single"/>
        </w:rPr>
      </w:pPr>
    </w:p>
    <w:p w14:paraId="417665B1" w14:textId="43E0F06C" w:rsidR="000952E0" w:rsidRPr="00ED58EE" w:rsidRDefault="0016260F" w:rsidP="0016260F">
      <w:pPr>
        <w:pStyle w:val="Default"/>
        <w:spacing w:line="276" w:lineRule="auto"/>
        <w:ind w:left="394" w:hanging="360"/>
        <w:jc w:val="both"/>
      </w:pPr>
      <w:r w:rsidRPr="00ED58EE">
        <w:t>[29]</w:t>
      </w:r>
      <w:r w:rsidRPr="00ED58EE">
        <w:tab/>
      </w:r>
      <w:r w:rsidR="000952E0" w:rsidRPr="00ED58EE">
        <w:t>This Court makes the following order:</w:t>
      </w:r>
    </w:p>
    <w:p w14:paraId="046A7909" w14:textId="7B6844A3" w:rsidR="000952E0" w:rsidRPr="00ED58EE" w:rsidRDefault="000952E0" w:rsidP="00ED58EE">
      <w:pPr>
        <w:pStyle w:val="Default"/>
        <w:spacing w:line="276" w:lineRule="auto"/>
        <w:jc w:val="both"/>
      </w:pPr>
    </w:p>
    <w:p w14:paraId="5DC63BE5" w14:textId="7B493E1E" w:rsidR="000952E0" w:rsidRPr="00ED58EE" w:rsidRDefault="0016260F" w:rsidP="0016260F">
      <w:pPr>
        <w:pStyle w:val="Default"/>
        <w:spacing w:line="276" w:lineRule="auto"/>
        <w:ind w:left="1170" w:hanging="360"/>
        <w:jc w:val="both"/>
      </w:pPr>
      <w:r w:rsidRPr="00ED58EE">
        <w:t>1.</w:t>
      </w:r>
      <w:r w:rsidRPr="00ED58EE">
        <w:tab/>
      </w:r>
      <w:r w:rsidR="000952E0" w:rsidRPr="00ED58EE">
        <w:t>The Respondent is finally wound-up pursuant to the provisions of subsection 344(f) read with subsection 345(1)(c)</w:t>
      </w:r>
      <w:r w:rsidR="004D6395" w:rsidRPr="00ED58EE">
        <w:t xml:space="preserve"> of the Companies Act, 61 of 1973 (as amended) and read with the Companies Act, 71 of 2008 (as amended).</w:t>
      </w:r>
    </w:p>
    <w:p w14:paraId="6898DC0B" w14:textId="77777777" w:rsidR="004D6395" w:rsidRPr="00ED58EE" w:rsidRDefault="004D6395" w:rsidP="00ED58EE">
      <w:pPr>
        <w:pStyle w:val="Default"/>
        <w:spacing w:line="276" w:lineRule="auto"/>
        <w:ind w:left="720"/>
        <w:jc w:val="both"/>
      </w:pPr>
    </w:p>
    <w:p w14:paraId="07718B39" w14:textId="4749F503" w:rsidR="004D6395" w:rsidRPr="00ED58EE" w:rsidRDefault="0016260F" w:rsidP="0016260F">
      <w:pPr>
        <w:pStyle w:val="Default"/>
        <w:spacing w:line="276" w:lineRule="auto"/>
        <w:ind w:left="1170" w:hanging="360"/>
        <w:jc w:val="both"/>
      </w:pPr>
      <w:r w:rsidRPr="00ED58EE">
        <w:t>2.</w:t>
      </w:r>
      <w:r w:rsidRPr="00ED58EE">
        <w:tab/>
      </w:r>
      <w:r w:rsidR="004D6395" w:rsidRPr="00ED58EE">
        <w:t>This order shall be served forthwith on the Respondent at its registered address and a copy of this order shall be published once in the Government Gazette and once in the Citizen newspaper.</w:t>
      </w:r>
    </w:p>
    <w:p w14:paraId="5974839C" w14:textId="6A1E2BC1" w:rsidR="004D6395" w:rsidRPr="00ED58EE" w:rsidRDefault="004D6395" w:rsidP="00ED58EE">
      <w:pPr>
        <w:pStyle w:val="Default"/>
        <w:spacing w:line="276" w:lineRule="auto"/>
        <w:jc w:val="both"/>
      </w:pPr>
    </w:p>
    <w:p w14:paraId="1E3CE909" w14:textId="39E5FDE4" w:rsidR="004D6395" w:rsidRPr="00ED58EE" w:rsidRDefault="0016260F" w:rsidP="0016260F">
      <w:pPr>
        <w:pStyle w:val="Default"/>
        <w:spacing w:line="276" w:lineRule="auto"/>
        <w:ind w:left="1170" w:hanging="360"/>
        <w:jc w:val="both"/>
      </w:pPr>
      <w:r w:rsidRPr="00ED58EE">
        <w:t>3.</w:t>
      </w:r>
      <w:r w:rsidRPr="00ED58EE">
        <w:tab/>
      </w:r>
      <w:r w:rsidR="004D6395" w:rsidRPr="00ED58EE">
        <w:t>The costs of this application are to be costs in the winding-up of the Respondent’s estate.</w:t>
      </w:r>
    </w:p>
    <w:p w14:paraId="6A44C878" w14:textId="6B3FD9E0" w:rsidR="00394ED7" w:rsidRDefault="00394ED7" w:rsidP="00F35E2A">
      <w:pPr>
        <w:spacing w:before="240" w:after="240" w:line="360" w:lineRule="auto"/>
        <w:ind w:left="0" w:right="-42"/>
        <w:jc w:val="left"/>
        <w:rPr>
          <w:rFonts w:ascii="Arial" w:eastAsiaTheme="minorHAnsi" w:hAnsi="Arial" w:cs="Arial"/>
          <w:szCs w:val="24"/>
          <w:lang w:eastAsia="en-US"/>
        </w:rPr>
      </w:pPr>
    </w:p>
    <w:p w14:paraId="0B9646A9" w14:textId="77777777" w:rsidR="00113BE3" w:rsidRPr="00B94C00" w:rsidRDefault="00113BE3" w:rsidP="00F35E2A">
      <w:pPr>
        <w:spacing w:before="240" w:after="240" w:line="360" w:lineRule="auto"/>
        <w:ind w:left="0" w:right="-42"/>
        <w:jc w:val="left"/>
        <w:rPr>
          <w:rFonts w:ascii="Arial" w:eastAsiaTheme="minorHAnsi" w:hAnsi="Arial" w:cs="Arial"/>
          <w:color w:val="auto"/>
          <w:szCs w:val="24"/>
          <w:lang w:eastAsia="en-US"/>
        </w:rPr>
      </w:pPr>
    </w:p>
    <w:p w14:paraId="6BCB93AF" w14:textId="7B818F00" w:rsidR="00394ED7" w:rsidRPr="00B94C00" w:rsidRDefault="00394ED7"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4A6C67" w:rsidRPr="00B94C00">
        <w:rPr>
          <w:rFonts w:ascii="Arial" w:eastAsiaTheme="minorHAnsi" w:hAnsi="Arial" w:cs="Arial"/>
          <w:color w:val="auto"/>
          <w:szCs w:val="24"/>
          <w:lang w:eastAsia="en-US"/>
        </w:rPr>
        <w:t>_</w:t>
      </w:r>
      <w:r w:rsidR="007B109C" w:rsidRPr="00B94C00">
        <w:rPr>
          <w:rFonts w:ascii="Arial" w:eastAsiaTheme="minorHAnsi" w:hAnsi="Arial" w:cs="Arial"/>
          <w:color w:val="auto"/>
          <w:szCs w:val="24"/>
          <w:lang w:eastAsia="en-US"/>
        </w:rPr>
        <w:t>____</w:t>
      </w:r>
      <w:r w:rsidR="004A6C67" w:rsidRPr="00B94C00">
        <w:rPr>
          <w:rFonts w:ascii="Arial" w:eastAsiaTheme="minorHAnsi" w:hAnsi="Arial" w:cs="Arial"/>
          <w:color w:val="auto"/>
          <w:szCs w:val="24"/>
          <w:lang w:eastAsia="en-US"/>
        </w:rPr>
        <w:t>_</w:t>
      </w:r>
      <w:r w:rsidRPr="00B94C00">
        <w:rPr>
          <w:rFonts w:ascii="Arial" w:eastAsiaTheme="minorHAnsi" w:hAnsi="Arial" w:cs="Arial"/>
          <w:color w:val="auto"/>
          <w:szCs w:val="24"/>
          <w:lang w:eastAsia="en-US"/>
        </w:rPr>
        <w:t>_______________________</w:t>
      </w:r>
    </w:p>
    <w:p w14:paraId="7BED9695" w14:textId="5A02885B" w:rsidR="00394ED7" w:rsidRPr="00B94C00" w:rsidRDefault="00394ED7" w:rsidP="006A7D07">
      <w:pPr>
        <w:spacing w:after="0" w:line="240" w:lineRule="auto"/>
        <w:ind w:left="0" w:right="-42" w:firstLine="720"/>
        <w:jc w:val="right"/>
        <w:rPr>
          <w:rFonts w:ascii="Arial" w:eastAsiaTheme="minorHAnsi" w:hAnsi="Arial" w:cs="Arial"/>
          <w:b/>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1D42EA">
        <w:rPr>
          <w:rFonts w:ascii="Arial" w:eastAsiaTheme="minorHAnsi" w:hAnsi="Arial" w:cs="Arial"/>
          <w:b/>
          <w:color w:val="auto"/>
          <w:szCs w:val="24"/>
          <w:lang w:eastAsia="en-US"/>
        </w:rPr>
        <w:t>B</w:t>
      </w:r>
      <w:r w:rsidR="00F84133">
        <w:rPr>
          <w:rFonts w:ascii="Arial" w:eastAsiaTheme="minorHAnsi" w:hAnsi="Arial" w:cs="Arial"/>
          <w:b/>
          <w:color w:val="auto"/>
          <w:szCs w:val="24"/>
          <w:lang w:eastAsia="en-US"/>
        </w:rPr>
        <w:t>.</w:t>
      </w:r>
      <w:r w:rsidR="001D42EA">
        <w:rPr>
          <w:rFonts w:ascii="Arial" w:eastAsiaTheme="minorHAnsi" w:hAnsi="Arial" w:cs="Arial"/>
          <w:b/>
          <w:color w:val="auto"/>
          <w:szCs w:val="24"/>
          <w:lang w:eastAsia="en-US"/>
        </w:rPr>
        <w:t>C</w:t>
      </w:r>
      <w:r w:rsidR="00F84133">
        <w:rPr>
          <w:rFonts w:ascii="Arial" w:eastAsiaTheme="minorHAnsi" w:hAnsi="Arial" w:cs="Arial"/>
          <w:b/>
          <w:color w:val="auto"/>
          <w:szCs w:val="24"/>
          <w:lang w:eastAsia="en-US"/>
        </w:rPr>
        <w:t>.</w:t>
      </w:r>
      <w:r w:rsidR="001D42EA">
        <w:rPr>
          <w:rFonts w:ascii="Arial" w:eastAsiaTheme="minorHAnsi" w:hAnsi="Arial" w:cs="Arial"/>
          <w:b/>
          <w:color w:val="auto"/>
          <w:szCs w:val="24"/>
          <w:lang w:eastAsia="en-US"/>
        </w:rPr>
        <w:t xml:space="preserve"> WANLESS</w:t>
      </w:r>
    </w:p>
    <w:p w14:paraId="64B6D5A0" w14:textId="3C06DEE9" w:rsidR="00394ED7" w:rsidRPr="00B94C00" w:rsidRDefault="00394ED7"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BB7757">
        <w:rPr>
          <w:rFonts w:ascii="Arial" w:eastAsiaTheme="minorHAnsi" w:hAnsi="Arial" w:cs="Arial"/>
          <w:color w:val="auto"/>
          <w:szCs w:val="24"/>
          <w:lang w:eastAsia="en-US"/>
        </w:rPr>
        <w:t>Acting</w:t>
      </w:r>
      <w:r w:rsidRPr="00B94C00">
        <w:rPr>
          <w:rFonts w:ascii="Arial" w:eastAsiaTheme="minorHAnsi" w:hAnsi="Arial" w:cs="Arial"/>
          <w:color w:val="auto"/>
          <w:szCs w:val="24"/>
          <w:lang w:eastAsia="en-US"/>
        </w:rPr>
        <w:tab/>
      </w:r>
      <w:r w:rsidR="00D20A49" w:rsidRPr="00B94C00">
        <w:rPr>
          <w:rFonts w:ascii="Arial" w:eastAsiaTheme="minorHAnsi" w:hAnsi="Arial" w:cs="Arial"/>
          <w:color w:val="auto"/>
          <w:szCs w:val="24"/>
          <w:lang w:eastAsia="en-US"/>
        </w:rPr>
        <w:t>Judge o</w:t>
      </w:r>
      <w:r w:rsidR="005866AD" w:rsidRPr="00B94C00">
        <w:rPr>
          <w:rFonts w:ascii="Arial" w:eastAsiaTheme="minorHAnsi" w:hAnsi="Arial" w:cs="Arial"/>
          <w:color w:val="auto"/>
          <w:szCs w:val="24"/>
          <w:lang w:eastAsia="en-US"/>
        </w:rPr>
        <w:t>f t</w:t>
      </w:r>
      <w:r w:rsidR="00D20A49" w:rsidRPr="00B94C00">
        <w:rPr>
          <w:rFonts w:ascii="Arial" w:eastAsiaTheme="minorHAnsi" w:hAnsi="Arial" w:cs="Arial"/>
          <w:color w:val="auto"/>
          <w:szCs w:val="24"/>
          <w:lang w:eastAsia="en-US"/>
        </w:rPr>
        <w:t>he High Court</w:t>
      </w:r>
    </w:p>
    <w:p w14:paraId="552E52EF" w14:textId="6820A96B" w:rsidR="00394ED7" w:rsidRPr="00B94C00" w:rsidRDefault="00D20A49"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7B109C" w:rsidRPr="00B94C00">
        <w:rPr>
          <w:rFonts w:ascii="Arial" w:eastAsiaTheme="minorHAnsi" w:hAnsi="Arial" w:cs="Arial"/>
          <w:color w:val="auto"/>
          <w:szCs w:val="24"/>
          <w:lang w:eastAsia="en-US"/>
        </w:rPr>
        <w:t xml:space="preserve">Gauteng Division, </w:t>
      </w:r>
      <w:r w:rsidRPr="00B94C00">
        <w:rPr>
          <w:rFonts w:ascii="Arial" w:eastAsiaTheme="minorHAnsi" w:hAnsi="Arial" w:cs="Arial"/>
          <w:color w:val="auto"/>
          <w:szCs w:val="24"/>
          <w:lang w:eastAsia="en-US"/>
        </w:rPr>
        <w:t xml:space="preserve">Johannesburg </w:t>
      </w:r>
    </w:p>
    <w:p w14:paraId="6D3085AB" w14:textId="77777777" w:rsidR="00394ED7" w:rsidRPr="00B94C00" w:rsidRDefault="00394ED7" w:rsidP="007C296E">
      <w:pPr>
        <w:spacing w:after="0" w:line="240" w:lineRule="auto"/>
        <w:ind w:right="-42"/>
        <w:jc w:val="left"/>
        <w:rPr>
          <w:rFonts w:ascii="Arial" w:eastAsiaTheme="minorHAnsi" w:hAnsi="Arial" w:cs="Arial"/>
          <w:color w:val="auto"/>
          <w:szCs w:val="24"/>
          <w:lang w:eastAsia="en-US"/>
        </w:rPr>
      </w:pPr>
    </w:p>
    <w:p w14:paraId="7984F212" w14:textId="77777777" w:rsidR="00DF3156" w:rsidRDefault="00DF3156" w:rsidP="006A7D07">
      <w:pPr>
        <w:spacing w:after="0" w:line="240" w:lineRule="auto"/>
        <w:ind w:right="-42"/>
        <w:jc w:val="left"/>
        <w:rPr>
          <w:rFonts w:ascii="Arial" w:eastAsiaTheme="minorHAnsi" w:hAnsi="Arial" w:cs="Arial"/>
          <w:b/>
          <w:color w:val="auto"/>
          <w:szCs w:val="24"/>
          <w:lang w:eastAsia="en-US"/>
        </w:rPr>
      </w:pPr>
    </w:p>
    <w:p w14:paraId="7C478D9A" w14:textId="23AA5305" w:rsidR="006A7D07" w:rsidRPr="00F35E2A" w:rsidRDefault="006A7D07" w:rsidP="006A7D07">
      <w:pPr>
        <w:spacing w:after="0" w:line="240" w:lineRule="auto"/>
        <w:ind w:right="-42"/>
        <w:jc w:val="left"/>
        <w:rPr>
          <w:rFonts w:ascii="Arial" w:eastAsiaTheme="minorHAnsi" w:hAnsi="Arial" w:cs="Arial"/>
          <w:color w:val="auto"/>
          <w:sz w:val="22"/>
          <w:szCs w:val="24"/>
          <w:lang w:eastAsia="en-US"/>
        </w:rPr>
      </w:pPr>
      <w:r w:rsidRPr="00F35E2A">
        <w:rPr>
          <w:rFonts w:ascii="Arial" w:eastAsiaTheme="minorHAnsi" w:hAnsi="Arial" w:cs="Arial"/>
          <w:b/>
          <w:color w:val="auto"/>
          <w:sz w:val="22"/>
          <w:szCs w:val="24"/>
          <w:lang w:eastAsia="en-US"/>
        </w:rPr>
        <w:t>Heard</w:t>
      </w:r>
      <w:r w:rsidRPr="00F35E2A">
        <w:rPr>
          <w:rFonts w:ascii="Arial" w:eastAsiaTheme="minorHAnsi" w:hAnsi="Arial" w:cs="Arial"/>
          <w:color w:val="auto"/>
          <w:sz w:val="22"/>
          <w:szCs w:val="24"/>
          <w:lang w:eastAsia="en-US"/>
        </w:rPr>
        <w:t>:</w:t>
      </w:r>
      <w:r w:rsidRPr="00F35E2A">
        <w:rPr>
          <w:rFonts w:ascii="Arial" w:eastAsiaTheme="minorHAnsi" w:hAnsi="Arial" w:cs="Arial"/>
          <w:color w:val="auto"/>
          <w:sz w:val="22"/>
          <w:szCs w:val="24"/>
          <w:lang w:eastAsia="en-US"/>
        </w:rPr>
        <w:tab/>
      </w:r>
      <w:r w:rsidRPr="00F35E2A">
        <w:rPr>
          <w:rFonts w:ascii="Arial" w:eastAsiaTheme="minorHAnsi" w:hAnsi="Arial" w:cs="Arial"/>
          <w:color w:val="auto"/>
          <w:sz w:val="22"/>
          <w:szCs w:val="24"/>
          <w:lang w:eastAsia="en-US"/>
        </w:rPr>
        <w:tab/>
      </w:r>
      <w:r w:rsidR="007C296E" w:rsidRPr="00F35E2A">
        <w:rPr>
          <w:rFonts w:ascii="Arial" w:eastAsiaTheme="minorHAnsi" w:hAnsi="Arial" w:cs="Arial"/>
          <w:color w:val="auto"/>
          <w:sz w:val="22"/>
          <w:szCs w:val="24"/>
          <w:lang w:eastAsia="en-US"/>
        </w:rPr>
        <w:tab/>
      </w:r>
      <w:r w:rsidR="00F35E2A">
        <w:rPr>
          <w:rFonts w:ascii="Arial" w:eastAsiaTheme="minorHAnsi" w:hAnsi="Arial" w:cs="Arial"/>
          <w:color w:val="auto"/>
          <w:sz w:val="22"/>
          <w:szCs w:val="24"/>
          <w:lang w:eastAsia="en-US"/>
        </w:rPr>
        <w:tab/>
      </w:r>
      <w:r w:rsidR="00646B20" w:rsidRPr="00F35E2A">
        <w:rPr>
          <w:rFonts w:ascii="Arial" w:eastAsiaTheme="minorHAnsi" w:hAnsi="Arial" w:cs="Arial"/>
          <w:color w:val="auto"/>
          <w:sz w:val="22"/>
          <w:szCs w:val="24"/>
          <w:lang w:eastAsia="en-US"/>
        </w:rPr>
        <w:t>17 October 2022</w:t>
      </w:r>
      <w:r w:rsidR="00775FC2" w:rsidRPr="00F35E2A">
        <w:rPr>
          <w:rFonts w:ascii="Arial" w:eastAsiaTheme="minorHAnsi" w:hAnsi="Arial" w:cs="Arial"/>
          <w:color w:val="auto"/>
          <w:sz w:val="22"/>
          <w:szCs w:val="24"/>
          <w:lang w:eastAsia="en-US"/>
        </w:rPr>
        <w:t xml:space="preserve"> </w:t>
      </w:r>
    </w:p>
    <w:p w14:paraId="601050E4" w14:textId="4EFA624B" w:rsidR="006A7D07" w:rsidRPr="00F35E2A" w:rsidRDefault="006A7D07" w:rsidP="006A7D07">
      <w:pPr>
        <w:spacing w:after="0" w:line="240" w:lineRule="auto"/>
        <w:ind w:right="-42"/>
        <w:jc w:val="left"/>
        <w:rPr>
          <w:rFonts w:ascii="Arial" w:eastAsiaTheme="minorHAnsi" w:hAnsi="Arial" w:cs="Arial"/>
          <w:color w:val="auto"/>
          <w:sz w:val="22"/>
          <w:szCs w:val="24"/>
          <w:lang w:eastAsia="en-US"/>
        </w:rPr>
      </w:pPr>
      <w:r w:rsidRPr="00F35E2A">
        <w:rPr>
          <w:rFonts w:ascii="Arial" w:eastAsiaTheme="minorHAnsi" w:hAnsi="Arial" w:cs="Arial"/>
          <w:b/>
          <w:color w:val="auto"/>
          <w:sz w:val="22"/>
          <w:szCs w:val="24"/>
          <w:lang w:eastAsia="en-US"/>
        </w:rPr>
        <w:t>Judgment</w:t>
      </w:r>
      <w:r w:rsidRPr="00F35E2A">
        <w:rPr>
          <w:rFonts w:ascii="Arial" w:eastAsiaTheme="minorHAnsi" w:hAnsi="Arial" w:cs="Arial"/>
          <w:color w:val="auto"/>
          <w:sz w:val="22"/>
          <w:szCs w:val="24"/>
          <w:lang w:eastAsia="en-US"/>
        </w:rPr>
        <w:t>:</w:t>
      </w:r>
      <w:r w:rsidRPr="00F35E2A">
        <w:rPr>
          <w:rFonts w:ascii="Arial" w:eastAsiaTheme="minorHAnsi" w:hAnsi="Arial" w:cs="Arial"/>
          <w:color w:val="auto"/>
          <w:sz w:val="22"/>
          <w:szCs w:val="24"/>
          <w:lang w:eastAsia="en-US"/>
        </w:rPr>
        <w:tab/>
      </w:r>
      <w:r w:rsidRPr="00F35E2A">
        <w:rPr>
          <w:rFonts w:ascii="Arial" w:eastAsiaTheme="minorHAnsi" w:hAnsi="Arial" w:cs="Arial"/>
          <w:color w:val="auto"/>
          <w:sz w:val="22"/>
          <w:szCs w:val="24"/>
          <w:lang w:eastAsia="en-US"/>
        </w:rPr>
        <w:tab/>
      </w:r>
      <w:r w:rsidR="00646B20" w:rsidRPr="00F35E2A">
        <w:rPr>
          <w:rFonts w:ascii="Arial" w:eastAsiaTheme="minorHAnsi" w:hAnsi="Arial" w:cs="Arial"/>
          <w:color w:val="auto"/>
          <w:sz w:val="22"/>
          <w:szCs w:val="24"/>
          <w:lang w:eastAsia="en-US"/>
        </w:rPr>
        <w:t xml:space="preserve">           </w:t>
      </w:r>
      <w:r w:rsidR="000949AE">
        <w:rPr>
          <w:rFonts w:ascii="Arial" w:eastAsiaTheme="minorHAnsi" w:hAnsi="Arial" w:cs="Arial"/>
          <w:color w:val="auto"/>
          <w:sz w:val="22"/>
          <w:szCs w:val="24"/>
          <w:lang w:eastAsia="en-US"/>
        </w:rPr>
        <w:t xml:space="preserve"> </w:t>
      </w:r>
      <w:r w:rsidR="000949AE" w:rsidRPr="000949AE">
        <w:rPr>
          <w:rFonts w:ascii="Arial" w:eastAsiaTheme="minorHAnsi" w:hAnsi="Arial" w:cs="Arial"/>
          <w:color w:val="auto"/>
          <w:sz w:val="22"/>
          <w:szCs w:val="24"/>
          <w:lang w:eastAsia="en-US"/>
        </w:rPr>
        <w:t>3</w:t>
      </w:r>
      <w:r w:rsidR="007C296E" w:rsidRPr="000949AE">
        <w:rPr>
          <w:rFonts w:ascii="Arial" w:eastAsiaTheme="minorHAnsi" w:hAnsi="Arial" w:cs="Arial"/>
          <w:color w:val="auto"/>
          <w:sz w:val="22"/>
          <w:szCs w:val="24"/>
          <w:lang w:eastAsia="en-US"/>
        </w:rPr>
        <w:t xml:space="preserve"> </w:t>
      </w:r>
      <w:r w:rsidR="00BB7757" w:rsidRPr="000949AE">
        <w:rPr>
          <w:rFonts w:ascii="Arial" w:eastAsiaTheme="minorHAnsi" w:hAnsi="Arial" w:cs="Arial"/>
          <w:color w:val="auto"/>
          <w:sz w:val="22"/>
          <w:szCs w:val="24"/>
          <w:lang w:eastAsia="en-US"/>
        </w:rPr>
        <w:t>February</w:t>
      </w:r>
      <w:r w:rsidR="007C296E" w:rsidRPr="000949AE">
        <w:rPr>
          <w:rFonts w:ascii="Arial" w:eastAsiaTheme="minorHAnsi" w:hAnsi="Arial" w:cs="Arial"/>
          <w:color w:val="auto"/>
          <w:sz w:val="22"/>
          <w:szCs w:val="24"/>
          <w:lang w:eastAsia="en-US"/>
        </w:rPr>
        <w:t xml:space="preserve"> 202</w:t>
      </w:r>
      <w:r w:rsidR="00BB7757" w:rsidRPr="000949AE">
        <w:rPr>
          <w:rFonts w:ascii="Arial" w:eastAsiaTheme="minorHAnsi" w:hAnsi="Arial" w:cs="Arial"/>
          <w:color w:val="auto"/>
          <w:sz w:val="22"/>
          <w:szCs w:val="24"/>
          <w:lang w:eastAsia="en-US"/>
        </w:rPr>
        <w:t>3</w:t>
      </w:r>
    </w:p>
    <w:p w14:paraId="6CFC3615" w14:textId="77777777" w:rsidR="006A7D07" w:rsidRPr="00F35E2A" w:rsidRDefault="006A7D07" w:rsidP="006A7D07">
      <w:pPr>
        <w:spacing w:after="0" w:line="240" w:lineRule="auto"/>
        <w:ind w:right="-42"/>
        <w:jc w:val="left"/>
        <w:rPr>
          <w:rFonts w:ascii="Arial" w:eastAsiaTheme="minorHAnsi" w:hAnsi="Arial" w:cs="Arial"/>
          <w:color w:val="auto"/>
          <w:sz w:val="22"/>
          <w:szCs w:val="24"/>
          <w:lang w:eastAsia="en-US"/>
        </w:rPr>
      </w:pPr>
    </w:p>
    <w:p w14:paraId="22B3BC1E" w14:textId="26752388" w:rsidR="00394ED7" w:rsidRPr="00594C84" w:rsidRDefault="00394ED7" w:rsidP="006A7D07">
      <w:pPr>
        <w:spacing w:after="0" w:line="240" w:lineRule="auto"/>
        <w:ind w:right="-42"/>
        <w:jc w:val="left"/>
        <w:rPr>
          <w:rFonts w:ascii="Arial" w:eastAsiaTheme="minorHAnsi" w:hAnsi="Arial" w:cs="Arial"/>
          <w:b/>
          <w:color w:val="auto"/>
          <w:sz w:val="22"/>
          <w:szCs w:val="24"/>
          <w:lang w:eastAsia="en-US"/>
        </w:rPr>
      </w:pPr>
      <w:r w:rsidRPr="00594C84">
        <w:rPr>
          <w:rFonts w:ascii="Arial" w:eastAsiaTheme="minorHAnsi" w:hAnsi="Arial" w:cs="Arial"/>
          <w:b/>
          <w:color w:val="auto"/>
          <w:sz w:val="22"/>
          <w:szCs w:val="24"/>
          <w:u w:val="single"/>
          <w:lang w:eastAsia="en-US"/>
        </w:rPr>
        <w:t>Appearances</w:t>
      </w:r>
    </w:p>
    <w:p w14:paraId="6444815F" w14:textId="77777777" w:rsidR="00394ED7" w:rsidRPr="00F35E2A" w:rsidRDefault="00394ED7" w:rsidP="006A7D07">
      <w:pPr>
        <w:spacing w:after="0" w:line="240" w:lineRule="auto"/>
        <w:ind w:left="0"/>
        <w:jc w:val="left"/>
        <w:rPr>
          <w:rFonts w:ascii="Arial" w:eastAsiaTheme="minorHAnsi" w:hAnsi="Arial" w:cs="Arial"/>
          <w:color w:val="auto"/>
          <w:sz w:val="22"/>
          <w:szCs w:val="24"/>
          <w:lang w:eastAsia="en-US"/>
        </w:rPr>
      </w:pPr>
    </w:p>
    <w:p w14:paraId="3323F560" w14:textId="622B132B" w:rsidR="00394ED7" w:rsidRPr="00F35E2A" w:rsidRDefault="006A7D07" w:rsidP="006A7D07">
      <w:pPr>
        <w:spacing w:after="0" w:line="240" w:lineRule="auto"/>
        <w:ind w:left="0"/>
        <w:jc w:val="left"/>
        <w:rPr>
          <w:rFonts w:ascii="Arial" w:eastAsiaTheme="minorHAnsi" w:hAnsi="Arial" w:cs="Arial"/>
          <w:color w:val="auto"/>
          <w:sz w:val="22"/>
          <w:szCs w:val="24"/>
          <w:lang w:eastAsia="en-US"/>
        </w:rPr>
      </w:pPr>
      <w:r w:rsidRPr="00F35E2A">
        <w:rPr>
          <w:rFonts w:ascii="Arial" w:eastAsiaTheme="minorHAnsi" w:hAnsi="Arial" w:cs="Arial"/>
          <w:b/>
          <w:color w:val="auto"/>
          <w:sz w:val="22"/>
          <w:szCs w:val="24"/>
          <w:lang w:eastAsia="en-US"/>
        </w:rPr>
        <w:t>For Applicant</w:t>
      </w:r>
      <w:r w:rsidRPr="00F35E2A">
        <w:rPr>
          <w:rFonts w:ascii="Arial" w:eastAsiaTheme="minorHAnsi" w:hAnsi="Arial" w:cs="Arial"/>
          <w:color w:val="auto"/>
          <w:sz w:val="22"/>
          <w:szCs w:val="24"/>
          <w:lang w:eastAsia="en-US"/>
        </w:rPr>
        <w:t>:</w:t>
      </w:r>
      <w:r w:rsidR="007C296E" w:rsidRPr="00F35E2A">
        <w:rPr>
          <w:rFonts w:ascii="Arial" w:eastAsiaTheme="minorHAnsi" w:hAnsi="Arial" w:cs="Arial"/>
          <w:color w:val="auto"/>
          <w:sz w:val="22"/>
          <w:szCs w:val="24"/>
          <w:lang w:eastAsia="en-US"/>
        </w:rPr>
        <w:tab/>
      </w:r>
      <w:r w:rsidR="007C296E" w:rsidRPr="00F35E2A">
        <w:rPr>
          <w:rFonts w:ascii="Arial" w:eastAsiaTheme="minorHAnsi" w:hAnsi="Arial" w:cs="Arial"/>
          <w:color w:val="auto"/>
          <w:sz w:val="22"/>
          <w:szCs w:val="24"/>
          <w:lang w:eastAsia="en-US"/>
        </w:rPr>
        <w:tab/>
      </w:r>
      <w:r w:rsidR="009B3416" w:rsidRPr="00F35E2A">
        <w:rPr>
          <w:rFonts w:ascii="Arial" w:eastAsiaTheme="minorHAnsi" w:hAnsi="Arial" w:cs="Arial"/>
          <w:color w:val="auto"/>
          <w:sz w:val="22"/>
          <w:szCs w:val="24"/>
          <w:lang w:eastAsia="en-US"/>
        </w:rPr>
        <w:t>L van Grass</w:t>
      </w:r>
    </w:p>
    <w:p w14:paraId="058931E1" w14:textId="0807D5BB" w:rsidR="006A7D07" w:rsidRPr="00F35E2A" w:rsidRDefault="006A7D07" w:rsidP="006A7D07">
      <w:pPr>
        <w:spacing w:after="0" w:line="240" w:lineRule="auto"/>
        <w:ind w:left="0"/>
        <w:jc w:val="left"/>
        <w:rPr>
          <w:rFonts w:ascii="Arial" w:eastAsiaTheme="minorHAnsi" w:hAnsi="Arial" w:cs="Arial"/>
          <w:color w:val="auto"/>
          <w:sz w:val="22"/>
          <w:szCs w:val="24"/>
          <w:lang w:eastAsia="en-US"/>
        </w:rPr>
      </w:pPr>
      <w:r w:rsidRPr="00F35E2A">
        <w:rPr>
          <w:rFonts w:ascii="Arial" w:eastAsiaTheme="minorHAnsi" w:hAnsi="Arial" w:cs="Arial"/>
          <w:b/>
          <w:color w:val="auto"/>
          <w:sz w:val="22"/>
          <w:szCs w:val="24"/>
          <w:lang w:eastAsia="en-US"/>
        </w:rPr>
        <w:t>Instructed by</w:t>
      </w:r>
      <w:r w:rsidRPr="00F35E2A">
        <w:rPr>
          <w:rFonts w:ascii="Arial" w:eastAsiaTheme="minorHAnsi" w:hAnsi="Arial" w:cs="Arial"/>
          <w:color w:val="auto"/>
          <w:sz w:val="22"/>
          <w:szCs w:val="24"/>
          <w:lang w:eastAsia="en-US"/>
        </w:rPr>
        <w:t>:</w:t>
      </w:r>
      <w:r w:rsidR="007C296E" w:rsidRPr="00F35E2A">
        <w:rPr>
          <w:rFonts w:ascii="Arial" w:eastAsiaTheme="minorHAnsi" w:hAnsi="Arial" w:cs="Arial"/>
          <w:color w:val="auto"/>
          <w:sz w:val="22"/>
          <w:szCs w:val="24"/>
          <w:lang w:eastAsia="en-US"/>
        </w:rPr>
        <w:tab/>
      </w:r>
      <w:r w:rsidR="007C296E" w:rsidRPr="00F35E2A">
        <w:rPr>
          <w:rFonts w:ascii="Arial" w:eastAsiaTheme="minorHAnsi" w:hAnsi="Arial" w:cs="Arial"/>
          <w:color w:val="auto"/>
          <w:sz w:val="22"/>
          <w:szCs w:val="24"/>
          <w:lang w:eastAsia="en-US"/>
        </w:rPr>
        <w:tab/>
      </w:r>
      <w:r w:rsidR="0024335A" w:rsidRPr="00F35E2A">
        <w:rPr>
          <w:rFonts w:ascii="Arial" w:eastAsiaTheme="minorHAnsi" w:hAnsi="Arial" w:cs="Arial"/>
          <w:color w:val="auto"/>
          <w:sz w:val="22"/>
          <w:szCs w:val="24"/>
          <w:lang w:eastAsia="en-US"/>
        </w:rPr>
        <w:t>Van Greunen and Associates</w:t>
      </w:r>
    </w:p>
    <w:p w14:paraId="7B4B3B95" w14:textId="77777777" w:rsidR="006A7D07" w:rsidRPr="00F35E2A" w:rsidRDefault="006A7D07" w:rsidP="006A7D07">
      <w:pPr>
        <w:spacing w:after="0" w:line="240" w:lineRule="auto"/>
        <w:ind w:left="0"/>
        <w:jc w:val="left"/>
        <w:rPr>
          <w:rFonts w:ascii="Arial" w:eastAsiaTheme="minorHAnsi" w:hAnsi="Arial" w:cs="Arial"/>
          <w:color w:val="auto"/>
          <w:sz w:val="22"/>
          <w:szCs w:val="24"/>
          <w:lang w:eastAsia="en-US"/>
        </w:rPr>
      </w:pPr>
    </w:p>
    <w:p w14:paraId="1039C1D6" w14:textId="150F994B" w:rsidR="006A7D07" w:rsidRPr="00F35E2A" w:rsidRDefault="006A7D07" w:rsidP="006A7D07">
      <w:pPr>
        <w:spacing w:after="0" w:line="240" w:lineRule="auto"/>
        <w:ind w:left="0"/>
        <w:jc w:val="left"/>
        <w:rPr>
          <w:rFonts w:ascii="Arial" w:eastAsiaTheme="minorHAnsi" w:hAnsi="Arial" w:cs="Arial"/>
          <w:color w:val="auto"/>
          <w:sz w:val="22"/>
          <w:szCs w:val="24"/>
          <w:lang w:eastAsia="en-US"/>
        </w:rPr>
      </w:pPr>
      <w:r w:rsidRPr="00F35E2A">
        <w:rPr>
          <w:rFonts w:ascii="Arial" w:eastAsiaTheme="minorHAnsi" w:hAnsi="Arial" w:cs="Arial"/>
          <w:b/>
          <w:color w:val="auto"/>
          <w:sz w:val="22"/>
          <w:szCs w:val="24"/>
          <w:lang w:eastAsia="en-US"/>
        </w:rPr>
        <w:t>For Respondent</w:t>
      </w:r>
      <w:r w:rsidRPr="00F35E2A">
        <w:rPr>
          <w:rFonts w:ascii="Arial" w:eastAsiaTheme="minorHAnsi" w:hAnsi="Arial" w:cs="Arial"/>
          <w:color w:val="auto"/>
          <w:sz w:val="22"/>
          <w:szCs w:val="24"/>
          <w:lang w:eastAsia="en-US"/>
        </w:rPr>
        <w:t>:</w:t>
      </w:r>
      <w:r w:rsidR="007C296E" w:rsidRPr="00F35E2A">
        <w:rPr>
          <w:rFonts w:ascii="Arial" w:eastAsiaTheme="minorHAnsi" w:hAnsi="Arial" w:cs="Arial"/>
          <w:color w:val="auto"/>
          <w:sz w:val="22"/>
          <w:szCs w:val="24"/>
          <w:lang w:eastAsia="en-US"/>
        </w:rPr>
        <w:tab/>
      </w:r>
      <w:r w:rsidR="0024335A" w:rsidRPr="00F35E2A">
        <w:rPr>
          <w:rFonts w:ascii="Arial" w:eastAsiaTheme="minorHAnsi" w:hAnsi="Arial" w:cs="Arial"/>
          <w:color w:val="auto"/>
          <w:sz w:val="22"/>
          <w:szCs w:val="24"/>
          <w:lang w:eastAsia="en-US"/>
        </w:rPr>
        <w:tab/>
        <w:t>W Strobl</w:t>
      </w:r>
    </w:p>
    <w:p w14:paraId="12CDE837" w14:textId="33CAD987" w:rsidR="006A7D07" w:rsidRPr="00F35E2A" w:rsidRDefault="006A7D07" w:rsidP="006A7D07">
      <w:pPr>
        <w:spacing w:after="0" w:line="240" w:lineRule="auto"/>
        <w:ind w:left="0"/>
        <w:jc w:val="left"/>
        <w:rPr>
          <w:rFonts w:ascii="Arial" w:eastAsiaTheme="minorHAnsi" w:hAnsi="Arial" w:cs="Arial"/>
          <w:color w:val="auto"/>
          <w:sz w:val="22"/>
          <w:szCs w:val="24"/>
          <w:lang w:eastAsia="en-US"/>
        </w:rPr>
      </w:pPr>
      <w:r w:rsidRPr="00F35E2A">
        <w:rPr>
          <w:rFonts w:ascii="Arial" w:eastAsiaTheme="minorHAnsi" w:hAnsi="Arial" w:cs="Arial"/>
          <w:b/>
          <w:color w:val="auto"/>
          <w:sz w:val="22"/>
          <w:szCs w:val="24"/>
          <w:lang w:eastAsia="en-US"/>
        </w:rPr>
        <w:t>Instructed by</w:t>
      </w:r>
      <w:r w:rsidRPr="00F35E2A">
        <w:rPr>
          <w:rFonts w:ascii="Arial" w:eastAsiaTheme="minorHAnsi" w:hAnsi="Arial" w:cs="Arial"/>
          <w:color w:val="auto"/>
          <w:sz w:val="22"/>
          <w:szCs w:val="24"/>
          <w:lang w:eastAsia="en-US"/>
        </w:rPr>
        <w:t>:</w:t>
      </w:r>
      <w:r w:rsidR="007C296E" w:rsidRPr="00F35E2A">
        <w:rPr>
          <w:rFonts w:ascii="Arial" w:eastAsiaTheme="minorHAnsi" w:hAnsi="Arial" w:cs="Arial"/>
          <w:color w:val="auto"/>
          <w:sz w:val="22"/>
          <w:szCs w:val="24"/>
          <w:lang w:eastAsia="en-US"/>
        </w:rPr>
        <w:tab/>
      </w:r>
      <w:r w:rsidR="007C296E" w:rsidRPr="00F35E2A">
        <w:rPr>
          <w:rFonts w:ascii="Arial" w:eastAsiaTheme="minorHAnsi" w:hAnsi="Arial" w:cs="Arial"/>
          <w:color w:val="auto"/>
          <w:sz w:val="22"/>
          <w:szCs w:val="24"/>
          <w:lang w:eastAsia="en-US"/>
        </w:rPr>
        <w:tab/>
      </w:r>
      <w:r w:rsidR="0024335A" w:rsidRPr="00F35E2A">
        <w:rPr>
          <w:rFonts w:ascii="Arial" w:eastAsiaTheme="minorHAnsi" w:hAnsi="Arial" w:cs="Arial"/>
          <w:color w:val="auto"/>
          <w:sz w:val="22"/>
          <w:szCs w:val="24"/>
          <w:lang w:eastAsia="en-US"/>
        </w:rPr>
        <w:t>KVN Inc.</w:t>
      </w:r>
    </w:p>
    <w:p w14:paraId="005245AC" w14:textId="77777777" w:rsidR="00D91B48" w:rsidRPr="00B94C00" w:rsidRDefault="00D91B48" w:rsidP="006A7D07">
      <w:pPr>
        <w:spacing w:after="0" w:line="240" w:lineRule="auto"/>
        <w:ind w:left="0"/>
        <w:rPr>
          <w:rFonts w:ascii="Arial" w:hAnsi="Arial" w:cs="Arial"/>
          <w:szCs w:val="24"/>
        </w:rPr>
      </w:pPr>
    </w:p>
    <w:sectPr w:rsidR="00D91B48" w:rsidRPr="00B94C00" w:rsidSect="00113BE3">
      <w:footerReference w:type="defaul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3F1FA" w14:textId="77777777" w:rsidR="003759E2" w:rsidRDefault="003759E2" w:rsidP="00A238D6">
      <w:pPr>
        <w:spacing w:after="0" w:line="240" w:lineRule="auto"/>
      </w:pPr>
      <w:r>
        <w:separator/>
      </w:r>
    </w:p>
  </w:endnote>
  <w:endnote w:type="continuationSeparator" w:id="0">
    <w:p w14:paraId="3F070B71" w14:textId="77777777" w:rsidR="003759E2" w:rsidRDefault="003759E2" w:rsidP="00A238D6">
      <w:pPr>
        <w:spacing w:after="0" w:line="240" w:lineRule="auto"/>
      </w:pPr>
      <w:r>
        <w:continuationSeparator/>
      </w:r>
    </w:p>
  </w:endnote>
  <w:endnote w:type="continuationNotice" w:id="1">
    <w:p w14:paraId="4475A1B1" w14:textId="77777777" w:rsidR="003759E2" w:rsidRDefault="003759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994215"/>
      <w:docPartObj>
        <w:docPartGallery w:val="Page Numbers (Bottom of Page)"/>
        <w:docPartUnique/>
      </w:docPartObj>
    </w:sdtPr>
    <w:sdtEndPr>
      <w:rPr>
        <w:noProof/>
      </w:rPr>
    </w:sdtEndPr>
    <w:sdtContent>
      <w:p w14:paraId="41CB7F2A" w14:textId="60FD0FD5" w:rsidR="00113BE3" w:rsidRDefault="00113BE3">
        <w:pPr>
          <w:pStyle w:val="Footer"/>
          <w:jc w:val="right"/>
        </w:pPr>
        <w:r>
          <w:fldChar w:fldCharType="begin"/>
        </w:r>
        <w:r>
          <w:instrText xml:space="preserve"> PAGE   \* MERGEFORMAT </w:instrText>
        </w:r>
        <w:r>
          <w:fldChar w:fldCharType="separate"/>
        </w:r>
        <w:r w:rsidR="0016260F">
          <w:rPr>
            <w:noProof/>
          </w:rPr>
          <w:t>2</w:t>
        </w:r>
        <w:r>
          <w:rPr>
            <w:noProof/>
          </w:rPr>
          <w:fldChar w:fldCharType="end"/>
        </w:r>
      </w:p>
    </w:sdtContent>
  </w:sdt>
  <w:p w14:paraId="00080AE6" w14:textId="77777777" w:rsidR="003B2999" w:rsidRDefault="003B2999" w:rsidP="00674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46CA9" w14:textId="77777777" w:rsidR="003759E2" w:rsidRDefault="003759E2" w:rsidP="00A238D6">
      <w:pPr>
        <w:spacing w:after="0" w:line="240" w:lineRule="auto"/>
      </w:pPr>
      <w:r>
        <w:separator/>
      </w:r>
    </w:p>
  </w:footnote>
  <w:footnote w:type="continuationSeparator" w:id="0">
    <w:p w14:paraId="7B324A56" w14:textId="77777777" w:rsidR="003759E2" w:rsidRDefault="003759E2" w:rsidP="00A238D6">
      <w:pPr>
        <w:spacing w:after="0" w:line="240" w:lineRule="auto"/>
      </w:pPr>
      <w:r>
        <w:continuationSeparator/>
      </w:r>
    </w:p>
  </w:footnote>
  <w:footnote w:type="continuationNotice" w:id="1">
    <w:p w14:paraId="5E2CE2F3" w14:textId="77777777" w:rsidR="003759E2" w:rsidRDefault="003759E2">
      <w:pPr>
        <w:spacing w:after="0" w:line="240" w:lineRule="auto"/>
      </w:pPr>
    </w:p>
  </w:footnote>
  <w:footnote w:id="2">
    <w:p w14:paraId="40A6B7B2" w14:textId="1EAE0480" w:rsidR="007C4D9A" w:rsidRPr="00436A06" w:rsidRDefault="007C4D9A" w:rsidP="007C4D9A">
      <w:pPr>
        <w:pStyle w:val="FootnoteText"/>
        <w:rPr>
          <w:lang w:val="en-US"/>
        </w:rPr>
      </w:pPr>
      <w:r>
        <w:rPr>
          <w:rStyle w:val="FootnoteReference"/>
        </w:rPr>
        <w:footnoteRef/>
      </w:r>
      <w:r>
        <w:t xml:space="preserve"> </w:t>
      </w:r>
      <w:r w:rsidRPr="00436A06">
        <w:rPr>
          <w:rFonts w:ascii="Arial" w:eastAsia="Times New Roman" w:hAnsi="Arial" w:cs="Arial"/>
          <w:bCs/>
          <w:i/>
          <w:iCs/>
          <w:szCs w:val="24"/>
        </w:rPr>
        <w:t>Caselines 035-1 to 035-12,</w:t>
      </w:r>
    </w:p>
  </w:footnote>
  <w:footnote w:id="3">
    <w:p w14:paraId="38D5552B" w14:textId="5D288DC0" w:rsidR="00610CE6" w:rsidRPr="00610CE6" w:rsidRDefault="00610CE6">
      <w:pPr>
        <w:pStyle w:val="FootnoteText"/>
        <w:rPr>
          <w:lang w:val="en-US"/>
        </w:rPr>
      </w:pPr>
      <w:r w:rsidRPr="00436A06">
        <w:rPr>
          <w:rStyle w:val="FootnoteReference"/>
        </w:rPr>
        <w:footnoteRef/>
      </w:r>
      <w:r w:rsidRPr="00436A06">
        <w:t xml:space="preserve"> </w:t>
      </w:r>
      <w:r w:rsidRPr="00436A06">
        <w:rPr>
          <w:rFonts w:ascii="Arial" w:hAnsi="Arial" w:cs="Arial"/>
          <w:i/>
          <w:iCs/>
          <w:szCs w:val="24"/>
        </w:rPr>
        <w:t>Emphasis added.</w:t>
      </w:r>
    </w:p>
  </w:footnote>
  <w:footnote w:id="4">
    <w:p w14:paraId="1BC304CC" w14:textId="68626588" w:rsidR="00610CE6" w:rsidRPr="00436A06" w:rsidRDefault="00610CE6">
      <w:pPr>
        <w:pStyle w:val="FootnoteText"/>
        <w:rPr>
          <w:lang w:val="en-US"/>
        </w:rPr>
      </w:pPr>
      <w:r>
        <w:rPr>
          <w:rStyle w:val="FootnoteReference"/>
        </w:rPr>
        <w:footnoteRef/>
      </w:r>
      <w:r>
        <w:t xml:space="preserve"> </w:t>
      </w:r>
      <w:r w:rsidRPr="00436A06">
        <w:rPr>
          <w:rFonts w:ascii="Arial" w:hAnsi="Arial" w:cs="Arial"/>
          <w:i/>
          <w:iCs/>
          <w:szCs w:val="24"/>
        </w:rPr>
        <w:t>Emphasis added.</w:t>
      </w:r>
    </w:p>
  </w:footnote>
  <w:footnote w:id="5">
    <w:p w14:paraId="644C972A" w14:textId="44C594F1" w:rsidR="00436A06" w:rsidRPr="00436A06" w:rsidRDefault="00436A06" w:rsidP="00436A06">
      <w:pPr>
        <w:pStyle w:val="FootnoteText"/>
        <w:rPr>
          <w:lang w:val="en-US"/>
        </w:rPr>
      </w:pPr>
      <w:r w:rsidRPr="00436A06">
        <w:rPr>
          <w:rStyle w:val="FootnoteReference"/>
        </w:rPr>
        <w:footnoteRef/>
      </w:r>
      <w:r w:rsidRPr="00436A06">
        <w:t xml:space="preserve"> </w:t>
      </w:r>
      <w:r w:rsidRPr="00436A06">
        <w:rPr>
          <w:rFonts w:ascii="Arial" w:hAnsi="Arial" w:cs="Arial"/>
          <w:i/>
          <w:iCs/>
          <w:szCs w:val="24"/>
        </w:rPr>
        <w:t>Emphasis added.</w:t>
      </w:r>
    </w:p>
  </w:footnote>
  <w:footnote w:id="6">
    <w:p w14:paraId="31E8B30F" w14:textId="2F347CB1" w:rsidR="007C4D9A" w:rsidRPr="00436A06" w:rsidRDefault="007C4D9A" w:rsidP="007C4D9A">
      <w:pPr>
        <w:pStyle w:val="FootnoteText"/>
        <w:rPr>
          <w:lang w:val="en-US"/>
        </w:rPr>
      </w:pPr>
      <w:r>
        <w:rPr>
          <w:rStyle w:val="FootnoteReference"/>
        </w:rPr>
        <w:footnoteRef/>
      </w:r>
      <w:r>
        <w:t xml:space="preserve"> </w:t>
      </w:r>
      <w:r w:rsidRPr="00436A06">
        <w:rPr>
          <w:i/>
          <w:iCs/>
        </w:rPr>
        <w:t>Respondent’s Heads of Argument on Final Winding-up dated 12 October 2022.</w:t>
      </w:r>
    </w:p>
  </w:footnote>
  <w:footnote w:id="7">
    <w:p w14:paraId="211B8D63" w14:textId="35708E17" w:rsidR="000B1D8C" w:rsidRPr="000B1D8C" w:rsidRDefault="000B1D8C" w:rsidP="000B1D8C">
      <w:pPr>
        <w:pStyle w:val="FootnoteText"/>
        <w:rPr>
          <w:lang w:val="en-US"/>
        </w:rPr>
      </w:pPr>
      <w:r w:rsidRPr="00436A06">
        <w:rPr>
          <w:rStyle w:val="FootnoteReference"/>
        </w:rPr>
        <w:footnoteRef/>
      </w:r>
      <w:r w:rsidRPr="00436A06">
        <w:t xml:space="preserve"> </w:t>
      </w:r>
      <w:r w:rsidRPr="00436A06">
        <w:rPr>
          <w:i/>
          <w:iCs/>
        </w:rPr>
        <w:t>(23255/2010) [2012] ZAWCHC 43 (15 May 2012) at paragraph 1</w:t>
      </w:r>
      <w:r w:rsidR="008E794A" w:rsidRPr="00436A06">
        <w:rPr>
          <w:i/>
          <w:iCs/>
        </w:rPr>
        <w:t>.</w:t>
      </w:r>
    </w:p>
  </w:footnote>
  <w:footnote w:id="8">
    <w:p w14:paraId="6868B4D3" w14:textId="5E79F9D8" w:rsidR="008E794A" w:rsidRPr="008E794A" w:rsidRDefault="008E794A">
      <w:pPr>
        <w:pStyle w:val="FootnoteText"/>
        <w:rPr>
          <w:lang w:val="en-US"/>
        </w:rPr>
      </w:pPr>
      <w:r>
        <w:rPr>
          <w:rStyle w:val="FootnoteReference"/>
        </w:rPr>
        <w:footnoteRef/>
      </w:r>
      <w:r>
        <w:t xml:space="preserve"> </w:t>
      </w:r>
      <w:r w:rsidR="00467784">
        <w:rPr>
          <w:i/>
          <w:iCs/>
        </w:rPr>
        <w:t>National Director of Public Prosecutions v Zuma 2009 (2) SA 277 (SCA) at paragraph 26; Nedbank Ltd v Zonnekus Mansions (Pty) Ltd (A378/2012)</w:t>
      </w:r>
      <w:r w:rsidR="008B708A">
        <w:rPr>
          <w:i/>
          <w:iCs/>
        </w:rPr>
        <w:t xml:space="preserve"> [2013] ZAWCHC 6 (7 February 2013) paragraph 24; ASA Metals (Pty) Ltd v Vardocap (Pty) Ltd (5630/2017) [2018 ZALMPPHC 12 (17 April 2018) at paragraph 15</w:t>
      </w:r>
    </w:p>
  </w:footnote>
  <w:footnote w:id="9">
    <w:p w14:paraId="577A7458" w14:textId="5051B69B" w:rsidR="007C4D9A" w:rsidRPr="00436A06" w:rsidRDefault="007C4D9A" w:rsidP="007C4D9A">
      <w:pPr>
        <w:pStyle w:val="FootnoteText"/>
        <w:rPr>
          <w:lang w:val="en-US"/>
        </w:rPr>
      </w:pPr>
      <w:r>
        <w:rPr>
          <w:rStyle w:val="FootnoteReference"/>
        </w:rPr>
        <w:footnoteRef/>
      </w:r>
      <w:r>
        <w:t xml:space="preserve"> </w:t>
      </w:r>
      <w:r w:rsidRPr="00436A06">
        <w:rPr>
          <w:i/>
          <w:iCs/>
        </w:rPr>
        <w:t>Panamo Properties 103 (Pty) Ltd v Land and Agricultural Development Bank of South Africa 2016 (1) SA 202 (SCA) at paragraph [21]; Land and Agricultural Development Bank of South Africa v Impande Property Investments (Pty) Ltd 2014 JDR 2084 (GJ).</w:t>
      </w:r>
    </w:p>
  </w:footnote>
  <w:footnote w:id="10">
    <w:p w14:paraId="3CFEB2D6" w14:textId="62B4FE5F" w:rsidR="007C4D9A" w:rsidRPr="007C4D9A" w:rsidRDefault="007C4D9A">
      <w:pPr>
        <w:pStyle w:val="FootnoteText"/>
        <w:rPr>
          <w:lang w:val="en-US"/>
        </w:rPr>
      </w:pPr>
      <w:r w:rsidRPr="00436A06">
        <w:rPr>
          <w:rStyle w:val="FootnoteReference"/>
        </w:rPr>
        <w:footnoteRef/>
      </w:r>
      <w:r w:rsidRPr="00436A06">
        <w:t xml:space="preserve"> </w:t>
      </w:r>
      <w:r w:rsidRPr="00436A06">
        <w:rPr>
          <w:i/>
          <w:iCs/>
        </w:rPr>
        <w:t>Emphasis added.</w:t>
      </w:r>
    </w:p>
  </w:footnote>
  <w:footnote w:id="11">
    <w:p w14:paraId="76EB7489" w14:textId="36AC1BE8" w:rsidR="007C4D9A" w:rsidRPr="007C4D9A" w:rsidRDefault="007C4D9A" w:rsidP="007C4D9A">
      <w:pPr>
        <w:pStyle w:val="FootnoteText"/>
        <w:rPr>
          <w:lang w:val="en-US"/>
        </w:rPr>
      </w:pPr>
      <w:r w:rsidRPr="00436A06">
        <w:rPr>
          <w:rStyle w:val="FootnoteReference"/>
        </w:rPr>
        <w:footnoteRef/>
      </w:r>
      <w:r w:rsidRPr="00436A06">
        <w:t xml:space="preserve"> </w:t>
      </w:r>
      <w:r w:rsidRPr="00436A06">
        <w:rPr>
          <w:i/>
          <w:iCs/>
        </w:rPr>
        <w:t>Subparagraphs 2.2; 2.3 and 2.4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8B2"/>
    <w:multiLevelType w:val="hybridMultilevel"/>
    <w:tmpl w:val="37AA0790"/>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D0DBC"/>
    <w:multiLevelType w:val="hybridMultilevel"/>
    <w:tmpl w:val="4378D364"/>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157DE"/>
    <w:multiLevelType w:val="multilevel"/>
    <w:tmpl w:val="598CBC96"/>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
    <w:nsid w:val="06495598"/>
    <w:multiLevelType w:val="hybridMultilevel"/>
    <w:tmpl w:val="6C009E78"/>
    <w:lvl w:ilvl="0" w:tplc="DA0C802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79C0D4B"/>
    <w:multiLevelType w:val="hybridMultilevel"/>
    <w:tmpl w:val="3842988A"/>
    <w:lvl w:ilvl="0" w:tplc="50FC37C6">
      <w:start w:val="24"/>
      <w:numFmt w:val="decimal"/>
      <w:lvlText w:val="%1"/>
      <w:lvlJc w:val="left"/>
      <w:pPr>
        <w:ind w:left="215"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1" w:tplc="05AE3AB0">
      <w:start w:val="1"/>
      <w:numFmt w:val="lowerLetter"/>
      <w:lvlText w:val="%2"/>
      <w:lvlJc w:val="left"/>
      <w:pPr>
        <w:ind w:left="10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2" w:tplc="00B6BCEC">
      <w:start w:val="1"/>
      <w:numFmt w:val="lowerRoman"/>
      <w:lvlText w:val="%3"/>
      <w:lvlJc w:val="left"/>
      <w:pPr>
        <w:ind w:left="18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3" w:tplc="58AEA70C">
      <w:start w:val="1"/>
      <w:numFmt w:val="decimal"/>
      <w:lvlText w:val="%4"/>
      <w:lvlJc w:val="left"/>
      <w:pPr>
        <w:ind w:left="25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4" w:tplc="F52E65B8">
      <w:start w:val="1"/>
      <w:numFmt w:val="lowerLetter"/>
      <w:lvlText w:val="%5"/>
      <w:lvlJc w:val="left"/>
      <w:pPr>
        <w:ind w:left="324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5" w:tplc="DEB08D16">
      <w:start w:val="1"/>
      <w:numFmt w:val="lowerRoman"/>
      <w:lvlText w:val="%6"/>
      <w:lvlJc w:val="left"/>
      <w:pPr>
        <w:ind w:left="396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6" w:tplc="E796FC68">
      <w:start w:val="1"/>
      <w:numFmt w:val="decimal"/>
      <w:lvlText w:val="%7"/>
      <w:lvlJc w:val="left"/>
      <w:pPr>
        <w:ind w:left="46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7" w:tplc="E8FEFCDA">
      <w:start w:val="1"/>
      <w:numFmt w:val="lowerLetter"/>
      <w:lvlText w:val="%8"/>
      <w:lvlJc w:val="left"/>
      <w:pPr>
        <w:ind w:left="54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8" w:tplc="B94E9672">
      <w:start w:val="1"/>
      <w:numFmt w:val="lowerRoman"/>
      <w:lvlText w:val="%9"/>
      <w:lvlJc w:val="left"/>
      <w:pPr>
        <w:ind w:left="61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abstractNum>
  <w:abstractNum w:abstractNumId="5">
    <w:nsid w:val="09FE7929"/>
    <w:multiLevelType w:val="hybridMultilevel"/>
    <w:tmpl w:val="9342DFAA"/>
    <w:lvl w:ilvl="0" w:tplc="0478D7B0">
      <w:start w:val="1"/>
      <w:numFmt w:val="decimal"/>
      <w:lvlText w:val="[%1]"/>
      <w:lvlJc w:val="left"/>
      <w:pPr>
        <w:ind w:left="0" w:firstLine="0"/>
      </w:pPr>
      <w:rPr>
        <w:rFonts w:ascii="Arial" w:hAnsi="Arial" w:cs="Arial"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0AC731D4"/>
    <w:multiLevelType w:val="multilevel"/>
    <w:tmpl w:val="C42ECCAA"/>
    <w:lvl w:ilvl="0">
      <w:start w:val="12"/>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8">
    <w:nsid w:val="1064081E"/>
    <w:multiLevelType w:val="multilevel"/>
    <w:tmpl w:val="225EFB72"/>
    <w:lvl w:ilvl="0">
      <w:start w:val="42"/>
      <w:numFmt w:val="decimal"/>
      <w:lvlText w:val="%1"/>
      <w:lvlJc w:val="left"/>
      <w:pPr>
        <w:ind w:left="8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1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4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6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8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7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9">
    <w:nsid w:val="15BC016A"/>
    <w:multiLevelType w:val="hybridMultilevel"/>
    <w:tmpl w:val="E564EEA8"/>
    <w:lvl w:ilvl="0" w:tplc="33B86F3C">
      <w:start w:val="26"/>
      <w:numFmt w:val="decimal"/>
      <w:lvlText w:val="%1"/>
      <w:lvlJc w:val="left"/>
      <w:pPr>
        <w:ind w:left="8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31C985E">
      <w:start w:val="1"/>
      <w:numFmt w:val="lowerLetter"/>
      <w:lvlText w:val="%2"/>
      <w:lvlJc w:val="left"/>
      <w:pPr>
        <w:ind w:left="11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CA60CEE">
      <w:start w:val="1"/>
      <w:numFmt w:val="lowerRoman"/>
      <w:lvlText w:val="%3"/>
      <w:lvlJc w:val="left"/>
      <w:pPr>
        <w:ind w:left="18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8389816">
      <w:start w:val="1"/>
      <w:numFmt w:val="decimal"/>
      <w:lvlText w:val="%4"/>
      <w:lvlJc w:val="left"/>
      <w:pPr>
        <w:ind w:left="25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07CC8D0">
      <w:start w:val="1"/>
      <w:numFmt w:val="lowerLetter"/>
      <w:lvlText w:val="%5"/>
      <w:lvlJc w:val="left"/>
      <w:pPr>
        <w:ind w:left="32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22AD61E">
      <w:start w:val="1"/>
      <w:numFmt w:val="lowerRoman"/>
      <w:lvlText w:val="%6"/>
      <w:lvlJc w:val="left"/>
      <w:pPr>
        <w:ind w:left="39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9DE92D8">
      <w:start w:val="1"/>
      <w:numFmt w:val="decimal"/>
      <w:lvlText w:val="%7"/>
      <w:lvlJc w:val="left"/>
      <w:pPr>
        <w:ind w:left="47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23CBF58">
      <w:start w:val="1"/>
      <w:numFmt w:val="lowerLetter"/>
      <w:lvlText w:val="%8"/>
      <w:lvlJc w:val="left"/>
      <w:pPr>
        <w:ind w:left="54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CDA7AB0">
      <w:start w:val="1"/>
      <w:numFmt w:val="lowerRoman"/>
      <w:lvlText w:val="%9"/>
      <w:lvlJc w:val="left"/>
      <w:pPr>
        <w:ind w:left="61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0">
    <w:nsid w:val="1A3D5D36"/>
    <w:multiLevelType w:val="hybridMultilevel"/>
    <w:tmpl w:val="307EB532"/>
    <w:lvl w:ilvl="0" w:tplc="D234C970">
      <w:start w:val="29"/>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567E9A64">
      <w:start w:val="1"/>
      <w:numFmt w:val="lowerLetter"/>
      <w:lvlText w:val="%2"/>
      <w:lvlJc w:val="left"/>
      <w:pPr>
        <w:ind w:left="11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F58BFD2">
      <w:start w:val="1"/>
      <w:numFmt w:val="lowerRoman"/>
      <w:lvlText w:val="%3"/>
      <w:lvlJc w:val="left"/>
      <w:pPr>
        <w:ind w:left="18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F44E7E6">
      <w:start w:val="1"/>
      <w:numFmt w:val="decimal"/>
      <w:lvlText w:val="%4"/>
      <w:lvlJc w:val="left"/>
      <w:pPr>
        <w:ind w:left="25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E69C7A10">
      <w:start w:val="1"/>
      <w:numFmt w:val="lowerLetter"/>
      <w:lvlText w:val="%5"/>
      <w:lvlJc w:val="left"/>
      <w:pPr>
        <w:ind w:left="32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E2AD900">
      <w:start w:val="1"/>
      <w:numFmt w:val="lowerRoman"/>
      <w:lvlText w:val="%6"/>
      <w:lvlJc w:val="left"/>
      <w:pPr>
        <w:ind w:left="39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2F849BE">
      <w:start w:val="1"/>
      <w:numFmt w:val="decimal"/>
      <w:lvlText w:val="%7"/>
      <w:lvlJc w:val="left"/>
      <w:pPr>
        <w:ind w:left="47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5020A38">
      <w:start w:val="1"/>
      <w:numFmt w:val="lowerLetter"/>
      <w:lvlText w:val="%8"/>
      <w:lvlJc w:val="left"/>
      <w:pPr>
        <w:ind w:left="54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8A6DEAA">
      <w:start w:val="1"/>
      <w:numFmt w:val="lowerRoman"/>
      <w:lvlText w:val="%9"/>
      <w:lvlJc w:val="left"/>
      <w:pPr>
        <w:ind w:left="61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1">
    <w:nsid w:val="233C61EE"/>
    <w:multiLevelType w:val="hybridMultilevel"/>
    <w:tmpl w:val="C5829320"/>
    <w:lvl w:ilvl="0" w:tplc="227428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46F606C"/>
    <w:multiLevelType w:val="hybridMultilevel"/>
    <w:tmpl w:val="A6A49302"/>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F3195F"/>
    <w:multiLevelType w:val="hybridMultilevel"/>
    <w:tmpl w:val="62F02AB8"/>
    <w:lvl w:ilvl="0" w:tplc="1C09000F">
      <w:start w:val="1"/>
      <w:numFmt w:val="decimal"/>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4">
    <w:nsid w:val="2C4A5633"/>
    <w:multiLevelType w:val="hybridMultilevel"/>
    <w:tmpl w:val="2FDEA056"/>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D5B31D2"/>
    <w:multiLevelType w:val="hybridMultilevel"/>
    <w:tmpl w:val="71D69FD8"/>
    <w:lvl w:ilvl="0" w:tplc="8050EFC2">
      <w:start w:val="1"/>
      <w:numFmt w:val="decimal"/>
      <w:lvlText w:val="(%1)"/>
      <w:lvlJc w:val="left"/>
      <w:pPr>
        <w:ind w:left="1800" w:hanging="360"/>
      </w:pPr>
      <w:rPr>
        <w:rFonts w:eastAsia="Calibri"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E9E1AC0"/>
    <w:multiLevelType w:val="hybridMultilevel"/>
    <w:tmpl w:val="23F4C058"/>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7">
    <w:nsid w:val="36D377CA"/>
    <w:multiLevelType w:val="hybridMultilevel"/>
    <w:tmpl w:val="C24A274C"/>
    <w:lvl w:ilvl="0" w:tplc="8A60FB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7A74166"/>
    <w:multiLevelType w:val="hybridMultilevel"/>
    <w:tmpl w:val="C7082CD6"/>
    <w:lvl w:ilvl="0" w:tplc="556228DC">
      <w:start w:val="1"/>
      <w:numFmt w:val="lowerLetter"/>
      <w:lvlText w:val="(%1)"/>
      <w:lvlJc w:val="left"/>
      <w:pPr>
        <w:ind w:left="2520" w:hanging="360"/>
      </w:pPr>
      <w:rPr>
        <w:rFonts w:ascii="Calibri" w:eastAsia="Calibri" w:hAnsi="Calibri" w:cs="Calibri"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9372946"/>
    <w:multiLevelType w:val="multilevel"/>
    <w:tmpl w:val="74845E42"/>
    <w:lvl w:ilvl="0">
      <w:start w:val="24"/>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B8B0646"/>
    <w:multiLevelType w:val="hybridMultilevel"/>
    <w:tmpl w:val="A8EE393C"/>
    <w:lvl w:ilvl="0" w:tplc="31808C8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BF565D8"/>
    <w:multiLevelType w:val="hybridMultilevel"/>
    <w:tmpl w:val="CD46B190"/>
    <w:lvl w:ilvl="0" w:tplc="31306468">
      <w:start w:val="8"/>
      <w:numFmt w:val="decimal"/>
      <w:lvlText w:val="[%1]"/>
      <w:lvlJc w:val="left"/>
      <w:pPr>
        <w:ind w:left="0"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79555C0"/>
    <w:multiLevelType w:val="hybridMultilevel"/>
    <w:tmpl w:val="E80CD2E0"/>
    <w:lvl w:ilvl="0" w:tplc="11F8A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1C68C4"/>
    <w:multiLevelType w:val="multilevel"/>
    <w:tmpl w:val="86D2B77E"/>
    <w:lvl w:ilvl="0">
      <w:start w:val="1"/>
      <w:numFmt w:val="decimal"/>
      <w:lvlText w:val="%1."/>
      <w:lvlJc w:val="left"/>
      <w:pPr>
        <w:ind w:left="108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4">
    <w:nsid w:val="49230AE2"/>
    <w:multiLevelType w:val="multilevel"/>
    <w:tmpl w:val="77BE49F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4A457879"/>
    <w:multiLevelType w:val="hybridMultilevel"/>
    <w:tmpl w:val="2CAC1BE4"/>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6534DB"/>
    <w:multiLevelType w:val="hybridMultilevel"/>
    <w:tmpl w:val="FBE8819A"/>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306F3C"/>
    <w:multiLevelType w:val="hybridMultilevel"/>
    <w:tmpl w:val="ABB485B4"/>
    <w:lvl w:ilvl="0" w:tplc="D876A9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0285BB0"/>
    <w:multiLevelType w:val="multilevel"/>
    <w:tmpl w:val="859AE510"/>
    <w:lvl w:ilvl="0">
      <w:start w:val="2"/>
      <w:numFmt w:val="decimal"/>
      <w:lvlText w:val="%1"/>
      <w:lvlJc w:val="left"/>
      <w:pPr>
        <w:ind w:left="8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9">
    <w:nsid w:val="51531765"/>
    <w:multiLevelType w:val="multilevel"/>
    <w:tmpl w:val="86D2B77E"/>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54661EF0"/>
    <w:multiLevelType w:val="hybridMultilevel"/>
    <w:tmpl w:val="38C0926E"/>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670CDD"/>
    <w:multiLevelType w:val="multilevel"/>
    <w:tmpl w:val="C294220C"/>
    <w:lvl w:ilvl="0">
      <w:start w:val="15"/>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AE722AC"/>
    <w:multiLevelType w:val="hybridMultilevel"/>
    <w:tmpl w:val="ABCE9C2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nsid w:val="61DE3F91"/>
    <w:multiLevelType w:val="hybridMultilevel"/>
    <w:tmpl w:val="4920A2BE"/>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3A45EE6"/>
    <w:multiLevelType w:val="hybridMultilevel"/>
    <w:tmpl w:val="B53EBF70"/>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8B6618"/>
    <w:multiLevelType w:val="hybridMultilevel"/>
    <w:tmpl w:val="48C05662"/>
    <w:lvl w:ilvl="0" w:tplc="882EB01E">
      <w:start w:val="1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6">
    <w:nsid w:val="70FD57DE"/>
    <w:multiLevelType w:val="hybridMultilevel"/>
    <w:tmpl w:val="344C96F8"/>
    <w:lvl w:ilvl="0" w:tplc="11F8A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F77679"/>
    <w:multiLevelType w:val="hybridMultilevel"/>
    <w:tmpl w:val="46523B88"/>
    <w:lvl w:ilvl="0" w:tplc="132A8EC2">
      <w:start w:val="1"/>
      <w:numFmt w:val="decimal"/>
      <w:lvlText w:val="(%1)"/>
      <w:lvlJc w:val="left"/>
      <w:pPr>
        <w:ind w:left="720" w:hanging="360"/>
      </w:pPr>
      <w:rPr>
        <w:rFonts w:eastAsia="Calibri" w:hint="default"/>
        <w:b/>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A1D0012"/>
    <w:multiLevelType w:val="hybridMultilevel"/>
    <w:tmpl w:val="32BCDF8E"/>
    <w:lvl w:ilvl="0" w:tplc="274CF4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5"/>
  </w:num>
  <w:num w:numId="10">
    <w:abstractNumId w:val="21"/>
  </w:num>
  <w:num w:numId="11">
    <w:abstractNumId w:val="32"/>
  </w:num>
  <w:num w:numId="12">
    <w:abstractNumId w:val="31"/>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4"/>
  </w:num>
  <w:num w:numId="16">
    <w:abstractNumId w:val="30"/>
  </w:num>
  <w:num w:numId="17">
    <w:abstractNumId w:val="33"/>
  </w:num>
  <w:num w:numId="18">
    <w:abstractNumId w:val="35"/>
  </w:num>
  <w:num w:numId="19">
    <w:abstractNumId w:val="25"/>
  </w:num>
  <w:num w:numId="20">
    <w:abstractNumId w:val="26"/>
  </w:num>
  <w:num w:numId="21">
    <w:abstractNumId w:val="6"/>
  </w:num>
  <w:num w:numId="22">
    <w:abstractNumId w:val="2"/>
  </w:num>
  <w:num w:numId="23">
    <w:abstractNumId w:val="11"/>
  </w:num>
  <w:num w:numId="24">
    <w:abstractNumId w:val="20"/>
  </w:num>
  <w:num w:numId="25">
    <w:abstractNumId w:val="37"/>
  </w:num>
  <w:num w:numId="26">
    <w:abstractNumId w:val="27"/>
  </w:num>
  <w:num w:numId="27">
    <w:abstractNumId w:val="17"/>
  </w:num>
  <w:num w:numId="28">
    <w:abstractNumId w:val="3"/>
  </w:num>
  <w:num w:numId="29">
    <w:abstractNumId w:val="38"/>
  </w:num>
  <w:num w:numId="30">
    <w:abstractNumId w:val="23"/>
  </w:num>
  <w:num w:numId="31">
    <w:abstractNumId w:val="29"/>
  </w:num>
  <w:num w:numId="32">
    <w:abstractNumId w:val="13"/>
  </w:num>
  <w:num w:numId="33">
    <w:abstractNumId w:val="16"/>
  </w:num>
  <w:num w:numId="34">
    <w:abstractNumId w:val="1"/>
  </w:num>
  <w:num w:numId="35">
    <w:abstractNumId w:val="22"/>
  </w:num>
  <w:num w:numId="36">
    <w:abstractNumId w:val="36"/>
  </w:num>
  <w:num w:numId="37">
    <w:abstractNumId w:val="0"/>
  </w:num>
  <w:num w:numId="38">
    <w:abstractNumId w:val="34"/>
  </w:num>
  <w:num w:numId="39">
    <w:abstractNumId w:val="12"/>
  </w:num>
  <w:num w:numId="40">
    <w:abstractNumId w:val="15"/>
  </w:num>
  <w:num w:numId="41">
    <w:abstractNumId w:val="18"/>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D6"/>
    <w:rsid w:val="000368BD"/>
    <w:rsid w:val="00047D40"/>
    <w:rsid w:val="00062D22"/>
    <w:rsid w:val="0007108C"/>
    <w:rsid w:val="00081F92"/>
    <w:rsid w:val="000949AE"/>
    <w:rsid w:val="000952E0"/>
    <w:rsid w:val="000960D9"/>
    <w:rsid w:val="000A3680"/>
    <w:rsid w:val="000B0F68"/>
    <w:rsid w:val="000B1D8C"/>
    <w:rsid w:val="000B6057"/>
    <w:rsid w:val="000C2ADC"/>
    <w:rsid w:val="000C45B5"/>
    <w:rsid w:val="000F2A7D"/>
    <w:rsid w:val="00113BE3"/>
    <w:rsid w:val="0011714E"/>
    <w:rsid w:val="00124E15"/>
    <w:rsid w:val="001375CB"/>
    <w:rsid w:val="00162066"/>
    <w:rsid w:val="0016260F"/>
    <w:rsid w:val="00164638"/>
    <w:rsid w:val="00181C26"/>
    <w:rsid w:val="001A1738"/>
    <w:rsid w:val="001D42EA"/>
    <w:rsid w:val="002028A2"/>
    <w:rsid w:val="00206374"/>
    <w:rsid w:val="00223992"/>
    <w:rsid w:val="00234814"/>
    <w:rsid w:val="00234D5C"/>
    <w:rsid w:val="0024335A"/>
    <w:rsid w:val="00270699"/>
    <w:rsid w:val="0027273C"/>
    <w:rsid w:val="00274F90"/>
    <w:rsid w:val="002A7164"/>
    <w:rsid w:val="002B45F8"/>
    <w:rsid w:val="00317BA0"/>
    <w:rsid w:val="003248DA"/>
    <w:rsid w:val="00345237"/>
    <w:rsid w:val="00347141"/>
    <w:rsid w:val="003759E2"/>
    <w:rsid w:val="00394ED7"/>
    <w:rsid w:val="003B2999"/>
    <w:rsid w:val="003D3771"/>
    <w:rsid w:val="003E1714"/>
    <w:rsid w:val="00407A2A"/>
    <w:rsid w:val="00411E1F"/>
    <w:rsid w:val="00415E03"/>
    <w:rsid w:val="00436A06"/>
    <w:rsid w:val="004426A5"/>
    <w:rsid w:val="0045616D"/>
    <w:rsid w:val="004646A1"/>
    <w:rsid w:val="004672B0"/>
    <w:rsid w:val="00467784"/>
    <w:rsid w:val="004A6C67"/>
    <w:rsid w:val="004B4605"/>
    <w:rsid w:val="004B5F05"/>
    <w:rsid w:val="004D0FB4"/>
    <w:rsid w:val="004D6395"/>
    <w:rsid w:val="004E0A9E"/>
    <w:rsid w:val="004F31AF"/>
    <w:rsid w:val="005045F1"/>
    <w:rsid w:val="0052057C"/>
    <w:rsid w:val="00520BCF"/>
    <w:rsid w:val="00523AD8"/>
    <w:rsid w:val="00562F79"/>
    <w:rsid w:val="00564266"/>
    <w:rsid w:val="0056477F"/>
    <w:rsid w:val="00574813"/>
    <w:rsid w:val="005843EE"/>
    <w:rsid w:val="0058466B"/>
    <w:rsid w:val="005866AD"/>
    <w:rsid w:val="00594C84"/>
    <w:rsid w:val="005A1803"/>
    <w:rsid w:val="005D36CD"/>
    <w:rsid w:val="005E5728"/>
    <w:rsid w:val="005E608C"/>
    <w:rsid w:val="00610CE6"/>
    <w:rsid w:val="006456CC"/>
    <w:rsid w:val="00646B20"/>
    <w:rsid w:val="00674F13"/>
    <w:rsid w:val="006806F8"/>
    <w:rsid w:val="006911A0"/>
    <w:rsid w:val="006929FE"/>
    <w:rsid w:val="006974DF"/>
    <w:rsid w:val="006A7D07"/>
    <w:rsid w:val="006B5BC0"/>
    <w:rsid w:val="006C5477"/>
    <w:rsid w:val="006D2520"/>
    <w:rsid w:val="006D4851"/>
    <w:rsid w:val="006D5BD7"/>
    <w:rsid w:val="006E42C4"/>
    <w:rsid w:val="006F370C"/>
    <w:rsid w:val="006F73FC"/>
    <w:rsid w:val="00720041"/>
    <w:rsid w:val="0072394E"/>
    <w:rsid w:val="007242D0"/>
    <w:rsid w:val="00740969"/>
    <w:rsid w:val="007602F1"/>
    <w:rsid w:val="00775FC2"/>
    <w:rsid w:val="00785619"/>
    <w:rsid w:val="007B109C"/>
    <w:rsid w:val="007C296E"/>
    <w:rsid w:val="007C4D9A"/>
    <w:rsid w:val="007F443E"/>
    <w:rsid w:val="007F71D5"/>
    <w:rsid w:val="00802DE9"/>
    <w:rsid w:val="008145B1"/>
    <w:rsid w:val="00826491"/>
    <w:rsid w:val="00835F76"/>
    <w:rsid w:val="00856124"/>
    <w:rsid w:val="00865E8B"/>
    <w:rsid w:val="00871D43"/>
    <w:rsid w:val="008731FC"/>
    <w:rsid w:val="008831CB"/>
    <w:rsid w:val="0089204A"/>
    <w:rsid w:val="008A1AAF"/>
    <w:rsid w:val="008A25F1"/>
    <w:rsid w:val="008B575C"/>
    <w:rsid w:val="008B708A"/>
    <w:rsid w:val="008D72B7"/>
    <w:rsid w:val="008E794A"/>
    <w:rsid w:val="008F19DC"/>
    <w:rsid w:val="00901792"/>
    <w:rsid w:val="00905C2F"/>
    <w:rsid w:val="00933245"/>
    <w:rsid w:val="00936429"/>
    <w:rsid w:val="00954105"/>
    <w:rsid w:val="0097427C"/>
    <w:rsid w:val="00975136"/>
    <w:rsid w:val="00992EAA"/>
    <w:rsid w:val="009B3416"/>
    <w:rsid w:val="009B3C5B"/>
    <w:rsid w:val="009F40F3"/>
    <w:rsid w:val="00A007A5"/>
    <w:rsid w:val="00A0490F"/>
    <w:rsid w:val="00A238D6"/>
    <w:rsid w:val="00A23D21"/>
    <w:rsid w:val="00A41604"/>
    <w:rsid w:val="00A533E6"/>
    <w:rsid w:val="00A5753C"/>
    <w:rsid w:val="00A761AD"/>
    <w:rsid w:val="00A9009E"/>
    <w:rsid w:val="00A90E3F"/>
    <w:rsid w:val="00A918AA"/>
    <w:rsid w:val="00AA5DA5"/>
    <w:rsid w:val="00AC5E2F"/>
    <w:rsid w:val="00AE4108"/>
    <w:rsid w:val="00B03896"/>
    <w:rsid w:val="00B15D12"/>
    <w:rsid w:val="00B36C7B"/>
    <w:rsid w:val="00B8021E"/>
    <w:rsid w:val="00B81857"/>
    <w:rsid w:val="00B833C0"/>
    <w:rsid w:val="00B911AA"/>
    <w:rsid w:val="00B91CE4"/>
    <w:rsid w:val="00B94C00"/>
    <w:rsid w:val="00BA31B8"/>
    <w:rsid w:val="00BB7757"/>
    <w:rsid w:val="00C264AD"/>
    <w:rsid w:val="00C35227"/>
    <w:rsid w:val="00C73969"/>
    <w:rsid w:val="00C91BF7"/>
    <w:rsid w:val="00C9253B"/>
    <w:rsid w:val="00CA2083"/>
    <w:rsid w:val="00CA692E"/>
    <w:rsid w:val="00CB03AB"/>
    <w:rsid w:val="00CB0D23"/>
    <w:rsid w:val="00CB3B37"/>
    <w:rsid w:val="00CB5402"/>
    <w:rsid w:val="00CC28B6"/>
    <w:rsid w:val="00CF2DF6"/>
    <w:rsid w:val="00CF76AE"/>
    <w:rsid w:val="00D13121"/>
    <w:rsid w:val="00D17D12"/>
    <w:rsid w:val="00D20A49"/>
    <w:rsid w:val="00D273DB"/>
    <w:rsid w:val="00D27B71"/>
    <w:rsid w:val="00D448F5"/>
    <w:rsid w:val="00D70DC0"/>
    <w:rsid w:val="00D91B48"/>
    <w:rsid w:val="00D93E8D"/>
    <w:rsid w:val="00DB103D"/>
    <w:rsid w:val="00DC66E3"/>
    <w:rsid w:val="00DD3AD9"/>
    <w:rsid w:val="00DF11FB"/>
    <w:rsid w:val="00DF3156"/>
    <w:rsid w:val="00E137B4"/>
    <w:rsid w:val="00E20F59"/>
    <w:rsid w:val="00E212CE"/>
    <w:rsid w:val="00E26B65"/>
    <w:rsid w:val="00E27CA9"/>
    <w:rsid w:val="00E366F9"/>
    <w:rsid w:val="00E36B46"/>
    <w:rsid w:val="00E579BA"/>
    <w:rsid w:val="00E7742F"/>
    <w:rsid w:val="00E80089"/>
    <w:rsid w:val="00E84A71"/>
    <w:rsid w:val="00ED35E1"/>
    <w:rsid w:val="00ED58EE"/>
    <w:rsid w:val="00EE61C7"/>
    <w:rsid w:val="00F154CD"/>
    <w:rsid w:val="00F3113D"/>
    <w:rsid w:val="00F32815"/>
    <w:rsid w:val="00F35E2A"/>
    <w:rsid w:val="00F5220D"/>
    <w:rsid w:val="00F72473"/>
    <w:rsid w:val="00F83F38"/>
    <w:rsid w:val="00F84133"/>
    <w:rsid w:val="00F921B5"/>
    <w:rsid w:val="00F949A0"/>
    <w:rsid w:val="00FB1E21"/>
    <w:rsid w:val="00FE0C4F"/>
    <w:rsid w:val="00FE4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4593"/>
  <w15:chartTrackingRefBased/>
  <w15:docId w15:val="{D46B18E0-8800-4E7E-A18C-4BD8C7A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D6"/>
    <w:pPr>
      <w:spacing w:after="5" w:line="264" w:lineRule="auto"/>
      <w:ind w:left="34"/>
      <w:jc w:val="both"/>
    </w:pPr>
    <w:rPr>
      <w:rFonts w:ascii="Calibri" w:eastAsia="Calibri" w:hAnsi="Calibri" w:cs="Calibri"/>
      <w:color w:val="000000"/>
      <w:sz w:val="24"/>
      <w:lang w:eastAsia="en-ZA"/>
    </w:rPr>
  </w:style>
  <w:style w:type="paragraph" w:styleId="Heading1">
    <w:name w:val="heading 1"/>
    <w:basedOn w:val="Normal"/>
    <w:next w:val="Normal"/>
    <w:link w:val="Heading1Char"/>
    <w:uiPriority w:val="9"/>
    <w:qFormat/>
    <w:rsid w:val="00564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238D6"/>
    <w:pPr>
      <w:keepNext/>
      <w:keepLines/>
      <w:spacing w:after="3" w:line="264" w:lineRule="auto"/>
      <w:ind w:left="34" w:hanging="10"/>
      <w:outlineLvl w:val="1"/>
    </w:pPr>
    <w:rPr>
      <w:rFonts w:ascii="Calibri" w:eastAsia="Calibri" w:hAnsi="Calibri" w:cs="Calibri"/>
      <w:color w:val="000000"/>
      <w:sz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8D6"/>
    <w:rPr>
      <w:rFonts w:ascii="Calibri" w:eastAsia="Calibri" w:hAnsi="Calibri" w:cs="Calibri"/>
      <w:color w:val="000000"/>
      <w:sz w:val="26"/>
      <w:lang w:eastAsia="en-ZA"/>
    </w:rPr>
  </w:style>
  <w:style w:type="character" w:customStyle="1" w:styleId="footnotedescriptionChar">
    <w:name w:val="footnote description Char"/>
    <w:link w:val="footnotedescription"/>
    <w:locked/>
    <w:rsid w:val="00A238D6"/>
    <w:rPr>
      <w:rFonts w:ascii="Calibri" w:eastAsia="Calibri" w:hAnsi="Calibri" w:cs="Calibri"/>
      <w:color w:val="000000"/>
      <w:sz w:val="20"/>
    </w:rPr>
  </w:style>
  <w:style w:type="paragraph" w:customStyle="1" w:styleId="footnotedescription">
    <w:name w:val="footnote description"/>
    <w:next w:val="Normal"/>
    <w:link w:val="footnotedescriptionChar"/>
    <w:rsid w:val="00A238D6"/>
    <w:pPr>
      <w:spacing w:after="0" w:line="256" w:lineRule="auto"/>
      <w:ind w:left="48"/>
    </w:pPr>
    <w:rPr>
      <w:rFonts w:ascii="Calibri" w:eastAsia="Calibri" w:hAnsi="Calibri" w:cs="Calibri"/>
      <w:color w:val="000000"/>
      <w:sz w:val="20"/>
    </w:rPr>
  </w:style>
  <w:style w:type="character" w:customStyle="1" w:styleId="footnotemark">
    <w:name w:val="footnote mark"/>
    <w:rsid w:val="00A238D6"/>
    <w:rPr>
      <w:rFonts w:ascii="Calibri" w:eastAsia="Calibri" w:hAnsi="Calibri" w:cs="Calibri" w:hint="default"/>
      <w:color w:val="000000"/>
      <w:sz w:val="12"/>
      <w:vertAlign w:val="superscript"/>
    </w:rPr>
  </w:style>
  <w:style w:type="paragraph" w:styleId="ListParagraph">
    <w:name w:val="List Paragraph"/>
    <w:basedOn w:val="Normal"/>
    <w:uiPriority w:val="34"/>
    <w:qFormat/>
    <w:rsid w:val="00A238D6"/>
    <w:pPr>
      <w:ind w:left="720"/>
      <w:contextualSpacing/>
    </w:pPr>
  </w:style>
  <w:style w:type="character" w:customStyle="1" w:styleId="Heading1Char">
    <w:name w:val="Heading 1 Char"/>
    <w:basedOn w:val="DefaultParagraphFont"/>
    <w:link w:val="Heading1"/>
    <w:uiPriority w:val="9"/>
    <w:rsid w:val="00564266"/>
    <w:rPr>
      <w:rFonts w:asciiTheme="majorHAnsi" w:eastAsiaTheme="majorEastAsia" w:hAnsiTheme="majorHAnsi" w:cstheme="majorBidi"/>
      <w:color w:val="2E74B5" w:themeColor="accent1" w:themeShade="BF"/>
      <w:sz w:val="32"/>
      <w:szCs w:val="32"/>
      <w:lang w:eastAsia="en-ZA"/>
    </w:rPr>
  </w:style>
  <w:style w:type="paragraph" w:styleId="FootnoteText">
    <w:name w:val="footnote text"/>
    <w:basedOn w:val="Normal"/>
    <w:link w:val="FootnoteTextChar"/>
    <w:uiPriority w:val="99"/>
    <w:semiHidden/>
    <w:unhideWhenUsed/>
    <w:rsid w:val="000B6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057"/>
    <w:rPr>
      <w:rFonts w:ascii="Calibri" w:eastAsia="Calibri" w:hAnsi="Calibri" w:cs="Calibri"/>
      <w:color w:val="000000"/>
      <w:sz w:val="20"/>
      <w:szCs w:val="20"/>
      <w:lang w:eastAsia="en-ZA"/>
    </w:rPr>
  </w:style>
  <w:style w:type="character" w:styleId="FootnoteReference">
    <w:name w:val="footnote reference"/>
    <w:basedOn w:val="DefaultParagraphFont"/>
    <w:uiPriority w:val="99"/>
    <w:semiHidden/>
    <w:unhideWhenUsed/>
    <w:rsid w:val="000B6057"/>
    <w:rPr>
      <w:vertAlign w:val="superscript"/>
    </w:rPr>
  </w:style>
  <w:style w:type="character" w:styleId="Hyperlink">
    <w:name w:val="Hyperlink"/>
    <w:basedOn w:val="DefaultParagraphFont"/>
    <w:uiPriority w:val="99"/>
    <w:semiHidden/>
    <w:unhideWhenUsed/>
    <w:rsid w:val="003B2999"/>
    <w:rPr>
      <w:color w:val="0000FF"/>
      <w:u w:val="single"/>
    </w:rPr>
  </w:style>
  <w:style w:type="paragraph" w:styleId="NormalWeb">
    <w:name w:val="Normal (Web)"/>
    <w:basedOn w:val="Normal"/>
    <w:uiPriority w:val="99"/>
    <w:semiHidden/>
    <w:unhideWhenUsed/>
    <w:rsid w:val="003B2999"/>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3B2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999"/>
    <w:rPr>
      <w:rFonts w:ascii="Calibri" w:eastAsia="Calibri" w:hAnsi="Calibri" w:cs="Calibri"/>
      <w:color w:val="000000"/>
      <w:sz w:val="24"/>
      <w:lang w:eastAsia="en-ZA"/>
    </w:rPr>
  </w:style>
  <w:style w:type="paragraph" w:styleId="Footer">
    <w:name w:val="footer"/>
    <w:basedOn w:val="Normal"/>
    <w:link w:val="FooterChar"/>
    <w:uiPriority w:val="99"/>
    <w:unhideWhenUsed/>
    <w:rsid w:val="003B2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999"/>
    <w:rPr>
      <w:rFonts w:ascii="Calibri" w:eastAsia="Calibri" w:hAnsi="Calibri" w:cs="Calibri"/>
      <w:color w:val="000000"/>
      <w:sz w:val="24"/>
      <w:lang w:eastAsia="en-ZA"/>
    </w:rPr>
  </w:style>
  <w:style w:type="paragraph" w:styleId="BalloonText">
    <w:name w:val="Balloon Text"/>
    <w:basedOn w:val="Normal"/>
    <w:link w:val="BalloonTextChar"/>
    <w:uiPriority w:val="99"/>
    <w:semiHidden/>
    <w:unhideWhenUsed/>
    <w:rsid w:val="003B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99"/>
    <w:rPr>
      <w:rFonts w:ascii="Segoe UI" w:eastAsia="Calibri" w:hAnsi="Segoe UI" w:cs="Segoe UI"/>
      <w:color w:val="000000"/>
      <w:sz w:val="18"/>
      <w:szCs w:val="18"/>
      <w:lang w:eastAsia="en-ZA"/>
    </w:rPr>
  </w:style>
  <w:style w:type="character" w:styleId="CommentReference">
    <w:name w:val="annotation reference"/>
    <w:basedOn w:val="DefaultParagraphFont"/>
    <w:uiPriority w:val="99"/>
    <w:semiHidden/>
    <w:unhideWhenUsed/>
    <w:rsid w:val="006D4851"/>
    <w:rPr>
      <w:sz w:val="16"/>
      <w:szCs w:val="16"/>
    </w:rPr>
  </w:style>
  <w:style w:type="paragraph" w:styleId="CommentText">
    <w:name w:val="annotation text"/>
    <w:basedOn w:val="Normal"/>
    <w:link w:val="CommentTextChar"/>
    <w:uiPriority w:val="99"/>
    <w:semiHidden/>
    <w:unhideWhenUsed/>
    <w:rsid w:val="006D4851"/>
    <w:pPr>
      <w:spacing w:line="240" w:lineRule="auto"/>
    </w:pPr>
    <w:rPr>
      <w:sz w:val="20"/>
      <w:szCs w:val="20"/>
    </w:rPr>
  </w:style>
  <w:style w:type="character" w:customStyle="1" w:styleId="CommentTextChar">
    <w:name w:val="Comment Text Char"/>
    <w:basedOn w:val="DefaultParagraphFont"/>
    <w:link w:val="CommentText"/>
    <w:uiPriority w:val="99"/>
    <w:semiHidden/>
    <w:rsid w:val="006D4851"/>
    <w:rPr>
      <w:rFonts w:ascii="Calibri" w:eastAsia="Calibri" w:hAnsi="Calibri" w:cs="Calibri"/>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6D4851"/>
    <w:rPr>
      <w:b/>
      <w:bCs/>
    </w:rPr>
  </w:style>
  <w:style w:type="character" w:customStyle="1" w:styleId="CommentSubjectChar">
    <w:name w:val="Comment Subject Char"/>
    <w:basedOn w:val="CommentTextChar"/>
    <w:link w:val="CommentSubject"/>
    <w:uiPriority w:val="99"/>
    <w:semiHidden/>
    <w:rsid w:val="006D4851"/>
    <w:rPr>
      <w:rFonts w:ascii="Calibri" w:eastAsia="Calibri" w:hAnsi="Calibri" w:cs="Calibri"/>
      <w:b/>
      <w:bCs/>
      <w:color w:val="000000"/>
      <w:sz w:val="20"/>
      <w:szCs w:val="20"/>
      <w:lang w:eastAsia="en-ZA"/>
    </w:rPr>
  </w:style>
  <w:style w:type="paragraph" w:customStyle="1" w:styleId="Default">
    <w:name w:val="Default"/>
    <w:rsid w:val="00C264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3848">
      <w:bodyDiv w:val="1"/>
      <w:marLeft w:val="0"/>
      <w:marRight w:val="0"/>
      <w:marTop w:val="0"/>
      <w:marBottom w:val="0"/>
      <w:divBdr>
        <w:top w:val="none" w:sz="0" w:space="0" w:color="auto"/>
        <w:left w:val="none" w:sz="0" w:space="0" w:color="auto"/>
        <w:bottom w:val="none" w:sz="0" w:space="0" w:color="auto"/>
        <w:right w:val="none" w:sz="0" w:space="0" w:color="auto"/>
      </w:divBdr>
    </w:div>
    <w:div w:id="271481166">
      <w:bodyDiv w:val="1"/>
      <w:marLeft w:val="0"/>
      <w:marRight w:val="0"/>
      <w:marTop w:val="0"/>
      <w:marBottom w:val="0"/>
      <w:divBdr>
        <w:top w:val="none" w:sz="0" w:space="0" w:color="auto"/>
        <w:left w:val="none" w:sz="0" w:space="0" w:color="auto"/>
        <w:bottom w:val="none" w:sz="0" w:space="0" w:color="auto"/>
        <w:right w:val="none" w:sz="0" w:space="0" w:color="auto"/>
      </w:divBdr>
    </w:div>
    <w:div w:id="279141807">
      <w:bodyDiv w:val="1"/>
      <w:marLeft w:val="0"/>
      <w:marRight w:val="0"/>
      <w:marTop w:val="0"/>
      <w:marBottom w:val="0"/>
      <w:divBdr>
        <w:top w:val="none" w:sz="0" w:space="0" w:color="auto"/>
        <w:left w:val="none" w:sz="0" w:space="0" w:color="auto"/>
        <w:bottom w:val="none" w:sz="0" w:space="0" w:color="auto"/>
        <w:right w:val="none" w:sz="0" w:space="0" w:color="auto"/>
      </w:divBdr>
    </w:div>
    <w:div w:id="287201051">
      <w:bodyDiv w:val="1"/>
      <w:marLeft w:val="0"/>
      <w:marRight w:val="0"/>
      <w:marTop w:val="0"/>
      <w:marBottom w:val="0"/>
      <w:divBdr>
        <w:top w:val="none" w:sz="0" w:space="0" w:color="auto"/>
        <w:left w:val="none" w:sz="0" w:space="0" w:color="auto"/>
        <w:bottom w:val="none" w:sz="0" w:space="0" w:color="auto"/>
        <w:right w:val="none" w:sz="0" w:space="0" w:color="auto"/>
      </w:divBdr>
    </w:div>
    <w:div w:id="386875937">
      <w:bodyDiv w:val="1"/>
      <w:marLeft w:val="0"/>
      <w:marRight w:val="0"/>
      <w:marTop w:val="0"/>
      <w:marBottom w:val="0"/>
      <w:divBdr>
        <w:top w:val="none" w:sz="0" w:space="0" w:color="auto"/>
        <w:left w:val="none" w:sz="0" w:space="0" w:color="auto"/>
        <w:bottom w:val="none" w:sz="0" w:space="0" w:color="auto"/>
        <w:right w:val="none" w:sz="0" w:space="0" w:color="auto"/>
      </w:divBdr>
    </w:div>
    <w:div w:id="408430452">
      <w:bodyDiv w:val="1"/>
      <w:marLeft w:val="0"/>
      <w:marRight w:val="0"/>
      <w:marTop w:val="0"/>
      <w:marBottom w:val="0"/>
      <w:divBdr>
        <w:top w:val="none" w:sz="0" w:space="0" w:color="auto"/>
        <w:left w:val="none" w:sz="0" w:space="0" w:color="auto"/>
        <w:bottom w:val="none" w:sz="0" w:space="0" w:color="auto"/>
        <w:right w:val="none" w:sz="0" w:space="0" w:color="auto"/>
      </w:divBdr>
    </w:div>
    <w:div w:id="483132107">
      <w:bodyDiv w:val="1"/>
      <w:marLeft w:val="0"/>
      <w:marRight w:val="0"/>
      <w:marTop w:val="0"/>
      <w:marBottom w:val="0"/>
      <w:divBdr>
        <w:top w:val="none" w:sz="0" w:space="0" w:color="auto"/>
        <w:left w:val="none" w:sz="0" w:space="0" w:color="auto"/>
        <w:bottom w:val="none" w:sz="0" w:space="0" w:color="auto"/>
        <w:right w:val="none" w:sz="0" w:space="0" w:color="auto"/>
      </w:divBdr>
    </w:div>
    <w:div w:id="499085166">
      <w:bodyDiv w:val="1"/>
      <w:marLeft w:val="0"/>
      <w:marRight w:val="0"/>
      <w:marTop w:val="0"/>
      <w:marBottom w:val="0"/>
      <w:divBdr>
        <w:top w:val="none" w:sz="0" w:space="0" w:color="auto"/>
        <w:left w:val="none" w:sz="0" w:space="0" w:color="auto"/>
        <w:bottom w:val="none" w:sz="0" w:space="0" w:color="auto"/>
        <w:right w:val="none" w:sz="0" w:space="0" w:color="auto"/>
      </w:divBdr>
    </w:div>
    <w:div w:id="615016236">
      <w:bodyDiv w:val="1"/>
      <w:marLeft w:val="0"/>
      <w:marRight w:val="0"/>
      <w:marTop w:val="0"/>
      <w:marBottom w:val="0"/>
      <w:divBdr>
        <w:top w:val="none" w:sz="0" w:space="0" w:color="auto"/>
        <w:left w:val="none" w:sz="0" w:space="0" w:color="auto"/>
        <w:bottom w:val="none" w:sz="0" w:space="0" w:color="auto"/>
        <w:right w:val="none" w:sz="0" w:space="0" w:color="auto"/>
      </w:divBdr>
    </w:div>
    <w:div w:id="625821331">
      <w:bodyDiv w:val="1"/>
      <w:marLeft w:val="0"/>
      <w:marRight w:val="0"/>
      <w:marTop w:val="0"/>
      <w:marBottom w:val="0"/>
      <w:divBdr>
        <w:top w:val="none" w:sz="0" w:space="0" w:color="auto"/>
        <w:left w:val="none" w:sz="0" w:space="0" w:color="auto"/>
        <w:bottom w:val="none" w:sz="0" w:space="0" w:color="auto"/>
        <w:right w:val="none" w:sz="0" w:space="0" w:color="auto"/>
      </w:divBdr>
    </w:div>
    <w:div w:id="699084413">
      <w:bodyDiv w:val="1"/>
      <w:marLeft w:val="0"/>
      <w:marRight w:val="0"/>
      <w:marTop w:val="0"/>
      <w:marBottom w:val="0"/>
      <w:divBdr>
        <w:top w:val="none" w:sz="0" w:space="0" w:color="auto"/>
        <w:left w:val="none" w:sz="0" w:space="0" w:color="auto"/>
        <w:bottom w:val="none" w:sz="0" w:space="0" w:color="auto"/>
        <w:right w:val="none" w:sz="0" w:space="0" w:color="auto"/>
      </w:divBdr>
    </w:div>
    <w:div w:id="754547656">
      <w:bodyDiv w:val="1"/>
      <w:marLeft w:val="0"/>
      <w:marRight w:val="0"/>
      <w:marTop w:val="0"/>
      <w:marBottom w:val="0"/>
      <w:divBdr>
        <w:top w:val="none" w:sz="0" w:space="0" w:color="auto"/>
        <w:left w:val="none" w:sz="0" w:space="0" w:color="auto"/>
        <w:bottom w:val="none" w:sz="0" w:space="0" w:color="auto"/>
        <w:right w:val="none" w:sz="0" w:space="0" w:color="auto"/>
      </w:divBdr>
    </w:div>
    <w:div w:id="783573184">
      <w:bodyDiv w:val="1"/>
      <w:marLeft w:val="0"/>
      <w:marRight w:val="0"/>
      <w:marTop w:val="0"/>
      <w:marBottom w:val="0"/>
      <w:divBdr>
        <w:top w:val="none" w:sz="0" w:space="0" w:color="auto"/>
        <w:left w:val="none" w:sz="0" w:space="0" w:color="auto"/>
        <w:bottom w:val="none" w:sz="0" w:space="0" w:color="auto"/>
        <w:right w:val="none" w:sz="0" w:space="0" w:color="auto"/>
      </w:divBdr>
    </w:div>
    <w:div w:id="882669755">
      <w:bodyDiv w:val="1"/>
      <w:marLeft w:val="0"/>
      <w:marRight w:val="0"/>
      <w:marTop w:val="0"/>
      <w:marBottom w:val="0"/>
      <w:divBdr>
        <w:top w:val="none" w:sz="0" w:space="0" w:color="auto"/>
        <w:left w:val="none" w:sz="0" w:space="0" w:color="auto"/>
        <w:bottom w:val="none" w:sz="0" w:space="0" w:color="auto"/>
        <w:right w:val="none" w:sz="0" w:space="0" w:color="auto"/>
      </w:divBdr>
    </w:div>
    <w:div w:id="942802573">
      <w:bodyDiv w:val="1"/>
      <w:marLeft w:val="0"/>
      <w:marRight w:val="0"/>
      <w:marTop w:val="0"/>
      <w:marBottom w:val="0"/>
      <w:divBdr>
        <w:top w:val="none" w:sz="0" w:space="0" w:color="auto"/>
        <w:left w:val="none" w:sz="0" w:space="0" w:color="auto"/>
        <w:bottom w:val="none" w:sz="0" w:space="0" w:color="auto"/>
        <w:right w:val="none" w:sz="0" w:space="0" w:color="auto"/>
      </w:divBdr>
    </w:div>
    <w:div w:id="947200773">
      <w:bodyDiv w:val="1"/>
      <w:marLeft w:val="0"/>
      <w:marRight w:val="0"/>
      <w:marTop w:val="0"/>
      <w:marBottom w:val="0"/>
      <w:divBdr>
        <w:top w:val="none" w:sz="0" w:space="0" w:color="auto"/>
        <w:left w:val="none" w:sz="0" w:space="0" w:color="auto"/>
        <w:bottom w:val="none" w:sz="0" w:space="0" w:color="auto"/>
        <w:right w:val="none" w:sz="0" w:space="0" w:color="auto"/>
      </w:divBdr>
    </w:div>
    <w:div w:id="956571230">
      <w:bodyDiv w:val="1"/>
      <w:marLeft w:val="0"/>
      <w:marRight w:val="0"/>
      <w:marTop w:val="0"/>
      <w:marBottom w:val="0"/>
      <w:divBdr>
        <w:top w:val="none" w:sz="0" w:space="0" w:color="auto"/>
        <w:left w:val="none" w:sz="0" w:space="0" w:color="auto"/>
        <w:bottom w:val="none" w:sz="0" w:space="0" w:color="auto"/>
        <w:right w:val="none" w:sz="0" w:space="0" w:color="auto"/>
      </w:divBdr>
    </w:div>
    <w:div w:id="1007633712">
      <w:bodyDiv w:val="1"/>
      <w:marLeft w:val="0"/>
      <w:marRight w:val="0"/>
      <w:marTop w:val="0"/>
      <w:marBottom w:val="0"/>
      <w:divBdr>
        <w:top w:val="none" w:sz="0" w:space="0" w:color="auto"/>
        <w:left w:val="none" w:sz="0" w:space="0" w:color="auto"/>
        <w:bottom w:val="none" w:sz="0" w:space="0" w:color="auto"/>
        <w:right w:val="none" w:sz="0" w:space="0" w:color="auto"/>
      </w:divBdr>
    </w:div>
    <w:div w:id="1084182330">
      <w:bodyDiv w:val="1"/>
      <w:marLeft w:val="0"/>
      <w:marRight w:val="0"/>
      <w:marTop w:val="0"/>
      <w:marBottom w:val="0"/>
      <w:divBdr>
        <w:top w:val="none" w:sz="0" w:space="0" w:color="auto"/>
        <w:left w:val="none" w:sz="0" w:space="0" w:color="auto"/>
        <w:bottom w:val="none" w:sz="0" w:space="0" w:color="auto"/>
        <w:right w:val="none" w:sz="0" w:space="0" w:color="auto"/>
      </w:divBdr>
    </w:div>
    <w:div w:id="1185751429">
      <w:bodyDiv w:val="1"/>
      <w:marLeft w:val="0"/>
      <w:marRight w:val="0"/>
      <w:marTop w:val="0"/>
      <w:marBottom w:val="0"/>
      <w:divBdr>
        <w:top w:val="none" w:sz="0" w:space="0" w:color="auto"/>
        <w:left w:val="none" w:sz="0" w:space="0" w:color="auto"/>
        <w:bottom w:val="none" w:sz="0" w:space="0" w:color="auto"/>
        <w:right w:val="none" w:sz="0" w:space="0" w:color="auto"/>
      </w:divBdr>
    </w:div>
    <w:div w:id="1218667885">
      <w:bodyDiv w:val="1"/>
      <w:marLeft w:val="0"/>
      <w:marRight w:val="0"/>
      <w:marTop w:val="0"/>
      <w:marBottom w:val="0"/>
      <w:divBdr>
        <w:top w:val="none" w:sz="0" w:space="0" w:color="auto"/>
        <w:left w:val="none" w:sz="0" w:space="0" w:color="auto"/>
        <w:bottom w:val="none" w:sz="0" w:space="0" w:color="auto"/>
        <w:right w:val="none" w:sz="0" w:space="0" w:color="auto"/>
      </w:divBdr>
    </w:div>
    <w:div w:id="1218853604">
      <w:bodyDiv w:val="1"/>
      <w:marLeft w:val="0"/>
      <w:marRight w:val="0"/>
      <w:marTop w:val="0"/>
      <w:marBottom w:val="0"/>
      <w:divBdr>
        <w:top w:val="none" w:sz="0" w:space="0" w:color="auto"/>
        <w:left w:val="none" w:sz="0" w:space="0" w:color="auto"/>
        <w:bottom w:val="none" w:sz="0" w:space="0" w:color="auto"/>
        <w:right w:val="none" w:sz="0" w:space="0" w:color="auto"/>
      </w:divBdr>
    </w:div>
    <w:div w:id="1258560515">
      <w:bodyDiv w:val="1"/>
      <w:marLeft w:val="0"/>
      <w:marRight w:val="0"/>
      <w:marTop w:val="0"/>
      <w:marBottom w:val="0"/>
      <w:divBdr>
        <w:top w:val="none" w:sz="0" w:space="0" w:color="auto"/>
        <w:left w:val="none" w:sz="0" w:space="0" w:color="auto"/>
        <w:bottom w:val="none" w:sz="0" w:space="0" w:color="auto"/>
        <w:right w:val="none" w:sz="0" w:space="0" w:color="auto"/>
      </w:divBdr>
    </w:div>
    <w:div w:id="1281492149">
      <w:bodyDiv w:val="1"/>
      <w:marLeft w:val="0"/>
      <w:marRight w:val="0"/>
      <w:marTop w:val="0"/>
      <w:marBottom w:val="0"/>
      <w:divBdr>
        <w:top w:val="none" w:sz="0" w:space="0" w:color="auto"/>
        <w:left w:val="none" w:sz="0" w:space="0" w:color="auto"/>
        <w:bottom w:val="none" w:sz="0" w:space="0" w:color="auto"/>
        <w:right w:val="none" w:sz="0" w:space="0" w:color="auto"/>
      </w:divBdr>
    </w:div>
    <w:div w:id="1384062371">
      <w:bodyDiv w:val="1"/>
      <w:marLeft w:val="0"/>
      <w:marRight w:val="0"/>
      <w:marTop w:val="0"/>
      <w:marBottom w:val="0"/>
      <w:divBdr>
        <w:top w:val="none" w:sz="0" w:space="0" w:color="auto"/>
        <w:left w:val="none" w:sz="0" w:space="0" w:color="auto"/>
        <w:bottom w:val="none" w:sz="0" w:space="0" w:color="auto"/>
        <w:right w:val="none" w:sz="0" w:space="0" w:color="auto"/>
      </w:divBdr>
    </w:div>
    <w:div w:id="1391343754">
      <w:bodyDiv w:val="1"/>
      <w:marLeft w:val="0"/>
      <w:marRight w:val="0"/>
      <w:marTop w:val="0"/>
      <w:marBottom w:val="0"/>
      <w:divBdr>
        <w:top w:val="none" w:sz="0" w:space="0" w:color="auto"/>
        <w:left w:val="none" w:sz="0" w:space="0" w:color="auto"/>
        <w:bottom w:val="none" w:sz="0" w:space="0" w:color="auto"/>
        <w:right w:val="none" w:sz="0" w:space="0" w:color="auto"/>
      </w:divBdr>
    </w:div>
    <w:div w:id="1437022596">
      <w:bodyDiv w:val="1"/>
      <w:marLeft w:val="0"/>
      <w:marRight w:val="0"/>
      <w:marTop w:val="0"/>
      <w:marBottom w:val="0"/>
      <w:divBdr>
        <w:top w:val="none" w:sz="0" w:space="0" w:color="auto"/>
        <w:left w:val="none" w:sz="0" w:space="0" w:color="auto"/>
        <w:bottom w:val="none" w:sz="0" w:space="0" w:color="auto"/>
        <w:right w:val="none" w:sz="0" w:space="0" w:color="auto"/>
      </w:divBdr>
    </w:div>
    <w:div w:id="1711570796">
      <w:bodyDiv w:val="1"/>
      <w:marLeft w:val="0"/>
      <w:marRight w:val="0"/>
      <w:marTop w:val="0"/>
      <w:marBottom w:val="0"/>
      <w:divBdr>
        <w:top w:val="none" w:sz="0" w:space="0" w:color="auto"/>
        <w:left w:val="none" w:sz="0" w:space="0" w:color="auto"/>
        <w:bottom w:val="none" w:sz="0" w:space="0" w:color="auto"/>
        <w:right w:val="none" w:sz="0" w:space="0" w:color="auto"/>
      </w:divBdr>
    </w:div>
    <w:div w:id="1859811739">
      <w:bodyDiv w:val="1"/>
      <w:marLeft w:val="0"/>
      <w:marRight w:val="0"/>
      <w:marTop w:val="0"/>
      <w:marBottom w:val="0"/>
      <w:divBdr>
        <w:top w:val="none" w:sz="0" w:space="0" w:color="auto"/>
        <w:left w:val="none" w:sz="0" w:space="0" w:color="auto"/>
        <w:bottom w:val="none" w:sz="0" w:space="0" w:color="auto"/>
        <w:right w:val="none" w:sz="0" w:space="0" w:color="auto"/>
      </w:divBdr>
    </w:div>
    <w:div w:id="1966080872">
      <w:bodyDiv w:val="1"/>
      <w:marLeft w:val="0"/>
      <w:marRight w:val="0"/>
      <w:marTop w:val="0"/>
      <w:marBottom w:val="0"/>
      <w:divBdr>
        <w:top w:val="none" w:sz="0" w:space="0" w:color="auto"/>
        <w:left w:val="none" w:sz="0" w:space="0" w:color="auto"/>
        <w:bottom w:val="none" w:sz="0" w:space="0" w:color="auto"/>
        <w:right w:val="none" w:sz="0" w:space="0" w:color="auto"/>
      </w:divBdr>
    </w:div>
    <w:div w:id="1967272830">
      <w:bodyDiv w:val="1"/>
      <w:marLeft w:val="0"/>
      <w:marRight w:val="0"/>
      <w:marTop w:val="0"/>
      <w:marBottom w:val="0"/>
      <w:divBdr>
        <w:top w:val="none" w:sz="0" w:space="0" w:color="auto"/>
        <w:left w:val="none" w:sz="0" w:space="0" w:color="auto"/>
        <w:bottom w:val="none" w:sz="0" w:space="0" w:color="auto"/>
        <w:right w:val="none" w:sz="0" w:space="0" w:color="auto"/>
      </w:divBdr>
    </w:div>
    <w:div w:id="1981226156">
      <w:bodyDiv w:val="1"/>
      <w:marLeft w:val="0"/>
      <w:marRight w:val="0"/>
      <w:marTop w:val="0"/>
      <w:marBottom w:val="0"/>
      <w:divBdr>
        <w:top w:val="none" w:sz="0" w:space="0" w:color="auto"/>
        <w:left w:val="none" w:sz="0" w:space="0" w:color="auto"/>
        <w:bottom w:val="none" w:sz="0" w:space="0" w:color="auto"/>
        <w:right w:val="none" w:sz="0" w:space="0" w:color="auto"/>
      </w:divBdr>
    </w:div>
    <w:div w:id="2106145989">
      <w:bodyDiv w:val="1"/>
      <w:marLeft w:val="0"/>
      <w:marRight w:val="0"/>
      <w:marTop w:val="0"/>
      <w:marBottom w:val="0"/>
      <w:divBdr>
        <w:top w:val="none" w:sz="0" w:space="0" w:color="auto"/>
        <w:left w:val="none" w:sz="0" w:space="0" w:color="auto"/>
        <w:bottom w:val="none" w:sz="0" w:space="0" w:color="auto"/>
        <w:right w:val="none" w:sz="0" w:space="0" w:color="auto"/>
      </w:divBdr>
    </w:div>
    <w:div w:id="21314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978D7-BB3B-4D9A-875C-BCCD7E95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3374</Words>
  <Characters>19233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3</cp:revision>
  <dcterms:created xsi:type="dcterms:W3CDTF">2023-02-07T12:23:00Z</dcterms:created>
  <dcterms:modified xsi:type="dcterms:W3CDTF">2023-02-07T12:26:00Z</dcterms:modified>
</cp:coreProperties>
</file>